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BD" w:rsidRPr="00996758" w:rsidRDefault="00D51BBD" w:rsidP="00756418">
      <w:pPr>
        <w:tabs>
          <w:tab w:val="left" w:pos="3545"/>
          <w:tab w:val="left" w:pos="4254"/>
          <w:tab w:val="left" w:pos="4963"/>
          <w:tab w:val="left" w:pos="5672"/>
          <w:tab w:val="left" w:pos="6381"/>
          <w:tab w:val="left" w:pos="7090"/>
          <w:tab w:val="left" w:pos="7799"/>
          <w:tab w:val="left" w:pos="8508"/>
          <w:tab w:val="left" w:pos="9217"/>
          <w:tab w:val="left" w:pos="9926"/>
        </w:tabs>
        <w:spacing w:before="120" w:after="120" w:line="240" w:lineRule="auto"/>
        <w:ind w:left="1440" w:hanging="1440"/>
        <w:jc w:val="both"/>
        <w:rPr>
          <w:rFonts w:ascii="Verdana" w:hAnsi="Verdana"/>
          <w:b/>
          <w:spacing w:val="-4"/>
          <w:sz w:val="20"/>
          <w:szCs w:val="20"/>
        </w:rPr>
      </w:pPr>
    </w:p>
    <w:p w:rsidR="005B536C" w:rsidRPr="00996758" w:rsidRDefault="005B536C" w:rsidP="00AE1DD8">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spacing w:after="0" w:line="240" w:lineRule="auto"/>
        <w:rPr>
          <w:rFonts w:ascii="Verdana" w:hAnsi="Verdana"/>
          <w:b/>
          <w:sz w:val="20"/>
          <w:szCs w:val="20"/>
        </w:rPr>
      </w:pPr>
    </w:p>
    <w:p w:rsidR="005B536C" w:rsidRPr="00996758" w:rsidRDefault="005B536C">
      <w:pPr>
        <w:pStyle w:val="Title"/>
        <w:numPr>
          <w:ilvl w:val="0"/>
          <w:numId w:val="0"/>
        </w:numPr>
        <w:ind w:right="-138"/>
        <w:jc w:val="center"/>
        <w:rPr>
          <w:rFonts w:eastAsia="MS Mincho"/>
          <w:lang w:val="es-CR"/>
        </w:rPr>
      </w:pPr>
      <w:r w:rsidRPr="00996758">
        <w:rPr>
          <w:rFonts w:eastAsia="MS Mincho"/>
          <w:lang w:val="es-CR"/>
        </w:rPr>
        <w:t>CORTE INTERAMERICANA DE DERECHOS HUMANOS</w:t>
      </w:r>
    </w:p>
    <w:p w:rsidR="005B536C" w:rsidRPr="00996758" w:rsidRDefault="005B536C">
      <w:pPr>
        <w:spacing w:after="0" w:line="240" w:lineRule="auto"/>
        <w:jc w:val="center"/>
        <w:rPr>
          <w:rFonts w:ascii="Verdana" w:hAnsi="Verdana"/>
          <w:b/>
          <w:sz w:val="20"/>
          <w:szCs w:val="20"/>
        </w:rPr>
      </w:pPr>
    </w:p>
    <w:p w:rsidR="002C4B43" w:rsidRPr="00996758" w:rsidRDefault="002C4B43">
      <w:pPr>
        <w:spacing w:after="0" w:line="240" w:lineRule="auto"/>
        <w:jc w:val="center"/>
        <w:rPr>
          <w:rFonts w:ascii="Verdana" w:hAnsi="Verdana"/>
          <w:b/>
          <w:sz w:val="20"/>
          <w:szCs w:val="20"/>
        </w:rPr>
      </w:pPr>
    </w:p>
    <w:p w:rsidR="005B536C" w:rsidRPr="00996758" w:rsidRDefault="005B536C">
      <w:pPr>
        <w:spacing w:after="0" w:line="240" w:lineRule="auto"/>
        <w:jc w:val="center"/>
        <w:rPr>
          <w:rFonts w:ascii="Verdana" w:hAnsi="Verdana"/>
          <w:b/>
          <w:sz w:val="20"/>
          <w:szCs w:val="20"/>
        </w:rPr>
      </w:pPr>
    </w:p>
    <w:p w:rsidR="005B536C" w:rsidRPr="00996758" w:rsidRDefault="005B536C">
      <w:pPr>
        <w:autoSpaceDE w:val="0"/>
        <w:autoSpaceDN w:val="0"/>
        <w:adjustRightInd w:val="0"/>
        <w:spacing w:after="0" w:line="240" w:lineRule="auto"/>
        <w:jc w:val="center"/>
        <w:rPr>
          <w:rFonts w:ascii="Verdana" w:eastAsia="MS Mincho" w:hAnsi="Verdana" w:cs="Times New Roman"/>
          <w:b/>
          <w:i/>
          <w:sz w:val="20"/>
          <w:szCs w:val="20"/>
          <w:lang w:eastAsia="es-ES" w:bidi="en-US"/>
        </w:rPr>
      </w:pPr>
      <w:r w:rsidRPr="00996758">
        <w:rPr>
          <w:rFonts w:ascii="Verdana" w:eastAsia="MS Mincho" w:hAnsi="Verdana" w:cs="Times New Roman"/>
          <w:b/>
          <w:i/>
          <w:sz w:val="20"/>
          <w:szCs w:val="20"/>
          <w:lang w:eastAsia="es-ES" w:bidi="en-US"/>
        </w:rPr>
        <w:t>CASO ISAZA URIBE Y OTROS VS. COLOMBIA</w:t>
      </w:r>
    </w:p>
    <w:p w:rsidR="005B536C" w:rsidRPr="00996758" w:rsidRDefault="005B536C">
      <w:pPr>
        <w:pStyle w:val="Title"/>
        <w:numPr>
          <w:ilvl w:val="0"/>
          <w:numId w:val="0"/>
        </w:numPr>
        <w:ind w:right="-138"/>
        <w:jc w:val="center"/>
        <w:rPr>
          <w:rFonts w:eastAsia="MS Mincho"/>
          <w:lang w:val="es-CR"/>
        </w:rPr>
      </w:pPr>
    </w:p>
    <w:p w:rsidR="005B536C" w:rsidRPr="00996758" w:rsidRDefault="005B536C">
      <w:pPr>
        <w:pStyle w:val="Title"/>
        <w:numPr>
          <w:ilvl w:val="0"/>
          <w:numId w:val="0"/>
        </w:numPr>
        <w:ind w:right="-138"/>
        <w:jc w:val="center"/>
        <w:rPr>
          <w:rFonts w:eastAsia="MS Mincho"/>
          <w:lang w:val="es-CR"/>
        </w:rPr>
      </w:pPr>
    </w:p>
    <w:p w:rsidR="002C4B43" w:rsidRPr="00996758" w:rsidRDefault="002C4B43">
      <w:pPr>
        <w:pStyle w:val="Title"/>
        <w:numPr>
          <w:ilvl w:val="0"/>
          <w:numId w:val="0"/>
        </w:numPr>
        <w:ind w:right="-138"/>
        <w:jc w:val="center"/>
        <w:rPr>
          <w:rFonts w:eastAsia="MS Mincho"/>
          <w:lang w:val="es-CR"/>
        </w:rPr>
      </w:pPr>
    </w:p>
    <w:p w:rsidR="005B536C" w:rsidRPr="00996758" w:rsidRDefault="005B536C">
      <w:pPr>
        <w:pStyle w:val="Title"/>
        <w:numPr>
          <w:ilvl w:val="0"/>
          <w:numId w:val="0"/>
        </w:numPr>
        <w:ind w:right="-138"/>
        <w:jc w:val="center"/>
        <w:rPr>
          <w:rFonts w:eastAsia="MS Mincho"/>
          <w:lang w:val="es-CR"/>
        </w:rPr>
      </w:pPr>
      <w:r w:rsidRPr="00996758">
        <w:rPr>
          <w:rFonts w:eastAsia="MS Mincho"/>
          <w:lang w:val="es-CR"/>
        </w:rPr>
        <w:t>SENTENCIA DE</w:t>
      </w:r>
      <w:r w:rsidR="009313B1" w:rsidRPr="00996758">
        <w:rPr>
          <w:rFonts w:eastAsia="MS Mincho"/>
          <w:lang w:val="es-CR"/>
        </w:rPr>
        <w:t xml:space="preserve"> 20</w:t>
      </w:r>
      <w:r w:rsidRPr="00996758">
        <w:rPr>
          <w:rFonts w:eastAsia="MS Mincho"/>
          <w:lang w:val="es-CR"/>
        </w:rPr>
        <w:t xml:space="preserve"> DE </w:t>
      </w:r>
      <w:r w:rsidR="00165F15" w:rsidRPr="00996758">
        <w:rPr>
          <w:rFonts w:eastAsia="MS Mincho"/>
          <w:lang w:val="es-CR"/>
        </w:rPr>
        <w:t>NOVIEMBRE</w:t>
      </w:r>
      <w:r w:rsidRPr="00996758">
        <w:rPr>
          <w:rFonts w:eastAsia="MS Mincho"/>
          <w:lang w:val="es-CR"/>
        </w:rPr>
        <w:t xml:space="preserve"> DE 2018</w:t>
      </w:r>
    </w:p>
    <w:p w:rsidR="005B536C" w:rsidRPr="00996758" w:rsidRDefault="005B536C">
      <w:pPr>
        <w:pStyle w:val="Title"/>
        <w:numPr>
          <w:ilvl w:val="0"/>
          <w:numId w:val="0"/>
        </w:numPr>
        <w:ind w:right="-138"/>
        <w:jc w:val="center"/>
        <w:rPr>
          <w:rFonts w:eastAsia="MS Mincho"/>
          <w:lang w:val="es-CR"/>
        </w:rPr>
      </w:pPr>
      <w:r w:rsidRPr="00996758">
        <w:rPr>
          <w:rFonts w:eastAsia="MS Mincho"/>
          <w:lang w:val="es-CR"/>
        </w:rPr>
        <w:t>(Fondo, Reparaciones y Costas)</w:t>
      </w:r>
    </w:p>
    <w:p w:rsidR="005B536C" w:rsidRPr="00996758" w:rsidRDefault="005B536C">
      <w:pPr>
        <w:pStyle w:val="Title"/>
        <w:numPr>
          <w:ilvl w:val="0"/>
          <w:numId w:val="0"/>
        </w:numPr>
        <w:ind w:left="-502" w:right="-138"/>
        <w:rPr>
          <w:rFonts w:eastAsia="MS Mincho"/>
          <w:lang w:val="es-CR"/>
        </w:rPr>
      </w:pPr>
    </w:p>
    <w:p w:rsidR="005B536C" w:rsidRPr="00996758" w:rsidRDefault="005B536C">
      <w:pPr>
        <w:spacing w:after="0" w:line="240" w:lineRule="auto"/>
        <w:jc w:val="both"/>
        <w:rPr>
          <w:rFonts w:ascii="Verdana" w:hAnsi="Verdana"/>
          <w:b/>
          <w:i/>
          <w:sz w:val="20"/>
          <w:szCs w:val="20"/>
        </w:rPr>
      </w:pPr>
    </w:p>
    <w:p w:rsidR="005B536C" w:rsidRPr="00996758" w:rsidRDefault="005B536C">
      <w:pPr>
        <w:spacing w:after="0" w:line="240" w:lineRule="auto"/>
        <w:jc w:val="both"/>
        <w:rPr>
          <w:rFonts w:ascii="Verdana" w:hAnsi="Verdana"/>
          <w:b/>
          <w:i/>
          <w:sz w:val="20"/>
          <w:szCs w:val="20"/>
        </w:rPr>
      </w:pPr>
    </w:p>
    <w:p w:rsidR="002C4B43" w:rsidRPr="00996758" w:rsidRDefault="002C4B43">
      <w:pPr>
        <w:spacing w:after="0" w:line="240" w:lineRule="auto"/>
        <w:jc w:val="both"/>
        <w:rPr>
          <w:rFonts w:ascii="Verdana" w:hAnsi="Verdana"/>
          <w:b/>
          <w:i/>
          <w:sz w:val="20"/>
          <w:szCs w:val="20"/>
        </w:rPr>
      </w:pPr>
    </w:p>
    <w:p w:rsidR="005B536C" w:rsidRPr="00996758" w:rsidRDefault="005B536C">
      <w:pPr>
        <w:autoSpaceDE w:val="0"/>
        <w:autoSpaceDN w:val="0"/>
        <w:adjustRightInd w:val="0"/>
        <w:spacing w:after="0" w:line="240" w:lineRule="auto"/>
        <w:rPr>
          <w:rFonts w:ascii="Verdana" w:eastAsia="MS Mincho" w:hAnsi="Verdana" w:cs="Times New Roman"/>
          <w:b/>
          <w:sz w:val="20"/>
          <w:szCs w:val="20"/>
          <w:lang w:eastAsia="es-ES" w:bidi="en-US"/>
        </w:rPr>
      </w:pPr>
      <w:r w:rsidRPr="00996758">
        <w:rPr>
          <w:rFonts w:ascii="Verdana" w:hAnsi="Verdana"/>
          <w:sz w:val="20"/>
          <w:szCs w:val="20"/>
        </w:rPr>
        <w:t xml:space="preserve">En el </w:t>
      </w:r>
      <w:r w:rsidRPr="00996758">
        <w:rPr>
          <w:rFonts w:ascii="Verdana" w:hAnsi="Verdana"/>
          <w:i/>
          <w:sz w:val="20"/>
          <w:szCs w:val="20"/>
        </w:rPr>
        <w:t>caso Isaza Uribe y otros,</w:t>
      </w:r>
      <w:r w:rsidRPr="00996758">
        <w:rPr>
          <w:rFonts w:ascii="Verdana" w:eastAsia="MS Mincho" w:hAnsi="Verdana" w:cs="Times New Roman"/>
          <w:b/>
          <w:sz w:val="20"/>
          <w:szCs w:val="20"/>
          <w:lang w:eastAsia="es-ES" w:bidi="en-US"/>
        </w:rPr>
        <w:t xml:space="preserve"> </w:t>
      </w:r>
    </w:p>
    <w:p w:rsidR="005B536C" w:rsidRPr="00996758" w:rsidRDefault="005B536C">
      <w:pPr>
        <w:autoSpaceDE w:val="0"/>
        <w:autoSpaceDN w:val="0"/>
        <w:adjustRightInd w:val="0"/>
        <w:spacing w:after="0" w:line="240" w:lineRule="auto"/>
        <w:rPr>
          <w:rFonts w:ascii="Verdana" w:hAnsi="Verdana"/>
          <w:sz w:val="20"/>
          <w:szCs w:val="20"/>
        </w:rPr>
      </w:pPr>
    </w:p>
    <w:p w:rsidR="005B536C" w:rsidRPr="00996758" w:rsidRDefault="005B536C">
      <w:pPr>
        <w:spacing w:after="0" w:line="240" w:lineRule="auto"/>
        <w:jc w:val="both"/>
        <w:rPr>
          <w:rFonts w:ascii="Verdana" w:hAnsi="Verdana"/>
          <w:sz w:val="20"/>
          <w:szCs w:val="20"/>
        </w:rPr>
      </w:pPr>
      <w:r w:rsidRPr="00996758">
        <w:rPr>
          <w:rFonts w:ascii="Verdana" w:hAnsi="Verdana"/>
          <w:sz w:val="20"/>
          <w:szCs w:val="20"/>
        </w:rPr>
        <w:t>la Corte Interamericana de Derechos Humanos (en adelante “la Corte Interamericana”, “la Corte” o “el Tribunal”), integrada por los siguientes Jueces</w:t>
      </w:r>
      <w:r w:rsidRPr="00996758">
        <w:rPr>
          <w:rStyle w:val="FootnoteReference"/>
          <w:rFonts w:ascii="Verdana" w:hAnsi="Verdana"/>
          <w:sz w:val="20"/>
          <w:szCs w:val="20"/>
        </w:rPr>
        <w:footnoteReference w:id="1"/>
      </w:r>
      <w:r w:rsidRPr="00996758">
        <w:rPr>
          <w:rFonts w:ascii="Verdana" w:hAnsi="Verdana"/>
          <w:sz w:val="20"/>
          <w:szCs w:val="20"/>
        </w:rPr>
        <w:t>:</w:t>
      </w:r>
    </w:p>
    <w:p w:rsidR="005B536C" w:rsidRPr="00996758" w:rsidRDefault="005B536C">
      <w:pPr>
        <w:spacing w:after="0" w:line="240" w:lineRule="auto"/>
        <w:jc w:val="both"/>
        <w:rPr>
          <w:rFonts w:ascii="Verdana" w:hAnsi="Verdana"/>
          <w:sz w:val="20"/>
          <w:szCs w:val="20"/>
        </w:rPr>
      </w:pPr>
    </w:p>
    <w:p w:rsidR="005B536C" w:rsidRPr="00996758" w:rsidRDefault="005B536C">
      <w:pPr>
        <w:spacing w:after="0" w:line="240" w:lineRule="auto"/>
        <w:ind w:left="720"/>
        <w:jc w:val="both"/>
        <w:rPr>
          <w:rFonts w:ascii="Verdana" w:hAnsi="Verdana"/>
          <w:sz w:val="20"/>
          <w:szCs w:val="20"/>
        </w:rPr>
      </w:pPr>
      <w:r w:rsidRPr="00996758">
        <w:rPr>
          <w:rFonts w:ascii="Verdana" w:eastAsia="Verdana" w:hAnsi="Verdana" w:cs="Verdana"/>
          <w:spacing w:val="-1"/>
          <w:sz w:val="20"/>
          <w:szCs w:val="20"/>
        </w:rPr>
        <w:t>Eduardo Ferrer Mac-Gregor Poisot, Presidente;</w:t>
      </w:r>
    </w:p>
    <w:p w:rsidR="005B536C" w:rsidRPr="00996758" w:rsidRDefault="005B536C">
      <w:pPr>
        <w:spacing w:after="0" w:line="240" w:lineRule="auto"/>
        <w:ind w:left="720"/>
        <w:jc w:val="both"/>
        <w:rPr>
          <w:rFonts w:ascii="Verdana" w:hAnsi="Verdana"/>
          <w:sz w:val="20"/>
          <w:szCs w:val="20"/>
        </w:rPr>
      </w:pPr>
      <w:r w:rsidRPr="00996758">
        <w:rPr>
          <w:rFonts w:ascii="Verdana" w:eastAsia="Verdana" w:hAnsi="Verdana" w:cs="Verdana"/>
          <w:spacing w:val="-1"/>
          <w:sz w:val="20"/>
          <w:szCs w:val="20"/>
        </w:rPr>
        <w:t xml:space="preserve">Eduardo Vio Grossi, Vicepresidente; </w:t>
      </w:r>
    </w:p>
    <w:p w:rsidR="005B536C" w:rsidRPr="00996758" w:rsidRDefault="005B536C">
      <w:pPr>
        <w:spacing w:after="0" w:line="240" w:lineRule="auto"/>
        <w:ind w:left="720"/>
        <w:jc w:val="both"/>
        <w:rPr>
          <w:rFonts w:ascii="Verdana" w:hAnsi="Verdana"/>
          <w:sz w:val="20"/>
          <w:szCs w:val="20"/>
        </w:rPr>
      </w:pPr>
      <w:r w:rsidRPr="00996758">
        <w:rPr>
          <w:rFonts w:ascii="Verdana" w:eastAsia="Verdana" w:hAnsi="Verdana" w:cs="Verdana"/>
          <w:sz w:val="20"/>
          <w:szCs w:val="20"/>
        </w:rPr>
        <w:t>Elizabeth Odio Benito, jueza;</w:t>
      </w:r>
    </w:p>
    <w:p w:rsidR="005B536C" w:rsidRPr="00996758" w:rsidRDefault="005B536C">
      <w:pPr>
        <w:spacing w:after="0" w:line="240" w:lineRule="auto"/>
        <w:ind w:left="720"/>
        <w:jc w:val="both"/>
        <w:rPr>
          <w:rFonts w:ascii="Verdana" w:hAnsi="Verdana"/>
          <w:sz w:val="20"/>
          <w:szCs w:val="20"/>
        </w:rPr>
      </w:pPr>
      <w:r w:rsidRPr="00996758">
        <w:rPr>
          <w:rFonts w:ascii="Verdana" w:eastAsia="Verdana" w:hAnsi="Verdana" w:cs="Verdana"/>
          <w:sz w:val="20"/>
          <w:szCs w:val="20"/>
        </w:rPr>
        <w:t>Eugenio Raúl Zaffaroni, juez, y</w:t>
      </w:r>
    </w:p>
    <w:p w:rsidR="005B536C" w:rsidRPr="00996758" w:rsidRDefault="005B536C">
      <w:pPr>
        <w:spacing w:after="0" w:line="240" w:lineRule="auto"/>
        <w:ind w:left="720"/>
        <w:jc w:val="both"/>
        <w:rPr>
          <w:rFonts w:ascii="Verdana" w:hAnsi="Verdana"/>
          <w:sz w:val="20"/>
          <w:szCs w:val="20"/>
        </w:rPr>
      </w:pPr>
      <w:r w:rsidRPr="00996758">
        <w:rPr>
          <w:rFonts w:ascii="Verdana" w:eastAsia="Verdana" w:hAnsi="Verdana" w:cs="Verdana"/>
          <w:sz w:val="20"/>
          <w:szCs w:val="20"/>
        </w:rPr>
        <w:t>L. Patricio Pazmiño Freire, juez;</w:t>
      </w:r>
    </w:p>
    <w:p w:rsidR="005B536C" w:rsidRPr="00996758" w:rsidRDefault="005B536C">
      <w:pPr>
        <w:widowControl w:val="0"/>
        <w:tabs>
          <w:tab w:val="left" w:pos="5670"/>
        </w:tabs>
        <w:spacing w:after="0" w:line="240" w:lineRule="auto"/>
        <w:ind w:left="100" w:right="4630"/>
        <w:rPr>
          <w:rFonts w:ascii="Verdana" w:eastAsia="Verdana" w:hAnsi="Verdana" w:cs="Verdana"/>
          <w:sz w:val="20"/>
          <w:szCs w:val="20"/>
        </w:rPr>
      </w:pPr>
    </w:p>
    <w:p w:rsidR="005B536C" w:rsidRPr="00996758" w:rsidRDefault="005B536C">
      <w:pPr>
        <w:spacing w:after="0" w:line="240" w:lineRule="auto"/>
        <w:jc w:val="both"/>
        <w:rPr>
          <w:rFonts w:ascii="Verdana" w:hAnsi="Verdana"/>
          <w:sz w:val="20"/>
          <w:szCs w:val="20"/>
        </w:rPr>
      </w:pPr>
      <w:r w:rsidRPr="00996758">
        <w:rPr>
          <w:rFonts w:ascii="Verdana" w:hAnsi="Verdana"/>
          <w:sz w:val="20"/>
          <w:szCs w:val="20"/>
        </w:rPr>
        <w:t xml:space="preserve">presentes, además, </w:t>
      </w:r>
    </w:p>
    <w:p w:rsidR="005B536C" w:rsidRPr="00996758" w:rsidRDefault="005B536C">
      <w:pPr>
        <w:spacing w:after="0" w:line="240" w:lineRule="auto"/>
        <w:jc w:val="both"/>
        <w:rPr>
          <w:rFonts w:ascii="Verdana" w:hAnsi="Verdana"/>
          <w:sz w:val="20"/>
          <w:szCs w:val="20"/>
        </w:rPr>
      </w:pPr>
    </w:p>
    <w:p w:rsidR="005B536C" w:rsidRPr="00996758" w:rsidRDefault="005B536C">
      <w:pPr>
        <w:spacing w:after="0" w:line="240" w:lineRule="auto"/>
        <w:ind w:left="720"/>
        <w:jc w:val="both"/>
        <w:rPr>
          <w:rFonts w:ascii="Verdana" w:hAnsi="Verdana"/>
          <w:sz w:val="20"/>
          <w:szCs w:val="20"/>
        </w:rPr>
      </w:pPr>
      <w:r w:rsidRPr="00996758">
        <w:rPr>
          <w:rFonts w:ascii="Verdana" w:hAnsi="Verdana"/>
          <w:sz w:val="20"/>
          <w:szCs w:val="20"/>
        </w:rPr>
        <w:t>Pablo Saavedra Alessandri, Secretario, y</w:t>
      </w:r>
    </w:p>
    <w:p w:rsidR="005B536C" w:rsidRPr="00996758" w:rsidRDefault="005B536C">
      <w:pPr>
        <w:spacing w:after="0" w:line="240" w:lineRule="auto"/>
        <w:ind w:left="720"/>
        <w:jc w:val="both"/>
        <w:rPr>
          <w:rFonts w:ascii="Verdana" w:hAnsi="Verdana"/>
          <w:sz w:val="20"/>
          <w:szCs w:val="20"/>
        </w:rPr>
      </w:pPr>
      <w:r w:rsidRPr="00996758">
        <w:rPr>
          <w:rFonts w:ascii="Verdana" w:hAnsi="Verdana"/>
          <w:sz w:val="20"/>
          <w:szCs w:val="20"/>
        </w:rPr>
        <w:t>Emilia Segares Rodríguez, Secretaria Adjunta,</w:t>
      </w:r>
    </w:p>
    <w:p w:rsidR="005B536C" w:rsidRPr="00996758" w:rsidRDefault="005B536C">
      <w:pPr>
        <w:spacing w:after="0" w:line="240" w:lineRule="auto"/>
        <w:jc w:val="both"/>
        <w:rPr>
          <w:rFonts w:ascii="Verdana" w:hAnsi="Verdana"/>
          <w:sz w:val="20"/>
          <w:szCs w:val="20"/>
        </w:rPr>
      </w:pPr>
    </w:p>
    <w:p w:rsidR="005B536C" w:rsidRPr="00996758" w:rsidRDefault="005B536C">
      <w:pPr>
        <w:spacing w:after="0" w:line="240" w:lineRule="auto"/>
        <w:jc w:val="both"/>
        <w:rPr>
          <w:rFonts w:ascii="Verdana" w:hAnsi="Verdana"/>
          <w:sz w:val="20"/>
          <w:szCs w:val="20"/>
        </w:rPr>
      </w:pPr>
      <w:r w:rsidRPr="00996758">
        <w:rPr>
          <w:rFonts w:ascii="Verdana" w:hAnsi="Verdana"/>
          <w:sz w:val="20"/>
          <w:szCs w:val="20"/>
        </w:rPr>
        <w:t>de conformidad con los artículos 62.3 y 63.1 de la Convención Americana sobre Derechos Humanos (en adelante “la Convención” o “la Convención Americana”) y con los artículos 31, 32, 65 y 67 del Reglamento de la Corte (en adelante “el Reglamento”), dicta la presente Sentencia, que se estructura en el siguiente orden:</w:t>
      </w:r>
    </w:p>
    <w:p w:rsidR="005B536C" w:rsidRPr="00996758" w:rsidRDefault="005B536C">
      <w:pPr>
        <w:spacing w:after="0" w:line="240" w:lineRule="auto"/>
        <w:jc w:val="both"/>
        <w:rPr>
          <w:rFonts w:ascii="Verdana" w:hAnsi="Verdana"/>
          <w:sz w:val="20"/>
          <w:szCs w:val="20"/>
        </w:rPr>
      </w:pPr>
    </w:p>
    <w:p w:rsidR="005B536C" w:rsidRPr="00996758" w:rsidRDefault="005B536C">
      <w:pPr>
        <w:spacing w:after="0" w:line="240" w:lineRule="auto"/>
        <w:rPr>
          <w:rFonts w:ascii="Verdana" w:hAnsi="Verdana" w:cs="Times New Roman"/>
          <w:sz w:val="20"/>
          <w:szCs w:val="20"/>
        </w:rPr>
      </w:pPr>
      <w:r w:rsidRPr="00996758">
        <w:rPr>
          <w:rFonts w:ascii="Verdana" w:hAnsi="Verdana" w:cs="Times New Roman"/>
          <w:sz w:val="20"/>
          <w:szCs w:val="20"/>
        </w:rPr>
        <w:br w:type="page"/>
      </w:r>
    </w:p>
    <w:p w:rsidR="005B536C" w:rsidRPr="00996758" w:rsidRDefault="005B536C" w:rsidP="00756418">
      <w:pPr>
        <w:spacing w:line="240" w:lineRule="auto"/>
        <w:jc w:val="center"/>
        <w:rPr>
          <w:rFonts w:ascii="Verdana" w:hAnsi="Verdana"/>
          <w:b/>
          <w:noProof/>
          <w:snapToGrid w:val="0"/>
          <w:sz w:val="20"/>
          <w:szCs w:val="20"/>
          <w:lang w:eastAsia="es-ES"/>
        </w:rPr>
      </w:pPr>
      <w:r w:rsidRPr="00996758">
        <w:rPr>
          <w:rFonts w:ascii="Verdana" w:hAnsi="Verdana"/>
          <w:b/>
          <w:noProof/>
          <w:snapToGrid w:val="0"/>
          <w:sz w:val="20"/>
          <w:szCs w:val="20"/>
          <w:lang w:eastAsia="es-ES"/>
        </w:rPr>
        <w:lastRenderedPageBreak/>
        <w:t>TABLA DE CONTENIDO</w:t>
      </w:r>
    </w:p>
    <w:sdt>
      <w:sdtPr>
        <w:rPr>
          <w:rFonts w:asciiTheme="minorHAnsi" w:hAnsiTheme="minorHAnsi"/>
          <w:b/>
          <w:bCs/>
          <w:noProof w:val="0"/>
          <w:sz w:val="22"/>
          <w:szCs w:val="20"/>
        </w:rPr>
        <w:id w:val="2141462081"/>
        <w:docPartObj>
          <w:docPartGallery w:val="Table of Contents"/>
          <w:docPartUnique/>
        </w:docPartObj>
      </w:sdtPr>
      <w:sdtEndPr>
        <w:rPr>
          <w:b w:val="0"/>
          <w:bCs w:val="0"/>
        </w:rPr>
      </w:sdtEndPr>
      <w:sdtContent>
        <w:p w:rsidR="008F7CFE" w:rsidRPr="00996758" w:rsidRDefault="005B536C">
          <w:pPr>
            <w:pStyle w:val="TOC1"/>
            <w:rPr>
              <w:rFonts w:asciiTheme="minorHAnsi" w:eastAsiaTheme="minorEastAsia" w:hAnsiTheme="minorHAnsi"/>
              <w:sz w:val="22"/>
              <w:lang w:eastAsia="es-CR"/>
            </w:rPr>
          </w:pPr>
          <w:r w:rsidRPr="00996758">
            <w:rPr>
              <w:noProof w:val="0"/>
              <w:szCs w:val="20"/>
            </w:rPr>
            <w:fldChar w:fldCharType="begin"/>
          </w:r>
          <w:r w:rsidRPr="00996758">
            <w:rPr>
              <w:szCs w:val="20"/>
            </w:rPr>
            <w:instrText xml:space="preserve"> TOC \o "1-3" \h \z \u </w:instrText>
          </w:r>
          <w:r w:rsidRPr="00996758">
            <w:rPr>
              <w:noProof w:val="0"/>
              <w:szCs w:val="20"/>
            </w:rPr>
            <w:fldChar w:fldCharType="separate"/>
          </w:r>
          <w:hyperlink w:anchor="_Toc530560051" w:history="1">
            <w:r w:rsidR="008F7CFE" w:rsidRPr="00996758">
              <w:rPr>
                <w:rStyle w:val="Hyperlink"/>
              </w:rPr>
              <w:t>I INTRODUCCIÓN DE LA CAUSA Y OBJETO DE LA CONTROVERSIA</w:t>
            </w:r>
            <w:r w:rsidR="008F7CFE" w:rsidRPr="00996758">
              <w:rPr>
                <w:webHidden/>
              </w:rPr>
              <w:tab/>
            </w:r>
            <w:r w:rsidR="008F7CFE" w:rsidRPr="00996758">
              <w:rPr>
                <w:webHidden/>
              </w:rPr>
              <w:fldChar w:fldCharType="begin"/>
            </w:r>
            <w:r w:rsidR="008F7CFE" w:rsidRPr="00996758">
              <w:rPr>
                <w:webHidden/>
              </w:rPr>
              <w:instrText xml:space="preserve"> PAGEREF _Toc530560051 \h </w:instrText>
            </w:r>
            <w:r w:rsidR="008F7CFE" w:rsidRPr="00996758">
              <w:rPr>
                <w:webHidden/>
              </w:rPr>
            </w:r>
            <w:r w:rsidR="008F7CFE" w:rsidRPr="00996758">
              <w:rPr>
                <w:webHidden/>
              </w:rPr>
              <w:fldChar w:fldCharType="separate"/>
            </w:r>
            <w:r w:rsidR="00C839F0">
              <w:rPr>
                <w:webHidden/>
              </w:rPr>
              <w:t>3</w:t>
            </w:r>
            <w:r w:rsidR="008F7CFE" w:rsidRPr="00996758">
              <w:rPr>
                <w:webHidden/>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52" w:history="1">
            <w:r w:rsidR="008F7CFE" w:rsidRPr="00996758">
              <w:rPr>
                <w:rStyle w:val="Hyperlink"/>
              </w:rPr>
              <w:t>II PROCEDIMIENTO ANTE LA CORTE</w:t>
            </w:r>
            <w:r w:rsidR="008F7CFE" w:rsidRPr="00996758">
              <w:rPr>
                <w:webHidden/>
              </w:rPr>
              <w:tab/>
            </w:r>
            <w:r w:rsidR="008F7CFE" w:rsidRPr="00996758">
              <w:rPr>
                <w:webHidden/>
              </w:rPr>
              <w:fldChar w:fldCharType="begin"/>
            </w:r>
            <w:r w:rsidR="008F7CFE" w:rsidRPr="00996758">
              <w:rPr>
                <w:webHidden/>
              </w:rPr>
              <w:instrText xml:space="preserve"> PAGEREF _Toc530560052 \h </w:instrText>
            </w:r>
            <w:r w:rsidR="008F7CFE" w:rsidRPr="00996758">
              <w:rPr>
                <w:webHidden/>
              </w:rPr>
            </w:r>
            <w:r w:rsidR="008F7CFE" w:rsidRPr="00996758">
              <w:rPr>
                <w:webHidden/>
              </w:rPr>
              <w:fldChar w:fldCharType="separate"/>
            </w:r>
            <w:r>
              <w:rPr>
                <w:webHidden/>
              </w:rPr>
              <w:t>4</w:t>
            </w:r>
            <w:r w:rsidR="008F7CFE" w:rsidRPr="00996758">
              <w:rPr>
                <w:webHidden/>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53" w:history="1">
            <w:r w:rsidR="008F7CFE" w:rsidRPr="00996758">
              <w:rPr>
                <w:rStyle w:val="Hyperlink"/>
              </w:rPr>
              <w:t>III COMPETENCIA</w:t>
            </w:r>
            <w:r w:rsidR="008F7CFE" w:rsidRPr="00996758">
              <w:rPr>
                <w:webHidden/>
              </w:rPr>
              <w:tab/>
            </w:r>
            <w:r w:rsidR="008F7CFE" w:rsidRPr="00996758">
              <w:rPr>
                <w:webHidden/>
              </w:rPr>
              <w:fldChar w:fldCharType="begin"/>
            </w:r>
            <w:r w:rsidR="008F7CFE" w:rsidRPr="00996758">
              <w:rPr>
                <w:webHidden/>
              </w:rPr>
              <w:instrText xml:space="preserve"> PAGEREF _Toc530560053 \h </w:instrText>
            </w:r>
            <w:r w:rsidR="008F7CFE" w:rsidRPr="00996758">
              <w:rPr>
                <w:webHidden/>
              </w:rPr>
            </w:r>
            <w:r w:rsidR="008F7CFE" w:rsidRPr="00996758">
              <w:rPr>
                <w:webHidden/>
              </w:rPr>
              <w:fldChar w:fldCharType="separate"/>
            </w:r>
            <w:r>
              <w:rPr>
                <w:webHidden/>
              </w:rPr>
              <w:t>6</w:t>
            </w:r>
            <w:r w:rsidR="008F7CFE" w:rsidRPr="00996758">
              <w:rPr>
                <w:webHidden/>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54" w:history="1">
            <w:r w:rsidR="008F7CFE" w:rsidRPr="00996758">
              <w:rPr>
                <w:rStyle w:val="Hyperlink"/>
              </w:rPr>
              <w:t>IV RECONOCIMIENTO DE RESPONSABILIDAD INTERNACIONAL DEL ESTADO</w:t>
            </w:r>
            <w:r w:rsidR="008F7CFE" w:rsidRPr="00996758">
              <w:rPr>
                <w:webHidden/>
              </w:rPr>
              <w:tab/>
            </w:r>
            <w:r w:rsidR="008F7CFE" w:rsidRPr="00996758">
              <w:rPr>
                <w:webHidden/>
              </w:rPr>
              <w:fldChar w:fldCharType="begin"/>
            </w:r>
            <w:r w:rsidR="008F7CFE" w:rsidRPr="00996758">
              <w:rPr>
                <w:webHidden/>
              </w:rPr>
              <w:instrText xml:space="preserve"> PAGEREF _Toc530560054 \h </w:instrText>
            </w:r>
            <w:r w:rsidR="008F7CFE" w:rsidRPr="00996758">
              <w:rPr>
                <w:webHidden/>
              </w:rPr>
            </w:r>
            <w:r w:rsidR="008F7CFE" w:rsidRPr="00996758">
              <w:rPr>
                <w:webHidden/>
              </w:rPr>
              <w:fldChar w:fldCharType="separate"/>
            </w:r>
            <w:r>
              <w:rPr>
                <w:webHidden/>
              </w:rPr>
              <w:t>6</w:t>
            </w:r>
            <w:r w:rsidR="008F7CFE" w:rsidRPr="00996758">
              <w:rPr>
                <w:webHidden/>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55" w:history="1">
            <w:r w:rsidR="008F7CFE" w:rsidRPr="00996758">
              <w:rPr>
                <w:rStyle w:val="Hyperlink"/>
                <w:sz w:val="18"/>
                <w:lang w:val="es-CR"/>
              </w:rPr>
              <w:t>A.</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Acto de reconocimiento y observaciones de la Comisión y de los representantes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_Toc530560055 \h </w:instrText>
            </w:r>
            <w:r w:rsidR="008F7CFE" w:rsidRPr="00996758">
              <w:rPr>
                <w:webHidden/>
                <w:sz w:val="18"/>
                <w:lang w:val="es-CR"/>
              </w:rPr>
            </w:r>
            <w:r w:rsidR="008F7CFE" w:rsidRPr="00996758">
              <w:rPr>
                <w:webHidden/>
                <w:sz w:val="18"/>
                <w:lang w:val="es-CR"/>
              </w:rPr>
              <w:fldChar w:fldCharType="separate"/>
            </w:r>
            <w:r>
              <w:rPr>
                <w:webHidden/>
                <w:sz w:val="18"/>
                <w:lang w:val="es-CR"/>
              </w:rPr>
              <w:t>6</w:t>
            </w:r>
            <w:r w:rsidR="008F7CFE" w:rsidRPr="00996758">
              <w:rPr>
                <w:webHidden/>
                <w:sz w:val="18"/>
                <w:lang w:val="es-CR"/>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56" w:history="1">
            <w:r w:rsidR="008F7CFE" w:rsidRPr="00996758">
              <w:rPr>
                <w:rStyle w:val="Hyperlink"/>
                <w:sz w:val="18"/>
                <w:lang w:val="es-CR"/>
              </w:rPr>
              <w:t>B.</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Consideraciones de la Corte</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_Toc530560056 \h </w:instrText>
            </w:r>
            <w:r w:rsidR="008F7CFE" w:rsidRPr="00996758">
              <w:rPr>
                <w:webHidden/>
                <w:sz w:val="18"/>
                <w:lang w:val="es-CR"/>
              </w:rPr>
            </w:r>
            <w:r w:rsidR="008F7CFE" w:rsidRPr="00996758">
              <w:rPr>
                <w:webHidden/>
                <w:sz w:val="18"/>
                <w:lang w:val="es-CR"/>
              </w:rPr>
              <w:fldChar w:fldCharType="separate"/>
            </w:r>
            <w:r>
              <w:rPr>
                <w:webHidden/>
                <w:sz w:val="18"/>
                <w:lang w:val="es-CR"/>
              </w:rPr>
              <w:t>8</w:t>
            </w:r>
            <w:r w:rsidR="008F7CFE" w:rsidRPr="00996758">
              <w:rPr>
                <w:webHidden/>
                <w:sz w:val="18"/>
                <w:lang w:val="es-CR"/>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57" w:history="1">
            <w:r w:rsidR="00F869E2" w:rsidRPr="00996758">
              <w:rPr>
                <w:rStyle w:val="Hyperlink"/>
              </w:rPr>
              <w:t>V CONSIDERACIÓ</w:t>
            </w:r>
            <w:r w:rsidR="008F7CFE" w:rsidRPr="00996758">
              <w:rPr>
                <w:rStyle w:val="Hyperlink"/>
              </w:rPr>
              <w:t>N PREVIA</w:t>
            </w:r>
            <w:r w:rsidR="008F7CFE" w:rsidRPr="00996758">
              <w:rPr>
                <w:webHidden/>
              </w:rPr>
              <w:tab/>
            </w:r>
            <w:r w:rsidR="008F7CFE" w:rsidRPr="00996758">
              <w:rPr>
                <w:webHidden/>
              </w:rPr>
              <w:fldChar w:fldCharType="begin"/>
            </w:r>
            <w:r w:rsidR="008F7CFE" w:rsidRPr="00996758">
              <w:rPr>
                <w:webHidden/>
              </w:rPr>
              <w:instrText xml:space="preserve"> PAGEREF _Toc530560057 \h </w:instrText>
            </w:r>
            <w:r w:rsidR="008F7CFE" w:rsidRPr="00996758">
              <w:rPr>
                <w:webHidden/>
              </w:rPr>
            </w:r>
            <w:r w:rsidR="008F7CFE" w:rsidRPr="00996758">
              <w:rPr>
                <w:webHidden/>
              </w:rPr>
              <w:fldChar w:fldCharType="separate"/>
            </w:r>
            <w:r>
              <w:rPr>
                <w:webHidden/>
              </w:rPr>
              <w:t>10</w:t>
            </w:r>
            <w:r w:rsidR="008F7CFE" w:rsidRPr="00996758">
              <w:rPr>
                <w:webHidden/>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58" w:history="1">
            <w:r w:rsidR="008F7CFE" w:rsidRPr="00996758">
              <w:rPr>
                <w:rStyle w:val="Hyperlink"/>
              </w:rPr>
              <w:t>VI PRUEBA</w:t>
            </w:r>
            <w:r w:rsidR="008F7CFE" w:rsidRPr="00996758">
              <w:rPr>
                <w:webHidden/>
              </w:rPr>
              <w:tab/>
            </w:r>
            <w:r w:rsidR="008F7CFE" w:rsidRPr="00996758">
              <w:rPr>
                <w:webHidden/>
              </w:rPr>
              <w:fldChar w:fldCharType="begin"/>
            </w:r>
            <w:r w:rsidR="008F7CFE" w:rsidRPr="00996758">
              <w:rPr>
                <w:webHidden/>
              </w:rPr>
              <w:instrText xml:space="preserve"> PAGEREF _Toc530560058 \h </w:instrText>
            </w:r>
            <w:r w:rsidR="008F7CFE" w:rsidRPr="00996758">
              <w:rPr>
                <w:webHidden/>
              </w:rPr>
            </w:r>
            <w:r w:rsidR="008F7CFE" w:rsidRPr="00996758">
              <w:rPr>
                <w:webHidden/>
              </w:rPr>
              <w:fldChar w:fldCharType="separate"/>
            </w:r>
            <w:r>
              <w:rPr>
                <w:webHidden/>
              </w:rPr>
              <w:t>11</w:t>
            </w:r>
            <w:r w:rsidR="008F7CFE" w:rsidRPr="00996758">
              <w:rPr>
                <w:webHidden/>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59" w:history="1">
            <w:r w:rsidR="008F7CFE" w:rsidRPr="00996758">
              <w:rPr>
                <w:rStyle w:val="Hyperlink"/>
                <w:sz w:val="18"/>
                <w:lang w:val="es-CR"/>
              </w:rPr>
              <w:t>A.</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Admisibilidad de la prueba documental</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_Toc530560059 \h </w:instrText>
            </w:r>
            <w:r w:rsidR="008F7CFE" w:rsidRPr="00996758">
              <w:rPr>
                <w:webHidden/>
                <w:sz w:val="18"/>
                <w:lang w:val="es-CR"/>
              </w:rPr>
            </w:r>
            <w:r w:rsidR="008F7CFE" w:rsidRPr="00996758">
              <w:rPr>
                <w:webHidden/>
                <w:sz w:val="18"/>
                <w:lang w:val="es-CR"/>
              </w:rPr>
              <w:fldChar w:fldCharType="separate"/>
            </w:r>
            <w:r>
              <w:rPr>
                <w:webHidden/>
                <w:sz w:val="18"/>
                <w:lang w:val="es-CR"/>
              </w:rPr>
              <w:t>11</w:t>
            </w:r>
            <w:r w:rsidR="008F7CFE" w:rsidRPr="00996758">
              <w:rPr>
                <w:webHidden/>
                <w:sz w:val="18"/>
                <w:lang w:val="es-CR"/>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60" w:history="1">
            <w:r w:rsidR="008F7CFE" w:rsidRPr="00996758">
              <w:rPr>
                <w:rStyle w:val="Hyperlink"/>
                <w:sz w:val="18"/>
                <w:lang w:val="es-CR"/>
              </w:rPr>
              <w:t>B.</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Admisibilidad de la prueba testimonial y pericial</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_Toc530560060 \h </w:instrText>
            </w:r>
            <w:r w:rsidR="008F7CFE" w:rsidRPr="00996758">
              <w:rPr>
                <w:webHidden/>
                <w:sz w:val="18"/>
                <w:lang w:val="es-CR"/>
              </w:rPr>
            </w:r>
            <w:r w:rsidR="008F7CFE" w:rsidRPr="00996758">
              <w:rPr>
                <w:webHidden/>
                <w:sz w:val="18"/>
                <w:lang w:val="es-CR"/>
              </w:rPr>
              <w:fldChar w:fldCharType="separate"/>
            </w:r>
            <w:r>
              <w:rPr>
                <w:webHidden/>
                <w:sz w:val="18"/>
                <w:lang w:val="es-CR"/>
              </w:rPr>
              <w:t>12</w:t>
            </w:r>
            <w:r w:rsidR="008F7CFE" w:rsidRPr="00996758">
              <w:rPr>
                <w:webHidden/>
                <w:sz w:val="18"/>
                <w:lang w:val="es-CR"/>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61" w:history="1">
            <w:r w:rsidR="008F7CFE" w:rsidRPr="00996758">
              <w:rPr>
                <w:rStyle w:val="Hyperlink"/>
              </w:rPr>
              <w:t xml:space="preserve">VII </w:t>
            </w:r>
            <w:r w:rsidR="00FC3BE9" w:rsidRPr="00996758">
              <w:rPr>
                <w:rStyle w:val="Hyperlink"/>
              </w:rPr>
              <w:t>HECHOS</w:t>
            </w:r>
            <w:r w:rsidR="008F7CFE" w:rsidRPr="00996758">
              <w:rPr>
                <w:webHidden/>
              </w:rPr>
              <w:tab/>
            </w:r>
            <w:r w:rsidR="008F7CFE" w:rsidRPr="00996758">
              <w:rPr>
                <w:webHidden/>
              </w:rPr>
              <w:fldChar w:fldCharType="begin"/>
            </w:r>
            <w:r w:rsidR="008F7CFE" w:rsidRPr="00996758">
              <w:rPr>
                <w:webHidden/>
              </w:rPr>
              <w:instrText xml:space="preserve"> PAGEREF _Toc530560061 \h </w:instrText>
            </w:r>
            <w:r w:rsidR="008F7CFE" w:rsidRPr="00996758">
              <w:rPr>
                <w:webHidden/>
              </w:rPr>
            </w:r>
            <w:r w:rsidR="008F7CFE" w:rsidRPr="00996758">
              <w:rPr>
                <w:webHidden/>
              </w:rPr>
              <w:fldChar w:fldCharType="separate"/>
            </w:r>
            <w:r>
              <w:rPr>
                <w:webHidden/>
              </w:rPr>
              <w:t>13</w:t>
            </w:r>
            <w:r w:rsidR="008F7CFE" w:rsidRPr="00996758">
              <w:rPr>
                <w:webHidden/>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62" w:history="1">
            <w:r w:rsidR="008F7CFE" w:rsidRPr="00996758">
              <w:rPr>
                <w:rStyle w:val="Hyperlink"/>
                <w:smallCaps/>
                <w:sz w:val="18"/>
                <w:lang w:val="es-CR"/>
              </w:rPr>
              <w:t>A.</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mallCaps/>
                <w:sz w:val="18"/>
                <w:lang w:val="es-CR"/>
              </w:rPr>
              <w:t>Contexto: Magdalena Medio, Puerto Nare y conflictividad</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_Toc530560062 \h </w:instrText>
            </w:r>
            <w:r w:rsidR="008F7CFE" w:rsidRPr="00996758">
              <w:rPr>
                <w:webHidden/>
                <w:sz w:val="18"/>
                <w:lang w:val="es-CR"/>
              </w:rPr>
            </w:r>
            <w:r w:rsidR="008F7CFE" w:rsidRPr="00996758">
              <w:rPr>
                <w:webHidden/>
                <w:sz w:val="18"/>
                <w:lang w:val="es-CR"/>
              </w:rPr>
              <w:fldChar w:fldCharType="separate"/>
            </w:r>
            <w:r>
              <w:rPr>
                <w:webHidden/>
                <w:sz w:val="18"/>
                <w:lang w:val="es-CR"/>
              </w:rPr>
              <w:t>13</w:t>
            </w:r>
            <w:r w:rsidR="008F7CFE" w:rsidRPr="00996758">
              <w:rPr>
                <w:webHidden/>
                <w:sz w:val="18"/>
                <w:lang w:val="es-CR"/>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63" w:history="1">
            <w:r w:rsidR="008F7CFE" w:rsidRPr="00996758">
              <w:rPr>
                <w:rStyle w:val="Hyperlink"/>
                <w:smallCaps/>
                <w:sz w:val="18"/>
                <w:lang w:val="es-CR"/>
              </w:rPr>
              <w:t>B.</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mallCaps/>
                <w:sz w:val="18"/>
                <w:lang w:val="es-CR"/>
              </w:rPr>
              <w:t>Desaparición de Víctor Manuel Isaza Uribe</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_Toc530560063 \h </w:instrText>
            </w:r>
            <w:r w:rsidR="008F7CFE" w:rsidRPr="00996758">
              <w:rPr>
                <w:webHidden/>
                <w:sz w:val="18"/>
                <w:lang w:val="es-CR"/>
              </w:rPr>
            </w:r>
            <w:r w:rsidR="008F7CFE" w:rsidRPr="00996758">
              <w:rPr>
                <w:webHidden/>
                <w:sz w:val="18"/>
                <w:lang w:val="es-CR"/>
              </w:rPr>
              <w:fldChar w:fldCharType="separate"/>
            </w:r>
            <w:r>
              <w:rPr>
                <w:webHidden/>
                <w:sz w:val="18"/>
                <w:lang w:val="es-CR"/>
              </w:rPr>
              <w:t>17</w:t>
            </w:r>
            <w:r w:rsidR="008F7CFE" w:rsidRPr="00996758">
              <w:rPr>
                <w:webHidden/>
                <w:sz w:val="18"/>
                <w:lang w:val="es-CR"/>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64" w:history="1">
            <w:r w:rsidR="008F7CFE" w:rsidRPr="00996758">
              <w:rPr>
                <w:rStyle w:val="Hyperlink"/>
                <w:smallCaps/>
                <w:sz w:val="18"/>
                <w:lang w:val="es-CR"/>
              </w:rPr>
              <w:t>C.</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mallCaps/>
                <w:sz w:val="18"/>
                <w:lang w:val="es-CR"/>
              </w:rPr>
              <w:t>Investigaciones y procesos internos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_Toc530560064 \h </w:instrText>
            </w:r>
            <w:r w:rsidR="008F7CFE" w:rsidRPr="00996758">
              <w:rPr>
                <w:webHidden/>
                <w:sz w:val="18"/>
                <w:lang w:val="es-CR"/>
              </w:rPr>
            </w:r>
            <w:r w:rsidR="008F7CFE" w:rsidRPr="00996758">
              <w:rPr>
                <w:webHidden/>
                <w:sz w:val="18"/>
                <w:lang w:val="es-CR"/>
              </w:rPr>
              <w:fldChar w:fldCharType="separate"/>
            </w:r>
            <w:r>
              <w:rPr>
                <w:webHidden/>
                <w:sz w:val="18"/>
                <w:lang w:val="es-CR"/>
              </w:rPr>
              <w:t>18</w:t>
            </w:r>
            <w:r w:rsidR="008F7CFE" w:rsidRPr="00996758">
              <w:rPr>
                <w:webHidden/>
                <w:sz w:val="18"/>
                <w:lang w:val="es-CR"/>
              </w:rPr>
              <w:fldChar w:fldCharType="end"/>
            </w:r>
          </w:hyperlink>
        </w:p>
        <w:p w:rsidR="008F7CFE" w:rsidRPr="00996758" w:rsidRDefault="00C839F0" w:rsidP="00FC3BE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65" w:history="1">
            <w:r w:rsidR="008F7CFE" w:rsidRPr="00996758">
              <w:rPr>
                <w:rStyle w:val="Hyperlink"/>
                <w:smallCaps/>
                <w:sz w:val="18"/>
                <w:lang w:val="es-CR"/>
              </w:rPr>
              <w:t>D.</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mallCaps/>
                <w:sz w:val="18"/>
                <w:lang w:val="es-CR"/>
              </w:rPr>
              <w:t>Informe del Centro Nacional de Memoria Histórica</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_Toc530560065 \h </w:instrText>
            </w:r>
            <w:r w:rsidR="008F7CFE" w:rsidRPr="00996758">
              <w:rPr>
                <w:webHidden/>
                <w:sz w:val="18"/>
                <w:lang w:val="es-CR"/>
              </w:rPr>
            </w:r>
            <w:r w:rsidR="008F7CFE" w:rsidRPr="00996758">
              <w:rPr>
                <w:webHidden/>
                <w:sz w:val="18"/>
                <w:lang w:val="es-CR"/>
              </w:rPr>
              <w:fldChar w:fldCharType="separate"/>
            </w:r>
            <w:r>
              <w:rPr>
                <w:webHidden/>
                <w:sz w:val="18"/>
                <w:lang w:val="es-CR"/>
              </w:rPr>
              <w:t>20</w:t>
            </w:r>
            <w:r w:rsidR="008F7CFE" w:rsidRPr="00996758">
              <w:rPr>
                <w:webHidden/>
                <w:sz w:val="18"/>
                <w:lang w:val="es-CR"/>
              </w:rPr>
              <w:fldChar w:fldCharType="end"/>
            </w:r>
          </w:hyperlink>
        </w:p>
        <w:p w:rsidR="00FC3BE9" w:rsidRPr="00996758" w:rsidRDefault="00FC3BE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66" w:history="1">
            <w:r w:rsidR="008F7CFE" w:rsidRPr="00996758">
              <w:rPr>
                <w:rStyle w:val="Hyperlink"/>
              </w:rPr>
              <w:t>VIII FONDO</w:t>
            </w:r>
            <w:r w:rsidR="008F7CFE" w:rsidRPr="00996758">
              <w:rPr>
                <w:webHidden/>
              </w:rPr>
              <w:tab/>
            </w:r>
            <w:r w:rsidR="008F7CFE" w:rsidRPr="00996758">
              <w:rPr>
                <w:webHidden/>
              </w:rPr>
              <w:fldChar w:fldCharType="begin"/>
            </w:r>
            <w:r w:rsidR="008F7CFE" w:rsidRPr="00996758">
              <w:rPr>
                <w:webHidden/>
              </w:rPr>
              <w:instrText xml:space="preserve"> PAGEREF _Toc530560066 \h </w:instrText>
            </w:r>
            <w:r w:rsidR="008F7CFE" w:rsidRPr="00996758">
              <w:rPr>
                <w:webHidden/>
              </w:rPr>
            </w:r>
            <w:r w:rsidR="008F7CFE" w:rsidRPr="00996758">
              <w:rPr>
                <w:webHidden/>
              </w:rPr>
              <w:fldChar w:fldCharType="separate"/>
            </w:r>
            <w:r>
              <w:rPr>
                <w:webHidden/>
              </w:rPr>
              <w:t>21</w:t>
            </w:r>
            <w:r w:rsidR="008F7CFE" w:rsidRPr="00996758">
              <w:rPr>
                <w:webHidden/>
              </w:rPr>
              <w:fldChar w:fldCharType="end"/>
            </w:r>
          </w:hyperlink>
        </w:p>
        <w:p w:rsidR="00332C49" w:rsidRPr="00996758" w:rsidRDefault="00332C49">
          <w:pPr>
            <w:pStyle w:val="TOC1"/>
            <w:rPr>
              <w:rStyle w:val="Hyperlink"/>
            </w:rPr>
          </w:pPr>
        </w:p>
        <w:p w:rsidR="008F7CFE" w:rsidRPr="00996758" w:rsidRDefault="00C839F0" w:rsidP="00332C49">
          <w:pPr>
            <w:pStyle w:val="TOC1"/>
            <w:ind w:left="284"/>
            <w:rPr>
              <w:rFonts w:asciiTheme="minorHAnsi" w:eastAsiaTheme="minorEastAsia" w:hAnsiTheme="minorHAnsi"/>
              <w:lang w:eastAsia="es-CR"/>
            </w:rPr>
          </w:pPr>
          <w:hyperlink w:anchor="_Toc530560067" w:history="1">
            <w:r w:rsidR="008F7CFE" w:rsidRPr="00996758">
              <w:rPr>
                <w:rStyle w:val="Hyperlink"/>
                <w:sz w:val="18"/>
              </w:rPr>
              <w:t>V</w:t>
            </w:r>
            <w:r w:rsidR="00332C49" w:rsidRPr="00996758">
              <w:rPr>
                <w:rStyle w:val="Hyperlink"/>
                <w:sz w:val="18"/>
              </w:rPr>
              <w:t>I</w:t>
            </w:r>
            <w:r w:rsidR="008F7CFE" w:rsidRPr="00996758">
              <w:rPr>
                <w:rStyle w:val="Hyperlink"/>
                <w:sz w:val="18"/>
              </w:rPr>
              <w:t>II.1 DERECHOS AL RECONOCIMIENTO DE LA PERSONALIDAD JURÍDICA, A LA VIDA, A LA INTEGRIDAD PERSONAL Y A LA LIBERTAD PERSONAL (ARTÍCULOS 1.1, 2, 3, 4, 5 y 7 DE LA CONVENCIÓN AMERICANA y I.A) DE LA CONVENCIÓN INTERAMERICANA SOBRE DESAPARICIÓN FORZADA DE PERSONAS) –</w:t>
            </w:r>
            <w:r w:rsidR="008F7CFE" w:rsidRPr="00996758">
              <w:rPr>
                <w:webHidden/>
                <w:sz w:val="18"/>
              </w:rPr>
              <w:tab/>
            </w:r>
            <w:r w:rsidR="008F7CFE" w:rsidRPr="00996758">
              <w:rPr>
                <w:webHidden/>
                <w:sz w:val="18"/>
              </w:rPr>
              <w:fldChar w:fldCharType="begin"/>
            </w:r>
            <w:r w:rsidR="008F7CFE" w:rsidRPr="00996758">
              <w:rPr>
                <w:webHidden/>
                <w:sz w:val="18"/>
              </w:rPr>
              <w:instrText xml:space="preserve"> PAGEREF _Toc530560067 \h </w:instrText>
            </w:r>
            <w:r w:rsidR="008F7CFE" w:rsidRPr="00996758">
              <w:rPr>
                <w:webHidden/>
                <w:sz w:val="18"/>
              </w:rPr>
            </w:r>
            <w:r w:rsidR="008F7CFE" w:rsidRPr="00996758">
              <w:rPr>
                <w:webHidden/>
                <w:sz w:val="18"/>
              </w:rPr>
              <w:fldChar w:fldCharType="separate"/>
            </w:r>
            <w:r>
              <w:rPr>
                <w:webHidden/>
                <w:sz w:val="18"/>
              </w:rPr>
              <w:t>21</w:t>
            </w:r>
            <w:r w:rsidR="008F7CFE" w:rsidRPr="00996758">
              <w:rPr>
                <w:webHidden/>
                <w:sz w:val="18"/>
              </w:rPr>
              <w:fldChar w:fldCharType="end"/>
            </w:r>
          </w:hyperlink>
        </w:p>
        <w:p w:rsidR="00332C49" w:rsidRPr="00996758" w:rsidRDefault="00332C49" w:rsidP="00332C49">
          <w:pPr>
            <w:pStyle w:val="TOC1"/>
            <w:ind w:left="284"/>
            <w:rPr>
              <w:rStyle w:val="Hyperlink"/>
              <w:sz w:val="18"/>
            </w:rPr>
          </w:pPr>
        </w:p>
        <w:p w:rsidR="008F7CFE" w:rsidRPr="00996758" w:rsidRDefault="00C839F0" w:rsidP="00332C49">
          <w:pPr>
            <w:pStyle w:val="TOC1"/>
            <w:ind w:left="284"/>
            <w:rPr>
              <w:rFonts w:asciiTheme="minorHAnsi" w:eastAsiaTheme="minorEastAsia" w:hAnsiTheme="minorHAnsi"/>
              <w:lang w:eastAsia="es-CR"/>
            </w:rPr>
          </w:pPr>
          <w:hyperlink w:anchor="_Toc530560068" w:history="1">
            <w:r w:rsidR="00332C49" w:rsidRPr="00996758">
              <w:rPr>
                <w:rStyle w:val="Hyperlink"/>
                <w:sz w:val="18"/>
              </w:rPr>
              <w:t>VI</w:t>
            </w:r>
            <w:r w:rsidR="008F7CFE" w:rsidRPr="00996758">
              <w:rPr>
                <w:rStyle w:val="Hyperlink"/>
                <w:sz w:val="18"/>
              </w:rPr>
              <w:t>II.2 DERECHOS A LAS GARANTÍAS JUDICIALES Y A LA PROTECCIÓN JUDICIAL  (ARTÍCULOS 1.1, 8.1 y 25 DE LA CONVENCIÓN AMERICANA)</w:t>
            </w:r>
            <w:r w:rsidR="008F7CFE" w:rsidRPr="00996758">
              <w:rPr>
                <w:webHidden/>
                <w:sz w:val="18"/>
              </w:rPr>
              <w:tab/>
            </w:r>
            <w:r w:rsidR="008F7CFE" w:rsidRPr="00996758">
              <w:rPr>
                <w:webHidden/>
                <w:sz w:val="18"/>
              </w:rPr>
              <w:fldChar w:fldCharType="begin"/>
            </w:r>
            <w:r w:rsidR="008F7CFE" w:rsidRPr="00996758">
              <w:rPr>
                <w:webHidden/>
                <w:sz w:val="18"/>
              </w:rPr>
              <w:instrText xml:space="preserve"> PAGEREF _Toc530560068 \h </w:instrText>
            </w:r>
            <w:r w:rsidR="008F7CFE" w:rsidRPr="00996758">
              <w:rPr>
                <w:webHidden/>
                <w:sz w:val="18"/>
              </w:rPr>
            </w:r>
            <w:r w:rsidR="008F7CFE" w:rsidRPr="00996758">
              <w:rPr>
                <w:webHidden/>
                <w:sz w:val="18"/>
              </w:rPr>
              <w:fldChar w:fldCharType="separate"/>
            </w:r>
            <w:r>
              <w:rPr>
                <w:webHidden/>
                <w:sz w:val="18"/>
              </w:rPr>
              <w:t>43</w:t>
            </w:r>
            <w:r w:rsidR="008F7CFE" w:rsidRPr="00996758">
              <w:rPr>
                <w:webHidden/>
                <w:sz w:val="18"/>
              </w:rPr>
              <w:fldChar w:fldCharType="end"/>
            </w:r>
          </w:hyperlink>
        </w:p>
        <w:p w:rsidR="00332C49" w:rsidRPr="00996758" w:rsidRDefault="00332C49" w:rsidP="00332C49">
          <w:pPr>
            <w:pStyle w:val="TOC1"/>
            <w:ind w:left="284"/>
            <w:rPr>
              <w:rStyle w:val="Hyperlink"/>
              <w:sz w:val="18"/>
            </w:rPr>
          </w:pPr>
        </w:p>
        <w:p w:rsidR="008F7CFE" w:rsidRPr="00996758" w:rsidRDefault="00C839F0" w:rsidP="00332C49">
          <w:pPr>
            <w:pStyle w:val="TOC1"/>
            <w:ind w:left="284"/>
            <w:rPr>
              <w:rFonts w:asciiTheme="minorHAnsi" w:eastAsiaTheme="minorEastAsia" w:hAnsiTheme="minorHAnsi"/>
              <w:lang w:eastAsia="es-CR"/>
            </w:rPr>
          </w:pPr>
          <w:hyperlink w:anchor="_Toc530560069" w:history="1">
            <w:r w:rsidR="008F7CFE" w:rsidRPr="00996758">
              <w:rPr>
                <w:rStyle w:val="Hyperlink"/>
                <w:sz w:val="18"/>
              </w:rPr>
              <w:t>V</w:t>
            </w:r>
            <w:r w:rsidR="00332C49" w:rsidRPr="00996758">
              <w:rPr>
                <w:rStyle w:val="Hyperlink"/>
                <w:sz w:val="18"/>
              </w:rPr>
              <w:t>I</w:t>
            </w:r>
            <w:r w:rsidR="008F7CFE" w:rsidRPr="00996758">
              <w:rPr>
                <w:rStyle w:val="Hyperlink"/>
                <w:sz w:val="18"/>
              </w:rPr>
              <w:t>II.3 DERECHO A LA INTEGRIDAD PERSONAL DE LOS FAMILIARES (ARTÍCULO 5 DE LA CONVENCIÓN)</w:t>
            </w:r>
            <w:r w:rsidR="008F7CFE" w:rsidRPr="00996758">
              <w:rPr>
                <w:webHidden/>
                <w:sz w:val="18"/>
              </w:rPr>
              <w:tab/>
            </w:r>
            <w:r w:rsidR="008F7CFE" w:rsidRPr="00996758">
              <w:rPr>
                <w:webHidden/>
                <w:sz w:val="18"/>
              </w:rPr>
              <w:fldChar w:fldCharType="begin"/>
            </w:r>
            <w:r w:rsidR="008F7CFE" w:rsidRPr="00996758">
              <w:rPr>
                <w:webHidden/>
                <w:sz w:val="18"/>
              </w:rPr>
              <w:instrText xml:space="preserve"> PAGEREF _Toc530560069 \h </w:instrText>
            </w:r>
            <w:r w:rsidR="008F7CFE" w:rsidRPr="00996758">
              <w:rPr>
                <w:webHidden/>
                <w:sz w:val="18"/>
              </w:rPr>
            </w:r>
            <w:r w:rsidR="008F7CFE" w:rsidRPr="00996758">
              <w:rPr>
                <w:webHidden/>
                <w:sz w:val="18"/>
              </w:rPr>
              <w:fldChar w:fldCharType="separate"/>
            </w:r>
            <w:r>
              <w:rPr>
                <w:webHidden/>
                <w:sz w:val="18"/>
              </w:rPr>
              <w:t>47</w:t>
            </w:r>
            <w:r w:rsidR="008F7CFE" w:rsidRPr="00996758">
              <w:rPr>
                <w:webHidden/>
                <w:sz w:val="18"/>
              </w:rPr>
              <w:fldChar w:fldCharType="end"/>
            </w:r>
          </w:hyperlink>
        </w:p>
        <w:p w:rsidR="00332C49" w:rsidRPr="00996758" w:rsidRDefault="00332C4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70" w:history="1">
            <w:r w:rsidR="008F7CFE" w:rsidRPr="00996758">
              <w:rPr>
                <w:rStyle w:val="Hyperlink"/>
              </w:rPr>
              <w:t>IX REPARACIONES</w:t>
            </w:r>
            <w:r w:rsidR="008F7CFE" w:rsidRPr="00996758">
              <w:rPr>
                <w:webHidden/>
              </w:rPr>
              <w:tab/>
            </w:r>
            <w:r w:rsidR="008F7CFE" w:rsidRPr="00996758">
              <w:rPr>
                <w:webHidden/>
              </w:rPr>
              <w:fldChar w:fldCharType="begin"/>
            </w:r>
            <w:r w:rsidR="008F7CFE" w:rsidRPr="00996758">
              <w:rPr>
                <w:webHidden/>
              </w:rPr>
              <w:instrText xml:space="preserve"> PAGEREF _Toc530560070 \h </w:instrText>
            </w:r>
            <w:r w:rsidR="008F7CFE" w:rsidRPr="00996758">
              <w:rPr>
                <w:webHidden/>
              </w:rPr>
            </w:r>
            <w:r w:rsidR="008F7CFE" w:rsidRPr="00996758">
              <w:rPr>
                <w:webHidden/>
              </w:rPr>
              <w:fldChar w:fldCharType="separate"/>
            </w:r>
            <w:r>
              <w:rPr>
                <w:webHidden/>
              </w:rPr>
              <w:t>49</w:t>
            </w:r>
            <w:r w:rsidR="008F7CFE" w:rsidRPr="00996758">
              <w:rPr>
                <w:webHidden/>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1" w:history="1">
            <w:r w:rsidR="008F7CFE" w:rsidRPr="00996758">
              <w:rPr>
                <w:rStyle w:val="Hyperlink"/>
                <w:sz w:val="18"/>
                <w:lang w:val="es-CR"/>
              </w:rPr>
              <w:t>A.</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Parte lesionada</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_Toc530560071 \h </w:instrText>
            </w:r>
            <w:r w:rsidR="008F7CFE" w:rsidRPr="00996758">
              <w:rPr>
                <w:webHidden/>
                <w:sz w:val="18"/>
                <w:lang w:val="es-CR"/>
              </w:rPr>
            </w:r>
            <w:r w:rsidR="008F7CFE" w:rsidRPr="00996758">
              <w:rPr>
                <w:webHidden/>
                <w:sz w:val="18"/>
                <w:lang w:val="es-CR"/>
              </w:rPr>
              <w:fldChar w:fldCharType="separate"/>
            </w:r>
            <w:r>
              <w:rPr>
                <w:webHidden/>
                <w:sz w:val="18"/>
                <w:lang w:val="es-CR"/>
              </w:rPr>
              <w:t>50</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2" w:history="1">
            <w:r w:rsidR="008F7CFE" w:rsidRPr="00996758">
              <w:rPr>
                <w:rStyle w:val="Hyperlink"/>
                <w:sz w:val="18"/>
                <w:lang w:val="es-CR"/>
              </w:rPr>
              <w:t>B.</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Obligación de investigar</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_Toc530560072 \h </w:instrText>
            </w:r>
            <w:r w:rsidR="008F7CFE" w:rsidRPr="00996758">
              <w:rPr>
                <w:webHidden/>
                <w:sz w:val="18"/>
                <w:lang w:val="es-CR"/>
              </w:rPr>
            </w:r>
            <w:r w:rsidR="008F7CFE" w:rsidRPr="00996758">
              <w:rPr>
                <w:webHidden/>
                <w:sz w:val="18"/>
                <w:lang w:val="es-CR"/>
              </w:rPr>
              <w:fldChar w:fldCharType="separate"/>
            </w:r>
            <w:r>
              <w:rPr>
                <w:webHidden/>
                <w:sz w:val="18"/>
                <w:lang w:val="es-CR"/>
              </w:rPr>
              <w:t>50</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3" w:history="1">
            <w:r w:rsidR="008F7CFE" w:rsidRPr="00996758">
              <w:rPr>
                <w:rStyle w:val="Hyperlink"/>
                <w:sz w:val="18"/>
                <w:lang w:val="es-CR"/>
              </w:rPr>
              <w:t>C.</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Medida de rehabilitación</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_Toc530560073 \h </w:instrText>
            </w:r>
            <w:r w:rsidR="008F7CFE" w:rsidRPr="00996758">
              <w:rPr>
                <w:webHidden/>
                <w:sz w:val="18"/>
                <w:lang w:val="es-CR"/>
              </w:rPr>
            </w:r>
            <w:r w:rsidR="008F7CFE" w:rsidRPr="00996758">
              <w:rPr>
                <w:webHidden/>
                <w:sz w:val="18"/>
                <w:lang w:val="es-CR"/>
              </w:rPr>
              <w:fldChar w:fldCharType="separate"/>
            </w:r>
            <w:r>
              <w:rPr>
                <w:webHidden/>
                <w:sz w:val="18"/>
                <w:lang w:val="es-CR"/>
              </w:rPr>
              <w:t>51</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4" w:history="1">
            <w:r w:rsidR="008F7CFE" w:rsidRPr="00996758">
              <w:rPr>
                <w:rStyle w:val="Hyperlink"/>
                <w:sz w:val="18"/>
                <w:lang w:val="es-CR"/>
              </w:rPr>
              <w:t>D.</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Medidas de satisfacción y garantías de no repetición</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_Toc530560074 \h </w:instrText>
            </w:r>
            <w:r w:rsidR="008F7CFE" w:rsidRPr="00996758">
              <w:rPr>
                <w:webHidden/>
                <w:sz w:val="18"/>
                <w:lang w:val="es-CR"/>
              </w:rPr>
            </w:r>
            <w:r w:rsidR="008F7CFE" w:rsidRPr="00996758">
              <w:rPr>
                <w:webHidden/>
                <w:sz w:val="18"/>
                <w:lang w:val="es-CR"/>
              </w:rPr>
              <w:fldChar w:fldCharType="separate"/>
            </w:r>
            <w:r>
              <w:rPr>
                <w:webHidden/>
                <w:sz w:val="18"/>
                <w:lang w:val="es-CR"/>
              </w:rPr>
              <w:t>52</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5" w:history="1">
            <w:r w:rsidR="008F7CFE" w:rsidRPr="00996758">
              <w:rPr>
                <w:rStyle w:val="Hyperlink"/>
                <w:sz w:val="18"/>
                <w:lang w:val="es-CR"/>
              </w:rPr>
              <w:t>E.</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Indemnizaciones compensatorias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_Toc530560075 \h </w:instrText>
            </w:r>
            <w:r w:rsidR="008F7CFE" w:rsidRPr="00996758">
              <w:rPr>
                <w:webHidden/>
                <w:sz w:val="18"/>
                <w:lang w:val="es-CR"/>
              </w:rPr>
            </w:r>
            <w:r w:rsidR="008F7CFE" w:rsidRPr="00996758">
              <w:rPr>
                <w:webHidden/>
                <w:sz w:val="18"/>
                <w:lang w:val="es-CR"/>
              </w:rPr>
              <w:fldChar w:fldCharType="separate"/>
            </w:r>
            <w:r>
              <w:rPr>
                <w:webHidden/>
                <w:sz w:val="18"/>
                <w:lang w:val="es-CR"/>
              </w:rPr>
              <w:t>54</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6" w:history="1">
            <w:r w:rsidR="008F7CFE" w:rsidRPr="00996758">
              <w:rPr>
                <w:rStyle w:val="Hyperlink"/>
                <w:sz w:val="18"/>
                <w:lang w:val="es-CR"/>
              </w:rPr>
              <w:t>F.</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Otras medidas solicitadas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_Toc530560076 \h </w:instrText>
            </w:r>
            <w:r w:rsidR="008F7CFE" w:rsidRPr="00996758">
              <w:rPr>
                <w:webHidden/>
                <w:sz w:val="18"/>
                <w:lang w:val="es-CR"/>
              </w:rPr>
            </w:r>
            <w:r w:rsidR="008F7CFE" w:rsidRPr="00996758">
              <w:rPr>
                <w:webHidden/>
                <w:sz w:val="18"/>
                <w:lang w:val="es-CR"/>
              </w:rPr>
              <w:fldChar w:fldCharType="separate"/>
            </w:r>
            <w:r>
              <w:rPr>
                <w:webHidden/>
                <w:sz w:val="18"/>
                <w:lang w:val="es-CR"/>
              </w:rPr>
              <w:t>56</w:t>
            </w:r>
            <w:r w:rsidR="008F7CFE" w:rsidRPr="00996758">
              <w:rPr>
                <w:webHidden/>
                <w:sz w:val="18"/>
                <w:lang w:val="es-CR"/>
              </w:rPr>
              <w:fldChar w:fldCharType="end"/>
            </w:r>
          </w:hyperlink>
        </w:p>
        <w:p w:rsidR="008F7CFE" w:rsidRPr="00996758" w:rsidRDefault="00C839F0" w:rsidP="00332C49">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30560077" w:history="1">
            <w:r w:rsidR="008F7CFE" w:rsidRPr="00996758">
              <w:rPr>
                <w:rStyle w:val="Hyperlink"/>
                <w:sz w:val="18"/>
                <w:lang w:val="es-CR"/>
              </w:rPr>
              <w:t>G.</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Costas y gastos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_Toc530560077 \h </w:instrText>
            </w:r>
            <w:r w:rsidR="008F7CFE" w:rsidRPr="00996758">
              <w:rPr>
                <w:webHidden/>
                <w:sz w:val="18"/>
                <w:lang w:val="es-CR"/>
              </w:rPr>
            </w:r>
            <w:r w:rsidR="008F7CFE" w:rsidRPr="00996758">
              <w:rPr>
                <w:webHidden/>
                <w:sz w:val="18"/>
                <w:lang w:val="es-CR"/>
              </w:rPr>
              <w:fldChar w:fldCharType="separate"/>
            </w:r>
            <w:r>
              <w:rPr>
                <w:webHidden/>
                <w:sz w:val="18"/>
                <w:lang w:val="es-CR"/>
              </w:rPr>
              <w:t>58</w:t>
            </w:r>
            <w:r w:rsidR="008F7CFE" w:rsidRPr="00996758">
              <w:rPr>
                <w:webHidden/>
                <w:sz w:val="18"/>
                <w:lang w:val="es-CR"/>
              </w:rPr>
              <w:fldChar w:fldCharType="end"/>
            </w:r>
          </w:hyperlink>
        </w:p>
        <w:p w:rsidR="008F7CFE" w:rsidRPr="00996758" w:rsidRDefault="00C839F0" w:rsidP="00332C49">
          <w:pPr>
            <w:pStyle w:val="TOC2"/>
            <w:spacing w:after="0" w:line="240" w:lineRule="auto"/>
            <w:rPr>
              <w:rFonts w:asciiTheme="minorHAnsi" w:eastAsiaTheme="minorEastAsia" w:hAnsiTheme="minorHAnsi" w:cstheme="minorBidi"/>
              <w:bCs w:val="0"/>
              <w:i w:val="0"/>
              <w:iCs w:val="0"/>
              <w:szCs w:val="22"/>
              <w:lang w:val="es-CR" w:eastAsia="es-CR"/>
            </w:rPr>
          </w:pPr>
          <w:hyperlink w:anchor="_Toc530560078" w:history="1">
            <w:r w:rsidR="008F7CFE" w:rsidRPr="00996758">
              <w:rPr>
                <w:rStyle w:val="Hyperlink"/>
                <w:sz w:val="18"/>
                <w:lang w:val="es-CR"/>
              </w:rPr>
              <w:t>H.</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Reintegro de los gastos al Fondo de Asistencia Legal de Víctimas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_Toc530560078 \h </w:instrText>
            </w:r>
            <w:r w:rsidR="008F7CFE" w:rsidRPr="00996758">
              <w:rPr>
                <w:webHidden/>
                <w:sz w:val="18"/>
                <w:lang w:val="es-CR"/>
              </w:rPr>
            </w:r>
            <w:r w:rsidR="008F7CFE" w:rsidRPr="00996758">
              <w:rPr>
                <w:webHidden/>
                <w:sz w:val="18"/>
                <w:lang w:val="es-CR"/>
              </w:rPr>
              <w:fldChar w:fldCharType="separate"/>
            </w:r>
            <w:r>
              <w:rPr>
                <w:webHidden/>
                <w:sz w:val="18"/>
                <w:lang w:val="es-CR"/>
              </w:rPr>
              <w:t>59</w:t>
            </w:r>
            <w:r w:rsidR="008F7CFE" w:rsidRPr="00996758">
              <w:rPr>
                <w:webHidden/>
                <w:sz w:val="18"/>
                <w:lang w:val="es-CR"/>
              </w:rPr>
              <w:fldChar w:fldCharType="end"/>
            </w:r>
          </w:hyperlink>
        </w:p>
        <w:p w:rsidR="008F7CFE" w:rsidRPr="00996758" w:rsidRDefault="00C839F0" w:rsidP="00332C49">
          <w:pPr>
            <w:pStyle w:val="TOC2"/>
            <w:spacing w:after="0" w:line="240" w:lineRule="auto"/>
            <w:rPr>
              <w:rFonts w:asciiTheme="minorHAnsi" w:eastAsiaTheme="minorEastAsia" w:hAnsiTheme="minorHAnsi" w:cstheme="minorBidi"/>
              <w:bCs w:val="0"/>
              <w:i w:val="0"/>
              <w:iCs w:val="0"/>
              <w:szCs w:val="22"/>
              <w:lang w:val="es-CR" w:eastAsia="es-CR"/>
            </w:rPr>
          </w:pPr>
          <w:hyperlink w:anchor="_Toc530560079" w:history="1">
            <w:r w:rsidR="008F7CFE" w:rsidRPr="00996758">
              <w:rPr>
                <w:rStyle w:val="Hyperlink"/>
                <w:sz w:val="18"/>
                <w:lang w:val="es-CR"/>
              </w:rPr>
              <w:t>I.</w:t>
            </w:r>
            <w:r w:rsidR="008F7CFE" w:rsidRPr="00996758">
              <w:rPr>
                <w:rFonts w:asciiTheme="minorHAnsi" w:eastAsiaTheme="minorEastAsia" w:hAnsiTheme="minorHAnsi" w:cstheme="minorBidi"/>
                <w:bCs w:val="0"/>
                <w:i w:val="0"/>
                <w:iCs w:val="0"/>
                <w:szCs w:val="22"/>
                <w:lang w:val="es-CR" w:eastAsia="es-CR"/>
              </w:rPr>
              <w:tab/>
            </w:r>
            <w:r w:rsidR="008F7CFE" w:rsidRPr="00996758">
              <w:rPr>
                <w:rStyle w:val="Hyperlink"/>
                <w:sz w:val="18"/>
                <w:lang w:val="es-CR"/>
              </w:rPr>
              <w:t>Modalidades de cumplimiento de los pagos ordenados</w:t>
            </w:r>
            <w:r w:rsidR="008F7CFE" w:rsidRPr="00996758">
              <w:rPr>
                <w:webHidden/>
                <w:sz w:val="18"/>
                <w:lang w:val="es-CR"/>
              </w:rPr>
              <w:tab/>
            </w:r>
            <w:r w:rsidR="008F7CFE" w:rsidRPr="00996758">
              <w:rPr>
                <w:webHidden/>
                <w:sz w:val="18"/>
                <w:lang w:val="es-CR"/>
              </w:rPr>
              <w:fldChar w:fldCharType="begin"/>
            </w:r>
            <w:r w:rsidR="008F7CFE" w:rsidRPr="00996758">
              <w:rPr>
                <w:webHidden/>
                <w:sz w:val="18"/>
                <w:lang w:val="es-CR"/>
              </w:rPr>
              <w:instrText xml:space="preserve"> PAGEREF _Toc530560079 \h </w:instrText>
            </w:r>
            <w:r w:rsidR="008F7CFE" w:rsidRPr="00996758">
              <w:rPr>
                <w:webHidden/>
                <w:sz w:val="18"/>
                <w:lang w:val="es-CR"/>
              </w:rPr>
            </w:r>
            <w:r w:rsidR="008F7CFE" w:rsidRPr="00996758">
              <w:rPr>
                <w:webHidden/>
                <w:sz w:val="18"/>
                <w:lang w:val="es-CR"/>
              </w:rPr>
              <w:fldChar w:fldCharType="separate"/>
            </w:r>
            <w:r>
              <w:rPr>
                <w:webHidden/>
                <w:sz w:val="18"/>
                <w:lang w:val="es-CR"/>
              </w:rPr>
              <w:t>59</w:t>
            </w:r>
            <w:r w:rsidR="008F7CFE" w:rsidRPr="00996758">
              <w:rPr>
                <w:webHidden/>
                <w:sz w:val="18"/>
                <w:lang w:val="es-CR"/>
              </w:rPr>
              <w:fldChar w:fldCharType="end"/>
            </w:r>
          </w:hyperlink>
        </w:p>
        <w:p w:rsidR="00332C49" w:rsidRPr="00996758" w:rsidRDefault="00332C49">
          <w:pPr>
            <w:pStyle w:val="TOC1"/>
            <w:rPr>
              <w:rStyle w:val="Hyperlink"/>
            </w:rPr>
          </w:pPr>
        </w:p>
        <w:p w:rsidR="008F7CFE" w:rsidRPr="00996758" w:rsidRDefault="00C839F0">
          <w:pPr>
            <w:pStyle w:val="TOC1"/>
            <w:rPr>
              <w:rFonts w:asciiTheme="minorHAnsi" w:eastAsiaTheme="minorEastAsia" w:hAnsiTheme="minorHAnsi"/>
              <w:sz w:val="22"/>
              <w:lang w:eastAsia="es-CR"/>
            </w:rPr>
          </w:pPr>
          <w:hyperlink w:anchor="_Toc530560080" w:history="1">
            <w:r w:rsidR="008F7CFE" w:rsidRPr="00996758">
              <w:rPr>
                <w:rStyle w:val="Hyperlink"/>
              </w:rPr>
              <w:t>X PUNTOS RESOLUTIVOS</w:t>
            </w:r>
            <w:r w:rsidR="008F7CFE" w:rsidRPr="00996758">
              <w:rPr>
                <w:webHidden/>
              </w:rPr>
              <w:tab/>
            </w:r>
            <w:r w:rsidR="008F7CFE" w:rsidRPr="00996758">
              <w:rPr>
                <w:webHidden/>
              </w:rPr>
              <w:fldChar w:fldCharType="begin"/>
            </w:r>
            <w:r w:rsidR="008F7CFE" w:rsidRPr="00996758">
              <w:rPr>
                <w:webHidden/>
              </w:rPr>
              <w:instrText xml:space="preserve"> PAGEREF _Toc530560080 \h </w:instrText>
            </w:r>
            <w:r w:rsidR="008F7CFE" w:rsidRPr="00996758">
              <w:rPr>
                <w:webHidden/>
              </w:rPr>
            </w:r>
            <w:r w:rsidR="008F7CFE" w:rsidRPr="00996758">
              <w:rPr>
                <w:webHidden/>
              </w:rPr>
              <w:fldChar w:fldCharType="separate"/>
            </w:r>
            <w:r>
              <w:rPr>
                <w:webHidden/>
              </w:rPr>
              <w:t>60</w:t>
            </w:r>
            <w:r w:rsidR="008F7CFE" w:rsidRPr="00996758">
              <w:rPr>
                <w:webHidden/>
              </w:rPr>
              <w:fldChar w:fldCharType="end"/>
            </w:r>
          </w:hyperlink>
        </w:p>
        <w:p w:rsidR="005B536C" w:rsidRPr="00996758" w:rsidRDefault="005B536C">
          <w:pPr>
            <w:spacing w:after="60" w:line="240" w:lineRule="auto"/>
            <w:rPr>
              <w:rFonts w:ascii="Verdana" w:hAnsi="Verdana"/>
              <w:sz w:val="20"/>
              <w:szCs w:val="20"/>
            </w:rPr>
          </w:pPr>
          <w:r w:rsidRPr="00996758">
            <w:rPr>
              <w:rFonts w:ascii="Verdana" w:hAnsi="Verdana"/>
              <w:b/>
              <w:bCs/>
              <w:noProof/>
              <w:sz w:val="20"/>
              <w:szCs w:val="20"/>
            </w:rPr>
            <w:fldChar w:fldCharType="end"/>
          </w:r>
        </w:p>
      </w:sdtContent>
    </w:sdt>
    <w:p w:rsidR="005B536C" w:rsidRPr="00996758" w:rsidRDefault="005B536C" w:rsidP="00756418">
      <w:pPr>
        <w:spacing w:line="240" w:lineRule="auto"/>
        <w:rPr>
          <w:rFonts w:ascii="Verdana" w:hAnsi="Verdana"/>
          <w:sz w:val="20"/>
          <w:szCs w:val="20"/>
          <w:lang w:eastAsia="es-ES"/>
        </w:rPr>
      </w:pPr>
      <w:r w:rsidRPr="00996758">
        <w:rPr>
          <w:rFonts w:ascii="Verdana" w:hAnsi="Verdana"/>
          <w:sz w:val="20"/>
          <w:szCs w:val="20"/>
          <w:lang w:eastAsia="es-ES"/>
        </w:rPr>
        <w:br w:type="page"/>
      </w:r>
    </w:p>
    <w:p w:rsidR="005B536C" w:rsidRPr="00996758" w:rsidRDefault="005B536C" w:rsidP="00AE1DD8">
      <w:pPr>
        <w:pStyle w:val="Heading1"/>
        <w:spacing w:before="0" w:after="0"/>
        <w:rPr>
          <w:caps w:val="0"/>
          <w:noProof/>
        </w:rPr>
      </w:pPr>
      <w:bookmarkStart w:id="0" w:name="_Toc340752578"/>
      <w:bookmarkStart w:id="1" w:name="_Toc530560051"/>
      <w:r w:rsidRPr="00996758">
        <w:rPr>
          <w:noProof/>
        </w:rPr>
        <w:lastRenderedPageBreak/>
        <w:t>I</w:t>
      </w:r>
      <w:r w:rsidRPr="00996758">
        <w:rPr>
          <w:noProof/>
        </w:rPr>
        <w:br/>
        <w:t>INTRODUCCIÓN DE LA CAUSA Y OBJETO DE LA CONTROVERSIA</w:t>
      </w:r>
      <w:bookmarkEnd w:id="0"/>
      <w:bookmarkEnd w:id="1"/>
    </w:p>
    <w:p w:rsidR="005B536C" w:rsidRPr="00996758" w:rsidRDefault="005B536C">
      <w:pPr>
        <w:spacing w:after="0" w:line="240" w:lineRule="auto"/>
        <w:jc w:val="both"/>
        <w:rPr>
          <w:rFonts w:ascii="Verdana" w:hAnsi="Verdana" w:cs="Times New Roman"/>
          <w:b/>
          <w:sz w:val="20"/>
          <w:szCs w:val="20"/>
        </w:rPr>
      </w:pPr>
    </w:p>
    <w:p w:rsidR="00215D6E" w:rsidRPr="00996758" w:rsidRDefault="005B536C"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El caso sometido a la Corte</w:t>
      </w:r>
      <w:r w:rsidRPr="00996758">
        <w:rPr>
          <w:rFonts w:ascii="Verdana" w:hAnsi="Verdana"/>
          <w:sz w:val="20"/>
          <w:szCs w:val="20"/>
        </w:rPr>
        <w:t xml:space="preserve">. – El </w:t>
      </w:r>
      <w:r w:rsidR="00215D6E" w:rsidRPr="00996758">
        <w:rPr>
          <w:rFonts w:ascii="Verdana" w:hAnsi="Verdana" w:cs="Arial"/>
          <w:sz w:val="20"/>
          <w:szCs w:val="20"/>
        </w:rPr>
        <w:t>3 de abril</w:t>
      </w:r>
      <w:r w:rsidRPr="00996758">
        <w:rPr>
          <w:rFonts w:ascii="Verdana" w:hAnsi="Verdana" w:cs="Arial"/>
          <w:sz w:val="20"/>
          <w:szCs w:val="20"/>
        </w:rPr>
        <w:t xml:space="preserve"> de 2016</w:t>
      </w:r>
      <w:r w:rsidRPr="00996758">
        <w:rPr>
          <w:rFonts w:ascii="Verdana" w:hAnsi="Verdana"/>
          <w:sz w:val="20"/>
          <w:szCs w:val="20"/>
        </w:rPr>
        <w:t xml:space="preserve"> la Comisión Interamericana de Derechos Humanos (en adelante “la Comisión Interamericana” o </w:t>
      </w:r>
      <w:r w:rsidRPr="00996758">
        <w:rPr>
          <w:rFonts w:ascii="Verdana" w:eastAsia="Cambria" w:hAnsi="Verdana" w:cs="Cambria"/>
          <w:spacing w:val="2"/>
          <w:sz w:val="20"/>
          <w:szCs w:val="20"/>
        </w:rPr>
        <w:t>“la Comisión”) sometió a la jurisdicción de la Corte Interamericana</w:t>
      </w:r>
      <w:r w:rsidRPr="00996758">
        <w:rPr>
          <w:rFonts w:ascii="Verdana" w:hAnsi="Verdana"/>
          <w:sz w:val="20"/>
          <w:szCs w:val="20"/>
        </w:rPr>
        <w:t xml:space="preserve">, de conformidad con lo dispuesto en los artículos 51 y 61 de la Convención Americana y el artículo 35 del Reglamento de la Corte, </w:t>
      </w:r>
      <w:r w:rsidRPr="00996758">
        <w:rPr>
          <w:rFonts w:ascii="Verdana" w:eastAsia="Cambria" w:hAnsi="Verdana" w:cs="Cambria"/>
          <w:spacing w:val="2"/>
          <w:sz w:val="20"/>
          <w:szCs w:val="20"/>
        </w:rPr>
        <w:t>el caso</w:t>
      </w:r>
      <w:r w:rsidR="006835CE" w:rsidRPr="00996758">
        <w:rPr>
          <w:rFonts w:ascii="Verdana" w:eastAsia="Cambria" w:hAnsi="Verdana" w:cs="Cambria"/>
          <w:spacing w:val="2"/>
          <w:sz w:val="20"/>
          <w:szCs w:val="20"/>
        </w:rPr>
        <w:t xml:space="preserve"> </w:t>
      </w:r>
      <w:r w:rsidR="00215D6E" w:rsidRPr="00996758">
        <w:rPr>
          <w:rFonts w:ascii="Verdana" w:hAnsi="Verdana"/>
          <w:i/>
          <w:iCs/>
          <w:sz w:val="20"/>
          <w:szCs w:val="20"/>
        </w:rPr>
        <w:t>Víctor Manuel Isaza Uribe</w:t>
      </w:r>
      <w:r w:rsidRPr="00996758">
        <w:rPr>
          <w:rFonts w:ascii="Verdana" w:hAnsi="Verdana"/>
          <w:i/>
          <w:iCs/>
          <w:sz w:val="20"/>
          <w:szCs w:val="20"/>
        </w:rPr>
        <w:t xml:space="preserve"> respecto de la República de </w:t>
      </w:r>
      <w:r w:rsidR="00215D6E" w:rsidRPr="00996758">
        <w:rPr>
          <w:rFonts w:ascii="Verdana" w:hAnsi="Verdana"/>
          <w:i/>
          <w:iCs/>
          <w:sz w:val="20"/>
          <w:szCs w:val="20"/>
        </w:rPr>
        <w:t xml:space="preserve">Colombia </w:t>
      </w:r>
      <w:r w:rsidRPr="00996758">
        <w:rPr>
          <w:rFonts w:ascii="Verdana" w:eastAsia="Cambria" w:hAnsi="Verdana" w:cs="Cambria"/>
          <w:spacing w:val="2"/>
          <w:sz w:val="20"/>
          <w:szCs w:val="20"/>
        </w:rPr>
        <w:t>(en adelante “el Estado”, o “</w:t>
      </w:r>
      <w:r w:rsidR="00215D6E" w:rsidRPr="00996758">
        <w:rPr>
          <w:rFonts w:ascii="Verdana" w:eastAsia="Cambria" w:hAnsi="Verdana" w:cs="Cambria"/>
          <w:spacing w:val="2"/>
          <w:sz w:val="20"/>
          <w:szCs w:val="20"/>
        </w:rPr>
        <w:t>Colombia</w:t>
      </w:r>
      <w:r w:rsidRPr="00996758">
        <w:rPr>
          <w:rFonts w:ascii="Verdana" w:eastAsia="Cambria" w:hAnsi="Verdana" w:cs="Cambria"/>
          <w:spacing w:val="2"/>
          <w:sz w:val="20"/>
          <w:szCs w:val="20"/>
        </w:rPr>
        <w:t xml:space="preserve">”). Según la Comisión, el caso se relaciona con </w:t>
      </w:r>
      <w:r w:rsidR="00215D6E" w:rsidRPr="00996758">
        <w:rPr>
          <w:rFonts w:ascii="Verdana" w:eastAsia="Verdana" w:hAnsi="Verdana" w:cs="Verdana"/>
          <w:sz w:val="20"/>
          <w:szCs w:val="20"/>
        </w:rPr>
        <w:t>la alegada desaparición forzada de Víctor Manuel lsaza Uribe desde el 19 de noviembre de 1987, mientras se encontraba en detención preventiva en la cárcel del municipio de Puerto Nare, Departamento de Antioquia, cuando un grupo de</w:t>
      </w:r>
      <w:r w:rsidR="00756418" w:rsidRPr="00996758">
        <w:rPr>
          <w:rFonts w:ascii="Verdana" w:eastAsia="Verdana" w:hAnsi="Verdana" w:cs="Verdana"/>
          <w:sz w:val="20"/>
          <w:szCs w:val="20"/>
        </w:rPr>
        <w:t xml:space="preserve"> hombres no identificados </w:t>
      </w:r>
      <w:r w:rsidR="00215D6E" w:rsidRPr="00996758">
        <w:rPr>
          <w:rFonts w:ascii="Verdana" w:eastAsia="Verdana" w:hAnsi="Verdana" w:cs="Verdana"/>
          <w:sz w:val="20"/>
          <w:szCs w:val="20"/>
        </w:rPr>
        <w:t>lo sustrajeron de allí. La Comisión señaló que él era miembro del Sindicato Único de Trabajadores de la Industria de Material</w:t>
      </w:r>
      <w:r w:rsidR="00663255" w:rsidRPr="00996758">
        <w:rPr>
          <w:rFonts w:ascii="Verdana" w:eastAsia="Verdana" w:hAnsi="Verdana" w:cs="Verdana"/>
          <w:sz w:val="20"/>
          <w:szCs w:val="20"/>
        </w:rPr>
        <w:t>es de la Construcción (SUTIMAC)</w:t>
      </w:r>
      <w:r w:rsidR="00215D6E" w:rsidRPr="00996758">
        <w:rPr>
          <w:rFonts w:ascii="Verdana" w:eastAsia="Verdana" w:hAnsi="Verdana" w:cs="Verdana"/>
          <w:sz w:val="20"/>
          <w:szCs w:val="20"/>
        </w:rPr>
        <w:t xml:space="preserve"> y simpatizante del partido político Unión Patriótica (UP). La Comisión determinó que, en relación con las versiones sobre cómo ocurrieron los hechos, existen suficientes elementos para calificarlos como una desaparición forzada llevada a cabo </w:t>
      </w:r>
      <w:r w:rsidR="001F229B" w:rsidRPr="00996758">
        <w:rPr>
          <w:rFonts w:ascii="Verdana" w:eastAsia="Verdana" w:hAnsi="Verdana" w:cs="Verdana"/>
          <w:sz w:val="20"/>
          <w:szCs w:val="20"/>
        </w:rPr>
        <w:t xml:space="preserve">por grupos paramilitares </w:t>
      </w:r>
      <w:r w:rsidR="00215D6E" w:rsidRPr="00996758">
        <w:rPr>
          <w:rFonts w:ascii="Verdana" w:eastAsia="Verdana" w:hAnsi="Verdana" w:cs="Verdana"/>
          <w:sz w:val="20"/>
          <w:szCs w:val="20"/>
        </w:rPr>
        <w:t>con aquiescencia de agentes estatales</w:t>
      </w:r>
      <w:r w:rsidR="00D31B13" w:rsidRPr="00996758">
        <w:rPr>
          <w:rFonts w:ascii="Verdana" w:eastAsia="Verdana" w:hAnsi="Verdana" w:cs="Verdana"/>
          <w:sz w:val="20"/>
          <w:szCs w:val="20"/>
        </w:rPr>
        <w:t xml:space="preserve">, en un contexto en </w:t>
      </w:r>
      <w:r w:rsidR="00153E3E" w:rsidRPr="00996758">
        <w:rPr>
          <w:rFonts w:ascii="Verdana" w:eastAsia="Verdana" w:hAnsi="Verdana" w:cs="Verdana"/>
          <w:sz w:val="20"/>
          <w:szCs w:val="20"/>
        </w:rPr>
        <w:t>que estaban vigentes</w:t>
      </w:r>
      <w:r w:rsidR="00215D6E" w:rsidRPr="00996758">
        <w:rPr>
          <w:rFonts w:ascii="Verdana" w:eastAsia="Verdana" w:hAnsi="Verdana" w:cs="Verdana"/>
          <w:sz w:val="20"/>
          <w:szCs w:val="20"/>
        </w:rPr>
        <w:t xml:space="preserve"> marcos normativos que propiciaron el paramilitarismo y la identificación de sindicalistas dentro de la noción de “enemigo interno”</w:t>
      </w:r>
      <w:r w:rsidR="00D31B13" w:rsidRPr="00996758">
        <w:rPr>
          <w:rFonts w:ascii="Verdana" w:eastAsia="Verdana" w:hAnsi="Verdana" w:cs="Verdana"/>
          <w:sz w:val="20"/>
          <w:szCs w:val="20"/>
        </w:rPr>
        <w:t>. Además, señaló</w:t>
      </w:r>
      <w:r w:rsidR="00215D6E" w:rsidRPr="00996758">
        <w:rPr>
          <w:rFonts w:ascii="Verdana" w:eastAsia="Verdana" w:hAnsi="Verdana" w:cs="Verdana"/>
          <w:sz w:val="20"/>
          <w:szCs w:val="20"/>
        </w:rPr>
        <w:t xml:space="preserve"> que la investigación de los hechos</w:t>
      </w:r>
      <w:r w:rsidR="005F4CD2" w:rsidRPr="00996758">
        <w:rPr>
          <w:rFonts w:ascii="Verdana" w:eastAsia="Verdana" w:hAnsi="Verdana" w:cs="Verdana"/>
          <w:sz w:val="20"/>
          <w:szCs w:val="20"/>
        </w:rPr>
        <w:t xml:space="preserve"> </w:t>
      </w:r>
      <w:r w:rsidR="00215D6E" w:rsidRPr="00996758">
        <w:rPr>
          <w:rFonts w:ascii="Verdana" w:eastAsia="Verdana" w:hAnsi="Verdana" w:cs="Verdana"/>
          <w:sz w:val="20"/>
          <w:szCs w:val="20"/>
        </w:rPr>
        <w:t xml:space="preserve">ha estado </w:t>
      </w:r>
      <w:r w:rsidR="00153E3E" w:rsidRPr="00996758">
        <w:rPr>
          <w:rFonts w:ascii="Verdana" w:eastAsia="Verdana" w:hAnsi="Verdana" w:cs="Verdana"/>
          <w:sz w:val="20"/>
          <w:szCs w:val="20"/>
        </w:rPr>
        <w:t>sujeta a demoras injustificadas</w:t>
      </w:r>
      <w:r w:rsidR="00756418" w:rsidRPr="00996758">
        <w:rPr>
          <w:rFonts w:ascii="Verdana" w:eastAsia="Verdana" w:hAnsi="Verdana" w:cs="Verdana"/>
          <w:sz w:val="20"/>
          <w:szCs w:val="20"/>
        </w:rPr>
        <w:t>,</w:t>
      </w:r>
      <w:r w:rsidR="00215D6E" w:rsidRPr="00996758">
        <w:rPr>
          <w:rFonts w:ascii="Verdana" w:eastAsia="Verdana" w:hAnsi="Verdana" w:cs="Verdana"/>
          <w:sz w:val="20"/>
          <w:szCs w:val="20"/>
        </w:rPr>
        <w:t xml:space="preserve"> permanece e</w:t>
      </w:r>
      <w:r w:rsidR="005F4CD2" w:rsidRPr="00996758">
        <w:rPr>
          <w:rFonts w:ascii="Verdana" w:eastAsia="Verdana" w:hAnsi="Verdana" w:cs="Verdana"/>
          <w:sz w:val="20"/>
          <w:szCs w:val="20"/>
        </w:rPr>
        <w:t xml:space="preserve">n etapa </w:t>
      </w:r>
      <w:r w:rsidR="00756418" w:rsidRPr="00996758">
        <w:rPr>
          <w:rFonts w:ascii="Verdana" w:eastAsia="Verdana" w:hAnsi="Verdana" w:cs="Verdana"/>
          <w:sz w:val="20"/>
          <w:szCs w:val="20"/>
        </w:rPr>
        <w:t xml:space="preserve">preliminar </w:t>
      </w:r>
      <w:r w:rsidR="005F4CD2" w:rsidRPr="00996758">
        <w:rPr>
          <w:rFonts w:ascii="Verdana" w:eastAsia="Verdana" w:hAnsi="Verdana" w:cs="Verdana"/>
          <w:sz w:val="20"/>
          <w:szCs w:val="20"/>
        </w:rPr>
        <w:t>y</w:t>
      </w:r>
      <w:r w:rsidR="00215D6E" w:rsidRPr="00996758">
        <w:rPr>
          <w:rFonts w:ascii="Verdana" w:eastAsia="Verdana" w:hAnsi="Verdana" w:cs="Verdana"/>
          <w:sz w:val="20"/>
          <w:szCs w:val="20"/>
        </w:rPr>
        <w:t xml:space="preserve"> no </w:t>
      </w:r>
      <w:r w:rsidR="00756418" w:rsidRPr="00996758">
        <w:rPr>
          <w:rFonts w:ascii="Verdana" w:eastAsia="Verdana" w:hAnsi="Verdana" w:cs="Verdana"/>
          <w:sz w:val="20"/>
          <w:szCs w:val="20"/>
        </w:rPr>
        <w:t xml:space="preserve">ha seguido </w:t>
      </w:r>
      <w:r w:rsidR="00215D6E" w:rsidRPr="00996758">
        <w:rPr>
          <w:rFonts w:ascii="Verdana" w:eastAsia="Verdana" w:hAnsi="Verdana" w:cs="Verdana"/>
          <w:sz w:val="20"/>
          <w:szCs w:val="20"/>
        </w:rPr>
        <w:t>importantes líneas de investigación</w:t>
      </w:r>
      <w:r w:rsidR="005F4CD2" w:rsidRPr="00996758">
        <w:rPr>
          <w:rFonts w:ascii="Verdana" w:eastAsia="Verdana" w:hAnsi="Verdana" w:cs="Verdana"/>
          <w:sz w:val="20"/>
          <w:szCs w:val="20"/>
        </w:rPr>
        <w:t>, además de que</w:t>
      </w:r>
      <w:r w:rsidR="00215D6E" w:rsidRPr="00996758">
        <w:rPr>
          <w:rFonts w:ascii="Verdana" w:eastAsia="Verdana" w:hAnsi="Verdana" w:cs="Verdana"/>
          <w:sz w:val="20"/>
          <w:szCs w:val="20"/>
        </w:rPr>
        <w:t xml:space="preserve"> el Estado no ha </w:t>
      </w:r>
      <w:r w:rsidR="00153E3E" w:rsidRPr="00996758">
        <w:rPr>
          <w:rFonts w:ascii="Verdana" w:eastAsia="Verdana" w:hAnsi="Verdana" w:cs="Verdana"/>
          <w:sz w:val="20"/>
          <w:szCs w:val="20"/>
        </w:rPr>
        <w:t>informado</w:t>
      </w:r>
      <w:r w:rsidR="00215D6E" w:rsidRPr="00996758">
        <w:rPr>
          <w:rFonts w:ascii="Verdana" w:eastAsia="Verdana" w:hAnsi="Verdana" w:cs="Verdana"/>
          <w:sz w:val="20"/>
          <w:szCs w:val="20"/>
        </w:rPr>
        <w:t xml:space="preserve"> sobre acciones específicas para dar con </w:t>
      </w:r>
      <w:r w:rsidR="00D31B13" w:rsidRPr="00996758">
        <w:rPr>
          <w:rFonts w:ascii="Verdana" w:eastAsia="Verdana" w:hAnsi="Verdana" w:cs="Verdana"/>
          <w:sz w:val="20"/>
          <w:szCs w:val="20"/>
        </w:rPr>
        <w:t xml:space="preserve">el </w:t>
      </w:r>
      <w:r w:rsidR="00215D6E" w:rsidRPr="00996758">
        <w:rPr>
          <w:rFonts w:ascii="Verdana" w:eastAsia="Verdana" w:hAnsi="Verdana" w:cs="Verdana"/>
          <w:sz w:val="20"/>
          <w:szCs w:val="20"/>
        </w:rPr>
        <w:t>paradero</w:t>
      </w:r>
      <w:r w:rsidR="00D31B13" w:rsidRPr="00996758">
        <w:rPr>
          <w:rFonts w:ascii="Verdana" w:eastAsia="Verdana" w:hAnsi="Verdana" w:cs="Verdana"/>
          <w:sz w:val="20"/>
          <w:szCs w:val="20"/>
        </w:rPr>
        <w:t xml:space="preserve"> de la persona desaparecida</w:t>
      </w:r>
      <w:r w:rsidR="00215D6E" w:rsidRPr="00996758">
        <w:rPr>
          <w:rFonts w:ascii="Verdana" w:eastAsia="Verdana" w:hAnsi="Verdana" w:cs="Verdana"/>
          <w:sz w:val="20"/>
          <w:szCs w:val="20"/>
        </w:rPr>
        <w:t>.</w:t>
      </w:r>
      <w:r w:rsidR="00EB5816" w:rsidRPr="00996758">
        <w:rPr>
          <w:rFonts w:ascii="Verdana" w:eastAsia="Verdana" w:hAnsi="Verdana" w:cs="Verdana"/>
          <w:sz w:val="20"/>
          <w:szCs w:val="20"/>
        </w:rPr>
        <w:t xml:space="preserve"> Las presuntas víctimas del caso son el señor</w:t>
      </w:r>
      <w:r w:rsidR="00135EB3" w:rsidRPr="00996758">
        <w:rPr>
          <w:rFonts w:ascii="Verdana" w:eastAsia="Verdana" w:hAnsi="Verdana" w:cs="Verdana"/>
          <w:sz w:val="20"/>
          <w:szCs w:val="20"/>
        </w:rPr>
        <w:t xml:space="preserve"> Víctor Manuel</w:t>
      </w:r>
      <w:r w:rsidR="00EB5816" w:rsidRPr="00996758">
        <w:rPr>
          <w:rFonts w:ascii="Verdana" w:eastAsia="Verdana" w:hAnsi="Verdana" w:cs="Verdana"/>
          <w:sz w:val="20"/>
          <w:szCs w:val="20"/>
        </w:rPr>
        <w:t xml:space="preserve"> Isaza Uribe, </w:t>
      </w:r>
      <w:r w:rsidR="00756418" w:rsidRPr="00996758">
        <w:rPr>
          <w:rFonts w:ascii="Verdana" w:eastAsia="Verdana" w:hAnsi="Verdana" w:cs="Verdana"/>
          <w:sz w:val="20"/>
          <w:szCs w:val="20"/>
        </w:rPr>
        <w:t xml:space="preserve">su esposa </w:t>
      </w:r>
      <w:r w:rsidR="00EB5816" w:rsidRPr="00996758">
        <w:rPr>
          <w:rFonts w:ascii="Verdana" w:eastAsia="Verdana" w:hAnsi="Verdana" w:cs="Verdana"/>
          <w:sz w:val="20"/>
          <w:szCs w:val="20"/>
        </w:rPr>
        <w:t>la señora Carmenza Vélez y sus hijos los señores Jhony Alexander Isaza Vélez y Haner Alexis Isaza Vélez</w:t>
      </w:r>
      <w:r w:rsidR="001D4D07" w:rsidRPr="00996758">
        <w:rPr>
          <w:rFonts w:ascii="Verdana" w:eastAsia="Verdana" w:hAnsi="Verdana" w:cs="Verdana"/>
          <w:sz w:val="20"/>
          <w:szCs w:val="20"/>
        </w:rPr>
        <w:t>.</w:t>
      </w:r>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Trámite ante la Comisión.</w:t>
      </w:r>
      <w:r w:rsidRPr="00996758">
        <w:rPr>
          <w:rFonts w:ascii="Verdana" w:hAnsi="Verdana"/>
          <w:sz w:val="20"/>
          <w:szCs w:val="20"/>
        </w:rPr>
        <w:t xml:space="preserve"> – El trámite ante la Comisión fue el siguiente:</w:t>
      </w:r>
    </w:p>
    <w:p w:rsidR="005B536C" w:rsidRPr="00996758" w:rsidRDefault="005B536C" w:rsidP="00756418">
      <w:pPr>
        <w:pStyle w:val="ListParagraph"/>
        <w:spacing w:line="240" w:lineRule="auto"/>
        <w:ind w:left="567"/>
        <w:jc w:val="both"/>
        <w:rPr>
          <w:rFonts w:ascii="Verdana" w:hAnsi="Verdana"/>
          <w:sz w:val="20"/>
          <w:szCs w:val="20"/>
        </w:rPr>
      </w:pPr>
    </w:p>
    <w:p w:rsidR="005B536C" w:rsidRPr="00996758" w:rsidRDefault="005B536C" w:rsidP="00AE1DD8">
      <w:pPr>
        <w:pStyle w:val="ListParagraph"/>
        <w:numPr>
          <w:ilvl w:val="1"/>
          <w:numId w:val="10"/>
        </w:numPr>
        <w:spacing w:after="0" w:line="240" w:lineRule="auto"/>
        <w:ind w:left="426" w:hanging="219"/>
        <w:jc w:val="both"/>
        <w:rPr>
          <w:rFonts w:ascii="Verdana" w:hAnsi="Verdana"/>
          <w:sz w:val="20"/>
          <w:szCs w:val="20"/>
        </w:rPr>
      </w:pPr>
      <w:r w:rsidRPr="00996758">
        <w:rPr>
          <w:rFonts w:ascii="Verdana" w:hAnsi="Verdana"/>
          <w:i/>
          <w:iCs/>
          <w:sz w:val="20"/>
          <w:szCs w:val="20"/>
          <w:shd w:val="clear" w:color="auto" w:fill="FFFFFF"/>
        </w:rPr>
        <w:t>Petición</w:t>
      </w:r>
      <w:r w:rsidR="00153E3E" w:rsidRPr="00996758">
        <w:rPr>
          <w:rFonts w:ascii="Verdana" w:hAnsi="Verdana"/>
          <w:sz w:val="20"/>
          <w:szCs w:val="20"/>
          <w:shd w:val="clear" w:color="auto" w:fill="FFFFFF"/>
        </w:rPr>
        <w:t>.- En diciembre de 1990</w:t>
      </w:r>
      <w:r w:rsidRPr="00996758">
        <w:rPr>
          <w:rFonts w:ascii="Verdana" w:hAnsi="Verdana"/>
          <w:sz w:val="20"/>
          <w:szCs w:val="20"/>
          <w:shd w:val="clear" w:color="auto" w:fill="FFFFFF"/>
        </w:rPr>
        <w:t xml:space="preserve"> la Comisión recibió </w:t>
      </w:r>
      <w:r w:rsidRPr="00996758">
        <w:rPr>
          <w:rFonts w:ascii="Verdana" w:hAnsi="Verdana" w:cs="Cambria"/>
          <w:sz w:val="20"/>
          <w:szCs w:val="20"/>
        </w:rPr>
        <w:t xml:space="preserve">una petición </w:t>
      </w:r>
      <w:r w:rsidRPr="00996758">
        <w:rPr>
          <w:rFonts w:ascii="Verdana" w:hAnsi="Verdana"/>
          <w:sz w:val="20"/>
          <w:szCs w:val="20"/>
          <w:shd w:val="clear" w:color="auto" w:fill="FFFFFF"/>
        </w:rPr>
        <w:t xml:space="preserve">presentada por la </w:t>
      </w:r>
      <w:r w:rsidR="00153E3E" w:rsidRPr="00996758">
        <w:rPr>
          <w:rFonts w:ascii="Verdana" w:hAnsi="Verdana"/>
          <w:sz w:val="20"/>
          <w:szCs w:val="20"/>
          <w:shd w:val="clear" w:color="auto" w:fill="FFFFFF"/>
        </w:rPr>
        <w:t>Asociación de Familiares de Detenidos Desaparecidos (ASFADDES) y la Comisión Colombiana de Juristas</w:t>
      </w:r>
      <w:r w:rsidRPr="00996758">
        <w:rPr>
          <w:rFonts w:ascii="Verdana" w:hAnsi="Verdana"/>
          <w:sz w:val="20"/>
          <w:szCs w:val="20"/>
          <w:shd w:val="clear" w:color="auto" w:fill="FFFFFF"/>
        </w:rPr>
        <w:t>, actuando en representación de las presuntas víctimas.</w:t>
      </w:r>
    </w:p>
    <w:p w:rsidR="005B536C" w:rsidRPr="00996758" w:rsidRDefault="005B536C" w:rsidP="00756418">
      <w:pPr>
        <w:pStyle w:val="ListParagraph"/>
        <w:spacing w:line="240" w:lineRule="auto"/>
        <w:ind w:left="426" w:hanging="219"/>
        <w:jc w:val="both"/>
        <w:rPr>
          <w:rFonts w:ascii="Verdana" w:hAnsi="Verdana"/>
          <w:sz w:val="20"/>
          <w:szCs w:val="20"/>
        </w:rPr>
      </w:pPr>
    </w:p>
    <w:p w:rsidR="005B536C" w:rsidRPr="00996758" w:rsidRDefault="005B536C" w:rsidP="00AE1DD8">
      <w:pPr>
        <w:pStyle w:val="ListParagraph"/>
        <w:numPr>
          <w:ilvl w:val="1"/>
          <w:numId w:val="10"/>
        </w:numPr>
        <w:spacing w:after="0" w:line="240" w:lineRule="auto"/>
        <w:ind w:left="426" w:hanging="219"/>
        <w:jc w:val="both"/>
        <w:rPr>
          <w:rFonts w:ascii="Verdana" w:hAnsi="Verdana"/>
          <w:sz w:val="20"/>
          <w:szCs w:val="20"/>
        </w:rPr>
      </w:pPr>
      <w:r w:rsidRPr="00996758">
        <w:rPr>
          <w:rFonts w:ascii="Verdana" w:hAnsi="Verdana"/>
          <w:i/>
          <w:iCs/>
          <w:sz w:val="20"/>
          <w:szCs w:val="20"/>
          <w:shd w:val="clear" w:color="auto" w:fill="FFFFFF"/>
        </w:rPr>
        <w:t>Informe de admisibilidad</w:t>
      </w:r>
      <w:r w:rsidRPr="00996758">
        <w:rPr>
          <w:rFonts w:ascii="Verdana" w:hAnsi="Verdana"/>
          <w:sz w:val="20"/>
          <w:szCs w:val="20"/>
          <w:shd w:val="clear" w:color="auto" w:fill="FFFFFF"/>
        </w:rPr>
        <w:t xml:space="preserve">. – El </w:t>
      </w:r>
      <w:r w:rsidR="00153E3E" w:rsidRPr="00996758">
        <w:rPr>
          <w:rFonts w:ascii="Verdana" w:hAnsi="Verdana"/>
          <w:sz w:val="20"/>
          <w:szCs w:val="20"/>
          <w:shd w:val="clear" w:color="auto" w:fill="FFFFFF"/>
        </w:rPr>
        <w:t>22 de julio de 2011</w:t>
      </w:r>
      <w:r w:rsidRPr="00996758">
        <w:rPr>
          <w:rFonts w:ascii="Verdana" w:hAnsi="Verdana"/>
          <w:sz w:val="20"/>
          <w:szCs w:val="20"/>
          <w:shd w:val="clear" w:color="auto" w:fill="FFFFFF"/>
        </w:rPr>
        <w:t xml:space="preserve"> la Comisión aprobó el Informe de Admisibilidad </w:t>
      </w:r>
      <w:r w:rsidR="00153E3E" w:rsidRPr="00996758">
        <w:rPr>
          <w:rFonts w:ascii="Verdana" w:hAnsi="Verdana"/>
          <w:sz w:val="20"/>
          <w:szCs w:val="20"/>
          <w:shd w:val="clear" w:color="auto" w:fill="FFFFFF"/>
        </w:rPr>
        <w:t>102/11</w:t>
      </w:r>
      <w:r w:rsidRPr="00996758">
        <w:rPr>
          <w:rFonts w:ascii="Verdana" w:hAnsi="Verdana"/>
          <w:sz w:val="20"/>
          <w:szCs w:val="20"/>
          <w:shd w:val="clear" w:color="auto" w:fill="FFFFFF"/>
        </w:rPr>
        <w:t xml:space="preserve">, en el que declaró que la petición </w:t>
      </w:r>
      <w:r w:rsidR="00153E3E" w:rsidRPr="00996758">
        <w:rPr>
          <w:rFonts w:ascii="Verdana" w:hAnsi="Verdana"/>
          <w:sz w:val="20"/>
          <w:szCs w:val="20"/>
          <w:shd w:val="clear" w:color="auto" w:fill="FFFFFF"/>
        </w:rPr>
        <w:t>10.737</w:t>
      </w:r>
      <w:r w:rsidRPr="00996758">
        <w:rPr>
          <w:rFonts w:ascii="Verdana" w:hAnsi="Verdana"/>
          <w:sz w:val="20"/>
          <w:szCs w:val="20"/>
          <w:shd w:val="clear" w:color="auto" w:fill="FFFFFF"/>
        </w:rPr>
        <w:t xml:space="preserve"> era admisible</w:t>
      </w:r>
      <w:r w:rsidRPr="00996758">
        <w:rPr>
          <w:rFonts w:ascii="Verdana" w:hAnsi="Verdana"/>
          <w:sz w:val="20"/>
          <w:szCs w:val="20"/>
          <w:shd w:val="clear" w:color="auto" w:fill="FFFFFF"/>
          <w:vertAlign w:val="superscript"/>
        </w:rPr>
        <w:footnoteReference w:id="2"/>
      </w:r>
      <w:r w:rsidRPr="00996758">
        <w:rPr>
          <w:rFonts w:ascii="Verdana" w:hAnsi="Verdana"/>
          <w:sz w:val="20"/>
          <w:szCs w:val="20"/>
          <w:shd w:val="clear" w:color="auto" w:fill="FFFFFF"/>
        </w:rPr>
        <w:t>.</w:t>
      </w:r>
    </w:p>
    <w:p w:rsidR="005B536C" w:rsidRPr="00996758" w:rsidRDefault="005B536C" w:rsidP="00756418">
      <w:pPr>
        <w:pStyle w:val="ListParagraph"/>
        <w:spacing w:line="240" w:lineRule="auto"/>
        <w:ind w:left="426" w:hanging="219"/>
        <w:jc w:val="both"/>
        <w:rPr>
          <w:rFonts w:ascii="Verdana" w:hAnsi="Verdana"/>
          <w:sz w:val="20"/>
          <w:szCs w:val="20"/>
        </w:rPr>
      </w:pPr>
    </w:p>
    <w:p w:rsidR="0003090C" w:rsidRPr="00996758" w:rsidRDefault="005B536C" w:rsidP="00AE1DD8">
      <w:pPr>
        <w:pStyle w:val="ListParagraph"/>
        <w:numPr>
          <w:ilvl w:val="1"/>
          <w:numId w:val="10"/>
        </w:numPr>
        <w:spacing w:after="0" w:line="240" w:lineRule="auto"/>
        <w:ind w:left="426" w:hanging="219"/>
        <w:jc w:val="both"/>
        <w:rPr>
          <w:rFonts w:ascii="Verdana" w:hAnsi="Verdana"/>
          <w:sz w:val="20"/>
          <w:szCs w:val="20"/>
        </w:rPr>
      </w:pPr>
      <w:r w:rsidRPr="00996758">
        <w:rPr>
          <w:rFonts w:ascii="Verdana" w:hAnsi="Verdana"/>
          <w:i/>
          <w:sz w:val="20"/>
          <w:szCs w:val="20"/>
        </w:rPr>
        <w:t>Informe de Fondo.</w:t>
      </w:r>
      <w:r w:rsidRPr="00996758">
        <w:rPr>
          <w:rFonts w:ascii="Verdana" w:hAnsi="Verdana"/>
          <w:sz w:val="20"/>
          <w:szCs w:val="20"/>
        </w:rPr>
        <w:t xml:space="preserve"> – El </w:t>
      </w:r>
      <w:r w:rsidR="00153E3E" w:rsidRPr="00996758">
        <w:rPr>
          <w:rFonts w:ascii="Verdana" w:hAnsi="Verdana"/>
          <w:sz w:val="20"/>
          <w:szCs w:val="20"/>
        </w:rPr>
        <w:t>21 de julio</w:t>
      </w:r>
      <w:r w:rsidRPr="00996758">
        <w:rPr>
          <w:rFonts w:ascii="Verdana" w:hAnsi="Verdana"/>
          <w:sz w:val="20"/>
          <w:szCs w:val="20"/>
        </w:rPr>
        <w:t xml:space="preserve"> de 2015 la Comisión e</w:t>
      </w:r>
      <w:r w:rsidR="00153E3E" w:rsidRPr="00996758">
        <w:rPr>
          <w:rFonts w:ascii="Verdana" w:hAnsi="Verdana"/>
          <w:sz w:val="20"/>
          <w:szCs w:val="20"/>
        </w:rPr>
        <w:t>mitió el Informe de Fondo No. 25</w:t>
      </w:r>
      <w:r w:rsidRPr="00996758">
        <w:rPr>
          <w:rFonts w:ascii="Verdana" w:hAnsi="Verdana"/>
          <w:sz w:val="20"/>
          <w:szCs w:val="20"/>
        </w:rPr>
        <w:t xml:space="preserve">/15, de conformidad con el artículo 50 de la Convención Americana (en adelante “Informe de Fondo” o “el Informe”), en el cual </w:t>
      </w:r>
      <w:r w:rsidR="0003090C" w:rsidRPr="00996758">
        <w:rPr>
          <w:rFonts w:ascii="Verdana" w:hAnsi="Verdana"/>
          <w:sz w:val="20"/>
          <w:szCs w:val="20"/>
        </w:rPr>
        <w:t>llegó a una serie de conclusiones y formuló varias recomendaciones al Estado</w:t>
      </w:r>
      <w:r w:rsidR="0003090C" w:rsidRPr="00996758">
        <w:rPr>
          <w:rStyle w:val="FootnoteReference"/>
          <w:rFonts w:ascii="Verdana" w:hAnsi="Verdana"/>
          <w:sz w:val="20"/>
          <w:szCs w:val="20"/>
        </w:rPr>
        <w:footnoteReference w:id="3"/>
      </w:r>
      <w:r w:rsidR="0003090C" w:rsidRPr="00996758">
        <w:rPr>
          <w:rFonts w:ascii="Verdana" w:hAnsi="Verdana"/>
          <w:sz w:val="20"/>
          <w:szCs w:val="20"/>
        </w:rPr>
        <w:t>.</w:t>
      </w:r>
    </w:p>
    <w:p w:rsidR="005B536C" w:rsidRPr="00996758" w:rsidRDefault="005B536C" w:rsidP="00756418">
      <w:pPr>
        <w:pStyle w:val="ListParagraph"/>
        <w:spacing w:line="240" w:lineRule="auto"/>
        <w:ind w:left="709"/>
        <w:jc w:val="both"/>
        <w:rPr>
          <w:rFonts w:ascii="Verdana" w:hAnsi="Verdana"/>
          <w:sz w:val="20"/>
          <w:szCs w:val="20"/>
        </w:rPr>
      </w:pPr>
    </w:p>
    <w:p w:rsidR="005B536C" w:rsidRPr="00996758" w:rsidRDefault="005B536C" w:rsidP="00AE1DD8">
      <w:pPr>
        <w:pStyle w:val="ListParagraph"/>
        <w:numPr>
          <w:ilvl w:val="1"/>
          <w:numId w:val="10"/>
        </w:numPr>
        <w:spacing w:after="0" w:line="240" w:lineRule="auto"/>
        <w:ind w:left="426" w:hanging="284"/>
        <w:jc w:val="both"/>
        <w:rPr>
          <w:rFonts w:ascii="Verdana" w:hAnsi="Verdana"/>
          <w:sz w:val="20"/>
          <w:szCs w:val="20"/>
        </w:rPr>
      </w:pPr>
      <w:r w:rsidRPr="00996758">
        <w:rPr>
          <w:rFonts w:ascii="Verdana" w:hAnsi="Verdana"/>
          <w:i/>
          <w:sz w:val="20"/>
          <w:szCs w:val="20"/>
        </w:rPr>
        <w:t>Notificación al Estado</w:t>
      </w:r>
      <w:r w:rsidRPr="00996758">
        <w:rPr>
          <w:rFonts w:ascii="Verdana" w:hAnsi="Verdana"/>
          <w:sz w:val="20"/>
          <w:szCs w:val="20"/>
        </w:rPr>
        <w:t xml:space="preserve">.- La Comisión notificó el Informe de Fondo al Estado el </w:t>
      </w:r>
      <w:r w:rsidR="0029148D" w:rsidRPr="00996758">
        <w:rPr>
          <w:rFonts w:ascii="Verdana" w:hAnsi="Verdana"/>
          <w:sz w:val="20"/>
          <w:szCs w:val="20"/>
        </w:rPr>
        <w:t>3 de agosto</w:t>
      </w:r>
      <w:r w:rsidRPr="00996758">
        <w:rPr>
          <w:rFonts w:ascii="Verdana" w:hAnsi="Verdana"/>
          <w:sz w:val="20"/>
          <w:szCs w:val="20"/>
        </w:rPr>
        <w:t xml:space="preserve"> de 2015 y le otorgó un plazo de dos meses para informar sobre el cumpl</w:t>
      </w:r>
      <w:r w:rsidR="00EB6760" w:rsidRPr="00996758">
        <w:rPr>
          <w:rFonts w:ascii="Verdana" w:hAnsi="Verdana"/>
          <w:sz w:val="20"/>
          <w:szCs w:val="20"/>
        </w:rPr>
        <w:t xml:space="preserve">imiento de las recomendaciones. </w:t>
      </w:r>
      <w:r w:rsidRPr="00996758">
        <w:rPr>
          <w:rFonts w:ascii="Verdana" w:hAnsi="Verdana"/>
          <w:sz w:val="20"/>
          <w:szCs w:val="20"/>
        </w:rPr>
        <w:t xml:space="preserve">La Comisión señaló que, </w:t>
      </w:r>
      <w:r w:rsidR="0029148D" w:rsidRPr="00996758">
        <w:rPr>
          <w:rFonts w:ascii="Verdana" w:hAnsi="Verdana"/>
          <w:sz w:val="20"/>
          <w:szCs w:val="20"/>
        </w:rPr>
        <w:t xml:space="preserve">tras el otorgamiento de dos prórrogas, </w:t>
      </w:r>
      <w:r w:rsidRPr="00996758">
        <w:rPr>
          <w:rFonts w:ascii="Verdana" w:hAnsi="Verdana"/>
          <w:sz w:val="20"/>
          <w:szCs w:val="20"/>
        </w:rPr>
        <w:t xml:space="preserve">el Estado no había </w:t>
      </w:r>
      <w:r w:rsidR="0029148D" w:rsidRPr="00996758">
        <w:rPr>
          <w:rFonts w:ascii="Verdana" w:hAnsi="Verdana"/>
          <w:sz w:val="20"/>
          <w:szCs w:val="20"/>
        </w:rPr>
        <w:t xml:space="preserve">avanzado en </w:t>
      </w:r>
      <w:r w:rsidR="00EB6760" w:rsidRPr="00996758">
        <w:rPr>
          <w:rFonts w:ascii="Verdana" w:hAnsi="Verdana"/>
          <w:sz w:val="20"/>
          <w:szCs w:val="20"/>
        </w:rPr>
        <w:t>ese sentido</w:t>
      </w:r>
      <w:r w:rsidR="0029148D" w:rsidRPr="00996758">
        <w:rPr>
          <w:rFonts w:ascii="Verdana" w:hAnsi="Verdana"/>
          <w:sz w:val="20"/>
          <w:szCs w:val="20"/>
        </w:rPr>
        <w:t>, particularmente en lo relativo a la investigación y sanción de los responsables y la</w:t>
      </w:r>
      <w:r w:rsidR="00EB6760" w:rsidRPr="00996758">
        <w:rPr>
          <w:rFonts w:ascii="Verdana" w:hAnsi="Verdana"/>
          <w:sz w:val="20"/>
          <w:szCs w:val="20"/>
        </w:rPr>
        <w:t xml:space="preserve"> búsqueda del destino o paradero</w:t>
      </w:r>
      <w:r w:rsidR="0029148D" w:rsidRPr="00996758">
        <w:rPr>
          <w:rFonts w:ascii="Verdana" w:hAnsi="Verdana"/>
          <w:sz w:val="20"/>
          <w:szCs w:val="20"/>
        </w:rPr>
        <w:t xml:space="preserve"> de la presunta víctima</w:t>
      </w:r>
      <w:r w:rsidRPr="00996758">
        <w:rPr>
          <w:rFonts w:ascii="Verdana" w:hAnsi="Verdana"/>
          <w:sz w:val="20"/>
          <w:szCs w:val="20"/>
        </w:rPr>
        <w:t>.</w:t>
      </w:r>
      <w:r w:rsidR="00CC40D6" w:rsidRPr="00996758">
        <w:rPr>
          <w:rFonts w:ascii="Verdana" w:hAnsi="Verdana"/>
          <w:sz w:val="20"/>
          <w:szCs w:val="20"/>
        </w:rPr>
        <w:t xml:space="preserve"> </w:t>
      </w:r>
      <w:r w:rsidR="00CC40D6" w:rsidRPr="00996758">
        <w:rPr>
          <w:rFonts w:ascii="Verdana" w:hAnsi="Verdana"/>
          <w:b/>
          <w:sz w:val="20"/>
          <w:szCs w:val="20"/>
        </w:rPr>
        <w:t>(f.3)</w:t>
      </w:r>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iCs/>
          <w:sz w:val="20"/>
          <w:szCs w:val="20"/>
        </w:rPr>
        <w:t xml:space="preserve">Sometimiento </w:t>
      </w:r>
      <w:r w:rsidR="001F229B" w:rsidRPr="00996758">
        <w:rPr>
          <w:rFonts w:ascii="Verdana" w:hAnsi="Verdana"/>
          <w:i/>
          <w:iCs/>
          <w:sz w:val="20"/>
          <w:szCs w:val="20"/>
        </w:rPr>
        <w:t xml:space="preserve">del caso </w:t>
      </w:r>
      <w:r w:rsidRPr="00996758">
        <w:rPr>
          <w:rFonts w:ascii="Verdana" w:hAnsi="Verdana"/>
          <w:i/>
          <w:iCs/>
          <w:sz w:val="20"/>
          <w:szCs w:val="20"/>
        </w:rPr>
        <w:t>a</w:t>
      </w:r>
      <w:r w:rsidR="001F229B" w:rsidRPr="00996758">
        <w:rPr>
          <w:rFonts w:ascii="Verdana" w:hAnsi="Verdana"/>
          <w:i/>
          <w:iCs/>
          <w:sz w:val="20"/>
          <w:szCs w:val="20"/>
        </w:rPr>
        <w:t>nte</w:t>
      </w:r>
      <w:r w:rsidRPr="00996758">
        <w:rPr>
          <w:rFonts w:ascii="Verdana" w:hAnsi="Verdana"/>
          <w:i/>
          <w:iCs/>
          <w:sz w:val="20"/>
          <w:szCs w:val="20"/>
        </w:rPr>
        <w:t xml:space="preserve"> la Corte</w:t>
      </w:r>
      <w:r w:rsidRPr="00996758">
        <w:rPr>
          <w:rFonts w:ascii="Verdana" w:hAnsi="Verdana"/>
          <w:sz w:val="20"/>
          <w:szCs w:val="20"/>
        </w:rPr>
        <w:t xml:space="preserve">.- </w:t>
      </w:r>
      <w:r w:rsidR="00656A54" w:rsidRPr="00996758">
        <w:rPr>
          <w:rFonts w:ascii="Verdana" w:hAnsi="Verdana"/>
          <w:sz w:val="20"/>
          <w:szCs w:val="20"/>
        </w:rPr>
        <w:t>El 3 de abril de 2016, t</w:t>
      </w:r>
      <w:r w:rsidR="009313B1" w:rsidRPr="00996758">
        <w:rPr>
          <w:rFonts w:ascii="Verdana" w:hAnsi="Verdana"/>
          <w:sz w:val="20"/>
          <w:szCs w:val="20"/>
        </w:rPr>
        <w:t xml:space="preserve">ranscurridos más de 31 años de </w:t>
      </w:r>
      <w:r w:rsidR="00656A54" w:rsidRPr="00996758">
        <w:rPr>
          <w:rFonts w:ascii="Verdana" w:hAnsi="Verdana"/>
          <w:sz w:val="20"/>
          <w:szCs w:val="20"/>
        </w:rPr>
        <w:t>sucedidos</w:t>
      </w:r>
      <w:r w:rsidR="009313B1" w:rsidRPr="00996758">
        <w:rPr>
          <w:rFonts w:ascii="Verdana" w:hAnsi="Verdana"/>
          <w:sz w:val="20"/>
          <w:szCs w:val="20"/>
        </w:rPr>
        <w:t xml:space="preserve"> los hechos del caso y más de 25 años después de </w:t>
      </w:r>
      <w:r w:rsidR="00656A54" w:rsidRPr="00996758">
        <w:rPr>
          <w:rFonts w:ascii="Verdana" w:hAnsi="Verdana"/>
          <w:sz w:val="20"/>
          <w:szCs w:val="20"/>
        </w:rPr>
        <w:t>presentada</w:t>
      </w:r>
      <w:r w:rsidR="009313B1" w:rsidRPr="00996758">
        <w:rPr>
          <w:rFonts w:ascii="Verdana" w:hAnsi="Verdana"/>
          <w:sz w:val="20"/>
          <w:szCs w:val="20"/>
        </w:rPr>
        <w:t xml:space="preserve"> la </w:t>
      </w:r>
      <w:r w:rsidR="006E71FB" w:rsidRPr="00996758">
        <w:rPr>
          <w:rFonts w:ascii="Verdana" w:hAnsi="Verdana"/>
          <w:sz w:val="20"/>
          <w:szCs w:val="20"/>
        </w:rPr>
        <w:t>petición</w:t>
      </w:r>
      <w:r w:rsidR="009313B1" w:rsidRPr="00996758">
        <w:rPr>
          <w:rFonts w:ascii="Verdana" w:hAnsi="Verdana"/>
          <w:sz w:val="20"/>
          <w:szCs w:val="20"/>
        </w:rPr>
        <w:t xml:space="preserve"> ante la Comisión,</w:t>
      </w:r>
      <w:r w:rsidR="009313B1" w:rsidRPr="00996758">
        <w:rPr>
          <w:rFonts w:ascii="Verdana" w:hAnsi="Verdana"/>
          <w:b/>
          <w:sz w:val="20"/>
          <w:szCs w:val="20"/>
        </w:rPr>
        <w:t xml:space="preserve"> </w:t>
      </w:r>
      <w:r w:rsidR="009313B1" w:rsidRPr="00996758">
        <w:rPr>
          <w:rFonts w:ascii="Verdana" w:hAnsi="Verdana"/>
          <w:sz w:val="20"/>
          <w:szCs w:val="20"/>
        </w:rPr>
        <w:t>ésta</w:t>
      </w:r>
      <w:r w:rsidRPr="00996758">
        <w:rPr>
          <w:rFonts w:ascii="Verdana" w:hAnsi="Verdana"/>
          <w:sz w:val="20"/>
          <w:szCs w:val="20"/>
        </w:rPr>
        <w:t xml:space="preserve"> sometió a la Corte la totalidad de los hechos y </w:t>
      </w:r>
      <w:r w:rsidR="00E90B2A" w:rsidRPr="00996758">
        <w:rPr>
          <w:rFonts w:ascii="Verdana" w:hAnsi="Verdana"/>
          <w:sz w:val="20"/>
          <w:szCs w:val="20"/>
        </w:rPr>
        <w:t xml:space="preserve">conclusiones sobre </w:t>
      </w:r>
      <w:r w:rsidRPr="00996758">
        <w:rPr>
          <w:rFonts w:ascii="Verdana" w:hAnsi="Verdana"/>
          <w:sz w:val="20"/>
          <w:szCs w:val="20"/>
        </w:rPr>
        <w:t xml:space="preserve">violaciones de derechos humanos descritos en el Informe de Fondo </w:t>
      </w:r>
      <w:r w:rsidR="009552B4" w:rsidRPr="00996758">
        <w:rPr>
          <w:rFonts w:ascii="Verdana" w:hAnsi="Verdana"/>
          <w:sz w:val="20"/>
          <w:szCs w:val="20"/>
        </w:rPr>
        <w:t>25</w:t>
      </w:r>
      <w:r w:rsidRPr="00996758">
        <w:rPr>
          <w:rFonts w:ascii="Verdana" w:hAnsi="Verdana"/>
          <w:sz w:val="20"/>
          <w:szCs w:val="20"/>
        </w:rPr>
        <w:t>/15</w:t>
      </w:r>
      <w:r w:rsidR="00656A54" w:rsidRPr="00996758">
        <w:rPr>
          <w:rFonts w:ascii="Verdana" w:hAnsi="Verdana"/>
          <w:sz w:val="20"/>
          <w:szCs w:val="20"/>
        </w:rPr>
        <w:t>,</w:t>
      </w:r>
      <w:r w:rsidRPr="00996758">
        <w:rPr>
          <w:rFonts w:ascii="Verdana" w:hAnsi="Verdana"/>
          <w:sz w:val="20"/>
          <w:szCs w:val="20"/>
        </w:rPr>
        <w:t xml:space="preserve"> por la “necesidad de obtención de justicia para las [presuntas] víctimas</w:t>
      </w:r>
      <w:r w:rsidR="009552B4" w:rsidRPr="00996758">
        <w:rPr>
          <w:rFonts w:ascii="Verdana" w:hAnsi="Verdana"/>
          <w:sz w:val="20"/>
          <w:szCs w:val="20"/>
        </w:rPr>
        <w:t xml:space="preserve"> del caso</w:t>
      </w:r>
      <w:r w:rsidRPr="00996758">
        <w:rPr>
          <w:rFonts w:ascii="Verdana" w:hAnsi="Verdana"/>
          <w:sz w:val="20"/>
          <w:szCs w:val="20"/>
        </w:rPr>
        <w:t>”</w:t>
      </w:r>
      <w:r w:rsidRPr="00996758">
        <w:rPr>
          <w:rFonts w:ascii="Verdana" w:hAnsi="Verdana"/>
          <w:sz w:val="20"/>
          <w:szCs w:val="20"/>
          <w:vertAlign w:val="superscript"/>
        </w:rPr>
        <w:footnoteReference w:id="4"/>
      </w:r>
      <w:r w:rsidRPr="00996758">
        <w:rPr>
          <w:rFonts w:ascii="Verdana" w:hAnsi="Verdana"/>
          <w:sz w:val="20"/>
          <w:szCs w:val="20"/>
        </w:rPr>
        <w:t xml:space="preserve">. </w:t>
      </w:r>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Solicitudes de la Comisión Interamericana</w:t>
      </w:r>
      <w:r w:rsidRPr="00996758">
        <w:rPr>
          <w:rFonts w:ascii="Verdana" w:hAnsi="Verdana"/>
          <w:sz w:val="20"/>
          <w:szCs w:val="20"/>
        </w:rPr>
        <w:t>.- Con base en lo anterior, la Comisión solicit</w:t>
      </w:r>
      <w:r w:rsidR="00663255" w:rsidRPr="00996758">
        <w:rPr>
          <w:rFonts w:ascii="Verdana" w:hAnsi="Verdana"/>
          <w:sz w:val="20"/>
          <w:szCs w:val="20"/>
        </w:rPr>
        <w:t>ó a este Tribunal que concluya y declare</w:t>
      </w:r>
      <w:r w:rsidRPr="00996758">
        <w:rPr>
          <w:rFonts w:ascii="Verdana" w:hAnsi="Verdana"/>
          <w:sz w:val="20"/>
          <w:szCs w:val="20"/>
        </w:rPr>
        <w:t xml:space="preserve"> que el Estado es responsable por la violación de los derechos declarados en su In</w:t>
      </w:r>
      <w:r w:rsidR="00663255" w:rsidRPr="00996758">
        <w:rPr>
          <w:rFonts w:ascii="Verdana" w:hAnsi="Verdana"/>
          <w:sz w:val="20"/>
          <w:szCs w:val="20"/>
        </w:rPr>
        <w:t>forme de Fondo y que le ordene</w:t>
      </w:r>
      <w:r w:rsidRPr="00996758">
        <w:rPr>
          <w:rFonts w:ascii="Verdana" w:hAnsi="Verdana"/>
          <w:sz w:val="20"/>
          <w:szCs w:val="20"/>
        </w:rPr>
        <w:t xml:space="preserve">, como medidas de reparación, las recomendaciones contenidas en el mismo. </w:t>
      </w:r>
    </w:p>
    <w:p w:rsidR="005B536C" w:rsidRPr="00996758" w:rsidRDefault="005B536C" w:rsidP="00756418">
      <w:pPr>
        <w:pStyle w:val="ListParagraph"/>
        <w:spacing w:line="240" w:lineRule="auto"/>
        <w:ind w:left="0"/>
        <w:jc w:val="both"/>
        <w:rPr>
          <w:rFonts w:ascii="Verdana" w:hAnsi="Verdana"/>
          <w:sz w:val="20"/>
          <w:szCs w:val="20"/>
        </w:rPr>
      </w:pPr>
    </w:p>
    <w:p w:rsidR="00FC0376" w:rsidRPr="00996758" w:rsidRDefault="00FC0376" w:rsidP="00756418">
      <w:pPr>
        <w:pStyle w:val="ListParagraph"/>
        <w:spacing w:line="240" w:lineRule="auto"/>
        <w:ind w:left="0"/>
        <w:jc w:val="both"/>
        <w:rPr>
          <w:rFonts w:ascii="Verdana" w:hAnsi="Verdana"/>
          <w:sz w:val="20"/>
          <w:szCs w:val="20"/>
        </w:rPr>
      </w:pPr>
    </w:p>
    <w:p w:rsidR="005B536C" w:rsidRPr="00996758" w:rsidRDefault="005B536C" w:rsidP="00AE1DD8">
      <w:pPr>
        <w:pStyle w:val="Heading1"/>
        <w:spacing w:before="0" w:after="0"/>
        <w:rPr>
          <w:caps w:val="0"/>
          <w:noProof/>
        </w:rPr>
      </w:pPr>
      <w:bookmarkStart w:id="2" w:name="_Toc340752579"/>
      <w:bookmarkStart w:id="3" w:name="_Toc530560052"/>
      <w:r w:rsidRPr="00996758">
        <w:rPr>
          <w:noProof/>
        </w:rPr>
        <w:t>II</w:t>
      </w:r>
      <w:r w:rsidRPr="00996758">
        <w:rPr>
          <w:noProof/>
        </w:rPr>
        <w:br/>
        <w:t>PROCEDIMIENTO ANTE LA CORTE</w:t>
      </w:r>
      <w:bookmarkEnd w:id="2"/>
      <w:bookmarkEnd w:id="3"/>
    </w:p>
    <w:p w:rsidR="005B536C" w:rsidRPr="00996758" w:rsidRDefault="005B536C">
      <w:pPr>
        <w:spacing w:after="0" w:line="240" w:lineRule="auto"/>
        <w:jc w:val="both"/>
        <w:rPr>
          <w:rFonts w:ascii="Verdana" w:hAnsi="Verdana" w:cs="Times New Roman"/>
          <w:sz w:val="20"/>
          <w:szCs w:val="20"/>
        </w:rPr>
      </w:pPr>
    </w:p>
    <w:p w:rsidR="005B536C" w:rsidRPr="00996758" w:rsidRDefault="005B536C"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Notificación al Estado y a representante</w:t>
      </w:r>
      <w:r w:rsidR="005F4CD2" w:rsidRPr="00996758">
        <w:rPr>
          <w:rFonts w:ascii="Verdana" w:hAnsi="Verdana"/>
          <w:i/>
          <w:sz w:val="20"/>
          <w:szCs w:val="20"/>
        </w:rPr>
        <w:t>s</w:t>
      </w:r>
      <w:r w:rsidRPr="00996758">
        <w:rPr>
          <w:rFonts w:ascii="Verdana" w:hAnsi="Verdana"/>
          <w:i/>
          <w:sz w:val="20"/>
          <w:szCs w:val="20"/>
        </w:rPr>
        <w:t xml:space="preserve"> de presuntas víctimas</w:t>
      </w:r>
      <w:r w:rsidRPr="00996758">
        <w:rPr>
          <w:rFonts w:ascii="Verdana" w:hAnsi="Verdana"/>
          <w:sz w:val="20"/>
          <w:szCs w:val="20"/>
        </w:rPr>
        <w:t xml:space="preserve">.- El sometimiento del caso por parte de la Comisión fue notificado </w:t>
      </w:r>
      <w:r w:rsidR="005F4CD2" w:rsidRPr="00996758">
        <w:rPr>
          <w:rFonts w:ascii="Verdana" w:hAnsi="Verdana"/>
          <w:sz w:val="20"/>
          <w:szCs w:val="20"/>
        </w:rPr>
        <w:t xml:space="preserve">al Estado y a los </w:t>
      </w:r>
      <w:r w:rsidRPr="00996758">
        <w:rPr>
          <w:rFonts w:ascii="Verdana" w:hAnsi="Verdana"/>
          <w:sz w:val="20"/>
          <w:szCs w:val="20"/>
        </w:rPr>
        <w:t>representante</w:t>
      </w:r>
      <w:r w:rsidR="005F4CD2" w:rsidRPr="00996758">
        <w:rPr>
          <w:rFonts w:ascii="Verdana" w:hAnsi="Verdana"/>
          <w:sz w:val="20"/>
          <w:szCs w:val="20"/>
        </w:rPr>
        <w:t>s</w:t>
      </w:r>
      <w:r w:rsidRPr="00996758">
        <w:rPr>
          <w:rFonts w:ascii="Verdana" w:hAnsi="Verdana"/>
          <w:sz w:val="20"/>
          <w:szCs w:val="20"/>
        </w:rPr>
        <w:t xml:space="preserve"> de las presuntas víctimas</w:t>
      </w:r>
      <w:r w:rsidR="00663255" w:rsidRPr="00996758">
        <w:rPr>
          <w:rStyle w:val="FootnoteReference"/>
          <w:rFonts w:ascii="Verdana" w:hAnsi="Verdana"/>
          <w:sz w:val="20"/>
          <w:szCs w:val="20"/>
        </w:rPr>
        <w:footnoteReference w:id="5"/>
      </w:r>
      <w:r w:rsidRPr="00996758">
        <w:rPr>
          <w:rFonts w:ascii="Verdana" w:hAnsi="Verdana"/>
          <w:sz w:val="20"/>
          <w:szCs w:val="20"/>
        </w:rPr>
        <w:t xml:space="preserve"> (en adelante “</w:t>
      </w:r>
      <w:r w:rsidR="005F4CD2" w:rsidRPr="00996758">
        <w:rPr>
          <w:rFonts w:ascii="Verdana" w:hAnsi="Verdana"/>
          <w:sz w:val="20"/>
          <w:szCs w:val="20"/>
        </w:rPr>
        <w:t>los</w:t>
      </w:r>
      <w:r w:rsidRPr="00996758">
        <w:rPr>
          <w:rFonts w:ascii="Verdana" w:hAnsi="Verdana"/>
          <w:sz w:val="20"/>
          <w:szCs w:val="20"/>
        </w:rPr>
        <w:t xml:space="preserve"> representante</w:t>
      </w:r>
      <w:r w:rsidR="005F4CD2" w:rsidRPr="00996758">
        <w:rPr>
          <w:rFonts w:ascii="Verdana" w:hAnsi="Verdana"/>
          <w:sz w:val="20"/>
          <w:szCs w:val="20"/>
        </w:rPr>
        <w:t>s</w:t>
      </w:r>
      <w:r w:rsidRPr="00996758">
        <w:rPr>
          <w:rFonts w:ascii="Verdana" w:hAnsi="Verdana"/>
          <w:sz w:val="20"/>
          <w:szCs w:val="20"/>
        </w:rPr>
        <w:t>”)</w:t>
      </w:r>
      <w:r w:rsidR="00663255" w:rsidRPr="00996758">
        <w:rPr>
          <w:rStyle w:val="FootnoteReference"/>
          <w:rFonts w:ascii="Verdana" w:hAnsi="Verdana"/>
          <w:sz w:val="20"/>
          <w:szCs w:val="20"/>
        </w:rPr>
        <w:t xml:space="preserve"> </w:t>
      </w:r>
      <w:r w:rsidR="005F4CD2" w:rsidRPr="00996758">
        <w:rPr>
          <w:rFonts w:ascii="Verdana" w:hAnsi="Verdana"/>
          <w:sz w:val="20"/>
          <w:szCs w:val="20"/>
        </w:rPr>
        <w:t>el 23 de mayo de 2016</w:t>
      </w:r>
      <w:r w:rsidRPr="00996758">
        <w:rPr>
          <w:rFonts w:ascii="Verdana" w:hAnsi="Verdana"/>
          <w:sz w:val="20"/>
          <w:szCs w:val="20"/>
        </w:rPr>
        <w:t>.</w:t>
      </w:r>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Escrito de solicitudes, argumentos y pruebas.-</w:t>
      </w:r>
      <w:r w:rsidR="00315AAB" w:rsidRPr="00996758">
        <w:rPr>
          <w:rFonts w:ascii="Verdana" w:hAnsi="Verdana"/>
          <w:sz w:val="20"/>
          <w:szCs w:val="20"/>
        </w:rPr>
        <w:t xml:space="preserve"> El 26 </w:t>
      </w:r>
      <w:r w:rsidRPr="00996758">
        <w:rPr>
          <w:rFonts w:ascii="Verdana" w:hAnsi="Verdana"/>
          <w:sz w:val="20"/>
          <w:szCs w:val="20"/>
        </w:rPr>
        <w:t xml:space="preserve">de julio de 2016 </w:t>
      </w:r>
      <w:r w:rsidR="00315AAB" w:rsidRPr="00996758">
        <w:rPr>
          <w:rFonts w:ascii="Verdana" w:hAnsi="Verdana"/>
          <w:sz w:val="20"/>
          <w:szCs w:val="20"/>
        </w:rPr>
        <w:t>los</w:t>
      </w:r>
      <w:r w:rsidRPr="00996758">
        <w:rPr>
          <w:rFonts w:ascii="Verdana" w:hAnsi="Verdana"/>
          <w:sz w:val="20"/>
          <w:szCs w:val="20"/>
        </w:rPr>
        <w:t xml:space="preserve"> representante</w:t>
      </w:r>
      <w:r w:rsidR="00315AAB" w:rsidRPr="00996758">
        <w:rPr>
          <w:rFonts w:ascii="Verdana" w:hAnsi="Verdana"/>
          <w:sz w:val="20"/>
          <w:szCs w:val="20"/>
        </w:rPr>
        <w:t>s presentaron</w:t>
      </w:r>
      <w:r w:rsidRPr="00996758">
        <w:rPr>
          <w:rFonts w:ascii="Verdana" w:hAnsi="Verdana"/>
          <w:sz w:val="20"/>
          <w:szCs w:val="20"/>
        </w:rPr>
        <w:t xml:space="preserve"> su escrito de solicitudes, argumentos y pruebas (en adelante “escrito de solicitudes y argumentos”), en los términos de los artículos 25 y 40 del Reglamento. </w:t>
      </w:r>
      <w:r w:rsidR="00315AAB" w:rsidRPr="00996758">
        <w:rPr>
          <w:rFonts w:ascii="Verdana" w:hAnsi="Verdana"/>
          <w:sz w:val="20"/>
          <w:szCs w:val="20"/>
        </w:rPr>
        <w:t>Los</w:t>
      </w:r>
      <w:r w:rsidRPr="00996758">
        <w:rPr>
          <w:rFonts w:ascii="Verdana" w:hAnsi="Verdana"/>
          <w:sz w:val="20"/>
          <w:szCs w:val="20"/>
        </w:rPr>
        <w:t xml:space="preserve"> representante</w:t>
      </w:r>
      <w:r w:rsidR="00315AAB" w:rsidRPr="00996758">
        <w:rPr>
          <w:rFonts w:ascii="Verdana" w:hAnsi="Verdana"/>
          <w:sz w:val="20"/>
          <w:szCs w:val="20"/>
        </w:rPr>
        <w:t>s coincidieron</w:t>
      </w:r>
      <w:r w:rsidRPr="00996758">
        <w:rPr>
          <w:rFonts w:ascii="Verdana" w:hAnsi="Verdana"/>
          <w:sz w:val="20"/>
          <w:szCs w:val="20"/>
        </w:rPr>
        <w:t xml:space="preserve"> sustancialmente con los argumentos y conclusiones</w:t>
      </w:r>
      <w:r w:rsidR="00315AAB" w:rsidRPr="00996758">
        <w:rPr>
          <w:rFonts w:ascii="Verdana" w:hAnsi="Verdana"/>
          <w:sz w:val="20"/>
          <w:szCs w:val="20"/>
        </w:rPr>
        <w:t xml:space="preserve"> de la Comisión y, además, alegaron</w:t>
      </w:r>
      <w:r w:rsidRPr="00996758">
        <w:rPr>
          <w:rFonts w:ascii="Verdana" w:hAnsi="Verdana"/>
          <w:sz w:val="20"/>
          <w:szCs w:val="20"/>
        </w:rPr>
        <w:t xml:space="preserve"> que el Estado es responsable por la violación </w:t>
      </w:r>
      <w:r w:rsidR="00201BDD" w:rsidRPr="00996758">
        <w:rPr>
          <w:rFonts w:ascii="Verdana" w:eastAsia="Verdana" w:hAnsi="Verdana" w:cs="Verdana"/>
          <w:sz w:val="20"/>
          <w:szCs w:val="20"/>
        </w:rPr>
        <w:t>de</w:t>
      </w:r>
      <w:r w:rsidR="00C04E30" w:rsidRPr="00996758">
        <w:rPr>
          <w:rFonts w:ascii="Verdana" w:eastAsia="Verdana" w:hAnsi="Verdana" w:cs="Verdana"/>
          <w:sz w:val="20"/>
          <w:szCs w:val="20"/>
        </w:rPr>
        <w:t xml:space="preserve">l </w:t>
      </w:r>
      <w:r w:rsidR="00201BDD" w:rsidRPr="00996758">
        <w:rPr>
          <w:rFonts w:ascii="Verdana" w:eastAsia="Verdana" w:hAnsi="Verdana" w:cs="Verdana"/>
          <w:sz w:val="20"/>
          <w:szCs w:val="20"/>
        </w:rPr>
        <w:t>derecho a la protección de la familia (artículo 17) en relación con el derecho a la protec</w:t>
      </w:r>
      <w:r w:rsidR="00663255" w:rsidRPr="00996758">
        <w:rPr>
          <w:rFonts w:ascii="Verdana" w:eastAsia="Verdana" w:hAnsi="Verdana" w:cs="Verdana"/>
          <w:sz w:val="20"/>
          <w:szCs w:val="20"/>
        </w:rPr>
        <w:t>ción a la honra (artículo 11.2)</w:t>
      </w:r>
      <w:r w:rsidR="00201BDD" w:rsidRPr="00996758">
        <w:rPr>
          <w:rFonts w:ascii="Verdana" w:eastAsia="Verdana" w:hAnsi="Verdana" w:cs="Verdana"/>
          <w:sz w:val="20"/>
          <w:szCs w:val="20"/>
        </w:rPr>
        <w:t>. Solicitaron a la Corte que ordene varias medidas de reparación.</w:t>
      </w:r>
    </w:p>
    <w:p w:rsidR="005B536C" w:rsidRPr="00996758" w:rsidRDefault="005B536C">
      <w:pPr>
        <w:pStyle w:val="ListParagraph"/>
        <w:spacing w:after="0" w:line="240" w:lineRule="auto"/>
        <w:ind w:left="0"/>
        <w:jc w:val="both"/>
        <w:rPr>
          <w:rFonts w:ascii="Verdana" w:eastAsia="Verdana" w:hAnsi="Verdana" w:cs="Verdana"/>
          <w:sz w:val="20"/>
          <w:szCs w:val="20"/>
        </w:rPr>
      </w:pPr>
    </w:p>
    <w:p w:rsidR="00201BDD" w:rsidRPr="00996758" w:rsidRDefault="00201BDD"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eastAsia="Verdana" w:hAnsi="Verdana" w:cs="Verdana"/>
          <w:i/>
          <w:sz w:val="20"/>
          <w:szCs w:val="20"/>
        </w:rPr>
        <w:t>Escrito de</w:t>
      </w:r>
      <w:r w:rsidRPr="00996758">
        <w:rPr>
          <w:rFonts w:ascii="Verdana" w:eastAsia="Calibri" w:hAnsi="Verdana"/>
          <w:bCs/>
          <w:i/>
          <w:sz w:val="20"/>
          <w:szCs w:val="20"/>
        </w:rPr>
        <w:t xml:space="preserve"> contestación y reconocimiento de responsabilidad</w:t>
      </w:r>
      <w:r w:rsidRPr="00996758">
        <w:rPr>
          <w:rStyle w:val="FootnoteReference"/>
          <w:rFonts w:ascii="Verdana" w:eastAsia="Calibri" w:hAnsi="Verdana"/>
          <w:bCs/>
          <w:sz w:val="20"/>
          <w:szCs w:val="20"/>
        </w:rPr>
        <w:footnoteReference w:id="6"/>
      </w:r>
      <w:r w:rsidRPr="00996758">
        <w:rPr>
          <w:rFonts w:ascii="Verdana" w:eastAsia="Calibri" w:hAnsi="Verdana"/>
          <w:bCs/>
          <w:sz w:val="20"/>
          <w:szCs w:val="20"/>
        </w:rPr>
        <w:t xml:space="preserve">. – </w:t>
      </w:r>
      <w:r w:rsidRPr="00996758">
        <w:rPr>
          <w:rFonts w:ascii="Verdana" w:hAnsi="Verdana"/>
          <w:sz w:val="20"/>
          <w:szCs w:val="20"/>
        </w:rPr>
        <w:t xml:space="preserve">El </w:t>
      </w:r>
      <w:r w:rsidR="001C4A38" w:rsidRPr="00996758">
        <w:rPr>
          <w:rFonts w:ascii="Verdana" w:hAnsi="Verdana"/>
          <w:sz w:val="20"/>
          <w:szCs w:val="20"/>
        </w:rPr>
        <w:t>29 de octubre de 2016</w:t>
      </w:r>
      <w:r w:rsidRPr="00996758">
        <w:rPr>
          <w:rFonts w:ascii="Verdana" w:hAnsi="Verdana"/>
          <w:sz w:val="20"/>
          <w:szCs w:val="20"/>
        </w:rPr>
        <w:t xml:space="preserve"> el Estado presentó su escrito de contestación al sometimiento del caso y al escrito de solicitudes y argumentos (en adelante “contestación” o “escrito de contestación”), en el cual</w:t>
      </w:r>
      <w:r w:rsidR="001C4A38" w:rsidRPr="00996758">
        <w:rPr>
          <w:rFonts w:ascii="Verdana" w:hAnsi="Verdana"/>
          <w:sz w:val="20"/>
          <w:szCs w:val="20"/>
        </w:rPr>
        <w:t xml:space="preserve"> también</w:t>
      </w:r>
      <w:r w:rsidRPr="00996758">
        <w:rPr>
          <w:rFonts w:ascii="Verdana" w:hAnsi="Verdana"/>
          <w:sz w:val="20"/>
          <w:szCs w:val="20"/>
        </w:rPr>
        <w:t xml:space="preserve"> </w:t>
      </w:r>
      <w:r w:rsidR="001C4A38" w:rsidRPr="00996758">
        <w:rPr>
          <w:rFonts w:ascii="Verdana" w:hAnsi="Verdana"/>
          <w:sz w:val="20"/>
          <w:szCs w:val="20"/>
        </w:rPr>
        <w:t>efectuó un reconocimiento parcial de</w:t>
      </w:r>
      <w:r w:rsidRPr="00996758">
        <w:rPr>
          <w:rFonts w:ascii="Verdana" w:hAnsi="Verdana"/>
          <w:sz w:val="20"/>
          <w:szCs w:val="20"/>
        </w:rPr>
        <w:t xml:space="preserve"> responsabilidad internacional. </w:t>
      </w:r>
    </w:p>
    <w:p w:rsidR="00201BDD" w:rsidRPr="00996758" w:rsidRDefault="00201BDD">
      <w:pPr>
        <w:pStyle w:val="ListParagraph"/>
        <w:spacing w:after="0" w:line="240" w:lineRule="auto"/>
        <w:ind w:left="0"/>
        <w:jc w:val="both"/>
        <w:rPr>
          <w:rFonts w:ascii="Verdana" w:hAnsi="Verdana"/>
          <w:sz w:val="20"/>
          <w:szCs w:val="20"/>
        </w:rPr>
      </w:pPr>
    </w:p>
    <w:p w:rsidR="00201BDD" w:rsidRPr="00996758" w:rsidRDefault="00201BDD"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Observaciones al reconocimiento de responsabilidad</w:t>
      </w:r>
      <w:r w:rsidRPr="00996758">
        <w:rPr>
          <w:rFonts w:ascii="Verdana" w:hAnsi="Verdana"/>
          <w:sz w:val="20"/>
          <w:szCs w:val="20"/>
        </w:rPr>
        <w:t xml:space="preserve">. </w:t>
      </w:r>
      <w:r w:rsidR="001C4A38" w:rsidRPr="00996758">
        <w:rPr>
          <w:rFonts w:ascii="Verdana" w:hAnsi="Verdana"/>
          <w:sz w:val="20"/>
          <w:szCs w:val="20"/>
        </w:rPr>
        <w:t>- El 19 de diciembre de 2016</w:t>
      </w:r>
      <w:r w:rsidRPr="00996758">
        <w:rPr>
          <w:rFonts w:ascii="Verdana" w:hAnsi="Verdana"/>
          <w:sz w:val="20"/>
          <w:szCs w:val="20"/>
        </w:rPr>
        <w:t xml:space="preserve"> los representantes y la Comisión presentaron sus observaciones sobre </w:t>
      </w:r>
      <w:r w:rsidR="00663255" w:rsidRPr="00996758">
        <w:rPr>
          <w:rFonts w:ascii="Verdana" w:hAnsi="Verdana"/>
          <w:sz w:val="20"/>
          <w:szCs w:val="20"/>
        </w:rPr>
        <w:t>dicho</w:t>
      </w:r>
      <w:r w:rsidRPr="00996758">
        <w:rPr>
          <w:rFonts w:ascii="Verdana" w:hAnsi="Verdana"/>
          <w:sz w:val="20"/>
          <w:szCs w:val="20"/>
        </w:rPr>
        <w:t xml:space="preserve"> reconocimiento</w:t>
      </w:r>
      <w:r w:rsidR="001C4A38" w:rsidRPr="00996758">
        <w:rPr>
          <w:rFonts w:ascii="Verdana" w:hAnsi="Verdana"/>
          <w:sz w:val="20"/>
          <w:szCs w:val="20"/>
        </w:rPr>
        <w:t>.</w:t>
      </w:r>
    </w:p>
    <w:p w:rsidR="001C4A38" w:rsidRPr="00996758" w:rsidRDefault="001C4A38">
      <w:pPr>
        <w:pStyle w:val="ListParagraph"/>
        <w:spacing w:after="0" w:line="240" w:lineRule="auto"/>
        <w:ind w:left="0"/>
        <w:jc w:val="both"/>
        <w:rPr>
          <w:rFonts w:ascii="Verdana" w:hAnsi="Verdana"/>
          <w:sz w:val="20"/>
          <w:szCs w:val="20"/>
        </w:rPr>
      </w:pPr>
    </w:p>
    <w:p w:rsidR="001C4A38" w:rsidRPr="00996758" w:rsidRDefault="001C4A38"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Fondo de Asistencia Legal de Víctimas</w:t>
      </w:r>
      <w:r w:rsidRPr="00996758">
        <w:rPr>
          <w:rFonts w:ascii="Verdana" w:hAnsi="Verdana"/>
          <w:sz w:val="20"/>
          <w:szCs w:val="20"/>
        </w:rPr>
        <w:t>.- Mediante Resolución del Presidente de la Corte de 4 de mayo de 2017, se declaró procedente la solicitud interpuesta por las presuntas víctimas, a través de sus representantes, para acogerse al Fondo de Asistencia Legal de la Corte</w:t>
      </w:r>
      <w:r w:rsidR="00A808B5" w:rsidRPr="00996758">
        <w:rPr>
          <w:rFonts w:ascii="Verdana" w:hAnsi="Verdana"/>
          <w:sz w:val="20"/>
          <w:szCs w:val="20"/>
        </w:rPr>
        <w:t xml:space="preserve"> (en adelante “el Fondo” o “Fondo de Asistencia Legal”)</w:t>
      </w:r>
      <w:r w:rsidRPr="00996758">
        <w:rPr>
          <w:rStyle w:val="FootnoteReference"/>
          <w:rFonts w:ascii="Verdana" w:hAnsi="Verdana" w:cs="Verdana"/>
          <w:sz w:val="20"/>
          <w:szCs w:val="20"/>
          <w:lang w:eastAsia="es-ES"/>
        </w:rPr>
        <w:footnoteReference w:id="7"/>
      </w:r>
      <w:r w:rsidRPr="00996758">
        <w:rPr>
          <w:rFonts w:ascii="Verdana" w:hAnsi="Verdana" w:cs="Verdana"/>
          <w:sz w:val="20"/>
          <w:szCs w:val="20"/>
          <w:lang w:eastAsia="es-ES"/>
        </w:rPr>
        <w:t>.</w:t>
      </w:r>
    </w:p>
    <w:p w:rsidR="005B536C" w:rsidRPr="00996758" w:rsidRDefault="005B536C">
      <w:pPr>
        <w:pStyle w:val="ListParagraph"/>
        <w:spacing w:after="0" w:line="240" w:lineRule="auto"/>
        <w:ind w:left="0"/>
        <w:jc w:val="both"/>
        <w:rPr>
          <w:rFonts w:ascii="Verdana" w:hAnsi="Verdana"/>
          <w:sz w:val="20"/>
          <w:szCs w:val="20"/>
        </w:rPr>
      </w:pPr>
    </w:p>
    <w:p w:rsidR="005B536C" w:rsidRPr="00996758" w:rsidRDefault="005B536C"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 xml:space="preserve">Audiencia pública y </w:t>
      </w:r>
      <w:r w:rsidR="001C4A38" w:rsidRPr="00996758">
        <w:rPr>
          <w:rFonts w:ascii="Verdana" w:hAnsi="Verdana"/>
          <w:i/>
          <w:sz w:val="20"/>
          <w:szCs w:val="20"/>
        </w:rPr>
        <w:t>declaraciones de presuntas víctimas, testigos y peritos</w:t>
      </w:r>
      <w:r w:rsidRPr="00996758">
        <w:rPr>
          <w:rFonts w:ascii="Verdana" w:hAnsi="Verdana"/>
          <w:sz w:val="20"/>
          <w:szCs w:val="20"/>
        </w:rPr>
        <w:t xml:space="preserve">.- </w:t>
      </w:r>
      <w:r w:rsidR="001C4A38" w:rsidRPr="00996758">
        <w:rPr>
          <w:rFonts w:ascii="Verdana" w:hAnsi="Verdana"/>
          <w:sz w:val="20"/>
          <w:szCs w:val="20"/>
        </w:rPr>
        <w:t>Mediante Resolución de 13 de diciembre de 2017</w:t>
      </w:r>
      <w:r w:rsidRPr="00996758">
        <w:rPr>
          <w:rFonts w:ascii="Verdana" w:hAnsi="Verdana"/>
          <w:sz w:val="20"/>
          <w:szCs w:val="20"/>
          <w:vertAlign w:val="superscript"/>
        </w:rPr>
        <w:footnoteReference w:id="8"/>
      </w:r>
      <w:r w:rsidRPr="00996758">
        <w:rPr>
          <w:rFonts w:ascii="Verdana" w:hAnsi="Verdana"/>
          <w:sz w:val="20"/>
          <w:szCs w:val="20"/>
        </w:rPr>
        <w:t xml:space="preserve">, el Presidente convocó a las partes y a la Comisión a una audiencia pública para recibir las declaraciones de una presunta víctima, </w:t>
      </w:r>
      <w:r w:rsidR="008E0A01" w:rsidRPr="00996758">
        <w:rPr>
          <w:rFonts w:ascii="Verdana" w:hAnsi="Verdana"/>
          <w:sz w:val="20"/>
          <w:szCs w:val="20"/>
        </w:rPr>
        <w:t>un testigo y un perito, propuestos respectivamente</w:t>
      </w:r>
      <w:r w:rsidRPr="00996758">
        <w:rPr>
          <w:rFonts w:ascii="Verdana" w:hAnsi="Verdana"/>
          <w:sz w:val="20"/>
          <w:szCs w:val="20"/>
        </w:rPr>
        <w:t xml:space="preserve"> por </w:t>
      </w:r>
      <w:r w:rsidR="00D9637C" w:rsidRPr="00996758">
        <w:rPr>
          <w:rFonts w:ascii="Verdana" w:hAnsi="Verdana"/>
          <w:sz w:val="20"/>
          <w:szCs w:val="20"/>
        </w:rPr>
        <w:t>los</w:t>
      </w:r>
      <w:r w:rsidRPr="00996758">
        <w:rPr>
          <w:rFonts w:ascii="Verdana" w:hAnsi="Verdana"/>
          <w:sz w:val="20"/>
          <w:szCs w:val="20"/>
        </w:rPr>
        <w:t xml:space="preserve"> representante</w:t>
      </w:r>
      <w:r w:rsidR="00D9637C" w:rsidRPr="00996758">
        <w:rPr>
          <w:rFonts w:ascii="Verdana" w:hAnsi="Verdana"/>
          <w:sz w:val="20"/>
          <w:szCs w:val="20"/>
        </w:rPr>
        <w:t>s</w:t>
      </w:r>
      <w:r w:rsidR="008E0A01" w:rsidRPr="00996758">
        <w:rPr>
          <w:rFonts w:ascii="Verdana" w:hAnsi="Verdana"/>
          <w:sz w:val="20"/>
          <w:szCs w:val="20"/>
        </w:rPr>
        <w:t>,</w:t>
      </w:r>
      <w:r w:rsidR="00D9637C" w:rsidRPr="00996758">
        <w:rPr>
          <w:rFonts w:ascii="Verdana" w:hAnsi="Verdana"/>
          <w:sz w:val="20"/>
          <w:szCs w:val="20"/>
        </w:rPr>
        <w:t xml:space="preserve"> </w:t>
      </w:r>
      <w:r w:rsidRPr="00996758">
        <w:rPr>
          <w:rFonts w:ascii="Verdana" w:hAnsi="Verdana"/>
          <w:sz w:val="20"/>
          <w:szCs w:val="20"/>
        </w:rPr>
        <w:t>el Estado</w:t>
      </w:r>
      <w:r w:rsidR="008E0A01" w:rsidRPr="00996758">
        <w:rPr>
          <w:rFonts w:ascii="Verdana" w:hAnsi="Verdana"/>
          <w:sz w:val="20"/>
          <w:szCs w:val="20"/>
        </w:rPr>
        <w:t xml:space="preserve"> y</w:t>
      </w:r>
      <w:r w:rsidR="00D9637C" w:rsidRPr="00996758">
        <w:rPr>
          <w:rFonts w:ascii="Verdana" w:hAnsi="Verdana"/>
          <w:sz w:val="20"/>
          <w:szCs w:val="20"/>
        </w:rPr>
        <w:t xml:space="preserve"> la Comisión,</w:t>
      </w:r>
      <w:r w:rsidRPr="00996758">
        <w:rPr>
          <w:rFonts w:ascii="Verdana" w:hAnsi="Verdana"/>
          <w:sz w:val="20"/>
          <w:szCs w:val="20"/>
        </w:rPr>
        <w:t xml:space="preserve"> así como </w:t>
      </w:r>
      <w:r w:rsidR="00CF7B7F" w:rsidRPr="00996758">
        <w:rPr>
          <w:rFonts w:ascii="Verdana" w:hAnsi="Verdana"/>
          <w:sz w:val="20"/>
          <w:szCs w:val="20"/>
        </w:rPr>
        <w:t xml:space="preserve">para escuchar </w:t>
      </w:r>
      <w:r w:rsidRPr="00996758">
        <w:rPr>
          <w:rFonts w:ascii="Verdana" w:hAnsi="Verdana"/>
          <w:sz w:val="20"/>
          <w:szCs w:val="20"/>
        </w:rPr>
        <w:t xml:space="preserve">sus alegatos y observaciones finales orales sobre el fondo y eventuales reparaciones. Asimismo, se ordenó recibir las declaraciones por afidávit de dos presuntas víctimas, </w:t>
      </w:r>
      <w:r w:rsidR="00D9637C" w:rsidRPr="00996758">
        <w:rPr>
          <w:rFonts w:ascii="Verdana" w:hAnsi="Verdana"/>
          <w:sz w:val="20"/>
          <w:szCs w:val="20"/>
        </w:rPr>
        <w:t>dos</w:t>
      </w:r>
      <w:r w:rsidRPr="00996758">
        <w:rPr>
          <w:rFonts w:ascii="Verdana" w:hAnsi="Verdana"/>
          <w:sz w:val="20"/>
          <w:szCs w:val="20"/>
        </w:rPr>
        <w:t xml:space="preserve"> testigos y </w:t>
      </w:r>
      <w:r w:rsidR="00D9637C" w:rsidRPr="00996758">
        <w:rPr>
          <w:rFonts w:ascii="Verdana" w:hAnsi="Verdana"/>
          <w:sz w:val="20"/>
          <w:szCs w:val="20"/>
        </w:rPr>
        <w:t xml:space="preserve">cinco </w:t>
      </w:r>
      <w:r w:rsidRPr="00996758">
        <w:rPr>
          <w:rFonts w:ascii="Verdana" w:hAnsi="Verdana"/>
          <w:sz w:val="20"/>
          <w:szCs w:val="20"/>
        </w:rPr>
        <w:t xml:space="preserve">peritos, propuestos por </w:t>
      </w:r>
      <w:r w:rsidR="00D9637C" w:rsidRPr="00996758">
        <w:rPr>
          <w:rFonts w:ascii="Verdana" w:hAnsi="Verdana"/>
          <w:sz w:val="20"/>
          <w:szCs w:val="20"/>
        </w:rPr>
        <w:t xml:space="preserve">los </w:t>
      </w:r>
      <w:r w:rsidRPr="00996758">
        <w:rPr>
          <w:rFonts w:ascii="Verdana" w:hAnsi="Verdana"/>
          <w:sz w:val="20"/>
          <w:szCs w:val="20"/>
        </w:rPr>
        <w:t>representante</w:t>
      </w:r>
      <w:r w:rsidR="00D9637C" w:rsidRPr="00996758">
        <w:rPr>
          <w:rFonts w:ascii="Verdana" w:hAnsi="Verdana"/>
          <w:sz w:val="20"/>
          <w:szCs w:val="20"/>
        </w:rPr>
        <w:t>s</w:t>
      </w:r>
      <w:r w:rsidRPr="00996758">
        <w:rPr>
          <w:rFonts w:ascii="Verdana" w:hAnsi="Verdana"/>
          <w:sz w:val="20"/>
          <w:szCs w:val="20"/>
        </w:rPr>
        <w:t>,</w:t>
      </w:r>
      <w:r w:rsidR="00D9637C" w:rsidRPr="00996758">
        <w:rPr>
          <w:rFonts w:ascii="Verdana" w:hAnsi="Verdana"/>
          <w:sz w:val="20"/>
          <w:szCs w:val="20"/>
        </w:rPr>
        <w:t xml:space="preserve"> así como </w:t>
      </w:r>
      <w:r w:rsidR="00385DFF" w:rsidRPr="00996758">
        <w:rPr>
          <w:rFonts w:ascii="Verdana" w:hAnsi="Verdana"/>
          <w:sz w:val="20"/>
          <w:szCs w:val="20"/>
        </w:rPr>
        <w:t xml:space="preserve">de </w:t>
      </w:r>
      <w:r w:rsidR="00D9637C" w:rsidRPr="00996758">
        <w:rPr>
          <w:rFonts w:ascii="Verdana" w:hAnsi="Verdana"/>
          <w:sz w:val="20"/>
          <w:szCs w:val="20"/>
        </w:rPr>
        <w:t>un testigo y tres peritos</w:t>
      </w:r>
      <w:r w:rsidRPr="00996758">
        <w:rPr>
          <w:rFonts w:ascii="Verdana" w:hAnsi="Verdana"/>
          <w:sz w:val="20"/>
          <w:szCs w:val="20"/>
        </w:rPr>
        <w:t xml:space="preserve"> propuesto</w:t>
      </w:r>
      <w:r w:rsidR="00D9637C" w:rsidRPr="00996758">
        <w:rPr>
          <w:rFonts w:ascii="Verdana" w:hAnsi="Verdana"/>
          <w:sz w:val="20"/>
          <w:szCs w:val="20"/>
        </w:rPr>
        <w:t>s</w:t>
      </w:r>
      <w:r w:rsidRPr="00996758">
        <w:rPr>
          <w:rFonts w:ascii="Verdana" w:hAnsi="Verdana"/>
          <w:sz w:val="20"/>
          <w:szCs w:val="20"/>
        </w:rPr>
        <w:t xml:space="preserve"> por el Estado. </w:t>
      </w:r>
      <w:r w:rsidR="00D9637C" w:rsidRPr="00996758">
        <w:rPr>
          <w:rFonts w:ascii="Verdana" w:hAnsi="Verdana"/>
          <w:sz w:val="20"/>
          <w:szCs w:val="20"/>
        </w:rPr>
        <w:t>Además, el Presidente dispuso los rubros de gastos que serían cubiertos mediante asistencia económica del Fondo. El 22 de diciembre de 2017 el Estado solicitó la “reconsideración” de dicha</w:t>
      </w:r>
      <w:r w:rsidR="00A808B5" w:rsidRPr="00996758">
        <w:rPr>
          <w:rFonts w:ascii="Verdana" w:hAnsi="Verdana"/>
          <w:sz w:val="20"/>
          <w:szCs w:val="20"/>
        </w:rPr>
        <w:t xml:space="preserve"> Resolución y, </w:t>
      </w:r>
      <w:r w:rsidR="00D9637C" w:rsidRPr="00996758">
        <w:rPr>
          <w:rFonts w:ascii="Verdana" w:hAnsi="Verdana"/>
          <w:sz w:val="20"/>
          <w:szCs w:val="20"/>
        </w:rPr>
        <w:t>el 29 de diciembre siguiente</w:t>
      </w:r>
      <w:r w:rsidR="00A808B5" w:rsidRPr="00996758">
        <w:rPr>
          <w:rFonts w:ascii="Verdana" w:hAnsi="Verdana"/>
          <w:sz w:val="20"/>
          <w:szCs w:val="20"/>
        </w:rPr>
        <w:t>,</w:t>
      </w:r>
      <w:r w:rsidR="00D9637C" w:rsidRPr="00996758">
        <w:rPr>
          <w:rFonts w:ascii="Verdana" w:hAnsi="Verdana"/>
          <w:sz w:val="20"/>
          <w:szCs w:val="20"/>
        </w:rPr>
        <w:t xml:space="preserve"> solicitó la sustitución de un perito. </w:t>
      </w:r>
      <w:r w:rsidRPr="00996758">
        <w:rPr>
          <w:rFonts w:ascii="Verdana" w:hAnsi="Verdana"/>
          <w:sz w:val="20"/>
          <w:szCs w:val="20"/>
        </w:rPr>
        <w:t xml:space="preserve">Una vez recibidas las observaciones respectivas, mediante Resolución de </w:t>
      </w:r>
      <w:r w:rsidR="00D9637C" w:rsidRPr="00996758">
        <w:rPr>
          <w:rFonts w:ascii="Verdana" w:hAnsi="Verdana"/>
          <w:sz w:val="20"/>
          <w:szCs w:val="20"/>
        </w:rPr>
        <w:t>1</w:t>
      </w:r>
      <w:r w:rsidRPr="00996758">
        <w:rPr>
          <w:rFonts w:ascii="Verdana" w:hAnsi="Verdana"/>
          <w:sz w:val="20"/>
          <w:szCs w:val="20"/>
        </w:rPr>
        <w:t xml:space="preserve">6 de </w:t>
      </w:r>
      <w:r w:rsidR="00D9637C" w:rsidRPr="00996758">
        <w:rPr>
          <w:rFonts w:ascii="Verdana" w:hAnsi="Verdana"/>
          <w:sz w:val="20"/>
          <w:szCs w:val="20"/>
        </w:rPr>
        <w:t>enero de 2018 el Presidente</w:t>
      </w:r>
      <w:r w:rsidR="0085259B" w:rsidRPr="00996758">
        <w:rPr>
          <w:rFonts w:ascii="Verdana" w:hAnsi="Verdana"/>
          <w:sz w:val="20"/>
          <w:szCs w:val="20"/>
        </w:rPr>
        <w:t xml:space="preserve"> autorizó a </w:t>
      </w:r>
      <w:r w:rsidR="00A808B5" w:rsidRPr="00996758">
        <w:rPr>
          <w:rFonts w:ascii="Verdana" w:hAnsi="Verdana"/>
          <w:sz w:val="20"/>
          <w:szCs w:val="20"/>
        </w:rPr>
        <w:t>una</w:t>
      </w:r>
      <w:r w:rsidR="0085259B" w:rsidRPr="00996758">
        <w:rPr>
          <w:rFonts w:ascii="Verdana" w:hAnsi="Verdana"/>
          <w:sz w:val="20"/>
          <w:szCs w:val="20"/>
        </w:rPr>
        <w:t xml:space="preserve"> testigo </w:t>
      </w:r>
      <w:r w:rsidR="00A808B5" w:rsidRPr="00996758">
        <w:rPr>
          <w:rFonts w:ascii="Verdana" w:hAnsi="Verdana"/>
          <w:sz w:val="20"/>
          <w:szCs w:val="20"/>
        </w:rPr>
        <w:t xml:space="preserve">y a un perito, ofrecidos por el Estado, a </w:t>
      </w:r>
      <w:r w:rsidR="0085259B" w:rsidRPr="00996758">
        <w:rPr>
          <w:rFonts w:ascii="Verdana" w:hAnsi="Verdana"/>
          <w:sz w:val="20"/>
          <w:szCs w:val="20"/>
        </w:rPr>
        <w:t>ren</w:t>
      </w:r>
      <w:r w:rsidR="00A808B5" w:rsidRPr="00996758">
        <w:rPr>
          <w:rFonts w:ascii="Verdana" w:hAnsi="Verdana"/>
          <w:sz w:val="20"/>
          <w:szCs w:val="20"/>
        </w:rPr>
        <w:t xml:space="preserve">dir sus declaraciones por afidávit y </w:t>
      </w:r>
      <w:r w:rsidR="0085259B" w:rsidRPr="00996758">
        <w:rPr>
          <w:rFonts w:ascii="Verdana" w:hAnsi="Verdana"/>
          <w:sz w:val="20"/>
          <w:szCs w:val="20"/>
        </w:rPr>
        <w:t>en audiencia</w:t>
      </w:r>
      <w:r w:rsidR="00A808B5" w:rsidRPr="00996758">
        <w:rPr>
          <w:rFonts w:ascii="Verdana" w:hAnsi="Verdana"/>
          <w:sz w:val="20"/>
          <w:szCs w:val="20"/>
        </w:rPr>
        <w:t>, respectivamente,</w:t>
      </w:r>
      <w:r w:rsidR="0085259B" w:rsidRPr="00996758">
        <w:rPr>
          <w:rFonts w:ascii="Verdana" w:hAnsi="Verdana"/>
          <w:sz w:val="20"/>
          <w:szCs w:val="20"/>
        </w:rPr>
        <w:t xml:space="preserve"> y declaró improcedente la solicitud de sustitución de </w:t>
      </w:r>
      <w:r w:rsidR="00385DFF" w:rsidRPr="00996758">
        <w:rPr>
          <w:rFonts w:ascii="Verdana" w:hAnsi="Verdana"/>
          <w:sz w:val="20"/>
          <w:szCs w:val="20"/>
        </w:rPr>
        <w:t>otro</w:t>
      </w:r>
      <w:r w:rsidR="0085259B" w:rsidRPr="00996758">
        <w:rPr>
          <w:rFonts w:ascii="Verdana" w:hAnsi="Verdana"/>
          <w:sz w:val="20"/>
          <w:szCs w:val="20"/>
        </w:rPr>
        <w:t xml:space="preserve"> perito</w:t>
      </w:r>
      <w:r w:rsidRPr="00996758">
        <w:rPr>
          <w:rStyle w:val="FootnoteReference"/>
          <w:rFonts w:ascii="Verdana" w:hAnsi="Verdana"/>
          <w:sz w:val="20"/>
          <w:szCs w:val="20"/>
        </w:rPr>
        <w:footnoteReference w:id="9"/>
      </w:r>
      <w:r w:rsidRPr="00996758">
        <w:rPr>
          <w:rFonts w:ascii="Verdana" w:hAnsi="Verdana"/>
          <w:sz w:val="20"/>
          <w:szCs w:val="20"/>
        </w:rPr>
        <w:t xml:space="preserve">. Los días </w:t>
      </w:r>
      <w:r w:rsidR="0085259B" w:rsidRPr="00996758">
        <w:rPr>
          <w:rFonts w:ascii="Verdana" w:hAnsi="Verdana"/>
          <w:sz w:val="20"/>
          <w:szCs w:val="20"/>
        </w:rPr>
        <w:t>17, 19 y 25 de enero de 2018</w:t>
      </w:r>
      <w:r w:rsidRPr="00996758">
        <w:rPr>
          <w:rFonts w:ascii="Verdana" w:hAnsi="Verdana"/>
          <w:sz w:val="20"/>
          <w:szCs w:val="20"/>
        </w:rPr>
        <w:t xml:space="preserve"> fueron recibidas las declaraciones por afidávit, luego de haberse otorgado a las partes la posibilidad de formular preguntas a los declarantes. La audiencia pública fue celebrada </w:t>
      </w:r>
      <w:r w:rsidR="0085259B" w:rsidRPr="00996758">
        <w:rPr>
          <w:rFonts w:ascii="Verdana" w:hAnsi="Verdana"/>
          <w:sz w:val="20"/>
          <w:szCs w:val="20"/>
        </w:rPr>
        <w:t>los</w:t>
      </w:r>
      <w:r w:rsidRPr="00996758">
        <w:rPr>
          <w:rFonts w:ascii="Verdana" w:hAnsi="Verdana"/>
          <w:sz w:val="20"/>
          <w:szCs w:val="20"/>
        </w:rPr>
        <w:t xml:space="preserve"> día</w:t>
      </w:r>
      <w:r w:rsidR="0085259B" w:rsidRPr="00996758">
        <w:rPr>
          <w:rFonts w:ascii="Verdana" w:hAnsi="Verdana"/>
          <w:sz w:val="20"/>
          <w:szCs w:val="20"/>
        </w:rPr>
        <w:t>s</w:t>
      </w:r>
      <w:r w:rsidRPr="00996758">
        <w:rPr>
          <w:rFonts w:ascii="Verdana" w:hAnsi="Verdana"/>
          <w:sz w:val="20"/>
          <w:szCs w:val="20"/>
        </w:rPr>
        <w:t xml:space="preserve"> </w:t>
      </w:r>
      <w:r w:rsidR="0085259B" w:rsidRPr="00996758">
        <w:rPr>
          <w:rFonts w:ascii="Verdana" w:hAnsi="Verdana"/>
          <w:sz w:val="20"/>
          <w:szCs w:val="20"/>
        </w:rPr>
        <w:t>30 y 31 de enero de 2018 durante el 121</w:t>
      </w:r>
      <w:r w:rsidRPr="00996758">
        <w:rPr>
          <w:rFonts w:ascii="Verdana" w:hAnsi="Verdana"/>
          <w:sz w:val="20"/>
          <w:szCs w:val="20"/>
        </w:rPr>
        <w:t>º Período Ordinario de Sesiones, en la sede de la Corte</w:t>
      </w:r>
      <w:r w:rsidRPr="00996758">
        <w:rPr>
          <w:rStyle w:val="FootnoteReference"/>
          <w:rFonts w:ascii="Verdana" w:hAnsi="Verdana"/>
          <w:sz w:val="20"/>
          <w:szCs w:val="20"/>
        </w:rPr>
        <w:footnoteReference w:id="10"/>
      </w:r>
      <w:r w:rsidRPr="00996758">
        <w:rPr>
          <w:rFonts w:ascii="Verdana" w:hAnsi="Verdana"/>
          <w:sz w:val="20"/>
          <w:szCs w:val="20"/>
        </w:rPr>
        <w:t>.</w:t>
      </w:r>
      <w:r w:rsidRPr="00996758">
        <w:rPr>
          <w:rFonts w:ascii="Verdana" w:hAnsi="Verdana" w:cs="Verdana"/>
          <w:spacing w:val="-2"/>
          <w:sz w:val="20"/>
          <w:szCs w:val="20"/>
        </w:rPr>
        <w:t xml:space="preserve"> </w:t>
      </w:r>
      <w:r w:rsidRPr="00996758">
        <w:rPr>
          <w:rFonts w:ascii="Verdana" w:hAnsi="Verdana"/>
          <w:sz w:val="20"/>
          <w:szCs w:val="20"/>
        </w:rPr>
        <w:t>En el curso de dicha audiencia</w:t>
      </w:r>
      <w:r w:rsidR="00224419" w:rsidRPr="00996758">
        <w:rPr>
          <w:rFonts w:ascii="Verdana" w:hAnsi="Verdana"/>
          <w:sz w:val="20"/>
          <w:szCs w:val="20"/>
        </w:rPr>
        <w:t xml:space="preserve">, </w:t>
      </w:r>
      <w:r w:rsidRPr="00996758">
        <w:rPr>
          <w:rFonts w:ascii="Verdana" w:hAnsi="Verdana"/>
          <w:sz w:val="20"/>
          <w:szCs w:val="20"/>
        </w:rPr>
        <w:t xml:space="preserve">los Jueces solicitaron información </w:t>
      </w:r>
      <w:r w:rsidR="00224419" w:rsidRPr="00996758">
        <w:rPr>
          <w:rFonts w:ascii="Verdana" w:hAnsi="Verdana"/>
          <w:sz w:val="20"/>
          <w:szCs w:val="20"/>
        </w:rPr>
        <w:t xml:space="preserve">o aclaraciones </w:t>
      </w:r>
      <w:r w:rsidRPr="00996758">
        <w:rPr>
          <w:rFonts w:ascii="Verdana" w:hAnsi="Verdana"/>
          <w:sz w:val="20"/>
          <w:szCs w:val="20"/>
        </w:rPr>
        <w:t>adicional</w:t>
      </w:r>
      <w:r w:rsidR="00224419" w:rsidRPr="00996758">
        <w:rPr>
          <w:rFonts w:ascii="Verdana" w:hAnsi="Verdana"/>
          <w:sz w:val="20"/>
          <w:szCs w:val="20"/>
        </w:rPr>
        <w:t>es</w:t>
      </w:r>
      <w:r w:rsidR="00CF32F0" w:rsidRPr="00996758">
        <w:rPr>
          <w:rFonts w:ascii="Verdana" w:hAnsi="Verdana"/>
          <w:sz w:val="20"/>
          <w:szCs w:val="20"/>
        </w:rPr>
        <w:t xml:space="preserve"> a las partes</w:t>
      </w:r>
      <w:r w:rsidRPr="00996758">
        <w:rPr>
          <w:rFonts w:ascii="Verdana" w:hAnsi="Verdana"/>
          <w:sz w:val="20"/>
          <w:szCs w:val="20"/>
        </w:rPr>
        <w:t>.</w:t>
      </w:r>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 xml:space="preserve">Amici curiae.- </w:t>
      </w:r>
      <w:r w:rsidR="00824891" w:rsidRPr="00996758">
        <w:rPr>
          <w:rFonts w:ascii="Verdana" w:hAnsi="Verdana"/>
          <w:sz w:val="20"/>
          <w:szCs w:val="20"/>
        </w:rPr>
        <w:t>El 14 de febrero de 2018 s</w:t>
      </w:r>
      <w:r w:rsidRPr="00996758">
        <w:rPr>
          <w:rFonts w:ascii="Verdana" w:hAnsi="Verdana"/>
          <w:sz w:val="20"/>
          <w:szCs w:val="20"/>
        </w:rPr>
        <w:t>e recibieron escritos</w:t>
      </w:r>
      <w:r w:rsidR="00824891" w:rsidRPr="00996758">
        <w:rPr>
          <w:rFonts w:ascii="Verdana" w:hAnsi="Verdana"/>
          <w:sz w:val="20"/>
          <w:szCs w:val="20"/>
        </w:rPr>
        <w:t xml:space="preserve"> en calidad</w:t>
      </w:r>
      <w:r w:rsidRPr="00996758">
        <w:rPr>
          <w:rFonts w:ascii="Verdana" w:hAnsi="Verdana"/>
          <w:sz w:val="20"/>
          <w:szCs w:val="20"/>
        </w:rPr>
        <w:t xml:space="preserve"> de </w:t>
      </w:r>
      <w:r w:rsidRPr="00996758">
        <w:rPr>
          <w:rFonts w:ascii="Verdana" w:hAnsi="Verdana"/>
          <w:i/>
          <w:iCs/>
          <w:sz w:val="20"/>
          <w:szCs w:val="20"/>
        </w:rPr>
        <w:t>amicus curiae</w:t>
      </w:r>
      <w:r w:rsidRPr="00996758">
        <w:rPr>
          <w:rFonts w:ascii="Verdana" w:hAnsi="Verdana"/>
          <w:sz w:val="20"/>
          <w:szCs w:val="20"/>
        </w:rPr>
        <w:t xml:space="preserve"> de las organizaciones</w:t>
      </w:r>
      <w:r w:rsidR="00224419" w:rsidRPr="00996758">
        <w:rPr>
          <w:rFonts w:ascii="Verdana" w:hAnsi="Verdana"/>
          <w:sz w:val="20"/>
          <w:szCs w:val="20"/>
        </w:rPr>
        <w:t xml:space="preserve"> “Escuela Nacional Sindical (ENS)”</w:t>
      </w:r>
      <w:r w:rsidRPr="00996758">
        <w:rPr>
          <w:rStyle w:val="FootnoteReference"/>
          <w:rFonts w:ascii="Verdana" w:hAnsi="Verdana"/>
          <w:sz w:val="20"/>
          <w:szCs w:val="20"/>
        </w:rPr>
        <w:footnoteReference w:id="11"/>
      </w:r>
      <w:r w:rsidR="00224419" w:rsidRPr="00996758">
        <w:rPr>
          <w:rFonts w:ascii="Verdana" w:hAnsi="Verdana"/>
          <w:sz w:val="20"/>
          <w:szCs w:val="20"/>
        </w:rPr>
        <w:t xml:space="preserve"> y “Central Unitaria de Trabajadores </w:t>
      </w:r>
      <w:r w:rsidR="008E0A01" w:rsidRPr="00996758">
        <w:rPr>
          <w:rFonts w:ascii="Verdana" w:hAnsi="Verdana"/>
          <w:sz w:val="20"/>
          <w:szCs w:val="20"/>
        </w:rPr>
        <w:t>(</w:t>
      </w:r>
      <w:r w:rsidR="00224419" w:rsidRPr="00996758">
        <w:rPr>
          <w:rFonts w:ascii="Verdana" w:hAnsi="Verdana"/>
          <w:sz w:val="20"/>
          <w:szCs w:val="20"/>
        </w:rPr>
        <w:t>CUT</w:t>
      </w:r>
      <w:r w:rsidR="008E0A01" w:rsidRPr="00996758">
        <w:rPr>
          <w:rFonts w:ascii="Verdana" w:hAnsi="Verdana"/>
          <w:sz w:val="20"/>
          <w:szCs w:val="20"/>
        </w:rPr>
        <w:t>)</w:t>
      </w:r>
      <w:r w:rsidR="00224419" w:rsidRPr="00996758">
        <w:rPr>
          <w:rFonts w:ascii="Verdana" w:hAnsi="Verdana"/>
          <w:sz w:val="20"/>
          <w:szCs w:val="20"/>
        </w:rPr>
        <w:t>”</w:t>
      </w:r>
      <w:r w:rsidRPr="00996758">
        <w:rPr>
          <w:rFonts w:ascii="Verdana" w:hAnsi="Verdana"/>
          <w:sz w:val="20"/>
          <w:szCs w:val="20"/>
        </w:rPr>
        <w:t xml:space="preserve"> </w:t>
      </w:r>
      <w:r w:rsidR="008E0A01" w:rsidRPr="00996758">
        <w:rPr>
          <w:rFonts w:ascii="Verdana" w:hAnsi="Verdana"/>
          <w:sz w:val="20"/>
          <w:szCs w:val="20"/>
        </w:rPr>
        <w:t>de Colombia</w:t>
      </w:r>
      <w:r w:rsidR="008E0A01" w:rsidRPr="00996758">
        <w:rPr>
          <w:rStyle w:val="FootnoteReference"/>
          <w:rFonts w:ascii="Verdana" w:hAnsi="Verdana"/>
          <w:sz w:val="20"/>
          <w:szCs w:val="20"/>
        </w:rPr>
        <w:footnoteReference w:id="12"/>
      </w:r>
      <w:r w:rsidR="008E0A01" w:rsidRPr="00996758">
        <w:rPr>
          <w:rFonts w:ascii="Verdana" w:hAnsi="Verdana"/>
          <w:sz w:val="20"/>
          <w:szCs w:val="20"/>
        </w:rPr>
        <w:t>.</w:t>
      </w:r>
    </w:p>
    <w:p w:rsidR="005B536C" w:rsidRPr="00996758" w:rsidRDefault="005B536C" w:rsidP="00756418">
      <w:pPr>
        <w:pStyle w:val="ListParagraph"/>
        <w:spacing w:line="240" w:lineRule="auto"/>
        <w:rPr>
          <w:rFonts w:ascii="Verdana" w:hAnsi="Verdana"/>
          <w:i/>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Alegatos y observaciones finales escritos</w:t>
      </w:r>
      <w:r w:rsidRPr="00996758">
        <w:rPr>
          <w:rFonts w:ascii="Verdana" w:hAnsi="Verdana"/>
          <w:sz w:val="20"/>
          <w:szCs w:val="20"/>
        </w:rPr>
        <w:t xml:space="preserve">.- El </w:t>
      </w:r>
      <w:r w:rsidR="00A74FE8" w:rsidRPr="00996758">
        <w:rPr>
          <w:rFonts w:ascii="Verdana" w:hAnsi="Verdana"/>
          <w:sz w:val="20"/>
          <w:szCs w:val="20"/>
        </w:rPr>
        <w:t>2 de marzo de 2018</w:t>
      </w:r>
      <w:r w:rsidRPr="00996758">
        <w:rPr>
          <w:rFonts w:ascii="Verdana" w:hAnsi="Verdana"/>
          <w:sz w:val="20"/>
          <w:szCs w:val="20"/>
        </w:rPr>
        <w:t xml:space="preserve"> las partes y la Comisión remitieron sus alegatos y observaciones finales escritas, respectivamente. </w:t>
      </w:r>
      <w:r w:rsidR="00A74FE8" w:rsidRPr="00996758">
        <w:rPr>
          <w:rFonts w:ascii="Verdana" w:hAnsi="Verdana"/>
          <w:sz w:val="20"/>
          <w:szCs w:val="20"/>
        </w:rPr>
        <w:t>El 2</w:t>
      </w:r>
      <w:r w:rsidR="007C67E0" w:rsidRPr="00996758">
        <w:rPr>
          <w:rFonts w:ascii="Verdana" w:hAnsi="Verdana"/>
          <w:sz w:val="20"/>
          <w:szCs w:val="20"/>
        </w:rPr>
        <w:t>1</w:t>
      </w:r>
      <w:r w:rsidR="00CF45D6" w:rsidRPr="00996758">
        <w:rPr>
          <w:rFonts w:ascii="Verdana" w:hAnsi="Verdana"/>
          <w:sz w:val="20"/>
          <w:szCs w:val="20"/>
        </w:rPr>
        <w:t xml:space="preserve"> de marzo </w:t>
      </w:r>
      <w:r w:rsidR="00CF32F0" w:rsidRPr="00996758">
        <w:rPr>
          <w:rFonts w:ascii="Verdana" w:hAnsi="Verdana"/>
          <w:sz w:val="20"/>
          <w:szCs w:val="20"/>
        </w:rPr>
        <w:t>siguiente</w:t>
      </w:r>
      <w:r w:rsidR="00241F5D" w:rsidRPr="00996758">
        <w:rPr>
          <w:rFonts w:ascii="Verdana" w:hAnsi="Verdana"/>
          <w:sz w:val="20"/>
          <w:szCs w:val="20"/>
        </w:rPr>
        <w:t xml:space="preserve"> </w:t>
      </w:r>
      <w:r w:rsidR="007C67E0" w:rsidRPr="00996758">
        <w:rPr>
          <w:rFonts w:ascii="Verdana" w:hAnsi="Verdana"/>
          <w:sz w:val="20"/>
          <w:szCs w:val="20"/>
        </w:rPr>
        <w:t>lo</w:t>
      </w:r>
      <w:r w:rsidR="00A74FE8" w:rsidRPr="00996758">
        <w:rPr>
          <w:rFonts w:ascii="Verdana" w:hAnsi="Verdana"/>
          <w:sz w:val="20"/>
          <w:szCs w:val="20"/>
        </w:rPr>
        <w:t xml:space="preserve">s representantes </w:t>
      </w:r>
      <w:r w:rsidR="007C67E0" w:rsidRPr="00996758">
        <w:rPr>
          <w:rFonts w:ascii="Verdana" w:hAnsi="Verdana"/>
          <w:sz w:val="20"/>
          <w:szCs w:val="20"/>
        </w:rPr>
        <w:t xml:space="preserve">y el Estado </w:t>
      </w:r>
      <w:r w:rsidR="00A74FE8" w:rsidRPr="00996758">
        <w:rPr>
          <w:rFonts w:ascii="Verdana" w:hAnsi="Verdana"/>
          <w:sz w:val="20"/>
          <w:szCs w:val="20"/>
        </w:rPr>
        <w:t>presentaron observaciones respecto de documento</w:t>
      </w:r>
      <w:r w:rsidR="007C67E0" w:rsidRPr="00996758">
        <w:rPr>
          <w:rFonts w:ascii="Verdana" w:hAnsi="Verdana"/>
          <w:sz w:val="20"/>
          <w:szCs w:val="20"/>
        </w:rPr>
        <w:t>s</w:t>
      </w:r>
      <w:r w:rsidR="00A74FE8" w:rsidRPr="00996758">
        <w:rPr>
          <w:rFonts w:ascii="Verdana" w:hAnsi="Verdana"/>
          <w:sz w:val="20"/>
          <w:szCs w:val="20"/>
        </w:rPr>
        <w:t xml:space="preserve"> remitido</w:t>
      </w:r>
      <w:r w:rsidR="007C67E0" w:rsidRPr="00996758">
        <w:rPr>
          <w:rFonts w:ascii="Verdana" w:hAnsi="Verdana"/>
          <w:sz w:val="20"/>
          <w:szCs w:val="20"/>
        </w:rPr>
        <w:t>s</w:t>
      </w:r>
      <w:r w:rsidR="00A74FE8" w:rsidRPr="00996758">
        <w:rPr>
          <w:rFonts w:ascii="Verdana" w:hAnsi="Verdana"/>
          <w:sz w:val="20"/>
          <w:szCs w:val="20"/>
        </w:rPr>
        <w:t xml:space="preserve"> por </w:t>
      </w:r>
      <w:r w:rsidR="007C67E0" w:rsidRPr="00996758">
        <w:rPr>
          <w:rFonts w:ascii="Verdana" w:hAnsi="Verdana"/>
          <w:sz w:val="20"/>
          <w:szCs w:val="20"/>
        </w:rPr>
        <w:t xml:space="preserve">éstos </w:t>
      </w:r>
      <w:r w:rsidR="00A74FE8" w:rsidRPr="00996758">
        <w:rPr>
          <w:rFonts w:ascii="Verdana" w:hAnsi="Verdana"/>
          <w:sz w:val="20"/>
          <w:szCs w:val="20"/>
        </w:rPr>
        <w:t>como anexo</w:t>
      </w:r>
      <w:r w:rsidR="007C67E0" w:rsidRPr="00996758">
        <w:rPr>
          <w:rFonts w:ascii="Verdana" w:hAnsi="Verdana"/>
          <w:sz w:val="20"/>
          <w:szCs w:val="20"/>
        </w:rPr>
        <w:t>s</w:t>
      </w:r>
      <w:r w:rsidR="00A74FE8" w:rsidRPr="00996758">
        <w:rPr>
          <w:rFonts w:ascii="Verdana" w:hAnsi="Verdana"/>
          <w:sz w:val="20"/>
          <w:szCs w:val="20"/>
        </w:rPr>
        <w:t xml:space="preserve"> a sus alegatos finales</w:t>
      </w:r>
      <w:r w:rsidR="007C67E0" w:rsidRPr="00996758">
        <w:rPr>
          <w:rFonts w:ascii="Verdana" w:hAnsi="Verdana"/>
          <w:sz w:val="20"/>
          <w:szCs w:val="20"/>
        </w:rPr>
        <w:t xml:space="preserve"> escritos</w:t>
      </w:r>
      <w:r w:rsidR="00A74FE8" w:rsidRPr="00996758">
        <w:rPr>
          <w:rFonts w:ascii="Verdana" w:hAnsi="Verdana"/>
          <w:sz w:val="20"/>
          <w:szCs w:val="20"/>
        </w:rPr>
        <w:t>.</w:t>
      </w:r>
    </w:p>
    <w:p w:rsidR="007C67E0" w:rsidRPr="00996758" w:rsidRDefault="007C67E0" w:rsidP="00756418">
      <w:pPr>
        <w:pStyle w:val="ListParagraph"/>
        <w:spacing w:line="240" w:lineRule="auto"/>
        <w:rPr>
          <w:rFonts w:ascii="Verdana" w:hAnsi="Verdana"/>
          <w:sz w:val="20"/>
          <w:szCs w:val="20"/>
        </w:rPr>
      </w:pPr>
    </w:p>
    <w:p w:rsidR="007C67E0" w:rsidRPr="00996758" w:rsidRDefault="007C67E0"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Erogaciones en aplicación del Fondo de Asistencia.-</w:t>
      </w:r>
      <w:r w:rsidRPr="00996758">
        <w:rPr>
          <w:rFonts w:ascii="Verdana" w:hAnsi="Verdana"/>
          <w:sz w:val="20"/>
          <w:szCs w:val="20"/>
        </w:rPr>
        <w:t xml:space="preserve"> El 14 de marzo de 2018 la Secretaría de la Corte remitió al Estado</w:t>
      </w:r>
      <w:r w:rsidR="00DF213C" w:rsidRPr="00996758">
        <w:rPr>
          <w:rFonts w:ascii="Verdana" w:hAnsi="Verdana"/>
          <w:sz w:val="20"/>
          <w:szCs w:val="20"/>
        </w:rPr>
        <w:t xml:space="preserve"> el informe sobre las erogaciones efectuadas en aplicación del mismo</w:t>
      </w:r>
      <w:r w:rsidRPr="00996758">
        <w:rPr>
          <w:rFonts w:ascii="Verdana" w:hAnsi="Verdana"/>
          <w:sz w:val="20"/>
          <w:szCs w:val="20"/>
        </w:rPr>
        <w:t xml:space="preserve">, según lo dispuesto en el artículo 5 del Reglamento de la Corte sobre el Funcionamiento del Fondo de Asistencia Legal (en adelante “Reglamento sobre el Fondo”), y le otorgó un plazo </w:t>
      </w:r>
      <w:r w:rsidRPr="00996758">
        <w:rPr>
          <w:rFonts w:ascii="Verdana" w:eastAsia="Times" w:hAnsi="Verdana" w:cs="Times New Roman"/>
          <w:sz w:val="20"/>
          <w:szCs w:val="20"/>
        </w:rPr>
        <w:t xml:space="preserve">para </w:t>
      </w:r>
      <w:r w:rsidR="00CF32F0" w:rsidRPr="00996758">
        <w:rPr>
          <w:rFonts w:ascii="Verdana" w:eastAsia="Times" w:hAnsi="Verdana" w:cs="Times New Roman"/>
          <w:sz w:val="20"/>
          <w:szCs w:val="20"/>
        </w:rPr>
        <w:t>sus</w:t>
      </w:r>
      <w:r w:rsidRPr="00996758">
        <w:rPr>
          <w:rFonts w:ascii="Verdana" w:eastAsia="Times" w:hAnsi="Verdana" w:cs="Times New Roman"/>
          <w:sz w:val="20"/>
          <w:szCs w:val="20"/>
        </w:rPr>
        <w:t xml:space="preserve"> observaciones</w:t>
      </w:r>
      <w:r w:rsidRPr="00996758">
        <w:rPr>
          <w:rFonts w:ascii="Verdana" w:hAnsi="Verdana"/>
          <w:sz w:val="20"/>
          <w:szCs w:val="20"/>
        </w:rPr>
        <w:t xml:space="preserve">. El 23 de marzo siguiente el Estado </w:t>
      </w:r>
      <w:r w:rsidR="00CF32F0" w:rsidRPr="00996758">
        <w:rPr>
          <w:rFonts w:ascii="Verdana" w:hAnsi="Verdana"/>
          <w:sz w:val="20"/>
          <w:szCs w:val="20"/>
        </w:rPr>
        <w:t>indicó</w:t>
      </w:r>
      <w:r w:rsidRPr="00996758">
        <w:rPr>
          <w:rFonts w:ascii="Verdana" w:hAnsi="Verdana"/>
          <w:sz w:val="20"/>
          <w:szCs w:val="20"/>
        </w:rPr>
        <w:t xml:space="preserve"> que no tenía observaciones.</w:t>
      </w:r>
    </w:p>
    <w:p w:rsidR="005B536C" w:rsidRPr="00996758" w:rsidRDefault="005B536C" w:rsidP="00756418">
      <w:pPr>
        <w:pStyle w:val="ListParagraph"/>
        <w:spacing w:line="240" w:lineRule="auto"/>
        <w:rPr>
          <w:rFonts w:ascii="Verdana" w:hAnsi="Verdana"/>
          <w:sz w:val="20"/>
          <w:szCs w:val="20"/>
        </w:rPr>
      </w:pPr>
    </w:p>
    <w:p w:rsidR="005B536C" w:rsidRPr="00996758" w:rsidRDefault="005B536C"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i/>
          <w:sz w:val="20"/>
          <w:szCs w:val="20"/>
        </w:rPr>
        <w:t>Deliberación del presente caso</w:t>
      </w:r>
      <w:r w:rsidRPr="00996758">
        <w:rPr>
          <w:rFonts w:ascii="Verdana" w:hAnsi="Verdana"/>
          <w:sz w:val="20"/>
          <w:szCs w:val="20"/>
        </w:rPr>
        <w:t xml:space="preserve">.- La Corte inició la deliberación de la presente Sentencia el </w:t>
      </w:r>
      <w:r w:rsidR="007C67E0" w:rsidRPr="00996758">
        <w:rPr>
          <w:rFonts w:ascii="Verdana" w:hAnsi="Verdana"/>
          <w:sz w:val="20"/>
          <w:szCs w:val="20"/>
        </w:rPr>
        <w:t>20 de</w:t>
      </w:r>
      <w:r w:rsidR="00DA4F47" w:rsidRPr="00996758">
        <w:rPr>
          <w:rFonts w:ascii="Verdana" w:hAnsi="Verdana"/>
          <w:sz w:val="20"/>
          <w:szCs w:val="20"/>
        </w:rPr>
        <w:t xml:space="preserve"> noviembre</w:t>
      </w:r>
      <w:r w:rsidR="007C67E0" w:rsidRPr="00996758">
        <w:rPr>
          <w:rFonts w:ascii="Verdana" w:hAnsi="Verdana"/>
          <w:sz w:val="20"/>
          <w:szCs w:val="20"/>
        </w:rPr>
        <w:t xml:space="preserve"> de </w:t>
      </w:r>
      <w:r w:rsidRPr="00996758">
        <w:rPr>
          <w:rFonts w:ascii="Verdana" w:hAnsi="Verdana"/>
          <w:sz w:val="20"/>
          <w:szCs w:val="20"/>
        </w:rPr>
        <w:t>2018.</w:t>
      </w:r>
    </w:p>
    <w:p w:rsidR="002476EE" w:rsidRPr="00996758" w:rsidRDefault="002476EE" w:rsidP="00756418">
      <w:pPr>
        <w:pStyle w:val="ListParagraph"/>
        <w:spacing w:line="240" w:lineRule="auto"/>
        <w:ind w:left="0"/>
        <w:jc w:val="both"/>
        <w:rPr>
          <w:rFonts w:ascii="Verdana" w:hAnsi="Verdana"/>
          <w:sz w:val="20"/>
          <w:szCs w:val="20"/>
        </w:rPr>
      </w:pPr>
    </w:p>
    <w:p w:rsidR="00FC0376" w:rsidRPr="00996758" w:rsidRDefault="00FC0376" w:rsidP="00756418">
      <w:pPr>
        <w:pStyle w:val="ListParagraph"/>
        <w:spacing w:line="240" w:lineRule="auto"/>
        <w:ind w:left="0"/>
        <w:jc w:val="both"/>
        <w:rPr>
          <w:rFonts w:ascii="Verdana" w:hAnsi="Verdana"/>
          <w:sz w:val="20"/>
          <w:szCs w:val="20"/>
        </w:rPr>
      </w:pPr>
    </w:p>
    <w:p w:rsidR="005B536C" w:rsidRPr="00996758" w:rsidRDefault="005B536C" w:rsidP="00AE1DD8">
      <w:pPr>
        <w:pStyle w:val="Heading1"/>
        <w:spacing w:before="0" w:after="0"/>
        <w:rPr>
          <w:caps w:val="0"/>
          <w:noProof/>
        </w:rPr>
      </w:pPr>
      <w:bookmarkStart w:id="4" w:name="_Toc340752580"/>
      <w:bookmarkStart w:id="5" w:name="_Toc530560053"/>
      <w:r w:rsidRPr="00996758">
        <w:rPr>
          <w:noProof/>
        </w:rPr>
        <w:t>III</w:t>
      </w:r>
      <w:r w:rsidRPr="00996758">
        <w:rPr>
          <w:noProof/>
        </w:rPr>
        <w:br/>
        <w:t>COMPETENCIA</w:t>
      </w:r>
      <w:bookmarkEnd w:id="4"/>
      <w:bookmarkEnd w:id="5"/>
    </w:p>
    <w:p w:rsidR="005B536C" w:rsidRPr="00996758" w:rsidRDefault="005B536C" w:rsidP="00756418">
      <w:pPr>
        <w:pStyle w:val="ListParagraph"/>
        <w:spacing w:line="240" w:lineRule="auto"/>
        <w:ind w:left="0"/>
        <w:jc w:val="both"/>
        <w:rPr>
          <w:rFonts w:ascii="Verdana" w:hAnsi="Verdana"/>
          <w:sz w:val="20"/>
          <w:szCs w:val="20"/>
        </w:rPr>
      </w:pPr>
    </w:p>
    <w:p w:rsidR="005B536C" w:rsidRPr="00996758" w:rsidRDefault="0010556B"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La Corte es competente para conocer del presente caso, en los términos del artículo 62.3 de la Convención, </w:t>
      </w:r>
      <w:r w:rsidR="009C275E" w:rsidRPr="00996758">
        <w:rPr>
          <w:rFonts w:ascii="Verdana" w:hAnsi="Verdana"/>
          <w:sz w:val="20"/>
          <w:szCs w:val="20"/>
        </w:rPr>
        <w:t>en razón de</w:t>
      </w:r>
      <w:r w:rsidRPr="00996758">
        <w:rPr>
          <w:rFonts w:ascii="Verdana" w:hAnsi="Verdana"/>
          <w:sz w:val="20"/>
          <w:szCs w:val="20"/>
        </w:rPr>
        <w:t xml:space="preserve"> que Colombia es Estado Parte en la Convención desde el 31 de julio de 1973 y reconoció la competencia contenciosa de la Corte el 21 de junio de 1985.</w:t>
      </w:r>
      <w:r w:rsidR="00FD5DF8" w:rsidRPr="00996758">
        <w:rPr>
          <w:rFonts w:ascii="Verdana" w:hAnsi="Verdana"/>
          <w:sz w:val="20"/>
          <w:szCs w:val="20"/>
        </w:rPr>
        <w:t xml:space="preserve"> </w:t>
      </w:r>
    </w:p>
    <w:p w:rsidR="00BB1821" w:rsidRPr="00996758" w:rsidRDefault="00BB1821">
      <w:pPr>
        <w:spacing w:after="0" w:line="240" w:lineRule="auto"/>
        <w:jc w:val="both"/>
        <w:rPr>
          <w:rFonts w:ascii="Verdana" w:hAnsi="Verdana"/>
          <w:sz w:val="20"/>
          <w:szCs w:val="20"/>
        </w:rPr>
      </w:pPr>
    </w:p>
    <w:p w:rsidR="00FC0376" w:rsidRPr="00996758" w:rsidRDefault="00FC0376">
      <w:pPr>
        <w:spacing w:after="0" w:line="240" w:lineRule="auto"/>
        <w:jc w:val="both"/>
        <w:rPr>
          <w:rFonts w:ascii="Verdana" w:hAnsi="Verdana"/>
          <w:sz w:val="20"/>
          <w:szCs w:val="20"/>
        </w:rPr>
      </w:pPr>
    </w:p>
    <w:p w:rsidR="005B536C" w:rsidRPr="00996758" w:rsidRDefault="005B536C">
      <w:pPr>
        <w:pStyle w:val="Heading1"/>
        <w:spacing w:before="0" w:after="0"/>
        <w:rPr>
          <w:caps w:val="0"/>
          <w:noProof/>
        </w:rPr>
      </w:pPr>
      <w:bookmarkStart w:id="6" w:name="_Toc530560054"/>
      <w:r w:rsidRPr="00996758">
        <w:rPr>
          <w:noProof/>
        </w:rPr>
        <w:t>IV</w:t>
      </w:r>
      <w:r w:rsidRPr="00996758">
        <w:rPr>
          <w:noProof/>
        </w:rPr>
        <w:br/>
      </w:r>
      <w:r w:rsidR="009C275E" w:rsidRPr="00996758">
        <w:t>RECONOCIMIENTO DE RESPONSABILIDAD INTERNACIONAL DEL ESTADO</w:t>
      </w:r>
      <w:bookmarkEnd w:id="6"/>
    </w:p>
    <w:p w:rsidR="007D773D" w:rsidRPr="00996758" w:rsidRDefault="007D773D" w:rsidP="00756418">
      <w:pPr>
        <w:pStyle w:val="ListParagraph"/>
        <w:spacing w:line="240" w:lineRule="auto"/>
        <w:ind w:left="0"/>
        <w:jc w:val="both"/>
        <w:rPr>
          <w:rFonts w:ascii="Verdana" w:hAnsi="Verdana"/>
          <w:sz w:val="20"/>
          <w:szCs w:val="20"/>
        </w:rPr>
      </w:pPr>
    </w:p>
    <w:p w:rsidR="00FC0376" w:rsidRPr="00996758" w:rsidRDefault="00FC0376" w:rsidP="00756418">
      <w:pPr>
        <w:pStyle w:val="ListParagraph"/>
        <w:spacing w:line="240" w:lineRule="auto"/>
        <w:ind w:left="0"/>
        <w:jc w:val="both"/>
        <w:rPr>
          <w:rFonts w:ascii="Verdana" w:hAnsi="Verdana"/>
          <w:sz w:val="20"/>
          <w:szCs w:val="20"/>
        </w:rPr>
      </w:pPr>
    </w:p>
    <w:p w:rsidR="00320DA8" w:rsidRPr="00996758" w:rsidRDefault="008B4BB1" w:rsidP="00AE1DD8">
      <w:pPr>
        <w:pStyle w:val="ListParagraph"/>
        <w:numPr>
          <w:ilvl w:val="0"/>
          <w:numId w:val="11"/>
        </w:numPr>
        <w:tabs>
          <w:tab w:val="left" w:pos="567"/>
        </w:tabs>
        <w:autoSpaceDE w:val="0"/>
        <w:autoSpaceDN w:val="0"/>
        <w:adjustRightInd w:val="0"/>
        <w:spacing w:before="240" w:after="240" w:line="240" w:lineRule="auto"/>
        <w:ind w:left="896" w:hanging="357"/>
        <w:jc w:val="both"/>
        <w:outlineLvl w:val="1"/>
        <w:rPr>
          <w:rFonts w:ascii="Verdana" w:hAnsi="Verdana"/>
          <w:b/>
          <w:i/>
          <w:sz w:val="20"/>
          <w:szCs w:val="20"/>
        </w:rPr>
      </w:pPr>
      <w:bookmarkStart w:id="7" w:name="_Toc498427236"/>
      <w:bookmarkStart w:id="8" w:name="_Toc516159787"/>
      <w:bookmarkStart w:id="9" w:name="_Toc530560055"/>
      <w:r w:rsidRPr="00996758">
        <w:rPr>
          <w:rFonts w:ascii="Verdana" w:hAnsi="Verdana"/>
          <w:b/>
          <w:i/>
          <w:sz w:val="20"/>
          <w:szCs w:val="20"/>
        </w:rPr>
        <w:t>Acto de r</w:t>
      </w:r>
      <w:r w:rsidR="00320DA8" w:rsidRPr="00996758">
        <w:rPr>
          <w:rFonts w:ascii="Verdana" w:hAnsi="Verdana"/>
          <w:b/>
          <w:i/>
          <w:sz w:val="20"/>
          <w:szCs w:val="20"/>
        </w:rPr>
        <w:t>econocimiento y observaciones de la Comisión y de los representantes</w:t>
      </w:r>
      <w:bookmarkEnd w:id="7"/>
      <w:bookmarkEnd w:id="8"/>
      <w:bookmarkEnd w:id="9"/>
    </w:p>
    <w:p w:rsidR="00320DA8" w:rsidRPr="00996758" w:rsidRDefault="00320DA8">
      <w:pPr>
        <w:pStyle w:val="ListParagraph"/>
        <w:spacing w:before="120" w:after="120" w:line="240" w:lineRule="auto"/>
        <w:ind w:left="0"/>
        <w:jc w:val="both"/>
        <w:rPr>
          <w:rFonts w:ascii="Verdana" w:hAnsi="Verdana"/>
          <w:sz w:val="20"/>
          <w:szCs w:val="20"/>
        </w:rPr>
      </w:pPr>
    </w:p>
    <w:p w:rsidR="00320DA8" w:rsidRPr="00996758" w:rsidRDefault="00320DA8"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E</w:t>
      </w:r>
      <w:r w:rsidR="003E73E6" w:rsidRPr="00996758">
        <w:rPr>
          <w:rFonts w:ascii="Verdana" w:hAnsi="Verdana"/>
          <w:sz w:val="20"/>
          <w:szCs w:val="20"/>
        </w:rPr>
        <w:t>n su contestación, e</w:t>
      </w:r>
      <w:r w:rsidRPr="00996758">
        <w:rPr>
          <w:rFonts w:ascii="Verdana" w:hAnsi="Verdana"/>
          <w:sz w:val="20"/>
          <w:szCs w:val="20"/>
        </w:rPr>
        <w:t xml:space="preserve">l </w:t>
      </w:r>
      <w:r w:rsidRPr="00996758">
        <w:rPr>
          <w:rFonts w:ascii="Verdana" w:hAnsi="Verdana"/>
          <w:i/>
          <w:sz w:val="20"/>
          <w:szCs w:val="20"/>
        </w:rPr>
        <w:t>Estado</w:t>
      </w:r>
      <w:r w:rsidRPr="00996758">
        <w:rPr>
          <w:rFonts w:ascii="Verdana" w:hAnsi="Verdana"/>
          <w:sz w:val="20"/>
          <w:szCs w:val="20"/>
        </w:rPr>
        <w:t xml:space="preserve"> </w:t>
      </w:r>
      <w:r w:rsidR="008B4BB1" w:rsidRPr="00996758">
        <w:rPr>
          <w:rFonts w:ascii="Verdana" w:hAnsi="Verdana"/>
          <w:sz w:val="20"/>
          <w:szCs w:val="20"/>
        </w:rPr>
        <w:t>manifestó</w:t>
      </w:r>
    </w:p>
    <w:p w:rsidR="00B60B39" w:rsidRPr="00996758" w:rsidRDefault="00B60B39">
      <w:pPr>
        <w:pStyle w:val="ListParagraph"/>
        <w:spacing w:after="0" w:line="240" w:lineRule="auto"/>
        <w:ind w:left="0"/>
        <w:jc w:val="both"/>
        <w:rPr>
          <w:rFonts w:ascii="Verdana" w:hAnsi="Verdana"/>
          <w:sz w:val="20"/>
          <w:szCs w:val="20"/>
        </w:rPr>
      </w:pPr>
    </w:p>
    <w:p w:rsidR="00651565" w:rsidRPr="00996758" w:rsidRDefault="00BE0042">
      <w:pPr>
        <w:spacing w:after="0" w:line="240" w:lineRule="auto"/>
        <w:ind w:left="709"/>
        <w:jc w:val="both"/>
        <w:rPr>
          <w:rFonts w:ascii="Verdana" w:eastAsia="Verdana" w:hAnsi="Verdana" w:cs="Verdana"/>
          <w:sz w:val="16"/>
          <w:szCs w:val="20"/>
        </w:rPr>
      </w:pPr>
      <w:r w:rsidRPr="00996758">
        <w:rPr>
          <w:rFonts w:ascii="Verdana" w:eastAsia="Verdana" w:hAnsi="Verdana" w:cs="Verdana"/>
          <w:sz w:val="16"/>
          <w:szCs w:val="20"/>
        </w:rPr>
        <w:t>[que]</w:t>
      </w:r>
      <w:r w:rsidR="00651565" w:rsidRPr="00996758">
        <w:rPr>
          <w:rFonts w:ascii="Verdana" w:eastAsia="Verdana" w:hAnsi="Verdana" w:cs="Verdana"/>
          <w:sz w:val="16"/>
          <w:szCs w:val="20"/>
        </w:rPr>
        <w:t xml:space="preserve"> lamenta profundamente la desaparición de Víctor Manuel Isaza Uribe </w:t>
      </w:r>
      <w:r w:rsidR="00480601" w:rsidRPr="00996758">
        <w:rPr>
          <w:rFonts w:ascii="Verdana" w:eastAsia="Verdana" w:hAnsi="Verdana" w:cs="Verdana"/>
          <w:sz w:val="16"/>
          <w:szCs w:val="20"/>
        </w:rPr>
        <w:t>[…</w:t>
      </w:r>
      <w:r w:rsidRPr="00996758">
        <w:rPr>
          <w:rFonts w:ascii="Verdana" w:eastAsia="Verdana" w:hAnsi="Verdana" w:cs="Verdana"/>
          <w:sz w:val="16"/>
          <w:szCs w:val="20"/>
        </w:rPr>
        <w:t xml:space="preserve"> que</w:t>
      </w:r>
      <w:r w:rsidR="00480601" w:rsidRPr="00996758">
        <w:rPr>
          <w:rFonts w:ascii="Verdana" w:eastAsia="Verdana" w:hAnsi="Verdana" w:cs="Verdana"/>
          <w:sz w:val="16"/>
          <w:szCs w:val="20"/>
        </w:rPr>
        <w:t>]</w:t>
      </w:r>
      <w:r w:rsidRPr="00996758">
        <w:rPr>
          <w:rFonts w:ascii="Verdana" w:eastAsia="Verdana" w:hAnsi="Verdana" w:cs="Verdana"/>
          <w:sz w:val="16"/>
          <w:szCs w:val="20"/>
        </w:rPr>
        <w:t xml:space="preserve"> </w:t>
      </w:r>
      <w:r w:rsidR="00651565" w:rsidRPr="00996758">
        <w:rPr>
          <w:rFonts w:ascii="Verdana" w:eastAsia="Verdana" w:hAnsi="Verdana" w:cs="Verdana"/>
          <w:sz w:val="16"/>
          <w:szCs w:val="20"/>
        </w:rPr>
        <w:t xml:space="preserve">jamás debió haber ocurrido y no debería repetirse en un Estado Social de Derecho </w:t>
      </w:r>
      <w:r w:rsidR="0014196C" w:rsidRPr="00996758">
        <w:rPr>
          <w:rFonts w:ascii="Verdana" w:eastAsia="Verdana" w:hAnsi="Verdana" w:cs="Verdana"/>
          <w:sz w:val="16"/>
          <w:szCs w:val="20"/>
        </w:rPr>
        <w:t>[…]</w:t>
      </w:r>
      <w:r w:rsidR="001F229B" w:rsidRPr="00996758">
        <w:rPr>
          <w:rFonts w:ascii="Verdana" w:eastAsia="Verdana" w:hAnsi="Verdana" w:cs="Verdana"/>
          <w:sz w:val="16"/>
          <w:szCs w:val="20"/>
        </w:rPr>
        <w:t xml:space="preserve"> </w:t>
      </w:r>
      <w:r w:rsidR="00651565" w:rsidRPr="00996758">
        <w:rPr>
          <w:rFonts w:ascii="Verdana" w:eastAsia="Verdana" w:hAnsi="Verdana" w:cs="Verdana"/>
          <w:sz w:val="16"/>
          <w:szCs w:val="20"/>
        </w:rPr>
        <w:t>Colombia actualmente atraviesa un momento crucial en pos de la reconciliación nacional, en el marco de este histórico momento no se debe desconocer ni olvid</w:t>
      </w:r>
      <w:r w:rsidR="00CB6527" w:rsidRPr="00996758">
        <w:rPr>
          <w:rFonts w:ascii="Verdana" w:eastAsia="Verdana" w:hAnsi="Verdana" w:cs="Verdana"/>
          <w:sz w:val="16"/>
          <w:szCs w:val="20"/>
        </w:rPr>
        <w:t xml:space="preserve">ar lo ocurrido a Víctor Manuel </w:t>
      </w:r>
      <w:r w:rsidR="0014196C" w:rsidRPr="00996758">
        <w:rPr>
          <w:rFonts w:ascii="Verdana" w:eastAsia="Verdana" w:hAnsi="Verdana" w:cs="Verdana"/>
          <w:sz w:val="16"/>
          <w:szCs w:val="20"/>
        </w:rPr>
        <w:t>[…]</w:t>
      </w:r>
      <w:r w:rsidR="001F229B" w:rsidRPr="00996758">
        <w:rPr>
          <w:rFonts w:ascii="Verdana" w:eastAsia="Verdana" w:hAnsi="Verdana" w:cs="Verdana"/>
          <w:sz w:val="16"/>
          <w:szCs w:val="20"/>
        </w:rPr>
        <w:t xml:space="preserve"> </w:t>
      </w:r>
      <w:r w:rsidR="00651565" w:rsidRPr="00996758">
        <w:rPr>
          <w:rFonts w:ascii="Verdana" w:eastAsia="Verdana" w:hAnsi="Verdana" w:cs="Verdana"/>
          <w:sz w:val="16"/>
          <w:szCs w:val="20"/>
        </w:rPr>
        <w:t xml:space="preserve">El Estado lamenta igualmente que hasta el día de hoy no se conoce </w:t>
      </w:r>
      <w:r w:rsidR="00480601" w:rsidRPr="00996758">
        <w:rPr>
          <w:rFonts w:ascii="Verdana" w:eastAsia="Verdana" w:hAnsi="Verdana" w:cs="Verdana"/>
          <w:sz w:val="16"/>
          <w:szCs w:val="20"/>
        </w:rPr>
        <w:t>[su]</w:t>
      </w:r>
      <w:r w:rsidR="00651565" w:rsidRPr="00996758">
        <w:rPr>
          <w:rFonts w:ascii="Verdana" w:eastAsia="Verdana" w:hAnsi="Verdana" w:cs="Verdana"/>
          <w:sz w:val="16"/>
          <w:szCs w:val="20"/>
        </w:rPr>
        <w:t xml:space="preserve"> paradero</w:t>
      </w:r>
      <w:r w:rsidR="00480601" w:rsidRPr="00996758">
        <w:rPr>
          <w:rFonts w:ascii="Verdana" w:eastAsia="Verdana" w:hAnsi="Verdana" w:cs="Verdana"/>
          <w:sz w:val="16"/>
          <w:szCs w:val="20"/>
        </w:rPr>
        <w:t xml:space="preserve"> […]</w:t>
      </w:r>
      <w:r w:rsidR="00651565" w:rsidRPr="00996758">
        <w:rPr>
          <w:rFonts w:ascii="Verdana" w:eastAsia="Verdana" w:hAnsi="Verdana" w:cs="Verdana"/>
          <w:sz w:val="16"/>
          <w:szCs w:val="20"/>
        </w:rPr>
        <w:t xml:space="preserve"> ni se cuenta con absoluta claridad sobre las circunstancias en las que ocurrió su desaparición a pesar de la actuación de las autoridades judiciales.</w:t>
      </w:r>
      <w:r w:rsidR="001F229B" w:rsidRPr="00996758">
        <w:rPr>
          <w:rFonts w:ascii="Verdana" w:eastAsia="Verdana" w:hAnsi="Verdana" w:cs="Verdana"/>
          <w:sz w:val="16"/>
          <w:szCs w:val="20"/>
        </w:rPr>
        <w:t xml:space="preserve"> </w:t>
      </w:r>
      <w:r w:rsidR="00651565" w:rsidRPr="00996758">
        <w:rPr>
          <w:rFonts w:ascii="Verdana" w:eastAsia="Verdana" w:hAnsi="Verdana" w:cs="Verdana"/>
          <w:sz w:val="16"/>
          <w:szCs w:val="20"/>
        </w:rPr>
        <w:t>La familia Isaza Vélez puede tener la certeza que el Estado colombiano no cesará en la búsqueda de la verdad y la justicia en este caso</w:t>
      </w:r>
      <w:r w:rsidR="001F229B" w:rsidRPr="00996758">
        <w:rPr>
          <w:rFonts w:ascii="Verdana" w:eastAsia="Verdana" w:hAnsi="Verdana" w:cs="Verdana"/>
          <w:sz w:val="16"/>
          <w:szCs w:val="20"/>
        </w:rPr>
        <w:t xml:space="preserve"> </w:t>
      </w:r>
      <w:r w:rsidRPr="00996758">
        <w:rPr>
          <w:rFonts w:ascii="Verdana" w:eastAsia="Verdana" w:hAnsi="Verdana" w:cs="Verdana"/>
          <w:sz w:val="16"/>
          <w:szCs w:val="20"/>
        </w:rPr>
        <w:t>[… y</w:t>
      </w:r>
      <w:r w:rsidR="00480601" w:rsidRPr="00996758">
        <w:rPr>
          <w:rFonts w:ascii="Verdana" w:eastAsia="Verdana" w:hAnsi="Verdana" w:cs="Verdana"/>
          <w:sz w:val="16"/>
          <w:szCs w:val="20"/>
        </w:rPr>
        <w:t>]</w:t>
      </w:r>
      <w:r w:rsidR="00651565" w:rsidRPr="00996758">
        <w:rPr>
          <w:rFonts w:ascii="Verdana" w:eastAsia="Verdana" w:hAnsi="Verdana" w:cs="Verdana"/>
          <w:sz w:val="16"/>
          <w:szCs w:val="20"/>
        </w:rPr>
        <w:t xml:space="preserve"> de forma sincera le pide perdón a la señora Carmenza y a sus hijos Jhony Alexander y Haner Alexis y les expresa un absoluto respeto y consideración</w:t>
      </w:r>
      <w:r w:rsidR="003F2FD5" w:rsidRPr="00996758">
        <w:rPr>
          <w:rFonts w:ascii="Verdana" w:eastAsia="Verdana" w:hAnsi="Verdana" w:cs="Verdana"/>
          <w:sz w:val="16"/>
          <w:szCs w:val="20"/>
        </w:rPr>
        <w:t>[</w:t>
      </w:r>
      <w:r w:rsidRPr="00996758">
        <w:rPr>
          <w:rFonts w:ascii="Verdana" w:eastAsia="Verdana" w:hAnsi="Verdana" w:cs="Verdana"/>
          <w:sz w:val="16"/>
          <w:szCs w:val="20"/>
        </w:rPr>
        <w:t>. E</w:t>
      </w:r>
      <w:r w:rsidR="003F2FD5" w:rsidRPr="00996758">
        <w:rPr>
          <w:rFonts w:ascii="Verdana" w:eastAsia="Verdana" w:hAnsi="Verdana" w:cs="Verdana"/>
          <w:sz w:val="16"/>
          <w:szCs w:val="20"/>
        </w:rPr>
        <w:t>]</w:t>
      </w:r>
      <w:r w:rsidR="00651565" w:rsidRPr="00996758">
        <w:rPr>
          <w:rFonts w:ascii="Verdana" w:eastAsia="Verdana" w:hAnsi="Verdana" w:cs="Verdana"/>
          <w:sz w:val="16"/>
          <w:szCs w:val="20"/>
        </w:rPr>
        <w:t xml:space="preserve">ntiende que el largo tiempo transcurrido desde la desaparición </w:t>
      </w:r>
      <w:r w:rsidRPr="00996758">
        <w:rPr>
          <w:rFonts w:ascii="Verdana" w:eastAsia="Verdana" w:hAnsi="Verdana" w:cs="Verdana"/>
          <w:sz w:val="16"/>
          <w:szCs w:val="20"/>
        </w:rPr>
        <w:t>[…]</w:t>
      </w:r>
      <w:r w:rsidR="00651565" w:rsidRPr="00996758">
        <w:rPr>
          <w:rFonts w:ascii="Verdana" w:eastAsia="Verdana" w:hAnsi="Verdana" w:cs="Verdana"/>
          <w:sz w:val="16"/>
          <w:szCs w:val="20"/>
        </w:rPr>
        <w:t xml:space="preserve"> ha traído como consecuencia que hayan perdido la confianza en el Estado y sus instituciones. Esperamos que este reconocimiento contribuya a que recuperen parte de esa confianza perdida”.</w:t>
      </w:r>
    </w:p>
    <w:p w:rsidR="00B60B39" w:rsidRPr="00996758" w:rsidRDefault="00B60B39">
      <w:pPr>
        <w:pStyle w:val="ListParagraph"/>
        <w:spacing w:after="0" w:line="240" w:lineRule="auto"/>
        <w:ind w:left="0"/>
        <w:jc w:val="both"/>
        <w:rPr>
          <w:rFonts w:ascii="Verdana" w:hAnsi="Verdana"/>
          <w:sz w:val="20"/>
          <w:szCs w:val="20"/>
        </w:rPr>
      </w:pPr>
    </w:p>
    <w:p w:rsidR="00781162" w:rsidRPr="00996758" w:rsidRDefault="0003551C"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La Comisión valoró positivamente dicho reconocimiento y consideró que constituye un paso constructivo en este proceso internacional, </w:t>
      </w:r>
      <w:r w:rsidR="00866581" w:rsidRPr="00996758">
        <w:rPr>
          <w:rFonts w:ascii="Verdana" w:hAnsi="Verdana"/>
          <w:sz w:val="20"/>
          <w:szCs w:val="20"/>
        </w:rPr>
        <w:t xml:space="preserve">si bien es </w:t>
      </w:r>
      <w:r w:rsidRPr="00996758">
        <w:rPr>
          <w:rFonts w:ascii="Verdana" w:hAnsi="Verdana"/>
          <w:sz w:val="20"/>
          <w:szCs w:val="20"/>
        </w:rPr>
        <w:t xml:space="preserve">parcial y se acota a una parte muy limitada del caso. </w:t>
      </w:r>
      <w:r w:rsidR="00D27C51" w:rsidRPr="00996758">
        <w:rPr>
          <w:rFonts w:ascii="Verdana" w:hAnsi="Verdana"/>
          <w:sz w:val="20"/>
          <w:szCs w:val="20"/>
        </w:rPr>
        <w:t xml:space="preserve">En particular, el </w:t>
      </w:r>
      <w:r w:rsidR="00651565" w:rsidRPr="00996758">
        <w:rPr>
          <w:rFonts w:ascii="Verdana" w:hAnsi="Verdana"/>
          <w:sz w:val="20"/>
          <w:szCs w:val="20"/>
        </w:rPr>
        <w:t xml:space="preserve">Estado </w:t>
      </w:r>
      <w:r w:rsidRPr="00996758">
        <w:rPr>
          <w:rFonts w:ascii="Verdana" w:hAnsi="Verdana"/>
          <w:sz w:val="20"/>
          <w:szCs w:val="20"/>
        </w:rPr>
        <w:t xml:space="preserve">solicitó a la Corte que acepte su reconocimiento “en los términos en los que fue planteado”, el cual </w:t>
      </w:r>
      <w:r w:rsidR="00D27C51" w:rsidRPr="00996758">
        <w:rPr>
          <w:rFonts w:ascii="Verdana" w:hAnsi="Verdana"/>
          <w:sz w:val="20"/>
          <w:szCs w:val="20"/>
        </w:rPr>
        <w:t xml:space="preserve">presentó </w:t>
      </w:r>
      <w:r w:rsidRPr="00996758">
        <w:rPr>
          <w:rFonts w:ascii="Verdana" w:hAnsi="Verdana"/>
          <w:sz w:val="20"/>
          <w:szCs w:val="20"/>
        </w:rPr>
        <w:t>en tres partes:</w:t>
      </w:r>
      <w:r w:rsidR="00D27C51" w:rsidRPr="00996758">
        <w:rPr>
          <w:rFonts w:ascii="Verdana" w:hAnsi="Verdana"/>
          <w:sz w:val="20"/>
          <w:szCs w:val="20"/>
        </w:rPr>
        <w:t xml:space="preserve"> </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pPr>
        <w:pStyle w:val="ListParagraph"/>
        <w:numPr>
          <w:ilvl w:val="0"/>
          <w:numId w:val="12"/>
        </w:numPr>
        <w:spacing w:after="0" w:line="240" w:lineRule="auto"/>
        <w:jc w:val="both"/>
        <w:rPr>
          <w:rFonts w:ascii="Verdana" w:eastAsia="Verdana" w:hAnsi="Verdana" w:cs="Verdana"/>
          <w:i/>
          <w:sz w:val="20"/>
          <w:szCs w:val="20"/>
        </w:rPr>
      </w:pPr>
      <w:r w:rsidRPr="00996758">
        <w:rPr>
          <w:rFonts w:ascii="Verdana" w:eastAsia="Verdana" w:hAnsi="Verdana" w:cs="Verdana"/>
          <w:i/>
          <w:sz w:val="20"/>
          <w:szCs w:val="20"/>
        </w:rPr>
        <w:t>“Responsabilidad por la violación de los derechos al reconocimiento de la personalidad jurídica (art. 3), vida (art.4), integridad personal (art.5) y libertad personal (art. 7), en relación con el artículo 1.1 de la CADH respecto de Víctor Manuel Isaza Uribe”</w:t>
      </w:r>
    </w:p>
    <w:p w:rsidR="00B822CF" w:rsidRPr="00996758" w:rsidRDefault="00B822CF">
      <w:pPr>
        <w:pStyle w:val="ListParagraph"/>
        <w:spacing w:after="0" w:line="240" w:lineRule="auto"/>
        <w:ind w:left="0"/>
        <w:jc w:val="both"/>
        <w:rPr>
          <w:rFonts w:ascii="Verdana" w:hAnsi="Verdana"/>
          <w:sz w:val="20"/>
          <w:szCs w:val="20"/>
        </w:rPr>
      </w:pPr>
    </w:p>
    <w:p w:rsidR="001E1091" w:rsidRPr="00996758" w:rsidRDefault="00B822CF"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i/>
          <w:sz w:val="20"/>
          <w:szCs w:val="20"/>
        </w:rPr>
        <w:t>Estado</w:t>
      </w:r>
      <w:r w:rsidRPr="00996758">
        <w:rPr>
          <w:rFonts w:ascii="Verdana" w:hAnsi="Verdana"/>
          <w:sz w:val="20"/>
          <w:szCs w:val="20"/>
        </w:rPr>
        <w:t xml:space="preserve"> manifestó que, “teniendo en cuenta que las autoridades judiciales no han podido determinar las circunstancias específicas de </w:t>
      </w:r>
      <w:r w:rsidR="00FB3313" w:rsidRPr="00996758">
        <w:rPr>
          <w:rFonts w:ascii="Verdana" w:hAnsi="Verdana"/>
          <w:sz w:val="20"/>
          <w:szCs w:val="20"/>
        </w:rPr>
        <w:t>[su]</w:t>
      </w:r>
      <w:r w:rsidRPr="00996758">
        <w:rPr>
          <w:rFonts w:ascii="Verdana" w:hAnsi="Verdana"/>
          <w:sz w:val="20"/>
          <w:szCs w:val="20"/>
        </w:rPr>
        <w:t xml:space="preserve"> desaparición</w:t>
      </w:r>
      <w:r w:rsidR="00A318E7" w:rsidRPr="00996758">
        <w:rPr>
          <w:rFonts w:ascii="Verdana" w:hAnsi="Verdana"/>
          <w:sz w:val="20"/>
          <w:szCs w:val="20"/>
        </w:rPr>
        <w:t>,</w:t>
      </w:r>
      <w:r w:rsidRPr="00996758">
        <w:rPr>
          <w:rFonts w:ascii="Verdana" w:hAnsi="Verdana"/>
          <w:sz w:val="20"/>
          <w:szCs w:val="20"/>
        </w:rPr>
        <w:t xml:space="preserve"> </w:t>
      </w:r>
      <w:r w:rsidR="00A318E7" w:rsidRPr="00996758">
        <w:rPr>
          <w:rFonts w:ascii="Verdana" w:eastAsia="Verdana" w:hAnsi="Verdana" w:cs="Verdana"/>
          <w:sz w:val="20"/>
          <w:szCs w:val="20"/>
        </w:rPr>
        <w:t>[…]</w:t>
      </w:r>
      <w:r w:rsidR="00A318E7" w:rsidRPr="00996758">
        <w:rPr>
          <w:rFonts w:ascii="Verdana" w:hAnsi="Verdana"/>
          <w:sz w:val="20"/>
          <w:szCs w:val="20"/>
        </w:rPr>
        <w:t xml:space="preserve"> </w:t>
      </w:r>
      <w:r w:rsidRPr="00996758">
        <w:rPr>
          <w:rFonts w:ascii="Verdana" w:hAnsi="Verdana"/>
          <w:sz w:val="20"/>
          <w:szCs w:val="20"/>
        </w:rPr>
        <w:t xml:space="preserve">reconoce su responsabilidad por </w:t>
      </w:r>
      <w:r w:rsidR="00FB3313" w:rsidRPr="00996758">
        <w:rPr>
          <w:rFonts w:ascii="Verdana" w:hAnsi="Verdana"/>
          <w:sz w:val="20"/>
          <w:szCs w:val="20"/>
        </w:rPr>
        <w:t>[los referidos]</w:t>
      </w:r>
      <w:r w:rsidRPr="00996758">
        <w:rPr>
          <w:rFonts w:ascii="Verdana" w:hAnsi="Verdana"/>
          <w:sz w:val="20"/>
          <w:szCs w:val="20"/>
        </w:rPr>
        <w:t xml:space="preserve"> derechos </w:t>
      </w:r>
      <w:r w:rsidR="00FB3313" w:rsidRPr="00996758">
        <w:rPr>
          <w:rFonts w:ascii="Verdana" w:eastAsia="Verdana" w:hAnsi="Verdana" w:cs="Verdana"/>
          <w:sz w:val="20"/>
          <w:szCs w:val="20"/>
        </w:rPr>
        <w:t xml:space="preserve">[…] </w:t>
      </w:r>
      <w:r w:rsidRPr="00996758">
        <w:rPr>
          <w:rFonts w:ascii="Verdana" w:hAnsi="Verdana"/>
          <w:sz w:val="20"/>
          <w:szCs w:val="20"/>
        </w:rPr>
        <w:t xml:space="preserve">de Víctor Manuel Isaza Uribe </w:t>
      </w:r>
      <w:r w:rsidR="00A318E7" w:rsidRPr="00996758">
        <w:rPr>
          <w:rFonts w:ascii="Verdana" w:eastAsia="Verdana" w:hAnsi="Verdana" w:cs="Verdana"/>
          <w:sz w:val="20"/>
          <w:szCs w:val="20"/>
        </w:rPr>
        <w:t xml:space="preserve">[…] </w:t>
      </w:r>
      <w:r w:rsidR="00A318E7" w:rsidRPr="00996758">
        <w:rPr>
          <w:rFonts w:ascii="Verdana" w:hAnsi="Verdana"/>
          <w:sz w:val="20"/>
          <w:szCs w:val="20"/>
        </w:rPr>
        <w:t>con fundamento en que é</w:t>
      </w:r>
      <w:r w:rsidRPr="00996758">
        <w:rPr>
          <w:rFonts w:ascii="Verdana" w:hAnsi="Verdana"/>
          <w:sz w:val="20"/>
          <w:szCs w:val="20"/>
        </w:rPr>
        <w:t>l se encontraba bajo la c</w:t>
      </w:r>
      <w:r w:rsidR="00FF2921" w:rsidRPr="00996758">
        <w:rPr>
          <w:rFonts w:ascii="Verdana" w:hAnsi="Verdana"/>
          <w:sz w:val="20"/>
          <w:szCs w:val="20"/>
        </w:rPr>
        <w:t>ustodia de un centro carcelario</w:t>
      </w:r>
      <w:r w:rsidR="00A318E7" w:rsidRPr="00996758">
        <w:rPr>
          <w:rStyle w:val="FootnoteReference"/>
          <w:rFonts w:ascii="Verdana" w:hAnsi="Verdana"/>
          <w:sz w:val="20"/>
          <w:szCs w:val="20"/>
        </w:rPr>
        <w:footnoteReference w:id="13"/>
      </w:r>
      <w:r w:rsidR="00FB3313" w:rsidRPr="00996758">
        <w:rPr>
          <w:rFonts w:ascii="Verdana" w:hAnsi="Verdana"/>
          <w:sz w:val="20"/>
          <w:szCs w:val="20"/>
        </w:rPr>
        <w:t>,</w:t>
      </w:r>
      <w:r w:rsidRPr="00996758">
        <w:rPr>
          <w:rFonts w:ascii="Verdana" w:hAnsi="Verdana"/>
          <w:sz w:val="20"/>
          <w:szCs w:val="20"/>
        </w:rPr>
        <w:t xml:space="preserve"> y por </w:t>
      </w:r>
      <w:r w:rsidR="00FB3313" w:rsidRPr="00996758">
        <w:rPr>
          <w:rFonts w:ascii="Verdana" w:eastAsia="Verdana" w:hAnsi="Verdana" w:cs="Verdana"/>
          <w:sz w:val="20"/>
          <w:szCs w:val="20"/>
        </w:rPr>
        <w:t xml:space="preserve">[…] </w:t>
      </w:r>
      <w:r w:rsidRPr="00996758">
        <w:rPr>
          <w:rFonts w:ascii="Verdana" w:hAnsi="Verdana"/>
          <w:sz w:val="20"/>
          <w:szCs w:val="20"/>
        </w:rPr>
        <w:t xml:space="preserve">encontrarse en una relación de </w:t>
      </w:r>
      <w:r w:rsidRPr="00996758">
        <w:rPr>
          <w:rFonts w:ascii="Verdana" w:hAnsi="Verdana"/>
          <w:sz w:val="20"/>
          <w:szCs w:val="20"/>
        </w:rPr>
        <w:lastRenderedPageBreak/>
        <w:t>especial sujeción, la administración debía responder de manera plena por su seguridad y protección</w:t>
      </w:r>
      <w:r w:rsidR="005242AC" w:rsidRPr="00996758">
        <w:rPr>
          <w:rFonts w:ascii="Verdana" w:hAnsi="Verdana"/>
          <w:sz w:val="20"/>
          <w:szCs w:val="20"/>
        </w:rPr>
        <w:t>”</w:t>
      </w:r>
      <w:r w:rsidR="00A318E7" w:rsidRPr="00996758">
        <w:rPr>
          <w:rStyle w:val="FootnoteReference"/>
          <w:rFonts w:ascii="Verdana" w:hAnsi="Verdana"/>
          <w:sz w:val="20"/>
          <w:szCs w:val="20"/>
        </w:rPr>
        <w:footnoteReference w:id="14"/>
      </w:r>
      <w:r w:rsidRPr="00996758">
        <w:rPr>
          <w:rFonts w:ascii="Verdana" w:hAnsi="Verdana"/>
          <w:sz w:val="20"/>
          <w:szCs w:val="20"/>
        </w:rPr>
        <w:t xml:space="preserve">. </w:t>
      </w:r>
      <w:r w:rsidR="005242AC" w:rsidRPr="00996758">
        <w:rPr>
          <w:rFonts w:ascii="Verdana" w:eastAsia="Verdana" w:hAnsi="Verdana" w:cs="Verdana"/>
          <w:sz w:val="20"/>
          <w:szCs w:val="20"/>
        </w:rPr>
        <w:t xml:space="preserve">Su </w:t>
      </w:r>
      <w:r w:rsidRPr="00996758">
        <w:rPr>
          <w:rFonts w:ascii="Verdana" w:hAnsi="Verdana"/>
          <w:sz w:val="20"/>
          <w:szCs w:val="20"/>
        </w:rPr>
        <w:t xml:space="preserve">reconocimiento </w:t>
      </w:r>
      <w:r w:rsidR="005242AC" w:rsidRPr="00996758">
        <w:rPr>
          <w:rFonts w:ascii="Verdana" w:hAnsi="Verdana"/>
          <w:sz w:val="20"/>
          <w:szCs w:val="20"/>
        </w:rPr>
        <w:t>“</w:t>
      </w:r>
      <w:r w:rsidRPr="00996758">
        <w:rPr>
          <w:rFonts w:ascii="Verdana" w:hAnsi="Verdana"/>
          <w:sz w:val="20"/>
          <w:szCs w:val="20"/>
        </w:rPr>
        <w:t xml:space="preserve">no implica la aceptación de la ocurrencia del ilícito internacional de desaparición forzada de personas en el caso concreto, </w:t>
      </w:r>
      <w:r w:rsidR="00B57B87" w:rsidRPr="00996758">
        <w:rPr>
          <w:rFonts w:ascii="Verdana" w:hAnsi="Verdana"/>
          <w:sz w:val="20"/>
          <w:szCs w:val="20"/>
        </w:rPr>
        <w:t xml:space="preserve">pues </w:t>
      </w:r>
      <w:r w:rsidRPr="00996758">
        <w:rPr>
          <w:rFonts w:ascii="Verdana" w:hAnsi="Verdana"/>
          <w:sz w:val="20"/>
          <w:szCs w:val="20"/>
        </w:rPr>
        <w:t xml:space="preserve">aún no </w:t>
      </w:r>
      <w:r w:rsidR="00B57B87" w:rsidRPr="00996758">
        <w:rPr>
          <w:rFonts w:ascii="Verdana" w:hAnsi="Verdana"/>
          <w:sz w:val="20"/>
          <w:szCs w:val="20"/>
        </w:rPr>
        <w:t xml:space="preserve">hay </w:t>
      </w:r>
      <w:r w:rsidRPr="00996758">
        <w:rPr>
          <w:rFonts w:ascii="Verdana" w:hAnsi="Verdana"/>
          <w:sz w:val="20"/>
          <w:szCs w:val="20"/>
        </w:rPr>
        <w:t xml:space="preserve">elementos suficientes </w:t>
      </w:r>
      <w:r w:rsidR="00B57B87" w:rsidRPr="00996758">
        <w:rPr>
          <w:rFonts w:ascii="Verdana" w:hAnsi="Verdana"/>
          <w:sz w:val="20"/>
          <w:szCs w:val="20"/>
        </w:rPr>
        <w:t xml:space="preserve">para </w:t>
      </w:r>
      <w:r w:rsidRPr="00996758">
        <w:rPr>
          <w:rFonts w:ascii="Verdana" w:hAnsi="Verdana"/>
          <w:sz w:val="20"/>
          <w:szCs w:val="20"/>
        </w:rPr>
        <w:t xml:space="preserve">concluir que en los hechos </w:t>
      </w:r>
      <w:r w:rsidR="00A318E7" w:rsidRPr="00996758">
        <w:rPr>
          <w:rFonts w:ascii="Verdana" w:hAnsi="Verdana"/>
          <w:sz w:val="20"/>
          <w:szCs w:val="20"/>
        </w:rPr>
        <w:t>participaron agentes estatales</w:t>
      </w:r>
      <w:r w:rsidR="002476EE" w:rsidRPr="00996758">
        <w:rPr>
          <w:rFonts w:ascii="Verdana" w:hAnsi="Verdana"/>
          <w:sz w:val="20"/>
          <w:szCs w:val="20"/>
        </w:rPr>
        <w:t>”</w:t>
      </w:r>
      <w:r w:rsidR="00B57B87" w:rsidRPr="00996758">
        <w:rPr>
          <w:rFonts w:ascii="Verdana" w:hAnsi="Verdana"/>
          <w:sz w:val="20"/>
          <w:szCs w:val="20"/>
        </w:rPr>
        <w:t>. Por ello,</w:t>
      </w:r>
      <w:r w:rsidR="00A318E7" w:rsidRPr="00996758">
        <w:rPr>
          <w:rFonts w:ascii="Verdana" w:hAnsi="Verdana"/>
          <w:sz w:val="20"/>
          <w:szCs w:val="20"/>
        </w:rPr>
        <w:t xml:space="preserve"> </w:t>
      </w:r>
      <w:r w:rsidRPr="00996758">
        <w:rPr>
          <w:rFonts w:ascii="Verdana" w:hAnsi="Verdana"/>
          <w:sz w:val="20"/>
          <w:szCs w:val="20"/>
        </w:rPr>
        <w:t xml:space="preserve">no reconoce la </w:t>
      </w:r>
      <w:r w:rsidR="00B57B87" w:rsidRPr="00996758">
        <w:rPr>
          <w:rFonts w:ascii="Verdana" w:hAnsi="Verdana"/>
          <w:sz w:val="20"/>
          <w:szCs w:val="20"/>
        </w:rPr>
        <w:t xml:space="preserve">alegada </w:t>
      </w:r>
      <w:r w:rsidRPr="00996758">
        <w:rPr>
          <w:rFonts w:ascii="Verdana" w:hAnsi="Verdana"/>
          <w:sz w:val="20"/>
          <w:szCs w:val="20"/>
        </w:rPr>
        <w:t>violación de las garantías contenidas en los artículos 1.a y 1.b de la Convención Interamericana sobre D</w:t>
      </w:r>
      <w:r w:rsidR="00B57B87" w:rsidRPr="00996758">
        <w:rPr>
          <w:rFonts w:ascii="Verdana" w:hAnsi="Verdana"/>
          <w:sz w:val="20"/>
          <w:szCs w:val="20"/>
        </w:rPr>
        <w:t xml:space="preserve">esaparición Forzada de Personas, ni de los artículos 2, 16, 11.2 y </w:t>
      </w:r>
      <w:r w:rsidRPr="00996758">
        <w:rPr>
          <w:rFonts w:ascii="Verdana" w:hAnsi="Verdana"/>
          <w:sz w:val="20"/>
          <w:szCs w:val="20"/>
        </w:rPr>
        <w:t>17 de la Convención.</w:t>
      </w:r>
      <w:r w:rsidR="004C7C32" w:rsidRPr="00996758">
        <w:rPr>
          <w:rFonts w:ascii="Verdana" w:hAnsi="Verdana"/>
          <w:sz w:val="20"/>
          <w:szCs w:val="20"/>
        </w:rPr>
        <w:t xml:space="preserve"> </w:t>
      </w:r>
      <w:r w:rsidR="00FB3313" w:rsidRPr="00996758">
        <w:rPr>
          <w:rFonts w:ascii="Verdana" w:hAnsi="Verdana"/>
          <w:sz w:val="20"/>
          <w:szCs w:val="20"/>
        </w:rPr>
        <w:t>A</w:t>
      </w:r>
      <w:r w:rsidR="00B8054D" w:rsidRPr="00996758">
        <w:rPr>
          <w:rFonts w:ascii="Verdana" w:hAnsi="Verdana"/>
          <w:sz w:val="20"/>
          <w:szCs w:val="20"/>
        </w:rPr>
        <w:t>claró que su reconocimiento “se relaciona de manera directa con la ausencia de una investigación efectiva</w:t>
      </w:r>
      <w:r w:rsidR="00A318E7" w:rsidRPr="00996758">
        <w:rPr>
          <w:rFonts w:ascii="Verdana" w:hAnsi="Verdana"/>
          <w:sz w:val="20"/>
          <w:szCs w:val="20"/>
        </w:rPr>
        <w:t>”</w:t>
      </w:r>
      <w:r w:rsidR="004C7C32" w:rsidRPr="00996758">
        <w:rPr>
          <w:rFonts w:ascii="Verdana" w:hAnsi="Verdana"/>
          <w:sz w:val="20"/>
          <w:szCs w:val="20"/>
        </w:rPr>
        <w:t>.</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i/>
          <w:sz w:val="20"/>
          <w:szCs w:val="20"/>
        </w:rPr>
        <w:t>Comisión</w:t>
      </w:r>
      <w:r w:rsidR="00FB3313" w:rsidRPr="00996758">
        <w:rPr>
          <w:rFonts w:ascii="Verdana" w:hAnsi="Verdana"/>
          <w:sz w:val="20"/>
          <w:szCs w:val="20"/>
        </w:rPr>
        <w:t xml:space="preserve"> señaló</w:t>
      </w:r>
      <w:r w:rsidRPr="00996758">
        <w:rPr>
          <w:rFonts w:ascii="Verdana" w:hAnsi="Verdana"/>
          <w:sz w:val="20"/>
          <w:szCs w:val="20"/>
        </w:rPr>
        <w:t xml:space="preserve"> que en su Informe declaró la violación de </w:t>
      </w:r>
      <w:r w:rsidR="00FB3313" w:rsidRPr="00996758">
        <w:rPr>
          <w:rFonts w:ascii="Verdana" w:hAnsi="Verdana"/>
          <w:sz w:val="20"/>
          <w:szCs w:val="20"/>
        </w:rPr>
        <w:t xml:space="preserve">esos derechos </w:t>
      </w:r>
      <w:r w:rsidRPr="00996758">
        <w:rPr>
          <w:rFonts w:ascii="Verdana" w:hAnsi="Verdana"/>
          <w:sz w:val="20"/>
          <w:szCs w:val="20"/>
        </w:rPr>
        <w:t>derivada de la calificación de los hechos</w:t>
      </w:r>
      <w:r w:rsidR="006A5173" w:rsidRPr="00996758">
        <w:rPr>
          <w:rFonts w:ascii="Verdana" w:hAnsi="Verdana"/>
          <w:sz w:val="20"/>
          <w:szCs w:val="20"/>
        </w:rPr>
        <w:t xml:space="preserve"> como una desaparición forzada, por lo cual</w:t>
      </w:r>
      <w:r w:rsidRPr="00996758">
        <w:rPr>
          <w:rFonts w:ascii="Verdana" w:hAnsi="Verdana"/>
          <w:sz w:val="20"/>
          <w:szCs w:val="20"/>
        </w:rPr>
        <w:t xml:space="preserve"> lo indicado por el Estado no constituye un reconocimiento de responsabilidad</w:t>
      </w:r>
      <w:r w:rsidR="002E4FCB" w:rsidRPr="00996758">
        <w:rPr>
          <w:rFonts w:ascii="Verdana" w:hAnsi="Verdana"/>
          <w:sz w:val="20"/>
          <w:szCs w:val="20"/>
        </w:rPr>
        <w:t>,</w:t>
      </w:r>
      <w:r w:rsidRPr="00996758">
        <w:rPr>
          <w:rFonts w:ascii="Verdana" w:hAnsi="Verdana"/>
          <w:sz w:val="20"/>
          <w:szCs w:val="20"/>
        </w:rPr>
        <w:t xml:space="preserve"> pues expresamente cuestiona los hechos planteados por la Comisión y los representantes y su calificación jurídica</w:t>
      </w:r>
      <w:r w:rsidR="00FB3313" w:rsidRPr="00996758">
        <w:rPr>
          <w:rFonts w:ascii="Verdana" w:hAnsi="Verdana"/>
          <w:sz w:val="20"/>
          <w:szCs w:val="20"/>
        </w:rPr>
        <w:t>, invocando esos</w:t>
      </w:r>
      <w:r w:rsidRPr="00996758">
        <w:rPr>
          <w:rFonts w:ascii="Verdana" w:hAnsi="Verdana"/>
          <w:sz w:val="20"/>
          <w:szCs w:val="20"/>
        </w:rPr>
        <w:t xml:space="preserve"> derechos </w:t>
      </w:r>
      <w:r w:rsidR="00FB3313" w:rsidRPr="00996758">
        <w:rPr>
          <w:rFonts w:ascii="Verdana" w:hAnsi="Verdana"/>
          <w:sz w:val="20"/>
          <w:szCs w:val="20"/>
        </w:rPr>
        <w:t xml:space="preserve">pero </w:t>
      </w:r>
      <w:r w:rsidRPr="00996758">
        <w:rPr>
          <w:rFonts w:ascii="Verdana" w:hAnsi="Verdana"/>
          <w:sz w:val="20"/>
          <w:szCs w:val="20"/>
        </w:rPr>
        <w:t>con hipótesis distintas sobre las razones q</w:t>
      </w:r>
      <w:r w:rsidR="00FB3313" w:rsidRPr="00996758">
        <w:rPr>
          <w:rFonts w:ascii="Verdana" w:hAnsi="Verdana"/>
          <w:sz w:val="20"/>
          <w:szCs w:val="20"/>
        </w:rPr>
        <w:t>ue sustentan su responsabilidad</w:t>
      </w:r>
      <w:r w:rsidRPr="00996758">
        <w:rPr>
          <w:rFonts w:ascii="Verdana" w:hAnsi="Verdana"/>
          <w:sz w:val="20"/>
          <w:szCs w:val="20"/>
        </w:rPr>
        <w:t>.</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i/>
          <w:sz w:val="20"/>
          <w:szCs w:val="20"/>
        </w:rPr>
        <w:t>representantes</w:t>
      </w:r>
      <w:r w:rsidRPr="00996758">
        <w:rPr>
          <w:rFonts w:ascii="Verdana" w:hAnsi="Verdana"/>
          <w:sz w:val="20"/>
          <w:szCs w:val="20"/>
        </w:rPr>
        <w:t xml:space="preserve"> no acepta</w:t>
      </w:r>
      <w:r w:rsidR="00046684" w:rsidRPr="00996758">
        <w:rPr>
          <w:rFonts w:ascii="Verdana" w:hAnsi="Verdana"/>
          <w:sz w:val="20"/>
          <w:szCs w:val="20"/>
        </w:rPr>
        <w:t>ro</w:t>
      </w:r>
      <w:r w:rsidR="00DD34A0" w:rsidRPr="00996758">
        <w:rPr>
          <w:rFonts w:ascii="Verdana" w:hAnsi="Verdana"/>
          <w:sz w:val="20"/>
          <w:szCs w:val="20"/>
        </w:rPr>
        <w:t xml:space="preserve">n el reconocimiento del Estado porque </w:t>
      </w:r>
      <w:r w:rsidRPr="00996758">
        <w:rPr>
          <w:rFonts w:ascii="Verdana" w:hAnsi="Verdana"/>
          <w:sz w:val="20"/>
          <w:szCs w:val="20"/>
        </w:rPr>
        <w:t>únicamente admit</w:t>
      </w:r>
      <w:r w:rsidR="00697CE5" w:rsidRPr="00996758">
        <w:rPr>
          <w:rFonts w:ascii="Verdana" w:hAnsi="Verdana"/>
          <w:sz w:val="20"/>
          <w:szCs w:val="20"/>
        </w:rPr>
        <w:t>e</w:t>
      </w:r>
      <w:r w:rsidRPr="00996758">
        <w:rPr>
          <w:rFonts w:ascii="Verdana" w:hAnsi="Verdana"/>
          <w:sz w:val="20"/>
          <w:szCs w:val="20"/>
        </w:rPr>
        <w:t xml:space="preserve"> fallas en el control de la cárcel y la imposibilidad de establecer lo sucedido, pero no reconoc</w:t>
      </w:r>
      <w:r w:rsidR="006A5173" w:rsidRPr="00996758">
        <w:rPr>
          <w:rFonts w:ascii="Verdana" w:hAnsi="Verdana"/>
          <w:sz w:val="20"/>
          <w:szCs w:val="20"/>
        </w:rPr>
        <w:t xml:space="preserve">e la desaparición forzada </w:t>
      </w:r>
      <w:r w:rsidR="00697CE5" w:rsidRPr="00996758">
        <w:rPr>
          <w:rFonts w:ascii="Verdana" w:hAnsi="Verdana"/>
          <w:sz w:val="20"/>
          <w:szCs w:val="20"/>
        </w:rPr>
        <w:t xml:space="preserve">por grupos paramilitares con aquiescencia </w:t>
      </w:r>
      <w:r w:rsidR="00A5153B" w:rsidRPr="00996758">
        <w:rPr>
          <w:rFonts w:ascii="Verdana" w:hAnsi="Verdana"/>
          <w:sz w:val="20"/>
          <w:szCs w:val="20"/>
        </w:rPr>
        <w:t>estatal</w:t>
      </w:r>
      <w:r w:rsidR="00697CE5" w:rsidRPr="00996758">
        <w:rPr>
          <w:rFonts w:ascii="Verdana" w:hAnsi="Verdana"/>
          <w:sz w:val="20"/>
          <w:szCs w:val="20"/>
        </w:rPr>
        <w:t xml:space="preserve"> </w:t>
      </w:r>
      <w:r w:rsidR="006A5173" w:rsidRPr="00996758">
        <w:rPr>
          <w:rFonts w:ascii="Verdana" w:hAnsi="Verdana"/>
          <w:sz w:val="20"/>
          <w:szCs w:val="20"/>
        </w:rPr>
        <w:t>ni</w:t>
      </w:r>
      <w:r w:rsidRPr="00996758">
        <w:rPr>
          <w:rFonts w:ascii="Verdana" w:hAnsi="Verdana"/>
          <w:sz w:val="20"/>
          <w:szCs w:val="20"/>
        </w:rPr>
        <w:t xml:space="preserve"> </w:t>
      </w:r>
      <w:r w:rsidR="003E73E6" w:rsidRPr="00996758">
        <w:rPr>
          <w:rFonts w:ascii="Verdana" w:hAnsi="Verdana"/>
          <w:sz w:val="20"/>
          <w:szCs w:val="20"/>
        </w:rPr>
        <w:t>acepta</w:t>
      </w:r>
      <w:r w:rsidRPr="00996758">
        <w:rPr>
          <w:rFonts w:ascii="Verdana" w:hAnsi="Verdana"/>
          <w:sz w:val="20"/>
          <w:szCs w:val="20"/>
        </w:rPr>
        <w:t xml:space="preserve"> </w:t>
      </w:r>
      <w:r w:rsidR="00697CE5" w:rsidRPr="00996758">
        <w:rPr>
          <w:rFonts w:ascii="Verdana" w:hAnsi="Verdana"/>
          <w:sz w:val="20"/>
          <w:szCs w:val="20"/>
        </w:rPr>
        <w:t>el marco fáctico,</w:t>
      </w:r>
      <w:r w:rsidR="007D15A2" w:rsidRPr="00996758">
        <w:rPr>
          <w:rFonts w:ascii="Verdana" w:hAnsi="Verdana"/>
          <w:sz w:val="20"/>
          <w:szCs w:val="20"/>
        </w:rPr>
        <w:t xml:space="preserve"> los contextos </w:t>
      </w:r>
      <w:r w:rsidR="00697CE5" w:rsidRPr="00996758">
        <w:rPr>
          <w:rFonts w:ascii="Verdana" w:hAnsi="Verdana"/>
          <w:sz w:val="20"/>
          <w:szCs w:val="20"/>
        </w:rPr>
        <w:t>alegados o</w:t>
      </w:r>
      <w:r w:rsidR="007D15A2" w:rsidRPr="00996758">
        <w:rPr>
          <w:rFonts w:ascii="Verdana" w:hAnsi="Verdana"/>
          <w:sz w:val="20"/>
          <w:szCs w:val="20"/>
        </w:rPr>
        <w:t xml:space="preserve"> los marcos legales </w:t>
      </w:r>
      <w:r w:rsidRPr="00996758">
        <w:rPr>
          <w:rFonts w:ascii="Verdana" w:hAnsi="Verdana"/>
          <w:sz w:val="20"/>
          <w:szCs w:val="20"/>
        </w:rPr>
        <w:t>vigente</w:t>
      </w:r>
      <w:r w:rsidR="007D15A2" w:rsidRPr="00996758">
        <w:rPr>
          <w:rFonts w:ascii="Verdana" w:hAnsi="Verdana"/>
          <w:sz w:val="20"/>
          <w:szCs w:val="20"/>
        </w:rPr>
        <w:t>s</w:t>
      </w:r>
      <w:r w:rsidR="00697CE5" w:rsidRPr="00996758">
        <w:rPr>
          <w:rFonts w:ascii="Verdana" w:hAnsi="Verdana"/>
          <w:sz w:val="20"/>
          <w:szCs w:val="20"/>
        </w:rPr>
        <w:t>, por lo que</w:t>
      </w:r>
      <w:r w:rsidR="00A5153B" w:rsidRPr="00996758">
        <w:rPr>
          <w:rFonts w:ascii="Verdana" w:hAnsi="Verdana"/>
          <w:sz w:val="20"/>
          <w:szCs w:val="20"/>
        </w:rPr>
        <w:t xml:space="preserve"> debe ser desestimado</w:t>
      </w:r>
      <w:r w:rsidRPr="00996758">
        <w:rPr>
          <w:rFonts w:ascii="Verdana" w:hAnsi="Verdana"/>
          <w:sz w:val="20"/>
          <w:szCs w:val="20"/>
        </w:rPr>
        <w:t>.</w:t>
      </w:r>
    </w:p>
    <w:p w:rsidR="00B822CF" w:rsidRPr="00996758" w:rsidRDefault="00B822CF">
      <w:pPr>
        <w:pStyle w:val="ListParagraph"/>
        <w:spacing w:after="0" w:line="240" w:lineRule="auto"/>
        <w:ind w:left="0"/>
        <w:jc w:val="both"/>
        <w:rPr>
          <w:rFonts w:ascii="Verdana" w:hAnsi="Verdana"/>
          <w:sz w:val="20"/>
          <w:szCs w:val="20"/>
        </w:rPr>
      </w:pPr>
    </w:p>
    <w:p w:rsidR="009B1996" w:rsidRPr="00996758" w:rsidRDefault="009B1996">
      <w:pPr>
        <w:pStyle w:val="ListParagraph"/>
        <w:numPr>
          <w:ilvl w:val="0"/>
          <w:numId w:val="12"/>
        </w:numPr>
        <w:spacing w:after="0" w:line="240" w:lineRule="auto"/>
        <w:jc w:val="both"/>
        <w:rPr>
          <w:rFonts w:ascii="Verdana" w:hAnsi="Verdana"/>
          <w:sz w:val="20"/>
          <w:szCs w:val="20"/>
        </w:rPr>
      </w:pPr>
      <w:r w:rsidRPr="00996758">
        <w:rPr>
          <w:rFonts w:ascii="Verdana" w:eastAsia="Verdana" w:hAnsi="Verdana" w:cs="Verdana"/>
          <w:i/>
          <w:sz w:val="20"/>
          <w:szCs w:val="20"/>
        </w:rPr>
        <w:t>“Responsabilidad parcial por la violación a las garantías judiciales (art. 8), y a la protección judicial (art. 25), en relación con el artículo 1.1 de la CADH, respecto de Carmenza Vélez, Jhony Alexander Isaza Vélez y Haner Alexis Isaza Vélez”.</w:t>
      </w:r>
    </w:p>
    <w:p w:rsidR="009B1996" w:rsidRPr="00996758" w:rsidRDefault="009B1996">
      <w:pPr>
        <w:pStyle w:val="ListParagraph"/>
        <w:spacing w:after="0" w:line="240" w:lineRule="auto"/>
        <w:ind w:left="0"/>
        <w:jc w:val="both"/>
        <w:rPr>
          <w:rFonts w:ascii="Verdana" w:hAnsi="Verdana"/>
          <w:sz w:val="20"/>
          <w:szCs w:val="20"/>
        </w:rPr>
      </w:pPr>
    </w:p>
    <w:p w:rsidR="009352F5" w:rsidRPr="00996758" w:rsidRDefault="009B1996"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i/>
          <w:sz w:val="20"/>
          <w:szCs w:val="20"/>
        </w:rPr>
        <w:t>Estado</w:t>
      </w:r>
      <w:r w:rsidRPr="00996758">
        <w:rPr>
          <w:rFonts w:ascii="Verdana" w:hAnsi="Verdana"/>
          <w:sz w:val="20"/>
          <w:szCs w:val="20"/>
        </w:rPr>
        <w:t xml:space="preserve"> reconoce que </w:t>
      </w:r>
      <w:r w:rsidR="003E73E6" w:rsidRPr="00996758">
        <w:rPr>
          <w:rFonts w:ascii="Verdana" w:hAnsi="Verdana"/>
          <w:sz w:val="20"/>
          <w:szCs w:val="20"/>
        </w:rPr>
        <w:t>“</w:t>
      </w:r>
      <w:r w:rsidRPr="00996758">
        <w:rPr>
          <w:rFonts w:ascii="Verdana" w:hAnsi="Verdana"/>
          <w:sz w:val="20"/>
          <w:szCs w:val="20"/>
        </w:rPr>
        <w:t xml:space="preserve">la demora prolongada </w:t>
      </w:r>
      <w:r w:rsidR="00E723AA" w:rsidRPr="00996758">
        <w:rPr>
          <w:rFonts w:ascii="Verdana" w:hAnsi="Verdana"/>
          <w:sz w:val="20"/>
          <w:szCs w:val="20"/>
        </w:rPr>
        <w:t>en</w:t>
      </w:r>
      <w:r w:rsidRPr="00996758">
        <w:rPr>
          <w:rFonts w:ascii="Verdana" w:hAnsi="Verdana"/>
          <w:sz w:val="20"/>
          <w:szCs w:val="20"/>
        </w:rPr>
        <w:t xml:space="preserve"> la investigación adelantada en la jurisdicción ordinaria, relacionada con la desaparición de Víctor Manuel Isaza Uribe, constituyó por sí misma, una violación a </w:t>
      </w:r>
      <w:r w:rsidR="003E73E6" w:rsidRPr="00996758">
        <w:rPr>
          <w:rFonts w:ascii="Verdana" w:hAnsi="Verdana"/>
          <w:sz w:val="20"/>
          <w:szCs w:val="20"/>
        </w:rPr>
        <w:t>[</w:t>
      </w:r>
      <w:r w:rsidR="00DC68AA" w:rsidRPr="00996758">
        <w:rPr>
          <w:rFonts w:ascii="Verdana" w:hAnsi="Verdana"/>
          <w:sz w:val="20"/>
          <w:szCs w:val="20"/>
        </w:rPr>
        <w:t xml:space="preserve">esos derechos </w:t>
      </w:r>
      <w:r w:rsidR="003E73E6" w:rsidRPr="00996758">
        <w:rPr>
          <w:rFonts w:ascii="Verdana" w:hAnsi="Verdana"/>
          <w:sz w:val="20"/>
          <w:szCs w:val="20"/>
        </w:rPr>
        <w:t>…</w:t>
      </w:r>
      <w:r w:rsidR="00DC68AA" w:rsidRPr="00996758">
        <w:rPr>
          <w:rFonts w:ascii="Verdana" w:hAnsi="Verdana"/>
          <w:sz w:val="20"/>
          <w:szCs w:val="20"/>
        </w:rPr>
        <w:t xml:space="preserve"> pues</w:t>
      </w:r>
      <w:r w:rsidR="003E73E6" w:rsidRPr="00996758">
        <w:rPr>
          <w:rFonts w:ascii="Verdana" w:hAnsi="Verdana"/>
          <w:sz w:val="20"/>
          <w:szCs w:val="20"/>
        </w:rPr>
        <w:t xml:space="preserve">] </w:t>
      </w:r>
      <w:r w:rsidRPr="00996758">
        <w:rPr>
          <w:rFonts w:ascii="Verdana" w:hAnsi="Verdana"/>
          <w:sz w:val="20"/>
          <w:szCs w:val="20"/>
        </w:rPr>
        <w:t xml:space="preserve">los 29 años transcurridos desde el inicio de la </w:t>
      </w:r>
      <w:r w:rsidR="00DC68AA" w:rsidRPr="00996758">
        <w:rPr>
          <w:rFonts w:ascii="Verdana" w:hAnsi="Verdana"/>
          <w:sz w:val="20"/>
          <w:szCs w:val="20"/>
        </w:rPr>
        <w:t>[misma]</w:t>
      </w:r>
      <w:r w:rsidRPr="00996758">
        <w:rPr>
          <w:rFonts w:ascii="Verdana" w:hAnsi="Verdana"/>
          <w:sz w:val="20"/>
          <w:szCs w:val="20"/>
        </w:rPr>
        <w:t xml:space="preserve"> sobrepasan un plazo qu</w:t>
      </w:r>
      <w:r w:rsidR="00EF242F" w:rsidRPr="00996758">
        <w:rPr>
          <w:rFonts w:ascii="Verdana" w:hAnsi="Verdana"/>
          <w:sz w:val="20"/>
          <w:szCs w:val="20"/>
        </w:rPr>
        <w:t>e pueda considerarse razonable</w:t>
      </w:r>
      <w:r w:rsidR="00DC68AA" w:rsidRPr="00996758">
        <w:rPr>
          <w:rFonts w:ascii="Verdana" w:hAnsi="Verdana"/>
          <w:sz w:val="20"/>
          <w:szCs w:val="20"/>
        </w:rPr>
        <w:t>” y</w:t>
      </w:r>
      <w:r w:rsidR="00427357" w:rsidRPr="00996758">
        <w:rPr>
          <w:rFonts w:ascii="Verdana" w:hAnsi="Verdana"/>
          <w:sz w:val="20"/>
          <w:szCs w:val="20"/>
        </w:rPr>
        <w:t xml:space="preserve"> </w:t>
      </w:r>
      <w:r w:rsidRPr="00996758">
        <w:rPr>
          <w:rFonts w:ascii="Verdana" w:hAnsi="Verdana"/>
          <w:sz w:val="20"/>
          <w:szCs w:val="20"/>
        </w:rPr>
        <w:t xml:space="preserve">que en </w:t>
      </w:r>
      <w:r w:rsidR="00427357" w:rsidRPr="00996758">
        <w:rPr>
          <w:rFonts w:ascii="Verdana" w:hAnsi="Verdana"/>
          <w:sz w:val="20"/>
          <w:szCs w:val="20"/>
        </w:rPr>
        <w:t>esa</w:t>
      </w:r>
      <w:r w:rsidRPr="00996758">
        <w:rPr>
          <w:rFonts w:ascii="Verdana" w:hAnsi="Verdana"/>
          <w:sz w:val="20"/>
          <w:szCs w:val="20"/>
        </w:rPr>
        <w:t xml:space="preserve"> investigación </w:t>
      </w:r>
      <w:r w:rsidR="00427357" w:rsidRPr="00996758">
        <w:rPr>
          <w:rFonts w:ascii="Verdana" w:hAnsi="Verdana"/>
          <w:sz w:val="20"/>
          <w:szCs w:val="20"/>
        </w:rPr>
        <w:t>“</w:t>
      </w:r>
      <w:r w:rsidRPr="00996758">
        <w:rPr>
          <w:rFonts w:ascii="Verdana" w:hAnsi="Verdana"/>
          <w:sz w:val="20"/>
          <w:szCs w:val="20"/>
        </w:rPr>
        <w:t>se presentaron algunas inconsistencias</w:t>
      </w:r>
      <w:r w:rsidR="00427357" w:rsidRPr="00996758">
        <w:rPr>
          <w:rFonts w:ascii="Verdana" w:hAnsi="Verdana"/>
          <w:sz w:val="20"/>
          <w:szCs w:val="20"/>
        </w:rPr>
        <w:t xml:space="preserve">” </w:t>
      </w:r>
      <w:r w:rsidRPr="00996758">
        <w:rPr>
          <w:rFonts w:ascii="Verdana" w:hAnsi="Verdana"/>
          <w:sz w:val="20"/>
          <w:szCs w:val="20"/>
        </w:rPr>
        <w:t>que dificultaron el esclarecimiento de los hechos</w:t>
      </w:r>
      <w:r w:rsidR="00427357" w:rsidRPr="00996758">
        <w:rPr>
          <w:rFonts w:ascii="Verdana" w:hAnsi="Verdana"/>
          <w:sz w:val="20"/>
          <w:szCs w:val="20"/>
        </w:rPr>
        <w:t>, como el</w:t>
      </w:r>
      <w:r w:rsidRPr="00996758">
        <w:rPr>
          <w:rFonts w:ascii="Verdana" w:hAnsi="Verdana"/>
          <w:sz w:val="20"/>
          <w:szCs w:val="20"/>
        </w:rPr>
        <w:t xml:space="preserve"> retraso en la p</w:t>
      </w:r>
      <w:r w:rsidR="00427357" w:rsidRPr="00996758">
        <w:rPr>
          <w:rFonts w:ascii="Verdana" w:hAnsi="Verdana"/>
          <w:sz w:val="20"/>
          <w:szCs w:val="20"/>
        </w:rPr>
        <w:t>ráctica de diversas diligencias</w:t>
      </w:r>
      <w:r w:rsidRPr="00996758">
        <w:rPr>
          <w:rFonts w:ascii="Verdana" w:hAnsi="Verdana"/>
          <w:sz w:val="20"/>
          <w:szCs w:val="20"/>
        </w:rPr>
        <w:t xml:space="preserve"> y periodos de inactividad</w:t>
      </w:r>
      <w:r w:rsidR="00F83E2D" w:rsidRPr="00996758">
        <w:rPr>
          <w:rFonts w:ascii="Verdana" w:hAnsi="Verdana"/>
          <w:sz w:val="20"/>
          <w:szCs w:val="20"/>
        </w:rPr>
        <w:t>. En sus alegatos finales, el Estado agregó que este reconocimiento se sustenta en que en el expediente penal se evidencian períodos extensos de inactividad injustificada y que, entre las inconsistencias relacionadas con el retraso en la práctica de diligencias, se encuentra la falta de acciones urgentes de búsqueda del señor Isaza luego de su sustracción de la cárcel y la falta de verificación exacta de la base militar del Batallón Bárbula, de la estación de Policía y del Guardacostas de la Armada que estarían ubicados cerca del lugar de los hechos.</w:t>
      </w:r>
    </w:p>
    <w:p w:rsidR="009352F5" w:rsidRPr="00996758" w:rsidRDefault="009352F5">
      <w:pPr>
        <w:pStyle w:val="ListParagraph"/>
        <w:spacing w:after="0" w:line="240" w:lineRule="auto"/>
        <w:ind w:left="0"/>
        <w:jc w:val="both"/>
        <w:rPr>
          <w:rFonts w:ascii="Verdana" w:hAnsi="Verdana"/>
          <w:sz w:val="20"/>
          <w:szCs w:val="20"/>
        </w:rPr>
      </w:pPr>
    </w:p>
    <w:p w:rsidR="002D227A" w:rsidRPr="00996758" w:rsidRDefault="002D227A" w:rsidP="0075641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i/>
          <w:sz w:val="20"/>
          <w:szCs w:val="20"/>
        </w:rPr>
        <w:t>Comisión</w:t>
      </w:r>
      <w:r w:rsidRPr="00996758">
        <w:rPr>
          <w:rFonts w:ascii="Verdana" w:hAnsi="Verdana"/>
          <w:sz w:val="20"/>
          <w:szCs w:val="20"/>
        </w:rPr>
        <w:t xml:space="preserve"> manifestó que est</w:t>
      </w:r>
      <w:r w:rsidR="00427357" w:rsidRPr="00996758">
        <w:rPr>
          <w:rFonts w:ascii="Verdana" w:hAnsi="Verdana"/>
          <w:sz w:val="20"/>
          <w:szCs w:val="20"/>
        </w:rPr>
        <w:t xml:space="preserve">e reconocimiento no incorpora al señor </w:t>
      </w:r>
      <w:r w:rsidRPr="00996758">
        <w:rPr>
          <w:rFonts w:ascii="Verdana" w:hAnsi="Verdana"/>
          <w:sz w:val="20"/>
          <w:szCs w:val="20"/>
        </w:rPr>
        <w:t xml:space="preserve">Isaza Uribe como víctima, </w:t>
      </w:r>
      <w:r w:rsidR="00B36884" w:rsidRPr="00996758">
        <w:rPr>
          <w:rFonts w:ascii="Verdana" w:hAnsi="Verdana"/>
          <w:sz w:val="20"/>
          <w:szCs w:val="20"/>
        </w:rPr>
        <w:t>a pesar</w:t>
      </w:r>
      <w:r w:rsidRPr="00996758">
        <w:rPr>
          <w:rFonts w:ascii="Verdana" w:hAnsi="Verdana"/>
          <w:sz w:val="20"/>
          <w:szCs w:val="20"/>
        </w:rPr>
        <w:t xml:space="preserve"> que en </w:t>
      </w:r>
      <w:r w:rsidR="00B36884" w:rsidRPr="00996758">
        <w:rPr>
          <w:rFonts w:ascii="Verdana" w:hAnsi="Verdana"/>
          <w:sz w:val="20"/>
          <w:szCs w:val="20"/>
        </w:rPr>
        <w:t>estos</w:t>
      </w:r>
      <w:r w:rsidRPr="00996758">
        <w:rPr>
          <w:rFonts w:ascii="Verdana" w:hAnsi="Verdana"/>
          <w:sz w:val="20"/>
          <w:szCs w:val="20"/>
        </w:rPr>
        <w:t xml:space="preserve"> casos la persona desaparecida </w:t>
      </w:r>
      <w:r w:rsidR="00B36884" w:rsidRPr="00996758">
        <w:rPr>
          <w:rFonts w:ascii="Verdana" w:hAnsi="Verdana"/>
          <w:sz w:val="20"/>
          <w:szCs w:val="20"/>
        </w:rPr>
        <w:t xml:space="preserve">forzadamente </w:t>
      </w:r>
      <w:r w:rsidRPr="00996758">
        <w:rPr>
          <w:rFonts w:ascii="Verdana" w:hAnsi="Verdana"/>
          <w:sz w:val="20"/>
          <w:szCs w:val="20"/>
        </w:rPr>
        <w:t xml:space="preserve">también </w:t>
      </w:r>
      <w:r w:rsidR="00732326" w:rsidRPr="00996758">
        <w:rPr>
          <w:rFonts w:ascii="Verdana" w:hAnsi="Verdana"/>
          <w:sz w:val="20"/>
          <w:szCs w:val="20"/>
        </w:rPr>
        <w:t>es víctima de tales violaciones</w:t>
      </w:r>
      <w:r w:rsidR="00ED31D8" w:rsidRPr="00996758">
        <w:rPr>
          <w:rFonts w:ascii="Verdana" w:hAnsi="Verdana"/>
          <w:sz w:val="20"/>
          <w:szCs w:val="20"/>
        </w:rPr>
        <w:t>;</w:t>
      </w:r>
      <w:r w:rsidR="00732326" w:rsidRPr="00996758">
        <w:rPr>
          <w:rFonts w:ascii="Verdana" w:hAnsi="Verdana"/>
          <w:sz w:val="20"/>
          <w:szCs w:val="20"/>
        </w:rPr>
        <w:t xml:space="preserve"> </w:t>
      </w:r>
      <w:r w:rsidRPr="00996758">
        <w:rPr>
          <w:rFonts w:ascii="Verdana" w:hAnsi="Verdana"/>
          <w:sz w:val="20"/>
          <w:szCs w:val="20"/>
        </w:rPr>
        <w:t>se limita a la violación de la garantía de plazo razonable</w:t>
      </w:r>
      <w:r w:rsidR="00ED31D8" w:rsidRPr="00996758">
        <w:rPr>
          <w:rFonts w:ascii="Verdana" w:hAnsi="Verdana"/>
          <w:sz w:val="20"/>
          <w:szCs w:val="20"/>
        </w:rPr>
        <w:t>;</w:t>
      </w:r>
      <w:r w:rsidRPr="00996758">
        <w:rPr>
          <w:rFonts w:ascii="Verdana" w:hAnsi="Verdana"/>
          <w:sz w:val="20"/>
          <w:szCs w:val="20"/>
        </w:rPr>
        <w:t xml:space="preserve"> y solo agrega una referencia genérica a "algunas inconsistencias", </w:t>
      </w:r>
      <w:r w:rsidR="00ED31D8" w:rsidRPr="00996758">
        <w:rPr>
          <w:rFonts w:ascii="Verdana" w:hAnsi="Verdana"/>
          <w:sz w:val="20"/>
          <w:szCs w:val="20"/>
        </w:rPr>
        <w:t xml:space="preserve">sin </w:t>
      </w:r>
      <w:r w:rsidRPr="00996758">
        <w:rPr>
          <w:rFonts w:ascii="Verdana" w:hAnsi="Verdana"/>
          <w:sz w:val="20"/>
          <w:szCs w:val="20"/>
        </w:rPr>
        <w:t>precisa</w:t>
      </w:r>
      <w:r w:rsidR="00ED31D8" w:rsidRPr="00996758">
        <w:rPr>
          <w:rFonts w:ascii="Verdana" w:hAnsi="Verdana"/>
          <w:sz w:val="20"/>
          <w:szCs w:val="20"/>
        </w:rPr>
        <w:t>rlas, por lo que otros</w:t>
      </w:r>
      <w:r w:rsidRPr="00996758">
        <w:rPr>
          <w:rFonts w:ascii="Verdana" w:hAnsi="Verdana"/>
          <w:sz w:val="20"/>
          <w:szCs w:val="20"/>
        </w:rPr>
        <w:t xml:space="preserve"> factores de impunidad analizados</w:t>
      </w:r>
      <w:r w:rsidR="00CC14B0" w:rsidRPr="00996758">
        <w:rPr>
          <w:rFonts w:ascii="Verdana" w:hAnsi="Verdana"/>
          <w:sz w:val="20"/>
          <w:szCs w:val="20"/>
        </w:rPr>
        <w:t xml:space="preserve"> </w:t>
      </w:r>
      <w:r w:rsidRPr="00996758">
        <w:rPr>
          <w:rFonts w:ascii="Verdana" w:hAnsi="Verdana"/>
          <w:sz w:val="20"/>
          <w:szCs w:val="20"/>
        </w:rPr>
        <w:t>quedan en controversia.</w:t>
      </w:r>
    </w:p>
    <w:p w:rsidR="002D227A" w:rsidRPr="00996758" w:rsidRDefault="002D227A">
      <w:pPr>
        <w:pStyle w:val="ListParagraph"/>
        <w:spacing w:after="0" w:line="240" w:lineRule="auto"/>
        <w:ind w:left="0"/>
        <w:jc w:val="both"/>
        <w:rPr>
          <w:rFonts w:ascii="Verdana" w:hAnsi="Verdana"/>
          <w:sz w:val="20"/>
          <w:szCs w:val="20"/>
        </w:rPr>
      </w:pPr>
    </w:p>
    <w:p w:rsidR="009B1996" w:rsidRPr="00996758" w:rsidRDefault="009B1996"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i/>
          <w:sz w:val="20"/>
          <w:szCs w:val="20"/>
        </w:rPr>
        <w:t>representantes</w:t>
      </w:r>
      <w:r w:rsidRPr="00996758">
        <w:rPr>
          <w:rFonts w:ascii="Verdana" w:hAnsi="Verdana"/>
          <w:b/>
          <w:sz w:val="20"/>
          <w:szCs w:val="20"/>
        </w:rPr>
        <w:t xml:space="preserve"> </w:t>
      </w:r>
      <w:r w:rsidR="00427357" w:rsidRPr="00996758">
        <w:rPr>
          <w:rFonts w:ascii="Verdana" w:hAnsi="Verdana"/>
          <w:sz w:val="20"/>
          <w:szCs w:val="20"/>
        </w:rPr>
        <w:t xml:space="preserve">señalaron </w:t>
      </w:r>
      <w:r w:rsidRPr="00996758">
        <w:rPr>
          <w:rFonts w:ascii="Verdana" w:hAnsi="Verdana"/>
          <w:sz w:val="20"/>
          <w:szCs w:val="20"/>
        </w:rPr>
        <w:t xml:space="preserve">que </w:t>
      </w:r>
      <w:r w:rsidR="00FB5B4B" w:rsidRPr="00996758">
        <w:rPr>
          <w:rFonts w:ascii="Verdana" w:hAnsi="Verdana"/>
          <w:sz w:val="20"/>
          <w:szCs w:val="20"/>
        </w:rPr>
        <w:t>el reconocimiento</w:t>
      </w:r>
      <w:r w:rsidRPr="00996758">
        <w:rPr>
          <w:rFonts w:ascii="Verdana" w:hAnsi="Verdana"/>
          <w:sz w:val="20"/>
          <w:szCs w:val="20"/>
        </w:rPr>
        <w:t xml:space="preserve"> no es congruente con las reparaciones ofrecidas, en las </w:t>
      </w:r>
      <w:r w:rsidR="00FA4555" w:rsidRPr="00996758">
        <w:rPr>
          <w:rFonts w:ascii="Verdana" w:hAnsi="Verdana"/>
          <w:sz w:val="20"/>
          <w:szCs w:val="20"/>
        </w:rPr>
        <w:t>que</w:t>
      </w:r>
      <w:r w:rsidRPr="00996758">
        <w:rPr>
          <w:rFonts w:ascii="Verdana" w:hAnsi="Verdana"/>
          <w:sz w:val="20"/>
          <w:szCs w:val="20"/>
        </w:rPr>
        <w:t xml:space="preserve"> el Estado pretende que la Corte se remita únicam</w:t>
      </w:r>
      <w:r w:rsidR="001A1D59" w:rsidRPr="00996758">
        <w:rPr>
          <w:rFonts w:ascii="Verdana" w:hAnsi="Verdana"/>
          <w:sz w:val="20"/>
          <w:szCs w:val="20"/>
        </w:rPr>
        <w:t>ente a la normativi</w:t>
      </w:r>
      <w:r w:rsidR="00B11575" w:rsidRPr="00996758">
        <w:rPr>
          <w:rFonts w:ascii="Verdana" w:hAnsi="Verdana"/>
          <w:sz w:val="20"/>
          <w:szCs w:val="20"/>
        </w:rPr>
        <w:t>dad interna</w:t>
      </w:r>
      <w:r w:rsidR="00FB5B4B" w:rsidRPr="00996758">
        <w:rPr>
          <w:rFonts w:ascii="Verdana" w:hAnsi="Verdana"/>
          <w:sz w:val="20"/>
          <w:szCs w:val="20"/>
        </w:rPr>
        <w:t>;</w:t>
      </w:r>
      <w:r w:rsidR="00866581" w:rsidRPr="00996758">
        <w:rPr>
          <w:rFonts w:ascii="Verdana" w:hAnsi="Verdana"/>
          <w:sz w:val="20"/>
          <w:szCs w:val="20"/>
        </w:rPr>
        <w:t xml:space="preserve"> que</w:t>
      </w:r>
      <w:r w:rsidRPr="00996758">
        <w:rPr>
          <w:rFonts w:ascii="Verdana" w:hAnsi="Verdana"/>
          <w:sz w:val="20"/>
          <w:szCs w:val="20"/>
        </w:rPr>
        <w:t xml:space="preserve"> </w:t>
      </w:r>
      <w:bookmarkStart w:id="10" w:name="_30j0zll" w:colFirst="0" w:colLast="0"/>
      <w:bookmarkEnd w:id="10"/>
      <w:r w:rsidR="001A1D59" w:rsidRPr="00996758">
        <w:rPr>
          <w:rFonts w:ascii="Verdana" w:hAnsi="Verdana"/>
          <w:sz w:val="20"/>
          <w:szCs w:val="20"/>
        </w:rPr>
        <w:t>invisibiliza</w:t>
      </w:r>
      <w:r w:rsidRPr="00996758">
        <w:rPr>
          <w:rFonts w:ascii="Verdana" w:hAnsi="Verdana"/>
          <w:sz w:val="20"/>
          <w:szCs w:val="20"/>
        </w:rPr>
        <w:t xml:space="preserve"> asp</w:t>
      </w:r>
      <w:r w:rsidR="001A1D59" w:rsidRPr="00996758">
        <w:rPr>
          <w:rFonts w:ascii="Verdana" w:hAnsi="Verdana"/>
          <w:sz w:val="20"/>
          <w:szCs w:val="20"/>
        </w:rPr>
        <w:t xml:space="preserve">ectos claves del caso y </w:t>
      </w:r>
      <w:r w:rsidR="00866581" w:rsidRPr="00996758">
        <w:rPr>
          <w:rFonts w:ascii="Verdana" w:hAnsi="Verdana"/>
          <w:sz w:val="20"/>
          <w:szCs w:val="20"/>
        </w:rPr>
        <w:t xml:space="preserve">que </w:t>
      </w:r>
      <w:r w:rsidRPr="00996758">
        <w:rPr>
          <w:rFonts w:ascii="Verdana" w:hAnsi="Verdana"/>
          <w:sz w:val="20"/>
          <w:szCs w:val="20"/>
        </w:rPr>
        <w:t xml:space="preserve">corresponde más a una aceptación de su propia versión de los hechos, por lo cual solicitaron a la Corte que lo desestime. </w:t>
      </w:r>
      <w:r w:rsidR="00CC14B0" w:rsidRPr="00996758">
        <w:rPr>
          <w:rFonts w:ascii="Verdana" w:hAnsi="Verdana"/>
          <w:sz w:val="20"/>
          <w:szCs w:val="20"/>
        </w:rPr>
        <w:t>S</w:t>
      </w:r>
      <w:r w:rsidRPr="00996758">
        <w:rPr>
          <w:rFonts w:ascii="Verdana" w:hAnsi="Verdana"/>
          <w:sz w:val="20"/>
          <w:szCs w:val="20"/>
        </w:rPr>
        <w:t>ubsidiaria</w:t>
      </w:r>
      <w:r w:rsidR="00CC14B0" w:rsidRPr="00996758">
        <w:rPr>
          <w:rFonts w:ascii="Verdana" w:hAnsi="Verdana"/>
          <w:sz w:val="20"/>
          <w:szCs w:val="20"/>
        </w:rPr>
        <w:t>mente</w:t>
      </w:r>
      <w:r w:rsidRPr="00996758">
        <w:rPr>
          <w:rFonts w:ascii="Verdana" w:hAnsi="Verdana"/>
          <w:sz w:val="20"/>
          <w:szCs w:val="20"/>
        </w:rPr>
        <w:t xml:space="preserve">, solicitaron que tenga efectos solo en lo pertinente </w:t>
      </w:r>
      <w:r w:rsidR="00866581" w:rsidRPr="00996758">
        <w:rPr>
          <w:rFonts w:ascii="Verdana" w:hAnsi="Verdana"/>
          <w:sz w:val="20"/>
          <w:szCs w:val="20"/>
        </w:rPr>
        <w:t xml:space="preserve">al </w:t>
      </w:r>
      <w:r w:rsidRPr="00996758">
        <w:rPr>
          <w:rFonts w:ascii="Verdana" w:hAnsi="Verdana"/>
          <w:sz w:val="20"/>
          <w:szCs w:val="20"/>
        </w:rPr>
        <w:t>plazo razonable y</w:t>
      </w:r>
      <w:r w:rsidR="001A1D59" w:rsidRPr="00996758">
        <w:rPr>
          <w:rFonts w:ascii="Verdana" w:hAnsi="Verdana"/>
          <w:sz w:val="20"/>
          <w:szCs w:val="20"/>
        </w:rPr>
        <w:t xml:space="preserve"> se</w:t>
      </w:r>
      <w:r w:rsidRPr="00996758">
        <w:rPr>
          <w:rFonts w:ascii="Verdana" w:hAnsi="Verdana"/>
          <w:sz w:val="20"/>
          <w:szCs w:val="20"/>
        </w:rPr>
        <w:t xml:space="preserve"> fije la reparación pertinente </w:t>
      </w:r>
      <w:r w:rsidR="00866581" w:rsidRPr="00996758">
        <w:rPr>
          <w:rFonts w:ascii="Verdana" w:hAnsi="Verdana"/>
          <w:sz w:val="20"/>
          <w:szCs w:val="20"/>
        </w:rPr>
        <w:t>atendiendo la gravedad del caso y</w:t>
      </w:r>
      <w:r w:rsidRPr="00996758">
        <w:rPr>
          <w:rFonts w:ascii="Verdana" w:hAnsi="Verdana"/>
          <w:sz w:val="20"/>
          <w:szCs w:val="20"/>
        </w:rPr>
        <w:t xml:space="preserve"> </w:t>
      </w:r>
      <w:r w:rsidR="00866581" w:rsidRPr="00996758">
        <w:rPr>
          <w:rFonts w:ascii="Verdana" w:hAnsi="Verdana"/>
          <w:sz w:val="20"/>
          <w:szCs w:val="20"/>
        </w:rPr>
        <w:t xml:space="preserve">la falta de </w:t>
      </w:r>
      <w:r w:rsidRPr="00996758">
        <w:rPr>
          <w:rFonts w:ascii="Verdana" w:hAnsi="Verdana"/>
          <w:sz w:val="20"/>
          <w:szCs w:val="20"/>
        </w:rPr>
        <w:t>respuesta judicial.</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pPr>
        <w:pStyle w:val="ListParagraph"/>
        <w:numPr>
          <w:ilvl w:val="0"/>
          <w:numId w:val="12"/>
        </w:numPr>
        <w:spacing w:after="0" w:line="240" w:lineRule="auto"/>
        <w:jc w:val="both"/>
        <w:rPr>
          <w:rFonts w:ascii="Verdana" w:eastAsia="Verdana" w:hAnsi="Verdana" w:cs="Verdana"/>
          <w:i/>
          <w:sz w:val="20"/>
          <w:szCs w:val="20"/>
        </w:rPr>
      </w:pPr>
      <w:r w:rsidRPr="00996758">
        <w:rPr>
          <w:rFonts w:ascii="Verdana" w:eastAsia="Verdana" w:hAnsi="Verdana" w:cs="Verdana"/>
          <w:i/>
          <w:sz w:val="20"/>
          <w:szCs w:val="20"/>
        </w:rPr>
        <w:t>“Responsabilidad por la violación del derecho a la integridad personal (artículo 5) en relación con la obligación de garantía establecida en el artículo 1.1 de la CADH respecto de Carmenza Vélez, Jhony Alexander Isaza Vélez y Haner Alexis Isaza Vélez”.</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rsidP="00FA4555">
      <w:pPr>
        <w:pStyle w:val="ListParagraph"/>
        <w:numPr>
          <w:ilvl w:val="0"/>
          <w:numId w:val="10"/>
        </w:numPr>
        <w:spacing w:after="0" w:line="240" w:lineRule="auto"/>
        <w:ind w:left="0" w:firstLine="0"/>
        <w:jc w:val="both"/>
        <w:rPr>
          <w:rFonts w:ascii="Verdana" w:hAnsi="Verdana"/>
          <w:b/>
          <w:sz w:val="20"/>
          <w:szCs w:val="20"/>
        </w:rPr>
      </w:pPr>
      <w:r w:rsidRPr="00996758">
        <w:rPr>
          <w:rFonts w:ascii="Verdana" w:hAnsi="Verdana"/>
          <w:sz w:val="20"/>
          <w:szCs w:val="20"/>
        </w:rPr>
        <w:t xml:space="preserve">El </w:t>
      </w:r>
      <w:r w:rsidRPr="00996758">
        <w:rPr>
          <w:rFonts w:ascii="Verdana" w:hAnsi="Verdana"/>
          <w:i/>
          <w:sz w:val="20"/>
          <w:szCs w:val="20"/>
        </w:rPr>
        <w:t>Estado</w:t>
      </w:r>
      <w:r w:rsidRPr="00996758">
        <w:rPr>
          <w:rFonts w:ascii="Verdana" w:hAnsi="Verdana"/>
          <w:sz w:val="20"/>
          <w:szCs w:val="20"/>
        </w:rPr>
        <w:t xml:space="preserve"> reconoce que la demora en la investigación ha generado sentimientos de angusti</w:t>
      </w:r>
      <w:r w:rsidR="00866581" w:rsidRPr="00996758">
        <w:rPr>
          <w:rFonts w:ascii="Verdana" w:hAnsi="Verdana"/>
          <w:sz w:val="20"/>
          <w:szCs w:val="20"/>
        </w:rPr>
        <w:t xml:space="preserve">a, dolor e incertidumbre </w:t>
      </w:r>
      <w:r w:rsidR="00610D61" w:rsidRPr="00996758">
        <w:rPr>
          <w:rFonts w:ascii="Verdana" w:hAnsi="Verdana"/>
          <w:sz w:val="20"/>
          <w:szCs w:val="20"/>
        </w:rPr>
        <w:t xml:space="preserve">en </w:t>
      </w:r>
      <w:r w:rsidRPr="00996758">
        <w:rPr>
          <w:rFonts w:ascii="Verdana" w:hAnsi="Verdana"/>
          <w:sz w:val="20"/>
          <w:szCs w:val="20"/>
        </w:rPr>
        <w:t xml:space="preserve">la familia Isaza Vélez como consecuencia de </w:t>
      </w:r>
      <w:r w:rsidR="00866581" w:rsidRPr="00996758">
        <w:rPr>
          <w:rFonts w:ascii="Verdana" w:hAnsi="Verdana"/>
          <w:sz w:val="20"/>
          <w:szCs w:val="20"/>
        </w:rPr>
        <w:t xml:space="preserve">la </w:t>
      </w:r>
      <w:r w:rsidRPr="00996758">
        <w:rPr>
          <w:rFonts w:ascii="Verdana" w:hAnsi="Verdana"/>
          <w:sz w:val="20"/>
          <w:szCs w:val="20"/>
        </w:rPr>
        <w:t xml:space="preserve">desaparición y </w:t>
      </w:r>
      <w:r w:rsidR="00610D61" w:rsidRPr="00996758">
        <w:rPr>
          <w:rFonts w:ascii="Verdana" w:hAnsi="Verdana"/>
          <w:sz w:val="20"/>
          <w:szCs w:val="20"/>
        </w:rPr>
        <w:t xml:space="preserve">de </w:t>
      </w:r>
      <w:r w:rsidRPr="00996758">
        <w:rPr>
          <w:rFonts w:ascii="Verdana" w:hAnsi="Verdana"/>
          <w:sz w:val="20"/>
          <w:szCs w:val="20"/>
        </w:rPr>
        <w:t xml:space="preserve">la </w:t>
      </w:r>
      <w:r w:rsidR="00866581" w:rsidRPr="00996758">
        <w:rPr>
          <w:rFonts w:ascii="Verdana" w:hAnsi="Verdana"/>
          <w:sz w:val="20"/>
          <w:szCs w:val="20"/>
        </w:rPr>
        <w:t xml:space="preserve">falta </w:t>
      </w:r>
      <w:r w:rsidRPr="00996758">
        <w:rPr>
          <w:rFonts w:ascii="Verdana" w:hAnsi="Verdana"/>
          <w:sz w:val="20"/>
          <w:szCs w:val="20"/>
        </w:rPr>
        <w:t xml:space="preserve">de información sobre las circunstancias específicas en que </w:t>
      </w:r>
      <w:r w:rsidR="00610D61" w:rsidRPr="00996758">
        <w:rPr>
          <w:rFonts w:ascii="Verdana" w:hAnsi="Verdana"/>
          <w:sz w:val="20"/>
          <w:szCs w:val="20"/>
        </w:rPr>
        <w:t>sucedió</w:t>
      </w:r>
      <w:r w:rsidR="00866581" w:rsidRPr="00996758">
        <w:rPr>
          <w:rFonts w:ascii="Verdana" w:hAnsi="Verdana"/>
          <w:sz w:val="20"/>
          <w:szCs w:val="20"/>
        </w:rPr>
        <w:t>, por lo cual, t</w:t>
      </w:r>
      <w:r w:rsidR="00996B92" w:rsidRPr="00996758">
        <w:rPr>
          <w:rFonts w:ascii="Verdana" w:hAnsi="Verdana"/>
          <w:sz w:val="20"/>
          <w:szCs w:val="20"/>
        </w:rPr>
        <w:t xml:space="preserve">eniendo en cuenta la aplicación de una presunción </w:t>
      </w:r>
      <w:r w:rsidR="00996B92" w:rsidRPr="00996758">
        <w:rPr>
          <w:rFonts w:ascii="Verdana" w:hAnsi="Verdana"/>
          <w:i/>
          <w:sz w:val="20"/>
          <w:szCs w:val="20"/>
        </w:rPr>
        <w:t>iuris tantum</w:t>
      </w:r>
      <w:r w:rsidR="00996B92" w:rsidRPr="00996758">
        <w:rPr>
          <w:rFonts w:ascii="Verdana" w:hAnsi="Verdana"/>
          <w:sz w:val="20"/>
          <w:szCs w:val="20"/>
        </w:rPr>
        <w:t xml:space="preserve"> respecto de familiares directos</w:t>
      </w:r>
      <w:r w:rsidRPr="00996758">
        <w:rPr>
          <w:rFonts w:ascii="Verdana" w:hAnsi="Verdana"/>
          <w:sz w:val="20"/>
          <w:szCs w:val="20"/>
        </w:rPr>
        <w:t xml:space="preserve">, el Estado reconoce su responsabilidad por </w:t>
      </w:r>
      <w:r w:rsidR="00610D61" w:rsidRPr="00996758">
        <w:rPr>
          <w:rFonts w:ascii="Verdana" w:hAnsi="Verdana"/>
          <w:sz w:val="20"/>
          <w:szCs w:val="20"/>
        </w:rPr>
        <w:t>dicha</w:t>
      </w:r>
      <w:r w:rsidRPr="00996758">
        <w:rPr>
          <w:rFonts w:ascii="Verdana" w:hAnsi="Verdana"/>
          <w:sz w:val="20"/>
          <w:szCs w:val="20"/>
        </w:rPr>
        <w:t xml:space="preserve"> violación.</w:t>
      </w:r>
    </w:p>
    <w:p w:rsidR="00B822CF" w:rsidRPr="00996758" w:rsidRDefault="00B822CF">
      <w:pPr>
        <w:pStyle w:val="ListParagraph"/>
        <w:spacing w:after="0" w:line="240" w:lineRule="auto"/>
        <w:ind w:left="0"/>
        <w:jc w:val="both"/>
        <w:rPr>
          <w:rFonts w:ascii="Verdana" w:hAnsi="Verdana"/>
          <w:sz w:val="20"/>
          <w:szCs w:val="20"/>
        </w:rPr>
      </w:pPr>
    </w:p>
    <w:p w:rsidR="00B822CF" w:rsidRPr="00996758" w:rsidRDefault="00B822CF"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Si bien la </w:t>
      </w:r>
      <w:r w:rsidRPr="00996758">
        <w:rPr>
          <w:rFonts w:ascii="Verdana" w:hAnsi="Verdana"/>
          <w:i/>
          <w:sz w:val="20"/>
          <w:szCs w:val="20"/>
        </w:rPr>
        <w:t>Comisión</w:t>
      </w:r>
      <w:r w:rsidR="00F83E2D" w:rsidRPr="00996758">
        <w:rPr>
          <w:rFonts w:ascii="Verdana" w:hAnsi="Verdana"/>
          <w:sz w:val="20"/>
          <w:szCs w:val="20"/>
        </w:rPr>
        <w:t xml:space="preserve"> valoró</w:t>
      </w:r>
      <w:r w:rsidRPr="00996758">
        <w:rPr>
          <w:rFonts w:ascii="Verdana" w:hAnsi="Verdana"/>
          <w:sz w:val="20"/>
          <w:szCs w:val="20"/>
        </w:rPr>
        <w:t xml:space="preserve"> este reconocimiento, consider</w:t>
      </w:r>
      <w:r w:rsidR="00F83E2D" w:rsidRPr="00996758">
        <w:rPr>
          <w:rFonts w:ascii="Verdana" w:hAnsi="Verdana"/>
          <w:sz w:val="20"/>
          <w:szCs w:val="20"/>
        </w:rPr>
        <w:t>ó</w:t>
      </w:r>
      <w:r w:rsidRPr="00996758">
        <w:rPr>
          <w:rFonts w:ascii="Verdana" w:hAnsi="Verdana"/>
          <w:sz w:val="20"/>
          <w:szCs w:val="20"/>
        </w:rPr>
        <w:t xml:space="preserve"> que es parcial </w:t>
      </w:r>
      <w:r w:rsidR="00610D61" w:rsidRPr="00996758">
        <w:rPr>
          <w:rFonts w:ascii="Verdana" w:hAnsi="Verdana"/>
          <w:sz w:val="20"/>
          <w:szCs w:val="20"/>
        </w:rPr>
        <w:t xml:space="preserve">respecto de la totalidad del daño </w:t>
      </w:r>
      <w:r w:rsidRPr="00996758">
        <w:rPr>
          <w:rFonts w:ascii="Verdana" w:hAnsi="Verdana"/>
          <w:sz w:val="20"/>
          <w:szCs w:val="20"/>
        </w:rPr>
        <w:t xml:space="preserve">pues el impacto en la integridad personal de los familiares de víctimas de desaparición forzada se encuentra </w:t>
      </w:r>
      <w:r w:rsidR="00610D61" w:rsidRPr="00996758">
        <w:rPr>
          <w:rFonts w:ascii="Verdana" w:hAnsi="Verdana"/>
          <w:sz w:val="20"/>
          <w:szCs w:val="20"/>
        </w:rPr>
        <w:t>ligado</w:t>
      </w:r>
      <w:r w:rsidRPr="00996758">
        <w:rPr>
          <w:rFonts w:ascii="Verdana" w:hAnsi="Verdana"/>
          <w:sz w:val="20"/>
          <w:szCs w:val="20"/>
        </w:rPr>
        <w:t xml:space="preserve"> a las dinámicas propias de </w:t>
      </w:r>
      <w:r w:rsidR="00610D61" w:rsidRPr="00996758">
        <w:rPr>
          <w:rFonts w:ascii="Verdana" w:hAnsi="Verdana"/>
          <w:sz w:val="20"/>
          <w:szCs w:val="20"/>
        </w:rPr>
        <w:t>la misma</w:t>
      </w:r>
      <w:r w:rsidRPr="00996758">
        <w:rPr>
          <w:rFonts w:ascii="Verdana" w:hAnsi="Verdana"/>
          <w:sz w:val="20"/>
          <w:szCs w:val="20"/>
        </w:rPr>
        <w:t>, que no se encuentran necesariamente presentes</w:t>
      </w:r>
      <w:r w:rsidR="00B538D2" w:rsidRPr="00996758">
        <w:rPr>
          <w:rFonts w:ascii="Verdana" w:hAnsi="Verdana"/>
          <w:sz w:val="20"/>
          <w:szCs w:val="20"/>
        </w:rPr>
        <w:t xml:space="preserve"> en otro tipo de desapariciones</w:t>
      </w:r>
      <w:r w:rsidRPr="00996758">
        <w:rPr>
          <w:rFonts w:ascii="Verdana" w:hAnsi="Verdana"/>
          <w:sz w:val="20"/>
          <w:szCs w:val="20"/>
        </w:rPr>
        <w:t>.</w:t>
      </w:r>
    </w:p>
    <w:p w:rsidR="00B822CF" w:rsidRPr="00996758" w:rsidRDefault="00B822CF" w:rsidP="00FA4555">
      <w:pPr>
        <w:pStyle w:val="ListParagraph"/>
        <w:spacing w:line="240" w:lineRule="auto"/>
        <w:rPr>
          <w:rFonts w:ascii="Verdana" w:hAnsi="Verdana"/>
          <w:sz w:val="20"/>
          <w:szCs w:val="20"/>
        </w:rPr>
      </w:pPr>
    </w:p>
    <w:p w:rsidR="00B822CF" w:rsidRPr="00996758" w:rsidRDefault="00B822CF" w:rsidP="00AE1DD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i/>
          <w:sz w:val="20"/>
          <w:szCs w:val="20"/>
        </w:rPr>
        <w:t>representantes</w:t>
      </w:r>
      <w:r w:rsidRPr="00996758">
        <w:rPr>
          <w:rFonts w:ascii="Verdana" w:hAnsi="Verdana"/>
          <w:sz w:val="20"/>
          <w:szCs w:val="20"/>
        </w:rPr>
        <w:t xml:space="preserve"> señalaron que es contradictorio que el Estado cite la jurisprudencia sobre presunción </w:t>
      </w:r>
      <w:r w:rsidRPr="00996758">
        <w:rPr>
          <w:rFonts w:ascii="Verdana" w:hAnsi="Verdana"/>
          <w:i/>
          <w:sz w:val="20"/>
          <w:szCs w:val="20"/>
        </w:rPr>
        <w:t>iuris tantum</w:t>
      </w:r>
      <w:r w:rsidRPr="00996758">
        <w:rPr>
          <w:rFonts w:ascii="Verdana" w:hAnsi="Verdana"/>
          <w:sz w:val="20"/>
          <w:szCs w:val="20"/>
        </w:rPr>
        <w:t xml:space="preserve"> para aceptar responsabilidad sobre una violación que según </w:t>
      </w:r>
      <w:r w:rsidR="00B538D2" w:rsidRPr="00996758">
        <w:rPr>
          <w:rFonts w:ascii="Verdana" w:hAnsi="Verdana"/>
          <w:sz w:val="20"/>
          <w:szCs w:val="20"/>
        </w:rPr>
        <w:t>aquél</w:t>
      </w:r>
      <w:r w:rsidRPr="00996758">
        <w:rPr>
          <w:rFonts w:ascii="Verdana" w:hAnsi="Verdana"/>
          <w:sz w:val="20"/>
          <w:szCs w:val="20"/>
        </w:rPr>
        <w:t xml:space="preserve"> no ocurrió, como fue la desaparición forzada. </w:t>
      </w:r>
      <w:r w:rsidR="00B538D2" w:rsidRPr="00996758">
        <w:rPr>
          <w:rFonts w:ascii="Verdana" w:hAnsi="Verdana"/>
          <w:sz w:val="20"/>
          <w:szCs w:val="20"/>
        </w:rPr>
        <w:t xml:space="preserve">Solicitan desestimar el </w:t>
      </w:r>
      <w:r w:rsidRPr="00996758">
        <w:rPr>
          <w:rFonts w:ascii="Verdana" w:hAnsi="Verdana"/>
          <w:sz w:val="20"/>
          <w:szCs w:val="20"/>
        </w:rPr>
        <w:t xml:space="preserve">reconocimiento </w:t>
      </w:r>
      <w:r w:rsidR="00B538D2" w:rsidRPr="00996758">
        <w:rPr>
          <w:rFonts w:ascii="Verdana" w:hAnsi="Verdana"/>
          <w:sz w:val="20"/>
          <w:szCs w:val="20"/>
        </w:rPr>
        <w:t>porque</w:t>
      </w:r>
      <w:r w:rsidR="00AC35A1" w:rsidRPr="00996758">
        <w:rPr>
          <w:rFonts w:ascii="Verdana" w:hAnsi="Verdana"/>
          <w:sz w:val="20"/>
          <w:szCs w:val="20"/>
        </w:rPr>
        <w:t xml:space="preserve"> </w:t>
      </w:r>
      <w:r w:rsidRPr="00996758">
        <w:rPr>
          <w:rFonts w:ascii="Verdana" w:hAnsi="Verdana"/>
          <w:sz w:val="20"/>
          <w:szCs w:val="20"/>
        </w:rPr>
        <w:t>no tiene en c</w:t>
      </w:r>
      <w:r w:rsidR="00466A84" w:rsidRPr="00996758">
        <w:rPr>
          <w:rFonts w:ascii="Verdana" w:hAnsi="Verdana"/>
          <w:sz w:val="20"/>
          <w:szCs w:val="20"/>
        </w:rPr>
        <w:t>uenta</w:t>
      </w:r>
      <w:r w:rsidRPr="00996758">
        <w:rPr>
          <w:rFonts w:ascii="Verdana" w:hAnsi="Verdana"/>
          <w:sz w:val="20"/>
          <w:szCs w:val="20"/>
        </w:rPr>
        <w:t xml:space="preserve"> </w:t>
      </w:r>
      <w:r w:rsidR="00610D61" w:rsidRPr="00996758">
        <w:rPr>
          <w:rFonts w:ascii="Verdana" w:hAnsi="Verdana"/>
          <w:sz w:val="20"/>
          <w:szCs w:val="20"/>
        </w:rPr>
        <w:t xml:space="preserve">el </w:t>
      </w:r>
      <w:r w:rsidRPr="00996758">
        <w:rPr>
          <w:rFonts w:ascii="Verdana" w:hAnsi="Verdana"/>
          <w:sz w:val="20"/>
          <w:szCs w:val="20"/>
        </w:rPr>
        <w:t>trato cruel e in</w:t>
      </w:r>
      <w:r w:rsidR="00B538D2" w:rsidRPr="00996758">
        <w:rPr>
          <w:rFonts w:ascii="Verdana" w:hAnsi="Verdana"/>
          <w:sz w:val="20"/>
          <w:szCs w:val="20"/>
        </w:rPr>
        <w:t>humano para los familiares</w:t>
      </w:r>
      <w:r w:rsidRPr="00996758">
        <w:rPr>
          <w:rFonts w:ascii="Verdana" w:hAnsi="Verdana"/>
          <w:sz w:val="20"/>
          <w:szCs w:val="20"/>
        </w:rPr>
        <w:t xml:space="preserve"> </w:t>
      </w:r>
      <w:r w:rsidR="00B538D2" w:rsidRPr="00996758">
        <w:rPr>
          <w:rFonts w:ascii="Verdana" w:hAnsi="Verdana"/>
          <w:sz w:val="20"/>
          <w:szCs w:val="20"/>
        </w:rPr>
        <w:t xml:space="preserve">por </w:t>
      </w:r>
      <w:r w:rsidRPr="00996758">
        <w:rPr>
          <w:rFonts w:ascii="Verdana" w:hAnsi="Verdana"/>
          <w:sz w:val="20"/>
          <w:szCs w:val="20"/>
        </w:rPr>
        <w:t>la desaparición forzada.</w:t>
      </w:r>
    </w:p>
    <w:p w:rsidR="00B60B39" w:rsidRPr="00996758" w:rsidRDefault="00B60B39">
      <w:pPr>
        <w:pStyle w:val="ListParagraph"/>
        <w:spacing w:after="0" w:line="240" w:lineRule="auto"/>
        <w:ind w:left="0"/>
        <w:jc w:val="both"/>
        <w:rPr>
          <w:rFonts w:ascii="Verdana" w:hAnsi="Verdana"/>
          <w:sz w:val="20"/>
          <w:szCs w:val="20"/>
        </w:rPr>
      </w:pPr>
    </w:p>
    <w:p w:rsidR="00320DA8" w:rsidRPr="00996758" w:rsidRDefault="00320DA8">
      <w:pPr>
        <w:pStyle w:val="ListParagraph"/>
        <w:numPr>
          <w:ilvl w:val="0"/>
          <w:numId w:val="11"/>
        </w:numPr>
        <w:tabs>
          <w:tab w:val="left" w:pos="567"/>
        </w:tabs>
        <w:autoSpaceDE w:val="0"/>
        <w:autoSpaceDN w:val="0"/>
        <w:adjustRightInd w:val="0"/>
        <w:spacing w:before="240" w:after="240" w:line="240" w:lineRule="auto"/>
        <w:ind w:left="896" w:hanging="357"/>
        <w:jc w:val="both"/>
        <w:outlineLvl w:val="1"/>
        <w:rPr>
          <w:rFonts w:ascii="Verdana" w:hAnsi="Verdana"/>
          <w:b/>
          <w:i/>
          <w:sz w:val="20"/>
          <w:szCs w:val="20"/>
        </w:rPr>
      </w:pPr>
      <w:bookmarkStart w:id="11" w:name="_Toc498427237"/>
      <w:bookmarkStart w:id="12" w:name="_Toc516159788"/>
      <w:bookmarkStart w:id="13" w:name="_Toc530560056"/>
      <w:r w:rsidRPr="00996758">
        <w:rPr>
          <w:rFonts w:ascii="Verdana" w:hAnsi="Verdana"/>
          <w:b/>
          <w:i/>
          <w:sz w:val="20"/>
          <w:szCs w:val="20"/>
        </w:rPr>
        <w:t>Consideraciones de la Corte</w:t>
      </w:r>
      <w:bookmarkEnd w:id="11"/>
      <w:bookmarkEnd w:id="12"/>
      <w:bookmarkEnd w:id="13"/>
    </w:p>
    <w:p w:rsidR="005B536C" w:rsidRPr="00996758" w:rsidRDefault="005B536C">
      <w:pPr>
        <w:pStyle w:val="ListParagraph"/>
        <w:spacing w:after="0" w:line="240" w:lineRule="auto"/>
        <w:ind w:left="0"/>
        <w:jc w:val="both"/>
        <w:rPr>
          <w:rFonts w:ascii="Verdana" w:hAnsi="Verdana"/>
          <w:sz w:val="20"/>
          <w:szCs w:val="20"/>
        </w:rPr>
      </w:pPr>
    </w:p>
    <w:p w:rsidR="00B64C6B" w:rsidRPr="00996758" w:rsidRDefault="00CC0CC2"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De conformidad</w:t>
      </w:r>
      <w:r w:rsidRPr="00996758">
        <w:rPr>
          <w:rFonts w:ascii="Verdana" w:hAnsi="Verdana"/>
          <w:spacing w:val="-2"/>
          <w:sz w:val="20"/>
          <w:szCs w:val="20"/>
        </w:rPr>
        <w:t xml:space="preserve"> con los artículos 62 y 64 del Reglamento</w:t>
      </w:r>
      <w:r w:rsidRPr="00996758">
        <w:rPr>
          <w:rFonts w:ascii="Verdana" w:hAnsi="Verdana" w:cs="Times New Roman"/>
          <w:spacing w:val="-2"/>
          <w:sz w:val="20"/>
          <w:szCs w:val="20"/>
          <w:vertAlign w:val="superscript"/>
        </w:rPr>
        <w:footnoteReference w:id="15"/>
      </w:r>
      <w:r w:rsidRPr="00996758">
        <w:rPr>
          <w:rFonts w:ascii="Verdana" w:hAnsi="Verdana"/>
          <w:spacing w:val="-2"/>
          <w:sz w:val="20"/>
          <w:szCs w:val="20"/>
        </w:rPr>
        <w:t xml:space="preserve">, y en ejercicio de sus poderes de tutela judicial internacional de derechos humanos, cuestión de orden público internacional, incumbe a este Tribunal velar porque los actos de reconocimiento de responsabilidad resulten aceptables para los fines que busca cumplir el </w:t>
      </w:r>
      <w:r w:rsidR="00C21EAE" w:rsidRPr="00996758">
        <w:rPr>
          <w:rFonts w:ascii="Verdana" w:hAnsi="Verdana"/>
          <w:spacing w:val="-2"/>
          <w:sz w:val="20"/>
          <w:szCs w:val="20"/>
        </w:rPr>
        <w:t>S</w:t>
      </w:r>
      <w:r w:rsidRPr="00996758">
        <w:rPr>
          <w:rFonts w:ascii="Verdana" w:hAnsi="Verdana"/>
          <w:spacing w:val="-2"/>
          <w:sz w:val="20"/>
          <w:szCs w:val="20"/>
        </w:rPr>
        <w:t xml:space="preserve">istema </w:t>
      </w:r>
      <w:r w:rsidR="00C21EAE" w:rsidRPr="00996758">
        <w:rPr>
          <w:rFonts w:ascii="Verdana" w:hAnsi="Verdana"/>
          <w:spacing w:val="-2"/>
          <w:sz w:val="20"/>
          <w:szCs w:val="20"/>
        </w:rPr>
        <w:t>I</w:t>
      </w:r>
      <w:r w:rsidRPr="00996758">
        <w:rPr>
          <w:rFonts w:ascii="Verdana" w:hAnsi="Verdana"/>
          <w:spacing w:val="-2"/>
          <w:sz w:val="20"/>
          <w:szCs w:val="20"/>
        </w:rPr>
        <w:t>nteramericano. Esta tarea no se limita a constatar, registrar o tomar nota del reconocimiento efectuado, o sus condiciones formales, sino que los debe confrontar con la naturaleza y gravedad de las violaciones alegadas, las exigencias e interés de la justicia, las circunstancias p</w:t>
      </w:r>
      <w:r w:rsidR="00BA0874" w:rsidRPr="00996758">
        <w:rPr>
          <w:rFonts w:ascii="Verdana" w:hAnsi="Verdana"/>
          <w:spacing w:val="-2"/>
          <w:sz w:val="20"/>
          <w:szCs w:val="20"/>
        </w:rPr>
        <w:t>articulares del caso concreto, así como</w:t>
      </w:r>
      <w:r w:rsidRPr="00996758">
        <w:rPr>
          <w:rFonts w:ascii="Verdana" w:hAnsi="Verdana"/>
          <w:spacing w:val="-2"/>
          <w:sz w:val="20"/>
          <w:szCs w:val="20"/>
        </w:rPr>
        <w:t xml:space="preserve"> la actitud y posición de las partes, de manera tal que pueda precisar, en cuanto sea posible y en el ejercicio de su competencia, la verdad judicial de lo acontecido</w:t>
      </w:r>
      <w:r w:rsidR="00B64C6B" w:rsidRPr="00996758">
        <w:rPr>
          <w:rFonts w:ascii="Verdana" w:hAnsi="Verdana" w:cs="Times New Roman"/>
          <w:spacing w:val="-2"/>
          <w:sz w:val="20"/>
          <w:szCs w:val="20"/>
          <w:vertAlign w:val="superscript"/>
        </w:rPr>
        <w:footnoteReference w:id="16"/>
      </w:r>
      <w:r w:rsidRPr="00996758">
        <w:rPr>
          <w:rFonts w:ascii="Verdana" w:hAnsi="Verdana"/>
          <w:spacing w:val="-2"/>
          <w:sz w:val="20"/>
          <w:szCs w:val="20"/>
        </w:rPr>
        <w:t xml:space="preserve">. </w:t>
      </w:r>
    </w:p>
    <w:p w:rsidR="00B64C6B" w:rsidRPr="00996758" w:rsidRDefault="00B64C6B" w:rsidP="0077107C">
      <w:pPr>
        <w:pStyle w:val="ListParagraph"/>
        <w:spacing w:after="0" w:line="240" w:lineRule="auto"/>
        <w:ind w:left="0"/>
        <w:jc w:val="both"/>
        <w:rPr>
          <w:rFonts w:ascii="Verdana" w:hAnsi="Verdana"/>
          <w:spacing w:val="-2"/>
          <w:sz w:val="20"/>
          <w:szCs w:val="20"/>
        </w:rPr>
      </w:pPr>
    </w:p>
    <w:p w:rsidR="0077107C" w:rsidRPr="00996758" w:rsidRDefault="0077107C" w:rsidP="0077107C">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Este Tribunal estima que, si bien parcial y en sus propios términos, el reconocimiento de responsabilidad internacional constituye una contribución positiva al desarrollo de este proceso y a la vigencia de los principios que inspiran la Convención, así como parcialmente a las necesidades de reparación de las víctimas</w:t>
      </w:r>
      <w:r w:rsidRPr="00996758">
        <w:rPr>
          <w:rFonts w:ascii="Verdana" w:hAnsi="Verdana" w:cs="Times New Roman"/>
          <w:spacing w:val="-2"/>
          <w:sz w:val="20"/>
          <w:szCs w:val="20"/>
          <w:vertAlign w:val="superscript"/>
        </w:rPr>
        <w:footnoteReference w:id="17"/>
      </w:r>
      <w:r w:rsidRPr="00996758">
        <w:rPr>
          <w:rFonts w:ascii="Verdana" w:hAnsi="Verdana"/>
          <w:sz w:val="20"/>
          <w:szCs w:val="20"/>
        </w:rPr>
        <w:t xml:space="preserve">. </w:t>
      </w:r>
    </w:p>
    <w:p w:rsidR="0077107C" w:rsidRPr="00996758" w:rsidRDefault="0077107C" w:rsidP="0077107C">
      <w:pPr>
        <w:pStyle w:val="ListParagraph"/>
        <w:spacing w:after="0" w:line="240" w:lineRule="auto"/>
        <w:ind w:left="0"/>
        <w:jc w:val="both"/>
        <w:rPr>
          <w:rFonts w:ascii="Verdana" w:hAnsi="Verdana" w:cs="Times New Roman"/>
          <w:spacing w:val="-2"/>
          <w:sz w:val="20"/>
          <w:szCs w:val="20"/>
        </w:rPr>
      </w:pPr>
    </w:p>
    <w:p w:rsidR="0077107C" w:rsidRPr="00996758" w:rsidRDefault="0077107C" w:rsidP="0077107C">
      <w:pPr>
        <w:pStyle w:val="ListParagraph"/>
        <w:numPr>
          <w:ilvl w:val="0"/>
          <w:numId w:val="10"/>
        </w:numPr>
        <w:spacing w:after="0" w:line="240" w:lineRule="auto"/>
        <w:ind w:left="0" w:firstLine="0"/>
        <w:jc w:val="both"/>
        <w:rPr>
          <w:rFonts w:ascii="Verdana" w:hAnsi="Verdana" w:cs="Times New Roman"/>
          <w:spacing w:val="-2"/>
          <w:sz w:val="20"/>
          <w:szCs w:val="20"/>
        </w:rPr>
      </w:pPr>
      <w:r w:rsidRPr="00996758">
        <w:rPr>
          <w:rFonts w:ascii="Verdana" w:hAnsi="Verdana"/>
          <w:spacing w:val="-2"/>
          <w:sz w:val="20"/>
          <w:szCs w:val="20"/>
        </w:rPr>
        <w:t xml:space="preserve">El Estado no efectuó un reconocimiento expreso de responsabilidad por los hechos alegados por la Comisión y los representantes. Así, </w:t>
      </w:r>
      <w:r w:rsidR="007E55CF" w:rsidRPr="00996758">
        <w:rPr>
          <w:rFonts w:ascii="Verdana" w:hAnsi="Verdana"/>
          <w:spacing w:val="-2"/>
          <w:sz w:val="20"/>
          <w:szCs w:val="20"/>
        </w:rPr>
        <w:t>dado</w:t>
      </w:r>
      <w:r w:rsidRPr="00996758">
        <w:rPr>
          <w:rFonts w:ascii="Verdana" w:hAnsi="Verdana"/>
          <w:spacing w:val="-2"/>
          <w:sz w:val="20"/>
          <w:szCs w:val="20"/>
        </w:rPr>
        <w:t xml:space="preserve"> que no sería plausible </w:t>
      </w:r>
      <w:r w:rsidR="00A5560D" w:rsidRPr="00996758">
        <w:rPr>
          <w:rFonts w:ascii="Verdana" w:hAnsi="Verdana"/>
          <w:spacing w:val="-2"/>
          <w:sz w:val="20"/>
          <w:szCs w:val="20"/>
        </w:rPr>
        <w:t xml:space="preserve">aceptar </w:t>
      </w:r>
      <w:r w:rsidRPr="00996758">
        <w:rPr>
          <w:rFonts w:ascii="Verdana" w:hAnsi="Verdana"/>
          <w:spacing w:val="-2"/>
          <w:sz w:val="20"/>
          <w:szCs w:val="20"/>
        </w:rPr>
        <w:t xml:space="preserve">dicho reconocimiento sin </w:t>
      </w:r>
      <w:r w:rsidR="007E55CF" w:rsidRPr="00996758">
        <w:rPr>
          <w:rFonts w:ascii="Verdana" w:hAnsi="Verdana"/>
          <w:spacing w:val="-2"/>
          <w:sz w:val="20"/>
          <w:szCs w:val="20"/>
        </w:rPr>
        <w:t xml:space="preserve">que este implique </w:t>
      </w:r>
      <w:r w:rsidRPr="00996758">
        <w:rPr>
          <w:rFonts w:ascii="Verdana" w:hAnsi="Verdana"/>
          <w:spacing w:val="-2"/>
          <w:sz w:val="20"/>
          <w:szCs w:val="20"/>
        </w:rPr>
        <w:t xml:space="preserve">reconocer </w:t>
      </w:r>
      <w:r w:rsidR="00A5560D" w:rsidRPr="00996758">
        <w:rPr>
          <w:rFonts w:ascii="Verdana" w:hAnsi="Verdana"/>
          <w:spacing w:val="-2"/>
          <w:sz w:val="20"/>
          <w:szCs w:val="20"/>
        </w:rPr>
        <w:t xml:space="preserve">a la vez </w:t>
      </w:r>
      <w:r w:rsidRPr="00996758">
        <w:rPr>
          <w:rFonts w:ascii="Verdana" w:hAnsi="Verdana"/>
          <w:spacing w:val="-2"/>
          <w:sz w:val="20"/>
          <w:szCs w:val="20"/>
        </w:rPr>
        <w:t xml:space="preserve">la ocurrencia de los hechos en los cuales se fundó, la Corte entiende que abarca también aquellos </w:t>
      </w:r>
      <w:r w:rsidR="00A05AD9" w:rsidRPr="00996758">
        <w:rPr>
          <w:rFonts w:ascii="Verdana" w:hAnsi="Verdana"/>
          <w:spacing w:val="-2"/>
          <w:sz w:val="20"/>
          <w:szCs w:val="20"/>
        </w:rPr>
        <w:t xml:space="preserve">hechos del marco fáctico del caso </w:t>
      </w:r>
      <w:r w:rsidRPr="00996758">
        <w:rPr>
          <w:rFonts w:ascii="Verdana" w:hAnsi="Verdana"/>
          <w:spacing w:val="-2"/>
          <w:sz w:val="20"/>
          <w:szCs w:val="20"/>
        </w:rPr>
        <w:t>relacionados con las violaciones a los derechos que fueron reconocidas en perjuicio de las presuntas víctimas</w:t>
      </w:r>
      <w:r w:rsidR="00A05AD9" w:rsidRPr="00996758">
        <w:rPr>
          <w:rFonts w:ascii="Verdana" w:hAnsi="Verdana"/>
          <w:spacing w:val="-2"/>
          <w:sz w:val="20"/>
          <w:szCs w:val="20"/>
        </w:rPr>
        <w:t xml:space="preserve">, con </w:t>
      </w:r>
      <w:r w:rsidR="00A05AD9" w:rsidRPr="00996758">
        <w:rPr>
          <w:rFonts w:ascii="Verdana" w:hAnsi="Verdana"/>
          <w:spacing w:val="-2"/>
          <w:sz w:val="20"/>
          <w:szCs w:val="20"/>
        </w:rPr>
        <w:lastRenderedPageBreak/>
        <w:t>excepción de aquellos hechos que fueron expresamente controvertidos</w:t>
      </w:r>
      <w:r w:rsidR="00B835EF" w:rsidRPr="00996758">
        <w:rPr>
          <w:rStyle w:val="FootnoteReference"/>
          <w:rFonts w:ascii="Verdana" w:hAnsi="Verdana"/>
          <w:spacing w:val="-2"/>
          <w:sz w:val="20"/>
          <w:szCs w:val="20"/>
        </w:rPr>
        <w:footnoteReference w:id="18"/>
      </w:r>
      <w:r w:rsidRPr="00996758">
        <w:rPr>
          <w:rFonts w:ascii="Verdana" w:hAnsi="Verdana"/>
          <w:spacing w:val="-2"/>
          <w:sz w:val="20"/>
          <w:szCs w:val="20"/>
        </w:rPr>
        <w:t>. La Corte hace notar que el reconocimiento de hechos y violaciones puntuales y específicos puede tener efectos y consecuencias en el análisis que haga este Tribunal sobre los demás hechos y violaciones alegados, en la medida en que todos forman parte de un mismo conjunto de circunstancias</w:t>
      </w:r>
      <w:r w:rsidRPr="00996758">
        <w:rPr>
          <w:rStyle w:val="FootnoteReference"/>
          <w:rFonts w:ascii="Verdana" w:hAnsi="Verdana"/>
          <w:spacing w:val="-2"/>
          <w:sz w:val="20"/>
          <w:szCs w:val="20"/>
        </w:rPr>
        <w:footnoteReference w:id="19"/>
      </w:r>
      <w:r w:rsidRPr="00996758">
        <w:rPr>
          <w:rFonts w:ascii="Verdana" w:hAnsi="Verdana"/>
          <w:spacing w:val="-2"/>
          <w:sz w:val="20"/>
          <w:szCs w:val="20"/>
        </w:rPr>
        <w:t xml:space="preserve">. </w:t>
      </w:r>
      <w:r w:rsidR="00A5560D" w:rsidRPr="00996758">
        <w:rPr>
          <w:rFonts w:ascii="Verdana" w:hAnsi="Verdana"/>
          <w:spacing w:val="-2"/>
          <w:sz w:val="20"/>
          <w:szCs w:val="20"/>
        </w:rPr>
        <w:t>De ese modo, teniendo en cuenta las violaciones reconocidas por el Estado, así como las observaciones de los representantes y de la Comisión, la Corte considera que la controversia ha cesado respecto de:</w:t>
      </w:r>
    </w:p>
    <w:p w:rsidR="00A5560D" w:rsidRPr="00996758" w:rsidRDefault="00A5560D" w:rsidP="00A5560D">
      <w:pPr>
        <w:pStyle w:val="ListParagraph"/>
        <w:spacing w:after="0" w:line="240" w:lineRule="auto"/>
        <w:jc w:val="both"/>
        <w:rPr>
          <w:rFonts w:ascii="Verdana" w:hAnsi="Verdana"/>
          <w:sz w:val="20"/>
          <w:szCs w:val="20"/>
        </w:rPr>
      </w:pPr>
    </w:p>
    <w:p w:rsidR="00A5560D" w:rsidRPr="00996758" w:rsidRDefault="00A5560D" w:rsidP="00A5560D">
      <w:pPr>
        <w:pStyle w:val="ListParagraph"/>
        <w:numPr>
          <w:ilvl w:val="0"/>
          <w:numId w:val="38"/>
        </w:numPr>
        <w:spacing w:after="0" w:line="240" w:lineRule="auto"/>
        <w:jc w:val="both"/>
        <w:rPr>
          <w:rFonts w:ascii="Verdana" w:hAnsi="Verdana"/>
          <w:sz w:val="20"/>
          <w:szCs w:val="20"/>
        </w:rPr>
      </w:pPr>
      <w:r w:rsidRPr="00996758">
        <w:rPr>
          <w:rFonts w:ascii="Verdana" w:hAnsi="Verdana"/>
          <w:sz w:val="20"/>
          <w:szCs w:val="20"/>
        </w:rPr>
        <w:t xml:space="preserve">La </w:t>
      </w:r>
      <w:r w:rsidRPr="00996758">
        <w:rPr>
          <w:rFonts w:ascii="Verdana" w:hAnsi="Verdana"/>
          <w:spacing w:val="-2"/>
          <w:sz w:val="20"/>
          <w:szCs w:val="20"/>
        </w:rPr>
        <w:t>violación</w:t>
      </w:r>
      <w:r w:rsidR="00EE2921" w:rsidRPr="00996758">
        <w:rPr>
          <w:rFonts w:ascii="Verdana" w:hAnsi="Verdana"/>
          <w:sz w:val="20"/>
          <w:szCs w:val="20"/>
        </w:rPr>
        <w:t xml:space="preserve"> de</w:t>
      </w:r>
      <w:r w:rsidRPr="00996758">
        <w:rPr>
          <w:rFonts w:ascii="Verdana" w:hAnsi="Verdana"/>
          <w:sz w:val="20"/>
          <w:szCs w:val="20"/>
        </w:rPr>
        <w:t xml:space="preserve"> los derechos a las garantías judiciales (artículo 8.1) y a la protección judicial (artículo 25), en perjuicio de los familiares de la presunta víctima de desaparición forzada, específicamente en lo </w:t>
      </w:r>
      <w:r w:rsidR="00EE2921" w:rsidRPr="00996758">
        <w:rPr>
          <w:rFonts w:ascii="Verdana" w:hAnsi="Verdana"/>
          <w:sz w:val="20"/>
          <w:szCs w:val="20"/>
        </w:rPr>
        <w:t xml:space="preserve">referente </w:t>
      </w:r>
      <w:r w:rsidRPr="00996758">
        <w:rPr>
          <w:rFonts w:ascii="Verdana" w:hAnsi="Verdana"/>
          <w:sz w:val="20"/>
          <w:szCs w:val="20"/>
        </w:rPr>
        <w:t xml:space="preserve">al plazo razonable en la investigación realizada en la justicia penal ordinaria; </w:t>
      </w:r>
      <w:r w:rsidR="00EE2921" w:rsidRPr="00996758">
        <w:rPr>
          <w:rFonts w:ascii="Verdana" w:hAnsi="Verdana"/>
          <w:sz w:val="20"/>
          <w:szCs w:val="20"/>
        </w:rPr>
        <w:t>a</w:t>
      </w:r>
      <w:r w:rsidRPr="00996758">
        <w:rPr>
          <w:rFonts w:ascii="Verdana" w:hAnsi="Verdana"/>
          <w:sz w:val="20"/>
          <w:szCs w:val="20"/>
        </w:rPr>
        <w:t xml:space="preserve">l retraso en la práctica de ciertas diligencias, incluida la falta de acciones urgentes de búsqueda del señor Isaza luego de su sustracción de la cárcel, así como </w:t>
      </w:r>
      <w:r w:rsidR="00EE2921" w:rsidRPr="00996758">
        <w:rPr>
          <w:rFonts w:ascii="Verdana" w:hAnsi="Verdana"/>
          <w:sz w:val="20"/>
          <w:szCs w:val="20"/>
        </w:rPr>
        <w:t xml:space="preserve">a </w:t>
      </w:r>
      <w:r w:rsidRPr="00996758">
        <w:rPr>
          <w:rFonts w:ascii="Verdana" w:hAnsi="Verdana"/>
          <w:sz w:val="20"/>
          <w:szCs w:val="20"/>
        </w:rPr>
        <w:t>los períodos de inactividad que han dificultado el</w:t>
      </w:r>
      <w:r w:rsidR="00B36884" w:rsidRPr="00996758">
        <w:rPr>
          <w:rFonts w:ascii="Verdana" w:hAnsi="Verdana"/>
          <w:sz w:val="20"/>
          <w:szCs w:val="20"/>
        </w:rPr>
        <w:t xml:space="preserve"> esclarecimiento de los hechos; y</w:t>
      </w:r>
      <w:r w:rsidRPr="00996758">
        <w:rPr>
          <w:rFonts w:ascii="Verdana" w:hAnsi="Verdana"/>
          <w:sz w:val="20"/>
          <w:szCs w:val="20"/>
        </w:rPr>
        <w:t xml:space="preserve"> </w:t>
      </w:r>
    </w:p>
    <w:p w:rsidR="00A5560D" w:rsidRPr="00996758" w:rsidRDefault="00A5560D" w:rsidP="00A5560D">
      <w:pPr>
        <w:pStyle w:val="ListParagraph"/>
        <w:spacing w:after="0" w:line="240" w:lineRule="auto"/>
        <w:jc w:val="both"/>
        <w:rPr>
          <w:rFonts w:ascii="Verdana" w:hAnsi="Verdana"/>
          <w:sz w:val="20"/>
          <w:szCs w:val="20"/>
        </w:rPr>
      </w:pPr>
    </w:p>
    <w:p w:rsidR="0082566C" w:rsidRPr="00996758" w:rsidRDefault="00B36884" w:rsidP="0082566C">
      <w:pPr>
        <w:pStyle w:val="ListParagraph"/>
        <w:numPr>
          <w:ilvl w:val="0"/>
          <w:numId w:val="38"/>
        </w:numPr>
        <w:spacing w:after="0" w:line="240" w:lineRule="auto"/>
        <w:jc w:val="both"/>
        <w:rPr>
          <w:rFonts w:ascii="Verdana" w:hAnsi="Verdana"/>
          <w:sz w:val="20"/>
          <w:szCs w:val="20"/>
        </w:rPr>
      </w:pPr>
      <w:r w:rsidRPr="00996758">
        <w:rPr>
          <w:rFonts w:ascii="Verdana" w:hAnsi="Verdana"/>
          <w:sz w:val="20"/>
          <w:szCs w:val="20"/>
        </w:rPr>
        <w:t>l</w:t>
      </w:r>
      <w:r w:rsidR="00A5560D" w:rsidRPr="00996758">
        <w:rPr>
          <w:rFonts w:ascii="Verdana" w:hAnsi="Verdana"/>
          <w:sz w:val="20"/>
          <w:szCs w:val="20"/>
        </w:rPr>
        <w:t xml:space="preserve">a violación del derecho a la integridad personal (artículo 5) de los referidos familiares, específicamente por la angustia, dolor e incertidumbre que han sufrido y por la ausencia de información sobre las circunstancias en que ocurrieron los hechos, sin perjuicio de </w:t>
      </w:r>
      <w:r w:rsidR="0082566C" w:rsidRPr="00996758">
        <w:rPr>
          <w:rFonts w:ascii="Verdana" w:hAnsi="Verdana"/>
          <w:sz w:val="20"/>
          <w:szCs w:val="20"/>
        </w:rPr>
        <w:t xml:space="preserve">lo que corresponda decidir acerca de la alegada </w:t>
      </w:r>
      <w:r w:rsidR="0082566C" w:rsidRPr="00996758">
        <w:rPr>
          <w:rFonts w:ascii="Verdana" w:hAnsi="Verdana"/>
          <w:snapToGrid w:val="0"/>
          <w:spacing w:val="-2"/>
          <w:sz w:val="20"/>
          <w:szCs w:val="20"/>
          <w:lang w:eastAsia="es-ES"/>
        </w:rPr>
        <w:t>calificación jurídica de los hechos</w:t>
      </w:r>
      <w:r w:rsidR="0082566C" w:rsidRPr="00996758">
        <w:rPr>
          <w:rFonts w:ascii="Verdana" w:hAnsi="Verdana"/>
          <w:sz w:val="20"/>
          <w:szCs w:val="20"/>
        </w:rPr>
        <w:t xml:space="preserve"> como </w:t>
      </w:r>
      <w:r w:rsidR="00A5560D" w:rsidRPr="00996758">
        <w:rPr>
          <w:rFonts w:ascii="Verdana" w:hAnsi="Verdana"/>
          <w:sz w:val="20"/>
          <w:szCs w:val="20"/>
        </w:rPr>
        <w:t xml:space="preserve">desaparición forzada </w:t>
      </w:r>
      <w:r w:rsidR="0082566C" w:rsidRPr="00996758">
        <w:rPr>
          <w:rFonts w:ascii="Verdana" w:hAnsi="Verdana"/>
          <w:sz w:val="20"/>
          <w:szCs w:val="20"/>
        </w:rPr>
        <w:t xml:space="preserve">y las consecuencias de ello </w:t>
      </w:r>
      <w:r w:rsidR="00A5560D" w:rsidRPr="00996758">
        <w:rPr>
          <w:rFonts w:ascii="Verdana" w:hAnsi="Verdana"/>
          <w:sz w:val="20"/>
          <w:szCs w:val="20"/>
        </w:rPr>
        <w:t>(</w:t>
      </w:r>
      <w:r w:rsidR="00A5560D" w:rsidRPr="00996758">
        <w:rPr>
          <w:rFonts w:ascii="Verdana" w:hAnsi="Verdana"/>
          <w:i/>
          <w:sz w:val="20"/>
          <w:szCs w:val="20"/>
        </w:rPr>
        <w:t xml:space="preserve">infra </w:t>
      </w:r>
      <w:r w:rsidR="00B11575" w:rsidRPr="00996758">
        <w:rPr>
          <w:rFonts w:ascii="Verdana" w:hAnsi="Verdana"/>
          <w:sz w:val="20"/>
          <w:szCs w:val="20"/>
        </w:rPr>
        <w:t>párrs. 16</w:t>
      </w:r>
      <w:r w:rsidR="00EE2921" w:rsidRPr="00996758">
        <w:rPr>
          <w:rFonts w:ascii="Verdana" w:hAnsi="Verdana"/>
          <w:sz w:val="20"/>
          <w:szCs w:val="20"/>
        </w:rPr>
        <w:t>5 y 166</w:t>
      </w:r>
      <w:r w:rsidR="00A5560D" w:rsidRPr="00996758">
        <w:rPr>
          <w:rFonts w:ascii="Verdana" w:hAnsi="Verdana"/>
          <w:sz w:val="20"/>
          <w:szCs w:val="20"/>
        </w:rPr>
        <w:t>).</w:t>
      </w:r>
    </w:p>
    <w:p w:rsidR="00BA0874" w:rsidRPr="00996758" w:rsidRDefault="00BA0874">
      <w:pPr>
        <w:pStyle w:val="ListParagraph"/>
        <w:spacing w:after="0" w:line="240" w:lineRule="auto"/>
        <w:ind w:left="0"/>
        <w:jc w:val="both"/>
        <w:rPr>
          <w:rFonts w:ascii="Verdana" w:hAnsi="Verdana" w:cs="Times New Roman"/>
          <w:spacing w:val="-2"/>
          <w:sz w:val="20"/>
          <w:szCs w:val="20"/>
        </w:rPr>
      </w:pPr>
    </w:p>
    <w:p w:rsidR="00637724" w:rsidRPr="00996758" w:rsidRDefault="0082566C" w:rsidP="0082566C">
      <w:pPr>
        <w:pStyle w:val="ListParagraph"/>
        <w:numPr>
          <w:ilvl w:val="0"/>
          <w:numId w:val="10"/>
        </w:numPr>
        <w:spacing w:after="0" w:line="240" w:lineRule="auto"/>
        <w:ind w:left="0" w:firstLine="0"/>
        <w:jc w:val="both"/>
        <w:rPr>
          <w:rFonts w:ascii="Verdana" w:hAnsi="Verdana" w:cs="Times New Roman"/>
          <w:spacing w:val="-2"/>
          <w:sz w:val="20"/>
          <w:szCs w:val="20"/>
        </w:rPr>
      </w:pPr>
      <w:r w:rsidRPr="00996758">
        <w:rPr>
          <w:rFonts w:ascii="Verdana" w:hAnsi="Verdana"/>
          <w:snapToGrid w:val="0"/>
          <w:spacing w:val="-2"/>
          <w:sz w:val="20"/>
          <w:szCs w:val="20"/>
          <w:lang w:eastAsia="es-ES"/>
        </w:rPr>
        <w:t>Por otro lado</w:t>
      </w:r>
      <w:r w:rsidR="0077107C" w:rsidRPr="00996758">
        <w:rPr>
          <w:rFonts w:ascii="Verdana" w:hAnsi="Verdana"/>
          <w:snapToGrid w:val="0"/>
          <w:spacing w:val="-2"/>
          <w:sz w:val="20"/>
          <w:szCs w:val="20"/>
          <w:lang w:eastAsia="es-ES"/>
        </w:rPr>
        <w:t>, e</w:t>
      </w:r>
      <w:r w:rsidR="00A076C3" w:rsidRPr="00996758">
        <w:rPr>
          <w:rFonts w:ascii="Verdana" w:hAnsi="Verdana"/>
          <w:snapToGrid w:val="0"/>
          <w:spacing w:val="-2"/>
          <w:sz w:val="20"/>
          <w:szCs w:val="20"/>
          <w:lang w:eastAsia="es-ES"/>
        </w:rPr>
        <w:t>l</w:t>
      </w:r>
      <w:r w:rsidR="00CC0CC2" w:rsidRPr="00996758">
        <w:rPr>
          <w:rFonts w:ascii="Verdana" w:hAnsi="Verdana"/>
          <w:snapToGrid w:val="0"/>
          <w:spacing w:val="-2"/>
          <w:sz w:val="20"/>
          <w:szCs w:val="20"/>
          <w:lang w:eastAsia="es-ES"/>
        </w:rPr>
        <w:t xml:space="preserve"> Estado reconoció </w:t>
      </w:r>
      <w:r w:rsidR="0053668D" w:rsidRPr="00996758">
        <w:rPr>
          <w:rFonts w:ascii="Verdana" w:hAnsi="Verdana"/>
          <w:snapToGrid w:val="0"/>
          <w:spacing w:val="-2"/>
          <w:sz w:val="20"/>
          <w:szCs w:val="20"/>
          <w:lang w:eastAsia="es-ES"/>
        </w:rPr>
        <w:t xml:space="preserve">la violación </w:t>
      </w:r>
      <w:r w:rsidR="00CC0CC2" w:rsidRPr="00996758">
        <w:rPr>
          <w:rFonts w:ascii="Verdana" w:hAnsi="Verdana"/>
          <w:snapToGrid w:val="0"/>
          <w:spacing w:val="-2"/>
          <w:sz w:val="20"/>
          <w:szCs w:val="20"/>
          <w:lang w:eastAsia="es-ES"/>
        </w:rPr>
        <w:t xml:space="preserve">de los derechos </w:t>
      </w:r>
      <w:r w:rsidR="007D773D" w:rsidRPr="00996758">
        <w:rPr>
          <w:rFonts w:ascii="Verdana" w:hAnsi="Verdana"/>
          <w:snapToGrid w:val="0"/>
          <w:spacing w:val="-2"/>
          <w:sz w:val="20"/>
          <w:szCs w:val="20"/>
          <w:lang w:eastAsia="es-ES"/>
        </w:rPr>
        <w:t>reconocidos</w:t>
      </w:r>
      <w:r w:rsidR="00CC0CC2" w:rsidRPr="00996758">
        <w:rPr>
          <w:rFonts w:ascii="Verdana" w:hAnsi="Verdana"/>
          <w:snapToGrid w:val="0"/>
          <w:spacing w:val="-2"/>
          <w:sz w:val="20"/>
          <w:szCs w:val="20"/>
          <w:lang w:eastAsia="es-ES"/>
        </w:rPr>
        <w:t xml:space="preserve"> en los artículos 3, 4,</w:t>
      </w:r>
      <w:r w:rsidR="0053668D" w:rsidRPr="00996758">
        <w:rPr>
          <w:rFonts w:ascii="Verdana" w:hAnsi="Verdana"/>
          <w:snapToGrid w:val="0"/>
          <w:spacing w:val="-2"/>
          <w:sz w:val="20"/>
          <w:szCs w:val="20"/>
          <w:lang w:eastAsia="es-ES"/>
        </w:rPr>
        <w:t xml:space="preserve"> 5</w:t>
      </w:r>
      <w:r w:rsidR="00CC0CC2" w:rsidRPr="00996758">
        <w:rPr>
          <w:rFonts w:ascii="Verdana" w:hAnsi="Verdana"/>
          <w:snapToGrid w:val="0"/>
          <w:spacing w:val="-2"/>
          <w:sz w:val="20"/>
          <w:szCs w:val="20"/>
          <w:lang w:eastAsia="es-ES"/>
        </w:rPr>
        <w:t xml:space="preserve"> y 7 de la Convención, en </w:t>
      </w:r>
      <w:r w:rsidR="0053668D" w:rsidRPr="00996758">
        <w:rPr>
          <w:rFonts w:ascii="Verdana" w:hAnsi="Verdana"/>
          <w:snapToGrid w:val="0"/>
          <w:spacing w:val="-2"/>
          <w:sz w:val="20"/>
          <w:szCs w:val="20"/>
          <w:lang w:eastAsia="es-ES"/>
        </w:rPr>
        <w:t>relación con el artículo 1.1 de la misma</w:t>
      </w:r>
      <w:r w:rsidR="00CC0CC2" w:rsidRPr="00996758">
        <w:rPr>
          <w:rFonts w:ascii="Verdana" w:hAnsi="Verdana"/>
          <w:snapToGrid w:val="0"/>
          <w:spacing w:val="-2"/>
          <w:sz w:val="20"/>
          <w:szCs w:val="20"/>
          <w:lang w:eastAsia="es-ES"/>
        </w:rPr>
        <w:t xml:space="preserve">, </w:t>
      </w:r>
      <w:r w:rsidR="00672B9A" w:rsidRPr="00996758">
        <w:rPr>
          <w:rFonts w:ascii="Verdana" w:hAnsi="Verdana"/>
          <w:snapToGrid w:val="0"/>
          <w:spacing w:val="-2"/>
          <w:sz w:val="20"/>
          <w:szCs w:val="20"/>
          <w:lang w:eastAsia="es-ES"/>
        </w:rPr>
        <w:t xml:space="preserve">en perjuicio del señor Isaza Uribe por </w:t>
      </w:r>
      <w:r w:rsidR="00672B9A" w:rsidRPr="00996758">
        <w:rPr>
          <w:rFonts w:ascii="Verdana" w:hAnsi="Verdana"/>
          <w:sz w:val="20"/>
          <w:szCs w:val="20"/>
        </w:rPr>
        <w:t>haber fallado en su deber de custodia y de protección</w:t>
      </w:r>
      <w:r w:rsidR="00406545" w:rsidRPr="00996758">
        <w:rPr>
          <w:rFonts w:ascii="Verdana" w:hAnsi="Verdana"/>
          <w:sz w:val="20"/>
          <w:szCs w:val="20"/>
        </w:rPr>
        <w:t xml:space="preserve"> mientras </w:t>
      </w:r>
      <w:r w:rsidR="007E55CF" w:rsidRPr="00996758">
        <w:rPr>
          <w:rFonts w:ascii="Verdana" w:hAnsi="Verdana"/>
          <w:sz w:val="20"/>
          <w:szCs w:val="20"/>
        </w:rPr>
        <w:t xml:space="preserve">él </w:t>
      </w:r>
      <w:r w:rsidR="00406545" w:rsidRPr="00996758">
        <w:rPr>
          <w:rFonts w:ascii="Verdana" w:hAnsi="Verdana"/>
          <w:sz w:val="20"/>
          <w:szCs w:val="20"/>
        </w:rPr>
        <w:t>se encontraba privado de libertad</w:t>
      </w:r>
      <w:r w:rsidR="00672B9A" w:rsidRPr="00996758">
        <w:rPr>
          <w:rFonts w:ascii="Verdana" w:hAnsi="Verdana"/>
          <w:sz w:val="20"/>
          <w:szCs w:val="20"/>
        </w:rPr>
        <w:t>, así como por la ausencia de una investigación efectiva</w:t>
      </w:r>
      <w:r w:rsidR="00406545" w:rsidRPr="00996758">
        <w:rPr>
          <w:rFonts w:ascii="Verdana" w:hAnsi="Verdana"/>
          <w:sz w:val="20"/>
          <w:szCs w:val="20"/>
        </w:rPr>
        <w:t xml:space="preserve">, pero </w:t>
      </w:r>
      <w:r w:rsidR="00672B9A" w:rsidRPr="00996758">
        <w:rPr>
          <w:rFonts w:ascii="Verdana" w:hAnsi="Verdana"/>
          <w:sz w:val="20"/>
          <w:szCs w:val="20"/>
        </w:rPr>
        <w:t xml:space="preserve">enfatizó que </w:t>
      </w:r>
      <w:r w:rsidR="00B36884" w:rsidRPr="00996758">
        <w:rPr>
          <w:rFonts w:ascii="Verdana" w:hAnsi="Verdana"/>
          <w:sz w:val="20"/>
          <w:szCs w:val="20"/>
        </w:rPr>
        <w:t xml:space="preserve">ello </w:t>
      </w:r>
      <w:r w:rsidR="00672B9A" w:rsidRPr="00996758">
        <w:rPr>
          <w:rFonts w:ascii="Verdana" w:hAnsi="Verdana"/>
          <w:sz w:val="20"/>
          <w:szCs w:val="20"/>
        </w:rPr>
        <w:t>no abarca un reconocimiento por la comisión de</w:t>
      </w:r>
      <w:r w:rsidR="00B36884" w:rsidRPr="00996758">
        <w:rPr>
          <w:rFonts w:ascii="Verdana" w:hAnsi="Verdana"/>
          <w:sz w:val="20"/>
          <w:szCs w:val="20"/>
        </w:rPr>
        <w:t xml:space="preserve"> una</w:t>
      </w:r>
      <w:r w:rsidR="00672B9A" w:rsidRPr="00996758">
        <w:rPr>
          <w:rFonts w:ascii="Verdana" w:hAnsi="Verdana"/>
          <w:sz w:val="20"/>
          <w:szCs w:val="20"/>
        </w:rPr>
        <w:t xml:space="preserve"> desaparición forzada.</w:t>
      </w:r>
      <w:r w:rsidR="00F35C43" w:rsidRPr="00996758">
        <w:rPr>
          <w:rFonts w:ascii="Verdana" w:hAnsi="Verdana"/>
          <w:sz w:val="20"/>
          <w:szCs w:val="20"/>
        </w:rPr>
        <w:t xml:space="preserve"> </w:t>
      </w:r>
      <w:r w:rsidR="00672B9A" w:rsidRPr="00996758">
        <w:rPr>
          <w:rFonts w:ascii="Verdana" w:hAnsi="Verdana" w:cs="Times New Roman"/>
          <w:spacing w:val="-2"/>
          <w:sz w:val="20"/>
          <w:szCs w:val="20"/>
        </w:rPr>
        <w:t xml:space="preserve">Es </w:t>
      </w:r>
      <w:r w:rsidR="0077107C" w:rsidRPr="00996758">
        <w:rPr>
          <w:rFonts w:ascii="Verdana" w:hAnsi="Verdana" w:cs="Times New Roman"/>
          <w:spacing w:val="-2"/>
          <w:sz w:val="20"/>
          <w:szCs w:val="20"/>
        </w:rPr>
        <w:t>claro</w:t>
      </w:r>
      <w:r w:rsidR="00672B9A" w:rsidRPr="00996758">
        <w:rPr>
          <w:rFonts w:ascii="Verdana" w:hAnsi="Verdana" w:cs="Times New Roman"/>
          <w:spacing w:val="-2"/>
          <w:sz w:val="20"/>
          <w:szCs w:val="20"/>
        </w:rPr>
        <w:t xml:space="preserve"> que d</w:t>
      </w:r>
      <w:r w:rsidR="00CC0CC2" w:rsidRPr="00996758">
        <w:rPr>
          <w:rFonts w:ascii="Verdana" w:hAnsi="Verdana"/>
          <w:snapToGrid w:val="0"/>
          <w:spacing w:val="-2"/>
          <w:sz w:val="20"/>
          <w:szCs w:val="20"/>
          <w:lang w:eastAsia="es-ES"/>
        </w:rPr>
        <w:t xml:space="preserve">ichas manifestaciones del Estado no constituyen un reconocimiento de las pretensiones </w:t>
      </w:r>
      <w:r w:rsidR="00805846" w:rsidRPr="00996758">
        <w:rPr>
          <w:rFonts w:ascii="Verdana" w:hAnsi="Verdana"/>
          <w:snapToGrid w:val="0"/>
          <w:spacing w:val="-2"/>
          <w:sz w:val="20"/>
          <w:szCs w:val="20"/>
          <w:lang w:eastAsia="es-ES"/>
        </w:rPr>
        <w:t>de</w:t>
      </w:r>
      <w:r w:rsidR="00CC0CC2" w:rsidRPr="00996758">
        <w:rPr>
          <w:rFonts w:ascii="Verdana" w:hAnsi="Verdana"/>
          <w:snapToGrid w:val="0"/>
          <w:spacing w:val="-2"/>
          <w:sz w:val="20"/>
          <w:szCs w:val="20"/>
          <w:lang w:eastAsia="es-ES"/>
        </w:rPr>
        <w:t xml:space="preserve"> la Comisión y los representantes, pues se basa</w:t>
      </w:r>
      <w:r w:rsidR="0077548D" w:rsidRPr="00996758">
        <w:rPr>
          <w:rFonts w:ascii="Verdana" w:hAnsi="Verdana"/>
          <w:snapToGrid w:val="0"/>
          <w:spacing w:val="-2"/>
          <w:sz w:val="20"/>
          <w:szCs w:val="20"/>
          <w:lang w:eastAsia="es-ES"/>
        </w:rPr>
        <w:t xml:space="preserve">n en </w:t>
      </w:r>
      <w:r w:rsidR="00805846" w:rsidRPr="00996758">
        <w:rPr>
          <w:rFonts w:ascii="Verdana" w:hAnsi="Verdana"/>
          <w:snapToGrid w:val="0"/>
          <w:spacing w:val="-2"/>
          <w:sz w:val="20"/>
          <w:szCs w:val="20"/>
          <w:lang w:eastAsia="es-ES"/>
        </w:rPr>
        <w:t>versiones</w:t>
      </w:r>
      <w:r w:rsidR="0077548D" w:rsidRPr="00996758">
        <w:rPr>
          <w:rFonts w:ascii="Verdana" w:hAnsi="Verdana"/>
          <w:snapToGrid w:val="0"/>
          <w:spacing w:val="-2"/>
          <w:sz w:val="20"/>
          <w:szCs w:val="20"/>
          <w:lang w:eastAsia="es-ES"/>
        </w:rPr>
        <w:t xml:space="preserve"> de los hechos,</w:t>
      </w:r>
      <w:r w:rsidR="00CC0CC2" w:rsidRPr="00996758">
        <w:rPr>
          <w:rFonts w:ascii="Verdana" w:hAnsi="Verdana"/>
          <w:snapToGrid w:val="0"/>
          <w:spacing w:val="-2"/>
          <w:sz w:val="20"/>
          <w:szCs w:val="20"/>
          <w:lang w:eastAsia="es-ES"/>
        </w:rPr>
        <w:t xml:space="preserve"> </w:t>
      </w:r>
      <w:r w:rsidR="00805846" w:rsidRPr="00996758">
        <w:rPr>
          <w:rFonts w:ascii="Verdana" w:hAnsi="Verdana"/>
          <w:snapToGrid w:val="0"/>
          <w:spacing w:val="-2"/>
          <w:sz w:val="20"/>
          <w:szCs w:val="20"/>
          <w:lang w:eastAsia="es-ES"/>
        </w:rPr>
        <w:t>valoraciones</w:t>
      </w:r>
      <w:r w:rsidR="00CC0CC2" w:rsidRPr="00996758">
        <w:rPr>
          <w:rFonts w:ascii="Verdana" w:hAnsi="Verdana"/>
          <w:snapToGrid w:val="0"/>
          <w:spacing w:val="-2"/>
          <w:sz w:val="20"/>
          <w:szCs w:val="20"/>
          <w:lang w:eastAsia="es-ES"/>
        </w:rPr>
        <w:t xml:space="preserve"> de la</w:t>
      </w:r>
      <w:r w:rsidR="00805846" w:rsidRPr="00996758">
        <w:rPr>
          <w:rFonts w:ascii="Verdana" w:hAnsi="Verdana"/>
          <w:snapToGrid w:val="0"/>
          <w:spacing w:val="-2"/>
          <w:sz w:val="20"/>
          <w:szCs w:val="20"/>
          <w:lang w:eastAsia="es-ES"/>
        </w:rPr>
        <w:t>s</w:t>
      </w:r>
      <w:r w:rsidR="00CC0CC2" w:rsidRPr="00996758">
        <w:rPr>
          <w:rFonts w:ascii="Verdana" w:hAnsi="Verdana"/>
          <w:snapToGrid w:val="0"/>
          <w:spacing w:val="-2"/>
          <w:sz w:val="20"/>
          <w:szCs w:val="20"/>
          <w:lang w:eastAsia="es-ES"/>
        </w:rPr>
        <w:t xml:space="preserve"> prueba</w:t>
      </w:r>
      <w:r w:rsidR="00805846" w:rsidRPr="00996758">
        <w:rPr>
          <w:rFonts w:ascii="Verdana" w:hAnsi="Verdana"/>
          <w:snapToGrid w:val="0"/>
          <w:spacing w:val="-2"/>
          <w:sz w:val="20"/>
          <w:szCs w:val="20"/>
          <w:lang w:eastAsia="es-ES"/>
        </w:rPr>
        <w:t>s</w:t>
      </w:r>
      <w:r w:rsidR="00CC0CC2" w:rsidRPr="00996758">
        <w:rPr>
          <w:rFonts w:ascii="Verdana" w:hAnsi="Verdana"/>
          <w:snapToGrid w:val="0"/>
          <w:spacing w:val="-2"/>
          <w:sz w:val="20"/>
          <w:szCs w:val="20"/>
          <w:lang w:eastAsia="es-ES"/>
        </w:rPr>
        <w:t xml:space="preserve"> </w:t>
      </w:r>
      <w:r w:rsidR="0077548D" w:rsidRPr="00996758">
        <w:rPr>
          <w:rFonts w:ascii="Verdana" w:hAnsi="Verdana"/>
          <w:snapToGrid w:val="0"/>
          <w:spacing w:val="-2"/>
          <w:sz w:val="20"/>
          <w:szCs w:val="20"/>
          <w:lang w:eastAsia="es-ES"/>
        </w:rPr>
        <w:t xml:space="preserve">y una calificación jurídica </w:t>
      </w:r>
      <w:r w:rsidR="00CC0CC2" w:rsidRPr="00996758">
        <w:rPr>
          <w:rFonts w:ascii="Verdana" w:hAnsi="Verdana"/>
          <w:snapToGrid w:val="0"/>
          <w:spacing w:val="-2"/>
          <w:sz w:val="20"/>
          <w:szCs w:val="20"/>
          <w:lang w:eastAsia="es-ES"/>
        </w:rPr>
        <w:t>distinta</w:t>
      </w:r>
      <w:r w:rsidR="0077548D" w:rsidRPr="00996758">
        <w:rPr>
          <w:rFonts w:ascii="Verdana" w:hAnsi="Verdana"/>
          <w:snapToGrid w:val="0"/>
          <w:spacing w:val="-2"/>
          <w:sz w:val="20"/>
          <w:szCs w:val="20"/>
          <w:lang w:eastAsia="es-ES"/>
        </w:rPr>
        <w:t>s</w:t>
      </w:r>
      <w:r w:rsidR="00CC0CC2" w:rsidRPr="00996758">
        <w:rPr>
          <w:rFonts w:ascii="Verdana" w:hAnsi="Verdana"/>
          <w:snapToGrid w:val="0"/>
          <w:spacing w:val="-2"/>
          <w:sz w:val="20"/>
          <w:szCs w:val="20"/>
          <w:lang w:eastAsia="es-ES"/>
        </w:rPr>
        <w:t xml:space="preserve"> a la que </w:t>
      </w:r>
      <w:r w:rsidR="00672B9A" w:rsidRPr="00996758">
        <w:rPr>
          <w:rFonts w:ascii="Verdana" w:hAnsi="Verdana"/>
          <w:snapToGrid w:val="0"/>
          <w:spacing w:val="-2"/>
          <w:sz w:val="20"/>
          <w:szCs w:val="20"/>
          <w:lang w:eastAsia="es-ES"/>
        </w:rPr>
        <w:t>éstos</w:t>
      </w:r>
      <w:r w:rsidR="00CC0CC2" w:rsidRPr="00996758">
        <w:rPr>
          <w:rFonts w:ascii="Verdana" w:hAnsi="Verdana"/>
          <w:snapToGrid w:val="0"/>
          <w:spacing w:val="-2"/>
          <w:sz w:val="20"/>
          <w:szCs w:val="20"/>
          <w:lang w:eastAsia="es-ES"/>
        </w:rPr>
        <w:t xml:space="preserve"> sostienen. Por tanto, la Corte estima que se mantiene la controversia respecto de los hechos y viola</w:t>
      </w:r>
      <w:r w:rsidR="00672B9A" w:rsidRPr="00996758">
        <w:rPr>
          <w:rFonts w:ascii="Verdana" w:hAnsi="Verdana"/>
          <w:snapToGrid w:val="0"/>
          <w:spacing w:val="-2"/>
          <w:sz w:val="20"/>
          <w:szCs w:val="20"/>
          <w:lang w:eastAsia="es-ES"/>
        </w:rPr>
        <w:t>ciones alegad</w:t>
      </w:r>
      <w:r w:rsidR="00BE14C1" w:rsidRPr="00996758">
        <w:rPr>
          <w:rFonts w:ascii="Verdana" w:hAnsi="Verdana"/>
          <w:snapToGrid w:val="0"/>
          <w:spacing w:val="-2"/>
          <w:sz w:val="20"/>
          <w:szCs w:val="20"/>
          <w:lang w:eastAsia="es-ES"/>
        </w:rPr>
        <w:t>a</w:t>
      </w:r>
      <w:r w:rsidR="00672B9A" w:rsidRPr="00996758">
        <w:rPr>
          <w:rFonts w:ascii="Verdana" w:hAnsi="Verdana"/>
          <w:snapToGrid w:val="0"/>
          <w:spacing w:val="-2"/>
          <w:sz w:val="20"/>
          <w:szCs w:val="20"/>
          <w:lang w:eastAsia="es-ES"/>
        </w:rPr>
        <w:t xml:space="preserve">s en perjuicio de la </w:t>
      </w:r>
      <w:r w:rsidR="00CC0CC2" w:rsidRPr="00996758">
        <w:rPr>
          <w:rFonts w:ascii="Verdana" w:hAnsi="Verdana"/>
          <w:snapToGrid w:val="0"/>
          <w:spacing w:val="-2"/>
          <w:sz w:val="20"/>
          <w:szCs w:val="20"/>
          <w:lang w:eastAsia="es-ES"/>
        </w:rPr>
        <w:t>presunta víctima de desaparición forzada</w:t>
      </w:r>
      <w:r w:rsidR="00A076C3" w:rsidRPr="00996758">
        <w:rPr>
          <w:rFonts w:ascii="Verdana" w:hAnsi="Verdana"/>
          <w:snapToGrid w:val="0"/>
          <w:spacing w:val="-2"/>
          <w:sz w:val="20"/>
          <w:szCs w:val="20"/>
          <w:lang w:eastAsia="es-ES"/>
        </w:rPr>
        <w:t>, inclusive respecto de</w:t>
      </w:r>
      <w:r w:rsidR="00D85634" w:rsidRPr="00996758">
        <w:rPr>
          <w:rFonts w:ascii="Verdana" w:hAnsi="Verdana"/>
          <w:snapToGrid w:val="0"/>
          <w:spacing w:val="-2"/>
          <w:sz w:val="20"/>
          <w:szCs w:val="20"/>
          <w:lang w:eastAsia="es-ES"/>
        </w:rPr>
        <w:t xml:space="preserve"> los</w:t>
      </w:r>
      <w:r w:rsidR="00805846" w:rsidRPr="00996758">
        <w:rPr>
          <w:rFonts w:ascii="Verdana" w:hAnsi="Verdana"/>
          <w:snapToGrid w:val="0"/>
          <w:spacing w:val="-2"/>
          <w:sz w:val="20"/>
          <w:szCs w:val="20"/>
          <w:lang w:eastAsia="es-ES"/>
        </w:rPr>
        <w:t xml:space="preserve"> artículo</w:t>
      </w:r>
      <w:r w:rsidR="00D85634" w:rsidRPr="00996758">
        <w:rPr>
          <w:rFonts w:ascii="Verdana" w:hAnsi="Verdana"/>
          <w:snapToGrid w:val="0"/>
          <w:spacing w:val="-2"/>
          <w:sz w:val="20"/>
          <w:szCs w:val="20"/>
          <w:lang w:eastAsia="es-ES"/>
        </w:rPr>
        <w:t>s</w:t>
      </w:r>
      <w:r w:rsidR="00805846" w:rsidRPr="00996758">
        <w:rPr>
          <w:rFonts w:ascii="Verdana" w:hAnsi="Verdana"/>
          <w:snapToGrid w:val="0"/>
          <w:spacing w:val="-2"/>
          <w:sz w:val="20"/>
          <w:szCs w:val="20"/>
          <w:lang w:eastAsia="es-ES"/>
        </w:rPr>
        <w:t xml:space="preserve"> 2 </w:t>
      </w:r>
      <w:r w:rsidR="00D85634" w:rsidRPr="00996758">
        <w:rPr>
          <w:rFonts w:ascii="Verdana" w:hAnsi="Verdana"/>
          <w:snapToGrid w:val="0"/>
          <w:spacing w:val="-2"/>
          <w:sz w:val="20"/>
          <w:szCs w:val="20"/>
          <w:lang w:eastAsia="es-ES"/>
        </w:rPr>
        <w:t xml:space="preserve">y 16 </w:t>
      </w:r>
      <w:r w:rsidR="00805846" w:rsidRPr="00996758">
        <w:rPr>
          <w:rFonts w:ascii="Verdana" w:hAnsi="Verdana"/>
          <w:snapToGrid w:val="0"/>
          <w:spacing w:val="-2"/>
          <w:sz w:val="20"/>
          <w:szCs w:val="20"/>
          <w:lang w:eastAsia="es-ES"/>
        </w:rPr>
        <w:t>de la Convención y de</w:t>
      </w:r>
      <w:r w:rsidR="00A076C3" w:rsidRPr="00996758">
        <w:rPr>
          <w:rFonts w:ascii="Verdana" w:hAnsi="Verdana"/>
          <w:snapToGrid w:val="0"/>
          <w:spacing w:val="-2"/>
          <w:sz w:val="20"/>
          <w:szCs w:val="20"/>
          <w:lang w:eastAsia="es-ES"/>
        </w:rPr>
        <w:t xml:space="preserve"> la alegada violación de los artículos I.a</w:t>
      </w:r>
      <w:r w:rsidR="00FA4555" w:rsidRPr="00996758">
        <w:rPr>
          <w:rFonts w:ascii="Verdana" w:hAnsi="Verdana"/>
          <w:snapToGrid w:val="0"/>
          <w:spacing w:val="-2"/>
          <w:sz w:val="20"/>
          <w:szCs w:val="20"/>
          <w:lang w:eastAsia="es-ES"/>
        </w:rPr>
        <w:t>)</w:t>
      </w:r>
      <w:r w:rsidR="00A076C3" w:rsidRPr="00996758">
        <w:rPr>
          <w:rFonts w:ascii="Verdana" w:hAnsi="Verdana"/>
          <w:snapToGrid w:val="0"/>
          <w:spacing w:val="-2"/>
          <w:sz w:val="20"/>
          <w:szCs w:val="20"/>
          <w:lang w:eastAsia="es-ES"/>
        </w:rPr>
        <w:t xml:space="preserve"> y I.b</w:t>
      </w:r>
      <w:r w:rsidR="00FA4555" w:rsidRPr="00996758">
        <w:rPr>
          <w:rFonts w:ascii="Verdana" w:hAnsi="Verdana"/>
          <w:snapToGrid w:val="0"/>
          <w:spacing w:val="-2"/>
          <w:sz w:val="20"/>
          <w:szCs w:val="20"/>
          <w:lang w:eastAsia="es-ES"/>
        </w:rPr>
        <w:t>)</w:t>
      </w:r>
      <w:r w:rsidR="00A076C3" w:rsidRPr="00996758">
        <w:rPr>
          <w:rFonts w:ascii="Verdana" w:hAnsi="Verdana"/>
          <w:snapToGrid w:val="0"/>
          <w:spacing w:val="-2"/>
          <w:sz w:val="20"/>
          <w:szCs w:val="20"/>
          <w:lang w:eastAsia="es-ES"/>
        </w:rPr>
        <w:t xml:space="preserve"> de la Convención Interamericana sobre Desaparición Forzada de Personas</w:t>
      </w:r>
      <w:r w:rsidR="004424DB" w:rsidRPr="00996758">
        <w:rPr>
          <w:rStyle w:val="FootnoteReference"/>
          <w:rFonts w:ascii="Verdana" w:hAnsi="Verdana"/>
          <w:snapToGrid w:val="0"/>
          <w:spacing w:val="-2"/>
          <w:sz w:val="20"/>
          <w:szCs w:val="20"/>
          <w:lang w:eastAsia="es-ES"/>
        </w:rPr>
        <w:footnoteReference w:id="20"/>
      </w:r>
      <w:r w:rsidR="00CC0CC2" w:rsidRPr="00996758">
        <w:rPr>
          <w:rFonts w:ascii="Verdana" w:hAnsi="Verdana"/>
          <w:snapToGrid w:val="0"/>
          <w:spacing w:val="-2"/>
          <w:sz w:val="20"/>
          <w:szCs w:val="20"/>
          <w:lang w:eastAsia="es-ES"/>
        </w:rPr>
        <w:t xml:space="preserve">. </w:t>
      </w:r>
      <w:r w:rsidR="00BD726F" w:rsidRPr="00996758">
        <w:rPr>
          <w:rFonts w:ascii="Verdana" w:hAnsi="Verdana"/>
          <w:snapToGrid w:val="0"/>
          <w:spacing w:val="-2"/>
          <w:sz w:val="20"/>
          <w:szCs w:val="20"/>
          <w:lang w:eastAsia="es-ES"/>
        </w:rPr>
        <w:t>Asimismo, se mantiene la controversia respecto de la alegada violación de los derechos a la protección de la familia y a la honra y dignidad (artículos 17 y 11).</w:t>
      </w:r>
    </w:p>
    <w:p w:rsidR="00637724" w:rsidRPr="00996758" w:rsidRDefault="00637724">
      <w:pPr>
        <w:pStyle w:val="ListParagraph"/>
        <w:spacing w:after="0" w:line="240" w:lineRule="auto"/>
        <w:ind w:left="0"/>
        <w:jc w:val="both"/>
        <w:rPr>
          <w:rFonts w:ascii="Verdana" w:hAnsi="Verdana"/>
          <w:snapToGrid w:val="0"/>
          <w:spacing w:val="-2"/>
          <w:sz w:val="20"/>
          <w:szCs w:val="20"/>
          <w:lang w:eastAsia="es-ES"/>
        </w:rPr>
      </w:pPr>
    </w:p>
    <w:p w:rsidR="00150AC2" w:rsidRPr="00996758" w:rsidRDefault="0082566C" w:rsidP="00FA4555">
      <w:pPr>
        <w:pStyle w:val="ListParagraph"/>
        <w:numPr>
          <w:ilvl w:val="0"/>
          <w:numId w:val="10"/>
        </w:numPr>
        <w:spacing w:after="0" w:line="240" w:lineRule="auto"/>
        <w:ind w:left="0" w:firstLine="0"/>
        <w:jc w:val="both"/>
        <w:rPr>
          <w:rFonts w:ascii="Verdana" w:hAnsi="Verdana"/>
          <w:snapToGrid w:val="0"/>
          <w:spacing w:val="-2"/>
          <w:sz w:val="20"/>
          <w:szCs w:val="20"/>
          <w:lang w:eastAsia="es-ES"/>
        </w:rPr>
      </w:pPr>
      <w:r w:rsidRPr="00996758">
        <w:rPr>
          <w:rFonts w:ascii="Verdana" w:hAnsi="Verdana"/>
          <w:sz w:val="20"/>
          <w:szCs w:val="20"/>
        </w:rPr>
        <w:t>Asimismo, e</w:t>
      </w:r>
      <w:r w:rsidR="00E8479F" w:rsidRPr="00996758">
        <w:rPr>
          <w:rFonts w:ascii="Verdana" w:hAnsi="Verdana"/>
          <w:sz w:val="20"/>
          <w:szCs w:val="20"/>
        </w:rPr>
        <w:t>n cuanto a las garantías judiciales y a la protección judicial (artículos 8.1 y 25</w:t>
      </w:r>
      <w:r w:rsidR="0074483E" w:rsidRPr="00996758">
        <w:rPr>
          <w:rFonts w:ascii="Verdana" w:hAnsi="Verdana"/>
          <w:sz w:val="20"/>
          <w:szCs w:val="20"/>
        </w:rPr>
        <w:t xml:space="preserve"> de la Convención</w:t>
      </w:r>
      <w:r w:rsidR="00E8479F" w:rsidRPr="00996758">
        <w:rPr>
          <w:rFonts w:ascii="Verdana" w:hAnsi="Verdana"/>
          <w:sz w:val="20"/>
          <w:szCs w:val="20"/>
        </w:rPr>
        <w:t xml:space="preserve">), </w:t>
      </w:r>
      <w:r w:rsidRPr="00996758">
        <w:rPr>
          <w:rFonts w:ascii="Verdana" w:hAnsi="Verdana"/>
          <w:snapToGrid w:val="0"/>
          <w:spacing w:val="-2"/>
          <w:sz w:val="20"/>
          <w:szCs w:val="20"/>
          <w:lang w:eastAsia="es-ES"/>
        </w:rPr>
        <w:t xml:space="preserve">la Corte ha entendido que, </w:t>
      </w:r>
      <w:r w:rsidR="007541B2" w:rsidRPr="00996758">
        <w:rPr>
          <w:rFonts w:ascii="Verdana" w:hAnsi="Verdana"/>
          <w:sz w:val="20"/>
          <w:szCs w:val="20"/>
        </w:rPr>
        <w:t>en casos de desaparición forzada</w:t>
      </w:r>
      <w:r w:rsidRPr="00996758">
        <w:rPr>
          <w:rFonts w:ascii="Verdana" w:hAnsi="Verdana"/>
          <w:sz w:val="20"/>
          <w:szCs w:val="20"/>
        </w:rPr>
        <w:t>,</w:t>
      </w:r>
      <w:r w:rsidR="007541B2" w:rsidRPr="00996758">
        <w:rPr>
          <w:rFonts w:ascii="Verdana" w:hAnsi="Verdana"/>
          <w:sz w:val="20"/>
          <w:szCs w:val="20"/>
        </w:rPr>
        <w:t xml:space="preserve"> la persona desaparecida también es víctima de </w:t>
      </w:r>
      <w:r w:rsidR="00A076C3" w:rsidRPr="00996758">
        <w:rPr>
          <w:rFonts w:ascii="Verdana" w:hAnsi="Verdana"/>
          <w:sz w:val="20"/>
          <w:szCs w:val="20"/>
        </w:rPr>
        <w:t xml:space="preserve">la violación de </w:t>
      </w:r>
      <w:r w:rsidR="00241043" w:rsidRPr="00996758">
        <w:rPr>
          <w:rFonts w:ascii="Verdana" w:hAnsi="Verdana"/>
          <w:sz w:val="20"/>
          <w:szCs w:val="20"/>
        </w:rPr>
        <w:t>esos derechos</w:t>
      </w:r>
      <w:r w:rsidR="007541B2" w:rsidRPr="00996758">
        <w:rPr>
          <w:rFonts w:ascii="Verdana" w:hAnsi="Verdana"/>
          <w:sz w:val="20"/>
          <w:szCs w:val="20"/>
        </w:rPr>
        <w:t>, por lo que</w:t>
      </w:r>
      <w:r w:rsidR="00CC0CC2" w:rsidRPr="00996758">
        <w:rPr>
          <w:rFonts w:ascii="Verdana" w:hAnsi="Verdana"/>
          <w:snapToGrid w:val="0"/>
          <w:spacing w:val="-2"/>
          <w:sz w:val="20"/>
          <w:szCs w:val="20"/>
          <w:lang w:eastAsia="es-ES"/>
        </w:rPr>
        <w:t xml:space="preserve"> aún se mantiene la controversia</w:t>
      </w:r>
      <w:r w:rsidR="007541B2" w:rsidRPr="00996758">
        <w:rPr>
          <w:rFonts w:ascii="Verdana" w:hAnsi="Verdana"/>
          <w:snapToGrid w:val="0"/>
          <w:spacing w:val="-2"/>
          <w:sz w:val="20"/>
          <w:szCs w:val="20"/>
          <w:lang w:eastAsia="es-ES"/>
        </w:rPr>
        <w:t xml:space="preserve"> en ese sentido</w:t>
      </w:r>
      <w:r w:rsidR="00A076C3" w:rsidRPr="00996758">
        <w:rPr>
          <w:rFonts w:ascii="Verdana" w:hAnsi="Verdana"/>
          <w:snapToGrid w:val="0"/>
          <w:spacing w:val="-2"/>
          <w:sz w:val="20"/>
          <w:szCs w:val="20"/>
          <w:lang w:eastAsia="es-ES"/>
        </w:rPr>
        <w:t>,</w:t>
      </w:r>
      <w:r w:rsidR="007541B2" w:rsidRPr="00996758">
        <w:rPr>
          <w:rFonts w:ascii="Verdana" w:hAnsi="Verdana"/>
          <w:snapToGrid w:val="0"/>
          <w:spacing w:val="-2"/>
          <w:sz w:val="20"/>
          <w:szCs w:val="20"/>
          <w:lang w:eastAsia="es-ES"/>
        </w:rPr>
        <w:t xml:space="preserve"> </w:t>
      </w:r>
      <w:r w:rsidR="00A076C3" w:rsidRPr="00996758">
        <w:rPr>
          <w:rFonts w:ascii="Verdana" w:hAnsi="Verdana"/>
          <w:snapToGrid w:val="0"/>
          <w:spacing w:val="-2"/>
          <w:sz w:val="20"/>
          <w:szCs w:val="20"/>
          <w:lang w:eastAsia="es-ES"/>
        </w:rPr>
        <w:t>así como</w:t>
      </w:r>
      <w:r w:rsidR="007541B2" w:rsidRPr="00996758">
        <w:rPr>
          <w:rFonts w:ascii="Verdana" w:hAnsi="Verdana"/>
          <w:snapToGrid w:val="0"/>
          <w:spacing w:val="-2"/>
          <w:sz w:val="20"/>
          <w:szCs w:val="20"/>
          <w:lang w:eastAsia="es-ES"/>
        </w:rPr>
        <w:t xml:space="preserve"> respecto </w:t>
      </w:r>
      <w:r w:rsidR="00A076C3" w:rsidRPr="00996758">
        <w:rPr>
          <w:rFonts w:ascii="Verdana" w:hAnsi="Verdana"/>
          <w:snapToGrid w:val="0"/>
          <w:spacing w:val="-2"/>
          <w:sz w:val="20"/>
          <w:szCs w:val="20"/>
          <w:lang w:eastAsia="es-ES"/>
        </w:rPr>
        <w:t>de</w:t>
      </w:r>
      <w:r w:rsidR="007541B2" w:rsidRPr="00996758">
        <w:rPr>
          <w:rFonts w:ascii="Verdana" w:hAnsi="Verdana"/>
          <w:snapToGrid w:val="0"/>
          <w:spacing w:val="-2"/>
          <w:sz w:val="20"/>
          <w:szCs w:val="20"/>
          <w:lang w:eastAsia="es-ES"/>
        </w:rPr>
        <w:t xml:space="preserve"> lo</w:t>
      </w:r>
      <w:r w:rsidR="00CC0CC2" w:rsidRPr="00996758">
        <w:rPr>
          <w:rFonts w:ascii="Verdana" w:hAnsi="Verdana"/>
          <w:snapToGrid w:val="0"/>
          <w:spacing w:val="-2"/>
          <w:sz w:val="20"/>
          <w:szCs w:val="20"/>
          <w:lang w:eastAsia="es-ES"/>
        </w:rPr>
        <w:t xml:space="preserve">s demás </w:t>
      </w:r>
      <w:r w:rsidR="007541B2" w:rsidRPr="00996758">
        <w:rPr>
          <w:rFonts w:ascii="Verdana" w:hAnsi="Verdana"/>
          <w:snapToGrid w:val="0"/>
          <w:spacing w:val="-2"/>
          <w:sz w:val="20"/>
          <w:szCs w:val="20"/>
          <w:lang w:eastAsia="es-ES"/>
        </w:rPr>
        <w:t xml:space="preserve">aspectos de tales </w:t>
      </w:r>
      <w:r w:rsidR="00CC0CC2" w:rsidRPr="00996758">
        <w:rPr>
          <w:rFonts w:ascii="Verdana" w:hAnsi="Verdana"/>
          <w:snapToGrid w:val="0"/>
          <w:spacing w:val="-2"/>
          <w:sz w:val="20"/>
          <w:szCs w:val="20"/>
          <w:lang w:eastAsia="es-ES"/>
        </w:rPr>
        <w:t xml:space="preserve">alegadas violaciones, en particular </w:t>
      </w:r>
      <w:r w:rsidR="007541B2" w:rsidRPr="00996758">
        <w:rPr>
          <w:rFonts w:ascii="Verdana" w:hAnsi="Verdana"/>
          <w:snapToGrid w:val="0"/>
          <w:spacing w:val="-2"/>
          <w:sz w:val="20"/>
          <w:szCs w:val="20"/>
          <w:lang w:eastAsia="es-ES"/>
        </w:rPr>
        <w:t>la falta de debida diligencia en las líneas lógicas de investigación</w:t>
      </w:r>
      <w:r w:rsidR="00CC0CC2" w:rsidRPr="00996758">
        <w:rPr>
          <w:rFonts w:ascii="Verdana" w:hAnsi="Verdana"/>
          <w:snapToGrid w:val="0"/>
          <w:spacing w:val="-2"/>
          <w:sz w:val="20"/>
          <w:szCs w:val="20"/>
          <w:lang w:eastAsia="es-ES"/>
        </w:rPr>
        <w:t xml:space="preserve">. </w:t>
      </w:r>
    </w:p>
    <w:p w:rsidR="00150AC2" w:rsidRPr="00996758" w:rsidRDefault="00150AC2">
      <w:pPr>
        <w:pStyle w:val="ListParagraph"/>
        <w:spacing w:after="0" w:line="240" w:lineRule="auto"/>
        <w:ind w:left="0"/>
        <w:jc w:val="both"/>
        <w:rPr>
          <w:rFonts w:ascii="Verdana" w:hAnsi="Verdana"/>
          <w:snapToGrid w:val="0"/>
          <w:spacing w:val="-2"/>
          <w:sz w:val="20"/>
          <w:szCs w:val="20"/>
          <w:lang w:eastAsia="es-ES"/>
        </w:rPr>
      </w:pPr>
    </w:p>
    <w:p w:rsidR="00CC0CC2" w:rsidRPr="00996758" w:rsidRDefault="00150AC2" w:rsidP="0082566C">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napToGrid w:val="0"/>
          <w:spacing w:val="-2"/>
          <w:sz w:val="20"/>
          <w:szCs w:val="20"/>
          <w:lang w:eastAsia="es-ES"/>
        </w:rPr>
        <w:t>Por último</w:t>
      </w:r>
      <w:r w:rsidR="00CC0CC2" w:rsidRPr="00996758">
        <w:rPr>
          <w:rFonts w:ascii="Verdana" w:hAnsi="Verdana"/>
          <w:snapToGrid w:val="0"/>
          <w:spacing w:val="-2"/>
          <w:sz w:val="20"/>
          <w:szCs w:val="20"/>
          <w:lang w:eastAsia="es-ES"/>
        </w:rPr>
        <w:t>,</w:t>
      </w:r>
      <w:r w:rsidR="0082566C" w:rsidRPr="00996758">
        <w:rPr>
          <w:rFonts w:ascii="Verdana" w:hAnsi="Verdana"/>
          <w:snapToGrid w:val="0"/>
          <w:spacing w:val="-2"/>
          <w:sz w:val="20"/>
          <w:szCs w:val="20"/>
          <w:lang w:eastAsia="es-ES"/>
        </w:rPr>
        <w:t xml:space="preserve"> </w:t>
      </w:r>
      <w:r w:rsidR="0082566C" w:rsidRPr="00996758">
        <w:rPr>
          <w:rFonts w:ascii="Verdana" w:hAnsi="Verdana"/>
          <w:bCs/>
          <w:spacing w:val="-2"/>
          <w:sz w:val="20"/>
          <w:szCs w:val="20"/>
        </w:rPr>
        <w:t>el Estado reconoció su “obligación de reparar a las víctimas de este caso” y presentó ciertas observaciones sobre las solicitudes de medidas de reparación o las modalidades en que podrían otorgarse</w:t>
      </w:r>
      <w:r w:rsidR="00EA2DF4" w:rsidRPr="00996758">
        <w:rPr>
          <w:rFonts w:ascii="Verdana" w:hAnsi="Verdana"/>
          <w:bCs/>
          <w:spacing w:val="-2"/>
          <w:sz w:val="20"/>
          <w:szCs w:val="20"/>
        </w:rPr>
        <w:t xml:space="preserve"> (</w:t>
      </w:r>
      <w:r w:rsidR="00EA2DF4" w:rsidRPr="00996758">
        <w:rPr>
          <w:rFonts w:ascii="Verdana" w:hAnsi="Verdana"/>
          <w:bCs/>
          <w:i/>
          <w:spacing w:val="-2"/>
          <w:sz w:val="20"/>
          <w:szCs w:val="20"/>
        </w:rPr>
        <w:t xml:space="preserve">infra </w:t>
      </w:r>
      <w:r w:rsidR="0074483E" w:rsidRPr="00996758">
        <w:rPr>
          <w:rFonts w:ascii="Verdana" w:hAnsi="Verdana"/>
          <w:bCs/>
          <w:spacing w:val="-2"/>
          <w:sz w:val="20"/>
          <w:szCs w:val="20"/>
        </w:rPr>
        <w:t>párr. 174</w:t>
      </w:r>
      <w:r w:rsidR="00EA2DF4" w:rsidRPr="00996758">
        <w:rPr>
          <w:rFonts w:ascii="Verdana" w:hAnsi="Verdana"/>
          <w:bCs/>
          <w:spacing w:val="-2"/>
          <w:sz w:val="20"/>
          <w:szCs w:val="20"/>
        </w:rPr>
        <w:t>)</w:t>
      </w:r>
      <w:r w:rsidR="000D4EE0" w:rsidRPr="00996758">
        <w:rPr>
          <w:rFonts w:ascii="Verdana" w:hAnsi="Verdana"/>
          <w:bCs/>
          <w:spacing w:val="-2"/>
          <w:sz w:val="20"/>
          <w:szCs w:val="20"/>
        </w:rPr>
        <w:t>, por lo cual el Tribunal determinará,</w:t>
      </w:r>
      <w:r w:rsidR="0082566C" w:rsidRPr="00996758">
        <w:rPr>
          <w:rFonts w:ascii="Verdana" w:hAnsi="Verdana"/>
          <w:bCs/>
          <w:spacing w:val="-2"/>
          <w:sz w:val="20"/>
          <w:szCs w:val="20"/>
        </w:rPr>
        <w:t xml:space="preserve"> en el capítulo correspondiente, las medidas de reparación que </w:t>
      </w:r>
      <w:r w:rsidR="000D4EE0" w:rsidRPr="00996758">
        <w:rPr>
          <w:rFonts w:ascii="Verdana" w:hAnsi="Verdana"/>
          <w:bCs/>
          <w:spacing w:val="-2"/>
          <w:sz w:val="20"/>
          <w:szCs w:val="20"/>
        </w:rPr>
        <w:t xml:space="preserve">sean procedentes </w:t>
      </w:r>
      <w:r w:rsidR="0082566C" w:rsidRPr="00996758">
        <w:rPr>
          <w:rFonts w:ascii="Verdana" w:hAnsi="Verdana"/>
          <w:bCs/>
          <w:spacing w:val="-2"/>
          <w:sz w:val="20"/>
          <w:szCs w:val="20"/>
        </w:rPr>
        <w:t xml:space="preserve">en el presente caso, teniendo en cuenta </w:t>
      </w:r>
      <w:r w:rsidR="00EC5E74" w:rsidRPr="00996758">
        <w:rPr>
          <w:rFonts w:ascii="Verdana" w:hAnsi="Verdana"/>
          <w:bCs/>
          <w:spacing w:val="-2"/>
          <w:sz w:val="20"/>
          <w:szCs w:val="20"/>
        </w:rPr>
        <w:t xml:space="preserve">lo </w:t>
      </w:r>
      <w:r w:rsidR="0082566C" w:rsidRPr="00996758">
        <w:rPr>
          <w:rFonts w:ascii="Verdana" w:hAnsi="Verdana"/>
          <w:bCs/>
          <w:spacing w:val="-2"/>
          <w:sz w:val="20"/>
          <w:szCs w:val="20"/>
        </w:rPr>
        <w:t>solici</w:t>
      </w:r>
      <w:r w:rsidR="00EC5E74" w:rsidRPr="00996758">
        <w:rPr>
          <w:rFonts w:ascii="Verdana" w:hAnsi="Verdana"/>
          <w:bCs/>
          <w:spacing w:val="-2"/>
          <w:sz w:val="20"/>
          <w:szCs w:val="20"/>
        </w:rPr>
        <w:t>tado</w:t>
      </w:r>
      <w:r w:rsidR="0082566C" w:rsidRPr="00996758">
        <w:rPr>
          <w:rFonts w:ascii="Verdana" w:hAnsi="Verdana"/>
          <w:bCs/>
          <w:spacing w:val="-2"/>
          <w:sz w:val="20"/>
          <w:szCs w:val="20"/>
        </w:rPr>
        <w:t xml:space="preserve">, la jurisprudencia </w:t>
      </w:r>
      <w:r w:rsidR="000D4EE0" w:rsidRPr="00996758">
        <w:rPr>
          <w:rFonts w:ascii="Verdana" w:hAnsi="Verdana"/>
          <w:bCs/>
          <w:spacing w:val="-2"/>
          <w:sz w:val="20"/>
          <w:szCs w:val="20"/>
        </w:rPr>
        <w:t xml:space="preserve">en esa materia </w:t>
      </w:r>
      <w:r w:rsidR="0082566C" w:rsidRPr="00996758">
        <w:rPr>
          <w:rFonts w:ascii="Verdana" w:hAnsi="Verdana"/>
          <w:bCs/>
          <w:spacing w:val="-2"/>
          <w:sz w:val="20"/>
          <w:szCs w:val="20"/>
        </w:rPr>
        <w:t>y las observaciones del Estado.</w:t>
      </w:r>
    </w:p>
    <w:p w:rsidR="0074483E" w:rsidRPr="00996758" w:rsidRDefault="0074483E">
      <w:pPr>
        <w:pStyle w:val="ListParagraph"/>
        <w:spacing w:after="0" w:line="240" w:lineRule="auto"/>
        <w:ind w:left="0"/>
        <w:jc w:val="both"/>
        <w:rPr>
          <w:rFonts w:ascii="Verdana" w:hAnsi="Verdana"/>
          <w:sz w:val="20"/>
          <w:szCs w:val="20"/>
        </w:rPr>
      </w:pPr>
    </w:p>
    <w:p w:rsidR="00960505" w:rsidRPr="00996758" w:rsidRDefault="00960505">
      <w:pPr>
        <w:pStyle w:val="ListParagraph"/>
        <w:spacing w:after="0" w:line="240" w:lineRule="auto"/>
        <w:ind w:left="0"/>
        <w:jc w:val="both"/>
        <w:rPr>
          <w:rFonts w:ascii="Verdana" w:hAnsi="Verdana"/>
          <w:sz w:val="20"/>
          <w:szCs w:val="20"/>
        </w:rPr>
      </w:pPr>
    </w:p>
    <w:p w:rsidR="00150AC2" w:rsidRPr="00996758" w:rsidRDefault="00FB5B4B">
      <w:pPr>
        <w:pStyle w:val="Heading1"/>
        <w:spacing w:before="0" w:after="0"/>
        <w:rPr>
          <w:caps w:val="0"/>
          <w:noProof/>
        </w:rPr>
      </w:pPr>
      <w:bookmarkStart w:id="14" w:name="_Toc530560057"/>
      <w:r w:rsidRPr="00996758">
        <w:rPr>
          <w:noProof/>
        </w:rPr>
        <w:t>V</w:t>
      </w:r>
      <w:r w:rsidRPr="00996758">
        <w:rPr>
          <w:noProof/>
        </w:rPr>
        <w:br/>
        <w:t>CONSIDERACIó</w:t>
      </w:r>
      <w:r w:rsidR="00150AC2" w:rsidRPr="00996758">
        <w:rPr>
          <w:noProof/>
        </w:rPr>
        <w:t>N PREVIA</w:t>
      </w:r>
      <w:bookmarkEnd w:id="14"/>
    </w:p>
    <w:p w:rsidR="00150AC2" w:rsidRPr="00996758" w:rsidRDefault="00150AC2">
      <w:pPr>
        <w:spacing w:after="0" w:line="240" w:lineRule="auto"/>
        <w:jc w:val="center"/>
        <w:rPr>
          <w:rFonts w:ascii="Verdana" w:hAnsi="Verdana" w:cs="Times New Roman"/>
          <w:b/>
          <w:sz w:val="20"/>
          <w:szCs w:val="20"/>
        </w:rPr>
      </w:pPr>
    </w:p>
    <w:p w:rsidR="0093724E" w:rsidRPr="00996758" w:rsidRDefault="0093724E"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El Estado manifestó que, en el marco del trámite </w:t>
      </w:r>
      <w:r w:rsidR="004811D2" w:rsidRPr="00996758">
        <w:rPr>
          <w:rFonts w:ascii="Verdana" w:hAnsi="Verdana"/>
          <w:sz w:val="20"/>
          <w:szCs w:val="20"/>
        </w:rPr>
        <w:t>de</w:t>
      </w:r>
      <w:r w:rsidRPr="00996758">
        <w:rPr>
          <w:rFonts w:ascii="Verdana" w:hAnsi="Verdana"/>
          <w:sz w:val="20"/>
          <w:szCs w:val="20"/>
        </w:rPr>
        <w:t xml:space="preserve">l caso </w:t>
      </w:r>
      <w:r w:rsidR="004811D2" w:rsidRPr="00996758">
        <w:rPr>
          <w:rFonts w:ascii="Verdana" w:hAnsi="Verdana"/>
          <w:sz w:val="20"/>
          <w:szCs w:val="20"/>
        </w:rPr>
        <w:t xml:space="preserve">ante </w:t>
      </w:r>
      <w:r w:rsidRPr="00996758">
        <w:rPr>
          <w:rFonts w:ascii="Verdana" w:hAnsi="Verdana"/>
          <w:sz w:val="20"/>
          <w:szCs w:val="20"/>
        </w:rPr>
        <w:t>la Comisión, “se presentaron inconsistencias que […] ameritan un pronunciamiento</w:t>
      </w:r>
      <w:r w:rsidR="007272F2" w:rsidRPr="00996758">
        <w:rPr>
          <w:rFonts w:ascii="Verdana" w:hAnsi="Verdana"/>
          <w:sz w:val="20"/>
          <w:szCs w:val="20"/>
        </w:rPr>
        <w:t>”</w:t>
      </w:r>
      <w:r w:rsidR="00A34FD7" w:rsidRPr="00996758">
        <w:rPr>
          <w:rFonts w:ascii="Verdana" w:hAnsi="Verdana"/>
          <w:sz w:val="20"/>
          <w:szCs w:val="20"/>
        </w:rPr>
        <w:t xml:space="preserve"> del Tribunal</w:t>
      </w:r>
      <w:r w:rsidR="007272F2" w:rsidRPr="00996758">
        <w:rPr>
          <w:rFonts w:ascii="Verdana" w:hAnsi="Verdana"/>
          <w:sz w:val="20"/>
          <w:szCs w:val="20"/>
        </w:rPr>
        <w:t>. Al</w:t>
      </w:r>
      <w:r w:rsidR="00B37D87" w:rsidRPr="00996758">
        <w:rPr>
          <w:rFonts w:ascii="Verdana" w:hAnsi="Verdana"/>
          <w:sz w:val="20"/>
          <w:szCs w:val="20"/>
        </w:rPr>
        <w:t xml:space="preserve"> </w:t>
      </w:r>
      <w:r w:rsidR="00EC5E74" w:rsidRPr="00996758">
        <w:rPr>
          <w:rFonts w:ascii="Verdana" w:hAnsi="Verdana"/>
          <w:sz w:val="20"/>
          <w:szCs w:val="20"/>
        </w:rPr>
        <w:t>aclarar que</w:t>
      </w:r>
      <w:r w:rsidR="007272F2" w:rsidRPr="00996758">
        <w:rPr>
          <w:rFonts w:ascii="Verdana" w:hAnsi="Verdana"/>
          <w:sz w:val="20"/>
          <w:szCs w:val="20"/>
        </w:rPr>
        <w:t>,</w:t>
      </w:r>
      <w:r w:rsidR="00EC5E74" w:rsidRPr="00996758">
        <w:rPr>
          <w:rFonts w:ascii="Verdana" w:hAnsi="Verdana"/>
          <w:sz w:val="20"/>
          <w:szCs w:val="20"/>
        </w:rPr>
        <w:t xml:space="preserve"> </w:t>
      </w:r>
      <w:r w:rsidR="007272F2" w:rsidRPr="00996758">
        <w:rPr>
          <w:rFonts w:ascii="Verdana" w:hAnsi="Verdana"/>
          <w:sz w:val="20"/>
          <w:szCs w:val="20"/>
        </w:rPr>
        <w:t xml:space="preserve">en coherencia con su reconocimiento de responsabilidad, </w:t>
      </w:r>
      <w:r w:rsidR="00EC5E74" w:rsidRPr="00996758">
        <w:rPr>
          <w:rFonts w:ascii="Verdana" w:hAnsi="Verdana"/>
          <w:sz w:val="20"/>
          <w:szCs w:val="20"/>
        </w:rPr>
        <w:t xml:space="preserve">no se impugna o cuestiona la competencia de la Corte, </w:t>
      </w:r>
      <w:r w:rsidR="001638DE" w:rsidRPr="00996758">
        <w:rPr>
          <w:rFonts w:ascii="Verdana" w:hAnsi="Verdana"/>
          <w:sz w:val="20"/>
          <w:szCs w:val="20"/>
        </w:rPr>
        <w:t xml:space="preserve">solicitó </w:t>
      </w:r>
      <w:r w:rsidR="00A34FD7" w:rsidRPr="00996758">
        <w:rPr>
          <w:rFonts w:ascii="Verdana" w:hAnsi="Verdana"/>
          <w:sz w:val="20"/>
          <w:szCs w:val="20"/>
        </w:rPr>
        <w:t xml:space="preserve">a ésta </w:t>
      </w:r>
      <w:r w:rsidR="001638DE" w:rsidRPr="00996758">
        <w:rPr>
          <w:rFonts w:ascii="Verdana" w:hAnsi="Verdana"/>
          <w:sz w:val="20"/>
          <w:szCs w:val="20"/>
        </w:rPr>
        <w:t xml:space="preserve">que realice un control de legalidad sobre </w:t>
      </w:r>
      <w:r w:rsidR="00EA2DF4" w:rsidRPr="00996758">
        <w:rPr>
          <w:rFonts w:ascii="Verdana" w:hAnsi="Verdana"/>
          <w:sz w:val="20"/>
          <w:szCs w:val="20"/>
        </w:rPr>
        <w:t>lo siguiente</w:t>
      </w:r>
      <w:r w:rsidR="001638DE" w:rsidRPr="00996758">
        <w:rPr>
          <w:rStyle w:val="FootnoteReference"/>
          <w:rFonts w:ascii="Verdana" w:hAnsi="Verdana"/>
          <w:sz w:val="20"/>
          <w:szCs w:val="20"/>
        </w:rPr>
        <w:footnoteReference w:id="21"/>
      </w:r>
      <w:r w:rsidR="00EC5E74" w:rsidRPr="00996758">
        <w:rPr>
          <w:rFonts w:ascii="Verdana" w:hAnsi="Verdana"/>
          <w:sz w:val="20"/>
          <w:szCs w:val="20"/>
        </w:rPr>
        <w:t>:</w:t>
      </w:r>
      <w:r w:rsidR="00652CE6" w:rsidRPr="00996758">
        <w:rPr>
          <w:rFonts w:ascii="Verdana" w:hAnsi="Verdana"/>
          <w:sz w:val="20"/>
          <w:szCs w:val="20"/>
        </w:rPr>
        <w:t xml:space="preserve"> </w:t>
      </w:r>
    </w:p>
    <w:p w:rsidR="001638DE" w:rsidRPr="00996758" w:rsidRDefault="001638DE">
      <w:pPr>
        <w:pStyle w:val="ListParagraph"/>
        <w:spacing w:after="0" w:line="240" w:lineRule="auto"/>
        <w:ind w:left="0"/>
        <w:jc w:val="both"/>
        <w:rPr>
          <w:rFonts w:ascii="Verdana" w:hAnsi="Verdana"/>
          <w:sz w:val="20"/>
          <w:szCs w:val="20"/>
        </w:rPr>
      </w:pPr>
    </w:p>
    <w:p w:rsidR="001638DE" w:rsidRPr="00996758" w:rsidRDefault="007B7C1C">
      <w:pPr>
        <w:pStyle w:val="ListParagraph"/>
        <w:numPr>
          <w:ilvl w:val="0"/>
          <w:numId w:val="14"/>
        </w:numPr>
        <w:spacing w:after="0" w:line="240" w:lineRule="auto"/>
        <w:jc w:val="both"/>
        <w:rPr>
          <w:rFonts w:ascii="Verdana" w:hAnsi="Verdana"/>
          <w:sz w:val="20"/>
          <w:szCs w:val="20"/>
        </w:rPr>
      </w:pPr>
      <w:r w:rsidRPr="00996758">
        <w:rPr>
          <w:rFonts w:ascii="Verdana" w:hAnsi="Verdana"/>
          <w:sz w:val="20"/>
          <w:szCs w:val="20"/>
        </w:rPr>
        <w:t>E</w:t>
      </w:r>
      <w:r w:rsidR="001638DE" w:rsidRPr="00996758">
        <w:rPr>
          <w:rFonts w:ascii="Verdana" w:hAnsi="Verdana"/>
          <w:sz w:val="20"/>
          <w:szCs w:val="20"/>
        </w:rPr>
        <w:t>n su Informe</w:t>
      </w:r>
      <w:r w:rsidR="000C59CE" w:rsidRPr="00996758">
        <w:rPr>
          <w:rFonts w:ascii="Verdana" w:hAnsi="Verdana"/>
          <w:sz w:val="20"/>
          <w:szCs w:val="20"/>
        </w:rPr>
        <w:t>,</w:t>
      </w:r>
      <w:r w:rsidR="001638DE" w:rsidRPr="00996758">
        <w:rPr>
          <w:rFonts w:ascii="Verdana" w:hAnsi="Verdana"/>
          <w:sz w:val="20"/>
          <w:szCs w:val="20"/>
        </w:rPr>
        <w:t xml:space="preserve"> la Comisión afirmó de manera imprecisa que dio por concluida </w:t>
      </w:r>
      <w:r w:rsidRPr="00996758">
        <w:rPr>
          <w:rFonts w:ascii="Verdana" w:hAnsi="Verdana"/>
          <w:sz w:val="20"/>
          <w:szCs w:val="20"/>
        </w:rPr>
        <w:t>la</w:t>
      </w:r>
      <w:r w:rsidR="001638DE" w:rsidRPr="00996758">
        <w:rPr>
          <w:rFonts w:ascii="Verdana" w:hAnsi="Verdana"/>
          <w:sz w:val="20"/>
          <w:szCs w:val="20"/>
        </w:rPr>
        <w:t xml:space="preserve"> posibilidad</w:t>
      </w:r>
      <w:r w:rsidRPr="00996758">
        <w:rPr>
          <w:rFonts w:ascii="Verdana" w:hAnsi="Verdana"/>
          <w:sz w:val="20"/>
          <w:szCs w:val="20"/>
        </w:rPr>
        <w:t xml:space="preserve"> de</w:t>
      </w:r>
      <w:r w:rsidR="001638DE" w:rsidRPr="00996758">
        <w:rPr>
          <w:rFonts w:ascii="Verdana" w:hAnsi="Verdana"/>
          <w:sz w:val="20"/>
          <w:szCs w:val="20"/>
        </w:rPr>
        <w:t xml:space="preserve"> </w:t>
      </w:r>
      <w:r w:rsidRPr="00996758">
        <w:rPr>
          <w:rFonts w:ascii="Verdana" w:hAnsi="Verdana"/>
          <w:sz w:val="20"/>
          <w:szCs w:val="20"/>
        </w:rPr>
        <w:t xml:space="preserve">solución amistosa porque </w:t>
      </w:r>
      <w:r w:rsidR="001638DE" w:rsidRPr="00996758">
        <w:rPr>
          <w:rFonts w:ascii="Verdana" w:hAnsi="Verdana"/>
          <w:sz w:val="20"/>
          <w:szCs w:val="20"/>
        </w:rPr>
        <w:t>“el Estado no se pronunció”</w:t>
      </w:r>
      <w:r w:rsidR="00A34FD7" w:rsidRPr="00996758">
        <w:rPr>
          <w:rFonts w:ascii="Verdana" w:hAnsi="Verdana"/>
          <w:sz w:val="20"/>
          <w:szCs w:val="20"/>
        </w:rPr>
        <w:t>, lo cual no es cierto</w:t>
      </w:r>
      <w:r w:rsidRPr="00996758">
        <w:rPr>
          <w:rStyle w:val="FootnoteReference"/>
          <w:rFonts w:ascii="Verdana" w:hAnsi="Verdana"/>
          <w:sz w:val="20"/>
          <w:szCs w:val="20"/>
        </w:rPr>
        <w:footnoteReference w:id="22"/>
      </w:r>
      <w:r w:rsidR="001638DE" w:rsidRPr="00996758">
        <w:rPr>
          <w:rFonts w:ascii="Verdana" w:hAnsi="Verdana"/>
          <w:sz w:val="20"/>
          <w:szCs w:val="20"/>
        </w:rPr>
        <w:t>.</w:t>
      </w:r>
    </w:p>
    <w:p w:rsidR="00FD410B" w:rsidRPr="00996758" w:rsidRDefault="001638DE">
      <w:pPr>
        <w:pStyle w:val="ListParagraph"/>
        <w:numPr>
          <w:ilvl w:val="0"/>
          <w:numId w:val="14"/>
        </w:numPr>
        <w:spacing w:after="0" w:line="240" w:lineRule="auto"/>
        <w:jc w:val="both"/>
        <w:rPr>
          <w:rFonts w:ascii="Verdana" w:hAnsi="Verdana"/>
          <w:sz w:val="20"/>
          <w:szCs w:val="20"/>
        </w:rPr>
      </w:pPr>
      <w:r w:rsidRPr="00996758">
        <w:rPr>
          <w:rFonts w:ascii="Verdana" w:hAnsi="Verdana"/>
          <w:sz w:val="20"/>
          <w:szCs w:val="20"/>
        </w:rPr>
        <w:t>En el trámite ante la Comisión hubo un periodo de inactividad de 11 años que no es atribuible al Estado</w:t>
      </w:r>
      <w:r w:rsidR="0027400D" w:rsidRPr="00996758">
        <w:rPr>
          <w:rStyle w:val="FootnoteReference"/>
          <w:rFonts w:ascii="Verdana" w:hAnsi="Verdana"/>
          <w:sz w:val="20"/>
          <w:szCs w:val="20"/>
        </w:rPr>
        <w:footnoteReference w:id="23"/>
      </w:r>
      <w:r w:rsidR="00D73235" w:rsidRPr="00996758">
        <w:rPr>
          <w:rFonts w:ascii="Verdana" w:hAnsi="Verdana"/>
          <w:sz w:val="20"/>
          <w:szCs w:val="20"/>
        </w:rPr>
        <w:t>, lo</w:t>
      </w:r>
      <w:r w:rsidR="007B7C1C" w:rsidRPr="00996758">
        <w:rPr>
          <w:rFonts w:ascii="Verdana" w:hAnsi="Verdana"/>
          <w:sz w:val="20"/>
          <w:szCs w:val="20"/>
        </w:rPr>
        <w:t xml:space="preserve"> que vulnera un debid</w:t>
      </w:r>
      <w:r w:rsidR="00AF5EAB" w:rsidRPr="00996758">
        <w:rPr>
          <w:rFonts w:ascii="Verdana" w:hAnsi="Verdana"/>
          <w:sz w:val="20"/>
          <w:szCs w:val="20"/>
        </w:rPr>
        <w:t>o proceso. Puesto que e</w:t>
      </w:r>
      <w:r w:rsidRPr="00996758">
        <w:rPr>
          <w:rFonts w:ascii="Verdana" w:hAnsi="Verdana"/>
          <w:sz w:val="20"/>
          <w:szCs w:val="20"/>
        </w:rPr>
        <w:t xml:space="preserve">l transcurso del tiempo produce obstáculos respecto de medidas que un Estado pueda adoptar para subsanar </w:t>
      </w:r>
      <w:r w:rsidR="007B7C1C" w:rsidRPr="00996758">
        <w:rPr>
          <w:rFonts w:ascii="Verdana" w:hAnsi="Verdana"/>
          <w:sz w:val="20"/>
          <w:szCs w:val="20"/>
        </w:rPr>
        <w:t>la situación</w:t>
      </w:r>
      <w:r w:rsidR="00D73235" w:rsidRPr="00996758">
        <w:rPr>
          <w:rFonts w:ascii="Verdana" w:hAnsi="Verdana"/>
          <w:sz w:val="20"/>
          <w:szCs w:val="20"/>
        </w:rPr>
        <w:t>, s</w:t>
      </w:r>
      <w:r w:rsidR="0096423F" w:rsidRPr="00996758">
        <w:rPr>
          <w:rFonts w:ascii="Verdana" w:hAnsi="Verdana"/>
          <w:sz w:val="20"/>
          <w:szCs w:val="20"/>
        </w:rPr>
        <w:t xml:space="preserve">i se </w:t>
      </w:r>
      <w:r w:rsidRPr="00996758">
        <w:rPr>
          <w:rFonts w:ascii="Verdana" w:hAnsi="Verdana"/>
          <w:sz w:val="20"/>
          <w:szCs w:val="20"/>
        </w:rPr>
        <w:t>exig</w:t>
      </w:r>
      <w:r w:rsidR="0096423F" w:rsidRPr="00996758">
        <w:rPr>
          <w:rFonts w:ascii="Verdana" w:hAnsi="Verdana"/>
          <w:sz w:val="20"/>
          <w:szCs w:val="20"/>
        </w:rPr>
        <w:t>e</w:t>
      </w:r>
      <w:r w:rsidRPr="00996758">
        <w:rPr>
          <w:rFonts w:ascii="Verdana" w:hAnsi="Verdana"/>
          <w:sz w:val="20"/>
          <w:szCs w:val="20"/>
        </w:rPr>
        <w:t xml:space="preserve"> </w:t>
      </w:r>
      <w:r w:rsidR="00AF5EAB" w:rsidRPr="00996758">
        <w:rPr>
          <w:rFonts w:ascii="Verdana" w:hAnsi="Verdana"/>
          <w:sz w:val="20"/>
          <w:szCs w:val="20"/>
        </w:rPr>
        <w:t xml:space="preserve">a éste </w:t>
      </w:r>
      <w:r w:rsidR="0096423F" w:rsidRPr="00996758">
        <w:rPr>
          <w:rFonts w:ascii="Verdana" w:hAnsi="Verdana"/>
          <w:sz w:val="20"/>
          <w:szCs w:val="20"/>
        </w:rPr>
        <w:t>que responda</w:t>
      </w:r>
      <w:r w:rsidRPr="00996758">
        <w:rPr>
          <w:rFonts w:ascii="Verdana" w:hAnsi="Verdana"/>
          <w:sz w:val="20"/>
          <w:szCs w:val="20"/>
        </w:rPr>
        <w:t xml:space="preserve"> en un plazo razonable</w:t>
      </w:r>
      <w:r w:rsidR="0027400D" w:rsidRPr="00996758">
        <w:rPr>
          <w:rFonts w:ascii="Verdana" w:hAnsi="Verdana"/>
          <w:sz w:val="20"/>
          <w:szCs w:val="20"/>
        </w:rPr>
        <w:t xml:space="preserve"> en el trámite de peticiones y casos</w:t>
      </w:r>
      <w:r w:rsidRPr="00996758">
        <w:rPr>
          <w:rFonts w:ascii="Verdana" w:hAnsi="Verdana"/>
          <w:sz w:val="20"/>
          <w:szCs w:val="20"/>
        </w:rPr>
        <w:t xml:space="preserve">, la Comisión también </w:t>
      </w:r>
      <w:r w:rsidR="0096423F" w:rsidRPr="00996758">
        <w:rPr>
          <w:rFonts w:ascii="Verdana" w:hAnsi="Verdana"/>
          <w:sz w:val="20"/>
          <w:szCs w:val="20"/>
        </w:rPr>
        <w:t>debe</w:t>
      </w:r>
      <w:r w:rsidRPr="00996758">
        <w:rPr>
          <w:rFonts w:ascii="Verdana" w:hAnsi="Verdana"/>
          <w:sz w:val="20"/>
          <w:szCs w:val="20"/>
        </w:rPr>
        <w:t xml:space="preserve"> asegurar que </w:t>
      </w:r>
      <w:r w:rsidR="0027400D" w:rsidRPr="00996758">
        <w:rPr>
          <w:rFonts w:ascii="Verdana" w:hAnsi="Verdana"/>
          <w:sz w:val="20"/>
          <w:szCs w:val="20"/>
        </w:rPr>
        <w:t xml:space="preserve">ese criterio sea respetado por </w:t>
      </w:r>
      <w:r w:rsidRPr="00996758">
        <w:rPr>
          <w:rFonts w:ascii="Verdana" w:hAnsi="Verdana"/>
          <w:sz w:val="20"/>
          <w:szCs w:val="20"/>
        </w:rPr>
        <w:t xml:space="preserve">los peticionarios, </w:t>
      </w:r>
      <w:r w:rsidR="0027400D" w:rsidRPr="00996758">
        <w:rPr>
          <w:rFonts w:ascii="Verdana" w:hAnsi="Verdana"/>
          <w:sz w:val="20"/>
          <w:szCs w:val="20"/>
        </w:rPr>
        <w:t xml:space="preserve">para </w:t>
      </w:r>
      <w:r w:rsidRPr="00996758">
        <w:rPr>
          <w:rFonts w:ascii="Verdana" w:hAnsi="Verdana"/>
          <w:sz w:val="20"/>
          <w:szCs w:val="20"/>
        </w:rPr>
        <w:t>que el proceso sea tramitado en el menor tiempo posible en beneficio de las víctimas.</w:t>
      </w:r>
    </w:p>
    <w:p w:rsidR="001638DE" w:rsidRPr="00996758" w:rsidRDefault="00B816FD">
      <w:pPr>
        <w:pStyle w:val="ListParagraph"/>
        <w:numPr>
          <w:ilvl w:val="0"/>
          <w:numId w:val="14"/>
        </w:numPr>
        <w:spacing w:after="0" w:line="240" w:lineRule="auto"/>
        <w:jc w:val="both"/>
        <w:rPr>
          <w:rFonts w:ascii="Verdana" w:hAnsi="Verdana"/>
          <w:sz w:val="20"/>
          <w:szCs w:val="20"/>
        </w:rPr>
      </w:pPr>
      <w:r w:rsidRPr="00996758">
        <w:rPr>
          <w:rFonts w:ascii="Verdana" w:hAnsi="Verdana"/>
          <w:sz w:val="20"/>
          <w:szCs w:val="20"/>
        </w:rPr>
        <w:t>U</w:t>
      </w:r>
      <w:r w:rsidR="001638DE" w:rsidRPr="00996758">
        <w:rPr>
          <w:rFonts w:ascii="Verdana" w:hAnsi="Verdana"/>
          <w:sz w:val="20"/>
          <w:szCs w:val="20"/>
        </w:rPr>
        <w:t xml:space="preserve">na vez </w:t>
      </w:r>
      <w:r w:rsidRPr="00996758">
        <w:rPr>
          <w:rFonts w:ascii="Verdana" w:hAnsi="Verdana"/>
          <w:sz w:val="20"/>
          <w:szCs w:val="20"/>
        </w:rPr>
        <w:t xml:space="preserve">que el Informe de Fondo le fue </w:t>
      </w:r>
      <w:r w:rsidR="001638DE" w:rsidRPr="00996758">
        <w:rPr>
          <w:rFonts w:ascii="Verdana" w:hAnsi="Verdana"/>
          <w:sz w:val="20"/>
          <w:szCs w:val="20"/>
        </w:rPr>
        <w:t xml:space="preserve">notificado, </w:t>
      </w:r>
      <w:r w:rsidR="00FD410B" w:rsidRPr="00996758">
        <w:rPr>
          <w:rFonts w:ascii="Verdana" w:hAnsi="Verdana"/>
          <w:sz w:val="20"/>
          <w:szCs w:val="20"/>
        </w:rPr>
        <w:t>el Estado inició</w:t>
      </w:r>
      <w:r w:rsidR="001638DE" w:rsidRPr="00996758">
        <w:rPr>
          <w:rFonts w:ascii="Verdana" w:hAnsi="Verdana"/>
          <w:sz w:val="20"/>
          <w:szCs w:val="20"/>
        </w:rPr>
        <w:t xml:space="preserve"> gestiones pertinentes para dar cumplimiento a l</w:t>
      </w:r>
      <w:r w:rsidRPr="00996758">
        <w:rPr>
          <w:rFonts w:ascii="Verdana" w:hAnsi="Verdana"/>
          <w:sz w:val="20"/>
          <w:szCs w:val="20"/>
        </w:rPr>
        <w:t>o</w:t>
      </w:r>
      <w:r w:rsidR="001638DE" w:rsidRPr="00996758">
        <w:rPr>
          <w:rFonts w:ascii="Verdana" w:hAnsi="Verdana"/>
          <w:sz w:val="20"/>
          <w:szCs w:val="20"/>
        </w:rPr>
        <w:t xml:space="preserve"> </w:t>
      </w:r>
      <w:r w:rsidRPr="00996758">
        <w:rPr>
          <w:rFonts w:ascii="Verdana" w:hAnsi="Verdana"/>
          <w:sz w:val="20"/>
          <w:szCs w:val="20"/>
        </w:rPr>
        <w:t>recomendado por</w:t>
      </w:r>
      <w:r w:rsidR="00AF5EAB" w:rsidRPr="00996758">
        <w:rPr>
          <w:rFonts w:ascii="Verdana" w:hAnsi="Verdana"/>
          <w:sz w:val="20"/>
          <w:szCs w:val="20"/>
        </w:rPr>
        <w:t xml:space="preserve"> la Comisión</w:t>
      </w:r>
      <w:r w:rsidR="00FD410B" w:rsidRPr="00996758">
        <w:rPr>
          <w:rStyle w:val="FootnoteReference"/>
          <w:rFonts w:ascii="Verdana" w:hAnsi="Verdana"/>
          <w:sz w:val="20"/>
          <w:szCs w:val="20"/>
        </w:rPr>
        <w:footnoteReference w:id="24"/>
      </w:r>
      <w:r w:rsidR="001638DE" w:rsidRPr="00996758">
        <w:rPr>
          <w:rFonts w:ascii="Verdana" w:eastAsia="Verdana" w:hAnsi="Verdana" w:cs="Verdana"/>
          <w:sz w:val="20"/>
          <w:szCs w:val="20"/>
        </w:rPr>
        <w:t>,</w:t>
      </w:r>
      <w:r w:rsidR="00AF5EAB" w:rsidRPr="00996758">
        <w:rPr>
          <w:rFonts w:ascii="Verdana" w:eastAsia="Verdana" w:hAnsi="Verdana" w:cs="Verdana"/>
          <w:sz w:val="20"/>
          <w:szCs w:val="20"/>
        </w:rPr>
        <w:t xml:space="preserve"> por lo cual</w:t>
      </w:r>
      <w:r w:rsidR="001638DE" w:rsidRPr="00996758">
        <w:rPr>
          <w:rFonts w:ascii="Verdana" w:eastAsia="Verdana" w:hAnsi="Verdana" w:cs="Verdana"/>
          <w:sz w:val="20"/>
          <w:szCs w:val="20"/>
        </w:rPr>
        <w:t xml:space="preserve"> lamenta la decisión de la Comisión de remitir el caso a</w:t>
      </w:r>
      <w:r w:rsidR="00E702C8" w:rsidRPr="00996758">
        <w:rPr>
          <w:rFonts w:ascii="Verdana" w:eastAsia="Verdana" w:hAnsi="Verdana" w:cs="Verdana"/>
          <w:sz w:val="20"/>
          <w:szCs w:val="20"/>
        </w:rPr>
        <w:t>nte la Corte</w:t>
      </w:r>
      <w:r w:rsidR="001638DE" w:rsidRPr="00996758">
        <w:rPr>
          <w:rFonts w:ascii="Verdana" w:eastAsia="Verdana" w:hAnsi="Verdana" w:cs="Verdana"/>
          <w:sz w:val="20"/>
          <w:szCs w:val="20"/>
        </w:rPr>
        <w:t xml:space="preserve">, pues los avances logrados permitían que el caso siguiese ante </w:t>
      </w:r>
      <w:r w:rsidR="00D73235" w:rsidRPr="00996758">
        <w:rPr>
          <w:rFonts w:ascii="Verdana" w:eastAsia="Verdana" w:hAnsi="Verdana" w:cs="Verdana"/>
          <w:sz w:val="20"/>
          <w:szCs w:val="20"/>
        </w:rPr>
        <w:t>aquélla</w:t>
      </w:r>
      <w:r w:rsidR="001638DE" w:rsidRPr="00996758">
        <w:rPr>
          <w:rFonts w:ascii="Verdana" w:eastAsia="Verdana" w:hAnsi="Verdana" w:cs="Verdana"/>
          <w:sz w:val="20"/>
          <w:szCs w:val="20"/>
        </w:rPr>
        <w:t>.</w:t>
      </w:r>
    </w:p>
    <w:p w:rsidR="00FD410B" w:rsidRPr="00996758" w:rsidRDefault="00FD410B">
      <w:pPr>
        <w:pStyle w:val="ListParagraph"/>
        <w:spacing w:after="0" w:line="240" w:lineRule="auto"/>
        <w:ind w:left="0"/>
        <w:jc w:val="both"/>
        <w:rPr>
          <w:rFonts w:ascii="Verdana" w:hAnsi="Verdana"/>
          <w:sz w:val="20"/>
          <w:szCs w:val="20"/>
        </w:rPr>
      </w:pPr>
    </w:p>
    <w:p w:rsidR="001638DE" w:rsidRPr="00996758" w:rsidRDefault="00FD410B"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E</w:t>
      </w:r>
      <w:r w:rsidR="001638DE" w:rsidRPr="00996758">
        <w:rPr>
          <w:rFonts w:ascii="Verdana" w:hAnsi="Verdana"/>
          <w:sz w:val="20"/>
          <w:szCs w:val="20"/>
        </w:rPr>
        <w:t xml:space="preserve">l Estado solicitó </w:t>
      </w:r>
      <w:r w:rsidR="00A05AD9" w:rsidRPr="00996758">
        <w:rPr>
          <w:rFonts w:ascii="Verdana" w:hAnsi="Verdana"/>
          <w:sz w:val="20"/>
          <w:szCs w:val="20"/>
        </w:rPr>
        <w:t xml:space="preserve">al Tribunal </w:t>
      </w:r>
      <w:r w:rsidR="00D73235" w:rsidRPr="00996758">
        <w:rPr>
          <w:rFonts w:ascii="Verdana" w:hAnsi="Verdana"/>
          <w:sz w:val="20"/>
          <w:szCs w:val="20"/>
        </w:rPr>
        <w:t xml:space="preserve">un pronunciamiento </w:t>
      </w:r>
      <w:r w:rsidR="00B559E0" w:rsidRPr="00996758">
        <w:rPr>
          <w:rFonts w:ascii="Verdana" w:hAnsi="Verdana"/>
          <w:sz w:val="20"/>
          <w:szCs w:val="20"/>
        </w:rPr>
        <w:t>“</w:t>
      </w:r>
      <w:r w:rsidR="001638DE" w:rsidRPr="00996758">
        <w:rPr>
          <w:rFonts w:ascii="Verdana" w:hAnsi="Verdana"/>
          <w:sz w:val="20"/>
          <w:szCs w:val="20"/>
        </w:rPr>
        <w:t>al menos con carácter declarativo</w:t>
      </w:r>
      <w:r w:rsidR="00D73235" w:rsidRPr="00996758">
        <w:rPr>
          <w:rFonts w:ascii="Verdana" w:hAnsi="Verdana"/>
          <w:sz w:val="20"/>
          <w:szCs w:val="20"/>
        </w:rPr>
        <w:t>”</w:t>
      </w:r>
      <w:r w:rsidR="001638DE" w:rsidRPr="00996758">
        <w:rPr>
          <w:rFonts w:ascii="Verdana" w:hAnsi="Verdana"/>
          <w:sz w:val="20"/>
          <w:szCs w:val="20"/>
        </w:rPr>
        <w:t>,</w:t>
      </w:r>
      <w:r w:rsidR="00D73235" w:rsidRPr="00996758">
        <w:rPr>
          <w:rFonts w:ascii="Verdana" w:hAnsi="Verdana"/>
          <w:sz w:val="20"/>
          <w:szCs w:val="20"/>
        </w:rPr>
        <w:t xml:space="preserve"> </w:t>
      </w:r>
      <w:r w:rsidR="00A05AD9" w:rsidRPr="00996758">
        <w:rPr>
          <w:rFonts w:ascii="Verdana" w:hAnsi="Verdana"/>
          <w:sz w:val="20"/>
          <w:szCs w:val="20"/>
        </w:rPr>
        <w:t>en que invite</w:t>
      </w:r>
      <w:r w:rsidR="001638DE" w:rsidRPr="00996758">
        <w:rPr>
          <w:rFonts w:ascii="Verdana" w:hAnsi="Verdana"/>
          <w:sz w:val="20"/>
          <w:szCs w:val="20"/>
        </w:rPr>
        <w:t xml:space="preserve"> a la Comisión a reglamentar las consecuencias jurídicas </w:t>
      </w:r>
      <w:r w:rsidR="00F07FC2" w:rsidRPr="00996758">
        <w:rPr>
          <w:rFonts w:ascii="Verdana" w:hAnsi="Verdana"/>
          <w:sz w:val="20"/>
          <w:szCs w:val="20"/>
        </w:rPr>
        <w:t>de ese tipo de situaciones</w:t>
      </w:r>
      <w:r w:rsidR="001638DE" w:rsidRPr="00996758">
        <w:rPr>
          <w:rFonts w:ascii="Verdana" w:hAnsi="Verdana"/>
          <w:sz w:val="20"/>
          <w:szCs w:val="20"/>
        </w:rPr>
        <w:t xml:space="preserve">, especialmente </w:t>
      </w:r>
      <w:r w:rsidR="00E702C8" w:rsidRPr="00996758">
        <w:rPr>
          <w:rFonts w:ascii="Verdana" w:hAnsi="Verdana"/>
          <w:sz w:val="20"/>
          <w:szCs w:val="20"/>
        </w:rPr>
        <w:t xml:space="preserve">los </w:t>
      </w:r>
      <w:r w:rsidR="001638DE" w:rsidRPr="00996758">
        <w:rPr>
          <w:rFonts w:ascii="Verdana" w:hAnsi="Verdana"/>
          <w:sz w:val="20"/>
          <w:szCs w:val="20"/>
        </w:rPr>
        <w:t>largos periodos de inactividad pr</w:t>
      </w:r>
      <w:r w:rsidR="00B559E0" w:rsidRPr="00996758">
        <w:rPr>
          <w:rFonts w:ascii="Verdana" w:hAnsi="Verdana"/>
          <w:sz w:val="20"/>
          <w:szCs w:val="20"/>
        </w:rPr>
        <w:t>ocesal y</w:t>
      </w:r>
      <w:r w:rsidR="001638DE" w:rsidRPr="00996758">
        <w:rPr>
          <w:rFonts w:ascii="Verdana" w:hAnsi="Verdana"/>
          <w:sz w:val="20"/>
          <w:szCs w:val="20"/>
        </w:rPr>
        <w:t xml:space="preserve"> </w:t>
      </w:r>
      <w:r w:rsidR="00E702C8" w:rsidRPr="00996758">
        <w:rPr>
          <w:rFonts w:ascii="Verdana" w:hAnsi="Verdana"/>
          <w:sz w:val="20"/>
          <w:szCs w:val="20"/>
        </w:rPr>
        <w:t xml:space="preserve">la </w:t>
      </w:r>
      <w:r w:rsidR="001638DE" w:rsidRPr="00996758">
        <w:rPr>
          <w:rFonts w:ascii="Verdana" w:hAnsi="Verdana"/>
          <w:sz w:val="20"/>
          <w:szCs w:val="20"/>
        </w:rPr>
        <w:t xml:space="preserve">decisión de remitir un caso ante la Corte cuando </w:t>
      </w:r>
      <w:r w:rsidR="00D73235" w:rsidRPr="00996758">
        <w:rPr>
          <w:rFonts w:ascii="Verdana" w:hAnsi="Verdana"/>
          <w:sz w:val="20"/>
          <w:szCs w:val="20"/>
        </w:rPr>
        <w:t>el Estado</w:t>
      </w:r>
      <w:r w:rsidR="00F07FC2" w:rsidRPr="00996758">
        <w:rPr>
          <w:rFonts w:ascii="Verdana" w:hAnsi="Verdana"/>
          <w:sz w:val="20"/>
          <w:szCs w:val="20"/>
        </w:rPr>
        <w:t xml:space="preserve"> </w:t>
      </w:r>
      <w:r w:rsidR="001638DE" w:rsidRPr="00996758">
        <w:rPr>
          <w:rFonts w:ascii="Verdana" w:hAnsi="Verdana"/>
          <w:sz w:val="20"/>
          <w:szCs w:val="20"/>
        </w:rPr>
        <w:t xml:space="preserve">ha demostrado </w:t>
      </w:r>
      <w:r w:rsidR="00D73235" w:rsidRPr="00996758">
        <w:rPr>
          <w:rFonts w:ascii="Verdana" w:hAnsi="Verdana"/>
          <w:sz w:val="20"/>
          <w:szCs w:val="20"/>
        </w:rPr>
        <w:t xml:space="preserve">seriedad, </w:t>
      </w:r>
      <w:r w:rsidR="001638DE" w:rsidRPr="00996758">
        <w:rPr>
          <w:rFonts w:ascii="Verdana" w:hAnsi="Verdana"/>
          <w:sz w:val="20"/>
          <w:szCs w:val="20"/>
        </w:rPr>
        <w:t>voluntad y capacidad de cumplir</w:t>
      </w:r>
      <w:r w:rsidR="00B559E0" w:rsidRPr="00996758">
        <w:rPr>
          <w:rFonts w:ascii="Verdana" w:hAnsi="Verdana"/>
          <w:sz w:val="20"/>
          <w:szCs w:val="20"/>
        </w:rPr>
        <w:t xml:space="preserve"> </w:t>
      </w:r>
      <w:r w:rsidR="00F07FC2" w:rsidRPr="00996758">
        <w:rPr>
          <w:rFonts w:ascii="Verdana" w:hAnsi="Verdana"/>
          <w:sz w:val="20"/>
          <w:szCs w:val="20"/>
        </w:rPr>
        <w:t xml:space="preserve">sus </w:t>
      </w:r>
      <w:r w:rsidR="00B559E0" w:rsidRPr="00996758">
        <w:rPr>
          <w:rFonts w:ascii="Verdana" w:hAnsi="Verdana"/>
          <w:sz w:val="20"/>
          <w:szCs w:val="20"/>
        </w:rPr>
        <w:t>recomendaciones</w:t>
      </w:r>
      <w:r w:rsidR="001638DE" w:rsidRPr="00996758">
        <w:rPr>
          <w:rFonts w:ascii="Verdana" w:hAnsi="Verdana"/>
          <w:sz w:val="20"/>
          <w:szCs w:val="20"/>
        </w:rPr>
        <w:t>.</w:t>
      </w:r>
    </w:p>
    <w:p w:rsidR="00781162" w:rsidRPr="00996758" w:rsidRDefault="00781162">
      <w:pPr>
        <w:pStyle w:val="ListParagraph"/>
        <w:spacing w:after="0" w:line="240" w:lineRule="auto"/>
        <w:ind w:left="0"/>
        <w:jc w:val="both"/>
        <w:rPr>
          <w:rFonts w:ascii="Verdana" w:hAnsi="Verdana"/>
          <w:sz w:val="20"/>
          <w:szCs w:val="20"/>
        </w:rPr>
      </w:pPr>
    </w:p>
    <w:p w:rsidR="00463D98" w:rsidRPr="00996758" w:rsidRDefault="00C75A9A" w:rsidP="00FA4555">
      <w:pPr>
        <w:pStyle w:val="ListParagraph"/>
        <w:numPr>
          <w:ilvl w:val="0"/>
          <w:numId w:val="10"/>
        </w:numPr>
        <w:spacing w:after="0" w:line="240" w:lineRule="auto"/>
        <w:ind w:left="0" w:firstLine="0"/>
        <w:jc w:val="both"/>
        <w:rPr>
          <w:rFonts w:ascii="Verdana" w:hAnsi="Verdana"/>
          <w:bCs/>
          <w:sz w:val="20"/>
          <w:szCs w:val="20"/>
        </w:rPr>
      </w:pPr>
      <w:r w:rsidRPr="00996758">
        <w:rPr>
          <w:rFonts w:ascii="Verdana" w:hAnsi="Verdana"/>
          <w:sz w:val="20"/>
          <w:szCs w:val="20"/>
        </w:rPr>
        <w:t>El Tribunal</w:t>
      </w:r>
      <w:r w:rsidR="00DA4F47" w:rsidRPr="00996758">
        <w:rPr>
          <w:rFonts w:ascii="Verdana" w:hAnsi="Verdana"/>
          <w:sz w:val="20"/>
          <w:szCs w:val="20"/>
        </w:rPr>
        <w:t xml:space="preserve"> no puede negar razonabilidad a</w:t>
      </w:r>
      <w:r w:rsidR="00124D8C" w:rsidRPr="00996758">
        <w:rPr>
          <w:rFonts w:ascii="Verdana" w:hAnsi="Verdana"/>
          <w:sz w:val="20"/>
          <w:szCs w:val="20"/>
        </w:rPr>
        <w:t xml:space="preserve"> algunos</w:t>
      </w:r>
      <w:r w:rsidR="00DA4F47" w:rsidRPr="00996758">
        <w:rPr>
          <w:rFonts w:ascii="Verdana" w:hAnsi="Verdana"/>
          <w:sz w:val="20"/>
          <w:szCs w:val="20"/>
        </w:rPr>
        <w:t xml:space="preserve"> planteamiento</w:t>
      </w:r>
      <w:r w:rsidR="00124D8C" w:rsidRPr="00996758">
        <w:rPr>
          <w:rFonts w:ascii="Verdana" w:hAnsi="Verdana"/>
          <w:sz w:val="20"/>
          <w:szCs w:val="20"/>
        </w:rPr>
        <w:t>s</w:t>
      </w:r>
      <w:r w:rsidR="00DA4F47" w:rsidRPr="00996758">
        <w:rPr>
          <w:rFonts w:ascii="Verdana" w:hAnsi="Verdana"/>
          <w:sz w:val="20"/>
          <w:szCs w:val="20"/>
        </w:rPr>
        <w:t xml:space="preserve"> del Estado, pero</w:t>
      </w:r>
      <w:r w:rsidRPr="00996758">
        <w:rPr>
          <w:rFonts w:ascii="Verdana" w:hAnsi="Verdana"/>
          <w:sz w:val="20"/>
          <w:szCs w:val="20"/>
        </w:rPr>
        <w:t xml:space="preserve"> </w:t>
      </w:r>
      <w:r w:rsidR="00A05AD9" w:rsidRPr="00996758">
        <w:rPr>
          <w:rFonts w:ascii="Verdana" w:hAnsi="Verdana"/>
          <w:sz w:val="20"/>
          <w:szCs w:val="20"/>
        </w:rPr>
        <w:t>recuerda</w:t>
      </w:r>
      <w:r w:rsidRPr="00996758">
        <w:rPr>
          <w:rFonts w:ascii="Verdana" w:hAnsi="Verdana"/>
          <w:sz w:val="20"/>
          <w:szCs w:val="20"/>
        </w:rPr>
        <w:t xml:space="preserve"> que la Comisión tiene autonomía e independencia en el ejercicio de su mandato </w:t>
      </w:r>
      <w:r w:rsidRPr="00996758">
        <w:rPr>
          <w:rFonts w:ascii="Verdana" w:hAnsi="Verdana"/>
          <w:sz w:val="20"/>
          <w:szCs w:val="20"/>
        </w:rPr>
        <w:lastRenderedPageBreak/>
        <w:t>conforme a lo establecido en la Convención</w:t>
      </w:r>
      <w:r w:rsidRPr="00996758">
        <w:rPr>
          <w:rStyle w:val="FootnoteReference"/>
          <w:rFonts w:ascii="Verdana" w:hAnsi="Verdana"/>
          <w:sz w:val="20"/>
          <w:szCs w:val="20"/>
        </w:rPr>
        <w:footnoteReference w:id="25"/>
      </w:r>
      <w:r w:rsidR="00DA4F47" w:rsidRPr="00996758">
        <w:rPr>
          <w:rFonts w:ascii="Verdana" w:hAnsi="Verdana"/>
          <w:sz w:val="20"/>
          <w:szCs w:val="20"/>
        </w:rPr>
        <w:t xml:space="preserve">. Por otra parte, la Corte considera que el </w:t>
      </w:r>
      <w:r w:rsidR="00463D98" w:rsidRPr="00996758">
        <w:rPr>
          <w:rFonts w:ascii="Verdana" w:hAnsi="Verdana"/>
          <w:iCs/>
          <w:sz w:val="20"/>
          <w:szCs w:val="20"/>
        </w:rPr>
        <w:t>“control de legalidad” del procedimiento de</w:t>
      </w:r>
      <w:r w:rsidR="00265629" w:rsidRPr="00996758">
        <w:rPr>
          <w:rFonts w:ascii="Verdana" w:hAnsi="Verdana"/>
          <w:iCs/>
          <w:sz w:val="20"/>
          <w:szCs w:val="20"/>
        </w:rPr>
        <w:t xml:space="preserve"> un</w:t>
      </w:r>
      <w:r w:rsidR="00463D98" w:rsidRPr="00996758">
        <w:rPr>
          <w:rFonts w:ascii="Verdana" w:hAnsi="Verdana"/>
          <w:iCs/>
          <w:sz w:val="20"/>
          <w:szCs w:val="20"/>
        </w:rPr>
        <w:t xml:space="preserve"> caso ante la Comisión</w:t>
      </w:r>
      <w:r w:rsidR="00652CE6" w:rsidRPr="00996758">
        <w:rPr>
          <w:rFonts w:ascii="Verdana" w:hAnsi="Verdana"/>
          <w:iCs/>
          <w:sz w:val="20"/>
          <w:szCs w:val="20"/>
        </w:rPr>
        <w:t xml:space="preserve"> </w:t>
      </w:r>
      <w:r w:rsidR="009B1844" w:rsidRPr="00996758">
        <w:rPr>
          <w:rFonts w:ascii="Verdana" w:hAnsi="Verdana"/>
          <w:iCs/>
          <w:sz w:val="20"/>
          <w:szCs w:val="20"/>
        </w:rPr>
        <w:t xml:space="preserve">es para resguardar el derecho de defensa </w:t>
      </w:r>
      <w:r w:rsidR="009B208C" w:rsidRPr="00996758">
        <w:rPr>
          <w:rFonts w:ascii="Verdana" w:hAnsi="Verdana"/>
          <w:iCs/>
          <w:sz w:val="20"/>
          <w:szCs w:val="20"/>
        </w:rPr>
        <w:t xml:space="preserve">ante la Corte </w:t>
      </w:r>
      <w:r w:rsidR="009B1844" w:rsidRPr="00996758">
        <w:rPr>
          <w:rFonts w:ascii="Verdana" w:hAnsi="Verdana"/>
          <w:iCs/>
          <w:sz w:val="20"/>
          <w:szCs w:val="20"/>
        </w:rPr>
        <w:t xml:space="preserve">cuando alguna de las partes alegue fundadamente que exista un error grave que </w:t>
      </w:r>
      <w:r w:rsidR="009B208C" w:rsidRPr="00996758">
        <w:rPr>
          <w:rFonts w:ascii="Verdana" w:hAnsi="Verdana"/>
          <w:iCs/>
          <w:sz w:val="20"/>
          <w:szCs w:val="20"/>
        </w:rPr>
        <w:t xml:space="preserve">lo </w:t>
      </w:r>
      <w:r w:rsidR="009B1844" w:rsidRPr="00996758">
        <w:rPr>
          <w:rFonts w:ascii="Verdana" w:hAnsi="Verdana"/>
          <w:iCs/>
          <w:sz w:val="20"/>
          <w:szCs w:val="20"/>
        </w:rPr>
        <w:t>vulnere</w:t>
      </w:r>
      <w:r w:rsidR="009B1844" w:rsidRPr="00996758">
        <w:rPr>
          <w:rStyle w:val="FootnoteReference"/>
          <w:rFonts w:ascii="Verdana" w:hAnsi="Verdana"/>
          <w:iCs/>
          <w:sz w:val="20"/>
          <w:szCs w:val="20"/>
        </w:rPr>
        <w:footnoteReference w:id="26"/>
      </w:r>
      <w:r w:rsidR="009B1844" w:rsidRPr="00996758">
        <w:rPr>
          <w:rFonts w:ascii="Verdana" w:hAnsi="Verdana"/>
          <w:iCs/>
          <w:sz w:val="20"/>
          <w:szCs w:val="20"/>
        </w:rPr>
        <w:t xml:space="preserve">, lo cual no ha </w:t>
      </w:r>
      <w:r w:rsidR="006E71FB" w:rsidRPr="00996758">
        <w:rPr>
          <w:rFonts w:ascii="Verdana" w:hAnsi="Verdana"/>
          <w:iCs/>
          <w:sz w:val="20"/>
          <w:szCs w:val="20"/>
        </w:rPr>
        <w:t xml:space="preserve">sido alegado </w:t>
      </w:r>
      <w:r w:rsidR="009B1844" w:rsidRPr="00996758">
        <w:rPr>
          <w:rFonts w:ascii="Verdana" w:hAnsi="Verdana"/>
          <w:iCs/>
          <w:sz w:val="20"/>
          <w:szCs w:val="20"/>
        </w:rPr>
        <w:t>en el presente caso. Además,</w:t>
      </w:r>
      <w:r w:rsidR="009B1844" w:rsidRPr="00996758">
        <w:rPr>
          <w:rFonts w:ascii="Verdana" w:hAnsi="Verdana"/>
          <w:b/>
          <w:iCs/>
          <w:sz w:val="20"/>
          <w:szCs w:val="20"/>
        </w:rPr>
        <w:t xml:space="preserve"> </w:t>
      </w:r>
      <w:r w:rsidR="009B1844" w:rsidRPr="00996758">
        <w:rPr>
          <w:rFonts w:ascii="Verdana" w:hAnsi="Verdana"/>
          <w:iCs/>
          <w:sz w:val="20"/>
          <w:szCs w:val="20"/>
        </w:rPr>
        <w:t xml:space="preserve">solicitudes </w:t>
      </w:r>
      <w:r w:rsidR="006E71FB" w:rsidRPr="00996758">
        <w:rPr>
          <w:rFonts w:ascii="Verdana" w:hAnsi="Verdana"/>
          <w:iCs/>
          <w:sz w:val="20"/>
          <w:szCs w:val="20"/>
        </w:rPr>
        <w:t xml:space="preserve">de Estados </w:t>
      </w:r>
      <w:r w:rsidR="009B1844" w:rsidRPr="00996758">
        <w:rPr>
          <w:rFonts w:ascii="Verdana" w:hAnsi="Verdana"/>
          <w:iCs/>
          <w:sz w:val="20"/>
          <w:szCs w:val="20"/>
        </w:rPr>
        <w:t>de este tipo</w:t>
      </w:r>
      <w:r w:rsidR="009B1844" w:rsidRPr="00996758">
        <w:rPr>
          <w:rFonts w:ascii="Verdana" w:hAnsi="Verdana"/>
          <w:b/>
          <w:iCs/>
          <w:sz w:val="20"/>
          <w:szCs w:val="20"/>
        </w:rPr>
        <w:t xml:space="preserve"> </w:t>
      </w:r>
      <w:r w:rsidR="006E71FB" w:rsidRPr="00996758">
        <w:rPr>
          <w:rFonts w:ascii="Verdana" w:hAnsi="Verdana"/>
          <w:iCs/>
          <w:sz w:val="20"/>
          <w:szCs w:val="20"/>
        </w:rPr>
        <w:t>han sido</w:t>
      </w:r>
      <w:r w:rsidR="00652CE6" w:rsidRPr="00996758">
        <w:rPr>
          <w:rFonts w:ascii="Verdana" w:hAnsi="Verdana"/>
          <w:iCs/>
          <w:sz w:val="20"/>
          <w:szCs w:val="20"/>
        </w:rPr>
        <w:t xml:space="preserve"> considerada</w:t>
      </w:r>
      <w:r w:rsidR="00F071A7" w:rsidRPr="00996758">
        <w:rPr>
          <w:rFonts w:ascii="Verdana" w:hAnsi="Verdana"/>
          <w:iCs/>
          <w:sz w:val="20"/>
          <w:szCs w:val="20"/>
        </w:rPr>
        <w:t>s</w:t>
      </w:r>
      <w:r w:rsidR="00463D98" w:rsidRPr="00996758">
        <w:rPr>
          <w:rFonts w:ascii="Verdana" w:hAnsi="Verdana"/>
          <w:iCs/>
          <w:sz w:val="20"/>
          <w:szCs w:val="20"/>
        </w:rPr>
        <w:t xml:space="preserve"> </w:t>
      </w:r>
      <w:r w:rsidR="006E71FB" w:rsidRPr="00996758">
        <w:rPr>
          <w:rFonts w:ascii="Verdana" w:hAnsi="Verdana"/>
          <w:iCs/>
          <w:sz w:val="20"/>
          <w:szCs w:val="20"/>
        </w:rPr>
        <w:t xml:space="preserve">cuando </w:t>
      </w:r>
      <w:r w:rsidR="00463D98" w:rsidRPr="00996758">
        <w:rPr>
          <w:rFonts w:ascii="Verdana" w:hAnsi="Verdana"/>
          <w:iCs/>
          <w:sz w:val="20"/>
          <w:szCs w:val="20"/>
        </w:rPr>
        <w:t>ha</w:t>
      </w:r>
      <w:r w:rsidR="006E71FB" w:rsidRPr="00996758">
        <w:rPr>
          <w:rFonts w:ascii="Verdana" w:hAnsi="Verdana"/>
          <w:iCs/>
          <w:sz w:val="20"/>
          <w:szCs w:val="20"/>
        </w:rPr>
        <w:t>n sido presentadas</w:t>
      </w:r>
      <w:r w:rsidR="00463D98" w:rsidRPr="00996758">
        <w:rPr>
          <w:rFonts w:ascii="Verdana" w:hAnsi="Verdana"/>
          <w:iCs/>
          <w:sz w:val="20"/>
          <w:szCs w:val="20"/>
        </w:rPr>
        <w:t xml:space="preserve"> como excepción preliminar</w:t>
      </w:r>
      <w:r w:rsidR="00463D98" w:rsidRPr="00996758">
        <w:rPr>
          <w:rStyle w:val="FootnoteReference"/>
          <w:rFonts w:ascii="Verdana" w:hAnsi="Verdana"/>
          <w:bCs/>
          <w:sz w:val="20"/>
          <w:szCs w:val="20"/>
        </w:rPr>
        <w:footnoteReference w:id="27"/>
      </w:r>
      <w:r w:rsidR="009B1844" w:rsidRPr="00996758">
        <w:rPr>
          <w:rFonts w:ascii="Verdana" w:hAnsi="Verdana"/>
          <w:bCs/>
          <w:sz w:val="20"/>
          <w:szCs w:val="20"/>
        </w:rPr>
        <w:t xml:space="preserve"> y, e</w:t>
      </w:r>
      <w:r w:rsidR="00463D98" w:rsidRPr="00996758">
        <w:rPr>
          <w:rFonts w:ascii="Verdana" w:hAnsi="Verdana"/>
          <w:bCs/>
          <w:sz w:val="20"/>
          <w:szCs w:val="20"/>
        </w:rPr>
        <w:t xml:space="preserve">n </w:t>
      </w:r>
      <w:r w:rsidR="006E1B9E" w:rsidRPr="00996758">
        <w:rPr>
          <w:rFonts w:ascii="Verdana" w:hAnsi="Verdana"/>
          <w:bCs/>
          <w:sz w:val="20"/>
          <w:szCs w:val="20"/>
        </w:rPr>
        <w:t xml:space="preserve">otro caso </w:t>
      </w:r>
      <w:r w:rsidR="00652CE6" w:rsidRPr="00996758">
        <w:rPr>
          <w:rFonts w:ascii="Verdana" w:hAnsi="Verdana"/>
          <w:bCs/>
          <w:sz w:val="20"/>
          <w:szCs w:val="20"/>
        </w:rPr>
        <w:t xml:space="preserve">en que el Estado </w:t>
      </w:r>
      <w:r w:rsidR="006E1B9E" w:rsidRPr="00996758">
        <w:rPr>
          <w:rFonts w:ascii="Verdana" w:hAnsi="Verdana"/>
          <w:bCs/>
          <w:sz w:val="20"/>
          <w:szCs w:val="20"/>
        </w:rPr>
        <w:t>había renunciado al carácter de excepción de</w:t>
      </w:r>
      <w:r w:rsidR="00652CE6" w:rsidRPr="00996758">
        <w:rPr>
          <w:rFonts w:ascii="Verdana" w:hAnsi="Verdana"/>
          <w:bCs/>
          <w:sz w:val="20"/>
          <w:szCs w:val="20"/>
        </w:rPr>
        <w:t xml:space="preserve"> su solicitud</w:t>
      </w:r>
      <w:r w:rsidR="00463D98" w:rsidRPr="00996758">
        <w:rPr>
          <w:rFonts w:ascii="Verdana" w:hAnsi="Verdana"/>
          <w:bCs/>
          <w:sz w:val="20"/>
          <w:szCs w:val="20"/>
        </w:rPr>
        <w:t xml:space="preserve">, la Corte </w:t>
      </w:r>
      <w:r w:rsidRPr="00996758">
        <w:rPr>
          <w:rFonts w:ascii="Verdana" w:hAnsi="Verdana"/>
          <w:bCs/>
          <w:sz w:val="20"/>
          <w:szCs w:val="20"/>
        </w:rPr>
        <w:t xml:space="preserve">decidió que </w:t>
      </w:r>
      <w:r w:rsidR="00652CE6" w:rsidRPr="00996758">
        <w:rPr>
          <w:rFonts w:ascii="Verdana" w:hAnsi="Verdana"/>
          <w:bCs/>
          <w:sz w:val="20"/>
          <w:szCs w:val="20"/>
        </w:rPr>
        <w:t xml:space="preserve">ésta </w:t>
      </w:r>
      <w:r w:rsidRPr="00996758">
        <w:rPr>
          <w:rFonts w:ascii="Verdana" w:hAnsi="Verdana"/>
          <w:bCs/>
          <w:sz w:val="20"/>
          <w:szCs w:val="20"/>
        </w:rPr>
        <w:t>era</w:t>
      </w:r>
      <w:r w:rsidR="00051EAA" w:rsidRPr="00996758">
        <w:rPr>
          <w:rFonts w:ascii="Verdana" w:hAnsi="Verdana"/>
          <w:bCs/>
          <w:sz w:val="20"/>
          <w:szCs w:val="20"/>
        </w:rPr>
        <w:t xml:space="preserve"> improcedente por</w:t>
      </w:r>
      <w:r w:rsidR="00463D98" w:rsidRPr="00996758">
        <w:rPr>
          <w:rFonts w:ascii="Verdana" w:hAnsi="Verdana"/>
          <w:bCs/>
          <w:sz w:val="20"/>
          <w:szCs w:val="20"/>
        </w:rPr>
        <w:t xml:space="preserve">que “excede </w:t>
      </w:r>
      <w:r w:rsidR="00652CE6" w:rsidRPr="00996758">
        <w:rPr>
          <w:rFonts w:ascii="Verdana" w:hAnsi="Verdana"/>
          <w:bCs/>
          <w:sz w:val="20"/>
          <w:szCs w:val="20"/>
        </w:rPr>
        <w:t xml:space="preserve">su </w:t>
      </w:r>
      <w:r w:rsidR="00463D98" w:rsidRPr="00996758">
        <w:rPr>
          <w:rFonts w:ascii="Verdana" w:hAnsi="Verdana"/>
          <w:bCs/>
          <w:sz w:val="20"/>
          <w:szCs w:val="20"/>
        </w:rPr>
        <w:t xml:space="preserve">competencia </w:t>
      </w:r>
      <w:r w:rsidR="00652CE6" w:rsidRPr="00996758">
        <w:rPr>
          <w:rFonts w:ascii="Verdana" w:hAnsi="Verdana"/>
          <w:bCs/>
          <w:sz w:val="20"/>
          <w:szCs w:val="20"/>
        </w:rPr>
        <w:t xml:space="preserve">[…] </w:t>
      </w:r>
      <w:r w:rsidR="00463D98" w:rsidRPr="00996758">
        <w:rPr>
          <w:rFonts w:ascii="Verdana" w:hAnsi="Verdana"/>
          <w:bCs/>
          <w:sz w:val="20"/>
          <w:szCs w:val="20"/>
        </w:rPr>
        <w:t>realizar un control de legalidad en abstracto, con fines meramente declarativos</w:t>
      </w:r>
      <w:r w:rsidR="00051EAA" w:rsidRPr="00996758">
        <w:rPr>
          <w:rFonts w:ascii="Verdana" w:hAnsi="Verdana"/>
          <w:bCs/>
          <w:sz w:val="20"/>
          <w:szCs w:val="20"/>
        </w:rPr>
        <w:t>”</w:t>
      </w:r>
      <w:r w:rsidR="003F2FD5" w:rsidRPr="00996758">
        <w:rPr>
          <w:rFonts w:ascii="Verdana" w:hAnsi="Verdana"/>
          <w:bCs/>
          <w:sz w:val="20"/>
          <w:szCs w:val="20"/>
        </w:rPr>
        <w:t>, pues</w:t>
      </w:r>
      <w:r w:rsidR="006E1B9E" w:rsidRPr="00996758">
        <w:rPr>
          <w:rFonts w:ascii="Verdana" w:hAnsi="Verdana"/>
          <w:bCs/>
          <w:sz w:val="20"/>
          <w:szCs w:val="20"/>
        </w:rPr>
        <w:t xml:space="preserve"> </w:t>
      </w:r>
      <w:r w:rsidR="00051EAA" w:rsidRPr="00996758">
        <w:rPr>
          <w:rFonts w:ascii="Verdana" w:hAnsi="Verdana"/>
          <w:bCs/>
          <w:sz w:val="20"/>
          <w:szCs w:val="20"/>
        </w:rPr>
        <w:t>ello “</w:t>
      </w:r>
      <w:r w:rsidR="00463D98" w:rsidRPr="00996758">
        <w:rPr>
          <w:rFonts w:ascii="Verdana" w:hAnsi="Verdana"/>
          <w:bCs/>
          <w:sz w:val="20"/>
          <w:szCs w:val="20"/>
        </w:rPr>
        <w:t>resultaría incompatible con el reconocimiento parcial de responsabilidad del Estado</w:t>
      </w:r>
      <w:r w:rsidR="00051EAA" w:rsidRPr="00996758">
        <w:rPr>
          <w:rFonts w:ascii="Verdana" w:hAnsi="Verdana"/>
          <w:bCs/>
          <w:sz w:val="20"/>
          <w:szCs w:val="20"/>
        </w:rPr>
        <w:t>”</w:t>
      </w:r>
      <w:r w:rsidR="00463D98" w:rsidRPr="00996758">
        <w:rPr>
          <w:rStyle w:val="FootnoteReference"/>
          <w:rFonts w:ascii="Verdana" w:hAnsi="Verdana"/>
          <w:bCs/>
          <w:iCs/>
          <w:sz w:val="20"/>
          <w:szCs w:val="20"/>
        </w:rPr>
        <w:footnoteReference w:id="28"/>
      </w:r>
      <w:r w:rsidR="00463D98" w:rsidRPr="00996758">
        <w:rPr>
          <w:rFonts w:ascii="Verdana" w:hAnsi="Verdana"/>
          <w:bCs/>
          <w:iCs/>
          <w:sz w:val="20"/>
          <w:szCs w:val="20"/>
        </w:rPr>
        <w:t>.</w:t>
      </w:r>
      <w:r w:rsidR="00051EAA" w:rsidRPr="00996758">
        <w:rPr>
          <w:rFonts w:ascii="Verdana" w:hAnsi="Verdana"/>
          <w:bCs/>
          <w:iCs/>
          <w:sz w:val="20"/>
          <w:szCs w:val="20"/>
        </w:rPr>
        <w:t xml:space="preserve"> Estos criterios </w:t>
      </w:r>
      <w:r w:rsidRPr="00996758">
        <w:rPr>
          <w:rFonts w:ascii="Verdana" w:hAnsi="Verdana"/>
          <w:bCs/>
          <w:iCs/>
          <w:sz w:val="20"/>
          <w:szCs w:val="20"/>
        </w:rPr>
        <w:t xml:space="preserve">son aplicables al presente </w:t>
      </w:r>
      <w:r w:rsidR="002572BE" w:rsidRPr="00996758">
        <w:rPr>
          <w:rFonts w:ascii="Verdana" w:hAnsi="Verdana"/>
          <w:bCs/>
          <w:iCs/>
          <w:sz w:val="20"/>
          <w:szCs w:val="20"/>
        </w:rPr>
        <w:t>caso, por lo cual el Tribunal no se pronuncia respecto de lo alegado por el Estado.</w:t>
      </w:r>
    </w:p>
    <w:p w:rsidR="00A05AD9" w:rsidRPr="00996758" w:rsidRDefault="00A05AD9">
      <w:pPr>
        <w:pStyle w:val="ListParagraph"/>
        <w:spacing w:after="0" w:line="240" w:lineRule="auto"/>
        <w:ind w:left="0"/>
        <w:jc w:val="both"/>
        <w:rPr>
          <w:rFonts w:ascii="Verdana" w:hAnsi="Verdana"/>
          <w:sz w:val="20"/>
          <w:szCs w:val="20"/>
        </w:rPr>
      </w:pPr>
    </w:p>
    <w:p w:rsidR="00FC0376" w:rsidRPr="00996758" w:rsidRDefault="00FC0376">
      <w:pPr>
        <w:pStyle w:val="ListParagraph"/>
        <w:spacing w:after="0" w:line="240" w:lineRule="auto"/>
        <w:ind w:left="0"/>
        <w:jc w:val="both"/>
        <w:rPr>
          <w:rFonts w:ascii="Verdana" w:hAnsi="Verdana"/>
          <w:sz w:val="20"/>
          <w:szCs w:val="20"/>
        </w:rPr>
      </w:pPr>
    </w:p>
    <w:p w:rsidR="00190884" w:rsidRPr="00996758" w:rsidRDefault="00190884">
      <w:pPr>
        <w:pStyle w:val="Heading1"/>
        <w:spacing w:before="0" w:after="0"/>
        <w:rPr>
          <w:caps w:val="0"/>
          <w:noProof/>
        </w:rPr>
      </w:pPr>
      <w:bookmarkStart w:id="15" w:name="_Toc340752581"/>
      <w:bookmarkStart w:id="16" w:name="_Toc530560058"/>
      <w:r w:rsidRPr="00996758">
        <w:rPr>
          <w:noProof/>
        </w:rPr>
        <w:t>V</w:t>
      </w:r>
      <w:r w:rsidR="00F02C7C" w:rsidRPr="00996758">
        <w:rPr>
          <w:noProof/>
        </w:rPr>
        <w:t>I</w:t>
      </w:r>
      <w:r w:rsidRPr="00996758">
        <w:rPr>
          <w:noProof/>
        </w:rPr>
        <w:br/>
        <w:t>PRUEBA</w:t>
      </w:r>
      <w:bookmarkEnd w:id="15"/>
      <w:bookmarkEnd w:id="16"/>
    </w:p>
    <w:p w:rsidR="00190884" w:rsidRPr="00996758" w:rsidRDefault="00190884">
      <w:pPr>
        <w:spacing w:after="0" w:line="240" w:lineRule="auto"/>
        <w:jc w:val="center"/>
        <w:rPr>
          <w:rFonts w:ascii="Verdana" w:hAnsi="Verdana" w:cs="Times New Roman"/>
          <w:b/>
          <w:sz w:val="20"/>
          <w:szCs w:val="20"/>
        </w:rPr>
      </w:pPr>
    </w:p>
    <w:p w:rsidR="00190884" w:rsidRPr="00996758" w:rsidRDefault="00BE29E2">
      <w:pPr>
        <w:pStyle w:val="Heading2"/>
        <w:numPr>
          <w:ilvl w:val="0"/>
          <w:numId w:val="16"/>
        </w:numPr>
        <w:spacing w:before="0" w:line="240" w:lineRule="auto"/>
        <w:jc w:val="both"/>
        <w:rPr>
          <w:rFonts w:ascii="Verdana" w:hAnsi="Verdana"/>
          <w:b w:val="0"/>
          <w:i/>
          <w:color w:val="auto"/>
          <w:sz w:val="20"/>
          <w:szCs w:val="20"/>
        </w:rPr>
      </w:pPr>
      <w:bookmarkStart w:id="17" w:name="_Toc340752582"/>
      <w:bookmarkStart w:id="18" w:name="_Toc530560059"/>
      <w:r w:rsidRPr="00996758">
        <w:rPr>
          <w:rFonts w:ascii="Verdana" w:hAnsi="Verdana"/>
          <w:i/>
          <w:color w:val="auto"/>
          <w:sz w:val="20"/>
          <w:szCs w:val="20"/>
        </w:rPr>
        <w:t>Admisibilidad de la prueba documental</w:t>
      </w:r>
      <w:bookmarkEnd w:id="17"/>
      <w:bookmarkEnd w:id="18"/>
    </w:p>
    <w:p w:rsidR="00190884" w:rsidRPr="00996758" w:rsidRDefault="00190884">
      <w:pPr>
        <w:spacing w:after="0" w:line="240" w:lineRule="auto"/>
        <w:jc w:val="both"/>
        <w:rPr>
          <w:rFonts w:ascii="Verdana" w:hAnsi="Verdana" w:cs="Times New Roman"/>
          <w:b/>
          <w:i/>
          <w:sz w:val="20"/>
          <w:szCs w:val="20"/>
        </w:rPr>
      </w:pPr>
    </w:p>
    <w:p w:rsidR="00BE29E2" w:rsidRPr="00996758" w:rsidRDefault="00190884" w:rsidP="00BE29E2">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El Tribunal recibió diversos documentos presentados como prueba por la Comisión, </w:t>
      </w:r>
      <w:r w:rsidR="00BE29E2" w:rsidRPr="00996758">
        <w:rPr>
          <w:rFonts w:ascii="Verdana" w:hAnsi="Verdana"/>
          <w:sz w:val="20"/>
          <w:szCs w:val="20"/>
        </w:rPr>
        <w:t>los representantes y el Estado, los cuales, como en otros casos, admite en el entendido que fueron presentados en la debida oportunidad procesal (artículo 57 del Reglamento)</w:t>
      </w:r>
      <w:r w:rsidR="00BE29E2" w:rsidRPr="00996758">
        <w:rPr>
          <w:rStyle w:val="FootnoteReference"/>
          <w:rFonts w:ascii="Verdana" w:hAnsi="Verdana"/>
          <w:sz w:val="20"/>
          <w:szCs w:val="20"/>
        </w:rPr>
        <w:footnoteReference w:id="29"/>
      </w:r>
      <w:r w:rsidR="00BE29E2" w:rsidRPr="00996758">
        <w:rPr>
          <w:rFonts w:ascii="Verdana" w:hAnsi="Verdana"/>
          <w:sz w:val="20"/>
          <w:szCs w:val="20"/>
        </w:rPr>
        <w:t xml:space="preserve"> y su admisibilidad no fue controvertida ni objetada</w:t>
      </w:r>
      <w:r w:rsidR="00BE29E2" w:rsidRPr="00996758">
        <w:rPr>
          <w:rStyle w:val="FootnoteReference"/>
          <w:rFonts w:ascii="Verdana" w:hAnsi="Verdana"/>
          <w:sz w:val="20"/>
          <w:szCs w:val="20"/>
        </w:rPr>
        <w:footnoteReference w:id="30"/>
      </w:r>
      <w:r w:rsidR="00BE29E2" w:rsidRPr="00996758">
        <w:rPr>
          <w:rFonts w:ascii="Verdana" w:hAnsi="Verdana"/>
          <w:sz w:val="20"/>
          <w:szCs w:val="20"/>
        </w:rPr>
        <w:t xml:space="preserve">. </w:t>
      </w:r>
    </w:p>
    <w:p w:rsidR="00BE08D6" w:rsidRPr="00996758" w:rsidRDefault="00BE08D6" w:rsidP="00BE08D6">
      <w:pPr>
        <w:pStyle w:val="ListParagraph"/>
        <w:spacing w:after="0" w:line="240" w:lineRule="auto"/>
        <w:ind w:left="0"/>
        <w:jc w:val="both"/>
        <w:rPr>
          <w:rFonts w:ascii="Verdana" w:eastAsia="Calibri" w:hAnsi="Verdana"/>
          <w:sz w:val="20"/>
          <w:szCs w:val="20"/>
        </w:rPr>
      </w:pPr>
    </w:p>
    <w:p w:rsidR="00BE08D6" w:rsidRPr="00996758" w:rsidRDefault="00BE08D6" w:rsidP="00BE08D6">
      <w:pPr>
        <w:pStyle w:val="ListParagraph"/>
        <w:numPr>
          <w:ilvl w:val="0"/>
          <w:numId w:val="10"/>
        </w:numPr>
        <w:spacing w:after="0" w:line="240" w:lineRule="auto"/>
        <w:ind w:left="0" w:firstLine="0"/>
        <w:jc w:val="both"/>
        <w:rPr>
          <w:rFonts w:ascii="Verdana" w:eastAsia="Calibri" w:hAnsi="Verdana"/>
          <w:sz w:val="20"/>
          <w:szCs w:val="20"/>
        </w:rPr>
      </w:pPr>
      <w:r w:rsidRPr="00996758">
        <w:rPr>
          <w:rFonts w:ascii="Verdana" w:hAnsi="Verdana"/>
          <w:sz w:val="20"/>
          <w:szCs w:val="20"/>
        </w:rPr>
        <w:t xml:space="preserve">El Estado objetó la admisibilidad y eventual valoración </w:t>
      </w:r>
      <w:r w:rsidRPr="00996758">
        <w:rPr>
          <w:rFonts w:ascii="Verdana" w:eastAsia="Verdana" w:hAnsi="Verdana" w:cs="Verdana"/>
          <w:sz w:val="20"/>
          <w:szCs w:val="20"/>
        </w:rPr>
        <w:t>del informe “Huellas y rostros de la desaparición forzada (1970-2010)”, publicado por el Centro Nacional de Memoria Histórica de Colombia</w:t>
      </w:r>
      <w:r w:rsidRPr="00996758">
        <w:rPr>
          <w:rStyle w:val="FootnoteReference"/>
          <w:rFonts w:ascii="Verdana" w:eastAsia="Verdana" w:hAnsi="Verdana" w:cs="Verdana"/>
          <w:sz w:val="20"/>
          <w:szCs w:val="20"/>
        </w:rPr>
        <w:footnoteReference w:id="31"/>
      </w:r>
      <w:r w:rsidRPr="00996758">
        <w:rPr>
          <w:rFonts w:ascii="Verdana" w:eastAsia="Verdana" w:hAnsi="Verdana" w:cs="Verdana"/>
          <w:sz w:val="20"/>
          <w:szCs w:val="20"/>
        </w:rPr>
        <w:t>, solicitando que no sea tenido como prueba del proceso porque es una prueba auto-referente (pues resume el trámite del caso ante la Comisión y recoge las posturas expuestas por los propios representantes) y porque la imparcialidad de la fuente resulta seriamente cuestionable, ya que el relator de dicho informe, señor Federico Andreu–Guzmán, fue a su vez representante de las presuntas víctimas ante la Comisión en este caso.</w:t>
      </w:r>
    </w:p>
    <w:p w:rsidR="00BE08D6" w:rsidRPr="00996758" w:rsidRDefault="00BE08D6" w:rsidP="00BE08D6">
      <w:pPr>
        <w:pStyle w:val="ListParagraph"/>
        <w:spacing w:after="0" w:line="240" w:lineRule="auto"/>
        <w:ind w:left="0"/>
        <w:jc w:val="both"/>
        <w:rPr>
          <w:rFonts w:ascii="Verdana" w:eastAsia="Verdana" w:hAnsi="Verdana" w:cs="Verdana"/>
          <w:sz w:val="20"/>
          <w:szCs w:val="20"/>
        </w:rPr>
      </w:pPr>
    </w:p>
    <w:p w:rsidR="00BE08D6" w:rsidRPr="00996758" w:rsidRDefault="00BE08D6" w:rsidP="00BE08D6">
      <w:pPr>
        <w:pStyle w:val="ListParagraph"/>
        <w:numPr>
          <w:ilvl w:val="0"/>
          <w:numId w:val="10"/>
        </w:numP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lastRenderedPageBreak/>
        <w:t>Se hace notar que, en la elaboración de dicho informe, ciertamente participó el señor Andreu–Guzmán como experto</w:t>
      </w:r>
      <w:r w:rsidRPr="00996758">
        <w:rPr>
          <w:rStyle w:val="FootnoteReference"/>
          <w:rFonts w:ascii="Verdana" w:eastAsia="Verdana" w:hAnsi="Verdana" w:cs="Verdana"/>
          <w:sz w:val="20"/>
          <w:szCs w:val="20"/>
        </w:rPr>
        <w:footnoteReference w:id="32"/>
      </w:r>
      <w:r w:rsidRPr="00996758">
        <w:rPr>
          <w:rFonts w:ascii="Verdana" w:eastAsia="Verdana" w:hAnsi="Verdana" w:cs="Verdana"/>
          <w:sz w:val="20"/>
          <w:szCs w:val="20"/>
        </w:rPr>
        <w:t>. Por otro lado, se destaca que el Centro Nacional de Memoria Histórica es un establecimiento público del orden nacional, creado mediante Ley 1448 de 2011 (Ley de Víctimas y Restitución de Tierras), con autonomía y jurisdicción en todo el territorio nacional, con el objetivo de reunir y recuperar todo el material documental, testimonial y por otros medios relativos a violaciones de derechos humanos</w:t>
      </w:r>
      <w:r w:rsidRPr="00996758">
        <w:rPr>
          <w:rStyle w:val="FootnoteReference"/>
          <w:rFonts w:ascii="Verdana" w:eastAsia="Verdana" w:hAnsi="Verdana" w:cs="Verdana"/>
          <w:sz w:val="20"/>
          <w:szCs w:val="20"/>
        </w:rPr>
        <w:footnoteReference w:id="33"/>
      </w:r>
      <w:r w:rsidRPr="00996758">
        <w:rPr>
          <w:rFonts w:ascii="Verdana" w:eastAsia="Verdana" w:hAnsi="Verdana" w:cs="Verdana"/>
          <w:sz w:val="20"/>
          <w:szCs w:val="20"/>
        </w:rPr>
        <w:t>. Sus informes han sido valorados o referidos en casos anteriores ante este Tribunal</w:t>
      </w:r>
      <w:r w:rsidRPr="00996758">
        <w:rPr>
          <w:rStyle w:val="FootnoteReference"/>
          <w:rFonts w:ascii="Verdana" w:eastAsia="Verdana" w:hAnsi="Verdana" w:cs="Verdana"/>
          <w:sz w:val="20"/>
          <w:szCs w:val="20"/>
        </w:rPr>
        <w:footnoteReference w:id="34"/>
      </w:r>
      <w:r w:rsidRPr="00996758">
        <w:rPr>
          <w:rFonts w:ascii="Verdana" w:eastAsia="Verdana" w:hAnsi="Verdana" w:cs="Verdana"/>
          <w:sz w:val="20"/>
          <w:szCs w:val="20"/>
        </w:rPr>
        <w:t xml:space="preserve"> y, en respuesta a preguntas de los Jueces durante la audiencia, el Estado manifestó que esos informes sí han sido utilizados para diseño de políticas públicas y que el Centro procura que sus hallazgos y recomendaciones tengan incidencia en las entidades competentes para ello. De lo anterior se desprende que los informes de dicha institución, creada legalmente como uno de los mecanismos de justicia transicional, tienen un valor documental, simbólico e histórico y pretenden incidir en el diseño de políticas públicas. Por estas razones, la Corte desestima lo alegado por el Estado y admite el informe “Huellas y rostros de la desaparición forzada (1970-2010)”, el cual </w:t>
      </w:r>
      <w:r w:rsidRPr="00996758">
        <w:rPr>
          <w:rFonts w:ascii="Verdana" w:eastAsia="HiddenHorzOCR" w:hAnsi="Verdana" w:cs="HiddenHorzOCR"/>
          <w:sz w:val="20"/>
          <w:szCs w:val="20"/>
        </w:rPr>
        <w:t xml:space="preserve">será valorado de conformidad </w:t>
      </w:r>
      <w:r w:rsidRPr="00996758">
        <w:rPr>
          <w:rFonts w:ascii="Verdana" w:hAnsi="Verdana"/>
          <w:sz w:val="20"/>
          <w:szCs w:val="20"/>
        </w:rPr>
        <w:t>con los principios de la sana crítica, teniendo en cuenta el conjunto del acervo probatorio y lo alegado en la causa.</w:t>
      </w:r>
    </w:p>
    <w:p w:rsidR="00BE08D6" w:rsidRPr="00996758" w:rsidRDefault="00BE08D6" w:rsidP="00BE08D6">
      <w:pPr>
        <w:pStyle w:val="ListParagraph"/>
        <w:spacing w:line="240" w:lineRule="auto"/>
        <w:rPr>
          <w:rFonts w:ascii="Verdana" w:eastAsia="Verdana" w:hAnsi="Verdana" w:cs="Verdana"/>
          <w:sz w:val="20"/>
          <w:szCs w:val="20"/>
        </w:rPr>
      </w:pPr>
    </w:p>
    <w:p w:rsidR="00BE08D6" w:rsidRPr="00996758" w:rsidRDefault="00BE08D6" w:rsidP="00BE08D6">
      <w:pPr>
        <w:pStyle w:val="ListParagraph"/>
        <w:numPr>
          <w:ilvl w:val="0"/>
          <w:numId w:val="10"/>
        </w:numP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En cuanto a anexos a los escritos de alegatos finales, la Corte hace notar que los documentos ya habían sido aportados anteriormente, que no fueron objetados y que las observaciones de los representantes sobre los que fueron remitidos por el Estado se refieren a su valor o peso probatorio, por lo que no afectan su admisibilidad</w:t>
      </w:r>
      <w:r w:rsidRPr="00996758">
        <w:rPr>
          <w:rStyle w:val="FootnoteReference"/>
          <w:rFonts w:ascii="Verdana" w:eastAsia="Verdana" w:hAnsi="Verdana" w:cs="Verdana"/>
          <w:sz w:val="20"/>
          <w:szCs w:val="20"/>
        </w:rPr>
        <w:footnoteReference w:id="35"/>
      </w:r>
      <w:r w:rsidRPr="00996758">
        <w:rPr>
          <w:rFonts w:ascii="Verdana" w:eastAsia="Verdana" w:hAnsi="Verdana" w:cs="Verdana"/>
          <w:sz w:val="20"/>
          <w:szCs w:val="20"/>
        </w:rPr>
        <w:t xml:space="preserve">. </w:t>
      </w:r>
    </w:p>
    <w:p w:rsidR="00190884" w:rsidRPr="00996758" w:rsidRDefault="00190884">
      <w:pPr>
        <w:pStyle w:val="ListParagraph"/>
        <w:spacing w:after="0" w:line="240" w:lineRule="auto"/>
        <w:ind w:left="0"/>
        <w:jc w:val="both"/>
        <w:rPr>
          <w:rFonts w:ascii="Verdana" w:hAnsi="Verdana"/>
          <w:sz w:val="20"/>
          <w:szCs w:val="20"/>
          <w:lang w:eastAsia="es-ES_tradnl"/>
        </w:rPr>
      </w:pPr>
    </w:p>
    <w:p w:rsidR="00190884" w:rsidRPr="00996758" w:rsidRDefault="00190884">
      <w:pPr>
        <w:pStyle w:val="Heading2"/>
        <w:numPr>
          <w:ilvl w:val="0"/>
          <w:numId w:val="16"/>
        </w:numPr>
        <w:spacing w:before="0" w:line="240" w:lineRule="auto"/>
        <w:jc w:val="both"/>
        <w:rPr>
          <w:rFonts w:ascii="Verdana" w:hAnsi="Verdana"/>
          <w:i/>
          <w:sz w:val="20"/>
          <w:szCs w:val="20"/>
        </w:rPr>
      </w:pPr>
      <w:r w:rsidRPr="00996758">
        <w:rPr>
          <w:rFonts w:ascii="Verdana" w:hAnsi="Verdana"/>
          <w:i/>
          <w:sz w:val="20"/>
          <w:szCs w:val="20"/>
        </w:rPr>
        <w:t xml:space="preserve"> </w:t>
      </w:r>
      <w:bookmarkStart w:id="19" w:name="_Toc340752583"/>
      <w:bookmarkStart w:id="20" w:name="_Toc530560060"/>
      <w:r w:rsidRPr="00996758">
        <w:rPr>
          <w:rFonts w:ascii="Verdana" w:hAnsi="Verdana"/>
          <w:i/>
          <w:color w:val="auto"/>
          <w:sz w:val="20"/>
          <w:szCs w:val="20"/>
        </w:rPr>
        <w:t>Admisibilidad de la prueba</w:t>
      </w:r>
      <w:bookmarkEnd w:id="19"/>
      <w:r w:rsidR="00BE29E2" w:rsidRPr="00996758">
        <w:rPr>
          <w:rFonts w:ascii="Verdana" w:hAnsi="Verdana"/>
          <w:i/>
          <w:color w:val="auto"/>
          <w:sz w:val="20"/>
          <w:szCs w:val="20"/>
        </w:rPr>
        <w:t xml:space="preserve"> testimonial y pericial</w:t>
      </w:r>
      <w:bookmarkEnd w:id="20"/>
    </w:p>
    <w:p w:rsidR="00190884" w:rsidRPr="00996758" w:rsidRDefault="00190884">
      <w:pPr>
        <w:pStyle w:val="ListParagraph"/>
        <w:spacing w:after="0" w:line="240" w:lineRule="auto"/>
        <w:ind w:left="0"/>
        <w:jc w:val="both"/>
        <w:rPr>
          <w:rFonts w:ascii="Verdana" w:hAnsi="Verdana" w:cs="Times New Roman"/>
          <w:b/>
          <w:i/>
          <w:sz w:val="20"/>
          <w:szCs w:val="20"/>
        </w:rPr>
      </w:pPr>
    </w:p>
    <w:p w:rsidR="00A775D9" w:rsidRPr="00996758" w:rsidRDefault="00BE29E2" w:rsidP="00E07A86">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La Corte recibió declaraciones </w:t>
      </w:r>
      <w:r w:rsidR="00BE08D6" w:rsidRPr="00996758">
        <w:rPr>
          <w:rFonts w:ascii="Verdana" w:hAnsi="Verdana"/>
          <w:sz w:val="20"/>
          <w:szCs w:val="20"/>
        </w:rPr>
        <w:t xml:space="preserve">rendidas ante fedatario público </w:t>
      </w:r>
      <w:r w:rsidRPr="00996758">
        <w:rPr>
          <w:rFonts w:ascii="Verdana" w:hAnsi="Verdana"/>
          <w:sz w:val="20"/>
          <w:szCs w:val="20"/>
        </w:rPr>
        <w:t xml:space="preserve">de presuntas víctimas, testigos y peritos, </w:t>
      </w:r>
      <w:r w:rsidRPr="00996758">
        <w:rPr>
          <w:rFonts w:ascii="Verdana" w:hAnsi="Verdana"/>
          <w:bCs/>
          <w:sz w:val="20"/>
          <w:szCs w:val="20"/>
        </w:rPr>
        <w:t>requeridas</w:t>
      </w:r>
      <w:r w:rsidRPr="00996758">
        <w:rPr>
          <w:rFonts w:ascii="Verdana" w:hAnsi="Verdana"/>
          <w:sz w:val="20"/>
          <w:szCs w:val="20"/>
        </w:rPr>
        <w:t xml:space="preserve"> por el Presidente</w:t>
      </w:r>
      <w:r w:rsidRPr="00996758">
        <w:rPr>
          <w:rStyle w:val="FootnoteReference"/>
          <w:rFonts w:ascii="Verdana" w:hAnsi="Verdana"/>
          <w:sz w:val="20"/>
          <w:szCs w:val="20"/>
        </w:rPr>
        <w:footnoteReference w:id="36"/>
      </w:r>
      <w:r w:rsidRPr="00996758">
        <w:rPr>
          <w:rFonts w:ascii="Verdana" w:hAnsi="Verdana"/>
          <w:sz w:val="20"/>
          <w:szCs w:val="20"/>
        </w:rPr>
        <w:t>, así como declaraciones de una presunta víctima y de dos peritos durante la audiencia pública</w:t>
      </w:r>
      <w:r w:rsidR="00BE08D6" w:rsidRPr="00996758">
        <w:rPr>
          <w:rFonts w:ascii="Verdana" w:hAnsi="Verdana"/>
          <w:sz w:val="20"/>
          <w:szCs w:val="20"/>
        </w:rPr>
        <w:t xml:space="preserve">, </w:t>
      </w:r>
      <w:r w:rsidR="00190884" w:rsidRPr="00996758">
        <w:rPr>
          <w:rFonts w:ascii="Verdana" w:hAnsi="Verdana"/>
          <w:sz w:val="20"/>
          <w:szCs w:val="20"/>
        </w:rPr>
        <w:t xml:space="preserve">las </w:t>
      </w:r>
      <w:r w:rsidR="00BE08D6" w:rsidRPr="00996758">
        <w:rPr>
          <w:rFonts w:ascii="Verdana" w:hAnsi="Verdana"/>
          <w:sz w:val="20"/>
          <w:szCs w:val="20"/>
        </w:rPr>
        <w:t xml:space="preserve">cuales </w:t>
      </w:r>
      <w:r w:rsidR="00190884" w:rsidRPr="00996758">
        <w:rPr>
          <w:rFonts w:ascii="Verdana" w:hAnsi="Verdana"/>
          <w:sz w:val="20"/>
          <w:szCs w:val="20"/>
        </w:rPr>
        <w:t>admite en cuanto se</w:t>
      </w:r>
      <w:r w:rsidR="00BE08D6" w:rsidRPr="00996758">
        <w:rPr>
          <w:rFonts w:ascii="Verdana" w:hAnsi="Verdana"/>
          <w:sz w:val="20"/>
          <w:szCs w:val="20"/>
        </w:rPr>
        <w:t xml:space="preserve"> ajusten al objeto definido </w:t>
      </w:r>
      <w:r w:rsidR="00190884" w:rsidRPr="00996758">
        <w:rPr>
          <w:rFonts w:ascii="Verdana" w:hAnsi="Verdana"/>
          <w:sz w:val="20"/>
          <w:szCs w:val="20"/>
        </w:rPr>
        <w:t>en la Resolución que ordenó recibirlas y al objeto del presente caso</w:t>
      </w:r>
      <w:r w:rsidR="00BE08D6" w:rsidRPr="00996758">
        <w:rPr>
          <w:rFonts w:ascii="Verdana" w:hAnsi="Verdana"/>
          <w:sz w:val="20"/>
          <w:szCs w:val="20"/>
        </w:rPr>
        <w:t xml:space="preserve"> (</w:t>
      </w:r>
      <w:r w:rsidR="00BE08D6" w:rsidRPr="00996758">
        <w:rPr>
          <w:rFonts w:ascii="Verdana" w:hAnsi="Verdana"/>
          <w:i/>
          <w:sz w:val="20"/>
          <w:szCs w:val="20"/>
        </w:rPr>
        <w:t xml:space="preserve">supra </w:t>
      </w:r>
      <w:r w:rsidR="00BE08D6" w:rsidRPr="00996758">
        <w:rPr>
          <w:rFonts w:ascii="Verdana" w:hAnsi="Verdana"/>
          <w:sz w:val="20"/>
          <w:szCs w:val="20"/>
        </w:rPr>
        <w:t>párr. 10)</w:t>
      </w:r>
      <w:r w:rsidR="00190884" w:rsidRPr="00996758">
        <w:rPr>
          <w:rFonts w:ascii="Verdana" w:hAnsi="Verdana"/>
          <w:sz w:val="20"/>
          <w:szCs w:val="20"/>
        </w:rPr>
        <w:t>.</w:t>
      </w:r>
      <w:r w:rsidR="00E07A86" w:rsidRPr="00996758">
        <w:rPr>
          <w:rFonts w:ascii="Verdana" w:hAnsi="Verdana"/>
          <w:sz w:val="20"/>
          <w:szCs w:val="20"/>
        </w:rPr>
        <w:t xml:space="preserve"> </w:t>
      </w:r>
      <w:r w:rsidRPr="00996758">
        <w:rPr>
          <w:rFonts w:ascii="Verdana" w:hAnsi="Verdana"/>
          <w:sz w:val="20"/>
          <w:szCs w:val="20"/>
        </w:rPr>
        <w:t xml:space="preserve">En cuanto a las declaraciones rendidas por las presuntas víctimas, el Tribunal reitera, conforme a su jurisprudencia, que </w:t>
      </w:r>
      <w:r w:rsidR="00B552A4" w:rsidRPr="00996758">
        <w:rPr>
          <w:rFonts w:ascii="Verdana" w:hAnsi="Verdana"/>
          <w:sz w:val="20"/>
          <w:szCs w:val="20"/>
        </w:rPr>
        <w:t xml:space="preserve">serán </w:t>
      </w:r>
      <w:r w:rsidRPr="00996758">
        <w:rPr>
          <w:rFonts w:ascii="Verdana" w:hAnsi="Verdana"/>
          <w:sz w:val="20"/>
          <w:szCs w:val="20"/>
        </w:rPr>
        <w:t>valoradas en la medida en que pueden proporcionar mayor información sobre las alegadas violaciones y sus consecuencias, pero no aisladamente sino dentro del conjunto de las pruebas del proceso</w:t>
      </w:r>
      <w:r w:rsidRPr="00996758">
        <w:rPr>
          <w:rStyle w:val="FootnoteReference"/>
          <w:rFonts w:ascii="Verdana" w:hAnsi="Verdana"/>
          <w:sz w:val="20"/>
          <w:szCs w:val="20"/>
        </w:rPr>
        <w:footnoteReference w:id="37"/>
      </w:r>
      <w:r w:rsidRPr="00996758">
        <w:rPr>
          <w:rFonts w:ascii="Verdana" w:hAnsi="Verdana"/>
          <w:sz w:val="20"/>
          <w:szCs w:val="20"/>
        </w:rPr>
        <w:t>.</w:t>
      </w:r>
    </w:p>
    <w:p w:rsidR="00E07A86" w:rsidRPr="00996758" w:rsidRDefault="00E07A86">
      <w:pPr>
        <w:suppressAutoHyphens/>
        <w:spacing w:after="0" w:line="240" w:lineRule="auto"/>
        <w:jc w:val="both"/>
        <w:rPr>
          <w:rFonts w:ascii="Verdana" w:eastAsia="Times New Roman" w:hAnsi="Verdana" w:cs="Tahoma"/>
          <w:sz w:val="20"/>
          <w:szCs w:val="20"/>
        </w:rPr>
      </w:pPr>
    </w:p>
    <w:p w:rsidR="00D275ED" w:rsidRPr="00996758" w:rsidRDefault="00D275ED">
      <w:pPr>
        <w:suppressAutoHyphens/>
        <w:spacing w:after="0" w:line="240" w:lineRule="auto"/>
        <w:jc w:val="both"/>
        <w:rPr>
          <w:rFonts w:ascii="Verdana" w:eastAsia="Times New Roman" w:hAnsi="Verdana" w:cs="Tahoma"/>
          <w:sz w:val="20"/>
          <w:szCs w:val="20"/>
        </w:rPr>
      </w:pPr>
    </w:p>
    <w:p w:rsidR="00190884" w:rsidRPr="00996758" w:rsidRDefault="00190884">
      <w:pPr>
        <w:pStyle w:val="Heading1"/>
        <w:spacing w:before="0" w:after="0"/>
        <w:rPr>
          <w:b w:val="0"/>
          <w:bCs w:val="0"/>
          <w:caps w:val="0"/>
        </w:rPr>
      </w:pPr>
      <w:bookmarkStart w:id="21" w:name="_Toc476251455"/>
      <w:bookmarkStart w:id="22" w:name="_Toc530560061"/>
      <w:r w:rsidRPr="00996758">
        <w:t>VI</w:t>
      </w:r>
      <w:r w:rsidR="00F02C7C" w:rsidRPr="00996758">
        <w:t>I</w:t>
      </w:r>
      <w:r w:rsidRPr="00996758">
        <w:br/>
        <w:t>hechos</w:t>
      </w:r>
      <w:bookmarkEnd w:id="21"/>
      <w:bookmarkEnd w:id="22"/>
      <w:r w:rsidRPr="00996758">
        <w:t xml:space="preserve"> </w:t>
      </w:r>
    </w:p>
    <w:p w:rsidR="00190884" w:rsidRPr="00996758" w:rsidRDefault="00190884">
      <w:pPr>
        <w:pBdr>
          <w:top w:val="nil"/>
        </w:pBdr>
        <w:spacing w:after="0" w:line="240" w:lineRule="auto"/>
        <w:jc w:val="both"/>
        <w:rPr>
          <w:rFonts w:ascii="Verdana" w:hAnsi="Verdana"/>
          <w:sz w:val="20"/>
          <w:szCs w:val="20"/>
        </w:rPr>
      </w:pPr>
    </w:p>
    <w:p w:rsidR="005E4DE7" w:rsidRPr="00996758" w:rsidRDefault="00190884" w:rsidP="00FA455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En este capítulo la Corte establecerá los hechos que tendrá por probados en el presente caso, con base </w:t>
      </w:r>
      <w:r w:rsidR="00C8098E" w:rsidRPr="00996758">
        <w:rPr>
          <w:rFonts w:ascii="Verdana" w:hAnsi="Verdana"/>
          <w:sz w:val="20"/>
          <w:szCs w:val="20"/>
        </w:rPr>
        <w:t xml:space="preserve">en el reconocimiento de responsabilidad del Estado y según el marco fáctico y </w:t>
      </w:r>
      <w:r w:rsidRPr="00996758">
        <w:rPr>
          <w:rFonts w:ascii="Verdana" w:hAnsi="Verdana"/>
          <w:sz w:val="20"/>
          <w:szCs w:val="20"/>
        </w:rPr>
        <w:t xml:space="preserve">el acervo probatorio admitido, en el siguiente orden: a) Contexto; b) </w:t>
      </w:r>
      <w:r w:rsidR="00C8098E" w:rsidRPr="00996758">
        <w:rPr>
          <w:rFonts w:ascii="Verdana" w:hAnsi="Verdana"/>
          <w:sz w:val="20"/>
          <w:szCs w:val="20"/>
        </w:rPr>
        <w:t>Desaparición de Víctor Manuel Isaza Uribe</w:t>
      </w:r>
      <w:r w:rsidRPr="00996758">
        <w:rPr>
          <w:rFonts w:ascii="Verdana" w:hAnsi="Verdana"/>
          <w:sz w:val="20"/>
          <w:szCs w:val="20"/>
        </w:rPr>
        <w:t xml:space="preserve">; y c) </w:t>
      </w:r>
      <w:r w:rsidR="008660C8" w:rsidRPr="00996758">
        <w:rPr>
          <w:rFonts w:ascii="Verdana" w:hAnsi="Verdana"/>
          <w:sz w:val="20"/>
          <w:szCs w:val="20"/>
        </w:rPr>
        <w:t>Investigaciones</w:t>
      </w:r>
      <w:r w:rsidRPr="00996758">
        <w:rPr>
          <w:rFonts w:ascii="Verdana" w:hAnsi="Verdana"/>
          <w:sz w:val="20"/>
          <w:szCs w:val="20"/>
        </w:rPr>
        <w:t xml:space="preserve"> y procesos internos. </w:t>
      </w:r>
    </w:p>
    <w:p w:rsidR="00D275ED" w:rsidRPr="00996758" w:rsidRDefault="00D275ED" w:rsidP="00D275ED">
      <w:pPr>
        <w:pStyle w:val="ListParagraph"/>
        <w:spacing w:after="0" w:line="240" w:lineRule="auto"/>
        <w:ind w:left="0"/>
        <w:jc w:val="both"/>
        <w:rPr>
          <w:rFonts w:ascii="Verdana" w:hAnsi="Verdana"/>
          <w:sz w:val="20"/>
          <w:szCs w:val="20"/>
        </w:rPr>
      </w:pPr>
    </w:p>
    <w:p w:rsidR="005E4DE7" w:rsidRPr="00996758" w:rsidRDefault="000B2AB5" w:rsidP="00FA4555">
      <w:pPr>
        <w:pStyle w:val="Heading2"/>
        <w:numPr>
          <w:ilvl w:val="0"/>
          <w:numId w:val="36"/>
        </w:numPr>
        <w:spacing w:line="240" w:lineRule="auto"/>
        <w:rPr>
          <w:rFonts w:ascii="Verdana" w:hAnsi="Verdana"/>
          <w:i/>
          <w:smallCaps/>
          <w:color w:val="auto"/>
          <w:sz w:val="20"/>
          <w:szCs w:val="20"/>
        </w:rPr>
      </w:pPr>
      <w:bookmarkStart w:id="23" w:name="_Toc530560062"/>
      <w:r w:rsidRPr="00996758">
        <w:rPr>
          <w:rFonts w:ascii="Verdana" w:hAnsi="Verdana"/>
          <w:i/>
          <w:smallCaps/>
          <w:color w:val="auto"/>
          <w:sz w:val="20"/>
          <w:szCs w:val="20"/>
        </w:rPr>
        <w:t>Contexto: Magdalena Medio, Puerto N</w:t>
      </w:r>
      <w:r w:rsidR="0057731A" w:rsidRPr="00996758">
        <w:rPr>
          <w:rFonts w:ascii="Verdana" w:hAnsi="Verdana"/>
          <w:i/>
          <w:smallCaps/>
          <w:color w:val="auto"/>
          <w:sz w:val="20"/>
          <w:szCs w:val="20"/>
        </w:rPr>
        <w:t xml:space="preserve">are </w:t>
      </w:r>
      <w:r w:rsidRPr="00996758">
        <w:rPr>
          <w:rFonts w:ascii="Verdana" w:hAnsi="Verdana"/>
          <w:i/>
          <w:smallCaps/>
          <w:color w:val="auto"/>
          <w:sz w:val="20"/>
          <w:szCs w:val="20"/>
        </w:rPr>
        <w:t>y conflictividad</w:t>
      </w:r>
      <w:bookmarkEnd w:id="23"/>
    </w:p>
    <w:p w:rsidR="00FE534A" w:rsidRPr="00996758" w:rsidRDefault="00FE534A" w:rsidP="00AE1DD8">
      <w:pPr>
        <w:pStyle w:val="ListParagraph"/>
        <w:spacing w:after="0" w:line="240" w:lineRule="auto"/>
        <w:ind w:left="0"/>
        <w:jc w:val="both"/>
        <w:rPr>
          <w:rFonts w:ascii="Verdana" w:hAnsi="Verdana"/>
          <w:sz w:val="20"/>
          <w:szCs w:val="20"/>
        </w:rPr>
      </w:pPr>
    </w:p>
    <w:p w:rsidR="000D03EA" w:rsidRPr="00996758" w:rsidRDefault="000D03EA" w:rsidP="000D03EA">
      <w:pPr>
        <w:pStyle w:val="ListParagraph"/>
        <w:spacing w:after="0" w:line="240" w:lineRule="auto"/>
        <w:ind w:left="708"/>
        <w:jc w:val="both"/>
        <w:rPr>
          <w:rFonts w:ascii="Verdana" w:hAnsi="Verdana"/>
          <w:b/>
          <w:i/>
          <w:sz w:val="20"/>
          <w:szCs w:val="20"/>
        </w:rPr>
      </w:pPr>
      <w:r w:rsidRPr="00996758">
        <w:rPr>
          <w:rFonts w:ascii="Verdana" w:hAnsi="Verdana"/>
          <w:b/>
          <w:i/>
          <w:sz w:val="20"/>
          <w:szCs w:val="20"/>
        </w:rPr>
        <w:t>A.1</w:t>
      </w:r>
      <w:r w:rsidRPr="00996758">
        <w:rPr>
          <w:rFonts w:ascii="Verdana" w:hAnsi="Verdana"/>
          <w:b/>
          <w:i/>
          <w:sz w:val="20"/>
          <w:szCs w:val="20"/>
        </w:rPr>
        <w:tab/>
        <w:t xml:space="preserve">Magdalena Medio </w:t>
      </w:r>
      <w:r w:rsidR="0057731A" w:rsidRPr="00996758">
        <w:rPr>
          <w:rFonts w:ascii="Verdana" w:hAnsi="Verdana"/>
          <w:b/>
          <w:i/>
          <w:sz w:val="20"/>
          <w:szCs w:val="20"/>
        </w:rPr>
        <w:t xml:space="preserve">y paramilitarismo </w:t>
      </w:r>
    </w:p>
    <w:p w:rsidR="000D03EA" w:rsidRPr="00996758" w:rsidRDefault="000D03EA" w:rsidP="00AE1DD8">
      <w:pPr>
        <w:pStyle w:val="ListParagraph"/>
        <w:spacing w:after="0" w:line="240" w:lineRule="auto"/>
        <w:ind w:left="0"/>
        <w:jc w:val="both"/>
        <w:rPr>
          <w:rFonts w:ascii="Verdana" w:hAnsi="Verdana"/>
          <w:sz w:val="20"/>
          <w:szCs w:val="20"/>
        </w:rPr>
      </w:pPr>
    </w:p>
    <w:p w:rsidR="00C647DB" w:rsidRPr="00996758" w:rsidRDefault="00E5408F" w:rsidP="00C647DB">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L</w:t>
      </w:r>
      <w:r w:rsidR="00C647DB" w:rsidRPr="00996758">
        <w:rPr>
          <w:rFonts w:ascii="Verdana" w:hAnsi="Verdana"/>
          <w:sz w:val="20"/>
          <w:szCs w:val="20"/>
        </w:rPr>
        <w:t>a región del Magdalena Medio reviste una gran importancia estratégica y económica, principalmente por</w:t>
      </w:r>
      <w:r w:rsidR="001860A0" w:rsidRPr="00996758">
        <w:rPr>
          <w:rFonts w:ascii="Verdana" w:hAnsi="Verdana"/>
          <w:sz w:val="20"/>
          <w:szCs w:val="20"/>
        </w:rPr>
        <w:t xml:space="preserve"> su posición geográfica. A</w:t>
      </w:r>
      <w:r w:rsidR="00C647DB" w:rsidRPr="00996758">
        <w:rPr>
          <w:rFonts w:ascii="Verdana" w:hAnsi="Verdana"/>
          <w:sz w:val="20"/>
          <w:szCs w:val="20"/>
        </w:rPr>
        <w:t xml:space="preserve"> pesar de </w:t>
      </w:r>
      <w:r w:rsidR="001860A0" w:rsidRPr="00996758">
        <w:rPr>
          <w:rFonts w:ascii="Verdana" w:hAnsi="Verdana"/>
          <w:sz w:val="20"/>
          <w:szCs w:val="20"/>
        </w:rPr>
        <w:t xml:space="preserve">ello, </w:t>
      </w:r>
      <w:r w:rsidR="00C647DB" w:rsidRPr="00996758">
        <w:rPr>
          <w:rFonts w:ascii="Verdana" w:hAnsi="Verdana"/>
          <w:sz w:val="20"/>
          <w:szCs w:val="20"/>
        </w:rPr>
        <w:t>se ha manten</w:t>
      </w:r>
      <w:r w:rsidR="00277A8A" w:rsidRPr="00996758">
        <w:rPr>
          <w:rFonts w:ascii="Verdana" w:hAnsi="Verdana"/>
          <w:sz w:val="20"/>
          <w:szCs w:val="20"/>
        </w:rPr>
        <w:t>ido como una región periférica “</w:t>
      </w:r>
      <w:r w:rsidR="00C647DB" w:rsidRPr="00996758">
        <w:rPr>
          <w:rFonts w:ascii="Verdana" w:hAnsi="Verdana"/>
          <w:sz w:val="20"/>
          <w:szCs w:val="20"/>
        </w:rPr>
        <w:t>por la carencia de instituciones estatales”</w:t>
      </w:r>
      <w:r w:rsidR="00DC5713" w:rsidRPr="00996758">
        <w:rPr>
          <w:rFonts w:ascii="Verdana" w:hAnsi="Verdana"/>
          <w:sz w:val="20"/>
          <w:szCs w:val="20"/>
        </w:rPr>
        <w:t>, por lo cual</w:t>
      </w:r>
      <w:r w:rsidR="00C647DB" w:rsidRPr="00996758">
        <w:rPr>
          <w:rFonts w:ascii="Verdana" w:hAnsi="Verdana"/>
          <w:sz w:val="20"/>
          <w:szCs w:val="20"/>
        </w:rPr>
        <w:t xml:space="preserve"> gran parte de ese espacio ha sido llenado por todos los actores armados, convirtiéndose en una zona de alta conflictividad. En ese sentido, no </w:t>
      </w:r>
      <w:r w:rsidR="006B402A" w:rsidRPr="00996758">
        <w:rPr>
          <w:rFonts w:ascii="Verdana" w:hAnsi="Verdana"/>
          <w:sz w:val="20"/>
          <w:szCs w:val="20"/>
        </w:rPr>
        <w:t>fue</w:t>
      </w:r>
      <w:r w:rsidR="00C647DB" w:rsidRPr="00996758">
        <w:rPr>
          <w:rFonts w:ascii="Verdana" w:hAnsi="Verdana"/>
          <w:sz w:val="20"/>
          <w:szCs w:val="20"/>
        </w:rPr>
        <w:t xml:space="preserve"> “casual que en la zona emergieran, a mediados de la década de 1960, el Ejército de Liberación Nacional (ELN) y a finales de la década de 1970, las denominadas “Autodefensas”. A</w:t>
      </w:r>
      <w:r w:rsidR="00277A8A" w:rsidRPr="00996758">
        <w:rPr>
          <w:rFonts w:ascii="Verdana" w:hAnsi="Verdana"/>
          <w:sz w:val="20"/>
          <w:szCs w:val="20"/>
        </w:rPr>
        <w:t xml:space="preserve"> inicios de la década de 1980</w:t>
      </w:r>
      <w:r w:rsidR="00C647DB" w:rsidRPr="00996758">
        <w:rPr>
          <w:rFonts w:ascii="Verdana" w:hAnsi="Verdana"/>
          <w:sz w:val="20"/>
          <w:szCs w:val="20"/>
        </w:rPr>
        <w:t xml:space="preserve"> “incursionaron las Fuerzas Armadas Revolucionarias de Colombia Ejército del Pueblo FARC-EP, el Ejército Popular de Liberación (EPL) y seis batallones del Ejército Nacional”. Con respecto a la aparición de los grupos paramilitares en esa región, la Fiscalía General de la Nación (FGN) ha indicado que durante la década de los años 1970, “las fuerzas militares, particularmente de la región del Magdalena Medio y [d]el departamento del Huila, comenzaron a establecer lo que para la época se denominó ‘grupos de autodefensa’, con la misma filosofía de los grupos contra</w:t>
      </w:r>
      <w:r w:rsidR="008F1CE4" w:rsidRPr="00996758">
        <w:rPr>
          <w:rFonts w:ascii="Verdana" w:hAnsi="Verdana"/>
          <w:sz w:val="20"/>
          <w:szCs w:val="20"/>
        </w:rPr>
        <w:t>-</w:t>
      </w:r>
      <w:r w:rsidR="00C647DB" w:rsidRPr="00996758">
        <w:rPr>
          <w:rFonts w:ascii="Verdana" w:hAnsi="Verdana"/>
          <w:sz w:val="20"/>
          <w:szCs w:val="20"/>
        </w:rPr>
        <w:t>guerrilleros</w:t>
      </w:r>
      <w:r w:rsidR="001D2FDA" w:rsidRPr="00996758">
        <w:rPr>
          <w:rFonts w:ascii="Verdana" w:hAnsi="Verdana"/>
          <w:sz w:val="20"/>
          <w:szCs w:val="20"/>
        </w:rPr>
        <w:t>”</w:t>
      </w:r>
      <w:r w:rsidR="00C647DB" w:rsidRPr="00996758">
        <w:rPr>
          <w:rStyle w:val="FootnoteReference"/>
          <w:rFonts w:ascii="Verdana" w:hAnsi="Verdana"/>
          <w:sz w:val="20"/>
          <w:szCs w:val="20"/>
        </w:rPr>
        <w:footnoteReference w:id="38"/>
      </w:r>
      <w:r w:rsidR="00C647DB" w:rsidRPr="00996758">
        <w:rPr>
          <w:rFonts w:ascii="Verdana" w:hAnsi="Verdana"/>
          <w:sz w:val="20"/>
          <w:szCs w:val="20"/>
        </w:rPr>
        <w:t xml:space="preserve">. </w:t>
      </w:r>
    </w:p>
    <w:p w:rsidR="000D03EA" w:rsidRPr="00996758" w:rsidRDefault="000D03EA" w:rsidP="00C647DB">
      <w:pPr>
        <w:pStyle w:val="ListParagraph"/>
        <w:spacing w:after="0" w:line="240" w:lineRule="auto"/>
        <w:ind w:left="0"/>
        <w:jc w:val="both"/>
        <w:rPr>
          <w:rFonts w:ascii="Verdana" w:hAnsi="Verdana"/>
          <w:sz w:val="20"/>
          <w:szCs w:val="20"/>
        </w:rPr>
      </w:pPr>
    </w:p>
    <w:p w:rsidR="00C647DB" w:rsidRPr="00996758" w:rsidRDefault="00E5408F" w:rsidP="00C647DB">
      <w:pPr>
        <w:numPr>
          <w:ilvl w:val="0"/>
          <w:numId w:val="10"/>
        </w:numPr>
        <w:pBdr>
          <w:top w:val="nil"/>
        </w:pBdr>
        <w:spacing w:after="0" w:line="240" w:lineRule="auto"/>
        <w:ind w:left="0" w:firstLine="0"/>
        <w:jc w:val="both"/>
        <w:rPr>
          <w:rFonts w:ascii="Verdana" w:hAnsi="Verdana" w:cs="Verdana"/>
          <w:sz w:val="20"/>
          <w:szCs w:val="20"/>
        </w:rPr>
      </w:pPr>
      <w:r w:rsidRPr="00996758">
        <w:rPr>
          <w:rFonts w:ascii="Verdana" w:hAnsi="Verdana" w:cs="Verdana"/>
          <w:sz w:val="20"/>
          <w:szCs w:val="20"/>
        </w:rPr>
        <w:t>Tal como ha sido constatado e</w:t>
      </w:r>
      <w:r w:rsidR="00C647DB" w:rsidRPr="00996758">
        <w:rPr>
          <w:rFonts w:ascii="Verdana" w:hAnsi="Verdana" w:cs="Verdana"/>
          <w:sz w:val="20"/>
          <w:szCs w:val="20"/>
        </w:rPr>
        <w:t>n casos anteriores ante este Tribunal, en el marco de la lucha contra los grupos guerrilleros, el Estado impulsó la creación de “grupos de autodefensa” entre la población civil a través de un marco normativo, cuyos fines principales eran auxiliar a la Fuerza Pública en operaciones antisubversivas, para lo cual se les otorgaba permisos para el porte y tenencia de armas y apoyo logístico. Además, principalmente a partir de 1985, se hizo notorio que muchos de esos grupos cambiaron sus objetivos y se convirtieron en grupos de delincuencia, comúnmente llamados “paramilitares”, los cuales se desarrollaron primeramente en el Magdalena Medio y luego se extendieron a otras regiones del país</w:t>
      </w:r>
      <w:r w:rsidR="00C647DB" w:rsidRPr="00996758">
        <w:rPr>
          <w:rStyle w:val="FootnoteReference"/>
          <w:rFonts w:ascii="Verdana" w:hAnsi="Verdana" w:cs="Verdana"/>
          <w:sz w:val="20"/>
          <w:szCs w:val="20"/>
        </w:rPr>
        <w:footnoteReference w:id="39"/>
      </w:r>
      <w:r w:rsidR="00C647DB" w:rsidRPr="00996758">
        <w:rPr>
          <w:rFonts w:ascii="Verdana" w:hAnsi="Verdana" w:cs="Verdana"/>
          <w:sz w:val="20"/>
          <w:szCs w:val="20"/>
        </w:rPr>
        <w:t xml:space="preserve">.  </w:t>
      </w:r>
    </w:p>
    <w:p w:rsidR="00C647DB" w:rsidRPr="00996758" w:rsidRDefault="00C647DB" w:rsidP="00C647DB">
      <w:pPr>
        <w:pStyle w:val="ListParagraph"/>
        <w:spacing w:after="0" w:line="240" w:lineRule="auto"/>
        <w:ind w:left="0"/>
        <w:jc w:val="both"/>
        <w:rPr>
          <w:rFonts w:ascii="Verdana" w:hAnsi="Verdana"/>
          <w:sz w:val="20"/>
          <w:szCs w:val="20"/>
        </w:rPr>
      </w:pPr>
    </w:p>
    <w:p w:rsidR="00C647DB" w:rsidRPr="00996758" w:rsidRDefault="00C647DB" w:rsidP="00C647DB">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Uno de los grupos de autodefensa que actuaba en la región fue denominado Autodefensas Campesina</w:t>
      </w:r>
      <w:r w:rsidR="00334EDA" w:rsidRPr="00996758">
        <w:rPr>
          <w:rFonts w:ascii="Verdana" w:hAnsi="Verdana"/>
          <w:sz w:val="20"/>
          <w:szCs w:val="20"/>
        </w:rPr>
        <w:t>s del Magdalena Medio (“ACMM”)</w:t>
      </w:r>
      <w:r w:rsidRPr="00996758">
        <w:rPr>
          <w:rFonts w:ascii="Verdana" w:hAnsi="Verdana" w:cs="Verdana"/>
          <w:bCs/>
          <w:sz w:val="20"/>
          <w:szCs w:val="20"/>
        </w:rPr>
        <w:t xml:space="preserve">, </w:t>
      </w:r>
      <w:r w:rsidR="00ED0CEF" w:rsidRPr="00996758">
        <w:rPr>
          <w:rFonts w:ascii="Verdana" w:hAnsi="Verdana"/>
          <w:sz w:val="20"/>
          <w:szCs w:val="20"/>
        </w:rPr>
        <w:t>conocido en sus</w:t>
      </w:r>
      <w:r w:rsidRPr="00996758">
        <w:rPr>
          <w:rFonts w:ascii="Verdana" w:hAnsi="Verdana"/>
          <w:sz w:val="20"/>
          <w:szCs w:val="20"/>
        </w:rPr>
        <w:t xml:space="preserve"> inicios como “Los Escopeteros</w:t>
      </w:r>
      <w:r w:rsidR="001860A0" w:rsidRPr="00996758">
        <w:rPr>
          <w:rFonts w:ascii="Verdana" w:hAnsi="Verdana"/>
          <w:sz w:val="20"/>
          <w:szCs w:val="20"/>
        </w:rPr>
        <w:t xml:space="preserve">” y </w:t>
      </w:r>
      <w:r w:rsidRPr="00996758">
        <w:rPr>
          <w:rFonts w:ascii="Verdana" w:hAnsi="Verdana"/>
          <w:sz w:val="20"/>
          <w:szCs w:val="20"/>
        </w:rPr>
        <w:t>conformado por campesinos dueños de pequeñas y median</w:t>
      </w:r>
      <w:r w:rsidR="001860A0" w:rsidRPr="00996758">
        <w:rPr>
          <w:rFonts w:ascii="Verdana" w:hAnsi="Verdana"/>
          <w:sz w:val="20"/>
          <w:szCs w:val="20"/>
        </w:rPr>
        <w:t xml:space="preserve">as extensiones de tierra </w:t>
      </w:r>
      <w:r w:rsidRPr="00996758">
        <w:rPr>
          <w:rFonts w:ascii="Verdana" w:hAnsi="Verdana"/>
          <w:sz w:val="20"/>
          <w:szCs w:val="20"/>
        </w:rPr>
        <w:t xml:space="preserve">en febrero de 1978 </w:t>
      </w:r>
      <w:r w:rsidR="00ED0CEF" w:rsidRPr="00996758">
        <w:rPr>
          <w:rFonts w:ascii="Verdana" w:hAnsi="Verdana"/>
          <w:sz w:val="20"/>
          <w:szCs w:val="20"/>
        </w:rPr>
        <w:t>para</w:t>
      </w:r>
      <w:r w:rsidRPr="00996758">
        <w:rPr>
          <w:rFonts w:ascii="Verdana" w:hAnsi="Verdana"/>
          <w:sz w:val="20"/>
          <w:szCs w:val="20"/>
        </w:rPr>
        <w:t xml:space="preserve"> combatir a la guerrilla que manejaba la zona, para lo cual recibió ayuda del Ejército </w:t>
      </w:r>
      <w:r w:rsidRPr="00996758">
        <w:rPr>
          <w:rFonts w:ascii="Verdana" w:hAnsi="Verdana"/>
          <w:sz w:val="20"/>
          <w:szCs w:val="20"/>
        </w:rPr>
        <w:lastRenderedPageBreak/>
        <w:t>con armas, municiones, entrenamiento y respaldo en sus operaciones</w:t>
      </w:r>
      <w:r w:rsidR="00DC5713" w:rsidRPr="00996758">
        <w:rPr>
          <w:rStyle w:val="FootnoteReference"/>
          <w:rFonts w:ascii="Verdana" w:hAnsi="Verdana"/>
          <w:sz w:val="20"/>
          <w:szCs w:val="20"/>
        </w:rPr>
        <w:footnoteReference w:id="40"/>
      </w:r>
      <w:r w:rsidRPr="00996758">
        <w:rPr>
          <w:rFonts w:ascii="Verdana" w:hAnsi="Verdana"/>
          <w:sz w:val="20"/>
          <w:szCs w:val="20"/>
        </w:rPr>
        <w:t xml:space="preserve">. </w:t>
      </w:r>
      <w:r w:rsidR="00ED0CEF" w:rsidRPr="00996758">
        <w:rPr>
          <w:rFonts w:ascii="Verdana" w:hAnsi="Verdana"/>
          <w:sz w:val="20"/>
          <w:szCs w:val="20"/>
        </w:rPr>
        <w:t>Según</w:t>
      </w:r>
      <w:r w:rsidRPr="00996758">
        <w:rPr>
          <w:rFonts w:ascii="Verdana" w:hAnsi="Verdana"/>
          <w:sz w:val="20"/>
          <w:szCs w:val="20"/>
        </w:rPr>
        <w:t xml:space="preserve"> </w:t>
      </w:r>
      <w:r w:rsidR="00ED0CEF" w:rsidRPr="00996758">
        <w:rPr>
          <w:rFonts w:ascii="Verdana" w:hAnsi="Verdana"/>
          <w:sz w:val="20"/>
          <w:szCs w:val="20"/>
        </w:rPr>
        <w:t>la Fiscalía General de la Nació</w:t>
      </w:r>
      <w:r w:rsidR="009463F7" w:rsidRPr="00996758">
        <w:rPr>
          <w:rFonts w:ascii="Verdana" w:hAnsi="Verdana"/>
          <w:sz w:val="20"/>
          <w:szCs w:val="20"/>
        </w:rPr>
        <w:t>n</w:t>
      </w:r>
      <w:r w:rsidR="00ED0CEF" w:rsidRPr="00996758">
        <w:rPr>
          <w:rFonts w:ascii="Verdana" w:hAnsi="Verdana"/>
          <w:sz w:val="20"/>
          <w:szCs w:val="20"/>
        </w:rPr>
        <w:t>,</w:t>
      </w:r>
      <w:r w:rsidRPr="00996758">
        <w:rPr>
          <w:rFonts w:ascii="Verdana" w:hAnsi="Verdana"/>
          <w:sz w:val="20"/>
          <w:szCs w:val="20"/>
        </w:rPr>
        <w:t xml:space="preserve"> en 1982 las ACMM iniciaron su incursión en varias veredas situadas en el municipio de Puerto Boyacá, en los sitios en donde la subversión había estado extorsionando </w:t>
      </w:r>
      <w:r w:rsidR="003A67F9" w:rsidRPr="00996758">
        <w:rPr>
          <w:rFonts w:ascii="Verdana" w:hAnsi="Verdana"/>
          <w:sz w:val="20"/>
          <w:szCs w:val="20"/>
        </w:rPr>
        <w:t>–</w:t>
      </w:r>
      <w:r w:rsidRPr="00996758">
        <w:rPr>
          <w:rFonts w:ascii="Verdana" w:hAnsi="Verdana"/>
          <w:sz w:val="20"/>
          <w:szCs w:val="20"/>
        </w:rPr>
        <w:t>mediante el llamado “boleteo” y la llamada “vacuna”</w:t>
      </w:r>
      <w:r w:rsidR="003A67F9" w:rsidRPr="00996758">
        <w:rPr>
          <w:rFonts w:ascii="Verdana" w:hAnsi="Verdana"/>
          <w:sz w:val="20"/>
          <w:szCs w:val="20"/>
        </w:rPr>
        <w:t xml:space="preserve">– </w:t>
      </w:r>
      <w:r w:rsidRPr="00996758">
        <w:rPr>
          <w:rFonts w:ascii="Verdana" w:hAnsi="Verdana"/>
          <w:sz w:val="20"/>
          <w:szCs w:val="20"/>
        </w:rPr>
        <w:t>a varios agricultores y ganaderos de la región. Este momento del paramilitarismo en la región se caracterizó, entre otros, por la entrada en masa de los narcotraficantes, sea como financiadores (la guerra se volvía cada vez más costosa y no podía ser sufragada sólo con la ganadería extensiva) o como competidores</w:t>
      </w:r>
      <w:r w:rsidRPr="00996758">
        <w:rPr>
          <w:rStyle w:val="FootnoteReference"/>
          <w:rFonts w:ascii="Verdana" w:hAnsi="Verdana"/>
          <w:sz w:val="20"/>
          <w:szCs w:val="20"/>
        </w:rPr>
        <w:footnoteReference w:id="41"/>
      </w:r>
      <w:r w:rsidRPr="00996758">
        <w:rPr>
          <w:rFonts w:ascii="Verdana" w:hAnsi="Verdana"/>
          <w:sz w:val="20"/>
          <w:szCs w:val="20"/>
        </w:rPr>
        <w:t xml:space="preserve">. </w:t>
      </w:r>
    </w:p>
    <w:p w:rsidR="00C647DB" w:rsidRPr="00996758" w:rsidRDefault="00C647DB" w:rsidP="00C647DB">
      <w:pPr>
        <w:pStyle w:val="ListParagraph"/>
        <w:spacing w:after="0" w:line="240" w:lineRule="auto"/>
        <w:ind w:left="0"/>
        <w:jc w:val="both"/>
        <w:rPr>
          <w:rFonts w:ascii="Verdana" w:hAnsi="Verdana"/>
          <w:sz w:val="20"/>
          <w:szCs w:val="20"/>
        </w:rPr>
      </w:pPr>
    </w:p>
    <w:p w:rsidR="007C7BE9" w:rsidRPr="00996758" w:rsidRDefault="00C647DB" w:rsidP="0037179D">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En varios casos ante esta Corte, se ha podido comprobar, en distintos períodos y contextos geográficos, la existencia de vínculos entre miembros de la Fuerza Pública y las Fuerzas Armadas de Colombia y grupos paramilitares, los que habrían consistido en: a) acciones concretas de apoyo o colaboración, o en b) omisiones que permitieron o facilitaron la comisión de graves delitos po</w:t>
      </w:r>
      <w:r w:rsidR="000D03EA" w:rsidRPr="00996758">
        <w:rPr>
          <w:rFonts w:ascii="Verdana" w:hAnsi="Verdana"/>
          <w:sz w:val="20"/>
          <w:szCs w:val="20"/>
        </w:rPr>
        <w:t>r parte de actores no estatales</w:t>
      </w:r>
      <w:r w:rsidRPr="00996758">
        <w:rPr>
          <w:rStyle w:val="FootnoteReference"/>
          <w:rFonts w:ascii="Verdana" w:hAnsi="Verdana"/>
          <w:sz w:val="20"/>
          <w:szCs w:val="20"/>
        </w:rPr>
        <w:footnoteReference w:id="42"/>
      </w:r>
      <w:r w:rsidRPr="00996758">
        <w:rPr>
          <w:rFonts w:ascii="Verdana" w:hAnsi="Verdana"/>
          <w:sz w:val="20"/>
          <w:szCs w:val="20"/>
        </w:rPr>
        <w:t xml:space="preserve">. </w:t>
      </w:r>
      <w:r w:rsidR="007C7BE9" w:rsidRPr="00996758">
        <w:rPr>
          <w:rFonts w:ascii="Verdana" w:eastAsia="Verdana" w:hAnsi="Verdana"/>
          <w:sz w:val="20"/>
          <w:szCs w:val="20"/>
        </w:rPr>
        <w:t>La “legitimidad” de esos grupos paramilitares en la región fue públicamente reivindicada y promovida por altos estamentos de las Fuerzas Armadas</w:t>
      </w:r>
      <w:r w:rsidR="007C7BE9" w:rsidRPr="00996758">
        <w:rPr>
          <w:rStyle w:val="FootnoteReference"/>
          <w:rFonts w:ascii="Verdana" w:eastAsia="Verdana" w:hAnsi="Verdana"/>
          <w:sz w:val="20"/>
          <w:szCs w:val="20"/>
        </w:rPr>
        <w:footnoteReference w:id="43"/>
      </w:r>
      <w:r w:rsidR="007C7BE9" w:rsidRPr="00996758">
        <w:rPr>
          <w:rFonts w:ascii="Verdana" w:eastAsia="Verdana" w:hAnsi="Verdana"/>
          <w:sz w:val="20"/>
          <w:szCs w:val="20"/>
        </w:rPr>
        <w:t xml:space="preserve"> y los nexos referidos han sido también revelados en declaraciones de paramilitares</w:t>
      </w:r>
      <w:r w:rsidR="007C7BE9" w:rsidRPr="00996758">
        <w:rPr>
          <w:rStyle w:val="FootnoteReference"/>
          <w:rFonts w:ascii="Verdana" w:hAnsi="Verdana"/>
          <w:sz w:val="20"/>
          <w:szCs w:val="20"/>
        </w:rPr>
        <w:footnoteReference w:id="44"/>
      </w:r>
      <w:r w:rsidR="007C7BE9" w:rsidRPr="00996758">
        <w:rPr>
          <w:rFonts w:ascii="Verdana" w:eastAsia="Verdana" w:hAnsi="Verdana"/>
          <w:sz w:val="20"/>
          <w:szCs w:val="20"/>
        </w:rPr>
        <w:t>.</w:t>
      </w:r>
    </w:p>
    <w:p w:rsidR="00C647DB" w:rsidRPr="00996758" w:rsidRDefault="00C647DB" w:rsidP="00C647DB">
      <w:pPr>
        <w:pStyle w:val="ListParagraph"/>
        <w:spacing w:after="0" w:line="240" w:lineRule="auto"/>
        <w:ind w:left="0"/>
        <w:jc w:val="both"/>
        <w:rPr>
          <w:rFonts w:ascii="Verdana" w:hAnsi="Verdana"/>
          <w:sz w:val="20"/>
          <w:szCs w:val="20"/>
        </w:rPr>
      </w:pPr>
    </w:p>
    <w:p w:rsidR="00C647DB" w:rsidRPr="00996758" w:rsidRDefault="00C647DB" w:rsidP="00C647DB">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Así, con la interpretación que durante años se dio al marco legal, el Estado propició la conformación de dichos grupos, es decir, creó objetivamente una situación de rie</w:t>
      </w:r>
      <w:r w:rsidR="000D03EA" w:rsidRPr="00996758">
        <w:rPr>
          <w:rFonts w:ascii="Verdana" w:hAnsi="Verdana"/>
          <w:sz w:val="20"/>
          <w:szCs w:val="20"/>
        </w:rPr>
        <w:t>sgo para sus habitantes</w:t>
      </w:r>
      <w:r w:rsidRPr="00996758">
        <w:rPr>
          <w:rStyle w:val="FootnoteReference"/>
          <w:rFonts w:ascii="Verdana" w:hAnsi="Verdana"/>
          <w:sz w:val="20"/>
          <w:szCs w:val="20"/>
        </w:rPr>
        <w:footnoteReference w:id="45"/>
      </w:r>
      <w:r w:rsidRPr="00996758">
        <w:rPr>
          <w:rFonts w:ascii="Verdana" w:hAnsi="Verdana"/>
          <w:sz w:val="20"/>
          <w:szCs w:val="20"/>
        </w:rPr>
        <w:t>.</w:t>
      </w:r>
      <w:r w:rsidR="0037179D" w:rsidRPr="00996758">
        <w:rPr>
          <w:rFonts w:ascii="Verdana" w:hAnsi="Verdana"/>
          <w:sz w:val="20"/>
          <w:szCs w:val="20"/>
        </w:rPr>
        <w:t xml:space="preserve"> Ciertamente, </w:t>
      </w:r>
      <w:r w:rsidRPr="00996758">
        <w:rPr>
          <w:rFonts w:ascii="Verdana" w:hAnsi="Verdana" w:cs="Verdana"/>
          <w:sz w:val="20"/>
          <w:szCs w:val="20"/>
        </w:rPr>
        <w:t xml:space="preserve">a partir de enero de 1988, el Estado comenzó a adoptar medidas normativas para </w:t>
      </w:r>
      <w:r w:rsidR="0037179D" w:rsidRPr="00996758">
        <w:rPr>
          <w:rFonts w:ascii="Verdana" w:hAnsi="Verdana"/>
          <w:sz w:val="20"/>
          <w:szCs w:val="20"/>
        </w:rPr>
        <w:t>excluir de su ordenamiento jurídico las disposiciones que promovían la creación y el funcionamiento de estos grupos y para promover su desarticulación, su reinserción a la vida civil y la investigación y sanción de sus conductas delictivas</w:t>
      </w:r>
      <w:r w:rsidRPr="00996758">
        <w:rPr>
          <w:rStyle w:val="FootnoteReference"/>
          <w:rFonts w:ascii="Verdana" w:hAnsi="Verdana"/>
          <w:sz w:val="20"/>
          <w:szCs w:val="20"/>
        </w:rPr>
        <w:footnoteReference w:id="46"/>
      </w:r>
      <w:r w:rsidRPr="00996758">
        <w:rPr>
          <w:rFonts w:ascii="Verdana" w:hAnsi="Verdana"/>
          <w:sz w:val="20"/>
          <w:szCs w:val="20"/>
        </w:rPr>
        <w:t xml:space="preserve">. </w:t>
      </w:r>
    </w:p>
    <w:p w:rsidR="0057731A" w:rsidRPr="00996758" w:rsidRDefault="0057731A" w:rsidP="0057731A">
      <w:pPr>
        <w:pStyle w:val="ListParagraph"/>
        <w:spacing w:after="0" w:line="240" w:lineRule="auto"/>
        <w:ind w:left="0"/>
        <w:jc w:val="both"/>
        <w:rPr>
          <w:rFonts w:ascii="Verdana" w:hAnsi="Verdana"/>
          <w:sz w:val="20"/>
          <w:szCs w:val="20"/>
        </w:rPr>
      </w:pPr>
    </w:p>
    <w:p w:rsidR="00D275ED" w:rsidRPr="00996758" w:rsidRDefault="00D275ED" w:rsidP="0057731A">
      <w:pPr>
        <w:pStyle w:val="ListParagraph"/>
        <w:spacing w:after="0" w:line="240" w:lineRule="auto"/>
        <w:ind w:left="0"/>
        <w:jc w:val="both"/>
        <w:rPr>
          <w:rFonts w:ascii="Verdana" w:hAnsi="Verdana"/>
          <w:sz w:val="20"/>
          <w:szCs w:val="20"/>
        </w:rPr>
      </w:pPr>
    </w:p>
    <w:p w:rsidR="0057731A" w:rsidRPr="00996758" w:rsidRDefault="0057731A" w:rsidP="0057731A">
      <w:pPr>
        <w:pStyle w:val="ListParagraph"/>
        <w:spacing w:after="0" w:line="240" w:lineRule="auto"/>
        <w:ind w:left="708"/>
        <w:jc w:val="both"/>
        <w:rPr>
          <w:rFonts w:ascii="Verdana" w:hAnsi="Verdana"/>
          <w:b/>
          <w:i/>
          <w:sz w:val="20"/>
          <w:szCs w:val="20"/>
        </w:rPr>
      </w:pPr>
      <w:r w:rsidRPr="00996758">
        <w:rPr>
          <w:rFonts w:ascii="Verdana" w:hAnsi="Verdana"/>
          <w:b/>
          <w:i/>
          <w:sz w:val="20"/>
          <w:szCs w:val="20"/>
        </w:rPr>
        <w:t>A.2</w:t>
      </w:r>
      <w:r w:rsidRPr="00996758">
        <w:rPr>
          <w:rFonts w:ascii="Verdana" w:hAnsi="Verdana"/>
          <w:b/>
          <w:i/>
          <w:sz w:val="20"/>
          <w:szCs w:val="20"/>
        </w:rPr>
        <w:tab/>
        <w:t>Puerto Nare, actividad económica, sindicalismo y violencia anti-sindical</w:t>
      </w:r>
    </w:p>
    <w:p w:rsidR="0057731A" w:rsidRPr="00996758" w:rsidRDefault="0057731A" w:rsidP="00AE1DD8">
      <w:pPr>
        <w:pStyle w:val="ListParagraph"/>
        <w:spacing w:after="0" w:line="240" w:lineRule="auto"/>
        <w:ind w:left="0"/>
        <w:jc w:val="both"/>
        <w:rPr>
          <w:rFonts w:ascii="Verdana" w:hAnsi="Verdana"/>
          <w:sz w:val="20"/>
          <w:szCs w:val="20"/>
        </w:rPr>
      </w:pPr>
    </w:p>
    <w:p w:rsidR="005E4DE7" w:rsidRPr="00996758" w:rsidRDefault="005E4DE7" w:rsidP="002F0D15">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cs="Arial"/>
          <w:sz w:val="20"/>
          <w:szCs w:val="20"/>
          <w:shd w:val="clear" w:color="auto" w:fill="FFFFFF"/>
        </w:rPr>
        <w:t xml:space="preserve">El </w:t>
      </w:r>
      <w:r w:rsidRPr="00996758">
        <w:rPr>
          <w:rFonts w:ascii="Verdana" w:hAnsi="Verdana"/>
          <w:sz w:val="20"/>
          <w:szCs w:val="20"/>
        </w:rPr>
        <w:t>municipio</w:t>
      </w:r>
      <w:r w:rsidRPr="00996758">
        <w:rPr>
          <w:rFonts w:ascii="Verdana" w:hAnsi="Verdana" w:cs="Arial"/>
          <w:sz w:val="20"/>
          <w:szCs w:val="20"/>
          <w:shd w:val="clear" w:color="auto" w:fill="FFFFFF"/>
        </w:rPr>
        <w:t xml:space="preserve"> de Puerto Nare se encuentra ubicado en la región del Magdalena Medio, en el Departamento de Antioquia, </w:t>
      </w:r>
      <w:r w:rsidR="006B402A" w:rsidRPr="00996758">
        <w:rPr>
          <w:rFonts w:ascii="Verdana" w:hAnsi="Verdana" w:cs="Arial"/>
          <w:sz w:val="20"/>
          <w:szCs w:val="20"/>
          <w:shd w:val="clear" w:color="auto" w:fill="FFFFFF"/>
        </w:rPr>
        <w:t>a orillas</w:t>
      </w:r>
      <w:r w:rsidR="006B402A" w:rsidRPr="00996758">
        <w:rPr>
          <w:rFonts w:ascii="Verdana" w:hAnsi="Verdana"/>
          <w:sz w:val="20"/>
          <w:szCs w:val="20"/>
        </w:rPr>
        <w:t xml:space="preserve"> del río Magdalena a escasos kilómetros del municipio de Puerto Boyacá</w:t>
      </w:r>
      <w:r w:rsidR="006B402A" w:rsidRPr="00996758">
        <w:rPr>
          <w:rFonts w:ascii="Verdana" w:hAnsi="Verdana" w:cs="Arial"/>
          <w:sz w:val="20"/>
          <w:szCs w:val="20"/>
          <w:shd w:val="clear" w:color="auto" w:fill="FFFFFF"/>
        </w:rPr>
        <w:t xml:space="preserve"> </w:t>
      </w:r>
      <w:r w:rsidR="00FF3453" w:rsidRPr="00996758">
        <w:rPr>
          <w:rFonts w:ascii="Verdana" w:hAnsi="Verdana" w:cs="Arial"/>
          <w:sz w:val="20"/>
          <w:szCs w:val="20"/>
          <w:shd w:val="clear" w:color="auto" w:fill="FFFFFF"/>
        </w:rPr>
        <w:t xml:space="preserve">y </w:t>
      </w:r>
      <w:r w:rsidRPr="00996758">
        <w:rPr>
          <w:rFonts w:ascii="Verdana" w:hAnsi="Verdana" w:cs="Arial"/>
          <w:sz w:val="20"/>
          <w:szCs w:val="20"/>
          <w:shd w:val="clear" w:color="auto" w:fill="FFFFFF"/>
        </w:rPr>
        <w:t xml:space="preserve">limita con los municipios de San Luis, Puerto Berrío, Puerto Triunfo, Caracolí </w:t>
      </w:r>
      <w:r w:rsidR="00BA1874" w:rsidRPr="00996758">
        <w:rPr>
          <w:rFonts w:ascii="Verdana" w:hAnsi="Verdana" w:cs="Arial"/>
          <w:sz w:val="20"/>
          <w:szCs w:val="20"/>
          <w:shd w:val="clear" w:color="auto" w:fill="FFFFFF"/>
        </w:rPr>
        <w:t>y San Carlos</w:t>
      </w:r>
      <w:r w:rsidR="006B402A" w:rsidRPr="00996758">
        <w:rPr>
          <w:rFonts w:ascii="Verdana" w:hAnsi="Verdana" w:cs="Arial"/>
          <w:sz w:val="20"/>
          <w:szCs w:val="20"/>
          <w:shd w:val="clear" w:color="auto" w:fill="FFFFFF"/>
        </w:rPr>
        <w:t xml:space="preserve">. </w:t>
      </w:r>
      <w:r w:rsidR="006408A2" w:rsidRPr="00996758">
        <w:rPr>
          <w:rFonts w:ascii="Verdana" w:hAnsi="Verdana"/>
          <w:sz w:val="20"/>
          <w:szCs w:val="20"/>
        </w:rPr>
        <w:t>En relación con</w:t>
      </w:r>
      <w:r w:rsidRPr="00996758">
        <w:rPr>
          <w:rFonts w:ascii="Verdana" w:hAnsi="Verdana"/>
          <w:sz w:val="20"/>
          <w:szCs w:val="20"/>
        </w:rPr>
        <w:t xml:space="preserve"> </w:t>
      </w:r>
      <w:r w:rsidR="003E1A42" w:rsidRPr="00996758">
        <w:rPr>
          <w:rFonts w:ascii="Verdana" w:hAnsi="Verdana"/>
          <w:sz w:val="20"/>
          <w:szCs w:val="20"/>
        </w:rPr>
        <w:t xml:space="preserve">la </w:t>
      </w:r>
      <w:r w:rsidRPr="00996758">
        <w:rPr>
          <w:rFonts w:ascii="Verdana" w:hAnsi="Verdana"/>
          <w:sz w:val="20"/>
          <w:szCs w:val="20"/>
        </w:rPr>
        <w:t>riqueza natural</w:t>
      </w:r>
      <w:r w:rsidR="006B402A" w:rsidRPr="00996758">
        <w:rPr>
          <w:rFonts w:ascii="Verdana" w:hAnsi="Verdana"/>
          <w:sz w:val="20"/>
          <w:szCs w:val="20"/>
        </w:rPr>
        <w:t xml:space="preserve"> y proyección industrial y minera</w:t>
      </w:r>
      <w:r w:rsidR="003E1A42" w:rsidRPr="00996758">
        <w:rPr>
          <w:rFonts w:ascii="Verdana" w:hAnsi="Verdana"/>
          <w:sz w:val="20"/>
          <w:szCs w:val="20"/>
        </w:rPr>
        <w:t xml:space="preserve"> del municipio</w:t>
      </w:r>
      <w:r w:rsidRPr="00996758">
        <w:rPr>
          <w:rFonts w:ascii="Verdana" w:hAnsi="Verdana"/>
          <w:sz w:val="20"/>
          <w:szCs w:val="20"/>
        </w:rPr>
        <w:t xml:space="preserve">, en las primeras décadas del siglo </w:t>
      </w:r>
      <w:r w:rsidR="008660C8" w:rsidRPr="00996758">
        <w:rPr>
          <w:rFonts w:ascii="Verdana" w:hAnsi="Verdana"/>
          <w:sz w:val="20"/>
          <w:szCs w:val="20"/>
        </w:rPr>
        <w:t>XX</w:t>
      </w:r>
      <w:r w:rsidR="00D54B17" w:rsidRPr="00996758">
        <w:rPr>
          <w:rFonts w:ascii="Verdana" w:hAnsi="Verdana"/>
          <w:sz w:val="20"/>
          <w:szCs w:val="20"/>
        </w:rPr>
        <w:t xml:space="preserve"> se asentaron</w:t>
      </w:r>
      <w:r w:rsidRPr="00996758">
        <w:rPr>
          <w:rFonts w:ascii="Verdana" w:hAnsi="Verdana"/>
          <w:sz w:val="20"/>
          <w:szCs w:val="20"/>
        </w:rPr>
        <w:t xml:space="preserve"> </w:t>
      </w:r>
      <w:r w:rsidR="00BA1874" w:rsidRPr="00996758">
        <w:rPr>
          <w:rFonts w:ascii="Verdana" w:hAnsi="Verdana"/>
          <w:sz w:val="20"/>
          <w:szCs w:val="20"/>
        </w:rPr>
        <w:t>en el municipio</w:t>
      </w:r>
      <w:r w:rsidRPr="00996758">
        <w:rPr>
          <w:rFonts w:ascii="Verdana" w:hAnsi="Verdana"/>
          <w:sz w:val="20"/>
          <w:szCs w:val="20"/>
        </w:rPr>
        <w:t xml:space="preserve"> la</w:t>
      </w:r>
      <w:r w:rsidR="00D54B17" w:rsidRPr="00996758">
        <w:rPr>
          <w:rFonts w:ascii="Verdana" w:hAnsi="Verdana"/>
          <w:sz w:val="20"/>
          <w:szCs w:val="20"/>
        </w:rPr>
        <w:t>s</w:t>
      </w:r>
      <w:r w:rsidRPr="00996758">
        <w:rPr>
          <w:rFonts w:ascii="Verdana" w:hAnsi="Verdana"/>
          <w:sz w:val="20"/>
          <w:szCs w:val="20"/>
        </w:rPr>
        <w:t xml:space="preserve"> empresa</w:t>
      </w:r>
      <w:r w:rsidR="00D54B17" w:rsidRPr="00996758">
        <w:rPr>
          <w:rFonts w:ascii="Verdana" w:hAnsi="Verdana"/>
          <w:sz w:val="20"/>
          <w:szCs w:val="20"/>
        </w:rPr>
        <w:t>s</w:t>
      </w:r>
      <w:r w:rsidRPr="00996758">
        <w:rPr>
          <w:rFonts w:ascii="Verdana" w:hAnsi="Verdana"/>
          <w:sz w:val="20"/>
          <w:szCs w:val="20"/>
        </w:rPr>
        <w:t xml:space="preserve"> “Cementos del Nare S.A.” y</w:t>
      </w:r>
      <w:r w:rsidR="00D54B17" w:rsidRPr="00996758">
        <w:rPr>
          <w:rFonts w:ascii="Verdana" w:hAnsi="Verdana"/>
          <w:sz w:val="20"/>
          <w:szCs w:val="20"/>
        </w:rPr>
        <w:t>,</w:t>
      </w:r>
      <w:r w:rsidRPr="00996758">
        <w:rPr>
          <w:rFonts w:ascii="Verdana" w:hAnsi="Verdana"/>
          <w:sz w:val="20"/>
          <w:szCs w:val="20"/>
        </w:rPr>
        <w:t xml:space="preserve"> posteriormente, “Colcarburos S.A.”, en el corregimiento de La Sierra</w:t>
      </w:r>
      <w:r w:rsidR="00BA1874" w:rsidRPr="00996758">
        <w:rPr>
          <w:rStyle w:val="FootnoteReference"/>
          <w:rFonts w:ascii="Verdana" w:hAnsi="Verdana" w:cs="Arial"/>
          <w:sz w:val="20"/>
          <w:szCs w:val="20"/>
          <w:shd w:val="clear" w:color="auto" w:fill="FFFFFF"/>
        </w:rPr>
        <w:footnoteReference w:id="47"/>
      </w:r>
      <w:r w:rsidR="00FE534A" w:rsidRPr="00996758">
        <w:rPr>
          <w:rFonts w:ascii="Verdana" w:hAnsi="Verdana"/>
          <w:sz w:val="20"/>
          <w:szCs w:val="20"/>
        </w:rPr>
        <w:t>.</w:t>
      </w:r>
    </w:p>
    <w:p w:rsidR="005E4DE7" w:rsidRPr="00996758" w:rsidRDefault="005E4DE7">
      <w:pPr>
        <w:pStyle w:val="Default"/>
        <w:jc w:val="both"/>
        <w:rPr>
          <w:sz w:val="20"/>
          <w:szCs w:val="20"/>
        </w:rPr>
      </w:pPr>
    </w:p>
    <w:p w:rsidR="005E4DE7" w:rsidRPr="00996758" w:rsidRDefault="005E4DE7" w:rsidP="00FA4555">
      <w:pPr>
        <w:pStyle w:val="ListParagraph"/>
        <w:numPr>
          <w:ilvl w:val="0"/>
          <w:numId w:val="10"/>
        </w:numPr>
        <w:spacing w:after="0" w:line="240" w:lineRule="auto"/>
        <w:ind w:left="0" w:firstLine="0"/>
        <w:jc w:val="both"/>
        <w:rPr>
          <w:rFonts w:ascii="Verdana" w:hAnsi="Verdana" w:cs="NewBaskervilleStd-Roman"/>
          <w:sz w:val="20"/>
          <w:szCs w:val="20"/>
        </w:rPr>
      </w:pPr>
      <w:r w:rsidRPr="00996758">
        <w:rPr>
          <w:rFonts w:ascii="Verdana" w:hAnsi="Verdana"/>
          <w:sz w:val="20"/>
          <w:szCs w:val="20"/>
        </w:rPr>
        <w:t xml:space="preserve">Las organizaciones sindicales creadas por los trabajadores de Cementos del Nare y de Colcarburos en Puerto Nare se afiliaron </w:t>
      </w:r>
      <w:r w:rsidR="00BF1E57" w:rsidRPr="00996758">
        <w:rPr>
          <w:rFonts w:ascii="Verdana" w:hAnsi="Verdana"/>
          <w:sz w:val="20"/>
          <w:szCs w:val="20"/>
        </w:rPr>
        <w:t>al “Sindicato Único de Trabajadores de la Industria de Materiales de la Construcción” (SUTIMAC), creado en 1971</w:t>
      </w:r>
      <w:r w:rsidRPr="00996758">
        <w:rPr>
          <w:rFonts w:ascii="Verdana" w:hAnsi="Verdana"/>
          <w:sz w:val="20"/>
          <w:szCs w:val="20"/>
        </w:rPr>
        <w:t>, dando así nacimiento a la “Seccional Nare de Sutimac”</w:t>
      </w:r>
      <w:r w:rsidR="003E1A42" w:rsidRPr="00996758">
        <w:rPr>
          <w:rFonts w:ascii="Verdana" w:hAnsi="Verdana"/>
          <w:sz w:val="20"/>
          <w:szCs w:val="20"/>
        </w:rPr>
        <w:t>.</w:t>
      </w:r>
      <w:r w:rsidRPr="00996758">
        <w:rPr>
          <w:rFonts w:ascii="Verdana" w:hAnsi="Verdana"/>
          <w:sz w:val="20"/>
          <w:szCs w:val="20"/>
        </w:rPr>
        <w:t xml:space="preserve"> </w:t>
      </w:r>
      <w:r w:rsidRPr="00996758">
        <w:rPr>
          <w:rFonts w:ascii="Verdana" w:hAnsi="Verdana" w:cs="NewBaskervilleStd-Roman"/>
          <w:sz w:val="20"/>
          <w:szCs w:val="20"/>
        </w:rPr>
        <w:t>Para</w:t>
      </w:r>
      <w:r w:rsidR="006B5757" w:rsidRPr="00996758">
        <w:rPr>
          <w:rFonts w:ascii="Verdana" w:hAnsi="Verdana" w:cs="NewBaskervilleStd-Roman"/>
          <w:sz w:val="20"/>
          <w:szCs w:val="20"/>
        </w:rPr>
        <w:t xml:space="preserve"> 1986, SUTIMAC </w:t>
      </w:r>
      <w:r w:rsidRPr="00996758">
        <w:rPr>
          <w:rFonts w:ascii="Verdana" w:hAnsi="Verdana"/>
          <w:sz w:val="20"/>
          <w:szCs w:val="20"/>
        </w:rPr>
        <w:t>contaba con cuatro seccionales: Nare</w:t>
      </w:r>
      <w:r w:rsidR="00FE534A" w:rsidRPr="00996758">
        <w:rPr>
          <w:rFonts w:ascii="Verdana" w:hAnsi="Verdana"/>
          <w:sz w:val="20"/>
          <w:szCs w:val="20"/>
        </w:rPr>
        <w:t>, Medellín, Itagüí y Caracolí. Entre 1981 y 1985 SUTIMAC organizó</w:t>
      </w:r>
      <w:r w:rsidRPr="00996758">
        <w:rPr>
          <w:rFonts w:ascii="Verdana" w:hAnsi="Verdana"/>
          <w:sz w:val="20"/>
          <w:szCs w:val="20"/>
        </w:rPr>
        <w:t xml:space="preserve"> paro</w:t>
      </w:r>
      <w:r w:rsidR="00FE534A" w:rsidRPr="00996758">
        <w:rPr>
          <w:rFonts w:ascii="Verdana" w:hAnsi="Verdana"/>
          <w:sz w:val="20"/>
          <w:szCs w:val="20"/>
        </w:rPr>
        <w:t>s o huelgas</w:t>
      </w:r>
      <w:r w:rsidRPr="00996758">
        <w:rPr>
          <w:rFonts w:ascii="Verdana" w:hAnsi="Verdana"/>
          <w:sz w:val="20"/>
          <w:szCs w:val="20"/>
        </w:rPr>
        <w:t>, particularmente en las empresas cementeras en Pue</w:t>
      </w:r>
      <w:r w:rsidR="00FE534A" w:rsidRPr="00996758">
        <w:rPr>
          <w:rFonts w:ascii="Verdana" w:hAnsi="Verdana"/>
          <w:sz w:val="20"/>
          <w:szCs w:val="20"/>
        </w:rPr>
        <w:t xml:space="preserve">rto Nare o </w:t>
      </w:r>
      <w:r w:rsidRPr="00996758">
        <w:rPr>
          <w:rFonts w:ascii="Verdana" w:hAnsi="Verdana"/>
          <w:sz w:val="20"/>
          <w:szCs w:val="20"/>
        </w:rPr>
        <w:t>junto con otros sindicatos de la industria cementera, afiliados a la Federación Nacional de Trabajadores de la Construcción</w:t>
      </w:r>
      <w:r w:rsidR="00FE534A" w:rsidRPr="00996758">
        <w:rPr>
          <w:rFonts w:ascii="Verdana" w:hAnsi="Verdana"/>
          <w:sz w:val="20"/>
          <w:szCs w:val="20"/>
        </w:rPr>
        <w:t xml:space="preserve"> y del Cemento (FENALTRACONCEM)</w:t>
      </w:r>
      <w:r w:rsidRPr="00996758">
        <w:rPr>
          <w:rStyle w:val="FootnoteReference"/>
          <w:rFonts w:ascii="Verdana" w:hAnsi="Verdana" w:cs="NewBaskervilleStd-Roman"/>
          <w:sz w:val="20"/>
          <w:szCs w:val="20"/>
        </w:rPr>
        <w:footnoteReference w:id="48"/>
      </w:r>
      <w:r w:rsidRPr="00996758">
        <w:rPr>
          <w:rFonts w:ascii="Verdana" w:hAnsi="Verdana"/>
          <w:sz w:val="20"/>
          <w:szCs w:val="20"/>
        </w:rPr>
        <w:t>.</w:t>
      </w:r>
      <w:r w:rsidRPr="00996758">
        <w:rPr>
          <w:rFonts w:ascii="Verdana" w:hAnsi="Verdana" w:cs="NewBaskervilleStd-Roman"/>
          <w:sz w:val="20"/>
          <w:szCs w:val="20"/>
        </w:rPr>
        <w:t xml:space="preserve"> </w:t>
      </w:r>
    </w:p>
    <w:p w:rsidR="00B56CF2" w:rsidRPr="00996758" w:rsidRDefault="00B56CF2">
      <w:pPr>
        <w:pStyle w:val="ListParagraph"/>
        <w:spacing w:after="0" w:line="240" w:lineRule="auto"/>
        <w:ind w:left="0"/>
        <w:jc w:val="both"/>
        <w:rPr>
          <w:rFonts w:ascii="Verdana" w:hAnsi="Verdana"/>
          <w:sz w:val="20"/>
          <w:szCs w:val="20"/>
        </w:rPr>
      </w:pPr>
    </w:p>
    <w:p w:rsidR="00ED32E0" w:rsidRPr="00996758" w:rsidRDefault="00ED32E0" w:rsidP="00ED32E0">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cs="Times New Roman"/>
          <w:sz w:val="20"/>
          <w:szCs w:val="20"/>
        </w:rPr>
        <w:lastRenderedPageBreak/>
        <w:t xml:space="preserve">Dicho </w:t>
      </w:r>
      <w:r w:rsidRPr="00996758">
        <w:rPr>
          <w:rFonts w:ascii="Verdana" w:hAnsi="Verdana"/>
          <w:sz w:val="20"/>
          <w:szCs w:val="20"/>
        </w:rPr>
        <w:t>sindicato</w:t>
      </w:r>
      <w:r w:rsidRPr="00996758">
        <w:rPr>
          <w:rFonts w:ascii="Verdana" w:hAnsi="Verdana" w:cs="Times New Roman"/>
          <w:sz w:val="20"/>
          <w:szCs w:val="20"/>
        </w:rPr>
        <w:t xml:space="preserve"> representó una estrecha relación entre las reivindicaciones sindicales y las luchas populares y, p</w:t>
      </w:r>
      <w:r w:rsidRPr="00996758">
        <w:rPr>
          <w:rFonts w:ascii="Verdana" w:hAnsi="Verdana" w:cs="Times New Roman"/>
          <w:bCs/>
          <w:sz w:val="20"/>
          <w:szCs w:val="20"/>
        </w:rPr>
        <w:t>osteriormente, el Partido Comunista de Colombia (PCC) empezó a ejercer una gran influencia en el mismo</w:t>
      </w:r>
      <w:r w:rsidRPr="00996758">
        <w:rPr>
          <w:rStyle w:val="FootnoteReference"/>
          <w:rFonts w:ascii="Verdana" w:hAnsi="Verdana" w:cs="Times New Roman"/>
          <w:sz w:val="20"/>
          <w:szCs w:val="20"/>
        </w:rPr>
        <w:footnoteReference w:id="49"/>
      </w:r>
      <w:r w:rsidRPr="00996758">
        <w:rPr>
          <w:rFonts w:ascii="Verdana" w:hAnsi="Verdana" w:cs="Times New Roman"/>
          <w:bCs/>
          <w:sz w:val="20"/>
          <w:szCs w:val="20"/>
        </w:rPr>
        <w:t>. A</w:t>
      </w:r>
      <w:r w:rsidRPr="00996758">
        <w:rPr>
          <w:rFonts w:ascii="Verdana" w:hAnsi="Verdana"/>
          <w:sz w:val="20"/>
          <w:szCs w:val="20"/>
        </w:rPr>
        <w:t xml:space="preserve"> mediados de los años </w:t>
      </w:r>
      <w:r w:rsidR="00645295" w:rsidRPr="00996758">
        <w:rPr>
          <w:rFonts w:ascii="Verdana" w:hAnsi="Verdana"/>
          <w:sz w:val="20"/>
          <w:szCs w:val="20"/>
        </w:rPr>
        <w:t>19</w:t>
      </w:r>
      <w:r w:rsidRPr="00996758">
        <w:rPr>
          <w:rFonts w:ascii="Verdana" w:hAnsi="Verdana"/>
          <w:sz w:val="20"/>
          <w:szCs w:val="20"/>
        </w:rPr>
        <w:t xml:space="preserve">80, la aparición del partido político </w:t>
      </w:r>
      <w:r w:rsidR="003938FE" w:rsidRPr="00996758">
        <w:rPr>
          <w:rFonts w:ascii="Verdana" w:hAnsi="Verdana"/>
          <w:sz w:val="20"/>
          <w:szCs w:val="20"/>
        </w:rPr>
        <w:t>Unión Patriótica (UP)</w:t>
      </w:r>
      <w:r w:rsidRPr="00996758">
        <w:rPr>
          <w:rFonts w:ascii="Verdana" w:hAnsi="Verdana"/>
          <w:sz w:val="20"/>
          <w:szCs w:val="20"/>
        </w:rPr>
        <w:t xml:space="preserve"> en el escenario político nacional significó en Puerto Nare la dinamización y conjugación de la </w:t>
      </w:r>
      <w:r w:rsidR="003938FE" w:rsidRPr="00996758">
        <w:rPr>
          <w:rFonts w:ascii="Verdana" w:hAnsi="Verdana"/>
          <w:sz w:val="20"/>
          <w:szCs w:val="20"/>
        </w:rPr>
        <w:t>actividad</w:t>
      </w:r>
      <w:r w:rsidRPr="00996758">
        <w:rPr>
          <w:rFonts w:ascii="Verdana" w:hAnsi="Verdana"/>
          <w:sz w:val="20"/>
          <w:szCs w:val="20"/>
        </w:rPr>
        <w:t xml:space="preserve"> política con las reivindicaciones de los trabajadores y sindicalistas de las empresas Cementos Nare y Colcarburos afiliados a SUTIMAC. Varios líderes sindicales se convirtieron en dirigentes locales de la UP y, como tales, participaron de las elecciones de 1986, en las que se eligieron alcaldes y concejales para el periodo 1986-1990</w:t>
      </w:r>
      <w:r w:rsidR="003938FE" w:rsidRPr="00996758">
        <w:rPr>
          <w:rFonts w:ascii="Verdana" w:hAnsi="Verdana"/>
          <w:sz w:val="20"/>
          <w:szCs w:val="20"/>
        </w:rPr>
        <w:t>. E</w:t>
      </w:r>
      <w:r w:rsidRPr="00996758">
        <w:rPr>
          <w:rFonts w:ascii="Verdana" w:hAnsi="Verdana" w:cs="Times New Roman"/>
          <w:sz w:val="20"/>
          <w:szCs w:val="20"/>
        </w:rPr>
        <w:t>n Puerto Nare, la UP logró dos escaños para el Concejo Municipal, uno de ellos el Presidente de la Seccional Nare de</w:t>
      </w:r>
      <w:r w:rsidR="003938FE" w:rsidRPr="00996758">
        <w:rPr>
          <w:rFonts w:ascii="Verdana" w:hAnsi="Verdana" w:cs="Times New Roman"/>
          <w:sz w:val="20"/>
          <w:szCs w:val="20"/>
        </w:rPr>
        <w:t xml:space="preserve"> SUTIMAC, Julio Cesar Uribe Rúa</w:t>
      </w:r>
      <w:r w:rsidRPr="00996758">
        <w:rPr>
          <w:rFonts w:ascii="Verdana" w:hAnsi="Verdana" w:cs="Times New Roman"/>
          <w:bCs/>
          <w:sz w:val="20"/>
          <w:szCs w:val="20"/>
        </w:rPr>
        <w:t>. L</w:t>
      </w:r>
      <w:r w:rsidRPr="00996758">
        <w:rPr>
          <w:rFonts w:ascii="Verdana" w:hAnsi="Verdana"/>
          <w:sz w:val="20"/>
          <w:szCs w:val="20"/>
        </w:rPr>
        <w:t xml:space="preserve">a vinculación del sindicato con la UP </w:t>
      </w:r>
      <w:r w:rsidR="00645295" w:rsidRPr="00996758">
        <w:rPr>
          <w:rFonts w:ascii="Verdana" w:hAnsi="Verdana"/>
          <w:sz w:val="20"/>
          <w:szCs w:val="20"/>
        </w:rPr>
        <w:t>dio</w:t>
      </w:r>
      <w:r w:rsidRPr="00996758">
        <w:rPr>
          <w:rFonts w:ascii="Verdana" w:hAnsi="Verdana"/>
          <w:sz w:val="20"/>
          <w:szCs w:val="20"/>
        </w:rPr>
        <w:t xml:space="preserve"> origen </w:t>
      </w:r>
      <w:r w:rsidR="00645295" w:rsidRPr="00996758">
        <w:rPr>
          <w:rFonts w:ascii="Verdana" w:hAnsi="Verdana"/>
          <w:sz w:val="20"/>
          <w:szCs w:val="20"/>
        </w:rPr>
        <w:t xml:space="preserve">a una gran </w:t>
      </w:r>
      <w:r w:rsidRPr="00996758">
        <w:rPr>
          <w:rFonts w:ascii="Verdana" w:hAnsi="Verdana"/>
          <w:sz w:val="20"/>
          <w:szCs w:val="20"/>
        </w:rPr>
        <w:t xml:space="preserve">violencia en su contra, </w:t>
      </w:r>
      <w:r w:rsidR="007543D3" w:rsidRPr="00996758">
        <w:rPr>
          <w:rFonts w:ascii="Verdana" w:hAnsi="Verdana"/>
          <w:sz w:val="20"/>
          <w:szCs w:val="20"/>
        </w:rPr>
        <w:t>según surge de</w:t>
      </w:r>
      <w:r w:rsidRPr="00996758">
        <w:rPr>
          <w:rFonts w:ascii="Verdana" w:hAnsi="Verdana"/>
          <w:sz w:val="20"/>
          <w:szCs w:val="20"/>
        </w:rPr>
        <w:t xml:space="preserve"> informes del CTI de la Fiscalía General de la Nación de septi</w:t>
      </w:r>
      <w:r w:rsidR="00645295" w:rsidRPr="00996758">
        <w:rPr>
          <w:rFonts w:ascii="Verdana" w:hAnsi="Verdana"/>
          <w:sz w:val="20"/>
          <w:szCs w:val="20"/>
        </w:rPr>
        <w:t>embre de 2015 y febrero de 2016</w:t>
      </w:r>
      <w:r w:rsidR="007543D3" w:rsidRPr="00996758">
        <w:rPr>
          <w:rFonts w:ascii="Verdana" w:hAnsi="Verdana"/>
          <w:sz w:val="20"/>
          <w:szCs w:val="20"/>
        </w:rPr>
        <w:t>, entre otras fuentes</w:t>
      </w:r>
      <w:r w:rsidRPr="00996758">
        <w:rPr>
          <w:rStyle w:val="FootnoteReference"/>
          <w:rFonts w:ascii="Verdana" w:hAnsi="Verdana" w:cs="Times New Roman"/>
          <w:sz w:val="20"/>
          <w:szCs w:val="20"/>
        </w:rPr>
        <w:footnoteReference w:id="50"/>
      </w:r>
      <w:r w:rsidRPr="00996758">
        <w:rPr>
          <w:rFonts w:ascii="Verdana" w:hAnsi="Verdana"/>
          <w:sz w:val="20"/>
          <w:szCs w:val="20"/>
        </w:rPr>
        <w:t xml:space="preserve">: </w:t>
      </w:r>
    </w:p>
    <w:p w:rsidR="00ED32E0" w:rsidRPr="00996758" w:rsidRDefault="00ED32E0" w:rsidP="00ED32E0">
      <w:pPr>
        <w:pBdr>
          <w:top w:val="nil"/>
        </w:pBdr>
        <w:spacing w:after="0" w:line="240" w:lineRule="auto"/>
        <w:jc w:val="both"/>
        <w:rPr>
          <w:rFonts w:ascii="Verdana" w:hAnsi="Verdana" w:cs="Times New Roman"/>
          <w:sz w:val="20"/>
          <w:szCs w:val="20"/>
        </w:rPr>
      </w:pPr>
    </w:p>
    <w:p w:rsidR="003938FE" w:rsidRPr="00996758" w:rsidRDefault="003938FE" w:rsidP="003938FE">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En el mismo sentido, según un informe del Programa de Naciones Unidas para el Desarrollo (PNUD), “cuando ya </w:t>
      </w:r>
      <w:r w:rsidR="00986731" w:rsidRPr="00996758">
        <w:rPr>
          <w:rFonts w:ascii="Verdana" w:hAnsi="Verdana"/>
          <w:sz w:val="20"/>
          <w:szCs w:val="20"/>
        </w:rPr>
        <w:t xml:space="preserve">FENALTRACONCEM </w:t>
      </w:r>
      <w:r w:rsidRPr="00996758">
        <w:rPr>
          <w:rFonts w:ascii="Verdana" w:hAnsi="Verdana"/>
          <w:sz w:val="20"/>
          <w:szCs w:val="20"/>
        </w:rPr>
        <w:t>había dado paso al actual [SUTIMAC], y se combinó dentro de él la actividad sindical con la actividad política de izquierda en el movimiento UP, el grupo paramilitar de Puerto Boyacá, al mando de Gonzalo Rodríguez Gacha, también hizo su aparición en Puerto Nare desde 1986, para impedir cualquier acción reivindicativa, y amenazar y asesinar a sindicalistas de Sutimac […] El acto que rubricó el enseñoramiento de los paramilitares en Puerto Boyacá fue en diciembre de 1986 el asesinato del presidente del sindicato, a quien hicieron descender de un bus para ultimarlo […] de ahí en adelante los homicidios de afiliados a Sutimac aumentan en forma acelerada, y todas sus víctimas coinciden en ser además de sindicalistas, políticos locales militantes de la Unión Patriótica y casi todos ellos concejales […] sólo entre 1986 y 1990 ocurrieron 25 homicidios entre cuyas víctimas exterminaron completamente dos juntas directivas del sindicato de Cementos del Nare”</w:t>
      </w:r>
      <w:r w:rsidRPr="00996758">
        <w:rPr>
          <w:rStyle w:val="FootnoteReference"/>
          <w:rFonts w:ascii="Verdana" w:hAnsi="Verdana"/>
          <w:sz w:val="20"/>
          <w:szCs w:val="20"/>
        </w:rPr>
        <w:footnoteReference w:id="51"/>
      </w:r>
      <w:r w:rsidRPr="00996758">
        <w:rPr>
          <w:rFonts w:ascii="Verdana" w:hAnsi="Verdana"/>
          <w:sz w:val="20"/>
          <w:szCs w:val="20"/>
        </w:rPr>
        <w:t xml:space="preserve">. </w:t>
      </w:r>
    </w:p>
    <w:p w:rsidR="006F77BA" w:rsidRPr="00996758" w:rsidRDefault="006F77BA" w:rsidP="006F77BA">
      <w:pPr>
        <w:pBdr>
          <w:top w:val="nil"/>
        </w:pBdr>
        <w:spacing w:after="0" w:line="240" w:lineRule="auto"/>
        <w:jc w:val="both"/>
        <w:rPr>
          <w:rFonts w:ascii="Verdana" w:hAnsi="Verdana"/>
          <w:sz w:val="20"/>
          <w:szCs w:val="20"/>
        </w:rPr>
      </w:pPr>
    </w:p>
    <w:p w:rsidR="00BB08FE" w:rsidRPr="00996758" w:rsidRDefault="003938FE" w:rsidP="00BB08FE">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D</w:t>
      </w:r>
      <w:r w:rsidR="00BB08FE" w:rsidRPr="00996758">
        <w:rPr>
          <w:rFonts w:ascii="Verdana" w:hAnsi="Verdana"/>
          <w:sz w:val="20"/>
          <w:szCs w:val="20"/>
        </w:rPr>
        <w:t xml:space="preserve">esde el </w:t>
      </w:r>
      <w:r w:rsidR="00A053EF" w:rsidRPr="00996758">
        <w:rPr>
          <w:rFonts w:ascii="Verdana" w:hAnsi="Verdana"/>
          <w:sz w:val="20"/>
          <w:szCs w:val="20"/>
        </w:rPr>
        <w:t xml:space="preserve">asesinato del presidente de SUTIMAC y concejal por la UP en </w:t>
      </w:r>
      <w:r w:rsidR="00BB08FE" w:rsidRPr="00996758">
        <w:rPr>
          <w:rFonts w:ascii="Verdana" w:hAnsi="Verdana"/>
          <w:sz w:val="20"/>
          <w:szCs w:val="20"/>
        </w:rPr>
        <w:t>diciembre de 1986</w:t>
      </w:r>
      <w:r w:rsidR="00A053EF" w:rsidRPr="00996758">
        <w:rPr>
          <w:rFonts w:ascii="Verdana" w:hAnsi="Verdana"/>
          <w:sz w:val="20"/>
          <w:szCs w:val="20"/>
        </w:rPr>
        <w:t>,</w:t>
      </w:r>
      <w:r w:rsidR="004D2F4A" w:rsidRPr="00996758">
        <w:rPr>
          <w:rFonts w:ascii="Verdana" w:hAnsi="Verdana"/>
          <w:sz w:val="20"/>
          <w:szCs w:val="20"/>
        </w:rPr>
        <w:t xml:space="preserve"> hasta diciembre de 1987</w:t>
      </w:r>
      <w:r w:rsidR="00A053EF" w:rsidRPr="00996758">
        <w:rPr>
          <w:rFonts w:ascii="Verdana" w:hAnsi="Verdana"/>
          <w:sz w:val="20"/>
          <w:szCs w:val="20"/>
        </w:rPr>
        <w:t xml:space="preserve"> </w:t>
      </w:r>
      <w:r w:rsidR="00BB08FE" w:rsidRPr="00996758">
        <w:rPr>
          <w:rFonts w:ascii="Verdana" w:hAnsi="Verdana"/>
          <w:sz w:val="20"/>
          <w:szCs w:val="20"/>
        </w:rPr>
        <w:t>constan siete casos de miembros, activistas o dirigentes de ese sindicato (en algunos casos también concejales por la UP) que fueron asesinados por personas no identificadas o paramilitares del grupo “MAS”</w:t>
      </w:r>
      <w:r w:rsidR="00596091" w:rsidRPr="00996758">
        <w:rPr>
          <w:rFonts w:ascii="Verdana" w:hAnsi="Verdana"/>
          <w:sz w:val="20"/>
          <w:szCs w:val="20"/>
        </w:rPr>
        <w:t xml:space="preserve"> (“m</w:t>
      </w:r>
      <w:r w:rsidR="002E5EC4" w:rsidRPr="00996758">
        <w:rPr>
          <w:rFonts w:ascii="Verdana" w:hAnsi="Verdana"/>
          <w:sz w:val="20"/>
          <w:szCs w:val="20"/>
        </w:rPr>
        <w:t>uerte a secuestradores”)</w:t>
      </w:r>
      <w:r w:rsidR="00BB08FE" w:rsidRPr="00996758">
        <w:rPr>
          <w:rFonts w:ascii="Verdana" w:hAnsi="Verdana"/>
          <w:sz w:val="20"/>
          <w:szCs w:val="20"/>
        </w:rPr>
        <w:t>. Varios de esos hechos tuvieron lugar en situaciones en que las víctimas habían estado en custodia estatal o en las cercanías de instalaciones de cuerpos de seguridad del Estado</w:t>
      </w:r>
      <w:r w:rsidR="008B7161" w:rsidRPr="00996758">
        <w:rPr>
          <w:rStyle w:val="FootnoteReference"/>
          <w:rFonts w:ascii="Verdana" w:hAnsi="Verdana"/>
          <w:sz w:val="20"/>
          <w:szCs w:val="20"/>
          <w:bdr w:val="none" w:sz="0" w:space="0" w:color="auto" w:frame="1"/>
        </w:rPr>
        <w:footnoteReference w:id="52"/>
      </w:r>
      <w:r w:rsidR="00BB08FE" w:rsidRPr="00996758">
        <w:rPr>
          <w:rFonts w:ascii="Verdana" w:hAnsi="Verdana"/>
          <w:sz w:val="20"/>
          <w:szCs w:val="20"/>
        </w:rPr>
        <w:t>.</w:t>
      </w:r>
    </w:p>
    <w:p w:rsidR="00BB08FE" w:rsidRPr="00996758" w:rsidRDefault="00BB08FE" w:rsidP="00BB08FE">
      <w:pPr>
        <w:pBdr>
          <w:top w:val="nil"/>
        </w:pBdr>
        <w:spacing w:after="0" w:line="240" w:lineRule="auto"/>
        <w:jc w:val="both"/>
        <w:rPr>
          <w:rFonts w:ascii="Verdana" w:hAnsi="Verdana"/>
          <w:sz w:val="20"/>
          <w:szCs w:val="20"/>
        </w:rPr>
      </w:pPr>
    </w:p>
    <w:p w:rsidR="002E5EC4" w:rsidRPr="00996758" w:rsidRDefault="00BB08FE" w:rsidP="00BB08FE">
      <w:pPr>
        <w:numPr>
          <w:ilvl w:val="0"/>
          <w:numId w:val="10"/>
        </w:numPr>
        <w:pBdr>
          <w:top w:val="nil"/>
        </w:pBdr>
        <w:spacing w:after="0" w:line="240" w:lineRule="auto"/>
        <w:ind w:left="0" w:firstLine="0"/>
        <w:jc w:val="both"/>
        <w:rPr>
          <w:rFonts w:ascii="Verdana" w:hAnsi="Verdana" w:cs="Times New Roman"/>
          <w:sz w:val="20"/>
          <w:szCs w:val="20"/>
        </w:rPr>
      </w:pPr>
      <w:r w:rsidRPr="00996758">
        <w:rPr>
          <w:rFonts w:ascii="Verdana" w:hAnsi="Verdana" w:cs="Verdana"/>
          <w:color w:val="000000"/>
          <w:sz w:val="20"/>
          <w:szCs w:val="20"/>
        </w:rPr>
        <w:t>Ante la gravedad de lo que estaba sucediendo, los dirigentes</w:t>
      </w:r>
      <w:r w:rsidRPr="00996758">
        <w:rPr>
          <w:rFonts w:ascii="Verdana" w:hAnsi="Verdana" w:cs="Times New Roman"/>
          <w:sz w:val="20"/>
          <w:szCs w:val="20"/>
        </w:rPr>
        <w:t xml:space="preserve"> sindicales de SINTRACOLCARBUROS, </w:t>
      </w:r>
      <w:r w:rsidRPr="00996758">
        <w:rPr>
          <w:rFonts w:ascii="Verdana" w:hAnsi="Verdana"/>
          <w:sz w:val="20"/>
          <w:szCs w:val="20"/>
        </w:rPr>
        <w:t xml:space="preserve">SUTIMAC </w:t>
      </w:r>
      <w:r w:rsidRPr="00996758">
        <w:rPr>
          <w:rFonts w:ascii="Verdana" w:hAnsi="Verdana" w:cs="Times New Roman"/>
          <w:sz w:val="20"/>
          <w:szCs w:val="20"/>
        </w:rPr>
        <w:t xml:space="preserve">Nare y </w:t>
      </w:r>
      <w:r w:rsidRPr="00996758">
        <w:rPr>
          <w:rFonts w:ascii="Verdana" w:hAnsi="Verdana"/>
          <w:sz w:val="20"/>
          <w:szCs w:val="20"/>
        </w:rPr>
        <w:t xml:space="preserve">SUTIMAC </w:t>
      </w:r>
      <w:r w:rsidRPr="00996758">
        <w:rPr>
          <w:rFonts w:ascii="Verdana" w:hAnsi="Verdana" w:cs="Times New Roman"/>
          <w:sz w:val="20"/>
          <w:szCs w:val="20"/>
        </w:rPr>
        <w:t>Caracolí hicieron varios llamados en abril de 1987 al entonces gobernador de Antioquia, Antonio Yepes Parra, para “</w:t>
      </w:r>
      <w:r w:rsidRPr="00996758">
        <w:rPr>
          <w:rFonts w:ascii="Verdana" w:hAnsi="Verdana" w:cs="Times New Roman"/>
          <w:iCs/>
          <w:sz w:val="20"/>
          <w:szCs w:val="20"/>
        </w:rPr>
        <w:t>que se ponga término a la ola de violencia [y se pongan] en práctica las medidas de protección a la dirigencia sindical”.</w:t>
      </w:r>
    </w:p>
    <w:p w:rsidR="002E5EC4" w:rsidRPr="00996758" w:rsidRDefault="002E5EC4" w:rsidP="002E5EC4">
      <w:pPr>
        <w:pBdr>
          <w:top w:val="nil"/>
        </w:pBdr>
        <w:spacing w:after="0" w:line="240" w:lineRule="auto"/>
        <w:jc w:val="both"/>
        <w:rPr>
          <w:rFonts w:ascii="Verdana" w:hAnsi="Verdana" w:cs="Times New Roman"/>
          <w:sz w:val="20"/>
          <w:szCs w:val="20"/>
        </w:rPr>
      </w:pPr>
    </w:p>
    <w:p w:rsidR="002E5EC4" w:rsidRPr="00996758" w:rsidRDefault="002E5EC4" w:rsidP="00BB08FE">
      <w:pPr>
        <w:numPr>
          <w:ilvl w:val="0"/>
          <w:numId w:val="10"/>
        </w:numPr>
        <w:pBdr>
          <w:top w:val="nil"/>
        </w:pBdr>
        <w:spacing w:after="0" w:line="240" w:lineRule="auto"/>
        <w:ind w:left="0" w:firstLine="0"/>
        <w:jc w:val="both"/>
        <w:rPr>
          <w:rFonts w:ascii="Verdana" w:hAnsi="Verdana" w:cs="Times New Roman"/>
          <w:sz w:val="20"/>
          <w:szCs w:val="20"/>
        </w:rPr>
      </w:pPr>
      <w:r w:rsidRPr="00996758">
        <w:rPr>
          <w:rFonts w:ascii="Verdana" w:hAnsi="Verdana"/>
          <w:sz w:val="20"/>
          <w:szCs w:val="20"/>
        </w:rPr>
        <w:t>Según el Centro Nacional de Memoria Histórica, entre 1986 y 1988 la gran mayoría de los miembros de SUTIMAC fueron asesinados, desaparecidos o desplazados por grupos paramilitares, específicamente del grupo “MAS”, que tenían vínculos con unidades militares acantonadas en la región, por lo que el sindicato fue casi desterrado del municipio de Puerto Nare</w:t>
      </w:r>
      <w:r w:rsidRPr="00996758">
        <w:rPr>
          <w:rStyle w:val="FootnoteReference"/>
          <w:rFonts w:ascii="Verdana" w:hAnsi="Verdana"/>
          <w:sz w:val="20"/>
          <w:szCs w:val="20"/>
        </w:rPr>
        <w:footnoteReference w:id="53"/>
      </w:r>
      <w:r w:rsidRPr="00996758">
        <w:rPr>
          <w:rFonts w:ascii="Verdana" w:hAnsi="Verdana"/>
          <w:sz w:val="20"/>
          <w:szCs w:val="20"/>
        </w:rPr>
        <w:t>.</w:t>
      </w:r>
    </w:p>
    <w:p w:rsidR="002E5EC4" w:rsidRPr="00996758" w:rsidRDefault="002E5EC4" w:rsidP="00BB08FE">
      <w:pPr>
        <w:pBdr>
          <w:top w:val="nil"/>
        </w:pBdr>
        <w:spacing w:after="0" w:line="240" w:lineRule="auto"/>
        <w:jc w:val="both"/>
        <w:rPr>
          <w:rFonts w:ascii="Verdana" w:hAnsi="Verdana" w:cs="Times New Roman"/>
          <w:sz w:val="20"/>
          <w:szCs w:val="20"/>
        </w:rPr>
      </w:pPr>
    </w:p>
    <w:p w:rsidR="009B1844" w:rsidRPr="00996758" w:rsidRDefault="00BB08FE" w:rsidP="00BB1821">
      <w:pPr>
        <w:numPr>
          <w:ilvl w:val="0"/>
          <w:numId w:val="10"/>
        </w:numPr>
        <w:pBdr>
          <w:top w:val="nil"/>
        </w:pBdr>
        <w:spacing w:after="0" w:line="240" w:lineRule="auto"/>
        <w:ind w:left="0" w:firstLine="0"/>
        <w:jc w:val="both"/>
        <w:rPr>
          <w:rFonts w:ascii="Verdana" w:hAnsi="Verdana" w:cs="Times New Roman"/>
          <w:sz w:val="20"/>
          <w:szCs w:val="20"/>
        </w:rPr>
      </w:pPr>
      <w:r w:rsidRPr="00996758">
        <w:rPr>
          <w:rFonts w:ascii="Verdana" w:hAnsi="Verdana"/>
          <w:sz w:val="20"/>
          <w:szCs w:val="20"/>
        </w:rPr>
        <w:t>Entre 1987 y 1989 la C</w:t>
      </w:r>
      <w:r w:rsidR="009B1844" w:rsidRPr="00996758">
        <w:rPr>
          <w:rFonts w:ascii="Verdana" w:hAnsi="Verdana"/>
          <w:sz w:val="20"/>
          <w:szCs w:val="20"/>
        </w:rPr>
        <w:t xml:space="preserve">entral </w:t>
      </w:r>
      <w:r w:rsidRPr="00996758">
        <w:rPr>
          <w:rFonts w:ascii="Verdana" w:hAnsi="Verdana"/>
          <w:sz w:val="20"/>
          <w:szCs w:val="20"/>
        </w:rPr>
        <w:t>U</w:t>
      </w:r>
      <w:r w:rsidR="009B1844" w:rsidRPr="00996758">
        <w:rPr>
          <w:rFonts w:ascii="Verdana" w:hAnsi="Verdana"/>
          <w:sz w:val="20"/>
          <w:szCs w:val="20"/>
        </w:rPr>
        <w:t xml:space="preserve">nitaria de </w:t>
      </w:r>
      <w:r w:rsidRPr="00996758">
        <w:rPr>
          <w:rFonts w:ascii="Verdana" w:hAnsi="Verdana"/>
          <w:sz w:val="20"/>
          <w:szCs w:val="20"/>
        </w:rPr>
        <w:t>T</w:t>
      </w:r>
      <w:r w:rsidR="009B1844" w:rsidRPr="00996758">
        <w:rPr>
          <w:rFonts w:ascii="Verdana" w:hAnsi="Verdana"/>
          <w:sz w:val="20"/>
          <w:szCs w:val="20"/>
        </w:rPr>
        <w:t>rabajadores (CUT)</w:t>
      </w:r>
      <w:r w:rsidRPr="00996758">
        <w:rPr>
          <w:rFonts w:ascii="Verdana" w:hAnsi="Verdana"/>
          <w:sz w:val="20"/>
          <w:szCs w:val="20"/>
        </w:rPr>
        <w:t xml:space="preserve"> y FENALTRACONCEM informaron al Presidente de la República, al Procurador de la Nación, al Ministro de Gobierno y a la Ministra de Justicia, sobre “la ola de terror y violencia” de que estaba</w:t>
      </w:r>
      <w:r w:rsidR="002E5EC4" w:rsidRPr="00996758">
        <w:rPr>
          <w:rFonts w:ascii="Verdana" w:hAnsi="Verdana"/>
          <w:sz w:val="20"/>
          <w:szCs w:val="20"/>
        </w:rPr>
        <w:t>n</w:t>
      </w:r>
      <w:r w:rsidRPr="00996758">
        <w:rPr>
          <w:rFonts w:ascii="Verdana" w:hAnsi="Verdana"/>
          <w:sz w:val="20"/>
          <w:szCs w:val="20"/>
        </w:rPr>
        <w:t xml:space="preserve"> siendo víctima</w:t>
      </w:r>
      <w:r w:rsidR="002E5EC4" w:rsidRPr="00996758">
        <w:rPr>
          <w:rFonts w:ascii="Verdana" w:hAnsi="Verdana"/>
          <w:sz w:val="20"/>
          <w:szCs w:val="20"/>
        </w:rPr>
        <w:t>s</w:t>
      </w:r>
      <w:r w:rsidRPr="00996758">
        <w:rPr>
          <w:rFonts w:ascii="Verdana" w:hAnsi="Verdana"/>
          <w:sz w:val="20"/>
          <w:szCs w:val="20"/>
        </w:rPr>
        <w:t xml:space="preserve"> los trabajadores de las empresas Cementos del Nare y Colombiana de Carburo, entre ellos el señor</w:t>
      </w:r>
      <w:r w:rsidR="00AA600B" w:rsidRPr="00996758">
        <w:rPr>
          <w:rFonts w:ascii="Verdana" w:hAnsi="Verdana"/>
          <w:sz w:val="20"/>
          <w:szCs w:val="20"/>
        </w:rPr>
        <w:t xml:space="preserve"> Víctor Manuel</w:t>
      </w:r>
      <w:r w:rsidRPr="00996758">
        <w:rPr>
          <w:rFonts w:ascii="Verdana" w:hAnsi="Verdana"/>
          <w:sz w:val="20"/>
          <w:szCs w:val="20"/>
        </w:rPr>
        <w:t xml:space="preserve"> Isaza Uribe</w:t>
      </w:r>
      <w:r w:rsidRPr="00996758">
        <w:rPr>
          <w:rStyle w:val="FootnoteReference"/>
          <w:rFonts w:ascii="Verdana" w:hAnsi="Verdana"/>
          <w:sz w:val="20"/>
          <w:szCs w:val="20"/>
        </w:rPr>
        <w:footnoteReference w:id="54"/>
      </w:r>
      <w:r w:rsidRPr="00996758">
        <w:rPr>
          <w:rFonts w:ascii="Verdana" w:hAnsi="Verdana"/>
          <w:sz w:val="20"/>
          <w:szCs w:val="20"/>
        </w:rPr>
        <w:t xml:space="preserve">. </w:t>
      </w:r>
    </w:p>
    <w:p w:rsidR="00111BE2" w:rsidRPr="00996758" w:rsidRDefault="00111BE2" w:rsidP="00111BE2">
      <w:pPr>
        <w:pBdr>
          <w:top w:val="nil"/>
        </w:pBdr>
        <w:spacing w:after="0" w:line="240" w:lineRule="auto"/>
        <w:jc w:val="both"/>
        <w:rPr>
          <w:rFonts w:ascii="Verdana" w:hAnsi="Verdana" w:cs="Times New Roman"/>
          <w:sz w:val="20"/>
          <w:szCs w:val="20"/>
        </w:rPr>
      </w:pPr>
    </w:p>
    <w:p w:rsidR="00D275ED" w:rsidRPr="00996758" w:rsidRDefault="00D275ED" w:rsidP="00111BE2">
      <w:pPr>
        <w:pBdr>
          <w:top w:val="nil"/>
        </w:pBdr>
        <w:spacing w:after="0" w:line="240" w:lineRule="auto"/>
        <w:jc w:val="both"/>
        <w:rPr>
          <w:rFonts w:ascii="Verdana" w:hAnsi="Verdana" w:cs="Times New Roman"/>
          <w:sz w:val="20"/>
          <w:szCs w:val="20"/>
        </w:rPr>
      </w:pPr>
    </w:p>
    <w:p w:rsidR="005E4DE7" w:rsidRPr="00996758" w:rsidRDefault="00E10BE7" w:rsidP="00FA4555">
      <w:pPr>
        <w:pStyle w:val="Heading2"/>
        <w:numPr>
          <w:ilvl w:val="0"/>
          <w:numId w:val="36"/>
        </w:numPr>
        <w:spacing w:line="240" w:lineRule="auto"/>
        <w:rPr>
          <w:rFonts w:ascii="Verdana" w:hAnsi="Verdana"/>
          <w:b w:val="0"/>
          <w:bCs w:val="0"/>
          <w:smallCaps/>
          <w:sz w:val="20"/>
          <w:szCs w:val="20"/>
        </w:rPr>
      </w:pPr>
      <w:bookmarkStart w:id="24" w:name="_Toc530560063"/>
      <w:r w:rsidRPr="00996758">
        <w:rPr>
          <w:rFonts w:ascii="Verdana" w:hAnsi="Verdana"/>
          <w:i/>
          <w:smallCaps/>
          <w:color w:val="auto"/>
          <w:sz w:val="20"/>
          <w:szCs w:val="20"/>
        </w:rPr>
        <w:t>Desaparición de Víctor Manuel Isaza Uribe</w:t>
      </w:r>
      <w:bookmarkEnd w:id="24"/>
    </w:p>
    <w:p w:rsidR="005E4DE7" w:rsidRPr="00996758" w:rsidRDefault="005E4DE7" w:rsidP="00AE1DD8">
      <w:pPr>
        <w:pStyle w:val="ListParagraph"/>
        <w:spacing w:after="0" w:line="240" w:lineRule="auto"/>
        <w:ind w:left="0"/>
        <w:jc w:val="both"/>
        <w:rPr>
          <w:rFonts w:ascii="Verdana" w:hAnsi="Verdana"/>
          <w:sz w:val="20"/>
          <w:szCs w:val="20"/>
        </w:rPr>
      </w:pPr>
    </w:p>
    <w:p w:rsidR="005E4DE7" w:rsidRPr="00996758" w:rsidRDefault="005E4DE7" w:rsidP="002F0D15">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hAnsi="Verdana"/>
          <w:sz w:val="20"/>
          <w:szCs w:val="20"/>
        </w:rPr>
        <w:t xml:space="preserve">El señor </w:t>
      </w:r>
      <w:r w:rsidR="008134A1" w:rsidRPr="00996758">
        <w:rPr>
          <w:rFonts w:ascii="Verdana" w:hAnsi="Verdana"/>
          <w:sz w:val="20"/>
          <w:szCs w:val="20"/>
        </w:rPr>
        <w:t>Víctor</w:t>
      </w:r>
      <w:r w:rsidR="00B63506" w:rsidRPr="00996758">
        <w:rPr>
          <w:rFonts w:ascii="Verdana" w:hAnsi="Verdana"/>
          <w:sz w:val="20"/>
          <w:szCs w:val="20"/>
        </w:rPr>
        <w:t xml:space="preserve"> </w:t>
      </w:r>
      <w:r w:rsidRPr="00996758">
        <w:rPr>
          <w:rFonts w:ascii="Verdana" w:eastAsia="Arial Unicode MS" w:hAnsi="Verdana"/>
          <w:sz w:val="20"/>
          <w:szCs w:val="20"/>
          <w:bdr w:val="nil"/>
        </w:rPr>
        <w:t xml:space="preserve">Manuel Isaza Uribe tenía 33 años de edad al momento de su desaparición, era esposo de Carmenza Vélez y padre de Jhony Alexander y Haner Alexis Isaza Vélez.  </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u w:val="single"/>
          <w:bdr w:val="nil"/>
        </w:rPr>
      </w:pPr>
      <w:r w:rsidRPr="00996758">
        <w:rPr>
          <w:rFonts w:ascii="Verdana" w:eastAsia="Arial Unicode MS" w:hAnsi="Verdana"/>
          <w:sz w:val="20"/>
          <w:szCs w:val="20"/>
          <w:bdr w:val="nil"/>
        </w:rPr>
        <w:t>El 27 de octubre de 1987 el señor Isaza Uribe había sido detenido por agentes de la sub-estación</w:t>
      </w:r>
      <w:r w:rsidRPr="00996758">
        <w:rPr>
          <w:rFonts w:ascii="Verdana" w:hAnsi="Verdana"/>
          <w:sz w:val="20"/>
          <w:szCs w:val="20"/>
          <w:bdr w:val="none" w:sz="0" w:space="0" w:color="auto" w:frame="1"/>
        </w:rPr>
        <w:t xml:space="preserve"> de policía en el corregimiento La Sierra, del municipio de Puerto Nare. Al día siguiente </w:t>
      </w:r>
      <w:r w:rsidRPr="00996758">
        <w:rPr>
          <w:rFonts w:ascii="Verdana" w:hAnsi="Verdana"/>
          <w:sz w:val="20"/>
          <w:szCs w:val="20"/>
          <w:bdr w:val="none" w:sz="0" w:space="0" w:color="auto" w:frame="1"/>
        </w:rPr>
        <w:lastRenderedPageBreak/>
        <w:t xml:space="preserve">fue puesto a disposición del Juzgado 64 de Instrucción Criminal de Puerto Nare, el cual, ese mismo día, </w:t>
      </w:r>
      <w:r w:rsidRPr="00996758">
        <w:rPr>
          <w:rFonts w:ascii="Verdana" w:hAnsi="Verdana" w:cs="Verdana"/>
          <w:sz w:val="20"/>
          <w:szCs w:val="20"/>
        </w:rPr>
        <w:t>dictó medida de detención preventiva</w:t>
      </w:r>
      <w:r w:rsidRPr="00996758">
        <w:rPr>
          <w:rFonts w:ascii="Verdana" w:hAnsi="Verdana"/>
          <w:sz w:val="20"/>
          <w:szCs w:val="20"/>
          <w:bdr w:val="none" w:sz="0" w:space="0" w:color="auto" w:frame="1"/>
        </w:rPr>
        <w:t xml:space="preserve"> en relación con la investigación </w:t>
      </w:r>
      <w:r w:rsidRPr="00996758">
        <w:rPr>
          <w:rFonts w:ascii="Verdana" w:hAnsi="Verdana" w:cs="Verdana"/>
          <w:sz w:val="20"/>
          <w:szCs w:val="20"/>
        </w:rPr>
        <w:t>por el homicidio de Francisco Humberto García Montoya</w:t>
      </w:r>
      <w:r w:rsidR="00E22F91" w:rsidRPr="00996758">
        <w:rPr>
          <w:rFonts w:ascii="Verdana" w:hAnsi="Verdana" w:cs="Verdana"/>
          <w:sz w:val="20"/>
          <w:szCs w:val="20"/>
        </w:rPr>
        <w:t xml:space="preserve"> que se le atribuía</w:t>
      </w:r>
      <w:r w:rsidR="002E1B51" w:rsidRPr="00996758">
        <w:rPr>
          <w:rFonts w:ascii="Verdana" w:hAnsi="Verdana"/>
          <w:sz w:val="20"/>
          <w:szCs w:val="20"/>
          <w:bdr w:val="none" w:sz="0" w:space="0" w:color="auto" w:frame="1"/>
        </w:rPr>
        <w:t>,</w:t>
      </w:r>
      <w:r w:rsidRPr="00996758">
        <w:rPr>
          <w:rFonts w:ascii="Verdana" w:hAnsi="Verdana"/>
          <w:sz w:val="20"/>
          <w:szCs w:val="20"/>
          <w:bdr w:val="none" w:sz="0" w:space="0" w:color="auto" w:frame="1"/>
        </w:rPr>
        <w:t xml:space="preserve"> luego de lo cual </w:t>
      </w:r>
      <w:r w:rsidR="002E1B51" w:rsidRPr="00996758">
        <w:rPr>
          <w:rFonts w:ascii="Verdana" w:hAnsi="Verdana"/>
          <w:sz w:val="20"/>
          <w:szCs w:val="20"/>
          <w:bdr w:val="none" w:sz="0" w:space="0" w:color="auto" w:frame="1"/>
        </w:rPr>
        <w:t xml:space="preserve">el señor Isaza Uribe </w:t>
      </w:r>
      <w:r w:rsidRPr="00996758">
        <w:rPr>
          <w:rFonts w:ascii="Verdana" w:hAnsi="Verdana"/>
          <w:sz w:val="20"/>
          <w:szCs w:val="20"/>
          <w:bdr w:val="none" w:sz="0" w:space="0" w:color="auto" w:frame="1"/>
        </w:rPr>
        <w:t>fue enviado a la cárcel de Puerto Nare</w:t>
      </w:r>
      <w:r w:rsidRPr="00996758">
        <w:rPr>
          <w:rFonts w:ascii="Verdana" w:eastAsia="Arial Unicode MS" w:hAnsi="Verdana"/>
          <w:sz w:val="20"/>
          <w:szCs w:val="20"/>
          <w:bdr w:val="nil"/>
          <w:vertAlign w:val="superscript"/>
        </w:rPr>
        <w:footnoteReference w:id="55"/>
      </w:r>
      <w:r w:rsidRPr="00996758">
        <w:rPr>
          <w:rFonts w:ascii="Verdana" w:hAnsi="Verdana" w:cs="Verdana"/>
          <w:sz w:val="20"/>
          <w:szCs w:val="20"/>
        </w:rPr>
        <w:t>.</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 xml:space="preserve">A la fecha de su detención, el señor Víctor Manuel Isaza Uribe había laborado 13 años en la empresa </w:t>
      </w:r>
      <w:r w:rsidRPr="00996758">
        <w:rPr>
          <w:rFonts w:ascii="Verdana" w:hAnsi="Verdana" w:cs="Verdana"/>
          <w:sz w:val="20"/>
          <w:szCs w:val="20"/>
        </w:rPr>
        <w:t>Cementos</w:t>
      </w:r>
      <w:r w:rsidRPr="00996758">
        <w:rPr>
          <w:rFonts w:ascii="Verdana" w:eastAsia="Arial Unicode MS" w:hAnsi="Verdana"/>
          <w:sz w:val="20"/>
          <w:szCs w:val="20"/>
          <w:bdr w:val="nil"/>
        </w:rPr>
        <w:t xml:space="preserve"> Nare S. A. y era socio activo de la organización sindical SUTIMAC</w:t>
      </w:r>
      <w:r w:rsidRPr="00996758">
        <w:rPr>
          <w:rFonts w:ascii="Verdana" w:eastAsia="Arial Unicode MS" w:hAnsi="Verdana"/>
          <w:sz w:val="20"/>
          <w:szCs w:val="20"/>
          <w:bdr w:val="nil"/>
          <w:vertAlign w:val="superscript"/>
        </w:rPr>
        <w:footnoteReference w:id="56"/>
      </w:r>
      <w:r w:rsidRPr="00996758">
        <w:rPr>
          <w:rFonts w:ascii="Verdana" w:eastAsia="Arial Unicode MS" w:hAnsi="Verdana"/>
          <w:sz w:val="20"/>
          <w:szCs w:val="20"/>
          <w:bdr w:val="nil"/>
        </w:rPr>
        <w:t>, así como simpatizante del movimiento político Unión Patriótica</w:t>
      </w:r>
      <w:r w:rsidRPr="00996758">
        <w:rPr>
          <w:rStyle w:val="FootnoteReference"/>
          <w:rFonts w:ascii="Verdana" w:eastAsia="Arial Unicode MS" w:hAnsi="Verdana"/>
          <w:sz w:val="20"/>
          <w:szCs w:val="20"/>
          <w:bdr w:val="nil"/>
        </w:rPr>
        <w:footnoteReference w:id="57"/>
      </w:r>
      <w:r w:rsidRPr="00996758">
        <w:rPr>
          <w:rFonts w:ascii="Verdana" w:eastAsia="Arial Unicode MS" w:hAnsi="Verdana"/>
          <w:sz w:val="20"/>
          <w:szCs w:val="20"/>
          <w:bdr w:val="nil"/>
        </w:rPr>
        <w:t xml:space="preserve">. </w:t>
      </w:r>
    </w:p>
    <w:p w:rsidR="005E4DE7" w:rsidRPr="00996758" w:rsidRDefault="005E4DE7">
      <w:pPr>
        <w:autoSpaceDE w:val="0"/>
        <w:autoSpaceDN w:val="0"/>
        <w:adjustRightInd w:val="0"/>
        <w:spacing w:after="0" w:line="240" w:lineRule="auto"/>
        <w:jc w:val="both"/>
        <w:rPr>
          <w:rFonts w:ascii="Verdana" w:hAnsi="Verdana" w:cs="Verdana"/>
          <w:sz w:val="20"/>
          <w:szCs w:val="20"/>
        </w:rPr>
      </w:pPr>
    </w:p>
    <w:p w:rsidR="005E4DE7" w:rsidRPr="00996758" w:rsidRDefault="005E4DE7" w:rsidP="00484279">
      <w:pPr>
        <w:pStyle w:val="ListParagraph"/>
        <w:numPr>
          <w:ilvl w:val="0"/>
          <w:numId w:val="10"/>
        </w:numPr>
        <w:spacing w:after="0" w:line="240" w:lineRule="auto"/>
        <w:ind w:left="0" w:firstLine="0"/>
        <w:jc w:val="both"/>
        <w:rPr>
          <w:rFonts w:ascii="Verdana" w:hAnsi="Verdana" w:cs="Verdana"/>
          <w:sz w:val="20"/>
          <w:szCs w:val="20"/>
        </w:rPr>
      </w:pPr>
      <w:r w:rsidRPr="00996758">
        <w:rPr>
          <w:rFonts w:ascii="Verdana" w:hAnsi="Verdana" w:cs="Verdana"/>
          <w:sz w:val="20"/>
          <w:szCs w:val="20"/>
        </w:rPr>
        <w:t>En la madrugada del 19 de noviembre de 1987, un grupo de entre ocho y diez hombres armados, algunos de civil y otros con prendas militares, entraron a la cárcel; habrían dejado en estado de indefensión y encerrado a los</w:t>
      </w:r>
      <w:r w:rsidR="00AB080C" w:rsidRPr="00996758">
        <w:rPr>
          <w:rFonts w:ascii="Verdana" w:hAnsi="Verdana" w:cs="Verdana"/>
          <w:sz w:val="20"/>
          <w:szCs w:val="20"/>
        </w:rPr>
        <w:t xml:space="preserve"> dos</w:t>
      </w:r>
      <w:r w:rsidRPr="00996758">
        <w:rPr>
          <w:rFonts w:ascii="Verdana" w:hAnsi="Verdana" w:cs="Verdana"/>
          <w:sz w:val="20"/>
          <w:szCs w:val="20"/>
        </w:rPr>
        <w:t xml:space="preserve"> guardianes; y sustrajeron al señor Isaza Uribe y otros tres detenidos</w:t>
      </w:r>
      <w:r w:rsidR="00A2418A" w:rsidRPr="00996758">
        <w:rPr>
          <w:rFonts w:ascii="Verdana" w:hAnsi="Verdana" w:cs="Verdana"/>
          <w:sz w:val="20"/>
          <w:szCs w:val="20"/>
        </w:rPr>
        <w:t xml:space="preserve"> del total de nueve que había</w:t>
      </w:r>
      <w:r w:rsidR="00AB080C" w:rsidRPr="00996758">
        <w:rPr>
          <w:rFonts w:ascii="Verdana" w:hAnsi="Verdana" w:cs="Verdana"/>
          <w:sz w:val="20"/>
          <w:szCs w:val="20"/>
        </w:rPr>
        <w:t xml:space="preserve"> allí</w:t>
      </w:r>
      <w:r w:rsidRPr="00996758">
        <w:rPr>
          <w:rStyle w:val="FootnoteReference"/>
          <w:rFonts w:ascii="Verdana" w:hAnsi="Verdana" w:cs="Verdana"/>
          <w:sz w:val="20"/>
          <w:szCs w:val="20"/>
        </w:rPr>
        <w:footnoteReference w:id="58"/>
      </w:r>
      <w:r w:rsidRPr="00996758">
        <w:rPr>
          <w:rFonts w:ascii="Verdana" w:hAnsi="Verdana" w:cs="Verdana"/>
          <w:sz w:val="20"/>
          <w:szCs w:val="20"/>
        </w:rPr>
        <w:t xml:space="preserve">. </w:t>
      </w:r>
      <w:r w:rsidR="00AB080C" w:rsidRPr="00996758">
        <w:rPr>
          <w:rFonts w:ascii="Verdana" w:hAnsi="Verdana" w:cs="Verdana"/>
          <w:sz w:val="20"/>
          <w:szCs w:val="20"/>
        </w:rPr>
        <w:t>Las cuatro personas</w:t>
      </w:r>
      <w:r w:rsidRPr="00996758">
        <w:rPr>
          <w:rFonts w:ascii="Verdana" w:hAnsi="Verdana" w:cs="Verdana"/>
          <w:sz w:val="20"/>
          <w:szCs w:val="20"/>
        </w:rPr>
        <w:t xml:space="preserve"> fueron introducid</w:t>
      </w:r>
      <w:r w:rsidR="00103D54" w:rsidRPr="00996758">
        <w:rPr>
          <w:rFonts w:ascii="Verdana" w:hAnsi="Verdana" w:cs="Verdana"/>
          <w:sz w:val="20"/>
          <w:szCs w:val="20"/>
        </w:rPr>
        <w:t>a</w:t>
      </w:r>
      <w:r w:rsidRPr="00996758">
        <w:rPr>
          <w:rFonts w:ascii="Verdana" w:hAnsi="Verdana" w:cs="Verdana"/>
          <w:sz w:val="20"/>
          <w:szCs w:val="20"/>
        </w:rPr>
        <w:t>s en un vehículo y llevad</w:t>
      </w:r>
      <w:r w:rsidR="00103D54" w:rsidRPr="00996758">
        <w:rPr>
          <w:rFonts w:ascii="Verdana" w:hAnsi="Verdana" w:cs="Verdana"/>
          <w:sz w:val="20"/>
          <w:szCs w:val="20"/>
        </w:rPr>
        <w:t>a</w:t>
      </w:r>
      <w:r w:rsidRPr="00996758">
        <w:rPr>
          <w:rFonts w:ascii="Verdana" w:hAnsi="Verdana" w:cs="Verdana"/>
          <w:sz w:val="20"/>
          <w:szCs w:val="20"/>
        </w:rPr>
        <w:t xml:space="preserve">s con rumbo desconocido. </w:t>
      </w:r>
      <w:r w:rsidRPr="00996758">
        <w:rPr>
          <w:rFonts w:ascii="Verdana" w:eastAsia="Arial Unicode MS" w:hAnsi="Verdana"/>
          <w:sz w:val="20"/>
          <w:szCs w:val="20"/>
          <w:bdr w:val="nil"/>
        </w:rPr>
        <w:t xml:space="preserve">Desde esa fecha, no se </w:t>
      </w:r>
      <w:r w:rsidR="00AB080C" w:rsidRPr="00996758">
        <w:rPr>
          <w:rFonts w:ascii="Verdana" w:eastAsia="Arial Unicode MS" w:hAnsi="Verdana"/>
          <w:sz w:val="20"/>
          <w:szCs w:val="20"/>
          <w:bdr w:val="nil"/>
        </w:rPr>
        <w:t>conoce</w:t>
      </w:r>
      <w:r w:rsidRPr="00996758">
        <w:rPr>
          <w:rFonts w:ascii="Verdana" w:eastAsia="Arial Unicode MS" w:hAnsi="Verdana"/>
          <w:sz w:val="20"/>
          <w:szCs w:val="20"/>
          <w:bdr w:val="nil"/>
        </w:rPr>
        <w:t xml:space="preserve"> su paradero.</w:t>
      </w:r>
    </w:p>
    <w:p w:rsidR="005E4DE7" w:rsidRPr="00996758" w:rsidRDefault="005E4DE7">
      <w:pPr>
        <w:pStyle w:val="ListParagraph"/>
        <w:spacing w:after="0" w:line="240" w:lineRule="auto"/>
        <w:ind w:left="0"/>
        <w:jc w:val="both"/>
        <w:rPr>
          <w:rFonts w:ascii="Verdana" w:hAnsi="Verdana" w:cs="Verdana"/>
          <w:sz w:val="20"/>
          <w:szCs w:val="20"/>
        </w:rPr>
      </w:pPr>
    </w:p>
    <w:p w:rsidR="005E4DE7" w:rsidRPr="00996758" w:rsidRDefault="00A86DAC" w:rsidP="00484279">
      <w:pPr>
        <w:pStyle w:val="ListParagraph"/>
        <w:numPr>
          <w:ilvl w:val="0"/>
          <w:numId w:val="10"/>
        </w:numP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Según reconoció el Estado, n</w:t>
      </w:r>
      <w:r w:rsidR="005E4DE7" w:rsidRPr="00996758">
        <w:rPr>
          <w:rFonts w:ascii="Verdana" w:eastAsia="Arial Unicode MS" w:hAnsi="Verdana"/>
          <w:sz w:val="20"/>
          <w:szCs w:val="20"/>
          <w:bdr w:val="nil"/>
        </w:rPr>
        <w:t xml:space="preserve">o consta que las autoridades </w:t>
      </w:r>
      <w:r w:rsidR="00F201AE" w:rsidRPr="00996758">
        <w:rPr>
          <w:rFonts w:ascii="Verdana" w:eastAsia="Arial Unicode MS" w:hAnsi="Verdana"/>
          <w:sz w:val="20"/>
          <w:szCs w:val="20"/>
          <w:bdr w:val="nil"/>
        </w:rPr>
        <w:t>policiales o militares</w:t>
      </w:r>
      <w:r w:rsidR="005E4DE7" w:rsidRPr="00996758">
        <w:rPr>
          <w:rFonts w:ascii="Verdana" w:eastAsia="Arial Unicode MS" w:hAnsi="Verdana"/>
          <w:sz w:val="20"/>
          <w:szCs w:val="20"/>
          <w:bdr w:val="nil"/>
        </w:rPr>
        <w:t xml:space="preserve"> presentes en la zona hubiesen desplegado acciones de búsqueda </w:t>
      </w:r>
      <w:r w:rsidRPr="00996758">
        <w:rPr>
          <w:rFonts w:ascii="Verdana" w:eastAsia="Arial Unicode MS" w:hAnsi="Verdana"/>
          <w:sz w:val="20"/>
          <w:szCs w:val="20"/>
          <w:bdr w:val="nil"/>
        </w:rPr>
        <w:t xml:space="preserve">para </w:t>
      </w:r>
      <w:r w:rsidR="005E4DE7" w:rsidRPr="00996758">
        <w:rPr>
          <w:rFonts w:ascii="Verdana" w:eastAsia="Arial Unicode MS" w:hAnsi="Verdana"/>
          <w:sz w:val="20"/>
          <w:szCs w:val="20"/>
          <w:bdr w:val="nil"/>
        </w:rPr>
        <w:t xml:space="preserve">dar con el paradero de los desaparecidos </w:t>
      </w:r>
      <w:r w:rsidR="008E071B" w:rsidRPr="00996758">
        <w:rPr>
          <w:rFonts w:ascii="Verdana" w:eastAsia="Arial Unicode MS" w:hAnsi="Verdana"/>
          <w:sz w:val="20"/>
          <w:szCs w:val="20"/>
          <w:bdr w:val="nil"/>
        </w:rPr>
        <w:t>de</w:t>
      </w:r>
      <w:r w:rsidR="005E4DE7" w:rsidRPr="00996758">
        <w:rPr>
          <w:rFonts w:ascii="Verdana" w:eastAsia="Arial Unicode MS" w:hAnsi="Verdana"/>
          <w:sz w:val="20"/>
          <w:szCs w:val="20"/>
          <w:bdr w:val="nil"/>
        </w:rPr>
        <w:t xml:space="preserve"> la cárcel</w:t>
      </w:r>
      <w:r w:rsidRPr="00996758">
        <w:rPr>
          <w:rFonts w:ascii="Verdana" w:eastAsia="Verdana" w:hAnsi="Verdana" w:cs="Verdana"/>
          <w:sz w:val="20"/>
          <w:szCs w:val="20"/>
        </w:rPr>
        <w:t xml:space="preserve"> de Puerto Nare </w:t>
      </w:r>
      <w:r w:rsidR="005E4DE7" w:rsidRPr="00996758">
        <w:rPr>
          <w:rFonts w:ascii="Verdana" w:eastAsia="Verdana" w:hAnsi="Verdana" w:cs="Verdana"/>
          <w:sz w:val="20"/>
          <w:szCs w:val="20"/>
        </w:rPr>
        <w:t>(</w:t>
      </w:r>
      <w:r w:rsidR="005E4DE7" w:rsidRPr="00996758">
        <w:rPr>
          <w:rFonts w:ascii="Verdana" w:eastAsia="Verdana" w:hAnsi="Verdana" w:cs="Verdana"/>
          <w:i/>
          <w:sz w:val="20"/>
          <w:szCs w:val="20"/>
        </w:rPr>
        <w:t xml:space="preserve">supra </w:t>
      </w:r>
      <w:r w:rsidR="00F201AE" w:rsidRPr="00996758">
        <w:rPr>
          <w:rFonts w:ascii="Verdana" w:eastAsia="Verdana" w:hAnsi="Verdana" w:cs="Verdana"/>
          <w:sz w:val="20"/>
          <w:szCs w:val="20"/>
        </w:rPr>
        <w:t>párr. 21</w:t>
      </w:r>
      <w:r w:rsidR="005E4DE7" w:rsidRPr="00996758">
        <w:rPr>
          <w:rFonts w:ascii="Verdana" w:eastAsia="Verdana" w:hAnsi="Verdana" w:cs="Verdana"/>
          <w:sz w:val="20"/>
          <w:szCs w:val="20"/>
        </w:rPr>
        <w:t>).</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5E4DE7" w:rsidRPr="00996758" w:rsidRDefault="00DA37B2" w:rsidP="00BB1821">
      <w:pPr>
        <w:pStyle w:val="ListParagraph"/>
        <w:numPr>
          <w:ilvl w:val="0"/>
          <w:numId w:val="10"/>
        </w:numPr>
        <w:spacing w:after="0" w:line="240" w:lineRule="auto"/>
        <w:ind w:left="0" w:firstLine="0"/>
        <w:jc w:val="both"/>
        <w:rPr>
          <w:rFonts w:ascii="Verdana" w:eastAsia="Verdana" w:hAnsi="Verdana" w:cs="Verdana"/>
          <w:sz w:val="20"/>
          <w:szCs w:val="20"/>
        </w:rPr>
      </w:pPr>
      <w:r w:rsidRPr="00996758">
        <w:rPr>
          <w:rFonts w:ascii="Verdana" w:eastAsia="Arial Unicode MS" w:hAnsi="Verdana"/>
          <w:sz w:val="20"/>
          <w:szCs w:val="20"/>
          <w:bdr w:val="nil"/>
        </w:rPr>
        <w:t>Ese mismo día</w:t>
      </w:r>
      <w:r w:rsidR="005E4DE7" w:rsidRPr="00996758">
        <w:rPr>
          <w:rFonts w:ascii="Verdana" w:eastAsia="Arial Unicode MS" w:hAnsi="Verdana"/>
          <w:sz w:val="20"/>
          <w:szCs w:val="20"/>
          <w:bdr w:val="nil"/>
        </w:rPr>
        <w:t xml:space="preserve">, la señora Carmenza Vélez </w:t>
      </w:r>
      <w:r w:rsidRPr="00996758">
        <w:rPr>
          <w:rFonts w:ascii="Verdana" w:eastAsia="Arial Unicode MS" w:hAnsi="Verdana"/>
          <w:sz w:val="20"/>
          <w:szCs w:val="20"/>
          <w:bdr w:val="nil"/>
        </w:rPr>
        <w:t>denunció la desaparición ante el Juzgado e inició la búsqueda de su esposo, para lo cual</w:t>
      </w:r>
      <w:r w:rsidR="007C0692" w:rsidRPr="00996758">
        <w:rPr>
          <w:rFonts w:ascii="Verdana" w:eastAsia="Arial Unicode MS" w:hAnsi="Verdana"/>
          <w:sz w:val="20"/>
          <w:szCs w:val="20"/>
          <w:bdr w:val="nil"/>
        </w:rPr>
        <w:t xml:space="preserve"> </w:t>
      </w:r>
      <w:r w:rsidR="005E4DE7" w:rsidRPr="00996758">
        <w:rPr>
          <w:rFonts w:ascii="Verdana" w:eastAsia="Arial Unicode MS" w:hAnsi="Verdana"/>
          <w:sz w:val="20"/>
          <w:szCs w:val="20"/>
          <w:bdr w:val="nil"/>
        </w:rPr>
        <w:t xml:space="preserve">contrató </w:t>
      </w:r>
      <w:r w:rsidR="007C0692" w:rsidRPr="00996758">
        <w:rPr>
          <w:rFonts w:ascii="Verdana" w:eastAsia="Arial Unicode MS" w:hAnsi="Verdana"/>
          <w:sz w:val="20"/>
          <w:szCs w:val="20"/>
          <w:bdr w:val="nil"/>
        </w:rPr>
        <w:t xml:space="preserve">al conductor de </w:t>
      </w:r>
      <w:r w:rsidR="005E4DE7" w:rsidRPr="00996758">
        <w:rPr>
          <w:rFonts w:ascii="Verdana" w:eastAsia="Arial Unicode MS" w:hAnsi="Verdana"/>
          <w:sz w:val="20"/>
          <w:szCs w:val="20"/>
          <w:bdr w:val="nil"/>
        </w:rPr>
        <w:t xml:space="preserve">un vehículo para </w:t>
      </w:r>
      <w:r w:rsidR="007C0692" w:rsidRPr="00996758">
        <w:rPr>
          <w:rFonts w:ascii="Verdana" w:eastAsia="Arial Unicode MS" w:hAnsi="Verdana"/>
          <w:sz w:val="20"/>
          <w:szCs w:val="20"/>
          <w:bdr w:val="nil"/>
        </w:rPr>
        <w:t xml:space="preserve">que la llevara a </w:t>
      </w:r>
      <w:r w:rsidR="005E4DE7" w:rsidRPr="00996758">
        <w:rPr>
          <w:rFonts w:ascii="Verdana" w:eastAsia="Arial Unicode MS" w:hAnsi="Verdana"/>
          <w:sz w:val="20"/>
          <w:szCs w:val="20"/>
          <w:bdr w:val="nil"/>
        </w:rPr>
        <w:t>partes remotas,</w:t>
      </w:r>
      <w:r w:rsidR="007C0692" w:rsidRPr="00996758">
        <w:rPr>
          <w:rFonts w:ascii="Verdana" w:eastAsia="Arial Unicode MS" w:hAnsi="Verdana"/>
          <w:sz w:val="20"/>
          <w:szCs w:val="20"/>
          <w:bdr w:val="nil"/>
        </w:rPr>
        <w:t xml:space="preserve"> </w:t>
      </w:r>
      <w:r w:rsidR="00CB5FF8" w:rsidRPr="00996758">
        <w:rPr>
          <w:rFonts w:ascii="Verdana" w:eastAsia="Arial Unicode MS" w:hAnsi="Verdana"/>
          <w:sz w:val="20"/>
          <w:szCs w:val="20"/>
          <w:bdr w:val="nil"/>
        </w:rPr>
        <w:t>quien posteriorme</w:t>
      </w:r>
      <w:r w:rsidR="00F201AE" w:rsidRPr="00996758">
        <w:rPr>
          <w:rFonts w:ascii="Verdana" w:eastAsia="Arial Unicode MS" w:hAnsi="Verdana"/>
          <w:sz w:val="20"/>
          <w:szCs w:val="20"/>
          <w:bdr w:val="nil"/>
        </w:rPr>
        <w:t>n</w:t>
      </w:r>
      <w:r w:rsidR="00CB5FF8" w:rsidRPr="00996758">
        <w:rPr>
          <w:rFonts w:ascii="Verdana" w:eastAsia="Arial Unicode MS" w:hAnsi="Verdana"/>
          <w:sz w:val="20"/>
          <w:szCs w:val="20"/>
          <w:bdr w:val="nil"/>
        </w:rPr>
        <w:t>te</w:t>
      </w:r>
      <w:r w:rsidR="005E4DE7" w:rsidRPr="00996758">
        <w:rPr>
          <w:rFonts w:ascii="Verdana" w:eastAsia="Arial Unicode MS" w:hAnsi="Verdana"/>
          <w:sz w:val="20"/>
          <w:szCs w:val="20"/>
          <w:bdr w:val="nil"/>
        </w:rPr>
        <w:t xml:space="preserve"> </w:t>
      </w:r>
      <w:r w:rsidR="00BE48F5" w:rsidRPr="00996758">
        <w:rPr>
          <w:rFonts w:ascii="Verdana" w:eastAsia="Arial Unicode MS" w:hAnsi="Verdana"/>
          <w:sz w:val="20"/>
          <w:szCs w:val="20"/>
          <w:bdr w:val="nil"/>
        </w:rPr>
        <w:t xml:space="preserve">habría </w:t>
      </w:r>
      <w:r w:rsidR="007C0692" w:rsidRPr="00996758">
        <w:rPr>
          <w:rFonts w:ascii="Verdana" w:eastAsia="Arial Unicode MS" w:hAnsi="Verdana"/>
          <w:sz w:val="20"/>
          <w:szCs w:val="20"/>
          <w:bdr w:val="nil"/>
        </w:rPr>
        <w:t xml:space="preserve">desaparecido o </w:t>
      </w:r>
      <w:r w:rsidR="00BE48F5" w:rsidRPr="00996758">
        <w:rPr>
          <w:rFonts w:ascii="Verdana" w:eastAsia="Arial Unicode MS" w:hAnsi="Verdana"/>
          <w:sz w:val="20"/>
          <w:szCs w:val="20"/>
          <w:bdr w:val="nil"/>
        </w:rPr>
        <w:t>salido</w:t>
      </w:r>
      <w:r w:rsidR="005E4DE7" w:rsidRPr="00996758">
        <w:rPr>
          <w:rFonts w:ascii="Verdana" w:eastAsia="Arial Unicode MS" w:hAnsi="Verdana"/>
          <w:sz w:val="20"/>
          <w:szCs w:val="20"/>
          <w:bdr w:val="nil"/>
        </w:rPr>
        <w:t xml:space="preserve"> de Puerto Nare bajo amenazas</w:t>
      </w:r>
      <w:r w:rsidR="005E4DE7" w:rsidRPr="00996758">
        <w:rPr>
          <w:rStyle w:val="FootnoteReference"/>
          <w:rFonts w:ascii="Verdana" w:eastAsia="Arial Unicode MS" w:hAnsi="Verdana"/>
          <w:sz w:val="20"/>
          <w:szCs w:val="20"/>
          <w:bdr w:val="nil"/>
        </w:rPr>
        <w:footnoteReference w:id="59"/>
      </w:r>
      <w:r w:rsidR="005E4DE7" w:rsidRPr="00996758">
        <w:rPr>
          <w:rFonts w:ascii="Verdana" w:eastAsia="Arial Unicode MS" w:hAnsi="Verdana"/>
          <w:sz w:val="20"/>
          <w:szCs w:val="20"/>
          <w:bdr w:val="nil"/>
        </w:rPr>
        <w:t xml:space="preserve">. </w:t>
      </w:r>
      <w:r w:rsidR="005E4DE7" w:rsidRPr="00996758">
        <w:rPr>
          <w:rFonts w:ascii="Verdana" w:hAnsi="Verdana"/>
          <w:sz w:val="20"/>
          <w:szCs w:val="20"/>
        </w:rPr>
        <w:t>L</w:t>
      </w:r>
      <w:r w:rsidR="005E4DE7" w:rsidRPr="00996758">
        <w:rPr>
          <w:rFonts w:ascii="Verdana" w:eastAsia="Verdana" w:hAnsi="Verdana" w:cs="Verdana"/>
          <w:sz w:val="20"/>
          <w:szCs w:val="20"/>
        </w:rPr>
        <w:t xml:space="preserve">a señora </w:t>
      </w:r>
      <w:r w:rsidR="005E4DE7" w:rsidRPr="00996758">
        <w:rPr>
          <w:rFonts w:ascii="Verdana" w:eastAsia="Arial Unicode MS" w:hAnsi="Verdana"/>
          <w:sz w:val="20"/>
          <w:szCs w:val="20"/>
          <w:bdr w:val="nil"/>
        </w:rPr>
        <w:t xml:space="preserve">Vélez y sus </w:t>
      </w:r>
      <w:r w:rsidR="005E4DE7" w:rsidRPr="00996758">
        <w:rPr>
          <w:rFonts w:ascii="Verdana" w:eastAsia="Verdana" w:hAnsi="Verdana" w:cs="Verdana"/>
          <w:sz w:val="20"/>
          <w:szCs w:val="20"/>
        </w:rPr>
        <w:t xml:space="preserve">hijos </w:t>
      </w:r>
      <w:r w:rsidR="005E4DE7" w:rsidRPr="00996758">
        <w:rPr>
          <w:rFonts w:ascii="Verdana" w:eastAsia="Arial Unicode MS" w:hAnsi="Verdana"/>
          <w:sz w:val="20"/>
          <w:szCs w:val="20"/>
          <w:bdr w:val="nil"/>
        </w:rPr>
        <w:t>Jhony Alexander y Haner Alexis Isaza Vélez</w:t>
      </w:r>
      <w:r w:rsidR="005E4DE7" w:rsidRPr="00996758">
        <w:rPr>
          <w:rFonts w:ascii="Verdana" w:eastAsia="Verdana" w:hAnsi="Verdana" w:cs="Verdana"/>
          <w:sz w:val="20"/>
          <w:szCs w:val="20"/>
        </w:rPr>
        <w:t xml:space="preserve"> se vieron en la necesidad de salir de Puerto Nare y desplazarse al municipio de Copacabana, Antioquia</w:t>
      </w:r>
      <w:r w:rsidR="005E4DE7" w:rsidRPr="00996758">
        <w:rPr>
          <w:rStyle w:val="FootnoteReference"/>
          <w:rFonts w:ascii="Verdana" w:eastAsia="Verdana" w:hAnsi="Verdana" w:cs="Verdana"/>
          <w:sz w:val="20"/>
          <w:szCs w:val="20"/>
        </w:rPr>
        <w:footnoteReference w:id="60"/>
      </w:r>
      <w:r w:rsidR="005E4DE7" w:rsidRPr="00996758">
        <w:rPr>
          <w:rFonts w:ascii="Verdana" w:eastAsia="Verdana" w:hAnsi="Verdana" w:cs="Verdana"/>
          <w:sz w:val="20"/>
          <w:szCs w:val="20"/>
        </w:rPr>
        <w:t xml:space="preserve">. </w:t>
      </w:r>
    </w:p>
    <w:p w:rsidR="00111BE2" w:rsidRPr="00996758" w:rsidRDefault="00111BE2" w:rsidP="00111BE2">
      <w:pPr>
        <w:pStyle w:val="ListParagraph"/>
        <w:spacing w:after="0" w:line="240" w:lineRule="auto"/>
        <w:ind w:left="0"/>
        <w:jc w:val="both"/>
        <w:rPr>
          <w:rFonts w:ascii="Verdana" w:eastAsia="Verdana" w:hAnsi="Verdana" w:cs="Verdana"/>
          <w:sz w:val="20"/>
          <w:szCs w:val="20"/>
        </w:rPr>
      </w:pPr>
    </w:p>
    <w:p w:rsidR="00D275ED" w:rsidRPr="00996758" w:rsidRDefault="00D275ED" w:rsidP="00111BE2">
      <w:pPr>
        <w:pStyle w:val="ListParagraph"/>
        <w:spacing w:after="0" w:line="240" w:lineRule="auto"/>
        <w:ind w:left="0"/>
        <w:jc w:val="both"/>
        <w:rPr>
          <w:rFonts w:ascii="Verdana" w:eastAsia="Verdana" w:hAnsi="Verdana" w:cs="Verdana"/>
          <w:sz w:val="20"/>
          <w:szCs w:val="20"/>
        </w:rPr>
      </w:pPr>
    </w:p>
    <w:p w:rsidR="005E4DE7" w:rsidRPr="00996758" w:rsidRDefault="00E10BE7" w:rsidP="00484279">
      <w:pPr>
        <w:pStyle w:val="Heading2"/>
        <w:numPr>
          <w:ilvl w:val="0"/>
          <w:numId w:val="36"/>
        </w:numPr>
        <w:spacing w:line="240" w:lineRule="auto"/>
        <w:rPr>
          <w:rFonts w:ascii="Verdana" w:hAnsi="Verdana"/>
          <w:smallCaps/>
          <w:sz w:val="20"/>
          <w:szCs w:val="20"/>
        </w:rPr>
      </w:pPr>
      <w:bookmarkStart w:id="25" w:name="_Toc530560064"/>
      <w:r w:rsidRPr="00996758">
        <w:rPr>
          <w:rFonts w:ascii="Verdana" w:hAnsi="Verdana"/>
          <w:i/>
          <w:smallCaps/>
          <w:color w:val="auto"/>
          <w:sz w:val="20"/>
          <w:szCs w:val="20"/>
        </w:rPr>
        <w:t>Investigaciones y procesos internos</w:t>
      </w:r>
      <w:bookmarkEnd w:id="25"/>
    </w:p>
    <w:p w:rsidR="005E4DE7" w:rsidRPr="00996758" w:rsidRDefault="005E4DE7" w:rsidP="00AE1DD8">
      <w:pPr>
        <w:pStyle w:val="ListParagraph"/>
        <w:spacing w:after="0" w:line="240" w:lineRule="auto"/>
        <w:ind w:left="0"/>
        <w:jc w:val="both"/>
        <w:rPr>
          <w:rFonts w:ascii="Verdana" w:eastAsia="Verdana" w:hAnsi="Verdana" w:cs="Verdana"/>
          <w:sz w:val="20"/>
          <w:szCs w:val="20"/>
        </w:rPr>
      </w:pPr>
    </w:p>
    <w:p w:rsidR="005E4DE7" w:rsidRPr="00996758" w:rsidRDefault="005E4DE7" w:rsidP="002F0D15">
      <w:pPr>
        <w:pStyle w:val="ListParagraph"/>
        <w:spacing w:after="0" w:line="240" w:lineRule="auto"/>
        <w:ind w:left="708"/>
        <w:jc w:val="both"/>
        <w:rPr>
          <w:rFonts w:ascii="Verdana" w:eastAsia="Verdana" w:hAnsi="Verdana" w:cs="Verdana"/>
          <w:b/>
          <w:i/>
          <w:sz w:val="20"/>
          <w:szCs w:val="20"/>
        </w:rPr>
      </w:pPr>
      <w:r w:rsidRPr="00996758">
        <w:rPr>
          <w:rFonts w:ascii="Verdana" w:eastAsia="Verdana" w:hAnsi="Verdana" w:cs="Verdana"/>
          <w:b/>
          <w:i/>
          <w:sz w:val="20"/>
          <w:szCs w:val="20"/>
        </w:rPr>
        <w:t xml:space="preserve">C.1. Investigación </w:t>
      </w:r>
      <w:r w:rsidR="002B6BAD" w:rsidRPr="00996758">
        <w:rPr>
          <w:rFonts w:ascii="Verdana" w:eastAsia="Verdana" w:hAnsi="Verdana" w:cs="Verdana"/>
          <w:b/>
          <w:i/>
          <w:sz w:val="20"/>
          <w:szCs w:val="20"/>
        </w:rPr>
        <w:t xml:space="preserve">previa en la vía </w:t>
      </w:r>
      <w:r w:rsidRPr="00996758">
        <w:rPr>
          <w:rFonts w:ascii="Verdana" w:eastAsia="Verdana" w:hAnsi="Verdana" w:cs="Verdana"/>
          <w:b/>
          <w:i/>
          <w:sz w:val="20"/>
          <w:szCs w:val="20"/>
        </w:rPr>
        <w:t>penal</w:t>
      </w:r>
    </w:p>
    <w:p w:rsidR="00E84628" w:rsidRPr="00996758" w:rsidRDefault="00E84628">
      <w:pPr>
        <w:pStyle w:val="ListParagraph"/>
        <w:spacing w:after="0" w:line="240" w:lineRule="auto"/>
        <w:ind w:left="0"/>
        <w:jc w:val="both"/>
        <w:rPr>
          <w:rFonts w:ascii="Verdana" w:eastAsia="Arial Unicode MS" w:hAnsi="Verdana"/>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Según la información aportada por la Comisión, los representantes y el Estado, las principales actuaciones adelantadas dentro de la investigación penal son</w:t>
      </w:r>
      <w:r w:rsidR="00A875DD" w:rsidRPr="00996758">
        <w:rPr>
          <w:rFonts w:ascii="Verdana" w:eastAsia="Arial Unicode MS" w:hAnsi="Verdana"/>
          <w:sz w:val="20"/>
          <w:szCs w:val="20"/>
          <w:bdr w:val="nil"/>
        </w:rPr>
        <w:t xml:space="preserve"> las siguientes</w:t>
      </w:r>
      <w:r w:rsidRPr="00996758">
        <w:rPr>
          <w:rStyle w:val="FootnoteReference"/>
          <w:rFonts w:ascii="Verdana" w:eastAsia="Arial Unicode MS" w:hAnsi="Verdana"/>
          <w:sz w:val="20"/>
          <w:szCs w:val="20"/>
          <w:bdr w:val="nil"/>
        </w:rPr>
        <w:footnoteReference w:id="61"/>
      </w:r>
      <w:r w:rsidRPr="00996758">
        <w:rPr>
          <w:rFonts w:ascii="Verdana" w:eastAsia="Arial Unicode MS" w:hAnsi="Verdana"/>
          <w:sz w:val="20"/>
          <w:szCs w:val="20"/>
          <w:bdr w:val="nil"/>
        </w:rPr>
        <w:t xml:space="preserve">: </w:t>
      </w:r>
    </w:p>
    <w:p w:rsidR="005E4DE7" w:rsidRPr="00996758" w:rsidRDefault="005E4DE7">
      <w:pPr>
        <w:tabs>
          <w:tab w:val="left" w:pos="3090"/>
        </w:tabs>
        <w:spacing w:after="0" w:line="240" w:lineRule="auto"/>
        <w:jc w:val="both"/>
        <w:rPr>
          <w:rFonts w:ascii="Verdana" w:eastAsia="Arial Unicode MS" w:hAnsi="Verdana" w:cs="Times New Roman"/>
          <w:sz w:val="20"/>
          <w:szCs w:val="20"/>
          <w:bdr w:val="nil"/>
        </w:rPr>
      </w:pPr>
    </w:p>
    <w:p w:rsidR="005E4DE7" w:rsidRPr="00996758" w:rsidRDefault="005E4DE7"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El 19 de noviembre de 1987 el Juzgado 64 de Instrucción Criminal de Puerto Nare ordenó la apertura de investigación previa</w:t>
      </w:r>
      <w:r w:rsidR="00A54F9D" w:rsidRPr="00996758">
        <w:rPr>
          <w:rFonts w:ascii="Verdana" w:eastAsia="Arial Unicode MS" w:hAnsi="Verdana" w:cs="Times New Roman"/>
          <w:sz w:val="20"/>
          <w:szCs w:val="20"/>
          <w:bdr w:val="nil"/>
        </w:rPr>
        <w:t xml:space="preserve"> y se realizaron varias diligencias</w:t>
      </w:r>
      <w:r w:rsidRPr="00996758">
        <w:rPr>
          <w:rStyle w:val="FootnoteReference"/>
          <w:rFonts w:ascii="Verdana" w:eastAsia="Arial Unicode MS" w:hAnsi="Verdana" w:cs="Times New Roman"/>
          <w:sz w:val="20"/>
          <w:szCs w:val="20"/>
          <w:bdr w:val="nil"/>
        </w:rPr>
        <w:footnoteReference w:id="62"/>
      </w:r>
      <w:r w:rsidR="001234D6" w:rsidRPr="00996758">
        <w:rPr>
          <w:rFonts w:ascii="Verdana" w:eastAsia="Arial Unicode MS" w:hAnsi="Verdana" w:cs="Times New Roman"/>
          <w:sz w:val="20"/>
          <w:szCs w:val="20"/>
          <w:bdr w:val="nil"/>
        </w:rPr>
        <w:t>.</w:t>
      </w:r>
    </w:p>
    <w:p w:rsidR="005E4DE7" w:rsidRPr="00996758" w:rsidRDefault="001234D6"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lastRenderedPageBreak/>
        <w:t>E</w:t>
      </w:r>
      <w:r w:rsidR="005E4DE7" w:rsidRPr="00996758">
        <w:rPr>
          <w:rFonts w:ascii="Verdana" w:eastAsia="Arial Unicode MS" w:hAnsi="Verdana" w:cs="Times New Roman"/>
          <w:sz w:val="20"/>
          <w:szCs w:val="20"/>
          <w:bdr w:val="nil"/>
        </w:rPr>
        <w:t>l 8 de noviembre de 1994 el Fiscal 125 Antisecuestro de Puerto Berrio ordenó la</w:t>
      </w:r>
      <w:r w:rsidRPr="00996758">
        <w:rPr>
          <w:rFonts w:ascii="Verdana" w:eastAsia="Arial Unicode MS" w:hAnsi="Verdana" w:cs="Times New Roman"/>
          <w:sz w:val="20"/>
          <w:szCs w:val="20"/>
          <w:bdr w:val="nil"/>
        </w:rPr>
        <w:t xml:space="preserve"> suspensión de la investigación.</w:t>
      </w:r>
    </w:p>
    <w:p w:rsidR="005E4DE7" w:rsidRPr="00996758" w:rsidRDefault="007B517E"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L</w:t>
      </w:r>
      <w:r w:rsidR="005E4DE7" w:rsidRPr="00996758">
        <w:rPr>
          <w:rFonts w:ascii="Verdana" w:eastAsia="Arial Unicode MS" w:hAnsi="Verdana" w:cs="Times New Roman"/>
          <w:sz w:val="20"/>
          <w:szCs w:val="20"/>
          <w:bdr w:val="nil"/>
        </w:rPr>
        <w:t>a investigación fue reabierta el 28 de febrero de 1995 por parte de la Unidad Seccional de</w:t>
      </w:r>
      <w:r w:rsidR="001234D6" w:rsidRPr="00996758">
        <w:rPr>
          <w:rFonts w:ascii="Verdana" w:eastAsia="Arial Unicode MS" w:hAnsi="Verdana" w:cs="Times New Roman"/>
          <w:sz w:val="20"/>
          <w:szCs w:val="20"/>
          <w:bdr w:val="nil"/>
        </w:rPr>
        <w:t xml:space="preserve"> Antisecuestro de Puerto Berrio y, luego de ciertas diligencias, el 8 de septiembre siguiente la Fiscalía </w:t>
      </w:r>
      <w:r w:rsidR="00960C40" w:rsidRPr="00996758">
        <w:rPr>
          <w:rFonts w:ascii="Verdana" w:eastAsia="Arial Unicode MS" w:hAnsi="Verdana" w:cs="Times New Roman"/>
          <w:sz w:val="20"/>
          <w:szCs w:val="20"/>
          <w:bdr w:val="nil"/>
        </w:rPr>
        <w:t xml:space="preserve">Regional de Medellín </w:t>
      </w:r>
      <w:r w:rsidR="001234D6" w:rsidRPr="00996758">
        <w:rPr>
          <w:rFonts w:ascii="Verdana" w:eastAsia="Arial Unicode MS" w:hAnsi="Verdana" w:cs="Times New Roman"/>
          <w:sz w:val="20"/>
          <w:szCs w:val="20"/>
          <w:bdr w:val="nil"/>
        </w:rPr>
        <w:t>decretó</w:t>
      </w:r>
      <w:r w:rsidR="005E4DE7" w:rsidRPr="00996758">
        <w:rPr>
          <w:rFonts w:ascii="Verdana" w:eastAsia="Arial Unicode MS" w:hAnsi="Verdana" w:cs="Times New Roman"/>
          <w:sz w:val="20"/>
          <w:szCs w:val="20"/>
          <w:bdr w:val="nil"/>
        </w:rPr>
        <w:t xml:space="preserve"> la apertura de la instrucción</w:t>
      </w:r>
      <w:r w:rsidR="001234D6" w:rsidRPr="00996758">
        <w:rPr>
          <w:rFonts w:ascii="Verdana" w:eastAsia="Arial Unicode MS" w:hAnsi="Verdana" w:cs="Times New Roman"/>
          <w:sz w:val="20"/>
          <w:szCs w:val="20"/>
          <w:bdr w:val="nil"/>
        </w:rPr>
        <w:t xml:space="preserve"> por delitos de secuestro extorsivo agravado y concierto para delinquir y </w:t>
      </w:r>
      <w:r w:rsidR="005E4DE7" w:rsidRPr="00996758">
        <w:rPr>
          <w:rFonts w:ascii="Verdana" w:eastAsia="Arial Unicode MS" w:hAnsi="Verdana" w:cs="Times New Roman"/>
          <w:sz w:val="20"/>
          <w:szCs w:val="20"/>
          <w:bdr w:val="nil"/>
        </w:rPr>
        <w:t xml:space="preserve">orden de captura en contra de cuatro personas </w:t>
      </w:r>
      <w:r w:rsidR="00D05EFE" w:rsidRPr="00996758">
        <w:rPr>
          <w:rFonts w:ascii="Verdana" w:eastAsia="Arial Unicode MS" w:hAnsi="Verdana" w:cs="Times New Roman"/>
          <w:sz w:val="20"/>
          <w:szCs w:val="20"/>
          <w:bdr w:val="nil"/>
        </w:rPr>
        <w:t>por presuntos víncul</w:t>
      </w:r>
      <w:r w:rsidR="001234D6" w:rsidRPr="00996758">
        <w:rPr>
          <w:rFonts w:ascii="Verdana" w:eastAsia="Arial Unicode MS" w:hAnsi="Verdana" w:cs="Times New Roman"/>
          <w:sz w:val="20"/>
          <w:szCs w:val="20"/>
          <w:bdr w:val="nil"/>
        </w:rPr>
        <w:t>os con el grupo paramilitar MAS</w:t>
      </w:r>
      <w:r w:rsidR="00792BAB" w:rsidRPr="00996758">
        <w:rPr>
          <w:rStyle w:val="FootnoteReference"/>
          <w:rFonts w:ascii="Verdana" w:eastAsia="Arial Unicode MS" w:hAnsi="Verdana" w:cs="Times New Roman"/>
          <w:sz w:val="20"/>
          <w:szCs w:val="20"/>
          <w:bdr w:val="nil"/>
        </w:rPr>
        <w:footnoteReference w:id="63"/>
      </w:r>
      <w:r w:rsidR="001234D6" w:rsidRPr="00996758">
        <w:rPr>
          <w:rFonts w:ascii="Verdana" w:eastAsia="Arial Unicode MS" w:hAnsi="Verdana" w:cs="Times New Roman"/>
          <w:sz w:val="20"/>
          <w:szCs w:val="20"/>
          <w:bdr w:val="nil"/>
        </w:rPr>
        <w:t>. Luego de tomar sus declaraciones</w:t>
      </w:r>
      <w:r w:rsidR="005E4DE7" w:rsidRPr="00996758">
        <w:rPr>
          <w:rFonts w:ascii="Verdana" w:eastAsia="Arial Unicode MS" w:hAnsi="Verdana" w:cs="Times New Roman"/>
          <w:sz w:val="20"/>
          <w:szCs w:val="20"/>
          <w:bdr w:val="nil"/>
        </w:rPr>
        <w:t xml:space="preserve">, </w:t>
      </w:r>
      <w:r w:rsidR="001234D6" w:rsidRPr="00996758">
        <w:rPr>
          <w:rFonts w:ascii="Verdana" w:eastAsia="Arial Unicode MS" w:hAnsi="Verdana" w:cs="Times New Roman"/>
          <w:sz w:val="20"/>
          <w:szCs w:val="20"/>
          <w:bdr w:val="nil"/>
        </w:rPr>
        <w:t>el 22 de septiembre siguiente</w:t>
      </w:r>
      <w:r w:rsidR="005E4DE7" w:rsidRPr="00996758">
        <w:rPr>
          <w:rFonts w:ascii="Verdana" w:eastAsia="Arial Unicode MS" w:hAnsi="Verdana" w:cs="Times New Roman"/>
          <w:sz w:val="20"/>
          <w:szCs w:val="20"/>
          <w:bdr w:val="nil"/>
        </w:rPr>
        <w:t xml:space="preserve"> la Fiscalía se abstuvo de decretar medida de aseguramiento en </w:t>
      </w:r>
      <w:r w:rsidR="001234D6" w:rsidRPr="00996758">
        <w:rPr>
          <w:rFonts w:ascii="Verdana" w:eastAsia="Arial Unicode MS" w:hAnsi="Verdana" w:cs="Times New Roman"/>
          <w:sz w:val="20"/>
          <w:szCs w:val="20"/>
          <w:bdr w:val="nil"/>
        </w:rPr>
        <w:t xml:space="preserve">su contra, </w:t>
      </w:r>
      <w:r w:rsidR="005E4DE7" w:rsidRPr="00996758">
        <w:rPr>
          <w:rFonts w:ascii="Verdana" w:eastAsia="Arial Unicode MS" w:hAnsi="Verdana" w:cs="Times New Roman"/>
          <w:sz w:val="20"/>
          <w:szCs w:val="20"/>
          <w:bdr w:val="nil"/>
        </w:rPr>
        <w:t>por</w:t>
      </w:r>
      <w:r w:rsidR="001D7CF1" w:rsidRPr="00996758">
        <w:rPr>
          <w:rFonts w:ascii="Verdana" w:eastAsia="Arial Unicode MS" w:hAnsi="Verdana" w:cs="Times New Roman"/>
          <w:sz w:val="20"/>
          <w:szCs w:val="20"/>
          <w:bdr w:val="nil"/>
        </w:rPr>
        <w:t xml:space="preserve"> considerar que no existían</w:t>
      </w:r>
      <w:r w:rsidR="005E4DE7" w:rsidRPr="00996758">
        <w:rPr>
          <w:rFonts w:ascii="Verdana" w:eastAsia="Arial Unicode MS" w:hAnsi="Verdana" w:cs="Times New Roman"/>
          <w:sz w:val="20"/>
          <w:szCs w:val="20"/>
          <w:bdr w:val="nil"/>
        </w:rPr>
        <w:t xml:space="preserve"> indicio</w:t>
      </w:r>
      <w:r w:rsidR="001D7CF1" w:rsidRPr="00996758">
        <w:rPr>
          <w:rFonts w:ascii="Verdana" w:eastAsia="Arial Unicode MS" w:hAnsi="Verdana" w:cs="Times New Roman"/>
          <w:sz w:val="20"/>
          <w:szCs w:val="20"/>
          <w:bdr w:val="nil"/>
        </w:rPr>
        <w:t>s</w:t>
      </w:r>
      <w:r w:rsidR="005E4DE7" w:rsidRPr="00996758">
        <w:rPr>
          <w:rFonts w:ascii="Verdana" w:eastAsia="Arial Unicode MS" w:hAnsi="Verdana" w:cs="Times New Roman"/>
          <w:sz w:val="20"/>
          <w:szCs w:val="20"/>
          <w:bdr w:val="nil"/>
        </w:rPr>
        <w:t xml:space="preserve"> grave</w:t>
      </w:r>
      <w:r w:rsidR="001D7CF1" w:rsidRPr="00996758">
        <w:rPr>
          <w:rFonts w:ascii="Verdana" w:eastAsia="Arial Unicode MS" w:hAnsi="Verdana" w:cs="Times New Roman"/>
          <w:sz w:val="20"/>
          <w:szCs w:val="20"/>
          <w:bdr w:val="nil"/>
        </w:rPr>
        <w:t>s</w:t>
      </w:r>
      <w:r w:rsidR="005E4DE7" w:rsidRPr="00996758">
        <w:rPr>
          <w:rFonts w:ascii="Verdana" w:eastAsia="Arial Unicode MS" w:hAnsi="Verdana" w:cs="Times New Roman"/>
          <w:sz w:val="20"/>
          <w:szCs w:val="20"/>
          <w:bdr w:val="nil"/>
        </w:rPr>
        <w:t xml:space="preserve"> de responsabilidad</w:t>
      </w:r>
      <w:r w:rsidR="00694D51" w:rsidRPr="00996758">
        <w:rPr>
          <w:rFonts w:ascii="Verdana" w:eastAsia="Arial Unicode MS" w:hAnsi="Verdana" w:cs="Times New Roman"/>
          <w:sz w:val="20"/>
          <w:szCs w:val="20"/>
          <w:bdr w:val="nil"/>
        </w:rPr>
        <w:t>, y e</w:t>
      </w:r>
      <w:r w:rsidR="001234D6" w:rsidRPr="00996758">
        <w:rPr>
          <w:rFonts w:ascii="Verdana" w:eastAsia="Arial Unicode MS" w:hAnsi="Verdana" w:cs="Times New Roman"/>
          <w:sz w:val="20"/>
          <w:szCs w:val="20"/>
          <w:bdr w:val="nil"/>
        </w:rPr>
        <w:t>l 30 de abril de 1996</w:t>
      </w:r>
      <w:r w:rsidR="00792BAB" w:rsidRPr="00996758">
        <w:rPr>
          <w:rFonts w:ascii="Verdana" w:eastAsia="Arial Unicode MS" w:hAnsi="Verdana" w:cs="Times New Roman"/>
          <w:sz w:val="20"/>
          <w:szCs w:val="20"/>
          <w:bdr w:val="nil"/>
        </w:rPr>
        <w:t xml:space="preserve"> </w:t>
      </w:r>
      <w:r w:rsidR="005E4DE7" w:rsidRPr="00996758">
        <w:rPr>
          <w:rFonts w:ascii="Verdana" w:eastAsia="Arial Unicode MS" w:hAnsi="Verdana" w:cs="Times New Roman"/>
          <w:sz w:val="20"/>
          <w:szCs w:val="20"/>
          <w:bdr w:val="nil"/>
        </w:rPr>
        <w:t xml:space="preserve">decretó la preclusión de la instrucción a </w:t>
      </w:r>
      <w:r w:rsidR="00694D51" w:rsidRPr="00996758">
        <w:rPr>
          <w:rFonts w:ascii="Verdana" w:eastAsia="Arial Unicode MS" w:hAnsi="Verdana" w:cs="Times New Roman"/>
          <w:sz w:val="20"/>
          <w:szCs w:val="20"/>
          <w:bdr w:val="nil"/>
        </w:rPr>
        <w:t xml:space="preserve">su </w:t>
      </w:r>
      <w:r w:rsidR="005E4DE7" w:rsidRPr="00996758">
        <w:rPr>
          <w:rFonts w:ascii="Verdana" w:eastAsia="Arial Unicode MS" w:hAnsi="Verdana" w:cs="Times New Roman"/>
          <w:sz w:val="20"/>
          <w:szCs w:val="20"/>
          <w:bdr w:val="nil"/>
        </w:rPr>
        <w:t>favor;</w:t>
      </w:r>
    </w:p>
    <w:p w:rsidR="005E4DE7" w:rsidRPr="00996758" w:rsidRDefault="005E4DE7"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el 15 de julio de 1996 se declaró la reapertura de la investigación previa, para lo cual se ordenó la práctica de varias pruebas</w:t>
      </w:r>
      <w:r w:rsidRPr="00996758">
        <w:rPr>
          <w:rStyle w:val="FootnoteReference"/>
          <w:rFonts w:ascii="Verdana" w:eastAsia="Arial Unicode MS" w:hAnsi="Verdana" w:cs="Times New Roman"/>
          <w:sz w:val="20"/>
          <w:szCs w:val="20"/>
          <w:bdr w:val="nil"/>
        </w:rPr>
        <w:footnoteReference w:id="64"/>
      </w:r>
      <w:r w:rsidRPr="00996758">
        <w:rPr>
          <w:rFonts w:ascii="Verdana" w:eastAsia="Arial Unicode MS" w:hAnsi="Verdana" w:cs="Times New Roman"/>
          <w:sz w:val="20"/>
          <w:szCs w:val="20"/>
          <w:bdr w:val="nil"/>
        </w:rPr>
        <w:t xml:space="preserve">; </w:t>
      </w:r>
    </w:p>
    <w:p w:rsidR="005E4DE7" w:rsidRPr="00996758" w:rsidRDefault="005E4DE7"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el 25 de agosto de 1997 la Fiscalía Regional de Medellín ordenó la suspensión de la investigación,</w:t>
      </w:r>
      <w:r w:rsidR="00694D51" w:rsidRPr="00996758">
        <w:rPr>
          <w:rFonts w:ascii="Verdana" w:eastAsia="Arial Unicode MS" w:hAnsi="Verdana" w:cs="Times New Roman"/>
          <w:sz w:val="20"/>
          <w:szCs w:val="20"/>
          <w:bdr w:val="nil"/>
        </w:rPr>
        <w:t xml:space="preserve"> por falta de</w:t>
      </w:r>
      <w:r w:rsidRPr="00996758">
        <w:rPr>
          <w:rFonts w:ascii="Verdana" w:eastAsia="Arial Unicode MS" w:hAnsi="Verdana" w:cs="Times New Roman"/>
          <w:sz w:val="20"/>
          <w:szCs w:val="20"/>
          <w:bdr w:val="nil"/>
        </w:rPr>
        <w:t xml:space="preserve"> pruebas; </w:t>
      </w:r>
    </w:p>
    <w:p w:rsidR="005E4DE7" w:rsidRPr="00996758" w:rsidRDefault="005E4DE7"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en el año 2010 se ordenó la reapertura de la investigación</w:t>
      </w:r>
      <w:r w:rsidR="00DB50FE" w:rsidRPr="00996758">
        <w:rPr>
          <w:rFonts w:ascii="Verdana" w:eastAsia="Arial Unicode MS" w:hAnsi="Verdana" w:cs="Times New Roman"/>
          <w:sz w:val="20"/>
          <w:szCs w:val="20"/>
          <w:bdr w:val="nil"/>
        </w:rPr>
        <w:t xml:space="preserve">. </w:t>
      </w:r>
      <w:r w:rsidR="00BA3851" w:rsidRPr="00996758">
        <w:rPr>
          <w:rFonts w:ascii="Verdana" w:eastAsia="Arial Unicode MS" w:hAnsi="Verdana" w:cs="Times New Roman"/>
          <w:sz w:val="20"/>
          <w:szCs w:val="20"/>
          <w:bdr w:val="nil"/>
        </w:rPr>
        <w:t>En</w:t>
      </w:r>
      <w:r w:rsidRPr="00996758">
        <w:rPr>
          <w:rFonts w:ascii="Verdana" w:eastAsia="Arial Unicode MS" w:hAnsi="Verdana" w:cs="Times New Roman"/>
          <w:sz w:val="20"/>
          <w:szCs w:val="20"/>
          <w:bdr w:val="nil"/>
        </w:rPr>
        <w:t xml:space="preserve"> agosto de 2011 </w:t>
      </w:r>
      <w:r w:rsidR="00694D51" w:rsidRPr="00996758">
        <w:rPr>
          <w:rFonts w:ascii="Verdana" w:eastAsia="Arial Unicode MS" w:hAnsi="Verdana" w:cs="Times New Roman"/>
          <w:sz w:val="20"/>
          <w:szCs w:val="20"/>
          <w:bdr w:val="nil"/>
        </w:rPr>
        <w:t>la Fiscalí</w:t>
      </w:r>
      <w:r w:rsidR="00887D84" w:rsidRPr="00996758">
        <w:rPr>
          <w:rFonts w:ascii="Verdana" w:eastAsia="Arial Unicode MS" w:hAnsi="Verdana" w:cs="Times New Roman"/>
          <w:sz w:val="20"/>
          <w:szCs w:val="20"/>
          <w:bdr w:val="nil"/>
        </w:rPr>
        <w:t>a</w:t>
      </w:r>
      <w:r w:rsidRPr="00996758">
        <w:rPr>
          <w:rFonts w:ascii="Verdana" w:eastAsia="Arial Unicode MS" w:hAnsi="Verdana" w:cs="Times New Roman"/>
          <w:sz w:val="20"/>
          <w:szCs w:val="20"/>
          <w:bdr w:val="nil"/>
        </w:rPr>
        <w:t xml:space="preserve"> dispuso escuchar a postulados a los beneficios de la Ley 975 de 2005 de Justicia y Paz que d</w:t>
      </w:r>
      <w:r w:rsidR="00131A2D" w:rsidRPr="00996758">
        <w:rPr>
          <w:rFonts w:ascii="Verdana" w:eastAsia="Arial Unicode MS" w:hAnsi="Verdana" w:cs="Times New Roman"/>
          <w:sz w:val="20"/>
          <w:szCs w:val="20"/>
          <w:bdr w:val="nil"/>
        </w:rPr>
        <w:t>elinquían en el Magdalena Medio</w:t>
      </w:r>
      <w:r w:rsidRPr="00996758">
        <w:rPr>
          <w:rFonts w:ascii="Verdana" w:eastAsia="Arial Unicode MS" w:hAnsi="Verdana" w:cs="Times New Roman"/>
          <w:sz w:val="20"/>
          <w:szCs w:val="20"/>
          <w:bdr w:val="nil"/>
          <w:vertAlign w:val="superscript"/>
        </w:rPr>
        <w:footnoteReference w:id="65"/>
      </w:r>
      <w:r w:rsidRPr="00996758">
        <w:rPr>
          <w:rFonts w:ascii="Verdana" w:eastAsia="Arial Unicode MS" w:hAnsi="Verdana" w:cs="Times New Roman"/>
          <w:sz w:val="20"/>
          <w:szCs w:val="20"/>
          <w:bdr w:val="nil"/>
        </w:rPr>
        <w:t>;</w:t>
      </w:r>
    </w:p>
    <w:p w:rsidR="00BA3851" w:rsidRPr="00996758" w:rsidRDefault="00960C40"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Verdana" w:hAnsi="Verdana" w:cs="Verdana"/>
          <w:sz w:val="20"/>
          <w:szCs w:val="20"/>
        </w:rPr>
        <w:t xml:space="preserve">la investigación </w:t>
      </w:r>
      <w:r w:rsidR="00DB50FE" w:rsidRPr="00996758">
        <w:rPr>
          <w:rFonts w:ascii="Verdana" w:eastAsia="Verdana" w:hAnsi="Verdana" w:cs="Verdana"/>
          <w:sz w:val="20"/>
          <w:szCs w:val="20"/>
        </w:rPr>
        <w:t xml:space="preserve">fue reasignada a la Fiscalía 91 de Derechos Humanos y Derecho Internacional Humanitario de Medellín, que había solicitado su asignación por conexidad al proceso radicado bajo el número 9241 </w:t>
      </w:r>
      <w:r w:rsidR="00BA3851" w:rsidRPr="00996758">
        <w:rPr>
          <w:rFonts w:ascii="Verdana" w:hAnsi="Verdana"/>
          <w:sz w:val="20"/>
          <w:szCs w:val="20"/>
        </w:rPr>
        <w:t xml:space="preserve">(asignado especialmente por el Fiscal General de la Nación a la Fiscalía Delegada de Derechos Humanos) </w:t>
      </w:r>
      <w:r w:rsidR="00DB50FE" w:rsidRPr="00996758">
        <w:rPr>
          <w:rFonts w:ascii="Verdana" w:eastAsia="Verdana" w:hAnsi="Verdana" w:cs="Verdana"/>
          <w:sz w:val="20"/>
          <w:szCs w:val="20"/>
        </w:rPr>
        <w:t xml:space="preserve">en el que se investigan los crímenes cometidos contra 14 miembros del </w:t>
      </w:r>
      <w:r w:rsidR="00BA3851" w:rsidRPr="00996758">
        <w:rPr>
          <w:rFonts w:ascii="Verdana" w:eastAsia="Verdana" w:hAnsi="Verdana" w:cs="Verdana"/>
          <w:sz w:val="20"/>
          <w:szCs w:val="20"/>
        </w:rPr>
        <w:t>sindicato SUTIMAC y COLCARBUROS</w:t>
      </w:r>
      <w:r w:rsidR="00BA3851" w:rsidRPr="00996758">
        <w:rPr>
          <w:rFonts w:ascii="Verdana" w:hAnsi="Verdana"/>
          <w:sz w:val="20"/>
          <w:szCs w:val="20"/>
        </w:rPr>
        <w:t xml:space="preserve"> asesinados, desaparecidos o desplazados;</w:t>
      </w:r>
    </w:p>
    <w:p w:rsidR="005E4DE7" w:rsidRPr="00996758" w:rsidRDefault="005E4DE7" w:rsidP="00484279">
      <w:pPr>
        <w:numPr>
          <w:ilvl w:val="0"/>
          <w:numId w:val="18"/>
        </w:numPr>
        <w:pBdr>
          <w:top w:val="nil"/>
          <w:left w:val="nil"/>
          <w:bottom w:val="nil"/>
          <w:right w:val="nil"/>
          <w:between w:val="nil"/>
          <w:bar w:val="nil"/>
        </w:pBdr>
        <w:spacing w:after="0" w:line="240" w:lineRule="auto"/>
        <w:ind w:left="284"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 xml:space="preserve">entre el 24 de agosto de 2011 y el 15 de diciembre de 2017 se </w:t>
      </w:r>
      <w:r w:rsidR="00C90D68" w:rsidRPr="00996758">
        <w:rPr>
          <w:rFonts w:ascii="Verdana" w:eastAsia="Arial Unicode MS" w:hAnsi="Verdana" w:cs="Times New Roman"/>
          <w:sz w:val="20"/>
          <w:szCs w:val="20"/>
          <w:bdr w:val="nil"/>
        </w:rPr>
        <w:t>han llevado</w:t>
      </w:r>
      <w:r w:rsidRPr="00996758">
        <w:rPr>
          <w:rFonts w:ascii="Verdana" w:eastAsia="Arial Unicode MS" w:hAnsi="Verdana" w:cs="Times New Roman"/>
          <w:sz w:val="20"/>
          <w:szCs w:val="20"/>
          <w:bdr w:val="nil"/>
        </w:rPr>
        <w:t xml:space="preserve"> a cabo otras </w:t>
      </w:r>
      <w:r w:rsidR="00263228" w:rsidRPr="00996758">
        <w:rPr>
          <w:rFonts w:ascii="Verdana" w:eastAsia="Arial Unicode MS" w:hAnsi="Verdana" w:cs="Times New Roman"/>
          <w:sz w:val="20"/>
          <w:szCs w:val="20"/>
          <w:bdr w:val="nil"/>
        </w:rPr>
        <w:t>diligencias por</w:t>
      </w:r>
      <w:r w:rsidR="00B301D1" w:rsidRPr="00996758">
        <w:rPr>
          <w:rFonts w:ascii="Verdana" w:eastAsia="Arial Unicode MS" w:hAnsi="Verdana" w:cs="Times New Roman"/>
          <w:sz w:val="20"/>
          <w:szCs w:val="20"/>
          <w:bdr w:val="nil"/>
        </w:rPr>
        <w:t xml:space="preserve"> órdenes de la Fiscalía</w:t>
      </w:r>
      <w:r w:rsidRPr="00996758">
        <w:rPr>
          <w:rFonts w:ascii="Verdana" w:eastAsia="Arial Unicode MS" w:hAnsi="Verdana" w:cs="Times New Roman"/>
          <w:sz w:val="20"/>
          <w:szCs w:val="20"/>
          <w:bdr w:val="nil"/>
        </w:rPr>
        <w:t>: ampliación de declaraciones</w:t>
      </w:r>
      <w:r w:rsidR="00C90D68" w:rsidRPr="00996758">
        <w:rPr>
          <w:rFonts w:ascii="Verdana" w:eastAsia="Arial Unicode MS" w:hAnsi="Verdana" w:cs="Times New Roman"/>
          <w:sz w:val="20"/>
          <w:szCs w:val="20"/>
          <w:bdr w:val="nil"/>
        </w:rPr>
        <w:t>;</w:t>
      </w:r>
      <w:r w:rsidRPr="00996758">
        <w:rPr>
          <w:rFonts w:ascii="Verdana" w:eastAsia="Arial Unicode MS" w:hAnsi="Verdana" w:cs="Times New Roman"/>
          <w:sz w:val="20"/>
          <w:szCs w:val="20"/>
          <w:bdr w:val="nil"/>
        </w:rPr>
        <w:t xml:space="preserve"> informes de la Policía Judicial</w:t>
      </w:r>
      <w:r w:rsidR="00263228" w:rsidRPr="00996758">
        <w:rPr>
          <w:rFonts w:ascii="Verdana" w:eastAsia="Arial Unicode MS" w:hAnsi="Verdana" w:cs="Times New Roman"/>
          <w:sz w:val="20"/>
          <w:szCs w:val="20"/>
          <w:bdr w:val="nil"/>
        </w:rPr>
        <w:t xml:space="preserve"> (CTI)</w:t>
      </w:r>
      <w:r w:rsidR="00B301D1" w:rsidRPr="00996758">
        <w:rPr>
          <w:rFonts w:ascii="Verdana" w:eastAsia="Arial Unicode MS" w:hAnsi="Verdana" w:cs="Times New Roman"/>
          <w:sz w:val="20"/>
          <w:szCs w:val="20"/>
          <w:bdr w:val="nil"/>
        </w:rPr>
        <w:t>; ubicación de otros posibles testigos; georreferenciación y fijación topográfica de Puerto Nare, entre otras. Además,</w:t>
      </w:r>
      <w:r w:rsidR="00B37DF5" w:rsidRPr="00996758">
        <w:rPr>
          <w:rFonts w:ascii="Verdana" w:eastAsia="Arial Unicode MS" w:hAnsi="Verdana" w:cs="Times New Roman"/>
          <w:sz w:val="20"/>
          <w:szCs w:val="20"/>
          <w:bdr w:val="nil"/>
        </w:rPr>
        <w:t xml:space="preserve"> la Fiscalía recabó </w:t>
      </w:r>
      <w:r w:rsidRPr="00996758">
        <w:rPr>
          <w:rFonts w:ascii="Verdana" w:eastAsia="Arial Unicode MS" w:hAnsi="Verdana" w:cs="Times New Roman"/>
          <w:sz w:val="20"/>
          <w:szCs w:val="20"/>
          <w:bdr w:val="nil"/>
        </w:rPr>
        <w:t xml:space="preserve">información </w:t>
      </w:r>
      <w:r w:rsidR="00B37DF5" w:rsidRPr="00996758">
        <w:rPr>
          <w:rFonts w:ascii="Verdana" w:eastAsia="Arial Unicode MS" w:hAnsi="Verdana" w:cs="Times New Roman"/>
          <w:sz w:val="20"/>
          <w:szCs w:val="20"/>
          <w:bdr w:val="nil"/>
        </w:rPr>
        <w:t xml:space="preserve">en diligencias </w:t>
      </w:r>
      <w:r w:rsidRPr="00996758">
        <w:rPr>
          <w:rFonts w:ascii="Verdana" w:eastAsia="Arial Unicode MS" w:hAnsi="Verdana" w:cs="Times New Roman"/>
          <w:sz w:val="20"/>
          <w:szCs w:val="20"/>
          <w:bdr w:val="nil"/>
        </w:rPr>
        <w:t>ante el Tribunal de Justicia y Paz</w:t>
      </w:r>
      <w:r w:rsidRPr="00996758">
        <w:rPr>
          <w:rStyle w:val="FootnoteReference"/>
          <w:rFonts w:ascii="Verdana" w:eastAsia="Arial Unicode MS" w:hAnsi="Verdana" w:cs="Times New Roman"/>
          <w:sz w:val="20"/>
          <w:szCs w:val="20"/>
          <w:bdr w:val="nil"/>
        </w:rPr>
        <w:footnoteReference w:id="66"/>
      </w:r>
      <w:r w:rsidR="00B301D1" w:rsidRPr="00996758">
        <w:rPr>
          <w:rFonts w:ascii="Verdana" w:eastAsia="Arial Unicode MS" w:hAnsi="Verdana" w:cs="Times New Roman"/>
          <w:sz w:val="20"/>
          <w:szCs w:val="20"/>
          <w:bdr w:val="nil"/>
        </w:rPr>
        <w:t xml:space="preserve"> y el Estado manifestó que </w:t>
      </w:r>
      <w:r w:rsidR="00263228" w:rsidRPr="00996758">
        <w:rPr>
          <w:rFonts w:ascii="Verdana" w:eastAsia="Arial Unicode MS" w:hAnsi="Verdana" w:cs="Times New Roman"/>
          <w:sz w:val="20"/>
          <w:szCs w:val="20"/>
          <w:bdr w:val="nil"/>
        </w:rPr>
        <w:t xml:space="preserve">se </w:t>
      </w:r>
      <w:r w:rsidR="00B301D1" w:rsidRPr="00996758">
        <w:rPr>
          <w:rFonts w:ascii="Verdana" w:eastAsia="Arial Unicode MS" w:hAnsi="Verdana" w:cs="Times New Roman"/>
          <w:sz w:val="20"/>
          <w:szCs w:val="20"/>
          <w:bdr w:val="nil"/>
        </w:rPr>
        <w:t xml:space="preserve">había analizado información en la Unidad de </w:t>
      </w:r>
      <w:r w:rsidR="007B517E" w:rsidRPr="00996758">
        <w:rPr>
          <w:rFonts w:ascii="Verdana" w:eastAsia="Arial Unicode MS" w:hAnsi="Verdana" w:cs="Times New Roman"/>
          <w:sz w:val="20"/>
          <w:szCs w:val="20"/>
          <w:bdr w:val="nil"/>
        </w:rPr>
        <w:t>“</w:t>
      </w:r>
      <w:r w:rsidR="00B301D1" w:rsidRPr="00996758">
        <w:rPr>
          <w:rFonts w:ascii="Verdana" w:eastAsia="Arial Unicode MS" w:hAnsi="Verdana" w:cs="Times New Roman"/>
          <w:sz w:val="20"/>
          <w:szCs w:val="20"/>
          <w:bdr w:val="nil"/>
        </w:rPr>
        <w:t>NNs</w:t>
      </w:r>
      <w:r w:rsidR="007B517E" w:rsidRPr="00996758">
        <w:rPr>
          <w:rFonts w:ascii="Verdana" w:eastAsia="Arial Unicode MS" w:hAnsi="Verdana" w:cs="Times New Roman"/>
          <w:sz w:val="20"/>
          <w:szCs w:val="20"/>
          <w:bdr w:val="nil"/>
        </w:rPr>
        <w:t>”</w:t>
      </w:r>
      <w:r w:rsidR="00B301D1" w:rsidRPr="00996758">
        <w:rPr>
          <w:rFonts w:ascii="Verdana" w:eastAsia="Arial Unicode MS" w:hAnsi="Verdana" w:cs="Times New Roman"/>
          <w:sz w:val="20"/>
          <w:szCs w:val="20"/>
          <w:bdr w:val="nil"/>
        </w:rPr>
        <w:t xml:space="preserve"> y desaparecidos adscrita al CTI y se or</w:t>
      </w:r>
      <w:r w:rsidR="00A54F9D" w:rsidRPr="00996758">
        <w:rPr>
          <w:rFonts w:ascii="Verdana" w:eastAsia="Arial Unicode MS" w:hAnsi="Verdana" w:cs="Times New Roman"/>
          <w:sz w:val="20"/>
          <w:szCs w:val="20"/>
          <w:bdr w:val="nil"/>
        </w:rPr>
        <w:t>denó práctica de pruebas de ADN</w:t>
      </w:r>
      <w:r w:rsidR="00B301D1" w:rsidRPr="00996758">
        <w:rPr>
          <w:rFonts w:ascii="Verdana" w:eastAsia="Arial Unicode MS" w:hAnsi="Verdana" w:cs="Times New Roman"/>
          <w:sz w:val="20"/>
          <w:szCs w:val="20"/>
          <w:bdr w:val="nil"/>
        </w:rPr>
        <w:t>.</w:t>
      </w:r>
    </w:p>
    <w:p w:rsidR="00111BE2" w:rsidRPr="00996758" w:rsidRDefault="00111BE2" w:rsidP="00111BE2">
      <w:pPr>
        <w:pBdr>
          <w:top w:val="nil"/>
          <w:left w:val="nil"/>
          <w:bottom w:val="nil"/>
          <w:right w:val="nil"/>
          <w:between w:val="nil"/>
          <w:bar w:val="nil"/>
        </w:pBdr>
        <w:spacing w:after="0" w:line="240" w:lineRule="auto"/>
        <w:ind w:left="284"/>
        <w:jc w:val="both"/>
        <w:rPr>
          <w:rFonts w:ascii="Verdana" w:eastAsia="Arial Unicode MS" w:hAnsi="Verdana" w:cs="Times New Roman"/>
          <w:sz w:val="20"/>
          <w:szCs w:val="20"/>
          <w:bdr w:val="nil"/>
        </w:rPr>
      </w:pPr>
    </w:p>
    <w:p w:rsidR="009B1844" w:rsidRPr="00996758" w:rsidRDefault="009B1844">
      <w:pPr>
        <w:pStyle w:val="ListParagraph"/>
        <w:spacing w:after="0" w:line="240" w:lineRule="auto"/>
        <w:ind w:left="0"/>
        <w:jc w:val="both"/>
        <w:rPr>
          <w:rFonts w:ascii="Verdana" w:eastAsia="Arial Unicode MS" w:hAnsi="Verdana" w:cs="Times New Roman"/>
          <w:sz w:val="20"/>
          <w:szCs w:val="20"/>
          <w:bdr w:val="nil"/>
        </w:rPr>
      </w:pPr>
    </w:p>
    <w:p w:rsidR="005E4DE7" w:rsidRPr="00996758" w:rsidRDefault="005E4DE7">
      <w:pPr>
        <w:pStyle w:val="ListParagraph"/>
        <w:spacing w:after="0" w:line="240" w:lineRule="auto"/>
        <w:ind w:left="709"/>
        <w:jc w:val="both"/>
        <w:rPr>
          <w:rFonts w:ascii="Verdana" w:eastAsia="Verdana" w:hAnsi="Verdana" w:cs="Verdana"/>
          <w:i/>
          <w:sz w:val="20"/>
          <w:szCs w:val="20"/>
        </w:rPr>
      </w:pPr>
      <w:r w:rsidRPr="00996758">
        <w:rPr>
          <w:rFonts w:ascii="Verdana" w:eastAsia="Verdana" w:hAnsi="Verdana" w:cs="Verdana"/>
          <w:b/>
          <w:i/>
          <w:sz w:val="20"/>
          <w:szCs w:val="20"/>
        </w:rPr>
        <w:t>C.2.</w:t>
      </w:r>
      <w:r w:rsidRPr="00996758">
        <w:rPr>
          <w:rFonts w:ascii="Verdana" w:eastAsia="Verdana" w:hAnsi="Verdana" w:cs="Verdana"/>
          <w:b/>
          <w:i/>
          <w:sz w:val="20"/>
          <w:szCs w:val="20"/>
        </w:rPr>
        <w:tab/>
      </w:r>
      <w:r w:rsidR="00396CF1" w:rsidRPr="00996758">
        <w:rPr>
          <w:rFonts w:ascii="Verdana" w:eastAsia="Verdana" w:hAnsi="Verdana" w:cs="Verdana"/>
          <w:b/>
          <w:i/>
          <w:sz w:val="20"/>
          <w:szCs w:val="20"/>
        </w:rPr>
        <w:t>Indagación preliminar</w:t>
      </w:r>
      <w:r w:rsidR="00A54BAE" w:rsidRPr="00996758">
        <w:rPr>
          <w:rFonts w:ascii="Verdana" w:eastAsia="Verdana" w:hAnsi="Verdana" w:cs="Verdana"/>
          <w:b/>
          <w:i/>
          <w:sz w:val="20"/>
          <w:szCs w:val="20"/>
        </w:rPr>
        <w:t xml:space="preserve"> en la vía disciplinaria</w:t>
      </w:r>
    </w:p>
    <w:p w:rsidR="0088636E" w:rsidRPr="00996758" w:rsidRDefault="0088636E">
      <w:pPr>
        <w:pStyle w:val="ListParagraph"/>
        <w:spacing w:after="0" w:line="240" w:lineRule="auto"/>
        <w:ind w:left="0"/>
        <w:jc w:val="both"/>
        <w:rPr>
          <w:rFonts w:ascii="Verdana" w:eastAsia="Arial Unicode MS" w:hAnsi="Verdana"/>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Verdana" w:hAnsi="Verdana" w:cs="Verdana"/>
          <w:sz w:val="20"/>
          <w:szCs w:val="20"/>
        </w:rPr>
        <w:t>El 11 de enero</w:t>
      </w:r>
      <w:r w:rsidRPr="00996758">
        <w:rPr>
          <w:rFonts w:ascii="Verdana" w:eastAsia="Arial Unicode MS" w:hAnsi="Verdana"/>
          <w:sz w:val="20"/>
          <w:szCs w:val="20"/>
          <w:bdr w:val="nil"/>
        </w:rPr>
        <w:t xml:space="preserve"> de 1989 la señora Carmenza Vélez </w:t>
      </w:r>
      <w:r w:rsidRPr="00996758">
        <w:rPr>
          <w:rFonts w:ascii="Verdana" w:hAnsi="Verdana"/>
          <w:sz w:val="20"/>
          <w:szCs w:val="20"/>
        </w:rPr>
        <w:t>presentó</w:t>
      </w:r>
      <w:r w:rsidRPr="00996758">
        <w:rPr>
          <w:rFonts w:ascii="Verdana" w:eastAsia="Arial Unicode MS" w:hAnsi="Verdana"/>
          <w:sz w:val="20"/>
          <w:szCs w:val="20"/>
          <w:bdr w:val="nil"/>
        </w:rPr>
        <w:t xml:space="preserve"> una queja respecto de desaparición de su esposo ante la Procuraduría Delegada </w:t>
      </w:r>
      <w:r w:rsidR="00960C40" w:rsidRPr="00996758">
        <w:rPr>
          <w:rFonts w:ascii="Verdana" w:eastAsia="Arial Unicode MS" w:hAnsi="Verdana"/>
          <w:sz w:val="20"/>
          <w:szCs w:val="20"/>
          <w:bdr w:val="nil"/>
        </w:rPr>
        <w:t xml:space="preserve">para la Defensa de </w:t>
      </w:r>
      <w:r w:rsidRPr="00996758">
        <w:rPr>
          <w:rFonts w:ascii="Verdana" w:eastAsia="Arial Unicode MS" w:hAnsi="Verdana"/>
          <w:sz w:val="20"/>
          <w:szCs w:val="20"/>
          <w:bdr w:val="nil"/>
        </w:rPr>
        <w:t>Derechos Humanos</w:t>
      </w:r>
      <w:r w:rsidRPr="00996758">
        <w:rPr>
          <w:rStyle w:val="FootnoteReference"/>
          <w:rFonts w:ascii="Verdana" w:eastAsia="Arial Unicode MS" w:hAnsi="Verdana"/>
          <w:sz w:val="20"/>
          <w:szCs w:val="20"/>
          <w:bdr w:val="nil"/>
        </w:rPr>
        <w:footnoteReference w:id="67"/>
      </w:r>
      <w:r w:rsidRPr="00996758">
        <w:rPr>
          <w:rFonts w:ascii="Verdana" w:eastAsia="Arial Unicode MS" w:hAnsi="Verdana"/>
          <w:sz w:val="20"/>
          <w:szCs w:val="20"/>
          <w:bdr w:val="nil"/>
        </w:rPr>
        <w:t xml:space="preserve">. </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515781"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El 10 de marzo de 1989 la Procuraduría Delegada comisionó al Procurador Regional de Puerto Berrío para que realizara una vis</w:t>
      </w:r>
      <w:r w:rsidR="007B517E" w:rsidRPr="00996758">
        <w:rPr>
          <w:rFonts w:ascii="Verdana" w:eastAsia="Arial Unicode MS" w:hAnsi="Verdana"/>
          <w:sz w:val="20"/>
          <w:szCs w:val="20"/>
          <w:bdr w:val="nil"/>
        </w:rPr>
        <w:t>ita al Juzgado a cargo del caso, el cual, a</w:t>
      </w:r>
      <w:r w:rsidRPr="00996758">
        <w:rPr>
          <w:rFonts w:ascii="Verdana" w:eastAsia="Arial Unicode MS" w:hAnsi="Verdana"/>
          <w:sz w:val="20"/>
          <w:szCs w:val="20"/>
          <w:bdr w:val="nil"/>
        </w:rPr>
        <w:t xml:space="preserve"> su vez, el 22 de abril y 16 de mayo comisionó a la Personera Municipal para que visitara la investigación adelantada por la Inspección de la Policía de la localidad y recibiera testimonio</w:t>
      </w:r>
      <w:r w:rsidR="00960C40" w:rsidRPr="00996758">
        <w:rPr>
          <w:rFonts w:ascii="Verdana" w:eastAsia="Arial Unicode MS" w:hAnsi="Verdana"/>
          <w:sz w:val="20"/>
          <w:szCs w:val="20"/>
          <w:bdr w:val="nil"/>
        </w:rPr>
        <w:t>s</w:t>
      </w:r>
      <w:r w:rsidRPr="00996758">
        <w:rPr>
          <w:rFonts w:ascii="Verdana" w:eastAsia="Arial Unicode MS" w:hAnsi="Verdana"/>
          <w:sz w:val="20"/>
          <w:szCs w:val="20"/>
          <w:bdr w:val="nil"/>
        </w:rPr>
        <w:t>.</w:t>
      </w:r>
      <w:r w:rsidR="003B561C" w:rsidRPr="00996758">
        <w:rPr>
          <w:rFonts w:ascii="Verdana" w:eastAsia="Arial Unicode MS" w:hAnsi="Verdana"/>
          <w:sz w:val="20"/>
          <w:szCs w:val="20"/>
          <w:bdr w:val="nil"/>
        </w:rPr>
        <w:t xml:space="preserve"> </w:t>
      </w:r>
      <w:r w:rsidRPr="00996758">
        <w:rPr>
          <w:rFonts w:ascii="Verdana" w:eastAsia="Arial Unicode MS" w:hAnsi="Verdana"/>
          <w:sz w:val="20"/>
          <w:szCs w:val="20"/>
          <w:bdr w:val="nil"/>
        </w:rPr>
        <w:t>El 1 de junio</w:t>
      </w:r>
      <w:r w:rsidRPr="00996758">
        <w:rPr>
          <w:rFonts w:ascii="Verdana" w:eastAsia="Arial Unicode MS" w:hAnsi="Verdana" w:cs="Times New Roman"/>
          <w:sz w:val="20"/>
          <w:szCs w:val="20"/>
          <w:bdr w:val="nil"/>
        </w:rPr>
        <w:t xml:space="preserve"> de 1989 </w:t>
      </w:r>
      <w:r w:rsidR="00960C40" w:rsidRPr="00996758">
        <w:rPr>
          <w:rFonts w:ascii="Verdana" w:eastAsia="Arial Unicode MS" w:hAnsi="Verdana" w:cs="Times New Roman"/>
          <w:sz w:val="20"/>
          <w:szCs w:val="20"/>
          <w:bdr w:val="nil"/>
        </w:rPr>
        <w:t>dicho</w:t>
      </w:r>
      <w:r w:rsidRPr="00996758">
        <w:rPr>
          <w:rFonts w:ascii="Verdana" w:eastAsia="Arial Unicode MS" w:hAnsi="Verdana" w:cs="Times New Roman"/>
          <w:sz w:val="20"/>
          <w:szCs w:val="20"/>
          <w:bdr w:val="nil"/>
        </w:rPr>
        <w:t xml:space="preserve"> Procurador Regional remitió informe ev</w:t>
      </w:r>
      <w:r w:rsidR="00263228" w:rsidRPr="00996758">
        <w:rPr>
          <w:rFonts w:ascii="Verdana" w:eastAsia="Arial Unicode MS" w:hAnsi="Verdana" w:cs="Times New Roman"/>
          <w:sz w:val="20"/>
          <w:szCs w:val="20"/>
          <w:bdr w:val="nil"/>
        </w:rPr>
        <w:t>aluativo al Procurador Delegado</w:t>
      </w:r>
      <w:r w:rsidRPr="00996758">
        <w:rPr>
          <w:rStyle w:val="FootnoteReference"/>
          <w:rFonts w:ascii="Verdana" w:eastAsia="Arial Unicode MS" w:hAnsi="Verdana" w:cs="Times New Roman"/>
          <w:sz w:val="20"/>
          <w:szCs w:val="20"/>
          <w:bdr w:val="nil"/>
        </w:rPr>
        <w:footnoteReference w:id="68"/>
      </w:r>
      <w:r w:rsidRPr="00996758">
        <w:rPr>
          <w:rFonts w:ascii="Verdana" w:eastAsia="Arial Unicode MS" w:hAnsi="Verdana" w:cs="Times New Roman"/>
          <w:sz w:val="20"/>
          <w:szCs w:val="20"/>
          <w:bdr w:val="nil"/>
        </w:rPr>
        <w:t>.</w:t>
      </w:r>
      <w:r w:rsidR="00515781" w:rsidRPr="00996758">
        <w:rPr>
          <w:rFonts w:ascii="Verdana" w:eastAsia="Arial Unicode MS" w:hAnsi="Verdana" w:cs="Times New Roman"/>
          <w:sz w:val="20"/>
          <w:szCs w:val="20"/>
          <w:bdr w:val="nil"/>
        </w:rPr>
        <w:t xml:space="preserve"> </w:t>
      </w:r>
    </w:p>
    <w:p w:rsidR="00515781" w:rsidRPr="00996758" w:rsidRDefault="00515781">
      <w:pPr>
        <w:pStyle w:val="ListParagraph"/>
        <w:spacing w:after="0" w:line="240" w:lineRule="auto"/>
        <w:ind w:left="0"/>
        <w:jc w:val="both"/>
        <w:rPr>
          <w:rFonts w:ascii="Verdana" w:eastAsia="Arial Unicode MS" w:hAnsi="Verdana" w:cs="Times New Roman"/>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El 20 de oct</w:t>
      </w:r>
      <w:r w:rsidRPr="00996758">
        <w:rPr>
          <w:rFonts w:ascii="Verdana" w:eastAsia="Arial Unicode MS" w:hAnsi="Verdana"/>
          <w:sz w:val="20"/>
          <w:szCs w:val="20"/>
          <w:bdr w:val="nil"/>
        </w:rPr>
        <w:t xml:space="preserve">ubre de 1992 la Procuraduría Delegada ordenó el archivo </w:t>
      </w:r>
      <w:r w:rsidR="00C85106" w:rsidRPr="00996758">
        <w:rPr>
          <w:rFonts w:ascii="Verdana" w:eastAsia="Arial Unicode MS" w:hAnsi="Verdana"/>
          <w:sz w:val="20"/>
          <w:szCs w:val="20"/>
          <w:bdr w:val="nil"/>
        </w:rPr>
        <w:t xml:space="preserve">provisional </w:t>
      </w:r>
      <w:r w:rsidRPr="00996758">
        <w:rPr>
          <w:rFonts w:ascii="Verdana" w:eastAsia="Arial Unicode MS" w:hAnsi="Verdana"/>
          <w:sz w:val="20"/>
          <w:szCs w:val="20"/>
          <w:bdr w:val="nil"/>
        </w:rPr>
        <w:t>de la</w:t>
      </w:r>
      <w:r w:rsidR="00C85106" w:rsidRPr="00996758">
        <w:rPr>
          <w:rFonts w:ascii="Verdana" w:eastAsia="Arial Unicode MS" w:hAnsi="Verdana"/>
          <w:sz w:val="20"/>
          <w:szCs w:val="20"/>
          <w:bdr w:val="nil"/>
        </w:rPr>
        <w:t>s diligencias preliminares</w:t>
      </w:r>
      <w:r w:rsidRPr="00996758">
        <w:rPr>
          <w:rFonts w:ascii="Verdana" w:eastAsia="Arial Unicode MS" w:hAnsi="Verdana"/>
          <w:sz w:val="20"/>
          <w:szCs w:val="20"/>
          <w:bdr w:val="nil"/>
        </w:rPr>
        <w:t xml:space="preserve"> “por no existir prueba que comprometa en la desaparición de Víctor Manuel Isaza Uribe a servidor público alguno”</w:t>
      </w:r>
      <w:r w:rsidRPr="00996758">
        <w:rPr>
          <w:rFonts w:ascii="Verdana" w:hAnsi="Verdana"/>
          <w:sz w:val="20"/>
          <w:szCs w:val="20"/>
          <w:bdr w:val="nil"/>
          <w:vertAlign w:val="superscript"/>
        </w:rPr>
        <w:footnoteReference w:id="69"/>
      </w:r>
      <w:r w:rsidRPr="00996758">
        <w:rPr>
          <w:rFonts w:ascii="Verdana" w:eastAsia="Arial Unicode MS" w:hAnsi="Verdana"/>
          <w:sz w:val="20"/>
          <w:szCs w:val="20"/>
          <w:bdr w:val="nil"/>
        </w:rPr>
        <w:t>.</w:t>
      </w:r>
    </w:p>
    <w:p w:rsidR="005E4DE7" w:rsidRPr="00996758" w:rsidRDefault="005E4DE7">
      <w:pPr>
        <w:pStyle w:val="ListParagraph"/>
        <w:spacing w:after="0" w:line="240" w:lineRule="auto"/>
        <w:ind w:left="0"/>
        <w:jc w:val="both"/>
        <w:rPr>
          <w:rFonts w:ascii="Verdana" w:eastAsia="Arial Unicode MS" w:hAnsi="Verdana" w:cs="Times New Roman"/>
          <w:sz w:val="20"/>
          <w:szCs w:val="20"/>
          <w:bdr w:val="nil"/>
        </w:rPr>
      </w:pPr>
    </w:p>
    <w:p w:rsidR="005E4DE7" w:rsidRPr="00996758" w:rsidRDefault="00C85106" w:rsidP="00484279">
      <w:pPr>
        <w:pStyle w:val="ListParagraph"/>
        <w:numPr>
          <w:ilvl w:val="0"/>
          <w:numId w:val="10"/>
        </w:numPr>
        <w:spacing w:after="0" w:line="240" w:lineRule="auto"/>
        <w:ind w:left="0"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 xml:space="preserve">El 29 de febrero de 2016 </w:t>
      </w:r>
      <w:r w:rsidR="005E4DE7" w:rsidRPr="00996758">
        <w:rPr>
          <w:rFonts w:ascii="Verdana" w:eastAsia="Arial Unicode MS" w:hAnsi="Verdana" w:cs="Times New Roman"/>
          <w:sz w:val="20"/>
          <w:szCs w:val="20"/>
          <w:bdr w:val="nil"/>
        </w:rPr>
        <w:t>la Procuraduría General de la Nación</w:t>
      </w:r>
      <w:r w:rsidRPr="00996758">
        <w:rPr>
          <w:rFonts w:ascii="Verdana" w:eastAsia="Arial Unicode MS" w:hAnsi="Verdana" w:cs="Times New Roman"/>
          <w:sz w:val="20"/>
          <w:szCs w:val="20"/>
          <w:bdr w:val="nil"/>
        </w:rPr>
        <w:t xml:space="preserve"> </w:t>
      </w:r>
      <w:r w:rsidR="00321B78" w:rsidRPr="00996758">
        <w:rPr>
          <w:rFonts w:ascii="Verdana" w:eastAsia="Arial Unicode MS" w:hAnsi="Verdana" w:cs="Times New Roman"/>
          <w:sz w:val="20"/>
          <w:szCs w:val="20"/>
          <w:bdr w:val="nil"/>
        </w:rPr>
        <w:t>revocó</w:t>
      </w:r>
      <w:r w:rsidRPr="00996758">
        <w:rPr>
          <w:rFonts w:ascii="Verdana" w:eastAsia="Arial Unicode MS" w:hAnsi="Verdana" w:cs="Times New Roman"/>
          <w:sz w:val="20"/>
          <w:szCs w:val="20"/>
          <w:bdr w:val="nil"/>
        </w:rPr>
        <w:t xml:space="preserve"> </w:t>
      </w:r>
      <w:r w:rsidR="00CE3127" w:rsidRPr="00996758">
        <w:rPr>
          <w:rFonts w:ascii="Verdana" w:eastAsia="Arial Unicode MS" w:hAnsi="Verdana" w:cs="Times New Roman"/>
          <w:sz w:val="20"/>
          <w:szCs w:val="20"/>
          <w:bdr w:val="nil"/>
        </w:rPr>
        <w:t xml:space="preserve">de oficio </w:t>
      </w:r>
      <w:r w:rsidR="005E4DE7" w:rsidRPr="00996758">
        <w:rPr>
          <w:rFonts w:ascii="Verdana" w:eastAsia="Arial Unicode MS" w:hAnsi="Verdana" w:cs="Times New Roman"/>
          <w:sz w:val="20"/>
          <w:szCs w:val="20"/>
          <w:bdr w:val="nil"/>
        </w:rPr>
        <w:t>el</w:t>
      </w:r>
      <w:r w:rsidR="005E4DE7" w:rsidRPr="00996758">
        <w:rPr>
          <w:rFonts w:ascii="Verdana" w:eastAsia="Verdana" w:hAnsi="Verdana" w:cs="Verdana"/>
          <w:sz w:val="20"/>
          <w:szCs w:val="20"/>
        </w:rPr>
        <w:t xml:space="preserve"> auto de 20 de octubre de 1992 y dispuso que la Procuraduría Delegada Disciplinaria para la Defensa de los Derechos Humanos continúe con la actuación disciplinaria</w:t>
      </w:r>
      <w:r w:rsidR="005E4DE7" w:rsidRPr="00996758">
        <w:rPr>
          <w:rStyle w:val="FootnoteReference"/>
          <w:rFonts w:ascii="Verdana" w:eastAsia="Verdana" w:hAnsi="Verdana" w:cs="Verdana"/>
          <w:sz w:val="20"/>
          <w:szCs w:val="20"/>
        </w:rPr>
        <w:footnoteReference w:id="70"/>
      </w:r>
      <w:r w:rsidR="005E4DE7" w:rsidRPr="00996758">
        <w:rPr>
          <w:rFonts w:ascii="Verdana" w:eastAsia="Verdana" w:hAnsi="Verdana" w:cs="Verdana"/>
          <w:sz w:val="20"/>
          <w:szCs w:val="20"/>
        </w:rPr>
        <w:t xml:space="preserve">. </w:t>
      </w:r>
    </w:p>
    <w:p w:rsidR="003B561C" w:rsidRPr="00996758" w:rsidRDefault="003B561C">
      <w:pPr>
        <w:pStyle w:val="ListParagraph"/>
        <w:spacing w:after="0" w:line="240" w:lineRule="auto"/>
        <w:ind w:left="0"/>
        <w:jc w:val="both"/>
        <w:rPr>
          <w:rFonts w:ascii="Verdana" w:eastAsia="Arial Unicode MS" w:hAnsi="Verdana" w:cs="Times New Roman"/>
          <w:sz w:val="20"/>
          <w:szCs w:val="20"/>
          <w:bdr w:val="nil"/>
        </w:rPr>
      </w:pPr>
    </w:p>
    <w:p w:rsidR="005E4DE7" w:rsidRPr="00996758" w:rsidRDefault="005E4DE7">
      <w:pPr>
        <w:spacing w:before="100" w:after="100" w:line="240" w:lineRule="auto"/>
        <w:ind w:right="75" w:firstLine="708"/>
        <w:jc w:val="both"/>
        <w:rPr>
          <w:rFonts w:ascii="Verdana" w:eastAsia="Verdana" w:hAnsi="Verdana" w:cs="Verdana"/>
          <w:b/>
          <w:i/>
          <w:sz w:val="20"/>
          <w:szCs w:val="20"/>
        </w:rPr>
      </w:pPr>
      <w:r w:rsidRPr="00996758">
        <w:rPr>
          <w:rFonts w:ascii="Verdana" w:eastAsia="Verdana" w:hAnsi="Verdana" w:cs="Verdana"/>
          <w:b/>
          <w:i/>
          <w:sz w:val="20"/>
          <w:szCs w:val="20"/>
        </w:rPr>
        <w:t xml:space="preserve">C.3. </w:t>
      </w:r>
      <w:r w:rsidR="00A54BAE" w:rsidRPr="00996758">
        <w:rPr>
          <w:rFonts w:ascii="Verdana" w:eastAsia="Verdana" w:hAnsi="Verdana" w:cs="Verdana"/>
          <w:b/>
          <w:i/>
          <w:sz w:val="20"/>
          <w:szCs w:val="20"/>
        </w:rPr>
        <w:tab/>
      </w:r>
      <w:r w:rsidRPr="00996758">
        <w:rPr>
          <w:rFonts w:ascii="Verdana" w:eastAsia="Verdana" w:hAnsi="Verdana" w:cs="Verdana"/>
          <w:b/>
          <w:i/>
          <w:sz w:val="20"/>
          <w:szCs w:val="20"/>
        </w:rPr>
        <w:t>Proceso contencioso-administrativo</w:t>
      </w:r>
      <w:r w:rsidRPr="00996758">
        <w:rPr>
          <w:rFonts w:ascii="Verdana" w:eastAsia="Arial Unicode MS" w:hAnsi="Verdana" w:cs="Times New Roman"/>
          <w:color w:val="000000"/>
          <w:sz w:val="20"/>
          <w:szCs w:val="20"/>
          <w:bdr w:val="nil"/>
          <w:vertAlign w:val="superscript"/>
          <w:lang w:eastAsia="es-CR"/>
        </w:rPr>
        <w:footnoteReference w:id="71"/>
      </w: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cs="Times New Roman"/>
          <w:sz w:val="20"/>
          <w:szCs w:val="20"/>
          <w:bdr w:val="nil"/>
        </w:rPr>
      </w:pPr>
      <w:r w:rsidRPr="00996758">
        <w:rPr>
          <w:rFonts w:ascii="Verdana" w:eastAsia="Arial Unicode MS" w:hAnsi="Verdana" w:cs="Times New Roman"/>
          <w:sz w:val="20"/>
          <w:szCs w:val="20"/>
          <w:bdr w:val="nil"/>
        </w:rPr>
        <w:t xml:space="preserve">El 8 de agosto de 1989 la señora Carmenza Vélez presentó demanda </w:t>
      </w:r>
      <w:r w:rsidR="007F21D8" w:rsidRPr="00996758">
        <w:rPr>
          <w:rFonts w:ascii="Verdana" w:eastAsia="Arial Unicode MS" w:hAnsi="Verdana" w:cs="Times New Roman"/>
          <w:sz w:val="20"/>
          <w:szCs w:val="20"/>
          <w:bdr w:val="nil"/>
        </w:rPr>
        <w:t xml:space="preserve">de reparación directa </w:t>
      </w:r>
      <w:r w:rsidRPr="00996758">
        <w:rPr>
          <w:rFonts w:ascii="Verdana" w:eastAsia="Arial Unicode MS" w:hAnsi="Verdana" w:cs="Times New Roman"/>
          <w:sz w:val="20"/>
          <w:szCs w:val="20"/>
          <w:bdr w:val="nil"/>
        </w:rPr>
        <w:t xml:space="preserve">ante el Tribunal de lo Contencioso Administrativo del Departamento de Antioquía, en nombre propio y en representación de sus hijos, por la desaparición del señor Isaza Uribe. La demanda fue radicada con el número 25.861. </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5E4DE7" w:rsidRPr="00996758" w:rsidRDefault="005E4DE7"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 xml:space="preserve">El 26 de noviembre de 1993 el Tribunal Administrativo de Antioquía resolvió denegar la demanda interpuesta por la señora Vélez, quien impugnó la resolución. </w:t>
      </w:r>
    </w:p>
    <w:p w:rsidR="005E4DE7" w:rsidRPr="00996758" w:rsidRDefault="005E4DE7">
      <w:pPr>
        <w:pStyle w:val="ListParagraph"/>
        <w:spacing w:after="0" w:line="240" w:lineRule="auto"/>
        <w:ind w:left="0"/>
        <w:jc w:val="both"/>
        <w:rPr>
          <w:rFonts w:ascii="Verdana" w:eastAsia="Arial Unicode MS" w:hAnsi="Verdana"/>
          <w:sz w:val="20"/>
          <w:szCs w:val="20"/>
          <w:bdr w:val="nil"/>
        </w:rPr>
      </w:pPr>
    </w:p>
    <w:p w:rsidR="00C37702" w:rsidRPr="00996758" w:rsidRDefault="005E4DE7" w:rsidP="00BB1821">
      <w:pPr>
        <w:pStyle w:val="ListParagraph"/>
        <w:numPr>
          <w:ilvl w:val="0"/>
          <w:numId w:val="10"/>
        </w:numPr>
        <w:spacing w:after="0" w:line="240" w:lineRule="auto"/>
        <w:ind w:left="0" w:firstLine="0"/>
        <w:jc w:val="both"/>
        <w:rPr>
          <w:rFonts w:ascii="Verdana" w:eastAsia="Verdana" w:hAnsi="Verdana" w:cs="Verdana"/>
          <w:i/>
          <w:sz w:val="20"/>
          <w:szCs w:val="20"/>
        </w:rPr>
      </w:pPr>
      <w:r w:rsidRPr="00996758">
        <w:rPr>
          <w:rFonts w:ascii="Verdana" w:eastAsia="Arial Unicode MS" w:hAnsi="Verdana"/>
          <w:sz w:val="20"/>
          <w:szCs w:val="20"/>
          <w:bdr w:val="nil"/>
        </w:rPr>
        <w:t xml:space="preserve">El 23 de septiembre de 1994 la Sala de lo Contencioso Administrativo del Consejo de Estado confirmó la sentencia, haciendo suya la valoración jurídica, fáctica y probatoria del tribunal de instancia.  </w:t>
      </w:r>
    </w:p>
    <w:p w:rsidR="00111BE2" w:rsidRPr="00996758" w:rsidRDefault="00111BE2" w:rsidP="00111BE2">
      <w:pPr>
        <w:pStyle w:val="ListParagraph"/>
        <w:spacing w:after="0" w:line="240" w:lineRule="auto"/>
        <w:ind w:left="0"/>
        <w:jc w:val="both"/>
        <w:rPr>
          <w:rFonts w:ascii="Verdana" w:eastAsia="Verdana" w:hAnsi="Verdana" w:cs="Verdana"/>
          <w:i/>
          <w:sz w:val="20"/>
          <w:szCs w:val="20"/>
        </w:rPr>
      </w:pPr>
    </w:p>
    <w:p w:rsidR="00D275ED" w:rsidRPr="00996758" w:rsidRDefault="00D275ED" w:rsidP="00111BE2">
      <w:pPr>
        <w:pStyle w:val="ListParagraph"/>
        <w:spacing w:after="0" w:line="240" w:lineRule="auto"/>
        <w:ind w:left="0"/>
        <w:jc w:val="both"/>
        <w:rPr>
          <w:rFonts w:ascii="Verdana" w:eastAsia="Verdana" w:hAnsi="Verdana" w:cs="Verdana"/>
          <w:i/>
          <w:sz w:val="20"/>
          <w:szCs w:val="20"/>
        </w:rPr>
      </w:pPr>
    </w:p>
    <w:p w:rsidR="005E4DE7" w:rsidRPr="00996758" w:rsidRDefault="005E4DE7" w:rsidP="009B1844">
      <w:pPr>
        <w:pStyle w:val="Heading2"/>
        <w:numPr>
          <w:ilvl w:val="0"/>
          <w:numId w:val="36"/>
        </w:numPr>
        <w:spacing w:line="240" w:lineRule="auto"/>
        <w:rPr>
          <w:rFonts w:ascii="Verdana" w:hAnsi="Verdana"/>
          <w:i/>
          <w:smallCaps/>
          <w:color w:val="auto"/>
          <w:sz w:val="20"/>
          <w:szCs w:val="20"/>
        </w:rPr>
      </w:pPr>
      <w:bookmarkStart w:id="26" w:name="_Toc530560065"/>
      <w:r w:rsidRPr="00996758">
        <w:rPr>
          <w:rFonts w:ascii="Verdana" w:hAnsi="Verdana"/>
          <w:i/>
          <w:smallCaps/>
          <w:color w:val="auto"/>
          <w:sz w:val="20"/>
          <w:szCs w:val="20"/>
        </w:rPr>
        <w:t>Informe del Centro Nacional de Memoria Histórica</w:t>
      </w:r>
      <w:bookmarkEnd w:id="26"/>
    </w:p>
    <w:p w:rsidR="009B1844" w:rsidRPr="00996758" w:rsidRDefault="009B1844" w:rsidP="009B1844">
      <w:pPr>
        <w:pStyle w:val="ListParagraph"/>
        <w:spacing w:after="0" w:line="240" w:lineRule="auto"/>
        <w:ind w:left="0"/>
        <w:jc w:val="both"/>
        <w:rPr>
          <w:rFonts w:ascii="Verdana" w:eastAsia="Arial Unicode MS" w:hAnsi="Verdana"/>
          <w:sz w:val="20"/>
          <w:szCs w:val="20"/>
          <w:bdr w:val="nil"/>
        </w:rPr>
      </w:pPr>
    </w:p>
    <w:p w:rsidR="00AE40EA" w:rsidRPr="00996758" w:rsidRDefault="00AB2AF8"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En noviembre de 2013</w:t>
      </w:r>
      <w:r w:rsidR="005E4DE7" w:rsidRPr="00996758">
        <w:rPr>
          <w:rFonts w:ascii="Verdana" w:eastAsia="Arial Unicode MS" w:hAnsi="Verdana"/>
          <w:sz w:val="20"/>
          <w:szCs w:val="20"/>
          <w:bdr w:val="nil"/>
        </w:rPr>
        <w:t xml:space="preserve"> el Centro Nacional de Memoria Histórica</w:t>
      </w:r>
      <w:r w:rsidR="00E0353A" w:rsidRPr="00996758">
        <w:rPr>
          <w:rFonts w:ascii="Verdana" w:eastAsia="Arial Unicode MS" w:hAnsi="Verdana"/>
          <w:sz w:val="20"/>
          <w:szCs w:val="20"/>
          <w:bdr w:val="nil"/>
        </w:rPr>
        <w:t xml:space="preserve">, en el marco de sus </w:t>
      </w:r>
      <w:r w:rsidR="006E71FB" w:rsidRPr="00996758">
        <w:rPr>
          <w:rFonts w:ascii="Verdana" w:eastAsia="Arial Unicode MS" w:hAnsi="Verdana"/>
          <w:sz w:val="20"/>
          <w:szCs w:val="20"/>
          <w:bdr w:val="nil"/>
        </w:rPr>
        <w:t>facultadas fijadas en la ley respectiva</w:t>
      </w:r>
      <w:r w:rsidR="00E0353A" w:rsidRPr="00996758">
        <w:rPr>
          <w:rFonts w:ascii="Verdana" w:eastAsia="Arial Unicode MS" w:hAnsi="Verdana"/>
          <w:sz w:val="20"/>
          <w:szCs w:val="20"/>
          <w:bdr w:val="nil"/>
        </w:rPr>
        <w:t xml:space="preserve"> (</w:t>
      </w:r>
      <w:r w:rsidR="00E0353A" w:rsidRPr="00996758">
        <w:rPr>
          <w:rFonts w:ascii="Verdana" w:eastAsia="Arial Unicode MS" w:hAnsi="Verdana"/>
          <w:i/>
          <w:sz w:val="20"/>
          <w:szCs w:val="20"/>
          <w:bdr w:val="nil"/>
        </w:rPr>
        <w:t xml:space="preserve">supra </w:t>
      </w:r>
      <w:r w:rsidR="00E0353A" w:rsidRPr="00996758">
        <w:rPr>
          <w:rFonts w:ascii="Verdana" w:eastAsia="Arial Unicode MS" w:hAnsi="Verdana"/>
          <w:sz w:val="20"/>
          <w:szCs w:val="20"/>
          <w:bdr w:val="nil"/>
        </w:rPr>
        <w:t>párr. 28),</w:t>
      </w:r>
      <w:r w:rsidR="005E4DE7" w:rsidRPr="00996758">
        <w:rPr>
          <w:rFonts w:ascii="Verdana" w:eastAsia="Arial Unicode MS" w:hAnsi="Verdana"/>
          <w:sz w:val="20"/>
          <w:szCs w:val="20"/>
          <w:bdr w:val="nil"/>
        </w:rPr>
        <w:t xml:space="preserve"> publicó su informe “Huellas y rostros de la desaparición forzada (1970-2010)”, en el cual, entre otros, se concluye: </w:t>
      </w:r>
    </w:p>
    <w:p w:rsidR="00AE40EA" w:rsidRPr="00996758" w:rsidRDefault="00AE40EA">
      <w:pPr>
        <w:pStyle w:val="ListParagraph"/>
        <w:spacing w:after="0" w:line="240" w:lineRule="auto"/>
        <w:ind w:left="0"/>
        <w:jc w:val="both"/>
        <w:rPr>
          <w:rFonts w:ascii="Verdana" w:eastAsia="Arial Unicode MS" w:hAnsi="Verdana"/>
          <w:sz w:val="20"/>
          <w:szCs w:val="20"/>
          <w:bdr w:val="nil"/>
        </w:rPr>
      </w:pPr>
    </w:p>
    <w:p w:rsidR="005E4DE7" w:rsidRPr="00996758" w:rsidRDefault="005E4DE7">
      <w:pPr>
        <w:pStyle w:val="ListParagraph"/>
        <w:spacing w:after="0" w:line="240" w:lineRule="auto"/>
        <w:ind w:left="426"/>
        <w:jc w:val="both"/>
        <w:rPr>
          <w:rFonts w:ascii="Verdana" w:eastAsia="Arial Unicode MS" w:hAnsi="Verdana"/>
          <w:sz w:val="16"/>
          <w:szCs w:val="16"/>
          <w:bdr w:val="nil"/>
        </w:rPr>
      </w:pPr>
      <w:r w:rsidRPr="00996758">
        <w:rPr>
          <w:rFonts w:ascii="Verdana" w:eastAsia="Arial Unicode MS" w:hAnsi="Verdana"/>
          <w:sz w:val="16"/>
          <w:szCs w:val="16"/>
          <w:bdr w:val="nil"/>
        </w:rPr>
        <w:t xml:space="preserve">“La desaparición forzada de Víctor Manuel Isaza Uribe ilustra dramáticamente la implementación de la Doctrina de la Seguridad Nacional y la estrategia paramilitar por parte de las Fuerzas Militares colombianas, así como la satanización de la oposición social y política y la eliminación de movimientos sindicales durante la década de 1980. La inacción de la jurisdicción ordinaria y la complicidad de los poderes públicos locales constituyeron las piezas maestras de la construcción de la impunidad en el caso </w:t>
      </w:r>
      <w:r w:rsidR="00AE40EA" w:rsidRPr="00996758">
        <w:rPr>
          <w:rFonts w:ascii="Verdana" w:eastAsia="Arial Unicode MS" w:hAnsi="Verdana"/>
          <w:sz w:val="16"/>
          <w:szCs w:val="16"/>
          <w:bdr w:val="nil"/>
        </w:rPr>
        <w:t>[…]</w:t>
      </w:r>
      <w:r w:rsidR="00D05D60" w:rsidRPr="00996758">
        <w:rPr>
          <w:rFonts w:ascii="Verdana" w:eastAsia="Arial Unicode MS" w:hAnsi="Verdana"/>
          <w:sz w:val="16"/>
          <w:szCs w:val="16"/>
          <w:bdr w:val="nil"/>
        </w:rPr>
        <w:t>”</w:t>
      </w:r>
      <w:r w:rsidRPr="00996758">
        <w:rPr>
          <w:rFonts w:ascii="Verdana" w:eastAsia="Arial Unicode MS" w:hAnsi="Verdana"/>
          <w:sz w:val="16"/>
          <w:szCs w:val="16"/>
          <w:bdr w:val="nil"/>
          <w:vertAlign w:val="superscript"/>
        </w:rPr>
        <w:footnoteReference w:id="72"/>
      </w:r>
      <w:r w:rsidRPr="00996758">
        <w:rPr>
          <w:rFonts w:ascii="Verdana" w:eastAsia="Arial Unicode MS" w:hAnsi="Verdana"/>
          <w:sz w:val="16"/>
          <w:szCs w:val="16"/>
          <w:bdr w:val="nil"/>
        </w:rPr>
        <w:t>.</w:t>
      </w:r>
    </w:p>
    <w:p w:rsidR="009B1844" w:rsidRPr="00996758" w:rsidRDefault="009B1844">
      <w:pPr>
        <w:pStyle w:val="ListParagraph"/>
        <w:spacing w:after="0" w:line="240" w:lineRule="auto"/>
        <w:ind w:left="0"/>
        <w:jc w:val="both"/>
        <w:rPr>
          <w:rFonts w:ascii="Verdana" w:eastAsia="Arial Unicode MS" w:hAnsi="Verdana"/>
          <w:sz w:val="20"/>
          <w:szCs w:val="20"/>
          <w:bdr w:val="nil"/>
        </w:rPr>
      </w:pPr>
    </w:p>
    <w:p w:rsidR="00BB1821" w:rsidRPr="00996758" w:rsidRDefault="00BB1821">
      <w:pPr>
        <w:pStyle w:val="ListParagraph"/>
        <w:spacing w:after="0" w:line="240" w:lineRule="auto"/>
        <w:ind w:left="0"/>
        <w:jc w:val="both"/>
        <w:rPr>
          <w:rFonts w:ascii="Verdana" w:eastAsia="Arial Unicode MS" w:hAnsi="Verdana"/>
          <w:sz w:val="20"/>
          <w:szCs w:val="20"/>
          <w:bdr w:val="nil"/>
        </w:rPr>
      </w:pPr>
    </w:p>
    <w:p w:rsidR="00D275ED" w:rsidRPr="00996758" w:rsidRDefault="00D275ED">
      <w:pPr>
        <w:pStyle w:val="ListParagraph"/>
        <w:spacing w:after="0" w:line="240" w:lineRule="auto"/>
        <w:ind w:left="0"/>
        <w:jc w:val="both"/>
        <w:rPr>
          <w:rFonts w:ascii="Verdana" w:eastAsia="Arial Unicode MS" w:hAnsi="Verdana"/>
          <w:sz w:val="20"/>
          <w:szCs w:val="20"/>
          <w:bdr w:val="nil"/>
        </w:rPr>
      </w:pPr>
    </w:p>
    <w:p w:rsidR="002221DE" w:rsidRPr="00996758" w:rsidRDefault="002221DE">
      <w:pPr>
        <w:pStyle w:val="Heading1"/>
        <w:spacing w:before="0" w:after="0"/>
        <w:rPr>
          <w:b w:val="0"/>
          <w:bCs w:val="0"/>
          <w:caps w:val="0"/>
        </w:rPr>
      </w:pPr>
      <w:bookmarkStart w:id="27" w:name="_Toc476251456"/>
      <w:bookmarkStart w:id="28" w:name="_Toc530560066"/>
      <w:r w:rsidRPr="00996758">
        <w:t>VIII</w:t>
      </w:r>
      <w:r w:rsidRPr="00996758">
        <w:br/>
        <w:t>FONDO</w:t>
      </w:r>
      <w:bookmarkEnd w:id="27"/>
      <w:bookmarkEnd w:id="28"/>
    </w:p>
    <w:p w:rsidR="002221DE" w:rsidRPr="00996758" w:rsidRDefault="002221DE">
      <w:pPr>
        <w:spacing w:after="0" w:line="240" w:lineRule="auto"/>
        <w:jc w:val="both"/>
        <w:rPr>
          <w:rFonts w:ascii="Verdana" w:eastAsia="Times New Roman" w:hAnsi="Verdana" w:cs="Times New Roman"/>
          <w:sz w:val="20"/>
          <w:szCs w:val="20"/>
          <w:lang w:eastAsia="es-ES"/>
        </w:rPr>
      </w:pPr>
    </w:p>
    <w:p w:rsidR="007B76C4" w:rsidRPr="00996758" w:rsidRDefault="00A12F39"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E</w:t>
      </w:r>
      <w:r w:rsidR="00960C40" w:rsidRPr="00996758">
        <w:rPr>
          <w:rFonts w:ascii="Verdana" w:hAnsi="Verdana"/>
          <w:sz w:val="20"/>
          <w:szCs w:val="20"/>
        </w:rPr>
        <w:t>n e</w:t>
      </w:r>
      <w:r w:rsidRPr="00996758">
        <w:rPr>
          <w:rFonts w:ascii="Verdana" w:hAnsi="Verdana"/>
          <w:sz w:val="20"/>
          <w:szCs w:val="20"/>
        </w:rPr>
        <w:t xml:space="preserve">l presente caso, la </w:t>
      </w:r>
      <w:r w:rsidR="002974CD" w:rsidRPr="00996758">
        <w:rPr>
          <w:rFonts w:ascii="Verdana" w:eastAsia="Verdana" w:hAnsi="Verdana" w:cs="Verdana"/>
          <w:sz w:val="20"/>
          <w:szCs w:val="20"/>
        </w:rPr>
        <w:t xml:space="preserve">Comisión y los representantes sostienen que </w:t>
      </w:r>
      <w:r w:rsidRPr="00996758">
        <w:rPr>
          <w:rFonts w:ascii="Verdana" w:hAnsi="Verdana"/>
          <w:sz w:val="20"/>
          <w:szCs w:val="20"/>
        </w:rPr>
        <w:t xml:space="preserve">la desaparición del señor Víctor Manuel Isaza Uribe </w:t>
      </w:r>
      <w:r w:rsidR="002974CD" w:rsidRPr="00996758">
        <w:rPr>
          <w:rFonts w:ascii="Verdana" w:eastAsia="Cambria" w:hAnsi="Verdana" w:cs="Cambria"/>
          <w:spacing w:val="2"/>
          <w:sz w:val="20"/>
          <w:szCs w:val="20"/>
        </w:rPr>
        <w:t xml:space="preserve">y sus consecuencias constituyen una </w:t>
      </w:r>
      <w:r w:rsidR="002974CD" w:rsidRPr="00996758">
        <w:rPr>
          <w:rFonts w:ascii="Verdana" w:eastAsia="Verdana" w:hAnsi="Verdana" w:cs="Verdana"/>
          <w:sz w:val="20"/>
          <w:szCs w:val="20"/>
        </w:rPr>
        <w:t>desaparición forzada cometida por grupos paramilitares, con aquiescencia de agentes estatales. S</w:t>
      </w:r>
      <w:r w:rsidR="006B473E" w:rsidRPr="00996758">
        <w:rPr>
          <w:rFonts w:ascii="Verdana" w:eastAsia="Verdana" w:hAnsi="Verdana" w:cs="Verdana"/>
          <w:sz w:val="20"/>
          <w:szCs w:val="20"/>
        </w:rPr>
        <w:t xml:space="preserve">i bien </w:t>
      </w:r>
      <w:r w:rsidR="002C71B2" w:rsidRPr="00996758">
        <w:rPr>
          <w:rFonts w:ascii="Verdana" w:eastAsia="Verdana" w:hAnsi="Verdana" w:cs="Verdana"/>
          <w:sz w:val="20"/>
          <w:szCs w:val="20"/>
        </w:rPr>
        <w:t xml:space="preserve">el Estado reconoció </w:t>
      </w:r>
      <w:r w:rsidR="0022004D" w:rsidRPr="00996758">
        <w:rPr>
          <w:rFonts w:ascii="Verdana" w:eastAsia="Verdana" w:hAnsi="Verdana" w:cs="Verdana"/>
          <w:sz w:val="20"/>
          <w:szCs w:val="20"/>
        </w:rPr>
        <w:t xml:space="preserve">la violación de </w:t>
      </w:r>
      <w:r w:rsidR="002974CD" w:rsidRPr="00996758">
        <w:rPr>
          <w:rFonts w:ascii="Verdana" w:eastAsia="Verdana" w:hAnsi="Verdana" w:cs="Verdana"/>
          <w:sz w:val="20"/>
          <w:szCs w:val="20"/>
        </w:rPr>
        <w:t>sus</w:t>
      </w:r>
      <w:r w:rsidR="0022004D" w:rsidRPr="00996758">
        <w:rPr>
          <w:rFonts w:ascii="Verdana" w:eastAsia="Verdana" w:hAnsi="Verdana" w:cs="Verdana"/>
          <w:sz w:val="20"/>
          <w:szCs w:val="20"/>
        </w:rPr>
        <w:t xml:space="preserve"> </w:t>
      </w:r>
      <w:r w:rsidR="00DE0AE7" w:rsidRPr="00996758">
        <w:rPr>
          <w:rFonts w:ascii="Verdana" w:hAnsi="Verdana"/>
          <w:sz w:val="20"/>
          <w:szCs w:val="20"/>
        </w:rPr>
        <w:t>derechos a la personalidad jurídica, vida, integridad y libertad personales</w:t>
      </w:r>
      <w:r w:rsidR="0022004D" w:rsidRPr="00996758">
        <w:rPr>
          <w:rFonts w:ascii="Verdana" w:hAnsi="Verdana"/>
          <w:sz w:val="20"/>
          <w:szCs w:val="20"/>
        </w:rPr>
        <w:t xml:space="preserve">, </w:t>
      </w:r>
      <w:r w:rsidRPr="00996758">
        <w:rPr>
          <w:rFonts w:ascii="Verdana" w:hAnsi="Verdana"/>
          <w:sz w:val="20"/>
          <w:szCs w:val="20"/>
        </w:rPr>
        <w:t xml:space="preserve">que se entienden lesionados en casos de </w:t>
      </w:r>
      <w:r w:rsidR="00DE0AE7" w:rsidRPr="00996758">
        <w:rPr>
          <w:rFonts w:ascii="Verdana" w:hAnsi="Verdana"/>
          <w:sz w:val="20"/>
          <w:szCs w:val="20"/>
        </w:rPr>
        <w:t xml:space="preserve">desaparición forzada de personas en </w:t>
      </w:r>
      <w:r w:rsidRPr="00996758">
        <w:rPr>
          <w:rFonts w:ascii="Verdana" w:hAnsi="Verdana"/>
          <w:sz w:val="20"/>
          <w:szCs w:val="20"/>
        </w:rPr>
        <w:t>la jurisprudencia de este Tribunal</w:t>
      </w:r>
      <w:r w:rsidR="00DE0AE7" w:rsidRPr="00996758">
        <w:rPr>
          <w:rFonts w:ascii="Verdana" w:hAnsi="Verdana"/>
          <w:sz w:val="20"/>
          <w:szCs w:val="20"/>
        </w:rPr>
        <w:t xml:space="preserve">, el Estado </w:t>
      </w:r>
      <w:r w:rsidRPr="00996758">
        <w:rPr>
          <w:rFonts w:ascii="Verdana" w:hAnsi="Verdana"/>
          <w:sz w:val="20"/>
          <w:szCs w:val="20"/>
        </w:rPr>
        <w:t xml:space="preserve">enfatizó </w:t>
      </w:r>
      <w:r w:rsidR="00DE0AE7" w:rsidRPr="00996758">
        <w:rPr>
          <w:rFonts w:ascii="Verdana" w:hAnsi="Verdana"/>
          <w:sz w:val="20"/>
          <w:szCs w:val="20"/>
        </w:rPr>
        <w:t xml:space="preserve">que no </w:t>
      </w:r>
      <w:r w:rsidR="0022004D" w:rsidRPr="00996758">
        <w:rPr>
          <w:rFonts w:ascii="Verdana" w:hAnsi="Verdana"/>
          <w:sz w:val="20"/>
          <w:szCs w:val="20"/>
        </w:rPr>
        <w:t xml:space="preserve">acepta la calificación jurídica de los hechos como </w:t>
      </w:r>
      <w:r w:rsidR="006B473E" w:rsidRPr="00996758">
        <w:rPr>
          <w:rFonts w:ascii="Verdana" w:hAnsi="Verdana"/>
          <w:sz w:val="20"/>
          <w:szCs w:val="20"/>
        </w:rPr>
        <w:t xml:space="preserve">tal </w:t>
      </w:r>
      <w:r w:rsidR="00DB50FE" w:rsidRPr="00996758">
        <w:rPr>
          <w:rFonts w:ascii="Verdana" w:hAnsi="Verdana"/>
          <w:sz w:val="20"/>
          <w:szCs w:val="20"/>
        </w:rPr>
        <w:t>ilícito internacional</w:t>
      </w:r>
      <w:r w:rsidR="00DE0AE7" w:rsidRPr="00996758">
        <w:rPr>
          <w:rFonts w:ascii="Verdana" w:hAnsi="Verdana"/>
          <w:sz w:val="20"/>
          <w:szCs w:val="20"/>
        </w:rPr>
        <w:t>.</w:t>
      </w:r>
      <w:r w:rsidR="007B76C4" w:rsidRPr="00996758">
        <w:rPr>
          <w:rFonts w:ascii="Verdana" w:hAnsi="Verdana"/>
          <w:sz w:val="20"/>
          <w:szCs w:val="20"/>
        </w:rPr>
        <w:t xml:space="preserve"> </w:t>
      </w:r>
      <w:r w:rsidR="007F1533" w:rsidRPr="00996758">
        <w:rPr>
          <w:rFonts w:ascii="Verdana" w:hAnsi="Verdana"/>
          <w:sz w:val="20"/>
          <w:szCs w:val="20"/>
        </w:rPr>
        <w:t>Además, se mantiene en controversia si el Estado violó la libertad de asociación de la presunta víctima; si realizó una investigación completa y diligente y si es responsable por violaciones de derechos alegadas respecto de los familiares.</w:t>
      </w:r>
    </w:p>
    <w:p w:rsidR="00DE0AE7" w:rsidRPr="00996758" w:rsidRDefault="00DE0AE7">
      <w:pPr>
        <w:pBdr>
          <w:top w:val="nil"/>
        </w:pBdr>
        <w:spacing w:after="0" w:line="240" w:lineRule="auto"/>
        <w:jc w:val="both"/>
        <w:rPr>
          <w:rFonts w:ascii="Verdana" w:hAnsi="Verdana"/>
          <w:sz w:val="20"/>
          <w:szCs w:val="20"/>
        </w:rPr>
      </w:pPr>
    </w:p>
    <w:p w:rsidR="00703887" w:rsidRPr="00996758" w:rsidRDefault="00DE0AE7" w:rsidP="00484279">
      <w:pPr>
        <w:numPr>
          <w:ilvl w:val="0"/>
          <w:numId w:val="10"/>
        </w:numPr>
        <w:pBdr>
          <w:top w:val="nil"/>
        </w:pBdr>
        <w:spacing w:after="0" w:line="240" w:lineRule="auto"/>
        <w:ind w:left="0" w:firstLine="0"/>
        <w:jc w:val="both"/>
        <w:rPr>
          <w:rFonts w:ascii="Verdana" w:eastAsia="Times New Roman" w:hAnsi="Verdana" w:cs="Times New Roman"/>
          <w:sz w:val="20"/>
          <w:szCs w:val="20"/>
          <w:lang w:eastAsia="es-ES"/>
        </w:rPr>
      </w:pPr>
      <w:r w:rsidRPr="00996758">
        <w:rPr>
          <w:rFonts w:ascii="Verdana" w:hAnsi="Verdana"/>
          <w:sz w:val="20"/>
          <w:szCs w:val="20"/>
        </w:rPr>
        <w:t xml:space="preserve">Por ende, </w:t>
      </w:r>
      <w:r w:rsidR="000C081E" w:rsidRPr="00996758">
        <w:rPr>
          <w:rFonts w:ascii="Verdana" w:hAnsi="Verdana"/>
          <w:sz w:val="20"/>
          <w:szCs w:val="20"/>
        </w:rPr>
        <w:t xml:space="preserve">la Corte analizará </w:t>
      </w:r>
      <w:r w:rsidRPr="00996758">
        <w:rPr>
          <w:rFonts w:ascii="Verdana" w:hAnsi="Verdana"/>
          <w:sz w:val="20"/>
          <w:szCs w:val="20"/>
        </w:rPr>
        <w:t xml:space="preserve">la controversia </w:t>
      </w:r>
      <w:r w:rsidR="000C081E" w:rsidRPr="00996758">
        <w:rPr>
          <w:rFonts w:ascii="Verdana" w:hAnsi="Verdana"/>
          <w:sz w:val="20"/>
          <w:szCs w:val="20"/>
        </w:rPr>
        <w:t xml:space="preserve">subsistente </w:t>
      </w:r>
      <w:r w:rsidR="002221DE" w:rsidRPr="00996758">
        <w:rPr>
          <w:rFonts w:ascii="Verdana" w:hAnsi="Verdana"/>
          <w:sz w:val="20"/>
          <w:szCs w:val="20"/>
        </w:rPr>
        <w:t xml:space="preserve">en el siguiente orden: 1) </w:t>
      </w:r>
      <w:r w:rsidR="0022004D" w:rsidRPr="00996758">
        <w:rPr>
          <w:rFonts w:ascii="Verdana" w:hAnsi="Verdana"/>
          <w:sz w:val="20"/>
          <w:szCs w:val="20"/>
        </w:rPr>
        <w:t>alegada desaparición forzada del señor Isa</w:t>
      </w:r>
      <w:r w:rsidR="007F1533" w:rsidRPr="00996758">
        <w:rPr>
          <w:rFonts w:ascii="Verdana" w:hAnsi="Verdana"/>
          <w:sz w:val="20"/>
          <w:szCs w:val="20"/>
        </w:rPr>
        <w:t>za Uribe (artículos 3, 4.1, 5.1 y</w:t>
      </w:r>
      <w:r w:rsidR="0022004D" w:rsidRPr="00996758">
        <w:rPr>
          <w:rFonts w:ascii="Verdana" w:hAnsi="Verdana"/>
          <w:sz w:val="20"/>
          <w:szCs w:val="20"/>
        </w:rPr>
        <w:t xml:space="preserve"> 7</w:t>
      </w:r>
      <w:r w:rsidR="00967B8A" w:rsidRPr="00996758">
        <w:rPr>
          <w:rFonts w:ascii="Verdana" w:hAnsi="Verdana"/>
          <w:sz w:val="20"/>
          <w:szCs w:val="20"/>
        </w:rPr>
        <w:t xml:space="preserve">, </w:t>
      </w:r>
      <w:r w:rsidR="00742393" w:rsidRPr="00996758">
        <w:rPr>
          <w:rFonts w:ascii="Verdana" w:hAnsi="Verdana"/>
          <w:sz w:val="20"/>
          <w:szCs w:val="20"/>
        </w:rPr>
        <w:t>en relación con los artículos 1.1 y 2 de la Convención y 1.a y 1.b de la Convención Interamericana sobre Desaparición Forzada de Personas</w:t>
      </w:r>
      <w:r w:rsidR="007F1533" w:rsidRPr="00996758">
        <w:rPr>
          <w:rFonts w:ascii="Verdana" w:hAnsi="Verdana"/>
          <w:sz w:val="20"/>
          <w:szCs w:val="20"/>
        </w:rPr>
        <w:t>)</w:t>
      </w:r>
      <w:r w:rsidR="00A4391D" w:rsidRPr="00996758">
        <w:rPr>
          <w:rFonts w:ascii="Verdana" w:hAnsi="Verdana"/>
          <w:sz w:val="20"/>
          <w:szCs w:val="20"/>
        </w:rPr>
        <w:t>, así como la alegada violación de la libertad de asociación</w:t>
      </w:r>
      <w:r w:rsidR="007A05DA" w:rsidRPr="00996758">
        <w:rPr>
          <w:rFonts w:ascii="Verdana" w:hAnsi="Verdana"/>
          <w:sz w:val="20"/>
          <w:szCs w:val="20"/>
        </w:rPr>
        <w:t xml:space="preserve"> (artículo 16)</w:t>
      </w:r>
      <w:r w:rsidR="00742393" w:rsidRPr="00996758">
        <w:rPr>
          <w:rFonts w:ascii="Verdana" w:hAnsi="Verdana"/>
          <w:sz w:val="20"/>
          <w:szCs w:val="20"/>
        </w:rPr>
        <w:t xml:space="preserve">; 2) </w:t>
      </w:r>
      <w:r w:rsidR="0022004D" w:rsidRPr="00996758">
        <w:rPr>
          <w:rFonts w:ascii="Verdana" w:hAnsi="Verdana"/>
          <w:sz w:val="20"/>
          <w:szCs w:val="20"/>
        </w:rPr>
        <w:t xml:space="preserve">derechos </w:t>
      </w:r>
      <w:r w:rsidR="00BF5494" w:rsidRPr="00996758">
        <w:rPr>
          <w:rFonts w:ascii="Verdana" w:hAnsi="Verdana"/>
          <w:sz w:val="20"/>
          <w:szCs w:val="20"/>
        </w:rPr>
        <w:t>a las garantías judiciales y protección judicial</w:t>
      </w:r>
      <w:r w:rsidR="0022004D" w:rsidRPr="00996758">
        <w:rPr>
          <w:rFonts w:ascii="Verdana" w:hAnsi="Verdana"/>
          <w:sz w:val="20"/>
          <w:szCs w:val="20"/>
        </w:rPr>
        <w:t xml:space="preserve"> (artículos</w:t>
      </w:r>
      <w:r w:rsidR="00FD719E" w:rsidRPr="00996758">
        <w:rPr>
          <w:rFonts w:ascii="Verdana" w:hAnsi="Verdana"/>
          <w:sz w:val="20"/>
          <w:szCs w:val="20"/>
        </w:rPr>
        <w:t xml:space="preserve"> </w:t>
      </w:r>
      <w:r w:rsidR="0022004D" w:rsidRPr="00996758">
        <w:rPr>
          <w:rFonts w:ascii="Verdana" w:hAnsi="Verdana"/>
          <w:sz w:val="20"/>
          <w:szCs w:val="20"/>
        </w:rPr>
        <w:t>8.1 y 25)</w:t>
      </w:r>
      <w:r w:rsidR="002221DE" w:rsidRPr="00996758">
        <w:rPr>
          <w:rFonts w:ascii="Verdana" w:hAnsi="Verdana"/>
          <w:sz w:val="20"/>
          <w:szCs w:val="20"/>
        </w:rPr>
        <w:t>;</w:t>
      </w:r>
      <w:r w:rsidR="00472537" w:rsidRPr="00996758">
        <w:rPr>
          <w:rFonts w:ascii="Verdana" w:hAnsi="Verdana"/>
          <w:sz w:val="20"/>
          <w:szCs w:val="20"/>
        </w:rPr>
        <w:t xml:space="preserve"> </w:t>
      </w:r>
      <w:r w:rsidR="007C0692" w:rsidRPr="00996758">
        <w:rPr>
          <w:rFonts w:ascii="Verdana" w:hAnsi="Verdana"/>
          <w:sz w:val="20"/>
          <w:szCs w:val="20"/>
        </w:rPr>
        <w:t xml:space="preserve">y </w:t>
      </w:r>
      <w:r w:rsidR="00742393" w:rsidRPr="00996758">
        <w:rPr>
          <w:rFonts w:ascii="Verdana" w:hAnsi="Verdana"/>
          <w:sz w:val="20"/>
          <w:szCs w:val="20"/>
        </w:rPr>
        <w:t>3</w:t>
      </w:r>
      <w:r w:rsidR="00472537" w:rsidRPr="00996758">
        <w:rPr>
          <w:rFonts w:ascii="Verdana" w:hAnsi="Verdana"/>
          <w:sz w:val="20"/>
          <w:szCs w:val="20"/>
        </w:rPr>
        <w:t xml:space="preserve">) </w:t>
      </w:r>
      <w:r w:rsidR="00742393" w:rsidRPr="00996758">
        <w:rPr>
          <w:rFonts w:ascii="Verdana" w:eastAsia="Verdana" w:hAnsi="Verdana" w:cs="Verdana"/>
          <w:sz w:val="20"/>
          <w:szCs w:val="20"/>
        </w:rPr>
        <w:t>derecho</w:t>
      </w:r>
      <w:r w:rsidR="00472537" w:rsidRPr="00996758">
        <w:rPr>
          <w:rFonts w:ascii="Verdana" w:eastAsia="Verdana" w:hAnsi="Verdana" w:cs="Verdana"/>
          <w:sz w:val="20"/>
          <w:szCs w:val="20"/>
        </w:rPr>
        <w:t xml:space="preserve"> a </w:t>
      </w:r>
      <w:r w:rsidR="00952A60" w:rsidRPr="00996758">
        <w:rPr>
          <w:rFonts w:ascii="Verdana" w:eastAsia="Verdana" w:hAnsi="Verdana" w:cs="Verdana"/>
          <w:sz w:val="20"/>
          <w:szCs w:val="20"/>
        </w:rPr>
        <w:t>la integridad personal</w:t>
      </w:r>
      <w:r w:rsidR="00742393" w:rsidRPr="00996758">
        <w:rPr>
          <w:rFonts w:ascii="Verdana" w:eastAsia="Verdana" w:hAnsi="Verdana" w:cs="Verdana"/>
          <w:sz w:val="20"/>
          <w:szCs w:val="20"/>
        </w:rPr>
        <w:t xml:space="preserve"> de los familiares y alegadas violaciones a los derechos</w:t>
      </w:r>
      <w:r w:rsidR="00952A60" w:rsidRPr="00996758">
        <w:rPr>
          <w:rFonts w:ascii="Verdana" w:eastAsia="Verdana" w:hAnsi="Verdana" w:cs="Verdana"/>
          <w:sz w:val="20"/>
          <w:szCs w:val="20"/>
        </w:rPr>
        <w:t xml:space="preserve"> a </w:t>
      </w:r>
      <w:r w:rsidR="00742393" w:rsidRPr="00996758">
        <w:rPr>
          <w:rFonts w:ascii="Verdana" w:eastAsia="Verdana" w:hAnsi="Verdana" w:cs="Verdana"/>
          <w:sz w:val="20"/>
          <w:szCs w:val="20"/>
        </w:rPr>
        <w:t xml:space="preserve">la honra y dignidad y a </w:t>
      </w:r>
      <w:r w:rsidR="00472537" w:rsidRPr="00996758">
        <w:rPr>
          <w:rFonts w:ascii="Verdana" w:eastAsia="Verdana" w:hAnsi="Verdana" w:cs="Verdana"/>
          <w:sz w:val="20"/>
          <w:szCs w:val="20"/>
        </w:rPr>
        <w:t>la protección de la familia (artículo</w:t>
      </w:r>
      <w:r w:rsidR="00967B8A" w:rsidRPr="00996758">
        <w:rPr>
          <w:rFonts w:ascii="Verdana" w:eastAsia="Verdana" w:hAnsi="Verdana" w:cs="Verdana"/>
          <w:sz w:val="20"/>
          <w:szCs w:val="20"/>
        </w:rPr>
        <w:t xml:space="preserve">s </w:t>
      </w:r>
      <w:r w:rsidR="00952A60" w:rsidRPr="00996758">
        <w:rPr>
          <w:rFonts w:ascii="Verdana" w:eastAsia="Verdana" w:hAnsi="Verdana" w:cs="Verdana"/>
          <w:sz w:val="20"/>
          <w:szCs w:val="20"/>
        </w:rPr>
        <w:t>5</w:t>
      </w:r>
      <w:r w:rsidR="00967B8A" w:rsidRPr="00996758">
        <w:rPr>
          <w:rFonts w:ascii="Verdana" w:eastAsia="Verdana" w:hAnsi="Verdana" w:cs="Verdana"/>
          <w:sz w:val="20"/>
          <w:szCs w:val="20"/>
        </w:rPr>
        <w:t>, 11.2</w:t>
      </w:r>
      <w:r w:rsidR="00742393" w:rsidRPr="00996758">
        <w:rPr>
          <w:rFonts w:ascii="Verdana" w:eastAsia="Verdana" w:hAnsi="Verdana" w:cs="Verdana"/>
          <w:sz w:val="20"/>
          <w:szCs w:val="20"/>
        </w:rPr>
        <w:t xml:space="preserve"> y 17</w:t>
      </w:r>
      <w:r w:rsidR="00967B8A" w:rsidRPr="00996758">
        <w:rPr>
          <w:rFonts w:ascii="Verdana" w:eastAsia="Verdana" w:hAnsi="Verdana" w:cs="Verdana"/>
          <w:sz w:val="20"/>
          <w:szCs w:val="20"/>
        </w:rPr>
        <w:t>)</w:t>
      </w:r>
      <w:r w:rsidR="002221DE" w:rsidRPr="00996758">
        <w:rPr>
          <w:rFonts w:ascii="Verdana" w:hAnsi="Verdana"/>
          <w:sz w:val="20"/>
          <w:szCs w:val="20"/>
        </w:rPr>
        <w:t>.</w:t>
      </w:r>
    </w:p>
    <w:p w:rsidR="00742393" w:rsidRPr="00996758" w:rsidRDefault="00742393" w:rsidP="00742393">
      <w:pPr>
        <w:pBdr>
          <w:top w:val="nil"/>
        </w:pBdr>
        <w:spacing w:after="0" w:line="240" w:lineRule="auto"/>
        <w:jc w:val="both"/>
        <w:rPr>
          <w:rFonts w:ascii="Verdana" w:eastAsia="Times New Roman" w:hAnsi="Verdana" w:cs="Times New Roman"/>
          <w:sz w:val="20"/>
          <w:szCs w:val="20"/>
          <w:lang w:eastAsia="es-ES"/>
        </w:rPr>
      </w:pPr>
    </w:p>
    <w:p w:rsidR="00AE1D9D" w:rsidRPr="00996758" w:rsidRDefault="00AE1D9D" w:rsidP="00742393">
      <w:pPr>
        <w:pBdr>
          <w:top w:val="nil"/>
        </w:pBdr>
        <w:spacing w:after="0" w:line="240" w:lineRule="auto"/>
        <w:jc w:val="both"/>
        <w:rPr>
          <w:rFonts w:ascii="Verdana" w:eastAsia="Times New Roman" w:hAnsi="Verdana" w:cs="Times New Roman"/>
          <w:sz w:val="20"/>
          <w:szCs w:val="20"/>
          <w:lang w:eastAsia="es-ES"/>
        </w:rPr>
      </w:pPr>
    </w:p>
    <w:p w:rsidR="002221DE" w:rsidRPr="00996758" w:rsidRDefault="002221DE">
      <w:pPr>
        <w:pStyle w:val="Heading1"/>
        <w:spacing w:before="0" w:after="0"/>
        <w:ind w:firstLine="4"/>
        <w:rPr>
          <w:bCs w:val="0"/>
          <w:caps w:val="0"/>
          <w:snapToGrid/>
        </w:rPr>
      </w:pPr>
      <w:bookmarkStart w:id="29" w:name="_Toc505876993"/>
      <w:bookmarkStart w:id="30" w:name="_Toc530560067"/>
      <w:r w:rsidRPr="00996758">
        <w:t>Vi</w:t>
      </w:r>
      <w:r w:rsidR="00CF7605" w:rsidRPr="00996758">
        <w:t>I</w:t>
      </w:r>
      <w:r w:rsidRPr="00996758">
        <w:t>I.1</w:t>
      </w:r>
      <w:r w:rsidRPr="00996758">
        <w:br/>
      </w:r>
      <w:bookmarkEnd w:id="29"/>
      <w:r w:rsidR="00CF7605" w:rsidRPr="00996758">
        <w:rPr>
          <w:rStyle w:val="Heading1Char"/>
          <w:b/>
        </w:rPr>
        <w:t>DERECHOS AL RECONOCIMIENTO DE LA PERSONALIDAD JURÍDICA</w:t>
      </w:r>
      <w:r w:rsidR="00CF7605" w:rsidRPr="00996758">
        <w:rPr>
          <w:rStyle w:val="FootnoteReference"/>
          <w:rFonts w:eastAsia="Batang"/>
          <w:b w:val="0"/>
          <w:bCs w:val="0"/>
        </w:rPr>
        <w:footnoteReference w:id="73"/>
      </w:r>
      <w:r w:rsidR="00CF7605" w:rsidRPr="00996758">
        <w:rPr>
          <w:rStyle w:val="Heading1Char"/>
          <w:b/>
        </w:rPr>
        <w:t>, A LA VIDA</w:t>
      </w:r>
      <w:r w:rsidR="00CF7605" w:rsidRPr="00996758">
        <w:rPr>
          <w:rStyle w:val="FootnoteReference"/>
          <w:rFonts w:eastAsia="Batang"/>
          <w:b w:val="0"/>
          <w:bCs w:val="0"/>
        </w:rPr>
        <w:footnoteReference w:id="74"/>
      </w:r>
      <w:r w:rsidR="00CF7605" w:rsidRPr="00996758">
        <w:rPr>
          <w:rStyle w:val="Heading1Char"/>
          <w:b/>
        </w:rPr>
        <w:t xml:space="preserve">, A LA INTEGRIDAD </w:t>
      </w:r>
      <w:r w:rsidR="00C763A2" w:rsidRPr="00996758">
        <w:rPr>
          <w:rStyle w:val="Heading1Char"/>
          <w:b/>
        </w:rPr>
        <w:t>PERSONAL</w:t>
      </w:r>
      <w:r w:rsidR="00CF7605" w:rsidRPr="00996758">
        <w:rPr>
          <w:rStyle w:val="FootnoteReference"/>
          <w:rFonts w:eastAsia="Batang"/>
          <w:b w:val="0"/>
          <w:bCs w:val="0"/>
        </w:rPr>
        <w:footnoteReference w:id="75"/>
      </w:r>
      <w:r w:rsidR="00C57E6C" w:rsidRPr="00996758">
        <w:rPr>
          <w:rStyle w:val="Heading1Char"/>
          <w:b/>
        </w:rPr>
        <w:t xml:space="preserve"> Y</w:t>
      </w:r>
      <w:r w:rsidR="00CF7605" w:rsidRPr="00996758">
        <w:rPr>
          <w:rStyle w:val="Heading1Char"/>
          <w:b/>
        </w:rPr>
        <w:t xml:space="preserve"> A LA LIBERTAD PERSONAL</w:t>
      </w:r>
      <w:r w:rsidR="00CF7605" w:rsidRPr="00996758">
        <w:rPr>
          <w:rStyle w:val="FootnoteReference"/>
          <w:rFonts w:eastAsia="Batang"/>
          <w:b w:val="0"/>
          <w:bCs w:val="0"/>
        </w:rPr>
        <w:footnoteReference w:id="76"/>
      </w:r>
      <w:r w:rsidR="00C57E6C" w:rsidRPr="00996758">
        <w:rPr>
          <w:rStyle w:val="Heading1Char"/>
          <w:b/>
        </w:rPr>
        <w:br/>
      </w:r>
      <w:r w:rsidR="00CF7605" w:rsidRPr="00996758">
        <w:rPr>
          <w:rStyle w:val="Heading1Char"/>
          <w:b/>
        </w:rPr>
        <w:t xml:space="preserve">(ARTÍCULOS </w:t>
      </w:r>
      <w:r w:rsidR="00DE0AE7" w:rsidRPr="00996758">
        <w:rPr>
          <w:rStyle w:val="Heading1Char"/>
          <w:b/>
        </w:rPr>
        <w:t xml:space="preserve">1.1, 2, </w:t>
      </w:r>
      <w:r w:rsidR="00CF7605" w:rsidRPr="00996758">
        <w:rPr>
          <w:rStyle w:val="Heading1Char"/>
          <w:b/>
        </w:rPr>
        <w:t>3, 4, 5</w:t>
      </w:r>
      <w:r w:rsidR="00C57E6C" w:rsidRPr="00996758">
        <w:rPr>
          <w:rStyle w:val="Heading1Char"/>
          <w:b/>
        </w:rPr>
        <w:t xml:space="preserve"> y</w:t>
      </w:r>
      <w:r w:rsidR="00CF7605" w:rsidRPr="00996758">
        <w:rPr>
          <w:rStyle w:val="Heading1Char"/>
          <w:b/>
        </w:rPr>
        <w:t xml:space="preserve"> 7</w:t>
      </w:r>
      <w:r w:rsidR="00C24A8C" w:rsidRPr="00996758">
        <w:rPr>
          <w:rStyle w:val="Heading1Char"/>
          <w:b/>
        </w:rPr>
        <w:t xml:space="preserve"> </w:t>
      </w:r>
      <w:r w:rsidR="00CF7605" w:rsidRPr="00996758">
        <w:rPr>
          <w:rStyle w:val="Heading1Char"/>
          <w:b/>
        </w:rPr>
        <w:t xml:space="preserve">DE LA CONVENCIÓN AMERICANA </w:t>
      </w:r>
      <w:r w:rsidR="00C24A8C" w:rsidRPr="00996758">
        <w:rPr>
          <w:rStyle w:val="Heading1Char"/>
          <w:b/>
        </w:rPr>
        <w:t xml:space="preserve">y I.A) </w:t>
      </w:r>
      <w:r w:rsidR="00CF7605" w:rsidRPr="00996758">
        <w:rPr>
          <w:rStyle w:val="Heading1Char"/>
          <w:b/>
        </w:rPr>
        <w:t>DE LA CONVENCIÓN INTERAMERICANA SOBRE DESAPARICIÓN FORZADA DE PERSONAS</w:t>
      </w:r>
      <w:r w:rsidR="00CF7605" w:rsidRPr="00996758">
        <w:rPr>
          <w:rStyle w:val="FootnoteReference"/>
          <w:b w:val="0"/>
          <w:bCs w:val="0"/>
          <w:caps w:val="0"/>
          <w:snapToGrid/>
        </w:rPr>
        <w:footnoteReference w:id="77"/>
      </w:r>
      <w:r w:rsidR="00CF7605" w:rsidRPr="00996758">
        <w:rPr>
          <w:rStyle w:val="Heading1Char"/>
          <w:b/>
        </w:rPr>
        <w:t>)</w:t>
      </w:r>
      <w:r w:rsidR="00C24A8C" w:rsidRPr="00996758">
        <w:rPr>
          <w:rStyle w:val="Heading1Char"/>
          <w:b/>
        </w:rPr>
        <w:t xml:space="preserve"> –</w:t>
      </w:r>
      <w:bookmarkEnd w:id="30"/>
    </w:p>
    <w:p w:rsidR="00BF5494" w:rsidRPr="00996758" w:rsidRDefault="00BF5494">
      <w:pPr>
        <w:pBdr>
          <w:top w:val="nil"/>
        </w:pBdr>
        <w:spacing w:after="0" w:line="240" w:lineRule="auto"/>
        <w:jc w:val="both"/>
        <w:rPr>
          <w:rFonts w:ascii="Verdana" w:hAnsi="Verdana"/>
          <w:snapToGrid w:val="0"/>
          <w:spacing w:val="-2"/>
          <w:sz w:val="20"/>
          <w:szCs w:val="20"/>
          <w:lang w:eastAsia="es-ES"/>
        </w:rPr>
      </w:pPr>
    </w:p>
    <w:p w:rsidR="00D275ED" w:rsidRPr="00996758" w:rsidRDefault="00D275ED">
      <w:pPr>
        <w:pBdr>
          <w:top w:val="nil"/>
        </w:pBdr>
        <w:spacing w:after="0" w:line="240" w:lineRule="auto"/>
        <w:jc w:val="both"/>
        <w:rPr>
          <w:rFonts w:ascii="Verdana" w:hAnsi="Verdana"/>
          <w:snapToGrid w:val="0"/>
          <w:spacing w:val="-2"/>
          <w:sz w:val="20"/>
          <w:szCs w:val="20"/>
          <w:lang w:eastAsia="es-ES"/>
        </w:rPr>
      </w:pPr>
    </w:p>
    <w:p w:rsidR="00335CA5" w:rsidRPr="00996758" w:rsidRDefault="00335CA5">
      <w:pPr>
        <w:pBdr>
          <w:top w:val="nil"/>
        </w:pBdr>
        <w:spacing w:after="0" w:line="240" w:lineRule="auto"/>
        <w:ind w:firstLine="708"/>
        <w:jc w:val="both"/>
        <w:rPr>
          <w:rFonts w:ascii="Verdana" w:hAnsi="Verdana"/>
          <w:b/>
          <w:i/>
          <w:snapToGrid w:val="0"/>
          <w:spacing w:val="-2"/>
          <w:sz w:val="20"/>
          <w:szCs w:val="20"/>
          <w:lang w:eastAsia="es-ES"/>
        </w:rPr>
      </w:pPr>
      <w:r w:rsidRPr="00996758">
        <w:rPr>
          <w:rFonts w:ascii="Verdana" w:hAnsi="Verdana"/>
          <w:b/>
          <w:i/>
          <w:snapToGrid w:val="0"/>
          <w:spacing w:val="-2"/>
          <w:sz w:val="20"/>
          <w:szCs w:val="20"/>
          <w:lang w:eastAsia="es-ES"/>
        </w:rPr>
        <w:t>Alegatos de las partes</w:t>
      </w:r>
    </w:p>
    <w:p w:rsidR="00335CA5" w:rsidRPr="00996758" w:rsidRDefault="00335CA5">
      <w:pPr>
        <w:pBdr>
          <w:top w:val="nil"/>
        </w:pBdr>
        <w:spacing w:after="0" w:line="240" w:lineRule="auto"/>
        <w:jc w:val="both"/>
        <w:rPr>
          <w:rFonts w:ascii="Verdana" w:hAnsi="Verdana"/>
          <w:snapToGrid w:val="0"/>
          <w:spacing w:val="-2"/>
          <w:sz w:val="20"/>
          <w:szCs w:val="20"/>
          <w:lang w:eastAsia="es-ES"/>
        </w:rPr>
      </w:pPr>
    </w:p>
    <w:p w:rsidR="00335CA5" w:rsidRPr="00996758" w:rsidRDefault="00335CA5">
      <w:pPr>
        <w:pBdr>
          <w:top w:val="nil"/>
        </w:pBdr>
        <w:spacing w:after="0" w:line="240" w:lineRule="auto"/>
        <w:ind w:left="1416"/>
        <w:jc w:val="both"/>
        <w:rPr>
          <w:rFonts w:ascii="Verdana" w:hAnsi="Verdana"/>
          <w:i/>
          <w:snapToGrid w:val="0"/>
          <w:spacing w:val="-2"/>
          <w:sz w:val="20"/>
          <w:szCs w:val="20"/>
          <w:lang w:eastAsia="es-ES"/>
        </w:rPr>
      </w:pPr>
      <w:r w:rsidRPr="00996758">
        <w:rPr>
          <w:rFonts w:ascii="Verdana" w:hAnsi="Verdana"/>
          <w:i/>
          <w:snapToGrid w:val="0"/>
          <w:spacing w:val="-2"/>
          <w:sz w:val="20"/>
          <w:szCs w:val="20"/>
          <w:lang w:eastAsia="es-ES"/>
        </w:rPr>
        <w:t>i.</w:t>
      </w:r>
      <w:r w:rsidRPr="00996758">
        <w:rPr>
          <w:rFonts w:ascii="Verdana" w:hAnsi="Verdana"/>
          <w:i/>
          <w:snapToGrid w:val="0"/>
          <w:spacing w:val="-2"/>
          <w:sz w:val="20"/>
          <w:szCs w:val="20"/>
          <w:lang w:eastAsia="es-ES"/>
        </w:rPr>
        <w:tab/>
        <w:t>Respecto de la alegada desaparición forzada</w:t>
      </w:r>
    </w:p>
    <w:p w:rsidR="00335CA5" w:rsidRPr="00996758" w:rsidRDefault="00335CA5">
      <w:pPr>
        <w:pBdr>
          <w:top w:val="nil"/>
        </w:pBdr>
        <w:spacing w:after="0" w:line="240" w:lineRule="auto"/>
        <w:jc w:val="both"/>
        <w:rPr>
          <w:rFonts w:ascii="Verdana" w:hAnsi="Verdana"/>
          <w:i/>
          <w:snapToGrid w:val="0"/>
          <w:spacing w:val="-2"/>
          <w:sz w:val="20"/>
          <w:szCs w:val="20"/>
          <w:lang w:eastAsia="es-ES"/>
        </w:rPr>
      </w:pPr>
    </w:p>
    <w:p w:rsidR="007F5AB8" w:rsidRPr="00996758" w:rsidRDefault="00C05A6E" w:rsidP="00484279">
      <w:pPr>
        <w:numPr>
          <w:ilvl w:val="0"/>
          <w:numId w:val="10"/>
        </w:numPr>
        <w:pBdr>
          <w:top w:val="nil"/>
        </w:pBd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 xml:space="preserve">La </w:t>
      </w:r>
      <w:r w:rsidRPr="00996758">
        <w:rPr>
          <w:rFonts w:ascii="Verdana" w:eastAsia="Verdana" w:hAnsi="Verdana" w:cs="Verdana"/>
          <w:b/>
          <w:i/>
          <w:sz w:val="20"/>
          <w:szCs w:val="20"/>
        </w:rPr>
        <w:t>Comisión</w:t>
      </w:r>
      <w:r w:rsidRPr="00996758">
        <w:rPr>
          <w:rFonts w:ascii="Verdana" w:eastAsia="Verdana" w:hAnsi="Verdana" w:cs="Verdana"/>
          <w:sz w:val="20"/>
          <w:szCs w:val="20"/>
        </w:rPr>
        <w:t xml:space="preserve"> </w:t>
      </w:r>
      <w:r w:rsidR="008B1E93" w:rsidRPr="00996758">
        <w:rPr>
          <w:rFonts w:ascii="Verdana" w:eastAsia="Verdana" w:hAnsi="Verdana" w:cs="Verdana"/>
          <w:sz w:val="20"/>
          <w:szCs w:val="20"/>
        </w:rPr>
        <w:t xml:space="preserve">consideró </w:t>
      </w:r>
      <w:r w:rsidRPr="00996758">
        <w:rPr>
          <w:rFonts w:ascii="Verdana" w:eastAsia="Verdana" w:hAnsi="Verdana" w:cs="Verdana"/>
          <w:sz w:val="20"/>
          <w:szCs w:val="20"/>
        </w:rPr>
        <w:t xml:space="preserve">evidente que el Estado </w:t>
      </w:r>
      <w:r w:rsidR="003D0845" w:rsidRPr="00996758">
        <w:rPr>
          <w:rFonts w:ascii="Verdana" w:eastAsia="Verdana" w:hAnsi="Verdana" w:cs="Verdana"/>
          <w:sz w:val="20"/>
          <w:szCs w:val="20"/>
        </w:rPr>
        <w:t>no cumplió su</w:t>
      </w:r>
      <w:r w:rsidRPr="00996758">
        <w:rPr>
          <w:rFonts w:ascii="Verdana" w:eastAsia="Verdana" w:hAnsi="Verdana" w:cs="Verdana"/>
          <w:sz w:val="20"/>
          <w:szCs w:val="20"/>
        </w:rPr>
        <w:t xml:space="preserve"> obligación especial de garante </w:t>
      </w:r>
      <w:r w:rsidR="003D0845" w:rsidRPr="00996758">
        <w:rPr>
          <w:rFonts w:ascii="Verdana" w:eastAsia="Verdana" w:hAnsi="Verdana" w:cs="Verdana"/>
          <w:sz w:val="20"/>
          <w:szCs w:val="20"/>
        </w:rPr>
        <w:t xml:space="preserve">de la vida e integridad del señor Isaza </w:t>
      </w:r>
      <w:r w:rsidRPr="00996758">
        <w:rPr>
          <w:rFonts w:ascii="Verdana" w:eastAsia="Verdana" w:hAnsi="Verdana" w:cs="Verdana"/>
          <w:sz w:val="20"/>
          <w:szCs w:val="20"/>
        </w:rPr>
        <w:t>y</w:t>
      </w:r>
      <w:r w:rsidR="008B1E93" w:rsidRPr="00996758">
        <w:rPr>
          <w:rFonts w:ascii="Verdana" w:eastAsia="Verdana" w:hAnsi="Verdana" w:cs="Verdana"/>
          <w:sz w:val="20"/>
          <w:szCs w:val="20"/>
        </w:rPr>
        <w:t xml:space="preserve"> por ello</w:t>
      </w:r>
      <w:r w:rsidRPr="00996758">
        <w:rPr>
          <w:rFonts w:ascii="Verdana" w:eastAsia="Verdana" w:hAnsi="Verdana" w:cs="Verdana"/>
          <w:sz w:val="20"/>
          <w:szCs w:val="20"/>
        </w:rPr>
        <w:t xml:space="preserve"> le corresponde proveer una explicación satisfactoria y convincente acerca de lo sucedido cuando una persona desaparece bajo </w:t>
      </w:r>
      <w:r w:rsidR="00A4391D" w:rsidRPr="00996758">
        <w:rPr>
          <w:rFonts w:ascii="Verdana" w:eastAsia="Verdana" w:hAnsi="Verdana" w:cs="Verdana"/>
          <w:sz w:val="20"/>
          <w:szCs w:val="20"/>
        </w:rPr>
        <w:t xml:space="preserve">su </w:t>
      </w:r>
      <w:r w:rsidRPr="00996758">
        <w:rPr>
          <w:rFonts w:ascii="Verdana" w:eastAsia="Verdana" w:hAnsi="Verdana" w:cs="Verdana"/>
          <w:sz w:val="20"/>
          <w:szCs w:val="20"/>
        </w:rPr>
        <w:t xml:space="preserve">custodia, </w:t>
      </w:r>
      <w:r w:rsidR="003D0845" w:rsidRPr="00996758">
        <w:rPr>
          <w:rFonts w:ascii="Verdana" w:eastAsia="Verdana" w:hAnsi="Verdana" w:cs="Verdana"/>
          <w:sz w:val="20"/>
          <w:szCs w:val="20"/>
        </w:rPr>
        <w:t>ni su deber de</w:t>
      </w:r>
      <w:r w:rsidRPr="00996758">
        <w:rPr>
          <w:rFonts w:ascii="Verdana" w:eastAsia="Verdana" w:hAnsi="Verdana" w:cs="Verdana"/>
          <w:sz w:val="20"/>
          <w:szCs w:val="20"/>
        </w:rPr>
        <w:t xml:space="preserve"> investigar exhaustivamente lo sucedido. Consideró que, teniendo en cuenta </w:t>
      </w:r>
      <w:r w:rsidR="008B1E93" w:rsidRPr="00996758">
        <w:rPr>
          <w:rFonts w:ascii="Verdana" w:eastAsia="Verdana" w:hAnsi="Verdana" w:cs="Verdana"/>
          <w:sz w:val="20"/>
          <w:szCs w:val="20"/>
        </w:rPr>
        <w:t xml:space="preserve">los </w:t>
      </w:r>
      <w:r w:rsidRPr="00996758">
        <w:rPr>
          <w:rFonts w:ascii="Verdana" w:eastAsia="Verdana" w:hAnsi="Verdana" w:cs="Verdana"/>
          <w:sz w:val="20"/>
          <w:szCs w:val="20"/>
        </w:rPr>
        <w:t>contexto</w:t>
      </w:r>
      <w:r w:rsidR="008B1E93" w:rsidRPr="00996758">
        <w:rPr>
          <w:rFonts w:ascii="Verdana" w:eastAsia="Verdana" w:hAnsi="Verdana" w:cs="Verdana"/>
          <w:sz w:val="20"/>
          <w:szCs w:val="20"/>
        </w:rPr>
        <w:t>s</w:t>
      </w:r>
      <w:r w:rsidRPr="00996758">
        <w:rPr>
          <w:rFonts w:ascii="Verdana" w:eastAsia="Verdana" w:hAnsi="Verdana" w:cs="Verdana"/>
          <w:sz w:val="20"/>
          <w:szCs w:val="20"/>
        </w:rPr>
        <w:t xml:space="preserve">, el hecho de que Isaza Uribe fuera miembro del sindicato </w:t>
      </w:r>
      <w:r w:rsidR="008B1E93" w:rsidRPr="00996758">
        <w:rPr>
          <w:rFonts w:ascii="Verdana" w:eastAsia="Verdana" w:hAnsi="Verdana" w:cs="Verdana"/>
          <w:sz w:val="20"/>
          <w:szCs w:val="20"/>
        </w:rPr>
        <w:t xml:space="preserve">SUTIMAC </w:t>
      </w:r>
      <w:r w:rsidRPr="00996758">
        <w:rPr>
          <w:rFonts w:ascii="Verdana" w:eastAsia="Verdana" w:hAnsi="Verdana" w:cs="Verdana"/>
          <w:sz w:val="20"/>
          <w:szCs w:val="20"/>
        </w:rPr>
        <w:t xml:space="preserve">y simpatizante de la UP lo ponía en una especial situación de riesgo estando privado de libertad </w:t>
      </w:r>
      <w:r w:rsidRPr="00996758">
        <w:rPr>
          <w:rFonts w:ascii="Verdana" w:eastAsia="Verdana" w:hAnsi="Verdana" w:cs="Verdana"/>
          <w:sz w:val="20"/>
          <w:szCs w:val="20"/>
        </w:rPr>
        <w:lastRenderedPageBreak/>
        <w:t xml:space="preserve">bajo la custodia de cuerpos de seguridad </w:t>
      </w:r>
      <w:r w:rsidR="008B1E93" w:rsidRPr="00996758">
        <w:rPr>
          <w:rFonts w:ascii="Verdana" w:eastAsia="Verdana" w:hAnsi="Verdana" w:cs="Verdana"/>
          <w:sz w:val="20"/>
          <w:szCs w:val="20"/>
        </w:rPr>
        <w:t xml:space="preserve">estatales </w:t>
      </w:r>
      <w:r w:rsidRPr="00996758">
        <w:rPr>
          <w:rFonts w:ascii="Verdana" w:eastAsia="Verdana" w:hAnsi="Verdana" w:cs="Verdana"/>
          <w:sz w:val="20"/>
          <w:szCs w:val="20"/>
        </w:rPr>
        <w:t>que tenían vínculos con grupos paramilitares, por lo cual las autoridades debieron adoptar medi</w:t>
      </w:r>
      <w:r w:rsidR="008B1E93" w:rsidRPr="00996758">
        <w:rPr>
          <w:rFonts w:ascii="Verdana" w:eastAsia="Verdana" w:hAnsi="Verdana" w:cs="Verdana"/>
          <w:sz w:val="20"/>
          <w:szCs w:val="20"/>
        </w:rPr>
        <w:t xml:space="preserve">das especiales de prevención. </w:t>
      </w:r>
    </w:p>
    <w:p w:rsidR="007F5AB8" w:rsidRPr="00996758" w:rsidRDefault="007F5AB8">
      <w:pPr>
        <w:pBdr>
          <w:top w:val="nil"/>
        </w:pBdr>
        <w:spacing w:after="0" w:line="240" w:lineRule="auto"/>
        <w:jc w:val="both"/>
        <w:rPr>
          <w:rFonts w:ascii="Verdana" w:eastAsia="Verdana" w:hAnsi="Verdana" w:cs="Verdana"/>
          <w:sz w:val="20"/>
          <w:szCs w:val="20"/>
        </w:rPr>
      </w:pPr>
    </w:p>
    <w:p w:rsidR="00C05A6E" w:rsidRPr="00996758" w:rsidRDefault="00F45AEE" w:rsidP="00484279">
      <w:pPr>
        <w:numPr>
          <w:ilvl w:val="0"/>
          <w:numId w:val="10"/>
        </w:numPr>
        <w:pBdr>
          <w:top w:val="nil"/>
        </w:pBd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Además, l</w:t>
      </w:r>
      <w:r w:rsidR="007F5AB8" w:rsidRPr="00996758">
        <w:rPr>
          <w:rFonts w:ascii="Verdana" w:eastAsia="Verdana" w:hAnsi="Verdana" w:cs="Verdana"/>
          <w:sz w:val="20"/>
          <w:szCs w:val="20"/>
        </w:rPr>
        <w:t xml:space="preserve">a Comisión </w:t>
      </w:r>
      <w:r w:rsidR="00C05A6E" w:rsidRPr="00996758">
        <w:rPr>
          <w:rFonts w:ascii="Verdana" w:eastAsia="Verdana" w:hAnsi="Verdana" w:cs="Verdana"/>
          <w:sz w:val="20"/>
          <w:szCs w:val="20"/>
        </w:rPr>
        <w:t xml:space="preserve">consideró que el hecho debe ser calificado como desaparición forzada de personas </w:t>
      </w:r>
      <w:r w:rsidRPr="00996758">
        <w:rPr>
          <w:rFonts w:ascii="Verdana" w:eastAsia="Verdana" w:hAnsi="Verdana" w:cs="Verdana"/>
          <w:sz w:val="20"/>
          <w:szCs w:val="20"/>
        </w:rPr>
        <w:t>porque</w:t>
      </w:r>
      <w:r w:rsidR="002B298A" w:rsidRPr="00996758">
        <w:rPr>
          <w:rFonts w:ascii="Verdana" w:eastAsia="Verdana" w:hAnsi="Verdana" w:cs="Verdana"/>
          <w:sz w:val="20"/>
          <w:szCs w:val="20"/>
        </w:rPr>
        <w:t>,</w:t>
      </w:r>
      <w:r w:rsidR="00C05A6E" w:rsidRPr="00996758">
        <w:rPr>
          <w:rFonts w:ascii="Verdana" w:eastAsia="Verdana" w:hAnsi="Verdana" w:cs="Verdana"/>
          <w:sz w:val="20"/>
          <w:szCs w:val="20"/>
        </w:rPr>
        <w:t xml:space="preserve"> además de lo anterior</w:t>
      </w:r>
      <w:r w:rsidR="002B298A" w:rsidRPr="00996758">
        <w:rPr>
          <w:rFonts w:ascii="Verdana" w:eastAsia="Verdana" w:hAnsi="Verdana" w:cs="Verdana"/>
          <w:sz w:val="20"/>
          <w:szCs w:val="20"/>
        </w:rPr>
        <w:t>,</w:t>
      </w:r>
      <w:r w:rsidR="00C05A6E" w:rsidRPr="00996758">
        <w:rPr>
          <w:rFonts w:ascii="Verdana" w:eastAsia="Verdana" w:hAnsi="Verdana" w:cs="Verdana"/>
          <w:sz w:val="20"/>
          <w:szCs w:val="20"/>
        </w:rPr>
        <w:t xml:space="preserve"> existen elementos que apuntan a la aq</w:t>
      </w:r>
      <w:r w:rsidR="005B2449" w:rsidRPr="00996758">
        <w:rPr>
          <w:rFonts w:ascii="Verdana" w:eastAsia="Verdana" w:hAnsi="Verdana" w:cs="Verdana"/>
          <w:sz w:val="20"/>
          <w:szCs w:val="20"/>
        </w:rPr>
        <w:t>u</w:t>
      </w:r>
      <w:r w:rsidR="00A12F39" w:rsidRPr="00996758">
        <w:rPr>
          <w:rFonts w:ascii="Verdana" w:eastAsia="Verdana" w:hAnsi="Verdana" w:cs="Verdana"/>
          <w:sz w:val="20"/>
          <w:szCs w:val="20"/>
        </w:rPr>
        <w:t xml:space="preserve">iescencia de agentes estatales y </w:t>
      </w:r>
      <w:r w:rsidR="005B2449" w:rsidRPr="00996758">
        <w:rPr>
          <w:rFonts w:ascii="Verdana" w:eastAsia="Verdana" w:hAnsi="Verdana" w:cs="Verdana"/>
          <w:sz w:val="20"/>
          <w:szCs w:val="20"/>
        </w:rPr>
        <w:t>concurrían</w:t>
      </w:r>
      <w:r w:rsidR="00C05A6E" w:rsidRPr="00996758">
        <w:rPr>
          <w:rFonts w:ascii="Verdana" w:eastAsia="Verdana" w:hAnsi="Verdana" w:cs="Verdana"/>
          <w:sz w:val="20"/>
          <w:szCs w:val="20"/>
        </w:rPr>
        <w:t xml:space="preserve"> múltiples contextos que </w:t>
      </w:r>
      <w:r w:rsidR="005B2449" w:rsidRPr="00996758">
        <w:rPr>
          <w:rFonts w:ascii="Verdana" w:eastAsia="Verdana" w:hAnsi="Verdana" w:cs="Verdana"/>
          <w:sz w:val="20"/>
          <w:szCs w:val="20"/>
        </w:rPr>
        <w:t xml:space="preserve">indicaban </w:t>
      </w:r>
      <w:r w:rsidR="00C05A6E" w:rsidRPr="00996758">
        <w:rPr>
          <w:rFonts w:ascii="Verdana" w:eastAsia="Verdana" w:hAnsi="Verdana" w:cs="Verdana"/>
          <w:sz w:val="20"/>
          <w:szCs w:val="20"/>
        </w:rPr>
        <w:t>que el señor Isaza Uribe estaba en grave riesgo de ser atacado por paramilitares: violencia por parte de agentes estatales y paramilitares contra miembros y simpatizantes de la UP; persecución y exterminio -por parte de paramilitares- de sindicalistas de SUTIMAC y en Puerto Nare, donde existían patrones de acción conjunta entr</w:t>
      </w:r>
      <w:r w:rsidR="00A12F39" w:rsidRPr="00996758">
        <w:rPr>
          <w:rFonts w:ascii="Verdana" w:eastAsia="Verdana" w:hAnsi="Verdana" w:cs="Verdana"/>
          <w:sz w:val="20"/>
          <w:szCs w:val="20"/>
        </w:rPr>
        <w:t xml:space="preserve">e el ejército y paramilitares; </w:t>
      </w:r>
      <w:r w:rsidR="006403E1" w:rsidRPr="00996758">
        <w:rPr>
          <w:rFonts w:ascii="Verdana" w:eastAsia="Verdana" w:hAnsi="Verdana" w:cs="Verdana"/>
          <w:sz w:val="20"/>
          <w:szCs w:val="20"/>
        </w:rPr>
        <w:t>y</w:t>
      </w:r>
      <w:r w:rsidR="00C05A6E" w:rsidRPr="00996758">
        <w:rPr>
          <w:rFonts w:ascii="Verdana" w:eastAsia="Verdana" w:hAnsi="Verdana" w:cs="Verdana"/>
          <w:sz w:val="20"/>
          <w:szCs w:val="20"/>
        </w:rPr>
        <w:t xml:space="preserve"> la vigencia de normativa que dio lugar</w:t>
      </w:r>
      <w:r w:rsidR="00F24367" w:rsidRPr="00996758">
        <w:rPr>
          <w:rFonts w:ascii="Verdana" w:eastAsia="Verdana" w:hAnsi="Verdana" w:cs="Verdana"/>
          <w:sz w:val="20"/>
          <w:szCs w:val="20"/>
        </w:rPr>
        <w:t xml:space="preserve"> al paramilitarismo </w:t>
      </w:r>
      <w:r w:rsidR="00C05A6E" w:rsidRPr="00996758">
        <w:rPr>
          <w:rFonts w:ascii="Verdana" w:eastAsia="Verdana" w:hAnsi="Verdana" w:cs="Verdana"/>
          <w:sz w:val="20"/>
          <w:szCs w:val="20"/>
        </w:rPr>
        <w:t xml:space="preserve">y </w:t>
      </w:r>
      <w:r w:rsidR="00A4391D" w:rsidRPr="00996758">
        <w:rPr>
          <w:rFonts w:ascii="Verdana" w:eastAsia="Verdana" w:hAnsi="Verdana" w:cs="Verdana"/>
          <w:sz w:val="20"/>
          <w:szCs w:val="20"/>
        </w:rPr>
        <w:t xml:space="preserve">de </w:t>
      </w:r>
      <w:r w:rsidR="00C05A6E" w:rsidRPr="00996758">
        <w:rPr>
          <w:rFonts w:ascii="Verdana" w:eastAsia="Verdana" w:hAnsi="Verdana" w:cs="Verdana"/>
          <w:sz w:val="20"/>
          <w:szCs w:val="20"/>
        </w:rPr>
        <w:t xml:space="preserve">reglamentos y manuales militares que propiciaron la identificación de sindicalistas como enemigos internos. En cuanto a la negativa </w:t>
      </w:r>
      <w:r w:rsidR="00F24367" w:rsidRPr="00996758">
        <w:rPr>
          <w:rFonts w:ascii="Verdana" w:eastAsia="Verdana" w:hAnsi="Verdana" w:cs="Verdana"/>
          <w:sz w:val="20"/>
          <w:szCs w:val="20"/>
        </w:rPr>
        <w:t xml:space="preserve">estatal </w:t>
      </w:r>
      <w:r w:rsidR="00C05A6E" w:rsidRPr="00996758">
        <w:rPr>
          <w:rFonts w:ascii="Verdana" w:eastAsia="Verdana" w:hAnsi="Verdana" w:cs="Verdana"/>
          <w:sz w:val="20"/>
          <w:szCs w:val="20"/>
        </w:rPr>
        <w:t>de revelar la suerte de la persona, la Comisión consideró que las investigaciones (y el propio Consejo de Estado) se centraron en una hipótesis de fuga</w:t>
      </w:r>
      <w:r w:rsidR="005B2449" w:rsidRPr="00996758">
        <w:rPr>
          <w:rFonts w:ascii="Verdana" w:eastAsia="Verdana" w:hAnsi="Verdana" w:cs="Verdana"/>
          <w:sz w:val="20"/>
          <w:szCs w:val="20"/>
        </w:rPr>
        <w:t xml:space="preserve"> de la cárcel</w:t>
      </w:r>
      <w:r w:rsidR="00C05A6E" w:rsidRPr="00996758">
        <w:rPr>
          <w:rFonts w:ascii="Verdana" w:eastAsia="Verdana" w:hAnsi="Verdana" w:cs="Verdana"/>
          <w:sz w:val="20"/>
          <w:szCs w:val="20"/>
        </w:rPr>
        <w:t>, sin considerar los elementos contextuales y sin agotar las líneas de investigación</w:t>
      </w:r>
      <w:r w:rsidR="00F24367" w:rsidRPr="00996758">
        <w:rPr>
          <w:rFonts w:ascii="Verdana" w:eastAsia="Verdana" w:hAnsi="Verdana" w:cs="Verdana"/>
          <w:sz w:val="20"/>
          <w:szCs w:val="20"/>
        </w:rPr>
        <w:t>.</w:t>
      </w:r>
      <w:r w:rsidR="00C05A6E" w:rsidRPr="00996758">
        <w:rPr>
          <w:rFonts w:ascii="Verdana" w:eastAsia="Verdana" w:hAnsi="Verdana" w:cs="Verdana"/>
          <w:sz w:val="20"/>
          <w:szCs w:val="20"/>
        </w:rPr>
        <w:t xml:space="preserve"> Por</w:t>
      </w:r>
      <w:r w:rsidR="00805477" w:rsidRPr="00996758">
        <w:rPr>
          <w:rFonts w:ascii="Verdana" w:eastAsia="Verdana" w:hAnsi="Verdana" w:cs="Verdana"/>
          <w:sz w:val="20"/>
          <w:szCs w:val="20"/>
        </w:rPr>
        <w:t xml:space="preserve"> ello</w:t>
      </w:r>
      <w:r w:rsidR="00C05A6E" w:rsidRPr="00996758">
        <w:rPr>
          <w:rFonts w:ascii="Verdana" w:eastAsia="Verdana" w:hAnsi="Verdana" w:cs="Verdana"/>
          <w:sz w:val="20"/>
          <w:szCs w:val="20"/>
        </w:rPr>
        <w:t xml:space="preserve">, </w:t>
      </w:r>
      <w:r w:rsidR="00A4391D" w:rsidRPr="00996758">
        <w:rPr>
          <w:rFonts w:ascii="Verdana" w:eastAsia="Verdana" w:hAnsi="Verdana" w:cs="Verdana"/>
          <w:sz w:val="20"/>
          <w:szCs w:val="20"/>
        </w:rPr>
        <w:t>consideró a</w:t>
      </w:r>
      <w:r w:rsidR="00C05A6E" w:rsidRPr="00996758">
        <w:rPr>
          <w:rFonts w:ascii="Verdana" w:eastAsia="Verdana" w:hAnsi="Verdana" w:cs="Verdana"/>
          <w:sz w:val="20"/>
          <w:szCs w:val="20"/>
        </w:rPr>
        <w:t>l Estado responsable por la violación de los derechos reconocidos en los artículos 3, 4, 5 y 7 de la Convención, en relación con los artículos 1.1 y 2 de la misma, en perjuicio de Víctor Manuel lsaza Uribe</w:t>
      </w:r>
      <w:r w:rsidR="005B2449" w:rsidRPr="00996758">
        <w:rPr>
          <w:rFonts w:ascii="Verdana" w:eastAsia="Verdana" w:hAnsi="Verdana" w:cs="Verdana"/>
          <w:sz w:val="20"/>
          <w:szCs w:val="20"/>
        </w:rPr>
        <w:t>, así como</w:t>
      </w:r>
      <w:r w:rsidR="00680005" w:rsidRPr="00996758">
        <w:rPr>
          <w:rFonts w:ascii="Verdana" w:eastAsia="Verdana" w:hAnsi="Verdana" w:cs="Verdana"/>
          <w:sz w:val="20"/>
          <w:szCs w:val="20"/>
        </w:rPr>
        <w:t xml:space="preserve"> </w:t>
      </w:r>
      <w:r w:rsidR="005B2449" w:rsidRPr="00996758">
        <w:rPr>
          <w:rFonts w:ascii="Verdana" w:eastAsia="Verdana" w:hAnsi="Verdana" w:cs="Verdana"/>
          <w:sz w:val="20"/>
          <w:szCs w:val="20"/>
        </w:rPr>
        <w:t>d</w:t>
      </w:r>
      <w:r w:rsidR="00680005" w:rsidRPr="00996758">
        <w:rPr>
          <w:rFonts w:ascii="Verdana" w:eastAsia="Verdana" w:hAnsi="Verdana" w:cs="Verdana"/>
          <w:sz w:val="20"/>
          <w:szCs w:val="20"/>
        </w:rPr>
        <w:t>el artículo I.a. de la Convención Interamericana sobre Desaparición Forzada.</w:t>
      </w:r>
    </w:p>
    <w:p w:rsidR="00775D6C" w:rsidRPr="00996758" w:rsidRDefault="00775D6C" w:rsidP="00AE1DD8">
      <w:pPr>
        <w:pBdr>
          <w:top w:val="nil"/>
        </w:pBdr>
        <w:spacing w:after="0" w:line="240" w:lineRule="auto"/>
        <w:jc w:val="both"/>
        <w:rPr>
          <w:rFonts w:ascii="Verdana" w:eastAsia="Verdana" w:hAnsi="Verdana" w:cs="Verdana"/>
          <w:sz w:val="20"/>
          <w:szCs w:val="20"/>
        </w:rPr>
      </w:pPr>
    </w:p>
    <w:p w:rsidR="00775D6C" w:rsidRPr="00996758" w:rsidRDefault="00775D6C" w:rsidP="00484279">
      <w:pPr>
        <w:numPr>
          <w:ilvl w:val="0"/>
          <w:numId w:val="10"/>
        </w:numPr>
        <w:pBdr>
          <w:top w:val="nil"/>
        </w:pBdr>
        <w:spacing w:after="0" w:line="240" w:lineRule="auto"/>
        <w:ind w:left="0" w:firstLine="0"/>
        <w:jc w:val="both"/>
        <w:rPr>
          <w:rFonts w:ascii="Verdana" w:eastAsia="Verdana" w:hAnsi="Verdana" w:cs="Verdana"/>
          <w:b/>
          <w:sz w:val="20"/>
          <w:szCs w:val="20"/>
        </w:rPr>
      </w:pPr>
      <w:r w:rsidRPr="00996758">
        <w:rPr>
          <w:rFonts w:ascii="Verdana" w:eastAsia="Verdana" w:hAnsi="Verdana" w:cs="Verdana"/>
          <w:sz w:val="20"/>
          <w:szCs w:val="20"/>
        </w:rPr>
        <w:t xml:space="preserve">Los </w:t>
      </w:r>
      <w:r w:rsidRPr="00996758">
        <w:rPr>
          <w:rFonts w:ascii="Verdana" w:eastAsia="Verdana" w:hAnsi="Verdana" w:cs="Verdana"/>
          <w:b/>
          <w:i/>
          <w:sz w:val="20"/>
          <w:szCs w:val="20"/>
        </w:rPr>
        <w:t>representantes</w:t>
      </w:r>
      <w:r w:rsidRPr="00996758">
        <w:rPr>
          <w:rFonts w:ascii="Verdana" w:eastAsia="Verdana" w:hAnsi="Verdana" w:cs="Verdana"/>
          <w:sz w:val="20"/>
          <w:szCs w:val="20"/>
        </w:rPr>
        <w:t xml:space="preserve"> profundizaron lo alegado por la Comisión, enfatizando que el señor Isaza fue desaparecido por el grupo paramilitar MAS en una localidad altamente militarizada, en circunstancias que permiten inferir complicidad de miembros de la Fuerza Pública.</w:t>
      </w:r>
    </w:p>
    <w:p w:rsidR="00387833" w:rsidRPr="00996758" w:rsidRDefault="00387833">
      <w:pPr>
        <w:pBdr>
          <w:top w:val="nil"/>
        </w:pBdr>
        <w:spacing w:after="0" w:line="240" w:lineRule="auto"/>
        <w:jc w:val="both"/>
        <w:rPr>
          <w:rFonts w:ascii="Verdana" w:eastAsia="Verdana" w:hAnsi="Verdana" w:cs="Verdana"/>
          <w:b/>
          <w:sz w:val="20"/>
          <w:szCs w:val="20"/>
        </w:rPr>
      </w:pPr>
    </w:p>
    <w:p w:rsidR="00E0353A" w:rsidRPr="00996758" w:rsidRDefault="00387833" w:rsidP="00484279">
      <w:pPr>
        <w:numPr>
          <w:ilvl w:val="0"/>
          <w:numId w:val="10"/>
        </w:numPr>
        <w:pBdr>
          <w:top w:val="nil"/>
        </w:pBdr>
        <w:spacing w:after="0" w:line="240" w:lineRule="auto"/>
        <w:ind w:left="0" w:firstLine="0"/>
        <w:jc w:val="both"/>
        <w:rPr>
          <w:rFonts w:ascii="Verdana" w:eastAsia="Verdana" w:hAnsi="Verdana" w:cs="Verdana"/>
          <w:b/>
          <w:sz w:val="20"/>
          <w:szCs w:val="20"/>
        </w:rPr>
      </w:pPr>
      <w:r w:rsidRPr="00996758">
        <w:rPr>
          <w:rFonts w:ascii="Verdana" w:eastAsia="Verdana" w:hAnsi="Verdana" w:cs="Verdana"/>
          <w:sz w:val="20"/>
          <w:szCs w:val="20"/>
        </w:rPr>
        <w:t xml:space="preserve">El </w:t>
      </w:r>
      <w:r w:rsidRPr="00996758">
        <w:rPr>
          <w:rFonts w:ascii="Verdana" w:eastAsia="Verdana" w:hAnsi="Verdana" w:cs="Verdana"/>
          <w:b/>
          <w:i/>
          <w:sz w:val="20"/>
          <w:szCs w:val="20"/>
        </w:rPr>
        <w:t>Estado</w:t>
      </w:r>
      <w:r w:rsidR="00E0353A" w:rsidRPr="00996758">
        <w:rPr>
          <w:rFonts w:ascii="Verdana" w:hAnsi="Verdana"/>
          <w:snapToGrid w:val="0"/>
          <w:spacing w:val="-2"/>
          <w:sz w:val="20"/>
          <w:szCs w:val="20"/>
          <w:lang w:eastAsia="es-ES"/>
        </w:rPr>
        <w:t xml:space="preserve"> </w:t>
      </w:r>
      <w:r w:rsidR="00E0353A" w:rsidRPr="00996758">
        <w:rPr>
          <w:rFonts w:ascii="Verdana" w:hAnsi="Verdana"/>
          <w:sz w:val="20"/>
          <w:szCs w:val="20"/>
        </w:rPr>
        <w:t xml:space="preserve">señaló que su reconocimiento de responsabilidad “no abarca […] la comisión del crimen internacional de desaparición forzada”, pues los elementos que constan no son suficientes “para que la Corte concluya que se cometió una conducta compleja que abarca elementos de dolo, un sujeto activo calificado (agente del Estado) y la negación de la posibilidad de acceder a la protección legal”. </w:t>
      </w:r>
      <w:r w:rsidR="00E0353A" w:rsidRPr="00996758">
        <w:rPr>
          <w:rFonts w:ascii="Verdana" w:hAnsi="Verdana" w:cs="Times New Roman"/>
          <w:sz w:val="20"/>
          <w:szCs w:val="20"/>
          <w:lang w:eastAsia="es-CR"/>
        </w:rPr>
        <w:t>Además</w:t>
      </w:r>
      <w:r w:rsidR="00E0353A" w:rsidRPr="00996758">
        <w:rPr>
          <w:rFonts w:ascii="Verdana" w:hAnsi="Verdana"/>
          <w:spacing w:val="-2"/>
          <w:sz w:val="20"/>
          <w:szCs w:val="20"/>
        </w:rPr>
        <w:t>, e</w:t>
      </w:r>
      <w:r w:rsidR="00E0353A" w:rsidRPr="00996758">
        <w:rPr>
          <w:rFonts w:ascii="Verdana" w:hAnsi="Verdana" w:cs="Times New Roman"/>
          <w:sz w:val="20"/>
          <w:szCs w:val="20"/>
          <w:lang w:eastAsia="es-CR"/>
        </w:rPr>
        <w:t xml:space="preserve">l Estado </w:t>
      </w:r>
      <w:r w:rsidR="00E0353A" w:rsidRPr="00996758">
        <w:rPr>
          <w:rFonts w:ascii="Verdana" w:hAnsi="Verdana"/>
          <w:spacing w:val="-2"/>
          <w:sz w:val="20"/>
          <w:szCs w:val="20"/>
        </w:rPr>
        <w:t>presentó argumentos generales sobre la atribución (que entendió como “la relación probada entre el perpetrador de la conducta y el Estado”) como elemento esencial del hecho internacionalmente ilícito, citando varios precedentes de la Corte Internacional de Justicia y los primeros casos ante la Corte. Alegó que, cuando se imputan cargos de excepcional gravedad se requiere un grado especial de certeza que implica la existencia de evidencia legal decisiva que permita llegar a conclusiones consistentes sobre los hechos y crear convicción sobre lo ocurrido, “más allá de toda duda razonable”, con “evidencia legal decisiva</w:t>
      </w:r>
      <w:r w:rsidR="001A4A00" w:rsidRPr="00996758">
        <w:rPr>
          <w:rFonts w:ascii="Verdana" w:hAnsi="Verdana"/>
          <w:spacing w:val="-2"/>
          <w:sz w:val="20"/>
          <w:szCs w:val="20"/>
        </w:rPr>
        <w:t xml:space="preserve"> […] </w:t>
      </w:r>
      <w:r w:rsidR="00E0353A" w:rsidRPr="00996758">
        <w:rPr>
          <w:rFonts w:ascii="Verdana" w:hAnsi="Verdana"/>
          <w:spacing w:val="-2"/>
          <w:sz w:val="20"/>
          <w:szCs w:val="20"/>
        </w:rPr>
        <w:t>o convincente” o con “certeza razonable”.</w:t>
      </w:r>
    </w:p>
    <w:p w:rsidR="00E0353A" w:rsidRPr="00996758" w:rsidRDefault="00E0353A" w:rsidP="00E0353A">
      <w:pPr>
        <w:pBdr>
          <w:top w:val="nil"/>
        </w:pBdr>
        <w:spacing w:after="0" w:line="240" w:lineRule="auto"/>
        <w:jc w:val="both"/>
        <w:rPr>
          <w:rFonts w:ascii="Verdana" w:eastAsia="Verdana" w:hAnsi="Verdana" w:cs="Verdana"/>
          <w:b/>
          <w:sz w:val="20"/>
          <w:szCs w:val="20"/>
        </w:rPr>
      </w:pPr>
    </w:p>
    <w:p w:rsidR="006B473E" w:rsidRPr="00996758" w:rsidRDefault="00E0353A" w:rsidP="00484279">
      <w:pPr>
        <w:numPr>
          <w:ilvl w:val="0"/>
          <w:numId w:val="10"/>
        </w:numPr>
        <w:pBdr>
          <w:top w:val="nil"/>
        </w:pBdr>
        <w:spacing w:after="0" w:line="240" w:lineRule="auto"/>
        <w:ind w:left="0" w:firstLine="0"/>
        <w:jc w:val="both"/>
        <w:rPr>
          <w:rFonts w:ascii="Verdana" w:eastAsia="Verdana" w:hAnsi="Verdana" w:cs="Verdana"/>
          <w:b/>
          <w:sz w:val="20"/>
          <w:szCs w:val="20"/>
        </w:rPr>
      </w:pPr>
      <w:r w:rsidRPr="00996758">
        <w:rPr>
          <w:rFonts w:ascii="Verdana" w:eastAsia="Verdana" w:hAnsi="Verdana" w:cs="Verdana"/>
          <w:sz w:val="20"/>
          <w:szCs w:val="20"/>
        </w:rPr>
        <w:t>E</w:t>
      </w:r>
      <w:r w:rsidR="00387833" w:rsidRPr="00996758">
        <w:rPr>
          <w:rFonts w:ascii="Verdana" w:eastAsia="Verdana" w:hAnsi="Verdana" w:cs="Verdana"/>
          <w:sz w:val="20"/>
          <w:szCs w:val="20"/>
        </w:rPr>
        <w:t xml:space="preserve">n cuanto a la privación de la libertad, </w:t>
      </w:r>
      <w:r w:rsidRPr="00996758">
        <w:rPr>
          <w:rFonts w:ascii="Verdana" w:eastAsia="Verdana" w:hAnsi="Verdana" w:cs="Verdana"/>
          <w:sz w:val="20"/>
          <w:szCs w:val="20"/>
        </w:rPr>
        <w:t xml:space="preserve">el Estado alegó </w:t>
      </w:r>
      <w:r w:rsidR="006312DE" w:rsidRPr="00996758">
        <w:rPr>
          <w:rFonts w:ascii="Verdana" w:eastAsia="Verdana" w:hAnsi="Verdana" w:cs="Verdana"/>
          <w:sz w:val="20"/>
          <w:szCs w:val="20"/>
        </w:rPr>
        <w:t xml:space="preserve">que </w:t>
      </w:r>
      <w:r w:rsidR="00387833" w:rsidRPr="00996758">
        <w:rPr>
          <w:rFonts w:ascii="Verdana" w:eastAsia="Verdana" w:hAnsi="Verdana" w:cs="Verdana"/>
          <w:sz w:val="20"/>
          <w:szCs w:val="20"/>
        </w:rPr>
        <w:t>la detención del señor Isaza respondió a criterios legalmente establecidos y a la</w:t>
      </w:r>
      <w:r w:rsidR="00B20446" w:rsidRPr="00996758">
        <w:rPr>
          <w:rFonts w:ascii="Verdana" w:eastAsia="Verdana" w:hAnsi="Verdana" w:cs="Verdana"/>
          <w:sz w:val="20"/>
          <w:szCs w:val="20"/>
        </w:rPr>
        <w:t>s garantías del debido proceso y, s</w:t>
      </w:r>
      <w:r w:rsidR="00387833" w:rsidRPr="00996758">
        <w:rPr>
          <w:rFonts w:ascii="Verdana" w:eastAsia="Verdana" w:hAnsi="Verdana" w:cs="Verdana"/>
          <w:sz w:val="20"/>
          <w:szCs w:val="20"/>
        </w:rPr>
        <w:t xml:space="preserve">i bien </w:t>
      </w:r>
      <w:r w:rsidR="00805477" w:rsidRPr="00996758">
        <w:rPr>
          <w:rFonts w:ascii="Verdana" w:eastAsia="Verdana" w:hAnsi="Verdana" w:cs="Verdana"/>
          <w:sz w:val="20"/>
          <w:szCs w:val="20"/>
        </w:rPr>
        <w:t>estaba en</w:t>
      </w:r>
      <w:r w:rsidR="00387833" w:rsidRPr="00996758">
        <w:rPr>
          <w:rFonts w:ascii="Verdana" w:eastAsia="Verdana" w:hAnsi="Verdana" w:cs="Verdana"/>
          <w:sz w:val="20"/>
          <w:szCs w:val="20"/>
        </w:rPr>
        <w:t xml:space="preserve"> posición de garante, no hay evidencia que permita ligar tal detención con una desaparición forzada en razón de sus actividades sindicales y políticas. </w:t>
      </w:r>
      <w:r w:rsidR="006312DE" w:rsidRPr="00996758">
        <w:rPr>
          <w:rFonts w:ascii="Verdana" w:eastAsia="Verdana" w:hAnsi="Verdana" w:cs="Verdana"/>
          <w:sz w:val="20"/>
          <w:szCs w:val="20"/>
        </w:rPr>
        <w:t>Respecto de</w:t>
      </w:r>
      <w:r w:rsidR="00387833" w:rsidRPr="00996758">
        <w:rPr>
          <w:rFonts w:ascii="Verdana" w:eastAsia="Verdana" w:hAnsi="Verdana" w:cs="Verdana"/>
          <w:sz w:val="20"/>
          <w:szCs w:val="20"/>
        </w:rPr>
        <w:t xml:space="preserve"> la aquiescencia de agentes estatales, alegó que la Comisión y </w:t>
      </w:r>
      <w:r w:rsidR="00F6777A" w:rsidRPr="00996758">
        <w:rPr>
          <w:rFonts w:ascii="Verdana" w:eastAsia="Verdana" w:hAnsi="Verdana" w:cs="Verdana"/>
          <w:sz w:val="20"/>
          <w:szCs w:val="20"/>
        </w:rPr>
        <w:t xml:space="preserve">los </w:t>
      </w:r>
      <w:r w:rsidR="00387833" w:rsidRPr="00996758">
        <w:rPr>
          <w:rFonts w:ascii="Verdana" w:eastAsia="Verdana" w:hAnsi="Verdana" w:cs="Verdana"/>
          <w:sz w:val="20"/>
          <w:szCs w:val="20"/>
        </w:rPr>
        <w:t xml:space="preserve">representantes </w:t>
      </w:r>
      <w:r w:rsidR="00F6777A" w:rsidRPr="00996758">
        <w:rPr>
          <w:rFonts w:ascii="Verdana" w:eastAsia="Verdana" w:hAnsi="Verdana" w:cs="Verdana"/>
          <w:sz w:val="20"/>
          <w:szCs w:val="20"/>
        </w:rPr>
        <w:t xml:space="preserve">no llegan a </w:t>
      </w:r>
      <w:r w:rsidR="00387833" w:rsidRPr="00996758">
        <w:rPr>
          <w:rFonts w:ascii="Verdana" w:eastAsia="Verdana" w:hAnsi="Verdana" w:cs="Verdana"/>
          <w:sz w:val="20"/>
          <w:szCs w:val="20"/>
        </w:rPr>
        <w:t>conclusiones consistentes</w:t>
      </w:r>
      <w:r w:rsidR="00A4391D" w:rsidRPr="00996758">
        <w:rPr>
          <w:rFonts w:ascii="Verdana" w:eastAsia="Verdana" w:hAnsi="Verdana" w:cs="Verdana"/>
          <w:sz w:val="20"/>
          <w:szCs w:val="20"/>
        </w:rPr>
        <w:t xml:space="preserve">, ni argumentaron por qué </w:t>
      </w:r>
      <w:r w:rsidR="00387833" w:rsidRPr="00996758">
        <w:rPr>
          <w:rFonts w:ascii="Verdana" w:eastAsia="Verdana" w:hAnsi="Verdana" w:cs="Verdana"/>
          <w:sz w:val="20"/>
          <w:szCs w:val="20"/>
        </w:rPr>
        <w:t xml:space="preserve">la </w:t>
      </w:r>
      <w:r w:rsidR="00A4391D" w:rsidRPr="00996758">
        <w:rPr>
          <w:rFonts w:ascii="Verdana" w:eastAsia="Verdana" w:hAnsi="Verdana" w:cs="Verdana"/>
          <w:sz w:val="20"/>
          <w:szCs w:val="20"/>
        </w:rPr>
        <w:t xml:space="preserve">cercanía de la </w:t>
      </w:r>
      <w:r w:rsidR="00387833" w:rsidRPr="00996758">
        <w:rPr>
          <w:rFonts w:ascii="Verdana" w:eastAsia="Verdana" w:hAnsi="Verdana" w:cs="Verdana"/>
          <w:sz w:val="20"/>
          <w:szCs w:val="20"/>
        </w:rPr>
        <w:t xml:space="preserve">fuerza pública </w:t>
      </w:r>
      <w:r w:rsidR="00A4391D" w:rsidRPr="00996758">
        <w:rPr>
          <w:rFonts w:ascii="Verdana" w:eastAsia="Verdana" w:hAnsi="Verdana" w:cs="Verdana"/>
          <w:sz w:val="20"/>
          <w:szCs w:val="20"/>
        </w:rPr>
        <w:t xml:space="preserve">con </w:t>
      </w:r>
      <w:r w:rsidR="00387833" w:rsidRPr="00996758">
        <w:rPr>
          <w:rFonts w:ascii="Verdana" w:eastAsia="Verdana" w:hAnsi="Verdana" w:cs="Verdana"/>
          <w:sz w:val="20"/>
          <w:szCs w:val="20"/>
        </w:rPr>
        <w:t>la cárcel municipal</w:t>
      </w:r>
      <w:r w:rsidR="00805477" w:rsidRPr="00996758">
        <w:rPr>
          <w:rFonts w:ascii="Verdana" w:eastAsia="Verdana" w:hAnsi="Verdana" w:cs="Verdana"/>
          <w:sz w:val="20"/>
          <w:szCs w:val="20"/>
        </w:rPr>
        <w:t xml:space="preserve"> </w:t>
      </w:r>
      <w:r w:rsidR="00387833" w:rsidRPr="00996758">
        <w:rPr>
          <w:rFonts w:ascii="Verdana" w:eastAsia="Verdana" w:hAnsi="Verdana" w:cs="Verdana"/>
          <w:sz w:val="20"/>
          <w:szCs w:val="20"/>
        </w:rPr>
        <w:t xml:space="preserve">permitiría derivar su aquiescencia. </w:t>
      </w:r>
      <w:r w:rsidR="00A4391D" w:rsidRPr="00996758">
        <w:rPr>
          <w:rFonts w:ascii="Verdana" w:eastAsia="Verdana" w:hAnsi="Verdana" w:cs="Verdana"/>
          <w:sz w:val="20"/>
          <w:szCs w:val="20"/>
        </w:rPr>
        <w:t>S</w:t>
      </w:r>
      <w:r w:rsidR="00387833" w:rsidRPr="00996758">
        <w:rPr>
          <w:rFonts w:ascii="Verdana" w:eastAsia="Verdana" w:hAnsi="Verdana" w:cs="Verdana"/>
          <w:sz w:val="20"/>
          <w:szCs w:val="20"/>
        </w:rPr>
        <w:t xml:space="preserve">eñaló que </w:t>
      </w:r>
      <w:r w:rsidR="006B473E" w:rsidRPr="00996758">
        <w:rPr>
          <w:rFonts w:ascii="Verdana" w:eastAsia="Verdana" w:hAnsi="Verdana" w:cs="Verdana"/>
          <w:sz w:val="20"/>
          <w:szCs w:val="20"/>
        </w:rPr>
        <w:t xml:space="preserve">lo que </w:t>
      </w:r>
      <w:r w:rsidR="00387833" w:rsidRPr="00996758">
        <w:rPr>
          <w:rFonts w:ascii="Verdana" w:eastAsia="Verdana" w:hAnsi="Verdana" w:cs="Verdana"/>
          <w:sz w:val="20"/>
          <w:szCs w:val="20"/>
        </w:rPr>
        <w:t xml:space="preserve">existen </w:t>
      </w:r>
      <w:r w:rsidR="006B473E" w:rsidRPr="00996758">
        <w:rPr>
          <w:rFonts w:ascii="Verdana" w:eastAsia="Verdana" w:hAnsi="Verdana" w:cs="Verdana"/>
          <w:sz w:val="20"/>
          <w:szCs w:val="20"/>
        </w:rPr>
        <w:t xml:space="preserve">son </w:t>
      </w:r>
      <w:r w:rsidR="00387833" w:rsidRPr="00996758">
        <w:rPr>
          <w:rFonts w:ascii="Verdana" w:eastAsia="Verdana" w:hAnsi="Verdana" w:cs="Verdana"/>
          <w:sz w:val="20"/>
          <w:szCs w:val="20"/>
        </w:rPr>
        <w:t>diversas hipótesis</w:t>
      </w:r>
      <w:r w:rsidR="00A4391D" w:rsidRPr="00996758">
        <w:rPr>
          <w:rFonts w:ascii="Verdana" w:hAnsi="Verdana"/>
          <w:sz w:val="20"/>
          <w:szCs w:val="20"/>
        </w:rPr>
        <w:t xml:space="preserve"> sobre los autores de la sustracción</w:t>
      </w:r>
      <w:r w:rsidR="00A4391D" w:rsidRPr="00996758">
        <w:rPr>
          <w:rFonts w:ascii="Verdana" w:eastAsia="Verdana" w:hAnsi="Verdana" w:cs="Verdana"/>
          <w:sz w:val="20"/>
          <w:szCs w:val="20"/>
        </w:rPr>
        <w:t>, pues pudieron ser</w:t>
      </w:r>
      <w:r w:rsidR="00387833" w:rsidRPr="00996758">
        <w:rPr>
          <w:rFonts w:ascii="Verdana" w:eastAsia="Verdana" w:hAnsi="Verdana" w:cs="Verdana"/>
          <w:sz w:val="20"/>
          <w:szCs w:val="20"/>
        </w:rPr>
        <w:t xml:space="preserve"> </w:t>
      </w:r>
      <w:r w:rsidR="006B473E" w:rsidRPr="00996758">
        <w:rPr>
          <w:rFonts w:ascii="Verdana" w:eastAsia="Verdana" w:hAnsi="Verdana" w:cs="Verdana"/>
          <w:sz w:val="20"/>
          <w:szCs w:val="20"/>
        </w:rPr>
        <w:t xml:space="preserve">miembros de </w:t>
      </w:r>
      <w:r w:rsidR="00387833" w:rsidRPr="00996758">
        <w:rPr>
          <w:rFonts w:ascii="Verdana" w:eastAsia="Verdana" w:hAnsi="Verdana" w:cs="Verdana"/>
          <w:sz w:val="20"/>
          <w:szCs w:val="20"/>
        </w:rPr>
        <w:t>grupos paramilitares</w:t>
      </w:r>
      <w:r w:rsidR="006B473E" w:rsidRPr="00996758">
        <w:rPr>
          <w:rFonts w:ascii="Verdana" w:eastAsia="Verdana" w:hAnsi="Verdana" w:cs="Verdana"/>
          <w:sz w:val="20"/>
          <w:szCs w:val="20"/>
        </w:rPr>
        <w:t xml:space="preserve">, </w:t>
      </w:r>
      <w:r w:rsidR="006B473E" w:rsidRPr="00996758">
        <w:rPr>
          <w:rFonts w:ascii="Verdana" w:hAnsi="Verdana"/>
          <w:sz w:val="20"/>
          <w:szCs w:val="20"/>
        </w:rPr>
        <w:t xml:space="preserve">de la guerrilla FARC o particulares que los ayudaron a fugarse </w:t>
      </w:r>
      <w:r w:rsidR="00765690" w:rsidRPr="00996758">
        <w:rPr>
          <w:rFonts w:ascii="Verdana" w:hAnsi="Verdana"/>
          <w:sz w:val="20"/>
          <w:szCs w:val="20"/>
        </w:rPr>
        <w:t xml:space="preserve">o una </w:t>
      </w:r>
      <w:r w:rsidR="006B473E" w:rsidRPr="00996758">
        <w:rPr>
          <w:rFonts w:ascii="Verdana" w:hAnsi="Verdana"/>
          <w:sz w:val="20"/>
          <w:szCs w:val="20"/>
        </w:rPr>
        <w:t>posible retaliación por el homi</w:t>
      </w:r>
      <w:r w:rsidR="00A12F39" w:rsidRPr="00996758">
        <w:rPr>
          <w:rFonts w:ascii="Verdana" w:hAnsi="Verdana"/>
          <w:sz w:val="20"/>
          <w:szCs w:val="20"/>
        </w:rPr>
        <w:t xml:space="preserve">cidio por el que se le acusaba, a pesar de lo cual </w:t>
      </w:r>
      <w:r w:rsidR="00387833" w:rsidRPr="00996758">
        <w:rPr>
          <w:rFonts w:ascii="Verdana" w:eastAsia="Verdana" w:hAnsi="Verdana" w:cs="Verdana"/>
          <w:sz w:val="20"/>
          <w:szCs w:val="20"/>
        </w:rPr>
        <w:t xml:space="preserve">la Comisión y los representantes </w:t>
      </w:r>
      <w:r w:rsidR="00805477" w:rsidRPr="00996758">
        <w:rPr>
          <w:rFonts w:ascii="Verdana" w:eastAsia="Verdana" w:hAnsi="Verdana" w:cs="Verdana"/>
          <w:sz w:val="20"/>
          <w:szCs w:val="20"/>
        </w:rPr>
        <w:t xml:space="preserve">valoran </w:t>
      </w:r>
      <w:r w:rsidR="00387833" w:rsidRPr="00996758">
        <w:rPr>
          <w:rFonts w:ascii="Verdana" w:eastAsia="Verdana" w:hAnsi="Verdana" w:cs="Verdana"/>
          <w:sz w:val="20"/>
          <w:szCs w:val="20"/>
        </w:rPr>
        <w:t xml:space="preserve">las pruebas de modo </w:t>
      </w:r>
      <w:r w:rsidR="00805477" w:rsidRPr="00996758">
        <w:rPr>
          <w:rFonts w:ascii="Verdana" w:eastAsia="Verdana" w:hAnsi="Verdana" w:cs="Verdana"/>
          <w:sz w:val="20"/>
          <w:szCs w:val="20"/>
        </w:rPr>
        <w:t xml:space="preserve">fragmentario y </w:t>
      </w:r>
      <w:r w:rsidR="00387833" w:rsidRPr="00996758">
        <w:rPr>
          <w:rFonts w:ascii="Verdana" w:eastAsia="Verdana" w:hAnsi="Verdana" w:cs="Verdana"/>
          <w:sz w:val="20"/>
          <w:szCs w:val="20"/>
        </w:rPr>
        <w:t xml:space="preserve">parcializado y no logran establecer </w:t>
      </w:r>
      <w:r w:rsidR="00A4391D" w:rsidRPr="00996758">
        <w:rPr>
          <w:rFonts w:ascii="Verdana" w:eastAsia="Verdana" w:hAnsi="Verdana" w:cs="Verdana"/>
          <w:sz w:val="20"/>
          <w:szCs w:val="20"/>
        </w:rPr>
        <w:t xml:space="preserve">un </w:t>
      </w:r>
      <w:r w:rsidR="00387833" w:rsidRPr="00996758">
        <w:rPr>
          <w:rFonts w:ascii="Verdana" w:eastAsia="Verdana" w:hAnsi="Verdana" w:cs="Verdana"/>
          <w:sz w:val="20"/>
          <w:szCs w:val="20"/>
        </w:rPr>
        <w:t xml:space="preserve">nexo de causalidad entre </w:t>
      </w:r>
      <w:r w:rsidR="004C223F" w:rsidRPr="00996758">
        <w:rPr>
          <w:rFonts w:ascii="Verdana" w:eastAsia="Verdana" w:hAnsi="Verdana" w:cs="Verdana"/>
          <w:sz w:val="20"/>
          <w:szCs w:val="20"/>
        </w:rPr>
        <w:t xml:space="preserve">los hechos y </w:t>
      </w:r>
      <w:r w:rsidR="00805477" w:rsidRPr="00996758">
        <w:rPr>
          <w:rFonts w:ascii="Verdana" w:eastAsia="Verdana" w:hAnsi="Verdana" w:cs="Verdana"/>
          <w:sz w:val="20"/>
          <w:szCs w:val="20"/>
        </w:rPr>
        <w:t>los</w:t>
      </w:r>
      <w:r w:rsidR="00387833" w:rsidRPr="00996758">
        <w:rPr>
          <w:rFonts w:ascii="Verdana" w:eastAsia="Verdana" w:hAnsi="Verdana" w:cs="Verdana"/>
          <w:sz w:val="20"/>
          <w:szCs w:val="20"/>
        </w:rPr>
        <w:t xml:space="preserve"> contexto</w:t>
      </w:r>
      <w:r w:rsidR="00805477" w:rsidRPr="00996758">
        <w:rPr>
          <w:rFonts w:ascii="Verdana" w:eastAsia="Verdana" w:hAnsi="Verdana" w:cs="Verdana"/>
          <w:sz w:val="20"/>
          <w:szCs w:val="20"/>
        </w:rPr>
        <w:t>s referidos</w:t>
      </w:r>
      <w:r w:rsidR="00387833" w:rsidRPr="00996758">
        <w:rPr>
          <w:rFonts w:ascii="Verdana" w:eastAsia="Verdana" w:hAnsi="Verdana" w:cs="Verdana"/>
          <w:sz w:val="20"/>
          <w:szCs w:val="20"/>
        </w:rPr>
        <w:t xml:space="preserve">. </w:t>
      </w:r>
      <w:r w:rsidR="00A4391D" w:rsidRPr="00996758">
        <w:rPr>
          <w:rFonts w:ascii="Verdana" w:eastAsia="Verdana" w:hAnsi="Verdana" w:cs="Verdana"/>
          <w:sz w:val="20"/>
          <w:szCs w:val="20"/>
        </w:rPr>
        <w:t>Así, a</w:t>
      </w:r>
      <w:r w:rsidR="00387833" w:rsidRPr="00996758">
        <w:rPr>
          <w:rFonts w:ascii="Verdana" w:eastAsia="Verdana" w:hAnsi="Verdana" w:cs="Verdana"/>
          <w:sz w:val="20"/>
          <w:szCs w:val="20"/>
        </w:rPr>
        <w:t>legó que no existen elementos fácticos concluyentes que permitan atribuir el hecho ya sea a grupos guerrilleros, para</w:t>
      </w:r>
      <w:r w:rsidR="00F45AEE" w:rsidRPr="00996758">
        <w:rPr>
          <w:rFonts w:ascii="Verdana" w:eastAsia="Verdana" w:hAnsi="Verdana" w:cs="Verdana"/>
          <w:sz w:val="20"/>
          <w:szCs w:val="20"/>
        </w:rPr>
        <w:t>militares o agentes estatales y</w:t>
      </w:r>
      <w:r w:rsidR="006B473E" w:rsidRPr="00996758">
        <w:rPr>
          <w:rFonts w:ascii="Verdana" w:hAnsi="Verdana"/>
          <w:sz w:val="20"/>
          <w:szCs w:val="20"/>
        </w:rPr>
        <w:t xml:space="preserve"> manifestó</w:t>
      </w:r>
      <w:r w:rsidR="00F45AEE" w:rsidRPr="00996758">
        <w:rPr>
          <w:rFonts w:ascii="Verdana" w:hAnsi="Verdana"/>
          <w:sz w:val="20"/>
          <w:szCs w:val="20"/>
        </w:rPr>
        <w:t xml:space="preserve">, en sus alegatos finales, </w:t>
      </w:r>
      <w:r w:rsidR="006B473E" w:rsidRPr="00996758">
        <w:rPr>
          <w:rFonts w:ascii="Verdana" w:hAnsi="Verdana"/>
          <w:sz w:val="20"/>
          <w:szCs w:val="20"/>
        </w:rPr>
        <w:t>que existen elementos probatorios contundentes que corroboran la participación de terceros en estos hechos y que, ante las distintas hipótesis, la más fuerte versa sobre la participación de actores privados.</w:t>
      </w:r>
    </w:p>
    <w:p w:rsidR="00CF31B9" w:rsidRPr="00996758" w:rsidRDefault="00CF31B9">
      <w:pPr>
        <w:pBdr>
          <w:top w:val="nil"/>
        </w:pBdr>
        <w:spacing w:after="0" w:line="240" w:lineRule="auto"/>
        <w:jc w:val="both"/>
        <w:rPr>
          <w:rFonts w:ascii="Verdana" w:hAnsi="Verdana"/>
          <w:snapToGrid w:val="0"/>
          <w:spacing w:val="-2"/>
          <w:sz w:val="20"/>
          <w:szCs w:val="20"/>
          <w:lang w:eastAsia="es-ES"/>
        </w:rPr>
      </w:pPr>
    </w:p>
    <w:p w:rsidR="00D275ED" w:rsidRPr="00996758" w:rsidRDefault="00D275ED">
      <w:pPr>
        <w:pBdr>
          <w:top w:val="nil"/>
        </w:pBdr>
        <w:spacing w:after="0" w:line="240" w:lineRule="auto"/>
        <w:jc w:val="both"/>
        <w:rPr>
          <w:rFonts w:ascii="Verdana" w:hAnsi="Verdana"/>
          <w:snapToGrid w:val="0"/>
          <w:spacing w:val="-2"/>
          <w:sz w:val="20"/>
          <w:szCs w:val="20"/>
          <w:lang w:eastAsia="es-ES"/>
        </w:rPr>
      </w:pPr>
    </w:p>
    <w:p w:rsidR="00CF31B9" w:rsidRPr="00996758" w:rsidRDefault="00CF31B9">
      <w:pPr>
        <w:pBdr>
          <w:top w:val="nil"/>
        </w:pBdr>
        <w:spacing w:after="0" w:line="240" w:lineRule="auto"/>
        <w:ind w:left="1416"/>
        <w:jc w:val="both"/>
        <w:rPr>
          <w:rFonts w:ascii="Verdana" w:hAnsi="Verdana"/>
          <w:i/>
          <w:snapToGrid w:val="0"/>
          <w:spacing w:val="-2"/>
          <w:sz w:val="20"/>
          <w:szCs w:val="20"/>
          <w:lang w:eastAsia="es-ES"/>
        </w:rPr>
      </w:pPr>
      <w:r w:rsidRPr="00996758">
        <w:rPr>
          <w:rFonts w:ascii="Verdana" w:hAnsi="Verdana"/>
          <w:i/>
          <w:snapToGrid w:val="0"/>
          <w:spacing w:val="-2"/>
          <w:sz w:val="20"/>
          <w:szCs w:val="20"/>
          <w:lang w:eastAsia="es-ES"/>
        </w:rPr>
        <w:lastRenderedPageBreak/>
        <w:t>ii.</w:t>
      </w:r>
      <w:r w:rsidRPr="00996758">
        <w:rPr>
          <w:rFonts w:ascii="Verdana" w:hAnsi="Verdana"/>
          <w:i/>
          <w:snapToGrid w:val="0"/>
          <w:spacing w:val="-2"/>
          <w:sz w:val="20"/>
          <w:szCs w:val="20"/>
          <w:lang w:eastAsia="es-ES"/>
        </w:rPr>
        <w:tab/>
        <w:t xml:space="preserve">Respecto del artículo 2 de la Convención </w:t>
      </w:r>
    </w:p>
    <w:p w:rsidR="00CF31B9" w:rsidRPr="00996758" w:rsidRDefault="00CF31B9">
      <w:pPr>
        <w:pBdr>
          <w:top w:val="nil"/>
        </w:pBdr>
        <w:spacing w:after="0" w:line="240" w:lineRule="auto"/>
        <w:jc w:val="both"/>
        <w:rPr>
          <w:rFonts w:ascii="Verdana" w:hAnsi="Verdana"/>
          <w:sz w:val="20"/>
          <w:szCs w:val="20"/>
        </w:rPr>
      </w:pPr>
    </w:p>
    <w:p w:rsidR="00CF31B9" w:rsidRPr="00996758" w:rsidRDefault="00CF31B9"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b/>
          <w:i/>
          <w:sz w:val="20"/>
          <w:szCs w:val="20"/>
        </w:rPr>
        <w:t>Comisión</w:t>
      </w:r>
      <w:r w:rsidRPr="00996758">
        <w:rPr>
          <w:rFonts w:ascii="Verdana" w:hAnsi="Verdana"/>
          <w:sz w:val="20"/>
          <w:szCs w:val="20"/>
        </w:rPr>
        <w:t xml:space="preserve"> </w:t>
      </w:r>
      <w:r w:rsidR="00126FF2" w:rsidRPr="00996758">
        <w:rPr>
          <w:rFonts w:ascii="Verdana" w:hAnsi="Verdana"/>
          <w:sz w:val="20"/>
          <w:szCs w:val="20"/>
        </w:rPr>
        <w:t xml:space="preserve">consideró que </w:t>
      </w:r>
      <w:r w:rsidR="00FF0945" w:rsidRPr="00996758">
        <w:rPr>
          <w:rFonts w:ascii="Verdana" w:hAnsi="Verdana"/>
          <w:sz w:val="20"/>
          <w:szCs w:val="20"/>
        </w:rPr>
        <w:t xml:space="preserve">esta </w:t>
      </w:r>
      <w:r w:rsidRPr="00996758">
        <w:rPr>
          <w:rFonts w:ascii="Verdana" w:hAnsi="Verdana"/>
          <w:sz w:val="20"/>
          <w:szCs w:val="20"/>
        </w:rPr>
        <w:t>violación se relaciona con la vigencia para el momento de inicio de ejecución de los hechos de</w:t>
      </w:r>
      <w:r w:rsidR="00CD28F0" w:rsidRPr="00996758">
        <w:rPr>
          <w:rFonts w:ascii="Verdana" w:hAnsi="Verdana"/>
          <w:sz w:val="20"/>
          <w:szCs w:val="20"/>
        </w:rPr>
        <w:t xml:space="preserve"> </w:t>
      </w:r>
      <w:r w:rsidRPr="00996758">
        <w:rPr>
          <w:rFonts w:ascii="Verdana" w:hAnsi="Verdana"/>
          <w:sz w:val="20"/>
          <w:szCs w:val="20"/>
        </w:rPr>
        <w:t>l</w:t>
      </w:r>
      <w:r w:rsidR="00CD28F0" w:rsidRPr="00996758">
        <w:rPr>
          <w:rFonts w:ascii="Verdana" w:hAnsi="Verdana"/>
          <w:sz w:val="20"/>
          <w:szCs w:val="20"/>
        </w:rPr>
        <w:t>os</w:t>
      </w:r>
      <w:r w:rsidRPr="00996758">
        <w:rPr>
          <w:rFonts w:ascii="Verdana" w:hAnsi="Verdana"/>
          <w:sz w:val="20"/>
          <w:szCs w:val="20"/>
        </w:rPr>
        <w:t xml:space="preserve"> marco</w:t>
      </w:r>
      <w:r w:rsidR="00CD28F0" w:rsidRPr="00996758">
        <w:rPr>
          <w:rFonts w:ascii="Verdana" w:hAnsi="Verdana"/>
          <w:sz w:val="20"/>
          <w:szCs w:val="20"/>
        </w:rPr>
        <w:t>s</w:t>
      </w:r>
      <w:r w:rsidRPr="00996758">
        <w:rPr>
          <w:rFonts w:ascii="Verdana" w:hAnsi="Verdana"/>
          <w:sz w:val="20"/>
          <w:szCs w:val="20"/>
        </w:rPr>
        <w:t xml:space="preserve"> normativo</w:t>
      </w:r>
      <w:r w:rsidR="00CD28F0" w:rsidRPr="00996758">
        <w:rPr>
          <w:rFonts w:ascii="Verdana" w:hAnsi="Verdana"/>
          <w:sz w:val="20"/>
          <w:szCs w:val="20"/>
        </w:rPr>
        <w:t>s</w:t>
      </w:r>
      <w:r w:rsidRPr="00996758">
        <w:rPr>
          <w:rFonts w:ascii="Verdana" w:hAnsi="Verdana"/>
          <w:sz w:val="20"/>
          <w:szCs w:val="20"/>
        </w:rPr>
        <w:t xml:space="preserve"> relacionado</w:t>
      </w:r>
      <w:r w:rsidR="00CD28F0" w:rsidRPr="00996758">
        <w:rPr>
          <w:rFonts w:ascii="Verdana" w:hAnsi="Verdana"/>
          <w:sz w:val="20"/>
          <w:szCs w:val="20"/>
        </w:rPr>
        <w:t>s</w:t>
      </w:r>
      <w:r w:rsidRPr="00996758">
        <w:rPr>
          <w:rFonts w:ascii="Verdana" w:hAnsi="Verdana"/>
          <w:sz w:val="20"/>
          <w:szCs w:val="20"/>
        </w:rPr>
        <w:t xml:space="preserve"> con el paramilitarismo</w:t>
      </w:r>
      <w:r w:rsidR="00CD28F0" w:rsidRPr="00996758">
        <w:rPr>
          <w:rFonts w:ascii="Verdana" w:hAnsi="Verdana"/>
          <w:sz w:val="20"/>
          <w:szCs w:val="20"/>
        </w:rPr>
        <w:t xml:space="preserve"> y con</w:t>
      </w:r>
      <w:r w:rsidRPr="00996758">
        <w:rPr>
          <w:rFonts w:ascii="Verdana" w:hAnsi="Verdana"/>
          <w:sz w:val="20"/>
          <w:szCs w:val="20"/>
        </w:rPr>
        <w:t xml:space="preserve"> la identificación de sindicalistas dentro de la noción de enemigo interno.</w:t>
      </w:r>
    </w:p>
    <w:p w:rsidR="00126FF2" w:rsidRPr="00996758" w:rsidRDefault="00126FF2">
      <w:pPr>
        <w:pBdr>
          <w:top w:val="nil"/>
        </w:pBdr>
        <w:spacing w:after="0" w:line="240" w:lineRule="auto"/>
        <w:jc w:val="both"/>
        <w:rPr>
          <w:rFonts w:ascii="Verdana" w:hAnsi="Verdana"/>
          <w:sz w:val="20"/>
          <w:szCs w:val="20"/>
        </w:rPr>
      </w:pPr>
    </w:p>
    <w:p w:rsidR="006D3C5F" w:rsidRPr="00996758" w:rsidRDefault="006D3C5F"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representantes</w:t>
      </w:r>
      <w:r w:rsidRPr="00996758">
        <w:rPr>
          <w:rFonts w:ascii="Verdana" w:hAnsi="Verdana"/>
          <w:sz w:val="20"/>
          <w:szCs w:val="20"/>
        </w:rPr>
        <w:t xml:space="preserve"> </w:t>
      </w:r>
      <w:r w:rsidR="00FF0945" w:rsidRPr="00996758">
        <w:rPr>
          <w:rFonts w:ascii="Verdana" w:hAnsi="Verdana"/>
          <w:sz w:val="20"/>
          <w:szCs w:val="20"/>
        </w:rPr>
        <w:t xml:space="preserve">alegaron </w:t>
      </w:r>
      <w:r w:rsidRPr="00996758">
        <w:rPr>
          <w:rFonts w:ascii="Verdana" w:hAnsi="Verdana"/>
          <w:sz w:val="20"/>
          <w:szCs w:val="20"/>
        </w:rPr>
        <w:t xml:space="preserve">que </w:t>
      </w:r>
      <w:r w:rsidR="00FF0945" w:rsidRPr="00996758">
        <w:rPr>
          <w:rFonts w:ascii="Verdana" w:hAnsi="Verdana"/>
          <w:sz w:val="20"/>
          <w:szCs w:val="20"/>
        </w:rPr>
        <w:t>la doctrina de enemigo interno introducida en las políticas de las fuerzas militares por medio de los manuales militares promulgados a partir de 1965, y amparadas por el decreto 3398 de 1965 y la ley 48 de 1968</w:t>
      </w:r>
      <w:r w:rsidR="00A4391D" w:rsidRPr="00996758">
        <w:rPr>
          <w:rFonts w:ascii="Verdana" w:hAnsi="Verdana"/>
          <w:sz w:val="20"/>
          <w:szCs w:val="20"/>
        </w:rPr>
        <w:t>,</w:t>
      </w:r>
      <w:r w:rsidR="00FF0945" w:rsidRPr="00996758">
        <w:rPr>
          <w:rFonts w:ascii="Verdana" w:hAnsi="Verdana"/>
          <w:sz w:val="20"/>
          <w:szCs w:val="20"/>
        </w:rPr>
        <w:t xml:space="preserve"> contradicen </w:t>
      </w:r>
      <w:r w:rsidRPr="00996758">
        <w:rPr>
          <w:rFonts w:ascii="Verdana" w:hAnsi="Verdana"/>
          <w:sz w:val="20"/>
          <w:szCs w:val="20"/>
        </w:rPr>
        <w:t>el principio de distinción (regulado por el Derecho Internacional Humanitario) y el principio de no discriminación con base en la opinión política</w:t>
      </w:r>
      <w:r w:rsidR="00C047AE" w:rsidRPr="00996758">
        <w:rPr>
          <w:rFonts w:ascii="Verdana" w:hAnsi="Verdana"/>
          <w:sz w:val="20"/>
          <w:szCs w:val="20"/>
        </w:rPr>
        <w:t xml:space="preserve"> </w:t>
      </w:r>
      <w:r w:rsidR="00FF0945" w:rsidRPr="00996758">
        <w:rPr>
          <w:rFonts w:ascii="Verdana" w:hAnsi="Verdana"/>
          <w:sz w:val="20"/>
          <w:szCs w:val="20"/>
        </w:rPr>
        <w:t>(</w:t>
      </w:r>
      <w:r w:rsidRPr="00996758">
        <w:rPr>
          <w:rFonts w:ascii="Verdana" w:hAnsi="Verdana"/>
          <w:sz w:val="20"/>
          <w:szCs w:val="20"/>
        </w:rPr>
        <w:t>salvaguardado por la Convención Americana</w:t>
      </w:r>
      <w:r w:rsidR="00FF0945" w:rsidRPr="00996758">
        <w:rPr>
          <w:rFonts w:ascii="Verdana" w:hAnsi="Verdana"/>
          <w:sz w:val="20"/>
          <w:szCs w:val="20"/>
        </w:rPr>
        <w:t>)</w:t>
      </w:r>
      <w:r w:rsidR="00A736A5" w:rsidRPr="00996758">
        <w:rPr>
          <w:rFonts w:ascii="Verdana" w:hAnsi="Verdana"/>
          <w:sz w:val="20"/>
          <w:szCs w:val="20"/>
        </w:rPr>
        <w:t xml:space="preserve">, </w:t>
      </w:r>
      <w:r w:rsidRPr="00996758">
        <w:rPr>
          <w:rFonts w:ascii="Verdana" w:hAnsi="Verdana"/>
          <w:sz w:val="20"/>
          <w:szCs w:val="20"/>
        </w:rPr>
        <w:t xml:space="preserve">pues generó que movimientos sociales, grupos sindicales y partidos políticos de oposición fueran </w:t>
      </w:r>
      <w:r w:rsidR="00FF0945" w:rsidRPr="00996758">
        <w:rPr>
          <w:rFonts w:ascii="Verdana" w:hAnsi="Verdana"/>
          <w:sz w:val="20"/>
          <w:szCs w:val="20"/>
        </w:rPr>
        <w:t xml:space="preserve">identificados como </w:t>
      </w:r>
      <w:r w:rsidRPr="00996758">
        <w:rPr>
          <w:rFonts w:ascii="Verdana" w:hAnsi="Verdana"/>
          <w:sz w:val="20"/>
          <w:szCs w:val="20"/>
        </w:rPr>
        <w:t xml:space="preserve">“enemigos internos” que apoyaban a grupos insurgentes, </w:t>
      </w:r>
      <w:r w:rsidR="00A736A5" w:rsidRPr="00996758">
        <w:rPr>
          <w:rFonts w:ascii="Verdana" w:hAnsi="Verdana"/>
          <w:sz w:val="20"/>
          <w:szCs w:val="20"/>
        </w:rPr>
        <w:t>generando</w:t>
      </w:r>
      <w:r w:rsidRPr="00996758">
        <w:rPr>
          <w:rFonts w:ascii="Verdana" w:hAnsi="Verdana"/>
          <w:sz w:val="20"/>
          <w:szCs w:val="20"/>
        </w:rPr>
        <w:t xml:space="preserve"> estigmatización </w:t>
      </w:r>
      <w:r w:rsidR="00A736A5" w:rsidRPr="00996758">
        <w:rPr>
          <w:rFonts w:ascii="Verdana" w:hAnsi="Verdana"/>
          <w:sz w:val="20"/>
          <w:szCs w:val="20"/>
        </w:rPr>
        <w:t xml:space="preserve">y </w:t>
      </w:r>
      <w:r w:rsidRPr="00996758">
        <w:rPr>
          <w:rFonts w:ascii="Verdana" w:hAnsi="Verdana"/>
          <w:sz w:val="20"/>
          <w:szCs w:val="20"/>
        </w:rPr>
        <w:t>un</w:t>
      </w:r>
      <w:r w:rsidR="00FF0945" w:rsidRPr="00996758">
        <w:rPr>
          <w:rFonts w:ascii="Verdana" w:hAnsi="Verdana"/>
          <w:sz w:val="20"/>
          <w:szCs w:val="20"/>
        </w:rPr>
        <w:t xml:space="preserve">a cruda violencia en su contra, en </w:t>
      </w:r>
      <w:r w:rsidRPr="00996758">
        <w:rPr>
          <w:rFonts w:ascii="Verdana" w:hAnsi="Verdana"/>
          <w:sz w:val="20"/>
          <w:szCs w:val="20"/>
        </w:rPr>
        <w:t xml:space="preserve">flagrante violación </w:t>
      </w:r>
      <w:r w:rsidR="00FF0945" w:rsidRPr="00996758">
        <w:rPr>
          <w:rFonts w:ascii="Verdana" w:hAnsi="Verdana"/>
          <w:sz w:val="20"/>
          <w:szCs w:val="20"/>
        </w:rPr>
        <w:t xml:space="preserve">de </w:t>
      </w:r>
      <w:r w:rsidRPr="00996758">
        <w:rPr>
          <w:rFonts w:ascii="Verdana" w:hAnsi="Verdana"/>
          <w:sz w:val="20"/>
          <w:szCs w:val="20"/>
        </w:rPr>
        <w:t xml:space="preserve">los artículos 1 y 2 de la Convención. </w:t>
      </w:r>
    </w:p>
    <w:p w:rsidR="006D3C5F" w:rsidRPr="00996758" w:rsidRDefault="006D3C5F">
      <w:pPr>
        <w:pBdr>
          <w:top w:val="nil"/>
        </w:pBdr>
        <w:spacing w:after="0" w:line="240" w:lineRule="auto"/>
        <w:jc w:val="both"/>
        <w:rPr>
          <w:rFonts w:ascii="Verdana" w:hAnsi="Verdana"/>
          <w:sz w:val="20"/>
          <w:szCs w:val="20"/>
        </w:rPr>
      </w:pPr>
    </w:p>
    <w:p w:rsidR="00126FF2" w:rsidRPr="00996758" w:rsidRDefault="006D3C5F"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b/>
          <w:i/>
          <w:sz w:val="20"/>
          <w:szCs w:val="20"/>
        </w:rPr>
        <w:t>Estado</w:t>
      </w:r>
      <w:r w:rsidRPr="00996758">
        <w:rPr>
          <w:rFonts w:ascii="Verdana" w:hAnsi="Verdana"/>
          <w:sz w:val="20"/>
          <w:szCs w:val="20"/>
        </w:rPr>
        <w:t xml:space="preserve"> </w:t>
      </w:r>
      <w:r w:rsidR="00D35FC5" w:rsidRPr="00996758">
        <w:rPr>
          <w:rFonts w:ascii="Verdana" w:hAnsi="Verdana"/>
          <w:sz w:val="20"/>
          <w:szCs w:val="20"/>
        </w:rPr>
        <w:t>s</w:t>
      </w:r>
      <w:r w:rsidRPr="00996758">
        <w:rPr>
          <w:rFonts w:ascii="Verdana" w:hAnsi="Verdana"/>
          <w:sz w:val="20"/>
          <w:szCs w:val="20"/>
        </w:rPr>
        <w:t xml:space="preserve">eñaló que, si bien para la época estaban vigentes disposiciones normativas que promovieron la creación de grupos de autodefensas que derivaron en grupos delincuenciales, el Estado implementó medidas </w:t>
      </w:r>
      <w:r w:rsidR="005D409D" w:rsidRPr="00996758">
        <w:rPr>
          <w:rFonts w:ascii="Verdana" w:hAnsi="Verdana"/>
          <w:sz w:val="20"/>
          <w:szCs w:val="20"/>
        </w:rPr>
        <w:t xml:space="preserve">para </w:t>
      </w:r>
      <w:r w:rsidRPr="00996758">
        <w:rPr>
          <w:rFonts w:ascii="Verdana" w:hAnsi="Verdana"/>
          <w:sz w:val="20"/>
          <w:szCs w:val="20"/>
        </w:rPr>
        <w:t>controlar y sancionar</w:t>
      </w:r>
      <w:r w:rsidR="005D409D" w:rsidRPr="00996758">
        <w:rPr>
          <w:rFonts w:ascii="Verdana" w:hAnsi="Verdana"/>
          <w:sz w:val="20"/>
          <w:szCs w:val="20"/>
        </w:rPr>
        <w:t xml:space="preserve"> sus actos</w:t>
      </w:r>
      <w:r w:rsidRPr="00996758">
        <w:rPr>
          <w:rFonts w:ascii="Verdana" w:hAnsi="Verdana"/>
          <w:sz w:val="20"/>
          <w:szCs w:val="20"/>
        </w:rPr>
        <w:t xml:space="preserve">. </w:t>
      </w:r>
      <w:r w:rsidR="00084A1E" w:rsidRPr="00996758">
        <w:rPr>
          <w:rFonts w:ascii="Verdana" w:hAnsi="Verdana"/>
          <w:sz w:val="20"/>
          <w:szCs w:val="20"/>
        </w:rPr>
        <w:t>Consideró</w:t>
      </w:r>
      <w:r w:rsidRPr="00996758">
        <w:rPr>
          <w:rFonts w:ascii="Verdana" w:hAnsi="Verdana"/>
          <w:sz w:val="20"/>
          <w:szCs w:val="20"/>
        </w:rPr>
        <w:t xml:space="preserve"> </w:t>
      </w:r>
      <w:r w:rsidR="00084A1E" w:rsidRPr="00996758">
        <w:rPr>
          <w:rFonts w:ascii="Verdana" w:hAnsi="Verdana"/>
          <w:sz w:val="20"/>
          <w:szCs w:val="20"/>
        </w:rPr>
        <w:t xml:space="preserve">subjetiva y sesgada </w:t>
      </w:r>
      <w:r w:rsidRPr="00996758">
        <w:rPr>
          <w:rFonts w:ascii="Verdana" w:hAnsi="Verdana"/>
          <w:sz w:val="20"/>
          <w:szCs w:val="20"/>
        </w:rPr>
        <w:t>la interpretación según la cual</w:t>
      </w:r>
      <w:r w:rsidR="00084A1E" w:rsidRPr="00996758">
        <w:rPr>
          <w:rFonts w:ascii="Verdana" w:hAnsi="Verdana"/>
          <w:sz w:val="20"/>
          <w:szCs w:val="20"/>
        </w:rPr>
        <w:t xml:space="preserve"> el Decreto 3398 de 1965 fue un </w:t>
      </w:r>
      <w:r w:rsidRPr="00996758">
        <w:rPr>
          <w:rFonts w:ascii="Verdana" w:hAnsi="Verdana"/>
          <w:sz w:val="20"/>
          <w:szCs w:val="20"/>
        </w:rPr>
        <w:t xml:space="preserve">documento de la “doctrina de seguridad nacional”, </w:t>
      </w:r>
      <w:r w:rsidR="005D409D" w:rsidRPr="00996758">
        <w:rPr>
          <w:rFonts w:ascii="Verdana" w:hAnsi="Verdana"/>
          <w:sz w:val="20"/>
          <w:szCs w:val="20"/>
        </w:rPr>
        <w:t xml:space="preserve">pues </w:t>
      </w:r>
      <w:r w:rsidRPr="00996758">
        <w:rPr>
          <w:rFonts w:ascii="Verdana" w:hAnsi="Verdana"/>
          <w:sz w:val="20"/>
          <w:szCs w:val="20"/>
        </w:rPr>
        <w:t>simplemente se hace referencia a la doctrina necesaria para garanti</w:t>
      </w:r>
      <w:r w:rsidR="00FF6606" w:rsidRPr="00996758">
        <w:rPr>
          <w:rFonts w:ascii="Verdana" w:hAnsi="Verdana"/>
          <w:sz w:val="20"/>
          <w:szCs w:val="20"/>
        </w:rPr>
        <w:t>zar</w:t>
      </w:r>
      <w:r w:rsidRPr="00996758">
        <w:rPr>
          <w:rFonts w:ascii="Verdana" w:hAnsi="Verdana"/>
          <w:sz w:val="20"/>
          <w:szCs w:val="20"/>
        </w:rPr>
        <w:t xml:space="preserve"> la seguridad y la defensa nacional. En relación con los manuales de operaciones militares, el Estado manifestó que su aplicación no se encuentra vigente y, de cualquier forma, no se puede afirmar que </w:t>
      </w:r>
      <w:r w:rsidR="005D409D" w:rsidRPr="00996758">
        <w:rPr>
          <w:rFonts w:ascii="Verdana" w:hAnsi="Verdana"/>
          <w:sz w:val="20"/>
          <w:szCs w:val="20"/>
        </w:rPr>
        <w:t>sus</w:t>
      </w:r>
      <w:r w:rsidR="00F45AEE" w:rsidRPr="00996758">
        <w:rPr>
          <w:rFonts w:ascii="Verdana" w:hAnsi="Verdana"/>
          <w:sz w:val="20"/>
          <w:szCs w:val="20"/>
        </w:rPr>
        <w:t xml:space="preserve"> fuerzas de seguridad aplicara</w:t>
      </w:r>
      <w:r w:rsidRPr="00996758">
        <w:rPr>
          <w:rFonts w:ascii="Verdana" w:hAnsi="Verdana"/>
          <w:sz w:val="20"/>
          <w:szCs w:val="20"/>
        </w:rPr>
        <w:t xml:space="preserve">n </w:t>
      </w:r>
      <w:r w:rsidR="00F45AEE" w:rsidRPr="00996758">
        <w:rPr>
          <w:rFonts w:ascii="Verdana" w:hAnsi="Verdana"/>
          <w:sz w:val="20"/>
          <w:szCs w:val="20"/>
        </w:rPr>
        <w:t xml:space="preserve">tal </w:t>
      </w:r>
      <w:r w:rsidRPr="00996758">
        <w:rPr>
          <w:rFonts w:ascii="Verdana" w:hAnsi="Verdana"/>
          <w:sz w:val="20"/>
          <w:szCs w:val="20"/>
        </w:rPr>
        <w:t>“doctrina</w:t>
      </w:r>
      <w:r w:rsidR="00F45AEE" w:rsidRPr="00996758">
        <w:rPr>
          <w:rFonts w:ascii="Verdana" w:hAnsi="Verdana"/>
          <w:sz w:val="20"/>
          <w:szCs w:val="20"/>
        </w:rPr>
        <w:t>”</w:t>
      </w:r>
      <w:r w:rsidR="007B4BCF" w:rsidRPr="00996758">
        <w:rPr>
          <w:rFonts w:ascii="Verdana" w:hAnsi="Verdana"/>
          <w:sz w:val="20"/>
          <w:szCs w:val="20"/>
        </w:rPr>
        <w:t xml:space="preserve"> porque </w:t>
      </w:r>
      <w:r w:rsidRPr="00996758">
        <w:rPr>
          <w:rFonts w:ascii="Verdana" w:hAnsi="Verdana"/>
          <w:sz w:val="20"/>
          <w:szCs w:val="20"/>
        </w:rPr>
        <w:t>la Constitución Política y el Estado de derecho les prohíbe perseguir a la población civil</w:t>
      </w:r>
      <w:r w:rsidR="000A5EE6" w:rsidRPr="00996758">
        <w:rPr>
          <w:rFonts w:ascii="Verdana" w:hAnsi="Verdana"/>
          <w:sz w:val="20"/>
          <w:szCs w:val="20"/>
        </w:rPr>
        <w:t xml:space="preserve">. </w:t>
      </w:r>
      <w:r w:rsidR="00F45AEE" w:rsidRPr="00996758">
        <w:rPr>
          <w:rFonts w:ascii="Verdana" w:hAnsi="Verdana"/>
          <w:sz w:val="20"/>
          <w:szCs w:val="20"/>
        </w:rPr>
        <w:t>A</w:t>
      </w:r>
      <w:r w:rsidR="000A5EE6" w:rsidRPr="00996758">
        <w:rPr>
          <w:rFonts w:ascii="Verdana" w:hAnsi="Verdana"/>
          <w:sz w:val="20"/>
          <w:szCs w:val="20"/>
        </w:rPr>
        <w:t>legó que,</w:t>
      </w:r>
      <w:r w:rsidRPr="00996758">
        <w:rPr>
          <w:rFonts w:ascii="Verdana" w:hAnsi="Verdana"/>
          <w:sz w:val="20"/>
          <w:szCs w:val="20"/>
        </w:rPr>
        <w:t xml:space="preserve"> </w:t>
      </w:r>
      <w:r w:rsidR="00521B1E" w:rsidRPr="00996758">
        <w:rPr>
          <w:rFonts w:ascii="Verdana" w:hAnsi="Verdana"/>
          <w:sz w:val="20"/>
          <w:szCs w:val="20"/>
        </w:rPr>
        <w:t xml:space="preserve">aún si se considerara que </w:t>
      </w:r>
      <w:r w:rsidR="005D409D" w:rsidRPr="00996758">
        <w:rPr>
          <w:rFonts w:ascii="Verdana" w:hAnsi="Verdana"/>
          <w:sz w:val="20"/>
          <w:szCs w:val="20"/>
        </w:rPr>
        <w:t>esos</w:t>
      </w:r>
      <w:r w:rsidRPr="00996758">
        <w:rPr>
          <w:rFonts w:ascii="Verdana" w:hAnsi="Verdana"/>
          <w:sz w:val="20"/>
          <w:szCs w:val="20"/>
        </w:rPr>
        <w:t xml:space="preserve"> marcos normativos </w:t>
      </w:r>
      <w:r w:rsidR="00521B1E" w:rsidRPr="00996758">
        <w:rPr>
          <w:rFonts w:ascii="Verdana" w:hAnsi="Verdana"/>
          <w:sz w:val="20"/>
          <w:szCs w:val="20"/>
        </w:rPr>
        <w:t xml:space="preserve">constituyen un hecho ilícito internacional, </w:t>
      </w:r>
      <w:r w:rsidR="000A5EE6" w:rsidRPr="00996758">
        <w:rPr>
          <w:rFonts w:ascii="Verdana" w:hAnsi="Verdana"/>
          <w:sz w:val="20"/>
          <w:szCs w:val="20"/>
        </w:rPr>
        <w:t xml:space="preserve">éstos </w:t>
      </w:r>
      <w:r w:rsidR="00757A5D" w:rsidRPr="00996758">
        <w:rPr>
          <w:rFonts w:ascii="Verdana" w:hAnsi="Verdana"/>
          <w:sz w:val="20"/>
          <w:szCs w:val="20"/>
        </w:rPr>
        <w:t>ya fueron excluidos del ordenamiento jurídico, razón por la cual</w:t>
      </w:r>
      <w:r w:rsidRPr="00996758">
        <w:rPr>
          <w:rFonts w:ascii="Verdana" w:hAnsi="Verdana"/>
          <w:sz w:val="20"/>
          <w:szCs w:val="20"/>
        </w:rPr>
        <w:t xml:space="preserve">, por principio de subsidiariedad, no le corresponde a la Corte ratificar lo que ya ha sido declarado </w:t>
      </w:r>
      <w:r w:rsidR="00084A1E" w:rsidRPr="00996758">
        <w:rPr>
          <w:rFonts w:ascii="Verdana" w:hAnsi="Verdana"/>
          <w:sz w:val="20"/>
          <w:szCs w:val="20"/>
        </w:rPr>
        <w:t>a nivel nacional</w:t>
      </w:r>
      <w:r w:rsidRPr="00996758">
        <w:rPr>
          <w:rFonts w:ascii="Verdana" w:hAnsi="Verdana"/>
          <w:sz w:val="20"/>
          <w:szCs w:val="20"/>
        </w:rPr>
        <w:t xml:space="preserve">. Por último, alegó que, ante </w:t>
      </w:r>
      <w:r w:rsidR="00757A5D" w:rsidRPr="00996758">
        <w:rPr>
          <w:rFonts w:ascii="Verdana" w:hAnsi="Verdana"/>
          <w:sz w:val="20"/>
          <w:szCs w:val="20"/>
        </w:rPr>
        <w:t>la falta de claridad sobre el nexo causal entre la desaparición y tales contexto</w:t>
      </w:r>
      <w:r w:rsidR="00084A1E" w:rsidRPr="00996758">
        <w:rPr>
          <w:rFonts w:ascii="Verdana" w:hAnsi="Verdana"/>
          <w:sz w:val="20"/>
          <w:szCs w:val="20"/>
        </w:rPr>
        <w:t>s</w:t>
      </w:r>
      <w:r w:rsidRPr="00996758">
        <w:rPr>
          <w:rFonts w:ascii="Verdana" w:hAnsi="Verdana"/>
          <w:sz w:val="20"/>
          <w:szCs w:val="20"/>
        </w:rPr>
        <w:t xml:space="preserve">, la Corte </w:t>
      </w:r>
      <w:r w:rsidR="00757A5D" w:rsidRPr="00996758">
        <w:rPr>
          <w:rFonts w:ascii="Verdana" w:hAnsi="Verdana"/>
          <w:sz w:val="20"/>
          <w:szCs w:val="20"/>
        </w:rPr>
        <w:t xml:space="preserve">no podría </w:t>
      </w:r>
      <w:r w:rsidRPr="00996758">
        <w:rPr>
          <w:rFonts w:ascii="Verdana" w:hAnsi="Verdana"/>
          <w:sz w:val="20"/>
          <w:szCs w:val="20"/>
        </w:rPr>
        <w:t xml:space="preserve">evaluar </w:t>
      </w:r>
      <w:r w:rsidR="00084A1E" w:rsidRPr="00996758">
        <w:rPr>
          <w:rFonts w:ascii="Verdana" w:hAnsi="Verdana"/>
          <w:sz w:val="20"/>
          <w:szCs w:val="20"/>
        </w:rPr>
        <w:t xml:space="preserve">ese </w:t>
      </w:r>
      <w:r w:rsidRPr="00996758">
        <w:rPr>
          <w:rFonts w:ascii="Verdana" w:hAnsi="Verdana"/>
          <w:sz w:val="20"/>
          <w:szCs w:val="20"/>
        </w:rPr>
        <w:t xml:space="preserve">marco jurídico </w:t>
      </w:r>
      <w:r w:rsidR="005D409D" w:rsidRPr="00996758">
        <w:rPr>
          <w:rFonts w:ascii="Verdana" w:hAnsi="Verdana"/>
          <w:sz w:val="20"/>
          <w:szCs w:val="20"/>
        </w:rPr>
        <w:t>sin efectuar con ello</w:t>
      </w:r>
      <w:r w:rsidRPr="00996758">
        <w:rPr>
          <w:rFonts w:ascii="Verdana" w:hAnsi="Verdana"/>
          <w:sz w:val="20"/>
          <w:szCs w:val="20"/>
        </w:rPr>
        <w:t xml:space="preserve"> un control abstracto de convencionalidad, </w:t>
      </w:r>
      <w:r w:rsidR="00A12F39" w:rsidRPr="00996758">
        <w:rPr>
          <w:rFonts w:ascii="Verdana" w:hAnsi="Verdana"/>
          <w:sz w:val="20"/>
          <w:szCs w:val="20"/>
        </w:rPr>
        <w:t xml:space="preserve">lo </w:t>
      </w:r>
      <w:r w:rsidRPr="00996758">
        <w:rPr>
          <w:rFonts w:ascii="Verdana" w:hAnsi="Verdana"/>
          <w:sz w:val="20"/>
          <w:szCs w:val="20"/>
        </w:rPr>
        <w:t xml:space="preserve">que extralimita abiertamente su competencia contenciosa. </w:t>
      </w:r>
      <w:r w:rsidR="00FF6606" w:rsidRPr="00996758">
        <w:rPr>
          <w:rFonts w:ascii="Verdana" w:hAnsi="Verdana"/>
          <w:sz w:val="20"/>
          <w:szCs w:val="20"/>
        </w:rPr>
        <w:t xml:space="preserve">Por las anteriores razones </w:t>
      </w:r>
      <w:r w:rsidRPr="00996758">
        <w:rPr>
          <w:rFonts w:ascii="Verdana" w:hAnsi="Verdana"/>
          <w:sz w:val="20"/>
          <w:szCs w:val="20"/>
        </w:rPr>
        <w:t>solicitó a la Corte que declare que no se violó el artículo 2 de la Convención.</w:t>
      </w:r>
    </w:p>
    <w:p w:rsidR="00126FF2" w:rsidRPr="00996758" w:rsidRDefault="00126FF2">
      <w:pPr>
        <w:pBdr>
          <w:top w:val="nil"/>
        </w:pBdr>
        <w:spacing w:after="0" w:line="240" w:lineRule="auto"/>
        <w:jc w:val="both"/>
        <w:rPr>
          <w:rFonts w:ascii="Verdana" w:hAnsi="Verdana"/>
          <w:sz w:val="20"/>
          <w:szCs w:val="20"/>
        </w:rPr>
      </w:pPr>
    </w:p>
    <w:p w:rsidR="00D275ED" w:rsidRPr="00996758" w:rsidRDefault="00D275ED">
      <w:pPr>
        <w:pBdr>
          <w:top w:val="nil"/>
        </w:pBdr>
        <w:spacing w:after="0" w:line="240" w:lineRule="auto"/>
        <w:jc w:val="both"/>
        <w:rPr>
          <w:rFonts w:ascii="Verdana" w:hAnsi="Verdana"/>
          <w:sz w:val="20"/>
          <w:szCs w:val="20"/>
        </w:rPr>
      </w:pPr>
    </w:p>
    <w:p w:rsidR="006B473E" w:rsidRPr="00996758" w:rsidRDefault="00A771B4">
      <w:pPr>
        <w:pBdr>
          <w:top w:val="nil"/>
        </w:pBdr>
        <w:spacing w:after="0" w:line="240" w:lineRule="auto"/>
        <w:ind w:left="708" w:firstLine="708"/>
        <w:jc w:val="both"/>
        <w:rPr>
          <w:rFonts w:ascii="Verdana" w:hAnsi="Verdana"/>
          <w:i/>
          <w:snapToGrid w:val="0"/>
          <w:spacing w:val="-2"/>
          <w:sz w:val="20"/>
          <w:szCs w:val="20"/>
          <w:lang w:eastAsia="es-ES"/>
        </w:rPr>
      </w:pPr>
      <w:r w:rsidRPr="00996758">
        <w:rPr>
          <w:rFonts w:ascii="Verdana" w:hAnsi="Verdana"/>
          <w:i/>
          <w:snapToGrid w:val="0"/>
          <w:spacing w:val="-2"/>
          <w:sz w:val="20"/>
          <w:szCs w:val="20"/>
          <w:lang w:eastAsia="es-ES"/>
        </w:rPr>
        <w:t>i</w:t>
      </w:r>
      <w:r w:rsidR="00CF31B9" w:rsidRPr="00996758">
        <w:rPr>
          <w:rFonts w:ascii="Verdana" w:hAnsi="Verdana"/>
          <w:i/>
          <w:snapToGrid w:val="0"/>
          <w:spacing w:val="-2"/>
          <w:sz w:val="20"/>
          <w:szCs w:val="20"/>
          <w:lang w:eastAsia="es-ES"/>
        </w:rPr>
        <w:t>i</w:t>
      </w:r>
      <w:r w:rsidRPr="00996758">
        <w:rPr>
          <w:rFonts w:ascii="Verdana" w:hAnsi="Verdana"/>
          <w:i/>
          <w:snapToGrid w:val="0"/>
          <w:spacing w:val="-2"/>
          <w:sz w:val="20"/>
          <w:szCs w:val="20"/>
          <w:lang w:eastAsia="es-ES"/>
        </w:rPr>
        <w:t>i.</w:t>
      </w:r>
      <w:r w:rsidRPr="00996758">
        <w:rPr>
          <w:rFonts w:ascii="Verdana" w:hAnsi="Verdana"/>
          <w:i/>
          <w:snapToGrid w:val="0"/>
          <w:spacing w:val="-2"/>
          <w:sz w:val="20"/>
          <w:szCs w:val="20"/>
          <w:lang w:eastAsia="es-ES"/>
        </w:rPr>
        <w:tab/>
        <w:t>Respecto de la libertad de asociación</w:t>
      </w:r>
      <w:r w:rsidR="00C57E6C" w:rsidRPr="00996758">
        <w:rPr>
          <w:rStyle w:val="FootnoteReference"/>
          <w:bCs/>
          <w:caps/>
        </w:rPr>
        <w:footnoteReference w:id="78"/>
      </w:r>
      <w:r w:rsidRPr="00996758">
        <w:rPr>
          <w:rFonts w:ascii="Verdana" w:hAnsi="Verdana"/>
          <w:i/>
          <w:snapToGrid w:val="0"/>
          <w:spacing w:val="-2"/>
          <w:sz w:val="20"/>
          <w:szCs w:val="20"/>
          <w:lang w:eastAsia="es-ES"/>
        </w:rPr>
        <w:t xml:space="preserve"> </w:t>
      </w:r>
    </w:p>
    <w:p w:rsidR="00A771B4" w:rsidRPr="00996758" w:rsidRDefault="00A771B4">
      <w:pPr>
        <w:pBdr>
          <w:top w:val="nil"/>
        </w:pBdr>
        <w:spacing w:after="0" w:line="240" w:lineRule="auto"/>
        <w:jc w:val="both"/>
        <w:rPr>
          <w:rFonts w:ascii="Verdana" w:hAnsi="Verdana"/>
          <w:sz w:val="20"/>
          <w:szCs w:val="20"/>
        </w:rPr>
      </w:pPr>
    </w:p>
    <w:p w:rsidR="00A771B4" w:rsidRPr="00996758" w:rsidRDefault="00A771B4"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b/>
          <w:i/>
          <w:sz w:val="20"/>
          <w:szCs w:val="20"/>
        </w:rPr>
        <w:t>Comisión</w:t>
      </w:r>
      <w:r w:rsidRPr="00996758">
        <w:rPr>
          <w:rFonts w:ascii="Verdana" w:hAnsi="Verdana"/>
          <w:sz w:val="20"/>
          <w:szCs w:val="20"/>
        </w:rPr>
        <w:t xml:space="preserve"> recordó </w:t>
      </w:r>
      <w:r w:rsidR="009A0536" w:rsidRPr="00996758">
        <w:rPr>
          <w:rFonts w:ascii="Verdana" w:hAnsi="Verdana"/>
          <w:sz w:val="20"/>
          <w:szCs w:val="20"/>
        </w:rPr>
        <w:t>que</w:t>
      </w:r>
      <w:r w:rsidRPr="00996758">
        <w:rPr>
          <w:rFonts w:ascii="Verdana" w:hAnsi="Verdana"/>
          <w:sz w:val="20"/>
          <w:szCs w:val="20"/>
        </w:rPr>
        <w:t xml:space="preserve"> los Estados deben garantizar que ninguna persona sea privada de su vida ni agredida como consecuencia del ejercicio de su actividad sindical</w:t>
      </w:r>
      <w:r w:rsidR="009A0536" w:rsidRPr="00996758">
        <w:rPr>
          <w:rFonts w:ascii="Verdana" w:hAnsi="Verdana"/>
          <w:sz w:val="20"/>
          <w:szCs w:val="20"/>
        </w:rPr>
        <w:t xml:space="preserve"> y, p</w:t>
      </w:r>
      <w:r w:rsidRPr="00996758">
        <w:rPr>
          <w:rFonts w:ascii="Verdana" w:hAnsi="Verdana"/>
          <w:sz w:val="20"/>
          <w:szCs w:val="20"/>
        </w:rPr>
        <w:t xml:space="preserve">uesto que el Estado es responsable de </w:t>
      </w:r>
      <w:r w:rsidR="009A0536" w:rsidRPr="00996758">
        <w:rPr>
          <w:rFonts w:ascii="Verdana" w:hAnsi="Verdana"/>
          <w:sz w:val="20"/>
          <w:szCs w:val="20"/>
        </w:rPr>
        <w:t xml:space="preserve">la </w:t>
      </w:r>
      <w:r w:rsidRPr="00996758">
        <w:rPr>
          <w:rFonts w:ascii="Verdana" w:hAnsi="Verdana"/>
          <w:sz w:val="20"/>
          <w:szCs w:val="20"/>
        </w:rPr>
        <w:t>desaparición forzada</w:t>
      </w:r>
      <w:r w:rsidR="009A0536" w:rsidRPr="00996758">
        <w:rPr>
          <w:rFonts w:ascii="Verdana" w:hAnsi="Verdana"/>
          <w:sz w:val="20"/>
          <w:szCs w:val="20"/>
        </w:rPr>
        <w:t xml:space="preserve"> del señor Isaza Uribe</w:t>
      </w:r>
      <w:r w:rsidRPr="00996758">
        <w:rPr>
          <w:rFonts w:ascii="Verdana" w:hAnsi="Verdana"/>
          <w:sz w:val="20"/>
          <w:szCs w:val="20"/>
        </w:rPr>
        <w:t>, en ese contexto de violencia contra sindicalistas y específicament</w:t>
      </w:r>
      <w:r w:rsidR="00D216AB" w:rsidRPr="00996758">
        <w:rPr>
          <w:rFonts w:ascii="Verdana" w:hAnsi="Verdana"/>
          <w:sz w:val="20"/>
          <w:szCs w:val="20"/>
        </w:rPr>
        <w:t>e contra SUTI</w:t>
      </w:r>
      <w:r w:rsidRPr="00996758">
        <w:rPr>
          <w:rFonts w:ascii="Verdana" w:hAnsi="Verdana"/>
          <w:sz w:val="20"/>
          <w:szCs w:val="20"/>
        </w:rPr>
        <w:t>MAC, resulta que el móvil de las violaciones a sus derechos fue su vinculac</w:t>
      </w:r>
      <w:r w:rsidR="00D216AB" w:rsidRPr="00996758">
        <w:rPr>
          <w:rFonts w:ascii="Verdana" w:hAnsi="Verdana"/>
          <w:sz w:val="20"/>
          <w:szCs w:val="20"/>
        </w:rPr>
        <w:t>ión sindical</w:t>
      </w:r>
      <w:r w:rsidRPr="00996758">
        <w:rPr>
          <w:rFonts w:ascii="Verdana" w:hAnsi="Verdana"/>
          <w:sz w:val="20"/>
          <w:szCs w:val="20"/>
        </w:rPr>
        <w:t>, por lo cual el Estado también es responsable de la violación del derecho reconocido en el artículo 16 de la Convención</w:t>
      </w:r>
      <w:r w:rsidR="009A0536" w:rsidRPr="00996758">
        <w:rPr>
          <w:rFonts w:ascii="Verdana" w:hAnsi="Verdana"/>
          <w:sz w:val="20"/>
          <w:szCs w:val="20"/>
        </w:rPr>
        <w:t>,</w:t>
      </w:r>
      <w:r w:rsidRPr="00996758">
        <w:rPr>
          <w:rFonts w:ascii="Verdana" w:hAnsi="Verdana"/>
          <w:sz w:val="20"/>
          <w:szCs w:val="20"/>
        </w:rPr>
        <w:t xml:space="preserve"> en relación con los artículos 1.1 y 2 de la misma, en</w:t>
      </w:r>
      <w:r w:rsidR="009A0536" w:rsidRPr="00996758">
        <w:rPr>
          <w:rFonts w:ascii="Verdana" w:hAnsi="Verdana"/>
          <w:sz w:val="20"/>
          <w:szCs w:val="20"/>
        </w:rPr>
        <w:t xml:space="preserve"> su</w:t>
      </w:r>
      <w:r w:rsidRPr="00996758">
        <w:rPr>
          <w:rFonts w:ascii="Verdana" w:hAnsi="Verdana"/>
          <w:sz w:val="20"/>
          <w:szCs w:val="20"/>
        </w:rPr>
        <w:t xml:space="preserve"> perjuicio</w:t>
      </w:r>
      <w:r w:rsidR="00D216AB" w:rsidRPr="00996758">
        <w:rPr>
          <w:rFonts w:ascii="Verdana" w:hAnsi="Verdana"/>
          <w:sz w:val="20"/>
          <w:szCs w:val="20"/>
        </w:rPr>
        <w:t xml:space="preserve">. Los </w:t>
      </w:r>
      <w:r w:rsidR="00D216AB" w:rsidRPr="00996758">
        <w:rPr>
          <w:rFonts w:ascii="Verdana" w:hAnsi="Verdana"/>
          <w:b/>
          <w:i/>
          <w:sz w:val="20"/>
          <w:szCs w:val="20"/>
        </w:rPr>
        <w:t>representantes</w:t>
      </w:r>
      <w:r w:rsidR="00D216AB" w:rsidRPr="00996758">
        <w:rPr>
          <w:rFonts w:ascii="Verdana" w:hAnsi="Verdana"/>
          <w:sz w:val="20"/>
          <w:szCs w:val="20"/>
        </w:rPr>
        <w:t xml:space="preserve"> agregaron que </w:t>
      </w:r>
      <w:r w:rsidR="00BA09E7" w:rsidRPr="00996758">
        <w:rPr>
          <w:rFonts w:ascii="Verdana" w:hAnsi="Verdana"/>
          <w:sz w:val="20"/>
          <w:szCs w:val="20"/>
        </w:rPr>
        <w:t>ello</w:t>
      </w:r>
      <w:r w:rsidR="00D216AB" w:rsidRPr="00996758">
        <w:rPr>
          <w:rFonts w:ascii="Verdana" w:hAnsi="Verdana"/>
          <w:sz w:val="20"/>
          <w:szCs w:val="20"/>
        </w:rPr>
        <w:t xml:space="preserve"> también fue consecuencia de su actividad política con la </w:t>
      </w:r>
      <w:r w:rsidR="00BA09E7" w:rsidRPr="00996758">
        <w:rPr>
          <w:rFonts w:ascii="Verdana" w:hAnsi="Verdana"/>
          <w:sz w:val="20"/>
          <w:szCs w:val="20"/>
        </w:rPr>
        <w:t xml:space="preserve">UP </w:t>
      </w:r>
      <w:r w:rsidR="00D216AB" w:rsidRPr="00996758">
        <w:rPr>
          <w:rFonts w:ascii="Verdana" w:hAnsi="Verdana"/>
          <w:sz w:val="20"/>
          <w:szCs w:val="20"/>
        </w:rPr>
        <w:t>y que</w:t>
      </w:r>
      <w:r w:rsidR="009A0536" w:rsidRPr="00996758">
        <w:rPr>
          <w:rFonts w:ascii="Verdana" w:hAnsi="Verdana"/>
          <w:sz w:val="20"/>
          <w:szCs w:val="20"/>
        </w:rPr>
        <w:t>,</w:t>
      </w:r>
      <w:r w:rsidR="00D216AB" w:rsidRPr="00996758">
        <w:rPr>
          <w:rFonts w:ascii="Verdana" w:hAnsi="Verdana"/>
          <w:sz w:val="20"/>
          <w:szCs w:val="20"/>
        </w:rPr>
        <w:t xml:space="preserve"> con su desaparición</w:t>
      </w:r>
      <w:r w:rsidR="009A0536" w:rsidRPr="00996758">
        <w:rPr>
          <w:rFonts w:ascii="Verdana" w:hAnsi="Verdana"/>
          <w:sz w:val="20"/>
          <w:szCs w:val="20"/>
        </w:rPr>
        <w:t xml:space="preserve"> y</w:t>
      </w:r>
      <w:r w:rsidR="00D216AB" w:rsidRPr="00996758">
        <w:rPr>
          <w:rFonts w:ascii="Verdana" w:hAnsi="Verdana"/>
          <w:sz w:val="20"/>
          <w:szCs w:val="20"/>
        </w:rPr>
        <w:t xml:space="preserve"> las demás acciones contra el sindicato, se desvertebró la organización sindical. El </w:t>
      </w:r>
      <w:r w:rsidR="00D216AB" w:rsidRPr="00996758">
        <w:rPr>
          <w:rFonts w:ascii="Verdana" w:hAnsi="Verdana"/>
          <w:b/>
          <w:i/>
          <w:sz w:val="20"/>
          <w:szCs w:val="20"/>
        </w:rPr>
        <w:t>Estado</w:t>
      </w:r>
      <w:r w:rsidR="00D216AB" w:rsidRPr="00996758">
        <w:rPr>
          <w:rFonts w:ascii="Verdana" w:hAnsi="Verdana"/>
          <w:sz w:val="20"/>
          <w:szCs w:val="20"/>
        </w:rPr>
        <w:t xml:space="preserve"> </w:t>
      </w:r>
      <w:r w:rsidR="00B42E9E" w:rsidRPr="00996758">
        <w:rPr>
          <w:rFonts w:ascii="Verdana" w:hAnsi="Verdana"/>
          <w:sz w:val="20"/>
          <w:szCs w:val="20"/>
        </w:rPr>
        <w:t>alegó</w:t>
      </w:r>
      <w:r w:rsidR="00D216AB" w:rsidRPr="00996758">
        <w:rPr>
          <w:rFonts w:ascii="Verdana" w:hAnsi="Verdana"/>
          <w:sz w:val="20"/>
          <w:szCs w:val="20"/>
        </w:rPr>
        <w:t xml:space="preserve"> que sólo podría</w:t>
      </w:r>
      <w:r w:rsidR="00384D9F" w:rsidRPr="00996758">
        <w:rPr>
          <w:rFonts w:ascii="Verdana" w:hAnsi="Verdana"/>
          <w:sz w:val="20"/>
          <w:szCs w:val="20"/>
        </w:rPr>
        <w:t xml:space="preserve"> existir</w:t>
      </w:r>
      <w:r w:rsidR="00D216AB" w:rsidRPr="00996758">
        <w:rPr>
          <w:rFonts w:ascii="Verdana" w:hAnsi="Verdana"/>
          <w:sz w:val="20"/>
          <w:szCs w:val="20"/>
        </w:rPr>
        <w:t xml:space="preserve"> </w:t>
      </w:r>
      <w:r w:rsidR="00384D9F" w:rsidRPr="00996758">
        <w:rPr>
          <w:rFonts w:ascii="Verdana" w:hAnsi="Verdana"/>
          <w:sz w:val="20"/>
          <w:szCs w:val="20"/>
        </w:rPr>
        <w:t xml:space="preserve">violación de este </w:t>
      </w:r>
      <w:r w:rsidR="00D216AB" w:rsidRPr="00996758">
        <w:rPr>
          <w:rFonts w:ascii="Verdana" w:hAnsi="Verdana"/>
          <w:sz w:val="20"/>
          <w:szCs w:val="20"/>
        </w:rPr>
        <w:t xml:space="preserve">derecho si se lograra establecer que el acto del que fue víctima fue consecuencia de su vinculación con SUTIMAC y su simpatía con </w:t>
      </w:r>
      <w:r w:rsidR="008F2655" w:rsidRPr="00996758">
        <w:rPr>
          <w:rFonts w:ascii="Verdana" w:hAnsi="Verdana"/>
          <w:sz w:val="20"/>
          <w:szCs w:val="20"/>
        </w:rPr>
        <w:t xml:space="preserve">la </w:t>
      </w:r>
      <w:r w:rsidR="00D216AB" w:rsidRPr="00996758">
        <w:rPr>
          <w:rFonts w:ascii="Verdana" w:hAnsi="Verdana"/>
          <w:sz w:val="20"/>
          <w:szCs w:val="20"/>
        </w:rPr>
        <w:t xml:space="preserve">UP, pero </w:t>
      </w:r>
      <w:r w:rsidR="008F2655" w:rsidRPr="00996758">
        <w:rPr>
          <w:rFonts w:ascii="Verdana" w:hAnsi="Verdana"/>
          <w:sz w:val="20"/>
          <w:szCs w:val="20"/>
        </w:rPr>
        <w:t>no se demostró que él ejerciera</w:t>
      </w:r>
      <w:r w:rsidR="00D216AB" w:rsidRPr="00996758">
        <w:rPr>
          <w:rFonts w:ascii="Verdana" w:hAnsi="Verdana"/>
          <w:sz w:val="20"/>
          <w:szCs w:val="20"/>
        </w:rPr>
        <w:t xml:space="preserve"> una actividad sindical y política de un</w:t>
      </w:r>
      <w:r w:rsidR="00BA09E7" w:rsidRPr="00996758">
        <w:rPr>
          <w:rFonts w:ascii="Verdana" w:hAnsi="Verdana"/>
          <w:sz w:val="20"/>
          <w:szCs w:val="20"/>
        </w:rPr>
        <w:t>a visibilidad tal que permita</w:t>
      </w:r>
      <w:r w:rsidR="00D216AB" w:rsidRPr="00996758">
        <w:rPr>
          <w:rFonts w:ascii="Verdana" w:hAnsi="Verdana"/>
          <w:sz w:val="20"/>
          <w:szCs w:val="20"/>
        </w:rPr>
        <w:t xml:space="preserve"> inferir que ese fue el móvil, ni la aquiescencia de agentes estatales, por lo que no cabe declarar la responsabilidad internacional del Estado por violación el artículo 16 de Convención.</w:t>
      </w:r>
    </w:p>
    <w:p w:rsidR="00D504B3" w:rsidRPr="00996758" w:rsidRDefault="00D504B3">
      <w:pPr>
        <w:pBdr>
          <w:top w:val="nil"/>
        </w:pBdr>
        <w:spacing w:after="0" w:line="240" w:lineRule="auto"/>
        <w:ind w:firstLine="708"/>
        <w:jc w:val="both"/>
        <w:rPr>
          <w:rFonts w:ascii="Verdana" w:hAnsi="Verdana"/>
          <w:b/>
          <w:i/>
          <w:snapToGrid w:val="0"/>
          <w:spacing w:val="-2"/>
          <w:sz w:val="20"/>
          <w:szCs w:val="20"/>
          <w:lang w:eastAsia="es-ES"/>
        </w:rPr>
      </w:pPr>
    </w:p>
    <w:p w:rsidR="00111BE2" w:rsidRPr="00996758" w:rsidRDefault="00111BE2">
      <w:pPr>
        <w:pBdr>
          <w:top w:val="nil"/>
        </w:pBdr>
        <w:spacing w:after="0" w:line="240" w:lineRule="auto"/>
        <w:ind w:firstLine="708"/>
        <w:jc w:val="both"/>
        <w:rPr>
          <w:rFonts w:ascii="Verdana" w:hAnsi="Verdana"/>
          <w:b/>
          <w:i/>
          <w:snapToGrid w:val="0"/>
          <w:spacing w:val="-2"/>
          <w:sz w:val="20"/>
          <w:szCs w:val="20"/>
          <w:lang w:eastAsia="es-ES"/>
        </w:rPr>
      </w:pPr>
    </w:p>
    <w:p w:rsidR="00335CA5" w:rsidRPr="00996758" w:rsidRDefault="00335CA5">
      <w:pPr>
        <w:pBdr>
          <w:top w:val="nil"/>
        </w:pBdr>
        <w:spacing w:after="0" w:line="240" w:lineRule="auto"/>
        <w:ind w:firstLine="708"/>
        <w:jc w:val="both"/>
        <w:rPr>
          <w:rFonts w:ascii="Verdana" w:hAnsi="Verdana"/>
          <w:b/>
          <w:i/>
          <w:snapToGrid w:val="0"/>
          <w:spacing w:val="-2"/>
          <w:sz w:val="20"/>
          <w:szCs w:val="20"/>
          <w:lang w:eastAsia="es-ES"/>
        </w:rPr>
      </w:pPr>
      <w:r w:rsidRPr="00996758">
        <w:rPr>
          <w:rFonts w:ascii="Verdana" w:hAnsi="Verdana"/>
          <w:b/>
          <w:i/>
          <w:snapToGrid w:val="0"/>
          <w:spacing w:val="-2"/>
          <w:sz w:val="20"/>
          <w:szCs w:val="20"/>
          <w:lang w:eastAsia="es-ES"/>
        </w:rPr>
        <w:lastRenderedPageBreak/>
        <w:t>Consideraciones de la Corte</w:t>
      </w:r>
    </w:p>
    <w:p w:rsidR="00335CA5" w:rsidRPr="00996758" w:rsidRDefault="00335CA5">
      <w:pPr>
        <w:pBdr>
          <w:top w:val="nil"/>
        </w:pBdr>
        <w:spacing w:after="0" w:line="240" w:lineRule="auto"/>
        <w:jc w:val="both"/>
        <w:rPr>
          <w:rFonts w:ascii="Verdana" w:hAnsi="Verdana"/>
          <w:snapToGrid w:val="0"/>
          <w:spacing w:val="-2"/>
          <w:sz w:val="20"/>
          <w:szCs w:val="20"/>
          <w:lang w:eastAsia="es-ES"/>
        </w:rPr>
      </w:pPr>
    </w:p>
    <w:p w:rsidR="007F1533" w:rsidRPr="00996758" w:rsidRDefault="00965134" w:rsidP="007F1533">
      <w:pPr>
        <w:numPr>
          <w:ilvl w:val="0"/>
          <w:numId w:val="10"/>
        </w:numPr>
        <w:pBdr>
          <w:top w:val="nil"/>
        </w:pBdr>
        <w:spacing w:after="0" w:line="240" w:lineRule="auto"/>
        <w:ind w:left="0" w:firstLine="0"/>
        <w:jc w:val="both"/>
        <w:rPr>
          <w:rFonts w:ascii="Verdana" w:hAnsi="Verdana"/>
          <w:sz w:val="20"/>
          <w:szCs w:val="20"/>
        </w:rPr>
      </w:pPr>
      <w:r w:rsidRPr="00996758">
        <w:rPr>
          <w:rFonts w:ascii="Verdana" w:eastAsia="Calibri" w:hAnsi="Verdana" w:cs="Times New Roman"/>
          <w:sz w:val="20"/>
          <w:szCs w:val="20"/>
          <w:lang w:eastAsia="x-none"/>
        </w:rPr>
        <w:t>La Corte recuerda que, en su jurisprudencia constante, se ha verificado la consolidación internacional en el análisis de la desaparición forzada como una grave violación de derechos humanos, dada la particular relevancia de las transgresiones que conlleva y la naturaleza de los derechos lesionados, así como</w:t>
      </w:r>
      <w:r w:rsidRPr="00996758">
        <w:rPr>
          <w:rFonts w:ascii="Verdana" w:hAnsi="Verdana"/>
          <w:spacing w:val="-2"/>
          <w:sz w:val="20"/>
          <w:szCs w:val="20"/>
        </w:rPr>
        <w:t xml:space="preserve"> </w:t>
      </w:r>
      <w:r w:rsidRPr="00996758">
        <w:rPr>
          <w:rFonts w:ascii="Verdana" w:hAnsi="Verdana" w:cs="Verdana"/>
          <w:sz w:val="20"/>
          <w:szCs w:val="20"/>
        </w:rPr>
        <w:t xml:space="preserve">el carácter permanente y pluriofensivo de la misma, que </w:t>
      </w:r>
      <w:r w:rsidRPr="00996758">
        <w:rPr>
          <w:rFonts w:ascii="Verdana" w:hAnsi="Verdana" w:cs="Verdana"/>
          <w:bCs/>
          <w:sz w:val="20"/>
          <w:szCs w:val="20"/>
        </w:rPr>
        <w:t>se desprende no sólo de la propia definición del artículo II de la Convención Interamericana sobre Desaparición Forzada de Personas</w:t>
      </w:r>
      <w:r w:rsidRPr="00996758">
        <w:rPr>
          <w:rFonts w:ascii="Verdana" w:hAnsi="Verdana"/>
          <w:sz w:val="20"/>
          <w:szCs w:val="20"/>
        </w:rPr>
        <w:t>,-de la cual el Estado colombiano es parte-, de los trabajos preparatorios de ésta, su preámbulo y normativa, sino también de otras definiciones contenidas en diferentes instrumentos internacionales</w:t>
      </w:r>
      <w:r w:rsidRPr="00996758">
        <w:rPr>
          <w:rStyle w:val="FootnoteReference"/>
          <w:rFonts w:ascii="Verdana" w:hAnsi="Verdana"/>
          <w:sz w:val="20"/>
          <w:szCs w:val="20"/>
        </w:rPr>
        <w:footnoteReference w:id="79"/>
      </w:r>
      <w:r w:rsidRPr="00996758">
        <w:rPr>
          <w:rFonts w:ascii="Verdana" w:hAnsi="Verdana"/>
          <w:sz w:val="20"/>
          <w:szCs w:val="20"/>
        </w:rPr>
        <w:t xml:space="preserve">. </w:t>
      </w:r>
      <w:r w:rsidR="007F1533" w:rsidRPr="00996758">
        <w:rPr>
          <w:rFonts w:ascii="Verdana" w:hAnsi="Verdana"/>
          <w:sz w:val="20"/>
          <w:szCs w:val="20"/>
        </w:rPr>
        <w:t>Así, la necesidad del tratamiento integral de la desaparición forzada ha llevado a este Tribunal a analizarla como una forma compleja de violación de varios derechos reconocidos en la Convención en forma conjunta</w:t>
      </w:r>
      <w:r w:rsidR="007F1533" w:rsidRPr="00996758">
        <w:rPr>
          <w:rFonts w:ascii="Verdana" w:hAnsi="Verdana"/>
          <w:spacing w:val="-3"/>
          <w:sz w:val="20"/>
          <w:szCs w:val="20"/>
        </w:rPr>
        <w:t xml:space="preserve">, </w:t>
      </w:r>
      <w:r w:rsidR="007F1533" w:rsidRPr="00996758">
        <w:rPr>
          <w:rFonts w:ascii="Verdana" w:hAnsi="Verdana"/>
          <w:sz w:val="20"/>
          <w:szCs w:val="20"/>
        </w:rPr>
        <w:t>en razón de la pluralidad de conductas que, cohesionadas por un único fin, vulneran de manera permanente bienes jurídicos protegidos por dicho instrumento, en particular los derechos al reconocimiento de la personalidad jurídica, a la vida, a la integridad personal y a la libertad personal, consagrados en los artículos 3, 4, 5 y 7 de la Convención, respectivamente</w:t>
      </w:r>
      <w:r w:rsidR="007F1533" w:rsidRPr="00996758">
        <w:rPr>
          <w:rFonts w:ascii="Verdana" w:hAnsi="Verdana"/>
          <w:sz w:val="20"/>
          <w:szCs w:val="20"/>
          <w:vertAlign w:val="superscript"/>
        </w:rPr>
        <w:footnoteReference w:id="80"/>
      </w:r>
      <w:r w:rsidR="007F1533" w:rsidRPr="00996758">
        <w:rPr>
          <w:rFonts w:ascii="Verdana" w:hAnsi="Verdana"/>
          <w:sz w:val="20"/>
          <w:szCs w:val="20"/>
        </w:rPr>
        <w:t xml:space="preserve">.  </w:t>
      </w:r>
    </w:p>
    <w:p w:rsidR="00965134" w:rsidRPr="00996758" w:rsidRDefault="00965134">
      <w:pPr>
        <w:pBdr>
          <w:top w:val="nil"/>
        </w:pBdr>
        <w:spacing w:after="0" w:line="240" w:lineRule="auto"/>
        <w:jc w:val="both"/>
        <w:rPr>
          <w:rFonts w:ascii="Verdana" w:hAnsi="Verdana" w:cs="Verdana"/>
          <w:bCs/>
          <w:sz w:val="20"/>
          <w:szCs w:val="20"/>
        </w:rPr>
      </w:pPr>
    </w:p>
    <w:p w:rsidR="00965134" w:rsidRPr="00996758" w:rsidRDefault="00965134"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Es por ello que </w:t>
      </w:r>
      <w:r w:rsidRPr="00996758">
        <w:rPr>
          <w:rFonts w:ascii="Verdana" w:hAnsi="Verdana"/>
          <w:sz w:val="20"/>
          <w:szCs w:val="20"/>
        </w:rPr>
        <w:t>el análisis de una posible desaparición forzada debe abarcar la totalidad del conjunto de los hechos que se present</w:t>
      </w:r>
      <w:r w:rsidR="002475B0" w:rsidRPr="00996758">
        <w:rPr>
          <w:rFonts w:ascii="Verdana" w:hAnsi="Verdana"/>
          <w:sz w:val="20"/>
          <w:szCs w:val="20"/>
        </w:rPr>
        <w:t xml:space="preserve">an a consideración del Tribunal, a efectos de ser </w:t>
      </w:r>
      <w:r w:rsidRPr="00996758">
        <w:rPr>
          <w:rFonts w:ascii="Verdana" w:hAnsi="Verdana"/>
          <w:sz w:val="20"/>
          <w:szCs w:val="20"/>
        </w:rPr>
        <w:t xml:space="preserve">consecuente con la compleja violación </w:t>
      </w:r>
      <w:r w:rsidR="002475B0" w:rsidRPr="00996758">
        <w:rPr>
          <w:rFonts w:ascii="Verdana" w:hAnsi="Verdana"/>
          <w:sz w:val="20"/>
          <w:szCs w:val="20"/>
        </w:rPr>
        <w:t>de</w:t>
      </w:r>
      <w:r w:rsidRPr="00996758">
        <w:rPr>
          <w:rFonts w:ascii="Verdana" w:hAnsi="Verdana"/>
          <w:sz w:val="20"/>
          <w:szCs w:val="20"/>
        </w:rPr>
        <w:t xml:space="preserve"> derechos humanos que conlleva, con su carácter permanente y con la necesidad de considerar el contexto en que </w:t>
      </w:r>
      <w:r w:rsidR="002475B0" w:rsidRPr="00996758">
        <w:rPr>
          <w:rFonts w:ascii="Verdana" w:hAnsi="Verdana"/>
          <w:sz w:val="20"/>
          <w:szCs w:val="20"/>
        </w:rPr>
        <w:t>se alega que ocurrió</w:t>
      </w:r>
      <w:r w:rsidRPr="00996758">
        <w:rPr>
          <w:rFonts w:ascii="Verdana" w:hAnsi="Verdana"/>
          <w:sz w:val="20"/>
          <w:szCs w:val="20"/>
        </w:rPr>
        <w:t xml:space="preserve">, a fin de analizar sus efectos prolongados en el tiempo y enfocar integralmente sus consecuencias, teniendo en cuenta el </w:t>
      </w:r>
      <w:r w:rsidRPr="00996758">
        <w:rPr>
          <w:rFonts w:ascii="Verdana" w:hAnsi="Verdana"/>
          <w:i/>
          <w:iCs/>
          <w:sz w:val="20"/>
          <w:szCs w:val="20"/>
        </w:rPr>
        <w:t xml:space="preserve">corpus juris </w:t>
      </w:r>
      <w:r w:rsidRPr="00996758">
        <w:rPr>
          <w:rFonts w:ascii="Verdana" w:hAnsi="Verdana"/>
          <w:sz w:val="20"/>
          <w:szCs w:val="20"/>
        </w:rPr>
        <w:t>de protección tanto interamericano como internacional</w:t>
      </w:r>
      <w:r w:rsidRPr="00996758">
        <w:rPr>
          <w:rStyle w:val="FootnoteReference"/>
          <w:rFonts w:ascii="Verdana" w:hAnsi="Verdana"/>
          <w:sz w:val="20"/>
          <w:szCs w:val="20"/>
        </w:rPr>
        <w:footnoteReference w:id="81"/>
      </w:r>
      <w:r w:rsidRPr="00996758">
        <w:rPr>
          <w:rFonts w:ascii="Verdana" w:hAnsi="Verdana"/>
          <w:sz w:val="20"/>
          <w:szCs w:val="20"/>
        </w:rPr>
        <w:t>.</w:t>
      </w:r>
    </w:p>
    <w:p w:rsidR="00965134" w:rsidRPr="00996758" w:rsidRDefault="00965134">
      <w:pPr>
        <w:pBdr>
          <w:top w:val="nil"/>
        </w:pBdr>
        <w:spacing w:after="0" w:line="240" w:lineRule="auto"/>
        <w:jc w:val="both"/>
        <w:rPr>
          <w:rFonts w:ascii="Verdana" w:hAnsi="Verdana"/>
          <w:snapToGrid w:val="0"/>
          <w:spacing w:val="-2"/>
          <w:sz w:val="20"/>
          <w:szCs w:val="20"/>
          <w:lang w:eastAsia="es-ES"/>
        </w:rPr>
      </w:pPr>
    </w:p>
    <w:p w:rsidR="008A5219" w:rsidRPr="00996758" w:rsidRDefault="00E0353A" w:rsidP="008A5219">
      <w:pPr>
        <w:numPr>
          <w:ilvl w:val="0"/>
          <w:numId w:val="10"/>
        </w:numPr>
        <w:pBdr>
          <w:top w:val="nil"/>
        </w:pBdr>
        <w:spacing w:after="0" w:line="240" w:lineRule="auto"/>
        <w:ind w:left="0" w:firstLine="0"/>
        <w:jc w:val="both"/>
        <w:rPr>
          <w:rFonts w:ascii="Verdana" w:hAnsi="Verdana"/>
          <w:spacing w:val="-2"/>
          <w:sz w:val="20"/>
          <w:szCs w:val="20"/>
        </w:rPr>
      </w:pPr>
      <w:r w:rsidRPr="00996758">
        <w:rPr>
          <w:rFonts w:ascii="Verdana" w:hAnsi="Verdana"/>
          <w:sz w:val="20"/>
          <w:szCs w:val="20"/>
        </w:rPr>
        <w:t>Respecto de lo alegado por el Estado sobre atribución de un hecho ilícito internacional (</w:t>
      </w:r>
      <w:r w:rsidRPr="00996758">
        <w:rPr>
          <w:rFonts w:ascii="Verdana" w:hAnsi="Verdana"/>
          <w:i/>
          <w:sz w:val="20"/>
          <w:szCs w:val="20"/>
        </w:rPr>
        <w:t xml:space="preserve">supra </w:t>
      </w:r>
      <w:r w:rsidRPr="00996758">
        <w:rPr>
          <w:rFonts w:ascii="Verdana" w:hAnsi="Verdana"/>
          <w:sz w:val="20"/>
          <w:szCs w:val="20"/>
        </w:rPr>
        <w:t>párr. 75)</w:t>
      </w:r>
      <w:r w:rsidR="00965134" w:rsidRPr="00996758">
        <w:rPr>
          <w:rFonts w:ascii="Verdana" w:hAnsi="Verdana"/>
          <w:sz w:val="20"/>
          <w:szCs w:val="20"/>
        </w:rPr>
        <w:t>,</w:t>
      </w:r>
      <w:r w:rsidR="00965134" w:rsidRPr="00996758">
        <w:rPr>
          <w:rFonts w:ascii="Verdana" w:hAnsi="Verdana"/>
          <w:b/>
          <w:sz w:val="20"/>
          <w:szCs w:val="20"/>
        </w:rPr>
        <w:t xml:space="preserve"> </w:t>
      </w:r>
      <w:r w:rsidR="00965134" w:rsidRPr="00996758">
        <w:rPr>
          <w:rFonts w:ascii="Verdana" w:hAnsi="Verdana"/>
          <w:snapToGrid w:val="0"/>
          <w:spacing w:val="-2"/>
          <w:sz w:val="20"/>
          <w:szCs w:val="20"/>
          <w:lang w:eastAsia="es-ES"/>
        </w:rPr>
        <w:t xml:space="preserve">es oportuno recordar lo señalado reiteradamente en su jurisprudencia, en cuanto a que </w:t>
      </w:r>
      <w:r w:rsidR="00965134" w:rsidRPr="00996758">
        <w:rPr>
          <w:rFonts w:ascii="Verdana" w:hAnsi="Verdana"/>
          <w:sz w:val="20"/>
          <w:szCs w:val="20"/>
        </w:rPr>
        <w:t>la Corte no es un tribunal penal en el que pueda determinarse la responsabilidad penal de los individuos</w:t>
      </w:r>
      <w:r w:rsidR="00965134" w:rsidRPr="00996758">
        <w:rPr>
          <w:rFonts w:ascii="Verdana" w:hAnsi="Verdana"/>
          <w:sz w:val="20"/>
          <w:szCs w:val="20"/>
          <w:vertAlign w:val="superscript"/>
        </w:rPr>
        <w:footnoteReference w:id="82"/>
      </w:r>
      <w:r w:rsidR="00965134" w:rsidRPr="00996758">
        <w:rPr>
          <w:rFonts w:ascii="Verdana" w:hAnsi="Verdana"/>
          <w:sz w:val="20"/>
          <w:szCs w:val="20"/>
        </w:rPr>
        <w:t>.</w:t>
      </w:r>
      <w:r w:rsidR="00C311CE" w:rsidRPr="00996758">
        <w:rPr>
          <w:rFonts w:ascii="Verdana" w:hAnsi="Verdana"/>
          <w:sz w:val="20"/>
          <w:szCs w:val="20"/>
        </w:rPr>
        <w:t xml:space="preserve"> Así</w:t>
      </w:r>
      <w:r w:rsidR="00965134" w:rsidRPr="00996758">
        <w:rPr>
          <w:rFonts w:ascii="Verdana" w:hAnsi="Verdana"/>
          <w:sz w:val="20"/>
          <w:szCs w:val="20"/>
        </w:rPr>
        <w:t>, bajo e</w:t>
      </w:r>
      <w:r w:rsidR="00C311CE" w:rsidRPr="00996758">
        <w:rPr>
          <w:rFonts w:ascii="Verdana" w:hAnsi="Verdana"/>
          <w:sz w:val="20"/>
          <w:szCs w:val="20"/>
        </w:rPr>
        <w:t>l artículo 1.1 de la Convención</w:t>
      </w:r>
      <w:r w:rsidR="00965134" w:rsidRPr="00996758">
        <w:rPr>
          <w:rStyle w:val="FootnoteReference"/>
          <w:rFonts w:ascii="Verdana" w:hAnsi="Verdana"/>
          <w:sz w:val="20"/>
          <w:szCs w:val="20"/>
        </w:rPr>
        <w:footnoteReference w:id="83"/>
      </w:r>
      <w:r w:rsidR="00C311CE" w:rsidRPr="00996758">
        <w:rPr>
          <w:rFonts w:ascii="Verdana" w:hAnsi="Verdana"/>
          <w:sz w:val="20"/>
          <w:szCs w:val="20"/>
        </w:rPr>
        <w:t>,</w:t>
      </w:r>
      <w:r w:rsidR="0083075F" w:rsidRPr="00996758">
        <w:rPr>
          <w:rFonts w:ascii="Verdana" w:hAnsi="Verdana"/>
          <w:sz w:val="20"/>
          <w:szCs w:val="20"/>
        </w:rPr>
        <w:t xml:space="preserve"> </w:t>
      </w:r>
      <w:r w:rsidR="00C311CE" w:rsidRPr="00996758">
        <w:rPr>
          <w:rFonts w:ascii="Verdana" w:hAnsi="Verdana"/>
          <w:sz w:val="20"/>
          <w:szCs w:val="20"/>
        </w:rPr>
        <w:t>p</w:t>
      </w:r>
      <w:r w:rsidR="00965134" w:rsidRPr="00996758">
        <w:rPr>
          <w:rFonts w:ascii="Verdana" w:hAnsi="Verdana"/>
          <w:sz w:val="20"/>
          <w:szCs w:val="20"/>
        </w:rPr>
        <w:t xml:space="preserve">ara establecer que se ha producido una violación de los derechos </w:t>
      </w:r>
      <w:r w:rsidR="00DC1621" w:rsidRPr="00996758">
        <w:rPr>
          <w:rFonts w:ascii="Verdana" w:hAnsi="Verdana"/>
          <w:sz w:val="20"/>
          <w:szCs w:val="20"/>
        </w:rPr>
        <w:t>reconocidos</w:t>
      </w:r>
      <w:r w:rsidR="00965134" w:rsidRPr="00996758">
        <w:rPr>
          <w:rFonts w:ascii="Verdana" w:hAnsi="Verdana"/>
          <w:sz w:val="20"/>
          <w:szCs w:val="20"/>
        </w:rPr>
        <w:t xml:space="preserve"> en la </w:t>
      </w:r>
      <w:r w:rsidR="00C311CE" w:rsidRPr="00996758">
        <w:rPr>
          <w:rFonts w:ascii="Verdana" w:hAnsi="Verdana"/>
          <w:sz w:val="20"/>
          <w:szCs w:val="20"/>
        </w:rPr>
        <w:t>misma</w:t>
      </w:r>
      <w:r w:rsidR="00965134" w:rsidRPr="00996758">
        <w:rPr>
          <w:rFonts w:ascii="Verdana" w:hAnsi="Verdana"/>
          <w:sz w:val="20"/>
          <w:szCs w:val="20"/>
        </w:rPr>
        <w:t xml:space="preserve"> no se requiere determinar, como ocurre en el derecho penal interno, la culpabilidad de sus autores o su intencionalidad, </w:t>
      </w:r>
      <w:r w:rsidR="00592960" w:rsidRPr="00996758">
        <w:rPr>
          <w:rFonts w:ascii="Verdana" w:hAnsi="Verdana"/>
          <w:sz w:val="20"/>
          <w:szCs w:val="20"/>
        </w:rPr>
        <w:t>ni</w:t>
      </w:r>
      <w:r w:rsidR="00965134" w:rsidRPr="00996758">
        <w:rPr>
          <w:rFonts w:ascii="Verdana" w:hAnsi="Verdana"/>
          <w:sz w:val="20"/>
          <w:szCs w:val="20"/>
        </w:rPr>
        <w:t xml:space="preserve"> es preciso </w:t>
      </w:r>
      <w:r w:rsidR="008A5219" w:rsidRPr="00996758">
        <w:rPr>
          <w:rFonts w:ascii="Verdana" w:hAnsi="Verdana"/>
          <w:spacing w:val="-2"/>
          <w:sz w:val="20"/>
          <w:szCs w:val="20"/>
        </w:rPr>
        <w:t>que se pruebe más allá de toda duda razonable</w:t>
      </w:r>
      <w:r w:rsidR="008A5219" w:rsidRPr="00996758">
        <w:rPr>
          <w:rFonts w:ascii="Verdana" w:hAnsi="Verdana"/>
          <w:sz w:val="20"/>
          <w:szCs w:val="20"/>
        </w:rPr>
        <w:t xml:space="preserve"> </w:t>
      </w:r>
      <w:r w:rsidR="00C2059D" w:rsidRPr="00996758">
        <w:rPr>
          <w:rFonts w:ascii="Verdana" w:hAnsi="Verdana"/>
          <w:sz w:val="20"/>
          <w:szCs w:val="20"/>
        </w:rPr>
        <w:t xml:space="preserve">o </w:t>
      </w:r>
      <w:r w:rsidR="00965134" w:rsidRPr="00996758">
        <w:rPr>
          <w:rFonts w:ascii="Verdana" w:hAnsi="Verdana"/>
          <w:sz w:val="20"/>
          <w:szCs w:val="20"/>
        </w:rPr>
        <w:t>identificar individualmente a los agentes a los cuales se atr</w:t>
      </w:r>
      <w:r w:rsidR="0083075F" w:rsidRPr="00996758">
        <w:rPr>
          <w:rFonts w:ascii="Verdana" w:hAnsi="Verdana"/>
          <w:sz w:val="20"/>
          <w:szCs w:val="20"/>
        </w:rPr>
        <w:t>ibuyen los hechos violatorios</w:t>
      </w:r>
      <w:r w:rsidR="00965134" w:rsidRPr="00996758">
        <w:rPr>
          <w:rStyle w:val="FootnoteReference"/>
          <w:rFonts w:ascii="Verdana" w:hAnsi="Verdana"/>
          <w:sz w:val="20"/>
          <w:szCs w:val="20"/>
        </w:rPr>
        <w:footnoteReference w:id="84"/>
      </w:r>
      <w:r w:rsidR="00C2059D" w:rsidRPr="00996758">
        <w:rPr>
          <w:rFonts w:ascii="Verdana" w:hAnsi="Verdana"/>
          <w:sz w:val="20"/>
          <w:szCs w:val="20"/>
        </w:rPr>
        <w:t>,</w:t>
      </w:r>
      <w:r w:rsidR="008A5219" w:rsidRPr="00996758">
        <w:rPr>
          <w:rFonts w:ascii="Verdana" w:hAnsi="Verdana"/>
          <w:sz w:val="20"/>
          <w:szCs w:val="20"/>
        </w:rPr>
        <w:t xml:space="preserve"> </w:t>
      </w:r>
      <w:r w:rsidR="00C2059D" w:rsidRPr="00996758">
        <w:rPr>
          <w:rFonts w:ascii="Verdana" w:hAnsi="Verdana"/>
          <w:spacing w:val="-2"/>
          <w:sz w:val="20"/>
          <w:szCs w:val="20"/>
        </w:rPr>
        <w:t xml:space="preserve">mucho menos en casos de desaparición forzada de personas. Para esta Corte </w:t>
      </w:r>
      <w:r w:rsidR="004B6785" w:rsidRPr="00996758">
        <w:rPr>
          <w:rFonts w:ascii="Verdana" w:hAnsi="Verdana"/>
          <w:spacing w:val="-2"/>
          <w:sz w:val="20"/>
          <w:szCs w:val="20"/>
        </w:rPr>
        <w:t xml:space="preserve">lo </w:t>
      </w:r>
      <w:r w:rsidR="00C2059D" w:rsidRPr="00996758">
        <w:rPr>
          <w:rFonts w:ascii="Verdana" w:hAnsi="Verdana"/>
          <w:spacing w:val="-2"/>
          <w:sz w:val="20"/>
          <w:szCs w:val="20"/>
        </w:rPr>
        <w:t xml:space="preserve">necesario </w:t>
      </w:r>
      <w:r w:rsidR="004B6785" w:rsidRPr="00996758">
        <w:rPr>
          <w:rFonts w:ascii="Verdana" w:hAnsi="Verdana"/>
          <w:spacing w:val="-2"/>
          <w:sz w:val="20"/>
          <w:szCs w:val="20"/>
        </w:rPr>
        <w:t xml:space="preserve">es </w:t>
      </w:r>
      <w:r w:rsidR="00C2059D" w:rsidRPr="00996758">
        <w:rPr>
          <w:rFonts w:ascii="Verdana" w:hAnsi="Verdana"/>
          <w:spacing w:val="-2"/>
          <w:sz w:val="20"/>
          <w:szCs w:val="20"/>
        </w:rPr>
        <w:t>adquirir la convicción de que se han verificado acciones u omisiones, atribuibles al Estado, que han permitido la perpetración de esas violaciones o que existe una obligación del Estado incumplida por éste</w:t>
      </w:r>
      <w:r w:rsidR="00C2059D" w:rsidRPr="00996758">
        <w:rPr>
          <w:rFonts w:ascii="Verdana" w:eastAsia="Batang" w:hAnsi="Verdana"/>
          <w:sz w:val="20"/>
          <w:szCs w:val="20"/>
          <w:vertAlign w:val="superscript"/>
        </w:rPr>
        <w:footnoteReference w:id="85"/>
      </w:r>
      <w:r w:rsidR="00C2059D" w:rsidRPr="00996758">
        <w:rPr>
          <w:rFonts w:ascii="Verdana" w:eastAsia="Batang" w:hAnsi="Verdana"/>
          <w:spacing w:val="-2"/>
          <w:sz w:val="20"/>
          <w:szCs w:val="20"/>
        </w:rPr>
        <w:t xml:space="preserve">. </w:t>
      </w:r>
      <w:r w:rsidR="008A5219" w:rsidRPr="00996758">
        <w:rPr>
          <w:rFonts w:ascii="Verdana" w:hAnsi="Verdana"/>
          <w:spacing w:val="-2"/>
          <w:sz w:val="20"/>
          <w:szCs w:val="20"/>
        </w:rPr>
        <w:t xml:space="preserve">Además, la Corte recuerda que la prueba indiciaria o </w:t>
      </w:r>
      <w:r w:rsidR="008A5219" w:rsidRPr="00996758">
        <w:rPr>
          <w:rFonts w:ascii="Verdana" w:hAnsi="Verdana"/>
          <w:spacing w:val="-2"/>
          <w:sz w:val="20"/>
          <w:szCs w:val="20"/>
        </w:rPr>
        <w:lastRenderedPageBreak/>
        <w:t>presuntiva resulta de especial importancia cuando se trata de denuncias sobre desaparición forzada, ya que esta forma de violación se caracteriza por procurar la supresión de todo elemento que permita comprobar la detención, el paradero y la suerte de las víctimas</w:t>
      </w:r>
      <w:r w:rsidR="008A5219" w:rsidRPr="00996758">
        <w:rPr>
          <w:rStyle w:val="FootnoteReference"/>
          <w:rFonts w:ascii="Verdana" w:hAnsi="Verdana"/>
          <w:spacing w:val="-2"/>
          <w:sz w:val="20"/>
          <w:szCs w:val="20"/>
        </w:rPr>
        <w:footnoteReference w:id="86"/>
      </w:r>
      <w:r w:rsidR="008A5219" w:rsidRPr="00996758">
        <w:rPr>
          <w:rFonts w:ascii="Verdana" w:hAnsi="Verdana"/>
          <w:spacing w:val="-2"/>
          <w:sz w:val="20"/>
          <w:szCs w:val="20"/>
        </w:rPr>
        <w:t xml:space="preserve">. </w:t>
      </w:r>
    </w:p>
    <w:p w:rsidR="008A5219" w:rsidRPr="00996758" w:rsidRDefault="008A5219">
      <w:pPr>
        <w:pBdr>
          <w:top w:val="nil"/>
        </w:pBdr>
        <w:spacing w:after="0" w:line="240" w:lineRule="auto"/>
        <w:jc w:val="both"/>
        <w:rPr>
          <w:rFonts w:ascii="Verdana" w:hAnsi="Verdana"/>
          <w:sz w:val="20"/>
          <w:szCs w:val="20"/>
        </w:rPr>
      </w:pPr>
    </w:p>
    <w:p w:rsidR="009A527A" w:rsidRPr="00996758" w:rsidRDefault="00154CE6" w:rsidP="00484279">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eastAsia="Calibri" w:hAnsi="Verdana" w:cs="Times New Roman"/>
          <w:sz w:val="20"/>
          <w:szCs w:val="20"/>
          <w:lang w:eastAsia="x-none"/>
        </w:rPr>
        <w:t>Una vez señalado lo anterior, e</w:t>
      </w:r>
      <w:r w:rsidR="009A527A" w:rsidRPr="00996758">
        <w:rPr>
          <w:rFonts w:ascii="Verdana" w:eastAsia="Calibri" w:hAnsi="Verdana" w:cs="Times New Roman"/>
          <w:sz w:val="20"/>
          <w:szCs w:val="20"/>
          <w:lang w:eastAsia="x-none"/>
        </w:rPr>
        <w:t>l Tribunal</w:t>
      </w:r>
      <w:r w:rsidR="009A527A" w:rsidRPr="00996758">
        <w:rPr>
          <w:rFonts w:ascii="Verdana" w:eastAsia="MS Mincho" w:hAnsi="Verdana" w:cs="Times New Roman"/>
          <w:spacing w:val="-2"/>
          <w:sz w:val="20"/>
          <w:szCs w:val="20"/>
          <w:lang w:bidi="en-US"/>
        </w:rPr>
        <w:t xml:space="preserve"> </w:t>
      </w:r>
      <w:r w:rsidR="004A297F" w:rsidRPr="00996758">
        <w:rPr>
          <w:rFonts w:ascii="Verdana" w:eastAsia="MS Mincho" w:hAnsi="Verdana" w:cs="Times New Roman"/>
          <w:spacing w:val="-2"/>
          <w:sz w:val="20"/>
          <w:szCs w:val="20"/>
          <w:lang w:bidi="en-US"/>
        </w:rPr>
        <w:t>recuerda</w:t>
      </w:r>
      <w:r w:rsidRPr="00996758">
        <w:rPr>
          <w:rFonts w:ascii="Verdana" w:eastAsia="MS Mincho" w:hAnsi="Verdana" w:cs="Times New Roman"/>
          <w:spacing w:val="-2"/>
          <w:sz w:val="20"/>
          <w:szCs w:val="20"/>
          <w:lang w:bidi="en-US"/>
        </w:rPr>
        <w:t xml:space="preserve"> que en su jurisprudencia </w:t>
      </w:r>
      <w:r w:rsidR="009A527A" w:rsidRPr="00996758">
        <w:rPr>
          <w:rFonts w:ascii="Verdana" w:eastAsia="MS Mincho" w:hAnsi="Verdana" w:cs="Times New Roman"/>
          <w:spacing w:val="-2"/>
          <w:sz w:val="20"/>
          <w:szCs w:val="20"/>
          <w:lang w:bidi="en-US"/>
        </w:rPr>
        <w:t xml:space="preserve">ha </w:t>
      </w:r>
      <w:r w:rsidR="009A527A" w:rsidRPr="00996758">
        <w:rPr>
          <w:rFonts w:ascii="Verdana" w:eastAsia="Calibri" w:hAnsi="Verdana" w:cs="Times New Roman"/>
          <w:sz w:val="20"/>
          <w:szCs w:val="20"/>
          <w:lang w:eastAsia="x-none"/>
        </w:rPr>
        <w:t>identificado</w:t>
      </w:r>
      <w:r w:rsidR="009A527A" w:rsidRPr="00996758">
        <w:rPr>
          <w:rFonts w:ascii="Verdana" w:eastAsia="MS Mincho" w:hAnsi="Verdana" w:cs="Times New Roman"/>
          <w:spacing w:val="-2"/>
          <w:sz w:val="20"/>
          <w:szCs w:val="20"/>
          <w:lang w:bidi="en-US"/>
        </w:rPr>
        <w:t xml:space="preserve"> como elementos concurrentes y constitutivos de la desaparición forzada: a) la privación de la libertad; b) la intervención directa de agentes estatales o de personas o grupos de personas que actúen </w:t>
      </w:r>
      <w:r w:rsidR="009A527A" w:rsidRPr="00996758">
        <w:rPr>
          <w:rFonts w:ascii="Verdana" w:hAnsi="Verdana" w:cs="Verdana"/>
          <w:bCs/>
          <w:sz w:val="20"/>
          <w:szCs w:val="20"/>
        </w:rPr>
        <w:t>con</w:t>
      </w:r>
      <w:r w:rsidR="009A527A" w:rsidRPr="00996758">
        <w:rPr>
          <w:rFonts w:ascii="Verdana" w:eastAsia="MS Mincho" w:hAnsi="Verdana" w:cs="Times New Roman"/>
          <w:spacing w:val="-2"/>
          <w:sz w:val="20"/>
          <w:szCs w:val="20"/>
          <w:lang w:bidi="en-US"/>
        </w:rPr>
        <w:t xml:space="preserve"> su autorización, apoyo o aquiescencia; y c) la negativa de reconocer la detención y de revelar la suerte o el paradero de la persona interesada</w:t>
      </w:r>
      <w:r w:rsidR="009A527A" w:rsidRPr="00996758">
        <w:rPr>
          <w:rFonts w:ascii="Verdana" w:eastAsia="MS Mincho" w:hAnsi="Verdana" w:cs="Times New Roman"/>
          <w:spacing w:val="-2"/>
          <w:sz w:val="20"/>
          <w:szCs w:val="20"/>
          <w:vertAlign w:val="superscript"/>
          <w:lang w:bidi="en-US"/>
        </w:rPr>
        <w:footnoteReference w:id="87"/>
      </w:r>
      <w:r w:rsidR="009A527A" w:rsidRPr="00996758">
        <w:rPr>
          <w:rFonts w:ascii="Verdana" w:eastAsia="MS Mincho" w:hAnsi="Verdana" w:cs="Times New Roman"/>
          <w:spacing w:val="-2"/>
          <w:sz w:val="20"/>
          <w:szCs w:val="20"/>
          <w:lang w:bidi="en-US"/>
        </w:rPr>
        <w:t>.</w:t>
      </w:r>
      <w:r w:rsidR="009A527A" w:rsidRPr="00996758">
        <w:rPr>
          <w:rFonts w:ascii="Verdana" w:hAnsi="Verdana" w:cs="Verdana"/>
          <w:bCs/>
          <w:sz w:val="20"/>
          <w:szCs w:val="20"/>
        </w:rPr>
        <w:t xml:space="preserve"> </w:t>
      </w:r>
      <w:r w:rsidR="009A527A" w:rsidRPr="00996758">
        <w:rPr>
          <w:rFonts w:ascii="Verdana" w:hAnsi="Verdana"/>
          <w:sz w:val="20"/>
          <w:szCs w:val="20"/>
        </w:rPr>
        <w:t xml:space="preserve">En efecto, </w:t>
      </w:r>
      <w:r w:rsidR="009A527A" w:rsidRPr="00996758">
        <w:rPr>
          <w:rFonts w:ascii="Verdana" w:eastAsia="Calibri" w:hAnsi="Verdana" w:cs="Times New Roman"/>
          <w:sz w:val="20"/>
          <w:szCs w:val="20"/>
          <w:lang w:eastAsia="x-none"/>
        </w:rPr>
        <w:t>el acto de desaparición y su ejecución inician con la privación de la libertad de la persona y la subsiguiente falta de información sobre su destino, y permanece mientras no se conozca el paradero de la persona desaparecida o se identifiquen con certeza sus restos</w:t>
      </w:r>
      <w:r w:rsidR="009A527A" w:rsidRPr="00996758">
        <w:rPr>
          <w:rFonts w:ascii="Verdana" w:eastAsia="Calibri" w:hAnsi="Verdana" w:cs="Times New Roman"/>
          <w:sz w:val="20"/>
          <w:szCs w:val="20"/>
          <w:vertAlign w:val="superscript"/>
          <w:lang w:eastAsia="x-none"/>
        </w:rPr>
        <w:footnoteReference w:id="88"/>
      </w:r>
      <w:r w:rsidR="009A527A" w:rsidRPr="00996758">
        <w:rPr>
          <w:rFonts w:ascii="Verdana" w:eastAsia="Calibri" w:hAnsi="Verdana" w:cs="Times New Roman"/>
          <w:sz w:val="20"/>
          <w:szCs w:val="20"/>
          <w:lang w:eastAsia="x-none"/>
        </w:rPr>
        <w:t>. Mientras perdure la desaparición los Estados tienen el deber correlativo de investigarla y, eventualmente, sancionar a los responsables, conforme a las obligaciones derivadas de la Convención Americana y, en particular, de la Convención Interamericana sobre Desaparición Forzada</w:t>
      </w:r>
      <w:r w:rsidR="009A527A" w:rsidRPr="00996758">
        <w:rPr>
          <w:rStyle w:val="FootnoteReference"/>
          <w:rFonts w:ascii="Verdana" w:eastAsia="Calibri" w:hAnsi="Verdana" w:cs="Times New Roman"/>
          <w:sz w:val="20"/>
          <w:szCs w:val="20"/>
          <w:lang w:eastAsia="x-none"/>
        </w:rPr>
        <w:footnoteReference w:id="89"/>
      </w:r>
      <w:r w:rsidR="009A527A" w:rsidRPr="00996758">
        <w:rPr>
          <w:rFonts w:ascii="Verdana" w:eastAsia="Calibri" w:hAnsi="Verdana" w:cs="Times New Roman"/>
          <w:sz w:val="20"/>
          <w:szCs w:val="20"/>
          <w:lang w:eastAsia="x-none"/>
        </w:rPr>
        <w:t>.</w:t>
      </w:r>
    </w:p>
    <w:p w:rsidR="00DC1621" w:rsidRPr="00996758" w:rsidRDefault="00DC1621" w:rsidP="00DC1621">
      <w:pPr>
        <w:pBdr>
          <w:top w:val="nil"/>
        </w:pBdr>
        <w:spacing w:after="0" w:line="240" w:lineRule="auto"/>
        <w:jc w:val="both"/>
        <w:rPr>
          <w:rFonts w:ascii="Verdana" w:hAnsi="Verdana"/>
          <w:snapToGrid w:val="0"/>
          <w:spacing w:val="-2"/>
          <w:sz w:val="20"/>
          <w:szCs w:val="20"/>
          <w:lang w:eastAsia="es-ES"/>
        </w:rPr>
      </w:pPr>
    </w:p>
    <w:p w:rsidR="00DC1621" w:rsidRPr="00996758" w:rsidRDefault="00BB5536" w:rsidP="00484279">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E</w:t>
      </w:r>
      <w:r w:rsidR="009A527A" w:rsidRPr="00996758">
        <w:rPr>
          <w:rFonts w:ascii="Verdana" w:hAnsi="Verdana"/>
          <w:sz w:val="20"/>
          <w:szCs w:val="20"/>
          <w:lang w:eastAsia="es-CR"/>
        </w:rPr>
        <w:t xml:space="preserve">ste caso tiene la particularidad de tratarse de una alegada desaparición forzada </w:t>
      </w:r>
      <w:r w:rsidR="00DC1621" w:rsidRPr="00996758">
        <w:rPr>
          <w:rFonts w:ascii="Verdana" w:hAnsi="Verdana"/>
          <w:sz w:val="20"/>
          <w:szCs w:val="20"/>
          <w:lang w:eastAsia="es-CR"/>
        </w:rPr>
        <w:t xml:space="preserve">ocurrida </w:t>
      </w:r>
      <w:r w:rsidR="009A527A" w:rsidRPr="00996758">
        <w:rPr>
          <w:rFonts w:ascii="Verdana" w:hAnsi="Verdana"/>
          <w:sz w:val="20"/>
          <w:szCs w:val="20"/>
          <w:lang w:eastAsia="es-CR"/>
        </w:rPr>
        <w:t xml:space="preserve">mientras </w:t>
      </w:r>
      <w:r w:rsidR="003E67A9" w:rsidRPr="00996758">
        <w:rPr>
          <w:rFonts w:ascii="Verdana" w:hAnsi="Verdana"/>
          <w:sz w:val="20"/>
          <w:szCs w:val="20"/>
          <w:lang w:eastAsia="es-CR"/>
        </w:rPr>
        <w:t>la</w:t>
      </w:r>
      <w:r w:rsidR="009A527A" w:rsidRPr="00996758">
        <w:rPr>
          <w:rFonts w:ascii="Verdana" w:hAnsi="Verdana"/>
          <w:sz w:val="20"/>
          <w:szCs w:val="20"/>
          <w:lang w:eastAsia="es-CR"/>
        </w:rPr>
        <w:t xml:space="preserve"> persona se encontraba privada de libertad en una cárcel del Estado</w:t>
      </w:r>
      <w:r w:rsidR="004B6785" w:rsidRPr="00996758">
        <w:rPr>
          <w:rFonts w:ascii="Verdana" w:hAnsi="Verdana"/>
          <w:sz w:val="20"/>
          <w:szCs w:val="20"/>
          <w:lang w:eastAsia="es-CR"/>
        </w:rPr>
        <w:t>,</w:t>
      </w:r>
      <w:r w:rsidR="009A527A" w:rsidRPr="00996758">
        <w:rPr>
          <w:rFonts w:ascii="Verdana" w:hAnsi="Verdana"/>
          <w:sz w:val="20"/>
          <w:szCs w:val="20"/>
          <w:lang w:eastAsia="es-CR"/>
        </w:rPr>
        <w:t xml:space="preserve"> </w:t>
      </w:r>
      <w:r w:rsidR="004A297F" w:rsidRPr="00996758">
        <w:rPr>
          <w:rFonts w:ascii="Verdana" w:hAnsi="Verdana"/>
          <w:sz w:val="20"/>
          <w:szCs w:val="20"/>
          <w:lang w:eastAsia="es-CR"/>
        </w:rPr>
        <w:t>en detención</w:t>
      </w:r>
      <w:r w:rsidR="00154CE6" w:rsidRPr="00996758">
        <w:rPr>
          <w:rFonts w:ascii="Verdana" w:hAnsi="Verdana"/>
          <w:sz w:val="20"/>
          <w:szCs w:val="20"/>
          <w:lang w:eastAsia="es-CR"/>
        </w:rPr>
        <w:t xml:space="preserve"> preventiva</w:t>
      </w:r>
      <w:r w:rsidR="004B6785" w:rsidRPr="00996758">
        <w:rPr>
          <w:rFonts w:ascii="Verdana" w:hAnsi="Verdana"/>
          <w:sz w:val="20"/>
          <w:szCs w:val="20"/>
          <w:lang w:eastAsia="es-CR"/>
        </w:rPr>
        <w:t>,</w:t>
      </w:r>
      <w:r w:rsidR="00154CE6" w:rsidRPr="00996758">
        <w:rPr>
          <w:rFonts w:ascii="Verdana" w:hAnsi="Verdana"/>
          <w:sz w:val="20"/>
          <w:szCs w:val="20"/>
          <w:lang w:eastAsia="es-CR"/>
        </w:rPr>
        <w:t xml:space="preserve"> </w:t>
      </w:r>
      <w:r w:rsidR="00DC1621" w:rsidRPr="00996758">
        <w:rPr>
          <w:rFonts w:ascii="Verdana" w:hAnsi="Verdana"/>
          <w:sz w:val="20"/>
          <w:szCs w:val="20"/>
          <w:lang w:eastAsia="es-CR"/>
        </w:rPr>
        <w:t>en el marco de</w:t>
      </w:r>
      <w:r w:rsidR="004A297F" w:rsidRPr="00996758">
        <w:rPr>
          <w:rFonts w:ascii="Verdana" w:hAnsi="Verdana"/>
          <w:sz w:val="20"/>
          <w:szCs w:val="20"/>
          <w:lang w:eastAsia="es-CR"/>
        </w:rPr>
        <w:t xml:space="preserve"> </w:t>
      </w:r>
      <w:r w:rsidR="009A527A" w:rsidRPr="00996758">
        <w:rPr>
          <w:rFonts w:ascii="Verdana" w:hAnsi="Verdana"/>
          <w:sz w:val="20"/>
          <w:szCs w:val="20"/>
          <w:lang w:eastAsia="es-CR"/>
        </w:rPr>
        <w:t>un proceso penal</w:t>
      </w:r>
      <w:r w:rsidR="00154CE6" w:rsidRPr="00996758">
        <w:rPr>
          <w:rFonts w:ascii="Verdana" w:hAnsi="Verdana"/>
          <w:sz w:val="20"/>
          <w:szCs w:val="20"/>
          <w:lang w:eastAsia="es-CR"/>
        </w:rPr>
        <w:t xml:space="preserve"> que se seguía en su contra</w:t>
      </w:r>
      <w:r w:rsidR="009A527A" w:rsidRPr="00996758">
        <w:rPr>
          <w:rFonts w:ascii="Verdana" w:hAnsi="Verdana"/>
          <w:sz w:val="20"/>
          <w:szCs w:val="20"/>
          <w:lang w:eastAsia="es-CR"/>
        </w:rPr>
        <w:t>.</w:t>
      </w:r>
      <w:r w:rsidRPr="00996758">
        <w:rPr>
          <w:rFonts w:ascii="Verdana" w:hAnsi="Verdana"/>
          <w:sz w:val="20"/>
          <w:szCs w:val="20"/>
          <w:lang w:eastAsia="es-CR"/>
        </w:rPr>
        <w:t xml:space="preserve"> </w:t>
      </w:r>
    </w:p>
    <w:p w:rsidR="00DC1621" w:rsidRPr="00996758" w:rsidRDefault="00DC1621" w:rsidP="00DC1621">
      <w:pPr>
        <w:pBdr>
          <w:top w:val="nil"/>
        </w:pBdr>
        <w:spacing w:after="0" w:line="240" w:lineRule="auto"/>
        <w:jc w:val="both"/>
        <w:rPr>
          <w:rFonts w:ascii="Verdana" w:hAnsi="Verdana"/>
          <w:sz w:val="20"/>
          <w:szCs w:val="20"/>
          <w:lang w:eastAsia="es-CR"/>
        </w:rPr>
      </w:pPr>
    </w:p>
    <w:p w:rsidR="008279FB" w:rsidRPr="00996758" w:rsidRDefault="00D92757" w:rsidP="008279FB">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Al respecto, </w:t>
      </w:r>
      <w:r w:rsidR="00DC1621" w:rsidRPr="00996758">
        <w:rPr>
          <w:rFonts w:ascii="Verdana" w:hAnsi="Verdana"/>
          <w:sz w:val="20"/>
          <w:szCs w:val="20"/>
          <w:lang w:eastAsia="es-CR"/>
        </w:rPr>
        <w:t>si bien</w:t>
      </w:r>
      <w:r w:rsidRPr="00996758">
        <w:rPr>
          <w:rFonts w:ascii="Verdana" w:hAnsi="Verdana"/>
          <w:sz w:val="20"/>
          <w:szCs w:val="20"/>
          <w:lang w:eastAsia="es-CR"/>
        </w:rPr>
        <w:t xml:space="preserve"> resulta indistinta la manera que adquiere la privación de la libertad a los fines</w:t>
      </w:r>
      <w:r w:rsidRPr="00996758">
        <w:rPr>
          <w:rFonts w:ascii="Verdana" w:hAnsi="Verdana"/>
          <w:spacing w:val="-2"/>
          <w:sz w:val="20"/>
          <w:szCs w:val="20"/>
        </w:rPr>
        <w:t xml:space="preserve"> de la caracterización de una desaparición forzada</w:t>
      </w:r>
      <w:r w:rsidRPr="00996758">
        <w:rPr>
          <w:rStyle w:val="FootnoteReference"/>
          <w:rFonts w:ascii="Verdana" w:eastAsia="Batang" w:hAnsi="Verdana" w:cs="Times"/>
          <w:spacing w:val="-2"/>
          <w:sz w:val="20"/>
          <w:szCs w:val="20"/>
        </w:rPr>
        <w:footnoteReference w:id="90"/>
      </w:r>
      <w:r w:rsidRPr="00996758">
        <w:rPr>
          <w:rFonts w:ascii="Verdana" w:hAnsi="Verdana"/>
          <w:spacing w:val="-2"/>
          <w:sz w:val="20"/>
          <w:szCs w:val="20"/>
        </w:rPr>
        <w:t xml:space="preserve">, </w:t>
      </w:r>
      <w:r w:rsidR="008279FB" w:rsidRPr="00996758">
        <w:rPr>
          <w:rFonts w:ascii="Verdana" w:hAnsi="Verdana"/>
          <w:spacing w:val="-2"/>
          <w:sz w:val="20"/>
          <w:szCs w:val="20"/>
        </w:rPr>
        <w:t>pues</w:t>
      </w:r>
      <w:r w:rsidRPr="00996758">
        <w:rPr>
          <w:rFonts w:ascii="Verdana" w:hAnsi="Verdana"/>
          <w:spacing w:val="-2"/>
          <w:sz w:val="20"/>
          <w:szCs w:val="20"/>
        </w:rPr>
        <w:t xml:space="preserve"> cualquier forma de privación de libertad satisface </w:t>
      </w:r>
      <w:r w:rsidR="003A5E3A" w:rsidRPr="00996758">
        <w:rPr>
          <w:rFonts w:ascii="Verdana" w:hAnsi="Verdana"/>
          <w:spacing w:val="-2"/>
          <w:sz w:val="20"/>
          <w:szCs w:val="20"/>
        </w:rPr>
        <w:t>aquel</w:t>
      </w:r>
      <w:r w:rsidR="008279FB" w:rsidRPr="00996758">
        <w:rPr>
          <w:rFonts w:ascii="Verdana" w:hAnsi="Verdana"/>
          <w:spacing w:val="-2"/>
          <w:sz w:val="20"/>
          <w:szCs w:val="20"/>
        </w:rPr>
        <w:t xml:space="preserve"> </w:t>
      </w:r>
      <w:r w:rsidRPr="00996758">
        <w:rPr>
          <w:rFonts w:ascii="Verdana" w:hAnsi="Verdana"/>
          <w:spacing w:val="-2"/>
          <w:sz w:val="20"/>
          <w:szCs w:val="20"/>
        </w:rPr>
        <w:t xml:space="preserve">primer </w:t>
      </w:r>
      <w:r w:rsidR="003A5E3A" w:rsidRPr="00996758">
        <w:rPr>
          <w:rFonts w:ascii="Verdana" w:hAnsi="Verdana"/>
          <w:spacing w:val="-2"/>
          <w:sz w:val="20"/>
          <w:szCs w:val="20"/>
        </w:rPr>
        <w:t>elemento</w:t>
      </w:r>
      <w:r w:rsidRPr="00996758">
        <w:rPr>
          <w:rStyle w:val="FootnoteReference"/>
          <w:rFonts w:ascii="Verdana" w:hAnsi="Verdana"/>
          <w:spacing w:val="-2"/>
          <w:sz w:val="20"/>
          <w:szCs w:val="20"/>
        </w:rPr>
        <w:footnoteReference w:id="91"/>
      </w:r>
      <w:r w:rsidR="008279FB" w:rsidRPr="00996758">
        <w:rPr>
          <w:rFonts w:ascii="Verdana" w:hAnsi="Verdana"/>
          <w:spacing w:val="-2"/>
          <w:sz w:val="20"/>
          <w:szCs w:val="20"/>
        </w:rPr>
        <w:t>, es pertinente hacer notar que, e</w:t>
      </w:r>
      <w:r w:rsidR="008279FB" w:rsidRPr="00996758">
        <w:rPr>
          <w:rFonts w:ascii="Verdana" w:hAnsi="Verdana"/>
          <w:sz w:val="20"/>
          <w:szCs w:val="20"/>
          <w:lang w:eastAsia="es-CR"/>
        </w:rPr>
        <w:t xml:space="preserve">n este caso, la desaparición comenzó a partir del momento en que la presunta víctima fue sustraída de la cárcel por personas aún no identificadas y no desde el inicio mismo de la detención, que había sido formal y legalmente ordenada por un juez. </w:t>
      </w:r>
      <w:r w:rsidR="003A5E3A" w:rsidRPr="00996758">
        <w:rPr>
          <w:rFonts w:ascii="Verdana" w:eastAsia="Calibri" w:hAnsi="Verdana" w:cs="Times New Roman"/>
          <w:sz w:val="20"/>
          <w:szCs w:val="20"/>
          <w:lang w:eastAsia="x-none"/>
        </w:rPr>
        <w:t>Sin perjuicio de ello</w:t>
      </w:r>
      <w:r w:rsidR="008279FB" w:rsidRPr="00996758">
        <w:rPr>
          <w:rFonts w:ascii="Verdana" w:eastAsia="Calibri" w:hAnsi="Verdana" w:cs="Times New Roman"/>
          <w:sz w:val="20"/>
          <w:szCs w:val="20"/>
          <w:lang w:eastAsia="x-none"/>
        </w:rPr>
        <w:t xml:space="preserve">, el </w:t>
      </w:r>
      <w:r w:rsidRPr="00996758">
        <w:rPr>
          <w:rFonts w:ascii="Verdana" w:eastAsia="Calibri" w:hAnsi="Verdana" w:cs="Times New Roman"/>
          <w:sz w:val="20"/>
          <w:szCs w:val="20"/>
          <w:lang w:eastAsia="x-none"/>
        </w:rPr>
        <w:t xml:space="preserve">hecho </w:t>
      </w:r>
      <w:r w:rsidR="008279FB" w:rsidRPr="00996758">
        <w:rPr>
          <w:rFonts w:ascii="Verdana" w:eastAsia="Calibri" w:hAnsi="Verdana" w:cs="Times New Roman"/>
          <w:sz w:val="20"/>
          <w:szCs w:val="20"/>
          <w:lang w:eastAsia="x-none"/>
        </w:rPr>
        <w:t xml:space="preserve">es que </w:t>
      </w:r>
      <w:r w:rsidR="004B6785" w:rsidRPr="00996758">
        <w:rPr>
          <w:rFonts w:ascii="Verdana" w:eastAsia="Calibri" w:hAnsi="Verdana" w:cs="Times New Roman"/>
          <w:sz w:val="20"/>
          <w:szCs w:val="20"/>
          <w:lang w:eastAsia="x-none"/>
        </w:rPr>
        <w:t>el señor Isaza Uribe</w:t>
      </w:r>
      <w:r w:rsidR="008279FB" w:rsidRPr="00996758">
        <w:rPr>
          <w:rFonts w:ascii="Verdana" w:eastAsia="Calibri" w:hAnsi="Verdana" w:cs="Times New Roman"/>
          <w:sz w:val="20"/>
          <w:szCs w:val="20"/>
          <w:lang w:eastAsia="x-none"/>
        </w:rPr>
        <w:t xml:space="preserve"> fue desaparecido </w:t>
      </w:r>
      <w:r w:rsidRPr="00996758">
        <w:rPr>
          <w:rFonts w:ascii="Verdana" w:eastAsia="Calibri" w:hAnsi="Verdana" w:cs="Times New Roman"/>
          <w:sz w:val="20"/>
          <w:szCs w:val="20"/>
          <w:lang w:eastAsia="x-none"/>
        </w:rPr>
        <w:t>mientras se encontraba bajo custodia en una cárcel estatal</w:t>
      </w:r>
      <w:r w:rsidR="008279FB" w:rsidRPr="00996758">
        <w:rPr>
          <w:rFonts w:ascii="Verdana" w:eastAsia="Calibri" w:hAnsi="Verdana" w:cs="Times New Roman"/>
          <w:sz w:val="20"/>
          <w:szCs w:val="20"/>
          <w:lang w:eastAsia="x-none"/>
        </w:rPr>
        <w:t>.</w:t>
      </w:r>
      <w:r w:rsidRPr="00996758">
        <w:rPr>
          <w:rFonts w:ascii="Verdana" w:eastAsia="Calibri" w:hAnsi="Verdana" w:cs="Times New Roman"/>
          <w:sz w:val="20"/>
          <w:szCs w:val="20"/>
          <w:lang w:eastAsia="x-none"/>
        </w:rPr>
        <w:t xml:space="preserve"> </w:t>
      </w:r>
    </w:p>
    <w:p w:rsidR="008279FB" w:rsidRPr="00996758" w:rsidRDefault="008279FB" w:rsidP="008279FB">
      <w:pPr>
        <w:pBdr>
          <w:top w:val="nil"/>
        </w:pBdr>
        <w:spacing w:after="0" w:line="240" w:lineRule="auto"/>
        <w:jc w:val="both"/>
        <w:rPr>
          <w:rFonts w:ascii="Verdana" w:hAnsi="Verdana"/>
          <w:sz w:val="20"/>
          <w:szCs w:val="20"/>
          <w:lang w:eastAsia="es-CR"/>
        </w:rPr>
      </w:pPr>
    </w:p>
    <w:p w:rsidR="003E67A9" w:rsidRPr="00996758" w:rsidRDefault="008279FB" w:rsidP="008279FB">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eastAsia="Calibri" w:hAnsi="Verdana" w:cs="Times New Roman"/>
          <w:sz w:val="20"/>
          <w:szCs w:val="20"/>
          <w:lang w:eastAsia="x-none"/>
        </w:rPr>
        <w:t>E</w:t>
      </w:r>
      <w:r w:rsidR="003E67A9" w:rsidRPr="00996758">
        <w:rPr>
          <w:rFonts w:ascii="Verdana" w:eastAsia="Calibri" w:hAnsi="Verdana" w:cs="Times New Roman"/>
          <w:sz w:val="20"/>
          <w:szCs w:val="20"/>
          <w:lang w:eastAsia="x-none"/>
        </w:rPr>
        <w:t>l Tribunal</w:t>
      </w:r>
      <w:r w:rsidR="003E67A9" w:rsidRPr="00996758">
        <w:rPr>
          <w:rFonts w:ascii="Verdana" w:hAnsi="Verdana"/>
          <w:bCs/>
          <w:sz w:val="20"/>
          <w:szCs w:val="20"/>
        </w:rPr>
        <w:t xml:space="preserve"> ha señalado que</w:t>
      </w:r>
      <w:r w:rsidRPr="00996758">
        <w:rPr>
          <w:rFonts w:ascii="Verdana" w:hAnsi="Verdana"/>
          <w:bCs/>
          <w:sz w:val="20"/>
          <w:szCs w:val="20"/>
        </w:rPr>
        <w:t xml:space="preserve"> los Estados tienen deberes especiales</w:t>
      </w:r>
      <w:r w:rsidR="005427EA" w:rsidRPr="00996758">
        <w:rPr>
          <w:rFonts w:ascii="Verdana" w:hAnsi="Verdana"/>
          <w:bCs/>
          <w:sz w:val="20"/>
          <w:szCs w:val="20"/>
        </w:rPr>
        <w:t xml:space="preserve">, derivados </w:t>
      </w:r>
      <w:r w:rsidR="003E67A9" w:rsidRPr="00996758">
        <w:rPr>
          <w:rFonts w:ascii="Verdana" w:hAnsi="Verdana"/>
          <w:bCs/>
          <w:sz w:val="20"/>
          <w:szCs w:val="20"/>
        </w:rPr>
        <w:t xml:space="preserve">de </w:t>
      </w:r>
      <w:r w:rsidR="005427EA" w:rsidRPr="00996758">
        <w:rPr>
          <w:rFonts w:ascii="Verdana" w:hAnsi="Verdana"/>
          <w:bCs/>
          <w:sz w:val="20"/>
          <w:szCs w:val="20"/>
        </w:rPr>
        <w:t xml:space="preserve">sus </w:t>
      </w:r>
      <w:r w:rsidR="003E67A9" w:rsidRPr="00996758">
        <w:rPr>
          <w:rFonts w:ascii="Verdana" w:hAnsi="Verdana"/>
          <w:bCs/>
          <w:sz w:val="20"/>
          <w:szCs w:val="20"/>
        </w:rPr>
        <w:t xml:space="preserve">obligaciones generales </w:t>
      </w:r>
      <w:r w:rsidR="00391979" w:rsidRPr="00996758">
        <w:rPr>
          <w:rFonts w:ascii="Verdana" w:hAnsi="Verdana"/>
          <w:bCs/>
          <w:sz w:val="20"/>
          <w:szCs w:val="20"/>
        </w:rPr>
        <w:t>de</w:t>
      </w:r>
      <w:r w:rsidR="003E67A9" w:rsidRPr="00996758">
        <w:rPr>
          <w:rFonts w:ascii="Verdana" w:hAnsi="Verdana"/>
          <w:bCs/>
          <w:sz w:val="20"/>
          <w:szCs w:val="20"/>
        </w:rPr>
        <w:t xml:space="preserve"> respetar y garantizar los derechos </w:t>
      </w:r>
      <w:r w:rsidRPr="00996758">
        <w:rPr>
          <w:rFonts w:ascii="Verdana" w:hAnsi="Verdana"/>
          <w:bCs/>
          <w:sz w:val="20"/>
          <w:szCs w:val="20"/>
        </w:rPr>
        <w:t>bajo</w:t>
      </w:r>
      <w:r w:rsidR="003E67A9" w:rsidRPr="00996758">
        <w:rPr>
          <w:rFonts w:ascii="Verdana" w:hAnsi="Verdana"/>
          <w:bCs/>
          <w:sz w:val="20"/>
          <w:szCs w:val="20"/>
        </w:rPr>
        <w:t xml:space="preserve"> el artículo 1.1 de la Convención</w:t>
      </w:r>
      <w:r w:rsidRPr="00996758">
        <w:rPr>
          <w:rFonts w:ascii="Verdana" w:hAnsi="Verdana"/>
          <w:bCs/>
          <w:sz w:val="20"/>
          <w:szCs w:val="20"/>
        </w:rPr>
        <w:t xml:space="preserve"> y</w:t>
      </w:r>
      <w:r w:rsidR="005427EA" w:rsidRPr="00996758">
        <w:rPr>
          <w:rFonts w:ascii="Verdana" w:hAnsi="Verdana"/>
          <w:bCs/>
          <w:sz w:val="20"/>
          <w:szCs w:val="20"/>
        </w:rPr>
        <w:t xml:space="preserve"> </w:t>
      </w:r>
      <w:r w:rsidR="003E67A9" w:rsidRPr="00996758">
        <w:rPr>
          <w:rFonts w:ascii="Verdana" w:hAnsi="Verdana"/>
          <w:bCs/>
          <w:sz w:val="20"/>
          <w:szCs w:val="20"/>
        </w:rPr>
        <w:t>determinables en función de las particulares necesidades de protección del sujeto de derecho, ya sea por su condición personal o por la situación específica en que se encuentre</w:t>
      </w:r>
      <w:r w:rsidR="003E67A9" w:rsidRPr="00996758">
        <w:rPr>
          <w:rStyle w:val="FootnoteAnchor"/>
          <w:rFonts w:ascii="Verdana" w:hAnsi="Verdana"/>
          <w:bCs/>
          <w:sz w:val="20"/>
          <w:szCs w:val="20"/>
        </w:rPr>
        <w:footnoteReference w:id="92"/>
      </w:r>
      <w:r w:rsidR="003E67A9" w:rsidRPr="00996758">
        <w:rPr>
          <w:rFonts w:ascii="Verdana" w:hAnsi="Verdana"/>
          <w:bCs/>
          <w:sz w:val="20"/>
          <w:szCs w:val="20"/>
        </w:rPr>
        <w:t xml:space="preserve">. En tal sentido, </w:t>
      </w:r>
      <w:r w:rsidR="003E67A9" w:rsidRPr="00996758">
        <w:rPr>
          <w:rFonts w:ascii="Verdana" w:hAnsi="Verdana"/>
          <w:sz w:val="20"/>
          <w:szCs w:val="20"/>
        </w:rPr>
        <w:t>el Estado se encuentra en una posición especial de garante</w:t>
      </w:r>
      <w:r w:rsidRPr="00996758">
        <w:rPr>
          <w:rFonts w:ascii="Verdana" w:hAnsi="Verdana"/>
          <w:sz w:val="20"/>
          <w:szCs w:val="20"/>
        </w:rPr>
        <w:t xml:space="preserve"> respecto de las personas que han sido privadas de su libertad</w:t>
      </w:r>
      <w:r w:rsidR="003E67A9" w:rsidRPr="00996758">
        <w:rPr>
          <w:rFonts w:ascii="Verdana" w:hAnsi="Verdana"/>
          <w:sz w:val="20"/>
          <w:szCs w:val="20"/>
        </w:rPr>
        <w:t>, toda vez que las autoridades penitenciarias ejercen un fuerte control o dominio sobre quienes se encuentran sujetos a su custodia</w:t>
      </w:r>
      <w:r w:rsidR="003E67A9" w:rsidRPr="00996758">
        <w:rPr>
          <w:rStyle w:val="FootnoteAnchor"/>
          <w:rFonts w:ascii="Verdana" w:hAnsi="Verdana"/>
          <w:sz w:val="20"/>
          <w:szCs w:val="20"/>
        </w:rPr>
        <w:footnoteReference w:id="93"/>
      </w:r>
      <w:r w:rsidR="003E67A9" w:rsidRPr="00996758">
        <w:rPr>
          <w:rFonts w:ascii="Verdana" w:hAnsi="Verdana"/>
          <w:sz w:val="20"/>
          <w:szCs w:val="20"/>
        </w:rPr>
        <w:t xml:space="preserve">, </w:t>
      </w:r>
      <w:r w:rsidRPr="00996758">
        <w:rPr>
          <w:rFonts w:ascii="Verdana" w:hAnsi="Verdana"/>
          <w:sz w:val="20"/>
          <w:szCs w:val="20"/>
        </w:rPr>
        <w:t>así como</w:t>
      </w:r>
      <w:r w:rsidR="003E67A9" w:rsidRPr="00996758">
        <w:rPr>
          <w:rFonts w:ascii="Verdana" w:hAnsi="Verdana"/>
          <w:sz w:val="20"/>
          <w:szCs w:val="20"/>
        </w:rPr>
        <w:t xml:space="preserve"> la particular intensidad con que </w:t>
      </w:r>
      <w:r w:rsidRPr="00996758">
        <w:rPr>
          <w:rFonts w:ascii="Verdana" w:hAnsi="Verdana"/>
          <w:sz w:val="20"/>
          <w:szCs w:val="20"/>
        </w:rPr>
        <w:t xml:space="preserve">el Estado </w:t>
      </w:r>
      <w:r w:rsidR="003E67A9" w:rsidRPr="00996758">
        <w:rPr>
          <w:rFonts w:ascii="Verdana" w:hAnsi="Verdana"/>
          <w:sz w:val="20"/>
          <w:szCs w:val="20"/>
        </w:rPr>
        <w:t>puede regular sus derechos y obligaciones y las circunstancias propias del encierro</w:t>
      </w:r>
      <w:r w:rsidR="003E67A9" w:rsidRPr="00996758">
        <w:rPr>
          <w:rStyle w:val="FootnoteAnchor"/>
          <w:rFonts w:ascii="Verdana" w:hAnsi="Verdana"/>
          <w:sz w:val="20"/>
          <w:szCs w:val="20"/>
        </w:rPr>
        <w:footnoteReference w:id="94"/>
      </w:r>
      <w:r w:rsidR="003E67A9" w:rsidRPr="00996758">
        <w:rPr>
          <w:rFonts w:ascii="Verdana" w:hAnsi="Verdana"/>
          <w:sz w:val="20"/>
          <w:szCs w:val="20"/>
        </w:rPr>
        <w:t>.</w:t>
      </w:r>
    </w:p>
    <w:p w:rsidR="00BB5536" w:rsidRPr="00996758" w:rsidRDefault="00BB5536">
      <w:pPr>
        <w:pBdr>
          <w:top w:val="nil"/>
        </w:pBdr>
        <w:spacing w:after="0" w:line="240" w:lineRule="auto"/>
        <w:jc w:val="both"/>
        <w:rPr>
          <w:rFonts w:ascii="Verdana" w:hAnsi="Verdana"/>
          <w:sz w:val="20"/>
          <w:szCs w:val="20"/>
        </w:rPr>
      </w:pPr>
    </w:p>
    <w:p w:rsidR="008032AE" w:rsidRPr="00996758" w:rsidRDefault="00154CE6"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cs="Verdana"/>
          <w:bCs/>
          <w:sz w:val="20"/>
          <w:szCs w:val="20"/>
        </w:rPr>
        <w:t>Así, e</w:t>
      </w:r>
      <w:r w:rsidR="008032AE" w:rsidRPr="00996758">
        <w:rPr>
          <w:rFonts w:ascii="Verdana" w:hAnsi="Verdana" w:cs="Verdana"/>
          <w:bCs/>
          <w:sz w:val="20"/>
          <w:szCs w:val="20"/>
        </w:rPr>
        <w:t xml:space="preserve">n casos en que </w:t>
      </w:r>
      <w:r w:rsidR="005427EA" w:rsidRPr="00996758">
        <w:rPr>
          <w:rFonts w:ascii="Verdana" w:hAnsi="Verdana"/>
          <w:sz w:val="20"/>
          <w:szCs w:val="20"/>
        </w:rPr>
        <w:t xml:space="preserve">una persona que ha estado bajo custodia de agentes estatales exhibe </w:t>
      </w:r>
      <w:r w:rsidR="008032AE" w:rsidRPr="00996758">
        <w:rPr>
          <w:rFonts w:ascii="Verdana" w:hAnsi="Verdana"/>
          <w:sz w:val="20"/>
          <w:szCs w:val="20"/>
        </w:rPr>
        <w:t xml:space="preserve">lesiones, </w:t>
      </w:r>
      <w:r w:rsidR="005427EA" w:rsidRPr="00996758">
        <w:rPr>
          <w:rFonts w:ascii="Verdana" w:hAnsi="Verdana"/>
          <w:sz w:val="20"/>
          <w:szCs w:val="20"/>
        </w:rPr>
        <w:t xml:space="preserve">se ha considerado que </w:t>
      </w:r>
      <w:r w:rsidR="008032AE" w:rsidRPr="00996758">
        <w:rPr>
          <w:rFonts w:ascii="Verdana" w:hAnsi="Verdana"/>
          <w:sz w:val="20"/>
          <w:szCs w:val="20"/>
        </w:rPr>
        <w:t>siempre que una persona es privada de la libertad en un estado de salud normal y posteriormente aparece con afectaciones a su salud, corresponde al Estado proveer una explicación satisfactoria y convincente de esa situación y desvirtuar las alegaciones sobre su responsabilidad, mediante elementos probatorios adecuados. La</w:t>
      </w:r>
      <w:r w:rsidR="00FA17C7" w:rsidRPr="00996758">
        <w:rPr>
          <w:rFonts w:ascii="Verdana" w:hAnsi="Verdana"/>
          <w:sz w:val="20"/>
          <w:szCs w:val="20"/>
        </w:rPr>
        <w:t xml:space="preserve"> Corte ha considerado que la</w:t>
      </w:r>
      <w:r w:rsidR="008032AE" w:rsidRPr="00996758">
        <w:rPr>
          <w:rFonts w:ascii="Verdana" w:hAnsi="Verdana"/>
          <w:sz w:val="20"/>
          <w:szCs w:val="20"/>
        </w:rPr>
        <w:t xml:space="preserve"> falta de tal explicación </w:t>
      </w:r>
      <w:r w:rsidR="00E153C8" w:rsidRPr="00996758">
        <w:rPr>
          <w:rFonts w:ascii="Verdana" w:hAnsi="Verdana"/>
          <w:sz w:val="20"/>
          <w:szCs w:val="20"/>
        </w:rPr>
        <w:t>con</w:t>
      </w:r>
      <w:r w:rsidR="008032AE" w:rsidRPr="00996758">
        <w:rPr>
          <w:rFonts w:ascii="Verdana" w:hAnsi="Verdana"/>
          <w:sz w:val="20"/>
          <w:szCs w:val="20"/>
        </w:rPr>
        <w:t xml:space="preserve">lleva la presunción de responsabilidad estatal por </w:t>
      </w:r>
      <w:r w:rsidR="00FA17C7" w:rsidRPr="00996758">
        <w:rPr>
          <w:rFonts w:ascii="Verdana" w:hAnsi="Verdana"/>
          <w:sz w:val="20"/>
          <w:szCs w:val="20"/>
        </w:rPr>
        <w:t>tales</w:t>
      </w:r>
      <w:r w:rsidR="008032AE" w:rsidRPr="00996758">
        <w:rPr>
          <w:rFonts w:ascii="Verdana" w:hAnsi="Verdana"/>
          <w:sz w:val="20"/>
          <w:szCs w:val="20"/>
        </w:rPr>
        <w:t xml:space="preserve"> lesiones</w:t>
      </w:r>
      <w:r w:rsidR="008032AE" w:rsidRPr="00996758">
        <w:rPr>
          <w:rStyle w:val="FootnoteReference"/>
          <w:rFonts w:ascii="Verdana" w:hAnsi="Verdana"/>
          <w:sz w:val="20"/>
          <w:szCs w:val="20"/>
        </w:rPr>
        <w:footnoteReference w:id="95"/>
      </w:r>
      <w:r w:rsidR="008032AE" w:rsidRPr="00996758">
        <w:rPr>
          <w:rFonts w:ascii="Verdana" w:hAnsi="Verdana"/>
          <w:sz w:val="20"/>
          <w:szCs w:val="20"/>
        </w:rPr>
        <w:t xml:space="preserve">. </w:t>
      </w:r>
    </w:p>
    <w:p w:rsidR="008032AE" w:rsidRPr="00996758" w:rsidRDefault="008032AE">
      <w:pPr>
        <w:pBdr>
          <w:top w:val="nil"/>
        </w:pBdr>
        <w:spacing w:after="0" w:line="240" w:lineRule="auto"/>
        <w:jc w:val="both"/>
        <w:rPr>
          <w:rFonts w:ascii="Verdana" w:hAnsi="Verdana"/>
          <w:sz w:val="20"/>
          <w:szCs w:val="20"/>
        </w:rPr>
      </w:pPr>
    </w:p>
    <w:p w:rsidR="00801BD4" w:rsidRPr="00996758" w:rsidRDefault="00FA17C7"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Este Tribunal </w:t>
      </w:r>
      <w:r w:rsidR="008032AE" w:rsidRPr="00996758">
        <w:rPr>
          <w:rFonts w:ascii="Verdana" w:hAnsi="Verdana"/>
          <w:sz w:val="20"/>
          <w:szCs w:val="20"/>
        </w:rPr>
        <w:t>considera que</w:t>
      </w:r>
      <w:r w:rsidRPr="00996758">
        <w:rPr>
          <w:rFonts w:ascii="Verdana" w:hAnsi="Verdana"/>
          <w:sz w:val="20"/>
          <w:szCs w:val="20"/>
        </w:rPr>
        <w:t xml:space="preserve"> esa</w:t>
      </w:r>
      <w:r w:rsidR="008032AE" w:rsidRPr="00996758">
        <w:rPr>
          <w:rFonts w:ascii="Verdana" w:hAnsi="Verdana"/>
          <w:sz w:val="20"/>
          <w:szCs w:val="20"/>
        </w:rPr>
        <w:t xml:space="preserve"> presunción </w:t>
      </w:r>
      <w:r w:rsidRPr="00996758">
        <w:rPr>
          <w:rFonts w:ascii="Verdana" w:hAnsi="Verdana"/>
          <w:sz w:val="20"/>
          <w:szCs w:val="20"/>
        </w:rPr>
        <w:t>es</w:t>
      </w:r>
      <w:r w:rsidR="008032AE" w:rsidRPr="00996758">
        <w:rPr>
          <w:rFonts w:ascii="Verdana" w:hAnsi="Verdana"/>
          <w:sz w:val="20"/>
          <w:szCs w:val="20"/>
        </w:rPr>
        <w:t xml:space="preserve"> aplicable</w:t>
      </w:r>
      <w:r w:rsidR="00701064" w:rsidRPr="00996758">
        <w:rPr>
          <w:rFonts w:ascii="Verdana" w:hAnsi="Verdana"/>
          <w:sz w:val="20"/>
          <w:szCs w:val="20"/>
        </w:rPr>
        <w:t xml:space="preserve">, </w:t>
      </w:r>
      <w:r w:rsidR="00701064" w:rsidRPr="00996758">
        <w:rPr>
          <w:rFonts w:ascii="Verdana" w:hAnsi="Verdana"/>
          <w:i/>
          <w:sz w:val="20"/>
          <w:szCs w:val="20"/>
        </w:rPr>
        <w:t>a fortiori</w:t>
      </w:r>
      <w:r w:rsidR="00701064" w:rsidRPr="00996758">
        <w:rPr>
          <w:rFonts w:ascii="Verdana" w:hAnsi="Verdana"/>
          <w:sz w:val="20"/>
          <w:szCs w:val="20"/>
        </w:rPr>
        <w:t>,</w:t>
      </w:r>
      <w:r w:rsidR="008032AE" w:rsidRPr="00996758">
        <w:rPr>
          <w:rFonts w:ascii="Verdana" w:hAnsi="Verdana"/>
          <w:sz w:val="20"/>
          <w:szCs w:val="20"/>
        </w:rPr>
        <w:t xml:space="preserve"> a situaciones en las cuales una persona desaparece bajo custodia del Estado</w:t>
      </w:r>
      <w:r w:rsidR="008279FB" w:rsidRPr="00996758">
        <w:rPr>
          <w:rFonts w:ascii="Verdana" w:hAnsi="Verdana"/>
          <w:sz w:val="20"/>
          <w:szCs w:val="20"/>
        </w:rPr>
        <w:t xml:space="preserve">, en </w:t>
      </w:r>
      <w:r w:rsidR="009E4785" w:rsidRPr="00996758">
        <w:rPr>
          <w:rFonts w:ascii="Verdana" w:hAnsi="Verdana"/>
          <w:sz w:val="20"/>
          <w:szCs w:val="20"/>
        </w:rPr>
        <w:t xml:space="preserve">las </w:t>
      </w:r>
      <w:r w:rsidR="008279FB" w:rsidRPr="00996758">
        <w:rPr>
          <w:rFonts w:ascii="Verdana" w:hAnsi="Verdana"/>
          <w:sz w:val="20"/>
          <w:szCs w:val="20"/>
        </w:rPr>
        <w:t xml:space="preserve">que opera una responsabilidad objetiva de éste </w:t>
      </w:r>
      <w:r w:rsidR="003A5E3A" w:rsidRPr="00996758">
        <w:rPr>
          <w:rFonts w:ascii="Verdana" w:hAnsi="Verdana"/>
          <w:sz w:val="20"/>
          <w:szCs w:val="20"/>
        </w:rPr>
        <w:t>respecto de la vida,</w:t>
      </w:r>
      <w:r w:rsidR="008279FB" w:rsidRPr="00996758">
        <w:rPr>
          <w:rFonts w:ascii="Verdana" w:hAnsi="Verdana"/>
          <w:sz w:val="20"/>
          <w:szCs w:val="20"/>
        </w:rPr>
        <w:t xml:space="preserve"> integridad </w:t>
      </w:r>
      <w:r w:rsidR="003A5E3A" w:rsidRPr="00996758">
        <w:rPr>
          <w:rFonts w:ascii="Verdana" w:hAnsi="Verdana"/>
          <w:sz w:val="20"/>
          <w:szCs w:val="20"/>
        </w:rPr>
        <w:t xml:space="preserve">y seguridad </w:t>
      </w:r>
      <w:r w:rsidR="008279FB" w:rsidRPr="00996758">
        <w:rPr>
          <w:rFonts w:ascii="Verdana" w:hAnsi="Verdana"/>
          <w:sz w:val="20"/>
          <w:szCs w:val="20"/>
        </w:rPr>
        <w:t>de la persona</w:t>
      </w:r>
      <w:r w:rsidR="008032AE" w:rsidRPr="00996758">
        <w:rPr>
          <w:rFonts w:ascii="Verdana" w:hAnsi="Verdana"/>
          <w:sz w:val="20"/>
          <w:szCs w:val="20"/>
        </w:rPr>
        <w:t xml:space="preserve">. </w:t>
      </w:r>
    </w:p>
    <w:p w:rsidR="00801BD4" w:rsidRPr="00996758" w:rsidRDefault="00801BD4" w:rsidP="00801BD4">
      <w:pPr>
        <w:pBdr>
          <w:top w:val="nil"/>
        </w:pBdr>
        <w:spacing w:after="0" w:line="240" w:lineRule="auto"/>
        <w:jc w:val="both"/>
        <w:rPr>
          <w:rFonts w:ascii="Verdana" w:hAnsi="Verdana"/>
          <w:sz w:val="20"/>
          <w:szCs w:val="20"/>
        </w:rPr>
      </w:pPr>
    </w:p>
    <w:p w:rsidR="006766E4" w:rsidRPr="00996758" w:rsidRDefault="008032AE"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En </w:t>
      </w:r>
      <w:r w:rsidR="00B42E9E" w:rsidRPr="00996758">
        <w:rPr>
          <w:rFonts w:ascii="Verdana" w:hAnsi="Verdana"/>
          <w:sz w:val="20"/>
          <w:szCs w:val="20"/>
        </w:rPr>
        <w:t>casos de desaparición forzada de personas</w:t>
      </w:r>
      <w:r w:rsidRPr="00996758">
        <w:rPr>
          <w:rFonts w:ascii="Verdana" w:hAnsi="Verdana"/>
          <w:sz w:val="20"/>
          <w:szCs w:val="20"/>
        </w:rPr>
        <w:t xml:space="preserve">, </w:t>
      </w:r>
      <w:r w:rsidR="00B42E9E" w:rsidRPr="00996758">
        <w:rPr>
          <w:rFonts w:ascii="Verdana" w:hAnsi="Verdana"/>
          <w:sz w:val="20"/>
          <w:szCs w:val="20"/>
        </w:rPr>
        <w:t xml:space="preserve">este Tribunal ha considerado </w:t>
      </w:r>
      <w:r w:rsidR="00E153C8" w:rsidRPr="00996758">
        <w:rPr>
          <w:rFonts w:ascii="Verdana" w:hAnsi="Verdana"/>
          <w:sz w:val="20"/>
          <w:szCs w:val="20"/>
        </w:rPr>
        <w:t xml:space="preserve">tal </w:t>
      </w:r>
      <w:r w:rsidRPr="00996758">
        <w:rPr>
          <w:rFonts w:ascii="Verdana" w:hAnsi="Verdana"/>
          <w:sz w:val="20"/>
          <w:szCs w:val="20"/>
        </w:rPr>
        <w:t>presunción de responsabilidad cuando la última noticia que se tuvo de la persona fue que se encontraba bajo custodia estatal</w:t>
      </w:r>
      <w:r w:rsidR="00E153C8" w:rsidRPr="00996758">
        <w:rPr>
          <w:rFonts w:ascii="Verdana" w:hAnsi="Verdana"/>
          <w:sz w:val="20"/>
          <w:szCs w:val="20"/>
        </w:rPr>
        <w:t>, pues correspondía al Estado probar su versión de los hechos</w:t>
      </w:r>
      <w:r w:rsidRPr="00996758">
        <w:rPr>
          <w:rStyle w:val="FootnoteReference"/>
          <w:rFonts w:ascii="Verdana" w:hAnsi="Verdana"/>
          <w:sz w:val="20"/>
          <w:szCs w:val="20"/>
        </w:rPr>
        <w:footnoteReference w:id="96"/>
      </w:r>
      <w:r w:rsidR="00E153C8" w:rsidRPr="00996758">
        <w:rPr>
          <w:rFonts w:ascii="Verdana" w:hAnsi="Verdana"/>
          <w:sz w:val="20"/>
          <w:szCs w:val="20"/>
        </w:rPr>
        <w:t xml:space="preserve">. </w:t>
      </w:r>
    </w:p>
    <w:p w:rsidR="006766E4" w:rsidRPr="00996758" w:rsidRDefault="006766E4">
      <w:pPr>
        <w:pBdr>
          <w:top w:val="nil"/>
        </w:pBdr>
        <w:spacing w:after="0" w:line="240" w:lineRule="auto"/>
        <w:jc w:val="both"/>
        <w:rPr>
          <w:rFonts w:ascii="Verdana" w:hAnsi="Verdana"/>
          <w:sz w:val="20"/>
          <w:szCs w:val="20"/>
        </w:rPr>
      </w:pPr>
    </w:p>
    <w:p w:rsidR="00F50C40" w:rsidRPr="00996758" w:rsidRDefault="00801BD4" w:rsidP="00484279">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cs="Verdana"/>
          <w:bCs/>
          <w:sz w:val="20"/>
          <w:szCs w:val="20"/>
        </w:rPr>
        <w:t>Así</w:t>
      </w:r>
      <w:r w:rsidR="006766E4" w:rsidRPr="00996758">
        <w:rPr>
          <w:rFonts w:ascii="Verdana" w:hAnsi="Verdana" w:cs="Verdana"/>
          <w:bCs/>
          <w:sz w:val="20"/>
          <w:szCs w:val="20"/>
        </w:rPr>
        <w:t>, si el Estado tenía un deber de custodia respecto del señor</w:t>
      </w:r>
      <w:r w:rsidR="004C26E3" w:rsidRPr="00996758">
        <w:rPr>
          <w:rFonts w:ascii="Verdana" w:hAnsi="Verdana" w:cs="Verdana"/>
          <w:bCs/>
          <w:sz w:val="20"/>
          <w:szCs w:val="20"/>
        </w:rPr>
        <w:t xml:space="preserve"> Víctor Manuel</w:t>
      </w:r>
      <w:r w:rsidR="006766E4" w:rsidRPr="00996758">
        <w:rPr>
          <w:rFonts w:ascii="Verdana" w:hAnsi="Verdana" w:cs="Verdana"/>
          <w:bCs/>
          <w:sz w:val="20"/>
          <w:szCs w:val="20"/>
        </w:rPr>
        <w:t xml:space="preserve"> Isaza Uribe es precisamente porque estaba bajo el poder de los agentes que debían custodiar la cárcel</w:t>
      </w:r>
      <w:r w:rsidR="008F068B" w:rsidRPr="00996758">
        <w:rPr>
          <w:rFonts w:ascii="Verdana" w:hAnsi="Verdana" w:cs="Verdana"/>
          <w:bCs/>
          <w:sz w:val="20"/>
          <w:szCs w:val="20"/>
        </w:rPr>
        <w:t>, por lo cual</w:t>
      </w:r>
      <w:r w:rsidR="006766E4" w:rsidRPr="00996758">
        <w:rPr>
          <w:rFonts w:ascii="Verdana" w:hAnsi="Verdana" w:cs="Verdana"/>
          <w:bCs/>
          <w:sz w:val="20"/>
          <w:szCs w:val="20"/>
        </w:rPr>
        <w:t xml:space="preserve"> carece de sentido plantear que en su desaparición no participaron agentes estatales, pues en la menos grave de las hipótesis tales agentes participaron por omisión al no haber velado efectivamente por su seguridad y protección ante la entrada de unos individuos que lo sustrajeron.</w:t>
      </w:r>
      <w:r w:rsidR="002E79D4" w:rsidRPr="00996758">
        <w:rPr>
          <w:rFonts w:ascii="Verdana" w:hAnsi="Verdana" w:cs="Verdana"/>
          <w:bCs/>
          <w:sz w:val="20"/>
          <w:szCs w:val="20"/>
        </w:rPr>
        <w:t xml:space="preserve"> </w:t>
      </w:r>
    </w:p>
    <w:p w:rsidR="00F50C40" w:rsidRPr="00996758" w:rsidRDefault="00F50C40" w:rsidP="00F50C40">
      <w:pPr>
        <w:pBdr>
          <w:top w:val="nil"/>
        </w:pBdr>
        <w:spacing w:after="0" w:line="240" w:lineRule="auto"/>
        <w:jc w:val="both"/>
        <w:rPr>
          <w:rFonts w:ascii="Verdana" w:hAnsi="Verdana"/>
          <w:sz w:val="20"/>
          <w:szCs w:val="20"/>
        </w:rPr>
      </w:pPr>
    </w:p>
    <w:p w:rsidR="002E79D4" w:rsidRPr="00996758" w:rsidRDefault="00F50C40" w:rsidP="002E79D4">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cs="Verdana"/>
          <w:bCs/>
          <w:sz w:val="20"/>
          <w:szCs w:val="20"/>
        </w:rPr>
        <w:t xml:space="preserve">En este sentido, </w:t>
      </w:r>
      <w:r w:rsidR="003A5E3A" w:rsidRPr="00996758">
        <w:rPr>
          <w:rFonts w:ascii="Verdana" w:hAnsi="Verdana" w:cs="Verdana"/>
          <w:bCs/>
          <w:sz w:val="20"/>
          <w:szCs w:val="20"/>
        </w:rPr>
        <w:t xml:space="preserve">la Corte hace notar que </w:t>
      </w:r>
      <w:r w:rsidR="00E0353A" w:rsidRPr="00996758">
        <w:rPr>
          <w:rFonts w:ascii="Verdana" w:hAnsi="Verdana" w:cs="Verdana"/>
          <w:bCs/>
          <w:sz w:val="20"/>
          <w:szCs w:val="20"/>
        </w:rPr>
        <w:t>la Convención</w:t>
      </w:r>
      <w:r w:rsidRPr="00996758">
        <w:rPr>
          <w:rFonts w:ascii="Verdana" w:hAnsi="Verdana" w:cs="Verdana"/>
          <w:bCs/>
          <w:sz w:val="20"/>
          <w:szCs w:val="20"/>
        </w:rPr>
        <w:t xml:space="preserve"> Interamericana </w:t>
      </w:r>
      <w:r w:rsidR="00E0353A" w:rsidRPr="00996758">
        <w:rPr>
          <w:rFonts w:ascii="Verdana" w:hAnsi="Verdana" w:cs="Verdana"/>
          <w:bCs/>
          <w:sz w:val="20"/>
          <w:szCs w:val="20"/>
        </w:rPr>
        <w:t xml:space="preserve">sobre Desaparición Forzada de Personas, así como otros instrumentos internacionales relevantes </w:t>
      </w:r>
      <w:r w:rsidR="003A5E3A" w:rsidRPr="00996758">
        <w:rPr>
          <w:rFonts w:ascii="Verdana" w:hAnsi="Verdana" w:cs="Verdana"/>
          <w:bCs/>
          <w:sz w:val="20"/>
          <w:szCs w:val="20"/>
        </w:rPr>
        <w:t>en la materia</w:t>
      </w:r>
      <w:r w:rsidR="00E0353A" w:rsidRPr="00996758">
        <w:rPr>
          <w:rStyle w:val="FootnoteReference"/>
          <w:rFonts w:ascii="Verdana" w:hAnsi="Verdana" w:cs="Verdana"/>
          <w:bCs/>
          <w:sz w:val="20"/>
          <w:szCs w:val="20"/>
        </w:rPr>
        <w:footnoteReference w:id="97"/>
      </w:r>
      <w:r w:rsidR="006E71FB" w:rsidRPr="00996758">
        <w:rPr>
          <w:rFonts w:ascii="Verdana" w:hAnsi="Verdana" w:cs="Verdana"/>
          <w:bCs/>
          <w:sz w:val="20"/>
          <w:szCs w:val="20"/>
        </w:rPr>
        <w:t xml:space="preserve"> y </w:t>
      </w:r>
      <w:r w:rsidRPr="00996758">
        <w:rPr>
          <w:rFonts w:ascii="Verdana" w:hAnsi="Verdana" w:cs="Verdana"/>
          <w:bCs/>
          <w:sz w:val="20"/>
          <w:szCs w:val="20"/>
        </w:rPr>
        <w:t>la propia jurisprudencia de este Tribunal, han</w:t>
      </w:r>
      <w:r w:rsidR="00177A24" w:rsidRPr="00996758">
        <w:rPr>
          <w:rFonts w:ascii="Verdana" w:hAnsi="Verdana" w:cs="Verdana"/>
          <w:bCs/>
          <w:sz w:val="20"/>
          <w:szCs w:val="20"/>
        </w:rPr>
        <w:t xml:space="preserve"> </w:t>
      </w:r>
      <w:r w:rsidRPr="00996758">
        <w:rPr>
          <w:rFonts w:ascii="Verdana" w:hAnsi="Verdana" w:cs="Verdana"/>
          <w:bCs/>
          <w:sz w:val="20"/>
          <w:szCs w:val="20"/>
        </w:rPr>
        <w:t xml:space="preserve">previsto </w:t>
      </w:r>
      <w:r w:rsidR="00177A24" w:rsidRPr="00996758">
        <w:rPr>
          <w:rFonts w:ascii="Verdana" w:hAnsi="Verdana" w:cs="Verdana"/>
          <w:bCs/>
          <w:sz w:val="20"/>
          <w:szCs w:val="20"/>
        </w:rPr>
        <w:t xml:space="preserve">y prohibido </w:t>
      </w:r>
      <w:r w:rsidRPr="00996758">
        <w:rPr>
          <w:rFonts w:ascii="Verdana" w:hAnsi="Verdana" w:cs="Verdana"/>
          <w:bCs/>
          <w:sz w:val="20"/>
          <w:szCs w:val="20"/>
        </w:rPr>
        <w:t>las más graves formas de desaparición forzada</w:t>
      </w:r>
      <w:r w:rsidR="00177A24" w:rsidRPr="00996758">
        <w:rPr>
          <w:rFonts w:ascii="Verdana" w:hAnsi="Verdana" w:cs="Verdana"/>
          <w:bCs/>
          <w:sz w:val="20"/>
          <w:szCs w:val="20"/>
        </w:rPr>
        <w:t xml:space="preserve">, </w:t>
      </w:r>
      <w:r w:rsidR="00AA41CB" w:rsidRPr="00996758">
        <w:rPr>
          <w:rFonts w:ascii="Verdana" w:hAnsi="Verdana" w:cs="Verdana"/>
          <w:bCs/>
          <w:sz w:val="20"/>
          <w:szCs w:val="20"/>
        </w:rPr>
        <w:t>lo que no debe</w:t>
      </w:r>
      <w:r w:rsidR="00177A24" w:rsidRPr="00996758">
        <w:rPr>
          <w:rFonts w:ascii="Verdana" w:hAnsi="Verdana" w:cs="Verdana"/>
          <w:bCs/>
          <w:sz w:val="20"/>
          <w:szCs w:val="20"/>
        </w:rPr>
        <w:t xml:space="preserve"> entenderse como comprensivas de todas las modalidades posibles de esa gravísima violación de derechos humanos</w:t>
      </w:r>
      <w:r w:rsidR="00AA41CB" w:rsidRPr="00996758">
        <w:rPr>
          <w:rFonts w:ascii="Verdana" w:hAnsi="Verdana" w:cs="Verdana"/>
          <w:bCs/>
          <w:sz w:val="20"/>
          <w:szCs w:val="20"/>
        </w:rPr>
        <w:t xml:space="preserve"> y excluyentes de otras no previstas</w:t>
      </w:r>
      <w:r w:rsidRPr="00996758">
        <w:rPr>
          <w:rFonts w:ascii="Verdana" w:hAnsi="Verdana" w:cs="Verdana"/>
          <w:bCs/>
          <w:sz w:val="20"/>
          <w:szCs w:val="20"/>
        </w:rPr>
        <w:t xml:space="preserve">. </w:t>
      </w:r>
      <w:r w:rsidR="007D167A" w:rsidRPr="00996758">
        <w:rPr>
          <w:rFonts w:ascii="Verdana" w:hAnsi="Verdana" w:cs="Verdana"/>
          <w:bCs/>
          <w:sz w:val="20"/>
          <w:szCs w:val="20"/>
        </w:rPr>
        <w:t>Por ende, en algunos casos el análisis de la desaparición con</w:t>
      </w:r>
      <w:r w:rsidR="00801BD4" w:rsidRPr="00996758">
        <w:rPr>
          <w:rFonts w:ascii="Verdana" w:hAnsi="Verdana" w:cs="Verdana"/>
          <w:bCs/>
          <w:sz w:val="20"/>
          <w:szCs w:val="20"/>
        </w:rPr>
        <w:t xml:space="preserve"> base en</w:t>
      </w:r>
      <w:r w:rsidR="007D167A" w:rsidRPr="00996758">
        <w:rPr>
          <w:rFonts w:ascii="Verdana" w:hAnsi="Verdana" w:cs="Verdana"/>
          <w:bCs/>
          <w:sz w:val="20"/>
          <w:szCs w:val="20"/>
        </w:rPr>
        <w:t xml:space="preserve"> los tres elementos referidos puede resultar insuficiente o innecesario. </w:t>
      </w:r>
      <w:r w:rsidR="00177A24" w:rsidRPr="00996758">
        <w:rPr>
          <w:rFonts w:ascii="Verdana" w:hAnsi="Verdana" w:cs="Verdana"/>
          <w:bCs/>
          <w:sz w:val="20"/>
          <w:szCs w:val="20"/>
        </w:rPr>
        <w:t>Así</w:t>
      </w:r>
      <w:r w:rsidRPr="00996758">
        <w:rPr>
          <w:rFonts w:ascii="Verdana" w:hAnsi="Verdana" w:cs="Verdana"/>
          <w:bCs/>
          <w:sz w:val="20"/>
          <w:szCs w:val="20"/>
        </w:rPr>
        <w:t xml:space="preserve">, en casos en que el Estado tiene una especial posición de garante, e independientemente de las responsabilidades individuales que corresponda determinar a las autoridades en el marco de sus respectivas competencias, es posible que se configuren modalidades de desaparición forzada por omisión </w:t>
      </w:r>
      <w:r w:rsidR="00CA4CDF" w:rsidRPr="00996758">
        <w:rPr>
          <w:rFonts w:ascii="Verdana" w:hAnsi="Verdana" w:cs="Verdana"/>
          <w:bCs/>
          <w:sz w:val="20"/>
          <w:szCs w:val="20"/>
        </w:rPr>
        <w:t xml:space="preserve">en </w:t>
      </w:r>
      <w:r w:rsidRPr="00996758">
        <w:rPr>
          <w:rFonts w:ascii="Verdana" w:hAnsi="Verdana" w:cs="Verdana"/>
          <w:bCs/>
          <w:sz w:val="20"/>
          <w:szCs w:val="20"/>
        </w:rPr>
        <w:t xml:space="preserve">el marco de la responsabilidad </w:t>
      </w:r>
      <w:r w:rsidR="006503CA" w:rsidRPr="00996758">
        <w:rPr>
          <w:rFonts w:ascii="Verdana" w:hAnsi="Verdana" w:cs="Verdana"/>
          <w:bCs/>
          <w:sz w:val="20"/>
          <w:szCs w:val="20"/>
        </w:rPr>
        <w:t>internacional</w:t>
      </w:r>
      <w:r w:rsidRPr="00996758">
        <w:rPr>
          <w:rFonts w:ascii="Verdana" w:hAnsi="Verdana" w:cs="Verdana"/>
          <w:bCs/>
          <w:sz w:val="20"/>
          <w:szCs w:val="20"/>
        </w:rPr>
        <w:t xml:space="preserve"> del Estado. </w:t>
      </w:r>
      <w:r w:rsidR="006503CA" w:rsidRPr="00996758">
        <w:rPr>
          <w:rFonts w:ascii="Verdana" w:hAnsi="Verdana" w:cs="Verdana"/>
          <w:bCs/>
          <w:sz w:val="20"/>
          <w:szCs w:val="20"/>
        </w:rPr>
        <w:t>Así, b</w:t>
      </w:r>
      <w:r w:rsidR="008106D4" w:rsidRPr="00996758">
        <w:rPr>
          <w:rFonts w:ascii="Verdana" w:hAnsi="Verdana" w:cs="Verdana"/>
          <w:bCs/>
          <w:sz w:val="20"/>
          <w:szCs w:val="20"/>
        </w:rPr>
        <w:t>ajo la Convención Americana se puede configurar ese hecho ilícito internacional en casos de desaparición de personas privadas de liber</w:t>
      </w:r>
      <w:r w:rsidR="009B208C" w:rsidRPr="00996758">
        <w:rPr>
          <w:rFonts w:ascii="Verdana" w:hAnsi="Verdana" w:cs="Verdana"/>
          <w:bCs/>
          <w:sz w:val="20"/>
          <w:szCs w:val="20"/>
        </w:rPr>
        <w:t>tad, en razón de la participación</w:t>
      </w:r>
      <w:r w:rsidR="008106D4" w:rsidRPr="00996758">
        <w:rPr>
          <w:rFonts w:ascii="Verdana" w:hAnsi="Verdana" w:cs="Verdana"/>
          <w:bCs/>
          <w:sz w:val="20"/>
          <w:szCs w:val="20"/>
        </w:rPr>
        <w:t xml:space="preserve"> por omisión de los agentes estatales que debían velar por la garantía de sus derechos, i</w:t>
      </w:r>
      <w:r w:rsidR="002E79D4" w:rsidRPr="00996758">
        <w:rPr>
          <w:rFonts w:ascii="Verdana" w:hAnsi="Verdana"/>
          <w:sz w:val="20"/>
          <w:szCs w:val="20"/>
        </w:rPr>
        <w:t xml:space="preserve">ndependientemente </w:t>
      </w:r>
      <w:r w:rsidR="008106D4" w:rsidRPr="00996758">
        <w:rPr>
          <w:rFonts w:ascii="Verdana" w:hAnsi="Verdana"/>
          <w:sz w:val="20"/>
          <w:szCs w:val="20"/>
        </w:rPr>
        <w:t xml:space="preserve">de </w:t>
      </w:r>
      <w:r w:rsidR="00801BD4" w:rsidRPr="00996758">
        <w:rPr>
          <w:rFonts w:ascii="Verdana" w:hAnsi="Verdana"/>
          <w:sz w:val="20"/>
          <w:szCs w:val="20"/>
        </w:rPr>
        <w:t>si existen además</w:t>
      </w:r>
      <w:r w:rsidR="008106D4" w:rsidRPr="00996758">
        <w:rPr>
          <w:rFonts w:ascii="Verdana" w:hAnsi="Verdana"/>
          <w:sz w:val="20"/>
          <w:szCs w:val="20"/>
        </w:rPr>
        <w:t xml:space="preserve"> pruebas de participación directa u otras formas de aquiescencia.</w:t>
      </w:r>
      <w:r w:rsidR="002E79D4" w:rsidRPr="00996758">
        <w:rPr>
          <w:rFonts w:ascii="Verdana" w:hAnsi="Verdana"/>
          <w:sz w:val="20"/>
          <w:szCs w:val="20"/>
        </w:rPr>
        <w:t xml:space="preserve"> </w:t>
      </w:r>
    </w:p>
    <w:p w:rsidR="006D0006" w:rsidRPr="00996758" w:rsidRDefault="006D0006">
      <w:pPr>
        <w:pBdr>
          <w:top w:val="nil"/>
        </w:pBdr>
        <w:spacing w:after="0" w:line="240" w:lineRule="auto"/>
        <w:jc w:val="both"/>
        <w:rPr>
          <w:rFonts w:ascii="Verdana" w:hAnsi="Verdana" w:cs="Verdana"/>
          <w:bCs/>
          <w:sz w:val="20"/>
          <w:szCs w:val="20"/>
        </w:rPr>
      </w:pPr>
    </w:p>
    <w:p w:rsidR="008032AE" w:rsidRPr="00996758" w:rsidRDefault="007D167A"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Además</w:t>
      </w:r>
      <w:r w:rsidR="006D0006" w:rsidRPr="00996758">
        <w:rPr>
          <w:rFonts w:ascii="Verdana" w:hAnsi="Verdana" w:cs="Verdana"/>
          <w:bCs/>
          <w:sz w:val="20"/>
          <w:szCs w:val="20"/>
        </w:rPr>
        <w:t xml:space="preserve">, </w:t>
      </w:r>
      <w:r w:rsidR="00F50C40" w:rsidRPr="00996758">
        <w:rPr>
          <w:rFonts w:ascii="Verdana" w:hAnsi="Verdana" w:cs="Verdana"/>
          <w:spacing w:val="-2"/>
          <w:sz w:val="20"/>
          <w:szCs w:val="20"/>
        </w:rPr>
        <w:t>toda vez que</w:t>
      </w:r>
      <w:r w:rsidR="00F50C40" w:rsidRPr="00996758">
        <w:rPr>
          <w:rFonts w:ascii="Verdana" w:hAnsi="Verdana"/>
          <w:sz w:val="20"/>
          <w:szCs w:val="20"/>
        </w:rPr>
        <w:t xml:space="preserve"> se sospeche que una persona ha sido sometida a desaparición forzada estando </w:t>
      </w:r>
      <w:r w:rsidR="00F50C40" w:rsidRPr="00996758">
        <w:rPr>
          <w:rFonts w:ascii="Verdana" w:hAnsi="Verdana" w:cs="Verdana"/>
          <w:bCs/>
          <w:sz w:val="20"/>
          <w:szCs w:val="20"/>
        </w:rPr>
        <w:t>bajo custodia del Estado, éste tiene la obligación de proveer una explicación inmediata, satisfactoria y convincente de lo sucedido a la persona</w:t>
      </w:r>
      <w:r w:rsidR="00F50C40" w:rsidRPr="00996758">
        <w:rPr>
          <w:rStyle w:val="FootnoteAnchor"/>
          <w:rFonts w:ascii="Verdana" w:hAnsi="Verdana" w:cs="Verdana"/>
          <w:bCs/>
          <w:sz w:val="20"/>
          <w:szCs w:val="20"/>
        </w:rPr>
        <w:footnoteReference w:id="98"/>
      </w:r>
      <w:r w:rsidR="00F50C40" w:rsidRPr="00996758">
        <w:rPr>
          <w:rFonts w:ascii="Verdana" w:hAnsi="Verdana" w:cs="Verdana"/>
          <w:bCs/>
          <w:sz w:val="20"/>
          <w:szCs w:val="20"/>
        </w:rPr>
        <w:t>, lo cual está naturalmente ligado a la obligación estatal de realizar una investigación seria y diligente al respecto</w:t>
      </w:r>
      <w:r w:rsidR="00F50C40" w:rsidRPr="00996758">
        <w:rPr>
          <w:rStyle w:val="FootnoteReference"/>
          <w:rFonts w:ascii="Verdana" w:hAnsi="Verdana" w:cs="Verdana"/>
          <w:bCs/>
          <w:sz w:val="20"/>
          <w:szCs w:val="20"/>
        </w:rPr>
        <w:footnoteReference w:id="99"/>
      </w:r>
      <w:r w:rsidR="00F50C40" w:rsidRPr="00996758">
        <w:rPr>
          <w:rFonts w:ascii="Verdana" w:hAnsi="Verdana" w:cs="Verdana"/>
          <w:bCs/>
          <w:sz w:val="20"/>
          <w:szCs w:val="20"/>
        </w:rPr>
        <w:t xml:space="preserve"> (</w:t>
      </w:r>
      <w:r w:rsidR="00F50C40" w:rsidRPr="00996758">
        <w:rPr>
          <w:rFonts w:ascii="Verdana" w:hAnsi="Verdana" w:cs="Verdana"/>
          <w:bCs/>
          <w:i/>
          <w:sz w:val="20"/>
          <w:szCs w:val="20"/>
        </w:rPr>
        <w:t>infra</w:t>
      </w:r>
      <w:r w:rsidR="00241043" w:rsidRPr="00996758">
        <w:rPr>
          <w:rFonts w:ascii="Verdana" w:hAnsi="Verdana" w:cs="Verdana"/>
          <w:bCs/>
          <w:sz w:val="20"/>
          <w:szCs w:val="20"/>
        </w:rPr>
        <w:t xml:space="preserve"> párr. 151</w:t>
      </w:r>
      <w:r w:rsidR="00F50C40" w:rsidRPr="00996758">
        <w:rPr>
          <w:rFonts w:ascii="Verdana" w:hAnsi="Verdana" w:cs="Verdana"/>
          <w:bCs/>
          <w:sz w:val="20"/>
          <w:szCs w:val="20"/>
        </w:rPr>
        <w:t xml:space="preserve">). </w:t>
      </w:r>
      <w:r w:rsidR="008106D4" w:rsidRPr="00996758">
        <w:rPr>
          <w:rFonts w:ascii="Verdana" w:hAnsi="Verdana" w:cs="Verdana"/>
          <w:bCs/>
          <w:sz w:val="20"/>
          <w:szCs w:val="20"/>
        </w:rPr>
        <w:t>E</w:t>
      </w:r>
      <w:r w:rsidR="003263F1" w:rsidRPr="00996758">
        <w:rPr>
          <w:rFonts w:ascii="Verdana" w:hAnsi="Verdana" w:cs="Verdana"/>
          <w:bCs/>
          <w:sz w:val="20"/>
          <w:szCs w:val="20"/>
        </w:rPr>
        <w:t>n</w:t>
      </w:r>
      <w:r w:rsidR="008106D4" w:rsidRPr="00996758">
        <w:rPr>
          <w:rFonts w:ascii="Verdana" w:hAnsi="Verdana" w:cs="Verdana"/>
          <w:bCs/>
          <w:sz w:val="20"/>
          <w:szCs w:val="20"/>
        </w:rPr>
        <w:t xml:space="preserve"> efecto, en</w:t>
      </w:r>
      <w:r w:rsidR="003263F1" w:rsidRPr="00996758">
        <w:rPr>
          <w:rFonts w:ascii="Verdana" w:hAnsi="Verdana" w:cs="Verdana"/>
          <w:bCs/>
          <w:sz w:val="20"/>
          <w:szCs w:val="20"/>
        </w:rPr>
        <w:t xml:space="preserve"> casos anteriores este Tribunal ha considerado que la falta de esclarecimiento de los hechos por parte del Estado es un elemento suficiente y razonable para otorgar valor a las pruebas e indicios que indican la comisión de una desaparición forzada</w:t>
      </w:r>
      <w:r w:rsidR="003263F1" w:rsidRPr="00996758">
        <w:rPr>
          <w:rStyle w:val="FootnoteReference"/>
          <w:rFonts w:ascii="Verdana" w:hAnsi="Verdana" w:cs="Verdana"/>
          <w:bCs/>
          <w:sz w:val="20"/>
          <w:szCs w:val="20"/>
        </w:rPr>
        <w:footnoteReference w:id="100"/>
      </w:r>
      <w:r w:rsidR="008106D4" w:rsidRPr="00996758">
        <w:rPr>
          <w:rFonts w:ascii="Verdana" w:hAnsi="Verdana" w:cs="Verdana"/>
          <w:bCs/>
          <w:sz w:val="20"/>
          <w:szCs w:val="20"/>
        </w:rPr>
        <w:t xml:space="preserve"> o, en casos como el presente,</w:t>
      </w:r>
      <w:r w:rsidR="003263F1" w:rsidRPr="00996758">
        <w:rPr>
          <w:rFonts w:ascii="Verdana" w:hAnsi="Verdana" w:cs="Verdana"/>
          <w:bCs/>
          <w:sz w:val="20"/>
          <w:szCs w:val="20"/>
        </w:rPr>
        <w:t xml:space="preserve"> </w:t>
      </w:r>
      <w:r w:rsidR="008106D4" w:rsidRPr="00996758">
        <w:rPr>
          <w:rFonts w:ascii="Verdana" w:hAnsi="Verdana" w:cs="Verdana"/>
          <w:bCs/>
          <w:sz w:val="20"/>
          <w:szCs w:val="20"/>
        </w:rPr>
        <w:t xml:space="preserve">para concluir la configuración de la misma </w:t>
      </w:r>
      <w:r w:rsidR="00456D48" w:rsidRPr="00996758">
        <w:rPr>
          <w:rFonts w:ascii="Verdana" w:hAnsi="Verdana" w:cs="Verdana"/>
          <w:bCs/>
          <w:sz w:val="20"/>
          <w:szCs w:val="20"/>
        </w:rPr>
        <w:t xml:space="preserve">cuando la persona </w:t>
      </w:r>
      <w:r w:rsidR="0065528C" w:rsidRPr="00996758">
        <w:rPr>
          <w:rFonts w:ascii="Verdana" w:hAnsi="Verdana" w:cs="Verdana"/>
          <w:bCs/>
          <w:sz w:val="20"/>
          <w:szCs w:val="20"/>
        </w:rPr>
        <w:t xml:space="preserve">se encontraba bajo custodia </w:t>
      </w:r>
      <w:r w:rsidR="00456D48" w:rsidRPr="00996758">
        <w:rPr>
          <w:rFonts w:ascii="Verdana" w:hAnsi="Verdana" w:cs="Verdana"/>
          <w:bCs/>
          <w:sz w:val="20"/>
          <w:szCs w:val="20"/>
        </w:rPr>
        <w:t>estatal</w:t>
      </w:r>
      <w:r w:rsidR="008032AE" w:rsidRPr="00996758">
        <w:rPr>
          <w:rFonts w:ascii="Verdana" w:hAnsi="Verdana" w:cs="Verdana"/>
          <w:bCs/>
          <w:sz w:val="20"/>
          <w:szCs w:val="20"/>
        </w:rPr>
        <w:t>.</w:t>
      </w:r>
      <w:r w:rsidR="006D07BD" w:rsidRPr="00996758">
        <w:rPr>
          <w:rFonts w:ascii="Verdana" w:hAnsi="Verdana" w:cs="Verdana"/>
          <w:bCs/>
          <w:sz w:val="20"/>
          <w:szCs w:val="20"/>
        </w:rPr>
        <w:t xml:space="preserve"> </w:t>
      </w:r>
    </w:p>
    <w:p w:rsidR="008032AE" w:rsidRPr="00996758" w:rsidRDefault="008032AE">
      <w:pPr>
        <w:pBdr>
          <w:top w:val="nil"/>
        </w:pBdr>
        <w:spacing w:after="0" w:line="240" w:lineRule="auto"/>
        <w:jc w:val="both"/>
        <w:rPr>
          <w:rFonts w:ascii="Verdana" w:hAnsi="Verdana" w:cs="Verdana"/>
          <w:bCs/>
          <w:sz w:val="20"/>
          <w:szCs w:val="20"/>
        </w:rPr>
      </w:pPr>
    </w:p>
    <w:p w:rsidR="00202A69" w:rsidRPr="00996758" w:rsidRDefault="00456D48"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En este caso</w:t>
      </w:r>
      <w:r w:rsidR="00A07AF7" w:rsidRPr="00996758">
        <w:rPr>
          <w:rFonts w:ascii="Verdana" w:hAnsi="Verdana" w:cs="Verdana"/>
          <w:bCs/>
          <w:sz w:val="20"/>
          <w:szCs w:val="20"/>
        </w:rPr>
        <w:t>,</w:t>
      </w:r>
      <w:r w:rsidRPr="00996758">
        <w:rPr>
          <w:rFonts w:ascii="Verdana" w:hAnsi="Verdana" w:cs="Verdana"/>
          <w:bCs/>
          <w:sz w:val="20"/>
          <w:szCs w:val="20"/>
        </w:rPr>
        <w:t xml:space="preserve"> el Estado</w:t>
      </w:r>
      <w:r w:rsidR="001707A1" w:rsidRPr="00996758">
        <w:rPr>
          <w:rFonts w:ascii="Verdana" w:hAnsi="Verdana" w:cs="Verdana"/>
          <w:bCs/>
          <w:sz w:val="20"/>
          <w:szCs w:val="20"/>
        </w:rPr>
        <w:t xml:space="preserve"> se allanó </w:t>
      </w:r>
      <w:r w:rsidR="00105576" w:rsidRPr="00996758">
        <w:rPr>
          <w:rFonts w:ascii="Verdana" w:hAnsi="Verdana" w:cs="Verdana"/>
          <w:bCs/>
          <w:sz w:val="20"/>
          <w:szCs w:val="20"/>
        </w:rPr>
        <w:t xml:space="preserve">parcialmente </w:t>
      </w:r>
      <w:r w:rsidRPr="00996758">
        <w:rPr>
          <w:rFonts w:ascii="Verdana" w:hAnsi="Verdana" w:cs="Verdana"/>
          <w:bCs/>
          <w:sz w:val="20"/>
          <w:szCs w:val="20"/>
        </w:rPr>
        <w:t>respecto de</w:t>
      </w:r>
      <w:r w:rsidR="00160F33" w:rsidRPr="00996758">
        <w:rPr>
          <w:rFonts w:ascii="Verdana" w:hAnsi="Verdana" w:cs="Verdana"/>
          <w:bCs/>
          <w:sz w:val="20"/>
          <w:szCs w:val="20"/>
        </w:rPr>
        <w:t xml:space="preserve"> </w:t>
      </w:r>
      <w:r w:rsidR="001707A1" w:rsidRPr="00996758">
        <w:rPr>
          <w:rFonts w:ascii="Verdana" w:hAnsi="Verdana" w:cs="Verdana"/>
          <w:bCs/>
          <w:sz w:val="20"/>
          <w:szCs w:val="20"/>
        </w:rPr>
        <w:t xml:space="preserve">la </w:t>
      </w:r>
      <w:r w:rsidR="00160F33" w:rsidRPr="00996758">
        <w:rPr>
          <w:rFonts w:ascii="Verdana" w:hAnsi="Verdana" w:cs="Verdana"/>
          <w:bCs/>
          <w:sz w:val="20"/>
          <w:szCs w:val="20"/>
        </w:rPr>
        <w:t xml:space="preserve">violación de los derechos a las garantías judiciales y a la protección judicial del señor Isaza Uribe, tanto por la demora </w:t>
      </w:r>
      <w:r w:rsidR="00160F33" w:rsidRPr="00996758">
        <w:rPr>
          <w:rFonts w:ascii="Verdana" w:hAnsi="Verdana" w:cs="Verdana"/>
          <w:bCs/>
          <w:sz w:val="20"/>
          <w:szCs w:val="20"/>
        </w:rPr>
        <w:lastRenderedPageBreak/>
        <w:t xml:space="preserve">prolongada de la investigación en la vía penal ordinaria como por inconsistencias en la práctica de diligencias, particularmente la falta de acciones urgentes de búsqueda luego de su sustracción de la cárcel, entre otras. </w:t>
      </w:r>
      <w:r w:rsidR="00933B7C" w:rsidRPr="00996758">
        <w:rPr>
          <w:rFonts w:ascii="Verdana" w:hAnsi="Verdana" w:cs="Verdana"/>
          <w:bCs/>
          <w:sz w:val="20"/>
          <w:szCs w:val="20"/>
        </w:rPr>
        <w:t>A</w:t>
      </w:r>
      <w:r w:rsidR="008F068B" w:rsidRPr="00996758">
        <w:rPr>
          <w:rFonts w:ascii="Verdana" w:hAnsi="Verdana" w:cs="Verdana"/>
          <w:bCs/>
          <w:sz w:val="20"/>
          <w:szCs w:val="20"/>
        </w:rPr>
        <w:t xml:space="preserve">l haber aceptado </w:t>
      </w:r>
      <w:r w:rsidR="006D07BD" w:rsidRPr="00996758">
        <w:rPr>
          <w:rFonts w:ascii="Verdana" w:hAnsi="Verdana" w:cs="Verdana"/>
          <w:bCs/>
          <w:sz w:val="20"/>
          <w:szCs w:val="20"/>
        </w:rPr>
        <w:t xml:space="preserve">que </w:t>
      </w:r>
      <w:r w:rsidR="006D07BD" w:rsidRPr="00996758">
        <w:rPr>
          <w:rFonts w:ascii="Verdana" w:hAnsi="Verdana"/>
          <w:sz w:val="20"/>
          <w:szCs w:val="20"/>
        </w:rPr>
        <w:t xml:space="preserve">se presume su responsabilidad por haber fallado en su deber de custodia, seguridad y protección del señor Isaza Uribe mientras estaba en detención, </w:t>
      </w:r>
      <w:r w:rsidR="008F068B" w:rsidRPr="00996758">
        <w:rPr>
          <w:rFonts w:ascii="Verdana" w:hAnsi="Verdana"/>
          <w:sz w:val="20"/>
          <w:szCs w:val="20"/>
        </w:rPr>
        <w:t>el Estado también</w:t>
      </w:r>
      <w:r w:rsidR="006D07BD" w:rsidRPr="00996758">
        <w:rPr>
          <w:rFonts w:ascii="Verdana" w:hAnsi="Verdana"/>
          <w:sz w:val="20"/>
          <w:szCs w:val="20"/>
        </w:rPr>
        <w:t xml:space="preserve"> aceptó</w:t>
      </w:r>
      <w:r w:rsidR="008F068B" w:rsidRPr="00996758">
        <w:rPr>
          <w:rFonts w:ascii="Verdana" w:hAnsi="Verdana"/>
          <w:sz w:val="20"/>
          <w:szCs w:val="20"/>
        </w:rPr>
        <w:t xml:space="preserve"> que ello</w:t>
      </w:r>
      <w:r w:rsidR="006D07BD" w:rsidRPr="00996758">
        <w:rPr>
          <w:rFonts w:ascii="Verdana" w:hAnsi="Verdana"/>
          <w:sz w:val="20"/>
          <w:szCs w:val="20"/>
        </w:rPr>
        <w:t xml:space="preserve"> “se relaciona de manera directa con la ausencia de una investigación efectiva”</w:t>
      </w:r>
      <w:r w:rsidRPr="00996758">
        <w:rPr>
          <w:rFonts w:ascii="Verdana" w:hAnsi="Verdana"/>
          <w:sz w:val="20"/>
          <w:szCs w:val="20"/>
        </w:rPr>
        <w:t xml:space="preserve"> (</w:t>
      </w:r>
      <w:r w:rsidRPr="00996758">
        <w:rPr>
          <w:rFonts w:ascii="Verdana" w:hAnsi="Verdana"/>
          <w:i/>
          <w:sz w:val="20"/>
          <w:szCs w:val="20"/>
        </w:rPr>
        <w:t xml:space="preserve">supra </w:t>
      </w:r>
      <w:r w:rsidR="00F201AE" w:rsidRPr="00996758">
        <w:rPr>
          <w:rFonts w:ascii="Verdana" w:hAnsi="Verdana"/>
          <w:sz w:val="20"/>
          <w:szCs w:val="20"/>
        </w:rPr>
        <w:t>párr. 18</w:t>
      </w:r>
      <w:r w:rsidRPr="00996758">
        <w:rPr>
          <w:rFonts w:ascii="Verdana" w:hAnsi="Verdana"/>
          <w:sz w:val="20"/>
          <w:szCs w:val="20"/>
        </w:rPr>
        <w:t>)</w:t>
      </w:r>
      <w:r w:rsidR="006D07BD" w:rsidRPr="00996758">
        <w:rPr>
          <w:rFonts w:ascii="Verdana" w:hAnsi="Verdana"/>
          <w:sz w:val="20"/>
          <w:szCs w:val="20"/>
        </w:rPr>
        <w:t>.</w:t>
      </w:r>
      <w:r w:rsidR="00933B7C" w:rsidRPr="00996758">
        <w:rPr>
          <w:rFonts w:ascii="Verdana" w:hAnsi="Verdana"/>
          <w:sz w:val="20"/>
          <w:szCs w:val="20"/>
        </w:rPr>
        <w:t xml:space="preserve"> </w:t>
      </w:r>
      <w:r w:rsidR="002F29C3" w:rsidRPr="00996758">
        <w:rPr>
          <w:rFonts w:ascii="Verdana" w:hAnsi="Verdana" w:cs="Verdana"/>
          <w:bCs/>
          <w:sz w:val="20"/>
          <w:szCs w:val="20"/>
        </w:rPr>
        <w:t>Así</w:t>
      </w:r>
      <w:r w:rsidR="006503CA" w:rsidRPr="00996758">
        <w:rPr>
          <w:rFonts w:ascii="Verdana" w:hAnsi="Verdana" w:cs="Verdana"/>
          <w:bCs/>
          <w:sz w:val="20"/>
          <w:szCs w:val="20"/>
        </w:rPr>
        <w:t>, han transcurrido más de 31</w:t>
      </w:r>
      <w:r w:rsidR="00D319EF" w:rsidRPr="00996758">
        <w:rPr>
          <w:rFonts w:ascii="Verdana" w:hAnsi="Verdana" w:cs="Verdana"/>
          <w:bCs/>
          <w:sz w:val="20"/>
          <w:szCs w:val="20"/>
        </w:rPr>
        <w:t xml:space="preserve"> años desde la desaparición del señor Isaza Uribe sin que </w:t>
      </w:r>
      <w:r w:rsidR="008032AE" w:rsidRPr="00996758">
        <w:rPr>
          <w:rFonts w:ascii="Verdana" w:hAnsi="Verdana" w:cs="Verdana"/>
          <w:bCs/>
          <w:sz w:val="20"/>
          <w:szCs w:val="20"/>
        </w:rPr>
        <w:t>los hechos ha</w:t>
      </w:r>
      <w:r w:rsidR="00D319EF" w:rsidRPr="00996758">
        <w:rPr>
          <w:rFonts w:ascii="Verdana" w:hAnsi="Verdana" w:cs="Verdana"/>
          <w:bCs/>
          <w:sz w:val="20"/>
          <w:szCs w:val="20"/>
        </w:rPr>
        <w:t>ya</w:t>
      </w:r>
      <w:r w:rsidR="008032AE" w:rsidRPr="00996758">
        <w:rPr>
          <w:rFonts w:ascii="Verdana" w:hAnsi="Verdana" w:cs="Verdana"/>
          <w:bCs/>
          <w:sz w:val="20"/>
          <w:szCs w:val="20"/>
        </w:rPr>
        <w:t>n sido esclarecidos judicialmente</w:t>
      </w:r>
      <w:r w:rsidR="00D319EF" w:rsidRPr="00996758">
        <w:rPr>
          <w:rFonts w:ascii="Verdana" w:hAnsi="Verdana" w:cs="Verdana"/>
          <w:bCs/>
          <w:sz w:val="20"/>
          <w:szCs w:val="20"/>
        </w:rPr>
        <w:t xml:space="preserve"> en </w:t>
      </w:r>
      <w:r w:rsidR="00160F33" w:rsidRPr="00996758">
        <w:rPr>
          <w:rFonts w:ascii="Verdana" w:hAnsi="Verdana" w:cs="Verdana"/>
          <w:bCs/>
          <w:sz w:val="20"/>
          <w:szCs w:val="20"/>
        </w:rPr>
        <w:t>dicha</w:t>
      </w:r>
      <w:r w:rsidR="00D319EF" w:rsidRPr="00996758">
        <w:rPr>
          <w:rFonts w:ascii="Verdana" w:hAnsi="Verdana" w:cs="Verdana"/>
          <w:bCs/>
          <w:sz w:val="20"/>
          <w:szCs w:val="20"/>
        </w:rPr>
        <w:t xml:space="preserve"> investigación, la cual no h</w:t>
      </w:r>
      <w:r w:rsidR="00C205EB" w:rsidRPr="00996758">
        <w:rPr>
          <w:rFonts w:ascii="Verdana" w:hAnsi="Verdana" w:cs="Verdana"/>
          <w:bCs/>
          <w:sz w:val="20"/>
          <w:szCs w:val="20"/>
        </w:rPr>
        <w:t>a pasado de la fase preliminar</w:t>
      </w:r>
      <w:r w:rsidRPr="00996758">
        <w:rPr>
          <w:rFonts w:ascii="Verdana" w:hAnsi="Verdana" w:cs="Verdana"/>
          <w:bCs/>
          <w:sz w:val="20"/>
          <w:szCs w:val="20"/>
        </w:rPr>
        <w:t>, y</w:t>
      </w:r>
      <w:r w:rsidR="00C205EB" w:rsidRPr="00996758">
        <w:rPr>
          <w:rFonts w:ascii="Verdana" w:hAnsi="Verdana" w:cs="Verdana"/>
          <w:bCs/>
          <w:sz w:val="20"/>
          <w:szCs w:val="20"/>
        </w:rPr>
        <w:t xml:space="preserve"> </w:t>
      </w:r>
      <w:r w:rsidRPr="00996758">
        <w:rPr>
          <w:rFonts w:ascii="Verdana" w:hAnsi="Verdana" w:cs="Verdana"/>
          <w:bCs/>
          <w:sz w:val="20"/>
          <w:szCs w:val="20"/>
        </w:rPr>
        <w:t xml:space="preserve">las conclusiones de las autoridades en las vías contencioso-administrativa y disciplinaria no han sido completas </w:t>
      </w:r>
      <w:r w:rsidR="00057D91" w:rsidRPr="00996758">
        <w:rPr>
          <w:rFonts w:ascii="Verdana" w:hAnsi="Verdana" w:cs="Verdana"/>
          <w:bCs/>
          <w:sz w:val="20"/>
          <w:szCs w:val="20"/>
        </w:rPr>
        <w:t>(</w:t>
      </w:r>
      <w:r w:rsidR="00057D91" w:rsidRPr="00996758">
        <w:rPr>
          <w:rFonts w:ascii="Verdana" w:hAnsi="Verdana" w:cs="Verdana"/>
          <w:bCs/>
          <w:i/>
          <w:sz w:val="20"/>
          <w:szCs w:val="20"/>
        </w:rPr>
        <w:t>infra</w:t>
      </w:r>
      <w:r w:rsidR="00A27730" w:rsidRPr="00996758">
        <w:rPr>
          <w:rFonts w:ascii="Verdana" w:hAnsi="Verdana" w:cs="Verdana"/>
          <w:bCs/>
          <w:sz w:val="20"/>
          <w:szCs w:val="20"/>
        </w:rPr>
        <w:t xml:space="preserve"> párrs. 102, 107 a</w:t>
      </w:r>
      <w:r w:rsidR="00241043" w:rsidRPr="00996758">
        <w:rPr>
          <w:rFonts w:ascii="Verdana" w:hAnsi="Verdana" w:cs="Verdana"/>
          <w:bCs/>
          <w:sz w:val="20"/>
          <w:szCs w:val="20"/>
        </w:rPr>
        <w:t xml:space="preserve"> 109 y 152 a 159</w:t>
      </w:r>
      <w:r w:rsidRPr="00996758">
        <w:rPr>
          <w:rFonts w:ascii="Verdana" w:hAnsi="Verdana" w:cs="Verdana"/>
          <w:bCs/>
          <w:sz w:val="20"/>
          <w:szCs w:val="20"/>
        </w:rPr>
        <w:t xml:space="preserve">). </w:t>
      </w:r>
      <w:r w:rsidR="003263F1" w:rsidRPr="00996758">
        <w:rPr>
          <w:rFonts w:ascii="Verdana" w:hAnsi="Verdana" w:cs="Verdana"/>
          <w:bCs/>
          <w:sz w:val="20"/>
          <w:szCs w:val="20"/>
        </w:rPr>
        <w:t xml:space="preserve"> </w:t>
      </w:r>
    </w:p>
    <w:p w:rsidR="00057D91" w:rsidRPr="00996758" w:rsidRDefault="00057D91">
      <w:pPr>
        <w:pStyle w:val="ListParagraph"/>
        <w:spacing w:after="0" w:line="240" w:lineRule="auto"/>
        <w:ind w:left="0"/>
        <w:jc w:val="both"/>
        <w:rPr>
          <w:rFonts w:ascii="Verdana" w:hAnsi="Verdana"/>
          <w:bCs/>
          <w:sz w:val="20"/>
          <w:szCs w:val="20"/>
        </w:rPr>
      </w:pPr>
    </w:p>
    <w:p w:rsidR="00057D91" w:rsidRPr="00996758" w:rsidRDefault="00057D91"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sz w:val="20"/>
          <w:szCs w:val="20"/>
        </w:rPr>
        <w:t xml:space="preserve">De este modo, </w:t>
      </w:r>
      <w:r w:rsidRPr="00996758">
        <w:rPr>
          <w:rFonts w:ascii="Verdana" w:hAnsi="Verdana" w:cs="Verdana"/>
          <w:bCs/>
          <w:sz w:val="20"/>
          <w:szCs w:val="20"/>
        </w:rPr>
        <w:t>dado que la respuesta investigativa del Estado no constituye una explicación sobre lo sucedido</w:t>
      </w:r>
      <w:r w:rsidR="006D07BD" w:rsidRPr="00996758">
        <w:rPr>
          <w:rFonts w:ascii="Verdana" w:hAnsi="Verdana" w:cs="Verdana"/>
          <w:bCs/>
          <w:sz w:val="20"/>
          <w:szCs w:val="20"/>
        </w:rPr>
        <w:t xml:space="preserve"> a la presunta víctima desaparecida mientras se encontraba bajo su custodia</w:t>
      </w:r>
      <w:r w:rsidRPr="00996758">
        <w:rPr>
          <w:rFonts w:ascii="Verdana" w:hAnsi="Verdana" w:cs="Verdana"/>
          <w:bCs/>
          <w:sz w:val="20"/>
          <w:szCs w:val="20"/>
        </w:rPr>
        <w:t xml:space="preserve">, </w:t>
      </w:r>
      <w:r w:rsidR="00DD417A" w:rsidRPr="00996758">
        <w:rPr>
          <w:rFonts w:ascii="Verdana" w:hAnsi="Verdana" w:cs="Verdana"/>
          <w:bCs/>
          <w:sz w:val="20"/>
          <w:szCs w:val="20"/>
        </w:rPr>
        <w:t xml:space="preserve">la Corte considera que </w:t>
      </w:r>
      <w:r w:rsidR="006D07BD" w:rsidRPr="00996758">
        <w:rPr>
          <w:rFonts w:ascii="Verdana" w:hAnsi="Verdana" w:cs="Verdana"/>
          <w:bCs/>
          <w:sz w:val="20"/>
          <w:szCs w:val="20"/>
        </w:rPr>
        <w:t>aquél</w:t>
      </w:r>
      <w:r w:rsidRPr="00996758">
        <w:rPr>
          <w:rFonts w:ascii="Verdana" w:hAnsi="Verdana" w:cs="Verdana"/>
          <w:bCs/>
          <w:sz w:val="20"/>
          <w:szCs w:val="20"/>
        </w:rPr>
        <w:t xml:space="preserve"> no ha desvirtuado la presunción de su responsabilidad</w:t>
      </w:r>
      <w:r w:rsidR="00DD417A" w:rsidRPr="00996758">
        <w:rPr>
          <w:rFonts w:ascii="Verdana" w:hAnsi="Verdana" w:cs="Verdana"/>
          <w:bCs/>
          <w:sz w:val="20"/>
          <w:szCs w:val="20"/>
        </w:rPr>
        <w:t xml:space="preserve">. </w:t>
      </w:r>
      <w:r w:rsidR="006D07BD" w:rsidRPr="00996758">
        <w:rPr>
          <w:rFonts w:ascii="Verdana" w:hAnsi="Verdana" w:cs="Verdana"/>
          <w:bCs/>
          <w:sz w:val="20"/>
          <w:szCs w:val="20"/>
        </w:rPr>
        <w:t xml:space="preserve">En consecuencia, el Tribunal considera que </w:t>
      </w:r>
      <w:r w:rsidR="00456D48" w:rsidRPr="00996758">
        <w:rPr>
          <w:rFonts w:ascii="Verdana" w:hAnsi="Verdana" w:cs="Verdana"/>
          <w:bCs/>
          <w:sz w:val="20"/>
          <w:szCs w:val="20"/>
        </w:rPr>
        <w:t>en este caso se configur</w:t>
      </w:r>
      <w:r w:rsidR="007D167A" w:rsidRPr="00996758">
        <w:rPr>
          <w:rFonts w:ascii="Verdana" w:hAnsi="Verdana" w:cs="Verdana"/>
          <w:bCs/>
          <w:sz w:val="20"/>
          <w:szCs w:val="20"/>
        </w:rPr>
        <w:t xml:space="preserve">ó </w:t>
      </w:r>
      <w:r w:rsidR="00456D48" w:rsidRPr="00996758">
        <w:rPr>
          <w:rFonts w:ascii="Verdana" w:hAnsi="Verdana" w:cs="Verdana"/>
          <w:bCs/>
          <w:sz w:val="20"/>
          <w:szCs w:val="20"/>
        </w:rPr>
        <w:t xml:space="preserve">la desaparición forzada del </w:t>
      </w:r>
      <w:r w:rsidR="006D07BD" w:rsidRPr="00996758">
        <w:rPr>
          <w:rFonts w:ascii="Verdana" w:hAnsi="Verdana" w:cs="Verdana"/>
          <w:bCs/>
          <w:sz w:val="20"/>
          <w:szCs w:val="20"/>
        </w:rPr>
        <w:t>señor Isaza Uribe</w:t>
      </w:r>
      <w:r w:rsidR="00456D48" w:rsidRPr="00996758">
        <w:rPr>
          <w:rFonts w:ascii="Verdana" w:hAnsi="Verdana" w:cs="Verdana"/>
          <w:bCs/>
          <w:sz w:val="20"/>
          <w:szCs w:val="20"/>
        </w:rPr>
        <w:t>, por la cual el Estado es responsable</w:t>
      </w:r>
      <w:r w:rsidR="00F544CE" w:rsidRPr="00996758">
        <w:rPr>
          <w:rFonts w:ascii="Verdana" w:hAnsi="Verdana" w:cs="Verdana"/>
          <w:bCs/>
          <w:sz w:val="20"/>
          <w:szCs w:val="20"/>
        </w:rPr>
        <w:t xml:space="preserve"> por la violación de los derechos reconocidos en los artículos 3, 4.1, 5.1 y 7.1 de la Convención Americana</w:t>
      </w:r>
      <w:r w:rsidRPr="00996758">
        <w:rPr>
          <w:rFonts w:ascii="Verdana" w:hAnsi="Verdana" w:cs="Verdana"/>
          <w:bCs/>
          <w:sz w:val="20"/>
          <w:szCs w:val="20"/>
        </w:rPr>
        <w:t xml:space="preserve">. </w:t>
      </w:r>
    </w:p>
    <w:p w:rsidR="00D319EF" w:rsidRPr="00996758" w:rsidRDefault="00D319EF">
      <w:pPr>
        <w:pBdr>
          <w:top w:val="nil"/>
        </w:pBdr>
        <w:spacing w:after="0" w:line="240" w:lineRule="auto"/>
        <w:jc w:val="both"/>
        <w:rPr>
          <w:rFonts w:ascii="Verdana" w:hAnsi="Verdana" w:cs="Verdana"/>
          <w:bCs/>
          <w:sz w:val="20"/>
          <w:szCs w:val="20"/>
        </w:rPr>
      </w:pPr>
    </w:p>
    <w:p w:rsidR="001C680F" w:rsidRPr="00996758" w:rsidRDefault="00746763" w:rsidP="00484279">
      <w:pPr>
        <w:numPr>
          <w:ilvl w:val="0"/>
          <w:numId w:val="10"/>
        </w:numPr>
        <w:pBdr>
          <w:top w:val="nil"/>
        </w:pBdr>
        <w:spacing w:after="0" w:line="240" w:lineRule="auto"/>
        <w:ind w:left="0" w:firstLine="0"/>
        <w:jc w:val="both"/>
        <w:rPr>
          <w:rFonts w:ascii="Verdana" w:hAnsi="Verdana" w:cs="Times New Roman"/>
          <w:sz w:val="20"/>
          <w:szCs w:val="20"/>
          <w:lang w:eastAsia="es-CR"/>
        </w:rPr>
      </w:pPr>
      <w:r w:rsidRPr="00996758">
        <w:rPr>
          <w:rFonts w:ascii="Verdana" w:hAnsi="Verdana" w:cs="Verdana"/>
          <w:bCs/>
          <w:sz w:val="20"/>
          <w:szCs w:val="20"/>
        </w:rPr>
        <w:t>Sin</w:t>
      </w:r>
      <w:r w:rsidR="006D07BD" w:rsidRPr="00996758">
        <w:rPr>
          <w:rFonts w:ascii="Verdana" w:hAnsi="Verdana" w:cs="Verdana"/>
          <w:bCs/>
          <w:sz w:val="20"/>
          <w:szCs w:val="20"/>
        </w:rPr>
        <w:t xml:space="preserve"> perjuicio de lo anterior</w:t>
      </w:r>
      <w:r w:rsidRPr="00996758">
        <w:rPr>
          <w:rFonts w:ascii="Verdana" w:hAnsi="Verdana" w:cs="Verdana"/>
          <w:bCs/>
          <w:sz w:val="20"/>
          <w:szCs w:val="20"/>
        </w:rPr>
        <w:t xml:space="preserve">, </w:t>
      </w:r>
      <w:r w:rsidR="0065528C" w:rsidRPr="00996758">
        <w:rPr>
          <w:rFonts w:ascii="Verdana" w:hAnsi="Verdana" w:cs="Verdana"/>
          <w:bCs/>
          <w:sz w:val="20"/>
          <w:szCs w:val="20"/>
        </w:rPr>
        <w:t>es</w:t>
      </w:r>
      <w:r w:rsidR="00D319EF" w:rsidRPr="00996758">
        <w:rPr>
          <w:rFonts w:ascii="Verdana" w:hAnsi="Verdana" w:cs="Verdana"/>
          <w:bCs/>
          <w:sz w:val="20"/>
          <w:szCs w:val="20"/>
        </w:rPr>
        <w:t xml:space="preserve"> </w:t>
      </w:r>
      <w:r w:rsidR="006D07BD" w:rsidRPr="00996758">
        <w:rPr>
          <w:rFonts w:ascii="Verdana" w:hAnsi="Verdana" w:cs="Verdana"/>
          <w:bCs/>
          <w:sz w:val="20"/>
          <w:szCs w:val="20"/>
        </w:rPr>
        <w:t xml:space="preserve">pertinente recordar que, </w:t>
      </w:r>
      <w:r w:rsidR="006D2CCC" w:rsidRPr="00996758">
        <w:rPr>
          <w:rFonts w:ascii="Verdana" w:hAnsi="Verdana" w:cs="Verdana"/>
          <w:bCs/>
          <w:sz w:val="20"/>
          <w:szCs w:val="20"/>
        </w:rPr>
        <w:t xml:space="preserve">al </w:t>
      </w:r>
      <w:r w:rsidR="006D07BD" w:rsidRPr="00996758">
        <w:rPr>
          <w:rFonts w:ascii="Verdana" w:hAnsi="Verdana" w:cs="Verdana"/>
          <w:bCs/>
          <w:sz w:val="20"/>
          <w:szCs w:val="20"/>
        </w:rPr>
        <w:t xml:space="preserve">rechazar </w:t>
      </w:r>
      <w:r w:rsidR="00191C7F" w:rsidRPr="00996758">
        <w:rPr>
          <w:rFonts w:ascii="Verdana" w:hAnsi="Verdana"/>
          <w:sz w:val="20"/>
          <w:szCs w:val="20"/>
        </w:rPr>
        <w:t>esa</w:t>
      </w:r>
      <w:r w:rsidR="006D2CCC" w:rsidRPr="00996758">
        <w:rPr>
          <w:rFonts w:ascii="Verdana" w:hAnsi="Verdana"/>
          <w:sz w:val="20"/>
          <w:szCs w:val="20"/>
        </w:rPr>
        <w:t xml:space="preserve"> </w:t>
      </w:r>
      <w:r w:rsidR="00A10459" w:rsidRPr="00996758">
        <w:rPr>
          <w:rFonts w:ascii="Verdana" w:hAnsi="Verdana"/>
          <w:sz w:val="20"/>
          <w:szCs w:val="20"/>
        </w:rPr>
        <w:t>calificación de los hechos</w:t>
      </w:r>
      <w:r w:rsidR="006D07BD" w:rsidRPr="00996758">
        <w:rPr>
          <w:rFonts w:ascii="Verdana" w:hAnsi="Verdana"/>
          <w:sz w:val="20"/>
          <w:szCs w:val="20"/>
        </w:rPr>
        <w:t xml:space="preserve">, </w:t>
      </w:r>
      <w:r w:rsidR="00E2011D" w:rsidRPr="00996758">
        <w:rPr>
          <w:rFonts w:ascii="Verdana" w:hAnsi="Verdana"/>
          <w:sz w:val="20"/>
          <w:szCs w:val="20"/>
        </w:rPr>
        <w:t xml:space="preserve">el Estado </w:t>
      </w:r>
      <w:r w:rsidRPr="00996758">
        <w:rPr>
          <w:rFonts w:ascii="Verdana" w:hAnsi="Verdana"/>
          <w:sz w:val="20"/>
          <w:szCs w:val="20"/>
        </w:rPr>
        <w:t xml:space="preserve">alegó </w:t>
      </w:r>
      <w:r w:rsidR="00EC78BE" w:rsidRPr="00996758">
        <w:rPr>
          <w:rFonts w:ascii="Verdana" w:hAnsi="Verdana"/>
          <w:sz w:val="20"/>
          <w:szCs w:val="20"/>
        </w:rPr>
        <w:t>que, de las pruebas aportadas,</w:t>
      </w:r>
      <w:r w:rsidRPr="00996758">
        <w:rPr>
          <w:rFonts w:ascii="Verdana" w:hAnsi="Verdana"/>
          <w:sz w:val="20"/>
          <w:szCs w:val="20"/>
        </w:rPr>
        <w:t xml:space="preserve"> lo que</w:t>
      </w:r>
      <w:r w:rsidR="00A10459" w:rsidRPr="00996758">
        <w:rPr>
          <w:rFonts w:ascii="Verdana" w:hAnsi="Verdana"/>
          <w:sz w:val="20"/>
          <w:szCs w:val="20"/>
        </w:rPr>
        <w:t xml:space="preserve"> </w:t>
      </w:r>
      <w:r w:rsidR="00EC78BE" w:rsidRPr="00996758">
        <w:rPr>
          <w:rFonts w:ascii="Verdana" w:hAnsi="Verdana"/>
          <w:sz w:val="20"/>
          <w:szCs w:val="20"/>
        </w:rPr>
        <w:t xml:space="preserve">se derivan </w:t>
      </w:r>
      <w:r w:rsidRPr="00996758">
        <w:rPr>
          <w:rFonts w:ascii="Verdana" w:hAnsi="Verdana"/>
          <w:sz w:val="20"/>
          <w:szCs w:val="20"/>
        </w:rPr>
        <w:t xml:space="preserve">son </w:t>
      </w:r>
      <w:r w:rsidR="00A10459" w:rsidRPr="00996758">
        <w:rPr>
          <w:rFonts w:ascii="Verdana" w:hAnsi="Verdana"/>
          <w:sz w:val="20"/>
          <w:szCs w:val="20"/>
        </w:rPr>
        <w:t>diversas hipótesis sobre la autoría de la desaparición</w:t>
      </w:r>
      <w:r w:rsidR="00933B7C" w:rsidRPr="00996758">
        <w:rPr>
          <w:rFonts w:ascii="Verdana" w:hAnsi="Verdana"/>
          <w:sz w:val="20"/>
          <w:szCs w:val="20"/>
        </w:rPr>
        <w:t xml:space="preserve"> </w:t>
      </w:r>
      <w:r w:rsidR="00EC78BE" w:rsidRPr="00996758">
        <w:rPr>
          <w:rFonts w:ascii="Verdana" w:hAnsi="Verdana"/>
          <w:sz w:val="20"/>
          <w:szCs w:val="20"/>
        </w:rPr>
        <w:t>e</w:t>
      </w:r>
      <w:r w:rsidR="00E2011D" w:rsidRPr="00996758">
        <w:rPr>
          <w:rFonts w:ascii="Verdana" w:hAnsi="Verdana"/>
          <w:sz w:val="20"/>
          <w:szCs w:val="20"/>
        </w:rPr>
        <w:t xml:space="preserve"> incluso </w:t>
      </w:r>
      <w:r w:rsidR="00EC78BE" w:rsidRPr="00996758">
        <w:rPr>
          <w:rFonts w:ascii="Verdana" w:hAnsi="Verdana"/>
          <w:sz w:val="20"/>
          <w:szCs w:val="20"/>
        </w:rPr>
        <w:t>existe</w:t>
      </w:r>
      <w:r w:rsidRPr="00996758">
        <w:rPr>
          <w:rFonts w:ascii="Verdana" w:hAnsi="Verdana"/>
          <w:sz w:val="20"/>
          <w:szCs w:val="20"/>
        </w:rPr>
        <w:t>n</w:t>
      </w:r>
      <w:r w:rsidR="00EC78BE" w:rsidRPr="00996758">
        <w:rPr>
          <w:rFonts w:ascii="Verdana" w:hAnsi="Verdana"/>
          <w:sz w:val="20"/>
          <w:szCs w:val="20"/>
        </w:rPr>
        <w:t xml:space="preserve"> </w:t>
      </w:r>
      <w:r w:rsidR="00E2011D" w:rsidRPr="00996758">
        <w:rPr>
          <w:rFonts w:ascii="Verdana" w:hAnsi="Verdana"/>
          <w:sz w:val="20"/>
          <w:szCs w:val="20"/>
        </w:rPr>
        <w:t>la</w:t>
      </w:r>
      <w:r w:rsidRPr="00996758">
        <w:rPr>
          <w:rFonts w:ascii="Verdana" w:hAnsi="Verdana"/>
          <w:sz w:val="20"/>
          <w:szCs w:val="20"/>
        </w:rPr>
        <w:t>s</w:t>
      </w:r>
      <w:r w:rsidR="00E2011D" w:rsidRPr="00996758">
        <w:rPr>
          <w:rFonts w:ascii="Verdana" w:hAnsi="Verdana"/>
          <w:sz w:val="20"/>
          <w:szCs w:val="20"/>
        </w:rPr>
        <w:t xml:space="preserve"> posibilidad</w:t>
      </w:r>
      <w:r w:rsidRPr="00996758">
        <w:rPr>
          <w:rFonts w:ascii="Verdana" w:hAnsi="Verdana"/>
          <w:sz w:val="20"/>
          <w:szCs w:val="20"/>
        </w:rPr>
        <w:t>es</w:t>
      </w:r>
      <w:r w:rsidR="00E2011D" w:rsidRPr="00996758">
        <w:rPr>
          <w:rFonts w:ascii="Verdana" w:hAnsi="Verdana"/>
          <w:sz w:val="20"/>
          <w:szCs w:val="20"/>
        </w:rPr>
        <w:t xml:space="preserve"> de una fuga del señor Isaza</w:t>
      </w:r>
      <w:r w:rsidRPr="00996758">
        <w:rPr>
          <w:rFonts w:ascii="Verdana" w:hAnsi="Verdana"/>
          <w:sz w:val="20"/>
          <w:szCs w:val="20"/>
        </w:rPr>
        <w:t xml:space="preserve"> </w:t>
      </w:r>
      <w:r w:rsidR="006766E4" w:rsidRPr="00996758">
        <w:rPr>
          <w:rFonts w:ascii="Verdana" w:hAnsi="Verdana"/>
          <w:sz w:val="20"/>
          <w:szCs w:val="20"/>
        </w:rPr>
        <w:t>y/</w:t>
      </w:r>
      <w:r w:rsidRPr="00996758">
        <w:rPr>
          <w:rFonts w:ascii="Verdana" w:hAnsi="Verdana"/>
          <w:sz w:val="20"/>
          <w:szCs w:val="20"/>
        </w:rPr>
        <w:t>o de una represalia por el homicidio que cometió</w:t>
      </w:r>
      <w:r w:rsidR="006766E4" w:rsidRPr="00996758">
        <w:rPr>
          <w:rFonts w:ascii="Verdana" w:hAnsi="Verdana"/>
          <w:sz w:val="20"/>
          <w:szCs w:val="20"/>
        </w:rPr>
        <w:t xml:space="preserve">, </w:t>
      </w:r>
      <w:r w:rsidR="00DA4089" w:rsidRPr="00996758">
        <w:rPr>
          <w:rFonts w:ascii="Verdana" w:hAnsi="Verdana"/>
          <w:sz w:val="20"/>
          <w:szCs w:val="20"/>
        </w:rPr>
        <w:t>aunque</w:t>
      </w:r>
      <w:r w:rsidRPr="00996758">
        <w:rPr>
          <w:rFonts w:ascii="Verdana" w:hAnsi="Verdana"/>
          <w:sz w:val="20"/>
          <w:szCs w:val="20"/>
        </w:rPr>
        <w:t xml:space="preserve"> </w:t>
      </w:r>
      <w:r w:rsidR="00A10459" w:rsidRPr="00996758">
        <w:rPr>
          <w:rFonts w:ascii="Verdana" w:hAnsi="Verdana"/>
          <w:sz w:val="20"/>
          <w:szCs w:val="20"/>
        </w:rPr>
        <w:t xml:space="preserve">no existen elementos fácticos concluyentes que permitan atribuir el hecho ya sea a </w:t>
      </w:r>
      <w:r w:rsidR="00933B7C" w:rsidRPr="00996758">
        <w:rPr>
          <w:rFonts w:ascii="Verdana" w:hAnsi="Verdana"/>
          <w:sz w:val="20"/>
          <w:szCs w:val="20"/>
        </w:rPr>
        <w:t>miembros de las FARC</w:t>
      </w:r>
      <w:r w:rsidR="00A10459" w:rsidRPr="00996758">
        <w:rPr>
          <w:rFonts w:ascii="Verdana" w:hAnsi="Verdana"/>
          <w:sz w:val="20"/>
          <w:szCs w:val="20"/>
        </w:rPr>
        <w:t>, pa</w:t>
      </w:r>
      <w:r w:rsidR="006766E4" w:rsidRPr="00996758">
        <w:rPr>
          <w:rFonts w:ascii="Verdana" w:hAnsi="Verdana"/>
          <w:sz w:val="20"/>
          <w:szCs w:val="20"/>
        </w:rPr>
        <w:t>ramilitares o agentes estatales</w:t>
      </w:r>
      <w:r w:rsidR="00A10459" w:rsidRPr="00996758">
        <w:rPr>
          <w:rFonts w:ascii="Verdana" w:hAnsi="Verdana"/>
          <w:sz w:val="20"/>
          <w:szCs w:val="20"/>
        </w:rPr>
        <w:t>.</w:t>
      </w:r>
      <w:r w:rsidR="00191C7F" w:rsidRPr="00996758">
        <w:rPr>
          <w:rFonts w:ascii="Verdana" w:hAnsi="Verdana"/>
          <w:sz w:val="20"/>
          <w:szCs w:val="20"/>
        </w:rPr>
        <w:t xml:space="preserve"> Por su parte</w:t>
      </w:r>
      <w:r w:rsidR="00B835B2" w:rsidRPr="00996758">
        <w:rPr>
          <w:rFonts w:ascii="Verdana" w:hAnsi="Verdana" w:cs="Times New Roman"/>
          <w:sz w:val="20"/>
          <w:szCs w:val="20"/>
          <w:lang w:eastAsia="es-CR"/>
        </w:rPr>
        <w:t>, l</w:t>
      </w:r>
      <w:r w:rsidR="00AB21D1" w:rsidRPr="00996758">
        <w:rPr>
          <w:rFonts w:ascii="Verdana" w:hAnsi="Verdana" w:cs="Times New Roman"/>
          <w:sz w:val="20"/>
          <w:szCs w:val="20"/>
          <w:lang w:eastAsia="es-CR"/>
        </w:rPr>
        <w:t xml:space="preserve">a Comisión y los representantes </w:t>
      </w:r>
      <w:r w:rsidR="007D167A" w:rsidRPr="00996758">
        <w:rPr>
          <w:rFonts w:ascii="Verdana" w:hAnsi="Verdana" w:cs="Times New Roman"/>
          <w:sz w:val="20"/>
          <w:szCs w:val="20"/>
          <w:lang w:eastAsia="es-CR"/>
        </w:rPr>
        <w:t>plantearon una específica</w:t>
      </w:r>
      <w:r w:rsidR="00AD0927" w:rsidRPr="00996758">
        <w:rPr>
          <w:rFonts w:ascii="Verdana" w:hAnsi="Verdana" w:cs="Times New Roman"/>
          <w:sz w:val="20"/>
          <w:szCs w:val="20"/>
          <w:lang w:eastAsia="es-CR"/>
        </w:rPr>
        <w:t xml:space="preserve"> forma de atribución </w:t>
      </w:r>
      <w:r w:rsidR="007D167A" w:rsidRPr="00996758">
        <w:rPr>
          <w:rFonts w:ascii="Verdana" w:hAnsi="Verdana" w:cs="Times New Roman"/>
          <w:sz w:val="20"/>
          <w:szCs w:val="20"/>
          <w:lang w:eastAsia="es-CR"/>
        </w:rPr>
        <w:t>del hecho ilícito internacional</w:t>
      </w:r>
      <w:r w:rsidR="00AD0927" w:rsidRPr="00996758">
        <w:rPr>
          <w:rFonts w:ascii="Verdana" w:hAnsi="Verdana" w:cs="Times New Roman"/>
          <w:sz w:val="20"/>
          <w:szCs w:val="20"/>
          <w:lang w:eastAsia="es-CR"/>
        </w:rPr>
        <w:t xml:space="preserve"> al Estado</w:t>
      </w:r>
      <w:r w:rsidR="00A07AF7" w:rsidRPr="00996758">
        <w:rPr>
          <w:rFonts w:ascii="Verdana" w:hAnsi="Verdana" w:cs="Times New Roman"/>
          <w:sz w:val="20"/>
          <w:szCs w:val="20"/>
          <w:lang w:eastAsia="es-CR"/>
        </w:rPr>
        <w:t>, a saber</w:t>
      </w:r>
      <w:r w:rsidR="007D167A" w:rsidRPr="00996758">
        <w:rPr>
          <w:rFonts w:ascii="Verdana" w:hAnsi="Verdana" w:cs="Times New Roman"/>
          <w:sz w:val="20"/>
          <w:szCs w:val="20"/>
          <w:lang w:eastAsia="es-CR"/>
        </w:rPr>
        <w:t xml:space="preserve">: </w:t>
      </w:r>
      <w:r w:rsidR="00AB21D1" w:rsidRPr="00996758">
        <w:rPr>
          <w:rFonts w:ascii="Verdana" w:hAnsi="Verdana" w:cs="Times New Roman"/>
          <w:sz w:val="20"/>
          <w:szCs w:val="20"/>
          <w:lang w:eastAsia="es-CR"/>
        </w:rPr>
        <w:t xml:space="preserve">que la desaparición forzada </w:t>
      </w:r>
      <w:r w:rsidR="00FB5861" w:rsidRPr="00996758">
        <w:rPr>
          <w:rFonts w:ascii="Verdana" w:hAnsi="Verdana" w:cs="Times New Roman"/>
          <w:sz w:val="20"/>
          <w:szCs w:val="20"/>
          <w:lang w:eastAsia="es-CR"/>
        </w:rPr>
        <w:t>fue cometida por miembros de grupos paramilitares con aquiescencia de</w:t>
      </w:r>
      <w:r w:rsidR="007D167A" w:rsidRPr="00996758">
        <w:rPr>
          <w:rFonts w:ascii="Verdana" w:hAnsi="Verdana" w:cs="Times New Roman"/>
          <w:sz w:val="20"/>
          <w:szCs w:val="20"/>
          <w:lang w:eastAsia="es-CR"/>
        </w:rPr>
        <w:t xml:space="preserve"> agentes estatales</w:t>
      </w:r>
      <w:r w:rsidR="00FB5861" w:rsidRPr="00996758">
        <w:rPr>
          <w:rFonts w:ascii="Verdana" w:hAnsi="Verdana" w:cs="Times New Roman"/>
          <w:sz w:val="20"/>
          <w:szCs w:val="20"/>
          <w:lang w:eastAsia="es-CR"/>
        </w:rPr>
        <w:t xml:space="preserve">. </w:t>
      </w:r>
    </w:p>
    <w:p w:rsidR="001C680F" w:rsidRPr="00996758" w:rsidRDefault="001C680F">
      <w:pPr>
        <w:pBdr>
          <w:top w:val="nil"/>
        </w:pBdr>
        <w:spacing w:after="0" w:line="240" w:lineRule="auto"/>
        <w:jc w:val="both"/>
        <w:rPr>
          <w:rFonts w:ascii="Verdana" w:hAnsi="Verdana" w:cs="Times New Roman"/>
          <w:sz w:val="20"/>
          <w:szCs w:val="20"/>
          <w:lang w:eastAsia="es-CR"/>
        </w:rPr>
      </w:pPr>
    </w:p>
    <w:p w:rsidR="000C7546" w:rsidRPr="00996758" w:rsidRDefault="006C5006" w:rsidP="00484279">
      <w:pPr>
        <w:numPr>
          <w:ilvl w:val="0"/>
          <w:numId w:val="10"/>
        </w:numPr>
        <w:pBdr>
          <w:top w:val="nil"/>
        </w:pBdr>
        <w:spacing w:after="0" w:line="240" w:lineRule="auto"/>
        <w:ind w:left="0" w:firstLine="0"/>
        <w:jc w:val="both"/>
        <w:rPr>
          <w:rFonts w:ascii="Verdana" w:hAnsi="Verdana" w:cs="Times New Roman"/>
          <w:sz w:val="20"/>
          <w:szCs w:val="20"/>
          <w:lang w:eastAsia="es-CR"/>
        </w:rPr>
      </w:pPr>
      <w:r w:rsidRPr="00996758">
        <w:rPr>
          <w:rFonts w:ascii="Verdana" w:hAnsi="Verdana" w:cs="Times New Roman"/>
          <w:sz w:val="20"/>
          <w:szCs w:val="20"/>
          <w:lang w:eastAsia="es-CR"/>
        </w:rPr>
        <w:t xml:space="preserve">La Corte estima que, sin perjuicio de la calificación jurídica </w:t>
      </w:r>
      <w:r w:rsidR="007D167A" w:rsidRPr="00996758">
        <w:rPr>
          <w:rFonts w:ascii="Verdana" w:hAnsi="Verdana" w:cs="Times New Roman"/>
          <w:sz w:val="20"/>
          <w:szCs w:val="20"/>
          <w:lang w:eastAsia="es-CR"/>
        </w:rPr>
        <w:t>de</w:t>
      </w:r>
      <w:r w:rsidRPr="00996758">
        <w:rPr>
          <w:rFonts w:ascii="Verdana" w:hAnsi="Verdana" w:cs="Times New Roman"/>
          <w:sz w:val="20"/>
          <w:szCs w:val="20"/>
          <w:lang w:eastAsia="es-CR"/>
        </w:rPr>
        <w:t xml:space="preserve">l hecho de la desaparición </w:t>
      </w:r>
      <w:r w:rsidR="00C2059D" w:rsidRPr="00996758">
        <w:rPr>
          <w:rFonts w:ascii="Verdana" w:hAnsi="Verdana" w:cs="Times New Roman"/>
          <w:sz w:val="20"/>
          <w:szCs w:val="20"/>
          <w:lang w:eastAsia="es-CR"/>
        </w:rPr>
        <w:t xml:space="preserve">forzada </w:t>
      </w:r>
      <w:r w:rsidRPr="00996758">
        <w:rPr>
          <w:rFonts w:ascii="Verdana" w:hAnsi="Verdana" w:cs="Times New Roman"/>
          <w:sz w:val="20"/>
          <w:szCs w:val="20"/>
          <w:lang w:eastAsia="es-CR"/>
        </w:rPr>
        <w:t>del señor Isaza Uribe ya establecida; en atención a</w:t>
      </w:r>
      <w:r w:rsidR="00FB5861" w:rsidRPr="00996758">
        <w:rPr>
          <w:rFonts w:ascii="Verdana" w:hAnsi="Verdana" w:cs="Times New Roman"/>
          <w:sz w:val="20"/>
          <w:szCs w:val="20"/>
          <w:lang w:eastAsia="es-CR"/>
        </w:rPr>
        <w:t xml:space="preserve"> que el propio Estado ha sugerido </w:t>
      </w:r>
      <w:r w:rsidR="00B835B2" w:rsidRPr="00996758">
        <w:rPr>
          <w:rFonts w:ascii="Verdana" w:hAnsi="Verdana" w:cs="Times New Roman"/>
          <w:sz w:val="20"/>
          <w:szCs w:val="20"/>
          <w:lang w:eastAsia="es-CR"/>
        </w:rPr>
        <w:t>las referidas</w:t>
      </w:r>
      <w:r w:rsidR="00FB5861" w:rsidRPr="00996758">
        <w:rPr>
          <w:rFonts w:ascii="Verdana" w:hAnsi="Verdana" w:cs="Times New Roman"/>
          <w:sz w:val="20"/>
          <w:szCs w:val="20"/>
          <w:lang w:eastAsia="es-CR"/>
        </w:rPr>
        <w:t xml:space="preserve"> hipótesis sobre los autores de la desaparición</w:t>
      </w:r>
      <w:r w:rsidR="00A27730" w:rsidRPr="00996758">
        <w:rPr>
          <w:rFonts w:ascii="Verdana" w:hAnsi="Verdana" w:cs="Times New Roman"/>
          <w:sz w:val="20"/>
          <w:szCs w:val="20"/>
          <w:lang w:eastAsia="es-CR"/>
        </w:rPr>
        <w:t>,</w:t>
      </w:r>
      <w:r w:rsidRPr="00996758">
        <w:rPr>
          <w:rFonts w:ascii="Verdana" w:hAnsi="Verdana" w:cs="Times New Roman"/>
          <w:sz w:val="20"/>
          <w:szCs w:val="20"/>
          <w:lang w:eastAsia="es-CR"/>
        </w:rPr>
        <w:t xml:space="preserve"> así como en atención al derecho de sus familiares a conocer la verdad (</w:t>
      </w:r>
      <w:r w:rsidRPr="00996758">
        <w:rPr>
          <w:rFonts w:ascii="Verdana" w:hAnsi="Verdana" w:cs="Times New Roman"/>
          <w:i/>
          <w:sz w:val="20"/>
          <w:szCs w:val="20"/>
          <w:lang w:eastAsia="es-CR"/>
        </w:rPr>
        <w:t xml:space="preserve">infra </w:t>
      </w:r>
      <w:r w:rsidRPr="00996758">
        <w:rPr>
          <w:rFonts w:ascii="Verdana" w:hAnsi="Verdana" w:cs="Times New Roman"/>
          <w:sz w:val="20"/>
          <w:szCs w:val="20"/>
          <w:lang w:eastAsia="es-CR"/>
        </w:rPr>
        <w:t>párr</w:t>
      </w:r>
      <w:r w:rsidR="00E23B53" w:rsidRPr="00996758">
        <w:rPr>
          <w:rFonts w:ascii="Verdana" w:hAnsi="Verdana" w:cs="Times New Roman"/>
          <w:sz w:val="20"/>
          <w:szCs w:val="20"/>
          <w:lang w:eastAsia="es-CR"/>
        </w:rPr>
        <w:t>s. 150 y 151</w:t>
      </w:r>
      <w:r w:rsidRPr="00996758">
        <w:rPr>
          <w:rFonts w:ascii="Verdana" w:hAnsi="Verdana" w:cs="Times New Roman"/>
          <w:sz w:val="20"/>
          <w:szCs w:val="20"/>
          <w:lang w:eastAsia="es-CR"/>
        </w:rPr>
        <w:t>),</w:t>
      </w:r>
      <w:r w:rsidR="00FB5861" w:rsidRPr="00996758">
        <w:rPr>
          <w:rFonts w:ascii="Verdana" w:hAnsi="Verdana" w:cs="Times New Roman"/>
          <w:sz w:val="20"/>
          <w:szCs w:val="20"/>
          <w:lang w:eastAsia="es-CR"/>
        </w:rPr>
        <w:t xml:space="preserve"> el Tribunal pasa a examinar </w:t>
      </w:r>
      <w:r w:rsidRPr="00996758">
        <w:rPr>
          <w:rFonts w:ascii="Verdana" w:hAnsi="Verdana" w:cs="Times New Roman"/>
          <w:sz w:val="20"/>
          <w:szCs w:val="20"/>
          <w:lang w:eastAsia="es-CR"/>
        </w:rPr>
        <w:t xml:space="preserve">tales </w:t>
      </w:r>
      <w:r w:rsidR="00FB5861" w:rsidRPr="00996758">
        <w:rPr>
          <w:rFonts w:ascii="Verdana" w:hAnsi="Verdana" w:cs="Times New Roman"/>
          <w:sz w:val="20"/>
          <w:szCs w:val="20"/>
          <w:lang w:eastAsia="es-CR"/>
        </w:rPr>
        <w:t xml:space="preserve">hipótesis para determinar si existió algún grado mayor o adicional de participación </w:t>
      </w:r>
      <w:r w:rsidR="00B835B2" w:rsidRPr="00996758">
        <w:rPr>
          <w:rFonts w:ascii="Verdana" w:hAnsi="Verdana" w:cs="Times New Roman"/>
          <w:sz w:val="20"/>
          <w:szCs w:val="20"/>
          <w:lang w:eastAsia="es-CR"/>
        </w:rPr>
        <w:t xml:space="preserve">por aquiescencia </w:t>
      </w:r>
      <w:r w:rsidR="00FB5861" w:rsidRPr="00996758">
        <w:rPr>
          <w:rFonts w:ascii="Verdana" w:hAnsi="Verdana" w:cs="Times New Roman"/>
          <w:sz w:val="20"/>
          <w:szCs w:val="20"/>
          <w:lang w:eastAsia="es-CR"/>
        </w:rPr>
        <w:t xml:space="preserve">de </w:t>
      </w:r>
      <w:r w:rsidR="006803C3" w:rsidRPr="00996758">
        <w:rPr>
          <w:rFonts w:ascii="Verdana" w:hAnsi="Verdana" w:cs="Times New Roman"/>
          <w:sz w:val="20"/>
          <w:szCs w:val="20"/>
          <w:lang w:eastAsia="es-CR"/>
        </w:rPr>
        <w:t>agentes estatales</w:t>
      </w:r>
      <w:r w:rsidR="00797339" w:rsidRPr="00996758">
        <w:rPr>
          <w:rFonts w:ascii="Verdana" w:hAnsi="Verdana" w:cs="Times New Roman"/>
          <w:sz w:val="20"/>
          <w:szCs w:val="20"/>
          <w:lang w:eastAsia="es-CR"/>
        </w:rPr>
        <w:t xml:space="preserve"> </w:t>
      </w:r>
      <w:r w:rsidR="006803C3" w:rsidRPr="00996758">
        <w:rPr>
          <w:rFonts w:ascii="Verdana" w:hAnsi="Verdana" w:cs="Times New Roman"/>
          <w:sz w:val="20"/>
          <w:szCs w:val="20"/>
          <w:lang w:eastAsia="es-CR"/>
        </w:rPr>
        <w:t xml:space="preserve">y si corresponde, por ello, </w:t>
      </w:r>
      <w:r w:rsidR="007D167A" w:rsidRPr="00996758">
        <w:rPr>
          <w:rFonts w:ascii="Verdana" w:hAnsi="Verdana" w:cs="Times New Roman"/>
          <w:sz w:val="20"/>
          <w:szCs w:val="20"/>
          <w:lang w:eastAsia="es-CR"/>
        </w:rPr>
        <w:t>calificar</w:t>
      </w:r>
      <w:r w:rsidR="006803C3" w:rsidRPr="00996758">
        <w:rPr>
          <w:rFonts w:ascii="Verdana" w:hAnsi="Verdana" w:cs="Times New Roman"/>
          <w:sz w:val="20"/>
          <w:szCs w:val="20"/>
          <w:lang w:eastAsia="es-CR"/>
        </w:rPr>
        <w:t xml:space="preserve"> la responsabilidad del Estado de alguna manera más específica.</w:t>
      </w:r>
      <w:r w:rsidR="00C2059D" w:rsidRPr="00996758">
        <w:rPr>
          <w:rFonts w:ascii="Verdana" w:hAnsi="Verdana" w:cs="Times New Roman"/>
          <w:sz w:val="20"/>
          <w:szCs w:val="20"/>
          <w:lang w:eastAsia="es-CR"/>
        </w:rPr>
        <w:t xml:space="preserve"> Para estos efectos, se analizará en primer lugar la hipótesis de la supuesta fuga de la presunta víctima y, en segundo lugar, la hipótesis de la sustracción por parte de paramilitares.</w:t>
      </w:r>
    </w:p>
    <w:p w:rsidR="004A54D4" w:rsidRPr="00996758" w:rsidRDefault="004A54D4">
      <w:pPr>
        <w:pBdr>
          <w:top w:val="nil"/>
        </w:pBdr>
        <w:spacing w:after="0" w:line="240" w:lineRule="auto"/>
        <w:jc w:val="both"/>
        <w:rPr>
          <w:rFonts w:ascii="Verdana" w:hAnsi="Verdana" w:cs="Verdana"/>
          <w:bCs/>
          <w:sz w:val="20"/>
          <w:szCs w:val="20"/>
        </w:rPr>
      </w:pPr>
    </w:p>
    <w:p w:rsidR="00111BE2" w:rsidRPr="00996758" w:rsidRDefault="00111BE2">
      <w:pPr>
        <w:pBdr>
          <w:top w:val="nil"/>
        </w:pBdr>
        <w:spacing w:after="0" w:line="240" w:lineRule="auto"/>
        <w:jc w:val="both"/>
        <w:rPr>
          <w:rFonts w:ascii="Verdana" w:hAnsi="Verdana" w:cs="Verdana"/>
          <w:bCs/>
          <w:sz w:val="20"/>
          <w:szCs w:val="20"/>
        </w:rPr>
      </w:pPr>
    </w:p>
    <w:p w:rsidR="006803C3" w:rsidRPr="00996758" w:rsidRDefault="00F544CE">
      <w:pPr>
        <w:pStyle w:val="ListParagraph"/>
        <w:numPr>
          <w:ilvl w:val="0"/>
          <w:numId w:val="21"/>
        </w:numPr>
        <w:pBdr>
          <w:top w:val="nil"/>
        </w:pBdr>
        <w:spacing w:after="0" w:line="240" w:lineRule="auto"/>
        <w:jc w:val="both"/>
        <w:rPr>
          <w:rFonts w:ascii="Verdana" w:hAnsi="Verdana" w:cs="Verdana"/>
          <w:b/>
          <w:bCs/>
          <w:i/>
          <w:sz w:val="20"/>
          <w:szCs w:val="20"/>
        </w:rPr>
      </w:pPr>
      <w:r w:rsidRPr="00996758">
        <w:rPr>
          <w:rFonts w:ascii="Verdana" w:hAnsi="Verdana" w:cs="Verdana"/>
          <w:b/>
          <w:bCs/>
          <w:i/>
          <w:sz w:val="20"/>
          <w:szCs w:val="20"/>
        </w:rPr>
        <w:t>P</w:t>
      </w:r>
      <w:r w:rsidR="000A30DD" w:rsidRPr="00996758">
        <w:rPr>
          <w:rFonts w:ascii="Verdana" w:hAnsi="Verdana" w:cs="Verdana"/>
          <w:b/>
          <w:bCs/>
          <w:i/>
          <w:sz w:val="20"/>
          <w:szCs w:val="20"/>
        </w:rPr>
        <w:t>lanteamiento sobre p</w:t>
      </w:r>
      <w:r w:rsidR="00F54A77" w:rsidRPr="00996758">
        <w:rPr>
          <w:rFonts w:ascii="Verdana" w:hAnsi="Verdana" w:cs="Verdana"/>
          <w:b/>
          <w:bCs/>
          <w:i/>
          <w:sz w:val="20"/>
          <w:szCs w:val="20"/>
        </w:rPr>
        <w:t xml:space="preserve">osible fuga del señor Isaza de la cárcel </w:t>
      </w:r>
    </w:p>
    <w:p w:rsidR="006803C3" w:rsidRPr="00996758" w:rsidRDefault="006803C3">
      <w:pPr>
        <w:pBdr>
          <w:top w:val="nil"/>
        </w:pBdr>
        <w:spacing w:after="0" w:line="240" w:lineRule="auto"/>
        <w:jc w:val="both"/>
        <w:rPr>
          <w:rFonts w:ascii="Verdana" w:hAnsi="Verdana" w:cs="Verdana"/>
          <w:bCs/>
          <w:sz w:val="20"/>
          <w:szCs w:val="20"/>
        </w:rPr>
      </w:pPr>
    </w:p>
    <w:p w:rsidR="006803C3" w:rsidRPr="00996758" w:rsidRDefault="00A37939"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U</w:t>
      </w:r>
      <w:r w:rsidR="00F54A77" w:rsidRPr="00996758">
        <w:rPr>
          <w:rFonts w:ascii="Verdana" w:hAnsi="Verdana" w:cs="Verdana"/>
          <w:bCs/>
          <w:sz w:val="20"/>
          <w:szCs w:val="20"/>
        </w:rPr>
        <w:t xml:space="preserve">na de las </w:t>
      </w:r>
      <w:r w:rsidRPr="00996758">
        <w:rPr>
          <w:rFonts w:ascii="Verdana" w:hAnsi="Verdana" w:cs="Verdana"/>
          <w:bCs/>
          <w:sz w:val="20"/>
          <w:szCs w:val="20"/>
        </w:rPr>
        <w:t xml:space="preserve">hipótesis </w:t>
      </w:r>
      <w:r w:rsidR="00933B7C" w:rsidRPr="00996758">
        <w:rPr>
          <w:rFonts w:ascii="Verdana" w:hAnsi="Verdana" w:cs="Verdana"/>
          <w:bCs/>
          <w:sz w:val="20"/>
          <w:szCs w:val="20"/>
        </w:rPr>
        <w:t xml:space="preserve">señaladas </w:t>
      </w:r>
      <w:r w:rsidR="00F54A77" w:rsidRPr="00996758">
        <w:rPr>
          <w:rFonts w:ascii="Verdana" w:hAnsi="Verdana" w:cs="Verdana"/>
          <w:bCs/>
          <w:sz w:val="20"/>
          <w:szCs w:val="20"/>
        </w:rPr>
        <w:t xml:space="preserve">sobre lo ocurrido </w:t>
      </w:r>
      <w:r w:rsidRPr="00996758">
        <w:rPr>
          <w:rFonts w:ascii="Verdana" w:hAnsi="Verdana" w:cs="Verdana"/>
          <w:bCs/>
          <w:sz w:val="20"/>
          <w:szCs w:val="20"/>
        </w:rPr>
        <w:t>a</w:t>
      </w:r>
      <w:r w:rsidR="00F54A77" w:rsidRPr="00996758">
        <w:rPr>
          <w:rFonts w:ascii="Verdana" w:hAnsi="Verdana" w:cs="Verdana"/>
          <w:bCs/>
          <w:sz w:val="20"/>
          <w:szCs w:val="20"/>
        </w:rPr>
        <w:t xml:space="preserve">l señor Isaza Uribe </w:t>
      </w:r>
      <w:r w:rsidRPr="00996758">
        <w:rPr>
          <w:rFonts w:ascii="Verdana" w:hAnsi="Verdana" w:cs="Verdana"/>
          <w:bCs/>
          <w:sz w:val="20"/>
          <w:szCs w:val="20"/>
        </w:rPr>
        <w:t xml:space="preserve">es que </w:t>
      </w:r>
      <w:r w:rsidR="00F54A77" w:rsidRPr="00996758">
        <w:rPr>
          <w:rFonts w:ascii="Verdana" w:hAnsi="Verdana" w:cs="Verdana"/>
          <w:bCs/>
          <w:sz w:val="20"/>
          <w:szCs w:val="20"/>
        </w:rPr>
        <w:t xml:space="preserve">en realidad </w:t>
      </w:r>
      <w:r w:rsidRPr="00996758">
        <w:rPr>
          <w:rFonts w:ascii="Verdana" w:hAnsi="Verdana" w:cs="Verdana"/>
          <w:bCs/>
          <w:sz w:val="20"/>
          <w:szCs w:val="20"/>
        </w:rPr>
        <w:t xml:space="preserve">él </w:t>
      </w:r>
      <w:r w:rsidR="00F54A77" w:rsidRPr="00996758">
        <w:rPr>
          <w:rFonts w:ascii="Verdana" w:hAnsi="Verdana" w:cs="Verdana"/>
          <w:bCs/>
          <w:sz w:val="20"/>
          <w:szCs w:val="20"/>
        </w:rPr>
        <w:t>se habría fugado de la cárcel ayudado por los hombres armados que lo sustrajeron</w:t>
      </w:r>
      <w:r w:rsidR="00C2059D" w:rsidRPr="00996758">
        <w:rPr>
          <w:rFonts w:ascii="Verdana" w:hAnsi="Verdana" w:cs="Verdana"/>
          <w:bCs/>
          <w:sz w:val="20"/>
          <w:szCs w:val="20"/>
        </w:rPr>
        <w:t>. En un primer supuesto</w:t>
      </w:r>
      <w:r w:rsidR="00F54A77" w:rsidRPr="00996758">
        <w:rPr>
          <w:rFonts w:ascii="Verdana" w:hAnsi="Verdana" w:cs="Verdana"/>
          <w:bCs/>
          <w:sz w:val="20"/>
          <w:szCs w:val="20"/>
        </w:rPr>
        <w:t>,</w:t>
      </w:r>
      <w:r w:rsidR="00C2059D" w:rsidRPr="00996758">
        <w:rPr>
          <w:rFonts w:ascii="Verdana" w:hAnsi="Verdana" w:cs="Verdana"/>
          <w:bCs/>
          <w:sz w:val="20"/>
          <w:szCs w:val="20"/>
        </w:rPr>
        <w:t xml:space="preserve"> tales individuos </w:t>
      </w:r>
      <w:r w:rsidR="00F54A77" w:rsidRPr="00996758">
        <w:rPr>
          <w:rFonts w:ascii="Verdana" w:hAnsi="Verdana" w:cs="Verdana"/>
          <w:bCs/>
          <w:sz w:val="20"/>
          <w:szCs w:val="20"/>
        </w:rPr>
        <w:t xml:space="preserve">habrían sido </w:t>
      </w:r>
      <w:r w:rsidR="007319AC" w:rsidRPr="00996758">
        <w:rPr>
          <w:rFonts w:ascii="Verdana" w:hAnsi="Verdana" w:cs="Verdana"/>
          <w:bCs/>
          <w:sz w:val="20"/>
          <w:szCs w:val="20"/>
        </w:rPr>
        <w:t xml:space="preserve">miembros de las FARC </w:t>
      </w:r>
      <w:r w:rsidR="00C2059D" w:rsidRPr="00996758">
        <w:rPr>
          <w:rFonts w:ascii="Verdana" w:hAnsi="Verdana" w:cs="Verdana"/>
          <w:bCs/>
          <w:sz w:val="20"/>
          <w:szCs w:val="20"/>
        </w:rPr>
        <w:t>y, en un segundo supuesto, habrían sido</w:t>
      </w:r>
      <w:r w:rsidR="007319AC" w:rsidRPr="00996758">
        <w:rPr>
          <w:rFonts w:ascii="Verdana" w:hAnsi="Verdana" w:cs="Verdana"/>
          <w:bCs/>
          <w:sz w:val="20"/>
          <w:szCs w:val="20"/>
        </w:rPr>
        <w:t xml:space="preserve"> </w:t>
      </w:r>
      <w:r w:rsidR="00F54A77" w:rsidRPr="00996758">
        <w:rPr>
          <w:rFonts w:ascii="Verdana" w:hAnsi="Verdana" w:cs="Verdana"/>
          <w:bCs/>
          <w:sz w:val="20"/>
          <w:szCs w:val="20"/>
        </w:rPr>
        <w:t>particulares</w:t>
      </w:r>
      <w:r w:rsidR="0023428C" w:rsidRPr="00996758">
        <w:rPr>
          <w:rFonts w:ascii="Verdana" w:hAnsi="Verdana" w:cs="Verdana"/>
          <w:bCs/>
          <w:sz w:val="20"/>
          <w:szCs w:val="20"/>
        </w:rPr>
        <w:t xml:space="preserve"> </w:t>
      </w:r>
      <w:r w:rsidR="00F54A77" w:rsidRPr="00996758">
        <w:rPr>
          <w:rFonts w:ascii="Verdana" w:hAnsi="Verdana" w:cs="Verdana"/>
          <w:bCs/>
          <w:sz w:val="20"/>
          <w:szCs w:val="20"/>
        </w:rPr>
        <w:t xml:space="preserve">que lo </w:t>
      </w:r>
      <w:r w:rsidR="00C2059D" w:rsidRPr="00996758">
        <w:rPr>
          <w:rFonts w:ascii="Verdana" w:hAnsi="Verdana" w:cs="Verdana"/>
          <w:bCs/>
          <w:sz w:val="20"/>
          <w:szCs w:val="20"/>
        </w:rPr>
        <w:t>ayudaron</w:t>
      </w:r>
      <w:r w:rsidRPr="00996758">
        <w:rPr>
          <w:rFonts w:ascii="Verdana" w:hAnsi="Verdana" w:cs="Verdana"/>
          <w:bCs/>
          <w:sz w:val="20"/>
          <w:szCs w:val="20"/>
        </w:rPr>
        <w:t xml:space="preserve"> a</w:t>
      </w:r>
      <w:r w:rsidR="00C37702" w:rsidRPr="00996758">
        <w:rPr>
          <w:rFonts w:ascii="Verdana" w:hAnsi="Verdana" w:cs="Verdana"/>
          <w:bCs/>
          <w:sz w:val="20"/>
          <w:szCs w:val="20"/>
        </w:rPr>
        <w:t xml:space="preserve"> procurar su libertad</w:t>
      </w:r>
      <w:r w:rsidRPr="00996758">
        <w:rPr>
          <w:rFonts w:ascii="Verdana" w:hAnsi="Verdana" w:cs="Verdana"/>
          <w:bCs/>
          <w:sz w:val="20"/>
          <w:szCs w:val="20"/>
        </w:rPr>
        <w:t xml:space="preserve"> ante</w:t>
      </w:r>
      <w:r w:rsidR="00C37702" w:rsidRPr="00996758">
        <w:rPr>
          <w:rFonts w:ascii="Verdana" w:hAnsi="Verdana" w:cs="Verdana"/>
          <w:bCs/>
          <w:sz w:val="20"/>
          <w:szCs w:val="20"/>
        </w:rPr>
        <w:t xml:space="preserve"> la inminente condena de la que sería sujeto por </w:t>
      </w:r>
      <w:r w:rsidRPr="00996758">
        <w:rPr>
          <w:rFonts w:ascii="Verdana" w:hAnsi="Verdana" w:cs="Verdana"/>
          <w:bCs/>
          <w:sz w:val="20"/>
          <w:szCs w:val="20"/>
        </w:rPr>
        <w:t xml:space="preserve">el </w:t>
      </w:r>
      <w:r w:rsidR="00C37702" w:rsidRPr="00996758">
        <w:rPr>
          <w:rFonts w:ascii="Verdana" w:hAnsi="Verdana" w:cs="Verdana"/>
          <w:bCs/>
          <w:sz w:val="20"/>
          <w:szCs w:val="20"/>
        </w:rPr>
        <w:t>homicidio que s</w:t>
      </w:r>
      <w:r w:rsidR="004816F8" w:rsidRPr="00996758">
        <w:rPr>
          <w:rFonts w:ascii="Verdana" w:hAnsi="Verdana" w:cs="Verdana"/>
          <w:bCs/>
          <w:sz w:val="20"/>
          <w:szCs w:val="20"/>
        </w:rPr>
        <w:t>e le atribuyó</w:t>
      </w:r>
      <w:r w:rsidR="00C37702" w:rsidRPr="00996758">
        <w:rPr>
          <w:rFonts w:ascii="Verdana" w:hAnsi="Verdana" w:cs="Verdana"/>
          <w:bCs/>
          <w:sz w:val="20"/>
          <w:szCs w:val="20"/>
        </w:rPr>
        <w:t>.</w:t>
      </w:r>
    </w:p>
    <w:p w:rsidR="00C37702" w:rsidRPr="00996758" w:rsidRDefault="00C37702">
      <w:pPr>
        <w:pBdr>
          <w:top w:val="nil"/>
        </w:pBdr>
        <w:spacing w:after="0" w:line="240" w:lineRule="auto"/>
        <w:jc w:val="both"/>
        <w:rPr>
          <w:rFonts w:ascii="Verdana" w:hAnsi="Verdana" w:cs="Verdana"/>
          <w:bCs/>
          <w:sz w:val="20"/>
          <w:szCs w:val="20"/>
        </w:rPr>
      </w:pPr>
    </w:p>
    <w:p w:rsidR="007B148C" w:rsidRPr="00996758" w:rsidRDefault="007319AC" w:rsidP="00484279">
      <w:pPr>
        <w:numPr>
          <w:ilvl w:val="0"/>
          <w:numId w:val="10"/>
        </w:numPr>
        <w:pBdr>
          <w:top w:val="nil"/>
        </w:pBdr>
        <w:spacing w:after="0" w:line="240" w:lineRule="auto"/>
        <w:ind w:left="0" w:firstLine="0"/>
        <w:jc w:val="both"/>
        <w:rPr>
          <w:rFonts w:ascii="Verdana" w:eastAsia="Arial Unicode MS" w:hAnsi="Verdana"/>
          <w:sz w:val="20"/>
          <w:szCs w:val="20"/>
          <w:bdr w:val="nil"/>
        </w:rPr>
      </w:pPr>
      <w:r w:rsidRPr="00996758">
        <w:rPr>
          <w:rFonts w:ascii="Verdana" w:hAnsi="Verdana" w:cs="Verdana"/>
          <w:bCs/>
          <w:sz w:val="20"/>
          <w:szCs w:val="20"/>
        </w:rPr>
        <w:t xml:space="preserve">El primer supuesto de dicha hipótesis </w:t>
      </w:r>
      <w:r w:rsidR="00C37702" w:rsidRPr="00996758">
        <w:rPr>
          <w:rFonts w:ascii="Verdana" w:hAnsi="Verdana" w:cs="Verdana"/>
          <w:bCs/>
          <w:sz w:val="20"/>
          <w:szCs w:val="20"/>
        </w:rPr>
        <w:t>surgió inicialmente del in</w:t>
      </w:r>
      <w:r w:rsidR="00A07AF7" w:rsidRPr="00996758">
        <w:rPr>
          <w:rFonts w:ascii="Verdana" w:hAnsi="Verdana" w:cs="Verdana"/>
          <w:bCs/>
          <w:sz w:val="20"/>
          <w:szCs w:val="20"/>
        </w:rPr>
        <w:t>forme que el c</w:t>
      </w:r>
      <w:r w:rsidR="00A37939" w:rsidRPr="00996758">
        <w:rPr>
          <w:rFonts w:ascii="Verdana" w:hAnsi="Verdana" w:cs="Verdana"/>
          <w:bCs/>
          <w:sz w:val="20"/>
          <w:szCs w:val="20"/>
        </w:rPr>
        <w:t>omandante de la e</w:t>
      </w:r>
      <w:r w:rsidR="00C2059D" w:rsidRPr="00996758">
        <w:rPr>
          <w:rFonts w:ascii="Verdana" w:hAnsi="Verdana" w:cs="Verdana"/>
          <w:bCs/>
          <w:sz w:val="20"/>
          <w:szCs w:val="20"/>
        </w:rPr>
        <w:t>stación de p</w:t>
      </w:r>
      <w:r w:rsidR="00C37702" w:rsidRPr="00996758">
        <w:rPr>
          <w:rFonts w:ascii="Verdana" w:hAnsi="Verdana" w:cs="Verdana"/>
          <w:bCs/>
          <w:sz w:val="20"/>
          <w:szCs w:val="20"/>
        </w:rPr>
        <w:t xml:space="preserve">olicía de Puerto Nare rindió </w:t>
      </w:r>
      <w:r w:rsidR="00896DFA" w:rsidRPr="00996758">
        <w:rPr>
          <w:rFonts w:ascii="Verdana" w:hAnsi="Verdana" w:cs="Verdana"/>
          <w:bCs/>
          <w:sz w:val="20"/>
          <w:szCs w:val="20"/>
        </w:rPr>
        <w:t>sobre lo sucedido, que refiere que los hombres armados habrían dejado</w:t>
      </w:r>
      <w:r w:rsidR="004816F8" w:rsidRPr="00996758">
        <w:rPr>
          <w:rFonts w:ascii="Verdana" w:hAnsi="Verdana" w:cs="Verdana"/>
          <w:bCs/>
          <w:sz w:val="20"/>
          <w:szCs w:val="20"/>
        </w:rPr>
        <w:t xml:space="preserve"> en el lugar</w:t>
      </w:r>
      <w:r w:rsidR="00896DFA" w:rsidRPr="00996758">
        <w:rPr>
          <w:rFonts w:ascii="Verdana" w:hAnsi="Verdana" w:cs="Verdana"/>
          <w:bCs/>
          <w:sz w:val="20"/>
          <w:szCs w:val="20"/>
        </w:rPr>
        <w:t xml:space="preserve"> papeles (panfletos o volantes) que contenían “propaganda subversiva alusiva al noveno frente de las FARC”</w:t>
      </w:r>
      <w:r w:rsidR="00896DFA" w:rsidRPr="00996758">
        <w:rPr>
          <w:rStyle w:val="FootnoteReference"/>
          <w:rFonts w:ascii="Verdana" w:hAnsi="Verdana" w:cs="Verdana"/>
          <w:bCs/>
          <w:sz w:val="20"/>
          <w:szCs w:val="20"/>
        </w:rPr>
        <w:footnoteReference w:id="101"/>
      </w:r>
      <w:r w:rsidR="00896DFA" w:rsidRPr="00996758">
        <w:rPr>
          <w:rFonts w:ascii="Verdana" w:hAnsi="Verdana" w:cs="Verdana"/>
          <w:bCs/>
          <w:sz w:val="20"/>
          <w:szCs w:val="20"/>
        </w:rPr>
        <w:t xml:space="preserve">. </w:t>
      </w:r>
      <w:r w:rsidR="00896DFA" w:rsidRPr="00996758">
        <w:rPr>
          <w:rFonts w:ascii="Verdana" w:eastAsia="Arial Unicode MS" w:hAnsi="Verdana"/>
          <w:sz w:val="20"/>
          <w:szCs w:val="20"/>
          <w:bdr w:val="nil"/>
        </w:rPr>
        <w:t xml:space="preserve">Se hace notar que tales volantes no constan </w:t>
      </w:r>
      <w:r w:rsidR="00896DFA" w:rsidRPr="00996758">
        <w:rPr>
          <w:rFonts w:ascii="Verdana" w:eastAsia="Arial Unicode MS" w:hAnsi="Verdana"/>
          <w:sz w:val="20"/>
          <w:szCs w:val="20"/>
          <w:bdr w:val="nil"/>
        </w:rPr>
        <w:lastRenderedPageBreak/>
        <w:t>en el expediente de</w:t>
      </w:r>
      <w:r w:rsidR="004816F8" w:rsidRPr="00996758">
        <w:rPr>
          <w:rFonts w:ascii="Verdana" w:eastAsia="Arial Unicode MS" w:hAnsi="Verdana"/>
          <w:sz w:val="20"/>
          <w:szCs w:val="20"/>
          <w:bdr w:val="nil"/>
        </w:rPr>
        <w:t xml:space="preserve"> prueba del caso ante la Corte y que</w:t>
      </w:r>
      <w:r w:rsidR="0046314C" w:rsidRPr="00996758">
        <w:rPr>
          <w:rFonts w:ascii="Verdana" w:eastAsia="Arial Unicode MS" w:hAnsi="Verdana"/>
          <w:sz w:val="20"/>
          <w:szCs w:val="20"/>
          <w:bdr w:val="nil"/>
        </w:rPr>
        <w:t>, tal como alegó e</w:t>
      </w:r>
      <w:r w:rsidR="007B148C" w:rsidRPr="00996758">
        <w:rPr>
          <w:rFonts w:ascii="Verdana" w:eastAsia="Arial Unicode MS" w:hAnsi="Verdana"/>
          <w:sz w:val="20"/>
          <w:szCs w:val="20"/>
          <w:bdr w:val="nil"/>
        </w:rPr>
        <w:t>l Estado</w:t>
      </w:r>
      <w:r w:rsidR="006B1468" w:rsidRPr="00996758">
        <w:rPr>
          <w:rFonts w:ascii="Verdana" w:eastAsia="Arial Unicode MS" w:hAnsi="Verdana"/>
          <w:sz w:val="20"/>
          <w:szCs w:val="20"/>
          <w:bdr w:val="nil"/>
        </w:rPr>
        <w:t>,</w:t>
      </w:r>
      <w:r w:rsidR="007B148C" w:rsidRPr="00996758">
        <w:rPr>
          <w:rFonts w:ascii="Verdana" w:eastAsia="Arial Unicode MS" w:hAnsi="Verdana"/>
          <w:sz w:val="20"/>
          <w:szCs w:val="20"/>
          <w:bdr w:val="nil"/>
        </w:rPr>
        <w:t xml:space="preserve"> </w:t>
      </w:r>
      <w:r w:rsidR="00EF4D42" w:rsidRPr="00996758">
        <w:rPr>
          <w:rFonts w:ascii="Verdana" w:eastAsia="Arial Unicode MS" w:hAnsi="Verdana"/>
          <w:sz w:val="20"/>
          <w:szCs w:val="20"/>
          <w:bdr w:val="nil"/>
        </w:rPr>
        <w:t>ese</w:t>
      </w:r>
      <w:r w:rsidR="0046314C" w:rsidRPr="00996758">
        <w:rPr>
          <w:rFonts w:ascii="Verdana" w:eastAsia="Arial Unicode MS" w:hAnsi="Verdana"/>
          <w:sz w:val="20"/>
          <w:szCs w:val="20"/>
          <w:bdr w:val="nil"/>
        </w:rPr>
        <w:t xml:space="preserve"> </w:t>
      </w:r>
      <w:r w:rsidR="007B148C" w:rsidRPr="00996758">
        <w:rPr>
          <w:rFonts w:ascii="Verdana" w:eastAsia="Arial Unicode MS" w:hAnsi="Verdana"/>
          <w:sz w:val="20"/>
          <w:szCs w:val="20"/>
          <w:bdr w:val="nil"/>
        </w:rPr>
        <w:t xml:space="preserve">informe </w:t>
      </w:r>
      <w:r w:rsidR="00EF4D42" w:rsidRPr="00996758">
        <w:rPr>
          <w:rFonts w:ascii="Verdana" w:eastAsia="Arial Unicode MS" w:hAnsi="Verdana"/>
          <w:sz w:val="20"/>
          <w:szCs w:val="20"/>
          <w:bdr w:val="nil"/>
        </w:rPr>
        <w:t xml:space="preserve">policial </w:t>
      </w:r>
      <w:r w:rsidR="007B148C" w:rsidRPr="00996758">
        <w:rPr>
          <w:rFonts w:ascii="Verdana" w:eastAsia="Arial Unicode MS" w:hAnsi="Verdana"/>
          <w:sz w:val="20"/>
          <w:szCs w:val="20"/>
          <w:bdr w:val="nil"/>
        </w:rPr>
        <w:t xml:space="preserve">no </w:t>
      </w:r>
      <w:r w:rsidR="0046314C" w:rsidRPr="00996758">
        <w:rPr>
          <w:rFonts w:ascii="Verdana" w:eastAsia="Arial Unicode MS" w:hAnsi="Verdana"/>
          <w:sz w:val="20"/>
          <w:szCs w:val="20"/>
          <w:bdr w:val="nil"/>
        </w:rPr>
        <w:t>hace una determinación concluyente sobre</w:t>
      </w:r>
      <w:r w:rsidR="007B148C" w:rsidRPr="00996758">
        <w:rPr>
          <w:rFonts w:ascii="Verdana" w:eastAsia="Arial Unicode MS" w:hAnsi="Verdana"/>
          <w:sz w:val="20"/>
          <w:szCs w:val="20"/>
          <w:bdr w:val="nil"/>
        </w:rPr>
        <w:t xml:space="preserve"> </w:t>
      </w:r>
      <w:r w:rsidR="0046314C" w:rsidRPr="00996758">
        <w:rPr>
          <w:rFonts w:ascii="Verdana" w:eastAsia="Arial Unicode MS" w:hAnsi="Verdana"/>
          <w:sz w:val="20"/>
          <w:szCs w:val="20"/>
          <w:bdr w:val="nil"/>
        </w:rPr>
        <w:t>al</w:t>
      </w:r>
      <w:r w:rsidR="007B148C" w:rsidRPr="00996758">
        <w:rPr>
          <w:rFonts w:ascii="Verdana" w:eastAsia="Arial Unicode MS" w:hAnsi="Verdana"/>
          <w:sz w:val="20"/>
          <w:szCs w:val="20"/>
          <w:bdr w:val="nil"/>
        </w:rPr>
        <w:t xml:space="preserve">gún autor de los hechos. </w:t>
      </w:r>
    </w:p>
    <w:p w:rsidR="007319AC" w:rsidRPr="00996758" w:rsidRDefault="007319AC">
      <w:pPr>
        <w:pBdr>
          <w:top w:val="nil"/>
        </w:pBdr>
        <w:spacing w:after="0" w:line="240" w:lineRule="auto"/>
        <w:jc w:val="both"/>
        <w:rPr>
          <w:rFonts w:ascii="Verdana" w:hAnsi="Verdana" w:cs="Verdana"/>
          <w:bCs/>
          <w:sz w:val="20"/>
          <w:szCs w:val="20"/>
        </w:rPr>
      </w:pPr>
    </w:p>
    <w:p w:rsidR="005B46FB" w:rsidRPr="00996758" w:rsidRDefault="00896DFA"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 xml:space="preserve">Además, </w:t>
      </w:r>
      <w:r w:rsidR="00484BA7" w:rsidRPr="00996758">
        <w:rPr>
          <w:rFonts w:ascii="Verdana" w:eastAsia="Arial Unicode MS" w:hAnsi="Verdana"/>
          <w:sz w:val="20"/>
          <w:szCs w:val="20"/>
          <w:bdr w:val="nil"/>
        </w:rPr>
        <w:t xml:space="preserve">en sus declaraciones ante la Procuraduría, </w:t>
      </w:r>
      <w:r w:rsidR="000E5046" w:rsidRPr="00996758">
        <w:rPr>
          <w:rFonts w:ascii="Verdana" w:eastAsia="Arial Unicode MS" w:hAnsi="Verdana"/>
          <w:sz w:val="20"/>
          <w:szCs w:val="20"/>
          <w:bdr w:val="nil"/>
        </w:rPr>
        <w:t>otros hombres que se encontraban detenidos</w:t>
      </w:r>
      <w:r w:rsidR="00484BA7" w:rsidRPr="00996758">
        <w:rPr>
          <w:rFonts w:ascii="Verdana" w:eastAsia="Arial Unicode MS" w:hAnsi="Verdana"/>
          <w:sz w:val="20"/>
          <w:szCs w:val="20"/>
          <w:bdr w:val="nil"/>
        </w:rPr>
        <w:t xml:space="preserve"> en la cárcel</w:t>
      </w:r>
      <w:r w:rsidR="000E5046" w:rsidRPr="00996758">
        <w:rPr>
          <w:rFonts w:ascii="Verdana" w:eastAsia="Arial Unicode MS" w:hAnsi="Verdana"/>
          <w:sz w:val="20"/>
          <w:szCs w:val="20"/>
          <w:bdr w:val="nil"/>
        </w:rPr>
        <w:t xml:space="preserve"> </w:t>
      </w:r>
      <w:r w:rsidR="00BE586E" w:rsidRPr="00996758">
        <w:rPr>
          <w:rFonts w:ascii="Verdana" w:eastAsia="Arial Unicode MS" w:hAnsi="Verdana"/>
          <w:sz w:val="20"/>
          <w:szCs w:val="20"/>
          <w:bdr w:val="nil"/>
        </w:rPr>
        <w:t>–</w:t>
      </w:r>
      <w:r w:rsidR="000E5046" w:rsidRPr="00996758">
        <w:rPr>
          <w:rFonts w:ascii="Verdana" w:eastAsia="Arial Unicode MS" w:hAnsi="Verdana"/>
          <w:sz w:val="20"/>
          <w:szCs w:val="20"/>
          <w:bdr w:val="nil"/>
        </w:rPr>
        <w:t>y</w:t>
      </w:r>
      <w:r w:rsidR="00BE586E" w:rsidRPr="00996758">
        <w:rPr>
          <w:rFonts w:ascii="Verdana" w:eastAsia="Arial Unicode MS" w:hAnsi="Verdana"/>
          <w:sz w:val="20"/>
          <w:szCs w:val="20"/>
          <w:bdr w:val="nil"/>
        </w:rPr>
        <w:t xml:space="preserve"> que</w:t>
      </w:r>
      <w:r w:rsidR="000E5046" w:rsidRPr="00996758">
        <w:rPr>
          <w:rFonts w:ascii="Verdana" w:eastAsia="Arial Unicode MS" w:hAnsi="Verdana"/>
          <w:sz w:val="20"/>
          <w:szCs w:val="20"/>
          <w:bdr w:val="nil"/>
        </w:rPr>
        <w:t xml:space="preserve"> no fueron sustraídos</w:t>
      </w:r>
      <w:r w:rsidR="00BE586E" w:rsidRPr="00996758">
        <w:rPr>
          <w:rFonts w:ascii="Verdana" w:eastAsia="Arial Unicode MS" w:hAnsi="Verdana"/>
          <w:sz w:val="20"/>
          <w:szCs w:val="20"/>
          <w:bdr w:val="nil"/>
        </w:rPr>
        <w:t xml:space="preserve">– </w:t>
      </w:r>
      <w:r w:rsidR="000E5046" w:rsidRPr="00996758">
        <w:rPr>
          <w:rFonts w:ascii="Verdana" w:eastAsia="Arial Unicode MS" w:hAnsi="Verdana"/>
          <w:sz w:val="20"/>
          <w:szCs w:val="20"/>
          <w:bdr w:val="nil"/>
        </w:rPr>
        <w:t xml:space="preserve"> </w:t>
      </w:r>
      <w:r w:rsidR="00BE586E" w:rsidRPr="00996758">
        <w:rPr>
          <w:rFonts w:ascii="Verdana" w:eastAsia="Arial Unicode MS" w:hAnsi="Verdana"/>
          <w:sz w:val="20"/>
          <w:szCs w:val="20"/>
          <w:bdr w:val="nil"/>
        </w:rPr>
        <w:t>hicieron referencia</w:t>
      </w:r>
      <w:r w:rsidR="000E5046" w:rsidRPr="00996758">
        <w:rPr>
          <w:rFonts w:ascii="Verdana" w:eastAsia="Arial Unicode MS" w:hAnsi="Verdana"/>
          <w:sz w:val="20"/>
          <w:szCs w:val="20"/>
          <w:bdr w:val="nil"/>
        </w:rPr>
        <w:t xml:space="preserve"> a </w:t>
      </w:r>
      <w:r w:rsidR="00C2059D" w:rsidRPr="00996758">
        <w:rPr>
          <w:rFonts w:ascii="Verdana" w:eastAsia="Arial Unicode MS" w:hAnsi="Verdana"/>
          <w:sz w:val="20"/>
          <w:szCs w:val="20"/>
          <w:bdr w:val="nil"/>
        </w:rPr>
        <w:t>tales</w:t>
      </w:r>
      <w:r w:rsidR="000E5046" w:rsidRPr="00996758">
        <w:rPr>
          <w:rFonts w:ascii="Verdana" w:eastAsia="Arial Unicode MS" w:hAnsi="Verdana"/>
          <w:sz w:val="20"/>
          <w:szCs w:val="20"/>
          <w:bdr w:val="nil"/>
        </w:rPr>
        <w:t xml:space="preserve"> </w:t>
      </w:r>
      <w:r w:rsidR="00523F25" w:rsidRPr="00996758">
        <w:rPr>
          <w:rFonts w:ascii="Verdana" w:eastAsia="Arial Unicode MS" w:hAnsi="Verdana"/>
          <w:sz w:val="20"/>
          <w:szCs w:val="20"/>
          <w:bdr w:val="nil"/>
        </w:rPr>
        <w:t>panfletos</w:t>
      </w:r>
      <w:r w:rsidR="000E5046" w:rsidRPr="00996758">
        <w:rPr>
          <w:rFonts w:ascii="Verdana" w:eastAsia="Arial Unicode MS" w:hAnsi="Verdana"/>
          <w:sz w:val="20"/>
          <w:szCs w:val="20"/>
          <w:bdr w:val="nil"/>
        </w:rPr>
        <w:t xml:space="preserve"> alusivos a las FARC</w:t>
      </w:r>
      <w:r w:rsidR="00C2059D" w:rsidRPr="00996758">
        <w:rPr>
          <w:rFonts w:ascii="Verdana" w:eastAsia="Arial Unicode MS" w:hAnsi="Verdana"/>
          <w:sz w:val="20"/>
          <w:szCs w:val="20"/>
          <w:bdr w:val="nil"/>
        </w:rPr>
        <w:t xml:space="preserve"> o </w:t>
      </w:r>
      <w:r w:rsidR="00933B7C" w:rsidRPr="00996758">
        <w:rPr>
          <w:rFonts w:ascii="Verdana" w:eastAsia="Arial Unicode MS" w:hAnsi="Verdana"/>
          <w:sz w:val="20"/>
          <w:szCs w:val="20"/>
          <w:bdr w:val="nil"/>
        </w:rPr>
        <w:t xml:space="preserve">a </w:t>
      </w:r>
      <w:r w:rsidR="00C2059D" w:rsidRPr="00996758">
        <w:rPr>
          <w:rFonts w:ascii="Verdana" w:eastAsia="Arial Unicode MS" w:hAnsi="Verdana"/>
          <w:sz w:val="20"/>
          <w:szCs w:val="20"/>
          <w:bdr w:val="nil"/>
        </w:rPr>
        <w:t>brazaletes que portarían los hombres armados</w:t>
      </w:r>
      <w:r w:rsidR="00484BA7" w:rsidRPr="00996758">
        <w:rPr>
          <w:rFonts w:ascii="Verdana" w:eastAsia="Arial Unicode MS" w:hAnsi="Verdana"/>
          <w:sz w:val="20"/>
          <w:szCs w:val="20"/>
          <w:bdr w:val="nil"/>
        </w:rPr>
        <w:t>. U</w:t>
      </w:r>
      <w:r w:rsidR="0037563B" w:rsidRPr="00996758">
        <w:rPr>
          <w:rFonts w:ascii="Verdana" w:eastAsia="Arial Unicode MS" w:hAnsi="Verdana"/>
          <w:sz w:val="20"/>
          <w:szCs w:val="20"/>
          <w:bdr w:val="nil"/>
        </w:rPr>
        <w:t>no de ellos declaró</w:t>
      </w:r>
      <w:r w:rsidR="00484BA7" w:rsidRPr="00996758">
        <w:rPr>
          <w:rFonts w:ascii="Verdana" w:eastAsia="Arial Unicode MS" w:hAnsi="Verdana"/>
          <w:sz w:val="20"/>
          <w:szCs w:val="20"/>
          <w:bdr w:val="nil"/>
        </w:rPr>
        <w:t>, además,</w:t>
      </w:r>
      <w:r w:rsidR="0037563B" w:rsidRPr="00996758">
        <w:rPr>
          <w:rFonts w:ascii="Verdana" w:eastAsia="Arial Unicode MS" w:hAnsi="Verdana"/>
          <w:sz w:val="20"/>
          <w:szCs w:val="20"/>
          <w:bdr w:val="nil"/>
        </w:rPr>
        <w:t xml:space="preserve"> que antes de los hechos habría tenido conocimiento sobre posibles planes de fuga por parte de otro preso que no era el señor Isaza Uribe</w:t>
      </w:r>
      <w:r w:rsidR="0037563B" w:rsidRPr="00996758">
        <w:rPr>
          <w:rStyle w:val="FootnoteReference"/>
          <w:rFonts w:ascii="Verdana" w:eastAsia="Arial Unicode MS" w:hAnsi="Verdana"/>
          <w:sz w:val="20"/>
          <w:szCs w:val="20"/>
          <w:bdr w:val="nil"/>
        </w:rPr>
        <w:footnoteReference w:id="102"/>
      </w:r>
      <w:r w:rsidR="000E5046" w:rsidRPr="00996758">
        <w:rPr>
          <w:rFonts w:ascii="Verdana" w:eastAsia="Arial Unicode MS" w:hAnsi="Verdana"/>
          <w:sz w:val="20"/>
          <w:szCs w:val="20"/>
          <w:bdr w:val="nil"/>
        </w:rPr>
        <w:t xml:space="preserve">. </w:t>
      </w:r>
      <w:r w:rsidR="007856E1" w:rsidRPr="00996758">
        <w:rPr>
          <w:rFonts w:ascii="Verdana" w:hAnsi="Verdana" w:cs="Verdana"/>
          <w:bCs/>
          <w:sz w:val="20"/>
          <w:szCs w:val="20"/>
        </w:rPr>
        <w:t xml:space="preserve">En cuanto a los guardianes de la prisión que </w:t>
      </w:r>
      <w:r w:rsidR="001C26AF" w:rsidRPr="00996758">
        <w:rPr>
          <w:rFonts w:ascii="Verdana" w:hAnsi="Verdana" w:cs="Verdana"/>
          <w:bCs/>
          <w:sz w:val="20"/>
          <w:szCs w:val="20"/>
        </w:rPr>
        <w:t xml:space="preserve">supuestamente </w:t>
      </w:r>
      <w:r w:rsidR="007856E1" w:rsidRPr="00996758">
        <w:rPr>
          <w:rFonts w:ascii="Verdana" w:hAnsi="Verdana" w:cs="Verdana"/>
          <w:bCs/>
          <w:sz w:val="20"/>
          <w:szCs w:val="20"/>
        </w:rPr>
        <w:t>habrían sido encerrados en una celda por quienes sustrajeron a la presunta víctima, en alguna declaración se refirieron a tales panfletos o manifestaron que habían observado que los captores portaban brazaletes de las FARC</w:t>
      </w:r>
      <w:r w:rsidR="007856E1" w:rsidRPr="00996758">
        <w:rPr>
          <w:rStyle w:val="FootnoteReference"/>
          <w:rFonts w:ascii="Verdana" w:hAnsi="Verdana" w:cs="Verdana"/>
          <w:bCs/>
          <w:sz w:val="20"/>
          <w:szCs w:val="20"/>
        </w:rPr>
        <w:footnoteReference w:id="103"/>
      </w:r>
      <w:r w:rsidR="007856E1" w:rsidRPr="00996758">
        <w:rPr>
          <w:rFonts w:ascii="Verdana" w:hAnsi="Verdana" w:cs="Verdana"/>
          <w:bCs/>
          <w:sz w:val="20"/>
          <w:szCs w:val="20"/>
        </w:rPr>
        <w:t xml:space="preserve">. </w:t>
      </w:r>
      <w:r w:rsidR="007856E1" w:rsidRPr="00996758">
        <w:rPr>
          <w:rFonts w:ascii="Verdana" w:eastAsia="Arial Unicode MS" w:hAnsi="Verdana"/>
          <w:sz w:val="20"/>
          <w:szCs w:val="20"/>
          <w:bdr w:val="nil"/>
        </w:rPr>
        <w:t>Otros declarantes manifestaron que en esa época no existía guerrilla en la región</w:t>
      </w:r>
      <w:r w:rsidR="007856E1" w:rsidRPr="00996758">
        <w:rPr>
          <w:rStyle w:val="FootnoteReference"/>
          <w:rFonts w:ascii="Verdana" w:eastAsia="Arial Unicode MS" w:hAnsi="Verdana"/>
          <w:sz w:val="20"/>
          <w:szCs w:val="20"/>
          <w:bdr w:val="nil"/>
        </w:rPr>
        <w:footnoteReference w:id="104"/>
      </w:r>
      <w:r w:rsidR="007856E1" w:rsidRPr="00996758">
        <w:rPr>
          <w:rFonts w:ascii="Verdana" w:eastAsia="Arial Unicode MS" w:hAnsi="Verdana"/>
          <w:sz w:val="20"/>
          <w:szCs w:val="20"/>
          <w:bdr w:val="nil"/>
        </w:rPr>
        <w:t xml:space="preserve">. </w:t>
      </w:r>
      <w:r w:rsidR="000E5046" w:rsidRPr="00996758">
        <w:rPr>
          <w:rFonts w:ascii="Verdana" w:eastAsia="Arial Unicode MS" w:hAnsi="Verdana"/>
          <w:sz w:val="20"/>
          <w:szCs w:val="20"/>
          <w:bdr w:val="nil"/>
        </w:rPr>
        <w:t xml:space="preserve">No obstante, tal como afirmaron </w:t>
      </w:r>
      <w:r w:rsidR="00523F25" w:rsidRPr="00996758">
        <w:rPr>
          <w:rFonts w:ascii="Verdana" w:eastAsia="Arial Unicode MS" w:hAnsi="Verdana"/>
          <w:sz w:val="20"/>
          <w:szCs w:val="20"/>
          <w:bdr w:val="nil"/>
        </w:rPr>
        <w:t>los representantes y el Estado</w:t>
      </w:r>
      <w:r w:rsidR="000E5046" w:rsidRPr="00996758">
        <w:rPr>
          <w:rFonts w:ascii="Verdana" w:eastAsia="Arial Unicode MS" w:hAnsi="Verdana"/>
          <w:sz w:val="20"/>
          <w:szCs w:val="20"/>
          <w:bdr w:val="nil"/>
        </w:rPr>
        <w:t>,</w:t>
      </w:r>
      <w:r w:rsidR="00523F25" w:rsidRPr="00996758">
        <w:rPr>
          <w:rFonts w:ascii="Verdana" w:eastAsia="Arial Unicode MS" w:hAnsi="Verdana"/>
          <w:sz w:val="20"/>
          <w:szCs w:val="20"/>
          <w:bdr w:val="nil"/>
        </w:rPr>
        <w:t xml:space="preserve"> tales declaraciones</w:t>
      </w:r>
      <w:r w:rsidR="000E5046" w:rsidRPr="00996758">
        <w:rPr>
          <w:rFonts w:ascii="Verdana" w:eastAsia="Arial Unicode MS" w:hAnsi="Verdana"/>
          <w:sz w:val="20"/>
          <w:szCs w:val="20"/>
          <w:bdr w:val="nil"/>
        </w:rPr>
        <w:t xml:space="preserve"> no son consistentes para llegar a la </w:t>
      </w:r>
      <w:r w:rsidR="00523F25" w:rsidRPr="00996758">
        <w:rPr>
          <w:rFonts w:ascii="Verdana" w:eastAsia="Arial Unicode MS" w:hAnsi="Verdana"/>
          <w:sz w:val="20"/>
          <w:szCs w:val="20"/>
          <w:bdr w:val="nil"/>
        </w:rPr>
        <w:t>conclusión</w:t>
      </w:r>
      <w:r w:rsidR="000E5046" w:rsidRPr="00996758">
        <w:rPr>
          <w:rFonts w:ascii="Verdana" w:eastAsia="Arial Unicode MS" w:hAnsi="Verdana"/>
          <w:sz w:val="20"/>
          <w:szCs w:val="20"/>
          <w:bdr w:val="nil"/>
        </w:rPr>
        <w:t xml:space="preserve"> de que los captores eran miembros de las FARC, pues sus versiones son contradictorias en cuanto a si llevaban brazaletes de </w:t>
      </w:r>
      <w:r w:rsidR="00C605AF" w:rsidRPr="00996758">
        <w:rPr>
          <w:rFonts w:ascii="Verdana" w:eastAsia="Arial Unicode MS" w:hAnsi="Verdana"/>
          <w:sz w:val="20"/>
          <w:szCs w:val="20"/>
          <w:bdr w:val="nil"/>
        </w:rPr>
        <w:t>ese grupo guerrillero</w:t>
      </w:r>
      <w:r w:rsidR="000E5046" w:rsidRPr="00996758">
        <w:rPr>
          <w:rFonts w:ascii="Verdana" w:eastAsia="Arial Unicode MS" w:hAnsi="Verdana"/>
          <w:sz w:val="20"/>
          <w:szCs w:val="20"/>
          <w:bdr w:val="nil"/>
        </w:rPr>
        <w:t xml:space="preserve"> o no; en si </w:t>
      </w:r>
      <w:r w:rsidR="00484BA7" w:rsidRPr="00996758">
        <w:rPr>
          <w:rFonts w:ascii="Verdana" w:eastAsia="Arial Unicode MS" w:hAnsi="Verdana"/>
          <w:sz w:val="20"/>
          <w:szCs w:val="20"/>
          <w:bdr w:val="nil"/>
        </w:rPr>
        <w:t>invitaron</w:t>
      </w:r>
      <w:r w:rsidR="000E5046" w:rsidRPr="00996758">
        <w:rPr>
          <w:rFonts w:ascii="Verdana" w:eastAsia="Arial Unicode MS" w:hAnsi="Verdana"/>
          <w:sz w:val="20"/>
          <w:szCs w:val="20"/>
          <w:bdr w:val="nil"/>
        </w:rPr>
        <w:t xml:space="preserve"> a todos los </w:t>
      </w:r>
      <w:r w:rsidR="00484BA7" w:rsidRPr="00996758">
        <w:rPr>
          <w:rFonts w:ascii="Verdana" w:eastAsia="Arial Unicode MS" w:hAnsi="Verdana"/>
          <w:sz w:val="20"/>
          <w:szCs w:val="20"/>
          <w:bdr w:val="nil"/>
        </w:rPr>
        <w:t xml:space="preserve">detenidos </w:t>
      </w:r>
      <w:r w:rsidR="000E5046" w:rsidRPr="00996758">
        <w:rPr>
          <w:rFonts w:ascii="Verdana" w:eastAsia="Arial Unicode MS" w:hAnsi="Verdana"/>
          <w:sz w:val="20"/>
          <w:szCs w:val="20"/>
          <w:bdr w:val="nil"/>
        </w:rPr>
        <w:t xml:space="preserve">a salir o </w:t>
      </w:r>
      <w:r w:rsidR="00A91DBF" w:rsidRPr="00996758">
        <w:rPr>
          <w:rFonts w:ascii="Verdana" w:eastAsia="Arial Unicode MS" w:hAnsi="Verdana"/>
          <w:sz w:val="20"/>
          <w:szCs w:val="20"/>
          <w:bdr w:val="nil"/>
        </w:rPr>
        <w:t xml:space="preserve">sólo </w:t>
      </w:r>
      <w:r w:rsidR="00484BA7" w:rsidRPr="00996758">
        <w:rPr>
          <w:rFonts w:ascii="Verdana" w:eastAsia="Arial Unicode MS" w:hAnsi="Verdana"/>
          <w:sz w:val="20"/>
          <w:szCs w:val="20"/>
          <w:bdr w:val="nil"/>
        </w:rPr>
        <w:t xml:space="preserve">escogieron </w:t>
      </w:r>
      <w:r w:rsidR="000E5046" w:rsidRPr="00996758">
        <w:rPr>
          <w:rFonts w:ascii="Verdana" w:eastAsia="Arial Unicode MS" w:hAnsi="Verdana"/>
          <w:sz w:val="20"/>
          <w:szCs w:val="20"/>
          <w:bdr w:val="nil"/>
        </w:rPr>
        <w:t xml:space="preserve">a </w:t>
      </w:r>
      <w:r w:rsidR="00A91DBF" w:rsidRPr="00996758">
        <w:rPr>
          <w:rFonts w:ascii="Verdana" w:eastAsia="Arial Unicode MS" w:hAnsi="Verdana"/>
          <w:sz w:val="20"/>
          <w:szCs w:val="20"/>
          <w:bdr w:val="nil"/>
        </w:rPr>
        <w:t>quienes</w:t>
      </w:r>
      <w:r w:rsidR="000E5046" w:rsidRPr="00996758">
        <w:rPr>
          <w:rFonts w:ascii="Verdana" w:eastAsia="Arial Unicode MS" w:hAnsi="Verdana"/>
          <w:sz w:val="20"/>
          <w:szCs w:val="20"/>
          <w:bdr w:val="nil"/>
        </w:rPr>
        <w:t xml:space="preserve"> se iban a llevar; o en si hubo violencia o no.</w:t>
      </w:r>
      <w:r w:rsidR="0095321D" w:rsidRPr="00996758">
        <w:rPr>
          <w:rFonts w:ascii="Verdana" w:hAnsi="Verdana" w:cs="Verdana"/>
          <w:bCs/>
          <w:sz w:val="20"/>
          <w:szCs w:val="20"/>
        </w:rPr>
        <w:t xml:space="preserve"> </w:t>
      </w:r>
      <w:r w:rsidR="007856E1" w:rsidRPr="00996758">
        <w:rPr>
          <w:rFonts w:ascii="Verdana" w:hAnsi="Verdana" w:cs="Verdana"/>
          <w:bCs/>
          <w:sz w:val="20"/>
          <w:szCs w:val="20"/>
        </w:rPr>
        <w:t>A</w:t>
      </w:r>
      <w:r w:rsidR="0095321D" w:rsidRPr="00996758">
        <w:rPr>
          <w:rFonts w:ascii="Verdana" w:hAnsi="Verdana" w:cs="Verdana"/>
          <w:bCs/>
          <w:sz w:val="20"/>
          <w:szCs w:val="20"/>
        </w:rPr>
        <w:t>demás, el Estado no controvirtió lo afirmado por</w:t>
      </w:r>
      <w:r w:rsidR="005B46FB" w:rsidRPr="00996758">
        <w:rPr>
          <w:rFonts w:ascii="Verdana" w:hAnsi="Verdana" w:cs="Verdana"/>
          <w:bCs/>
          <w:sz w:val="20"/>
          <w:szCs w:val="20"/>
        </w:rPr>
        <w:t xml:space="preserve"> la Comisión </w:t>
      </w:r>
      <w:r w:rsidR="0095321D" w:rsidRPr="00996758">
        <w:rPr>
          <w:rFonts w:ascii="Verdana" w:hAnsi="Verdana" w:cs="Verdana"/>
          <w:bCs/>
          <w:sz w:val="20"/>
          <w:szCs w:val="20"/>
        </w:rPr>
        <w:t xml:space="preserve">en cuanto a que </w:t>
      </w:r>
      <w:r w:rsidR="00957710" w:rsidRPr="00996758">
        <w:rPr>
          <w:rFonts w:ascii="Verdana" w:hAnsi="Verdana" w:cs="Verdana"/>
          <w:bCs/>
          <w:sz w:val="20"/>
          <w:szCs w:val="20"/>
        </w:rPr>
        <w:t>los</w:t>
      </w:r>
      <w:r w:rsidR="005B46FB" w:rsidRPr="00996758">
        <w:rPr>
          <w:rFonts w:ascii="Verdana" w:hAnsi="Verdana" w:cs="Verdana"/>
          <w:bCs/>
          <w:sz w:val="20"/>
          <w:szCs w:val="20"/>
        </w:rPr>
        <w:t xml:space="preserve"> agentes de segur</w:t>
      </w:r>
      <w:r w:rsidR="0095321D" w:rsidRPr="00996758">
        <w:rPr>
          <w:rFonts w:ascii="Verdana" w:hAnsi="Verdana" w:cs="Verdana"/>
          <w:bCs/>
          <w:sz w:val="20"/>
          <w:szCs w:val="20"/>
        </w:rPr>
        <w:t>idad</w:t>
      </w:r>
      <w:r w:rsidR="00957710" w:rsidRPr="00996758">
        <w:rPr>
          <w:rFonts w:ascii="Verdana" w:hAnsi="Verdana" w:cs="Verdana"/>
          <w:bCs/>
          <w:sz w:val="20"/>
          <w:szCs w:val="20"/>
        </w:rPr>
        <w:t xml:space="preserve"> de la cárcel</w:t>
      </w:r>
      <w:r w:rsidR="00CE7700" w:rsidRPr="00996758">
        <w:rPr>
          <w:rFonts w:ascii="Verdana" w:hAnsi="Verdana" w:cs="Verdana"/>
          <w:bCs/>
          <w:sz w:val="20"/>
          <w:szCs w:val="20"/>
        </w:rPr>
        <w:t xml:space="preserve"> podrían estar </w:t>
      </w:r>
      <w:r w:rsidR="0095321D" w:rsidRPr="00996758">
        <w:rPr>
          <w:rFonts w:ascii="Verdana" w:hAnsi="Verdana" w:cs="Verdana"/>
          <w:bCs/>
          <w:sz w:val="20"/>
          <w:szCs w:val="20"/>
        </w:rPr>
        <w:t>involucrados</w:t>
      </w:r>
      <w:r w:rsidR="00523F25" w:rsidRPr="00996758">
        <w:rPr>
          <w:rFonts w:ascii="Verdana" w:hAnsi="Verdana" w:cs="Verdana"/>
          <w:bCs/>
          <w:sz w:val="20"/>
          <w:szCs w:val="20"/>
        </w:rPr>
        <w:t xml:space="preserve"> en la desaparición</w:t>
      </w:r>
      <w:r w:rsidR="005B46FB" w:rsidRPr="00996758">
        <w:rPr>
          <w:rFonts w:ascii="Verdana" w:hAnsi="Verdana" w:cs="Verdana"/>
          <w:bCs/>
          <w:sz w:val="20"/>
          <w:szCs w:val="20"/>
        </w:rPr>
        <w:t>.</w:t>
      </w:r>
    </w:p>
    <w:p w:rsidR="000E5046" w:rsidRPr="00996758" w:rsidRDefault="000E5046">
      <w:pPr>
        <w:pStyle w:val="ListParagraph"/>
        <w:spacing w:after="0" w:line="240" w:lineRule="auto"/>
        <w:ind w:left="0"/>
        <w:jc w:val="both"/>
        <w:rPr>
          <w:rFonts w:ascii="Verdana" w:eastAsia="Arial Unicode MS" w:hAnsi="Verdana"/>
          <w:sz w:val="20"/>
          <w:szCs w:val="20"/>
          <w:bdr w:val="nil"/>
        </w:rPr>
      </w:pPr>
    </w:p>
    <w:p w:rsidR="00BF5945" w:rsidRPr="00996758" w:rsidRDefault="00A91DBF"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 xml:space="preserve">Por otro lado, </w:t>
      </w:r>
      <w:r w:rsidR="00A15C22" w:rsidRPr="00996758">
        <w:rPr>
          <w:rFonts w:ascii="Verdana" w:hAnsi="Verdana"/>
          <w:sz w:val="20"/>
          <w:szCs w:val="20"/>
        </w:rPr>
        <w:t>e</w:t>
      </w:r>
      <w:r w:rsidR="00BF5945" w:rsidRPr="00996758">
        <w:rPr>
          <w:rFonts w:ascii="Verdana" w:hAnsi="Verdana"/>
          <w:sz w:val="20"/>
          <w:szCs w:val="20"/>
        </w:rPr>
        <w:t>l</w:t>
      </w:r>
      <w:r w:rsidR="005C4A8C" w:rsidRPr="00996758">
        <w:rPr>
          <w:rFonts w:ascii="Verdana" w:hAnsi="Verdana"/>
          <w:sz w:val="20"/>
          <w:szCs w:val="20"/>
        </w:rPr>
        <w:t xml:space="preserve"> titular del</w:t>
      </w:r>
      <w:r w:rsidR="00BF5945" w:rsidRPr="00996758">
        <w:rPr>
          <w:rFonts w:ascii="Verdana" w:hAnsi="Verdana"/>
          <w:sz w:val="20"/>
          <w:szCs w:val="20"/>
        </w:rPr>
        <w:t xml:space="preserve"> Juzgado 64 de Instrucción Criminal de Puerto Nare, que </w:t>
      </w:r>
      <w:r w:rsidR="0016220F" w:rsidRPr="00996758">
        <w:rPr>
          <w:rFonts w:ascii="Verdana" w:hAnsi="Verdana"/>
          <w:sz w:val="20"/>
          <w:szCs w:val="20"/>
        </w:rPr>
        <w:t xml:space="preserve">semanas antes </w:t>
      </w:r>
      <w:r w:rsidR="00BF5945" w:rsidRPr="00996758">
        <w:rPr>
          <w:rFonts w:ascii="Verdana" w:hAnsi="Verdana"/>
          <w:sz w:val="20"/>
          <w:szCs w:val="20"/>
        </w:rPr>
        <w:t xml:space="preserve">había dispuesto la detención </w:t>
      </w:r>
      <w:r w:rsidR="0016220F" w:rsidRPr="00996758">
        <w:rPr>
          <w:rFonts w:ascii="Verdana" w:hAnsi="Verdana"/>
          <w:sz w:val="20"/>
          <w:szCs w:val="20"/>
        </w:rPr>
        <w:t xml:space="preserve">preventiva </w:t>
      </w:r>
      <w:r w:rsidR="00BF5945" w:rsidRPr="00996758">
        <w:rPr>
          <w:rFonts w:ascii="Verdana" w:hAnsi="Verdana"/>
          <w:sz w:val="20"/>
          <w:szCs w:val="20"/>
        </w:rPr>
        <w:t>del señor Isaza Uribe, el mismo día de su sustracción dejó constancia de no haber podido efectuar u</w:t>
      </w:r>
      <w:r w:rsidR="005C4A8C" w:rsidRPr="00996758">
        <w:rPr>
          <w:rFonts w:ascii="Verdana" w:hAnsi="Verdana"/>
          <w:sz w:val="20"/>
          <w:szCs w:val="20"/>
        </w:rPr>
        <w:t>na diligencia de reconocimiento</w:t>
      </w:r>
      <w:r w:rsidR="00E3388A" w:rsidRPr="00996758">
        <w:rPr>
          <w:rFonts w:ascii="Verdana" w:hAnsi="Verdana"/>
          <w:sz w:val="20"/>
          <w:szCs w:val="20"/>
        </w:rPr>
        <w:t>. En tal constancia, que contiene una apreciación preliminar del juez a</w:t>
      </w:r>
      <w:r w:rsidR="00957710" w:rsidRPr="00996758">
        <w:rPr>
          <w:rFonts w:ascii="Verdana" w:hAnsi="Verdana"/>
          <w:sz w:val="20"/>
          <w:szCs w:val="20"/>
        </w:rPr>
        <w:t>cerca de la probable autoría de la sustracción</w:t>
      </w:r>
      <w:r w:rsidR="005C4A8C" w:rsidRPr="00996758">
        <w:rPr>
          <w:rFonts w:ascii="Verdana" w:hAnsi="Verdana"/>
          <w:sz w:val="20"/>
          <w:szCs w:val="20"/>
        </w:rPr>
        <w:t xml:space="preserve">, </w:t>
      </w:r>
      <w:r w:rsidR="00E3388A" w:rsidRPr="00996758">
        <w:rPr>
          <w:rFonts w:ascii="Verdana" w:hAnsi="Verdana"/>
          <w:sz w:val="20"/>
          <w:szCs w:val="20"/>
        </w:rPr>
        <w:t xml:space="preserve">se señala </w:t>
      </w:r>
      <w:r w:rsidR="005C4A8C" w:rsidRPr="00996758">
        <w:rPr>
          <w:rFonts w:ascii="Verdana" w:hAnsi="Verdana"/>
          <w:sz w:val="20"/>
          <w:szCs w:val="20"/>
        </w:rPr>
        <w:t>que, “por la manera como obraron los desconocidos al llevar a cabo la incursión y sustracción de los cuatro presos, no es muy creíble que se trate de algún grupo subversivo sino más bien de movimientos paramilitares”</w:t>
      </w:r>
      <w:r w:rsidR="005C4A8C" w:rsidRPr="00996758">
        <w:rPr>
          <w:rStyle w:val="FootnoteReference"/>
          <w:rFonts w:ascii="Verdana" w:hAnsi="Verdana"/>
          <w:sz w:val="20"/>
          <w:szCs w:val="20"/>
        </w:rPr>
        <w:footnoteReference w:id="105"/>
      </w:r>
      <w:r w:rsidR="005C4A8C" w:rsidRPr="00996758">
        <w:rPr>
          <w:rFonts w:ascii="Verdana" w:hAnsi="Verdana"/>
          <w:sz w:val="20"/>
          <w:szCs w:val="20"/>
        </w:rPr>
        <w:t>.</w:t>
      </w:r>
      <w:r w:rsidR="00BF5945" w:rsidRPr="00996758">
        <w:rPr>
          <w:rFonts w:ascii="Verdana" w:hAnsi="Verdana"/>
          <w:sz w:val="20"/>
          <w:szCs w:val="20"/>
        </w:rPr>
        <w:t xml:space="preserve"> </w:t>
      </w:r>
    </w:p>
    <w:p w:rsidR="00BF5945" w:rsidRPr="00996758" w:rsidRDefault="00BF5945" w:rsidP="00484279">
      <w:pPr>
        <w:pStyle w:val="ListParagraph"/>
        <w:spacing w:line="240" w:lineRule="auto"/>
        <w:rPr>
          <w:rFonts w:ascii="Verdana" w:hAnsi="Verdana"/>
          <w:sz w:val="20"/>
          <w:szCs w:val="20"/>
        </w:rPr>
      </w:pPr>
    </w:p>
    <w:p w:rsidR="001215A1" w:rsidRPr="00996758" w:rsidRDefault="00A91DBF" w:rsidP="00AE1DD8">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hAnsi="Verdana"/>
          <w:sz w:val="20"/>
          <w:szCs w:val="20"/>
        </w:rPr>
        <w:t xml:space="preserve">Por su parte, </w:t>
      </w:r>
      <w:r w:rsidRPr="00996758">
        <w:rPr>
          <w:rFonts w:ascii="Verdana" w:eastAsia="Arial Unicode MS" w:hAnsi="Verdana"/>
          <w:sz w:val="20"/>
          <w:szCs w:val="20"/>
          <w:bdr w:val="nil"/>
        </w:rPr>
        <w:t xml:space="preserve">la Procuraduría Delegada para la Defensa de los Derechos Humanos </w:t>
      </w:r>
      <w:r w:rsidR="00957710" w:rsidRPr="00996758">
        <w:rPr>
          <w:rFonts w:ascii="Verdana" w:eastAsia="Arial Unicode MS" w:hAnsi="Verdana"/>
          <w:sz w:val="20"/>
          <w:szCs w:val="20"/>
          <w:bdr w:val="nil"/>
        </w:rPr>
        <w:t>cuestionó</w:t>
      </w:r>
      <w:r w:rsidRPr="00996758">
        <w:rPr>
          <w:rFonts w:ascii="Verdana" w:eastAsia="Arial Unicode MS" w:hAnsi="Verdana"/>
          <w:sz w:val="20"/>
          <w:szCs w:val="20"/>
          <w:bdr w:val="nil"/>
        </w:rPr>
        <w:t xml:space="preserve"> </w:t>
      </w:r>
      <w:r w:rsidR="000E5046" w:rsidRPr="00996758">
        <w:rPr>
          <w:rFonts w:ascii="Verdana" w:eastAsia="Arial Unicode MS" w:hAnsi="Verdana"/>
          <w:sz w:val="20"/>
          <w:szCs w:val="20"/>
          <w:bdr w:val="nil"/>
        </w:rPr>
        <w:t xml:space="preserve">que varios declarantes </w:t>
      </w:r>
      <w:r w:rsidRPr="00996758">
        <w:rPr>
          <w:rFonts w:ascii="Verdana" w:eastAsia="Arial Unicode MS" w:hAnsi="Verdana"/>
          <w:sz w:val="20"/>
          <w:szCs w:val="20"/>
          <w:bdr w:val="nil"/>
        </w:rPr>
        <w:t>no</w:t>
      </w:r>
      <w:r w:rsidR="00957710" w:rsidRPr="00996758">
        <w:rPr>
          <w:rFonts w:ascii="Verdana" w:eastAsia="Arial Unicode MS" w:hAnsi="Verdana"/>
          <w:sz w:val="20"/>
          <w:szCs w:val="20"/>
          <w:bdr w:val="nil"/>
        </w:rPr>
        <w:t xml:space="preserve"> aceptar</w:t>
      </w:r>
      <w:r w:rsidRPr="00996758">
        <w:rPr>
          <w:rFonts w:ascii="Verdana" w:eastAsia="Arial Unicode MS" w:hAnsi="Verdana"/>
          <w:sz w:val="20"/>
          <w:szCs w:val="20"/>
          <w:bdr w:val="nil"/>
        </w:rPr>
        <w:t>an</w:t>
      </w:r>
      <w:r w:rsidR="000E5046" w:rsidRPr="00996758">
        <w:rPr>
          <w:rFonts w:ascii="Verdana" w:eastAsia="Arial Unicode MS" w:hAnsi="Verdana"/>
          <w:sz w:val="20"/>
          <w:szCs w:val="20"/>
          <w:bdr w:val="nil"/>
        </w:rPr>
        <w:t xml:space="preserve"> </w:t>
      </w:r>
      <w:r w:rsidR="001C26AF" w:rsidRPr="00996758">
        <w:rPr>
          <w:rFonts w:ascii="Verdana" w:eastAsia="Arial Unicode MS" w:hAnsi="Verdana"/>
          <w:sz w:val="20"/>
          <w:szCs w:val="20"/>
          <w:bdr w:val="nil"/>
        </w:rPr>
        <w:t>que</w:t>
      </w:r>
      <w:r w:rsidRPr="00996758">
        <w:rPr>
          <w:rFonts w:ascii="Verdana" w:eastAsia="Arial Unicode MS" w:hAnsi="Verdana"/>
          <w:sz w:val="20"/>
          <w:szCs w:val="20"/>
          <w:bdr w:val="nil"/>
        </w:rPr>
        <w:t xml:space="preserve"> miembros de las FARC </w:t>
      </w:r>
      <w:r w:rsidR="001C26AF" w:rsidRPr="00996758">
        <w:rPr>
          <w:rFonts w:ascii="Verdana" w:eastAsia="Arial Unicode MS" w:hAnsi="Verdana"/>
          <w:sz w:val="20"/>
          <w:szCs w:val="20"/>
          <w:bdr w:val="nil"/>
        </w:rPr>
        <w:t xml:space="preserve">fuesen </w:t>
      </w:r>
      <w:r w:rsidR="000E5046" w:rsidRPr="00996758">
        <w:rPr>
          <w:rFonts w:ascii="Verdana" w:eastAsia="Arial Unicode MS" w:hAnsi="Verdana"/>
          <w:sz w:val="20"/>
          <w:szCs w:val="20"/>
          <w:bdr w:val="nil"/>
        </w:rPr>
        <w:t xml:space="preserve">probables autores </w:t>
      </w:r>
      <w:r w:rsidR="0016220F" w:rsidRPr="00996758">
        <w:rPr>
          <w:rFonts w:ascii="Verdana" w:eastAsia="Arial Unicode MS" w:hAnsi="Verdana"/>
          <w:sz w:val="20"/>
          <w:szCs w:val="20"/>
          <w:bdr w:val="nil"/>
        </w:rPr>
        <w:t>porque</w:t>
      </w:r>
      <w:r w:rsidR="001C26AF" w:rsidRPr="00996758">
        <w:rPr>
          <w:rFonts w:ascii="Verdana" w:eastAsia="Arial Unicode MS" w:hAnsi="Verdana"/>
          <w:sz w:val="20"/>
          <w:szCs w:val="20"/>
          <w:bdr w:val="nil"/>
        </w:rPr>
        <w:t>,</w:t>
      </w:r>
      <w:r w:rsidR="0016220F" w:rsidRPr="00996758">
        <w:rPr>
          <w:rFonts w:ascii="Verdana" w:eastAsia="Arial Unicode MS" w:hAnsi="Verdana"/>
          <w:sz w:val="20"/>
          <w:szCs w:val="20"/>
          <w:bdr w:val="nil"/>
        </w:rPr>
        <w:t xml:space="preserve"> según ellos</w:t>
      </w:r>
      <w:r w:rsidR="001C26AF" w:rsidRPr="00996758">
        <w:rPr>
          <w:rFonts w:ascii="Verdana" w:eastAsia="Arial Unicode MS" w:hAnsi="Verdana"/>
          <w:sz w:val="20"/>
          <w:szCs w:val="20"/>
          <w:bdr w:val="nil"/>
        </w:rPr>
        <w:t>,</w:t>
      </w:r>
      <w:r w:rsidR="000E5046" w:rsidRPr="00996758">
        <w:rPr>
          <w:rFonts w:ascii="Verdana" w:eastAsia="Arial Unicode MS" w:hAnsi="Verdana"/>
          <w:sz w:val="20"/>
          <w:szCs w:val="20"/>
          <w:bdr w:val="nil"/>
        </w:rPr>
        <w:t xml:space="preserve"> </w:t>
      </w:r>
      <w:r w:rsidR="001C26AF" w:rsidRPr="00996758">
        <w:rPr>
          <w:rFonts w:ascii="Verdana" w:eastAsia="Arial Unicode MS" w:hAnsi="Verdana"/>
          <w:sz w:val="20"/>
          <w:szCs w:val="20"/>
          <w:bdr w:val="nil"/>
        </w:rPr>
        <w:t>“</w:t>
      </w:r>
      <w:r w:rsidR="000E5046" w:rsidRPr="00996758">
        <w:rPr>
          <w:rFonts w:ascii="Verdana" w:eastAsia="Arial Unicode MS" w:hAnsi="Verdana"/>
          <w:sz w:val="20"/>
          <w:szCs w:val="20"/>
          <w:bdr w:val="nil"/>
        </w:rPr>
        <w:t xml:space="preserve">por la época (noviembre del 87) no operaban </w:t>
      </w:r>
      <w:r w:rsidR="0016220F" w:rsidRPr="00996758">
        <w:rPr>
          <w:rFonts w:ascii="Verdana" w:eastAsia="Arial Unicode MS" w:hAnsi="Verdana"/>
          <w:sz w:val="20"/>
          <w:szCs w:val="20"/>
          <w:bdr w:val="nil"/>
        </w:rPr>
        <w:t xml:space="preserve">[…] grupos guerrilleros en la zona”. </w:t>
      </w:r>
      <w:r w:rsidR="00957710" w:rsidRPr="00996758">
        <w:rPr>
          <w:rFonts w:ascii="Verdana" w:eastAsia="Arial Unicode MS" w:hAnsi="Verdana"/>
          <w:sz w:val="20"/>
          <w:szCs w:val="20"/>
          <w:bdr w:val="nil"/>
        </w:rPr>
        <w:t>Por ello</w:t>
      </w:r>
      <w:r w:rsidR="0016220F" w:rsidRPr="00996758">
        <w:rPr>
          <w:rFonts w:ascii="Verdana" w:eastAsia="Arial Unicode MS" w:hAnsi="Verdana"/>
          <w:sz w:val="20"/>
          <w:szCs w:val="20"/>
          <w:bdr w:val="nil"/>
        </w:rPr>
        <w:t xml:space="preserve">, la Procuraduría </w:t>
      </w:r>
      <w:r w:rsidR="002D04BA" w:rsidRPr="00996758">
        <w:rPr>
          <w:rFonts w:ascii="Verdana" w:eastAsia="Arial Unicode MS" w:hAnsi="Verdana"/>
          <w:sz w:val="20"/>
          <w:szCs w:val="20"/>
          <w:bdr w:val="nil"/>
        </w:rPr>
        <w:t>señaló</w:t>
      </w:r>
      <w:r w:rsidR="000E5046" w:rsidRPr="00996758">
        <w:rPr>
          <w:rFonts w:ascii="Verdana" w:eastAsia="Arial Unicode MS" w:hAnsi="Verdana"/>
          <w:sz w:val="20"/>
          <w:szCs w:val="20"/>
          <w:bdr w:val="nil"/>
        </w:rPr>
        <w:t xml:space="preserve"> que “los informes de inteligencia del DAS y del Ejército señalan lo contrario, así como también el hecho, ese sí aceptado, de la presencia de grupos paramilitares cuya existencia confi</w:t>
      </w:r>
      <w:r w:rsidRPr="00996758">
        <w:rPr>
          <w:rFonts w:ascii="Verdana" w:eastAsia="Arial Unicode MS" w:hAnsi="Verdana"/>
          <w:sz w:val="20"/>
          <w:szCs w:val="20"/>
          <w:bdr w:val="nil"/>
        </w:rPr>
        <w:t>rma a la vez la de la guerrilla</w:t>
      </w:r>
      <w:r w:rsidR="000E5046" w:rsidRPr="00996758">
        <w:rPr>
          <w:rFonts w:ascii="Verdana" w:eastAsia="Arial Unicode MS" w:hAnsi="Verdana"/>
          <w:sz w:val="20"/>
          <w:szCs w:val="20"/>
          <w:bdr w:val="nil"/>
        </w:rPr>
        <w:t xml:space="preserve">”. </w:t>
      </w:r>
      <w:r w:rsidR="005C4A8C" w:rsidRPr="00996758">
        <w:rPr>
          <w:rFonts w:ascii="Verdana" w:eastAsia="Arial Unicode MS" w:hAnsi="Verdana"/>
          <w:sz w:val="20"/>
          <w:szCs w:val="20"/>
          <w:bdr w:val="nil"/>
        </w:rPr>
        <w:t>Es decir</w:t>
      </w:r>
      <w:r w:rsidR="000E5046" w:rsidRPr="00996758">
        <w:rPr>
          <w:rFonts w:ascii="Verdana" w:eastAsia="Arial Unicode MS" w:hAnsi="Verdana"/>
          <w:sz w:val="20"/>
          <w:szCs w:val="20"/>
          <w:bdr w:val="nil"/>
        </w:rPr>
        <w:t xml:space="preserve">, si bien la Procuraduría </w:t>
      </w:r>
      <w:r w:rsidR="008C768C" w:rsidRPr="00996758">
        <w:rPr>
          <w:rFonts w:ascii="Verdana" w:eastAsia="Arial Unicode MS" w:hAnsi="Verdana"/>
          <w:sz w:val="20"/>
          <w:szCs w:val="20"/>
          <w:bdr w:val="nil"/>
        </w:rPr>
        <w:t>mencionó</w:t>
      </w:r>
      <w:r w:rsidR="000E5046" w:rsidRPr="00996758">
        <w:rPr>
          <w:rFonts w:ascii="Verdana" w:eastAsia="Arial Unicode MS" w:hAnsi="Verdana"/>
          <w:sz w:val="20"/>
          <w:szCs w:val="20"/>
          <w:bdr w:val="nil"/>
        </w:rPr>
        <w:t xml:space="preserve"> ligeramente </w:t>
      </w:r>
      <w:r w:rsidR="005C4A8C" w:rsidRPr="00996758">
        <w:rPr>
          <w:rFonts w:ascii="Verdana" w:eastAsia="Arial Unicode MS" w:hAnsi="Verdana"/>
          <w:sz w:val="20"/>
          <w:szCs w:val="20"/>
          <w:bdr w:val="nil"/>
        </w:rPr>
        <w:t>la</w:t>
      </w:r>
      <w:r w:rsidR="00F81AED" w:rsidRPr="00996758">
        <w:rPr>
          <w:rFonts w:ascii="Verdana" w:eastAsia="Arial Unicode MS" w:hAnsi="Verdana"/>
          <w:sz w:val="20"/>
          <w:szCs w:val="20"/>
          <w:bdr w:val="nil"/>
        </w:rPr>
        <w:t xml:space="preserve"> </w:t>
      </w:r>
      <w:r w:rsidR="000E5046" w:rsidRPr="00996758">
        <w:rPr>
          <w:rFonts w:ascii="Verdana" w:eastAsia="Arial Unicode MS" w:hAnsi="Verdana"/>
          <w:sz w:val="20"/>
          <w:szCs w:val="20"/>
          <w:bdr w:val="nil"/>
        </w:rPr>
        <w:t>hipótesis</w:t>
      </w:r>
      <w:r w:rsidR="005C4A8C" w:rsidRPr="00996758">
        <w:rPr>
          <w:rFonts w:ascii="Verdana" w:eastAsia="Arial Unicode MS" w:hAnsi="Verdana"/>
          <w:sz w:val="20"/>
          <w:szCs w:val="20"/>
          <w:bdr w:val="nil"/>
        </w:rPr>
        <w:t xml:space="preserve"> de participación de la guerrilla</w:t>
      </w:r>
      <w:r w:rsidR="00F1798B" w:rsidRPr="00996758">
        <w:rPr>
          <w:rFonts w:ascii="Verdana" w:eastAsia="Arial Unicode MS" w:hAnsi="Verdana"/>
          <w:sz w:val="20"/>
          <w:szCs w:val="20"/>
          <w:bdr w:val="nil"/>
        </w:rPr>
        <w:t xml:space="preserve"> o recibió cierta </w:t>
      </w:r>
      <w:r w:rsidR="00F1798B" w:rsidRPr="00996758">
        <w:rPr>
          <w:rFonts w:ascii="Verdana" w:eastAsia="Arial Unicode MS" w:hAnsi="Verdana"/>
          <w:sz w:val="20"/>
          <w:szCs w:val="20"/>
          <w:bdr w:val="nil"/>
        </w:rPr>
        <w:lastRenderedPageBreak/>
        <w:t>información al respecto</w:t>
      </w:r>
      <w:r w:rsidR="001215A1" w:rsidRPr="00996758">
        <w:rPr>
          <w:rStyle w:val="FootnoteReference"/>
          <w:rFonts w:ascii="Verdana" w:eastAsia="Arial Unicode MS" w:hAnsi="Verdana"/>
          <w:sz w:val="20"/>
          <w:szCs w:val="20"/>
          <w:bdr w:val="nil"/>
        </w:rPr>
        <w:footnoteReference w:id="106"/>
      </w:r>
      <w:r w:rsidR="000E5046" w:rsidRPr="00996758">
        <w:rPr>
          <w:rFonts w:ascii="Verdana" w:eastAsia="Arial Unicode MS" w:hAnsi="Verdana"/>
          <w:sz w:val="20"/>
          <w:szCs w:val="20"/>
          <w:bdr w:val="nil"/>
        </w:rPr>
        <w:t xml:space="preserve">, </w:t>
      </w:r>
      <w:r w:rsidR="00A2162D" w:rsidRPr="00996758">
        <w:rPr>
          <w:rFonts w:ascii="Verdana" w:eastAsia="Arial Unicode MS" w:hAnsi="Verdana"/>
          <w:sz w:val="20"/>
          <w:szCs w:val="20"/>
          <w:bdr w:val="nil"/>
        </w:rPr>
        <w:t>en su resolución señaló que no fue “posible establecer en forma fehaciente lo sucedido con Isaza Uribe y menos aún conocer a los posibles responsables</w:t>
      </w:r>
      <w:r w:rsidR="0016220F" w:rsidRPr="00996758">
        <w:rPr>
          <w:rFonts w:ascii="Verdana" w:eastAsia="Arial Unicode MS" w:hAnsi="Verdana"/>
          <w:sz w:val="20"/>
          <w:szCs w:val="20"/>
          <w:bdr w:val="nil"/>
        </w:rPr>
        <w:t xml:space="preserve"> de su presunta desaparición”. De ese modo</w:t>
      </w:r>
      <w:r w:rsidR="00A2162D" w:rsidRPr="00996758">
        <w:rPr>
          <w:rFonts w:ascii="Verdana" w:eastAsia="Arial Unicode MS" w:hAnsi="Verdana"/>
          <w:sz w:val="20"/>
          <w:szCs w:val="20"/>
          <w:bdr w:val="nil"/>
        </w:rPr>
        <w:t xml:space="preserve">, </w:t>
      </w:r>
      <w:r w:rsidR="000E5046" w:rsidRPr="00996758">
        <w:rPr>
          <w:rFonts w:ascii="Verdana" w:eastAsia="Arial Unicode MS" w:hAnsi="Verdana"/>
          <w:sz w:val="20"/>
          <w:szCs w:val="20"/>
          <w:bdr w:val="nil"/>
        </w:rPr>
        <w:t>su resolución no es concluyente en sentido alguno.</w:t>
      </w:r>
    </w:p>
    <w:p w:rsidR="000E5046" w:rsidRPr="00996758" w:rsidRDefault="000E5046">
      <w:pPr>
        <w:pBdr>
          <w:top w:val="nil"/>
        </w:pBdr>
        <w:spacing w:after="0" w:line="240" w:lineRule="auto"/>
        <w:jc w:val="both"/>
        <w:rPr>
          <w:rFonts w:ascii="Verdana" w:hAnsi="Verdana" w:cs="Verdana"/>
          <w:bCs/>
          <w:sz w:val="20"/>
          <w:szCs w:val="20"/>
        </w:rPr>
      </w:pPr>
    </w:p>
    <w:p w:rsidR="00FC60E4" w:rsidRPr="00996758" w:rsidRDefault="001C26AF" w:rsidP="00484279">
      <w:pPr>
        <w:numPr>
          <w:ilvl w:val="0"/>
          <w:numId w:val="10"/>
        </w:numPr>
        <w:pBdr>
          <w:top w:val="nil"/>
        </w:pBdr>
        <w:autoSpaceDE w:val="0"/>
        <w:autoSpaceDN w:val="0"/>
        <w:adjustRightInd w:val="0"/>
        <w:spacing w:after="0" w:line="240" w:lineRule="auto"/>
        <w:ind w:left="0" w:firstLine="0"/>
        <w:jc w:val="both"/>
        <w:rPr>
          <w:rFonts w:ascii="Verdana" w:hAnsi="Verdana" w:cs="Verdana"/>
          <w:bCs/>
          <w:sz w:val="20"/>
          <w:szCs w:val="20"/>
        </w:rPr>
      </w:pPr>
      <w:r w:rsidRPr="00996758">
        <w:rPr>
          <w:rFonts w:ascii="Verdana" w:hAnsi="Verdana" w:cs="Verdana"/>
          <w:bCs/>
          <w:sz w:val="20"/>
          <w:szCs w:val="20"/>
        </w:rPr>
        <w:t>Por otro lado</w:t>
      </w:r>
      <w:r w:rsidR="00FC60E4" w:rsidRPr="00996758">
        <w:rPr>
          <w:rFonts w:ascii="Verdana" w:hAnsi="Verdana" w:cs="Verdana"/>
          <w:bCs/>
          <w:sz w:val="20"/>
          <w:szCs w:val="20"/>
        </w:rPr>
        <w:t xml:space="preserve">, </w:t>
      </w:r>
      <w:r w:rsidR="005B46FB" w:rsidRPr="00996758">
        <w:rPr>
          <w:rFonts w:ascii="Verdana" w:hAnsi="Verdana" w:cs="Verdana"/>
          <w:bCs/>
          <w:sz w:val="20"/>
          <w:szCs w:val="20"/>
        </w:rPr>
        <w:t>la Comisión s</w:t>
      </w:r>
      <w:r w:rsidR="00304746" w:rsidRPr="00996758">
        <w:rPr>
          <w:rFonts w:ascii="Verdana" w:hAnsi="Verdana" w:cs="Verdana"/>
          <w:bCs/>
          <w:sz w:val="20"/>
          <w:szCs w:val="20"/>
        </w:rPr>
        <w:t>eñaló que</w:t>
      </w:r>
      <w:r w:rsidR="00FC60E4" w:rsidRPr="00996758">
        <w:rPr>
          <w:rFonts w:ascii="Verdana" w:hAnsi="Verdana" w:cs="Verdana"/>
          <w:bCs/>
          <w:sz w:val="20"/>
          <w:szCs w:val="20"/>
        </w:rPr>
        <w:t xml:space="preserve"> el Estado no controv</w:t>
      </w:r>
      <w:r w:rsidR="005540DD" w:rsidRPr="00996758">
        <w:rPr>
          <w:rFonts w:ascii="Verdana" w:hAnsi="Verdana" w:cs="Verdana"/>
          <w:bCs/>
          <w:sz w:val="20"/>
          <w:szCs w:val="20"/>
        </w:rPr>
        <w:t>irtió</w:t>
      </w:r>
      <w:r w:rsidR="00FC60E4" w:rsidRPr="00996758">
        <w:rPr>
          <w:rFonts w:ascii="Verdana" w:hAnsi="Verdana" w:cs="Verdana"/>
          <w:bCs/>
          <w:sz w:val="20"/>
          <w:szCs w:val="20"/>
        </w:rPr>
        <w:t xml:space="preserve"> que el municipio de Puerto Nare se encontraba fuertemente militarizado </w:t>
      </w:r>
      <w:r w:rsidR="0016220F" w:rsidRPr="00996758">
        <w:rPr>
          <w:rFonts w:ascii="Verdana" w:hAnsi="Verdana" w:cs="Verdana"/>
          <w:bCs/>
          <w:sz w:val="20"/>
          <w:szCs w:val="20"/>
        </w:rPr>
        <w:t>a</w:t>
      </w:r>
      <w:r w:rsidR="00FC60E4" w:rsidRPr="00996758">
        <w:rPr>
          <w:rFonts w:ascii="Verdana" w:hAnsi="Verdana" w:cs="Verdana"/>
          <w:bCs/>
          <w:sz w:val="20"/>
          <w:szCs w:val="20"/>
        </w:rPr>
        <w:t>l momento de los hechos,</w:t>
      </w:r>
      <w:r w:rsidR="00304746" w:rsidRPr="00996758">
        <w:rPr>
          <w:rFonts w:ascii="Verdana" w:hAnsi="Verdana" w:cs="Verdana"/>
          <w:bCs/>
          <w:sz w:val="20"/>
          <w:szCs w:val="20"/>
        </w:rPr>
        <w:t xml:space="preserve"> por lo que es</w:t>
      </w:r>
      <w:r w:rsidR="00FC60E4" w:rsidRPr="00996758">
        <w:rPr>
          <w:rFonts w:ascii="Verdana" w:hAnsi="Verdana" w:cs="Verdana"/>
          <w:bCs/>
          <w:sz w:val="20"/>
          <w:szCs w:val="20"/>
        </w:rPr>
        <w:t xml:space="preserve"> razonable inferir que una incursión </w:t>
      </w:r>
      <w:r w:rsidR="005B46FB" w:rsidRPr="00996758">
        <w:rPr>
          <w:rFonts w:ascii="Verdana" w:hAnsi="Verdana" w:cs="Verdana"/>
          <w:bCs/>
          <w:sz w:val="20"/>
          <w:szCs w:val="20"/>
        </w:rPr>
        <w:t xml:space="preserve">de las FARC </w:t>
      </w:r>
      <w:r w:rsidR="00FC60E4" w:rsidRPr="00996758">
        <w:rPr>
          <w:rFonts w:ascii="Verdana" w:hAnsi="Verdana" w:cs="Verdana"/>
          <w:bCs/>
          <w:sz w:val="20"/>
          <w:szCs w:val="20"/>
        </w:rPr>
        <w:t>de tal naturaleza</w:t>
      </w:r>
      <w:r w:rsidR="00304746" w:rsidRPr="00996758">
        <w:rPr>
          <w:rFonts w:ascii="Verdana" w:hAnsi="Verdana" w:cs="Verdana"/>
          <w:bCs/>
          <w:sz w:val="20"/>
          <w:szCs w:val="20"/>
        </w:rPr>
        <w:t xml:space="preserve"> hubiese</w:t>
      </w:r>
      <w:r w:rsidR="00FC60E4" w:rsidRPr="00996758">
        <w:rPr>
          <w:rFonts w:ascii="Verdana" w:hAnsi="Verdana" w:cs="Verdana"/>
          <w:bCs/>
          <w:sz w:val="20"/>
          <w:szCs w:val="20"/>
        </w:rPr>
        <w:t xml:space="preserve"> generado algún tipo de enfrentamiento con la fuerza pública, a pesar de lo cual no existe información </w:t>
      </w:r>
      <w:r w:rsidR="00304746" w:rsidRPr="00996758">
        <w:rPr>
          <w:rFonts w:ascii="Verdana" w:hAnsi="Verdana" w:cs="Verdana"/>
          <w:bCs/>
          <w:sz w:val="20"/>
          <w:szCs w:val="20"/>
        </w:rPr>
        <w:t>en ese sentido</w:t>
      </w:r>
      <w:r w:rsidR="00FC60E4" w:rsidRPr="00996758">
        <w:rPr>
          <w:rFonts w:ascii="Verdana" w:hAnsi="Verdana" w:cs="Verdana"/>
          <w:bCs/>
          <w:sz w:val="20"/>
          <w:szCs w:val="20"/>
        </w:rPr>
        <w:t xml:space="preserve">. </w:t>
      </w:r>
    </w:p>
    <w:p w:rsidR="00FC60E4" w:rsidRPr="00996758" w:rsidRDefault="00FC60E4">
      <w:pPr>
        <w:pBdr>
          <w:top w:val="nil"/>
        </w:pBdr>
        <w:autoSpaceDE w:val="0"/>
        <w:autoSpaceDN w:val="0"/>
        <w:adjustRightInd w:val="0"/>
        <w:spacing w:after="0" w:line="240" w:lineRule="auto"/>
        <w:jc w:val="both"/>
        <w:rPr>
          <w:rFonts w:ascii="Verdana" w:hAnsi="Verdana" w:cs="Verdana"/>
          <w:bCs/>
          <w:sz w:val="20"/>
          <w:szCs w:val="20"/>
        </w:rPr>
      </w:pPr>
    </w:p>
    <w:p w:rsidR="00FC60E4" w:rsidRPr="00996758" w:rsidRDefault="00FC60E4" w:rsidP="00484279">
      <w:pPr>
        <w:numPr>
          <w:ilvl w:val="0"/>
          <w:numId w:val="10"/>
        </w:numPr>
        <w:pBdr>
          <w:top w:val="nil"/>
        </w:pBdr>
        <w:autoSpaceDE w:val="0"/>
        <w:autoSpaceDN w:val="0"/>
        <w:adjustRightInd w:val="0"/>
        <w:spacing w:after="0" w:line="240" w:lineRule="auto"/>
        <w:ind w:left="0" w:firstLine="0"/>
        <w:jc w:val="both"/>
        <w:rPr>
          <w:rFonts w:ascii="Verdana" w:eastAsia="Arial Unicode MS" w:hAnsi="Verdana"/>
          <w:sz w:val="20"/>
          <w:szCs w:val="20"/>
          <w:bdr w:val="nil"/>
        </w:rPr>
      </w:pPr>
      <w:r w:rsidRPr="00996758">
        <w:rPr>
          <w:rFonts w:ascii="Verdana" w:hAnsi="Verdana" w:cs="Verdana"/>
          <w:bCs/>
          <w:sz w:val="20"/>
          <w:szCs w:val="20"/>
        </w:rPr>
        <w:t>La Corte considera relevante que en el caso concreto, en una zona con presencia de las fuerzas armadas</w:t>
      </w:r>
      <w:r w:rsidR="00245DC3" w:rsidRPr="00996758">
        <w:rPr>
          <w:rFonts w:ascii="Verdana" w:hAnsi="Verdana" w:cs="Verdana"/>
          <w:bCs/>
          <w:sz w:val="20"/>
          <w:szCs w:val="20"/>
        </w:rPr>
        <w:t xml:space="preserve"> (</w:t>
      </w:r>
      <w:r w:rsidR="00F411FF" w:rsidRPr="00996758">
        <w:rPr>
          <w:rFonts w:ascii="Verdana" w:hAnsi="Verdana" w:cs="Verdana"/>
          <w:bCs/>
          <w:sz w:val="20"/>
          <w:szCs w:val="20"/>
        </w:rPr>
        <w:t>Ejército</w:t>
      </w:r>
      <w:r w:rsidR="003E07F0" w:rsidRPr="00996758">
        <w:rPr>
          <w:rFonts w:ascii="Verdana" w:hAnsi="Verdana" w:cs="Verdana"/>
          <w:bCs/>
          <w:sz w:val="20"/>
          <w:szCs w:val="20"/>
        </w:rPr>
        <w:t xml:space="preserve">, Guardacostas </w:t>
      </w:r>
      <w:r w:rsidR="00304746" w:rsidRPr="00996758">
        <w:rPr>
          <w:rFonts w:ascii="Verdana" w:hAnsi="Verdana" w:cs="Verdana"/>
          <w:bCs/>
          <w:sz w:val="20"/>
          <w:szCs w:val="20"/>
        </w:rPr>
        <w:t>y Armada) y policía</w:t>
      </w:r>
      <w:r w:rsidRPr="00996758">
        <w:rPr>
          <w:rFonts w:ascii="Verdana" w:hAnsi="Verdana" w:cs="Verdana"/>
          <w:bCs/>
          <w:sz w:val="20"/>
          <w:szCs w:val="20"/>
        </w:rPr>
        <w:t xml:space="preserve">, esa noche </w:t>
      </w:r>
      <w:r w:rsidR="00A07AF7" w:rsidRPr="00996758">
        <w:rPr>
          <w:rFonts w:ascii="Verdana" w:hAnsi="Verdana" w:cs="Verdana"/>
          <w:bCs/>
          <w:sz w:val="20"/>
          <w:szCs w:val="20"/>
        </w:rPr>
        <w:t>fuese</w:t>
      </w:r>
      <w:r w:rsidRPr="00996758">
        <w:rPr>
          <w:rFonts w:ascii="Verdana" w:hAnsi="Verdana" w:cs="Verdana"/>
          <w:bCs/>
          <w:sz w:val="20"/>
          <w:szCs w:val="20"/>
        </w:rPr>
        <w:t xml:space="preserve"> posible el tránsito e incursión de 10 hombres arm</w:t>
      </w:r>
      <w:r w:rsidR="003E07F0" w:rsidRPr="00996758">
        <w:rPr>
          <w:rFonts w:ascii="Verdana" w:hAnsi="Verdana" w:cs="Verdana"/>
          <w:bCs/>
          <w:sz w:val="20"/>
          <w:szCs w:val="20"/>
        </w:rPr>
        <w:t>ados, independientemente de si é</w:t>
      </w:r>
      <w:r w:rsidR="00F411FF" w:rsidRPr="00996758">
        <w:rPr>
          <w:rFonts w:ascii="Verdana" w:hAnsi="Verdana" w:cs="Verdana"/>
          <w:bCs/>
          <w:sz w:val="20"/>
          <w:szCs w:val="20"/>
        </w:rPr>
        <w:t>stos eran particulares,</w:t>
      </w:r>
      <w:r w:rsidRPr="00996758">
        <w:rPr>
          <w:rFonts w:ascii="Verdana" w:hAnsi="Verdana" w:cs="Verdana"/>
          <w:bCs/>
          <w:sz w:val="20"/>
          <w:szCs w:val="20"/>
        </w:rPr>
        <w:t xml:space="preserve"> miembros de grupos guerrilleros o paramilitares.</w:t>
      </w:r>
      <w:r w:rsidR="005540DD" w:rsidRPr="00996758">
        <w:rPr>
          <w:rFonts w:ascii="Verdana" w:hAnsi="Verdana"/>
          <w:sz w:val="20"/>
          <w:szCs w:val="20"/>
        </w:rPr>
        <w:t xml:space="preserve"> L</w:t>
      </w:r>
      <w:r w:rsidR="0016220F" w:rsidRPr="00996758">
        <w:rPr>
          <w:rFonts w:ascii="Verdana" w:hAnsi="Verdana"/>
          <w:sz w:val="20"/>
          <w:szCs w:val="20"/>
        </w:rPr>
        <w:t>a información aportada no es clara</w:t>
      </w:r>
      <w:r w:rsidR="005540DD" w:rsidRPr="00996758">
        <w:rPr>
          <w:rFonts w:ascii="Verdana" w:hAnsi="Verdana"/>
          <w:sz w:val="20"/>
          <w:szCs w:val="20"/>
        </w:rPr>
        <w:t xml:space="preserve"> o </w:t>
      </w:r>
      <w:r w:rsidR="0016220F" w:rsidRPr="00996758">
        <w:rPr>
          <w:rFonts w:ascii="Verdana" w:hAnsi="Verdana"/>
          <w:sz w:val="20"/>
          <w:szCs w:val="20"/>
        </w:rPr>
        <w:t>suficiente</w:t>
      </w:r>
      <w:r w:rsidR="005540DD" w:rsidRPr="00996758">
        <w:rPr>
          <w:rFonts w:ascii="Verdana" w:hAnsi="Verdana"/>
          <w:sz w:val="20"/>
          <w:szCs w:val="20"/>
        </w:rPr>
        <w:t xml:space="preserve"> respecto de la ubicación de tales bases o estaciones</w:t>
      </w:r>
      <w:r w:rsidR="002D04BA" w:rsidRPr="00996758">
        <w:rPr>
          <w:rFonts w:ascii="Verdana" w:hAnsi="Verdana" w:cs="Verdana"/>
          <w:bCs/>
          <w:sz w:val="20"/>
          <w:szCs w:val="20"/>
        </w:rPr>
        <w:t xml:space="preserve">, </w:t>
      </w:r>
      <w:r w:rsidR="001C26AF" w:rsidRPr="00996758">
        <w:rPr>
          <w:rFonts w:ascii="Verdana" w:hAnsi="Verdana" w:cs="Verdana"/>
          <w:bCs/>
          <w:sz w:val="20"/>
          <w:szCs w:val="20"/>
        </w:rPr>
        <w:t>aún si</w:t>
      </w:r>
      <w:r w:rsidR="002D04BA" w:rsidRPr="00996758">
        <w:rPr>
          <w:rFonts w:ascii="Verdana" w:hAnsi="Verdana" w:cs="Verdana"/>
          <w:bCs/>
          <w:sz w:val="20"/>
          <w:szCs w:val="20"/>
        </w:rPr>
        <w:t xml:space="preserve"> c</w:t>
      </w:r>
      <w:r w:rsidR="0016220F" w:rsidRPr="00996758">
        <w:rPr>
          <w:rFonts w:ascii="Verdana" w:hAnsi="Verdana" w:cs="Verdana"/>
          <w:bCs/>
          <w:sz w:val="20"/>
          <w:szCs w:val="20"/>
        </w:rPr>
        <w:t xml:space="preserve">iertas declaraciones o documentos </w:t>
      </w:r>
      <w:r w:rsidRPr="00996758">
        <w:rPr>
          <w:rFonts w:ascii="Verdana" w:hAnsi="Verdana" w:cs="Verdana"/>
          <w:bCs/>
          <w:sz w:val="20"/>
          <w:szCs w:val="20"/>
        </w:rPr>
        <w:t>indica</w:t>
      </w:r>
      <w:r w:rsidR="0016220F" w:rsidRPr="00996758">
        <w:rPr>
          <w:rFonts w:ascii="Verdana" w:hAnsi="Verdana" w:cs="Verdana"/>
          <w:bCs/>
          <w:sz w:val="20"/>
          <w:szCs w:val="20"/>
        </w:rPr>
        <w:t>n</w:t>
      </w:r>
      <w:r w:rsidRPr="00996758">
        <w:rPr>
          <w:rFonts w:ascii="Verdana" w:hAnsi="Verdana" w:cs="Verdana"/>
          <w:bCs/>
          <w:sz w:val="20"/>
          <w:szCs w:val="20"/>
        </w:rPr>
        <w:t xml:space="preserve"> que, e</w:t>
      </w:r>
      <w:r w:rsidRPr="00996758">
        <w:rPr>
          <w:rFonts w:ascii="Verdana" w:hAnsi="Verdana" w:cs="Verdana"/>
          <w:sz w:val="20"/>
          <w:szCs w:val="20"/>
        </w:rPr>
        <w:t xml:space="preserve">n </w:t>
      </w:r>
      <w:r w:rsidR="0016220F" w:rsidRPr="00996758">
        <w:rPr>
          <w:rFonts w:ascii="Verdana" w:hAnsi="Verdana" w:cs="Verdana"/>
          <w:sz w:val="20"/>
          <w:szCs w:val="20"/>
        </w:rPr>
        <w:t xml:space="preserve">esa </w:t>
      </w:r>
      <w:r w:rsidRPr="00996758">
        <w:rPr>
          <w:rFonts w:ascii="Verdana" w:hAnsi="Verdana" w:cs="Verdana"/>
          <w:sz w:val="20"/>
          <w:szCs w:val="20"/>
        </w:rPr>
        <w:t>época</w:t>
      </w:r>
      <w:r w:rsidRPr="00996758">
        <w:rPr>
          <w:rFonts w:ascii="Verdana" w:eastAsia="Arial Unicode MS" w:hAnsi="Verdana"/>
          <w:sz w:val="20"/>
          <w:szCs w:val="20"/>
          <w:bdr w:val="nil"/>
        </w:rPr>
        <w:t>, la cárcel de Puerto Nare se encontraba cerca del puesto de Guardacostas de la Armada Nacional</w:t>
      </w:r>
      <w:r w:rsidRPr="00996758">
        <w:rPr>
          <w:rStyle w:val="FootnoteReference"/>
          <w:rFonts w:ascii="Verdana" w:eastAsia="Arial Unicode MS" w:hAnsi="Verdana"/>
          <w:sz w:val="20"/>
          <w:szCs w:val="20"/>
          <w:bdr w:val="nil"/>
        </w:rPr>
        <w:footnoteReference w:id="107"/>
      </w:r>
      <w:r w:rsidR="002B6AF4" w:rsidRPr="00996758">
        <w:rPr>
          <w:rFonts w:ascii="Verdana" w:eastAsia="Arial Unicode MS" w:hAnsi="Verdana"/>
          <w:sz w:val="20"/>
          <w:szCs w:val="20"/>
          <w:bdr w:val="nil"/>
        </w:rPr>
        <w:t xml:space="preserve"> o</w:t>
      </w:r>
      <w:r w:rsidRPr="00996758">
        <w:rPr>
          <w:rFonts w:ascii="Verdana" w:eastAsia="Arial Unicode MS" w:hAnsi="Verdana"/>
          <w:sz w:val="20"/>
          <w:szCs w:val="20"/>
          <w:bdr w:val="nil"/>
        </w:rPr>
        <w:t xml:space="preserve"> a pocas cuadras de distancia de la base militar</w:t>
      </w:r>
      <w:r w:rsidR="00957710" w:rsidRPr="00996758">
        <w:rPr>
          <w:rFonts w:ascii="Verdana" w:eastAsia="Arial Unicode MS" w:hAnsi="Verdana"/>
          <w:sz w:val="20"/>
          <w:szCs w:val="20"/>
          <w:bdr w:val="nil"/>
        </w:rPr>
        <w:t xml:space="preserve"> </w:t>
      </w:r>
      <w:r w:rsidRPr="00996758">
        <w:rPr>
          <w:rFonts w:ascii="Verdana" w:eastAsia="Arial Unicode MS" w:hAnsi="Verdana"/>
          <w:sz w:val="20"/>
          <w:szCs w:val="20"/>
          <w:bdr w:val="nil"/>
        </w:rPr>
        <w:t xml:space="preserve">y de la </w:t>
      </w:r>
      <w:r w:rsidR="00DE4013" w:rsidRPr="00996758">
        <w:rPr>
          <w:rFonts w:ascii="Verdana" w:eastAsia="Arial Unicode MS" w:hAnsi="Verdana"/>
          <w:sz w:val="20"/>
          <w:szCs w:val="20"/>
          <w:bdr w:val="nil"/>
        </w:rPr>
        <w:t>e</w:t>
      </w:r>
      <w:r w:rsidRPr="00996758">
        <w:rPr>
          <w:rFonts w:ascii="Verdana" w:eastAsia="Arial Unicode MS" w:hAnsi="Verdana"/>
          <w:sz w:val="20"/>
          <w:szCs w:val="20"/>
          <w:bdr w:val="nil"/>
        </w:rPr>
        <w:t>stación de Policía Nacional</w:t>
      </w:r>
      <w:r w:rsidRPr="00996758">
        <w:rPr>
          <w:rFonts w:ascii="Verdana" w:eastAsia="Arial Unicode MS" w:hAnsi="Verdana"/>
          <w:sz w:val="20"/>
          <w:szCs w:val="20"/>
          <w:bdr w:val="nil"/>
          <w:vertAlign w:val="superscript"/>
        </w:rPr>
        <w:footnoteReference w:id="108"/>
      </w:r>
      <w:r w:rsidR="0016220F" w:rsidRPr="00996758">
        <w:rPr>
          <w:rFonts w:ascii="Verdana" w:eastAsia="Arial Unicode MS" w:hAnsi="Verdana"/>
          <w:sz w:val="20"/>
          <w:szCs w:val="20"/>
          <w:bdr w:val="nil"/>
        </w:rPr>
        <w:t>. De todos modos,</w:t>
      </w:r>
      <w:r w:rsidRPr="00996758">
        <w:rPr>
          <w:rFonts w:ascii="Verdana" w:eastAsia="Arial Unicode MS" w:hAnsi="Verdana"/>
          <w:sz w:val="20"/>
          <w:szCs w:val="20"/>
          <w:bdr w:val="nil"/>
        </w:rPr>
        <w:t xml:space="preserve"> </w:t>
      </w:r>
      <w:r w:rsidRPr="00996758">
        <w:rPr>
          <w:rFonts w:ascii="Verdana" w:hAnsi="Verdana" w:cs="Verdana"/>
          <w:bCs/>
          <w:sz w:val="20"/>
          <w:szCs w:val="20"/>
        </w:rPr>
        <w:t xml:space="preserve">el Estado reconoció que, entre las faltas de debida diligencia en la investigación, </w:t>
      </w:r>
      <w:r w:rsidR="005540DD" w:rsidRPr="00996758">
        <w:rPr>
          <w:rFonts w:ascii="Verdana" w:hAnsi="Verdana" w:cs="Verdana"/>
          <w:bCs/>
          <w:sz w:val="20"/>
          <w:szCs w:val="20"/>
        </w:rPr>
        <w:t>estuvo</w:t>
      </w:r>
      <w:r w:rsidRPr="00996758">
        <w:rPr>
          <w:rFonts w:ascii="Verdana" w:hAnsi="Verdana" w:cs="Verdana"/>
          <w:bCs/>
          <w:sz w:val="20"/>
          <w:szCs w:val="20"/>
        </w:rPr>
        <w:t xml:space="preserve"> </w:t>
      </w:r>
      <w:r w:rsidRPr="00996758">
        <w:rPr>
          <w:rFonts w:ascii="Verdana" w:hAnsi="Verdana"/>
          <w:sz w:val="20"/>
          <w:szCs w:val="20"/>
        </w:rPr>
        <w:t>la falta de verificación exacta de tales bases y puestos militares y policial (</w:t>
      </w:r>
      <w:r w:rsidRPr="00996758">
        <w:rPr>
          <w:rFonts w:ascii="Verdana" w:hAnsi="Verdana"/>
          <w:i/>
          <w:sz w:val="20"/>
          <w:szCs w:val="20"/>
        </w:rPr>
        <w:t xml:space="preserve">supra </w:t>
      </w:r>
      <w:r w:rsidRPr="00996758">
        <w:rPr>
          <w:rFonts w:ascii="Verdana" w:hAnsi="Verdana"/>
          <w:sz w:val="20"/>
          <w:szCs w:val="20"/>
        </w:rPr>
        <w:t xml:space="preserve">párr. </w:t>
      </w:r>
      <w:r w:rsidR="00F201AE" w:rsidRPr="00996758">
        <w:rPr>
          <w:rFonts w:ascii="Verdana" w:hAnsi="Verdana"/>
          <w:sz w:val="20"/>
          <w:szCs w:val="20"/>
        </w:rPr>
        <w:t>21</w:t>
      </w:r>
      <w:r w:rsidRPr="00996758">
        <w:rPr>
          <w:rFonts w:ascii="Verdana" w:hAnsi="Verdana"/>
          <w:sz w:val="20"/>
          <w:szCs w:val="20"/>
        </w:rPr>
        <w:t>)</w:t>
      </w:r>
      <w:r w:rsidR="004F3B12" w:rsidRPr="00996758">
        <w:rPr>
          <w:rFonts w:ascii="Verdana" w:hAnsi="Verdana"/>
          <w:sz w:val="20"/>
          <w:szCs w:val="20"/>
        </w:rPr>
        <w:t xml:space="preserve">. </w:t>
      </w:r>
      <w:r w:rsidR="002C70FA" w:rsidRPr="00996758">
        <w:rPr>
          <w:rFonts w:ascii="Verdana" w:hAnsi="Verdana" w:cs="Verdana"/>
          <w:bCs/>
          <w:sz w:val="20"/>
          <w:szCs w:val="20"/>
        </w:rPr>
        <w:t xml:space="preserve">Lo relevante es que </w:t>
      </w:r>
      <w:r w:rsidRPr="00996758">
        <w:rPr>
          <w:rFonts w:ascii="Verdana" w:hAnsi="Verdana" w:cs="Verdana"/>
          <w:bCs/>
          <w:sz w:val="20"/>
          <w:szCs w:val="20"/>
        </w:rPr>
        <w:t xml:space="preserve">tampoco consta alguna explicación razonable acerca de cómo fue posible el tránsito e incursión de 10 hombres armados la noche de la desaparición del señor Isaza en Puerto Nare, sin el conocimiento </w:t>
      </w:r>
      <w:r w:rsidR="00A07AF7" w:rsidRPr="00996758">
        <w:rPr>
          <w:rFonts w:ascii="Verdana" w:hAnsi="Verdana" w:cs="Verdana"/>
          <w:bCs/>
          <w:sz w:val="20"/>
          <w:szCs w:val="20"/>
        </w:rPr>
        <w:t xml:space="preserve">o reacción </w:t>
      </w:r>
      <w:r w:rsidRPr="00996758">
        <w:rPr>
          <w:rFonts w:ascii="Verdana" w:hAnsi="Verdana" w:cs="Verdana"/>
          <w:bCs/>
          <w:sz w:val="20"/>
          <w:szCs w:val="20"/>
        </w:rPr>
        <w:t xml:space="preserve">de las autoridades policiales y militares destacadas en la zona. </w:t>
      </w:r>
      <w:r w:rsidR="00A07AF7" w:rsidRPr="00996758">
        <w:rPr>
          <w:rFonts w:ascii="Verdana" w:hAnsi="Verdana" w:cs="Verdana"/>
          <w:bCs/>
          <w:sz w:val="20"/>
          <w:szCs w:val="20"/>
        </w:rPr>
        <w:t>A</w:t>
      </w:r>
      <w:r w:rsidRPr="00996758">
        <w:rPr>
          <w:rFonts w:ascii="Verdana" w:hAnsi="Verdana" w:cs="Verdana"/>
          <w:bCs/>
          <w:sz w:val="20"/>
          <w:szCs w:val="20"/>
        </w:rPr>
        <w:t>ún si la falta de algún enfrentamiento no es, en sí misma, concluyente, lo cierto es que existía un contexto de colaboración entre miembros de la Fuerza Pública y grupos paramilitares en esa región y en esa época (</w:t>
      </w:r>
      <w:r w:rsidR="0016220F" w:rsidRPr="00996758">
        <w:rPr>
          <w:rFonts w:ascii="Verdana" w:hAnsi="Verdana" w:cs="Verdana"/>
          <w:bCs/>
          <w:i/>
          <w:sz w:val="20"/>
          <w:szCs w:val="20"/>
        </w:rPr>
        <w:t>supra</w:t>
      </w:r>
      <w:r w:rsidRPr="00996758">
        <w:rPr>
          <w:rFonts w:ascii="Verdana" w:hAnsi="Verdana" w:cs="Verdana"/>
          <w:bCs/>
          <w:i/>
          <w:sz w:val="20"/>
          <w:szCs w:val="20"/>
        </w:rPr>
        <w:t xml:space="preserve"> </w:t>
      </w:r>
      <w:r w:rsidRPr="00996758">
        <w:rPr>
          <w:rFonts w:ascii="Verdana" w:hAnsi="Verdana" w:cs="Verdana"/>
          <w:bCs/>
          <w:sz w:val="20"/>
          <w:szCs w:val="20"/>
        </w:rPr>
        <w:t xml:space="preserve">párrs. </w:t>
      </w:r>
      <w:r w:rsidR="00F201AE" w:rsidRPr="00996758">
        <w:rPr>
          <w:rFonts w:ascii="Verdana" w:hAnsi="Verdana" w:cs="Verdana"/>
          <w:bCs/>
          <w:sz w:val="20"/>
          <w:szCs w:val="20"/>
        </w:rPr>
        <w:t>42 a 46</w:t>
      </w:r>
      <w:r w:rsidRPr="00996758">
        <w:rPr>
          <w:rFonts w:ascii="Verdana" w:hAnsi="Verdana" w:cs="Verdana"/>
          <w:bCs/>
          <w:sz w:val="20"/>
          <w:szCs w:val="20"/>
        </w:rPr>
        <w:t>), lo cual resta probabilidad a la hipótesis de la incursión de guerrilleros y hace más plausible la actuación de grupos paramilitares.</w:t>
      </w:r>
      <w:r w:rsidR="00304746" w:rsidRPr="00996758">
        <w:rPr>
          <w:rFonts w:ascii="Verdana" w:hAnsi="Verdana" w:cs="Verdana"/>
          <w:bCs/>
          <w:sz w:val="20"/>
          <w:szCs w:val="20"/>
        </w:rPr>
        <w:t xml:space="preserve"> Por último, no consta que se investigara la posibilidad de que los panfletos hubiesen sido dejados por </w:t>
      </w:r>
      <w:r w:rsidR="004F3B12" w:rsidRPr="00996758">
        <w:rPr>
          <w:rFonts w:ascii="Verdana" w:hAnsi="Verdana" w:cs="Verdana"/>
          <w:bCs/>
          <w:sz w:val="20"/>
          <w:szCs w:val="20"/>
        </w:rPr>
        <w:t xml:space="preserve">los propios </w:t>
      </w:r>
      <w:r w:rsidR="00304746" w:rsidRPr="00996758">
        <w:rPr>
          <w:rFonts w:ascii="Verdana" w:hAnsi="Verdana" w:cs="Verdana"/>
          <w:bCs/>
          <w:sz w:val="20"/>
          <w:szCs w:val="20"/>
        </w:rPr>
        <w:t>paramilitares u otros actores para desviar la atención</w:t>
      </w:r>
      <w:r w:rsidR="0050381A" w:rsidRPr="00996758">
        <w:rPr>
          <w:rStyle w:val="FootnoteReference"/>
          <w:rFonts w:ascii="Verdana" w:hAnsi="Verdana" w:cs="Verdana"/>
          <w:bCs/>
          <w:sz w:val="20"/>
          <w:szCs w:val="20"/>
        </w:rPr>
        <w:footnoteReference w:id="109"/>
      </w:r>
      <w:r w:rsidR="00304746" w:rsidRPr="00996758">
        <w:rPr>
          <w:rFonts w:ascii="Verdana" w:hAnsi="Verdana" w:cs="Verdana"/>
          <w:bCs/>
          <w:sz w:val="20"/>
          <w:szCs w:val="20"/>
        </w:rPr>
        <w:t xml:space="preserve">, a </w:t>
      </w:r>
      <w:r w:rsidR="00304746" w:rsidRPr="00996758">
        <w:rPr>
          <w:rFonts w:ascii="Verdana" w:hAnsi="Verdana" w:cs="Verdana"/>
          <w:bCs/>
          <w:sz w:val="20"/>
          <w:szCs w:val="20"/>
        </w:rPr>
        <w:lastRenderedPageBreak/>
        <w:t xml:space="preserve">pesar de que eso </w:t>
      </w:r>
      <w:r w:rsidR="00F411FF" w:rsidRPr="00996758">
        <w:rPr>
          <w:rFonts w:ascii="Verdana" w:hAnsi="Verdana" w:cs="Verdana"/>
          <w:bCs/>
          <w:sz w:val="20"/>
          <w:szCs w:val="20"/>
        </w:rPr>
        <w:t>fue así planteado ante las autoridades internas por algunos declarantes</w:t>
      </w:r>
      <w:r w:rsidR="00F411FF" w:rsidRPr="00996758">
        <w:rPr>
          <w:rStyle w:val="FootnoteReference"/>
          <w:rFonts w:ascii="Verdana" w:hAnsi="Verdana" w:cs="Verdana"/>
          <w:bCs/>
          <w:sz w:val="20"/>
          <w:szCs w:val="20"/>
        </w:rPr>
        <w:footnoteReference w:id="110"/>
      </w:r>
      <w:r w:rsidR="00F411FF" w:rsidRPr="00996758">
        <w:rPr>
          <w:rFonts w:ascii="Verdana" w:hAnsi="Verdana" w:cs="Verdana"/>
          <w:bCs/>
          <w:sz w:val="20"/>
          <w:szCs w:val="20"/>
        </w:rPr>
        <w:t xml:space="preserve"> y </w:t>
      </w:r>
      <w:r w:rsidR="009A717E" w:rsidRPr="00996758">
        <w:rPr>
          <w:rFonts w:ascii="Verdana" w:hAnsi="Verdana" w:cs="Verdana"/>
          <w:bCs/>
          <w:sz w:val="20"/>
          <w:szCs w:val="20"/>
        </w:rPr>
        <w:t>era una obvia línea de investigación</w:t>
      </w:r>
      <w:r w:rsidR="00304746" w:rsidRPr="00996758">
        <w:rPr>
          <w:rFonts w:ascii="Verdana" w:hAnsi="Verdana" w:cs="Verdana"/>
          <w:bCs/>
          <w:sz w:val="20"/>
          <w:szCs w:val="20"/>
        </w:rPr>
        <w:t>.</w:t>
      </w:r>
    </w:p>
    <w:p w:rsidR="00FC60E4" w:rsidRPr="00996758" w:rsidRDefault="00FC60E4">
      <w:pPr>
        <w:pStyle w:val="ListParagraph"/>
        <w:spacing w:after="0" w:line="240" w:lineRule="auto"/>
        <w:ind w:left="0"/>
        <w:jc w:val="both"/>
        <w:rPr>
          <w:rFonts w:ascii="Verdana" w:eastAsia="Arial Unicode MS" w:hAnsi="Verdana"/>
          <w:sz w:val="20"/>
          <w:szCs w:val="20"/>
          <w:bdr w:val="nil"/>
        </w:rPr>
      </w:pPr>
    </w:p>
    <w:p w:rsidR="003E07F0" w:rsidRPr="00996758" w:rsidRDefault="003E07F0"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Cabe resaltar que, </w:t>
      </w:r>
      <w:r w:rsidR="005D3522" w:rsidRPr="00996758">
        <w:rPr>
          <w:rFonts w:ascii="Verdana" w:hAnsi="Verdana" w:cs="Verdana"/>
          <w:bCs/>
          <w:sz w:val="20"/>
          <w:szCs w:val="20"/>
        </w:rPr>
        <w:t xml:space="preserve">en definitiva, </w:t>
      </w:r>
      <w:r w:rsidRPr="00996758">
        <w:rPr>
          <w:rFonts w:ascii="Verdana" w:hAnsi="Verdana" w:cs="Verdana"/>
          <w:bCs/>
          <w:sz w:val="20"/>
          <w:szCs w:val="20"/>
        </w:rPr>
        <w:t xml:space="preserve">para sostener la hipótesis de la fuga propiciada por una incursión de miembros de la guerrilla FARC, sería necesario </w:t>
      </w:r>
      <w:r w:rsidR="0016220F" w:rsidRPr="00996758">
        <w:rPr>
          <w:rFonts w:ascii="Verdana" w:hAnsi="Verdana" w:cs="Verdana"/>
          <w:bCs/>
          <w:sz w:val="20"/>
          <w:szCs w:val="20"/>
        </w:rPr>
        <w:t>partir de</w:t>
      </w:r>
      <w:r w:rsidRPr="00996758">
        <w:rPr>
          <w:rFonts w:ascii="Verdana" w:hAnsi="Verdana" w:cs="Verdana"/>
          <w:bCs/>
          <w:sz w:val="20"/>
          <w:szCs w:val="20"/>
        </w:rPr>
        <w:t xml:space="preserve"> la premisa de que el señor Isaza tenía alguna vinculación con ésta. Sin embargo, tal como hizo notar el Estado (</w:t>
      </w:r>
      <w:r w:rsidRPr="00996758">
        <w:rPr>
          <w:rFonts w:ascii="Verdana" w:hAnsi="Verdana" w:cs="Verdana"/>
          <w:bCs/>
          <w:i/>
          <w:sz w:val="20"/>
          <w:szCs w:val="20"/>
        </w:rPr>
        <w:t xml:space="preserve">infra </w:t>
      </w:r>
      <w:r w:rsidRPr="00996758">
        <w:rPr>
          <w:rFonts w:ascii="Verdana" w:hAnsi="Verdana" w:cs="Verdana"/>
          <w:bCs/>
          <w:sz w:val="20"/>
          <w:szCs w:val="20"/>
        </w:rPr>
        <w:t>párr</w:t>
      </w:r>
      <w:r w:rsidR="00E23B53" w:rsidRPr="00996758">
        <w:rPr>
          <w:rFonts w:ascii="Verdana" w:hAnsi="Verdana" w:cs="Verdana"/>
          <w:bCs/>
          <w:sz w:val="20"/>
          <w:szCs w:val="20"/>
        </w:rPr>
        <w:t>s.</w:t>
      </w:r>
      <w:r w:rsidR="00957710" w:rsidRPr="00996758">
        <w:rPr>
          <w:rFonts w:ascii="Verdana" w:hAnsi="Verdana" w:cs="Verdana"/>
          <w:bCs/>
          <w:sz w:val="20"/>
          <w:szCs w:val="20"/>
        </w:rPr>
        <w:t xml:space="preserve"> 164</w:t>
      </w:r>
      <w:r w:rsidR="00E23B53" w:rsidRPr="00996758">
        <w:rPr>
          <w:rFonts w:ascii="Verdana" w:hAnsi="Verdana" w:cs="Verdana"/>
          <w:bCs/>
          <w:sz w:val="20"/>
          <w:szCs w:val="20"/>
        </w:rPr>
        <w:t xml:space="preserve"> y 19</w:t>
      </w:r>
      <w:r w:rsidR="00957710" w:rsidRPr="00996758">
        <w:rPr>
          <w:rFonts w:ascii="Verdana" w:hAnsi="Verdana" w:cs="Verdana"/>
          <w:bCs/>
          <w:sz w:val="20"/>
          <w:szCs w:val="20"/>
        </w:rPr>
        <w:t>8</w:t>
      </w:r>
      <w:r w:rsidRPr="00996758">
        <w:rPr>
          <w:rFonts w:ascii="Verdana" w:hAnsi="Verdana" w:cs="Verdana"/>
          <w:bCs/>
          <w:sz w:val="20"/>
          <w:szCs w:val="20"/>
        </w:rPr>
        <w:t xml:space="preserve">), </w:t>
      </w:r>
      <w:r w:rsidRPr="00996758">
        <w:rPr>
          <w:rFonts w:ascii="Verdana" w:hAnsi="Verdana" w:cs="Times New Roman"/>
          <w:sz w:val="20"/>
          <w:szCs w:val="20"/>
        </w:rPr>
        <w:t>ninguna autoridad o funcionario público llegó a la conclusión de que él era miembro de un grupo subversivo</w:t>
      </w:r>
      <w:r w:rsidRPr="00996758">
        <w:rPr>
          <w:rFonts w:ascii="Verdana" w:hAnsi="Verdana" w:cs="Verdana"/>
          <w:bCs/>
          <w:sz w:val="20"/>
          <w:szCs w:val="20"/>
        </w:rPr>
        <w:t xml:space="preserve">. </w:t>
      </w:r>
    </w:p>
    <w:p w:rsidR="003E07F0" w:rsidRPr="00996758" w:rsidRDefault="003E07F0">
      <w:pPr>
        <w:pBdr>
          <w:top w:val="nil"/>
        </w:pBdr>
        <w:spacing w:after="0" w:line="240" w:lineRule="auto"/>
        <w:jc w:val="both"/>
        <w:rPr>
          <w:rFonts w:ascii="Verdana" w:hAnsi="Verdana" w:cs="Verdana"/>
          <w:bCs/>
          <w:sz w:val="20"/>
          <w:szCs w:val="20"/>
        </w:rPr>
      </w:pPr>
    </w:p>
    <w:p w:rsidR="007319AC" w:rsidRPr="00996758" w:rsidRDefault="001A30E3"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En cuanto al segundo supuesto de la </w:t>
      </w:r>
      <w:r w:rsidR="007319AC" w:rsidRPr="00996758">
        <w:rPr>
          <w:rFonts w:ascii="Verdana" w:hAnsi="Verdana" w:cs="Verdana"/>
          <w:bCs/>
          <w:sz w:val="20"/>
          <w:szCs w:val="20"/>
        </w:rPr>
        <w:t>referida hipótesis</w:t>
      </w:r>
      <w:r w:rsidR="00304746" w:rsidRPr="00996758">
        <w:rPr>
          <w:rFonts w:ascii="Verdana" w:hAnsi="Verdana" w:cs="Verdana"/>
          <w:bCs/>
          <w:sz w:val="20"/>
          <w:szCs w:val="20"/>
        </w:rPr>
        <w:t xml:space="preserve"> (fuga propiciada por particulares)</w:t>
      </w:r>
      <w:r w:rsidR="007319AC" w:rsidRPr="00996758">
        <w:rPr>
          <w:rFonts w:ascii="Verdana" w:hAnsi="Verdana" w:cs="Verdana"/>
          <w:bCs/>
          <w:sz w:val="20"/>
          <w:szCs w:val="20"/>
        </w:rPr>
        <w:t xml:space="preserve">, </w:t>
      </w:r>
      <w:r w:rsidR="0067279F" w:rsidRPr="00996758">
        <w:rPr>
          <w:rFonts w:ascii="Verdana" w:hAnsi="Verdana" w:cs="Verdana"/>
          <w:bCs/>
          <w:sz w:val="20"/>
          <w:szCs w:val="20"/>
        </w:rPr>
        <w:t>ello</w:t>
      </w:r>
      <w:r w:rsidRPr="00996758">
        <w:rPr>
          <w:rFonts w:ascii="Verdana" w:hAnsi="Verdana" w:cs="Verdana"/>
          <w:bCs/>
          <w:sz w:val="20"/>
          <w:szCs w:val="20"/>
        </w:rPr>
        <w:t xml:space="preserve"> fue considerado</w:t>
      </w:r>
      <w:r w:rsidR="004917FA" w:rsidRPr="00996758">
        <w:rPr>
          <w:rFonts w:ascii="Verdana" w:hAnsi="Verdana" w:cs="Verdana"/>
          <w:bCs/>
          <w:sz w:val="20"/>
          <w:szCs w:val="20"/>
        </w:rPr>
        <w:t xml:space="preserve"> </w:t>
      </w:r>
      <w:r w:rsidR="007319AC" w:rsidRPr="00996758">
        <w:rPr>
          <w:rFonts w:ascii="Verdana" w:hAnsi="Verdana" w:cs="Verdana"/>
          <w:bCs/>
          <w:sz w:val="20"/>
          <w:szCs w:val="20"/>
        </w:rPr>
        <w:t xml:space="preserve">en la investigación previa en la vía penal </w:t>
      </w:r>
      <w:r w:rsidR="004917FA" w:rsidRPr="00996758">
        <w:rPr>
          <w:rFonts w:ascii="Verdana" w:hAnsi="Verdana" w:cs="Verdana"/>
          <w:bCs/>
          <w:sz w:val="20"/>
          <w:szCs w:val="20"/>
        </w:rPr>
        <w:t xml:space="preserve">y </w:t>
      </w:r>
      <w:r w:rsidR="007319AC" w:rsidRPr="00996758">
        <w:rPr>
          <w:rFonts w:ascii="Verdana" w:hAnsi="Verdana" w:cs="Verdana"/>
          <w:bCs/>
          <w:sz w:val="20"/>
          <w:szCs w:val="20"/>
        </w:rPr>
        <w:t xml:space="preserve">en la </w:t>
      </w:r>
      <w:r w:rsidRPr="00996758">
        <w:rPr>
          <w:rFonts w:ascii="Verdana" w:hAnsi="Verdana" w:cs="Verdana"/>
          <w:bCs/>
          <w:sz w:val="20"/>
          <w:szCs w:val="20"/>
        </w:rPr>
        <w:t>indagación</w:t>
      </w:r>
      <w:r w:rsidR="007319AC" w:rsidRPr="00996758">
        <w:rPr>
          <w:rFonts w:ascii="Verdana" w:hAnsi="Verdana" w:cs="Verdana"/>
          <w:bCs/>
          <w:sz w:val="20"/>
          <w:szCs w:val="20"/>
        </w:rPr>
        <w:t xml:space="preserve"> de la Procuraduría </w:t>
      </w:r>
      <w:r w:rsidR="0067279F" w:rsidRPr="00996758">
        <w:rPr>
          <w:rFonts w:ascii="Verdana" w:hAnsi="Verdana" w:cs="Verdana"/>
          <w:bCs/>
          <w:sz w:val="20"/>
          <w:szCs w:val="20"/>
        </w:rPr>
        <w:t>y fue asumido como cierto</w:t>
      </w:r>
      <w:r w:rsidR="007319AC" w:rsidRPr="00996758">
        <w:rPr>
          <w:rFonts w:ascii="Verdana" w:hAnsi="Verdana" w:cs="Verdana"/>
          <w:bCs/>
          <w:sz w:val="20"/>
          <w:szCs w:val="20"/>
        </w:rPr>
        <w:t xml:space="preserve"> por el Consejo de Estado en el proceso contencioso-administrativo.</w:t>
      </w:r>
    </w:p>
    <w:p w:rsidR="005E4D0B" w:rsidRPr="00996758" w:rsidRDefault="005E4D0B">
      <w:pPr>
        <w:pBdr>
          <w:top w:val="nil"/>
        </w:pBdr>
        <w:spacing w:after="0" w:line="240" w:lineRule="auto"/>
        <w:jc w:val="both"/>
        <w:rPr>
          <w:rFonts w:ascii="Verdana" w:hAnsi="Verdana" w:cs="Verdana"/>
          <w:bCs/>
          <w:sz w:val="20"/>
          <w:szCs w:val="20"/>
        </w:rPr>
      </w:pPr>
    </w:p>
    <w:p w:rsidR="00B16692" w:rsidRPr="00996758" w:rsidRDefault="00B16692" w:rsidP="00484279">
      <w:pPr>
        <w:pStyle w:val="ListParagraph"/>
        <w:numPr>
          <w:ilvl w:val="0"/>
          <w:numId w:val="10"/>
        </w:numPr>
        <w:spacing w:after="0" w:line="240" w:lineRule="auto"/>
        <w:ind w:left="0" w:firstLine="0"/>
        <w:jc w:val="both"/>
        <w:rPr>
          <w:rFonts w:ascii="Verdana" w:eastAsia="Arial Unicode MS" w:hAnsi="Verdana"/>
          <w:sz w:val="20"/>
          <w:szCs w:val="20"/>
          <w:bdr w:val="nil"/>
        </w:rPr>
      </w:pPr>
      <w:r w:rsidRPr="00996758">
        <w:rPr>
          <w:rFonts w:ascii="Verdana" w:eastAsia="Arial Unicode MS" w:hAnsi="Verdana"/>
          <w:sz w:val="20"/>
          <w:szCs w:val="20"/>
          <w:bdr w:val="nil"/>
        </w:rPr>
        <w:t>Al respecto, la Procuraduría señaló, en ese sentido, que “en este campo de las suposiciones cabe también pensar que Víctor Manuel Isaza Uribe se fugó con el objeto de no enfrentar la investigación penal por el homicidio del doctor Francisco Humberto García Montoya, Director de Relaciones Industriales de Cementos Nare, continuando ‘desaparecido’ para no dar cumplimiento a la condena que en su contra se dictara”. Sin embargo, según fue señalado</w:t>
      </w:r>
      <w:r w:rsidR="00A07AF7" w:rsidRPr="00996758">
        <w:rPr>
          <w:rFonts w:ascii="Verdana" w:eastAsia="Arial Unicode MS" w:hAnsi="Verdana"/>
          <w:sz w:val="20"/>
          <w:szCs w:val="20"/>
          <w:bdr w:val="nil"/>
        </w:rPr>
        <w:t xml:space="preserve"> (</w:t>
      </w:r>
      <w:r w:rsidR="00A07AF7" w:rsidRPr="00996758">
        <w:rPr>
          <w:rFonts w:ascii="Verdana" w:eastAsia="Arial Unicode MS" w:hAnsi="Verdana"/>
          <w:i/>
          <w:sz w:val="20"/>
          <w:szCs w:val="20"/>
          <w:bdr w:val="nil"/>
        </w:rPr>
        <w:t xml:space="preserve">supra </w:t>
      </w:r>
      <w:r w:rsidR="00A07AF7" w:rsidRPr="00996758">
        <w:rPr>
          <w:rFonts w:ascii="Verdana" w:eastAsia="Arial Unicode MS" w:hAnsi="Verdana"/>
          <w:sz w:val="20"/>
          <w:szCs w:val="20"/>
          <w:bdr w:val="nil"/>
        </w:rPr>
        <w:t>párr. 102)</w:t>
      </w:r>
      <w:r w:rsidRPr="00996758">
        <w:rPr>
          <w:rFonts w:ascii="Verdana" w:eastAsia="Arial Unicode MS" w:hAnsi="Verdana"/>
          <w:sz w:val="20"/>
          <w:szCs w:val="20"/>
          <w:bdr w:val="nil"/>
        </w:rPr>
        <w:t>, la resolución no es concluyente en sentido alguno y no da fundamento a esta suposición.</w:t>
      </w:r>
    </w:p>
    <w:p w:rsidR="00B16692" w:rsidRPr="00996758" w:rsidRDefault="00B16692">
      <w:pPr>
        <w:pBdr>
          <w:top w:val="nil"/>
        </w:pBdr>
        <w:spacing w:after="0" w:line="240" w:lineRule="auto"/>
        <w:jc w:val="both"/>
        <w:rPr>
          <w:rFonts w:ascii="Verdana" w:hAnsi="Verdana" w:cs="Verdana"/>
          <w:bCs/>
          <w:sz w:val="20"/>
          <w:szCs w:val="20"/>
        </w:rPr>
      </w:pPr>
    </w:p>
    <w:p w:rsidR="00C37702" w:rsidRPr="00996758" w:rsidRDefault="005E4D0B" w:rsidP="00484279">
      <w:pPr>
        <w:numPr>
          <w:ilvl w:val="0"/>
          <w:numId w:val="10"/>
        </w:numPr>
        <w:pBdr>
          <w:top w:val="nil"/>
        </w:pBdr>
        <w:spacing w:after="0" w:line="240" w:lineRule="auto"/>
        <w:ind w:left="0" w:firstLine="0"/>
        <w:jc w:val="both"/>
        <w:rPr>
          <w:rFonts w:ascii="Verdana" w:eastAsia="Arial Unicode MS" w:hAnsi="Verdana"/>
          <w:sz w:val="20"/>
          <w:szCs w:val="20"/>
          <w:bdr w:val="nil"/>
        </w:rPr>
      </w:pPr>
      <w:r w:rsidRPr="00996758">
        <w:rPr>
          <w:rFonts w:ascii="Verdana" w:hAnsi="Verdana" w:cs="Verdana"/>
          <w:bCs/>
          <w:sz w:val="20"/>
          <w:szCs w:val="20"/>
        </w:rPr>
        <w:t>E</w:t>
      </w:r>
      <w:r w:rsidR="00B16692" w:rsidRPr="00996758">
        <w:rPr>
          <w:rFonts w:ascii="Verdana" w:hAnsi="Verdana" w:cs="Verdana"/>
          <w:bCs/>
          <w:sz w:val="20"/>
          <w:szCs w:val="20"/>
        </w:rPr>
        <w:t>n cuanto a</w:t>
      </w:r>
      <w:r w:rsidR="00937144" w:rsidRPr="00996758">
        <w:rPr>
          <w:rFonts w:ascii="Verdana" w:hAnsi="Verdana" w:cs="Verdana"/>
          <w:bCs/>
          <w:sz w:val="20"/>
          <w:szCs w:val="20"/>
        </w:rPr>
        <w:t xml:space="preserve"> lo resuelto en</w:t>
      </w:r>
      <w:r w:rsidR="00B16692" w:rsidRPr="00996758">
        <w:rPr>
          <w:rFonts w:ascii="Verdana" w:hAnsi="Verdana" w:cs="Verdana"/>
          <w:bCs/>
          <w:sz w:val="20"/>
          <w:szCs w:val="20"/>
        </w:rPr>
        <w:t xml:space="preserve"> </w:t>
      </w:r>
      <w:r w:rsidRPr="00996758">
        <w:rPr>
          <w:rFonts w:ascii="Verdana" w:hAnsi="Verdana" w:cs="Verdana"/>
          <w:bCs/>
          <w:sz w:val="20"/>
          <w:szCs w:val="20"/>
        </w:rPr>
        <w:t>la jurisdicci</w:t>
      </w:r>
      <w:r w:rsidR="007759CA" w:rsidRPr="00996758">
        <w:rPr>
          <w:rFonts w:ascii="Verdana" w:hAnsi="Verdana" w:cs="Verdana"/>
          <w:bCs/>
          <w:sz w:val="20"/>
          <w:szCs w:val="20"/>
        </w:rPr>
        <w:t>ón contencioso-</w:t>
      </w:r>
      <w:r w:rsidR="00B16692" w:rsidRPr="00996758">
        <w:rPr>
          <w:rFonts w:ascii="Verdana" w:hAnsi="Verdana" w:cs="Verdana"/>
          <w:bCs/>
          <w:sz w:val="20"/>
          <w:szCs w:val="20"/>
        </w:rPr>
        <w:t xml:space="preserve">administrativa, </w:t>
      </w:r>
      <w:r w:rsidR="004917FA" w:rsidRPr="00996758">
        <w:rPr>
          <w:rFonts w:ascii="Verdana" w:hAnsi="Verdana" w:cs="Verdana"/>
          <w:bCs/>
          <w:sz w:val="20"/>
          <w:szCs w:val="20"/>
        </w:rPr>
        <w:t xml:space="preserve">si bien </w:t>
      </w:r>
      <w:r w:rsidR="00B16692" w:rsidRPr="00996758">
        <w:rPr>
          <w:rFonts w:ascii="Verdana" w:hAnsi="Verdana" w:cs="Verdana"/>
          <w:bCs/>
          <w:sz w:val="20"/>
          <w:szCs w:val="20"/>
        </w:rPr>
        <w:t xml:space="preserve">el Estado alegó que </w:t>
      </w:r>
      <w:r w:rsidR="001102B9" w:rsidRPr="00996758">
        <w:rPr>
          <w:rFonts w:ascii="Verdana" w:hAnsi="Verdana" w:cs="Verdana"/>
          <w:bCs/>
          <w:sz w:val="20"/>
          <w:szCs w:val="20"/>
        </w:rPr>
        <w:t xml:space="preserve">ésta </w:t>
      </w:r>
      <w:r w:rsidRPr="00996758">
        <w:rPr>
          <w:rFonts w:ascii="Verdana" w:hAnsi="Verdana" w:cs="Verdana"/>
          <w:bCs/>
          <w:sz w:val="20"/>
          <w:szCs w:val="20"/>
        </w:rPr>
        <w:t xml:space="preserve">no </w:t>
      </w:r>
      <w:r w:rsidR="00937144" w:rsidRPr="00996758">
        <w:rPr>
          <w:rFonts w:ascii="Verdana" w:hAnsi="Verdana" w:cs="Verdana"/>
          <w:bCs/>
          <w:sz w:val="20"/>
          <w:szCs w:val="20"/>
        </w:rPr>
        <w:t xml:space="preserve">fue </w:t>
      </w:r>
      <w:r w:rsidRPr="00996758">
        <w:rPr>
          <w:rFonts w:ascii="Verdana" w:hAnsi="Verdana" w:cs="Verdana"/>
          <w:bCs/>
          <w:sz w:val="20"/>
          <w:szCs w:val="20"/>
        </w:rPr>
        <w:t>conclu</w:t>
      </w:r>
      <w:r w:rsidR="004917FA" w:rsidRPr="00996758">
        <w:rPr>
          <w:rFonts w:ascii="Verdana" w:hAnsi="Verdana" w:cs="Verdana"/>
          <w:bCs/>
          <w:sz w:val="20"/>
          <w:szCs w:val="20"/>
        </w:rPr>
        <w:t>yente</w:t>
      </w:r>
      <w:r w:rsidR="00E244D5" w:rsidRPr="00996758">
        <w:rPr>
          <w:rFonts w:ascii="Verdana" w:hAnsi="Verdana" w:cs="Verdana"/>
          <w:bCs/>
          <w:sz w:val="20"/>
          <w:szCs w:val="20"/>
        </w:rPr>
        <w:t xml:space="preserve"> en </w:t>
      </w:r>
      <w:r w:rsidR="00B16692" w:rsidRPr="00996758">
        <w:rPr>
          <w:rFonts w:ascii="Verdana" w:hAnsi="Verdana" w:cs="Verdana"/>
          <w:bCs/>
          <w:sz w:val="20"/>
          <w:szCs w:val="20"/>
        </w:rPr>
        <w:t xml:space="preserve">cuanto a </w:t>
      </w:r>
      <w:r w:rsidRPr="00996758">
        <w:rPr>
          <w:rFonts w:ascii="Verdana" w:hAnsi="Verdana" w:cs="Verdana"/>
          <w:bCs/>
          <w:sz w:val="20"/>
          <w:szCs w:val="20"/>
        </w:rPr>
        <w:t>un</w:t>
      </w:r>
      <w:r w:rsidR="007759CA" w:rsidRPr="00996758">
        <w:rPr>
          <w:rFonts w:ascii="Verdana" w:hAnsi="Verdana" w:cs="Verdana"/>
          <w:bCs/>
          <w:sz w:val="20"/>
          <w:szCs w:val="20"/>
        </w:rPr>
        <w:t>a</w:t>
      </w:r>
      <w:r w:rsidRPr="00996758">
        <w:rPr>
          <w:rFonts w:ascii="Verdana" w:hAnsi="Verdana" w:cs="Verdana"/>
          <w:bCs/>
          <w:sz w:val="20"/>
          <w:szCs w:val="20"/>
        </w:rPr>
        <w:t xml:space="preserve"> fuga de los detenidos, lo cierto es que</w:t>
      </w:r>
      <w:r w:rsidR="0023428C" w:rsidRPr="00996758">
        <w:rPr>
          <w:rFonts w:ascii="Verdana" w:eastAsia="Arial Unicode MS" w:hAnsi="Verdana"/>
          <w:sz w:val="20"/>
          <w:szCs w:val="20"/>
          <w:bdr w:val="nil"/>
        </w:rPr>
        <w:t xml:space="preserve"> </w:t>
      </w:r>
      <w:r w:rsidR="00C37702" w:rsidRPr="00996758">
        <w:rPr>
          <w:rFonts w:ascii="Verdana" w:eastAsia="Arial Unicode MS" w:hAnsi="Verdana"/>
          <w:sz w:val="20"/>
          <w:szCs w:val="20"/>
          <w:bdr w:val="nil"/>
        </w:rPr>
        <w:t xml:space="preserve">el Tribunal Administrativo de Antioquía </w:t>
      </w:r>
      <w:r w:rsidR="002E1B51" w:rsidRPr="00996758">
        <w:rPr>
          <w:rFonts w:ascii="Verdana" w:eastAsia="Arial Unicode MS" w:hAnsi="Verdana"/>
          <w:sz w:val="20"/>
          <w:szCs w:val="20"/>
          <w:bdr w:val="nil"/>
        </w:rPr>
        <w:t xml:space="preserve">consideró </w:t>
      </w:r>
      <w:r w:rsidR="0016220F" w:rsidRPr="00996758">
        <w:rPr>
          <w:rFonts w:ascii="Verdana" w:eastAsia="Arial Unicode MS" w:hAnsi="Verdana"/>
          <w:sz w:val="20"/>
          <w:szCs w:val="20"/>
          <w:bdr w:val="nil"/>
        </w:rPr>
        <w:t xml:space="preserve">en su sentencia </w:t>
      </w:r>
      <w:r w:rsidR="002E1B51" w:rsidRPr="00996758">
        <w:rPr>
          <w:rFonts w:ascii="Verdana" w:eastAsia="Arial Unicode MS" w:hAnsi="Verdana"/>
          <w:sz w:val="20"/>
          <w:szCs w:val="20"/>
          <w:bdr w:val="nil"/>
        </w:rPr>
        <w:t xml:space="preserve">que el </w:t>
      </w:r>
      <w:r w:rsidR="00A07AF7" w:rsidRPr="00996758">
        <w:rPr>
          <w:rFonts w:ascii="Verdana" w:eastAsia="Arial Unicode MS" w:hAnsi="Verdana"/>
          <w:sz w:val="20"/>
          <w:szCs w:val="20"/>
          <w:bdr w:val="nil"/>
        </w:rPr>
        <w:t>homicidio</w:t>
      </w:r>
      <w:r w:rsidR="002E1B51" w:rsidRPr="00996758">
        <w:rPr>
          <w:rFonts w:ascii="Verdana" w:eastAsia="Arial Unicode MS" w:hAnsi="Verdana"/>
          <w:sz w:val="20"/>
          <w:szCs w:val="20"/>
          <w:bdr w:val="nil"/>
        </w:rPr>
        <w:t xml:space="preserve"> </w:t>
      </w:r>
      <w:r w:rsidR="00A07AF7" w:rsidRPr="00996758">
        <w:rPr>
          <w:rFonts w:ascii="Verdana" w:eastAsia="Arial Unicode MS" w:hAnsi="Verdana"/>
          <w:sz w:val="20"/>
          <w:szCs w:val="20"/>
          <w:bdr w:val="nil"/>
        </w:rPr>
        <w:t>por el cual fue imputado y condenado</w:t>
      </w:r>
      <w:r w:rsidR="002E1B51" w:rsidRPr="00996758">
        <w:rPr>
          <w:rFonts w:ascii="Verdana" w:eastAsia="Arial Unicode MS" w:hAnsi="Verdana"/>
          <w:sz w:val="20"/>
          <w:szCs w:val="20"/>
          <w:bdr w:val="nil"/>
        </w:rPr>
        <w:t xml:space="preserve"> </w:t>
      </w:r>
      <w:r w:rsidR="00A07AF7" w:rsidRPr="00996758">
        <w:rPr>
          <w:rFonts w:ascii="Verdana" w:eastAsia="Arial Unicode MS" w:hAnsi="Verdana"/>
          <w:sz w:val="20"/>
          <w:szCs w:val="20"/>
          <w:bdr w:val="nil"/>
        </w:rPr>
        <w:t>e</w:t>
      </w:r>
      <w:r w:rsidR="002E1B51" w:rsidRPr="00996758">
        <w:rPr>
          <w:rFonts w:ascii="Verdana" w:eastAsia="Arial Unicode MS" w:hAnsi="Verdana"/>
          <w:sz w:val="20"/>
          <w:szCs w:val="20"/>
          <w:bdr w:val="nil"/>
        </w:rPr>
        <w:t>l señor Isaza Uribe “</w:t>
      </w:r>
      <w:r w:rsidR="002E1B51" w:rsidRPr="00996758">
        <w:rPr>
          <w:rFonts w:ascii="Verdana" w:eastAsia="Arial Unicode MS" w:hAnsi="Verdana"/>
          <w:i/>
          <w:sz w:val="20"/>
          <w:szCs w:val="20"/>
          <w:bdr w:val="nil"/>
        </w:rPr>
        <w:t>fue cometido delante de un considerable número de personas, entre ellas, personal directivo de la empresa</w:t>
      </w:r>
      <w:r w:rsidR="002E1B51" w:rsidRPr="00996758">
        <w:rPr>
          <w:rFonts w:ascii="Verdana" w:eastAsia="Arial Unicode MS" w:hAnsi="Verdana"/>
          <w:sz w:val="20"/>
          <w:szCs w:val="20"/>
          <w:bdr w:val="nil"/>
        </w:rPr>
        <w:t>” y que</w:t>
      </w:r>
      <w:r w:rsidR="0023428C" w:rsidRPr="00996758">
        <w:rPr>
          <w:rFonts w:ascii="Verdana" w:eastAsia="Arial Unicode MS" w:hAnsi="Verdana"/>
          <w:sz w:val="20"/>
          <w:szCs w:val="20"/>
          <w:bdr w:val="nil"/>
        </w:rPr>
        <w:t>,</w:t>
      </w:r>
      <w:r w:rsidR="002E1B51" w:rsidRPr="00996758">
        <w:rPr>
          <w:rFonts w:ascii="Verdana" w:eastAsia="Arial Unicode MS" w:hAnsi="Verdana"/>
          <w:sz w:val="20"/>
          <w:szCs w:val="20"/>
          <w:bdr w:val="nil"/>
        </w:rPr>
        <w:t xml:space="preserve"> “</w:t>
      </w:r>
      <w:r w:rsidR="002E1B51" w:rsidRPr="00996758">
        <w:rPr>
          <w:rFonts w:ascii="Verdana" w:eastAsia="Arial Unicode MS" w:hAnsi="Verdana"/>
          <w:i/>
          <w:sz w:val="20"/>
          <w:szCs w:val="20"/>
          <w:bdr w:val="nil"/>
        </w:rPr>
        <w:t xml:space="preserve">aunque no es posible </w:t>
      </w:r>
      <w:r w:rsidR="0023428C" w:rsidRPr="00996758">
        <w:rPr>
          <w:rFonts w:ascii="Verdana" w:eastAsia="Arial Unicode MS" w:hAnsi="Verdana"/>
          <w:i/>
          <w:sz w:val="20"/>
          <w:szCs w:val="20"/>
          <w:bdr w:val="nil"/>
        </w:rPr>
        <w:t>precisar con certeza si se trató de un secuestro o de un rescate –fuga facilitada por terceros armados–, las circunstancias anotadas […] llevan a la Sala a pensar que pudo tratarse, más bien, de una fuga facilitada con la acción de terceros armados, ante la inminencia de una prolongada sentencia condenatoria, como efectivamente se produjo el 7 de noviembre de 1989</w:t>
      </w:r>
      <w:r w:rsidR="007565B9" w:rsidRPr="00996758">
        <w:rPr>
          <w:rFonts w:ascii="Verdana" w:eastAsia="Arial Unicode MS" w:hAnsi="Verdana"/>
          <w:sz w:val="20"/>
          <w:szCs w:val="20"/>
          <w:bdr w:val="nil"/>
        </w:rPr>
        <w:t>”</w:t>
      </w:r>
      <w:r w:rsidR="0023428C" w:rsidRPr="00996758">
        <w:rPr>
          <w:rFonts w:ascii="Verdana" w:eastAsia="Arial Unicode MS" w:hAnsi="Verdana"/>
          <w:sz w:val="20"/>
          <w:szCs w:val="20"/>
          <w:bdr w:val="nil"/>
        </w:rPr>
        <w:t xml:space="preserve">. Dicho tribunal </w:t>
      </w:r>
      <w:r w:rsidR="00C37702" w:rsidRPr="00996758">
        <w:rPr>
          <w:rFonts w:ascii="Verdana" w:eastAsia="Arial Unicode MS" w:hAnsi="Verdana"/>
          <w:sz w:val="20"/>
          <w:szCs w:val="20"/>
          <w:bdr w:val="nil"/>
        </w:rPr>
        <w:t xml:space="preserve">resolvió </w:t>
      </w:r>
      <w:r w:rsidR="0023428C" w:rsidRPr="00996758">
        <w:rPr>
          <w:rFonts w:ascii="Verdana" w:eastAsia="Arial Unicode MS" w:hAnsi="Verdana"/>
          <w:sz w:val="20"/>
          <w:szCs w:val="20"/>
          <w:bdr w:val="nil"/>
        </w:rPr>
        <w:t xml:space="preserve">que </w:t>
      </w:r>
      <w:r w:rsidR="00C37702" w:rsidRPr="00996758">
        <w:rPr>
          <w:rFonts w:ascii="Verdana" w:eastAsia="Arial Unicode MS" w:hAnsi="Verdana"/>
          <w:sz w:val="20"/>
          <w:szCs w:val="20"/>
          <w:bdr w:val="nil"/>
        </w:rPr>
        <w:t>“</w:t>
      </w:r>
      <w:r w:rsidR="00C37702" w:rsidRPr="00996758">
        <w:rPr>
          <w:rFonts w:ascii="Verdana" w:eastAsia="Arial Unicode MS" w:hAnsi="Verdana"/>
          <w:i/>
          <w:sz w:val="20"/>
          <w:szCs w:val="20"/>
          <w:bdr w:val="nil"/>
        </w:rPr>
        <w:t>no se encuentra demostrada, entonces, la falla en el servicio o el daño antijurídico imputable a las entidades demandadas</w:t>
      </w:r>
      <w:r w:rsidR="00C37702" w:rsidRPr="00996758">
        <w:rPr>
          <w:rFonts w:ascii="Verdana" w:eastAsia="Arial Unicode MS" w:hAnsi="Verdana"/>
          <w:sz w:val="20"/>
          <w:szCs w:val="20"/>
          <w:bdr w:val="nil"/>
        </w:rPr>
        <w:t>”</w:t>
      </w:r>
      <w:r w:rsidR="0023428C" w:rsidRPr="00996758">
        <w:rPr>
          <w:rStyle w:val="FootnoteReference"/>
          <w:rFonts w:ascii="Verdana" w:eastAsia="Arial Unicode MS" w:hAnsi="Verdana"/>
          <w:sz w:val="20"/>
          <w:szCs w:val="20"/>
          <w:bdr w:val="nil"/>
        </w:rPr>
        <w:footnoteReference w:id="111"/>
      </w:r>
      <w:r w:rsidR="0023428C" w:rsidRPr="00996758">
        <w:rPr>
          <w:rFonts w:ascii="Verdana" w:eastAsia="Arial Unicode MS" w:hAnsi="Verdana"/>
          <w:sz w:val="20"/>
          <w:szCs w:val="20"/>
          <w:bdr w:val="nil"/>
        </w:rPr>
        <w:t xml:space="preserve">. </w:t>
      </w:r>
      <w:r w:rsidR="004B6785" w:rsidRPr="00996758">
        <w:rPr>
          <w:rFonts w:ascii="Verdana" w:eastAsia="Arial Unicode MS" w:hAnsi="Verdana"/>
          <w:sz w:val="20"/>
          <w:szCs w:val="20"/>
          <w:bdr w:val="nil"/>
        </w:rPr>
        <w:t>Posteriormente, e</w:t>
      </w:r>
      <w:r w:rsidR="0023428C" w:rsidRPr="00996758">
        <w:rPr>
          <w:rFonts w:ascii="Verdana" w:eastAsia="Arial Unicode MS" w:hAnsi="Verdana"/>
          <w:sz w:val="20"/>
          <w:szCs w:val="20"/>
          <w:bdr w:val="nil"/>
        </w:rPr>
        <w:t>l</w:t>
      </w:r>
      <w:r w:rsidR="00C37702" w:rsidRPr="00996758">
        <w:rPr>
          <w:rFonts w:ascii="Verdana" w:eastAsia="Arial Unicode MS" w:hAnsi="Verdana"/>
          <w:sz w:val="20"/>
          <w:szCs w:val="20"/>
          <w:bdr w:val="nil"/>
        </w:rPr>
        <w:t xml:space="preserve"> Consejo de Estado</w:t>
      </w:r>
      <w:r w:rsidR="005E2113" w:rsidRPr="00996758">
        <w:rPr>
          <w:rFonts w:ascii="Verdana" w:eastAsia="Arial Unicode MS" w:hAnsi="Verdana"/>
          <w:sz w:val="20"/>
          <w:szCs w:val="20"/>
          <w:bdr w:val="nil"/>
        </w:rPr>
        <w:t xml:space="preserve"> confirmó la sentencia</w:t>
      </w:r>
      <w:r w:rsidR="003A5109" w:rsidRPr="00996758">
        <w:rPr>
          <w:rFonts w:ascii="Verdana" w:eastAsia="Arial Unicode MS" w:hAnsi="Verdana"/>
          <w:sz w:val="20"/>
          <w:szCs w:val="20"/>
          <w:bdr w:val="nil"/>
        </w:rPr>
        <w:t xml:space="preserve"> anterior</w:t>
      </w:r>
      <w:r w:rsidR="005E2113" w:rsidRPr="00996758">
        <w:rPr>
          <w:rFonts w:ascii="Verdana" w:eastAsia="Arial Unicode MS" w:hAnsi="Verdana"/>
          <w:sz w:val="20"/>
          <w:szCs w:val="20"/>
          <w:bdr w:val="nil"/>
        </w:rPr>
        <w:t xml:space="preserve"> “</w:t>
      </w:r>
      <w:r w:rsidR="005E2113" w:rsidRPr="00996758">
        <w:rPr>
          <w:rFonts w:ascii="Verdana" w:eastAsia="Arial Unicode MS" w:hAnsi="Verdana"/>
          <w:i/>
          <w:sz w:val="20"/>
          <w:szCs w:val="20"/>
          <w:bdr w:val="nil"/>
        </w:rPr>
        <w:t>por encontrarla seria, ponderada y ajustada a la lógica de lo razonable</w:t>
      </w:r>
      <w:r w:rsidR="005E2113" w:rsidRPr="00996758">
        <w:rPr>
          <w:rFonts w:ascii="Verdana" w:eastAsia="Arial Unicode MS" w:hAnsi="Verdana"/>
          <w:sz w:val="20"/>
          <w:szCs w:val="20"/>
          <w:bdr w:val="nil"/>
        </w:rPr>
        <w:t>”</w:t>
      </w:r>
      <w:r w:rsidR="004917FA" w:rsidRPr="00996758">
        <w:rPr>
          <w:rFonts w:ascii="Verdana" w:eastAsia="Arial Unicode MS" w:hAnsi="Verdana"/>
          <w:sz w:val="20"/>
          <w:szCs w:val="20"/>
          <w:bdr w:val="nil"/>
        </w:rPr>
        <w:t xml:space="preserve"> y, s</w:t>
      </w:r>
      <w:r w:rsidR="00B7483F" w:rsidRPr="00996758">
        <w:rPr>
          <w:rFonts w:ascii="Verdana" w:eastAsia="Arial Unicode MS" w:hAnsi="Verdana"/>
          <w:sz w:val="20"/>
          <w:szCs w:val="20"/>
          <w:bdr w:val="nil"/>
        </w:rPr>
        <w:t>i bien</w:t>
      </w:r>
      <w:r w:rsidR="006E6DD0" w:rsidRPr="00996758">
        <w:rPr>
          <w:rFonts w:ascii="Verdana" w:eastAsia="Arial Unicode MS" w:hAnsi="Verdana"/>
          <w:sz w:val="20"/>
          <w:szCs w:val="20"/>
          <w:bdr w:val="nil"/>
        </w:rPr>
        <w:t xml:space="preserve"> </w:t>
      </w:r>
      <w:r w:rsidR="004917FA" w:rsidRPr="00996758">
        <w:rPr>
          <w:rFonts w:ascii="Verdana" w:eastAsia="Arial Unicode MS" w:hAnsi="Verdana"/>
          <w:sz w:val="20"/>
          <w:szCs w:val="20"/>
          <w:bdr w:val="nil"/>
        </w:rPr>
        <w:t xml:space="preserve">estimó </w:t>
      </w:r>
      <w:r w:rsidR="006E6DD0" w:rsidRPr="00996758">
        <w:rPr>
          <w:rFonts w:ascii="Verdana" w:eastAsia="Arial Unicode MS" w:hAnsi="Verdana"/>
          <w:sz w:val="20"/>
          <w:szCs w:val="20"/>
          <w:bdr w:val="nil"/>
        </w:rPr>
        <w:t>que “</w:t>
      </w:r>
      <w:r w:rsidR="006E6DD0" w:rsidRPr="00996758">
        <w:rPr>
          <w:rFonts w:ascii="Verdana" w:eastAsia="Arial Unicode MS" w:hAnsi="Verdana"/>
          <w:i/>
          <w:sz w:val="20"/>
          <w:szCs w:val="20"/>
          <w:bdr w:val="nil"/>
        </w:rPr>
        <w:t>la administración</w:t>
      </w:r>
      <w:r w:rsidR="00217A8C" w:rsidRPr="00996758">
        <w:rPr>
          <w:rFonts w:ascii="Verdana" w:eastAsia="Arial Unicode MS" w:hAnsi="Verdana"/>
          <w:i/>
          <w:sz w:val="20"/>
          <w:szCs w:val="20"/>
          <w:bdr w:val="nil"/>
        </w:rPr>
        <w:t xml:space="preserve"> falló</w:t>
      </w:r>
      <w:r w:rsidR="006E6DD0" w:rsidRPr="00996758">
        <w:rPr>
          <w:rFonts w:ascii="Verdana" w:eastAsia="Arial Unicode MS" w:hAnsi="Verdana"/>
          <w:i/>
          <w:sz w:val="20"/>
          <w:szCs w:val="20"/>
          <w:bdr w:val="nil"/>
        </w:rPr>
        <w:t xml:space="preserve"> en la vigilancia del detenido</w:t>
      </w:r>
      <w:r w:rsidR="006E6DD0" w:rsidRPr="00996758">
        <w:rPr>
          <w:rFonts w:ascii="Verdana" w:eastAsia="Arial Unicode MS" w:hAnsi="Verdana"/>
          <w:sz w:val="20"/>
          <w:szCs w:val="20"/>
          <w:bdr w:val="nil"/>
        </w:rPr>
        <w:t xml:space="preserve">”, también </w:t>
      </w:r>
      <w:r w:rsidR="00B7483F" w:rsidRPr="00996758">
        <w:rPr>
          <w:rFonts w:ascii="Verdana" w:eastAsia="Arial Unicode MS" w:hAnsi="Verdana"/>
          <w:sz w:val="20"/>
          <w:szCs w:val="20"/>
          <w:bdr w:val="nil"/>
        </w:rPr>
        <w:t xml:space="preserve">consideró que </w:t>
      </w:r>
      <w:r w:rsidR="00C37702" w:rsidRPr="00996758">
        <w:rPr>
          <w:rFonts w:ascii="Verdana" w:eastAsia="Arial Unicode MS" w:hAnsi="Verdana"/>
          <w:sz w:val="20"/>
          <w:szCs w:val="20"/>
          <w:bdr w:val="nil"/>
        </w:rPr>
        <w:t>“</w:t>
      </w:r>
      <w:r w:rsidR="006E6DD0" w:rsidRPr="00996758">
        <w:rPr>
          <w:rFonts w:ascii="Verdana" w:eastAsia="Arial Unicode MS" w:hAnsi="Verdana"/>
          <w:sz w:val="20"/>
          <w:szCs w:val="20"/>
          <w:bdr w:val="nil"/>
        </w:rPr>
        <w:t>[…]</w:t>
      </w:r>
      <w:r w:rsidR="00C37702" w:rsidRPr="00996758">
        <w:rPr>
          <w:rFonts w:ascii="Verdana" w:eastAsia="Arial Unicode MS" w:hAnsi="Verdana"/>
          <w:sz w:val="20"/>
          <w:szCs w:val="20"/>
          <w:bdr w:val="nil"/>
        </w:rPr>
        <w:t xml:space="preserve"> </w:t>
      </w:r>
      <w:r w:rsidR="00C37702" w:rsidRPr="00996758">
        <w:rPr>
          <w:rFonts w:ascii="Verdana" w:eastAsia="Arial Unicode MS" w:hAnsi="Verdana"/>
          <w:i/>
          <w:sz w:val="20"/>
          <w:szCs w:val="20"/>
          <w:bdr w:val="nil"/>
        </w:rPr>
        <w:t>todo indica que la fuga fue preparada y llevada a cabo para favorecer y p</w:t>
      </w:r>
      <w:r w:rsidR="003A5109" w:rsidRPr="00996758">
        <w:rPr>
          <w:rFonts w:ascii="Verdana" w:eastAsia="Arial Unicode MS" w:hAnsi="Verdana"/>
          <w:i/>
          <w:sz w:val="20"/>
          <w:szCs w:val="20"/>
          <w:bdr w:val="nil"/>
        </w:rPr>
        <w:t>roteger a los cuatro sindicados [</w:t>
      </w:r>
      <w:r w:rsidR="004917FA" w:rsidRPr="00996758">
        <w:rPr>
          <w:rFonts w:ascii="Verdana" w:eastAsia="Arial Unicode MS" w:hAnsi="Verdana"/>
          <w:i/>
          <w:sz w:val="20"/>
          <w:szCs w:val="20"/>
          <w:bdr w:val="nil"/>
        </w:rPr>
        <w:t>…</w:t>
      </w:r>
      <w:r w:rsidR="003A5109" w:rsidRPr="00996758">
        <w:rPr>
          <w:rFonts w:ascii="Verdana" w:eastAsia="Arial Unicode MS" w:hAnsi="Verdana"/>
          <w:i/>
          <w:sz w:val="20"/>
          <w:szCs w:val="20"/>
          <w:bdr w:val="nil"/>
        </w:rPr>
        <w:t>]</w:t>
      </w:r>
      <w:r w:rsidR="004917FA" w:rsidRPr="00996758">
        <w:rPr>
          <w:rFonts w:ascii="Verdana" w:eastAsia="Arial Unicode MS" w:hAnsi="Verdana"/>
          <w:i/>
          <w:sz w:val="20"/>
          <w:szCs w:val="20"/>
          <w:bdr w:val="nil"/>
        </w:rPr>
        <w:t xml:space="preserve"> </w:t>
      </w:r>
      <w:r w:rsidR="00C37702" w:rsidRPr="00996758">
        <w:rPr>
          <w:rFonts w:ascii="Verdana" w:eastAsia="Arial Unicode MS" w:hAnsi="Verdana"/>
          <w:i/>
          <w:sz w:val="20"/>
          <w:szCs w:val="20"/>
          <w:bdr w:val="nil"/>
        </w:rPr>
        <w:t>porque la libertad resultaba para ellos un beneficio y la prisión una carga. Por tal motivo, quien pretenda demostrar que el resultado era distinto, corría con la carga de la prueba, esto es, debía acreditar que los detenidos fueron liberados para tomar venganza, ora por la fuerza pública, ora por particulares</w:t>
      </w:r>
      <w:r w:rsidR="00C37702" w:rsidRPr="00996758">
        <w:rPr>
          <w:rFonts w:ascii="Verdana" w:eastAsia="Arial Unicode MS" w:hAnsi="Verdana"/>
          <w:sz w:val="20"/>
          <w:szCs w:val="20"/>
          <w:bdr w:val="nil"/>
        </w:rPr>
        <w:t>”</w:t>
      </w:r>
      <w:r w:rsidR="00475406" w:rsidRPr="00996758">
        <w:rPr>
          <w:rStyle w:val="FootnoteReference"/>
          <w:rFonts w:ascii="Verdana" w:eastAsia="Arial Unicode MS" w:hAnsi="Verdana"/>
          <w:sz w:val="20"/>
          <w:szCs w:val="20"/>
          <w:bdr w:val="nil"/>
        </w:rPr>
        <w:footnoteReference w:id="112"/>
      </w:r>
      <w:r w:rsidR="00C37702" w:rsidRPr="00996758">
        <w:rPr>
          <w:rFonts w:ascii="Verdana" w:eastAsia="Arial Unicode MS" w:hAnsi="Verdana"/>
          <w:sz w:val="20"/>
          <w:szCs w:val="20"/>
          <w:bdr w:val="nil"/>
        </w:rPr>
        <w:t xml:space="preserve">. </w:t>
      </w:r>
    </w:p>
    <w:p w:rsidR="007319AC" w:rsidRPr="00996758" w:rsidRDefault="007319AC">
      <w:pPr>
        <w:pBdr>
          <w:top w:val="nil"/>
        </w:pBdr>
        <w:autoSpaceDE w:val="0"/>
        <w:autoSpaceDN w:val="0"/>
        <w:adjustRightInd w:val="0"/>
        <w:spacing w:after="0" w:line="240" w:lineRule="auto"/>
        <w:jc w:val="both"/>
        <w:rPr>
          <w:rFonts w:ascii="Verdana" w:hAnsi="Verdana"/>
          <w:sz w:val="20"/>
          <w:szCs w:val="20"/>
        </w:rPr>
      </w:pPr>
    </w:p>
    <w:p w:rsidR="00A376D7" w:rsidRPr="00996758" w:rsidRDefault="00A376D7" w:rsidP="00484279">
      <w:pPr>
        <w:numPr>
          <w:ilvl w:val="0"/>
          <w:numId w:val="10"/>
        </w:numPr>
        <w:pBdr>
          <w:top w:val="nil"/>
        </w:pBdr>
        <w:autoSpaceDE w:val="0"/>
        <w:autoSpaceDN w:val="0"/>
        <w:adjustRightInd w:val="0"/>
        <w:spacing w:after="0" w:line="240" w:lineRule="auto"/>
        <w:ind w:left="0" w:firstLine="0"/>
        <w:jc w:val="both"/>
        <w:rPr>
          <w:rFonts w:ascii="Verdana" w:hAnsi="Verdana" w:cs="Verdana"/>
          <w:bCs/>
          <w:sz w:val="20"/>
          <w:szCs w:val="20"/>
        </w:rPr>
      </w:pPr>
      <w:r w:rsidRPr="00996758">
        <w:rPr>
          <w:rFonts w:ascii="Verdana" w:hAnsi="Verdana" w:cs="Verdana"/>
          <w:bCs/>
          <w:sz w:val="20"/>
          <w:szCs w:val="20"/>
        </w:rPr>
        <w:t>E</w:t>
      </w:r>
      <w:r w:rsidR="004917FA" w:rsidRPr="00996758">
        <w:rPr>
          <w:rFonts w:ascii="Verdana" w:hAnsi="Verdana" w:cs="Verdana"/>
          <w:bCs/>
          <w:sz w:val="20"/>
          <w:szCs w:val="20"/>
        </w:rPr>
        <w:t>ste</w:t>
      </w:r>
      <w:r w:rsidRPr="00996758">
        <w:rPr>
          <w:rFonts w:ascii="Verdana" w:hAnsi="Verdana" w:cs="Verdana"/>
          <w:bCs/>
          <w:sz w:val="20"/>
          <w:szCs w:val="20"/>
        </w:rPr>
        <w:t xml:space="preserve"> Tribunal </w:t>
      </w:r>
      <w:r w:rsidR="00A17DB7" w:rsidRPr="00996758">
        <w:rPr>
          <w:rFonts w:ascii="Verdana" w:hAnsi="Verdana" w:cs="Verdana"/>
          <w:bCs/>
          <w:sz w:val="20"/>
          <w:szCs w:val="20"/>
        </w:rPr>
        <w:t>hace notar que las autoridades contencioso administrativas utilizaron</w:t>
      </w:r>
      <w:r w:rsidRPr="00996758">
        <w:rPr>
          <w:rFonts w:ascii="Verdana" w:hAnsi="Verdana" w:cs="Verdana"/>
          <w:bCs/>
          <w:sz w:val="20"/>
          <w:szCs w:val="20"/>
        </w:rPr>
        <w:t xml:space="preserve"> </w:t>
      </w:r>
      <w:r w:rsidR="00014509" w:rsidRPr="00996758">
        <w:rPr>
          <w:rFonts w:ascii="Verdana" w:hAnsi="Verdana" w:cs="Verdana"/>
          <w:bCs/>
          <w:sz w:val="20"/>
          <w:szCs w:val="20"/>
        </w:rPr>
        <w:t>básica</w:t>
      </w:r>
      <w:r w:rsidR="00A17DB7" w:rsidRPr="00996758">
        <w:rPr>
          <w:rFonts w:ascii="Verdana" w:hAnsi="Verdana" w:cs="Verdana"/>
          <w:bCs/>
          <w:sz w:val="20"/>
          <w:szCs w:val="20"/>
        </w:rPr>
        <w:t>mente el informe del comandante de policía y la condena penal impuesta en ausencia al señor Isaza Uribe para tener por demostrada la hipótesis de la fuga</w:t>
      </w:r>
      <w:r w:rsidR="004917FA" w:rsidRPr="00996758">
        <w:rPr>
          <w:rFonts w:ascii="Verdana" w:hAnsi="Verdana" w:cs="Verdana"/>
          <w:bCs/>
          <w:sz w:val="20"/>
          <w:szCs w:val="20"/>
        </w:rPr>
        <w:t xml:space="preserve">, sin considerar </w:t>
      </w:r>
      <w:r w:rsidR="007B148C" w:rsidRPr="00996758">
        <w:rPr>
          <w:rFonts w:ascii="Verdana" w:hAnsi="Verdana" w:cs="Verdana"/>
          <w:bCs/>
          <w:sz w:val="20"/>
          <w:szCs w:val="20"/>
        </w:rPr>
        <w:t xml:space="preserve">y </w:t>
      </w:r>
      <w:r w:rsidR="004917FA" w:rsidRPr="00996758">
        <w:rPr>
          <w:rFonts w:ascii="Verdana" w:hAnsi="Verdana" w:cs="Verdana"/>
          <w:bCs/>
          <w:sz w:val="20"/>
          <w:szCs w:val="20"/>
        </w:rPr>
        <w:t xml:space="preserve">descartar </w:t>
      </w:r>
      <w:r w:rsidR="00A17DB7" w:rsidRPr="00996758">
        <w:rPr>
          <w:rFonts w:ascii="Verdana" w:hAnsi="Verdana" w:cs="Verdana"/>
          <w:bCs/>
          <w:sz w:val="20"/>
          <w:szCs w:val="20"/>
        </w:rPr>
        <w:t>otras hipótesis sobre los hechos</w:t>
      </w:r>
      <w:r w:rsidR="0037563B" w:rsidRPr="00996758">
        <w:rPr>
          <w:rFonts w:ascii="Verdana" w:hAnsi="Verdana" w:cs="Verdana"/>
          <w:bCs/>
          <w:sz w:val="20"/>
          <w:szCs w:val="20"/>
        </w:rPr>
        <w:t xml:space="preserve">. </w:t>
      </w:r>
      <w:r w:rsidR="004917FA" w:rsidRPr="00996758">
        <w:rPr>
          <w:rFonts w:ascii="Verdana" w:hAnsi="Verdana" w:cs="Verdana"/>
          <w:bCs/>
          <w:sz w:val="20"/>
          <w:szCs w:val="20"/>
        </w:rPr>
        <w:t>Además</w:t>
      </w:r>
      <w:r w:rsidR="00077B26" w:rsidRPr="00996758">
        <w:rPr>
          <w:rFonts w:ascii="Verdana" w:hAnsi="Verdana" w:cs="Verdana"/>
          <w:bCs/>
          <w:sz w:val="20"/>
          <w:szCs w:val="20"/>
        </w:rPr>
        <w:t xml:space="preserve">, a pesar de declarar que la administración había fallado </w:t>
      </w:r>
      <w:r w:rsidR="00077B26" w:rsidRPr="00996758">
        <w:rPr>
          <w:rFonts w:ascii="Verdana" w:hAnsi="Verdana" w:cs="Verdana"/>
          <w:bCs/>
          <w:sz w:val="20"/>
          <w:szCs w:val="20"/>
        </w:rPr>
        <w:lastRenderedPageBreak/>
        <w:t xml:space="preserve">“en la vigilancia del detenido”, </w:t>
      </w:r>
      <w:r w:rsidR="00461406" w:rsidRPr="00996758">
        <w:rPr>
          <w:rFonts w:ascii="Verdana" w:hAnsi="Verdana" w:cs="Verdana"/>
          <w:bCs/>
          <w:sz w:val="20"/>
          <w:szCs w:val="20"/>
        </w:rPr>
        <w:t>la segunda</w:t>
      </w:r>
      <w:r w:rsidR="004917FA" w:rsidRPr="00996758">
        <w:rPr>
          <w:rFonts w:ascii="Verdana" w:hAnsi="Verdana" w:cs="Verdana"/>
          <w:bCs/>
          <w:sz w:val="20"/>
          <w:szCs w:val="20"/>
        </w:rPr>
        <w:t xml:space="preserve"> sentencia consideró</w:t>
      </w:r>
      <w:r w:rsidR="00077B26" w:rsidRPr="00996758">
        <w:rPr>
          <w:rFonts w:ascii="Verdana" w:hAnsi="Verdana" w:cs="Verdana"/>
          <w:bCs/>
          <w:sz w:val="20"/>
          <w:szCs w:val="20"/>
        </w:rPr>
        <w:t xml:space="preserve"> que opera</w:t>
      </w:r>
      <w:r w:rsidR="004917FA" w:rsidRPr="00996758">
        <w:rPr>
          <w:rFonts w:ascii="Verdana" w:hAnsi="Verdana" w:cs="Verdana"/>
          <w:bCs/>
          <w:sz w:val="20"/>
          <w:szCs w:val="20"/>
        </w:rPr>
        <w:t>ba</w:t>
      </w:r>
      <w:r w:rsidR="00077B26" w:rsidRPr="00996758">
        <w:rPr>
          <w:rFonts w:ascii="Verdana" w:hAnsi="Verdana" w:cs="Verdana"/>
          <w:bCs/>
          <w:sz w:val="20"/>
          <w:szCs w:val="20"/>
        </w:rPr>
        <w:t xml:space="preserve"> una inversión de la carga de la prueba para </w:t>
      </w:r>
      <w:r w:rsidR="004917FA" w:rsidRPr="00996758">
        <w:rPr>
          <w:rFonts w:ascii="Verdana" w:hAnsi="Verdana" w:cs="Verdana"/>
          <w:bCs/>
          <w:sz w:val="20"/>
          <w:szCs w:val="20"/>
        </w:rPr>
        <w:t>los</w:t>
      </w:r>
      <w:r w:rsidR="00077B26" w:rsidRPr="00996758">
        <w:rPr>
          <w:rFonts w:ascii="Verdana" w:hAnsi="Verdana" w:cs="Verdana"/>
          <w:bCs/>
          <w:sz w:val="20"/>
          <w:szCs w:val="20"/>
        </w:rPr>
        <w:t xml:space="preserve"> demandante</w:t>
      </w:r>
      <w:r w:rsidR="004917FA" w:rsidRPr="00996758">
        <w:rPr>
          <w:rFonts w:ascii="Verdana" w:hAnsi="Verdana" w:cs="Verdana"/>
          <w:bCs/>
          <w:sz w:val="20"/>
          <w:szCs w:val="20"/>
        </w:rPr>
        <w:t>s</w:t>
      </w:r>
      <w:r w:rsidR="00077B26" w:rsidRPr="00996758">
        <w:rPr>
          <w:rFonts w:ascii="Verdana" w:hAnsi="Verdana" w:cs="Verdana"/>
          <w:bCs/>
          <w:sz w:val="20"/>
          <w:szCs w:val="20"/>
        </w:rPr>
        <w:t xml:space="preserve"> (familiares de la persona desaparecida) de desvirtuar la hipótesis fáctica de la fuga, la cual fue por demás asumida y no demostrada</w:t>
      </w:r>
      <w:r w:rsidR="006038BB" w:rsidRPr="00996758">
        <w:rPr>
          <w:rFonts w:ascii="Verdana" w:hAnsi="Verdana" w:cs="Verdana"/>
          <w:bCs/>
          <w:sz w:val="20"/>
          <w:szCs w:val="20"/>
        </w:rPr>
        <w:t xml:space="preserve">. </w:t>
      </w:r>
    </w:p>
    <w:p w:rsidR="00134CE7" w:rsidRPr="00996758" w:rsidRDefault="00134CE7">
      <w:pPr>
        <w:pBdr>
          <w:top w:val="nil"/>
        </w:pBdr>
        <w:autoSpaceDE w:val="0"/>
        <w:autoSpaceDN w:val="0"/>
        <w:adjustRightInd w:val="0"/>
        <w:spacing w:after="0" w:line="240" w:lineRule="auto"/>
        <w:jc w:val="both"/>
        <w:rPr>
          <w:rFonts w:ascii="Verdana" w:hAnsi="Verdana" w:cs="Verdana"/>
          <w:bCs/>
          <w:sz w:val="20"/>
          <w:szCs w:val="20"/>
        </w:rPr>
      </w:pPr>
    </w:p>
    <w:p w:rsidR="001F4FAC" w:rsidRPr="00996758" w:rsidRDefault="00DE395C"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En definitiva</w:t>
      </w:r>
      <w:r w:rsidR="001F4FAC" w:rsidRPr="00996758">
        <w:rPr>
          <w:rFonts w:ascii="Verdana" w:hAnsi="Verdana" w:cs="Verdana"/>
          <w:bCs/>
          <w:sz w:val="20"/>
          <w:szCs w:val="20"/>
        </w:rPr>
        <w:t>, es pertinente señalar que el Alcalde Municipal de Puerto Nare manifestó que el señor Isaza había sido “sacado a la fuerza” de la cárcel y</w:t>
      </w:r>
      <w:r w:rsidR="0037563B" w:rsidRPr="00996758">
        <w:rPr>
          <w:rFonts w:ascii="Verdana" w:hAnsi="Verdana" w:cs="Verdana"/>
          <w:bCs/>
          <w:sz w:val="20"/>
          <w:szCs w:val="20"/>
        </w:rPr>
        <w:t xml:space="preserve"> que si bien la señora Carmenza Vélez manifestó que “ese rumor estaba sonando que la guerrilla iba a meterse a la cárcel a sacarlo”, también expresó que en su última visita a la cárcel </w:t>
      </w:r>
      <w:r w:rsidR="00937144" w:rsidRPr="00996758">
        <w:rPr>
          <w:rFonts w:ascii="Verdana" w:hAnsi="Verdana" w:cs="Verdana"/>
          <w:bCs/>
          <w:sz w:val="20"/>
          <w:szCs w:val="20"/>
        </w:rPr>
        <w:t>su esposo</w:t>
      </w:r>
      <w:r w:rsidR="0037563B" w:rsidRPr="00996758">
        <w:rPr>
          <w:rFonts w:ascii="Verdana" w:hAnsi="Verdana" w:cs="Verdana"/>
          <w:bCs/>
          <w:sz w:val="20"/>
          <w:szCs w:val="20"/>
        </w:rPr>
        <w:t xml:space="preserve"> le dijo </w:t>
      </w:r>
      <w:r w:rsidR="007052A2" w:rsidRPr="00996758">
        <w:rPr>
          <w:rFonts w:ascii="Verdana" w:hAnsi="Verdana" w:cs="Verdana"/>
          <w:bCs/>
          <w:sz w:val="20"/>
          <w:szCs w:val="20"/>
        </w:rPr>
        <w:t xml:space="preserve">que por eso </w:t>
      </w:r>
      <w:r w:rsidR="0037563B" w:rsidRPr="00996758">
        <w:rPr>
          <w:rFonts w:ascii="Verdana" w:hAnsi="Verdana" w:cs="Verdana"/>
          <w:bCs/>
          <w:sz w:val="20"/>
          <w:szCs w:val="20"/>
        </w:rPr>
        <w:t>“tenía miedo y que él no se dejaba sacar[, que] mejor se hacía matar”</w:t>
      </w:r>
      <w:r w:rsidR="007052A2" w:rsidRPr="00996758">
        <w:rPr>
          <w:rStyle w:val="FootnoteReference"/>
          <w:rFonts w:ascii="Verdana" w:hAnsi="Verdana" w:cs="Verdana"/>
          <w:bCs/>
          <w:sz w:val="20"/>
          <w:szCs w:val="20"/>
        </w:rPr>
        <w:footnoteReference w:id="113"/>
      </w:r>
      <w:r w:rsidR="0037563B" w:rsidRPr="00996758">
        <w:rPr>
          <w:rFonts w:ascii="Verdana" w:hAnsi="Verdana" w:cs="Verdana"/>
          <w:bCs/>
          <w:sz w:val="20"/>
          <w:szCs w:val="20"/>
        </w:rPr>
        <w:t>. E</w:t>
      </w:r>
      <w:r w:rsidR="001F4FAC" w:rsidRPr="00996758">
        <w:rPr>
          <w:rFonts w:ascii="Verdana" w:hAnsi="Verdana" w:cs="Verdana"/>
          <w:bCs/>
          <w:sz w:val="20"/>
          <w:szCs w:val="20"/>
        </w:rPr>
        <w:t>n efecto, el propio Estado manifestó, al definir los alcances de su reconocimiento de responsabilidad, que “</w:t>
      </w:r>
      <w:r w:rsidR="001F4FAC" w:rsidRPr="00996758">
        <w:rPr>
          <w:rFonts w:ascii="Verdana" w:hAnsi="Verdana"/>
          <w:sz w:val="20"/>
          <w:szCs w:val="20"/>
        </w:rPr>
        <w:t xml:space="preserve">personas no identificadas entraron a la cárcel y lo sustrajeron </w:t>
      </w:r>
      <w:r w:rsidR="001F4FAC" w:rsidRPr="00996758">
        <w:rPr>
          <w:rFonts w:ascii="Verdana" w:hAnsi="Verdana"/>
          <w:i/>
          <w:sz w:val="20"/>
          <w:szCs w:val="20"/>
        </w:rPr>
        <w:t>en contra de su voluntad</w:t>
      </w:r>
      <w:r w:rsidR="001F4FAC" w:rsidRPr="00996758">
        <w:rPr>
          <w:rFonts w:ascii="Verdana" w:hAnsi="Verdana" w:cs="Verdana"/>
          <w:bCs/>
          <w:sz w:val="20"/>
          <w:szCs w:val="20"/>
        </w:rPr>
        <w:t>” (</w:t>
      </w:r>
      <w:r w:rsidR="001F4FAC" w:rsidRPr="00996758">
        <w:rPr>
          <w:rFonts w:ascii="Verdana" w:hAnsi="Verdana" w:cs="Verdana"/>
          <w:bCs/>
          <w:i/>
          <w:sz w:val="20"/>
          <w:szCs w:val="20"/>
        </w:rPr>
        <w:t xml:space="preserve">supra </w:t>
      </w:r>
      <w:r w:rsidR="00F201AE" w:rsidRPr="00996758">
        <w:rPr>
          <w:rFonts w:ascii="Verdana" w:hAnsi="Verdana" w:cs="Verdana"/>
          <w:bCs/>
          <w:sz w:val="20"/>
          <w:szCs w:val="20"/>
        </w:rPr>
        <w:t>párr. 18</w:t>
      </w:r>
      <w:r w:rsidR="001F4FAC" w:rsidRPr="00996758">
        <w:rPr>
          <w:rFonts w:ascii="Verdana" w:hAnsi="Verdana" w:cs="Verdana"/>
          <w:bCs/>
          <w:sz w:val="20"/>
          <w:szCs w:val="20"/>
        </w:rPr>
        <w:t>). En atención a lo anterior, la Corte considera que la hipótesis de la fuga</w:t>
      </w:r>
      <w:r w:rsidR="00EA1660" w:rsidRPr="00996758">
        <w:rPr>
          <w:rFonts w:ascii="Verdana" w:hAnsi="Verdana" w:cs="Verdana"/>
          <w:bCs/>
          <w:sz w:val="20"/>
          <w:szCs w:val="20"/>
        </w:rPr>
        <w:t xml:space="preserve"> propiciada por particulares </w:t>
      </w:r>
      <w:r w:rsidR="0069772B" w:rsidRPr="00996758">
        <w:rPr>
          <w:rFonts w:ascii="Verdana" w:hAnsi="Verdana" w:cs="Verdana"/>
          <w:bCs/>
          <w:sz w:val="20"/>
          <w:szCs w:val="20"/>
        </w:rPr>
        <w:t>para ayudar</w:t>
      </w:r>
      <w:r w:rsidR="00EA1660" w:rsidRPr="00996758">
        <w:rPr>
          <w:rFonts w:ascii="Verdana" w:hAnsi="Verdana" w:cs="Verdana"/>
          <w:bCs/>
          <w:sz w:val="20"/>
          <w:szCs w:val="20"/>
        </w:rPr>
        <w:t xml:space="preserve"> al señor Isaza a evadir el cumplimiento de la condena que le sería posteriormente impuesta,</w:t>
      </w:r>
      <w:r w:rsidR="001F4FAC" w:rsidRPr="00996758">
        <w:rPr>
          <w:rFonts w:ascii="Verdana" w:hAnsi="Verdana" w:cs="Verdana"/>
          <w:bCs/>
          <w:sz w:val="20"/>
          <w:szCs w:val="20"/>
        </w:rPr>
        <w:t xml:space="preserve"> </w:t>
      </w:r>
      <w:r w:rsidR="004917FA" w:rsidRPr="00996758">
        <w:rPr>
          <w:rFonts w:ascii="Verdana" w:hAnsi="Verdana" w:cs="Verdana"/>
          <w:bCs/>
          <w:sz w:val="20"/>
          <w:szCs w:val="20"/>
        </w:rPr>
        <w:t xml:space="preserve">no </w:t>
      </w:r>
      <w:r w:rsidR="001F4FAC" w:rsidRPr="00996758">
        <w:rPr>
          <w:rFonts w:ascii="Verdana" w:hAnsi="Verdana" w:cs="Verdana"/>
          <w:bCs/>
          <w:sz w:val="20"/>
          <w:szCs w:val="20"/>
        </w:rPr>
        <w:t xml:space="preserve">es </w:t>
      </w:r>
      <w:r w:rsidR="004917FA" w:rsidRPr="00996758">
        <w:rPr>
          <w:rFonts w:ascii="Verdana" w:hAnsi="Verdana" w:cs="Verdana"/>
          <w:bCs/>
          <w:sz w:val="20"/>
          <w:szCs w:val="20"/>
        </w:rPr>
        <w:t xml:space="preserve">coherente con </w:t>
      </w:r>
      <w:r w:rsidR="001F4FAC" w:rsidRPr="00996758">
        <w:rPr>
          <w:rFonts w:ascii="Verdana" w:hAnsi="Verdana" w:cs="Verdana"/>
          <w:bCs/>
          <w:sz w:val="20"/>
          <w:szCs w:val="20"/>
        </w:rPr>
        <w:t xml:space="preserve">el hecho probado de que </w:t>
      </w:r>
      <w:r w:rsidR="0069772B" w:rsidRPr="00996758">
        <w:rPr>
          <w:rFonts w:ascii="Verdana" w:hAnsi="Verdana" w:cs="Verdana"/>
          <w:bCs/>
          <w:sz w:val="20"/>
          <w:szCs w:val="20"/>
        </w:rPr>
        <w:t>él fue sustraído</w:t>
      </w:r>
      <w:r w:rsidR="001F4FAC" w:rsidRPr="00996758">
        <w:rPr>
          <w:rFonts w:ascii="Verdana" w:hAnsi="Verdana" w:cs="Verdana"/>
          <w:bCs/>
          <w:sz w:val="20"/>
          <w:szCs w:val="20"/>
        </w:rPr>
        <w:t xml:space="preserve"> de la cárcel contra su voluntad.</w:t>
      </w:r>
      <w:r w:rsidR="004917FA" w:rsidRPr="00996758">
        <w:rPr>
          <w:rFonts w:ascii="Verdana" w:hAnsi="Verdana" w:cs="Verdana"/>
          <w:bCs/>
          <w:sz w:val="20"/>
          <w:szCs w:val="20"/>
        </w:rPr>
        <w:t xml:space="preserve"> </w:t>
      </w:r>
    </w:p>
    <w:p w:rsidR="001F4FAC" w:rsidRPr="00996758" w:rsidRDefault="001F4FAC">
      <w:pPr>
        <w:pBdr>
          <w:top w:val="nil"/>
        </w:pBdr>
        <w:autoSpaceDE w:val="0"/>
        <w:autoSpaceDN w:val="0"/>
        <w:adjustRightInd w:val="0"/>
        <w:spacing w:after="0" w:line="240" w:lineRule="auto"/>
        <w:jc w:val="both"/>
        <w:rPr>
          <w:rFonts w:ascii="Verdana" w:hAnsi="Verdana" w:cs="Verdana"/>
          <w:bCs/>
          <w:sz w:val="20"/>
          <w:szCs w:val="20"/>
        </w:rPr>
      </w:pPr>
    </w:p>
    <w:p w:rsidR="00C37702" w:rsidRPr="00996758" w:rsidRDefault="005E2113"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Por ende, </w:t>
      </w:r>
      <w:r w:rsidR="004E1408" w:rsidRPr="00996758">
        <w:rPr>
          <w:rFonts w:ascii="Verdana" w:hAnsi="Verdana" w:cs="Verdana"/>
          <w:bCs/>
          <w:sz w:val="20"/>
          <w:szCs w:val="20"/>
        </w:rPr>
        <w:t>la</w:t>
      </w:r>
      <w:r w:rsidRPr="00996758">
        <w:rPr>
          <w:rFonts w:ascii="Verdana" w:hAnsi="Verdana" w:cs="Verdana"/>
          <w:bCs/>
          <w:sz w:val="20"/>
          <w:szCs w:val="20"/>
        </w:rPr>
        <w:t xml:space="preserve"> hipótesis </w:t>
      </w:r>
      <w:r w:rsidR="004E1408" w:rsidRPr="00996758">
        <w:rPr>
          <w:rFonts w:ascii="Verdana" w:hAnsi="Verdana" w:cs="Verdana"/>
          <w:bCs/>
          <w:sz w:val="20"/>
          <w:szCs w:val="20"/>
        </w:rPr>
        <w:t>de la fuga</w:t>
      </w:r>
      <w:r w:rsidR="00FC60E4" w:rsidRPr="00996758">
        <w:rPr>
          <w:rFonts w:ascii="Verdana" w:hAnsi="Verdana" w:cs="Verdana"/>
          <w:bCs/>
          <w:sz w:val="20"/>
          <w:szCs w:val="20"/>
        </w:rPr>
        <w:t>, en ambos supuestos,</w:t>
      </w:r>
      <w:r w:rsidR="004E1408" w:rsidRPr="00996758">
        <w:rPr>
          <w:rFonts w:ascii="Verdana" w:hAnsi="Verdana" w:cs="Verdana"/>
          <w:bCs/>
          <w:sz w:val="20"/>
          <w:szCs w:val="20"/>
        </w:rPr>
        <w:t xml:space="preserve"> </w:t>
      </w:r>
      <w:r w:rsidR="002835E7" w:rsidRPr="00996758">
        <w:rPr>
          <w:rFonts w:ascii="Verdana" w:hAnsi="Verdana" w:cs="Verdana"/>
          <w:bCs/>
          <w:sz w:val="20"/>
          <w:szCs w:val="20"/>
        </w:rPr>
        <w:t>es incon</w:t>
      </w:r>
      <w:r w:rsidRPr="00996758">
        <w:rPr>
          <w:rFonts w:ascii="Verdana" w:hAnsi="Verdana" w:cs="Verdana"/>
          <w:bCs/>
          <w:sz w:val="20"/>
          <w:szCs w:val="20"/>
        </w:rPr>
        <w:t>s</w:t>
      </w:r>
      <w:r w:rsidR="002835E7" w:rsidRPr="00996758">
        <w:rPr>
          <w:rFonts w:ascii="Verdana" w:hAnsi="Verdana" w:cs="Verdana"/>
          <w:bCs/>
          <w:sz w:val="20"/>
          <w:szCs w:val="20"/>
        </w:rPr>
        <w:t>is</w:t>
      </w:r>
      <w:r w:rsidRPr="00996758">
        <w:rPr>
          <w:rFonts w:ascii="Verdana" w:hAnsi="Verdana" w:cs="Verdana"/>
          <w:bCs/>
          <w:sz w:val="20"/>
          <w:szCs w:val="20"/>
        </w:rPr>
        <w:t xml:space="preserve">tente </w:t>
      </w:r>
      <w:r w:rsidR="004917FA" w:rsidRPr="00996758">
        <w:rPr>
          <w:rFonts w:ascii="Verdana" w:hAnsi="Verdana" w:cs="Verdana"/>
          <w:bCs/>
          <w:sz w:val="20"/>
          <w:szCs w:val="20"/>
        </w:rPr>
        <w:t xml:space="preserve">según los elementos señalados y aportados en esta causa, por lo que </w:t>
      </w:r>
      <w:r w:rsidRPr="00996758">
        <w:rPr>
          <w:rFonts w:ascii="Verdana" w:hAnsi="Verdana" w:cs="Verdana"/>
          <w:bCs/>
          <w:sz w:val="20"/>
          <w:szCs w:val="20"/>
        </w:rPr>
        <w:t>no puede ser considerada</w:t>
      </w:r>
      <w:r w:rsidR="0006451D" w:rsidRPr="00996758">
        <w:rPr>
          <w:rFonts w:ascii="Verdana" w:hAnsi="Verdana" w:cs="Verdana"/>
          <w:bCs/>
          <w:sz w:val="20"/>
          <w:szCs w:val="20"/>
        </w:rPr>
        <w:t xml:space="preserve"> como una explicación razonable ac</w:t>
      </w:r>
      <w:r w:rsidR="0025259B" w:rsidRPr="00996758">
        <w:rPr>
          <w:rFonts w:ascii="Verdana" w:hAnsi="Verdana" w:cs="Verdana"/>
          <w:bCs/>
          <w:sz w:val="20"/>
          <w:szCs w:val="20"/>
        </w:rPr>
        <w:t>erca de lo sucedido frente a la</w:t>
      </w:r>
      <w:r w:rsidR="0006451D" w:rsidRPr="00996758">
        <w:rPr>
          <w:rFonts w:ascii="Verdana" w:hAnsi="Verdana" w:cs="Verdana"/>
          <w:bCs/>
          <w:sz w:val="20"/>
          <w:szCs w:val="20"/>
        </w:rPr>
        <w:t xml:space="preserve"> hipótesis que se analiza a continuación</w:t>
      </w:r>
      <w:r w:rsidRPr="00996758">
        <w:rPr>
          <w:rFonts w:ascii="Verdana" w:hAnsi="Verdana" w:cs="Verdana"/>
          <w:bCs/>
          <w:sz w:val="20"/>
          <w:szCs w:val="20"/>
        </w:rPr>
        <w:t>.</w:t>
      </w:r>
    </w:p>
    <w:p w:rsidR="00060118" w:rsidRPr="00996758" w:rsidRDefault="00060118">
      <w:pPr>
        <w:pStyle w:val="ListParagraph"/>
        <w:spacing w:after="0" w:line="240" w:lineRule="auto"/>
        <w:ind w:left="0"/>
        <w:jc w:val="both"/>
        <w:rPr>
          <w:rFonts w:ascii="Verdana" w:hAnsi="Verdana"/>
          <w:bCs/>
          <w:sz w:val="20"/>
          <w:szCs w:val="20"/>
        </w:rPr>
      </w:pPr>
    </w:p>
    <w:p w:rsidR="00111BE2" w:rsidRPr="00996758" w:rsidRDefault="00111BE2">
      <w:pPr>
        <w:pStyle w:val="ListParagraph"/>
        <w:spacing w:after="0" w:line="240" w:lineRule="auto"/>
        <w:ind w:left="0"/>
        <w:jc w:val="both"/>
        <w:rPr>
          <w:rFonts w:ascii="Verdana" w:hAnsi="Verdana"/>
          <w:bCs/>
          <w:sz w:val="20"/>
          <w:szCs w:val="20"/>
        </w:rPr>
      </w:pPr>
    </w:p>
    <w:p w:rsidR="006503E0" w:rsidRPr="00996758" w:rsidRDefault="00F544CE">
      <w:pPr>
        <w:pStyle w:val="ListParagraph"/>
        <w:numPr>
          <w:ilvl w:val="0"/>
          <w:numId w:val="21"/>
        </w:numPr>
        <w:pBdr>
          <w:top w:val="nil"/>
        </w:pBdr>
        <w:spacing w:after="0" w:line="240" w:lineRule="auto"/>
        <w:jc w:val="both"/>
        <w:rPr>
          <w:rFonts w:ascii="Verdana" w:hAnsi="Verdana" w:cs="Verdana"/>
          <w:b/>
          <w:bCs/>
          <w:i/>
          <w:sz w:val="20"/>
          <w:szCs w:val="20"/>
        </w:rPr>
      </w:pPr>
      <w:r w:rsidRPr="00996758">
        <w:rPr>
          <w:rFonts w:ascii="Verdana" w:hAnsi="Verdana" w:cs="Verdana"/>
          <w:b/>
          <w:bCs/>
          <w:i/>
          <w:sz w:val="20"/>
          <w:szCs w:val="20"/>
        </w:rPr>
        <w:t>D</w:t>
      </w:r>
      <w:r w:rsidR="00861D51" w:rsidRPr="00996758">
        <w:rPr>
          <w:rFonts w:ascii="Verdana" w:hAnsi="Verdana" w:cs="Verdana"/>
          <w:b/>
          <w:bCs/>
          <w:i/>
          <w:sz w:val="20"/>
          <w:szCs w:val="20"/>
        </w:rPr>
        <w:t>esaparición</w:t>
      </w:r>
      <w:r w:rsidR="00F54A77" w:rsidRPr="00996758">
        <w:rPr>
          <w:rFonts w:ascii="Verdana" w:hAnsi="Verdana" w:cs="Verdana"/>
          <w:b/>
          <w:bCs/>
          <w:i/>
          <w:sz w:val="20"/>
          <w:szCs w:val="20"/>
        </w:rPr>
        <w:t xml:space="preserve"> </w:t>
      </w:r>
      <w:r w:rsidR="000A30DD" w:rsidRPr="00996758">
        <w:rPr>
          <w:rFonts w:ascii="Verdana" w:hAnsi="Verdana" w:cs="Verdana"/>
          <w:b/>
          <w:bCs/>
          <w:i/>
          <w:sz w:val="20"/>
          <w:szCs w:val="20"/>
        </w:rPr>
        <w:t xml:space="preserve">forzada </w:t>
      </w:r>
      <w:r w:rsidR="00F54A77" w:rsidRPr="00996758">
        <w:rPr>
          <w:rFonts w:ascii="Verdana" w:hAnsi="Verdana" w:cs="Verdana"/>
          <w:b/>
          <w:bCs/>
          <w:i/>
          <w:sz w:val="20"/>
          <w:szCs w:val="20"/>
        </w:rPr>
        <w:t>del señor Isaza</w:t>
      </w:r>
      <w:r w:rsidR="00E64F77" w:rsidRPr="00996758">
        <w:rPr>
          <w:rFonts w:ascii="Verdana" w:hAnsi="Verdana" w:cs="Verdana"/>
          <w:b/>
          <w:bCs/>
          <w:i/>
          <w:sz w:val="20"/>
          <w:szCs w:val="20"/>
        </w:rPr>
        <w:t xml:space="preserve"> Uribe</w:t>
      </w:r>
      <w:r w:rsidR="00F54A77" w:rsidRPr="00996758">
        <w:rPr>
          <w:rFonts w:ascii="Verdana" w:hAnsi="Verdana" w:cs="Verdana"/>
          <w:b/>
          <w:bCs/>
          <w:i/>
          <w:sz w:val="20"/>
          <w:szCs w:val="20"/>
        </w:rPr>
        <w:t xml:space="preserve"> </w:t>
      </w:r>
      <w:r w:rsidR="00861D51" w:rsidRPr="00996758">
        <w:rPr>
          <w:rFonts w:ascii="Verdana" w:hAnsi="Verdana" w:cs="Verdana"/>
          <w:b/>
          <w:bCs/>
          <w:i/>
          <w:sz w:val="20"/>
          <w:szCs w:val="20"/>
        </w:rPr>
        <w:t>cometida por miembros d</w:t>
      </w:r>
      <w:r w:rsidR="00102B23" w:rsidRPr="00996758">
        <w:rPr>
          <w:rFonts w:ascii="Verdana" w:hAnsi="Verdana" w:cs="Verdana"/>
          <w:b/>
          <w:bCs/>
          <w:i/>
          <w:sz w:val="20"/>
          <w:szCs w:val="20"/>
        </w:rPr>
        <w:t>e grupos paramilitares</w:t>
      </w:r>
      <w:r w:rsidR="004B5C59" w:rsidRPr="00996758">
        <w:rPr>
          <w:rFonts w:ascii="Verdana" w:hAnsi="Verdana" w:cs="Verdana"/>
          <w:b/>
          <w:bCs/>
          <w:i/>
          <w:sz w:val="20"/>
          <w:szCs w:val="20"/>
        </w:rPr>
        <w:t xml:space="preserve"> </w:t>
      </w:r>
    </w:p>
    <w:p w:rsidR="00B80A71" w:rsidRPr="00996758" w:rsidRDefault="00B80A71">
      <w:pPr>
        <w:pBdr>
          <w:top w:val="nil"/>
        </w:pBdr>
        <w:autoSpaceDE w:val="0"/>
        <w:autoSpaceDN w:val="0"/>
        <w:adjustRightInd w:val="0"/>
        <w:spacing w:after="0" w:line="240" w:lineRule="auto"/>
        <w:jc w:val="both"/>
        <w:rPr>
          <w:rFonts w:ascii="Verdana" w:hAnsi="Verdana" w:cs="Verdana"/>
          <w:bCs/>
          <w:sz w:val="20"/>
          <w:szCs w:val="20"/>
        </w:rPr>
      </w:pPr>
    </w:p>
    <w:p w:rsidR="00861D51" w:rsidRPr="00996758" w:rsidRDefault="00861D51" w:rsidP="00861D51">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Según fue señalado, la Comisión y los representantes </w:t>
      </w:r>
      <w:r w:rsidR="001936CF" w:rsidRPr="00996758">
        <w:rPr>
          <w:rFonts w:ascii="Verdana" w:hAnsi="Verdana" w:cs="Verdana"/>
          <w:bCs/>
          <w:sz w:val="20"/>
          <w:szCs w:val="20"/>
        </w:rPr>
        <w:t xml:space="preserve">sostienen </w:t>
      </w:r>
      <w:r w:rsidRPr="00996758">
        <w:rPr>
          <w:rFonts w:ascii="Verdana" w:hAnsi="Verdana" w:cs="Verdana"/>
          <w:bCs/>
          <w:sz w:val="20"/>
          <w:szCs w:val="20"/>
        </w:rPr>
        <w:t>que la desaparición forzada del señor Isaza Uribe fue cometida por paramilitares que actuaron con aquiescencia de agentes estatales</w:t>
      </w:r>
      <w:r w:rsidR="001936CF" w:rsidRPr="00996758">
        <w:rPr>
          <w:rFonts w:ascii="Verdana" w:hAnsi="Verdana" w:cs="Verdana"/>
          <w:bCs/>
          <w:sz w:val="20"/>
          <w:szCs w:val="20"/>
        </w:rPr>
        <w:t xml:space="preserve"> porque</w:t>
      </w:r>
      <w:r w:rsidR="0025259B" w:rsidRPr="00996758">
        <w:rPr>
          <w:rFonts w:ascii="Verdana" w:hAnsi="Verdana" w:cs="Verdana"/>
          <w:bCs/>
          <w:sz w:val="20"/>
          <w:szCs w:val="20"/>
        </w:rPr>
        <w:t xml:space="preserve"> </w:t>
      </w:r>
      <w:r w:rsidRPr="00996758">
        <w:rPr>
          <w:rFonts w:ascii="Verdana" w:hAnsi="Verdana" w:cs="Verdana"/>
          <w:bCs/>
          <w:sz w:val="20"/>
          <w:szCs w:val="20"/>
        </w:rPr>
        <w:t xml:space="preserve">operaban </w:t>
      </w:r>
      <w:r w:rsidR="001936CF" w:rsidRPr="00996758">
        <w:rPr>
          <w:rFonts w:ascii="Verdana" w:hAnsi="Verdana" w:cs="Verdana"/>
          <w:bCs/>
          <w:sz w:val="20"/>
          <w:szCs w:val="20"/>
        </w:rPr>
        <w:t xml:space="preserve">unos contextos </w:t>
      </w:r>
      <w:r w:rsidRPr="00996758">
        <w:rPr>
          <w:rFonts w:ascii="Verdana" w:hAnsi="Verdana" w:cs="Verdana"/>
          <w:bCs/>
          <w:sz w:val="20"/>
          <w:szCs w:val="20"/>
        </w:rPr>
        <w:t xml:space="preserve">de manera concurrente y coincidente temporal y geográficamente con el hecho, a saber: paramilitarismo en Puerto Nare y vínculos con agentes estatales, así como la violencia contra miembros del SUTIMAC y de la UP y los marcos normativos que lo sustentaban o propiciaban. </w:t>
      </w:r>
    </w:p>
    <w:p w:rsidR="00861D51" w:rsidRPr="00996758" w:rsidRDefault="00861D51" w:rsidP="00861D51">
      <w:pPr>
        <w:pBdr>
          <w:top w:val="nil"/>
        </w:pBdr>
        <w:spacing w:after="0" w:line="240" w:lineRule="auto"/>
        <w:jc w:val="both"/>
        <w:rPr>
          <w:rFonts w:ascii="Verdana" w:hAnsi="Verdana" w:cs="Verdana"/>
          <w:bCs/>
          <w:sz w:val="20"/>
          <w:szCs w:val="20"/>
        </w:rPr>
      </w:pPr>
    </w:p>
    <w:p w:rsidR="00B80A71" w:rsidRPr="00996758" w:rsidRDefault="00861D51"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El Estado alegó que las pruebas no son “totalmente concluyentes”, generan “dudas razonables” y que no existen elementos, más allá de los contextuales, que permitan atribuir responsabilidad al Estado en razón de la alegada aquiescencia entre agentes estatales y el grupo armado que ingresó a la cárcel.</w:t>
      </w:r>
      <w:r w:rsidR="004E09CE" w:rsidRPr="00996758">
        <w:rPr>
          <w:rFonts w:ascii="Verdana" w:hAnsi="Verdana" w:cs="Verdana"/>
          <w:bCs/>
          <w:sz w:val="20"/>
          <w:szCs w:val="20"/>
        </w:rPr>
        <w:t xml:space="preserve"> </w:t>
      </w:r>
      <w:r w:rsidRPr="00996758">
        <w:rPr>
          <w:rFonts w:ascii="Verdana" w:hAnsi="Verdana" w:cs="Verdana"/>
          <w:bCs/>
          <w:sz w:val="20"/>
          <w:szCs w:val="20"/>
        </w:rPr>
        <w:t>A su vez, en sus alegatos finales y e</w:t>
      </w:r>
      <w:r w:rsidR="004D196A" w:rsidRPr="00996758">
        <w:rPr>
          <w:rFonts w:ascii="Verdana" w:hAnsi="Verdana"/>
          <w:sz w:val="20"/>
          <w:szCs w:val="20"/>
        </w:rPr>
        <w:t>n relación con su reconocimiento, el Estado señaló que</w:t>
      </w:r>
      <w:r w:rsidR="00C932E4" w:rsidRPr="00996758">
        <w:rPr>
          <w:rFonts w:ascii="Verdana" w:hAnsi="Verdana"/>
          <w:sz w:val="20"/>
          <w:szCs w:val="20"/>
        </w:rPr>
        <w:t xml:space="preserve"> la </w:t>
      </w:r>
      <w:r w:rsidR="004D196A" w:rsidRPr="00996758">
        <w:rPr>
          <w:rFonts w:ascii="Verdana" w:hAnsi="Verdana"/>
          <w:sz w:val="20"/>
          <w:szCs w:val="20"/>
        </w:rPr>
        <w:t xml:space="preserve">hipótesis </w:t>
      </w:r>
      <w:r w:rsidR="00C932E4" w:rsidRPr="00996758">
        <w:rPr>
          <w:rFonts w:ascii="Verdana" w:hAnsi="Verdana"/>
          <w:sz w:val="20"/>
          <w:szCs w:val="20"/>
        </w:rPr>
        <w:t>“</w:t>
      </w:r>
      <w:r w:rsidR="004D196A" w:rsidRPr="00996758">
        <w:rPr>
          <w:rFonts w:ascii="Verdana" w:hAnsi="Verdana"/>
          <w:sz w:val="20"/>
          <w:szCs w:val="20"/>
        </w:rPr>
        <w:t>más fuerte hasta el momento versa sobre la participación de actores privados que sustrajeron al señor Isaza”. El Estado no aclaró si al decir “actores privados” se refería a unos sicarios</w:t>
      </w:r>
      <w:r w:rsidR="004E09CE" w:rsidRPr="00996758">
        <w:rPr>
          <w:rFonts w:ascii="Verdana" w:hAnsi="Verdana"/>
          <w:sz w:val="20"/>
          <w:szCs w:val="20"/>
        </w:rPr>
        <w:t>, a otros particulares</w:t>
      </w:r>
      <w:r w:rsidR="004D196A" w:rsidRPr="00996758">
        <w:rPr>
          <w:rFonts w:ascii="Verdana" w:hAnsi="Verdana"/>
          <w:sz w:val="20"/>
          <w:szCs w:val="20"/>
        </w:rPr>
        <w:t xml:space="preserve"> o </w:t>
      </w:r>
      <w:r w:rsidR="004E09CE" w:rsidRPr="00996758">
        <w:rPr>
          <w:rFonts w:ascii="Verdana" w:hAnsi="Verdana"/>
          <w:sz w:val="20"/>
          <w:szCs w:val="20"/>
        </w:rPr>
        <w:t xml:space="preserve">a </w:t>
      </w:r>
      <w:r w:rsidR="004D196A" w:rsidRPr="00996758">
        <w:rPr>
          <w:rFonts w:ascii="Verdana" w:hAnsi="Verdana"/>
          <w:sz w:val="20"/>
          <w:szCs w:val="20"/>
        </w:rPr>
        <w:t>miembros de grupos paramilitares que habrían actuado c</w:t>
      </w:r>
      <w:r w:rsidR="00B91832" w:rsidRPr="00996758">
        <w:rPr>
          <w:rFonts w:ascii="Verdana" w:hAnsi="Verdana"/>
          <w:sz w:val="20"/>
          <w:szCs w:val="20"/>
        </w:rPr>
        <w:t>omo tales, pero señaló, a</w:t>
      </w:r>
      <w:r w:rsidR="004D196A" w:rsidRPr="00996758">
        <w:rPr>
          <w:rFonts w:ascii="Verdana" w:hAnsi="Verdana"/>
          <w:sz w:val="20"/>
          <w:szCs w:val="20"/>
        </w:rPr>
        <w:t xml:space="preserve"> la vez, </w:t>
      </w:r>
      <w:r w:rsidR="0035409B" w:rsidRPr="00996758">
        <w:rPr>
          <w:rFonts w:ascii="Verdana" w:hAnsi="Verdana" w:cs="Verdana"/>
          <w:bCs/>
          <w:sz w:val="20"/>
          <w:szCs w:val="20"/>
        </w:rPr>
        <w:t xml:space="preserve">que </w:t>
      </w:r>
      <w:r w:rsidR="004D196A" w:rsidRPr="00996758">
        <w:rPr>
          <w:rFonts w:ascii="Verdana" w:hAnsi="Verdana" w:cs="Verdana"/>
          <w:bCs/>
          <w:sz w:val="20"/>
          <w:szCs w:val="20"/>
        </w:rPr>
        <w:t xml:space="preserve">una de las </w:t>
      </w:r>
      <w:r w:rsidR="00B80A71" w:rsidRPr="00996758">
        <w:rPr>
          <w:rFonts w:ascii="Verdana" w:hAnsi="Verdana" w:cs="Verdana"/>
          <w:bCs/>
          <w:sz w:val="20"/>
          <w:szCs w:val="20"/>
        </w:rPr>
        <w:t>hipótesis</w:t>
      </w:r>
      <w:r w:rsidR="004D196A" w:rsidRPr="00996758">
        <w:rPr>
          <w:rFonts w:ascii="Verdana" w:hAnsi="Verdana" w:cs="Verdana"/>
          <w:bCs/>
          <w:sz w:val="20"/>
          <w:szCs w:val="20"/>
        </w:rPr>
        <w:t xml:space="preserve"> sería una represalia o </w:t>
      </w:r>
      <w:r w:rsidR="004D196A" w:rsidRPr="00996758">
        <w:rPr>
          <w:rFonts w:ascii="Verdana" w:hAnsi="Verdana"/>
          <w:sz w:val="20"/>
          <w:szCs w:val="20"/>
        </w:rPr>
        <w:t xml:space="preserve">venganza particular por el </w:t>
      </w:r>
      <w:r w:rsidR="005C7CAE" w:rsidRPr="00996758">
        <w:rPr>
          <w:rFonts w:ascii="Verdana" w:hAnsi="Verdana"/>
          <w:sz w:val="20"/>
          <w:szCs w:val="20"/>
        </w:rPr>
        <w:t xml:space="preserve">referido </w:t>
      </w:r>
      <w:r w:rsidR="004D196A" w:rsidRPr="00996758">
        <w:rPr>
          <w:rFonts w:ascii="Verdana" w:hAnsi="Verdana"/>
          <w:sz w:val="20"/>
          <w:szCs w:val="20"/>
        </w:rPr>
        <w:t xml:space="preserve">homicidio </w:t>
      </w:r>
      <w:r w:rsidR="00744CFC" w:rsidRPr="00996758">
        <w:rPr>
          <w:rFonts w:ascii="Verdana" w:hAnsi="Verdana"/>
          <w:sz w:val="20"/>
          <w:szCs w:val="20"/>
        </w:rPr>
        <w:t>del señor Hum</w:t>
      </w:r>
      <w:r w:rsidR="0025259B" w:rsidRPr="00996758">
        <w:rPr>
          <w:rFonts w:ascii="Verdana" w:hAnsi="Verdana"/>
          <w:sz w:val="20"/>
          <w:szCs w:val="20"/>
        </w:rPr>
        <w:t>berto García</w:t>
      </w:r>
      <w:r w:rsidR="00C10EB2" w:rsidRPr="00996758">
        <w:rPr>
          <w:rFonts w:ascii="Verdana" w:hAnsi="Verdana"/>
          <w:sz w:val="20"/>
          <w:szCs w:val="20"/>
        </w:rPr>
        <w:t xml:space="preserve"> </w:t>
      </w:r>
      <w:r w:rsidR="0025259B" w:rsidRPr="00996758">
        <w:rPr>
          <w:rFonts w:ascii="Verdana" w:hAnsi="Verdana"/>
          <w:sz w:val="20"/>
          <w:szCs w:val="20"/>
        </w:rPr>
        <w:t xml:space="preserve">, </w:t>
      </w:r>
      <w:r w:rsidR="004D196A" w:rsidRPr="00996758">
        <w:rPr>
          <w:rFonts w:ascii="Verdana" w:hAnsi="Verdana"/>
          <w:sz w:val="20"/>
          <w:szCs w:val="20"/>
        </w:rPr>
        <w:t>por el</w:t>
      </w:r>
      <w:r w:rsidR="004D196A" w:rsidRPr="00996758">
        <w:rPr>
          <w:rFonts w:ascii="Verdana" w:hAnsi="Verdana" w:cs="Verdana"/>
          <w:bCs/>
          <w:sz w:val="20"/>
          <w:szCs w:val="20"/>
        </w:rPr>
        <w:t xml:space="preserve"> que se acusaba</w:t>
      </w:r>
      <w:r w:rsidR="00B80A71" w:rsidRPr="00996758">
        <w:rPr>
          <w:rFonts w:ascii="Verdana" w:hAnsi="Verdana" w:cs="Verdana"/>
          <w:bCs/>
          <w:sz w:val="20"/>
          <w:szCs w:val="20"/>
        </w:rPr>
        <w:t xml:space="preserve"> </w:t>
      </w:r>
      <w:r w:rsidR="0035409B" w:rsidRPr="00996758">
        <w:rPr>
          <w:rFonts w:ascii="Verdana" w:hAnsi="Verdana" w:cs="Verdana"/>
          <w:bCs/>
          <w:sz w:val="20"/>
          <w:szCs w:val="20"/>
        </w:rPr>
        <w:t>al señor Isaza Uribe</w:t>
      </w:r>
      <w:r w:rsidR="00744CFC" w:rsidRPr="00996758">
        <w:rPr>
          <w:rFonts w:ascii="Verdana" w:hAnsi="Verdana" w:cs="Verdana"/>
          <w:bCs/>
          <w:sz w:val="20"/>
          <w:szCs w:val="20"/>
        </w:rPr>
        <w:t>,</w:t>
      </w:r>
      <w:r w:rsidR="0035409B" w:rsidRPr="00996758">
        <w:rPr>
          <w:rFonts w:ascii="Verdana" w:hAnsi="Verdana" w:cs="Verdana"/>
          <w:bCs/>
          <w:sz w:val="20"/>
          <w:szCs w:val="20"/>
        </w:rPr>
        <w:t xml:space="preserve"> y que ello</w:t>
      </w:r>
      <w:r w:rsidR="004D196A" w:rsidRPr="00996758">
        <w:rPr>
          <w:rFonts w:ascii="Verdana" w:hAnsi="Verdana" w:cs="Verdana"/>
          <w:bCs/>
          <w:sz w:val="20"/>
          <w:szCs w:val="20"/>
        </w:rPr>
        <w:t xml:space="preserve"> </w:t>
      </w:r>
      <w:r w:rsidR="00B80A71" w:rsidRPr="00996758">
        <w:rPr>
          <w:rFonts w:ascii="Verdana" w:hAnsi="Verdana" w:cs="Verdana"/>
          <w:bCs/>
          <w:sz w:val="20"/>
          <w:szCs w:val="20"/>
        </w:rPr>
        <w:t>se sustentaría</w:t>
      </w:r>
      <w:r w:rsidRPr="00996758">
        <w:rPr>
          <w:rFonts w:ascii="Verdana" w:hAnsi="Verdana" w:cs="Verdana"/>
          <w:bCs/>
          <w:sz w:val="20"/>
          <w:szCs w:val="20"/>
        </w:rPr>
        <w:t>, entre otras,</w:t>
      </w:r>
      <w:r w:rsidR="00B80A71" w:rsidRPr="00996758">
        <w:rPr>
          <w:rFonts w:ascii="Verdana" w:hAnsi="Verdana" w:cs="Verdana"/>
          <w:bCs/>
          <w:sz w:val="20"/>
          <w:szCs w:val="20"/>
        </w:rPr>
        <w:t xml:space="preserve"> en la propia declarac</w:t>
      </w:r>
      <w:r w:rsidRPr="00996758">
        <w:rPr>
          <w:rFonts w:ascii="Verdana" w:hAnsi="Verdana" w:cs="Verdana"/>
          <w:bCs/>
          <w:sz w:val="20"/>
          <w:szCs w:val="20"/>
        </w:rPr>
        <w:t>ión de la señora Carmenza Vélez</w:t>
      </w:r>
      <w:r w:rsidR="00744CFC" w:rsidRPr="00996758">
        <w:rPr>
          <w:rStyle w:val="FootnoteReference"/>
          <w:rFonts w:ascii="Verdana" w:hAnsi="Verdana" w:cs="Verdana"/>
          <w:bCs/>
          <w:sz w:val="20"/>
          <w:szCs w:val="20"/>
        </w:rPr>
        <w:footnoteReference w:id="114"/>
      </w:r>
      <w:r w:rsidR="003B3CD6" w:rsidRPr="00996758">
        <w:rPr>
          <w:rFonts w:ascii="Verdana" w:hAnsi="Verdana" w:cs="Verdana"/>
          <w:bCs/>
          <w:sz w:val="20"/>
          <w:szCs w:val="20"/>
        </w:rPr>
        <w:t>.</w:t>
      </w:r>
    </w:p>
    <w:p w:rsidR="00D85BB9" w:rsidRPr="00996758" w:rsidRDefault="00D85BB9">
      <w:pPr>
        <w:pBdr>
          <w:top w:val="nil"/>
        </w:pBdr>
        <w:spacing w:after="0" w:line="240" w:lineRule="auto"/>
        <w:jc w:val="both"/>
        <w:rPr>
          <w:rFonts w:ascii="Verdana" w:hAnsi="Verdana" w:cs="Verdana"/>
          <w:bCs/>
          <w:sz w:val="20"/>
          <w:szCs w:val="20"/>
        </w:rPr>
      </w:pPr>
    </w:p>
    <w:p w:rsidR="00D85BB9" w:rsidRPr="00996758" w:rsidRDefault="00744CFC" w:rsidP="00484279">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lastRenderedPageBreak/>
        <w:t xml:space="preserve">Al respecto, </w:t>
      </w:r>
      <w:r w:rsidR="00C932E4" w:rsidRPr="00996758">
        <w:rPr>
          <w:rFonts w:ascii="Verdana" w:hAnsi="Verdana" w:cs="Verdana"/>
          <w:bCs/>
          <w:sz w:val="20"/>
          <w:szCs w:val="20"/>
        </w:rPr>
        <w:t xml:space="preserve">se </w:t>
      </w:r>
      <w:r w:rsidR="00B15AA5" w:rsidRPr="00996758">
        <w:rPr>
          <w:rFonts w:ascii="Verdana" w:hAnsi="Verdana" w:cs="Verdana"/>
          <w:bCs/>
          <w:sz w:val="20"/>
          <w:szCs w:val="20"/>
        </w:rPr>
        <w:t>hace notar que</w:t>
      </w:r>
      <w:r w:rsidR="0025259B" w:rsidRPr="00996758">
        <w:rPr>
          <w:rFonts w:ascii="Verdana" w:hAnsi="Verdana" w:cs="Verdana"/>
          <w:bCs/>
          <w:sz w:val="20"/>
          <w:szCs w:val="20"/>
        </w:rPr>
        <w:t>, en sus declaraciones, la señora Vélez y el señor Jhony Alexander Isaza Vélez</w:t>
      </w:r>
      <w:r w:rsidR="0025259B" w:rsidRPr="00996758">
        <w:rPr>
          <w:rStyle w:val="FootnoteReference"/>
          <w:rFonts w:ascii="Verdana" w:hAnsi="Verdana" w:cs="Verdana"/>
          <w:bCs/>
          <w:sz w:val="20"/>
          <w:szCs w:val="20"/>
        </w:rPr>
        <w:footnoteReference w:id="115"/>
      </w:r>
      <w:r w:rsidR="007C78EE" w:rsidRPr="00996758">
        <w:rPr>
          <w:rFonts w:ascii="Verdana" w:hAnsi="Verdana" w:cs="Verdana"/>
          <w:bCs/>
          <w:sz w:val="20"/>
          <w:szCs w:val="20"/>
        </w:rPr>
        <w:t xml:space="preserve">, </w:t>
      </w:r>
      <w:r w:rsidR="0025259B" w:rsidRPr="00996758">
        <w:rPr>
          <w:rFonts w:ascii="Verdana" w:hAnsi="Verdana" w:cs="Verdana"/>
          <w:bCs/>
          <w:sz w:val="20"/>
          <w:szCs w:val="20"/>
        </w:rPr>
        <w:t xml:space="preserve">hijo del señor Isaza Uribe, </w:t>
      </w:r>
      <w:r w:rsidR="00E07F91" w:rsidRPr="00996758">
        <w:rPr>
          <w:rFonts w:ascii="Verdana" w:hAnsi="Verdana" w:cs="Verdana"/>
          <w:bCs/>
          <w:sz w:val="20"/>
          <w:szCs w:val="20"/>
        </w:rPr>
        <w:t xml:space="preserve">relacionaron </w:t>
      </w:r>
      <w:r w:rsidR="00055A51" w:rsidRPr="00996758">
        <w:rPr>
          <w:rFonts w:ascii="Verdana" w:hAnsi="Verdana" w:cs="Verdana"/>
          <w:bCs/>
          <w:sz w:val="20"/>
          <w:szCs w:val="20"/>
        </w:rPr>
        <w:t xml:space="preserve">la desaparición de </w:t>
      </w:r>
      <w:r w:rsidR="00E07F91" w:rsidRPr="00996758">
        <w:rPr>
          <w:rFonts w:ascii="Verdana" w:hAnsi="Verdana" w:cs="Verdana"/>
          <w:bCs/>
          <w:sz w:val="20"/>
          <w:szCs w:val="20"/>
        </w:rPr>
        <w:t xml:space="preserve">éste con </w:t>
      </w:r>
      <w:r w:rsidR="00E74E91" w:rsidRPr="00996758">
        <w:rPr>
          <w:rFonts w:ascii="Verdana" w:hAnsi="Verdana" w:cs="Verdana"/>
          <w:bCs/>
          <w:sz w:val="20"/>
          <w:szCs w:val="20"/>
        </w:rPr>
        <w:t>el homicidio del señor García</w:t>
      </w:r>
      <w:r w:rsidR="006B3574" w:rsidRPr="00996758">
        <w:rPr>
          <w:rFonts w:ascii="Verdana" w:hAnsi="Verdana" w:cs="Verdana"/>
          <w:bCs/>
          <w:sz w:val="20"/>
          <w:szCs w:val="20"/>
        </w:rPr>
        <w:t>,</w:t>
      </w:r>
      <w:r w:rsidR="0025259B" w:rsidRPr="00996758">
        <w:rPr>
          <w:rFonts w:ascii="Verdana" w:hAnsi="Verdana" w:cs="Verdana"/>
          <w:bCs/>
          <w:sz w:val="20"/>
          <w:szCs w:val="20"/>
        </w:rPr>
        <w:t xml:space="preserve"> pero </w:t>
      </w:r>
      <w:r w:rsidR="006B3574" w:rsidRPr="00996758">
        <w:rPr>
          <w:rFonts w:ascii="Verdana" w:hAnsi="Verdana" w:cs="Verdana"/>
          <w:bCs/>
          <w:sz w:val="20"/>
          <w:szCs w:val="20"/>
        </w:rPr>
        <w:t xml:space="preserve">lo hicieron </w:t>
      </w:r>
      <w:r w:rsidR="005C7CAE" w:rsidRPr="00996758">
        <w:rPr>
          <w:rFonts w:ascii="Verdana" w:hAnsi="Verdana" w:cs="Verdana"/>
          <w:bCs/>
          <w:sz w:val="20"/>
          <w:szCs w:val="20"/>
        </w:rPr>
        <w:t xml:space="preserve">con base en </w:t>
      </w:r>
      <w:r w:rsidR="009116B4" w:rsidRPr="00996758">
        <w:rPr>
          <w:rFonts w:ascii="Verdana" w:hAnsi="Verdana" w:cs="Verdana"/>
          <w:bCs/>
          <w:sz w:val="20"/>
          <w:szCs w:val="20"/>
        </w:rPr>
        <w:t xml:space="preserve">un </w:t>
      </w:r>
      <w:r w:rsidR="00055A51" w:rsidRPr="00996758">
        <w:rPr>
          <w:rFonts w:ascii="Verdana" w:hAnsi="Verdana" w:cs="Verdana"/>
          <w:bCs/>
          <w:sz w:val="20"/>
          <w:szCs w:val="20"/>
        </w:rPr>
        <w:t>supuesto vínculo que éste te</w:t>
      </w:r>
      <w:r w:rsidR="00E07F91" w:rsidRPr="00996758">
        <w:rPr>
          <w:rFonts w:ascii="Verdana" w:hAnsi="Verdana" w:cs="Verdana"/>
          <w:bCs/>
          <w:sz w:val="20"/>
          <w:szCs w:val="20"/>
        </w:rPr>
        <w:t xml:space="preserve">ndría con grupos paramilitares o por una </w:t>
      </w:r>
      <w:r w:rsidR="00C10EB2" w:rsidRPr="00996758">
        <w:rPr>
          <w:rFonts w:ascii="Verdana" w:hAnsi="Verdana" w:cs="Verdana"/>
          <w:bCs/>
          <w:sz w:val="20"/>
          <w:szCs w:val="20"/>
        </w:rPr>
        <w:t xml:space="preserve">supuesta </w:t>
      </w:r>
      <w:r w:rsidR="00E07F91" w:rsidRPr="00996758">
        <w:rPr>
          <w:rFonts w:ascii="Verdana" w:hAnsi="Verdana" w:cs="Verdana"/>
          <w:bCs/>
          <w:sz w:val="20"/>
          <w:szCs w:val="20"/>
        </w:rPr>
        <w:t>amenaza de muerte proferida por éste contra Isaza.</w:t>
      </w:r>
    </w:p>
    <w:p w:rsidR="00BB2BD6" w:rsidRPr="00996758" w:rsidRDefault="00BB2BD6">
      <w:pPr>
        <w:pBdr>
          <w:top w:val="nil"/>
        </w:pBdr>
        <w:spacing w:after="0" w:line="240" w:lineRule="auto"/>
        <w:jc w:val="both"/>
        <w:rPr>
          <w:rFonts w:ascii="Verdana" w:hAnsi="Verdana" w:cs="Verdana"/>
          <w:bCs/>
          <w:sz w:val="20"/>
          <w:szCs w:val="20"/>
        </w:rPr>
      </w:pPr>
    </w:p>
    <w:p w:rsidR="00B33A80" w:rsidRPr="00996758" w:rsidRDefault="007C78EE" w:rsidP="00484279">
      <w:pPr>
        <w:pStyle w:val="ListParagraph"/>
        <w:numPr>
          <w:ilvl w:val="0"/>
          <w:numId w:val="10"/>
        </w:numPr>
        <w:spacing w:after="0" w:line="240" w:lineRule="auto"/>
        <w:ind w:left="0" w:firstLine="0"/>
        <w:jc w:val="both"/>
        <w:rPr>
          <w:rFonts w:ascii="Verdana" w:hAnsi="Verdana"/>
          <w:sz w:val="20"/>
          <w:szCs w:val="20"/>
        </w:rPr>
      </w:pPr>
      <w:r w:rsidRPr="00996758">
        <w:rPr>
          <w:rFonts w:ascii="Verdana" w:eastAsia="Batang" w:hAnsi="Verdana" w:cs="Times"/>
          <w:sz w:val="20"/>
          <w:szCs w:val="20"/>
        </w:rPr>
        <w:t xml:space="preserve">Puesto </w:t>
      </w:r>
      <w:r w:rsidR="00055A51" w:rsidRPr="00996758">
        <w:rPr>
          <w:rFonts w:ascii="Verdana" w:hAnsi="Verdana"/>
          <w:sz w:val="20"/>
          <w:szCs w:val="20"/>
        </w:rPr>
        <w:t>que la responsabilidad de los Estados bajo la Convención no debe ser confundida con la responsabilidad criminal de individuos particulares</w:t>
      </w:r>
      <w:r w:rsidR="00C932E4" w:rsidRPr="00996758">
        <w:rPr>
          <w:rFonts w:ascii="Verdana" w:hAnsi="Verdana"/>
          <w:sz w:val="20"/>
          <w:szCs w:val="20"/>
        </w:rPr>
        <w:t xml:space="preserve"> (</w:t>
      </w:r>
      <w:r w:rsidR="00C932E4" w:rsidRPr="00996758">
        <w:rPr>
          <w:rFonts w:ascii="Verdana" w:hAnsi="Verdana"/>
          <w:i/>
          <w:sz w:val="20"/>
          <w:szCs w:val="20"/>
        </w:rPr>
        <w:t xml:space="preserve">supra </w:t>
      </w:r>
      <w:r w:rsidR="00F201AE" w:rsidRPr="00996758">
        <w:rPr>
          <w:rFonts w:ascii="Verdana" w:hAnsi="Verdana"/>
          <w:sz w:val="20"/>
          <w:szCs w:val="20"/>
        </w:rPr>
        <w:t>párr. 83</w:t>
      </w:r>
      <w:r w:rsidR="00C932E4" w:rsidRPr="00996758">
        <w:rPr>
          <w:rFonts w:ascii="Verdana" w:hAnsi="Verdana"/>
          <w:sz w:val="20"/>
          <w:szCs w:val="20"/>
        </w:rPr>
        <w:t>)</w:t>
      </w:r>
      <w:r w:rsidRPr="00996758">
        <w:rPr>
          <w:rFonts w:ascii="Verdana" w:hAnsi="Verdana"/>
          <w:sz w:val="20"/>
          <w:szCs w:val="20"/>
        </w:rPr>
        <w:t>,</w:t>
      </w:r>
      <w:r w:rsidR="00055A51" w:rsidRPr="00996758">
        <w:rPr>
          <w:rFonts w:ascii="Verdana" w:hAnsi="Verdana"/>
          <w:sz w:val="20"/>
          <w:szCs w:val="20"/>
        </w:rPr>
        <w:t xml:space="preserve"> no corresponde </w:t>
      </w:r>
      <w:r w:rsidRPr="00996758">
        <w:rPr>
          <w:rFonts w:ascii="Verdana" w:hAnsi="Verdana"/>
          <w:sz w:val="20"/>
          <w:szCs w:val="20"/>
        </w:rPr>
        <w:t xml:space="preserve">a este Tribunal </w:t>
      </w:r>
      <w:r w:rsidR="00055A51" w:rsidRPr="00996758">
        <w:rPr>
          <w:rFonts w:ascii="Verdana" w:hAnsi="Verdana"/>
          <w:sz w:val="20"/>
          <w:szCs w:val="20"/>
        </w:rPr>
        <w:t xml:space="preserve">pronunciarse sobre la inocencia o culpabilidad del señor Isaza Uribe en el homicidio </w:t>
      </w:r>
      <w:r w:rsidR="007F3854" w:rsidRPr="00996758">
        <w:rPr>
          <w:rFonts w:ascii="Verdana" w:hAnsi="Verdana"/>
          <w:sz w:val="20"/>
          <w:szCs w:val="20"/>
        </w:rPr>
        <w:t>por el cual fue condenado</w:t>
      </w:r>
      <w:r w:rsidRPr="00996758">
        <w:rPr>
          <w:rFonts w:ascii="Verdana" w:hAnsi="Verdana"/>
          <w:sz w:val="20"/>
          <w:szCs w:val="20"/>
        </w:rPr>
        <w:t>, ni sobre el carácter d</w:t>
      </w:r>
      <w:r w:rsidR="00517391" w:rsidRPr="00996758">
        <w:rPr>
          <w:rFonts w:ascii="Verdana" w:hAnsi="Verdana"/>
          <w:sz w:val="20"/>
          <w:szCs w:val="20"/>
        </w:rPr>
        <w:t xml:space="preserve">el señor García </w:t>
      </w:r>
      <w:r w:rsidRPr="00996758">
        <w:rPr>
          <w:rFonts w:ascii="Verdana" w:hAnsi="Verdana"/>
          <w:sz w:val="20"/>
          <w:szCs w:val="20"/>
        </w:rPr>
        <w:t xml:space="preserve">como </w:t>
      </w:r>
      <w:r w:rsidR="00517391" w:rsidRPr="00996758">
        <w:rPr>
          <w:rFonts w:ascii="Verdana" w:hAnsi="Verdana"/>
          <w:sz w:val="20"/>
          <w:szCs w:val="20"/>
        </w:rPr>
        <w:t xml:space="preserve">víctima de homicidio </w:t>
      </w:r>
      <w:r w:rsidRPr="00996758">
        <w:rPr>
          <w:rFonts w:ascii="Verdana" w:hAnsi="Verdana"/>
          <w:sz w:val="20"/>
          <w:szCs w:val="20"/>
        </w:rPr>
        <w:t xml:space="preserve">o </w:t>
      </w:r>
      <w:r w:rsidR="00517391" w:rsidRPr="00996758">
        <w:rPr>
          <w:rFonts w:ascii="Verdana" w:hAnsi="Verdana"/>
          <w:sz w:val="20"/>
          <w:szCs w:val="20"/>
        </w:rPr>
        <w:t xml:space="preserve">sobre sus supuestos vínculos con grupos paramilitares. </w:t>
      </w:r>
    </w:p>
    <w:p w:rsidR="00B33A80" w:rsidRPr="00996758" w:rsidRDefault="00B33A80">
      <w:pPr>
        <w:pStyle w:val="ListParagraph"/>
        <w:spacing w:after="0" w:line="240" w:lineRule="auto"/>
        <w:ind w:left="0"/>
        <w:jc w:val="both"/>
        <w:rPr>
          <w:rFonts w:ascii="Verdana" w:hAnsi="Verdana"/>
          <w:sz w:val="20"/>
          <w:szCs w:val="20"/>
        </w:rPr>
      </w:pPr>
    </w:p>
    <w:p w:rsidR="005F734F" w:rsidRPr="00996758" w:rsidRDefault="00517391" w:rsidP="00484279">
      <w:pPr>
        <w:pStyle w:val="ListParagraph"/>
        <w:numPr>
          <w:ilvl w:val="0"/>
          <w:numId w:val="10"/>
        </w:numPr>
        <w:spacing w:after="0" w:line="240" w:lineRule="auto"/>
        <w:ind w:left="0" w:firstLine="0"/>
        <w:jc w:val="both"/>
        <w:rPr>
          <w:rFonts w:ascii="Verdana" w:hAnsi="Verdana"/>
          <w:bCs/>
          <w:sz w:val="20"/>
          <w:szCs w:val="20"/>
        </w:rPr>
      </w:pPr>
      <w:r w:rsidRPr="00996758">
        <w:rPr>
          <w:rFonts w:ascii="Verdana" w:hAnsi="Verdana"/>
          <w:sz w:val="20"/>
          <w:szCs w:val="20"/>
        </w:rPr>
        <w:t>Sin perjuicio de ello</w:t>
      </w:r>
      <w:r w:rsidR="00957C93" w:rsidRPr="00996758">
        <w:rPr>
          <w:rFonts w:ascii="Verdana" w:hAnsi="Verdana"/>
          <w:sz w:val="20"/>
          <w:szCs w:val="20"/>
        </w:rPr>
        <w:t>,</w:t>
      </w:r>
      <w:r w:rsidR="00055A51" w:rsidRPr="00996758">
        <w:rPr>
          <w:rFonts w:ascii="Verdana" w:hAnsi="Verdana"/>
          <w:sz w:val="20"/>
          <w:szCs w:val="20"/>
        </w:rPr>
        <w:t xml:space="preserve"> la Corte hace notar que</w:t>
      </w:r>
      <w:r w:rsidR="00B33A80" w:rsidRPr="00996758">
        <w:rPr>
          <w:rFonts w:ascii="Verdana" w:hAnsi="Verdana"/>
          <w:sz w:val="20"/>
          <w:szCs w:val="20"/>
        </w:rPr>
        <w:t>,</w:t>
      </w:r>
      <w:r w:rsidR="00055A51" w:rsidRPr="00996758">
        <w:rPr>
          <w:rFonts w:ascii="Verdana" w:hAnsi="Verdana"/>
          <w:sz w:val="20"/>
          <w:szCs w:val="20"/>
        </w:rPr>
        <w:t xml:space="preserve"> </w:t>
      </w:r>
      <w:r w:rsidR="009116B4" w:rsidRPr="00996758">
        <w:rPr>
          <w:rFonts w:ascii="Verdana" w:hAnsi="Verdana"/>
          <w:sz w:val="20"/>
          <w:szCs w:val="20"/>
        </w:rPr>
        <w:t>al imponer</w:t>
      </w:r>
      <w:r w:rsidR="00B33A80" w:rsidRPr="00996758">
        <w:rPr>
          <w:rFonts w:ascii="Verdana" w:hAnsi="Verdana"/>
          <w:sz w:val="20"/>
          <w:szCs w:val="20"/>
        </w:rPr>
        <w:t xml:space="preserve"> medida de detención preventiva, </w:t>
      </w:r>
      <w:r w:rsidR="0095132B" w:rsidRPr="00996758">
        <w:rPr>
          <w:rFonts w:ascii="Verdana" w:hAnsi="Verdana"/>
          <w:sz w:val="20"/>
          <w:szCs w:val="20"/>
        </w:rPr>
        <w:t xml:space="preserve">el Juzgado 64 de Instrucción Criminal de Puerto Nare </w:t>
      </w:r>
      <w:r w:rsidR="0050764C" w:rsidRPr="00996758">
        <w:rPr>
          <w:rFonts w:ascii="Verdana" w:hAnsi="Verdana"/>
          <w:sz w:val="20"/>
          <w:szCs w:val="20"/>
        </w:rPr>
        <w:t>destacó</w:t>
      </w:r>
      <w:r w:rsidR="00C932E4" w:rsidRPr="00996758">
        <w:rPr>
          <w:rFonts w:ascii="Verdana" w:hAnsi="Verdana"/>
          <w:sz w:val="20"/>
          <w:szCs w:val="20"/>
        </w:rPr>
        <w:t xml:space="preserve"> que testigos</w:t>
      </w:r>
      <w:r w:rsidR="0050764C" w:rsidRPr="00996758">
        <w:rPr>
          <w:rFonts w:ascii="Verdana" w:hAnsi="Verdana"/>
          <w:sz w:val="20"/>
          <w:szCs w:val="20"/>
        </w:rPr>
        <w:t xml:space="preserve"> del homicidio</w:t>
      </w:r>
      <w:r w:rsidR="00C932E4" w:rsidRPr="00996758">
        <w:rPr>
          <w:rFonts w:ascii="Verdana" w:hAnsi="Verdana"/>
          <w:sz w:val="20"/>
          <w:szCs w:val="20"/>
        </w:rPr>
        <w:t xml:space="preserve"> refirieron que </w:t>
      </w:r>
      <w:r w:rsidR="0050764C" w:rsidRPr="00996758">
        <w:rPr>
          <w:rFonts w:ascii="Verdana" w:hAnsi="Verdana"/>
          <w:sz w:val="20"/>
          <w:szCs w:val="20"/>
        </w:rPr>
        <w:t xml:space="preserve">Víctor Manuel Isaza Uribe </w:t>
      </w:r>
      <w:r w:rsidR="00C932E4" w:rsidRPr="00996758">
        <w:rPr>
          <w:rFonts w:ascii="Verdana" w:hAnsi="Verdana"/>
          <w:sz w:val="20"/>
          <w:szCs w:val="20"/>
        </w:rPr>
        <w:t xml:space="preserve">manifestó </w:t>
      </w:r>
      <w:r w:rsidR="005C7CAE" w:rsidRPr="00996758">
        <w:rPr>
          <w:rFonts w:ascii="Verdana" w:hAnsi="Verdana"/>
          <w:sz w:val="20"/>
          <w:szCs w:val="20"/>
        </w:rPr>
        <w:t>–</w:t>
      </w:r>
      <w:r w:rsidR="0050764C" w:rsidRPr="00996758">
        <w:rPr>
          <w:rFonts w:ascii="Verdana" w:hAnsi="Verdana"/>
          <w:sz w:val="20"/>
          <w:szCs w:val="20"/>
        </w:rPr>
        <w:t>ante ellos y ante otros trabajadores</w:t>
      </w:r>
      <w:r w:rsidR="005C7CAE" w:rsidRPr="00996758">
        <w:rPr>
          <w:rFonts w:ascii="Verdana" w:hAnsi="Verdana"/>
          <w:sz w:val="20"/>
          <w:szCs w:val="20"/>
        </w:rPr>
        <w:t xml:space="preserve">– </w:t>
      </w:r>
      <w:r w:rsidR="00C932E4" w:rsidRPr="00996758">
        <w:rPr>
          <w:rFonts w:ascii="Verdana" w:hAnsi="Verdana"/>
          <w:sz w:val="20"/>
          <w:szCs w:val="20"/>
        </w:rPr>
        <w:t>que había dado muerte</w:t>
      </w:r>
      <w:r w:rsidR="009116B4" w:rsidRPr="00996758">
        <w:rPr>
          <w:rFonts w:ascii="Verdana" w:hAnsi="Verdana"/>
          <w:sz w:val="20"/>
          <w:szCs w:val="20"/>
        </w:rPr>
        <w:t xml:space="preserve"> </w:t>
      </w:r>
      <w:r w:rsidR="00C932E4" w:rsidRPr="00996758">
        <w:rPr>
          <w:rFonts w:ascii="Verdana" w:hAnsi="Verdana"/>
          <w:sz w:val="20"/>
          <w:szCs w:val="20"/>
        </w:rPr>
        <w:t xml:space="preserve">al señor García porque éste </w:t>
      </w:r>
      <w:r w:rsidR="009116B4" w:rsidRPr="00996758">
        <w:rPr>
          <w:rFonts w:ascii="Verdana" w:hAnsi="Verdana"/>
          <w:sz w:val="20"/>
          <w:szCs w:val="20"/>
        </w:rPr>
        <w:t xml:space="preserve">había </w:t>
      </w:r>
      <w:r w:rsidR="0050764C" w:rsidRPr="00996758">
        <w:rPr>
          <w:rFonts w:ascii="Verdana" w:hAnsi="Verdana"/>
          <w:sz w:val="20"/>
          <w:szCs w:val="20"/>
        </w:rPr>
        <w:t>dicho</w:t>
      </w:r>
      <w:r w:rsidR="00C932E4" w:rsidRPr="00996758">
        <w:rPr>
          <w:rFonts w:ascii="Verdana" w:hAnsi="Verdana"/>
          <w:sz w:val="20"/>
          <w:szCs w:val="20"/>
        </w:rPr>
        <w:t xml:space="preserve"> que existía la consigna de acabar con todos los guerrilleros de la empresa</w:t>
      </w:r>
      <w:r w:rsidR="0050764C" w:rsidRPr="00996758">
        <w:rPr>
          <w:rFonts w:ascii="Verdana" w:hAnsi="Verdana"/>
          <w:sz w:val="20"/>
          <w:szCs w:val="20"/>
        </w:rPr>
        <w:t xml:space="preserve"> y </w:t>
      </w:r>
      <w:r w:rsidR="00946A6C" w:rsidRPr="00996758">
        <w:rPr>
          <w:rFonts w:ascii="Verdana" w:hAnsi="Verdana"/>
          <w:sz w:val="20"/>
          <w:szCs w:val="20"/>
        </w:rPr>
        <w:t xml:space="preserve">que </w:t>
      </w:r>
      <w:r w:rsidR="00C10EB2" w:rsidRPr="00996758">
        <w:rPr>
          <w:rFonts w:ascii="Verdana" w:hAnsi="Verdana"/>
          <w:sz w:val="20"/>
          <w:szCs w:val="20"/>
        </w:rPr>
        <w:t xml:space="preserve">el </w:t>
      </w:r>
      <w:r w:rsidR="00946A6C" w:rsidRPr="00996758">
        <w:rPr>
          <w:rFonts w:ascii="Verdana" w:hAnsi="Verdana"/>
          <w:sz w:val="20"/>
          <w:szCs w:val="20"/>
        </w:rPr>
        <w:t>“</w:t>
      </w:r>
      <w:r w:rsidR="00C932E4" w:rsidRPr="00996758">
        <w:rPr>
          <w:rFonts w:ascii="Verdana" w:hAnsi="Verdana"/>
          <w:sz w:val="20"/>
          <w:szCs w:val="20"/>
        </w:rPr>
        <w:t xml:space="preserve">nombre </w:t>
      </w:r>
      <w:r w:rsidR="00C10EB2" w:rsidRPr="00996758">
        <w:rPr>
          <w:rFonts w:ascii="Verdana" w:hAnsi="Verdana"/>
          <w:sz w:val="20"/>
          <w:szCs w:val="20"/>
        </w:rPr>
        <w:t xml:space="preserve">[de Isaza] </w:t>
      </w:r>
      <w:r w:rsidR="00C932E4" w:rsidRPr="00996758">
        <w:rPr>
          <w:rFonts w:ascii="Verdana" w:hAnsi="Verdana"/>
          <w:sz w:val="20"/>
          <w:szCs w:val="20"/>
        </w:rPr>
        <w:t>figuraba en la lista</w:t>
      </w:r>
      <w:r w:rsidR="006B3574" w:rsidRPr="00996758">
        <w:rPr>
          <w:rFonts w:ascii="Verdana" w:hAnsi="Verdana"/>
          <w:sz w:val="20"/>
          <w:szCs w:val="20"/>
        </w:rPr>
        <w:t>”, así como</w:t>
      </w:r>
      <w:r w:rsidR="00946A6C" w:rsidRPr="00996758">
        <w:rPr>
          <w:rFonts w:ascii="Verdana" w:hAnsi="Verdana"/>
          <w:sz w:val="20"/>
          <w:szCs w:val="20"/>
        </w:rPr>
        <w:t xml:space="preserve"> </w:t>
      </w:r>
      <w:r w:rsidR="0050764C" w:rsidRPr="00996758">
        <w:rPr>
          <w:rFonts w:ascii="Verdana" w:hAnsi="Verdana"/>
          <w:sz w:val="20"/>
          <w:szCs w:val="20"/>
        </w:rPr>
        <w:t>por</w:t>
      </w:r>
      <w:r w:rsidR="00946A6C" w:rsidRPr="00996758">
        <w:rPr>
          <w:rFonts w:ascii="Verdana" w:hAnsi="Verdana"/>
          <w:sz w:val="20"/>
          <w:szCs w:val="20"/>
        </w:rPr>
        <w:t xml:space="preserve">que </w:t>
      </w:r>
      <w:r w:rsidR="00C10EB2" w:rsidRPr="00996758">
        <w:rPr>
          <w:rFonts w:ascii="Verdana" w:hAnsi="Verdana"/>
          <w:sz w:val="20"/>
          <w:szCs w:val="20"/>
        </w:rPr>
        <w:t>García</w:t>
      </w:r>
      <w:r w:rsidR="00946A6C" w:rsidRPr="00996758">
        <w:rPr>
          <w:rFonts w:ascii="Verdana" w:hAnsi="Verdana"/>
          <w:sz w:val="20"/>
          <w:szCs w:val="20"/>
        </w:rPr>
        <w:t xml:space="preserve"> hab</w:t>
      </w:r>
      <w:r w:rsidR="006B3574" w:rsidRPr="00996758">
        <w:rPr>
          <w:rFonts w:ascii="Verdana" w:hAnsi="Verdana"/>
          <w:sz w:val="20"/>
          <w:szCs w:val="20"/>
        </w:rPr>
        <w:t>r</w:t>
      </w:r>
      <w:r w:rsidR="00946A6C" w:rsidRPr="00996758">
        <w:rPr>
          <w:rFonts w:ascii="Verdana" w:hAnsi="Verdana"/>
          <w:sz w:val="20"/>
          <w:szCs w:val="20"/>
        </w:rPr>
        <w:t>ía</w:t>
      </w:r>
      <w:r w:rsidR="00C932E4" w:rsidRPr="00996758">
        <w:rPr>
          <w:rFonts w:ascii="Verdana" w:hAnsi="Verdana"/>
          <w:sz w:val="20"/>
          <w:szCs w:val="20"/>
        </w:rPr>
        <w:t xml:space="preserve"> </w:t>
      </w:r>
      <w:r w:rsidR="009116B4" w:rsidRPr="00996758">
        <w:rPr>
          <w:rFonts w:ascii="Verdana" w:hAnsi="Verdana"/>
          <w:sz w:val="20"/>
          <w:szCs w:val="20"/>
        </w:rPr>
        <w:t xml:space="preserve">matado </w:t>
      </w:r>
      <w:r w:rsidR="0095132B" w:rsidRPr="00996758">
        <w:rPr>
          <w:rFonts w:ascii="Verdana" w:hAnsi="Verdana"/>
          <w:sz w:val="20"/>
          <w:szCs w:val="20"/>
        </w:rPr>
        <w:t>a Julio César Uribe</w:t>
      </w:r>
      <w:r w:rsidR="005C7CAE" w:rsidRPr="00996758">
        <w:rPr>
          <w:rStyle w:val="FootnoteReference"/>
          <w:rFonts w:ascii="Verdana" w:hAnsi="Verdana"/>
          <w:sz w:val="20"/>
          <w:szCs w:val="20"/>
        </w:rPr>
        <w:footnoteReference w:id="116"/>
      </w:r>
      <w:r w:rsidR="0095132B" w:rsidRPr="00996758">
        <w:rPr>
          <w:rFonts w:ascii="Verdana" w:hAnsi="Verdana"/>
          <w:sz w:val="20"/>
          <w:szCs w:val="20"/>
        </w:rPr>
        <w:t>, a saber, presidente de SUTIMAC y concejal por la UP que había sido asesinado en diciembre de 1986 (</w:t>
      </w:r>
      <w:r w:rsidR="005C7CAE" w:rsidRPr="00996758">
        <w:rPr>
          <w:rFonts w:ascii="Verdana" w:hAnsi="Verdana"/>
          <w:i/>
          <w:sz w:val="20"/>
          <w:szCs w:val="20"/>
        </w:rPr>
        <w:t>supra</w:t>
      </w:r>
      <w:r w:rsidR="0095132B" w:rsidRPr="00996758">
        <w:rPr>
          <w:rFonts w:ascii="Verdana" w:hAnsi="Verdana"/>
          <w:i/>
          <w:sz w:val="20"/>
          <w:szCs w:val="20"/>
        </w:rPr>
        <w:t xml:space="preserve"> </w:t>
      </w:r>
      <w:r w:rsidR="00A921B4" w:rsidRPr="00996758">
        <w:rPr>
          <w:rFonts w:ascii="Verdana" w:hAnsi="Verdana"/>
          <w:sz w:val="20"/>
          <w:szCs w:val="20"/>
        </w:rPr>
        <w:t>párrs. 49 y 50</w:t>
      </w:r>
      <w:r w:rsidR="0095132B" w:rsidRPr="00996758">
        <w:rPr>
          <w:rFonts w:ascii="Verdana" w:hAnsi="Verdana"/>
          <w:sz w:val="20"/>
          <w:szCs w:val="20"/>
        </w:rPr>
        <w:t>).</w:t>
      </w:r>
      <w:r w:rsidR="00A3784A" w:rsidRPr="00996758">
        <w:rPr>
          <w:rFonts w:ascii="Verdana" w:hAnsi="Verdana"/>
          <w:sz w:val="20"/>
          <w:szCs w:val="20"/>
        </w:rPr>
        <w:t xml:space="preserve"> </w:t>
      </w:r>
      <w:r w:rsidR="00A64084" w:rsidRPr="00996758">
        <w:rPr>
          <w:rFonts w:ascii="Verdana" w:hAnsi="Verdana"/>
          <w:sz w:val="20"/>
          <w:szCs w:val="20"/>
        </w:rPr>
        <w:t>Si bien el Juzgado no desarrolló más la cuestión, es relevante que en su resolución</w:t>
      </w:r>
      <w:r w:rsidR="00A3784A" w:rsidRPr="00996758">
        <w:rPr>
          <w:rFonts w:ascii="Verdana" w:hAnsi="Verdana"/>
          <w:sz w:val="20"/>
          <w:szCs w:val="20"/>
        </w:rPr>
        <w:t xml:space="preserve"> refiriera también que, luego del homicidio de Julio César Uribe, “</w:t>
      </w:r>
      <w:r w:rsidR="005F734F" w:rsidRPr="00996758">
        <w:rPr>
          <w:rFonts w:ascii="Verdana" w:hAnsi="Verdana"/>
          <w:i/>
          <w:sz w:val="20"/>
          <w:szCs w:val="20"/>
        </w:rPr>
        <w:t>se desató una ola de violencia referida a constantes asesinatos y desapariciones de varios obreros de aquella empresa cementera</w:t>
      </w:r>
      <w:r w:rsidR="00A3784A" w:rsidRPr="00996758">
        <w:rPr>
          <w:rFonts w:ascii="Verdana" w:hAnsi="Verdana"/>
          <w:i/>
          <w:sz w:val="20"/>
          <w:szCs w:val="20"/>
        </w:rPr>
        <w:t>,</w:t>
      </w:r>
      <w:r w:rsidR="005F734F" w:rsidRPr="00996758">
        <w:rPr>
          <w:rFonts w:ascii="Verdana" w:hAnsi="Verdana"/>
          <w:i/>
          <w:sz w:val="20"/>
          <w:szCs w:val="20"/>
        </w:rPr>
        <w:t xml:space="preserve"> lo que ha sido el factor preponderante de la tensa situación que allí se vive actualmente</w:t>
      </w:r>
      <w:r w:rsidR="00A3784A" w:rsidRPr="00996758">
        <w:rPr>
          <w:rFonts w:ascii="Verdana" w:hAnsi="Verdana"/>
          <w:i/>
          <w:sz w:val="20"/>
          <w:szCs w:val="20"/>
        </w:rPr>
        <w:t xml:space="preserve"> [febrero de 1988]</w:t>
      </w:r>
      <w:r w:rsidR="005F734F" w:rsidRPr="00996758">
        <w:rPr>
          <w:rFonts w:ascii="Verdana" w:hAnsi="Verdana"/>
          <w:i/>
          <w:sz w:val="20"/>
          <w:szCs w:val="20"/>
        </w:rPr>
        <w:t xml:space="preserve"> y donde los obreros, en paro indefinido en los últimos días por aquella ola de violencia, se aprestan en la fecha para concurrir al sepelio de su último compañero asesinado, el señor Héctor Julio Mejía, tesorero del sindicato</w:t>
      </w:r>
      <w:r w:rsidR="00A3784A" w:rsidRPr="00996758">
        <w:rPr>
          <w:rFonts w:ascii="Verdana" w:hAnsi="Verdana"/>
          <w:sz w:val="20"/>
          <w:szCs w:val="20"/>
        </w:rPr>
        <w:t>”</w:t>
      </w:r>
      <w:r w:rsidR="00A3784A" w:rsidRPr="00996758">
        <w:rPr>
          <w:rStyle w:val="FootnoteReference"/>
          <w:rFonts w:ascii="Verdana" w:hAnsi="Verdana"/>
          <w:sz w:val="20"/>
          <w:szCs w:val="20"/>
        </w:rPr>
        <w:footnoteReference w:id="117"/>
      </w:r>
      <w:r w:rsidR="005F734F" w:rsidRPr="00996758">
        <w:rPr>
          <w:rFonts w:ascii="Verdana" w:hAnsi="Verdana"/>
          <w:sz w:val="20"/>
          <w:szCs w:val="20"/>
        </w:rPr>
        <w:t>.</w:t>
      </w:r>
    </w:p>
    <w:p w:rsidR="00FC0063" w:rsidRPr="00996758" w:rsidRDefault="00FC0063">
      <w:pPr>
        <w:pStyle w:val="ListParagraph"/>
        <w:spacing w:after="0" w:line="240" w:lineRule="auto"/>
        <w:ind w:left="0"/>
        <w:jc w:val="both"/>
        <w:rPr>
          <w:rFonts w:ascii="Verdana" w:hAnsi="Verdana"/>
          <w:sz w:val="20"/>
          <w:szCs w:val="20"/>
        </w:rPr>
      </w:pPr>
    </w:p>
    <w:p w:rsidR="00FB1E05" w:rsidRPr="00996758" w:rsidRDefault="0050764C" w:rsidP="00484279">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H</w:t>
      </w:r>
      <w:r w:rsidR="00FB1E05" w:rsidRPr="00996758">
        <w:rPr>
          <w:rFonts w:ascii="Verdana" w:hAnsi="Verdana"/>
          <w:sz w:val="20"/>
          <w:szCs w:val="20"/>
        </w:rPr>
        <w:t xml:space="preserve">a sido </w:t>
      </w:r>
      <w:r w:rsidR="00C145FD" w:rsidRPr="00996758">
        <w:rPr>
          <w:rFonts w:ascii="Verdana" w:hAnsi="Verdana"/>
          <w:sz w:val="20"/>
          <w:szCs w:val="20"/>
        </w:rPr>
        <w:t>referido</w:t>
      </w:r>
      <w:r w:rsidR="00FB1E05" w:rsidRPr="00996758">
        <w:rPr>
          <w:rFonts w:ascii="Verdana" w:hAnsi="Verdana"/>
          <w:sz w:val="20"/>
          <w:szCs w:val="20"/>
        </w:rPr>
        <w:t xml:space="preserve"> </w:t>
      </w:r>
      <w:r w:rsidRPr="00996758">
        <w:rPr>
          <w:rFonts w:ascii="Verdana" w:hAnsi="Verdana"/>
          <w:sz w:val="20"/>
          <w:szCs w:val="20"/>
        </w:rPr>
        <w:t xml:space="preserve">también </w:t>
      </w:r>
      <w:r w:rsidR="00FB1E05" w:rsidRPr="00996758">
        <w:rPr>
          <w:rFonts w:ascii="Verdana" w:hAnsi="Verdana"/>
          <w:sz w:val="20"/>
          <w:szCs w:val="20"/>
        </w:rPr>
        <w:t>un informe de inteligencia del Departamento Administrativo de Seguridad (DAS), en el cual se hace un detallado recuento de la conformación de los grupos de autodefensa en alianza con el narcotráfico y miembros del Ejército Nacional en el Magdalena Medio, específicamente en Puerto Boyacá. Este informe fue elaborado principalmente con declaraciones de</w:t>
      </w:r>
      <w:r w:rsidR="00F94DE8" w:rsidRPr="00996758">
        <w:rPr>
          <w:rFonts w:ascii="Verdana" w:hAnsi="Verdana"/>
          <w:sz w:val="20"/>
          <w:szCs w:val="20"/>
        </w:rPr>
        <w:t xml:space="preserve"> una fuente</w:t>
      </w:r>
      <w:r w:rsidR="00FB1E05" w:rsidRPr="00996758">
        <w:rPr>
          <w:rFonts w:ascii="Verdana" w:hAnsi="Verdana"/>
          <w:sz w:val="20"/>
          <w:szCs w:val="20"/>
        </w:rPr>
        <w:t xml:space="preserve"> que en 1983 se vinculó a las autodefensas del Magdalena Medio, en las que fungió como hombre de confianza de los dirigentes de ACDEGAM, que fue una asociación de fachada creada por ganaderos y narcotraficantes</w:t>
      </w:r>
      <w:r w:rsidR="004947D6" w:rsidRPr="00996758">
        <w:rPr>
          <w:rFonts w:ascii="Verdana" w:hAnsi="Verdana"/>
          <w:sz w:val="20"/>
          <w:szCs w:val="20"/>
        </w:rPr>
        <w:t xml:space="preserve"> y</w:t>
      </w:r>
      <w:r w:rsidR="00FB1E05" w:rsidRPr="00996758">
        <w:rPr>
          <w:rFonts w:ascii="Verdana" w:hAnsi="Verdana"/>
          <w:sz w:val="20"/>
          <w:szCs w:val="20"/>
        </w:rPr>
        <w:t xml:space="preserve"> utilizada como plataforma logística y financiera para actividades del paramilitarismo (</w:t>
      </w:r>
      <w:r w:rsidR="00DF4AC9" w:rsidRPr="00996758">
        <w:rPr>
          <w:rFonts w:ascii="Verdana" w:hAnsi="Verdana"/>
          <w:i/>
          <w:sz w:val="20"/>
          <w:szCs w:val="20"/>
        </w:rPr>
        <w:t>supra</w:t>
      </w:r>
      <w:r w:rsidR="00FB1E05" w:rsidRPr="00996758">
        <w:rPr>
          <w:rFonts w:ascii="Verdana" w:hAnsi="Verdana"/>
          <w:i/>
          <w:sz w:val="20"/>
          <w:szCs w:val="20"/>
        </w:rPr>
        <w:t xml:space="preserve"> </w:t>
      </w:r>
      <w:r w:rsidR="00A921B4" w:rsidRPr="00996758">
        <w:rPr>
          <w:rFonts w:ascii="Verdana" w:hAnsi="Verdana"/>
          <w:sz w:val="20"/>
          <w:szCs w:val="20"/>
        </w:rPr>
        <w:t>párr</w:t>
      </w:r>
      <w:r w:rsidR="00FB1E05" w:rsidRPr="00996758">
        <w:rPr>
          <w:rFonts w:ascii="Verdana" w:hAnsi="Verdana"/>
          <w:sz w:val="20"/>
          <w:szCs w:val="20"/>
        </w:rPr>
        <w:t xml:space="preserve">. </w:t>
      </w:r>
      <w:r w:rsidR="00A921B4" w:rsidRPr="00996758">
        <w:rPr>
          <w:rFonts w:ascii="Verdana" w:hAnsi="Verdana"/>
          <w:sz w:val="20"/>
          <w:szCs w:val="20"/>
        </w:rPr>
        <w:t>44</w:t>
      </w:r>
      <w:r w:rsidR="00FB1E05" w:rsidRPr="00996758">
        <w:rPr>
          <w:rFonts w:ascii="Verdana" w:hAnsi="Verdana"/>
          <w:sz w:val="20"/>
          <w:szCs w:val="20"/>
        </w:rPr>
        <w:t xml:space="preserve">). En este informe se resalta que, desde Puerto Nare, la organización narcotraficante movilizaba cemento para los laboratorios de Puerto Boyacá y otras regiones del </w:t>
      </w:r>
      <w:r w:rsidR="00F94DE8" w:rsidRPr="00996758">
        <w:rPr>
          <w:rFonts w:ascii="Verdana" w:hAnsi="Verdana"/>
          <w:sz w:val="20"/>
          <w:szCs w:val="20"/>
        </w:rPr>
        <w:t>p</w:t>
      </w:r>
      <w:r w:rsidR="00FB1E05" w:rsidRPr="00996758">
        <w:rPr>
          <w:rFonts w:ascii="Verdana" w:hAnsi="Verdana"/>
          <w:sz w:val="20"/>
          <w:szCs w:val="20"/>
        </w:rPr>
        <w:t xml:space="preserve">aís, destacando además que, dentro de </w:t>
      </w:r>
      <w:r w:rsidR="00554FE1" w:rsidRPr="00996758">
        <w:rPr>
          <w:rFonts w:ascii="Verdana" w:hAnsi="Verdana"/>
          <w:sz w:val="20"/>
          <w:szCs w:val="20"/>
        </w:rPr>
        <w:t xml:space="preserve">la </w:t>
      </w:r>
      <w:r w:rsidR="00FB1E05" w:rsidRPr="00996758">
        <w:rPr>
          <w:rFonts w:ascii="Verdana" w:hAnsi="Verdana"/>
          <w:sz w:val="20"/>
          <w:szCs w:val="20"/>
        </w:rPr>
        <w:t>estructura logística poseían una aeronave DC-3 que transportaba víveres e insumos desde Bogotá y</w:t>
      </w:r>
      <w:r w:rsidR="00C145FD" w:rsidRPr="00996758">
        <w:rPr>
          <w:rFonts w:ascii="Verdana" w:hAnsi="Verdana"/>
          <w:sz w:val="20"/>
          <w:szCs w:val="20"/>
        </w:rPr>
        <w:t xml:space="preserve"> Puerto Nare al </w:t>
      </w:r>
      <w:r w:rsidR="00C145FD" w:rsidRPr="00996758">
        <w:rPr>
          <w:rFonts w:ascii="Verdana" w:hAnsi="Verdana"/>
          <w:sz w:val="20"/>
          <w:szCs w:val="20"/>
        </w:rPr>
        <w:lastRenderedPageBreak/>
        <w:t xml:space="preserve">Yarí (Caquetá); y </w:t>
      </w:r>
      <w:r w:rsidR="00FB1E05" w:rsidRPr="00996758">
        <w:rPr>
          <w:rFonts w:ascii="Verdana" w:hAnsi="Verdana"/>
          <w:sz w:val="20"/>
          <w:szCs w:val="20"/>
        </w:rPr>
        <w:t>que</w:t>
      </w:r>
      <w:r w:rsidR="0020690A" w:rsidRPr="00996758">
        <w:rPr>
          <w:rFonts w:ascii="Verdana" w:hAnsi="Verdana"/>
          <w:sz w:val="20"/>
          <w:szCs w:val="20"/>
        </w:rPr>
        <w:t>,</w:t>
      </w:r>
      <w:r w:rsidR="00FB1E05" w:rsidRPr="00996758">
        <w:rPr>
          <w:rFonts w:ascii="Verdana" w:hAnsi="Verdana"/>
          <w:sz w:val="20"/>
          <w:szCs w:val="20"/>
        </w:rPr>
        <w:t xml:space="preserve"> </w:t>
      </w:r>
      <w:r w:rsidR="00C145FD" w:rsidRPr="00996758">
        <w:rPr>
          <w:rFonts w:ascii="Verdana" w:hAnsi="Verdana"/>
          <w:sz w:val="20"/>
          <w:szCs w:val="20"/>
        </w:rPr>
        <w:t xml:space="preserve">según </w:t>
      </w:r>
      <w:r w:rsidR="00FB1E05" w:rsidRPr="00996758">
        <w:rPr>
          <w:rFonts w:ascii="Verdana" w:hAnsi="Verdana"/>
          <w:sz w:val="20"/>
          <w:szCs w:val="20"/>
        </w:rPr>
        <w:t xml:space="preserve">el glosario y lenguaje encriptado utilizado por la organización, </w:t>
      </w:r>
      <w:r w:rsidR="00C145FD" w:rsidRPr="00996758">
        <w:rPr>
          <w:rFonts w:ascii="Verdana" w:hAnsi="Verdana"/>
          <w:sz w:val="20"/>
          <w:szCs w:val="20"/>
        </w:rPr>
        <w:t>la pista aérea de la empresa Cementos del Nare era denominada</w:t>
      </w:r>
      <w:r w:rsidR="00FB1E05" w:rsidRPr="00996758">
        <w:rPr>
          <w:rFonts w:ascii="Verdana" w:hAnsi="Verdana"/>
          <w:sz w:val="20"/>
          <w:szCs w:val="20"/>
        </w:rPr>
        <w:t xml:space="preserve"> “La Chimenea”</w:t>
      </w:r>
      <w:r w:rsidR="00FB1E05" w:rsidRPr="00996758">
        <w:rPr>
          <w:rStyle w:val="FootnoteReference"/>
          <w:rFonts w:ascii="Verdana" w:hAnsi="Verdana"/>
          <w:sz w:val="20"/>
          <w:szCs w:val="20"/>
        </w:rPr>
        <w:footnoteReference w:id="118"/>
      </w:r>
      <w:r w:rsidR="00FB1E05" w:rsidRPr="00996758">
        <w:rPr>
          <w:rFonts w:ascii="Verdana" w:hAnsi="Verdana"/>
          <w:sz w:val="20"/>
          <w:szCs w:val="20"/>
        </w:rPr>
        <w:t>.</w:t>
      </w:r>
    </w:p>
    <w:p w:rsidR="00C54BE7" w:rsidRPr="00996758" w:rsidRDefault="00C54BE7">
      <w:pPr>
        <w:pStyle w:val="ListParagraph"/>
        <w:spacing w:after="0" w:line="240" w:lineRule="auto"/>
        <w:ind w:left="0"/>
        <w:jc w:val="both"/>
        <w:rPr>
          <w:rFonts w:ascii="Verdana" w:hAnsi="Verdana"/>
          <w:sz w:val="20"/>
          <w:szCs w:val="20"/>
        </w:rPr>
      </w:pPr>
    </w:p>
    <w:p w:rsidR="00520AE2" w:rsidRPr="00996758" w:rsidRDefault="00520AE2" w:rsidP="00484279">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De los elementos anteriores surge que</w:t>
      </w:r>
      <w:r w:rsidR="004163D5" w:rsidRPr="00996758">
        <w:rPr>
          <w:rFonts w:ascii="Verdana" w:hAnsi="Verdana"/>
          <w:sz w:val="20"/>
          <w:szCs w:val="20"/>
        </w:rPr>
        <w:t>, en</w:t>
      </w:r>
      <w:r w:rsidRPr="00996758">
        <w:rPr>
          <w:rFonts w:ascii="Verdana" w:hAnsi="Verdana"/>
          <w:sz w:val="20"/>
          <w:szCs w:val="20"/>
        </w:rPr>
        <w:t xml:space="preserve"> una</w:t>
      </w:r>
      <w:r w:rsidRPr="00996758">
        <w:rPr>
          <w:rFonts w:ascii="Verdana" w:hAnsi="Verdana"/>
          <w:bCs/>
          <w:sz w:val="20"/>
          <w:szCs w:val="20"/>
        </w:rPr>
        <w:t xml:space="preserve"> hipótesis de </w:t>
      </w:r>
      <w:r w:rsidR="004163D5" w:rsidRPr="00996758">
        <w:rPr>
          <w:rFonts w:ascii="Verdana" w:hAnsi="Verdana"/>
          <w:bCs/>
          <w:sz w:val="20"/>
          <w:szCs w:val="20"/>
        </w:rPr>
        <w:t xml:space="preserve">comisión de </w:t>
      </w:r>
      <w:r w:rsidRPr="00996758">
        <w:rPr>
          <w:rFonts w:ascii="Verdana" w:hAnsi="Verdana"/>
          <w:bCs/>
          <w:sz w:val="20"/>
          <w:szCs w:val="20"/>
        </w:rPr>
        <w:t xml:space="preserve">la desaparición del señor Isaza Uribe como represalia por el homicidio del señor García, </w:t>
      </w:r>
      <w:r w:rsidR="004163D5" w:rsidRPr="00996758">
        <w:rPr>
          <w:rFonts w:ascii="Verdana" w:hAnsi="Verdana"/>
          <w:bCs/>
          <w:sz w:val="20"/>
          <w:szCs w:val="20"/>
        </w:rPr>
        <w:t xml:space="preserve">los “actores privados” referidos por el Estado bien podrían haber sido </w:t>
      </w:r>
      <w:r w:rsidRPr="00996758">
        <w:rPr>
          <w:rFonts w:ascii="Verdana" w:hAnsi="Verdana"/>
          <w:bCs/>
          <w:sz w:val="20"/>
          <w:szCs w:val="20"/>
        </w:rPr>
        <w:t>miembros de grupos paramilitares</w:t>
      </w:r>
      <w:r w:rsidR="004235E3" w:rsidRPr="00996758">
        <w:rPr>
          <w:rFonts w:ascii="Verdana" w:hAnsi="Verdana"/>
          <w:bCs/>
          <w:sz w:val="20"/>
          <w:szCs w:val="20"/>
        </w:rPr>
        <w:t xml:space="preserve"> relacionados </w:t>
      </w:r>
      <w:r w:rsidR="00AC2392" w:rsidRPr="00996758">
        <w:rPr>
          <w:rFonts w:ascii="Verdana" w:hAnsi="Verdana"/>
          <w:bCs/>
          <w:sz w:val="20"/>
          <w:szCs w:val="20"/>
        </w:rPr>
        <w:t xml:space="preserve">con </w:t>
      </w:r>
      <w:r w:rsidR="004235E3" w:rsidRPr="00996758">
        <w:rPr>
          <w:rFonts w:ascii="Verdana" w:hAnsi="Verdana"/>
          <w:bCs/>
          <w:sz w:val="20"/>
          <w:szCs w:val="20"/>
        </w:rPr>
        <w:t>la empresa</w:t>
      </w:r>
      <w:r w:rsidR="00AC2392" w:rsidRPr="00996758">
        <w:rPr>
          <w:rFonts w:ascii="Verdana" w:hAnsi="Verdana"/>
          <w:bCs/>
          <w:sz w:val="20"/>
          <w:szCs w:val="20"/>
        </w:rPr>
        <w:t xml:space="preserve"> o pagados por ésta</w:t>
      </w:r>
      <w:r w:rsidRPr="00996758">
        <w:rPr>
          <w:rFonts w:ascii="Verdana" w:hAnsi="Verdana"/>
          <w:bCs/>
          <w:sz w:val="20"/>
          <w:szCs w:val="20"/>
        </w:rPr>
        <w:t>.</w:t>
      </w:r>
    </w:p>
    <w:p w:rsidR="00055A51" w:rsidRPr="00996758" w:rsidRDefault="00055A51">
      <w:pPr>
        <w:pBdr>
          <w:top w:val="nil"/>
        </w:pBdr>
        <w:spacing w:after="0" w:line="240" w:lineRule="auto"/>
        <w:jc w:val="both"/>
        <w:rPr>
          <w:rFonts w:ascii="Verdana" w:hAnsi="Verdana" w:cs="Verdana"/>
          <w:bCs/>
          <w:sz w:val="20"/>
          <w:szCs w:val="20"/>
        </w:rPr>
      </w:pPr>
    </w:p>
    <w:p w:rsidR="00B15AA5" w:rsidRPr="00996758" w:rsidRDefault="00DF4AC9" w:rsidP="00484279">
      <w:pPr>
        <w:pStyle w:val="ListParagraph"/>
        <w:numPr>
          <w:ilvl w:val="0"/>
          <w:numId w:val="10"/>
        </w:numPr>
        <w:spacing w:after="0" w:line="240" w:lineRule="auto"/>
        <w:ind w:left="0" w:firstLine="0"/>
        <w:jc w:val="both"/>
        <w:rPr>
          <w:rFonts w:ascii="Verdana" w:hAnsi="Verdana"/>
          <w:bCs/>
          <w:sz w:val="20"/>
          <w:szCs w:val="20"/>
        </w:rPr>
      </w:pPr>
      <w:r w:rsidRPr="00996758">
        <w:rPr>
          <w:rFonts w:ascii="Verdana" w:hAnsi="Verdana"/>
          <w:bCs/>
          <w:sz w:val="20"/>
          <w:szCs w:val="20"/>
        </w:rPr>
        <w:t>L</w:t>
      </w:r>
      <w:r w:rsidR="00764854" w:rsidRPr="00996758">
        <w:rPr>
          <w:rFonts w:ascii="Verdana" w:hAnsi="Verdana"/>
          <w:bCs/>
          <w:sz w:val="20"/>
          <w:szCs w:val="20"/>
        </w:rPr>
        <w:t xml:space="preserve">a Procuraduría </w:t>
      </w:r>
      <w:r w:rsidR="004235E3" w:rsidRPr="00996758">
        <w:rPr>
          <w:rFonts w:ascii="Verdana" w:hAnsi="Verdana"/>
          <w:bCs/>
          <w:sz w:val="20"/>
          <w:szCs w:val="20"/>
        </w:rPr>
        <w:t xml:space="preserve">hizo mención indirecta a </w:t>
      </w:r>
      <w:r w:rsidR="00764854" w:rsidRPr="00996758">
        <w:rPr>
          <w:rFonts w:ascii="Verdana" w:hAnsi="Verdana"/>
          <w:bCs/>
          <w:sz w:val="20"/>
          <w:szCs w:val="20"/>
        </w:rPr>
        <w:t>esta hipótesis</w:t>
      </w:r>
      <w:r w:rsidR="004235E3" w:rsidRPr="00996758">
        <w:rPr>
          <w:rFonts w:ascii="Verdana" w:hAnsi="Verdana"/>
          <w:bCs/>
          <w:sz w:val="20"/>
          <w:szCs w:val="20"/>
        </w:rPr>
        <w:t xml:space="preserve">, </w:t>
      </w:r>
      <w:r w:rsidR="0014486E" w:rsidRPr="00996758">
        <w:rPr>
          <w:rFonts w:ascii="Verdana" w:hAnsi="Verdana"/>
          <w:bCs/>
          <w:sz w:val="20"/>
          <w:szCs w:val="20"/>
        </w:rPr>
        <w:t xml:space="preserve">pero </w:t>
      </w:r>
      <w:r w:rsidR="004235E3" w:rsidRPr="00996758">
        <w:rPr>
          <w:rFonts w:ascii="Verdana" w:hAnsi="Verdana"/>
          <w:bCs/>
          <w:sz w:val="20"/>
          <w:szCs w:val="20"/>
        </w:rPr>
        <w:t>señaló</w:t>
      </w:r>
      <w:r w:rsidR="00554FE1" w:rsidRPr="00996758">
        <w:rPr>
          <w:rFonts w:ascii="Verdana" w:hAnsi="Verdana"/>
          <w:bCs/>
          <w:sz w:val="20"/>
          <w:szCs w:val="20"/>
        </w:rPr>
        <w:t>,</w:t>
      </w:r>
      <w:r w:rsidR="004235E3" w:rsidRPr="00996758">
        <w:rPr>
          <w:rFonts w:ascii="Verdana" w:hAnsi="Verdana"/>
          <w:bCs/>
          <w:sz w:val="20"/>
          <w:szCs w:val="20"/>
        </w:rPr>
        <w:t xml:space="preserve"> </w:t>
      </w:r>
      <w:r w:rsidR="00055A51" w:rsidRPr="00996758">
        <w:rPr>
          <w:rFonts w:ascii="Verdana" w:hAnsi="Verdana"/>
          <w:bCs/>
          <w:sz w:val="20"/>
          <w:szCs w:val="20"/>
        </w:rPr>
        <w:t>sin mayor fundamento</w:t>
      </w:r>
      <w:r w:rsidR="00554FE1" w:rsidRPr="00996758">
        <w:rPr>
          <w:rFonts w:ascii="Verdana" w:hAnsi="Verdana"/>
          <w:bCs/>
          <w:sz w:val="20"/>
          <w:szCs w:val="20"/>
        </w:rPr>
        <w:t>,</w:t>
      </w:r>
      <w:r w:rsidR="00764854" w:rsidRPr="00996758">
        <w:rPr>
          <w:rFonts w:ascii="Verdana" w:hAnsi="Verdana"/>
          <w:bCs/>
          <w:sz w:val="20"/>
          <w:szCs w:val="20"/>
        </w:rPr>
        <w:t xml:space="preserve"> </w:t>
      </w:r>
      <w:r w:rsidR="0014486E" w:rsidRPr="00996758">
        <w:rPr>
          <w:rFonts w:ascii="Verdana" w:hAnsi="Verdana"/>
          <w:bCs/>
          <w:sz w:val="20"/>
          <w:szCs w:val="20"/>
        </w:rPr>
        <w:t>que “a</w:t>
      </w:r>
      <w:r w:rsidR="00B15AA5" w:rsidRPr="00996758">
        <w:rPr>
          <w:rFonts w:ascii="Verdana" w:hAnsi="Verdana"/>
          <w:bCs/>
          <w:sz w:val="20"/>
          <w:szCs w:val="20"/>
        </w:rPr>
        <w:t>severar que los responsables son los grupos paramilitares financiados por las empresas Colcarburos, Cementos Nare y otros y protegidos por las autoridades civiles y militares, es tanto como no decir nada […]</w:t>
      </w:r>
      <w:r w:rsidRPr="00996758">
        <w:rPr>
          <w:rFonts w:ascii="Verdana" w:hAnsi="Verdana"/>
          <w:bCs/>
          <w:sz w:val="20"/>
          <w:szCs w:val="20"/>
        </w:rPr>
        <w:t>”</w:t>
      </w:r>
      <w:r w:rsidR="00987BEA" w:rsidRPr="00996758">
        <w:rPr>
          <w:rFonts w:ascii="Verdana" w:hAnsi="Verdana"/>
          <w:bCs/>
          <w:sz w:val="20"/>
          <w:szCs w:val="20"/>
        </w:rPr>
        <w:t>.</w:t>
      </w:r>
    </w:p>
    <w:p w:rsidR="00237139" w:rsidRPr="00996758" w:rsidRDefault="00237139">
      <w:pPr>
        <w:pStyle w:val="ListParagraph"/>
        <w:spacing w:after="0" w:line="240" w:lineRule="auto"/>
        <w:ind w:left="0"/>
        <w:jc w:val="both"/>
        <w:rPr>
          <w:rFonts w:ascii="Verdana" w:hAnsi="Verdana"/>
          <w:bCs/>
          <w:sz w:val="20"/>
          <w:szCs w:val="20"/>
        </w:rPr>
      </w:pPr>
    </w:p>
    <w:p w:rsidR="00D159F7" w:rsidRPr="00996758" w:rsidRDefault="00D159F7" w:rsidP="00D159F7">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Existe una declaración de una de las personas que también se encontraba detenido en la cárcel municipal de Puerto Nare ese día 19 de noviembre de 1987, </w:t>
      </w:r>
      <w:r w:rsidR="0020690A" w:rsidRPr="00996758">
        <w:rPr>
          <w:rFonts w:ascii="Verdana" w:hAnsi="Verdana" w:cs="Verdana"/>
          <w:bCs/>
          <w:sz w:val="20"/>
          <w:szCs w:val="20"/>
        </w:rPr>
        <w:t>que</w:t>
      </w:r>
      <w:r w:rsidRPr="00996758">
        <w:rPr>
          <w:rFonts w:ascii="Verdana" w:hAnsi="Verdana" w:cs="Verdana"/>
          <w:bCs/>
          <w:sz w:val="20"/>
          <w:szCs w:val="20"/>
        </w:rPr>
        <w:t xml:space="preserve"> no fue sustraído por el grupo armado</w:t>
      </w:r>
      <w:r w:rsidR="0020690A" w:rsidRPr="00996758">
        <w:rPr>
          <w:rFonts w:ascii="Verdana" w:hAnsi="Verdana" w:cs="Verdana"/>
          <w:bCs/>
          <w:sz w:val="20"/>
          <w:szCs w:val="20"/>
        </w:rPr>
        <w:t>, en la cual</w:t>
      </w:r>
      <w:r w:rsidRPr="00996758">
        <w:rPr>
          <w:rFonts w:ascii="Verdana" w:hAnsi="Verdana" w:cs="Verdana"/>
          <w:bCs/>
          <w:sz w:val="20"/>
          <w:szCs w:val="20"/>
        </w:rPr>
        <w:t xml:space="preserve"> indicó haber reconocido a uno de los </w:t>
      </w:r>
      <w:r w:rsidR="0020690A" w:rsidRPr="00996758">
        <w:rPr>
          <w:rFonts w:ascii="Verdana" w:hAnsi="Verdana" w:cs="Verdana"/>
          <w:bCs/>
          <w:sz w:val="20"/>
          <w:szCs w:val="20"/>
        </w:rPr>
        <w:t>hombres armados</w:t>
      </w:r>
      <w:r w:rsidRPr="00996758">
        <w:rPr>
          <w:rFonts w:ascii="Verdana" w:hAnsi="Verdana" w:cs="Verdana"/>
          <w:bCs/>
          <w:sz w:val="20"/>
          <w:szCs w:val="20"/>
        </w:rPr>
        <w:t xml:space="preserve"> como uno de los paramilitares del MAS que el día 30 de septiembre de ese mismo año había asesinado en La Sierra a Pablo Emilio Córdoba Madrigal, directivo de SUTIMAC y concejal por la UP</w:t>
      </w:r>
      <w:r w:rsidRPr="00996758">
        <w:rPr>
          <w:rStyle w:val="FootnoteReference"/>
          <w:rFonts w:ascii="Verdana" w:hAnsi="Verdana" w:cs="Verdana"/>
          <w:bCs/>
          <w:sz w:val="20"/>
          <w:szCs w:val="20"/>
        </w:rPr>
        <w:footnoteReference w:id="119"/>
      </w:r>
      <w:r w:rsidRPr="00996758">
        <w:rPr>
          <w:rFonts w:ascii="Verdana" w:hAnsi="Verdana" w:cs="Verdana"/>
          <w:bCs/>
          <w:sz w:val="20"/>
          <w:szCs w:val="20"/>
        </w:rPr>
        <w:t xml:space="preserve">. El Tribunal considera que tal declaración constituye un indicio más sobre la participación de paramilitares esa noche, a pesar de lo cual no es suficiente para </w:t>
      </w:r>
      <w:r w:rsidR="0020690A" w:rsidRPr="00996758">
        <w:rPr>
          <w:rFonts w:ascii="Verdana" w:hAnsi="Verdana" w:cs="Verdana"/>
          <w:bCs/>
          <w:sz w:val="20"/>
          <w:szCs w:val="20"/>
        </w:rPr>
        <w:t>establecer</w:t>
      </w:r>
      <w:r w:rsidR="0093464A" w:rsidRPr="00996758">
        <w:rPr>
          <w:rFonts w:ascii="Verdana" w:hAnsi="Verdana" w:cs="Verdana"/>
          <w:bCs/>
          <w:sz w:val="20"/>
          <w:szCs w:val="20"/>
        </w:rPr>
        <w:t xml:space="preserve"> este hecho</w:t>
      </w:r>
      <w:r w:rsidRPr="00996758">
        <w:rPr>
          <w:rFonts w:ascii="Verdana" w:hAnsi="Verdana" w:cs="Verdana"/>
          <w:bCs/>
          <w:sz w:val="20"/>
          <w:szCs w:val="20"/>
        </w:rPr>
        <w:t xml:space="preserve"> de manera concluyente. A la vez, se hace </w:t>
      </w:r>
      <w:r w:rsidR="00E811D3" w:rsidRPr="00996758">
        <w:rPr>
          <w:rFonts w:ascii="Verdana" w:hAnsi="Verdana" w:cs="Verdana"/>
          <w:bCs/>
          <w:sz w:val="20"/>
          <w:szCs w:val="20"/>
        </w:rPr>
        <w:t>notar, tal como señaló el Estado,</w:t>
      </w:r>
      <w:r w:rsidRPr="00996758">
        <w:rPr>
          <w:rFonts w:ascii="Verdana" w:hAnsi="Verdana" w:cs="Verdana"/>
          <w:bCs/>
          <w:sz w:val="20"/>
          <w:szCs w:val="20"/>
        </w:rPr>
        <w:t xml:space="preserve"> que </w:t>
      </w:r>
      <w:r w:rsidR="0020690A" w:rsidRPr="00996758">
        <w:rPr>
          <w:rFonts w:ascii="Verdana" w:hAnsi="Verdana" w:cs="Verdana"/>
          <w:bCs/>
          <w:sz w:val="20"/>
          <w:szCs w:val="20"/>
        </w:rPr>
        <w:t>en sus declaraciones</w:t>
      </w:r>
      <w:r w:rsidRPr="00996758">
        <w:rPr>
          <w:rFonts w:ascii="Verdana" w:hAnsi="Verdana" w:cs="Verdana"/>
          <w:bCs/>
          <w:sz w:val="20"/>
          <w:szCs w:val="20"/>
        </w:rPr>
        <w:t xml:space="preserve"> los otros tres detenidos </w:t>
      </w:r>
      <w:r w:rsidR="0093464A" w:rsidRPr="00996758">
        <w:rPr>
          <w:rFonts w:ascii="Verdana" w:hAnsi="Verdana"/>
          <w:sz w:val="20"/>
          <w:szCs w:val="20"/>
        </w:rPr>
        <w:t xml:space="preserve">que no fueron sustraídos </w:t>
      </w:r>
      <w:r w:rsidRPr="00996758">
        <w:rPr>
          <w:rFonts w:ascii="Verdana" w:hAnsi="Verdana" w:cs="Verdana"/>
          <w:bCs/>
          <w:sz w:val="20"/>
          <w:szCs w:val="20"/>
        </w:rPr>
        <w:t xml:space="preserve">no recordaron detalles específicos por la situación de temor en que se encontraban, temor que también fue expresado por aquel testigo. </w:t>
      </w:r>
      <w:r w:rsidR="00E07F91" w:rsidRPr="00996758">
        <w:rPr>
          <w:rFonts w:ascii="Verdana" w:hAnsi="Verdana" w:cs="Verdana"/>
          <w:bCs/>
          <w:sz w:val="20"/>
          <w:szCs w:val="20"/>
        </w:rPr>
        <w:t>De todos modos</w:t>
      </w:r>
      <w:r w:rsidRPr="00996758">
        <w:rPr>
          <w:rFonts w:ascii="Verdana" w:hAnsi="Verdana" w:cs="Verdana"/>
          <w:bCs/>
          <w:sz w:val="20"/>
          <w:szCs w:val="20"/>
        </w:rPr>
        <w:t xml:space="preserve">, respecto de </w:t>
      </w:r>
      <w:r w:rsidR="0093464A" w:rsidRPr="00996758">
        <w:rPr>
          <w:rFonts w:ascii="Verdana" w:hAnsi="Verdana"/>
          <w:sz w:val="20"/>
          <w:szCs w:val="20"/>
        </w:rPr>
        <w:t>esas cuatro</w:t>
      </w:r>
      <w:r w:rsidRPr="00996758">
        <w:rPr>
          <w:rFonts w:ascii="Verdana" w:hAnsi="Verdana"/>
          <w:sz w:val="20"/>
          <w:szCs w:val="20"/>
        </w:rPr>
        <w:t xml:space="preserve"> declaraciones, los representantes y el Estado coinciden en que sus versiones son contradictorias en varios sentidos o que ninguna es concluyente.</w:t>
      </w:r>
    </w:p>
    <w:p w:rsidR="00D159F7" w:rsidRPr="00996758" w:rsidRDefault="00D159F7" w:rsidP="00D159F7">
      <w:pPr>
        <w:pBdr>
          <w:top w:val="nil"/>
        </w:pBdr>
        <w:spacing w:after="0" w:line="240" w:lineRule="auto"/>
        <w:jc w:val="both"/>
        <w:rPr>
          <w:rFonts w:ascii="Verdana" w:hAnsi="Verdana" w:cs="Verdana"/>
          <w:bCs/>
          <w:sz w:val="20"/>
          <w:szCs w:val="20"/>
        </w:rPr>
      </w:pPr>
    </w:p>
    <w:p w:rsidR="00D159F7" w:rsidRPr="00996758" w:rsidRDefault="00D159F7" w:rsidP="00D159F7">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 xml:space="preserve">Otros testimonios afirman que los hechos fueron cometidos por paramilitares con connivencia de miembros de las Fuerzas Armadas, como el de la señora Carmenza Vélez, esposa del señor Isaza Uribe, y de algunos miembros de SUTIMAC. </w:t>
      </w:r>
      <w:r w:rsidR="00C10EB2" w:rsidRPr="00996758">
        <w:rPr>
          <w:rFonts w:ascii="Verdana" w:hAnsi="Verdana" w:cs="Verdana"/>
          <w:bCs/>
          <w:sz w:val="20"/>
          <w:szCs w:val="20"/>
        </w:rPr>
        <w:t>No obstante, tal como señaló</w:t>
      </w:r>
      <w:r w:rsidRPr="00996758">
        <w:rPr>
          <w:rFonts w:ascii="Verdana" w:hAnsi="Verdana" w:cs="Verdana"/>
          <w:bCs/>
          <w:sz w:val="20"/>
          <w:szCs w:val="20"/>
        </w:rPr>
        <w:t xml:space="preserve"> el Estado, tales declarantes no fueron testigos directos de los hechos sino “de oídas”, por lo cual tampoco ofrecen suficiente peso probatorio.</w:t>
      </w:r>
    </w:p>
    <w:p w:rsidR="00744CFC" w:rsidRPr="00996758" w:rsidRDefault="00744CFC" w:rsidP="00744CFC">
      <w:pPr>
        <w:pBdr>
          <w:top w:val="nil"/>
        </w:pBdr>
        <w:spacing w:after="0" w:line="240" w:lineRule="auto"/>
        <w:jc w:val="both"/>
        <w:rPr>
          <w:rFonts w:ascii="Verdana" w:hAnsi="Verdana" w:cs="Verdana"/>
          <w:bCs/>
          <w:sz w:val="20"/>
          <w:szCs w:val="20"/>
        </w:rPr>
      </w:pPr>
    </w:p>
    <w:p w:rsidR="00E07F91" w:rsidRPr="00996758" w:rsidRDefault="00C10EB2" w:rsidP="00E07F91">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Verdana"/>
          <w:bCs/>
          <w:sz w:val="20"/>
          <w:szCs w:val="20"/>
        </w:rPr>
        <w:t>En definitiva</w:t>
      </w:r>
      <w:r w:rsidR="00E07F91" w:rsidRPr="00996758">
        <w:rPr>
          <w:rFonts w:ascii="Verdana" w:hAnsi="Verdana" w:cs="Verdana"/>
          <w:bCs/>
          <w:sz w:val="20"/>
          <w:szCs w:val="20"/>
        </w:rPr>
        <w:t>,</w:t>
      </w:r>
      <w:r w:rsidR="003D19FA" w:rsidRPr="00996758">
        <w:rPr>
          <w:rFonts w:ascii="Verdana" w:hAnsi="Verdana" w:cs="Verdana"/>
          <w:bCs/>
          <w:sz w:val="20"/>
          <w:szCs w:val="20"/>
        </w:rPr>
        <w:t xml:space="preserve"> además de los ya señalados,</w:t>
      </w:r>
      <w:r w:rsidR="00E07F91" w:rsidRPr="00996758">
        <w:rPr>
          <w:rFonts w:ascii="Verdana" w:hAnsi="Verdana" w:cs="Verdana"/>
          <w:bCs/>
          <w:sz w:val="20"/>
          <w:szCs w:val="20"/>
        </w:rPr>
        <w:t xml:space="preserve"> los indicios de participación de miembros de grupos paramilitares en los hechos surgen </w:t>
      </w:r>
      <w:r w:rsidR="00E811D3" w:rsidRPr="00996758">
        <w:rPr>
          <w:rFonts w:ascii="Verdana" w:hAnsi="Verdana" w:cs="Verdana"/>
          <w:bCs/>
          <w:sz w:val="20"/>
          <w:szCs w:val="20"/>
        </w:rPr>
        <w:t>también</w:t>
      </w:r>
      <w:r w:rsidR="00E07F91" w:rsidRPr="00996758">
        <w:rPr>
          <w:rFonts w:ascii="Verdana" w:hAnsi="Verdana" w:cs="Verdana"/>
          <w:bCs/>
          <w:sz w:val="20"/>
          <w:szCs w:val="20"/>
        </w:rPr>
        <w:t xml:space="preserve"> claramente del contexto de violencia contra sindicalistas en Puerto Nare, específicamente </w:t>
      </w:r>
      <w:r w:rsidR="0020690A" w:rsidRPr="00996758">
        <w:rPr>
          <w:rFonts w:ascii="Verdana" w:hAnsi="Verdana" w:cs="Verdana"/>
          <w:bCs/>
          <w:sz w:val="20"/>
          <w:szCs w:val="20"/>
        </w:rPr>
        <w:t xml:space="preserve">contra miembros </w:t>
      </w:r>
      <w:r w:rsidR="00E07F91" w:rsidRPr="00996758">
        <w:rPr>
          <w:rFonts w:ascii="Verdana" w:hAnsi="Verdana" w:cs="Verdana"/>
          <w:bCs/>
          <w:sz w:val="20"/>
          <w:szCs w:val="20"/>
        </w:rPr>
        <w:t>de SUTIMAC, al cual pertenecía el señor Isaza Uribe</w:t>
      </w:r>
      <w:r w:rsidR="006B3574" w:rsidRPr="00996758">
        <w:rPr>
          <w:rFonts w:ascii="Verdana" w:hAnsi="Verdana" w:cs="Verdana"/>
          <w:bCs/>
          <w:sz w:val="20"/>
          <w:szCs w:val="20"/>
        </w:rPr>
        <w:t>, según se analiza a continuación</w:t>
      </w:r>
      <w:r w:rsidR="00E07F91" w:rsidRPr="00996758">
        <w:rPr>
          <w:rFonts w:ascii="Verdana" w:hAnsi="Verdana" w:cs="Verdana"/>
          <w:bCs/>
          <w:sz w:val="20"/>
          <w:szCs w:val="20"/>
        </w:rPr>
        <w:t>.</w:t>
      </w:r>
    </w:p>
    <w:p w:rsidR="00E07F91" w:rsidRPr="00996758" w:rsidRDefault="00E07F91" w:rsidP="00744CFC">
      <w:pPr>
        <w:pBdr>
          <w:top w:val="nil"/>
        </w:pBdr>
        <w:spacing w:after="0" w:line="240" w:lineRule="auto"/>
        <w:jc w:val="both"/>
        <w:rPr>
          <w:rFonts w:ascii="Verdana" w:hAnsi="Verdana" w:cs="Verdana"/>
          <w:bCs/>
          <w:sz w:val="20"/>
          <w:szCs w:val="20"/>
        </w:rPr>
      </w:pPr>
    </w:p>
    <w:p w:rsidR="00734E50" w:rsidRPr="00996758" w:rsidRDefault="00734E50" w:rsidP="00734E50">
      <w:pPr>
        <w:pBdr>
          <w:top w:val="nil"/>
        </w:pBdr>
        <w:spacing w:after="0" w:line="240" w:lineRule="auto"/>
        <w:ind w:left="2124" w:hanging="708"/>
        <w:jc w:val="both"/>
        <w:rPr>
          <w:rFonts w:ascii="Verdana" w:hAnsi="Verdana" w:cs="Verdana"/>
          <w:bCs/>
          <w:i/>
          <w:sz w:val="20"/>
          <w:szCs w:val="20"/>
        </w:rPr>
      </w:pPr>
      <w:r w:rsidRPr="00996758">
        <w:rPr>
          <w:rFonts w:ascii="Verdana" w:hAnsi="Verdana" w:cs="Verdana"/>
          <w:bCs/>
          <w:i/>
          <w:sz w:val="20"/>
          <w:szCs w:val="20"/>
        </w:rPr>
        <w:t>b.1</w:t>
      </w:r>
      <w:r w:rsidRPr="00996758">
        <w:rPr>
          <w:rFonts w:ascii="Verdana" w:hAnsi="Verdana" w:cs="Verdana"/>
          <w:bCs/>
          <w:i/>
          <w:sz w:val="20"/>
          <w:szCs w:val="20"/>
        </w:rPr>
        <w:tab/>
        <w:t>Violencia contra sindicalistas en relación con la doctrina militar contrainsurgente y paramilitarismo</w:t>
      </w:r>
    </w:p>
    <w:p w:rsidR="00734E50" w:rsidRPr="00996758" w:rsidRDefault="00734E50" w:rsidP="00744CFC">
      <w:pPr>
        <w:pBdr>
          <w:top w:val="nil"/>
        </w:pBdr>
        <w:spacing w:after="0" w:line="240" w:lineRule="auto"/>
        <w:jc w:val="both"/>
        <w:rPr>
          <w:rFonts w:ascii="Verdana" w:hAnsi="Verdana" w:cs="Verdana"/>
          <w:bCs/>
          <w:sz w:val="20"/>
          <w:szCs w:val="20"/>
        </w:rPr>
      </w:pPr>
    </w:p>
    <w:p w:rsidR="00E07F91" w:rsidRPr="00996758" w:rsidRDefault="00E07F91" w:rsidP="00E07F91">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cs="Verdana"/>
          <w:bCs/>
          <w:sz w:val="20"/>
          <w:szCs w:val="20"/>
        </w:rPr>
        <w:t>En términos generales, en su Segundo Informe sobre la Situación de los Derechos Humanos en Colombia de 1993, la Comisión</w:t>
      </w:r>
      <w:r w:rsidRPr="00996758">
        <w:rPr>
          <w:rFonts w:ascii="Verdana" w:hAnsi="Verdana" w:cs="Verdana"/>
          <w:color w:val="000000"/>
          <w:sz w:val="20"/>
          <w:szCs w:val="20"/>
        </w:rPr>
        <w:t xml:space="preserve"> documentó que desde la constitución de la Central </w:t>
      </w:r>
      <w:r w:rsidRPr="00996758">
        <w:rPr>
          <w:rFonts w:ascii="Verdana" w:hAnsi="Verdana" w:cs="Verdana"/>
          <w:color w:val="000000"/>
          <w:sz w:val="20"/>
          <w:szCs w:val="20"/>
        </w:rPr>
        <w:lastRenderedPageBreak/>
        <w:t>Unitaria de Trabajadores de Colombia (CUT) en noviembre de 1986 y hasta mayo de 1990, habían sido asesinados y desaparecidos 538 activistas y dirigentes sindicales en Colombia</w:t>
      </w:r>
      <w:r w:rsidRPr="00996758">
        <w:rPr>
          <w:rStyle w:val="FootnoteReference"/>
          <w:rFonts w:ascii="Verdana" w:hAnsi="Verdana"/>
          <w:sz w:val="20"/>
          <w:szCs w:val="20"/>
        </w:rPr>
        <w:footnoteReference w:id="120"/>
      </w:r>
      <w:r w:rsidRPr="00996758">
        <w:rPr>
          <w:rFonts w:ascii="Verdana" w:hAnsi="Verdana"/>
          <w:sz w:val="20"/>
          <w:szCs w:val="20"/>
        </w:rPr>
        <w:t>.</w:t>
      </w:r>
    </w:p>
    <w:p w:rsidR="002161AC" w:rsidRPr="00996758" w:rsidRDefault="002161AC" w:rsidP="002161AC">
      <w:pPr>
        <w:pBdr>
          <w:top w:val="nil"/>
        </w:pBdr>
        <w:spacing w:after="0" w:line="240" w:lineRule="auto"/>
        <w:jc w:val="both"/>
        <w:rPr>
          <w:rFonts w:ascii="Verdana" w:hAnsi="Verdana" w:cs="Verdana"/>
          <w:bCs/>
          <w:sz w:val="20"/>
          <w:szCs w:val="20"/>
        </w:rPr>
      </w:pPr>
    </w:p>
    <w:p w:rsidR="002161AC" w:rsidRPr="00996758" w:rsidRDefault="002161AC" w:rsidP="002161AC">
      <w:pPr>
        <w:numPr>
          <w:ilvl w:val="0"/>
          <w:numId w:val="10"/>
        </w:numPr>
        <w:pBdr>
          <w:top w:val="nil"/>
        </w:pBdr>
        <w:spacing w:after="0" w:line="240" w:lineRule="auto"/>
        <w:ind w:left="0" w:firstLine="0"/>
        <w:jc w:val="both"/>
        <w:rPr>
          <w:rFonts w:ascii="Verdana" w:eastAsia="Verdana" w:hAnsi="Verdana" w:cs="Verdana"/>
          <w:sz w:val="20"/>
          <w:szCs w:val="20"/>
        </w:rPr>
      </w:pPr>
      <w:r w:rsidRPr="00996758">
        <w:rPr>
          <w:rFonts w:ascii="Verdana" w:hAnsi="Verdana"/>
          <w:sz w:val="20"/>
          <w:szCs w:val="20"/>
        </w:rPr>
        <w:t>En este sentido, se planteó que</w:t>
      </w:r>
      <w:r w:rsidR="0020690A" w:rsidRPr="00996758">
        <w:rPr>
          <w:rFonts w:ascii="Verdana" w:hAnsi="Verdana"/>
          <w:sz w:val="20"/>
          <w:szCs w:val="20"/>
        </w:rPr>
        <w:t xml:space="preserve"> tal violencia tenía relación con</w:t>
      </w:r>
      <w:r w:rsidRPr="00996758">
        <w:rPr>
          <w:rFonts w:ascii="Verdana" w:hAnsi="Verdana" w:cs="Verdana"/>
          <w:bCs/>
          <w:sz w:val="20"/>
          <w:szCs w:val="20"/>
        </w:rPr>
        <w:t xml:space="preserve"> la identificación de sindicalistas dentro de</w:t>
      </w:r>
      <w:r w:rsidR="0020690A" w:rsidRPr="00996758">
        <w:rPr>
          <w:rFonts w:ascii="Verdana" w:hAnsi="Verdana" w:cs="Verdana"/>
          <w:bCs/>
          <w:sz w:val="20"/>
          <w:szCs w:val="20"/>
        </w:rPr>
        <w:t xml:space="preserve"> la noción de “enemigo interno”, lo que fue propiciado</w:t>
      </w:r>
      <w:r w:rsidRPr="00996758">
        <w:rPr>
          <w:rFonts w:ascii="Verdana" w:hAnsi="Verdana" w:cs="Verdana"/>
          <w:bCs/>
          <w:sz w:val="20"/>
          <w:szCs w:val="20"/>
        </w:rPr>
        <w:t xml:space="preserve"> por </w:t>
      </w:r>
      <w:r w:rsidRPr="00996758">
        <w:rPr>
          <w:rFonts w:ascii="Verdana" w:hAnsi="Verdana"/>
          <w:sz w:val="20"/>
          <w:szCs w:val="20"/>
        </w:rPr>
        <w:t>la llamada “doctrina de seguridad nacional”, acogida en el Decreto 3398 de 1965</w:t>
      </w:r>
      <w:r w:rsidRPr="00996758">
        <w:rPr>
          <w:rStyle w:val="FootnoteReference"/>
          <w:rFonts w:ascii="Verdana" w:hAnsi="Verdana"/>
          <w:sz w:val="20"/>
          <w:szCs w:val="20"/>
        </w:rPr>
        <w:footnoteReference w:id="121"/>
      </w:r>
      <w:r w:rsidRPr="00996758">
        <w:rPr>
          <w:rFonts w:ascii="Verdana" w:hAnsi="Verdana"/>
          <w:sz w:val="20"/>
          <w:szCs w:val="20"/>
        </w:rPr>
        <w:t xml:space="preserve"> y asumida por las Fuerzas Armadas </w:t>
      </w:r>
      <w:r w:rsidRPr="00996758">
        <w:rPr>
          <w:rFonts w:ascii="Verdana" w:hAnsi="Verdana" w:cs="Verdana"/>
          <w:bCs/>
          <w:sz w:val="20"/>
          <w:szCs w:val="20"/>
        </w:rPr>
        <w:t>desde principios</w:t>
      </w:r>
      <w:r w:rsidRPr="00996758">
        <w:rPr>
          <w:rFonts w:ascii="Verdana" w:hAnsi="Verdana"/>
          <w:sz w:val="20"/>
          <w:szCs w:val="20"/>
        </w:rPr>
        <w:t xml:space="preserve"> de los años sesenta, así como por </w:t>
      </w:r>
      <w:r w:rsidR="00E31C9B" w:rsidRPr="00996758">
        <w:rPr>
          <w:rFonts w:ascii="Verdana" w:hAnsi="Verdana"/>
          <w:sz w:val="20"/>
          <w:szCs w:val="20"/>
        </w:rPr>
        <w:t xml:space="preserve">los contenidos </w:t>
      </w:r>
      <w:r w:rsidRPr="00996758">
        <w:rPr>
          <w:rFonts w:ascii="Verdana" w:hAnsi="Verdana"/>
          <w:sz w:val="20"/>
          <w:szCs w:val="20"/>
        </w:rPr>
        <w:t xml:space="preserve">de </w:t>
      </w:r>
      <w:r w:rsidR="00E31C9B" w:rsidRPr="00996758">
        <w:rPr>
          <w:rFonts w:ascii="Verdana" w:hAnsi="Verdana"/>
          <w:sz w:val="20"/>
          <w:szCs w:val="20"/>
        </w:rPr>
        <w:t xml:space="preserve">varios </w:t>
      </w:r>
      <w:r w:rsidRPr="00996758">
        <w:rPr>
          <w:rFonts w:ascii="Verdana" w:hAnsi="Verdana"/>
          <w:sz w:val="20"/>
          <w:szCs w:val="20"/>
        </w:rPr>
        <w:t>reglamentos y manuales militares contraguerrillas</w:t>
      </w:r>
      <w:r w:rsidRPr="00996758">
        <w:rPr>
          <w:rStyle w:val="FootnoteReference"/>
          <w:rFonts w:ascii="Verdana" w:hAnsi="Verdana"/>
          <w:sz w:val="20"/>
          <w:szCs w:val="20"/>
        </w:rPr>
        <w:footnoteReference w:id="122"/>
      </w:r>
      <w:r w:rsidRPr="00996758">
        <w:rPr>
          <w:rFonts w:ascii="Verdana" w:eastAsia="Verdana" w:hAnsi="Verdana" w:cs="Verdana"/>
          <w:sz w:val="20"/>
          <w:szCs w:val="20"/>
        </w:rPr>
        <w:t>.</w:t>
      </w:r>
    </w:p>
    <w:p w:rsidR="002161AC" w:rsidRPr="00996758" w:rsidRDefault="002161AC" w:rsidP="002161AC">
      <w:pPr>
        <w:pBdr>
          <w:top w:val="nil"/>
        </w:pBdr>
        <w:spacing w:after="0" w:line="240" w:lineRule="auto"/>
        <w:jc w:val="both"/>
        <w:rPr>
          <w:rFonts w:ascii="Verdana" w:hAnsi="Verdana" w:cs="Verdana"/>
          <w:bCs/>
          <w:sz w:val="20"/>
          <w:szCs w:val="20"/>
        </w:rPr>
      </w:pPr>
    </w:p>
    <w:p w:rsidR="002161AC" w:rsidRPr="00996758" w:rsidRDefault="001C7D5A" w:rsidP="002161AC">
      <w:pPr>
        <w:numPr>
          <w:ilvl w:val="0"/>
          <w:numId w:val="10"/>
        </w:numPr>
        <w:pBdr>
          <w:top w:val="nil"/>
        </w:pBdr>
        <w:autoSpaceDE w:val="0"/>
        <w:autoSpaceDN w:val="0"/>
        <w:adjustRightInd w:val="0"/>
        <w:spacing w:after="0" w:line="240" w:lineRule="auto"/>
        <w:ind w:left="0" w:firstLine="0"/>
        <w:jc w:val="both"/>
        <w:rPr>
          <w:rFonts w:ascii="Verdana" w:hAnsi="Verdana" w:cs="Baskerville-Italic"/>
          <w:i/>
          <w:iCs/>
          <w:sz w:val="20"/>
          <w:szCs w:val="20"/>
        </w:rPr>
      </w:pPr>
      <w:r w:rsidRPr="00996758">
        <w:rPr>
          <w:rFonts w:ascii="Verdana" w:hAnsi="Verdana" w:cs="Times New Roman"/>
          <w:sz w:val="20"/>
          <w:szCs w:val="20"/>
        </w:rPr>
        <w:t>Al respecto</w:t>
      </w:r>
      <w:r w:rsidR="002161AC" w:rsidRPr="00996758">
        <w:rPr>
          <w:rFonts w:ascii="Verdana" w:hAnsi="Verdana" w:cs="Times New Roman"/>
          <w:sz w:val="20"/>
          <w:szCs w:val="20"/>
        </w:rPr>
        <w:t>, el perito Michael Reed manifestó que la conducción de las operaciones militares en la década</w:t>
      </w:r>
      <w:r w:rsidR="002161AC" w:rsidRPr="00996758">
        <w:rPr>
          <w:rFonts w:ascii="Verdana" w:hAnsi="Verdana" w:cs="Baskerville"/>
          <w:sz w:val="20"/>
          <w:szCs w:val="20"/>
        </w:rPr>
        <w:t xml:space="preserve"> de los ochenta del siglo XX en Colombia estuvo enmarcada en la doctrina de contrainsurgencia, la cual refleja contenidos de alta irregularidad tanto en la concepción de los blancos como de los métodos bélicos, pues la guerra </w:t>
      </w:r>
      <w:r w:rsidR="00E46F60" w:rsidRPr="00996758">
        <w:rPr>
          <w:rFonts w:ascii="Verdana" w:hAnsi="Verdana" w:cs="Baskerville"/>
          <w:sz w:val="20"/>
          <w:szCs w:val="20"/>
        </w:rPr>
        <w:t xml:space="preserve">y </w:t>
      </w:r>
      <w:r w:rsidR="002161AC" w:rsidRPr="00996758">
        <w:rPr>
          <w:rFonts w:ascii="Verdana" w:hAnsi="Verdana" w:cs="Baskerville"/>
          <w:sz w:val="20"/>
          <w:szCs w:val="20"/>
        </w:rPr>
        <w:t>las operaciones se dirigieron no solo en contra de grupos armados sino también en contra de la “población civil insurgente”, en una noción de enemigo etéreo y amplio que incluía a “</w:t>
      </w:r>
      <w:r w:rsidR="002161AC" w:rsidRPr="00996758">
        <w:rPr>
          <w:rFonts w:ascii="Verdana" w:hAnsi="Verdana" w:cs="Baskerville"/>
          <w:i/>
          <w:sz w:val="20"/>
          <w:szCs w:val="20"/>
        </w:rPr>
        <w:t>una masa heterogénea conformada por elementos provenientes de diferentes sectores y unificada a través de un proceso de actividad sicológica que logra su adhesión a las causas revolucionarias</w:t>
      </w:r>
      <w:r w:rsidR="00775E40" w:rsidRPr="00996758">
        <w:rPr>
          <w:rFonts w:ascii="Verdana" w:hAnsi="Verdana" w:cs="Baskerville"/>
          <w:i/>
          <w:sz w:val="20"/>
          <w:szCs w:val="20"/>
        </w:rPr>
        <w:t>”</w:t>
      </w:r>
      <w:r w:rsidR="002161AC" w:rsidRPr="00996758">
        <w:rPr>
          <w:rStyle w:val="FootnoteReference"/>
          <w:rFonts w:ascii="Verdana" w:hAnsi="Verdana" w:cs="Baskerville"/>
          <w:sz w:val="20"/>
          <w:szCs w:val="20"/>
        </w:rPr>
        <w:footnoteReference w:id="123"/>
      </w:r>
      <w:r w:rsidR="002161AC" w:rsidRPr="00996758">
        <w:rPr>
          <w:rFonts w:ascii="Verdana" w:hAnsi="Verdana" w:cs="Baskerville"/>
          <w:sz w:val="20"/>
          <w:szCs w:val="20"/>
        </w:rPr>
        <w:t xml:space="preserve">. </w:t>
      </w:r>
      <w:r w:rsidR="00775E40" w:rsidRPr="00996758">
        <w:rPr>
          <w:rFonts w:ascii="Verdana" w:hAnsi="Verdana" w:cs="Baskerville"/>
          <w:sz w:val="20"/>
          <w:szCs w:val="20"/>
        </w:rPr>
        <w:t xml:space="preserve">De ese modo, </w:t>
      </w:r>
      <w:r w:rsidR="002161AC" w:rsidRPr="00996758">
        <w:rPr>
          <w:rFonts w:ascii="Verdana" w:hAnsi="Verdana" w:cs="Baskerville"/>
          <w:sz w:val="20"/>
          <w:szCs w:val="20"/>
        </w:rPr>
        <w:t xml:space="preserve">en el marco de la actuación </w:t>
      </w:r>
      <w:r w:rsidR="00F56C1F" w:rsidRPr="00996758">
        <w:rPr>
          <w:rFonts w:ascii="Verdana" w:hAnsi="Verdana" w:cs="Baskerville"/>
          <w:sz w:val="20"/>
          <w:szCs w:val="20"/>
        </w:rPr>
        <w:t xml:space="preserve">militar </w:t>
      </w:r>
      <w:r w:rsidR="002161AC" w:rsidRPr="00996758">
        <w:rPr>
          <w:rFonts w:ascii="Verdana" w:hAnsi="Verdana" w:cs="Baskerville"/>
          <w:sz w:val="20"/>
          <w:szCs w:val="20"/>
        </w:rPr>
        <w:t>contrainsurgente, las acciones de manifestación política y social, propias de partidos políticos de op</w:t>
      </w:r>
      <w:r w:rsidRPr="00996758">
        <w:rPr>
          <w:rFonts w:ascii="Verdana" w:hAnsi="Verdana" w:cs="Baskerville"/>
          <w:sz w:val="20"/>
          <w:szCs w:val="20"/>
        </w:rPr>
        <w:t>osición o de movimientos obrero-sindicales</w:t>
      </w:r>
      <w:r w:rsidR="002161AC" w:rsidRPr="00996758">
        <w:rPr>
          <w:rFonts w:ascii="Verdana" w:hAnsi="Verdana" w:cs="Baskerville"/>
          <w:sz w:val="20"/>
          <w:szCs w:val="20"/>
        </w:rPr>
        <w:t>, campesinos o estudiantiles, eran vistas como parte integral del “conflicto subversivo” y se identifica</w:t>
      </w:r>
      <w:r w:rsidRPr="00996758">
        <w:rPr>
          <w:rFonts w:ascii="Verdana" w:hAnsi="Verdana" w:cs="Baskerville"/>
          <w:sz w:val="20"/>
          <w:szCs w:val="20"/>
        </w:rPr>
        <w:t>ba</w:t>
      </w:r>
      <w:r w:rsidR="002161AC" w:rsidRPr="00996758">
        <w:rPr>
          <w:rFonts w:ascii="Verdana" w:hAnsi="Verdana" w:cs="Baskerville"/>
          <w:sz w:val="20"/>
          <w:szCs w:val="20"/>
        </w:rPr>
        <w:t xml:space="preserve"> un componente civil de la fuerza revolucionaria como blanco de las operaciones militares</w:t>
      </w:r>
      <w:r w:rsidR="002161AC" w:rsidRPr="00996758">
        <w:rPr>
          <w:rStyle w:val="FootnoteReference"/>
          <w:rFonts w:ascii="Verdana" w:hAnsi="Verdana" w:cs="Baskerville"/>
          <w:sz w:val="20"/>
          <w:szCs w:val="20"/>
        </w:rPr>
        <w:footnoteReference w:id="124"/>
      </w:r>
      <w:r w:rsidR="002161AC" w:rsidRPr="00996758">
        <w:rPr>
          <w:rFonts w:ascii="Verdana" w:hAnsi="Verdana" w:cs="Baskerville"/>
          <w:sz w:val="20"/>
          <w:szCs w:val="20"/>
        </w:rPr>
        <w:t xml:space="preserve">. Además, tales reglamentos y </w:t>
      </w:r>
      <w:r w:rsidR="002161AC" w:rsidRPr="00996758">
        <w:rPr>
          <w:rFonts w:ascii="Verdana" w:hAnsi="Verdana" w:cs="Baskerville"/>
          <w:sz w:val="20"/>
          <w:szCs w:val="20"/>
        </w:rPr>
        <w:lastRenderedPageBreak/>
        <w:t>manuales adopta</w:t>
      </w:r>
      <w:r w:rsidR="003D1208" w:rsidRPr="00996758">
        <w:rPr>
          <w:rFonts w:ascii="Verdana" w:hAnsi="Verdana" w:cs="Baskerville"/>
          <w:sz w:val="20"/>
          <w:szCs w:val="20"/>
        </w:rPr>
        <w:t>ro</w:t>
      </w:r>
      <w:r w:rsidR="002161AC" w:rsidRPr="00996758">
        <w:rPr>
          <w:rFonts w:ascii="Verdana" w:hAnsi="Verdana" w:cs="Baskerville"/>
          <w:sz w:val="20"/>
          <w:szCs w:val="20"/>
        </w:rPr>
        <w:t>n como método de operación “organizar en forma militar a la población civil”, incluyendo la conformación de grupos paramilitares, denominados entonces “juntas de autodefensa”</w:t>
      </w:r>
      <w:r w:rsidR="002161AC" w:rsidRPr="00996758">
        <w:rPr>
          <w:rStyle w:val="FootnoteReference"/>
          <w:rFonts w:ascii="Verdana" w:hAnsi="Verdana" w:cs="Baskerville"/>
          <w:sz w:val="20"/>
          <w:szCs w:val="20"/>
        </w:rPr>
        <w:footnoteReference w:id="125"/>
      </w:r>
      <w:r w:rsidR="002161AC" w:rsidRPr="00996758">
        <w:rPr>
          <w:rFonts w:ascii="Verdana" w:hAnsi="Verdana" w:cs="Baskerville"/>
          <w:sz w:val="20"/>
          <w:szCs w:val="20"/>
        </w:rPr>
        <w:t xml:space="preserve">, descripción a la que responden los grupos organizados por el Ejército en zonas como el Magdalena Medio en los años ochenta. Es decir, que el Ejército tenía como política y práctica, en el marco de sus operaciones contrainsurgentes, el auspicio, la conformación, la dotación y el control de grupos paramilitares y, bajo el amparo de la “negación plausible”, se adelantaron acciones de </w:t>
      </w:r>
      <w:r w:rsidRPr="00996758">
        <w:rPr>
          <w:rFonts w:ascii="Verdana" w:hAnsi="Verdana" w:cs="Baskerville"/>
          <w:sz w:val="20"/>
          <w:szCs w:val="20"/>
        </w:rPr>
        <w:t>“</w:t>
      </w:r>
      <w:r w:rsidR="002161AC" w:rsidRPr="00996758">
        <w:rPr>
          <w:rFonts w:ascii="Verdana" w:hAnsi="Verdana" w:cs="Baskerville"/>
          <w:sz w:val="20"/>
          <w:szCs w:val="20"/>
        </w:rPr>
        <w:t>guerra sucia</w:t>
      </w:r>
      <w:r w:rsidRPr="00996758">
        <w:rPr>
          <w:rFonts w:ascii="Verdana" w:hAnsi="Verdana" w:cs="Baskerville"/>
          <w:sz w:val="20"/>
          <w:szCs w:val="20"/>
        </w:rPr>
        <w:t>”</w:t>
      </w:r>
      <w:r w:rsidR="002161AC" w:rsidRPr="00996758">
        <w:rPr>
          <w:rFonts w:ascii="Verdana" w:hAnsi="Verdana" w:cs="Baskerville"/>
          <w:sz w:val="20"/>
          <w:szCs w:val="20"/>
        </w:rPr>
        <w:t xml:space="preserve"> que incluyeron ejecuciones, desapariciones y tortura a personas que hacían parte, según la doctrina, de la “población civil insurgente”</w:t>
      </w:r>
      <w:r w:rsidR="002161AC" w:rsidRPr="00996758">
        <w:rPr>
          <w:rStyle w:val="FootnoteReference"/>
          <w:rFonts w:ascii="Verdana" w:hAnsi="Verdana" w:cs="Baskerville"/>
          <w:sz w:val="20"/>
          <w:szCs w:val="20"/>
        </w:rPr>
        <w:footnoteReference w:id="126"/>
      </w:r>
      <w:r w:rsidR="002161AC" w:rsidRPr="00996758">
        <w:rPr>
          <w:rFonts w:ascii="Verdana" w:hAnsi="Verdana" w:cs="Baskerville"/>
          <w:sz w:val="20"/>
          <w:szCs w:val="20"/>
        </w:rPr>
        <w:t>.</w:t>
      </w:r>
    </w:p>
    <w:p w:rsidR="001C7D5A" w:rsidRPr="00996758" w:rsidRDefault="001C7D5A" w:rsidP="001C7D5A">
      <w:pPr>
        <w:pBdr>
          <w:top w:val="nil"/>
        </w:pBdr>
        <w:autoSpaceDE w:val="0"/>
        <w:autoSpaceDN w:val="0"/>
        <w:adjustRightInd w:val="0"/>
        <w:spacing w:after="0" w:line="240" w:lineRule="auto"/>
        <w:jc w:val="both"/>
        <w:rPr>
          <w:rFonts w:ascii="Verdana" w:hAnsi="Verdana" w:cs="Baskerville-Italic"/>
          <w:i/>
          <w:iCs/>
          <w:sz w:val="20"/>
          <w:szCs w:val="20"/>
        </w:rPr>
      </w:pPr>
    </w:p>
    <w:p w:rsidR="002161AC" w:rsidRPr="00996758" w:rsidRDefault="002161AC" w:rsidP="002161AC">
      <w:pPr>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rPr>
      </w:pPr>
      <w:r w:rsidRPr="00996758">
        <w:rPr>
          <w:rFonts w:ascii="Verdana" w:hAnsi="Verdana"/>
          <w:sz w:val="20"/>
          <w:szCs w:val="20"/>
        </w:rPr>
        <w:t>El perito Alberto Yepes</w:t>
      </w:r>
      <w:r w:rsidR="007D4693" w:rsidRPr="00996758">
        <w:rPr>
          <w:rFonts w:ascii="Verdana" w:hAnsi="Verdana"/>
          <w:sz w:val="20"/>
          <w:szCs w:val="20"/>
        </w:rPr>
        <w:t xml:space="preserve"> Palacio</w:t>
      </w:r>
      <w:r w:rsidRPr="00996758">
        <w:rPr>
          <w:rFonts w:ascii="Verdana" w:hAnsi="Verdana"/>
          <w:sz w:val="20"/>
          <w:szCs w:val="20"/>
        </w:rPr>
        <w:t xml:space="preserve"> s</w:t>
      </w:r>
      <w:r w:rsidRPr="00996758">
        <w:rPr>
          <w:rFonts w:ascii="Verdana" w:hAnsi="Verdana" w:cs="Times New Roman"/>
          <w:sz w:val="20"/>
          <w:szCs w:val="20"/>
        </w:rPr>
        <w:t>eñaló que, “dado el auge de los movimientos sociales y sindicales desde mediados de los años 70 en Colombia y la influencia que las ideas comunistas y de izquierda tuvieron en el movimiento sindical, distintos gobiernos y especialmente las fuerzas militares percibieron al movimiento sindical como una expresión del ‘comunismo internacional’ y como parte integrante del ‘enemigo interno’</w:t>
      </w:r>
      <w:r w:rsidR="00FC07D5" w:rsidRPr="00996758">
        <w:rPr>
          <w:rFonts w:ascii="Verdana" w:hAnsi="Verdana" w:cs="Times New Roman"/>
          <w:sz w:val="20"/>
          <w:szCs w:val="20"/>
        </w:rPr>
        <w:t>”</w:t>
      </w:r>
      <w:r w:rsidRPr="00996758">
        <w:rPr>
          <w:rFonts w:ascii="Verdana" w:hAnsi="Verdana" w:cs="Times New Roman"/>
          <w:sz w:val="20"/>
          <w:szCs w:val="20"/>
        </w:rPr>
        <w:t>. Así, en aplicación de tal doctrina, “las Fuerzas Armadas y sus aliados paramilitares han aplicado una estrategia de contrainsurgencia con la que se ha intentado privar a la guerrilla de todo apoyo real e imaginario de la población civil [y e]l terror es parte fundamental de esa estrategia”.</w:t>
      </w:r>
      <w:r w:rsidR="00E46F60" w:rsidRPr="00996758">
        <w:rPr>
          <w:rFonts w:ascii="Verdana" w:hAnsi="Verdana" w:cs="Times New Roman"/>
          <w:sz w:val="20"/>
          <w:szCs w:val="20"/>
        </w:rPr>
        <w:t xml:space="preserve"> E</w:t>
      </w:r>
      <w:r w:rsidRPr="00996758">
        <w:rPr>
          <w:rFonts w:ascii="Verdana" w:hAnsi="Verdana" w:cs="Times New Roman"/>
          <w:sz w:val="20"/>
          <w:szCs w:val="20"/>
        </w:rPr>
        <w:t xml:space="preserve">se concepto de enemigo interno </w:t>
      </w:r>
      <w:r w:rsidR="00E46F60" w:rsidRPr="00996758">
        <w:rPr>
          <w:rFonts w:ascii="Verdana" w:hAnsi="Verdana" w:cs="Times New Roman"/>
          <w:sz w:val="20"/>
          <w:szCs w:val="20"/>
        </w:rPr>
        <w:t>“</w:t>
      </w:r>
      <w:r w:rsidRPr="00996758">
        <w:rPr>
          <w:rFonts w:ascii="Verdana" w:hAnsi="Verdana" w:cs="Times New Roman"/>
          <w:sz w:val="20"/>
          <w:szCs w:val="20"/>
        </w:rPr>
        <w:t>se extendió a toda forma de oposición política o social y de disidencia”, según revelan también numerosos mandos militares colombianos</w:t>
      </w:r>
      <w:r w:rsidRPr="00996758">
        <w:rPr>
          <w:rStyle w:val="FootnoteReference"/>
          <w:rFonts w:ascii="Verdana" w:hAnsi="Verdana" w:cs="Times New Roman"/>
          <w:sz w:val="20"/>
          <w:szCs w:val="20"/>
        </w:rPr>
        <w:footnoteReference w:id="127"/>
      </w:r>
      <w:r w:rsidR="00E46F60" w:rsidRPr="00996758">
        <w:rPr>
          <w:rFonts w:ascii="Verdana" w:hAnsi="Verdana" w:cs="Times New Roman"/>
          <w:sz w:val="20"/>
          <w:szCs w:val="20"/>
        </w:rPr>
        <w:t xml:space="preserve">, y fue </w:t>
      </w:r>
      <w:r w:rsidRPr="00996758">
        <w:rPr>
          <w:rFonts w:ascii="Verdana" w:hAnsi="Verdana" w:cs="Times New Roman"/>
          <w:sz w:val="20"/>
          <w:szCs w:val="20"/>
        </w:rPr>
        <w:t>“notorio que la actividad sindical fue considerada co</w:t>
      </w:r>
      <w:r w:rsidR="00E46F60" w:rsidRPr="00996758">
        <w:rPr>
          <w:rFonts w:ascii="Verdana" w:hAnsi="Verdana" w:cs="Times New Roman"/>
          <w:sz w:val="20"/>
          <w:szCs w:val="20"/>
        </w:rPr>
        <w:t>mo estrategia de la subversión</w:t>
      </w:r>
      <w:r w:rsidRPr="00996758">
        <w:rPr>
          <w:rFonts w:ascii="Verdana" w:hAnsi="Verdana" w:cs="Times New Roman"/>
          <w:sz w:val="20"/>
          <w:szCs w:val="20"/>
        </w:rPr>
        <w:t>”</w:t>
      </w:r>
      <w:r w:rsidRPr="00996758">
        <w:rPr>
          <w:rStyle w:val="FootnoteReference"/>
          <w:rFonts w:ascii="Verdana" w:hAnsi="Verdana" w:cs="Times New Roman"/>
          <w:sz w:val="20"/>
          <w:szCs w:val="20"/>
        </w:rPr>
        <w:footnoteReference w:id="128"/>
      </w:r>
      <w:r w:rsidRPr="00996758">
        <w:rPr>
          <w:rFonts w:ascii="Verdana" w:hAnsi="Verdana" w:cs="Times New Roman"/>
          <w:sz w:val="20"/>
          <w:szCs w:val="20"/>
        </w:rPr>
        <w:t>.</w:t>
      </w:r>
    </w:p>
    <w:p w:rsidR="002161AC" w:rsidRPr="00996758" w:rsidRDefault="002161AC" w:rsidP="002161AC">
      <w:pPr>
        <w:pBdr>
          <w:top w:val="nil"/>
        </w:pBdr>
        <w:spacing w:after="0" w:line="240" w:lineRule="auto"/>
        <w:jc w:val="both"/>
        <w:rPr>
          <w:rFonts w:ascii="Verdana" w:hAnsi="Verdana"/>
          <w:sz w:val="20"/>
          <w:szCs w:val="20"/>
        </w:rPr>
      </w:pPr>
    </w:p>
    <w:p w:rsidR="002161AC" w:rsidRPr="00996758" w:rsidRDefault="002161AC" w:rsidP="002161AC">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Tal noción de “enemigo interno” dentro de la doctrina de seguridad nacional</w:t>
      </w:r>
      <w:r w:rsidR="0020690A" w:rsidRPr="00996758">
        <w:rPr>
          <w:rFonts w:ascii="Verdana" w:hAnsi="Verdana"/>
          <w:sz w:val="20"/>
          <w:szCs w:val="20"/>
        </w:rPr>
        <w:t xml:space="preserve"> también</w:t>
      </w:r>
      <w:r w:rsidRPr="00996758">
        <w:rPr>
          <w:rFonts w:ascii="Verdana" w:hAnsi="Verdana"/>
          <w:sz w:val="20"/>
          <w:szCs w:val="20"/>
        </w:rPr>
        <w:t xml:space="preserve"> fue documentada en 1994 en un Informe Conjunto de dos Relatores Especiales de Naciones Unidas que</w:t>
      </w:r>
      <w:r w:rsidR="0020690A" w:rsidRPr="00996758">
        <w:rPr>
          <w:rFonts w:ascii="Verdana" w:hAnsi="Verdana"/>
          <w:sz w:val="20"/>
          <w:szCs w:val="20"/>
        </w:rPr>
        <w:t>,</w:t>
      </w:r>
      <w:r w:rsidRPr="00996758">
        <w:rPr>
          <w:rFonts w:ascii="Verdana" w:hAnsi="Verdana"/>
          <w:sz w:val="20"/>
          <w:szCs w:val="20"/>
        </w:rPr>
        <w:t xml:space="preserve"> </w:t>
      </w:r>
      <w:r w:rsidR="0020690A" w:rsidRPr="00996758">
        <w:rPr>
          <w:rFonts w:ascii="Verdana" w:hAnsi="Verdana"/>
          <w:sz w:val="20"/>
          <w:szCs w:val="20"/>
        </w:rPr>
        <w:t xml:space="preserve">tras su visita a Colombia, </w:t>
      </w:r>
      <w:r w:rsidRPr="00996758">
        <w:rPr>
          <w:rFonts w:ascii="Verdana" w:hAnsi="Verdana"/>
          <w:sz w:val="20"/>
          <w:szCs w:val="20"/>
        </w:rPr>
        <w:t xml:space="preserve">indicaron: </w:t>
      </w:r>
    </w:p>
    <w:p w:rsidR="002161AC" w:rsidRPr="00996758" w:rsidRDefault="002161AC" w:rsidP="002161AC">
      <w:pPr>
        <w:pBdr>
          <w:top w:val="nil"/>
        </w:pBdr>
        <w:spacing w:after="0" w:line="240" w:lineRule="auto"/>
        <w:jc w:val="both"/>
        <w:rPr>
          <w:rFonts w:ascii="Verdana" w:hAnsi="Verdana"/>
          <w:sz w:val="20"/>
          <w:szCs w:val="20"/>
        </w:rPr>
      </w:pPr>
    </w:p>
    <w:p w:rsidR="002161AC" w:rsidRPr="00996758" w:rsidRDefault="002161AC" w:rsidP="002161AC">
      <w:pPr>
        <w:pBdr>
          <w:top w:val="nil"/>
        </w:pBdr>
        <w:spacing w:after="0" w:line="240" w:lineRule="auto"/>
        <w:ind w:left="708"/>
        <w:jc w:val="both"/>
        <w:rPr>
          <w:rFonts w:ascii="Verdana" w:hAnsi="Verdana"/>
          <w:sz w:val="16"/>
          <w:szCs w:val="16"/>
        </w:rPr>
      </w:pPr>
      <w:r w:rsidRPr="00996758">
        <w:rPr>
          <w:rFonts w:ascii="Verdana" w:hAnsi="Verdana"/>
          <w:sz w:val="16"/>
          <w:szCs w:val="16"/>
        </w:rPr>
        <w:t xml:space="preserve">Las fuerzas armadas continúan aplicando, al parecer, una estrategia antisubversiva basada en el concepto de la ‘seguridad nacional’, en virtud del cual toda persona de la que se sabe o se sospecha que está vinculada a los guerrilleros es considerada como un enemigo interno. </w:t>
      </w:r>
      <w:r w:rsidR="00F56C1F" w:rsidRPr="00996758">
        <w:rPr>
          <w:rFonts w:ascii="Verdana" w:hAnsi="Verdana"/>
          <w:sz w:val="16"/>
          <w:szCs w:val="16"/>
        </w:rPr>
        <w:t>[… E]</w:t>
      </w:r>
      <w:r w:rsidRPr="00996758">
        <w:rPr>
          <w:rFonts w:ascii="Verdana" w:hAnsi="Verdana"/>
          <w:sz w:val="16"/>
          <w:szCs w:val="16"/>
        </w:rPr>
        <w:t xml:space="preserve">n las zonas calificadas de ‘zonas rojas’, donde actúan los insurgentes y tienen lugar enfrentamientos armados, las fuerzas de seguridad consideran que prácticamente todos los civiles son colaboradores de la subversión (…) La categoría de ‘enemigo interno’, aplicada a toda </w:t>
      </w:r>
      <w:r w:rsidRPr="00996758">
        <w:rPr>
          <w:rFonts w:ascii="Verdana" w:hAnsi="Verdana"/>
          <w:sz w:val="16"/>
          <w:szCs w:val="16"/>
        </w:rPr>
        <w:lastRenderedPageBreak/>
        <w:t>persona de la que se considera que apoya a la guerrilla de una u otra forma (incluso si los insurgentes utilizan la fuerza para obtener, por ejemplo, alimentos o dinero de los civiles), se ha hecho extensiva, al parecer, a todos los que expresan insatisfacción ante la situación política, económica y social, sobre todo en las zonas rurales. En consecuencia, los dirigentes y miembros de sindicatos, partidos políticos de la oposición política, organizaciones de derechos humanos, trabajadores sociales, etc., han sido, junto con los campesinos, las víctimas principales de las violaciones de los derechos humanos en zonas de conflicto armado</w:t>
      </w:r>
      <w:r w:rsidRPr="00996758">
        <w:rPr>
          <w:rStyle w:val="FootnoteReference"/>
          <w:rFonts w:ascii="Verdana" w:hAnsi="Verdana"/>
          <w:sz w:val="16"/>
          <w:szCs w:val="16"/>
        </w:rPr>
        <w:footnoteReference w:id="129"/>
      </w:r>
      <w:r w:rsidRPr="00996758">
        <w:rPr>
          <w:rFonts w:ascii="Verdana" w:hAnsi="Verdana"/>
          <w:sz w:val="16"/>
          <w:szCs w:val="16"/>
        </w:rPr>
        <w:t xml:space="preserve">. </w:t>
      </w:r>
    </w:p>
    <w:p w:rsidR="002161AC" w:rsidRPr="00996758" w:rsidRDefault="002161AC" w:rsidP="002161AC">
      <w:pPr>
        <w:pBdr>
          <w:top w:val="nil"/>
        </w:pBdr>
        <w:spacing w:after="0" w:line="240" w:lineRule="auto"/>
        <w:jc w:val="both"/>
        <w:rPr>
          <w:rFonts w:ascii="Verdana" w:hAnsi="Verdana"/>
          <w:sz w:val="20"/>
          <w:szCs w:val="20"/>
        </w:rPr>
      </w:pPr>
    </w:p>
    <w:p w:rsidR="00E07F91" w:rsidRPr="00996758" w:rsidRDefault="002161AC" w:rsidP="003D1208">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cs="Times New Roman"/>
          <w:sz w:val="20"/>
          <w:szCs w:val="20"/>
        </w:rPr>
        <w:t xml:space="preserve">De este modo, </w:t>
      </w:r>
      <w:r w:rsidR="006631B0" w:rsidRPr="00996758">
        <w:rPr>
          <w:rFonts w:ascii="Verdana" w:hAnsi="Verdana" w:cs="Times New Roman"/>
          <w:sz w:val="20"/>
          <w:szCs w:val="20"/>
        </w:rPr>
        <w:t>ha sido documentado</w:t>
      </w:r>
      <w:r w:rsidRPr="00996758">
        <w:rPr>
          <w:rFonts w:ascii="Verdana" w:hAnsi="Verdana" w:cs="Times New Roman"/>
          <w:sz w:val="20"/>
          <w:szCs w:val="20"/>
        </w:rPr>
        <w:t xml:space="preserve"> que</w:t>
      </w:r>
      <w:r w:rsidR="006631B0" w:rsidRPr="00996758">
        <w:rPr>
          <w:rFonts w:ascii="Verdana" w:hAnsi="Verdana" w:cs="Times New Roman"/>
          <w:sz w:val="20"/>
          <w:szCs w:val="20"/>
        </w:rPr>
        <w:t>,</w:t>
      </w:r>
      <w:r w:rsidRPr="00996758">
        <w:rPr>
          <w:rFonts w:ascii="Verdana" w:hAnsi="Verdana" w:cs="Times New Roman"/>
          <w:sz w:val="20"/>
          <w:szCs w:val="20"/>
        </w:rPr>
        <w:t xml:space="preserve"> </w:t>
      </w:r>
      <w:r w:rsidR="0020690A" w:rsidRPr="00996758">
        <w:rPr>
          <w:rFonts w:ascii="Verdana" w:hAnsi="Verdana" w:cs="Times New Roman"/>
          <w:sz w:val="20"/>
          <w:szCs w:val="20"/>
        </w:rPr>
        <w:t>desde la doctrina</w:t>
      </w:r>
      <w:r w:rsidRPr="00996758">
        <w:rPr>
          <w:rFonts w:ascii="Verdana" w:hAnsi="Verdana" w:cs="Times New Roman"/>
          <w:sz w:val="20"/>
          <w:szCs w:val="20"/>
        </w:rPr>
        <w:t xml:space="preserve"> mil</w:t>
      </w:r>
      <w:r w:rsidR="0020690A" w:rsidRPr="00996758">
        <w:rPr>
          <w:rFonts w:ascii="Verdana" w:hAnsi="Verdana" w:cs="Times New Roman"/>
          <w:sz w:val="20"/>
          <w:szCs w:val="20"/>
        </w:rPr>
        <w:t>itar contrainsurgente vigente</w:t>
      </w:r>
      <w:r w:rsidRPr="00996758">
        <w:rPr>
          <w:rFonts w:ascii="Verdana" w:hAnsi="Verdana" w:cs="Times New Roman"/>
          <w:sz w:val="20"/>
          <w:szCs w:val="20"/>
        </w:rPr>
        <w:t xml:space="preserve"> para la época de los </w:t>
      </w:r>
      <w:r w:rsidRPr="00996758">
        <w:rPr>
          <w:rFonts w:ascii="Verdana" w:hAnsi="Verdana" w:cs="Verdana"/>
          <w:sz w:val="20"/>
          <w:szCs w:val="20"/>
        </w:rPr>
        <w:t>hechos</w:t>
      </w:r>
      <w:r w:rsidR="006631B0" w:rsidRPr="00996758">
        <w:rPr>
          <w:rFonts w:ascii="Verdana" w:hAnsi="Verdana" w:cs="Verdana"/>
          <w:sz w:val="20"/>
          <w:szCs w:val="20"/>
        </w:rPr>
        <w:t>,</w:t>
      </w:r>
      <w:r w:rsidRPr="00996758">
        <w:rPr>
          <w:rFonts w:ascii="Verdana" w:hAnsi="Verdana" w:cs="Times New Roman"/>
          <w:sz w:val="20"/>
          <w:szCs w:val="20"/>
        </w:rPr>
        <w:t xml:space="preserve"> </w:t>
      </w:r>
      <w:r w:rsidR="0020690A" w:rsidRPr="00996758">
        <w:rPr>
          <w:rFonts w:ascii="Verdana" w:hAnsi="Verdana" w:cs="Times New Roman"/>
          <w:sz w:val="20"/>
          <w:szCs w:val="20"/>
        </w:rPr>
        <w:t>se promovía</w:t>
      </w:r>
      <w:r w:rsidRPr="00996758">
        <w:rPr>
          <w:rFonts w:ascii="Verdana" w:hAnsi="Verdana" w:cs="Times New Roman"/>
          <w:sz w:val="20"/>
          <w:szCs w:val="20"/>
        </w:rPr>
        <w:t xml:space="preserve">, por un lado, </w:t>
      </w:r>
      <w:r w:rsidR="0020690A" w:rsidRPr="00996758">
        <w:rPr>
          <w:rFonts w:ascii="Verdana" w:hAnsi="Verdana" w:cs="Times New Roman"/>
          <w:sz w:val="20"/>
          <w:szCs w:val="20"/>
        </w:rPr>
        <w:t xml:space="preserve">la activación de </w:t>
      </w:r>
      <w:r w:rsidRPr="00996758">
        <w:rPr>
          <w:rFonts w:ascii="Verdana" w:hAnsi="Verdana" w:cs="Times New Roman"/>
          <w:sz w:val="20"/>
          <w:szCs w:val="20"/>
        </w:rPr>
        <w:t>grupos paramilitares para combatir un “enemigo” que, por otro</w:t>
      </w:r>
      <w:r w:rsidR="0020690A" w:rsidRPr="00996758">
        <w:rPr>
          <w:rFonts w:ascii="Verdana" w:hAnsi="Verdana" w:cs="Times New Roman"/>
          <w:sz w:val="20"/>
          <w:szCs w:val="20"/>
        </w:rPr>
        <w:t xml:space="preserve"> lado</w:t>
      </w:r>
      <w:r w:rsidRPr="00996758">
        <w:rPr>
          <w:rFonts w:ascii="Verdana" w:hAnsi="Verdana" w:cs="Times New Roman"/>
          <w:sz w:val="20"/>
          <w:szCs w:val="20"/>
        </w:rPr>
        <w:t xml:space="preserve">, incluía a personas y organizaciones que ejercían o reclamaban sus derechos a través de la acción colectiva. </w:t>
      </w:r>
      <w:r w:rsidR="00FC07D5" w:rsidRPr="00996758">
        <w:rPr>
          <w:rFonts w:ascii="Verdana" w:hAnsi="Verdana" w:cs="Times New Roman"/>
          <w:sz w:val="20"/>
          <w:szCs w:val="20"/>
        </w:rPr>
        <w:t>T</w:t>
      </w:r>
      <w:r w:rsidRPr="00996758">
        <w:rPr>
          <w:rFonts w:ascii="Verdana" w:hAnsi="Verdana" w:cs="Times New Roman"/>
          <w:sz w:val="20"/>
          <w:szCs w:val="20"/>
        </w:rPr>
        <w:t>al conjunción pudo ser un factor que propiciara la violencia contra sindicalistas en el Magdalena Medio</w:t>
      </w:r>
      <w:r w:rsidR="006631B0" w:rsidRPr="00996758">
        <w:rPr>
          <w:rFonts w:ascii="Verdana" w:hAnsi="Verdana" w:cs="Times New Roman"/>
          <w:sz w:val="20"/>
          <w:szCs w:val="20"/>
        </w:rPr>
        <w:t xml:space="preserve">, y específicamente </w:t>
      </w:r>
      <w:r w:rsidR="006B3574" w:rsidRPr="00996758">
        <w:rPr>
          <w:rFonts w:ascii="Verdana" w:hAnsi="Verdana" w:cs="Times New Roman"/>
          <w:sz w:val="20"/>
          <w:szCs w:val="20"/>
        </w:rPr>
        <w:t xml:space="preserve">en </w:t>
      </w:r>
      <w:r w:rsidR="006631B0" w:rsidRPr="00996758">
        <w:rPr>
          <w:rFonts w:ascii="Verdana" w:hAnsi="Verdana" w:cs="Times New Roman"/>
          <w:sz w:val="20"/>
          <w:szCs w:val="20"/>
        </w:rPr>
        <w:t>Puerto Nare</w:t>
      </w:r>
      <w:r w:rsidRPr="00996758">
        <w:rPr>
          <w:rFonts w:ascii="Verdana" w:hAnsi="Verdana" w:cs="Times New Roman"/>
          <w:sz w:val="20"/>
          <w:szCs w:val="20"/>
        </w:rPr>
        <w:t>.</w:t>
      </w:r>
    </w:p>
    <w:p w:rsidR="003D1208" w:rsidRPr="00996758" w:rsidRDefault="003D1208" w:rsidP="003D1208">
      <w:pPr>
        <w:pStyle w:val="ListParagraph"/>
        <w:spacing w:after="0" w:line="240" w:lineRule="auto"/>
        <w:ind w:left="0"/>
        <w:jc w:val="both"/>
        <w:rPr>
          <w:rFonts w:ascii="Verdana" w:hAnsi="Verdana"/>
          <w:sz w:val="20"/>
          <w:szCs w:val="20"/>
        </w:rPr>
      </w:pPr>
    </w:p>
    <w:p w:rsidR="003D1208" w:rsidRPr="00996758" w:rsidRDefault="003D1208" w:rsidP="003D120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Si bien es cierto que, </w:t>
      </w:r>
      <w:r w:rsidRPr="00996758">
        <w:rPr>
          <w:rFonts w:ascii="Verdana" w:hAnsi="Verdana" w:cs="Verdana"/>
          <w:sz w:val="20"/>
          <w:szCs w:val="20"/>
        </w:rPr>
        <w:t>a partir de 1988</w:t>
      </w:r>
      <w:r w:rsidR="006B3574" w:rsidRPr="00996758">
        <w:rPr>
          <w:rFonts w:ascii="Verdana" w:hAnsi="Verdana" w:cs="Verdana"/>
          <w:sz w:val="20"/>
          <w:szCs w:val="20"/>
        </w:rPr>
        <w:t xml:space="preserve"> y 1989</w:t>
      </w:r>
      <w:r w:rsidRPr="00996758">
        <w:rPr>
          <w:rFonts w:ascii="Verdana" w:hAnsi="Verdana" w:cs="Verdana"/>
          <w:sz w:val="20"/>
          <w:szCs w:val="20"/>
        </w:rPr>
        <w:t xml:space="preserve">, </w:t>
      </w:r>
      <w:r w:rsidRPr="00996758">
        <w:rPr>
          <w:rFonts w:ascii="Verdana" w:hAnsi="Verdana"/>
          <w:sz w:val="20"/>
          <w:szCs w:val="20"/>
        </w:rPr>
        <w:t xml:space="preserve">el Estado </w:t>
      </w:r>
      <w:r w:rsidR="002409A7" w:rsidRPr="00996758">
        <w:rPr>
          <w:rFonts w:ascii="Verdana" w:hAnsi="Verdana"/>
          <w:sz w:val="20"/>
          <w:szCs w:val="20"/>
        </w:rPr>
        <w:t>comenzó a implementar</w:t>
      </w:r>
      <w:r w:rsidR="0051042D" w:rsidRPr="00996758">
        <w:rPr>
          <w:rFonts w:ascii="Verdana" w:hAnsi="Verdana"/>
          <w:sz w:val="20"/>
          <w:szCs w:val="20"/>
        </w:rPr>
        <w:t xml:space="preserve"> marco</w:t>
      </w:r>
      <w:r w:rsidR="002409A7" w:rsidRPr="00996758">
        <w:rPr>
          <w:rFonts w:ascii="Verdana" w:hAnsi="Verdana"/>
          <w:sz w:val="20"/>
          <w:szCs w:val="20"/>
        </w:rPr>
        <w:t>s</w:t>
      </w:r>
      <w:r w:rsidR="0051042D" w:rsidRPr="00996758">
        <w:rPr>
          <w:rFonts w:ascii="Verdana" w:hAnsi="Verdana"/>
          <w:sz w:val="20"/>
          <w:szCs w:val="20"/>
        </w:rPr>
        <w:t xml:space="preserve"> normativo</w:t>
      </w:r>
      <w:r w:rsidR="002409A7" w:rsidRPr="00996758">
        <w:rPr>
          <w:rFonts w:ascii="Verdana" w:hAnsi="Verdana"/>
          <w:sz w:val="20"/>
          <w:szCs w:val="20"/>
        </w:rPr>
        <w:t>s</w:t>
      </w:r>
      <w:r w:rsidR="0051042D" w:rsidRPr="00996758">
        <w:rPr>
          <w:rFonts w:ascii="Verdana" w:hAnsi="Verdana"/>
          <w:sz w:val="20"/>
          <w:szCs w:val="20"/>
        </w:rPr>
        <w:t xml:space="preserve"> para excluir </w:t>
      </w:r>
      <w:r w:rsidRPr="00996758">
        <w:rPr>
          <w:rFonts w:ascii="Verdana" w:hAnsi="Verdana"/>
          <w:sz w:val="20"/>
          <w:szCs w:val="20"/>
        </w:rPr>
        <w:t xml:space="preserve">las disposiciones que promovían la creación y el funcionamiento de </w:t>
      </w:r>
      <w:r w:rsidR="00734E50" w:rsidRPr="00996758">
        <w:rPr>
          <w:rFonts w:ascii="Verdana" w:hAnsi="Verdana"/>
          <w:sz w:val="20"/>
          <w:szCs w:val="20"/>
        </w:rPr>
        <w:t>los</w:t>
      </w:r>
      <w:r w:rsidRPr="00996758">
        <w:rPr>
          <w:rFonts w:ascii="Verdana" w:hAnsi="Verdana"/>
          <w:sz w:val="20"/>
          <w:szCs w:val="20"/>
        </w:rPr>
        <w:t xml:space="preserve"> grupos </w:t>
      </w:r>
      <w:r w:rsidR="00734E50" w:rsidRPr="00996758">
        <w:rPr>
          <w:rFonts w:ascii="Verdana" w:hAnsi="Verdana"/>
          <w:sz w:val="20"/>
          <w:szCs w:val="20"/>
        </w:rPr>
        <w:t xml:space="preserve">paramilitares </w:t>
      </w:r>
      <w:r w:rsidRPr="00996758">
        <w:rPr>
          <w:rFonts w:ascii="Verdana" w:hAnsi="Verdana"/>
          <w:sz w:val="20"/>
          <w:szCs w:val="20"/>
        </w:rPr>
        <w:t>y para promover su desarticulación</w:t>
      </w:r>
      <w:r w:rsidRPr="00996758">
        <w:rPr>
          <w:rFonts w:ascii="Verdana" w:hAnsi="Verdana" w:cs="Verdana"/>
          <w:sz w:val="20"/>
          <w:szCs w:val="20"/>
        </w:rPr>
        <w:t xml:space="preserve">, </w:t>
      </w:r>
      <w:r w:rsidRPr="00996758">
        <w:rPr>
          <w:rFonts w:ascii="Verdana" w:hAnsi="Verdana"/>
          <w:sz w:val="20"/>
          <w:szCs w:val="20"/>
        </w:rPr>
        <w:t xml:space="preserve">lo relevante para efectos de este caso es que el marco legal y sus interpretaciones, que propiciaron </w:t>
      </w:r>
      <w:r w:rsidR="006B3574" w:rsidRPr="00996758">
        <w:rPr>
          <w:rFonts w:ascii="Verdana" w:hAnsi="Verdana"/>
          <w:sz w:val="20"/>
          <w:szCs w:val="20"/>
        </w:rPr>
        <w:t xml:space="preserve">la </w:t>
      </w:r>
      <w:r w:rsidRPr="00996758">
        <w:rPr>
          <w:rFonts w:ascii="Verdana" w:hAnsi="Verdana"/>
          <w:sz w:val="20"/>
          <w:szCs w:val="20"/>
        </w:rPr>
        <w:t>conformación y actividades</w:t>
      </w:r>
      <w:r w:rsidR="006B3574" w:rsidRPr="00996758">
        <w:rPr>
          <w:rFonts w:ascii="Verdana" w:hAnsi="Verdana"/>
          <w:sz w:val="20"/>
          <w:szCs w:val="20"/>
        </w:rPr>
        <w:t xml:space="preserve"> de tales grupos</w:t>
      </w:r>
      <w:r w:rsidR="00734E50" w:rsidRPr="00996758">
        <w:rPr>
          <w:rFonts w:ascii="Verdana" w:hAnsi="Verdana"/>
          <w:sz w:val="20"/>
          <w:szCs w:val="20"/>
        </w:rPr>
        <w:t>,</w:t>
      </w:r>
      <w:r w:rsidRPr="00996758">
        <w:rPr>
          <w:rFonts w:ascii="Verdana" w:hAnsi="Verdana"/>
          <w:sz w:val="20"/>
          <w:szCs w:val="20"/>
        </w:rPr>
        <w:t xml:space="preserve"> se encontraba</w:t>
      </w:r>
      <w:r w:rsidR="006B3574" w:rsidRPr="00996758">
        <w:rPr>
          <w:rFonts w:ascii="Verdana" w:hAnsi="Verdana"/>
          <w:sz w:val="20"/>
          <w:szCs w:val="20"/>
        </w:rPr>
        <w:t>n</w:t>
      </w:r>
      <w:r w:rsidRPr="00996758">
        <w:rPr>
          <w:rFonts w:ascii="Verdana" w:hAnsi="Verdana"/>
          <w:sz w:val="20"/>
          <w:szCs w:val="20"/>
        </w:rPr>
        <w:t xml:space="preserve"> vigente</w:t>
      </w:r>
      <w:r w:rsidR="006B3574" w:rsidRPr="00996758">
        <w:rPr>
          <w:rFonts w:ascii="Verdana" w:hAnsi="Verdana"/>
          <w:sz w:val="20"/>
          <w:szCs w:val="20"/>
        </w:rPr>
        <w:t>s</w:t>
      </w:r>
      <w:r w:rsidRPr="00996758">
        <w:rPr>
          <w:rFonts w:ascii="Verdana" w:hAnsi="Verdana"/>
          <w:sz w:val="20"/>
          <w:szCs w:val="20"/>
        </w:rPr>
        <w:t xml:space="preserve"> al momento de la desaparición del seño</w:t>
      </w:r>
      <w:r w:rsidR="00953C22" w:rsidRPr="00996758">
        <w:rPr>
          <w:rFonts w:ascii="Verdana" w:hAnsi="Verdana"/>
          <w:sz w:val="20"/>
          <w:szCs w:val="20"/>
        </w:rPr>
        <w:t>r Isaza en noviembre de 1987.</w:t>
      </w:r>
    </w:p>
    <w:p w:rsidR="006E71FB" w:rsidRPr="00996758" w:rsidRDefault="006E71FB" w:rsidP="00983058">
      <w:pPr>
        <w:pBdr>
          <w:top w:val="nil"/>
        </w:pBdr>
        <w:spacing w:after="0" w:line="240" w:lineRule="auto"/>
        <w:jc w:val="both"/>
        <w:rPr>
          <w:rFonts w:ascii="Verdana" w:hAnsi="Verdana"/>
          <w:sz w:val="20"/>
          <w:szCs w:val="20"/>
        </w:rPr>
      </w:pPr>
    </w:p>
    <w:p w:rsidR="00734E50" w:rsidRPr="00996758" w:rsidRDefault="00734E50" w:rsidP="00734E50">
      <w:pPr>
        <w:pBdr>
          <w:top w:val="nil"/>
        </w:pBdr>
        <w:spacing w:after="0" w:line="240" w:lineRule="auto"/>
        <w:ind w:left="1416"/>
        <w:jc w:val="both"/>
        <w:rPr>
          <w:rFonts w:ascii="Verdana" w:hAnsi="Verdana"/>
          <w:i/>
          <w:sz w:val="20"/>
          <w:szCs w:val="20"/>
        </w:rPr>
      </w:pPr>
      <w:r w:rsidRPr="00996758">
        <w:rPr>
          <w:rFonts w:ascii="Verdana" w:hAnsi="Verdana"/>
          <w:i/>
          <w:sz w:val="20"/>
          <w:szCs w:val="20"/>
        </w:rPr>
        <w:t>b.2</w:t>
      </w:r>
      <w:r w:rsidRPr="00996758">
        <w:rPr>
          <w:rFonts w:ascii="Verdana" w:hAnsi="Verdana"/>
          <w:i/>
          <w:sz w:val="20"/>
          <w:szCs w:val="20"/>
        </w:rPr>
        <w:tab/>
        <w:t>Violencia contra el sindicato SUTIMAC</w:t>
      </w:r>
    </w:p>
    <w:p w:rsidR="00734E50" w:rsidRPr="00996758" w:rsidRDefault="00734E50">
      <w:pPr>
        <w:pBdr>
          <w:top w:val="nil"/>
        </w:pBdr>
        <w:spacing w:after="0" w:line="240" w:lineRule="auto"/>
        <w:jc w:val="both"/>
        <w:rPr>
          <w:rFonts w:ascii="Verdana" w:hAnsi="Verdana"/>
          <w:sz w:val="20"/>
          <w:szCs w:val="20"/>
        </w:rPr>
      </w:pPr>
    </w:p>
    <w:p w:rsidR="003036EE" w:rsidRPr="00996758" w:rsidRDefault="00626786" w:rsidP="001D1252">
      <w:pPr>
        <w:numPr>
          <w:ilvl w:val="0"/>
          <w:numId w:val="10"/>
        </w:numPr>
        <w:pBdr>
          <w:top w:val="nil"/>
        </w:pBdr>
        <w:spacing w:after="0" w:line="240" w:lineRule="auto"/>
        <w:ind w:left="0" w:firstLine="0"/>
        <w:jc w:val="both"/>
        <w:rPr>
          <w:rFonts w:ascii="Verdana" w:hAnsi="Verdana" w:cs="Times New Roman"/>
          <w:sz w:val="20"/>
          <w:szCs w:val="20"/>
        </w:rPr>
      </w:pPr>
      <w:r w:rsidRPr="00996758">
        <w:rPr>
          <w:rFonts w:ascii="Verdana" w:hAnsi="Verdana"/>
          <w:sz w:val="20"/>
          <w:szCs w:val="20"/>
        </w:rPr>
        <w:t>Según fue señalado</w:t>
      </w:r>
      <w:r w:rsidR="00745332" w:rsidRPr="00996758">
        <w:rPr>
          <w:rFonts w:ascii="Verdana" w:hAnsi="Verdana"/>
          <w:sz w:val="20"/>
          <w:szCs w:val="20"/>
        </w:rPr>
        <w:t xml:space="preserve"> (</w:t>
      </w:r>
      <w:r w:rsidR="00745332" w:rsidRPr="00996758">
        <w:rPr>
          <w:rFonts w:ascii="Verdana" w:hAnsi="Verdana"/>
          <w:i/>
          <w:sz w:val="20"/>
          <w:szCs w:val="20"/>
        </w:rPr>
        <w:t xml:space="preserve">supra </w:t>
      </w:r>
      <w:r w:rsidR="00A921B4" w:rsidRPr="00996758">
        <w:rPr>
          <w:rFonts w:ascii="Verdana" w:hAnsi="Verdana"/>
          <w:sz w:val="20"/>
          <w:szCs w:val="20"/>
        </w:rPr>
        <w:t>párrs. 49 a 54</w:t>
      </w:r>
      <w:r w:rsidR="00745332" w:rsidRPr="00996758">
        <w:rPr>
          <w:rFonts w:ascii="Verdana" w:hAnsi="Verdana"/>
          <w:sz w:val="20"/>
          <w:szCs w:val="20"/>
        </w:rPr>
        <w:t>)</w:t>
      </w:r>
      <w:r w:rsidRPr="00996758">
        <w:rPr>
          <w:rFonts w:ascii="Verdana" w:hAnsi="Verdana"/>
          <w:sz w:val="20"/>
          <w:szCs w:val="20"/>
        </w:rPr>
        <w:t xml:space="preserve">, </w:t>
      </w:r>
      <w:r w:rsidR="000E1EA2" w:rsidRPr="00996758">
        <w:rPr>
          <w:rFonts w:ascii="Verdana" w:hAnsi="Verdana"/>
          <w:sz w:val="20"/>
          <w:szCs w:val="20"/>
        </w:rPr>
        <w:t>antes de la desaparición del señor Isaza Uribe</w:t>
      </w:r>
      <w:r w:rsidR="003D1208" w:rsidRPr="00996758">
        <w:rPr>
          <w:rFonts w:ascii="Verdana" w:hAnsi="Verdana"/>
          <w:sz w:val="20"/>
          <w:szCs w:val="20"/>
        </w:rPr>
        <w:t xml:space="preserve"> constan siete casos </w:t>
      </w:r>
      <w:r w:rsidR="007B7819" w:rsidRPr="00996758">
        <w:rPr>
          <w:rFonts w:ascii="Verdana" w:hAnsi="Verdana"/>
          <w:sz w:val="20"/>
          <w:szCs w:val="20"/>
        </w:rPr>
        <w:t>de</w:t>
      </w:r>
      <w:r w:rsidR="003D1208" w:rsidRPr="00996758">
        <w:rPr>
          <w:rFonts w:ascii="Verdana" w:hAnsi="Verdana"/>
          <w:sz w:val="20"/>
          <w:szCs w:val="20"/>
        </w:rPr>
        <w:t xml:space="preserve"> miembros, activistas o dirigentes </w:t>
      </w:r>
      <w:r w:rsidRPr="00996758">
        <w:rPr>
          <w:rFonts w:ascii="Verdana" w:hAnsi="Verdana"/>
          <w:sz w:val="20"/>
          <w:szCs w:val="20"/>
        </w:rPr>
        <w:t>del</w:t>
      </w:r>
      <w:r w:rsidR="00734E50" w:rsidRPr="00996758">
        <w:rPr>
          <w:rFonts w:ascii="Verdana" w:hAnsi="Verdana"/>
          <w:sz w:val="20"/>
          <w:szCs w:val="20"/>
        </w:rPr>
        <w:t xml:space="preserve"> sindicato </w:t>
      </w:r>
      <w:r w:rsidRPr="00996758">
        <w:rPr>
          <w:rFonts w:ascii="Verdana" w:hAnsi="Verdana"/>
          <w:sz w:val="20"/>
          <w:szCs w:val="20"/>
        </w:rPr>
        <w:t xml:space="preserve">SUTIMAC </w:t>
      </w:r>
      <w:r w:rsidR="00734E50" w:rsidRPr="00996758">
        <w:rPr>
          <w:rFonts w:ascii="Verdana" w:hAnsi="Verdana"/>
          <w:sz w:val="20"/>
          <w:szCs w:val="20"/>
        </w:rPr>
        <w:t>(</w:t>
      </w:r>
      <w:r w:rsidR="003D1208" w:rsidRPr="00996758">
        <w:rPr>
          <w:rFonts w:ascii="Verdana" w:hAnsi="Verdana"/>
          <w:sz w:val="20"/>
          <w:szCs w:val="20"/>
        </w:rPr>
        <w:t xml:space="preserve">en algunos casos también concejales por </w:t>
      </w:r>
      <w:r w:rsidR="00734E50" w:rsidRPr="00996758">
        <w:rPr>
          <w:rFonts w:ascii="Verdana" w:hAnsi="Verdana"/>
          <w:sz w:val="20"/>
          <w:szCs w:val="20"/>
        </w:rPr>
        <w:t>la UP)</w:t>
      </w:r>
      <w:r w:rsidR="003D1208" w:rsidRPr="00996758">
        <w:rPr>
          <w:rFonts w:ascii="Verdana" w:hAnsi="Verdana"/>
          <w:sz w:val="20"/>
          <w:szCs w:val="20"/>
        </w:rPr>
        <w:t xml:space="preserve"> </w:t>
      </w:r>
      <w:r w:rsidR="007B7819" w:rsidRPr="00996758">
        <w:rPr>
          <w:rFonts w:ascii="Verdana" w:hAnsi="Verdana"/>
          <w:sz w:val="20"/>
          <w:szCs w:val="20"/>
        </w:rPr>
        <w:t xml:space="preserve">que </w:t>
      </w:r>
      <w:r w:rsidR="003D1208" w:rsidRPr="00996758">
        <w:rPr>
          <w:rFonts w:ascii="Verdana" w:hAnsi="Verdana"/>
          <w:sz w:val="20"/>
          <w:szCs w:val="20"/>
        </w:rPr>
        <w:t>fueron asesinados por personas no identificadas o</w:t>
      </w:r>
      <w:r w:rsidR="007B7819" w:rsidRPr="00996758">
        <w:rPr>
          <w:rFonts w:ascii="Verdana" w:hAnsi="Verdana"/>
          <w:sz w:val="20"/>
          <w:szCs w:val="20"/>
        </w:rPr>
        <w:t xml:space="preserve"> paramilitares del grupo “MAS</w:t>
      </w:r>
      <w:r w:rsidRPr="00996758">
        <w:rPr>
          <w:rFonts w:ascii="Verdana" w:hAnsi="Verdana"/>
          <w:sz w:val="20"/>
          <w:szCs w:val="20"/>
        </w:rPr>
        <w:t>”</w:t>
      </w:r>
      <w:r w:rsidR="000E1EA2" w:rsidRPr="00996758">
        <w:rPr>
          <w:rFonts w:ascii="Verdana" w:hAnsi="Verdana"/>
          <w:sz w:val="20"/>
          <w:szCs w:val="20"/>
        </w:rPr>
        <w:t xml:space="preserve">. </w:t>
      </w:r>
      <w:r w:rsidR="00745332" w:rsidRPr="00996758">
        <w:rPr>
          <w:rFonts w:ascii="Verdana" w:hAnsi="Verdana"/>
          <w:sz w:val="20"/>
          <w:szCs w:val="20"/>
        </w:rPr>
        <w:t xml:space="preserve">Con posterioridad a su desaparición y hasta 1989 otros miembros y dirigentes de SUTIMAC fueron asesinados, desaparecidos o desplazados. A pesar de las denuncias y solicitudes de protección dirigidas por los dirigentes sindicales, </w:t>
      </w:r>
      <w:r w:rsidR="003036EE" w:rsidRPr="00996758">
        <w:rPr>
          <w:rFonts w:ascii="Verdana" w:hAnsi="Verdana"/>
          <w:sz w:val="20"/>
          <w:szCs w:val="20"/>
        </w:rPr>
        <w:t xml:space="preserve">la CUT y FENALTRACONCEM </w:t>
      </w:r>
      <w:r w:rsidR="00745332" w:rsidRPr="00996758">
        <w:rPr>
          <w:rFonts w:ascii="Verdana" w:hAnsi="Verdana"/>
          <w:sz w:val="20"/>
          <w:szCs w:val="20"/>
        </w:rPr>
        <w:t>a diversas autoridades estatales</w:t>
      </w:r>
      <w:r w:rsidR="003036EE" w:rsidRPr="00996758">
        <w:rPr>
          <w:rFonts w:ascii="Verdana" w:hAnsi="Verdana"/>
          <w:sz w:val="20"/>
          <w:szCs w:val="20"/>
        </w:rPr>
        <w:t>,</w:t>
      </w:r>
      <w:r w:rsidR="00745332" w:rsidRPr="00996758">
        <w:rPr>
          <w:rFonts w:ascii="Verdana" w:hAnsi="Verdana"/>
          <w:sz w:val="20"/>
          <w:szCs w:val="20"/>
        </w:rPr>
        <w:t xml:space="preserve"> informando</w:t>
      </w:r>
      <w:r w:rsidR="003036EE" w:rsidRPr="00996758">
        <w:rPr>
          <w:rFonts w:ascii="Verdana" w:hAnsi="Verdana"/>
          <w:sz w:val="20"/>
          <w:szCs w:val="20"/>
        </w:rPr>
        <w:t xml:space="preserve"> sobre “la ola de te</w:t>
      </w:r>
      <w:r w:rsidR="00745332" w:rsidRPr="00996758">
        <w:rPr>
          <w:rFonts w:ascii="Verdana" w:hAnsi="Verdana"/>
          <w:sz w:val="20"/>
          <w:szCs w:val="20"/>
        </w:rPr>
        <w:t xml:space="preserve">rror y violencia” de que estaban </w:t>
      </w:r>
      <w:r w:rsidR="003036EE" w:rsidRPr="00996758">
        <w:rPr>
          <w:rFonts w:ascii="Verdana" w:hAnsi="Verdana"/>
          <w:sz w:val="20"/>
          <w:szCs w:val="20"/>
        </w:rPr>
        <w:t>siendo víctima</w:t>
      </w:r>
      <w:r w:rsidR="00745332" w:rsidRPr="00996758">
        <w:rPr>
          <w:rFonts w:ascii="Verdana" w:hAnsi="Verdana"/>
          <w:sz w:val="20"/>
          <w:szCs w:val="20"/>
        </w:rPr>
        <w:t>s</w:t>
      </w:r>
      <w:r w:rsidR="003036EE" w:rsidRPr="00996758">
        <w:rPr>
          <w:rFonts w:ascii="Verdana" w:hAnsi="Verdana"/>
          <w:sz w:val="20"/>
          <w:szCs w:val="20"/>
        </w:rPr>
        <w:t xml:space="preserve"> los trabajadores </w:t>
      </w:r>
      <w:r w:rsidR="007B7819" w:rsidRPr="00996758">
        <w:rPr>
          <w:rFonts w:ascii="Verdana" w:hAnsi="Verdana"/>
          <w:sz w:val="20"/>
          <w:szCs w:val="20"/>
        </w:rPr>
        <w:t>de</w:t>
      </w:r>
      <w:r w:rsidR="003036EE" w:rsidRPr="00996758">
        <w:rPr>
          <w:rFonts w:ascii="Verdana" w:hAnsi="Verdana"/>
          <w:sz w:val="20"/>
          <w:szCs w:val="20"/>
        </w:rPr>
        <w:t xml:space="preserve"> las empresas Cementos del Nare y Col</w:t>
      </w:r>
      <w:r w:rsidR="00F56C1F" w:rsidRPr="00996758">
        <w:rPr>
          <w:rFonts w:ascii="Verdana" w:hAnsi="Verdana"/>
          <w:sz w:val="20"/>
          <w:szCs w:val="20"/>
        </w:rPr>
        <w:t>c</w:t>
      </w:r>
      <w:r w:rsidR="003036EE" w:rsidRPr="00996758">
        <w:rPr>
          <w:rFonts w:ascii="Verdana" w:hAnsi="Verdana"/>
          <w:sz w:val="20"/>
          <w:szCs w:val="20"/>
        </w:rPr>
        <w:t>arburo</w:t>
      </w:r>
      <w:r w:rsidR="009D5F62" w:rsidRPr="00996758">
        <w:rPr>
          <w:rFonts w:ascii="Verdana" w:hAnsi="Verdana"/>
          <w:sz w:val="20"/>
          <w:szCs w:val="20"/>
        </w:rPr>
        <w:t>, entre ellos el señor Isaza Uribe</w:t>
      </w:r>
      <w:r w:rsidR="00745332" w:rsidRPr="00996758">
        <w:rPr>
          <w:rFonts w:ascii="Verdana" w:hAnsi="Verdana"/>
          <w:sz w:val="20"/>
          <w:szCs w:val="20"/>
        </w:rPr>
        <w:t>, no consta que fueran adoptadas medidas de protección a favor de esa colectividad.</w:t>
      </w:r>
      <w:r w:rsidR="003036EE" w:rsidRPr="00996758">
        <w:rPr>
          <w:rFonts w:ascii="Verdana" w:hAnsi="Verdana"/>
          <w:sz w:val="20"/>
          <w:szCs w:val="20"/>
        </w:rPr>
        <w:t xml:space="preserve"> </w:t>
      </w:r>
    </w:p>
    <w:p w:rsidR="00983058" w:rsidRPr="00996758" w:rsidRDefault="00983058" w:rsidP="00983058">
      <w:pPr>
        <w:pStyle w:val="ListParagraph"/>
        <w:spacing w:after="0" w:line="240" w:lineRule="auto"/>
        <w:ind w:left="0"/>
        <w:jc w:val="both"/>
        <w:rPr>
          <w:rFonts w:ascii="Verdana" w:hAnsi="Verdana"/>
          <w:sz w:val="20"/>
          <w:szCs w:val="20"/>
        </w:rPr>
      </w:pPr>
    </w:p>
    <w:p w:rsidR="00983058" w:rsidRPr="00996758" w:rsidRDefault="00983058" w:rsidP="00983058">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Los representantes señalaron que los grupos paramilitares de la región reivindicaban sus acciones criminales bajo distintos nombres y siglas, como “Muerte a secuestradores (MAS)”, “Macetos”, “autodefensas”, “tiznados”, “toxicol”, los “carapintadas”; que desde Puerto Boyacá extendieron sus acciones a Puerto Berrío, sede de la XIV Brigada del Ejército y a Puerto Nare, entre otros; y que, según la Procuraduría, de la lista de 163 integrantes del “MAS”, 59 eran miembros activos de la Fuerza Pública y 5 de ellos eran miembros del Ejército adscritos al “batallón Bárbula”</w:t>
      </w:r>
      <w:r w:rsidRPr="00996758">
        <w:rPr>
          <w:rStyle w:val="FootnoteReference"/>
          <w:rFonts w:ascii="Verdana" w:hAnsi="Verdana"/>
          <w:sz w:val="20"/>
          <w:szCs w:val="20"/>
        </w:rPr>
        <w:footnoteReference w:id="130"/>
      </w:r>
      <w:r w:rsidRPr="00996758">
        <w:rPr>
          <w:rFonts w:ascii="Verdana" w:hAnsi="Verdana"/>
          <w:sz w:val="20"/>
          <w:szCs w:val="20"/>
        </w:rPr>
        <w:t xml:space="preserve">. Respecto de la zona y época de los hechos, en el caso </w:t>
      </w:r>
      <w:r w:rsidRPr="00996758">
        <w:rPr>
          <w:rFonts w:ascii="Verdana" w:hAnsi="Verdana"/>
          <w:i/>
          <w:sz w:val="20"/>
          <w:szCs w:val="20"/>
        </w:rPr>
        <w:t xml:space="preserve">19 Comerciantes vs. Colombia </w:t>
      </w:r>
      <w:r w:rsidRPr="00996758">
        <w:rPr>
          <w:rFonts w:ascii="Verdana" w:hAnsi="Verdana"/>
          <w:sz w:val="20"/>
          <w:szCs w:val="20"/>
        </w:rPr>
        <w:t>fue probada la existencia de estrechos vínculos entre el grupo “paramilitar” de la zona y miembros de la base militar del “batall</w:t>
      </w:r>
      <w:r w:rsidRPr="00996758">
        <w:rPr>
          <w:rFonts w:ascii="Verdana" w:hAnsi="Verdana"/>
          <w:sz w:val="20"/>
          <w:szCs w:val="20"/>
          <w:lang w:eastAsia="ja-JP"/>
        </w:rPr>
        <w:t>ón Bárbula” del Ejército colombiano</w:t>
      </w:r>
      <w:r w:rsidRPr="00996758">
        <w:rPr>
          <w:rStyle w:val="FootnoteReference"/>
          <w:rFonts w:ascii="Verdana" w:hAnsi="Verdana"/>
          <w:sz w:val="20"/>
          <w:szCs w:val="20"/>
          <w:lang w:eastAsia="ja-JP"/>
        </w:rPr>
        <w:footnoteReference w:id="131"/>
      </w:r>
      <w:r w:rsidRPr="00996758">
        <w:rPr>
          <w:rFonts w:ascii="Verdana" w:hAnsi="Verdana"/>
          <w:sz w:val="20"/>
          <w:szCs w:val="20"/>
          <w:lang w:eastAsia="ja-JP"/>
        </w:rPr>
        <w:t xml:space="preserve">, el cual tenía jurisdicción sobre los municipios de Puerto Triunfo, Puerto Nare, Caracolí y Puerto Boyacá. </w:t>
      </w:r>
      <w:r w:rsidRPr="00996758">
        <w:rPr>
          <w:rFonts w:ascii="Verdana" w:hAnsi="Verdana"/>
          <w:sz w:val="20"/>
          <w:szCs w:val="20"/>
        </w:rPr>
        <w:t xml:space="preserve"> </w:t>
      </w:r>
    </w:p>
    <w:p w:rsidR="003036EE" w:rsidRPr="00996758" w:rsidRDefault="003036EE">
      <w:pPr>
        <w:pBdr>
          <w:top w:val="nil"/>
        </w:pBdr>
        <w:spacing w:after="0" w:line="240" w:lineRule="auto"/>
        <w:jc w:val="both"/>
        <w:rPr>
          <w:rFonts w:ascii="Verdana" w:hAnsi="Verdana"/>
          <w:sz w:val="20"/>
          <w:szCs w:val="20"/>
        </w:rPr>
      </w:pPr>
    </w:p>
    <w:p w:rsidR="00997F68" w:rsidRPr="00996758" w:rsidRDefault="00745332" w:rsidP="00997F6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cs="Times New Roman"/>
          <w:sz w:val="20"/>
          <w:szCs w:val="20"/>
          <w:lang w:bidi="en-US"/>
        </w:rPr>
        <w:t>L</w:t>
      </w:r>
      <w:r w:rsidR="00997F68" w:rsidRPr="00996758">
        <w:rPr>
          <w:rFonts w:ascii="Verdana" w:hAnsi="Verdana" w:cs="Times New Roman"/>
          <w:sz w:val="20"/>
          <w:szCs w:val="20"/>
          <w:lang w:bidi="en-US"/>
        </w:rPr>
        <w:t>as razones de esa violencia tan específica contra SUTIMAC</w:t>
      </w:r>
      <w:r w:rsidRPr="00996758">
        <w:rPr>
          <w:rFonts w:ascii="Verdana" w:hAnsi="Verdana" w:cs="Times New Roman"/>
          <w:sz w:val="20"/>
          <w:szCs w:val="20"/>
          <w:lang w:bidi="en-US"/>
        </w:rPr>
        <w:t xml:space="preserve"> se han </w:t>
      </w:r>
      <w:r w:rsidR="00C10EB2" w:rsidRPr="00996758">
        <w:rPr>
          <w:rFonts w:ascii="Verdana" w:hAnsi="Verdana" w:cs="Times New Roman"/>
          <w:sz w:val="20"/>
          <w:szCs w:val="20"/>
          <w:lang w:bidi="en-US"/>
        </w:rPr>
        <w:t>centrado</w:t>
      </w:r>
      <w:r w:rsidRPr="00996758">
        <w:rPr>
          <w:rFonts w:ascii="Verdana" w:hAnsi="Verdana" w:cs="Times New Roman"/>
          <w:sz w:val="20"/>
          <w:szCs w:val="20"/>
          <w:lang w:bidi="en-US"/>
        </w:rPr>
        <w:t xml:space="preserve"> en </w:t>
      </w:r>
      <w:r w:rsidR="00C10EB2" w:rsidRPr="00996758">
        <w:rPr>
          <w:rFonts w:ascii="Verdana" w:hAnsi="Verdana" w:cs="Times New Roman"/>
          <w:sz w:val="20"/>
          <w:szCs w:val="20"/>
          <w:lang w:bidi="en-US"/>
        </w:rPr>
        <w:t xml:space="preserve">la </w:t>
      </w:r>
      <w:r w:rsidRPr="00996758">
        <w:rPr>
          <w:rFonts w:ascii="Verdana" w:hAnsi="Verdana"/>
          <w:sz w:val="20"/>
          <w:szCs w:val="20"/>
        </w:rPr>
        <w:t xml:space="preserve">vinculación </w:t>
      </w:r>
      <w:r w:rsidR="00C10EB2" w:rsidRPr="00996758">
        <w:rPr>
          <w:rFonts w:ascii="Verdana" w:hAnsi="Verdana"/>
          <w:sz w:val="20"/>
          <w:szCs w:val="20"/>
        </w:rPr>
        <w:t xml:space="preserve">de éste </w:t>
      </w:r>
      <w:r w:rsidRPr="00996758">
        <w:rPr>
          <w:rFonts w:ascii="Verdana" w:hAnsi="Verdana"/>
          <w:sz w:val="20"/>
          <w:szCs w:val="20"/>
        </w:rPr>
        <w:t>con la UP</w:t>
      </w:r>
      <w:r w:rsidR="0051042D" w:rsidRPr="00996758">
        <w:rPr>
          <w:rFonts w:ascii="Verdana" w:hAnsi="Verdana"/>
          <w:sz w:val="20"/>
          <w:szCs w:val="20"/>
        </w:rPr>
        <w:t xml:space="preserve"> y en posibles intereses de la empresa de acabar con el sindicato</w:t>
      </w:r>
      <w:r w:rsidR="00997F68" w:rsidRPr="00996758">
        <w:rPr>
          <w:rFonts w:ascii="Verdana" w:hAnsi="Verdana" w:cs="Times New Roman"/>
          <w:sz w:val="20"/>
          <w:szCs w:val="20"/>
          <w:lang w:bidi="en-US"/>
        </w:rPr>
        <w:t xml:space="preserve">. </w:t>
      </w:r>
      <w:r w:rsidR="00997F68" w:rsidRPr="00996758">
        <w:rPr>
          <w:rFonts w:ascii="Verdana" w:hAnsi="Verdana"/>
          <w:sz w:val="20"/>
          <w:szCs w:val="20"/>
        </w:rPr>
        <w:lastRenderedPageBreak/>
        <w:t>A</w:t>
      </w:r>
      <w:r w:rsidR="00B05A26" w:rsidRPr="00996758">
        <w:rPr>
          <w:rFonts w:ascii="Verdana" w:hAnsi="Verdana"/>
          <w:sz w:val="20"/>
          <w:szCs w:val="20"/>
        </w:rPr>
        <w:t>sí, a</w:t>
      </w:r>
      <w:r w:rsidR="00997F68" w:rsidRPr="00996758">
        <w:rPr>
          <w:rFonts w:ascii="Verdana" w:hAnsi="Verdana"/>
          <w:sz w:val="20"/>
          <w:szCs w:val="20"/>
        </w:rPr>
        <w:t xml:space="preserve">l cuestionarse sobre los factores que desencadenaron “semejante espiral de violencia”, </w:t>
      </w:r>
      <w:r w:rsidRPr="00996758">
        <w:rPr>
          <w:rFonts w:ascii="Verdana" w:hAnsi="Verdana"/>
          <w:sz w:val="20"/>
          <w:szCs w:val="20"/>
        </w:rPr>
        <w:t xml:space="preserve">informes del CTI de la Fiscalía General de la Nación de septiembre de 2015 y febrero de 2016 </w:t>
      </w:r>
      <w:r w:rsidR="00997F68" w:rsidRPr="00996758">
        <w:rPr>
          <w:rFonts w:ascii="Verdana" w:hAnsi="Verdana"/>
          <w:sz w:val="20"/>
          <w:szCs w:val="20"/>
        </w:rPr>
        <w:t>señalan, entre otras, las siguientes razones:</w:t>
      </w:r>
    </w:p>
    <w:p w:rsidR="00997F68" w:rsidRPr="00996758" w:rsidRDefault="00997F68" w:rsidP="00997F68">
      <w:pPr>
        <w:autoSpaceDE w:val="0"/>
        <w:autoSpaceDN w:val="0"/>
        <w:adjustRightInd w:val="0"/>
        <w:spacing w:after="0" w:line="240" w:lineRule="auto"/>
        <w:ind w:left="708"/>
        <w:jc w:val="both"/>
        <w:rPr>
          <w:rFonts w:ascii="Verdana" w:hAnsi="Verdana" w:cs="ArialNarrow"/>
          <w:sz w:val="20"/>
          <w:szCs w:val="20"/>
        </w:rPr>
      </w:pPr>
    </w:p>
    <w:p w:rsidR="00997F68" w:rsidRPr="00996758" w:rsidRDefault="00997F68" w:rsidP="00997F68">
      <w:pPr>
        <w:pStyle w:val="ListParagraph"/>
        <w:autoSpaceDE w:val="0"/>
        <w:autoSpaceDN w:val="0"/>
        <w:adjustRightInd w:val="0"/>
        <w:spacing w:after="0" w:line="240" w:lineRule="auto"/>
        <w:ind w:left="709"/>
        <w:jc w:val="both"/>
        <w:rPr>
          <w:rFonts w:ascii="Verdana" w:hAnsi="Verdana" w:cs="ArialNarrow"/>
          <w:sz w:val="16"/>
          <w:szCs w:val="16"/>
        </w:rPr>
      </w:pPr>
      <w:r w:rsidRPr="00996758">
        <w:rPr>
          <w:rFonts w:ascii="Verdana" w:hAnsi="Verdana" w:cs="ArialNarrow"/>
          <w:sz w:val="16"/>
          <w:szCs w:val="16"/>
        </w:rPr>
        <w:t>La lucha que se presentaba entre las nacientes Autodefensas Campesinas del Magdalena Medio y las estructuras guerrilleras de tinte comunista que llevaban tiempo asentadas en la región, donde todo lo relacionado con la izquierda era sinónimo de subversión, máxime si era acompañado de labores sindicales, populares y organizativas. […]</w:t>
      </w:r>
    </w:p>
    <w:p w:rsidR="00997F68" w:rsidRPr="00996758" w:rsidRDefault="00997F68" w:rsidP="00997F68">
      <w:pPr>
        <w:pStyle w:val="ListParagraph"/>
        <w:autoSpaceDE w:val="0"/>
        <w:autoSpaceDN w:val="0"/>
        <w:adjustRightInd w:val="0"/>
        <w:spacing w:after="0" w:line="240" w:lineRule="auto"/>
        <w:ind w:left="1428"/>
        <w:jc w:val="both"/>
        <w:rPr>
          <w:rFonts w:ascii="Verdana" w:hAnsi="Verdana" w:cs="ArialNarrow"/>
          <w:sz w:val="16"/>
          <w:szCs w:val="16"/>
        </w:rPr>
      </w:pPr>
    </w:p>
    <w:p w:rsidR="00D94E89" w:rsidRPr="00996758" w:rsidRDefault="00997F68" w:rsidP="00997F68">
      <w:pPr>
        <w:pStyle w:val="ListParagraph"/>
        <w:autoSpaceDE w:val="0"/>
        <w:autoSpaceDN w:val="0"/>
        <w:adjustRightInd w:val="0"/>
        <w:spacing w:after="0" w:line="240" w:lineRule="auto"/>
        <w:ind w:left="709"/>
        <w:jc w:val="both"/>
        <w:rPr>
          <w:rFonts w:ascii="Verdana" w:hAnsi="Verdana" w:cs="ArialNarrow"/>
          <w:sz w:val="16"/>
          <w:szCs w:val="16"/>
        </w:rPr>
      </w:pPr>
      <w:r w:rsidRPr="00996758">
        <w:rPr>
          <w:rFonts w:ascii="Verdana" w:hAnsi="Verdana" w:cs="ArialNarrow"/>
          <w:sz w:val="16"/>
          <w:szCs w:val="16"/>
        </w:rPr>
        <w:t xml:space="preserve">Las directivas de las empresas, CEMENTOS NARE y COLCARBURO, pagan para acabar con el sindicato </w:t>
      </w:r>
      <w:r w:rsidR="00A862BF" w:rsidRPr="00996758">
        <w:rPr>
          <w:rFonts w:ascii="Verdana" w:hAnsi="Verdana" w:cs="ArialNarrow"/>
          <w:sz w:val="16"/>
          <w:szCs w:val="16"/>
        </w:rPr>
        <w:t xml:space="preserve">de filiación de izquierda </w:t>
      </w:r>
      <w:r w:rsidR="00223F96" w:rsidRPr="00996758">
        <w:rPr>
          <w:rFonts w:ascii="Verdana" w:hAnsi="Verdana" w:cs="ArialNarrow"/>
          <w:sz w:val="16"/>
          <w:szCs w:val="16"/>
        </w:rPr>
        <w:t xml:space="preserve">y </w:t>
      </w:r>
      <w:r w:rsidR="00A862BF" w:rsidRPr="00996758">
        <w:rPr>
          <w:rFonts w:ascii="Verdana" w:hAnsi="Verdana" w:cs="ArialNarrow"/>
          <w:sz w:val="16"/>
          <w:szCs w:val="16"/>
        </w:rPr>
        <w:t xml:space="preserve">pueda </w:t>
      </w:r>
      <w:r w:rsidR="00223F96" w:rsidRPr="00996758">
        <w:rPr>
          <w:rFonts w:ascii="Verdana" w:hAnsi="Verdana" w:cs="ArialNarrow"/>
          <w:sz w:val="16"/>
          <w:szCs w:val="16"/>
        </w:rPr>
        <w:t xml:space="preserve">surgir [otro] sindicato […] compuesto por personal perteneciente a los partidos políticos tradicionales, que pretendía hacerle contrapeso a </w:t>
      </w:r>
      <w:r w:rsidRPr="00996758">
        <w:rPr>
          <w:rFonts w:ascii="Verdana" w:hAnsi="Verdana" w:cs="ArialNarrow"/>
          <w:sz w:val="16"/>
          <w:szCs w:val="16"/>
        </w:rPr>
        <w:t>SUTIMAC y SINTRACOLCARBURO, que eran señ</w:t>
      </w:r>
      <w:r w:rsidR="00D94E89" w:rsidRPr="00996758">
        <w:rPr>
          <w:rFonts w:ascii="Verdana" w:hAnsi="Verdana" w:cs="ArialNarrow"/>
          <w:sz w:val="16"/>
          <w:szCs w:val="16"/>
        </w:rPr>
        <w:t xml:space="preserve">alados de orientación comunista. Estas afirmaciones están basadas en un hecho en especial que dio inicio a la serie de hechos violentos que acá nos ocupan: "... Para los dirigentes sindicales, el asesinato de Julio Cesar Uribe significó el comienzo de la más sangrienta represión en contra de la organización sindical y de la Unión Patriótica; que ya había sido anunciada, pues en Octubre de 1986, German Froid, Gerente de Cementos Nare, ante un mitin de los trabajadores de la empresa para exigir el cumplimiento de la vigencia de la convención dijo: "Rían ahora, que después del 5 de diciembre de este año llorarán" (sacado del SEMANARIO VOZ, Diciembre 22 de 1988, Pág. 9) </w:t>
      </w:r>
    </w:p>
    <w:p w:rsidR="00D94E89" w:rsidRPr="00996758" w:rsidRDefault="00D94E89" w:rsidP="00997F68">
      <w:pPr>
        <w:pStyle w:val="ListParagraph"/>
        <w:autoSpaceDE w:val="0"/>
        <w:autoSpaceDN w:val="0"/>
        <w:adjustRightInd w:val="0"/>
        <w:spacing w:after="0" w:line="240" w:lineRule="auto"/>
        <w:ind w:left="709"/>
        <w:jc w:val="both"/>
        <w:rPr>
          <w:rFonts w:ascii="Verdana" w:hAnsi="Verdana" w:cs="ArialNarrow"/>
          <w:sz w:val="16"/>
          <w:szCs w:val="16"/>
        </w:rPr>
      </w:pPr>
    </w:p>
    <w:p w:rsidR="00D94E89" w:rsidRPr="00996758" w:rsidRDefault="00997F68" w:rsidP="00997F68">
      <w:pPr>
        <w:pStyle w:val="ListParagraph"/>
        <w:autoSpaceDE w:val="0"/>
        <w:autoSpaceDN w:val="0"/>
        <w:adjustRightInd w:val="0"/>
        <w:spacing w:after="0" w:line="240" w:lineRule="auto"/>
        <w:ind w:left="709"/>
        <w:jc w:val="both"/>
        <w:rPr>
          <w:rFonts w:ascii="Verdana" w:hAnsi="Verdana" w:cs="ArialNarrow"/>
          <w:sz w:val="16"/>
          <w:szCs w:val="16"/>
        </w:rPr>
      </w:pPr>
      <w:r w:rsidRPr="00996758">
        <w:rPr>
          <w:rFonts w:ascii="Verdana" w:hAnsi="Verdana" w:cs="ArialNarrow"/>
          <w:sz w:val="16"/>
          <w:szCs w:val="16"/>
        </w:rPr>
        <w:t>[</w:t>
      </w:r>
      <w:r w:rsidR="00223F96" w:rsidRPr="00996758">
        <w:rPr>
          <w:rFonts w:ascii="Verdana" w:hAnsi="Verdana" w:cs="ArialNarrow"/>
          <w:sz w:val="16"/>
          <w:szCs w:val="16"/>
        </w:rPr>
        <w:t>…] [Uno de los jefes paramilitares</w:t>
      </w:r>
      <w:r w:rsidR="00D94E89" w:rsidRPr="00996758">
        <w:rPr>
          <w:rFonts w:ascii="Verdana" w:hAnsi="Verdana" w:cs="ArialNarrow"/>
          <w:sz w:val="16"/>
          <w:szCs w:val="16"/>
        </w:rPr>
        <w:t>], alias “Vladimir” reconoce en una de sus indagatorias</w:t>
      </w:r>
      <w:r w:rsidR="00223F96" w:rsidRPr="00996758">
        <w:rPr>
          <w:rFonts w:ascii="Verdana" w:hAnsi="Verdana" w:cs="ArialNarrow"/>
          <w:sz w:val="16"/>
          <w:szCs w:val="16"/>
        </w:rPr>
        <w:t xml:space="preserve"> que el grupo </w:t>
      </w:r>
      <w:r w:rsidR="00D94E89" w:rsidRPr="00996758">
        <w:rPr>
          <w:rFonts w:ascii="Verdana" w:hAnsi="Verdana" w:cs="ArialNarrow"/>
          <w:sz w:val="16"/>
          <w:szCs w:val="16"/>
        </w:rPr>
        <w:t xml:space="preserve">paramilitar </w:t>
      </w:r>
      <w:r w:rsidR="00223F96" w:rsidRPr="00996758">
        <w:rPr>
          <w:rFonts w:ascii="Verdana" w:hAnsi="Verdana" w:cs="ArialNarrow"/>
          <w:sz w:val="16"/>
          <w:szCs w:val="16"/>
        </w:rPr>
        <w:t>que él comandaba y hacía presencia en la zona</w:t>
      </w:r>
      <w:r w:rsidR="00D94E89" w:rsidRPr="00996758">
        <w:rPr>
          <w:rFonts w:ascii="Verdana" w:hAnsi="Verdana" w:cs="ArialNarrow"/>
          <w:sz w:val="16"/>
          <w:szCs w:val="16"/>
        </w:rPr>
        <w:t>,</w:t>
      </w:r>
      <w:r w:rsidR="00223F96" w:rsidRPr="00996758">
        <w:rPr>
          <w:rFonts w:ascii="Verdana" w:hAnsi="Verdana" w:cs="ArialNarrow"/>
          <w:sz w:val="16"/>
          <w:szCs w:val="16"/>
        </w:rPr>
        <w:t xml:space="preserve"> tenía contactos con la empresa de hidrocarburos, cementos</w:t>
      </w:r>
      <w:r w:rsidR="00D94E89" w:rsidRPr="00996758">
        <w:rPr>
          <w:rFonts w:ascii="Verdana" w:hAnsi="Verdana" w:cs="ArialNarrow"/>
          <w:sz w:val="16"/>
          <w:szCs w:val="16"/>
        </w:rPr>
        <w:t xml:space="preserve"> y con la Policía</w:t>
      </w:r>
      <w:r w:rsidR="00223F96" w:rsidRPr="00996758">
        <w:rPr>
          <w:rFonts w:ascii="Verdana" w:hAnsi="Verdana" w:cs="ArialNarrow"/>
          <w:sz w:val="16"/>
          <w:szCs w:val="16"/>
        </w:rPr>
        <w:t xml:space="preserve"> […</w:t>
      </w:r>
      <w:r w:rsidR="00D94E89" w:rsidRPr="00996758">
        <w:rPr>
          <w:rFonts w:ascii="Verdana" w:hAnsi="Verdana" w:cs="ArialNarrow"/>
          <w:sz w:val="16"/>
          <w:szCs w:val="16"/>
        </w:rPr>
        <w:t xml:space="preserve"> Dicho paramilitar declaró que tal relación</w:t>
      </w:r>
      <w:r w:rsidR="00223F96" w:rsidRPr="00996758">
        <w:rPr>
          <w:rFonts w:ascii="Verdana" w:hAnsi="Verdana" w:cs="ArialNarrow"/>
          <w:sz w:val="16"/>
          <w:szCs w:val="16"/>
        </w:rPr>
        <w:t>]</w:t>
      </w:r>
      <w:r w:rsidR="00D94E89" w:rsidRPr="00996758">
        <w:rPr>
          <w:rFonts w:ascii="Verdana" w:hAnsi="Verdana" w:cs="ArialNarrow"/>
          <w:sz w:val="16"/>
          <w:szCs w:val="16"/>
        </w:rPr>
        <w:t xml:space="preserve"> “sí existió, consistió en que ellos nos pagaban a nosotros una plata […] Yo hice contacto con el administrador general de la empresa de apellido Froid… le expliqué que nosotros le garantizábamos que las instalaciones de la empresa no las dejábamos tocar de la guerrilla y les garantizábamos la seguridad de los trabajadores […]”</w:t>
      </w:r>
      <w:r w:rsidR="00223F96" w:rsidRPr="00996758">
        <w:rPr>
          <w:rFonts w:ascii="Verdana" w:hAnsi="Verdana" w:cs="ArialNarrow"/>
          <w:sz w:val="16"/>
          <w:szCs w:val="16"/>
        </w:rPr>
        <w:t xml:space="preserve"> </w:t>
      </w:r>
    </w:p>
    <w:p w:rsidR="00D94E89" w:rsidRPr="00996758" w:rsidRDefault="00D94E89" w:rsidP="00997F68">
      <w:pPr>
        <w:pStyle w:val="ListParagraph"/>
        <w:autoSpaceDE w:val="0"/>
        <w:autoSpaceDN w:val="0"/>
        <w:adjustRightInd w:val="0"/>
        <w:spacing w:after="0" w:line="240" w:lineRule="auto"/>
        <w:ind w:left="709"/>
        <w:jc w:val="both"/>
        <w:rPr>
          <w:rFonts w:ascii="Verdana" w:hAnsi="Verdana" w:cs="ArialNarrow"/>
          <w:sz w:val="16"/>
          <w:szCs w:val="16"/>
        </w:rPr>
      </w:pPr>
    </w:p>
    <w:p w:rsidR="00997F68" w:rsidRPr="00996758" w:rsidRDefault="00223F96" w:rsidP="00997F68">
      <w:pPr>
        <w:pStyle w:val="ListParagraph"/>
        <w:autoSpaceDE w:val="0"/>
        <w:autoSpaceDN w:val="0"/>
        <w:adjustRightInd w:val="0"/>
        <w:spacing w:after="0" w:line="240" w:lineRule="auto"/>
        <w:ind w:left="709"/>
        <w:jc w:val="both"/>
        <w:rPr>
          <w:rFonts w:ascii="Verdana" w:hAnsi="Verdana" w:cs="ArialNarrow"/>
          <w:strike/>
          <w:sz w:val="16"/>
          <w:szCs w:val="16"/>
        </w:rPr>
      </w:pPr>
      <w:r w:rsidRPr="00996758">
        <w:rPr>
          <w:rFonts w:ascii="Verdana" w:hAnsi="Verdana" w:cs="ArialNarrow"/>
          <w:sz w:val="16"/>
          <w:szCs w:val="16"/>
        </w:rPr>
        <w:t>[Esas empresas</w:t>
      </w:r>
      <w:r w:rsidR="0082173C" w:rsidRPr="00996758">
        <w:rPr>
          <w:rFonts w:ascii="Verdana" w:hAnsi="Verdana" w:cs="ArialNarrow"/>
          <w:sz w:val="16"/>
          <w:szCs w:val="16"/>
        </w:rPr>
        <w:t>]</w:t>
      </w:r>
      <w:r w:rsidRPr="00996758">
        <w:rPr>
          <w:rFonts w:ascii="Verdana" w:hAnsi="Verdana" w:cs="ArialNarrow"/>
          <w:sz w:val="16"/>
          <w:szCs w:val="16"/>
        </w:rPr>
        <w:t xml:space="preserve"> se</w:t>
      </w:r>
      <w:r w:rsidR="00D94E89" w:rsidRPr="00996758">
        <w:rPr>
          <w:rFonts w:ascii="Verdana" w:hAnsi="Verdana" w:cs="ArialNarrow"/>
          <w:sz w:val="16"/>
          <w:szCs w:val="16"/>
        </w:rPr>
        <w:t xml:space="preserve"> beneficiaron de la situación generada,</w:t>
      </w:r>
      <w:r w:rsidRPr="00996758">
        <w:rPr>
          <w:rFonts w:ascii="Verdana" w:hAnsi="Verdana" w:cs="ArialNarrow"/>
          <w:sz w:val="16"/>
          <w:szCs w:val="16"/>
        </w:rPr>
        <w:t xml:space="preserve"> ya que</w:t>
      </w:r>
      <w:r w:rsidR="00D94E89" w:rsidRPr="00996758">
        <w:rPr>
          <w:rFonts w:ascii="Verdana" w:hAnsi="Verdana" w:cs="ArialNarrow"/>
          <w:sz w:val="16"/>
          <w:szCs w:val="16"/>
        </w:rPr>
        <w:t xml:space="preserve"> […]</w:t>
      </w:r>
      <w:r w:rsidRPr="00996758">
        <w:rPr>
          <w:rFonts w:ascii="Verdana" w:hAnsi="Verdana" w:cs="ArialNarrow"/>
          <w:sz w:val="16"/>
          <w:szCs w:val="16"/>
        </w:rPr>
        <w:t xml:space="preserve"> aprovecharon la salida masiva de trabajadores para implantar el sistema de trabajo por contratos, lo que permitía mantener la producción con costos más bajos ya sin obligaciones de brindar seguridad social, prestaciones sociales ni estabilidad laboral a los nuevos trabajadores”</w:t>
      </w:r>
      <w:r w:rsidR="00997F68" w:rsidRPr="00996758">
        <w:rPr>
          <w:rStyle w:val="FootnoteReference"/>
          <w:rFonts w:ascii="Verdana" w:hAnsi="Verdana" w:cs="ArialNarrow"/>
          <w:sz w:val="16"/>
          <w:szCs w:val="16"/>
        </w:rPr>
        <w:footnoteReference w:id="132"/>
      </w:r>
      <w:r w:rsidR="00997F68" w:rsidRPr="00996758">
        <w:rPr>
          <w:rFonts w:ascii="Verdana" w:hAnsi="Verdana" w:cs="ArialNarrow"/>
          <w:sz w:val="16"/>
          <w:szCs w:val="16"/>
        </w:rPr>
        <w:t>.</w:t>
      </w:r>
    </w:p>
    <w:p w:rsidR="00997F68" w:rsidRPr="00996758" w:rsidRDefault="00997F68" w:rsidP="00997F68">
      <w:pPr>
        <w:pBdr>
          <w:top w:val="nil"/>
        </w:pBdr>
        <w:spacing w:after="0" w:line="240" w:lineRule="auto"/>
        <w:jc w:val="both"/>
        <w:rPr>
          <w:rFonts w:ascii="Verdana" w:hAnsi="Verdana"/>
          <w:sz w:val="20"/>
          <w:szCs w:val="20"/>
        </w:rPr>
      </w:pPr>
    </w:p>
    <w:p w:rsidR="00997F68" w:rsidRPr="00996758" w:rsidRDefault="00997F68" w:rsidP="00223F96">
      <w:pPr>
        <w:pStyle w:val="ListParagraph"/>
        <w:numPr>
          <w:ilvl w:val="0"/>
          <w:numId w:val="10"/>
        </w:numPr>
        <w:spacing w:after="0" w:line="240" w:lineRule="auto"/>
        <w:ind w:left="0" w:firstLine="0"/>
        <w:jc w:val="both"/>
        <w:rPr>
          <w:rFonts w:ascii="Verdana" w:hAnsi="Verdana"/>
          <w:sz w:val="20"/>
          <w:szCs w:val="20"/>
        </w:rPr>
      </w:pPr>
      <w:r w:rsidRPr="00996758">
        <w:rPr>
          <w:rFonts w:ascii="Verdana" w:hAnsi="Verdana"/>
          <w:sz w:val="20"/>
          <w:szCs w:val="20"/>
        </w:rPr>
        <w:t xml:space="preserve">De hecho, </w:t>
      </w:r>
      <w:r w:rsidRPr="00996758">
        <w:rPr>
          <w:rFonts w:ascii="Verdana" w:hAnsi="Verdana"/>
          <w:bCs/>
          <w:sz w:val="20"/>
          <w:szCs w:val="20"/>
        </w:rPr>
        <w:t>en</w:t>
      </w:r>
      <w:r w:rsidRPr="00996758">
        <w:rPr>
          <w:rFonts w:ascii="Verdana" w:hAnsi="Verdana"/>
          <w:sz w:val="20"/>
          <w:szCs w:val="20"/>
        </w:rPr>
        <w:t xml:space="preserve"> </w:t>
      </w:r>
      <w:r w:rsidR="00B05A26" w:rsidRPr="00996758">
        <w:rPr>
          <w:rFonts w:ascii="Verdana" w:hAnsi="Verdana"/>
          <w:sz w:val="20"/>
          <w:szCs w:val="20"/>
        </w:rPr>
        <w:t>ese</w:t>
      </w:r>
      <w:r w:rsidRPr="00996758">
        <w:rPr>
          <w:rFonts w:ascii="Verdana" w:hAnsi="Verdana"/>
          <w:sz w:val="20"/>
          <w:szCs w:val="20"/>
        </w:rPr>
        <w:t xml:space="preserve"> informe se sugiere a la Fiscalía </w:t>
      </w:r>
      <w:r w:rsidR="00AD7FF4" w:rsidRPr="00996758">
        <w:rPr>
          <w:rFonts w:ascii="Verdana" w:hAnsi="Verdana"/>
          <w:sz w:val="20"/>
          <w:szCs w:val="20"/>
        </w:rPr>
        <w:t>“estudi[ar]</w:t>
      </w:r>
      <w:r w:rsidRPr="00996758">
        <w:rPr>
          <w:rFonts w:ascii="Verdana" w:hAnsi="Verdana"/>
          <w:sz w:val="20"/>
          <w:szCs w:val="20"/>
        </w:rPr>
        <w:t xml:space="preserve"> la posibilidad de vincular al proceso a los directivos de la época de Cementos Nare y Colcarburos, toda vez que existen testimonios que los relacionan de efectuar pagos al grupo paramilitar bajo el mando alias ‘Vladimir’[; i]ndagar y establecer qué personal de Policía hacían parte de la Subestación de Policía del corregimiento La Sierra [que] contribuían con el grupo ilegal allí constituido [… y] se considera viable la vinculación de los [integrantes del MAS qu</w:t>
      </w:r>
      <w:r w:rsidR="00B94379" w:rsidRPr="00996758">
        <w:rPr>
          <w:rFonts w:ascii="Verdana" w:hAnsi="Verdana"/>
          <w:sz w:val="20"/>
          <w:szCs w:val="20"/>
        </w:rPr>
        <w:t>e no han sido judicializados]”</w:t>
      </w:r>
      <w:r w:rsidRPr="00996758">
        <w:rPr>
          <w:rFonts w:ascii="Verdana" w:hAnsi="Verdana" w:cs="ArialNarrow"/>
          <w:sz w:val="20"/>
          <w:szCs w:val="20"/>
        </w:rPr>
        <w:t xml:space="preserve">.  </w:t>
      </w:r>
    </w:p>
    <w:p w:rsidR="00223F96" w:rsidRPr="00996758" w:rsidRDefault="00223F96" w:rsidP="00223F96">
      <w:pPr>
        <w:pBdr>
          <w:top w:val="nil"/>
        </w:pBdr>
        <w:spacing w:after="0" w:line="240" w:lineRule="auto"/>
        <w:jc w:val="both"/>
        <w:rPr>
          <w:rFonts w:ascii="Verdana" w:hAnsi="Verdana"/>
          <w:sz w:val="20"/>
          <w:szCs w:val="20"/>
        </w:rPr>
      </w:pPr>
    </w:p>
    <w:p w:rsidR="00DE1428" w:rsidRPr="00996758" w:rsidRDefault="00DE1428" w:rsidP="00DE1428">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En el mismo sentido, la señora Luz María Ramírez García, quien declaró como testigo ofre</w:t>
      </w:r>
      <w:r w:rsidR="001B7F99" w:rsidRPr="00996758">
        <w:rPr>
          <w:rFonts w:ascii="Verdana" w:hAnsi="Verdana"/>
          <w:sz w:val="20"/>
          <w:szCs w:val="20"/>
          <w:lang w:eastAsia="es-CR"/>
        </w:rPr>
        <w:t>cida por el Estado en este caso</w:t>
      </w:r>
      <w:r w:rsidRPr="00996758">
        <w:rPr>
          <w:rFonts w:ascii="Verdana" w:hAnsi="Verdana"/>
          <w:sz w:val="20"/>
          <w:szCs w:val="20"/>
          <w:lang w:eastAsia="es-CR"/>
        </w:rPr>
        <w:t xml:space="preserve"> en calidad de Fiscal a cargo de la investigación de la desaparición del señor Isaza Uribe, manifestó:</w:t>
      </w:r>
    </w:p>
    <w:p w:rsidR="00DE1428" w:rsidRPr="00996758" w:rsidRDefault="00DE1428" w:rsidP="00DE1428">
      <w:pPr>
        <w:pBdr>
          <w:top w:val="nil"/>
        </w:pBdr>
        <w:spacing w:after="0" w:line="240" w:lineRule="auto"/>
        <w:jc w:val="both"/>
        <w:rPr>
          <w:rFonts w:ascii="Verdana" w:hAnsi="Verdana"/>
          <w:sz w:val="20"/>
          <w:szCs w:val="20"/>
          <w:lang w:eastAsia="es-CR"/>
        </w:rPr>
      </w:pPr>
    </w:p>
    <w:p w:rsidR="00DE1428" w:rsidRPr="00996758" w:rsidRDefault="00DE1428" w:rsidP="00DE1428">
      <w:pPr>
        <w:pBdr>
          <w:top w:val="nil"/>
        </w:pBdr>
        <w:spacing w:after="0" w:line="240" w:lineRule="auto"/>
        <w:ind w:left="708"/>
        <w:jc w:val="both"/>
        <w:rPr>
          <w:rFonts w:ascii="Verdana" w:hAnsi="Verdana"/>
          <w:sz w:val="16"/>
          <w:szCs w:val="16"/>
          <w:lang w:eastAsia="es-CR"/>
        </w:rPr>
      </w:pPr>
      <w:r w:rsidRPr="00996758">
        <w:rPr>
          <w:rFonts w:ascii="Verdana" w:hAnsi="Verdana"/>
          <w:sz w:val="16"/>
          <w:szCs w:val="16"/>
          <w:lang w:eastAsia="es-CR"/>
        </w:rPr>
        <w:t xml:space="preserve">Los miembros del sindicato SUTIMAC, se vieron involucrados en esa persecución criminal a partir del momento en que empezó a ser dirigido o direccionado por los partidos políticos de izquierda […] pues los directivos del sindicato fueron los primeros representantes de este movimiento político a nivel del municipio de Puerto Nare y fueron todos ellos blanco de las acciones criminales de los grupos de extrema derecha. En todos los casos que investiga esta delegada en contexto, se señala como autores de ellos al grupo que hoy se conoce como autodefensas campesinas del Magdalena Medio, pero que en la época se autodenominaba "MAS". </w:t>
      </w:r>
    </w:p>
    <w:p w:rsidR="00DE1428" w:rsidRPr="00996758" w:rsidRDefault="00DE1428" w:rsidP="00DE1428">
      <w:pPr>
        <w:pBdr>
          <w:top w:val="nil"/>
        </w:pBdr>
        <w:spacing w:after="0" w:line="240" w:lineRule="auto"/>
        <w:ind w:left="708"/>
        <w:jc w:val="both"/>
        <w:rPr>
          <w:rFonts w:ascii="Verdana" w:hAnsi="Verdana"/>
          <w:sz w:val="16"/>
          <w:szCs w:val="16"/>
          <w:lang w:eastAsia="es-CR"/>
        </w:rPr>
      </w:pPr>
    </w:p>
    <w:p w:rsidR="00DE1428" w:rsidRPr="00996758" w:rsidRDefault="00DE1428" w:rsidP="00DE1428">
      <w:pPr>
        <w:pBdr>
          <w:top w:val="nil"/>
        </w:pBdr>
        <w:spacing w:after="0" w:line="240" w:lineRule="auto"/>
        <w:ind w:left="708"/>
        <w:jc w:val="both"/>
        <w:rPr>
          <w:rFonts w:ascii="Verdana" w:hAnsi="Verdana"/>
          <w:sz w:val="16"/>
          <w:szCs w:val="16"/>
          <w:lang w:eastAsia="es-CR"/>
        </w:rPr>
      </w:pPr>
      <w:r w:rsidRPr="00996758">
        <w:rPr>
          <w:rFonts w:ascii="Verdana" w:hAnsi="Verdana"/>
          <w:sz w:val="16"/>
          <w:szCs w:val="16"/>
          <w:lang w:eastAsia="es-CR"/>
        </w:rPr>
        <w:t>[…] En vista de los "triunfos laborales" que los dirigentes sindicales obtuvieron beneficiando a los obreros y empleados de las empresas Cementos Nare y Colcarburo, hubo presunción de que iguales beneficios se podía obtener en el aspecto político, con el mejoramiento de la calidad de vida de los habitantes del municipio, siendo esta la razón por la que además de dirigentes sindicales eran dirigentes políticos con asiento en las corporaciones municipales</w:t>
      </w:r>
      <w:r w:rsidRPr="00996758">
        <w:rPr>
          <w:rStyle w:val="FootnoteReference"/>
          <w:rFonts w:ascii="Verdana" w:hAnsi="Verdana"/>
          <w:sz w:val="16"/>
          <w:szCs w:val="16"/>
          <w:lang w:eastAsia="es-CR"/>
        </w:rPr>
        <w:footnoteReference w:id="133"/>
      </w:r>
      <w:r w:rsidRPr="00996758">
        <w:rPr>
          <w:rFonts w:ascii="Verdana" w:hAnsi="Verdana"/>
          <w:sz w:val="16"/>
          <w:szCs w:val="16"/>
          <w:lang w:eastAsia="es-CR"/>
        </w:rPr>
        <w:t xml:space="preserve">. </w:t>
      </w:r>
    </w:p>
    <w:p w:rsidR="00DE1428" w:rsidRPr="00996758" w:rsidRDefault="00DE1428" w:rsidP="00223F96">
      <w:pPr>
        <w:pBdr>
          <w:top w:val="nil"/>
        </w:pBdr>
        <w:spacing w:after="0" w:line="240" w:lineRule="auto"/>
        <w:jc w:val="both"/>
        <w:rPr>
          <w:rFonts w:ascii="Verdana" w:hAnsi="Verdana"/>
          <w:sz w:val="20"/>
          <w:szCs w:val="20"/>
        </w:rPr>
      </w:pPr>
    </w:p>
    <w:p w:rsidR="00822005" w:rsidRPr="00996758" w:rsidRDefault="000E1EA2" w:rsidP="001D1252">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 xml:space="preserve">En efecto, en respuesta a las preguntas de los Jueces durante la audiencia realizada </w:t>
      </w:r>
      <w:r w:rsidR="00B05A26" w:rsidRPr="00996758">
        <w:rPr>
          <w:rFonts w:ascii="Verdana" w:hAnsi="Verdana"/>
          <w:sz w:val="20"/>
          <w:szCs w:val="20"/>
        </w:rPr>
        <w:t>ante</w:t>
      </w:r>
      <w:r w:rsidRPr="00996758">
        <w:rPr>
          <w:rFonts w:ascii="Verdana" w:hAnsi="Verdana"/>
          <w:sz w:val="20"/>
          <w:szCs w:val="20"/>
        </w:rPr>
        <w:t xml:space="preserve"> este Tribunal, el Estado </w:t>
      </w:r>
      <w:r w:rsidR="0082173C" w:rsidRPr="00996758">
        <w:rPr>
          <w:rFonts w:ascii="Verdana" w:hAnsi="Verdana"/>
          <w:sz w:val="20"/>
          <w:szCs w:val="20"/>
        </w:rPr>
        <w:t>señaló</w:t>
      </w:r>
      <w:r w:rsidRPr="00996758">
        <w:rPr>
          <w:rFonts w:ascii="Verdana" w:hAnsi="Verdana"/>
          <w:sz w:val="20"/>
          <w:szCs w:val="20"/>
        </w:rPr>
        <w:t xml:space="preserve"> que la Fiscalía General de la Nación</w:t>
      </w:r>
      <w:r w:rsidR="0082173C" w:rsidRPr="00996758">
        <w:rPr>
          <w:rFonts w:ascii="Verdana" w:hAnsi="Verdana"/>
          <w:sz w:val="20"/>
          <w:szCs w:val="20"/>
        </w:rPr>
        <w:t xml:space="preserve"> informó</w:t>
      </w:r>
      <w:r w:rsidR="008A7C54" w:rsidRPr="00996758">
        <w:rPr>
          <w:rFonts w:ascii="Verdana" w:hAnsi="Verdana"/>
          <w:sz w:val="20"/>
          <w:szCs w:val="20"/>
        </w:rPr>
        <w:t xml:space="preserve"> que, en las </w:t>
      </w:r>
      <w:r w:rsidR="008A7C54" w:rsidRPr="00996758">
        <w:rPr>
          <w:rFonts w:ascii="Verdana" w:hAnsi="Verdana"/>
          <w:sz w:val="20"/>
          <w:szCs w:val="20"/>
        </w:rPr>
        <w:lastRenderedPageBreak/>
        <w:t>investigaciones actuales de 14 de los</w:t>
      </w:r>
      <w:r w:rsidR="00822005" w:rsidRPr="00996758">
        <w:rPr>
          <w:rFonts w:ascii="Verdana" w:hAnsi="Verdana"/>
          <w:sz w:val="20"/>
          <w:szCs w:val="20"/>
        </w:rPr>
        <w:t xml:space="preserve"> 22 casos de sindicalistas de SUTIMAC asesinados, desaparecidos o desplazados </w:t>
      </w:r>
      <w:r w:rsidR="008B7770" w:rsidRPr="00996758">
        <w:rPr>
          <w:rFonts w:ascii="Verdana" w:hAnsi="Verdana"/>
          <w:sz w:val="20"/>
          <w:szCs w:val="20"/>
        </w:rPr>
        <w:t>desde</w:t>
      </w:r>
      <w:r w:rsidR="00822005" w:rsidRPr="00996758">
        <w:rPr>
          <w:rFonts w:ascii="Verdana" w:hAnsi="Verdana"/>
          <w:sz w:val="20"/>
          <w:szCs w:val="20"/>
        </w:rPr>
        <w:t xml:space="preserve"> diciembre de 1986, se ha </w:t>
      </w:r>
      <w:r w:rsidR="00BB5E3D" w:rsidRPr="00996758">
        <w:rPr>
          <w:rFonts w:ascii="Verdana" w:hAnsi="Verdana"/>
          <w:sz w:val="20"/>
          <w:szCs w:val="20"/>
        </w:rPr>
        <w:t xml:space="preserve">condenado </w:t>
      </w:r>
      <w:r w:rsidR="00E43265" w:rsidRPr="00996758">
        <w:rPr>
          <w:rFonts w:ascii="Verdana" w:hAnsi="Verdana"/>
          <w:sz w:val="20"/>
          <w:szCs w:val="20"/>
        </w:rPr>
        <w:t xml:space="preserve">penalmente </w:t>
      </w:r>
      <w:r w:rsidR="00BB5E3D" w:rsidRPr="00996758">
        <w:rPr>
          <w:rFonts w:ascii="Verdana" w:hAnsi="Verdana"/>
          <w:sz w:val="20"/>
          <w:szCs w:val="20"/>
        </w:rPr>
        <w:t xml:space="preserve">o </w:t>
      </w:r>
      <w:r w:rsidR="00DE1428" w:rsidRPr="00996758">
        <w:rPr>
          <w:rFonts w:ascii="Verdana" w:hAnsi="Verdana"/>
          <w:sz w:val="20"/>
          <w:szCs w:val="20"/>
        </w:rPr>
        <w:t xml:space="preserve">se ha </w:t>
      </w:r>
      <w:r w:rsidR="00822005" w:rsidRPr="00996758">
        <w:rPr>
          <w:rFonts w:ascii="Verdana" w:hAnsi="Verdana"/>
          <w:sz w:val="20"/>
          <w:szCs w:val="20"/>
        </w:rPr>
        <w:t xml:space="preserve">vinculado </w:t>
      </w:r>
      <w:r w:rsidR="00BB5E3D" w:rsidRPr="00996758">
        <w:rPr>
          <w:rFonts w:ascii="Verdana" w:hAnsi="Verdana"/>
          <w:sz w:val="20"/>
          <w:szCs w:val="20"/>
        </w:rPr>
        <w:t>(</w:t>
      </w:r>
      <w:r w:rsidR="00822005" w:rsidRPr="00996758">
        <w:rPr>
          <w:rFonts w:ascii="Verdana" w:hAnsi="Verdana"/>
          <w:sz w:val="20"/>
          <w:szCs w:val="20"/>
        </w:rPr>
        <w:t>o</w:t>
      </w:r>
      <w:r w:rsidR="00BB5E3D" w:rsidRPr="00996758">
        <w:rPr>
          <w:rFonts w:ascii="Verdana" w:hAnsi="Verdana"/>
          <w:sz w:val="20"/>
          <w:szCs w:val="20"/>
        </w:rPr>
        <w:t xml:space="preserve"> se encuentran pendientes de vincular)</w:t>
      </w:r>
      <w:r w:rsidR="00822005" w:rsidRPr="00996758">
        <w:rPr>
          <w:rFonts w:ascii="Verdana" w:hAnsi="Verdana"/>
          <w:sz w:val="20"/>
          <w:szCs w:val="20"/>
        </w:rPr>
        <w:t xml:space="preserve"> a miembros de grupos paramilitares por los hechos, específicamente Alonso de Jesús Baquero Agudelo – alias “El Negro </w:t>
      </w:r>
      <w:r w:rsidR="00177ADB" w:rsidRPr="00996758">
        <w:rPr>
          <w:rFonts w:ascii="Verdana" w:hAnsi="Verdana"/>
          <w:sz w:val="20"/>
          <w:szCs w:val="20"/>
        </w:rPr>
        <w:t>V</w:t>
      </w:r>
      <w:r w:rsidR="00822005" w:rsidRPr="00996758">
        <w:rPr>
          <w:rFonts w:ascii="Verdana" w:hAnsi="Verdana"/>
          <w:sz w:val="20"/>
          <w:szCs w:val="20"/>
        </w:rPr>
        <w:t>ladimir” – de la organización “MAS” de las Autodefensas Campesinas del Magdalena Medio</w:t>
      </w:r>
      <w:r w:rsidR="00BB5E3D" w:rsidRPr="00996758">
        <w:rPr>
          <w:rFonts w:ascii="Verdana" w:hAnsi="Verdana"/>
          <w:sz w:val="20"/>
          <w:szCs w:val="20"/>
        </w:rPr>
        <w:t>,</w:t>
      </w:r>
      <w:r w:rsidR="00822005" w:rsidRPr="00996758">
        <w:rPr>
          <w:rFonts w:ascii="Verdana" w:hAnsi="Verdana"/>
          <w:sz w:val="20"/>
          <w:szCs w:val="20"/>
        </w:rPr>
        <w:t xml:space="preserve"> y Ramiro Vanoy Murillo – alias </w:t>
      </w:r>
      <w:r w:rsidR="00BB5E3D" w:rsidRPr="00996758">
        <w:rPr>
          <w:rFonts w:ascii="Verdana" w:hAnsi="Verdana"/>
          <w:sz w:val="20"/>
          <w:szCs w:val="20"/>
        </w:rPr>
        <w:t>“</w:t>
      </w:r>
      <w:r w:rsidR="00822005" w:rsidRPr="00996758">
        <w:rPr>
          <w:rFonts w:ascii="Verdana" w:hAnsi="Verdana"/>
          <w:sz w:val="20"/>
          <w:szCs w:val="20"/>
        </w:rPr>
        <w:t>Cuco Vanoy</w:t>
      </w:r>
      <w:r w:rsidR="00BB5E3D" w:rsidRPr="00996758">
        <w:rPr>
          <w:rFonts w:ascii="Verdana" w:hAnsi="Verdana"/>
          <w:sz w:val="20"/>
          <w:szCs w:val="20"/>
        </w:rPr>
        <w:t>”</w:t>
      </w:r>
      <w:r w:rsidR="00822005" w:rsidRPr="00996758">
        <w:rPr>
          <w:rFonts w:ascii="Verdana" w:hAnsi="Verdana"/>
          <w:sz w:val="20"/>
          <w:szCs w:val="20"/>
        </w:rPr>
        <w:t>-</w:t>
      </w:r>
      <w:r w:rsidR="00BB5E3D" w:rsidRPr="00996758">
        <w:rPr>
          <w:rFonts w:ascii="Verdana" w:hAnsi="Verdana"/>
          <w:sz w:val="20"/>
          <w:szCs w:val="20"/>
        </w:rPr>
        <w:t xml:space="preserve"> e </w:t>
      </w:r>
      <w:r w:rsidR="008B7770" w:rsidRPr="00996758">
        <w:rPr>
          <w:rFonts w:ascii="Verdana" w:hAnsi="Verdana"/>
          <w:sz w:val="20"/>
          <w:szCs w:val="20"/>
        </w:rPr>
        <w:t xml:space="preserve">Iván Roberto Duque Gaviria </w:t>
      </w:r>
      <w:r w:rsidR="00BB5E3D" w:rsidRPr="00996758">
        <w:rPr>
          <w:rFonts w:ascii="Verdana" w:hAnsi="Verdana"/>
          <w:sz w:val="20"/>
          <w:szCs w:val="20"/>
        </w:rPr>
        <w:t>- alias “Ernesto Báez”</w:t>
      </w:r>
      <w:r w:rsidR="00822005" w:rsidRPr="00996758">
        <w:rPr>
          <w:rFonts w:ascii="Verdana" w:hAnsi="Verdana"/>
          <w:sz w:val="20"/>
          <w:szCs w:val="20"/>
        </w:rPr>
        <w:t>, comandante</w:t>
      </w:r>
      <w:r w:rsidR="00BB5E3D" w:rsidRPr="00996758">
        <w:rPr>
          <w:rFonts w:ascii="Verdana" w:hAnsi="Verdana"/>
          <w:sz w:val="20"/>
          <w:szCs w:val="20"/>
        </w:rPr>
        <w:t>s</w:t>
      </w:r>
      <w:r w:rsidR="00822005" w:rsidRPr="00996758">
        <w:rPr>
          <w:rFonts w:ascii="Verdana" w:hAnsi="Verdana"/>
          <w:sz w:val="20"/>
          <w:szCs w:val="20"/>
        </w:rPr>
        <w:t xml:space="preserve"> desmovilizado</w:t>
      </w:r>
      <w:r w:rsidR="00BB5E3D" w:rsidRPr="00996758">
        <w:rPr>
          <w:rFonts w:ascii="Verdana" w:hAnsi="Verdana"/>
          <w:sz w:val="20"/>
          <w:szCs w:val="20"/>
        </w:rPr>
        <w:t>s</w:t>
      </w:r>
      <w:r w:rsidR="00822005" w:rsidRPr="00996758">
        <w:rPr>
          <w:rFonts w:ascii="Verdana" w:hAnsi="Verdana"/>
          <w:sz w:val="20"/>
          <w:szCs w:val="20"/>
        </w:rPr>
        <w:t xml:space="preserve"> del “Bloque Minero” </w:t>
      </w:r>
      <w:r w:rsidR="00BB5E3D" w:rsidRPr="00996758">
        <w:rPr>
          <w:rFonts w:ascii="Verdana" w:hAnsi="Verdana"/>
          <w:sz w:val="20"/>
          <w:szCs w:val="20"/>
        </w:rPr>
        <w:t xml:space="preserve">y del “Bloque Central Bolívar” </w:t>
      </w:r>
      <w:r w:rsidR="00822005" w:rsidRPr="00996758">
        <w:rPr>
          <w:rFonts w:ascii="Verdana" w:hAnsi="Verdana"/>
          <w:sz w:val="20"/>
          <w:szCs w:val="20"/>
        </w:rPr>
        <w:t>de las Autodefensas Unidas de Colombia, quien</w:t>
      </w:r>
      <w:r w:rsidR="00BB5E3D" w:rsidRPr="00996758">
        <w:rPr>
          <w:rFonts w:ascii="Verdana" w:hAnsi="Verdana"/>
          <w:sz w:val="20"/>
          <w:szCs w:val="20"/>
        </w:rPr>
        <w:t>es</w:t>
      </w:r>
      <w:r w:rsidR="00822005" w:rsidRPr="00996758">
        <w:rPr>
          <w:rFonts w:ascii="Verdana" w:hAnsi="Verdana"/>
          <w:sz w:val="20"/>
          <w:szCs w:val="20"/>
        </w:rPr>
        <w:t xml:space="preserve"> en </w:t>
      </w:r>
      <w:r w:rsidR="00B05A26" w:rsidRPr="00996758">
        <w:rPr>
          <w:rFonts w:ascii="Verdana" w:hAnsi="Verdana"/>
          <w:sz w:val="20"/>
          <w:szCs w:val="20"/>
        </w:rPr>
        <w:t xml:space="preserve">declaraciones de </w:t>
      </w:r>
      <w:r w:rsidR="00822005" w:rsidRPr="00996758">
        <w:rPr>
          <w:rFonts w:ascii="Verdana" w:hAnsi="Verdana"/>
          <w:sz w:val="20"/>
          <w:szCs w:val="20"/>
        </w:rPr>
        <w:t>versión libre rendida</w:t>
      </w:r>
      <w:r w:rsidR="00B05A26" w:rsidRPr="00996758">
        <w:rPr>
          <w:rFonts w:ascii="Verdana" w:hAnsi="Verdana"/>
          <w:sz w:val="20"/>
          <w:szCs w:val="20"/>
        </w:rPr>
        <w:t>s</w:t>
      </w:r>
      <w:r w:rsidR="00822005" w:rsidRPr="00996758">
        <w:rPr>
          <w:rFonts w:ascii="Verdana" w:hAnsi="Verdana"/>
          <w:sz w:val="20"/>
          <w:szCs w:val="20"/>
        </w:rPr>
        <w:t xml:space="preserve"> ante Fiscal</w:t>
      </w:r>
      <w:r w:rsidR="00D6580C" w:rsidRPr="00996758">
        <w:rPr>
          <w:rFonts w:ascii="Verdana" w:hAnsi="Verdana"/>
          <w:sz w:val="20"/>
          <w:szCs w:val="20"/>
        </w:rPr>
        <w:t>es</w:t>
      </w:r>
      <w:r w:rsidR="00822005" w:rsidRPr="00996758">
        <w:rPr>
          <w:rFonts w:ascii="Verdana" w:hAnsi="Verdana"/>
          <w:sz w:val="20"/>
          <w:szCs w:val="20"/>
        </w:rPr>
        <w:t xml:space="preserve"> de Justicia Transicional</w:t>
      </w:r>
      <w:r w:rsidR="00BB5E3D" w:rsidRPr="00996758">
        <w:rPr>
          <w:rFonts w:ascii="Verdana" w:hAnsi="Verdana"/>
          <w:sz w:val="20"/>
          <w:szCs w:val="20"/>
        </w:rPr>
        <w:t xml:space="preserve"> confesaron</w:t>
      </w:r>
      <w:r w:rsidR="00822005" w:rsidRPr="00996758">
        <w:rPr>
          <w:rFonts w:ascii="Verdana" w:hAnsi="Verdana"/>
          <w:sz w:val="20"/>
          <w:szCs w:val="20"/>
        </w:rPr>
        <w:t xml:space="preserve"> varios</w:t>
      </w:r>
      <w:r w:rsidR="00BB5E3D" w:rsidRPr="00996758">
        <w:rPr>
          <w:rFonts w:ascii="Verdana" w:hAnsi="Verdana"/>
          <w:sz w:val="20"/>
          <w:szCs w:val="20"/>
        </w:rPr>
        <w:t xml:space="preserve"> de esos</w:t>
      </w:r>
      <w:r w:rsidR="00822005" w:rsidRPr="00996758">
        <w:rPr>
          <w:rFonts w:ascii="Verdana" w:hAnsi="Verdana"/>
          <w:sz w:val="20"/>
          <w:szCs w:val="20"/>
        </w:rPr>
        <w:t xml:space="preserve"> hechos por línea de mando. </w:t>
      </w:r>
    </w:p>
    <w:p w:rsidR="00043AA7" w:rsidRPr="00996758" w:rsidRDefault="00043AA7">
      <w:pPr>
        <w:pBdr>
          <w:top w:val="nil"/>
        </w:pBdr>
        <w:spacing w:after="0" w:line="240" w:lineRule="auto"/>
        <w:jc w:val="both"/>
        <w:rPr>
          <w:rFonts w:ascii="Verdana" w:hAnsi="Verdana" w:cs="Times New Roman"/>
          <w:sz w:val="20"/>
          <w:szCs w:val="20"/>
        </w:rPr>
      </w:pPr>
    </w:p>
    <w:p w:rsidR="00043AA7" w:rsidRPr="00996758" w:rsidRDefault="00B05A26" w:rsidP="001D1252">
      <w:pPr>
        <w:numPr>
          <w:ilvl w:val="0"/>
          <w:numId w:val="10"/>
        </w:numPr>
        <w:pBdr>
          <w:top w:val="nil"/>
        </w:pBdr>
        <w:spacing w:after="0" w:line="240" w:lineRule="auto"/>
        <w:ind w:left="0" w:firstLine="0"/>
        <w:jc w:val="both"/>
        <w:rPr>
          <w:rFonts w:ascii="Verdana" w:hAnsi="Verdana" w:cs="Verdana"/>
          <w:bCs/>
          <w:sz w:val="20"/>
          <w:szCs w:val="20"/>
        </w:rPr>
      </w:pPr>
      <w:r w:rsidRPr="00996758">
        <w:rPr>
          <w:rFonts w:ascii="Verdana" w:hAnsi="Verdana"/>
          <w:sz w:val="20"/>
          <w:szCs w:val="20"/>
        </w:rPr>
        <w:t>Así, por ejemplo</w:t>
      </w:r>
      <w:r w:rsidR="002174DB" w:rsidRPr="00996758">
        <w:rPr>
          <w:rFonts w:ascii="Verdana" w:hAnsi="Verdana"/>
          <w:sz w:val="20"/>
          <w:szCs w:val="20"/>
        </w:rPr>
        <w:t>,</w:t>
      </w:r>
      <w:r w:rsidRPr="00996758">
        <w:rPr>
          <w:rFonts w:ascii="Verdana" w:hAnsi="Verdana"/>
          <w:sz w:val="20"/>
          <w:szCs w:val="20"/>
        </w:rPr>
        <w:t xml:space="preserve"> fue referido que</w:t>
      </w:r>
      <w:r w:rsidR="002174DB" w:rsidRPr="00996758">
        <w:rPr>
          <w:rFonts w:ascii="Verdana" w:hAnsi="Verdana"/>
          <w:sz w:val="20"/>
          <w:szCs w:val="20"/>
        </w:rPr>
        <w:t xml:space="preserve"> e</w:t>
      </w:r>
      <w:r w:rsidR="003477BF" w:rsidRPr="00996758">
        <w:rPr>
          <w:rFonts w:ascii="Verdana" w:hAnsi="Verdana"/>
          <w:sz w:val="20"/>
          <w:szCs w:val="20"/>
        </w:rPr>
        <w:t xml:space="preserve">n </w:t>
      </w:r>
      <w:r w:rsidR="00043AA7" w:rsidRPr="00996758">
        <w:rPr>
          <w:rFonts w:ascii="Verdana" w:hAnsi="Verdana"/>
          <w:sz w:val="20"/>
          <w:szCs w:val="20"/>
        </w:rPr>
        <w:t>declaraciones rendidas por el líder paramilitar del Magdalena</w:t>
      </w:r>
      <w:r w:rsidR="00043AA7" w:rsidRPr="00996758">
        <w:rPr>
          <w:rFonts w:ascii="Verdana" w:hAnsi="Verdana" w:cs="Times New Roman"/>
          <w:sz w:val="20"/>
          <w:szCs w:val="20"/>
        </w:rPr>
        <w:t xml:space="preserve"> Medio</w:t>
      </w:r>
      <w:r w:rsidR="00BA3851" w:rsidRPr="00996758">
        <w:rPr>
          <w:rFonts w:ascii="Verdana" w:hAnsi="Verdana" w:cs="Times New Roman"/>
          <w:sz w:val="20"/>
          <w:szCs w:val="20"/>
        </w:rPr>
        <w:t>,</w:t>
      </w:r>
      <w:r w:rsidR="00043AA7" w:rsidRPr="00996758">
        <w:rPr>
          <w:rFonts w:ascii="Verdana" w:hAnsi="Verdana" w:cs="Times New Roman"/>
          <w:sz w:val="20"/>
          <w:szCs w:val="20"/>
        </w:rPr>
        <w:t xml:space="preserve"> Alonso de</w:t>
      </w:r>
      <w:r w:rsidR="00EE7F5E" w:rsidRPr="00996758">
        <w:rPr>
          <w:rFonts w:ascii="Verdana" w:hAnsi="Verdana" w:cs="Times New Roman"/>
          <w:sz w:val="20"/>
          <w:szCs w:val="20"/>
        </w:rPr>
        <w:t xml:space="preserve"> Jesús Baquero Agudelo, alias “V</w:t>
      </w:r>
      <w:r w:rsidR="003477BF" w:rsidRPr="00996758">
        <w:rPr>
          <w:rFonts w:ascii="Verdana" w:hAnsi="Verdana" w:cs="Times New Roman"/>
          <w:sz w:val="20"/>
          <w:szCs w:val="20"/>
        </w:rPr>
        <w:t>ladimir” o</w:t>
      </w:r>
      <w:r w:rsidR="00043AA7" w:rsidRPr="00996758">
        <w:rPr>
          <w:rFonts w:ascii="Verdana" w:hAnsi="Verdana" w:cs="Times New Roman"/>
          <w:sz w:val="20"/>
          <w:szCs w:val="20"/>
        </w:rPr>
        <w:t xml:space="preserve"> ”Negro </w:t>
      </w:r>
      <w:r w:rsidR="00EE7F5E" w:rsidRPr="00996758">
        <w:rPr>
          <w:rFonts w:ascii="Verdana" w:hAnsi="Verdana" w:cs="Times New Roman"/>
          <w:sz w:val="20"/>
          <w:szCs w:val="20"/>
        </w:rPr>
        <w:t>V</w:t>
      </w:r>
      <w:r w:rsidR="00043AA7" w:rsidRPr="00996758">
        <w:rPr>
          <w:rFonts w:ascii="Verdana" w:hAnsi="Verdana" w:cs="Times New Roman"/>
          <w:sz w:val="20"/>
          <w:szCs w:val="20"/>
        </w:rPr>
        <w:t>ladimir”</w:t>
      </w:r>
      <w:r w:rsidR="00177ADB" w:rsidRPr="00996758">
        <w:rPr>
          <w:rStyle w:val="FootnoteReference"/>
          <w:rFonts w:ascii="Verdana" w:hAnsi="Verdana" w:cs="Times New Roman"/>
          <w:sz w:val="20"/>
          <w:szCs w:val="20"/>
        </w:rPr>
        <w:footnoteReference w:id="134"/>
      </w:r>
      <w:r w:rsidR="00043AA7" w:rsidRPr="00996758">
        <w:rPr>
          <w:rFonts w:ascii="Verdana" w:hAnsi="Verdana" w:cs="Times New Roman"/>
          <w:sz w:val="20"/>
          <w:szCs w:val="20"/>
        </w:rPr>
        <w:t>, uno de los autores de la Masacre de la Rochela</w:t>
      </w:r>
      <w:r w:rsidR="00043AA7" w:rsidRPr="00996758">
        <w:rPr>
          <w:rStyle w:val="FootnoteReference"/>
          <w:rFonts w:ascii="Verdana" w:hAnsi="Verdana" w:cs="Times New Roman"/>
          <w:sz w:val="20"/>
          <w:szCs w:val="20"/>
        </w:rPr>
        <w:footnoteReference w:id="135"/>
      </w:r>
      <w:r w:rsidR="00043AA7" w:rsidRPr="00996758">
        <w:rPr>
          <w:rFonts w:ascii="Verdana" w:hAnsi="Verdana" w:cs="Times New Roman"/>
          <w:sz w:val="20"/>
          <w:szCs w:val="20"/>
        </w:rPr>
        <w:t>, entre otros cr</w:t>
      </w:r>
      <w:r w:rsidR="00177ADB" w:rsidRPr="00996758">
        <w:rPr>
          <w:rFonts w:ascii="Verdana" w:hAnsi="Verdana" w:cs="Times New Roman"/>
          <w:sz w:val="20"/>
          <w:szCs w:val="20"/>
        </w:rPr>
        <w:t xml:space="preserve">ímenes, </w:t>
      </w:r>
      <w:r w:rsidR="00043AA7" w:rsidRPr="00996758">
        <w:rPr>
          <w:rFonts w:ascii="Verdana" w:hAnsi="Verdana" w:cs="Times New Roman"/>
          <w:sz w:val="20"/>
          <w:szCs w:val="20"/>
        </w:rPr>
        <w:t>confesó que estuvo al servicio del Ejército Nacional como informante y guía para la base militar de Tolemaida, para luego ser enviado a Puerto Boyacá por el Comandante de la Brigada XIV, como instructor de paramilitares a principio de la década de 1980</w:t>
      </w:r>
      <w:r w:rsidR="00B72A87" w:rsidRPr="00996758">
        <w:rPr>
          <w:rStyle w:val="FootnoteReference"/>
          <w:rFonts w:ascii="Verdana" w:hAnsi="Verdana" w:cs="Times New Roman"/>
          <w:sz w:val="20"/>
          <w:szCs w:val="20"/>
        </w:rPr>
        <w:footnoteReference w:id="136"/>
      </w:r>
      <w:r w:rsidR="00F56C1F" w:rsidRPr="00996758">
        <w:rPr>
          <w:rFonts w:ascii="Verdana" w:hAnsi="Verdana" w:cs="Times New Roman"/>
          <w:sz w:val="20"/>
          <w:szCs w:val="20"/>
        </w:rPr>
        <w:t>. Relató có</w:t>
      </w:r>
      <w:r w:rsidR="00043AA7" w:rsidRPr="00996758">
        <w:rPr>
          <w:rFonts w:ascii="Verdana" w:hAnsi="Verdana" w:cs="Times New Roman"/>
          <w:sz w:val="20"/>
          <w:szCs w:val="20"/>
        </w:rPr>
        <w:t xml:space="preserve">mo fueron cometidos varios crímenes perpetrados por la estructura paramilitar de la zona, tales como la desaparición de 19 comerciantes en octubre de 1987 en Cimitarra y la masacre de funcionarios judiciales en el corregimiento de La Rochela (Simacota) </w:t>
      </w:r>
      <w:r w:rsidR="00177ADB" w:rsidRPr="00996758">
        <w:rPr>
          <w:rFonts w:ascii="Verdana" w:hAnsi="Verdana" w:cs="Times New Roman"/>
          <w:sz w:val="20"/>
          <w:szCs w:val="20"/>
        </w:rPr>
        <w:t xml:space="preserve">en </w:t>
      </w:r>
      <w:r w:rsidR="00043AA7" w:rsidRPr="00996758">
        <w:rPr>
          <w:rFonts w:ascii="Verdana" w:hAnsi="Verdana" w:cs="Times New Roman"/>
          <w:sz w:val="20"/>
          <w:szCs w:val="20"/>
        </w:rPr>
        <w:t xml:space="preserve">enero de 1989. Relató que el blanco central de la persecución de los paramilitares eran los militantes y simpatizantes de la </w:t>
      </w:r>
      <w:r w:rsidR="00F56C1F" w:rsidRPr="00996758">
        <w:rPr>
          <w:rFonts w:ascii="Verdana" w:hAnsi="Verdana" w:cs="Times New Roman"/>
          <w:sz w:val="20"/>
          <w:szCs w:val="20"/>
        </w:rPr>
        <w:t>UP</w:t>
      </w:r>
      <w:r w:rsidR="00043AA7" w:rsidRPr="00996758">
        <w:rPr>
          <w:rFonts w:ascii="Verdana" w:hAnsi="Verdana" w:cs="Times New Roman"/>
          <w:sz w:val="20"/>
          <w:szCs w:val="20"/>
        </w:rPr>
        <w:t xml:space="preserve">, del Partido Comunista y de organizaciones sociales y sindicales en la región. Asimismo, se refirió a </w:t>
      </w:r>
      <w:r w:rsidR="00177ADB" w:rsidRPr="00996758">
        <w:rPr>
          <w:rFonts w:ascii="Verdana" w:hAnsi="Verdana" w:cs="Times New Roman"/>
          <w:sz w:val="20"/>
          <w:szCs w:val="20"/>
        </w:rPr>
        <w:t xml:space="preserve">la participación de altos oficiales de las Fuerzas Militares en </w:t>
      </w:r>
      <w:r w:rsidR="00043AA7" w:rsidRPr="00996758">
        <w:rPr>
          <w:rFonts w:ascii="Verdana" w:hAnsi="Verdana" w:cs="Times New Roman"/>
          <w:sz w:val="20"/>
          <w:szCs w:val="20"/>
        </w:rPr>
        <w:t>reuniones en las que se decidía la comisión de crímenes, así como formas de coordinación de la estructura paramilitar del Magdalena Medio con unidades militares (II División del Ejército, Brigada XIV, B2 de la Brigada XIV, Batallones “Bárbula”, “Calibío”, “Rafael Reyes” y “Bombona”). En una de sus declaraciones, afirmó que “en ese tiempo había afán de sacar la guerrilla como fuera de todo el Magdalena Medio y los militares nos organizaron para que nosotros hiciéramos lo que ellos no podían hacer que era mat</w:t>
      </w:r>
      <w:r w:rsidR="00B72A87" w:rsidRPr="00996758">
        <w:rPr>
          <w:rFonts w:ascii="Verdana" w:hAnsi="Verdana" w:cs="Times New Roman"/>
          <w:sz w:val="20"/>
          <w:szCs w:val="20"/>
        </w:rPr>
        <w:t xml:space="preserve">ar la gente y cometer masacres […] </w:t>
      </w:r>
      <w:r w:rsidR="00043AA7" w:rsidRPr="00996758">
        <w:rPr>
          <w:rFonts w:ascii="Verdana" w:hAnsi="Verdana" w:cs="Times New Roman"/>
          <w:sz w:val="20"/>
          <w:szCs w:val="20"/>
        </w:rPr>
        <w:t xml:space="preserve">en los años 86, 87, 88 y 89 apareció una gran cantidad de gente muerta y otra desaparecida en Puerto Boyacá, en Puerto Nare, La Sierra, Puerto Berrío, </w:t>
      </w:r>
      <w:r w:rsidR="00213FF8" w:rsidRPr="00996758">
        <w:rPr>
          <w:rFonts w:ascii="Verdana" w:hAnsi="Verdana" w:cs="Times New Roman"/>
          <w:sz w:val="20"/>
          <w:szCs w:val="20"/>
        </w:rPr>
        <w:t>[entre otras localidades]</w:t>
      </w:r>
      <w:r w:rsidR="00043AA7" w:rsidRPr="00996758">
        <w:rPr>
          <w:rFonts w:ascii="Verdana" w:hAnsi="Verdana" w:cs="Times New Roman"/>
          <w:sz w:val="20"/>
          <w:szCs w:val="20"/>
        </w:rPr>
        <w:t>, y la familia ni nadie da razón porque los paramilitares se encargaron de eso pero mandados y apoyados por el Ejército”</w:t>
      </w:r>
      <w:r w:rsidR="00043AA7" w:rsidRPr="00996758">
        <w:rPr>
          <w:rStyle w:val="FootnoteReference"/>
          <w:rFonts w:ascii="Verdana" w:hAnsi="Verdana" w:cs="Times New Roman"/>
          <w:sz w:val="20"/>
          <w:szCs w:val="20"/>
          <w:lang w:bidi="en-US"/>
        </w:rPr>
        <w:footnoteReference w:id="137"/>
      </w:r>
      <w:r w:rsidR="00043AA7" w:rsidRPr="00996758">
        <w:rPr>
          <w:rFonts w:ascii="Verdana" w:hAnsi="Verdana" w:cs="Times New Roman"/>
          <w:sz w:val="20"/>
          <w:szCs w:val="20"/>
          <w:lang w:bidi="en-US"/>
        </w:rPr>
        <w:t>. Además, los representantes destacaron</w:t>
      </w:r>
      <w:r w:rsidR="0031304B" w:rsidRPr="00996758">
        <w:rPr>
          <w:rFonts w:ascii="Verdana" w:hAnsi="Verdana" w:cs="Times New Roman"/>
          <w:sz w:val="20"/>
          <w:szCs w:val="20"/>
          <w:lang w:bidi="en-US"/>
        </w:rPr>
        <w:t xml:space="preserve"> lo declarado</w:t>
      </w:r>
      <w:r w:rsidR="00043AA7" w:rsidRPr="00996758">
        <w:rPr>
          <w:rFonts w:ascii="Verdana" w:hAnsi="Verdana" w:cs="Times New Roman"/>
          <w:iCs/>
          <w:sz w:val="20"/>
          <w:szCs w:val="20"/>
          <w:lang w:bidi="en-US"/>
        </w:rPr>
        <w:t xml:space="preserve"> en 2007 por el </w:t>
      </w:r>
      <w:r w:rsidR="00043AA7" w:rsidRPr="00996758">
        <w:rPr>
          <w:rFonts w:ascii="Verdana" w:hAnsi="Verdana" w:cs="Times New Roman"/>
          <w:sz w:val="20"/>
          <w:szCs w:val="20"/>
          <w:lang w:bidi="en-US"/>
        </w:rPr>
        <w:t>ex comandante de las Autodefensas Campesinas del Magdalena Medio (ACMM),</w:t>
      </w:r>
      <w:r w:rsidR="00043AA7" w:rsidRPr="00996758">
        <w:rPr>
          <w:rFonts w:ascii="Verdana" w:hAnsi="Verdana" w:cs="Times New Roman"/>
          <w:sz w:val="20"/>
          <w:szCs w:val="20"/>
        </w:rPr>
        <w:t xml:space="preserve"> Ramón Isaza, </w:t>
      </w:r>
      <w:r w:rsidR="00043AA7" w:rsidRPr="00996758">
        <w:rPr>
          <w:rFonts w:ascii="Verdana" w:hAnsi="Verdana" w:cs="Times New Roman"/>
          <w:sz w:val="20"/>
          <w:szCs w:val="20"/>
          <w:lang w:bidi="en-US"/>
        </w:rPr>
        <w:t>alias “El Viejo”,</w:t>
      </w:r>
      <w:r w:rsidR="0031304B" w:rsidRPr="00996758">
        <w:rPr>
          <w:rFonts w:ascii="Verdana" w:hAnsi="Verdana" w:cs="Times New Roman"/>
          <w:sz w:val="20"/>
          <w:szCs w:val="20"/>
          <w:lang w:bidi="en-US"/>
        </w:rPr>
        <w:t xml:space="preserve"> </w:t>
      </w:r>
      <w:r w:rsidR="0031304B" w:rsidRPr="00996758">
        <w:rPr>
          <w:rFonts w:ascii="Verdana" w:hAnsi="Verdana" w:cs="Times New Roman"/>
          <w:iCs/>
          <w:sz w:val="20"/>
          <w:szCs w:val="20"/>
          <w:lang w:bidi="en-US"/>
        </w:rPr>
        <w:t xml:space="preserve">ante la jurisdicción especializada de justicia y paz, </w:t>
      </w:r>
      <w:r w:rsidR="00043AA7" w:rsidRPr="00996758">
        <w:rPr>
          <w:rFonts w:ascii="Verdana" w:hAnsi="Verdana" w:cs="Times New Roman"/>
          <w:sz w:val="20"/>
          <w:szCs w:val="20"/>
          <w:lang w:bidi="en-US"/>
        </w:rPr>
        <w:t xml:space="preserve">en las que </w:t>
      </w:r>
      <w:r w:rsidR="00043AA7" w:rsidRPr="00996758">
        <w:rPr>
          <w:rFonts w:ascii="Verdana" w:hAnsi="Verdana" w:cs="Times New Roman"/>
          <w:sz w:val="20"/>
          <w:szCs w:val="20"/>
        </w:rPr>
        <w:t>reveló que</w:t>
      </w:r>
      <w:r w:rsidR="00043AA7" w:rsidRPr="00996758">
        <w:rPr>
          <w:rFonts w:ascii="Verdana" w:hAnsi="Verdana" w:cs="Times New Roman"/>
          <w:sz w:val="20"/>
          <w:szCs w:val="20"/>
          <w:lang w:bidi="en-US"/>
        </w:rPr>
        <w:t xml:space="preserve"> </w:t>
      </w:r>
      <w:r w:rsidR="00043AA7" w:rsidRPr="00996758">
        <w:rPr>
          <w:rFonts w:ascii="Verdana" w:hAnsi="Verdana" w:cs="Times New Roman"/>
          <w:sz w:val="20"/>
          <w:szCs w:val="20"/>
        </w:rPr>
        <w:t>las Autodefensas de Puerto Boyacá ejercían el control de la región de Puerto Nare y La Sierra a finales de la década de los 80s y que fueron</w:t>
      </w:r>
      <w:r w:rsidR="003246C2" w:rsidRPr="00996758">
        <w:rPr>
          <w:rFonts w:ascii="Verdana" w:hAnsi="Verdana" w:cs="Times New Roman"/>
          <w:sz w:val="20"/>
          <w:szCs w:val="20"/>
        </w:rPr>
        <w:t xml:space="preserve"> autoras de numerosos crímenes </w:t>
      </w:r>
      <w:r w:rsidR="00043AA7" w:rsidRPr="00996758">
        <w:rPr>
          <w:rFonts w:ascii="Verdana" w:hAnsi="Verdana" w:cs="Times New Roman"/>
          <w:sz w:val="20"/>
          <w:szCs w:val="20"/>
        </w:rPr>
        <w:t>en la región</w:t>
      </w:r>
      <w:r w:rsidR="00043AA7" w:rsidRPr="00996758">
        <w:rPr>
          <w:rStyle w:val="FootnoteReference"/>
          <w:rFonts w:ascii="Verdana" w:hAnsi="Verdana" w:cs="Times New Roman"/>
          <w:color w:val="000000"/>
          <w:sz w:val="20"/>
          <w:szCs w:val="20"/>
        </w:rPr>
        <w:footnoteReference w:id="138"/>
      </w:r>
      <w:r w:rsidR="00043AA7" w:rsidRPr="00996758">
        <w:rPr>
          <w:rFonts w:ascii="Verdana" w:hAnsi="Verdana" w:cs="Times New Roman"/>
          <w:iCs/>
          <w:sz w:val="20"/>
          <w:szCs w:val="20"/>
          <w:lang w:bidi="en-US"/>
        </w:rPr>
        <w:t>.</w:t>
      </w:r>
    </w:p>
    <w:p w:rsidR="006E45AC" w:rsidRPr="00996758" w:rsidRDefault="006E45AC">
      <w:pPr>
        <w:pBdr>
          <w:top w:val="nil"/>
        </w:pBdr>
        <w:spacing w:after="0" w:line="240" w:lineRule="auto"/>
        <w:jc w:val="both"/>
        <w:rPr>
          <w:rFonts w:ascii="Verdana" w:hAnsi="Verdana"/>
          <w:sz w:val="20"/>
          <w:szCs w:val="20"/>
        </w:rPr>
      </w:pPr>
    </w:p>
    <w:p w:rsidR="00C021BB" w:rsidRPr="00996758" w:rsidRDefault="000107A4" w:rsidP="001D1252">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lastRenderedPageBreak/>
        <w:t xml:space="preserve">El contexto descrito revela, sin lugar a dudas, un patrón sistemático de violencia contra sindicalistas y, en particular, contra los miembros del sindicato SUTIMAC, que ha </w:t>
      </w:r>
      <w:r w:rsidR="008038C6" w:rsidRPr="00996758">
        <w:rPr>
          <w:rFonts w:ascii="Verdana" w:hAnsi="Verdana"/>
          <w:sz w:val="20"/>
          <w:szCs w:val="20"/>
        </w:rPr>
        <w:t xml:space="preserve">sido </w:t>
      </w:r>
      <w:r w:rsidRPr="00996758">
        <w:rPr>
          <w:rFonts w:ascii="Verdana" w:hAnsi="Verdana"/>
          <w:sz w:val="20"/>
          <w:szCs w:val="20"/>
        </w:rPr>
        <w:t>atribuido al accionar de grupos paramilitares</w:t>
      </w:r>
      <w:r w:rsidR="005509C5" w:rsidRPr="00996758">
        <w:rPr>
          <w:rFonts w:ascii="Verdana" w:hAnsi="Verdana"/>
          <w:sz w:val="20"/>
          <w:szCs w:val="20"/>
        </w:rPr>
        <w:t>.</w:t>
      </w:r>
      <w:r w:rsidR="00255C1A" w:rsidRPr="00996758">
        <w:rPr>
          <w:rFonts w:ascii="Verdana" w:hAnsi="Verdana"/>
          <w:sz w:val="20"/>
          <w:szCs w:val="20"/>
        </w:rPr>
        <w:t xml:space="preserve"> </w:t>
      </w:r>
    </w:p>
    <w:p w:rsidR="00D15C0C" w:rsidRPr="00996758" w:rsidRDefault="00D15C0C">
      <w:pPr>
        <w:pBdr>
          <w:top w:val="nil"/>
        </w:pBdr>
        <w:spacing w:after="0" w:line="240" w:lineRule="auto"/>
        <w:jc w:val="both"/>
        <w:rPr>
          <w:rFonts w:ascii="Verdana" w:hAnsi="Verdana"/>
          <w:sz w:val="20"/>
          <w:szCs w:val="20"/>
        </w:rPr>
      </w:pPr>
    </w:p>
    <w:p w:rsidR="00602FCE" w:rsidRPr="00996758" w:rsidRDefault="00602FCE" w:rsidP="00602FCE">
      <w:pPr>
        <w:pBdr>
          <w:top w:val="nil"/>
        </w:pBdr>
        <w:spacing w:after="0" w:line="240" w:lineRule="auto"/>
        <w:ind w:left="1416"/>
        <w:jc w:val="both"/>
        <w:rPr>
          <w:rFonts w:ascii="Verdana" w:hAnsi="Verdana"/>
          <w:i/>
          <w:sz w:val="20"/>
          <w:szCs w:val="20"/>
        </w:rPr>
      </w:pPr>
      <w:r w:rsidRPr="00996758">
        <w:rPr>
          <w:rFonts w:ascii="Verdana" w:hAnsi="Verdana"/>
          <w:i/>
          <w:sz w:val="20"/>
          <w:szCs w:val="20"/>
        </w:rPr>
        <w:t>b.3</w:t>
      </w:r>
      <w:r w:rsidRPr="00996758">
        <w:rPr>
          <w:rFonts w:ascii="Verdana" w:hAnsi="Verdana"/>
          <w:i/>
          <w:sz w:val="20"/>
          <w:szCs w:val="20"/>
        </w:rPr>
        <w:tab/>
        <w:t>Vinculación del señor Isaza Uribe con SUTIMAC</w:t>
      </w:r>
      <w:r w:rsidR="00D36D9E" w:rsidRPr="00996758">
        <w:rPr>
          <w:rFonts w:ascii="Verdana" w:hAnsi="Verdana"/>
          <w:i/>
          <w:sz w:val="20"/>
          <w:szCs w:val="20"/>
        </w:rPr>
        <w:t xml:space="preserve"> y su desaparición</w:t>
      </w:r>
    </w:p>
    <w:p w:rsidR="00602FCE" w:rsidRPr="00996758" w:rsidRDefault="00602FCE">
      <w:pPr>
        <w:pBdr>
          <w:top w:val="nil"/>
        </w:pBdr>
        <w:spacing w:after="0" w:line="240" w:lineRule="auto"/>
        <w:jc w:val="both"/>
        <w:rPr>
          <w:rFonts w:ascii="Verdana" w:hAnsi="Verdana"/>
          <w:sz w:val="20"/>
          <w:szCs w:val="20"/>
        </w:rPr>
      </w:pPr>
    </w:p>
    <w:p w:rsidR="00DF56B9" w:rsidRPr="00996758" w:rsidRDefault="00602FCE" w:rsidP="00DC7CD8">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E</w:t>
      </w:r>
      <w:r w:rsidR="00255C1A" w:rsidRPr="00996758">
        <w:rPr>
          <w:rFonts w:ascii="Verdana" w:hAnsi="Verdana"/>
          <w:sz w:val="20"/>
          <w:szCs w:val="20"/>
        </w:rPr>
        <w:t xml:space="preserve">l Estado alegó que, si bien el señor Isaza </w:t>
      </w:r>
      <w:r w:rsidR="00097FD3" w:rsidRPr="00996758">
        <w:rPr>
          <w:rFonts w:ascii="Verdana" w:hAnsi="Verdana"/>
          <w:sz w:val="20"/>
          <w:szCs w:val="20"/>
        </w:rPr>
        <w:t>Uribe</w:t>
      </w:r>
      <w:r w:rsidR="00255C1A" w:rsidRPr="00996758">
        <w:rPr>
          <w:rFonts w:ascii="Verdana" w:hAnsi="Verdana"/>
          <w:sz w:val="20"/>
          <w:szCs w:val="20"/>
        </w:rPr>
        <w:t xml:space="preserve"> era afiliado a SUTIMAC, no está acreditada su actividad sindical. En este sentido, el Tribunal considera que</w:t>
      </w:r>
      <w:r w:rsidR="00FD6490" w:rsidRPr="00996758">
        <w:rPr>
          <w:rFonts w:ascii="Verdana" w:hAnsi="Verdana"/>
          <w:sz w:val="20"/>
          <w:szCs w:val="20"/>
        </w:rPr>
        <w:t>,</w:t>
      </w:r>
      <w:r w:rsidR="00255C1A" w:rsidRPr="00996758">
        <w:rPr>
          <w:rFonts w:ascii="Verdana" w:hAnsi="Verdana"/>
          <w:sz w:val="20"/>
          <w:szCs w:val="20"/>
        </w:rPr>
        <w:t xml:space="preserve"> ante el grado de violencia comprobado contra miembros del sindicato, es irrelevante si la relación de la presunta víctima con éste en ese momento era de mera afiliación, de actividad sindical intensa o de representación, pues tampoco ha sido desacreditado que la mera simpatía o membrecía con el sindicato ya era, en ese contexto, razón suficiente o relevante para colocar</w:t>
      </w:r>
      <w:r w:rsidR="00E9642B" w:rsidRPr="00996758">
        <w:rPr>
          <w:rFonts w:ascii="Verdana" w:hAnsi="Verdana"/>
          <w:sz w:val="20"/>
          <w:szCs w:val="20"/>
        </w:rPr>
        <w:t>los</w:t>
      </w:r>
      <w:r w:rsidR="00255C1A" w:rsidRPr="00996758">
        <w:rPr>
          <w:rFonts w:ascii="Verdana" w:hAnsi="Verdana"/>
          <w:sz w:val="20"/>
          <w:szCs w:val="20"/>
        </w:rPr>
        <w:t xml:space="preserve"> en la misma situación de riesgo. </w:t>
      </w:r>
      <w:r w:rsidR="002B3B01" w:rsidRPr="00996758">
        <w:rPr>
          <w:rFonts w:ascii="Verdana" w:hAnsi="Verdana"/>
          <w:sz w:val="20"/>
          <w:szCs w:val="20"/>
        </w:rPr>
        <w:t>Además, s</w:t>
      </w:r>
      <w:r w:rsidR="006F1C06" w:rsidRPr="00996758">
        <w:rPr>
          <w:rFonts w:ascii="Verdana" w:hAnsi="Verdana"/>
          <w:sz w:val="20"/>
          <w:szCs w:val="20"/>
        </w:rPr>
        <w:t>i bien es cierto el señor Isaza Uribe no ocupaba un cargo de elección popular por la UP o no era un líder o militante del partido particularmente visible, tal como afirmó el Estado, no es menos cierto que sí era simpatizante del mismo</w:t>
      </w:r>
      <w:r w:rsidR="00C34885" w:rsidRPr="00996758">
        <w:rPr>
          <w:rFonts w:ascii="Verdana" w:hAnsi="Verdana"/>
          <w:sz w:val="20"/>
          <w:szCs w:val="20"/>
        </w:rPr>
        <w:t xml:space="preserve"> y que el sindicato era relacionado con la UP, el cual que acababa de tener un éxito electoral relevante, por lo cual </w:t>
      </w:r>
      <w:r w:rsidR="005A6090" w:rsidRPr="00996758">
        <w:rPr>
          <w:rFonts w:ascii="Verdana" w:hAnsi="Verdana"/>
          <w:sz w:val="20"/>
          <w:szCs w:val="20"/>
        </w:rPr>
        <w:t xml:space="preserve">él podía </w:t>
      </w:r>
      <w:r w:rsidR="00C34885" w:rsidRPr="00996758">
        <w:rPr>
          <w:rFonts w:ascii="Verdana" w:hAnsi="Verdana"/>
          <w:sz w:val="20"/>
          <w:szCs w:val="20"/>
        </w:rPr>
        <w:t>estar</w:t>
      </w:r>
      <w:r w:rsidR="00FD7BF7" w:rsidRPr="00996758">
        <w:rPr>
          <w:rFonts w:ascii="Verdana" w:hAnsi="Verdana"/>
          <w:sz w:val="20"/>
          <w:szCs w:val="20"/>
        </w:rPr>
        <w:t xml:space="preserve">, en mayor o menor grado, </w:t>
      </w:r>
      <w:r w:rsidR="00C34885" w:rsidRPr="00996758">
        <w:rPr>
          <w:rFonts w:ascii="Verdana" w:hAnsi="Verdana"/>
          <w:sz w:val="20"/>
          <w:szCs w:val="20"/>
        </w:rPr>
        <w:t>en</w:t>
      </w:r>
      <w:r w:rsidR="00DF56B9" w:rsidRPr="00996758">
        <w:rPr>
          <w:rFonts w:ascii="Verdana" w:hAnsi="Verdana"/>
          <w:sz w:val="20"/>
          <w:szCs w:val="20"/>
        </w:rPr>
        <w:t xml:space="preserve"> la misma situación de vulnerabilidad enfrentada por quienes estaban vinculado</w:t>
      </w:r>
      <w:r w:rsidR="00FD7BF7" w:rsidRPr="00996758">
        <w:rPr>
          <w:rFonts w:ascii="Verdana" w:hAnsi="Verdana"/>
          <w:sz w:val="20"/>
          <w:szCs w:val="20"/>
        </w:rPr>
        <w:t xml:space="preserve">s con </w:t>
      </w:r>
      <w:r w:rsidR="00C34885" w:rsidRPr="00996758">
        <w:rPr>
          <w:rFonts w:ascii="Verdana" w:hAnsi="Verdana"/>
          <w:sz w:val="20"/>
          <w:szCs w:val="20"/>
        </w:rPr>
        <w:t>el sindicato</w:t>
      </w:r>
      <w:r w:rsidR="00FD7BF7" w:rsidRPr="00996758">
        <w:rPr>
          <w:rFonts w:ascii="Verdana" w:hAnsi="Verdana"/>
          <w:sz w:val="20"/>
          <w:szCs w:val="20"/>
        </w:rPr>
        <w:t xml:space="preserve">. </w:t>
      </w:r>
    </w:p>
    <w:p w:rsidR="00DF56B9" w:rsidRPr="00996758" w:rsidRDefault="00DF56B9">
      <w:pPr>
        <w:pBdr>
          <w:top w:val="nil"/>
        </w:pBdr>
        <w:spacing w:after="0" w:line="240" w:lineRule="auto"/>
        <w:jc w:val="both"/>
        <w:rPr>
          <w:rFonts w:ascii="Verdana" w:hAnsi="Verdana"/>
          <w:sz w:val="20"/>
          <w:szCs w:val="20"/>
        </w:rPr>
      </w:pPr>
    </w:p>
    <w:p w:rsidR="0032686F" w:rsidRPr="00996758" w:rsidRDefault="00E559F7" w:rsidP="00DC7CD8">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Por ello, e</w:t>
      </w:r>
      <w:r w:rsidR="00A163D5" w:rsidRPr="00996758">
        <w:rPr>
          <w:rFonts w:ascii="Verdana" w:hAnsi="Verdana"/>
          <w:sz w:val="20"/>
          <w:szCs w:val="20"/>
        </w:rPr>
        <w:t>s posible considerar que</w:t>
      </w:r>
      <w:r w:rsidR="00FD7BF7" w:rsidRPr="00996758">
        <w:rPr>
          <w:rFonts w:ascii="Verdana" w:hAnsi="Verdana"/>
          <w:sz w:val="20"/>
          <w:szCs w:val="20"/>
        </w:rPr>
        <w:t xml:space="preserve"> en una época y contexto en que las Fuerzas Armadas auspiciaban y </w:t>
      </w:r>
      <w:r w:rsidR="00FD7BF7" w:rsidRPr="00996758">
        <w:rPr>
          <w:rFonts w:ascii="Verdana" w:hAnsi="Verdana" w:cs="Baskerville"/>
          <w:sz w:val="20"/>
          <w:szCs w:val="20"/>
        </w:rPr>
        <w:t>conformaban</w:t>
      </w:r>
      <w:r w:rsidR="00F56C1F" w:rsidRPr="00996758">
        <w:rPr>
          <w:rFonts w:ascii="Verdana" w:hAnsi="Verdana" w:cs="Baskerville"/>
          <w:sz w:val="20"/>
          <w:szCs w:val="20"/>
        </w:rPr>
        <w:t xml:space="preserve"> grupos paramilitares</w:t>
      </w:r>
      <w:r w:rsidR="00FD7BF7" w:rsidRPr="00996758">
        <w:rPr>
          <w:rFonts w:ascii="Verdana" w:hAnsi="Verdana" w:cs="Baskerville"/>
          <w:sz w:val="20"/>
          <w:szCs w:val="20"/>
        </w:rPr>
        <w:t xml:space="preserve">, en el marco de sus operaciones contrainsurgentes, y en que el sindicalismo </w:t>
      </w:r>
      <w:r w:rsidR="001E382B" w:rsidRPr="00996758">
        <w:rPr>
          <w:rFonts w:ascii="Verdana" w:hAnsi="Verdana" w:cs="Baskerville"/>
          <w:sz w:val="20"/>
          <w:szCs w:val="20"/>
        </w:rPr>
        <w:t>podía ser</w:t>
      </w:r>
      <w:r w:rsidR="00FD7BF7" w:rsidRPr="00996758">
        <w:rPr>
          <w:rFonts w:ascii="Verdana" w:hAnsi="Verdana" w:cs="Baskerville"/>
          <w:sz w:val="20"/>
          <w:szCs w:val="20"/>
        </w:rPr>
        <w:t xml:space="preserve"> entendido como parte de </w:t>
      </w:r>
      <w:r w:rsidRPr="00996758">
        <w:rPr>
          <w:rFonts w:ascii="Verdana" w:hAnsi="Verdana" w:cs="Baskerville"/>
          <w:sz w:val="20"/>
          <w:szCs w:val="20"/>
        </w:rPr>
        <w:t>una</w:t>
      </w:r>
      <w:r w:rsidR="00FD7BF7" w:rsidRPr="00996758">
        <w:rPr>
          <w:rFonts w:ascii="Verdana" w:hAnsi="Verdana" w:cs="Baskerville"/>
          <w:sz w:val="20"/>
          <w:szCs w:val="20"/>
        </w:rPr>
        <w:t xml:space="preserve"> “población civil insurgente”, </w:t>
      </w:r>
      <w:r w:rsidR="00FD7BF7" w:rsidRPr="00996758">
        <w:rPr>
          <w:rFonts w:ascii="Verdana" w:hAnsi="Verdana"/>
          <w:sz w:val="20"/>
          <w:szCs w:val="20"/>
        </w:rPr>
        <w:t xml:space="preserve">la mera percepción de la identidad “comunista”, “guerrillera”, “subversiva” </w:t>
      </w:r>
      <w:r w:rsidR="005A6090" w:rsidRPr="00996758">
        <w:rPr>
          <w:rFonts w:ascii="Verdana" w:hAnsi="Verdana"/>
          <w:sz w:val="20"/>
          <w:szCs w:val="20"/>
        </w:rPr>
        <w:t xml:space="preserve">o </w:t>
      </w:r>
      <w:r w:rsidR="00FD7BF7" w:rsidRPr="00996758">
        <w:rPr>
          <w:rFonts w:ascii="Verdana" w:hAnsi="Verdana"/>
          <w:sz w:val="20"/>
          <w:szCs w:val="20"/>
        </w:rPr>
        <w:t xml:space="preserve">“sindicalista”, </w:t>
      </w:r>
      <w:r w:rsidR="001B7F99" w:rsidRPr="00996758">
        <w:rPr>
          <w:rFonts w:ascii="Verdana" w:hAnsi="Verdana"/>
          <w:sz w:val="20"/>
          <w:szCs w:val="20"/>
        </w:rPr>
        <w:t>podía ser</w:t>
      </w:r>
      <w:r w:rsidRPr="00996758">
        <w:rPr>
          <w:rFonts w:ascii="Verdana" w:hAnsi="Verdana"/>
          <w:sz w:val="20"/>
          <w:szCs w:val="20"/>
        </w:rPr>
        <w:t xml:space="preserve"> suficiente </w:t>
      </w:r>
      <w:r w:rsidR="00FD7BF7" w:rsidRPr="00996758">
        <w:rPr>
          <w:rFonts w:ascii="Verdana" w:hAnsi="Verdana"/>
          <w:sz w:val="20"/>
          <w:szCs w:val="20"/>
        </w:rPr>
        <w:t xml:space="preserve">para que ese grupo de personas, por el solo hecho de ser percibidas o identificadas como miembros del sindicato o de la UP, corrieran riesgos de sufrir violaciones a sus derechos. </w:t>
      </w:r>
    </w:p>
    <w:p w:rsidR="0032686F" w:rsidRPr="00996758" w:rsidRDefault="0032686F">
      <w:pPr>
        <w:pBdr>
          <w:top w:val="nil"/>
        </w:pBdr>
        <w:spacing w:after="0" w:line="240" w:lineRule="auto"/>
        <w:jc w:val="both"/>
        <w:rPr>
          <w:rFonts w:ascii="Verdana" w:hAnsi="Verdana"/>
          <w:sz w:val="20"/>
          <w:szCs w:val="20"/>
          <w:lang w:eastAsia="es-CR"/>
        </w:rPr>
      </w:pPr>
    </w:p>
    <w:p w:rsidR="0032686F" w:rsidRPr="00996758" w:rsidRDefault="0032686F" w:rsidP="00DC7CD8">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En efecto, </w:t>
      </w:r>
      <w:r w:rsidR="00DE1428" w:rsidRPr="00996758">
        <w:rPr>
          <w:rFonts w:ascii="Verdana" w:hAnsi="Verdana"/>
          <w:sz w:val="20"/>
          <w:szCs w:val="20"/>
          <w:lang w:eastAsia="es-CR"/>
        </w:rPr>
        <w:t>la</w:t>
      </w:r>
      <w:r w:rsidRPr="00996758">
        <w:rPr>
          <w:rFonts w:ascii="Verdana" w:hAnsi="Verdana"/>
          <w:sz w:val="20"/>
          <w:szCs w:val="20"/>
          <w:lang w:eastAsia="es-CR"/>
        </w:rPr>
        <w:t xml:space="preserve"> </w:t>
      </w:r>
      <w:r w:rsidR="00D36D9E" w:rsidRPr="00996758">
        <w:rPr>
          <w:rFonts w:ascii="Verdana" w:hAnsi="Verdana"/>
          <w:sz w:val="20"/>
          <w:szCs w:val="20"/>
          <w:lang w:eastAsia="es-CR"/>
        </w:rPr>
        <w:t xml:space="preserve">Fiscal a cargo de la investigación de </w:t>
      </w:r>
      <w:r w:rsidR="00DE1428" w:rsidRPr="00996758">
        <w:rPr>
          <w:rFonts w:ascii="Verdana" w:hAnsi="Verdana"/>
          <w:sz w:val="20"/>
          <w:szCs w:val="20"/>
          <w:lang w:eastAsia="es-CR"/>
        </w:rPr>
        <w:t>la</w:t>
      </w:r>
      <w:r w:rsidR="00D36D9E" w:rsidRPr="00996758">
        <w:rPr>
          <w:rFonts w:ascii="Verdana" w:hAnsi="Verdana"/>
          <w:sz w:val="20"/>
          <w:szCs w:val="20"/>
          <w:lang w:eastAsia="es-CR"/>
        </w:rPr>
        <w:t xml:space="preserve"> desaparición del señor Isaza Uribe</w:t>
      </w:r>
      <w:r w:rsidRPr="00996758">
        <w:rPr>
          <w:rFonts w:ascii="Verdana" w:hAnsi="Verdana"/>
          <w:sz w:val="20"/>
          <w:szCs w:val="20"/>
          <w:lang w:eastAsia="es-CR"/>
        </w:rPr>
        <w:t>, ante la pregunta sobre cuál es la hipótesis que ella maneja actualmente sobre los responsables de la</w:t>
      </w:r>
      <w:r w:rsidR="00D36D9E" w:rsidRPr="00996758">
        <w:rPr>
          <w:rFonts w:ascii="Verdana" w:hAnsi="Verdana"/>
          <w:sz w:val="20"/>
          <w:szCs w:val="20"/>
          <w:lang w:eastAsia="es-CR"/>
        </w:rPr>
        <w:t xml:space="preserve"> misma</w:t>
      </w:r>
      <w:r w:rsidRPr="00996758">
        <w:rPr>
          <w:rFonts w:ascii="Verdana" w:hAnsi="Verdana"/>
          <w:sz w:val="20"/>
          <w:szCs w:val="20"/>
          <w:lang w:eastAsia="es-CR"/>
        </w:rPr>
        <w:t>, manifestó:</w:t>
      </w:r>
    </w:p>
    <w:p w:rsidR="0032686F" w:rsidRPr="00996758" w:rsidRDefault="0032686F">
      <w:pPr>
        <w:pBdr>
          <w:top w:val="nil"/>
        </w:pBdr>
        <w:spacing w:after="0" w:line="240" w:lineRule="auto"/>
        <w:jc w:val="both"/>
        <w:rPr>
          <w:rFonts w:ascii="Verdana" w:hAnsi="Verdana"/>
          <w:sz w:val="20"/>
          <w:szCs w:val="20"/>
          <w:lang w:eastAsia="es-CR"/>
        </w:rPr>
      </w:pPr>
    </w:p>
    <w:p w:rsidR="0032686F" w:rsidRPr="00996758" w:rsidRDefault="0032686F">
      <w:pPr>
        <w:pBdr>
          <w:top w:val="nil"/>
        </w:pBdr>
        <w:spacing w:after="0" w:line="240" w:lineRule="auto"/>
        <w:ind w:left="708"/>
        <w:jc w:val="both"/>
        <w:rPr>
          <w:rFonts w:ascii="Verdana" w:hAnsi="Verdana"/>
          <w:sz w:val="16"/>
          <w:szCs w:val="16"/>
          <w:lang w:eastAsia="es-CR"/>
        </w:rPr>
      </w:pPr>
      <w:r w:rsidRPr="00996758">
        <w:rPr>
          <w:rFonts w:ascii="Verdana" w:hAnsi="Verdana"/>
          <w:sz w:val="16"/>
          <w:szCs w:val="16"/>
          <w:lang w:eastAsia="es-CR"/>
        </w:rPr>
        <w:t xml:space="preserve">“[…] esta delegada Fiscal, de acuerdo con la prueba que obra en todo el proceso </w:t>
      </w:r>
      <w:r w:rsidR="00D36D9E" w:rsidRPr="00996758">
        <w:rPr>
          <w:rFonts w:ascii="Verdana" w:hAnsi="Verdana"/>
          <w:sz w:val="16"/>
          <w:szCs w:val="16"/>
          <w:lang w:eastAsia="es-CR"/>
        </w:rPr>
        <w:t>[…]</w:t>
      </w:r>
      <w:r w:rsidRPr="00996758">
        <w:rPr>
          <w:rFonts w:ascii="Verdana" w:hAnsi="Verdana"/>
          <w:sz w:val="16"/>
          <w:szCs w:val="16"/>
          <w:lang w:eastAsia="es-CR"/>
        </w:rPr>
        <w:t xml:space="preserve"> se inclina por la autoría en el grupo de autodef</w:t>
      </w:r>
      <w:r w:rsidR="00C500CE" w:rsidRPr="00996758">
        <w:rPr>
          <w:rFonts w:ascii="Verdana" w:hAnsi="Verdana"/>
          <w:sz w:val="16"/>
          <w:szCs w:val="16"/>
          <w:lang w:eastAsia="es-CR"/>
        </w:rPr>
        <w:t>ensas campesinas del Magdalena M</w:t>
      </w:r>
      <w:r w:rsidRPr="00996758">
        <w:rPr>
          <w:rFonts w:ascii="Verdana" w:hAnsi="Verdana"/>
          <w:sz w:val="16"/>
          <w:szCs w:val="16"/>
          <w:lang w:eastAsia="es-CR"/>
        </w:rPr>
        <w:t>edio, pues desde los inicios de la investigación se presentaba claro que el único actor armado que en ese momento estaba golpeando los grupos políticos y sindicales de izquierda eran las nacientes autodefensas campesinas del Magdalena Medio, con un solo objetivo como era el exterminio de las guerrillas comunistas y sus agentes de izquierda. […]</w:t>
      </w:r>
    </w:p>
    <w:p w:rsidR="0032686F" w:rsidRPr="00996758" w:rsidRDefault="0032686F">
      <w:pPr>
        <w:pBdr>
          <w:top w:val="nil"/>
        </w:pBdr>
        <w:spacing w:after="0" w:line="240" w:lineRule="auto"/>
        <w:ind w:left="708"/>
        <w:jc w:val="both"/>
        <w:rPr>
          <w:rFonts w:ascii="Verdana" w:hAnsi="Verdana"/>
          <w:sz w:val="16"/>
          <w:szCs w:val="16"/>
          <w:lang w:eastAsia="es-CR"/>
        </w:rPr>
      </w:pPr>
    </w:p>
    <w:p w:rsidR="0032686F" w:rsidRPr="00996758" w:rsidRDefault="0032686F">
      <w:pPr>
        <w:pBdr>
          <w:top w:val="nil"/>
        </w:pBdr>
        <w:spacing w:after="0" w:line="240" w:lineRule="auto"/>
        <w:ind w:left="708"/>
        <w:jc w:val="both"/>
        <w:rPr>
          <w:rFonts w:ascii="Verdana" w:hAnsi="Verdana"/>
          <w:sz w:val="16"/>
          <w:szCs w:val="16"/>
          <w:lang w:eastAsia="es-CR"/>
        </w:rPr>
      </w:pPr>
      <w:r w:rsidRPr="00996758">
        <w:rPr>
          <w:rFonts w:ascii="Verdana" w:hAnsi="Verdana"/>
          <w:sz w:val="16"/>
          <w:szCs w:val="16"/>
          <w:lang w:eastAsia="es-CR"/>
        </w:rPr>
        <w:t>[…] La investigación por la desaparición forzada del señor Víctor Manuel Isaza Uribe en la actualidad se adelanta en conexidad con las conductas delictivas cometidas entre los años 1986, 1987 y 1988, contra dirigentes y simpatizantes del partido político Unión Patriótica, así como dirigentes y miembros de los sindicatos SUTIMAC y COLCARBUROS, todos los hechos cometi</w:t>
      </w:r>
      <w:r w:rsidR="00C500CE" w:rsidRPr="00996758">
        <w:rPr>
          <w:rFonts w:ascii="Verdana" w:hAnsi="Verdana"/>
          <w:sz w:val="16"/>
          <w:szCs w:val="16"/>
          <w:lang w:eastAsia="es-CR"/>
        </w:rPr>
        <w:t>dos en la región del Magdalena M</w:t>
      </w:r>
      <w:r w:rsidRPr="00996758">
        <w:rPr>
          <w:rFonts w:ascii="Verdana" w:hAnsi="Verdana"/>
          <w:sz w:val="16"/>
          <w:szCs w:val="16"/>
          <w:lang w:eastAsia="es-CR"/>
        </w:rPr>
        <w:t>edio Antioqueño, en su mayoría en el municipio de Puerto Nare, específicamente</w:t>
      </w:r>
      <w:r w:rsidR="00065339" w:rsidRPr="00996758">
        <w:rPr>
          <w:rFonts w:ascii="Verdana" w:hAnsi="Verdana"/>
          <w:sz w:val="16"/>
          <w:szCs w:val="16"/>
          <w:lang w:eastAsia="es-CR"/>
        </w:rPr>
        <w:t xml:space="preserve"> en el corregimiento La Sierra </w:t>
      </w:r>
      <w:r w:rsidRPr="00996758">
        <w:rPr>
          <w:rFonts w:ascii="Verdana" w:hAnsi="Verdana"/>
          <w:sz w:val="16"/>
          <w:szCs w:val="16"/>
          <w:lang w:eastAsia="es-CR"/>
        </w:rPr>
        <w:t>[…</w:t>
      </w:r>
      <w:r w:rsidR="00065339" w:rsidRPr="00996758">
        <w:rPr>
          <w:rFonts w:ascii="Verdana" w:hAnsi="Verdana"/>
          <w:sz w:val="16"/>
          <w:szCs w:val="16"/>
          <w:lang w:eastAsia="es-CR"/>
        </w:rPr>
        <w:t xml:space="preserve"> pues</w:t>
      </w:r>
      <w:r w:rsidRPr="00996758">
        <w:rPr>
          <w:rFonts w:ascii="Verdana" w:hAnsi="Verdana"/>
          <w:sz w:val="16"/>
          <w:szCs w:val="16"/>
          <w:lang w:eastAsia="es-CR"/>
        </w:rPr>
        <w:t>]</w:t>
      </w:r>
      <w:r w:rsidR="00E559F7" w:rsidRPr="00996758">
        <w:rPr>
          <w:rFonts w:ascii="Verdana" w:hAnsi="Verdana"/>
          <w:sz w:val="16"/>
          <w:szCs w:val="16"/>
          <w:lang w:eastAsia="es-CR"/>
        </w:rPr>
        <w:t xml:space="preserve"> </w:t>
      </w:r>
      <w:r w:rsidRPr="00996758">
        <w:rPr>
          <w:rFonts w:ascii="Verdana" w:hAnsi="Verdana"/>
          <w:sz w:val="16"/>
          <w:szCs w:val="16"/>
          <w:lang w:eastAsia="es-CR"/>
        </w:rPr>
        <w:t xml:space="preserve">todo indica </w:t>
      </w:r>
      <w:r w:rsidR="00E559F7" w:rsidRPr="00996758">
        <w:rPr>
          <w:rFonts w:ascii="Verdana" w:hAnsi="Verdana"/>
          <w:sz w:val="16"/>
          <w:szCs w:val="16"/>
          <w:lang w:eastAsia="es-CR"/>
        </w:rPr>
        <w:t xml:space="preserve">[que la desaparición] </w:t>
      </w:r>
      <w:r w:rsidRPr="00996758">
        <w:rPr>
          <w:rFonts w:ascii="Verdana" w:hAnsi="Verdana"/>
          <w:sz w:val="16"/>
          <w:szCs w:val="16"/>
          <w:lang w:eastAsia="es-CR"/>
        </w:rPr>
        <w:t xml:space="preserve">se dio en el contexto de la persecución de los miembros, militantes y simpatizantes del partido político Unión Patriótica, </w:t>
      </w:r>
      <w:r w:rsidR="00247A3C" w:rsidRPr="00996758">
        <w:rPr>
          <w:rFonts w:ascii="Verdana" w:hAnsi="Verdana"/>
          <w:sz w:val="16"/>
          <w:szCs w:val="16"/>
          <w:lang w:eastAsia="es-CR"/>
        </w:rPr>
        <w:t xml:space="preserve">[…] </w:t>
      </w:r>
      <w:r w:rsidR="007960B1" w:rsidRPr="00996758">
        <w:rPr>
          <w:rFonts w:ascii="Verdana" w:hAnsi="Verdana"/>
          <w:sz w:val="16"/>
          <w:szCs w:val="16"/>
          <w:lang w:eastAsia="es-CR"/>
        </w:rPr>
        <w:t>y fue ella la razón para que e</w:t>
      </w:r>
      <w:r w:rsidRPr="00996758">
        <w:rPr>
          <w:rFonts w:ascii="Verdana" w:hAnsi="Verdana"/>
          <w:sz w:val="16"/>
          <w:szCs w:val="16"/>
          <w:lang w:eastAsia="es-CR"/>
        </w:rPr>
        <w:t xml:space="preserve">sta delegada decidiera anexar por conexidad esta investigación a las demás. </w:t>
      </w:r>
      <w:r w:rsidR="00DE1428" w:rsidRPr="00996758">
        <w:rPr>
          <w:rFonts w:ascii="Verdana" w:hAnsi="Verdana"/>
          <w:sz w:val="16"/>
          <w:szCs w:val="16"/>
          <w:lang w:eastAsia="es-CR"/>
        </w:rPr>
        <w:t xml:space="preserve">[…] </w:t>
      </w:r>
      <w:r w:rsidRPr="00996758">
        <w:rPr>
          <w:rFonts w:ascii="Verdana" w:hAnsi="Verdana"/>
          <w:sz w:val="16"/>
          <w:szCs w:val="16"/>
          <w:lang w:eastAsia="es-CR"/>
        </w:rPr>
        <w:t>Con respecto a Víctor Manuel Isaza Uribe, en el proceso no se encuentra clara su pertenencia a</w:t>
      </w:r>
      <w:r w:rsidR="001E382B" w:rsidRPr="00996758">
        <w:rPr>
          <w:rFonts w:ascii="Verdana" w:hAnsi="Verdana"/>
          <w:sz w:val="16"/>
          <w:szCs w:val="16"/>
          <w:lang w:eastAsia="es-CR"/>
        </w:rPr>
        <w:t>l</w:t>
      </w:r>
      <w:r w:rsidRPr="00996758">
        <w:rPr>
          <w:rFonts w:ascii="Verdana" w:hAnsi="Verdana"/>
          <w:sz w:val="16"/>
          <w:szCs w:val="16"/>
          <w:lang w:eastAsia="es-CR"/>
        </w:rPr>
        <w:t xml:space="preserve"> partido político Unión Patr</w:t>
      </w:r>
      <w:r w:rsidR="00790213" w:rsidRPr="00996758">
        <w:rPr>
          <w:rFonts w:ascii="Verdana" w:hAnsi="Verdana"/>
          <w:sz w:val="16"/>
          <w:szCs w:val="16"/>
          <w:lang w:eastAsia="es-CR"/>
        </w:rPr>
        <w:t>iótica, pero sí</w:t>
      </w:r>
      <w:r w:rsidRPr="00996758">
        <w:rPr>
          <w:rFonts w:ascii="Verdana" w:hAnsi="Verdana"/>
          <w:sz w:val="16"/>
          <w:szCs w:val="16"/>
          <w:lang w:eastAsia="es-CR"/>
        </w:rPr>
        <w:t xml:space="preserve"> está establecido con evidencia testimonial que para la época de los hechos era representante de los trabajadores en el comité obrero patronal</w:t>
      </w:r>
      <w:r w:rsidR="00276FE5" w:rsidRPr="00996758">
        <w:rPr>
          <w:rStyle w:val="FootnoteReference"/>
          <w:rFonts w:ascii="Verdana" w:hAnsi="Verdana"/>
          <w:sz w:val="16"/>
          <w:szCs w:val="16"/>
          <w:lang w:eastAsia="es-CR"/>
        </w:rPr>
        <w:footnoteReference w:id="139"/>
      </w:r>
      <w:r w:rsidRPr="00996758">
        <w:rPr>
          <w:rFonts w:ascii="Verdana" w:hAnsi="Verdana"/>
          <w:sz w:val="16"/>
          <w:szCs w:val="16"/>
          <w:lang w:eastAsia="es-CR"/>
        </w:rPr>
        <w:t xml:space="preserve">. </w:t>
      </w:r>
    </w:p>
    <w:p w:rsidR="0032686F" w:rsidRPr="00996758" w:rsidRDefault="0032686F">
      <w:pPr>
        <w:pBdr>
          <w:top w:val="nil"/>
        </w:pBdr>
        <w:spacing w:after="0" w:line="240" w:lineRule="auto"/>
        <w:jc w:val="both"/>
        <w:rPr>
          <w:rFonts w:ascii="Verdana" w:hAnsi="Verdana"/>
          <w:sz w:val="20"/>
          <w:szCs w:val="20"/>
        </w:rPr>
      </w:pPr>
    </w:p>
    <w:p w:rsidR="00E943E7" w:rsidRPr="00996758" w:rsidRDefault="00E943E7" w:rsidP="00E943E7">
      <w:pPr>
        <w:pStyle w:val="ListParagraph"/>
        <w:numPr>
          <w:ilvl w:val="0"/>
          <w:numId w:val="10"/>
        </w:numPr>
        <w:spacing w:after="0" w:line="240" w:lineRule="auto"/>
        <w:ind w:left="0" w:firstLine="0"/>
        <w:jc w:val="both"/>
        <w:rPr>
          <w:rFonts w:ascii="Verdana" w:hAnsi="Verdana"/>
          <w:bCs/>
          <w:sz w:val="20"/>
          <w:szCs w:val="20"/>
        </w:rPr>
      </w:pPr>
      <w:bookmarkStart w:id="31" w:name="_ftnref258"/>
      <w:bookmarkEnd w:id="31"/>
      <w:r w:rsidRPr="00996758">
        <w:rPr>
          <w:rFonts w:ascii="Verdana" w:hAnsi="Verdana"/>
          <w:bCs/>
          <w:sz w:val="20"/>
          <w:szCs w:val="20"/>
        </w:rPr>
        <w:t>De lo</w:t>
      </w:r>
      <w:r w:rsidR="00D36D9E" w:rsidRPr="00996758">
        <w:rPr>
          <w:rFonts w:ascii="Verdana" w:hAnsi="Verdana"/>
          <w:bCs/>
          <w:sz w:val="20"/>
          <w:szCs w:val="20"/>
        </w:rPr>
        <w:t>s elementos analizados</w:t>
      </w:r>
      <w:r w:rsidRPr="00996758">
        <w:rPr>
          <w:rFonts w:ascii="Verdana" w:hAnsi="Verdana"/>
          <w:bCs/>
          <w:sz w:val="20"/>
          <w:szCs w:val="20"/>
        </w:rPr>
        <w:t xml:space="preserve"> se desprende que, aún en el supuesto de la desaparición forzada del señor Isaza como represalia por haber cometido el homicidio de una persona vinculada a la jerarquía de la empresa Cementos del Nare, la hipótesis de participación de miembros de grupos paramilitares no queda excluida y, por el contrario, se fortalece, precisamente por </w:t>
      </w:r>
      <w:r w:rsidR="00066E1C" w:rsidRPr="00996758">
        <w:rPr>
          <w:rFonts w:ascii="Verdana" w:hAnsi="Verdana"/>
          <w:bCs/>
          <w:sz w:val="20"/>
          <w:szCs w:val="20"/>
        </w:rPr>
        <w:t xml:space="preserve">supuestos </w:t>
      </w:r>
      <w:r w:rsidRPr="00996758">
        <w:rPr>
          <w:rFonts w:ascii="Verdana" w:hAnsi="Verdana"/>
          <w:bCs/>
          <w:sz w:val="20"/>
          <w:szCs w:val="20"/>
        </w:rPr>
        <w:t xml:space="preserve">vínculos que </w:t>
      </w:r>
      <w:r w:rsidR="001B7F99" w:rsidRPr="00996758">
        <w:rPr>
          <w:rFonts w:ascii="Verdana" w:hAnsi="Verdana"/>
          <w:bCs/>
          <w:sz w:val="20"/>
          <w:szCs w:val="20"/>
        </w:rPr>
        <w:t>éstos</w:t>
      </w:r>
      <w:r w:rsidR="00066E1C" w:rsidRPr="00996758">
        <w:rPr>
          <w:rFonts w:ascii="Verdana" w:hAnsi="Verdana"/>
          <w:bCs/>
          <w:sz w:val="20"/>
          <w:szCs w:val="20"/>
        </w:rPr>
        <w:t xml:space="preserve"> tendrían</w:t>
      </w:r>
      <w:r w:rsidRPr="00996758">
        <w:rPr>
          <w:rFonts w:ascii="Verdana" w:hAnsi="Verdana"/>
          <w:bCs/>
          <w:sz w:val="20"/>
          <w:szCs w:val="20"/>
        </w:rPr>
        <w:t xml:space="preserve"> con la empresa. En este supuesto, el hecho de que el narcotráfico hubiese tenido vínculos con grupos paramilitares y/o con la empresa es algo que debió y debería ser investigado por las autoridades competentes y no excluye una </w:t>
      </w:r>
      <w:r w:rsidRPr="00996758">
        <w:rPr>
          <w:rFonts w:ascii="Verdana" w:hAnsi="Verdana"/>
          <w:bCs/>
          <w:sz w:val="20"/>
          <w:szCs w:val="20"/>
        </w:rPr>
        <w:lastRenderedPageBreak/>
        <w:t xml:space="preserve">mayor responsabilidad del Estado </w:t>
      </w:r>
      <w:r w:rsidR="004B2467" w:rsidRPr="00996758">
        <w:rPr>
          <w:rFonts w:ascii="Verdana" w:hAnsi="Verdana"/>
          <w:bCs/>
          <w:sz w:val="20"/>
          <w:szCs w:val="20"/>
        </w:rPr>
        <w:t>por</w:t>
      </w:r>
      <w:r w:rsidRPr="00996758">
        <w:rPr>
          <w:rFonts w:ascii="Verdana" w:hAnsi="Verdana"/>
          <w:bCs/>
          <w:sz w:val="20"/>
          <w:szCs w:val="20"/>
        </w:rPr>
        <w:t xml:space="preserve"> aquiescencia de sus agentes con grupos paramilitares que, en esa época, eran utilizados como método militar de contrainsurgencia y que, en esa región, se les atribuye una serie de ataques contra miembros del sindicato SUTIMAC y militantes de la UP. </w:t>
      </w:r>
    </w:p>
    <w:p w:rsidR="00E943E7" w:rsidRPr="00996758" w:rsidRDefault="00E943E7">
      <w:pPr>
        <w:pBdr>
          <w:top w:val="nil"/>
        </w:pBdr>
        <w:spacing w:after="0" w:line="240" w:lineRule="auto"/>
        <w:jc w:val="both"/>
        <w:rPr>
          <w:rFonts w:ascii="Verdana" w:hAnsi="Verdana"/>
          <w:sz w:val="20"/>
          <w:szCs w:val="20"/>
          <w:lang w:eastAsia="es-CR"/>
        </w:rPr>
      </w:pPr>
    </w:p>
    <w:p w:rsidR="000D619C" w:rsidRPr="00996758" w:rsidRDefault="00D36D9E">
      <w:pPr>
        <w:spacing w:after="0" w:line="240" w:lineRule="auto"/>
        <w:ind w:firstLine="708"/>
        <w:jc w:val="both"/>
        <w:rPr>
          <w:rFonts w:ascii="Verdana" w:hAnsi="Verdana" w:cs="Verdana"/>
          <w:b/>
          <w:bCs/>
          <w:i/>
          <w:sz w:val="20"/>
          <w:szCs w:val="20"/>
        </w:rPr>
      </w:pPr>
      <w:r w:rsidRPr="00996758">
        <w:rPr>
          <w:rFonts w:ascii="Verdana" w:hAnsi="Verdana" w:cs="Verdana"/>
          <w:b/>
          <w:bCs/>
          <w:i/>
          <w:sz w:val="20"/>
          <w:szCs w:val="20"/>
        </w:rPr>
        <w:t>c</w:t>
      </w:r>
      <w:r w:rsidR="00256CD6" w:rsidRPr="00996758">
        <w:rPr>
          <w:rFonts w:ascii="Verdana" w:hAnsi="Verdana" w:cs="Verdana"/>
          <w:b/>
          <w:bCs/>
          <w:i/>
          <w:sz w:val="20"/>
          <w:szCs w:val="20"/>
        </w:rPr>
        <w:t>)</w:t>
      </w:r>
      <w:r w:rsidR="00256CD6" w:rsidRPr="00996758">
        <w:rPr>
          <w:rFonts w:ascii="Verdana" w:hAnsi="Verdana" w:cs="Verdana"/>
          <w:b/>
          <w:bCs/>
          <w:i/>
          <w:sz w:val="20"/>
          <w:szCs w:val="20"/>
        </w:rPr>
        <w:tab/>
        <w:t>C</w:t>
      </w:r>
      <w:r w:rsidR="000D619C" w:rsidRPr="00996758">
        <w:rPr>
          <w:rFonts w:ascii="Verdana" w:hAnsi="Verdana" w:cs="Verdana"/>
          <w:b/>
          <w:bCs/>
          <w:i/>
          <w:sz w:val="20"/>
          <w:szCs w:val="20"/>
        </w:rPr>
        <w:t>onclusión</w:t>
      </w:r>
    </w:p>
    <w:p w:rsidR="000A25C0" w:rsidRPr="00996758" w:rsidRDefault="000A25C0">
      <w:pPr>
        <w:widowControl w:val="0"/>
        <w:pBdr>
          <w:top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sz w:val="20"/>
          <w:szCs w:val="20"/>
        </w:rPr>
      </w:pPr>
    </w:p>
    <w:p w:rsidR="00C173B5" w:rsidRPr="00996758" w:rsidRDefault="004B2467" w:rsidP="00DC7CD8">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L</w:t>
      </w:r>
      <w:r w:rsidR="000A25C0" w:rsidRPr="00996758">
        <w:rPr>
          <w:rFonts w:ascii="Verdana" w:hAnsi="Verdana"/>
          <w:sz w:val="20"/>
          <w:szCs w:val="20"/>
        </w:rPr>
        <w:t>a desaparición del señor Isaza Uribe se enmarca en la serie de asesinatos y desapariciones de varios miembros del sindicato SU</w:t>
      </w:r>
      <w:r w:rsidR="0067116D" w:rsidRPr="00996758">
        <w:rPr>
          <w:rFonts w:ascii="Verdana" w:hAnsi="Verdana"/>
          <w:sz w:val="20"/>
          <w:szCs w:val="20"/>
        </w:rPr>
        <w:t>TIMAC que ocurrieron desde 1986 y han sido</w:t>
      </w:r>
      <w:r w:rsidR="000A25C0" w:rsidRPr="00996758">
        <w:rPr>
          <w:rFonts w:ascii="Verdana" w:hAnsi="Verdana"/>
          <w:sz w:val="20"/>
          <w:szCs w:val="20"/>
        </w:rPr>
        <w:t xml:space="preserve"> atribuidos </w:t>
      </w:r>
      <w:r w:rsidR="0067116D" w:rsidRPr="00996758">
        <w:rPr>
          <w:rFonts w:ascii="Verdana" w:hAnsi="Verdana"/>
          <w:sz w:val="20"/>
          <w:szCs w:val="20"/>
        </w:rPr>
        <w:t xml:space="preserve">principalmente </w:t>
      </w:r>
      <w:r w:rsidR="000A25C0" w:rsidRPr="00996758">
        <w:rPr>
          <w:rFonts w:ascii="Verdana" w:hAnsi="Verdana"/>
          <w:sz w:val="20"/>
          <w:szCs w:val="20"/>
        </w:rPr>
        <w:t>a un grupo paramilitar</w:t>
      </w:r>
      <w:r w:rsidR="0067116D" w:rsidRPr="00996758">
        <w:rPr>
          <w:rFonts w:ascii="Verdana" w:hAnsi="Verdana"/>
          <w:sz w:val="20"/>
          <w:szCs w:val="20"/>
        </w:rPr>
        <w:t xml:space="preserve"> denominado </w:t>
      </w:r>
      <w:r w:rsidR="00F87895" w:rsidRPr="00996758">
        <w:rPr>
          <w:rFonts w:ascii="Verdana" w:hAnsi="Verdana"/>
          <w:sz w:val="20"/>
          <w:szCs w:val="20"/>
        </w:rPr>
        <w:t>“</w:t>
      </w:r>
      <w:r w:rsidR="0067116D" w:rsidRPr="00996758">
        <w:rPr>
          <w:rFonts w:ascii="Verdana" w:hAnsi="Verdana"/>
          <w:sz w:val="20"/>
          <w:szCs w:val="20"/>
        </w:rPr>
        <w:t>MAS</w:t>
      </w:r>
      <w:r w:rsidR="00F87895" w:rsidRPr="00996758">
        <w:rPr>
          <w:rFonts w:ascii="Verdana" w:hAnsi="Verdana"/>
          <w:sz w:val="20"/>
          <w:szCs w:val="20"/>
        </w:rPr>
        <w:t>”</w:t>
      </w:r>
      <w:r w:rsidRPr="00996758">
        <w:rPr>
          <w:rFonts w:ascii="Verdana" w:hAnsi="Verdana"/>
          <w:sz w:val="20"/>
          <w:szCs w:val="20"/>
        </w:rPr>
        <w:t>. E</w:t>
      </w:r>
      <w:r w:rsidR="000A25C0" w:rsidRPr="00996758">
        <w:rPr>
          <w:rFonts w:ascii="Verdana" w:hAnsi="Verdana"/>
          <w:sz w:val="20"/>
          <w:szCs w:val="20"/>
        </w:rPr>
        <w:t xml:space="preserve">l paramilitarismo era una práctica o método militar de contrainsurgencia </w:t>
      </w:r>
      <w:r w:rsidR="00124D8C" w:rsidRPr="00996758">
        <w:rPr>
          <w:rFonts w:ascii="Verdana" w:hAnsi="Verdana"/>
          <w:sz w:val="20"/>
          <w:szCs w:val="20"/>
        </w:rPr>
        <w:t>en esa época y tales grupos tenían actividad</w:t>
      </w:r>
      <w:r w:rsidR="000A25C0" w:rsidRPr="00996758">
        <w:rPr>
          <w:rFonts w:ascii="Verdana" w:hAnsi="Verdana"/>
          <w:sz w:val="20"/>
          <w:szCs w:val="20"/>
        </w:rPr>
        <w:t xml:space="preserve"> en esa región</w:t>
      </w:r>
      <w:r w:rsidRPr="00996758">
        <w:rPr>
          <w:rFonts w:ascii="Verdana" w:hAnsi="Verdana"/>
          <w:sz w:val="20"/>
          <w:szCs w:val="20"/>
        </w:rPr>
        <w:t>.</w:t>
      </w:r>
      <w:r w:rsidR="000A25C0" w:rsidRPr="00996758">
        <w:rPr>
          <w:rFonts w:ascii="Verdana" w:hAnsi="Verdana"/>
          <w:sz w:val="20"/>
          <w:szCs w:val="20"/>
        </w:rPr>
        <w:t xml:space="preserve"> </w:t>
      </w:r>
      <w:r w:rsidR="0067116D" w:rsidRPr="00996758">
        <w:rPr>
          <w:rFonts w:ascii="Verdana" w:hAnsi="Verdana"/>
          <w:sz w:val="20"/>
          <w:szCs w:val="20"/>
        </w:rPr>
        <w:t xml:space="preserve">Puerto Nare era en ese momento una </w:t>
      </w:r>
      <w:r w:rsidR="000A25C0" w:rsidRPr="00996758">
        <w:rPr>
          <w:rFonts w:ascii="Verdana" w:hAnsi="Verdana"/>
          <w:sz w:val="20"/>
          <w:szCs w:val="20"/>
        </w:rPr>
        <w:t>zona militarizada</w:t>
      </w:r>
      <w:r w:rsidR="0067116D" w:rsidRPr="00996758">
        <w:rPr>
          <w:rFonts w:ascii="Verdana" w:hAnsi="Verdana"/>
          <w:sz w:val="20"/>
          <w:szCs w:val="20"/>
        </w:rPr>
        <w:t xml:space="preserve"> o con presencia relevante de </w:t>
      </w:r>
      <w:r w:rsidR="000A25C0" w:rsidRPr="00996758">
        <w:rPr>
          <w:rFonts w:ascii="Verdana" w:hAnsi="Verdana"/>
          <w:sz w:val="20"/>
          <w:szCs w:val="20"/>
        </w:rPr>
        <w:t xml:space="preserve">unidades </w:t>
      </w:r>
      <w:r w:rsidRPr="00996758">
        <w:rPr>
          <w:rFonts w:ascii="Verdana" w:hAnsi="Verdana"/>
          <w:sz w:val="20"/>
          <w:szCs w:val="20"/>
        </w:rPr>
        <w:t>militares</w:t>
      </w:r>
      <w:r w:rsidR="0067116D" w:rsidRPr="00996758">
        <w:rPr>
          <w:rFonts w:ascii="Verdana" w:hAnsi="Verdana"/>
          <w:sz w:val="20"/>
          <w:szCs w:val="20"/>
        </w:rPr>
        <w:t xml:space="preserve"> y</w:t>
      </w:r>
      <w:r w:rsidRPr="00996758">
        <w:rPr>
          <w:rFonts w:ascii="Verdana" w:hAnsi="Verdana"/>
          <w:sz w:val="20"/>
          <w:szCs w:val="20"/>
        </w:rPr>
        <w:t xml:space="preserve"> de</w:t>
      </w:r>
      <w:r w:rsidR="0067116D" w:rsidRPr="00996758">
        <w:rPr>
          <w:rFonts w:ascii="Verdana" w:hAnsi="Verdana"/>
          <w:sz w:val="20"/>
          <w:szCs w:val="20"/>
        </w:rPr>
        <w:t xml:space="preserve"> </w:t>
      </w:r>
      <w:r w:rsidR="001B7F99" w:rsidRPr="00996758">
        <w:rPr>
          <w:rFonts w:ascii="Verdana" w:hAnsi="Verdana"/>
          <w:sz w:val="20"/>
          <w:szCs w:val="20"/>
        </w:rPr>
        <w:t>p</w:t>
      </w:r>
      <w:r w:rsidR="0067116D" w:rsidRPr="00996758">
        <w:rPr>
          <w:rFonts w:ascii="Verdana" w:hAnsi="Verdana"/>
          <w:sz w:val="20"/>
          <w:szCs w:val="20"/>
        </w:rPr>
        <w:t xml:space="preserve">olicía. </w:t>
      </w:r>
      <w:r w:rsidR="001A5D64" w:rsidRPr="00996758">
        <w:rPr>
          <w:rFonts w:ascii="Verdana" w:hAnsi="Verdana"/>
          <w:sz w:val="20"/>
          <w:szCs w:val="20"/>
        </w:rPr>
        <w:t xml:space="preserve">En esa época, en numerosos casos han sido verificados patrones de acción conjunta entre el Ejército y los grupos paramilitares que dominaban la zona. También consta información que indica que existían vínculos de esos grupos con narcotraficantes, así como con empresas y miembros de las fuerzas militares y de policía de la zona, lo cual no ha sido investigado y determinado aún en todas sus dimensiones. </w:t>
      </w:r>
      <w:r w:rsidRPr="00996758">
        <w:rPr>
          <w:rFonts w:ascii="Verdana" w:hAnsi="Verdana"/>
          <w:sz w:val="20"/>
          <w:szCs w:val="20"/>
        </w:rPr>
        <w:t>H</w:t>
      </w:r>
      <w:r w:rsidR="0067116D" w:rsidRPr="00996758">
        <w:rPr>
          <w:rFonts w:ascii="Verdana" w:hAnsi="Verdana"/>
          <w:sz w:val="20"/>
          <w:szCs w:val="20"/>
        </w:rPr>
        <w:t xml:space="preserve">a sido establecida </w:t>
      </w:r>
      <w:r w:rsidR="000A25C0" w:rsidRPr="00996758">
        <w:rPr>
          <w:rFonts w:ascii="Verdana" w:hAnsi="Verdana"/>
          <w:sz w:val="20"/>
          <w:szCs w:val="20"/>
        </w:rPr>
        <w:t xml:space="preserve">la relación </w:t>
      </w:r>
      <w:r w:rsidR="0067116D" w:rsidRPr="00996758">
        <w:rPr>
          <w:rFonts w:ascii="Verdana" w:hAnsi="Verdana"/>
          <w:sz w:val="20"/>
          <w:szCs w:val="20"/>
        </w:rPr>
        <w:t>que tenía</w:t>
      </w:r>
      <w:r w:rsidR="00F87895" w:rsidRPr="00996758">
        <w:rPr>
          <w:rFonts w:ascii="Verdana" w:hAnsi="Verdana"/>
          <w:sz w:val="20"/>
          <w:szCs w:val="20"/>
        </w:rPr>
        <w:t>n miembros de</w:t>
      </w:r>
      <w:r w:rsidR="0067116D" w:rsidRPr="00996758">
        <w:rPr>
          <w:rFonts w:ascii="Verdana" w:hAnsi="Verdana"/>
          <w:sz w:val="20"/>
          <w:szCs w:val="20"/>
        </w:rPr>
        <w:t xml:space="preserve"> SUTIMAC </w:t>
      </w:r>
      <w:r w:rsidR="000A25C0" w:rsidRPr="00996758">
        <w:rPr>
          <w:rFonts w:ascii="Verdana" w:hAnsi="Verdana"/>
          <w:sz w:val="20"/>
          <w:szCs w:val="20"/>
        </w:rPr>
        <w:t xml:space="preserve">con la UP y la percepción o identificación que </w:t>
      </w:r>
      <w:r w:rsidR="0067116D" w:rsidRPr="00996758">
        <w:rPr>
          <w:rFonts w:ascii="Verdana" w:hAnsi="Verdana"/>
          <w:sz w:val="20"/>
          <w:szCs w:val="20"/>
        </w:rPr>
        <w:t xml:space="preserve">en ese entonces </w:t>
      </w:r>
      <w:r w:rsidR="000A25C0" w:rsidRPr="00996758">
        <w:rPr>
          <w:rFonts w:ascii="Verdana" w:hAnsi="Verdana"/>
          <w:sz w:val="20"/>
          <w:szCs w:val="20"/>
        </w:rPr>
        <w:t xml:space="preserve">se tenía de </w:t>
      </w:r>
      <w:r w:rsidR="0067116D" w:rsidRPr="00996758">
        <w:rPr>
          <w:rFonts w:ascii="Verdana" w:hAnsi="Verdana"/>
          <w:sz w:val="20"/>
          <w:szCs w:val="20"/>
        </w:rPr>
        <w:t>sus miembros y militantes</w:t>
      </w:r>
      <w:r w:rsidR="000A25C0" w:rsidRPr="00996758">
        <w:rPr>
          <w:rFonts w:ascii="Verdana" w:hAnsi="Verdana"/>
          <w:sz w:val="20"/>
          <w:szCs w:val="20"/>
        </w:rPr>
        <w:t xml:space="preserve"> como parte de </w:t>
      </w:r>
      <w:r w:rsidR="00223E78" w:rsidRPr="00996758">
        <w:rPr>
          <w:rFonts w:ascii="Verdana" w:hAnsi="Verdana"/>
          <w:sz w:val="20"/>
          <w:szCs w:val="20"/>
        </w:rPr>
        <w:t xml:space="preserve">una </w:t>
      </w:r>
      <w:r w:rsidR="000A25C0" w:rsidRPr="00996758">
        <w:rPr>
          <w:rFonts w:ascii="Verdana" w:hAnsi="Verdana"/>
          <w:sz w:val="20"/>
          <w:szCs w:val="20"/>
        </w:rPr>
        <w:t>“</w:t>
      </w:r>
      <w:r w:rsidR="00223E78" w:rsidRPr="00996758">
        <w:rPr>
          <w:rFonts w:ascii="Verdana" w:hAnsi="Verdana"/>
          <w:sz w:val="20"/>
          <w:szCs w:val="20"/>
        </w:rPr>
        <w:t>población civil insurgente</w:t>
      </w:r>
      <w:r w:rsidR="000A25C0" w:rsidRPr="00996758">
        <w:rPr>
          <w:rFonts w:ascii="Verdana" w:hAnsi="Verdana"/>
          <w:sz w:val="20"/>
          <w:szCs w:val="20"/>
        </w:rPr>
        <w:t>”</w:t>
      </w:r>
      <w:r w:rsidR="0067116D" w:rsidRPr="00996758">
        <w:rPr>
          <w:rFonts w:ascii="Verdana" w:hAnsi="Verdana"/>
          <w:sz w:val="20"/>
          <w:szCs w:val="20"/>
        </w:rPr>
        <w:t>.</w:t>
      </w:r>
      <w:r w:rsidR="006A6BDC" w:rsidRPr="00996758">
        <w:rPr>
          <w:rFonts w:ascii="Verdana" w:hAnsi="Verdana"/>
          <w:sz w:val="20"/>
          <w:szCs w:val="20"/>
        </w:rPr>
        <w:t xml:space="preserve"> A su vez, </w:t>
      </w:r>
      <w:r w:rsidR="0067116D" w:rsidRPr="00996758">
        <w:rPr>
          <w:rFonts w:ascii="Verdana" w:hAnsi="Verdana"/>
          <w:sz w:val="20"/>
          <w:szCs w:val="20"/>
        </w:rPr>
        <w:t>el Estado ha reconocido la dilación excesiva y falta de diligencia en las</w:t>
      </w:r>
      <w:r w:rsidR="00BB67F7" w:rsidRPr="00996758">
        <w:rPr>
          <w:rFonts w:ascii="Verdana" w:hAnsi="Verdana"/>
          <w:sz w:val="20"/>
          <w:szCs w:val="20"/>
        </w:rPr>
        <w:t xml:space="preserve"> investigaciones, las que </w:t>
      </w:r>
      <w:r w:rsidR="00B94379" w:rsidRPr="00996758">
        <w:rPr>
          <w:rFonts w:ascii="Verdana" w:hAnsi="Verdana"/>
          <w:sz w:val="20"/>
          <w:szCs w:val="20"/>
        </w:rPr>
        <w:t xml:space="preserve">además </w:t>
      </w:r>
      <w:r w:rsidR="0067116D" w:rsidRPr="00996758">
        <w:rPr>
          <w:rFonts w:ascii="Verdana" w:hAnsi="Verdana"/>
          <w:sz w:val="20"/>
          <w:szCs w:val="20"/>
        </w:rPr>
        <w:t>no ha</w:t>
      </w:r>
      <w:r w:rsidR="006A6BDC" w:rsidRPr="00996758">
        <w:rPr>
          <w:rFonts w:ascii="Verdana" w:hAnsi="Verdana"/>
          <w:sz w:val="20"/>
          <w:szCs w:val="20"/>
        </w:rPr>
        <w:t>n</w:t>
      </w:r>
      <w:r w:rsidR="0067116D" w:rsidRPr="00996758">
        <w:rPr>
          <w:rFonts w:ascii="Verdana" w:hAnsi="Verdana"/>
          <w:sz w:val="20"/>
          <w:szCs w:val="20"/>
        </w:rPr>
        <w:t xml:space="preserve"> sido </w:t>
      </w:r>
      <w:r w:rsidR="000A25C0" w:rsidRPr="00996758">
        <w:rPr>
          <w:rFonts w:ascii="Verdana" w:hAnsi="Verdana"/>
          <w:sz w:val="20"/>
          <w:szCs w:val="20"/>
        </w:rPr>
        <w:t>efectiva</w:t>
      </w:r>
      <w:r w:rsidR="006A6BDC" w:rsidRPr="00996758">
        <w:rPr>
          <w:rFonts w:ascii="Verdana" w:hAnsi="Verdana"/>
          <w:sz w:val="20"/>
          <w:szCs w:val="20"/>
        </w:rPr>
        <w:t>s</w:t>
      </w:r>
      <w:r w:rsidR="0067116D" w:rsidRPr="00996758">
        <w:rPr>
          <w:rFonts w:ascii="Verdana" w:hAnsi="Verdana"/>
          <w:sz w:val="20"/>
          <w:szCs w:val="20"/>
        </w:rPr>
        <w:t xml:space="preserve">, pues ha </w:t>
      </w:r>
      <w:r w:rsidR="00F87895" w:rsidRPr="00996758">
        <w:rPr>
          <w:rFonts w:ascii="Verdana" w:hAnsi="Verdana"/>
          <w:sz w:val="20"/>
          <w:szCs w:val="20"/>
        </w:rPr>
        <w:t>demorado</w:t>
      </w:r>
      <w:r w:rsidR="0067116D" w:rsidRPr="00996758">
        <w:rPr>
          <w:rFonts w:ascii="Verdana" w:hAnsi="Verdana"/>
          <w:sz w:val="20"/>
          <w:szCs w:val="20"/>
        </w:rPr>
        <w:t xml:space="preserve"> </w:t>
      </w:r>
      <w:r w:rsidR="0067116D" w:rsidRPr="00996758">
        <w:rPr>
          <w:rFonts w:ascii="Verdana" w:hAnsi="Verdana"/>
          <w:sz w:val="20"/>
          <w:szCs w:val="20"/>
          <w:lang w:eastAsia="es-CR"/>
        </w:rPr>
        <w:t xml:space="preserve">en explorar líneas </w:t>
      </w:r>
      <w:r w:rsidR="00223E78" w:rsidRPr="00996758">
        <w:rPr>
          <w:rFonts w:ascii="Verdana" w:hAnsi="Verdana"/>
          <w:sz w:val="20"/>
          <w:szCs w:val="20"/>
          <w:lang w:eastAsia="es-CR"/>
        </w:rPr>
        <w:t xml:space="preserve">lógicas </w:t>
      </w:r>
      <w:r w:rsidR="0067116D" w:rsidRPr="00996758">
        <w:rPr>
          <w:rFonts w:ascii="Verdana" w:hAnsi="Verdana"/>
          <w:sz w:val="20"/>
          <w:szCs w:val="20"/>
          <w:lang w:eastAsia="es-CR"/>
        </w:rPr>
        <w:t>de investigación que tomaran en cuenta los contextos relevantes y estuviesen dirigidas en su caso a desentrañar las estructuras que permitieron la desaparición</w:t>
      </w:r>
      <w:r w:rsidRPr="00996758">
        <w:rPr>
          <w:rFonts w:ascii="Verdana" w:hAnsi="Verdana"/>
          <w:sz w:val="20"/>
          <w:szCs w:val="20"/>
          <w:lang w:eastAsia="es-CR"/>
        </w:rPr>
        <w:t xml:space="preserve"> </w:t>
      </w:r>
      <w:r w:rsidRPr="00996758">
        <w:rPr>
          <w:rFonts w:ascii="Verdana" w:hAnsi="Verdana"/>
          <w:sz w:val="20"/>
          <w:szCs w:val="20"/>
        </w:rPr>
        <w:t>(</w:t>
      </w:r>
      <w:r w:rsidRPr="00996758">
        <w:rPr>
          <w:rFonts w:ascii="Verdana" w:hAnsi="Verdana"/>
          <w:i/>
          <w:sz w:val="20"/>
          <w:szCs w:val="20"/>
        </w:rPr>
        <w:t>infra</w:t>
      </w:r>
      <w:r w:rsidRPr="00996758">
        <w:rPr>
          <w:rFonts w:ascii="Verdana" w:hAnsi="Verdana"/>
          <w:sz w:val="20"/>
          <w:szCs w:val="20"/>
        </w:rPr>
        <w:t xml:space="preserve"> párr</w:t>
      </w:r>
      <w:r w:rsidR="00B94379" w:rsidRPr="00996758">
        <w:rPr>
          <w:rFonts w:ascii="Verdana" w:hAnsi="Verdana"/>
          <w:sz w:val="20"/>
          <w:szCs w:val="20"/>
        </w:rPr>
        <w:t>s. 153 a 158</w:t>
      </w:r>
      <w:r w:rsidRPr="00996758">
        <w:rPr>
          <w:rFonts w:ascii="Verdana" w:hAnsi="Verdana"/>
          <w:sz w:val="20"/>
          <w:szCs w:val="20"/>
        </w:rPr>
        <w:t>)</w:t>
      </w:r>
      <w:r w:rsidR="00C173B5" w:rsidRPr="00996758">
        <w:rPr>
          <w:rFonts w:ascii="Verdana" w:hAnsi="Verdana"/>
          <w:sz w:val="20"/>
          <w:szCs w:val="20"/>
          <w:lang w:eastAsia="es-CR"/>
        </w:rPr>
        <w:t xml:space="preserve">. </w:t>
      </w:r>
    </w:p>
    <w:p w:rsidR="004B5C59" w:rsidRPr="00996758" w:rsidRDefault="004B5C59">
      <w:pPr>
        <w:widowControl w:val="0"/>
        <w:pBdr>
          <w:top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sz w:val="20"/>
          <w:szCs w:val="20"/>
        </w:rPr>
      </w:pPr>
    </w:p>
    <w:p w:rsidR="003733DB" w:rsidRPr="00996758" w:rsidRDefault="00976666" w:rsidP="0090572C">
      <w:pPr>
        <w:numPr>
          <w:ilvl w:val="0"/>
          <w:numId w:val="10"/>
        </w:numPr>
        <w:pBdr>
          <w:top w:val="nil"/>
        </w:pBdr>
        <w:spacing w:after="0" w:line="240" w:lineRule="auto"/>
        <w:ind w:left="0" w:firstLine="0"/>
        <w:jc w:val="both"/>
        <w:rPr>
          <w:rFonts w:ascii="Verdana" w:hAnsi="Verdana"/>
          <w:sz w:val="20"/>
          <w:szCs w:val="20"/>
        </w:rPr>
      </w:pPr>
      <w:r w:rsidRPr="00996758">
        <w:rPr>
          <w:rFonts w:ascii="Verdana" w:hAnsi="Verdana"/>
          <w:sz w:val="20"/>
          <w:szCs w:val="20"/>
        </w:rPr>
        <w:t>L</w:t>
      </w:r>
      <w:r w:rsidR="003733DB" w:rsidRPr="00996758">
        <w:rPr>
          <w:rFonts w:ascii="Verdana" w:hAnsi="Verdana"/>
          <w:sz w:val="20"/>
          <w:szCs w:val="20"/>
        </w:rPr>
        <w:t xml:space="preserve">a Corte </w:t>
      </w:r>
      <w:r w:rsidR="00DF0676" w:rsidRPr="00996758">
        <w:rPr>
          <w:rFonts w:ascii="Verdana" w:hAnsi="Verdana"/>
          <w:sz w:val="20"/>
          <w:szCs w:val="20"/>
        </w:rPr>
        <w:t>estima</w:t>
      </w:r>
      <w:r w:rsidR="003733DB" w:rsidRPr="00996758">
        <w:rPr>
          <w:rFonts w:ascii="Verdana" w:hAnsi="Verdana"/>
          <w:sz w:val="20"/>
          <w:szCs w:val="20"/>
        </w:rPr>
        <w:t xml:space="preserve"> que los indicios y contextos señalados permiten </w:t>
      </w:r>
      <w:r w:rsidR="0090572C" w:rsidRPr="00996758">
        <w:rPr>
          <w:rFonts w:ascii="Verdana" w:hAnsi="Verdana"/>
          <w:sz w:val="20"/>
          <w:szCs w:val="20"/>
        </w:rPr>
        <w:t>considerar</w:t>
      </w:r>
      <w:r w:rsidR="0067116D" w:rsidRPr="00996758">
        <w:rPr>
          <w:rFonts w:ascii="Verdana" w:hAnsi="Verdana"/>
          <w:sz w:val="20"/>
          <w:szCs w:val="20"/>
        </w:rPr>
        <w:t xml:space="preserve"> que</w:t>
      </w:r>
      <w:r w:rsidR="003733DB" w:rsidRPr="00996758">
        <w:rPr>
          <w:rFonts w:ascii="Verdana" w:hAnsi="Verdana"/>
          <w:sz w:val="20"/>
          <w:szCs w:val="20"/>
        </w:rPr>
        <w:t xml:space="preserve"> la desaparición </w:t>
      </w:r>
      <w:r w:rsidR="00066E1C" w:rsidRPr="00996758">
        <w:rPr>
          <w:rFonts w:ascii="Verdana" w:hAnsi="Verdana"/>
          <w:sz w:val="20"/>
          <w:szCs w:val="20"/>
        </w:rPr>
        <w:t xml:space="preserve">forzada </w:t>
      </w:r>
      <w:r w:rsidR="003733DB" w:rsidRPr="00996758">
        <w:rPr>
          <w:rFonts w:ascii="Verdana" w:hAnsi="Verdana"/>
          <w:sz w:val="20"/>
          <w:szCs w:val="20"/>
        </w:rPr>
        <w:t xml:space="preserve">del señor Isaza Uribe </w:t>
      </w:r>
      <w:r w:rsidR="0067116D" w:rsidRPr="00996758">
        <w:rPr>
          <w:rFonts w:ascii="Verdana" w:hAnsi="Verdana"/>
          <w:sz w:val="20"/>
          <w:szCs w:val="20"/>
        </w:rPr>
        <w:t xml:space="preserve">fue perpetrada </w:t>
      </w:r>
      <w:r w:rsidR="003733DB" w:rsidRPr="00996758">
        <w:rPr>
          <w:rFonts w:ascii="Verdana" w:hAnsi="Verdana"/>
          <w:sz w:val="20"/>
          <w:szCs w:val="20"/>
        </w:rPr>
        <w:t xml:space="preserve">por miembros de una estructura </w:t>
      </w:r>
      <w:r w:rsidR="00066E1C" w:rsidRPr="00996758">
        <w:rPr>
          <w:rFonts w:ascii="Verdana" w:hAnsi="Verdana"/>
          <w:sz w:val="20"/>
          <w:szCs w:val="20"/>
        </w:rPr>
        <w:t xml:space="preserve">paramilitar </w:t>
      </w:r>
      <w:r w:rsidR="003733DB" w:rsidRPr="00996758">
        <w:rPr>
          <w:rFonts w:ascii="Verdana" w:hAnsi="Verdana"/>
          <w:sz w:val="20"/>
          <w:szCs w:val="20"/>
        </w:rPr>
        <w:t xml:space="preserve">organizada que la </w:t>
      </w:r>
      <w:r w:rsidR="00BE5D1E" w:rsidRPr="00996758">
        <w:rPr>
          <w:rFonts w:ascii="Verdana" w:hAnsi="Verdana"/>
          <w:sz w:val="20"/>
          <w:szCs w:val="20"/>
        </w:rPr>
        <w:t>ejecutó</w:t>
      </w:r>
      <w:r w:rsidR="003733DB" w:rsidRPr="00996758">
        <w:rPr>
          <w:rFonts w:ascii="Verdana" w:hAnsi="Verdana"/>
          <w:sz w:val="20"/>
          <w:szCs w:val="20"/>
        </w:rPr>
        <w:t xml:space="preserve">, </w:t>
      </w:r>
      <w:r w:rsidR="00BE5D1E" w:rsidRPr="00996758">
        <w:rPr>
          <w:rFonts w:ascii="Verdana" w:hAnsi="Verdana"/>
          <w:sz w:val="20"/>
          <w:szCs w:val="20"/>
        </w:rPr>
        <w:t xml:space="preserve">quienes </w:t>
      </w:r>
      <w:r w:rsidR="00066E1C" w:rsidRPr="00996758">
        <w:rPr>
          <w:rFonts w:ascii="Verdana" w:hAnsi="Verdana"/>
          <w:sz w:val="20"/>
          <w:szCs w:val="20"/>
        </w:rPr>
        <w:t xml:space="preserve">en ese contexto actuaban </w:t>
      </w:r>
      <w:r w:rsidR="003733DB" w:rsidRPr="00996758">
        <w:rPr>
          <w:rFonts w:ascii="Verdana" w:hAnsi="Verdana"/>
          <w:sz w:val="20"/>
          <w:szCs w:val="20"/>
        </w:rPr>
        <w:t xml:space="preserve">con aquiescencia de miembros de las </w:t>
      </w:r>
      <w:r w:rsidR="0067116D" w:rsidRPr="00996758">
        <w:rPr>
          <w:rFonts w:ascii="Verdana" w:hAnsi="Verdana"/>
          <w:sz w:val="20"/>
          <w:szCs w:val="20"/>
        </w:rPr>
        <w:t>fuerzas de seguridad del Estado</w:t>
      </w:r>
      <w:r w:rsidR="006A6BDC" w:rsidRPr="00996758">
        <w:rPr>
          <w:rFonts w:ascii="Verdana" w:hAnsi="Verdana"/>
          <w:sz w:val="20"/>
          <w:szCs w:val="20"/>
        </w:rPr>
        <w:t>, aún si éstos no han sido identificados o no ha sido concretamente establecida la forma</w:t>
      </w:r>
      <w:r w:rsidR="00BE5D1E" w:rsidRPr="00996758">
        <w:rPr>
          <w:rFonts w:ascii="Verdana" w:hAnsi="Verdana"/>
          <w:sz w:val="20"/>
          <w:szCs w:val="20"/>
        </w:rPr>
        <w:t xml:space="preserve"> específica</w:t>
      </w:r>
      <w:r w:rsidR="006A6BDC" w:rsidRPr="00996758">
        <w:rPr>
          <w:rFonts w:ascii="Verdana" w:hAnsi="Verdana"/>
          <w:sz w:val="20"/>
          <w:szCs w:val="20"/>
        </w:rPr>
        <w:t xml:space="preserve"> en que tal aquiescencia operó</w:t>
      </w:r>
      <w:r w:rsidR="003733DB" w:rsidRPr="00996758">
        <w:rPr>
          <w:rFonts w:ascii="Verdana" w:hAnsi="Verdana"/>
          <w:sz w:val="20"/>
          <w:szCs w:val="20"/>
        </w:rPr>
        <w:t>.</w:t>
      </w:r>
      <w:r w:rsidR="00715E40" w:rsidRPr="00996758">
        <w:rPr>
          <w:rFonts w:ascii="Verdana" w:hAnsi="Verdana"/>
          <w:sz w:val="20"/>
          <w:szCs w:val="20"/>
        </w:rPr>
        <w:t xml:space="preserve"> </w:t>
      </w:r>
      <w:r w:rsidR="00202A69" w:rsidRPr="00996758">
        <w:rPr>
          <w:rFonts w:ascii="Verdana" w:hAnsi="Verdana" w:cs="Times New Roman"/>
          <w:sz w:val="20"/>
          <w:szCs w:val="20"/>
          <w:lang w:eastAsia="es-CR"/>
        </w:rPr>
        <w:t xml:space="preserve">Concluir que los indicios señalados no son suficientes para establecer que el señor Isaza Uribe fue desaparecido forzadamente implicaría </w:t>
      </w:r>
      <w:r w:rsidR="00FE6BF1" w:rsidRPr="00996758">
        <w:rPr>
          <w:rFonts w:ascii="Verdana" w:hAnsi="Verdana" w:cs="Times New Roman"/>
          <w:sz w:val="20"/>
          <w:szCs w:val="20"/>
          <w:lang w:eastAsia="es-CR"/>
        </w:rPr>
        <w:t>permitir</w:t>
      </w:r>
      <w:r w:rsidR="00202A69" w:rsidRPr="00996758">
        <w:rPr>
          <w:rFonts w:ascii="Verdana" w:hAnsi="Verdana" w:cs="Times New Roman"/>
          <w:sz w:val="20"/>
          <w:szCs w:val="20"/>
          <w:lang w:eastAsia="es-CR"/>
        </w:rPr>
        <w:t xml:space="preserve"> al Estado ampararse en la negligencia e inefectividad de </w:t>
      </w:r>
      <w:r w:rsidR="00FE6BF1" w:rsidRPr="00996758">
        <w:rPr>
          <w:rFonts w:ascii="Verdana" w:hAnsi="Verdana" w:cs="Times New Roman"/>
          <w:sz w:val="20"/>
          <w:szCs w:val="20"/>
          <w:lang w:eastAsia="es-CR"/>
        </w:rPr>
        <w:t>sus investigaciones</w:t>
      </w:r>
      <w:r w:rsidR="00202A69" w:rsidRPr="00996758">
        <w:rPr>
          <w:rFonts w:ascii="Verdana" w:hAnsi="Verdana" w:cs="Times New Roman"/>
          <w:sz w:val="20"/>
          <w:szCs w:val="20"/>
          <w:lang w:eastAsia="es-CR"/>
        </w:rPr>
        <w:t xml:space="preserve"> para sustraerse de su responsabilidad internacional</w:t>
      </w:r>
      <w:r w:rsidR="00202A69" w:rsidRPr="00996758">
        <w:rPr>
          <w:rStyle w:val="FootnoteReference"/>
          <w:rFonts w:ascii="Verdana" w:hAnsi="Verdana" w:cs="Times New Roman"/>
          <w:sz w:val="20"/>
          <w:szCs w:val="20"/>
          <w:lang w:eastAsia="es-CR"/>
        </w:rPr>
        <w:footnoteReference w:id="140"/>
      </w:r>
      <w:r w:rsidR="00202A69" w:rsidRPr="00996758">
        <w:rPr>
          <w:rFonts w:ascii="Verdana" w:hAnsi="Verdana" w:cs="Times New Roman"/>
          <w:sz w:val="20"/>
          <w:szCs w:val="20"/>
          <w:lang w:eastAsia="es-CR"/>
        </w:rPr>
        <w:t xml:space="preserve">. </w:t>
      </w:r>
      <w:r w:rsidR="009D1DAF" w:rsidRPr="00996758">
        <w:rPr>
          <w:rFonts w:ascii="Verdana" w:hAnsi="Verdana"/>
          <w:sz w:val="20"/>
          <w:szCs w:val="20"/>
        </w:rPr>
        <w:t xml:space="preserve">Al </w:t>
      </w:r>
      <w:r w:rsidR="003733DB" w:rsidRPr="00996758">
        <w:rPr>
          <w:rFonts w:ascii="Verdana" w:hAnsi="Verdana"/>
          <w:sz w:val="20"/>
          <w:szCs w:val="20"/>
        </w:rPr>
        <w:t>valora</w:t>
      </w:r>
      <w:r w:rsidR="009D1DAF" w:rsidRPr="00996758">
        <w:rPr>
          <w:rFonts w:ascii="Verdana" w:hAnsi="Verdana"/>
          <w:sz w:val="20"/>
          <w:szCs w:val="20"/>
        </w:rPr>
        <w:t>r</w:t>
      </w:r>
      <w:r w:rsidR="003733DB" w:rsidRPr="00996758">
        <w:rPr>
          <w:rFonts w:ascii="Verdana" w:hAnsi="Verdana"/>
          <w:sz w:val="20"/>
          <w:szCs w:val="20"/>
        </w:rPr>
        <w:t xml:space="preserve"> que actua</w:t>
      </w:r>
      <w:r w:rsidR="00C059F3" w:rsidRPr="00996758">
        <w:rPr>
          <w:rFonts w:ascii="Verdana" w:hAnsi="Verdana"/>
          <w:sz w:val="20"/>
          <w:szCs w:val="20"/>
        </w:rPr>
        <w:t xml:space="preserve">lmente se continúe investigando, </w:t>
      </w:r>
      <w:r w:rsidR="003733DB" w:rsidRPr="00996758">
        <w:rPr>
          <w:rFonts w:ascii="Verdana" w:hAnsi="Verdana"/>
          <w:sz w:val="20"/>
          <w:szCs w:val="20"/>
        </w:rPr>
        <w:t xml:space="preserve">tomando en cuenta </w:t>
      </w:r>
      <w:r w:rsidR="009D1DAF" w:rsidRPr="00996758">
        <w:rPr>
          <w:rFonts w:ascii="Verdana" w:hAnsi="Verdana"/>
          <w:sz w:val="20"/>
          <w:szCs w:val="20"/>
        </w:rPr>
        <w:t xml:space="preserve">los contextos relevantes, el Tribunal considera que es en las instancias internas en que </w:t>
      </w:r>
      <w:r w:rsidR="0090572C" w:rsidRPr="00996758">
        <w:rPr>
          <w:rFonts w:ascii="Verdana" w:hAnsi="Verdana"/>
          <w:sz w:val="20"/>
          <w:szCs w:val="20"/>
        </w:rPr>
        <w:t>los responsables específicos deben ser identificados y procesados</w:t>
      </w:r>
      <w:r w:rsidR="009D1DAF" w:rsidRPr="00996758">
        <w:rPr>
          <w:rFonts w:ascii="Verdana" w:hAnsi="Verdana"/>
          <w:sz w:val="20"/>
          <w:szCs w:val="20"/>
        </w:rPr>
        <w:t>.</w:t>
      </w:r>
    </w:p>
    <w:p w:rsidR="00244581" w:rsidRPr="00996758" w:rsidRDefault="00244581">
      <w:pPr>
        <w:pBdr>
          <w:top w:val="nil"/>
        </w:pBdr>
        <w:spacing w:after="0" w:line="240" w:lineRule="auto"/>
        <w:jc w:val="both"/>
        <w:rPr>
          <w:rFonts w:ascii="Verdana" w:hAnsi="Verdana"/>
          <w:sz w:val="20"/>
          <w:szCs w:val="20"/>
        </w:rPr>
      </w:pPr>
    </w:p>
    <w:p w:rsidR="00EE6594" w:rsidRPr="00996758" w:rsidRDefault="00244581"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Respecto del alegado incumplimiento del artículo 2 de la Convención</w:t>
      </w:r>
      <w:r w:rsidRPr="00996758">
        <w:rPr>
          <w:rStyle w:val="FootnoteAnchor"/>
          <w:rFonts w:ascii="Verdana" w:hAnsi="Verdana"/>
          <w:sz w:val="20"/>
          <w:szCs w:val="20"/>
        </w:rPr>
        <w:footnoteReference w:id="141"/>
      </w:r>
      <w:r w:rsidRPr="00996758">
        <w:rPr>
          <w:rFonts w:ascii="Verdana" w:hAnsi="Verdana"/>
          <w:sz w:val="20"/>
          <w:szCs w:val="20"/>
        </w:rPr>
        <w:t>,</w:t>
      </w:r>
      <w:r w:rsidR="00FA0DC4" w:rsidRPr="00996758">
        <w:rPr>
          <w:rFonts w:ascii="Verdana" w:hAnsi="Verdana"/>
          <w:sz w:val="20"/>
          <w:szCs w:val="20"/>
        </w:rPr>
        <w:t xml:space="preserve"> la Corte ha tomado en cuenta </w:t>
      </w:r>
      <w:r w:rsidR="00EE6594" w:rsidRPr="00996758">
        <w:rPr>
          <w:rFonts w:ascii="Verdana" w:hAnsi="Verdana"/>
          <w:sz w:val="20"/>
          <w:szCs w:val="20"/>
        </w:rPr>
        <w:t>la vigencia</w:t>
      </w:r>
      <w:r w:rsidR="00FA0DC4" w:rsidRPr="00996758">
        <w:rPr>
          <w:rFonts w:ascii="Verdana" w:hAnsi="Verdana"/>
          <w:sz w:val="20"/>
          <w:szCs w:val="20"/>
        </w:rPr>
        <w:t>,</w:t>
      </w:r>
      <w:r w:rsidR="00EE6594" w:rsidRPr="00996758">
        <w:rPr>
          <w:rFonts w:ascii="Verdana" w:hAnsi="Verdana"/>
          <w:sz w:val="20"/>
          <w:szCs w:val="20"/>
        </w:rPr>
        <w:t xml:space="preserve"> para el momento de inicio de ejecución de </w:t>
      </w:r>
      <w:r w:rsidR="00FA0DC4" w:rsidRPr="00996758">
        <w:rPr>
          <w:rFonts w:ascii="Verdana" w:hAnsi="Verdana"/>
          <w:sz w:val="20"/>
          <w:szCs w:val="20"/>
        </w:rPr>
        <w:t xml:space="preserve">la desaparición forzada, de los </w:t>
      </w:r>
      <w:r w:rsidR="00EE6594" w:rsidRPr="00996758">
        <w:rPr>
          <w:rFonts w:ascii="Verdana" w:hAnsi="Verdana"/>
          <w:sz w:val="20"/>
          <w:szCs w:val="20"/>
        </w:rPr>
        <w:t>marco</w:t>
      </w:r>
      <w:r w:rsidR="00FA0DC4" w:rsidRPr="00996758">
        <w:rPr>
          <w:rFonts w:ascii="Verdana" w:hAnsi="Verdana"/>
          <w:sz w:val="20"/>
          <w:szCs w:val="20"/>
        </w:rPr>
        <w:t>s</w:t>
      </w:r>
      <w:r w:rsidR="00EE6594" w:rsidRPr="00996758">
        <w:rPr>
          <w:rFonts w:ascii="Verdana" w:hAnsi="Verdana"/>
          <w:sz w:val="20"/>
          <w:szCs w:val="20"/>
        </w:rPr>
        <w:t xml:space="preserve"> normativo</w:t>
      </w:r>
      <w:r w:rsidR="00FA0DC4" w:rsidRPr="00996758">
        <w:rPr>
          <w:rFonts w:ascii="Verdana" w:hAnsi="Verdana"/>
          <w:sz w:val="20"/>
          <w:szCs w:val="20"/>
        </w:rPr>
        <w:t xml:space="preserve">s </w:t>
      </w:r>
      <w:r w:rsidR="00EE6594" w:rsidRPr="00996758">
        <w:rPr>
          <w:rFonts w:ascii="Verdana" w:hAnsi="Verdana"/>
          <w:sz w:val="20"/>
          <w:szCs w:val="20"/>
        </w:rPr>
        <w:t>relacionado</w:t>
      </w:r>
      <w:r w:rsidR="00FA0DC4" w:rsidRPr="00996758">
        <w:rPr>
          <w:rFonts w:ascii="Verdana" w:hAnsi="Verdana"/>
          <w:sz w:val="20"/>
          <w:szCs w:val="20"/>
        </w:rPr>
        <w:t>s</w:t>
      </w:r>
      <w:r w:rsidR="00EE6594" w:rsidRPr="00996758">
        <w:rPr>
          <w:rFonts w:ascii="Verdana" w:hAnsi="Verdana"/>
          <w:sz w:val="20"/>
          <w:szCs w:val="20"/>
        </w:rPr>
        <w:t xml:space="preserve"> con la creación y fortalecimiento del paramilitarismo </w:t>
      </w:r>
      <w:r w:rsidR="00FA0DC4" w:rsidRPr="00996758">
        <w:rPr>
          <w:rFonts w:ascii="Verdana" w:hAnsi="Verdana"/>
          <w:sz w:val="20"/>
          <w:szCs w:val="20"/>
        </w:rPr>
        <w:t>y que propiciaron la identificación del sindicalismo con la</w:t>
      </w:r>
      <w:r w:rsidR="00EE6594" w:rsidRPr="00996758">
        <w:rPr>
          <w:rFonts w:ascii="Verdana" w:hAnsi="Verdana"/>
          <w:sz w:val="20"/>
          <w:szCs w:val="20"/>
        </w:rPr>
        <w:t xml:space="preserve"> noción de </w:t>
      </w:r>
      <w:r w:rsidR="00FA0DC4" w:rsidRPr="00996758">
        <w:rPr>
          <w:rFonts w:ascii="Verdana" w:hAnsi="Verdana"/>
          <w:sz w:val="20"/>
          <w:szCs w:val="20"/>
        </w:rPr>
        <w:t>“</w:t>
      </w:r>
      <w:r w:rsidR="00EE6594" w:rsidRPr="00996758">
        <w:rPr>
          <w:rFonts w:ascii="Verdana" w:hAnsi="Verdana"/>
          <w:sz w:val="20"/>
          <w:szCs w:val="20"/>
        </w:rPr>
        <w:t>enemigo interno</w:t>
      </w:r>
      <w:r w:rsidR="00FA0DC4" w:rsidRPr="00996758">
        <w:rPr>
          <w:rFonts w:ascii="Verdana" w:hAnsi="Verdana"/>
          <w:sz w:val="20"/>
          <w:szCs w:val="20"/>
        </w:rPr>
        <w:t>”</w:t>
      </w:r>
      <w:r w:rsidR="00EE6594" w:rsidRPr="00996758">
        <w:rPr>
          <w:rFonts w:ascii="Verdana" w:hAnsi="Verdana"/>
          <w:sz w:val="20"/>
          <w:szCs w:val="20"/>
        </w:rPr>
        <w:t xml:space="preserve">. </w:t>
      </w:r>
      <w:r w:rsidR="00FA0DC4" w:rsidRPr="00996758">
        <w:rPr>
          <w:rFonts w:ascii="Verdana" w:hAnsi="Verdana"/>
          <w:sz w:val="20"/>
          <w:szCs w:val="20"/>
        </w:rPr>
        <w:t xml:space="preserve">Independientemente de </w:t>
      </w:r>
      <w:r w:rsidR="00D900D6" w:rsidRPr="00996758">
        <w:rPr>
          <w:rFonts w:ascii="Verdana" w:hAnsi="Verdana"/>
          <w:sz w:val="20"/>
          <w:szCs w:val="20"/>
        </w:rPr>
        <w:t>que el marco normativo que propició el paramilitari</w:t>
      </w:r>
      <w:r w:rsidR="00E0213E" w:rsidRPr="00996758">
        <w:rPr>
          <w:rFonts w:ascii="Verdana" w:hAnsi="Verdana"/>
          <w:sz w:val="20"/>
          <w:szCs w:val="20"/>
        </w:rPr>
        <w:t>smo no se encuentre vigente, o</w:t>
      </w:r>
      <w:r w:rsidR="00D900D6" w:rsidRPr="00996758">
        <w:rPr>
          <w:rFonts w:ascii="Verdana" w:hAnsi="Verdana"/>
          <w:sz w:val="20"/>
          <w:szCs w:val="20"/>
        </w:rPr>
        <w:t xml:space="preserve"> de</w:t>
      </w:r>
      <w:r w:rsidR="00B94379" w:rsidRPr="00996758">
        <w:rPr>
          <w:rFonts w:ascii="Verdana" w:hAnsi="Verdana"/>
          <w:sz w:val="20"/>
          <w:szCs w:val="20"/>
        </w:rPr>
        <w:t xml:space="preserve"> que</w:t>
      </w:r>
      <w:r w:rsidR="00FD5B0A" w:rsidRPr="00996758">
        <w:rPr>
          <w:rFonts w:ascii="Verdana" w:hAnsi="Verdana"/>
          <w:sz w:val="20"/>
          <w:szCs w:val="20"/>
        </w:rPr>
        <w:t xml:space="preserve"> </w:t>
      </w:r>
      <w:r w:rsidR="00D900D6" w:rsidRPr="00996758">
        <w:rPr>
          <w:rFonts w:ascii="Verdana" w:hAnsi="Verdana"/>
          <w:sz w:val="20"/>
          <w:szCs w:val="20"/>
        </w:rPr>
        <w:t xml:space="preserve">los manuales militares en cuestión </w:t>
      </w:r>
      <w:r w:rsidR="00B94379" w:rsidRPr="00996758">
        <w:rPr>
          <w:rFonts w:ascii="Verdana" w:hAnsi="Verdana"/>
          <w:sz w:val="20"/>
          <w:szCs w:val="20"/>
        </w:rPr>
        <w:t>continúe</w:t>
      </w:r>
      <w:r w:rsidR="00FD5B0A" w:rsidRPr="00996758">
        <w:rPr>
          <w:rFonts w:ascii="Verdana" w:hAnsi="Verdana"/>
          <w:sz w:val="20"/>
          <w:szCs w:val="20"/>
        </w:rPr>
        <w:t>n</w:t>
      </w:r>
      <w:r w:rsidR="00B94379" w:rsidRPr="00996758">
        <w:rPr>
          <w:rFonts w:ascii="Verdana" w:hAnsi="Verdana"/>
          <w:sz w:val="20"/>
          <w:szCs w:val="20"/>
        </w:rPr>
        <w:t xml:space="preserve"> en vigor o en aplicación</w:t>
      </w:r>
      <w:r w:rsidR="00FD5B0A" w:rsidRPr="00996758">
        <w:rPr>
          <w:rFonts w:ascii="Verdana" w:hAnsi="Verdana"/>
          <w:sz w:val="20"/>
          <w:szCs w:val="20"/>
        </w:rPr>
        <w:t xml:space="preserve"> </w:t>
      </w:r>
      <w:r w:rsidR="00FA0DC4" w:rsidRPr="00996758">
        <w:rPr>
          <w:rFonts w:ascii="Verdana" w:hAnsi="Verdana"/>
          <w:sz w:val="20"/>
          <w:szCs w:val="20"/>
        </w:rPr>
        <w:t xml:space="preserve">por </w:t>
      </w:r>
      <w:r w:rsidR="008A7C54" w:rsidRPr="00996758">
        <w:rPr>
          <w:rFonts w:ascii="Verdana" w:hAnsi="Verdana"/>
          <w:sz w:val="20"/>
          <w:szCs w:val="20"/>
        </w:rPr>
        <w:t xml:space="preserve">parte de </w:t>
      </w:r>
      <w:r w:rsidR="00FA0DC4" w:rsidRPr="00996758">
        <w:rPr>
          <w:rFonts w:ascii="Verdana" w:hAnsi="Verdana"/>
          <w:sz w:val="20"/>
          <w:szCs w:val="20"/>
        </w:rPr>
        <w:t>las fuerzas militares colombianas</w:t>
      </w:r>
      <w:r w:rsidR="00D900D6" w:rsidRPr="00996758">
        <w:rPr>
          <w:rFonts w:ascii="Verdana" w:hAnsi="Verdana"/>
          <w:sz w:val="20"/>
          <w:szCs w:val="20"/>
        </w:rPr>
        <w:t xml:space="preserve"> (</w:t>
      </w:r>
      <w:r w:rsidR="00D900D6" w:rsidRPr="00996758">
        <w:rPr>
          <w:rFonts w:ascii="Verdana" w:hAnsi="Verdana"/>
          <w:i/>
          <w:sz w:val="20"/>
          <w:szCs w:val="20"/>
        </w:rPr>
        <w:t xml:space="preserve">infra </w:t>
      </w:r>
      <w:r w:rsidR="00D900D6" w:rsidRPr="00996758">
        <w:rPr>
          <w:rFonts w:ascii="Verdana" w:hAnsi="Verdana"/>
          <w:sz w:val="20"/>
          <w:szCs w:val="20"/>
        </w:rPr>
        <w:t>párr</w:t>
      </w:r>
      <w:r w:rsidR="00B94379" w:rsidRPr="00996758">
        <w:rPr>
          <w:rFonts w:ascii="Verdana" w:hAnsi="Verdana"/>
          <w:sz w:val="20"/>
          <w:szCs w:val="20"/>
        </w:rPr>
        <w:t>s. 202</w:t>
      </w:r>
      <w:r w:rsidR="00F03A00" w:rsidRPr="00996758">
        <w:rPr>
          <w:rFonts w:ascii="Verdana" w:hAnsi="Verdana"/>
          <w:sz w:val="20"/>
          <w:szCs w:val="20"/>
        </w:rPr>
        <w:t xml:space="preserve"> a 208</w:t>
      </w:r>
      <w:r w:rsidR="00D900D6" w:rsidRPr="00996758">
        <w:rPr>
          <w:rFonts w:ascii="Verdana" w:hAnsi="Verdana"/>
          <w:sz w:val="20"/>
          <w:szCs w:val="20"/>
        </w:rPr>
        <w:t>)</w:t>
      </w:r>
      <w:r w:rsidR="00FA0DC4" w:rsidRPr="00996758">
        <w:rPr>
          <w:rFonts w:ascii="Verdana" w:hAnsi="Verdana"/>
          <w:sz w:val="20"/>
          <w:szCs w:val="20"/>
        </w:rPr>
        <w:t xml:space="preserve">, la Corte considera que </w:t>
      </w:r>
      <w:r w:rsidR="009A4E66" w:rsidRPr="00996758">
        <w:rPr>
          <w:rFonts w:ascii="Verdana" w:hAnsi="Verdana"/>
          <w:sz w:val="20"/>
          <w:szCs w:val="20"/>
        </w:rPr>
        <w:t xml:space="preserve">varios </w:t>
      </w:r>
      <w:r w:rsidR="00FA0DC4" w:rsidRPr="00996758">
        <w:rPr>
          <w:rFonts w:ascii="Verdana" w:hAnsi="Verdana"/>
          <w:sz w:val="20"/>
          <w:szCs w:val="20"/>
        </w:rPr>
        <w:t xml:space="preserve">contenidos de tales </w:t>
      </w:r>
      <w:r w:rsidR="009A4E66" w:rsidRPr="00996758">
        <w:rPr>
          <w:rFonts w:ascii="Verdana" w:hAnsi="Verdana"/>
          <w:sz w:val="20"/>
          <w:szCs w:val="20"/>
        </w:rPr>
        <w:t xml:space="preserve">marcos normativos, por su propio texto o por su interpretación, permitieron o </w:t>
      </w:r>
      <w:r w:rsidR="009A4E66" w:rsidRPr="00996758">
        <w:rPr>
          <w:rFonts w:ascii="Verdana" w:hAnsi="Verdana"/>
          <w:sz w:val="20"/>
          <w:szCs w:val="20"/>
        </w:rPr>
        <w:lastRenderedPageBreak/>
        <w:t xml:space="preserve">introdujeron riesgos para </w:t>
      </w:r>
      <w:r w:rsidR="00AF5DD4" w:rsidRPr="00996758">
        <w:rPr>
          <w:rFonts w:ascii="Verdana" w:hAnsi="Verdana"/>
          <w:sz w:val="20"/>
          <w:szCs w:val="20"/>
        </w:rPr>
        <w:t xml:space="preserve">determinados </w:t>
      </w:r>
      <w:r w:rsidR="009A4E66" w:rsidRPr="00996758">
        <w:rPr>
          <w:rFonts w:ascii="Verdana" w:hAnsi="Verdana"/>
          <w:sz w:val="20"/>
          <w:szCs w:val="20"/>
        </w:rPr>
        <w:t>miembros o grupos de la población civil en el marco del conflicto armado inte</w:t>
      </w:r>
      <w:r w:rsidR="00670689" w:rsidRPr="00996758">
        <w:rPr>
          <w:rFonts w:ascii="Verdana" w:hAnsi="Verdana"/>
          <w:sz w:val="20"/>
          <w:szCs w:val="20"/>
        </w:rPr>
        <w:t>rno, en este caso sindicalistas</w:t>
      </w:r>
      <w:r w:rsidR="00AF5DD4" w:rsidRPr="00996758">
        <w:rPr>
          <w:rFonts w:ascii="Verdana" w:hAnsi="Verdana"/>
          <w:sz w:val="20"/>
          <w:szCs w:val="20"/>
        </w:rPr>
        <w:t xml:space="preserve"> </w:t>
      </w:r>
      <w:r w:rsidR="009A4E66" w:rsidRPr="00996758">
        <w:rPr>
          <w:rFonts w:ascii="Verdana" w:hAnsi="Verdana"/>
          <w:sz w:val="20"/>
          <w:szCs w:val="20"/>
        </w:rPr>
        <w:t xml:space="preserve">que </w:t>
      </w:r>
      <w:r w:rsidR="00A90A81" w:rsidRPr="00996758">
        <w:rPr>
          <w:rFonts w:ascii="Verdana" w:hAnsi="Verdana"/>
          <w:sz w:val="20"/>
          <w:szCs w:val="20"/>
        </w:rPr>
        <w:t>fueron</w:t>
      </w:r>
      <w:r w:rsidR="009A4E66" w:rsidRPr="00996758">
        <w:rPr>
          <w:rFonts w:ascii="Verdana" w:hAnsi="Verdana"/>
          <w:sz w:val="20"/>
          <w:szCs w:val="20"/>
        </w:rPr>
        <w:t xml:space="preserve"> estigmatizados, perseguidos y atacados</w:t>
      </w:r>
      <w:r w:rsidR="00670689" w:rsidRPr="00996758">
        <w:rPr>
          <w:rFonts w:ascii="Verdana" w:hAnsi="Verdana"/>
          <w:sz w:val="20"/>
          <w:szCs w:val="20"/>
        </w:rPr>
        <w:t>,</w:t>
      </w:r>
      <w:r w:rsidR="009A4E66" w:rsidRPr="00996758">
        <w:rPr>
          <w:rFonts w:ascii="Verdana" w:hAnsi="Verdana"/>
          <w:sz w:val="20"/>
          <w:szCs w:val="20"/>
        </w:rPr>
        <w:t xml:space="preserve"> en muchos casos por grupos paramilitares</w:t>
      </w:r>
      <w:r w:rsidR="00D900D6" w:rsidRPr="00996758">
        <w:rPr>
          <w:rFonts w:ascii="Verdana" w:hAnsi="Verdana"/>
          <w:sz w:val="20"/>
          <w:szCs w:val="20"/>
        </w:rPr>
        <w:t>. En consecuencia</w:t>
      </w:r>
      <w:r w:rsidR="009A4E66" w:rsidRPr="00996758">
        <w:rPr>
          <w:rFonts w:ascii="Verdana" w:hAnsi="Verdana"/>
          <w:sz w:val="20"/>
          <w:szCs w:val="20"/>
        </w:rPr>
        <w:t>,</w:t>
      </w:r>
      <w:r w:rsidR="00D900D6" w:rsidRPr="00996758">
        <w:rPr>
          <w:rFonts w:ascii="Verdana" w:hAnsi="Verdana"/>
          <w:sz w:val="20"/>
          <w:szCs w:val="20"/>
        </w:rPr>
        <w:t xml:space="preserve"> tal</w:t>
      </w:r>
      <w:r w:rsidR="008A7C54" w:rsidRPr="00996758">
        <w:rPr>
          <w:rFonts w:ascii="Verdana" w:hAnsi="Verdana"/>
          <w:sz w:val="20"/>
          <w:szCs w:val="20"/>
        </w:rPr>
        <w:t>es contenidos de esa</w:t>
      </w:r>
      <w:r w:rsidR="00D900D6" w:rsidRPr="00996758">
        <w:rPr>
          <w:rFonts w:ascii="Verdana" w:hAnsi="Verdana"/>
          <w:sz w:val="20"/>
          <w:szCs w:val="20"/>
        </w:rPr>
        <w:t xml:space="preserve"> n</w:t>
      </w:r>
      <w:r w:rsidR="00460716" w:rsidRPr="00996758">
        <w:rPr>
          <w:rFonts w:ascii="Verdana" w:hAnsi="Verdana"/>
          <w:sz w:val="20"/>
          <w:szCs w:val="20"/>
        </w:rPr>
        <w:t>ormativa</w:t>
      </w:r>
      <w:r w:rsidR="008A7C54" w:rsidRPr="00996758">
        <w:rPr>
          <w:rFonts w:ascii="Verdana" w:hAnsi="Verdana"/>
          <w:sz w:val="20"/>
          <w:szCs w:val="20"/>
        </w:rPr>
        <w:t xml:space="preserve"> o su aplicación práctica</w:t>
      </w:r>
      <w:r w:rsidR="00460716" w:rsidRPr="00996758">
        <w:rPr>
          <w:rFonts w:ascii="Verdana" w:hAnsi="Verdana"/>
          <w:sz w:val="20"/>
          <w:szCs w:val="20"/>
        </w:rPr>
        <w:t xml:space="preserve">, por demás </w:t>
      </w:r>
      <w:r w:rsidR="00D900D6" w:rsidRPr="00996758">
        <w:rPr>
          <w:rFonts w:ascii="Verdana" w:hAnsi="Verdana"/>
          <w:sz w:val="20"/>
          <w:szCs w:val="20"/>
        </w:rPr>
        <w:t>contraria</w:t>
      </w:r>
      <w:r w:rsidR="008A7C54" w:rsidRPr="00996758">
        <w:rPr>
          <w:rFonts w:ascii="Verdana" w:hAnsi="Verdana"/>
          <w:sz w:val="20"/>
          <w:szCs w:val="20"/>
        </w:rPr>
        <w:t>s</w:t>
      </w:r>
      <w:r w:rsidR="009A4E66" w:rsidRPr="00996758">
        <w:rPr>
          <w:rFonts w:ascii="Verdana" w:hAnsi="Verdana"/>
          <w:sz w:val="20"/>
          <w:szCs w:val="20"/>
        </w:rPr>
        <w:t xml:space="preserve"> al principio de distinción del Derecho Internacional Humanitario</w:t>
      </w:r>
      <w:r w:rsidR="009A4E66" w:rsidRPr="00996758">
        <w:rPr>
          <w:rStyle w:val="FootnoteReference"/>
          <w:rFonts w:ascii="Verdana" w:hAnsi="Verdana"/>
          <w:sz w:val="20"/>
          <w:szCs w:val="20"/>
        </w:rPr>
        <w:footnoteReference w:id="142"/>
      </w:r>
      <w:r w:rsidR="008A7C54" w:rsidRPr="00996758">
        <w:rPr>
          <w:rFonts w:ascii="Verdana" w:hAnsi="Verdana"/>
          <w:sz w:val="20"/>
          <w:szCs w:val="20"/>
        </w:rPr>
        <w:t>, constituyeron</w:t>
      </w:r>
      <w:r w:rsidR="00460716" w:rsidRPr="00996758">
        <w:rPr>
          <w:rFonts w:ascii="Verdana" w:hAnsi="Verdana"/>
          <w:sz w:val="20"/>
          <w:szCs w:val="20"/>
        </w:rPr>
        <w:t xml:space="preserve"> en esa época un incumplimiento de</w:t>
      </w:r>
      <w:r w:rsidR="009A4E66" w:rsidRPr="00996758">
        <w:rPr>
          <w:rFonts w:ascii="Verdana" w:hAnsi="Verdana"/>
          <w:sz w:val="20"/>
          <w:szCs w:val="20"/>
        </w:rPr>
        <w:t xml:space="preserve"> la obligación del Estado de conformar su ordenamiento jurídico interno con la Convención Americana, establecida en el artículo 2 de la misma, por atentar contra </w:t>
      </w:r>
      <w:r w:rsidR="00A90A81" w:rsidRPr="00996758">
        <w:rPr>
          <w:rFonts w:ascii="Verdana" w:hAnsi="Verdana"/>
          <w:sz w:val="20"/>
          <w:szCs w:val="20"/>
        </w:rPr>
        <w:t>su</w:t>
      </w:r>
      <w:r w:rsidR="009A4E66" w:rsidRPr="00996758">
        <w:rPr>
          <w:rFonts w:ascii="Verdana" w:hAnsi="Verdana"/>
          <w:sz w:val="20"/>
          <w:szCs w:val="20"/>
        </w:rPr>
        <w:t xml:space="preserve"> obligación de garantizar los derechos humanos en una sociedad democrática, particularmente </w:t>
      </w:r>
      <w:r w:rsidR="00FD5B0A" w:rsidRPr="00996758">
        <w:rPr>
          <w:rFonts w:ascii="Verdana" w:hAnsi="Verdana"/>
          <w:sz w:val="20"/>
          <w:szCs w:val="20"/>
        </w:rPr>
        <w:t xml:space="preserve">en relación con </w:t>
      </w:r>
      <w:r w:rsidR="009A4E66" w:rsidRPr="00996758">
        <w:rPr>
          <w:rFonts w:ascii="Verdana" w:hAnsi="Verdana"/>
          <w:sz w:val="20"/>
          <w:szCs w:val="20"/>
        </w:rPr>
        <w:t>las libertades de pensamiento y expresión y de asociación, así como con el principio de no discriminación por motivos de opinión política y condición social.</w:t>
      </w:r>
    </w:p>
    <w:p w:rsidR="00035348" w:rsidRPr="00996758" w:rsidRDefault="00035348">
      <w:pPr>
        <w:widowControl w:val="0"/>
        <w:pBdr>
          <w:top w:val="nil"/>
        </w:pBdr>
        <w:autoSpaceDE w:val="0"/>
        <w:autoSpaceDN w:val="0"/>
        <w:adjustRightInd w:val="0"/>
        <w:spacing w:after="0" w:line="240" w:lineRule="auto"/>
        <w:jc w:val="both"/>
        <w:rPr>
          <w:rFonts w:ascii="Verdana" w:hAnsi="Verdana"/>
          <w:sz w:val="20"/>
          <w:szCs w:val="20"/>
        </w:rPr>
      </w:pPr>
    </w:p>
    <w:p w:rsidR="00EE6594" w:rsidRPr="00996758" w:rsidRDefault="004D7F78"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En relación con la alegada violación de la libertad de asociación,</w:t>
      </w:r>
      <w:r w:rsidR="00BD17FE" w:rsidRPr="00996758">
        <w:rPr>
          <w:rFonts w:ascii="Verdana" w:hAnsi="Verdana"/>
          <w:sz w:val="20"/>
          <w:szCs w:val="20"/>
        </w:rPr>
        <w:t xml:space="preserve"> la Corte hace notar que,</w:t>
      </w:r>
      <w:r w:rsidRPr="00996758">
        <w:rPr>
          <w:rFonts w:ascii="Verdana" w:hAnsi="Verdana"/>
          <w:sz w:val="20"/>
          <w:szCs w:val="20"/>
        </w:rPr>
        <w:t xml:space="preserve"> </w:t>
      </w:r>
      <w:bookmarkStart w:id="32" w:name="_Ref343507238"/>
      <w:r w:rsidR="00983058" w:rsidRPr="00996758">
        <w:rPr>
          <w:rFonts w:ascii="Verdana" w:hAnsi="Verdana"/>
          <w:sz w:val="20"/>
          <w:szCs w:val="20"/>
        </w:rPr>
        <w:t xml:space="preserve">sin perjuicio de la circunstancia de que, al momento de su desaparición, el señor Isaza Uribe se encontraba en detención preventiva y que ello limitaba sus posibilidades de ejercer activamente su libertad sindical, el hecho es que él no había sido condenado penalmente en ese momento y que, en el contexto referido, su desaparición tiene relación con su actividad sindical. La Corte ha considerado que, cuando la violación del derecho a la vida, la integridad o la libertad personal tiene como objetivo impedir el ejercicio legítimo de otro derecho protegido en la Convención, tal como la libertad de asociación, se configura a su vez una violación autónoma a este derecho. El artículo 16.1 de la Convención Americana contiene también </w:t>
      </w:r>
      <w:bookmarkStart w:id="33" w:name="_Ref343520874"/>
      <w:r w:rsidR="00983058" w:rsidRPr="00996758">
        <w:rPr>
          <w:rFonts w:ascii="Verdana" w:hAnsi="Verdana"/>
          <w:sz w:val="20"/>
          <w:szCs w:val="20"/>
        </w:rPr>
        <w:t>la libertad sindical y el Estado debe garantizar que las personas puedan ejercerla libremente sin temor a ser sujetos a violencia alguna; de lo contrario, se podría disminuir la capacidad de las agrupaciones de organizarse para la protección de sus intereses</w:t>
      </w:r>
      <w:bookmarkEnd w:id="33"/>
      <w:r w:rsidR="00983058" w:rsidRPr="00996758">
        <w:rPr>
          <w:rStyle w:val="FootnoteReference"/>
          <w:rFonts w:ascii="Verdana" w:hAnsi="Verdana"/>
          <w:sz w:val="20"/>
          <w:szCs w:val="20"/>
        </w:rPr>
        <w:footnoteReference w:id="143"/>
      </w:r>
      <w:r w:rsidR="00983058" w:rsidRPr="00996758">
        <w:rPr>
          <w:rFonts w:ascii="Verdana" w:hAnsi="Verdana"/>
          <w:sz w:val="20"/>
          <w:szCs w:val="20"/>
        </w:rPr>
        <w:t xml:space="preserve">. </w:t>
      </w:r>
      <w:bookmarkEnd w:id="32"/>
      <w:r w:rsidR="0009732C" w:rsidRPr="00996758">
        <w:rPr>
          <w:rFonts w:ascii="Verdana" w:hAnsi="Verdana"/>
          <w:sz w:val="20"/>
          <w:szCs w:val="20"/>
        </w:rPr>
        <w:t>Adicionalmente, es de presumir</w:t>
      </w:r>
      <w:r w:rsidR="002617CB" w:rsidRPr="00996758">
        <w:rPr>
          <w:rFonts w:ascii="Verdana" w:hAnsi="Verdana"/>
          <w:sz w:val="20"/>
          <w:szCs w:val="20"/>
        </w:rPr>
        <w:t xml:space="preserve"> que la desaparición forzada del señor Isaza Uribe </w:t>
      </w:r>
      <w:r w:rsidR="0009732C" w:rsidRPr="00996758">
        <w:rPr>
          <w:rFonts w:ascii="Verdana" w:hAnsi="Verdana"/>
          <w:sz w:val="20"/>
          <w:szCs w:val="20"/>
        </w:rPr>
        <w:t xml:space="preserve">habría acrecentado </w:t>
      </w:r>
      <w:r w:rsidR="002617CB" w:rsidRPr="00996758">
        <w:rPr>
          <w:rFonts w:ascii="Verdana" w:hAnsi="Verdana"/>
          <w:sz w:val="20"/>
          <w:szCs w:val="20"/>
        </w:rPr>
        <w:t>un efecto amedrentador e intimidante en los demás miembros del sindicato al que pertenecía, como un hecho más del contexto de violencia e impunidad existente en su contra</w:t>
      </w:r>
      <w:r w:rsidR="00983058" w:rsidRPr="00996758">
        <w:rPr>
          <w:rFonts w:ascii="Verdana" w:hAnsi="Verdana"/>
          <w:sz w:val="20"/>
          <w:szCs w:val="20"/>
        </w:rPr>
        <w:t>. Por estas razones</w:t>
      </w:r>
      <w:r w:rsidR="002617CB" w:rsidRPr="00996758">
        <w:rPr>
          <w:rFonts w:ascii="Verdana" w:hAnsi="Verdana"/>
          <w:sz w:val="20"/>
          <w:szCs w:val="20"/>
        </w:rPr>
        <w:t xml:space="preserve">, el Tribunal </w:t>
      </w:r>
      <w:r w:rsidR="00983058" w:rsidRPr="00996758">
        <w:rPr>
          <w:rFonts w:ascii="Verdana" w:hAnsi="Verdana"/>
          <w:sz w:val="20"/>
          <w:szCs w:val="20"/>
        </w:rPr>
        <w:t>declara</w:t>
      </w:r>
      <w:r w:rsidR="002617CB" w:rsidRPr="00996758">
        <w:rPr>
          <w:rFonts w:ascii="Verdana" w:hAnsi="Verdana"/>
          <w:sz w:val="20"/>
          <w:szCs w:val="20"/>
        </w:rPr>
        <w:t xml:space="preserve"> que </w:t>
      </w:r>
      <w:r w:rsidR="00BD17FE" w:rsidRPr="00996758">
        <w:rPr>
          <w:rFonts w:ascii="Verdana" w:hAnsi="Verdana"/>
          <w:sz w:val="20"/>
          <w:szCs w:val="20"/>
        </w:rPr>
        <w:t xml:space="preserve">el Estado es responsable por la violación de la libertad sindical, contenida en la libertad de asociación, reconocida en </w:t>
      </w:r>
      <w:r w:rsidR="002617CB" w:rsidRPr="00996758">
        <w:rPr>
          <w:rFonts w:ascii="Verdana" w:hAnsi="Verdana"/>
          <w:sz w:val="20"/>
          <w:szCs w:val="20"/>
        </w:rPr>
        <w:t>el artículo 16 de la Convención</w:t>
      </w:r>
      <w:r w:rsidR="00BD17FE" w:rsidRPr="00996758">
        <w:rPr>
          <w:rFonts w:ascii="Verdana" w:hAnsi="Verdana"/>
          <w:sz w:val="20"/>
          <w:szCs w:val="20"/>
        </w:rPr>
        <w:t>, en perjuicio del señor Isaza Uribe</w:t>
      </w:r>
      <w:r w:rsidR="002617CB" w:rsidRPr="00996758">
        <w:rPr>
          <w:rFonts w:ascii="Verdana" w:hAnsi="Verdana"/>
          <w:sz w:val="20"/>
          <w:szCs w:val="20"/>
        </w:rPr>
        <w:t>.</w:t>
      </w:r>
    </w:p>
    <w:p w:rsidR="00385A1D" w:rsidRPr="00996758" w:rsidRDefault="00385A1D" w:rsidP="00385A1D">
      <w:pPr>
        <w:widowControl w:val="0"/>
        <w:pBdr>
          <w:top w:val="nil"/>
        </w:pBdr>
        <w:autoSpaceDE w:val="0"/>
        <w:autoSpaceDN w:val="0"/>
        <w:adjustRightInd w:val="0"/>
        <w:spacing w:after="0" w:line="240" w:lineRule="auto"/>
        <w:jc w:val="both"/>
        <w:rPr>
          <w:rFonts w:ascii="Verdana" w:hAnsi="Verdana"/>
          <w:b/>
          <w:sz w:val="20"/>
          <w:szCs w:val="20"/>
          <w:highlight w:val="yellow"/>
        </w:rPr>
      </w:pPr>
    </w:p>
    <w:p w:rsidR="00E976A3" w:rsidRPr="00996758" w:rsidRDefault="00E976A3"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w:t>
      </w:r>
      <w:r w:rsidR="00877BCD" w:rsidRPr="00996758">
        <w:rPr>
          <w:rFonts w:ascii="Verdana" w:hAnsi="Verdana"/>
          <w:sz w:val="20"/>
          <w:szCs w:val="20"/>
        </w:rPr>
        <w:t xml:space="preserve">conclusión, la Corte declara </w:t>
      </w:r>
      <w:r w:rsidRPr="00996758">
        <w:rPr>
          <w:rFonts w:ascii="Verdana" w:hAnsi="Verdana"/>
          <w:sz w:val="20"/>
          <w:szCs w:val="20"/>
        </w:rPr>
        <w:t xml:space="preserve">que el Estado </w:t>
      </w:r>
      <w:r w:rsidR="00877BCD" w:rsidRPr="00996758">
        <w:rPr>
          <w:rFonts w:ascii="Verdana" w:hAnsi="Verdana"/>
          <w:sz w:val="20"/>
          <w:szCs w:val="20"/>
        </w:rPr>
        <w:t xml:space="preserve">es responsable por la desaparición forzada del señor Víctor Manuel Isaza Uribe y, en consecuencia, por la violación de </w:t>
      </w:r>
      <w:r w:rsidR="00790EE6" w:rsidRPr="00996758">
        <w:rPr>
          <w:rFonts w:ascii="Verdana" w:hAnsi="Verdana"/>
          <w:sz w:val="20"/>
          <w:szCs w:val="20"/>
        </w:rPr>
        <w:t>sus</w:t>
      </w:r>
      <w:r w:rsidRPr="00996758">
        <w:rPr>
          <w:rFonts w:ascii="Verdana" w:hAnsi="Verdana"/>
          <w:sz w:val="20"/>
          <w:szCs w:val="20"/>
        </w:rPr>
        <w:t xml:space="preserve"> derechos al reconocimiento de la personalidad jurídica, a la vida, a la integridad pe</w:t>
      </w:r>
      <w:r w:rsidR="00FD5B0A" w:rsidRPr="00996758">
        <w:rPr>
          <w:rFonts w:ascii="Verdana" w:hAnsi="Verdana"/>
          <w:sz w:val="20"/>
          <w:szCs w:val="20"/>
        </w:rPr>
        <w:t>rsonal y</w:t>
      </w:r>
      <w:r w:rsidR="00877BCD" w:rsidRPr="00996758">
        <w:rPr>
          <w:rFonts w:ascii="Verdana" w:hAnsi="Verdana"/>
          <w:sz w:val="20"/>
          <w:szCs w:val="20"/>
        </w:rPr>
        <w:t xml:space="preserve"> a la libertad personal, reconocidos </w:t>
      </w:r>
      <w:r w:rsidR="00491D3B" w:rsidRPr="00996758">
        <w:rPr>
          <w:rFonts w:ascii="Verdana" w:hAnsi="Verdana"/>
          <w:sz w:val="20"/>
          <w:szCs w:val="20"/>
        </w:rPr>
        <w:t>en los artículos 3, 4, 5 y</w:t>
      </w:r>
      <w:r w:rsidRPr="00996758">
        <w:rPr>
          <w:rFonts w:ascii="Verdana" w:hAnsi="Verdana"/>
          <w:sz w:val="20"/>
          <w:szCs w:val="20"/>
        </w:rPr>
        <w:t xml:space="preserve"> 7</w:t>
      </w:r>
      <w:r w:rsidR="00F5594F" w:rsidRPr="00996758">
        <w:rPr>
          <w:rFonts w:ascii="Verdana" w:hAnsi="Verdana"/>
          <w:sz w:val="20"/>
          <w:szCs w:val="20"/>
        </w:rPr>
        <w:t xml:space="preserve"> </w:t>
      </w:r>
      <w:r w:rsidRPr="00996758">
        <w:rPr>
          <w:rFonts w:ascii="Verdana" w:hAnsi="Verdana"/>
          <w:sz w:val="20"/>
          <w:szCs w:val="20"/>
        </w:rPr>
        <w:t>de la Convención Americana</w:t>
      </w:r>
      <w:r w:rsidR="00877BCD" w:rsidRPr="00996758">
        <w:rPr>
          <w:rFonts w:ascii="Verdana" w:hAnsi="Verdana"/>
          <w:sz w:val="20"/>
          <w:szCs w:val="20"/>
        </w:rPr>
        <w:t>,</w:t>
      </w:r>
      <w:r w:rsidRPr="00996758">
        <w:rPr>
          <w:rFonts w:ascii="Verdana" w:hAnsi="Verdana"/>
          <w:sz w:val="20"/>
          <w:szCs w:val="20"/>
        </w:rPr>
        <w:t xml:space="preserve"> </w:t>
      </w:r>
      <w:r w:rsidR="00877BCD" w:rsidRPr="00996758">
        <w:rPr>
          <w:rFonts w:ascii="Verdana" w:hAnsi="Verdana"/>
          <w:sz w:val="20"/>
          <w:szCs w:val="20"/>
        </w:rPr>
        <w:t>en relación con los artículos 1.1 y 2 de la misma</w:t>
      </w:r>
      <w:r w:rsidR="00FC0CF0" w:rsidRPr="00996758">
        <w:rPr>
          <w:rFonts w:ascii="Verdana" w:hAnsi="Verdana"/>
          <w:sz w:val="20"/>
          <w:szCs w:val="20"/>
        </w:rPr>
        <w:t xml:space="preserve"> y del artículo I a) de la Convención Interamericana sobre Desaparición Forzada de Personas</w:t>
      </w:r>
      <w:r w:rsidR="00877BCD" w:rsidRPr="00996758">
        <w:rPr>
          <w:rFonts w:ascii="Verdana" w:hAnsi="Verdana"/>
          <w:sz w:val="20"/>
          <w:szCs w:val="20"/>
        </w:rPr>
        <w:t xml:space="preserve">, </w:t>
      </w:r>
      <w:r w:rsidRPr="00996758">
        <w:rPr>
          <w:rFonts w:ascii="Verdana" w:hAnsi="Verdana"/>
          <w:sz w:val="20"/>
          <w:szCs w:val="20"/>
        </w:rPr>
        <w:t>en perjuicio de</w:t>
      </w:r>
      <w:r w:rsidR="00B25CBD" w:rsidRPr="00996758">
        <w:rPr>
          <w:rFonts w:ascii="Verdana" w:hAnsi="Verdana"/>
          <w:sz w:val="20"/>
          <w:szCs w:val="20"/>
        </w:rPr>
        <w:t xml:space="preserve"> aquél</w:t>
      </w:r>
      <w:r w:rsidRPr="00996758">
        <w:rPr>
          <w:rFonts w:ascii="Verdana" w:hAnsi="Verdana"/>
          <w:sz w:val="20"/>
          <w:szCs w:val="20"/>
        </w:rPr>
        <w:t xml:space="preserve">. </w:t>
      </w:r>
    </w:p>
    <w:p w:rsidR="00C763A2" w:rsidRPr="00996758" w:rsidRDefault="00C763A2">
      <w:pPr>
        <w:spacing w:after="0" w:line="240" w:lineRule="auto"/>
        <w:jc w:val="both"/>
        <w:rPr>
          <w:rFonts w:ascii="Verdana" w:eastAsia="Times New Roman" w:hAnsi="Verdana" w:cs="Times New Roman"/>
          <w:sz w:val="20"/>
          <w:szCs w:val="20"/>
          <w:lang w:eastAsia="es-ES"/>
        </w:rPr>
      </w:pPr>
    </w:p>
    <w:p w:rsidR="0099748E" w:rsidRPr="00996758" w:rsidRDefault="0099748E">
      <w:pPr>
        <w:spacing w:after="0" w:line="240" w:lineRule="auto"/>
        <w:jc w:val="both"/>
        <w:rPr>
          <w:rFonts w:ascii="Verdana" w:eastAsia="Times New Roman" w:hAnsi="Verdana" w:cs="Times New Roman"/>
          <w:sz w:val="20"/>
          <w:szCs w:val="20"/>
          <w:lang w:eastAsia="es-ES"/>
        </w:rPr>
      </w:pPr>
    </w:p>
    <w:p w:rsidR="00C57E6C" w:rsidRPr="00996758" w:rsidRDefault="00C57E6C" w:rsidP="00C57E6C">
      <w:pPr>
        <w:pStyle w:val="Heading1"/>
        <w:spacing w:before="0" w:after="0"/>
        <w:ind w:firstLine="4"/>
        <w:rPr>
          <w:bCs w:val="0"/>
          <w:caps w:val="0"/>
          <w:snapToGrid/>
        </w:rPr>
      </w:pPr>
      <w:bookmarkStart w:id="34" w:name="_Toc530560068"/>
      <w:r w:rsidRPr="00996758">
        <w:lastRenderedPageBreak/>
        <w:t>ViII.2</w:t>
      </w:r>
      <w:r w:rsidRPr="00996758">
        <w:br/>
      </w:r>
      <w:r w:rsidRPr="00996758">
        <w:rPr>
          <w:rStyle w:val="Heading1Char"/>
          <w:b/>
        </w:rPr>
        <w:t>DERECHOS A LAS GARANTÍAS JUDICIALES</w:t>
      </w:r>
      <w:r w:rsidRPr="00996758">
        <w:rPr>
          <w:rStyle w:val="FootnoteReference"/>
          <w:b w:val="0"/>
          <w:bCs w:val="0"/>
          <w:caps w:val="0"/>
          <w:snapToGrid/>
        </w:rPr>
        <w:footnoteReference w:id="144"/>
      </w:r>
      <w:r w:rsidRPr="00996758">
        <w:rPr>
          <w:rStyle w:val="Heading1Char"/>
          <w:b/>
        </w:rPr>
        <w:t xml:space="preserve"> Y A LA PROTECCIÓN JUDICIAL</w:t>
      </w:r>
      <w:r w:rsidRPr="00996758">
        <w:rPr>
          <w:rStyle w:val="FootnoteReference"/>
          <w:b w:val="0"/>
          <w:bCs w:val="0"/>
          <w:caps w:val="0"/>
          <w:snapToGrid/>
        </w:rPr>
        <w:footnoteReference w:id="145"/>
      </w:r>
      <w:r w:rsidRPr="00996758">
        <w:rPr>
          <w:rStyle w:val="Heading1Char"/>
          <w:b/>
        </w:rPr>
        <w:br/>
        <w:t xml:space="preserve"> (ARTÍCULOS 1.1, 8.1 y 25 DE LA CONVENCIÓN AMERICANA</w:t>
      </w:r>
      <w:r w:rsidR="007B52FA" w:rsidRPr="00996758">
        <w:rPr>
          <w:rStyle w:val="Heading1Char"/>
          <w:b/>
        </w:rPr>
        <w:t>)</w:t>
      </w:r>
      <w:bookmarkEnd w:id="34"/>
      <w:r w:rsidRPr="00996758">
        <w:rPr>
          <w:rStyle w:val="Heading1Char"/>
          <w:b/>
        </w:rPr>
        <w:t xml:space="preserve"> </w:t>
      </w:r>
    </w:p>
    <w:p w:rsidR="00C57E6C" w:rsidRPr="00996758" w:rsidRDefault="00C57E6C" w:rsidP="00C57E6C">
      <w:pPr>
        <w:pBdr>
          <w:top w:val="nil"/>
        </w:pBdr>
        <w:spacing w:after="0" w:line="240" w:lineRule="auto"/>
        <w:jc w:val="both"/>
        <w:rPr>
          <w:rFonts w:ascii="Verdana" w:hAnsi="Verdana"/>
          <w:snapToGrid w:val="0"/>
          <w:spacing w:val="-2"/>
          <w:sz w:val="20"/>
          <w:szCs w:val="20"/>
          <w:lang w:eastAsia="es-ES"/>
        </w:rPr>
      </w:pPr>
    </w:p>
    <w:p w:rsidR="00C57E6C" w:rsidRPr="00996758" w:rsidRDefault="00C57E6C" w:rsidP="00C57E6C">
      <w:pPr>
        <w:pBdr>
          <w:top w:val="nil"/>
        </w:pBdr>
        <w:spacing w:after="0" w:line="240" w:lineRule="auto"/>
        <w:ind w:firstLine="708"/>
        <w:jc w:val="both"/>
        <w:rPr>
          <w:rFonts w:ascii="Verdana" w:hAnsi="Verdana"/>
          <w:b/>
          <w:i/>
          <w:snapToGrid w:val="0"/>
          <w:spacing w:val="-2"/>
          <w:sz w:val="20"/>
          <w:szCs w:val="20"/>
          <w:lang w:eastAsia="es-ES"/>
        </w:rPr>
      </w:pPr>
      <w:r w:rsidRPr="00996758">
        <w:rPr>
          <w:rFonts w:ascii="Verdana" w:hAnsi="Verdana"/>
          <w:b/>
          <w:i/>
          <w:snapToGrid w:val="0"/>
          <w:spacing w:val="-2"/>
          <w:sz w:val="20"/>
          <w:szCs w:val="20"/>
          <w:lang w:eastAsia="es-ES"/>
        </w:rPr>
        <w:t>Alegatos de las partes</w:t>
      </w:r>
    </w:p>
    <w:p w:rsidR="007B52FA" w:rsidRPr="00996758" w:rsidRDefault="007B52FA" w:rsidP="007B52FA">
      <w:pPr>
        <w:pBdr>
          <w:top w:val="nil"/>
        </w:pBdr>
        <w:spacing w:after="0" w:line="240" w:lineRule="auto"/>
        <w:jc w:val="both"/>
        <w:rPr>
          <w:rFonts w:ascii="Verdana" w:eastAsia="Verdana" w:hAnsi="Verdana" w:cs="Verdana"/>
          <w:sz w:val="20"/>
          <w:szCs w:val="20"/>
        </w:rPr>
      </w:pPr>
    </w:p>
    <w:p w:rsidR="007B52FA" w:rsidRPr="00996758" w:rsidRDefault="007B52FA" w:rsidP="007B52FA">
      <w:pPr>
        <w:numPr>
          <w:ilvl w:val="0"/>
          <w:numId w:val="10"/>
        </w:numPr>
        <w:pBdr>
          <w:top w:val="nil"/>
        </w:pBd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 xml:space="preserve">En lo que respecta a la controversia subsistente, la </w:t>
      </w:r>
      <w:r w:rsidRPr="00996758">
        <w:rPr>
          <w:rFonts w:ascii="Verdana" w:eastAsia="Verdana" w:hAnsi="Verdana" w:cs="Verdana"/>
          <w:b/>
          <w:i/>
          <w:sz w:val="20"/>
          <w:szCs w:val="20"/>
        </w:rPr>
        <w:t>Comisión</w:t>
      </w:r>
      <w:r w:rsidR="002617CB" w:rsidRPr="00996758">
        <w:rPr>
          <w:rFonts w:ascii="Verdana" w:eastAsia="Verdana" w:hAnsi="Verdana" w:cs="Verdana"/>
          <w:sz w:val="20"/>
          <w:szCs w:val="20"/>
        </w:rPr>
        <w:t xml:space="preserve"> señaló que desde 1995 </w:t>
      </w:r>
      <w:r w:rsidRPr="00996758">
        <w:rPr>
          <w:rFonts w:ascii="Verdana" w:eastAsia="Verdana" w:hAnsi="Verdana" w:cs="Verdana"/>
          <w:sz w:val="20"/>
          <w:szCs w:val="20"/>
        </w:rPr>
        <w:t>no se ha vi</w:t>
      </w:r>
      <w:r w:rsidR="002617CB" w:rsidRPr="00996758">
        <w:rPr>
          <w:rFonts w:ascii="Verdana" w:eastAsia="Verdana" w:hAnsi="Verdana" w:cs="Verdana"/>
          <w:sz w:val="20"/>
          <w:szCs w:val="20"/>
        </w:rPr>
        <w:t xml:space="preserve">nculado al proceso </w:t>
      </w:r>
      <w:r w:rsidR="00620DE2" w:rsidRPr="00996758">
        <w:rPr>
          <w:rFonts w:ascii="Verdana" w:eastAsia="Verdana" w:hAnsi="Verdana" w:cs="Verdana"/>
          <w:sz w:val="20"/>
          <w:szCs w:val="20"/>
        </w:rPr>
        <w:t>a nadie más y</w:t>
      </w:r>
      <w:r w:rsidR="002617CB" w:rsidRPr="00996758">
        <w:rPr>
          <w:rFonts w:ascii="Verdana" w:eastAsia="Verdana" w:hAnsi="Verdana" w:cs="Verdana"/>
          <w:sz w:val="20"/>
          <w:szCs w:val="20"/>
        </w:rPr>
        <w:t xml:space="preserve"> que</w:t>
      </w:r>
      <w:r w:rsidRPr="00996758">
        <w:rPr>
          <w:rFonts w:ascii="Verdana" w:eastAsia="Verdana" w:hAnsi="Verdana" w:cs="Verdana"/>
          <w:sz w:val="20"/>
          <w:szCs w:val="20"/>
        </w:rPr>
        <w:t xml:space="preserve"> las autoridades no siguieron líneas de investigación que d</w:t>
      </w:r>
      <w:r w:rsidR="002617CB" w:rsidRPr="00996758">
        <w:rPr>
          <w:rFonts w:ascii="Verdana" w:eastAsia="Verdana" w:hAnsi="Verdana" w:cs="Verdana"/>
          <w:sz w:val="20"/>
          <w:szCs w:val="20"/>
        </w:rPr>
        <w:t>ebieron surgir desde el inicio (</w:t>
      </w:r>
      <w:r w:rsidRPr="00996758">
        <w:rPr>
          <w:rFonts w:ascii="Verdana" w:eastAsia="Verdana" w:hAnsi="Verdana" w:cs="Verdana"/>
          <w:sz w:val="20"/>
          <w:szCs w:val="20"/>
        </w:rPr>
        <w:t>posibles responsabili</w:t>
      </w:r>
      <w:r w:rsidR="002617CB" w:rsidRPr="00996758">
        <w:rPr>
          <w:rFonts w:ascii="Verdana" w:eastAsia="Verdana" w:hAnsi="Verdana" w:cs="Verdana"/>
          <w:sz w:val="20"/>
          <w:szCs w:val="20"/>
        </w:rPr>
        <w:t xml:space="preserve">dades de funcionarios públicos </w:t>
      </w:r>
      <w:r w:rsidRPr="00996758">
        <w:rPr>
          <w:rFonts w:ascii="Verdana" w:eastAsia="Verdana" w:hAnsi="Verdana" w:cs="Verdana"/>
          <w:sz w:val="20"/>
          <w:szCs w:val="20"/>
        </w:rPr>
        <w:t xml:space="preserve">o de miembros de grupos paramilitares vinculados a otros asesinatos de </w:t>
      </w:r>
      <w:r w:rsidR="002617CB" w:rsidRPr="00996758">
        <w:rPr>
          <w:rFonts w:ascii="Verdana" w:eastAsia="Verdana" w:hAnsi="Verdana" w:cs="Verdana"/>
          <w:sz w:val="20"/>
          <w:szCs w:val="20"/>
        </w:rPr>
        <w:t xml:space="preserve">miembros de </w:t>
      </w:r>
      <w:r w:rsidRPr="00996758">
        <w:rPr>
          <w:rFonts w:ascii="Verdana" w:eastAsia="Verdana" w:hAnsi="Verdana" w:cs="Verdana"/>
          <w:sz w:val="20"/>
          <w:szCs w:val="20"/>
        </w:rPr>
        <w:t>la UP o SUTIMAC en Puerto Nare</w:t>
      </w:r>
      <w:r w:rsidR="002617CB" w:rsidRPr="00996758">
        <w:rPr>
          <w:rFonts w:ascii="Verdana" w:eastAsia="Verdana" w:hAnsi="Verdana" w:cs="Verdana"/>
          <w:sz w:val="20"/>
          <w:szCs w:val="20"/>
        </w:rPr>
        <w:t>); no investigaron</w:t>
      </w:r>
      <w:r w:rsidRPr="00996758">
        <w:rPr>
          <w:rFonts w:ascii="Verdana" w:eastAsia="Verdana" w:hAnsi="Verdana" w:cs="Verdana"/>
          <w:sz w:val="20"/>
          <w:szCs w:val="20"/>
        </w:rPr>
        <w:t xml:space="preserve"> el posible vínculo con las otras personas que desap</w:t>
      </w:r>
      <w:r w:rsidR="002617CB" w:rsidRPr="00996758">
        <w:rPr>
          <w:rFonts w:ascii="Verdana" w:eastAsia="Verdana" w:hAnsi="Verdana" w:cs="Verdana"/>
          <w:sz w:val="20"/>
          <w:szCs w:val="20"/>
        </w:rPr>
        <w:t>arecieron de la cárcel ese día; ni</w:t>
      </w:r>
      <w:r w:rsidRPr="00996758">
        <w:rPr>
          <w:rFonts w:ascii="Verdana" w:eastAsia="Verdana" w:hAnsi="Verdana" w:cs="Verdana"/>
          <w:sz w:val="20"/>
          <w:szCs w:val="20"/>
        </w:rPr>
        <w:t xml:space="preserve"> dispusieron medidas correctivas para asegurar las declaraciones de testigos que podían ser relevantes. Por ello, consideró que el Estado es responsable por la violación de los derechos reconocidos en los artículos 8 y 25 de la Convención, en perjuicio del señor Isaza Uribe y sus familiares, así como por la violación del artículo I.b) de la Convención Interamericana sobre Desaparición Forzada de Personas.</w:t>
      </w:r>
    </w:p>
    <w:p w:rsidR="007B52FA" w:rsidRPr="00996758" w:rsidRDefault="007B52FA" w:rsidP="007B52FA">
      <w:pPr>
        <w:pBdr>
          <w:top w:val="nil"/>
        </w:pBdr>
        <w:spacing w:after="0" w:line="240" w:lineRule="auto"/>
        <w:jc w:val="both"/>
        <w:rPr>
          <w:rFonts w:ascii="Verdana" w:eastAsia="Verdana" w:hAnsi="Verdana" w:cs="Verdana"/>
          <w:sz w:val="20"/>
          <w:szCs w:val="20"/>
        </w:rPr>
      </w:pPr>
    </w:p>
    <w:p w:rsidR="007B52FA" w:rsidRPr="00996758" w:rsidRDefault="007B52FA" w:rsidP="007B52FA">
      <w:pPr>
        <w:numPr>
          <w:ilvl w:val="0"/>
          <w:numId w:val="10"/>
        </w:numPr>
        <w:pBdr>
          <w:top w:val="nil"/>
        </w:pBdr>
        <w:spacing w:after="0" w:line="240" w:lineRule="auto"/>
        <w:ind w:left="0" w:firstLine="1"/>
        <w:jc w:val="both"/>
        <w:rPr>
          <w:rFonts w:ascii="Verdana" w:eastAsia="Verdana" w:hAnsi="Verdana" w:cs="Verdana"/>
          <w:sz w:val="20"/>
          <w:szCs w:val="20"/>
        </w:rPr>
      </w:pPr>
      <w:r w:rsidRPr="00996758">
        <w:rPr>
          <w:rFonts w:ascii="Verdana" w:eastAsia="Verdana" w:hAnsi="Verdana" w:cs="Verdana"/>
          <w:sz w:val="20"/>
          <w:szCs w:val="20"/>
        </w:rPr>
        <w:t xml:space="preserve">Los </w:t>
      </w:r>
      <w:r w:rsidRPr="00996758">
        <w:rPr>
          <w:rFonts w:ascii="Verdana" w:eastAsia="Verdana" w:hAnsi="Verdana" w:cs="Verdana"/>
          <w:b/>
          <w:i/>
          <w:sz w:val="20"/>
          <w:szCs w:val="20"/>
        </w:rPr>
        <w:t>representantes</w:t>
      </w:r>
      <w:r w:rsidRPr="00996758">
        <w:rPr>
          <w:rFonts w:ascii="Verdana" w:eastAsia="Verdana" w:hAnsi="Verdana" w:cs="Verdana"/>
          <w:sz w:val="20"/>
          <w:szCs w:val="20"/>
        </w:rPr>
        <w:t xml:space="preserve"> enfatizaron que la inoperancia </w:t>
      </w:r>
      <w:r w:rsidR="00847BF1" w:rsidRPr="00996758">
        <w:rPr>
          <w:rFonts w:ascii="Verdana" w:eastAsia="Verdana" w:hAnsi="Verdana" w:cs="Verdana"/>
          <w:sz w:val="20"/>
          <w:szCs w:val="20"/>
        </w:rPr>
        <w:t xml:space="preserve">y falta de debida diligencia </w:t>
      </w:r>
      <w:r w:rsidRPr="00996758">
        <w:rPr>
          <w:rFonts w:ascii="Verdana" w:eastAsia="Verdana" w:hAnsi="Verdana" w:cs="Verdana"/>
          <w:sz w:val="20"/>
          <w:szCs w:val="20"/>
        </w:rPr>
        <w:t>de las autoridades policiales y judiciales</w:t>
      </w:r>
      <w:r w:rsidR="00847BF1" w:rsidRPr="00996758">
        <w:rPr>
          <w:rFonts w:ascii="Verdana" w:eastAsia="Verdana" w:hAnsi="Verdana" w:cs="Verdana"/>
          <w:sz w:val="20"/>
          <w:szCs w:val="20"/>
        </w:rPr>
        <w:t xml:space="preserve"> al momento de la desaparición </w:t>
      </w:r>
      <w:r w:rsidRPr="00996758">
        <w:rPr>
          <w:rFonts w:ascii="Verdana" w:eastAsia="Verdana" w:hAnsi="Verdana" w:cs="Verdana"/>
          <w:sz w:val="20"/>
          <w:szCs w:val="20"/>
        </w:rPr>
        <w:t xml:space="preserve">impidieron su rescate, la determinación de su paradero y sanción de los responsables, pues la investigación penal se limitó a repetir la versión policial. Alegaron que las </w:t>
      </w:r>
      <w:r w:rsidR="00847BF1" w:rsidRPr="00996758">
        <w:rPr>
          <w:rFonts w:ascii="Verdana" w:eastAsia="Verdana" w:hAnsi="Verdana" w:cs="Verdana"/>
          <w:sz w:val="20"/>
          <w:szCs w:val="20"/>
        </w:rPr>
        <w:t xml:space="preserve">autoridades </w:t>
      </w:r>
      <w:r w:rsidRPr="00996758">
        <w:rPr>
          <w:rFonts w:ascii="Verdana" w:eastAsia="Verdana" w:hAnsi="Verdana" w:cs="Verdana"/>
          <w:sz w:val="20"/>
          <w:szCs w:val="20"/>
        </w:rPr>
        <w:t xml:space="preserve">no </w:t>
      </w:r>
      <w:r w:rsidR="00847BF1" w:rsidRPr="00996758">
        <w:rPr>
          <w:rFonts w:ascii="Verdana" w:eastAsia="Verdana" w:hAnsi="Verdana" w:cs="Verdana"/>
          <w:sz w:val="20"/>
          <w:szCs w:val="20"/>
        </w:rPr>
        <w:t>investigaron</w:t>
      </w:r>
      <w:r w:rsidRPr="00996758">
        <w:rPr>
          <w:rFonts w:ascii="Verdana" w:eastAsia="Verdana" w:hAnsi="Verdana" w:cs="Verdana"/>
          <w:sz w:val="20"/>
          <w:szCs w:val="20"/>
        </w:rPr>
        <w:t xml:space="preserve"> en qué máquina de escribir fue elaborado el supuesto panfleto de las FARC; no hubo diligencias de inspección en unidades militares y de policía de la zona; no se profundizó en la búsqueda de testigos; no se indagó eventuales responsabilidades de miembros del Batallón “Bárbula”, del Guardacostas y la Armada cercanas; y no se tuvo en cuenta las investigaciones realizadas por la Fiscalía General de la Nación sobre actividades paramilitares </w:t>
      </w:r>
      <w:r w:rsidR="00847BF1" w:rsidRPr="00996758">
        <w:rPr>
          <w:rFonts w:ascii="Verdana" w:eastAsia="Verdana" w:hAnsi="Verdana" w:cs="Verdana"/>
          <w:sz w:val="20"/>
          <w:szCs w:val="20"/>
        </w:rPr>
        <w:t xml:space="preserve">en </w:t>
      </w:r>
      <w:r w:rsidRPr="00996758">
        <w:rPr>
          <w:rFonts w:ascii="Verdana" w:eastAsia="Verdana" w:hAnsi="Verdana" w:cs="Verdana"/>
          <w:sz w:val="20"/>
          <w:szCs w:val="20"/>
        </w:rPr>
        <w:t xml:space="preserve">el Magdalena Medio. </w:t>
      </w:r>
    </w:p>
    <w:p w:rsidR="007B52FA" w:rsidRPr="00996758" w:rsidRDefault="007B52FA" w:rsidP="007B52FA">
      <w:pPr>
        <w:pBdr>
          <w:top w:val="nil"/>
        </w:pBdr>
        <w:spacing w:after="0" w:line="240" w:lineRule="auto"/>
        <w:jc w:val="both"/>
        <w:rPr>
          <w:rFonts w:ascii="Verdana" w:eastAsia="Verdana" w:hAnsi="Verdana" w:cs="Verdana"/>
          <w:sz w:val="20"/>
          <w:szCs w:val="20"/>
        </w:rPr>
      </w:pPr>
    </w:p>
    <w:p w:rsidR="007B52FA" w:rsidRPr="00996758" w:rsidRDefault="007B52FA" w:rsidP="007B52FA">
      <w:pPr>
        <w:numPr>
          <w:ilvl w:val="0"/>
          <w:numId w:val="10"/>
        </w:numPr>
        <w:pBdr>
          <w:top w:val="nil"/>
        </w:pBdr>
        <w:spacing w:after="0" w:line="240" w:lineRule="auto"/>
        <w:ind w:left="0" w:firstLine="0"/>
        <w:jc w:val="both"/>
        <w:rPr>
          <w:rFonts w:ascii="Verdana" w:eastAsia="Verdana" w:hAnsi="Verdana" w:cs="Verdana"/>
          <w:sz w:val="20"/>
          <w:szCs w:val="20"/>
        </w:rPr>
      </w:pPr>
      <w:r w:rsidRPr="00996758">
        <w:rPr>
          <w:rFonts w:ascii="Verdana" w:eastAsia="Verdana" w:hAnsi="Verdana" w:cs="Verdana"/>
          <w:sz w:val="20"/>
          <w:szCs w:val="20"/>
        </w:rPr>
        <w:t xml:space="preserve">Si bien en su contestación el </w:t>
      </w:r>
      <w:r w:rsidRPr="00996758">
        <w:rPr>
          <w:rFonts w:ascii="Verdana" w:eastAsia="Verdana" w:hAnsi="Verdana" w:cs="Verdana"/>
          <w:b/>
          <w:i/>
          <w:sz w:val="20"/>
          <w:szCs w:val="20"/>
        </w:rPr>
        <w:t>Estado</w:t>
      </w:r>
      <w:r w:rsidRPr="00996758">
        <w:rPr>
          <w:rFonts w:ascii="Verdana" w:eastAsia="Verdana" w:hAnsi="Verdana" w:cs="Verdana"/>
          <w:sz w:val="20"/>
          <w:szCs w:val="20"/>
        </w:rPr>
        <w:t xml:space="preserve"> se limitó a reiterar los alcances de su reconocimiento de responsabilidad en cuanto a este aspecto, en sus alegatos finales manifestó que “en general</w:t>
      </w:r>
      <w:r w:rsidR="00847BF1" w:rsidRPr="00996758">
        <w:rPr>
          <w:rFonts w:ascii="Verdana" w:eastAsia="Verdana" w:hAnsi="Verdana" w:cs="Verdana"/>
          <w:sz w:val="20"/>
          <w:szCs w:val="20"/>
        </w:rPr>
        <w:t>”</w:t>
      </w:r>
      <w:r w:rsidRPr="00996758">
        <w:rPr>
          <w:rFonts w:ascii="Verdana" w:eastAsia="Verdana" w:hAnsi="Verdana" w:cs="Verdana"/>
          <w:sz w:val="20"/>
          <w:szCs w:val="20"/>
        </w:rPr>
        <w:t xml:space="preserve"> en la investigación se han cumplido los estándares interamericanos de acceso a la justicia, pues una serie de diligencias demuestran que se ha investigado el móvil de la sustracción, la posible responsabilidad de agentes estatales y de grupos paramilitares, teniendo en cuenta el contexto sociopolítico que se presentaba </w:t>
      </w:r>
      <w:r w:rsidR="00847BF1" w:rsidRPr="00996758">
        <w:rPr>
          <w:rFonts w:ascii="Verdana" w:eastAsia="Verdana" w:hAnsi="Verdana" w:cs="Verdana"/>
          <w:sz w:val="20"/>
          <w:szCs w:val="20"/>
        </w:rPr>
        <w:t>a</w:t>
      </w:r>
      <w:r w:rsidRPr="00996758">
        <w:rPr>
          <w:rFonts w:ascii="Verdana" w:eastAsia="Verdana" w:hAnsi="Verdana" w:cs="Verdana"/>
          <w:sz w:val="20"/>
          <w:szCs w:val="20"/>
        </w:rPr>
        <w:t>l momento de los hechos.</w:t>
      </w:r>
    </w:p>
    <w:p w:rsidR="007B52FA" w:rsidRPr="00996758" w:rsidRDefault="007B52FA" w:rsidP="007B52FA">
      <w:pPr>
        <w:pBdr>
          <w:top w:val="nil"/>
        </w:pBdr>
        <w:spacing w:after="0" w:line="240" w:lineRule="auto"/>
        <w:jc w:val="both"/>
        <w:rPr>
          <w:rFonts w:ascii="Verdana" w:eastAsia="Verdana" w:hAnsi="Verdana" w:cs="Verdana"/>
          <w:sz w:val="20"/>
          <w:szCs w:val="20"/>
        </w:rPr>
      </w:pPr>
    </w:p>
    <w:p w:rsidR="007B52FA" w:rsidRPr="00996758" w:rsidRDefault="007B52FA" w:rsidP="007B52FA">
      <w:pPr>
        <w:pBdr>
          <w:top w:val="nil"/>
        </w:pBdr>
        <w:spacing w:after="0" w:line="240" w:lineRule="auto"/>
        <w:ind w:left="708"/>
        <w:jc w:val="both"/>
        <w:rPr>
          <w:rFonts w:ascii="Verdana" w:hAnsi="Verdana"/>
          <w:b/>
          <w:i/>
          <w:sz w:val="20"/>
          <w:szCs w:val="20"/>
        </w:rPr>
      </w:pPr>
      <w:r w:rsidRPr="00996758">
        <w:rPr>
          <w:rFonts w:ascii="Verdana" w:hAnsi="Verdana"/>
          <w:b/>
          <w:i/>
          <w:sz w:val="20"/>
          <w:szCs w:val="20"/>
        </w:rPr>
        <w:t>Consideraciones de la Corte</w:t>
      </w:r>
    </w:p>
    <w:p w:rsidR="007B52FA" w:rsidRPr="00996758" w:rsidRDefault="007B52FA" w:rsidP="007B52FA">
      <w:pPr>
        <w:pBdr>
          <w:top w:val="nil"/>
        </w:pBdr>
        <w:spacing w:after="0" w:line="240" w:lineRule="auto"/>
        <w:jc w:val="both"/>
        <w:rPr>
          <w:rFonts w:ascii="Verdana" w:hAnsi="Verdana"/>
          <w:sz w:val="20"/>
          <w:szCs w:val="20"/>
        </w:rPr>
      </w:pPr>
    </w:p>
    <w:p w:rsidR="002B6442" w:rsidRPr="00996758" w:rsidRDefault="007B52FA" w:rsidP="002B6442">
      <w:pPr>
        <w:numPr>
          <w:ilvl w:val="0"/>
          <w:numId w:val="10"/>
        </w:numPr>
        <w:pBdr>
          <w:top w:val="nil"/>
        </w:pBdr>
        <w:spacing w:after="0" w:line="240" w:lineRule="auto"/>
        <w:ind w:left="0" w:firstLine="0"/>
        <w:jc w:val="both"/>
        <w:rPr>
          <w:rFonts w:ascii="Verdana" w:hAnsi="Verdana" w:cs="Times New Roman"/>
          <w:sz w:val="20"/>
          <w:szCs w:val="20"/>
          <w:lang w:eastAsia="es-CR"/>
        </w:rPr>
      </w:pPr>
      <w:r w:rsidRPr="00996758">
        <w:rPr>
          <w:rFonts w:ascii="Verdana" w:hAnsi="Verdana"/>
          <w:sz w:val="20"/>
          <w:szCs w:val="20"/>
        </w:rPr>
        <w:t>Los Estados tienen el deber jurídico de “prevenir, razonablemente, las violaciones de los derechos humanos, de investigar seriamente con los medios a su alcance las violaciones que se hayan cometido dentro del ámbito de su jurisdicción a fin de identificar a los responsables, [en su caso] de imponerles las sanciones pertinentes, y de asegurar a la víctima una adecuada reparación”</w:t>
      </w:r>
      <w:r w:rsidRPr="00996758">
        <w:rPr>
          <w:rStyle w:val="FootnoteAnchor"/>
          <w:rFonts w:ascii="Verdana" w:hAnsi="Verdana"/>
          <w:sz w:val="20"/>
          <w:szCs w:val="20"/>
        </w:rPr>
        <w:footnoteReference w:id="146"/>
      </w:r>
      <w:r w:rsidRPr="00996758">
        <w:rPr>
          <w:rFonts w:ascii="Verdana" w:hAnsi="Verdana"/>
          <w:sz w:val="20"/>
          <w:szCs w:val="20"/>
        </w:rPr>
        <w:t xml:space="preserve">. En particular, </w:t>
      </w:r>
      <w:r w:rsidRPr="00996758">
        <w:rPr>
          <w:rFonts w:ascii="Verdana" w:hAnsi="Verdana" w:cs="Verdana"/>
          <w:bCs/>
          <w:sz w:val="20"/>
          <w:szCs w:val="20"/>
        </w:rPr>
        <w:t>cuando se trata de la investigación de la muerte de una persona que se encontraba bajo custodia del Estado, las autoridades correspondientes tienen el deber de iniciar</w:t>
      </w:r>
      <w:r w:rsidRPr="00996758">
        <w:rPr>
          <w:rFonts w:ascii="Verdana" w:hAnsi="Verdana" w:cs="Verdana"/>
          <w:bCs/>
          <w:i/>
          <w:sz w:val="20"/>
          <w:szCs w:val="20"/>
        </w:rPr>
        <w:t xml:space="preserve"> ex officio</w:t>
      </w:r>
      <w:r w:rsidRPr="00996758">
        <w:rPr>
          <w:rFonts w:ascii="Verdana" w:hAnsi="Verdana" w:cs="Verdana"/>
          <w:bCs/>
          <w:sz w:val="20"/>
          <w:szCs w:val="20"/>
        </w:rPr>
        <w:t xml:space="preserve"> y sin dilación, una investigación seria, independiente, imparcial y efectiva, es </w:t>
      </w:r>
      <w:r w:rsidRPr="00996758">
        <w:rPr>
          <w:rFonts w:ascii="Verdana" w:hAnsi="Verdana" w:cs="Verdana"/>
          <w:bCs/>
          <w:sz w:val="20"/>
          <w:szCs w:val="20"/>
        </w:rPr>
        <w:lastRenderedPageBreak/>
        <w:t xml:space="preserve">decir, </w:t>
      </w:r>
      <w:r w:rsidRPr="00996758">
        <w:rPr>
          <w:rFonts w:ascii="Verdana" w:hAnsi="Verdana"/>
          <w:sz w:val="20"/>
          <w:szCs w:val="20"/>
        </w:rPr>
        <w:t>con la debida diligencia</w:t>
      </w:r>
      <w:r w:rsidR="002B6442" w:rsidRPr="00996758">
        <w:rPr>
          <w:rFonts w:ascii="Verdana" w:hAnsi="Verdana"/>
          <w:sz w:val="20"/>
          <w:szCs w:val="20"/>
        </w:rPr>
        <w:t xml:space="preserve"> y sustanciada </w:t>
      </w:r>
      <w:r w:rsidRPr="00996758">
        <w:rPr>
          <w:rFonts w:ascii="Verdana" w:hAnsi="Verdana"/>
          <w:sz w:val="20"/>
          <w:szCs w:val="20"/>
        </w:rPr>
        <w:t xml:space="preserve">por todos los medios legales disponibles y orientada </w:t>
      </w:r>
      <w:r w:rsidR="002B6442" w:rsidRPr="00996758">
        <w:rPr>
          <w:rFonts w:ascii="Verdana" w:hAnsi="Verdana"/>
          <w:sz w:val="20"/>
          <w:szCs w:val="20"/>
        </w:rPr>
        <w:t>a la determinación de la verdad</w:t>
      </w:r>
      <w:r w:rsidR="002B6442" w:rsidRPr="00996758">
        <w:rPr>
          <w:rStyle w:val="FootnoteAnchor"/>
          <w:rFonts w:ascii="Verdana" w:hAnsi="Verdana"/>
          <w:sz w:val="20"/>
          <w:szCs w:val="20"/>
        </w:rPr>
        <w:footnoteReference w:id="147"/>
      </w:r>
      <w:r w:rsidRPr="00996758">
        <w:rPr>
          <w:rFonts w:ascii="Verdana" w:hAnsi="Verdana"/>
          <w:sz w:val="20"/>
          <w:szCs w:val="20"/>
        </w:rPr>
        <w:t>.</w:t>
      </w:r>
      <w:r w:rsidR="002B6442" w:rsidRPr="00996758">
        <w:rPr>
          <w:rFonts w:ascii="Verdana" w:hAnsi="Verdana"/>
          <w:sz w:val="20"/>
          <w:szCs w:val="20"/>
        </w:rPr>
        <w:t xml:space="preserve"> E</w:t>
      </w:r>
      <w:r w:rsidR="002B6442" w:rsidRPr="00996758">
        <w:rPr>
          <w:rFonts w:ascii="Verdana" w:eastAsia="Calibri" w:hAnsi="Verdana" w:cs="Times New Roman"/>
          <w:color w:val="000000"/>
          <w:sz w:val="20"/>
          <w:szCs w:val="20"/>
        </w:rPr>
        <w:t xml:space="preserve">s pertinente recordar que toda persona, incluyendo los familiares de las víctimas de graves violaciones a derechos humanos, tiene el derecho a conocer la verdad, por lo que deben ser </w:t>
      </w:r>
      <w:r w:rsidR="002B6442" w:rsidRPr="00996758">
        <w:rPr>
          <w:rFonts w:ascii="Verdana" w:eastAsia="Calibri" w:hAnsi="Verdana" w:cs="Times New Roman"/>
          <w:sz w:val="20"/>
          <w:szCs w:val="20"/>
        </w:rPr>
        <w:t>informados</w:t>
      </w:r>
      <w:r w:rsidR="002B6442" w:rsidRPr="00996758">
        <w:rPr>
          <w:rFonts w:ascii="Verdana" w:eastAsia="Calibri" w:hAnsi="Verdana" w:cs="Times New Roman"/>
          <w:color w:val="000000"/>
          <w:sz w:val="20"/>
          <w:szCs w:val="20"/>
        </w:rPr>
        <w:t xml:space="preserve"> de </w:t>
      </w:r>
      <w:r w:rsidR="002B6442" w:rsidRPr="00996758">
        <w:rPr>
          <w:rFonts w:ascii="Verdana" w:eastAsia="Calibri" w:hAnsi="Verdana" w:cs="Times New Roman"/>
          <w:bCs/>
          <w:snapToGrid w:val="0"/>
          <w:color w:val="000000"/>
          <w:kern w:val="32"/>
          <w:sz w:val="20"/>
          <w:szCs w:val="20"/>
          <w:lang w:eastAsia="es-ES"/>
        </w:rPr>
        <w:t>todo</w:t>
      </w:r>
      <w:r w:rsidR="002B6442" w:rsidRPr="00996758">
        <w:rPr>
          <w:rFonts w:ascii="Verdana" w:eastAsia="Calibri" w:hAnsi="Verdana" w:cs="Times New Roman"/>
          <w:color w:val="000000"/>
          <w:sz w:val="20"/>
          <w:szCs w:val="20"/>
        </w:rPr>
        <w:t xml:space="preserve"> lo sucedido al respecto</w:t>
      </w:r>
      <w:r w:rsidR="002B6442" w:rsidRPr="00996758">
        <w:rPr>
          <w:rFonts w:ascii="Verdana" w:eastAsia="Calibri" w:hAnsi="Verdana" w:cs="Times New Roman"/>
          <w:color w:val="000000"/>
          <w:sz w:val="20"/>
          <w:szCs w:val="20"/>
          <w:vertAlign w:val="superscript"/>
        </w:rPr>
        <w:footnoteReference w:id="148"/>
      </w:r>
      <w:r w:rsidR="002B6442" w:rsidRPr="00996758">
        <w:rPr>
          <w:rFonts w:ascii="Verdana" w:eastAsia="Calibri" w:hAnsi="Verdana" w:cs="Times New Roman"/>
          <w:spacing w:val="-2"/>
          <w:sz w:val="20"/>
          <w:szCs w:val="20"/>
        </w:rPr>
        <w:t xml:space="preserve">. </w:t>
      </w:r>
    </w:p>
    <w:p w:rsidR="007B52FA" w:rsidRPr="00996758" w:rsidRDefault="007B52FA" w:rsidP="007B52FA">
      <w:pPr>
        <w:pBdr>
          <w:top w:val="nil"/>
        </w:pBdr>
        <w:spacing w:after="0" w:line="240" w:lineRule="auto"/>
        <w:jc w:val="both"/>
        <w:rPr>
          <w:rFonts w:ascii="Verdana" w:hAnsi="Verdana" w:cs="Times New Roman"/>
          <w:sz w:val="20"/>
          <w:szCs w:val="20"/>
          <w:lang w:eastAsia="es-CR"/>
        </w:rPr>
      </w:pPr>
    </w:p>
    <w:p w:rsidR="008C0DC4" w:rsidRPr="00996758" w:rsidRDefault="007B52FA" w:rsidP="002B6442">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rPr>
        <w:t xml:space="preserve">Tales características del deber de investigar son aplicables, con mayor razón, en casos de posible desaparición forzada de una persona, en los que </w:t>
      </w:r>
      <w:r w:rsidRPr="00996758">
        <w:rPr>
          <w:rFonts w:ascii="Verdana" w:hAnsi="Verdana" w:cs="Verdana"/>
          <w:spacing w:val="-2"/>
          <w:sz w:val="20"/>
          <w:szCs w:val="20"/>
        </w:rPr>
        <w:t>la investigación debe incluir, adicionalmente, la realización de todas las acciones necesarias para determinar la suerte o destino de la víctima y la localización de su paradero</w:t>
      </w:r>
      <w:r w:rsidRPr="00996758">
        <w:rPr>
          <w:rFonts w:ascii="Verdana" w:hAnsi="Verdana"/>
          <w:sz w:val="20"/>
          <w:szCs w:val="20"/>
          <w:vertAlign w:val="superscript"/>
        </w:rPr>
        <w:footnoteReference w:id="149"/>
      </w:r>
      <w:r w:rsidRPr="00996758">
        <w:rPr>
          <w:rFonts w:ascii="Verdana" w:hAnsi="Verdana" w:cs="Verdana"/>
          <w:spacing w:val="-2"/>
          <w:sz w:val="20"/>
          <w:szCs w:val="20"/>
        </w:rPr>
        <w:t xml:space="preserve">. </w:t>
      </w:r>
      <w:r w:rsidR="002B6442" w:rsidRPr="00996758">
        <w:rPr>
          <w:rFonts w:ascii="Verdana" w:hAnsi="Verdana"/>
          <w:sz w:val="20"/>
          <w:szCs w:val="20"/>
        </w:rPr>
        <w:t>Es decir</w:t>
      </w:r>
      <w:r w:rsidRPr="00996758">
        <w:rPr>
          <w:rFonts w:ascii="Verdana" w:hAnsi="Verdana"/>
          <w:sz w:val="20"/>
          <w:szCs w:val="20"/>
        </w:rPr>
        <w:t xml:space="preserve">, </w:t>
      </w:r>
      <w:r w:rsidRPr="00996758">
        <w:rPr>
          <w:rFonts w:ascii="Verdana" w:hAnsi="Verdana"/>
          <w:sz w:val="20"/>
          <w:szCs w:val="20"/>
          <w:bdr w:val="none" w:sz="0" w:space="0" w:color="auto" w:frame="1"/>
        </w:rPr>
        <w:t xml:space="preserve">cuando se trata de la denuncia de la desaparición de una persona, independientemente de si ha sido cometida por particulares o por agentes estatales, de la respuesta estatal inmediata y diligente depende en gran medida la protección de la vida e integridad de la persona que se denuncia desaparecida. </w:t>
      </w:r>
      <w:r w:rsidR="002B6442" w:rsidRPr="00996758">
        <w:rPr>
          <w:rFonts w:ascii="Verdana" w:hAnsi="Verdana"/>
          <w:sz w:val="20"/>
          <w:szCs w:val="20"/>
          <w:bdr w:val="none" w:sz="0" w:space="0" w:color="auto" w:frame="1"/>
        </w:rPr>
        <w:t>Por ello</w:t>
      </w:r>
      <w:r w:rsidRPr="00996758">
        <w:rPr>
          <w:rFonts w:ascii="Verdana" w:hAnsi="Verdana"/>
          <w:sz w:val="20"/>
          <w:szCs w:val="20"/>
          <w:bdr w:val="none" w:sz="0" w:space="0" w:color="auto" w:frame="1"/>
        </w:rPr>
        <w:t xml:space="preserve">, cuando haya motivos razonables para sospechar que una persona ha sido sometida a desaparición, es imprescindible la </w:t>
      </w:r>
      <w:r w:rsidRPr="00996758">
        <w:rPr>
          <w:rFonts w:ascii="Verdana" w:hAnsi="Verdana"/>
          <w:sz w:val="20"/>
          <w:szCs w:val="20"/>
        </w:rPr>
        <w:t>actuación</w:t>
      </w:r>
      <w:r w:rsidRPr="00996758">
        <w:rPr>
          <w:rFonts w:ascii="Verdana" w:hAnsi="Verdana"/>
          <w:sz w:val="20"/>
          <w:szCs w:val="20"/>
          <w:bdr w:val="none" w:sz="0" w:space="0" w:color="auto" w:frame="1"/>
        </w:rPr>
        <w:t xml:space="preserve"> pronta e inmediata de las autoridades fiscales y judiciales ordenando medidas oportunas y necesarias dirigidas a la determinación del paradero de la víctima o el lugar donde pueda encontrarse privada de libertad</w:t>
      </w:r>
      <w:bookmarkStart w:id="35" w:name="_Ref280106061"/>
      <w:r w:rsidRPr="00996758">
        <w:rPr>
          <w:rStyle w:val="FootnoteReference"/>
          <w:rFonts w:ascii="Verdana" w:hAnsi="Verdana"/>
          <w:sz w:val="20"/>
          <w:szCs w:val="20"/>
          <w:bdr w:val="none" w:sz="0" w:space="0" w:color="auto" w:frame="1"/>
        </w:rPr>
        <w:footnoteReference w:id="150"/>
      </w:r>
      <w:bookmarkEnd w:id="35"/>
      <w:r w:rsidRPr="00996758">
        <w:rPr>
          <w:rFonts w:ascii="Verdana" w:hAnsi="Verdana"/>
          <w:sz w:val="20"/>
          <w:szCs w:val="20"/>
          <w:bdr w:val="none" w:sz="0" w:space="0" w:color="auto" w:frame="1"/>
        </w:rPr>
        <w:t>.</w:t>
      </w:r>
      <w:r w:rsidRPr="00996758">
        <w:rPr>
          <w:rFonts w:ascii="Verdana" w:hAnsi="Verdana"/>
          <w:sz w:val="20"/>
          <w:szCs w:val="20"/>
          <w:lang w:eastAsia="es-CR"/>
        </w:rPr>
        <w:t xml:space="preserve"> </w:t>
      </w:r>
    </w:p>
    <w:p w:rsidR="008C0DC4" w:rsidRPr="00996758" w:rsidRDefault="008C0DC4" w:rsidP="008C0DC4">
      <w:pPr>
        <w:pBdr>
          <w:top w:val="nil"/>
        </w:pBdr>
        <w:spacing w:after="0" w:line="240" w:lineRule="auto"/>
        <w:jc w:val="both"/>
        <w:rPr>
          <w:rFonts w:ascii="Verdana" w:hAnsi="Verdana"/>
          <w:sz w:val="20"/>
          <w:szCs w:val="20"/>
          <w:lang w:eastAsia="es-CR"/>
        </w:rPr>
      </w:pPr>
    </w:p>
    <w:p w:rsidR="002B6442" w:rsidRPr="00996758" w:rsidRDefault="002B6442" w:rsidP="002B6442">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En este caso, el Estado reconoció la violación de los artículos 8.1 y 25 de la Convención, entre otras razones, por la falta de acciones urgentes de búsqueda del señor Isaza Uribe luego de su desaparición, lo que </w:t>
      </w:r>
      <w:r w:rsidR="00563D9B" w:rsidRPr="00996758">
        <w:rPr>
          <w:rFonts w:ascii="Verdana" w:hAnsi="Verdana"/>
          <w:sz w:val="20"/>
          <w:szCs w:val="20"/>
          <w:lang w:eastAsia="es-CR"/>
        </w:rPr>
        <w:t>ha sido</w:t>
      </w:r>
      <w:r w:rsidRPr="00996758">
        <w:rPr>
          <w:rFonts w:ascii="Verdana" w:hAnsi="Verdana"/>
          <w:sz w:val="20"/>
          <w:szCs w:val="20"/>
          <w:lang w:eastAsia="es-CR"/>
        </w:rPr>
        <w:t xml:space="preserve"> sin duda uno de los factores determinantes en la falta de esclarecimiento de su desaparición y de su paradero</w:t>
      </w:r>
      <w:r w:rsidRPr="00996758">
        <w:rPr>
          <w:rStyle w:val="FootnoteReference"/>
          <w:rFonts w:ascii="Verdana" w:hAnsi="Verdana"/>
          <w:sz w:val="20"/>
          <w:szCs w:val="20"/>
          <w:lang w:eastAsia="es-CR"/>
        </w:rPr>
        <w:footnoteReference w:id="151"/>
      </w:r>
      <w:r w:rsidRPr="00996758">
        <w:rPr>
          <w:rFonts w:ascii="Verdana" w:hAnsi="Verdana"/>
          <w:sz w:val="20"/>
          <w:szCs w:val="20"/>
          <w:lang w:eastAsia="es-CR"/>
        </w:rPr>
        <w:t xml:space="preserve">. </w:t>
      </w:r>
    </w:p>
    <w:p w:rsidR="007B52FA" w:rsidRPr="00996758" w:rsidRDefault="007B52FA" w:rsidP="001817CE">
      <w:pPr>
        <w:pBdr>
          <w:top w:val="nil"/>
        </w:pBdr>
        <w:spacing w:after="0" w:line="240" w:lineRule="auto"/>
        <w:jc w:val="both"/>
        <w:rPr>
          <w:rFonts w:ascii="Verdana" w:hAnsi="Verdana" w:cs="Times New Roman"/>
          <w:sz w:val="20"/>
          <w:szCs w:val="20"/>
          <w:lang w:eastAsia="es-CR"/>
        </w:rPr>
      </w:pPr>
    </w:p>
    <w:p w:rsidR="00821FB9" w:rsidRPr="00996758" w:rsidRDefault="007B52FA" w:rsidP="00821FB9">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Además, en cierto tipo de casos complejos, la obligación de investigar conlleva el deber de dirigir los esfuerzos del aparato estatal para desentrañar las estructuras que permitieron esas violaciones, sus causas, sus beneficiarios y sus consecuencias, y no sólo descubrir, enjuiciar y en su caso sancionar </w:t>
      </w:r>
      <w:r w:rsidR="00304B65" w:rsidRPr="00996758">
        <w:rPr>
          <w:rFonts w:ascii="Verdana" w:hAnsi="Verdana"/>
          <w:sz w:val="20"/>
          <w:szCs w:val="20"/>
          <w:lang w:eastAsia="es-CR"/>
        </w:rPr>
        <w:t xml:space="preserve">a los perpetradores inmediatos, </w:t>
      </w:r>
      <w:r w:rsidRPr="00996758">
        <w:rPr>
          <w:rFonts w:ascii="Verdana" w:hAnsi="Verdana"/>
          <w:sz w:val="20"/>
          <w:szCs w:val="20"/>
          <w:lang w:eastAsia="es-CR"/>
        </w:rPr>
        <w:t>a partir de una visión comprehensiva de los hechos, que tenga en cuenta los antecedentes y el contexto en que ocurrieron y que busque develar las estructuras de participación</w:t>
      </w:r>
      <w:r w:rsidR="00304B65" w:rsidRPr="00996758">
        <w:rPr>
          <w:rFonts w:ascii="Verdana" w:hAnsi="Verdana"/>
          <w:sz w:val="20"/>
          <w:szCs w:val="20"/>
          <w:lang w:eastAsia="es-CR"/>
        </w:rPr>
        <w:t>. P</w:t>
      </w:r>
      <w:r w:rsidRPr="00996758">
        <w:rPr>
          <w:rFonts w:ascii="Verdana" w:hAnsi="Verdana"/>
          <w:sz w:val="20"/>
          <w:szCs w:val="20"/>
          <w:lang w:eastAsia="es-CR"/>
        </w:rPr>
        <w:t xml:space="preserve">ara </w:t>
      </w:r>
      <w:r w:rsidR="00304B65" w:rsidRPr="00996758">
        <w:rPr>
          <w:rFonts w:ascii="Verdana" w:hAnsi="Verdana"/>
          <w:sz w:val="20"/>
          <w:szCs w:val="20"/>
          <w:lang w:eastAsia="es-CR"/>
        </w:rPr>
        <w:t xml:space="preserve">ello, </w:t>
      </w:r>
      <w:r w:rsidRPr="00996758">
        <w:rPr>
          <w:rFonts w:ascii="Verdana" w:hAnsi="Verdana"/>
          <w:sz w:val="20"/>
          <w:szCs w:val="20"/>
          <w:lang w:eastAsia="es-CR"/>
        </w:rPr>
        <w:t xml:space="preserve">las autoridades deben </w:t>
      </w:r>
      <w:r w:rsidR="00304B65" w:rsidRPr="00996758">
        <w:rPr>
          <w:rFonts w:ascii="Verdana" w:hAnsi="Verdana"/>
          <w:sz w:val="20"/>
          <w:szCs w:val="20"/>
          <w:lang w:eastAsia="es-CR"/>
        </w:rPr>
        <w:t>generar</w:t>
      </w:r>
      <w:r w:rsidR="00304B65" w:rsidRPr="00996758" w:rsidDel="00EB4F9E">
        <w:rPr>
          <w:rFonts w:ascii="Verdana" w:hAnsi="Verdana"/>
          <w:sz w:val="20"/>
          <w:szCs w:val="20"/>
          <w:lang w:eastAsia="es-CR"/>
        </w:rPr>
        <w:t xml:space="preserve"> hipót</w:t>
      </w:r>
      <w:r w:rsidR="00304B65" w:rsidRPr="00996758">
        <w:rPr>
          <w:rFonts w:ascii="Verdana" w:hAnsi="Verdana"/>
          <w:sz w:val="20"/>
          <w:szCs w:val="20"/>
          <w:lang w:eastAsia="es-CR"/>
        </w:rPr>
        <w:t xml:space="preserve">esis y líneas de investigación, según los contextos relevantes, para </w:t>
      </w:r>
      <w:r w:rsidRPr="00996758">
        <w:rPr>
          <w:rFonts w:ascii="Verdana" w:hAnsi="Verdana"/>
          <w:sz w:val="20"/>
          <w:szCs w:val="20"/>
          <w:lang w:eastAsia="es-CR"/>
        </w:rPr>
        <w:t>determinar</w:t>
      </w:r>
      <w:r w:rsidR="00304B65" w:rsidRPr="00996758">
        <w:rPr>
          <w:rFonts w:ascii="Verdana" w:hAnsi="Verdana"/>
          <w:sz w:val="20"/>
          <w:szCs w:val="20"/>
          <w:lang w:eastAsia="es-CR"/>
        </w:rPr>
        <w:t xml:space="preserve"> </w:t>
      </w:r>
      <w:r w:rsidRPr="00996758">
        <w:rPr>
          <w:rFonts w:ascii="Verdana" w:hAnsi="Verdana"/>
          <w:sz w:val="20"/>
          <w:szCs w:val="20"/>
          <w:lang w:eastAsia="es-CR"/>
        </w:rPr>
        <w:t xml:space="preserve">las personas que de diversas formas </w:t>
      </w:r>
      <w:r w:rsidR="00304B65" w:rsidRPr="00996758">
        <w:rPr>
          <w:rFonts w:ascii="Verdana" w:hAnsi="Verdana"/>
          <w:sz w:val="20"/>
          <w:szCs w:val="20"/>
          <w:lang w:eastAsia="es-CR"/>
        </w:rPr>
        <w:t xml:space="preserve">permitieron, diseñaron y ejecutaron intelectual y materialmente el hecho, los patrones de actuación conjunta y los beneficiarios del crimen, según </w:t>
      </w:r>
      <w:r w:rsidRPr="00996758">
        <w:rPr>
          <w:rFonts w:ascii="Verdana" w:hAnsi="Verdana"/>
          <w:sz w:val="20"/>
          <w:szCs w:val="20"/>
          <w:lang w:eastAsia="es-CR"/>
        </w:rPr>
        <w:t>sus correspondientes responsabilidades</w:t>
      </w:r>
      <w:r w:rsidRPr="00996758">
        <w:rPr>
          <w:rStyle w:val="FootnoteReference"/>
          <w:rFonts w:ascii="Verdana" w:hAnsi="Verdana"/>
          <w:sz w:val="20"/>
          <w:szCs w:val="20"/>
          <w:lang w:eastAsia="es-CR"/>
        </w:rPr>
        <w:footnoteReference w:id="152"/>
      </w:r>
      <w:r w:rsidRPr="00996758">
        <w:rPr>
          <w:rFonts w:ascii="Verdana" w:hAnsi="Verdana"/>
          <w:sz w:val="20"/>
          <w:szCs w:val="20"/>
          <w:lang w:eastAsia="es-CR"/>
        </w:rPr>
        <w:t>.</w:t>
      </w:r>
    </w:p>
    <w:p w:rsidR="00821FB9" w:rsidRPr="00996758" w:rsidRDefault="00821FB9" w:rsidP="00821FB9">
      <w:pPr>
        <w:pBdr>
          <w:top w:val="nil"/>
        </w:pBdr>
        <w:spacing w:after="0" w:line="240" w:lineRule="auto"/>
        <w:jc w:val="both"/>
        <w:rPr>
          <w:rFonts w:ascii="Verdana" w:hAnsi="Verdana"/>
          <w:sz w:val="20"/>
          <w:szCs w:val="20"/>
          <w:lang w:eastAsia="es-CR"/>
        </w:rPr>
      </w:pPr>
    </w:p>
    <w:p w:rsidR="00821FB9" w:rsidRPr="00996758" w:rsidRDefault="007B52FA" w:rsidP="00821FB9">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Lo anterior resulta aplicable al caso,</w:t>
      </w:r>
      <w:r w:rsidR="00304B65" w:rsidRPr="00996758">
        <w:rPr>
          <w:rFonts w:ascii="Verdana" w:hAnsi="Verdana"/>
          <w:sz w:val="20"/>
          <w:szCs w:val="20"/>
          <w:lang w:eastAsia="es-CR"/>
        </w:rPr>
        <w:t xml:space="preserve"> en </w:t>
      </w:r>
      <w:r w:rsidR="00501435" w:rsidRPr="00996758">
        <w:rPr>
          <w:rFonts w:ascii="Verdana" w:hAnsi="Verdana"/>
          <w:sz w:val="20"/>
          <w:szCs w:val="20"/>
          <w:lang w:eastAsia="es-CR"/>
        </w:rPr>
        <w:t>atención a</w:t>
      </w:r>
      <w:r w:rsidRPr="00996758">
        <w:rPr>
          <w:rFonts w:ascii="Verdana" w:hAnsi="Verdana"/>
          <w:sz w:val="20"/>
          <w:szCs w:val="20"/>
          <w:lang w:eastAsia="es-CR"/>
        </w:rPr>
        <w:t xml:space="preserve"> los contextos relevantes,</w:t>
      </w:r>
      <w:r w:rsidR="00304B65" w:rsidRPr="00996758">
        <w:rPr>
          <w:rFonts w:ascii="Verdana" w:hAnsi="Verdana"/>
          <w:sz w:val="20"/>
          <w:szCs w:val="20"/>
          <w:lang w:eastAsia="es-CR"/>
        </w:rPr>
        <w:t xml:space="preserve"> por lo cual</w:t>
      </w:r>
      <w:r w:rsidRPr="00996758">
        <w:rPr>
          <w:rFonts w:ascii="Verdana" w:hAnsi="Verdana"/>
          <w:sz w:val="20"/>
          <w:szCs w:val="20"/>
          <w:lang w:eastAsia="es-CR"/>
        </w:rPr>
        <w:t xml:space="preserve"> las aut</w:t>
      </w:r>
      <w:r w:rsidR="00304B65" w:rsidRPr="00996758">
        <w:rPr>
          <w:rFonts w:ascii="Verdana" w:hAnsi="Verdana"/>
          <w:sz w:val="20"/>
          <w:szCs w:val="20"/>
          <w:lang w:eastAsia="es-CR"/>
        </w:rPr>
        <w:t>oridades han debido investigar</w:t>
      </w:r>
      <w:r w:rsidRPr="00996758">
        <w:rPr>
          <w:rFonts w:ascii="Verdana" w:hAnsi="Verdana"/>
          <w:sz w:val="20"/>
          <w:szCs w:val="20"/>
          <w:lang w:eastAsia="es-CR"/>
        </w:rPr>
        <w:t xml:space="preserve"> diligentemente </w:t>
      </w:r>
      <w:r w:rsidR="00501435" w:rsidRPr="00996758">
        <w:rPr>
          <w:rFonts w:ascii="Verdana" w:hAnsi="Verdana"/>
          <w:sz w:val="20"/>
          <w:szCs w:val="20"/>
          <w:lang w:eastAsia="es-CR"/>
        </w:rPr>
        <w:t>para</w:t>
      </w:r>
      <w:r w:rsidRPr="00996758">
        <w:rPr>
          <w:rFonts w:ascii="Verdana" w:hAnsi="Verdana"/>
          <w:sz w:val="20"/>
          <w:szCs w:val="20"/>
          <w:lang w:eastAsia="es-CR"/>
        </w:rPr>
        <w:t xml:space="preserve"> develar posibles patrones de acción conjunta o estructuras criminales complejas.</w:t>
      </w:r>
      <w:r w:rsidR="00304B65" w:rsidRPr="00996758">
        <w:rPr>
          <w:rFonts w:ascii="Verdana" w:hAnsi="Verdana"/>
          <w:sz w:val="20"/>
          <w:szCs w:val="20"/>
          <w:lang w:eastAsia="es-CR"/>
        </w:rPr>
        <w:t xml:space="preserve"> </w:t>
      </w:r>
    </w:p>
    <w:p w:rsidR="00821FB9" w:rsidRPr="00996758" w:rsidRDefault="00821FB9" w:rsidP="00821FB9">
      <w:pPr>
        <w:pBdr>
          <w:top w:val="nil"/>
        </w:pBdr>
        <w:spacing w:after="0" w:line="240" w:lineRule="auto"/>
        <w:jc w:val="both"/>
        <w:rPr>
          <w:rFonts w:ascii="Verdana" w:hAnsi="Verdana"/>
          <w:sz w:val="20"/>
          <w:szCs w:val="20"/>
          <w:lang w:eastAsia="es-CR"/>
        </w:rPr>
      </w:pPr>
    </w:p>
    <w:p w:rsidR="00821FB9" w:rsidRPr="00996758" w:rsidRDefault="00821FB9" w:rsidP="00821FB9">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El Estado alegó que en este caso se indagó desde el inicio sobre el contexto sociopolítico de la zona en la época de los hechos; sobre los grupos armados presentes en la zona y su relación con poderes económicos y políticos; problemas de seguridad; posibles responsabilidades de agentes estatales; y violencia contra sindicalistas y militantes de la UP</w:t>
      </w:r>
      <w:r w:rsidR="008A7C54" w:rsidRPr="00996758">
        <w:rPr>
          <w:rFonts w:ascii="Verdana" w:hAnsi="Verdana"/>
          <w:sz w:val="20"/>
          <w:szCs w:val="20"/>
          <w:lang w:eastAsia="es-CR"/>
        </w:rPr>
        <w:t>.</w:t>
      </w:r>
      <w:r w:rsidRPr="00996758">
        <w:rPr>
          <w:rFonts w:ascii="Verdana" w:hAnsi="Verdana"/>
          <w:sz w:val="20"/>
          <w:szCs w:val="20"/>
          <w:lang w:eastAsia="es-CR"/>
        </w:rPr>
        <w:t xml:space="preserve"> Al respecto, el Tribunal hace notar que el Estado sustenta su alegato en informes de policía judicial del año 2016, emitidos luego de diligencias de inspección judicial y otros elementos probatorios ordenados o evacuados en el marco de la investigación de crímenes contra sindicalistas de SUTIMAC y miembros de la UP, de la cual no formaba parte el caso Isaza Uribe sino </w:t>
      </w:r>
      <w:r w:rsidR="00384134" w:rsidRPr="00996758">
        <w:rPr>
          <w:rFonts w:ascii="Verdana" w:hAnsi="Verdana"/>
          <w:sz w:val="20"/>
          <w:szCs w:val="20"/>
          <w:lang w:eastAsia="es-CR"/>
        </w:rPr>
        <w:t>a partir de</w:t>
      </w:r>
      <w:r w:rsidRPr="00996758">
        <w:rPr>
          <w:rFonts w:ascii="Verdana" w:hAnsi="Verdana"/>
          <w:sz w:val="20"/>
          <w:szCs w:val="20"/>
          <w:lang w:eastAsia="es-CR"/>
        </w:rPr>
        <w:t xml:space="preserve"> abril de 2016, cuando la investigación fue reasignada a la Fiscalía 91 (111) de Derechos Humanos de Medellín, </w:t>
      </w:r>
      <w:r w:rsidR="00384134" w:rsidRPr="00996758">
        <w:rPr>
          <w:rFonts w:ascii="Verdana" w:hAnsi="Verdana"/>
          <w:sz w:val="20"/>
          <w:szCs w:val="20"/>
          <w:lang w:eastAsia="es-CR"/>
        </w:rPr>
        <w:t xml:space="preserve">la </w:t>
      </w:r>
      <w:r w:rsidRPr="00996758">
        <w:rPr>
          <w:rFonts w:ascii="Verdana" w:hAnsi="Verdana"/>
          <w:sz w:val="20"/>
          <w:szCs w:val="20"/>
          <w:lang w:eastAsia="es-CR"/>
        </w:rPr>
        <w:t>que había solicitado su asignación por conexidad al proceso radicado bajo el número 9241 (</w:t>
      </w:r>
      <w:r w:rsidRPr="00996758">
        <w:rPr>
          <w:rFonts w:ascii="Verdana" w:hAnsi="Verdana"/>
          <w:i/>
          <w:sz w:val="20"/>
          <w:szCs w:val="20"/>
          <w:lang w:eastAsia="es-CR"/>
        </w:rPr>
        <w:t xml:space="preserve">supra </w:t>
      </w:r>
      <w:r w:rsidR="00A921B4" w:rsidRPr="00996758">
        <w:rPr>
          <w:rFonts w:ascii="Verdana" w:hAnsi="Verdana"/>
          <w:sz w:val="20"/>
          <w:szCs w:val="20"/>
          <w:lang w:eastAsia="es-CR"/>
        </w:rPr>
        <w:t>párrs. 61 y 140</w:t>
      </w:r>
      <w:r w:rsidRPr="00996758">
        <w:rPr>
          <w:rFonts w:ascii="Verdana" w:hAnsi="Verdana"/>
          <w:sz w:val="20"/>
          <w:szCs w:val="20"/>
          <w:lang w:eastAsia="es-CR"/>
        </w:rPr>
        <w:t>).</w:t>
      </w:r>
    </w:p>
    <w:p w:rsidR="00821FB9" w:rsidRPr="00996758" w:rsidRDefault="00821FB9" w:rsidP="00821FB9">
      <w:pPr>
        <w:pBdr>
          <w:top w:val="nil"/>
        </w:pBdr>
        <w:spacing w:after="0" w:line="240" w:lineRule="auto"/>
        <w:jc w:val="both"/>
        <w:rPr>
          <w:rFonts w:ascii="Verdana" w:hAnsi="Verdana"/>
          <w:sz w:val="20"/>
          <w:szCs w:val="20"/>
          <w:lang w:eastAsia="es-CR"/>
        </w:rPr>
      </w:pPr>
    </w:p>
    <w:p w:rsidR="0017736C" w:rsidRPr="00996758" w:rsidRDefault="0017736C" w:rsidP="007B52FA">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L</w:t>
      </w:r>
      <w:r w:rsidR="007B52FA" w:rsidRPr="00996758">
        <w:rPr>
          <w:rFonts w:ascii="Verdana" w:hAnsi="Verdana"/>
          <w:sz w:val="20"/>
          <w:szCs w:val="20"/>
          <w:lang w:eastAsia="es-CR"/>
        </w:rPr>
        <w:t xml:space="preserve">as actuaciones de los jueces de instrucción criminal y de las fiscalías que conocieron </w:t>
      </w:r>
      <w:r w:rsidR="00304B65" w:rsidRPr="00996758">
        <w:rPr>
          <w:rFonts w:ascii="Verdana" w:hAnsi="Verdana"/>
          <w:sz w:val="20"/>
          <w:szCs w:val="20"/>
          <w:lang w:eastAsia="es-CR"/>
        </w:rPr>
        <w:t xml:space="preserve">inicialmente </w:t>
      </w:r>
      <w:r w:rsidR="007B52FA" w:rsidRPr="00996758">
        <w:rPr>
          <w:rFonts w:ascii="Verdana" w:hAnsi="Verdana"/>
          <w:sz w:val="20"/>
          <w:szCs w:val="20"/>
          <w:lang w:eastAsia="es-CR"/>
        </w:rPr>
        <w:t xml:space="preserve">el caso no </w:t>
      </w:r>
      <w:r w:rsidRPr="00996758">
        <w:rPr>
          <w:rFonts w:ascii="Verdana" w:hAnsi="Verdana"/>
          <w:sz w:val="20"/>
          <w:szCs w:val="20"/>
          <w:lang w:eastAsia="es-CR"/>
        </w:rPr>
        <w:t>fueron</w:t>
      </w:r>
      <w:r w:rsidR="007B52FA" w:rsidRPr="00996758">
        <w:rPr>
          <w:rFonts w:ascii="Verdana" w:hAnsi="Verdana"/>
          <w:sz w:val="20"/>
          <w:szCs w:val="20"/>
          <w:lang w:eastAsia="es-CR"/>
        </w:rPr>
        <w:t xml:space="preserve"> exhaustivas: </w:t>
      </w:r>
      <w:r w:rsidR="00304B65" w:rsidRPr="00996758">
        <w:rPr>
          <w:rFonts w:ascii="Verdana" w:hAnsi="Verdana"/>
          <w:sz w:val="20"/>
          <w:szCs w:val="20"/>
          <w:lang w:eastAsia="es-CR"/>
        </w:rPr>
        <w:t xml:space="preserve">además de </w:t>
      </w:r>
      <w:r w:rsidR="002D6F5D" w:rsidRPr="00996758">
        <w:rPr>
          <w:rFonts w:ascii="Verdana" w:hAnsi="Verdana"/>
          <w:sz w:val="20"/>
          <w:szCs w:val="20"/>
          <w:lang w:eastAsia="es-CR"/>
        </w:rPr>
        <w:t>que no constan</w:t>
      </w:r>
      <w:r w:rsidR="007B52FA" w:rsidRPr="00996758">
        <w:rPr>
          <w:rFonts w:ascii="Verdana" w:hAnsi="Verdana"/>
          <w:sz w:val="20"/>
          <w:szCs w:val="20"/>
          <w:lang w:eastAsia="es-CR"/>
        </w:rPr>
        <w:t xml:space="preserve"> diligencias dirigidas a corroborar o descartar la hipótesis de participación de miembros de las FARC</w:t>
      </w:r>
      <w:r w:rsidR="007B52FA" w:rsidRPr="00996758">
        <w:rPr>
          <w:rStyle w:val="FootnoteReference"/>
          <w:rFonts w:ascii="Verdana" w:hAnsi="Verdana"/>
          <w:sz w:val="20"/>
          <w:szCs w:val="20"/>
          <w:lang w:eastAsia="es-CR"/>
        </w:rPr>
        <w:footnoteReference w:id="153"/>
      </w:r>
      <w:r w:rsidR="007B52FA" w:rsidRPr="00996758">
        <w:rPr>
          <w:rFonts w:ascii="Verdana" w:hAnsi="Verdana"/>
          <w:sz w:val="20"/>
          <w:szCs w:val="20"/>
          <w:lang w:eastAsia="es-CR"/>
        </w:rPr>
        <w:t xml:space="preserve">; no consta que se haya determinado el posible vínculo de los hechos con las otras personas que fueron sustraídas de la cárcel ese día; la relevancia de la ubicación y presencia </w:t>
      </w:r>
      <w:r w:rsidR="00304B65" w:rsidRPr="00996758">
        <w:rPr>
          <w:rFonts w:ascii="Verdana" w:hAnsi="Verdana"/>
          <w:sz w:val="20"/>
          <w:szCs w:val="20"/>
          <w:lang w:eastAsia="es-CR"/>
        </w:rPr>
        <w:t xml:space="preserve">de las unidades militares y de policía destacados en la zona; </w:t>
      </w:r>
      <w:r w:rsidR="002D6F5D" w:rsidRPr="00996758">
        <w:rPr>
          <w:rFonts w:ascii="Verdana" w:hAnsi="Verdana"/>
          <w:sz w:val="20"/>
          <w:szCs w:val="20"/>
          <w:lang w:eastAsia="es-CR"/>
        </w:rPr>
        <w:t xml:space="preserve">o </w:t>
      </w:r>
      <w:r w:rsidR="007B52FA" w:rsidRPr="00996758">
        <w:rPr>
          <w:rFonts w:ascii="Verdana" w:hAnsi="Verdana"/>
          <w:sz w:val="20"/>
          <w:szCs w:val="20"/>
          <w:lang w:eastAsia="es-CR"/>
        </w:rPr>
        <w:t>posi</w:t>
      </w:r>
      <w:r w:rsidR="00304B65" w:rsidRPr="00996758">
        <w:rPr>
          <w:rFonts w:ascii="Verdana" w:hAnsi="Verdana"/>
          <w:sz w:val="20"/>
          <w:szCs w:val="20"/>
          <w:lang w:eastAsia="es-CR"/>
        </w:rPr>
        <w:t>bles acciones u omisiones de éstos o de los guardianes de la cárcel. Tampoco</w:t>
      </w:r>
      <w:r w:rsidR="007B52FA" w:rsidRPr="00996758">
        <w:rPr>
          <w:rFonts w:ascii="Verdana" w:hAnsi="Verdana"/>
          <w:sz w:val="20"/>
          <w:szCs w:val="20"/>
          <w:lang w:eastAsia="es-CR"/>
        </w:rPr>
        <w:t xml:space="preserve"> se profund</w:t>
      </w:r>
      <w:r w:rsidR="00304B65" w:rsidRPr="00996758">
        <w:rPr>
          <w:rFonts w:ascii="Verdana" w:hAnsi="Verdana"/>
          <w:sz w:val="20"/>
          <w:szCs w:val="20"/>
          <w:lang w:eastAsia="es-CR"/>
        </w:rPr>
        <w:t>izó en la búsqueda de testigos, ni</w:t>
      </w:r>
      <w:r w:rsidR="007B52FA" w:rsidRPr="00996758">
        <w:rPr>
          <w:rFonts w:ascii="Verdana" w:hAnsi="Verdana"/>
          <w:sz w:val="20"/>
          <w:szCs w:val="20"/>
          <w:lang w:eastAsia="es-CR"/>
        </w:rPr>
        <w:t xml:space="preserve"> se tomaron acciones, </w:t>
      </w:r>
      <w:r w:rsidR="007B52FA" w:rsidRPr="00996758">
        <w:rPr>
          <w:rFonts w:ascii="Verdana" w:hAnsi="Verdana" w:cs="Verdana"/>
          <w:bCs/>
          <w:sz w:val="20"/>
          <w:szCs w:val="20"/>
        </w:rPr>
        <w:t xml:space="preserve">por parte de la Procuraduría o la Fiscalía, </w:t>
      </w:r>
      <w:r w:rsidR="007B52FA" w:rsidRPr="00996758">
        <w:rPr>
          <w:rFonts w:ascii="Verdana" w:hAnsi="Verdana"/>
          <w:sz w:val="20"/>
          <w:szCs w:val="20"/>
          <w:lang w:eastAsia="es-CR"/>
        </w:rPr>
        <w:t xml:space="preserve">para investigar el temor manifestado por testigos </w:t>
      </w:r>
      <w:r w:rsidR="008A7C54" w:rsidRPr="00996758">
        <w:rPr>
          <w:rFonts w:ascii="Verdana" w:hAnsi="Verdana"/>
          <w:sz w:val="20"/>
          <w:szCs w:val="20"/>
          <w:lang w:eastAsia="es-CR"/>
        </w:rPr>
        <w:t>par</w:t>
      </w:r>
      <w:r w:rsidR="007B52FA" w:rsidRPr="00996758">
        <w:rPr>
          <w:rFonts w:ascii="Verdana" w:hAnsi="Verdana"/>
          <w:sz w:val="20"/>
          <w:szCs w:val="20"/>
          <w:lang w:eastAsia="es-CR"/>
        </w:rPr>
        <w:t>a declarar</w:t>
      </w:r>
      <w:r w:rsidR="007B52FA" w:rsidRPr="00996758">
        <w:rPr>
          <w:rStyle w:val="FootnoteReference"/>
          <w:rFonts w:ascii="Verdana" w:hAnsi="Verdana"/>
          <w:sz w:val="20"/>
          <w:szCs w:val="20"/>
          <w:lang w:eastAsia="es-CR"/>
        </w:rPr>
        <w:footnoteReference w:id="154"/>
      </w:r>
      <w:r w:rsidR="007B52FA" w:rsidRPr="00996758">
        <w:rPr>
          <w:rFonts w:ascii="Verdana" w:hAnsi="Verdana"/>
          <w:sz w:val="20"/>
          <w:szCs w:val="20"/>
          <w:lang w:eastAsia="es-CR"/>
        </w:rPr>
        <w:t xml:space="preserve"> y eventualmente disponer medidas de protección a su favor para favorecer la investigación</w:t>
      </w:r>
      <w:r w:rsidR="007B52FA" w:rsidRPr="00996758">
        <w:rPr>
          <w:rStyle w:val="FootnoteReference"/>
          <w:rFonts w:ascii="Verdana" w:hAnsi="Verdana"/>
          <w:sz w:val="20"/>
          <w:szCs w:val="20"/>
          <w:lang w:eastAsia="es-CR"/>
        </w:rPr>
        <w:footnoteReference w:id="155"/>
      </w:r>
      <w:r w:rsidR="00821FB9" w:rsidRPr="00996758">
        <w:rPr>
          <w:rFonts w:ascii="Verdana" w:hAnsi="Verdana"/>
          <w:sz w:val="20"/>
          <w:szCs w:val="20"/>
          <w:lang w:eastAsia="es-CR"/>
        </w:rPr>
        <w:t xml:space="preserve">. </w:t>
      </w:r>
    </w:p>
    <w:p w:rsidR="0017736C" w:rsidRPr="00996758" w:rsidRDefault="0017736C" w:rsidP="0017736C">
      <w:pPr>
        <w:pBdr>
          <w:top w:val="nil"/>
        </w:pBdr>
        <w:spacing w:after="0" w:line="240" w:lineRule="auto"/>
        <w:jc w:val="both"/>
        <w:rPr>
          <w:rFonts w:ascii="Verdana" w:hAnsi="Verdana"/>
          <w:sz w:val="20"/>
          <w:szCs w:val="20"/>
        </w:rPr>
      </w:pPr>
    </w:p>
    <w:p w:rsidR="007B52FA" w:rsidRPr="00996758" w:rsidRDefault="0017736C" w:rsidP="007B52FA">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Por otro lado, </w:t>
      </w:r>
      <w:r w:rsidR="00384134" w:rsidRPr="00996758">
        <w:rPr>
          <w:rFonts w:ascii="Verdana" w:hAnsi="Verdana"/>
          <w:sz w:val="20"/>
          <w:szCs w:val="20"/>
          <w:lang w:eastAsia="es-CR"/>
        </w:rPr>
        <w:t>ha sido también constatada la falta de efectividad de la indagación preliminar de la Procuraduría (</w:t>
      </w:r>
      <w:r w:rsidR="00384134" w:rsidRPr="00996758">
        <w:rPr>
          <w:rFonts w:ascii="Verdana" w:hAnsi="Verdana"/>
          <w:i/>
          <w:sz w:val="20"/>
          <w:szCs w:val="20"/>
          <w:lang w:eastAsia="es-CR"/>
        </w:rPr>
        <w:t xml:space="preserve">supra </w:t>
      </w:r>
      <w:r w:rsidR="00B11575" w:rsidRPr="00996758">
        <w:rPr>
          <w:rFonts w:ascii="Verdana" w:hAnsi="Verdana"/>
          <w:sz w:val="20"/>
          <w:szCs w:val="20"/>
          <w:lang w:eastAsia="es-CR"/>
        </w:rPr>
        <w:t>párrs. 102, 107 y 119</w:t>
      </w:r>
      <w:r w:rsidR="00384134" w:rsidRPr="00996758">
        <w:rPr>
          <w:rFonts w:ascii="Verdana" w:hAnsi="Verdana"/>
          <w:sz w:val="20"/>
          <w:szCs w:val="20"/>
          <w:lang w:eastAsia="es-CR"/>
        </w:rPr>
        <w:t>)</w:t>
      </w:r>
      <w:r w:rsidR="000129C0" w:rsidRPr="00996758">
        <w:rPr>
          <w:rFonts w:ascii="Verdana" w:hAnsi="Verdana"/>
          <w:sz w:val="20"/>
          <w:szCs w:val="20"/>
          <w:lang w:eastAsia="es-CR"/>
        </w:rPr>
        <w:t>. Además,</w:t>
      </w:r>
      <w:r w:rsidR="00384134" w:rsidRPr="00996758">
        <w:rPr>
          <w:rFonts w:ascii="Verdana" w:hAnsi="Verdana"/>
          <w:sz w:val="20"/>
          <w:szCs w:val="20"/>
          <w:lang w:eastAsia="es-CR"/>
        </w:rPr>
        <w:t xml:space="preserve"> </w:t>
      </w:r>
      <w:r w:rsidR="007B52FA" w:rsidRPr="00996758">
        <w:rPr>
          <w:rFonts w:ascii="Verdana" w:hAnsi="Verdana"/>
          <w:sz w:val="20"/>
          <w:szCs w:val="20"/>
          <w:lang w:eastAsia="es-CR"/>
        </w:rPr>
        <w:t>el Estado info</w:t>
      </w:r>
      <w:r w:rsidR="002D6F5D" w:rsidRPr="00996758">
        <w:rPr>
          <w:rFonts w:ascii="Verdana" w:hAnsi="Verdana"/>
          <w:sz w:val="20"/>
          <w:szCs w:val="20"/>
          <w:lang w:eastAsia="es-CR"/>
        </w:rPr>
        <w:t xml:space="preserve">rmó que en la Policía Nacional </w:t>
      </w:r>
      <w:r w:rsidR="008A7C54" w:rsidRPr="00996758">
        <w:rPr>
          <w:rFonts w:ascii="Verdana" w:hAnsi="Verdana"/>
          <w:sz w:val="20"/>
          <w:szCs w:val="20"/>
          <w:lang w:eastAsia="es-CR"/>
        </w:rPr>
        <w:t>de Antioquia</w:t>
      </w:r>
      <w:r w:rsidR="007B52FA" w:rsidRPr="00996758">
        <w:rPr>
          <w:rFonts w:ascii="Verdana" w:hAnsi="Verdana"/>
          <w:sz w:val="20"/>
          <w:szCs w:val="20"/>
          <w:lang w:eastAsia="es-CR"/>
        </w:rPr>
        <w:t xml:space="preserve"> no consta que se hayan iniciado investigaciones administrativas por los hechos; que las Direcciones de Operaciones Navales y de Investigaciones Disciplinarias de la Armada Nacional no tenían información sobre alguna acción de búsqueda o investigación; y que, según el Ejército Nacional, en el Comando del Batallón de Infantería No. 3 “Bárbula” no existe investigación disciplinaria </w:t>
      </w:r>
      <w:r w:rsidR="00384134" w:rsidRPr="00996758">
        <w:rPr>
          <w:rFonts w:ascii="Verdana" w:hAnsi="Verdana"/>
          <w:sz w:val="20"/>
          <w:szCs w:val="20"/>
          <w:lang w:eastAsia="es-CR"/>
        </w:rPr>
        <w:t>alguna respecto de</w:t>
      </w:r>
      <w:r w:rsidR="007B52FA" w:rsidRPr="00996758">
        <w:rPr>
          <w:rFonts w:ascii="Verdana" w:hAnsi="Verdana"/>
          <w:sz w:val="20"/>
          <w:szCs w:val="20"/>
          <w:lang w:eastAsia="es-CR"/>
        </w:rPr>
        <w:t xml:space="preserve"> los hechos de este caso.</w:t>
      </w:r>
    </w:p>
    <w:p w:rsidR="007B52FA" w:rsidRPr="00996758" w:rsidRDefault="007B52FA" w:rsidP="007B52FA">
      <w:pPr>
        <w:pBdr>
          <w:top w:val="nil"/>
        </w:pBdr>
        <w:spacing w:after="0" w:line="240" w:lineRule="auto"/>
        <w:jc w:val="both"/>
        <w:rPr>
          <w:rFonts w:ascii="Verdana" w:hAnsi="Verdana"/>
          <w:sz w:val="20"/>
          <w:szCs w:val="20"/>
          <w:lang w:eastAsia="es-CR"/>
        </w:rPr>
      </w:pPr>
    </w:p>
    <w:p w:rsidR="007B52FA" w:rsidRPr="00996758" w:rsidRDefault="007B52FA" w:rsidP="007B52FA">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De este modo, es evidente que el Estado ha comenzado a cumplir muy tardíamente con su deber de debida diligencia en las investigaciones de la desaparición del señor Isaza Uribe, particularmente en explorar líneas de investigación lógicas y necesarias que pudieron y debieron surgir desde el inicio, tomando en cuenta los contextos relevantes y dirigidas a desentrañar las estructuras que la </w:t>
      </w:r>
      <w:r w:rsidRPr="00996758">
        <w:rPr>
          <w:rFonts w:ascii="Verdana" w:hAnsi="Verdana"/>
          <w:sz w:val="20"/>
          <w:szCs w:val="20"/>
        </w:rPr>
        <w:t>permitieron</w:t>
      </w:r>
      <w:r w:rsidRPr="00996758">
        <w:rPr>
          <w:rFonts w:ascii="Verdana" w:hAnsi="Verdana"/>
          <w:sz w:val="20"/>
          <w:szCs w:val="20"/>
          <w:lang w:eastAsia="es-CR"/>
        </w:rPr>
        <w:t xml:space="preserve">. </w:t>
      </w:r>
    </w:p>
    <w:p w:rsidR="00A7198A" w:rsidRPr="00996758" w:rsidRDefault="00A7198A" w:rsidP="00610E17">
      <w:pPr>
        <w:pBdr>
          <w:top w:val="nil"/>
        </w:pBdr>
        <w:spacing w:after="0" w:line="240" w:lineRule="auto"/>
        <w:jc w:val="both"/>
        <w:rPr>
          <w:rFonts w:ascii="Verdana" w:hAnsi="Verdana"/>
          <w:sz w:val="20"/>
          <w:szCs w:val="20"/>
        </w:rPr>
      </w:pPr>
    </w:p>
    <w:p w:rsidR="00A7198A" w:rsidRPr="00996758" w:rsidRDefault="00385A1D" w:rsidP="00EC6D2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lang w:bidi="en-US"/>
        </w:rPr>
      </w:pPr>
      <w:r w:rsidRPr="00996758">
        <w:rPr>
          <w:rFonts w:ascii="Verdana" w:hAnsi="Verdana"/>
          <w:sz w:val="20"/>
          <w:szCs w:val="20"/>
        </w:rPr>
        <w:lastRenderedPageBreak/>
        <w:t>Por otro lado, e</w:t>
      </w:r>
      <w:r w:rsidR="00610E17" w:rsidRPr="00996758">
        <w:rPr>
          <w:rFonts w:ascii="Verdana" w:hAnsi="Verdana"/>
          <w:sz w:val="20"/>
          <w:szCs w:val="20"/>
        </w:rPr>
        <w:t>ste Tribunal ha considerado que toda persona, incluyendo los familiares de las víctimas de graves violaciones</w:t>
      </w:r>
      <w:r w:rsidR="00610E17" w:rsidRPr="00996758">
        <w:rPr>
          <w:rFonts w:ascii="Verdana" w:hAnsi="Verdana"/>
          <w:spacing w:val="-2"/>
          <w:sz w:val="20"/>
          <w:szCs w:val="20"/>
        </w:rPr>
        <w:t xml:space="preserve"> a derechos humanos, tiene el derecho a conocer la verdad. En consecuencia, los familiares de las víctimas y la sociedad deben ser informados de todo lo sucedido con relación a dichas violaciones</w:t>
      </w:r>
      <w:r w:rsidR="00610E17" w:rsidRPr="00996758">
        <w:rPr>
          <w:rFonts w:ascii="Verdana" w:hAnsi="Verdana"/>
          <w:spacing w:val="-2"/>
          <w:sz w:val="20"/>
          <w:szCs w:val="20"/>
          <w:vertAlign w:val="superscript"/>
        </w:rPr>
        <w:footnoteReference w:id="156"/>
      </w:r>
      <w:r w:rsidR="00610E17" w:rsidRPr="00996758">
        <w:rPr>
          <w:rFonts w:ascii="Verdana" w:hAnsi="Verdana"/>
          <w:spacing w:val="-2"/>
          <w:sz w:val="20"/>
          <w:szCs w:val="20"/>
        </w:rPr>
        <w:t xml:space="preserve">. La Corte Interamericana ha </w:t>
      </w:r>
      <w:r w:rsidR="00AF2E58" w:rsidRPr="00996758">
        <w:rPr>
          <w:rFonts w:ascii="Verdana" w:hAnsi="Verdana"/>
          <w:spacing w:val="-2"/>
          <w:sz w:val="20"/>
          <w:szCs w:val="20"/>
        </w:rPr>
        <w:t>desarrollado</w:t>
      </w:r>
      <w:r w:rsidR="00610E17" w:rsidRPr="00996758">
        <w:rPr>
          <w:rFonts w:ascii="Verdana" w:hAnsi="Verdana"/>
          <w:spacing w:val="-2"/>
          <w:sz w:val="20"/>
          <w:szCs w:val="20"/>
        </w:rPr>
        <w:t xml:space="preserve"> el contenido del derecho a conocer la verdad en su jurisprudencia, en particular en casos de desaparición forzada. Así, desde el </w:t>
      </w:r>
      <w:r w:rsidR="00610E17" w:rsidRPr="00996758">
        <w:rPr>
          <w:rFonts w:ascii="Verdana" w:hAnsi="Verdana"/>
          <w:i/>
          <w:spacing w:val="-2"/>
          <w:sz w:val="20"/>
          <w:szCs w:val="20"/>
        </w:rPr>
        <w:t>caso Velásquez Rodríguez</w:t>
      </w:r>
      <w:r w:rsidR="00610E17" w:rsidRPr="00996758">
        <w:rPr>
          <w:rFonts w:ascii="Verdana" w:hAnsi="Verdana"/>
          <w:spacing w:val="-2"/>
          <w:sz w:val="20"/>
          <w:szCs w:val="20"/>
        </w:rPr>
        <w:t xml:space="preserve"> el Tribunal afirmó la existencia de un</w:t>
      </w:r>
      <w:r w:rsidR="00610E17" w:rsidRPr="00996758">
        <w:rPr>
          <w:rFonts w:ascii="Verdana" w:hAnsi="Verdana"/>
          <w:spacing w:val="-2"/>
          <w:sz w:val="20"/>
          <w:szCs w:val="20"/>
          <w:lang w:bidi="en-US"/>
        </w:rPr>
        <w:t xml:space="preserve"> “derecho de los familiares de la víctima de conocer cuál fue el destino de ésta y, en su caso, dónde se encuentran sus restos”</w:t>
      </w:r>
      <w:r w:rsidR="00610E17" w:rsidRPr="00996758">
        <w:rPr>
          <w:rStyle w:val="FootnoteReference"/>
          <w:rFonts w:ascii="Verdana" w:hAnsi="Verdana"/>
          <w:spacing w:val="-2"/>
          <w:sz w:val="20"/>
          <w:szCs w:val="20"/>
        </w:rPr>
        <w:footnoteReference w:id="157"/>
      </w:r>
      <w:r w:rsidR="00610E17" w:rsidRPr="00996758">
        <w:rPr>
          <w:rFonts w:ascii="Verdana" w:hAnsi="Verdana"/>
          <w:spacing w:val="-2"/>
          <w:sz w:val="20"/>
          <w:szCs w:val="20"/>
          <w:lang w:bidi="en-US"/>
        </w:rPr>
        <w:t>. Posteriormente, en</w:t>
      </w:r>
      <w:r w:rsidR="00610E17" w:rsidRPr="00996758">
        <w:rPr>
          <w:rFonts w:ascii="Verdana" w:hAnsi="Verdana"/>
          <w:sz w:val="20"/>
          <w:szCs w:val="20"/>
        </w:rPr>
        <w:t xml:space="preserve"> </w:t>
      </w:r>
      <w:r w:rsidR="00610E17" w:rsidRPr="00996758">
        <w:rPr>
          <w:rFonts w:ascii="Verdana" w:hAnsi="Verdana"/>
          <w:spacing w:val="-2"/>
          <w:sz w:val="20"/>
          <w:szCs w:val="20"/>
        </w:rPr>
        <w:t>distintos</w:t>
      </w:r>
      <w:r w:rsidR="00610E17" w:rsidRPr="00996758">
        <w:rPr>
          <w:rFonts w:ascii="Verdana" w:hAnsi="Verdana"/>
          <w:sz w:val="20"/>
          <w:szCs w:val="20"/>
        </w:rPr>
        <w:t xml:space="preserve"> casos la Corte ha </w:t>
      </w:r>
      <w:r w:rsidR="00AF2E58" w:rsidRPr="00996758">
        <w:rPr>
          <w:rFonts w:ascii="Verdana" w:hAnsi="Verdana"/>
          <w:sz w:val="20"/>
          <w:szCs w:val="20"/>
        </w:rPr>
        <w:t>señalado</w:t>
      </w:r>
      <w:r w:rsidR="00610E17" w:rsidRPr="00996758">
        <w:rPr>
          <w:rFonts w:ascii="Verdana" w:hAnsi="Verdana"/>
          <w:sz w:val="20"/>
          <w:szCs w:val="20"/>
        </w:rPr>
        <w:t xml:space="preserve"> que </w:t>
      </w:r>
      <w:r w:rsidR="00103EC8" w:rsidRPr="00996758">
        <w:rPr>
          <w:rFonts w:ascii="Verdana" w:hAnsi="Verdana"/>
          <w:sz w:val="20"/>
          <w:szCs w:val="20"/>
        </w:rPr>
        <w:t>tal</w:t>
      </w:r>
      <w:r w:rsidR="00610E17" w:rsidRPr="00996758">
        <w:rPr>
          <w:rFonts w:ascii="Verdana" w:hAnsi="Verdana"/>
          <w:sz w:val="20"/>
          <w:szCs w:val="20"/>
        </w:rPr>
        <w:t xml:space="preserve"> derecho “se encuentra subsumido en el derecho de la víctima o de sus familiares a obtener de los órganos competentes del Estado el esclarecimiento de los hechos violatorios y las responsabilidades correspondientes, a través de la investigación y el juzgamiento que previenen los artículos 8 y 25.1 de la Convención”</w:t>
      </w:r>
      <w:r w:rsidR="00610E17" w:rsidRPr="00996758">
        <w:rPr>
          <w:rStyle w:val="FootnoteReference"/>
          <w:rFonts w:ascii="Verdana" w:hAnsi="Verdana"/>
          <w:sz w:val="20"/>
          <w:szCs w:val="20"/>
        </w:rPr>
        <w:footnoteReference w:id="158"/>
      </w:r>
      <w:r w:rsidR="00610E17" w:rsidRPr="00996758">
        <w:rPr>
          <w:rFonts w:ascii="Verdana" w:hAnsi="Verdana"/>
          <w:sz w:val="20"/>
          <w:szCs w:val="20"/>
        </w:rPr>
        <w:t xml:space="preserve">. </w:t>
      </w:r>
      <w:r w:rsidRPr="00996758">
        <w:rPr>
          <w:rFonts w:ascii="Verdana" w:hAnsi="Verdana"/>
          <w:sz w:val="20"/>
          <w:szCs w:val="20"/>
        </w:rPr>
        <w:t xml:space="preserve">En otros casos, el Tribunal </w:t>
      </w:r>
      <w:r w:rsidR="00610E17" w:rsidRPr="00996758">
        <w:rPr>
          <w:rFonts w:ascii="Verdana" w:hAnsi="Verdana"/>
          <w:sz w:val="20"/>
          <w:szCs w:val="20"/>
        </w:rPr>
        <w:t>ha realizado consideraciones adicionales y específicas aplicables al caso</w:t>
      </w:r>
      <w:r w:rsidR="00AF2E58" w:rsidRPr="00996758">
        <w:rPr>
          <w:rFonts w:ascii="Verdana" w:hAnsi="Verdana"/>
          <w:sz w:val="20"/>
          <w:szCs w:val="20"/>
        </w:rPr>
        <w:t xml:space="preserve"> concreto sobre la violación de este</w:t>
      </w:r>
      <w:r w:rsidR="00610E17" w:rsidRPr="00996758">
        <w:rPr>
          <w:rFonts w:ascii="Verdana" w:hAnsi="Verdana"/>
          <w:sz w:val="20"/>
          <w:szCs w:val="20"/>
        </w:rPr>
        <w:t xml:space="preserve"> derecho</w:t>
      </w:r>
      <w:r w:rsidR="00610E17" w:rsidRPr="00996758">
        <w:rPr>
          <w:rStyle w:val="FootnoteReference"/>
          <w:rFonts w:ascii="Verdana" w:hAnsi="Verdana"/>
          <w:sz w:val="20"/>
          <w:szCs w:val="20"/>
        </w:rPr>
        <w:footnoteReference w:id="159"/>
      </w:r>
      <w:r w:rsidRPr="00996758">
        <w:rPr>
          <w:rFonts w:ascii="Verdana" w:hAnsi="Verdana"/>
          <w:sz w:val="20"/>
          <w:szCs w:val="20"/>
        </w:rPr>
        <w:t xml:space="preserve"> y</w:t>
      </w:r>
      <w:r w:rsidR="00610E17" w:rsidRPr="00996758">
        <w:rPr>
          <w:rFonts w:ascii="Verdana" w:hAnsi="Verdana"/>
          <w:spacing w:val="-2"/>
          <w:sz w:val="20"/>
          <w:szCs w:val="20"/>
          <w:lang w:bidi="en-US"/>
        </w:rPr>
        <w:t xml:space="preserve"> ha </w:t>
      </w:r>
      <w:r w:rsidR="00AF2E58" w:rsidRPr="00996758">
        <w:rPr>
          <w:rFonts w:ascii="Verdana" w:hAnsi="Verdana"/>
          <w:spacing w:val="-2"/>
          <w:sz w:val="20"/>
          <w:szCs w:val="20"/>
          <w:lang w:bidi="en-US"/>
        </w:rPr>
        <w:t>estimado que</w:t>
      </w:r>
      <w:r w:rsidR="008142B8" w:rsidRPr="00996758">
        <w:rPr>
          <w:rFonts w:ascii="Verdana" w:hAnsi="Verdana"/>
          <w:spacing w:val="-2"/>
          <w:sz w:val="20"/>
          <w:szCs w:val="20"/>
          <w:lang w:bidi="en-US"/>
        </w:rPr>
        <w:t>,</w:t>
      </w:r>
      <w:r w:rsidR="00610E17" w:rsidRPr="00996758">
        <w:rPr>
          <w:rFonts w:ascii="Verdana" w:hAnsi="Verdana"/>
          <w:spacing w:val="-2"/>
          <w:sz w:val="20"/>
          <w:szCs w:val="20"/>
          <w:lang w:bidi="en-US"/>
        </w:rPr>
        <w:t xml:space="preserve"> </w:t>
      </w:r>
      <w:r w:rsidR="008142B8" w:rsidRPr="00996758">
        <w:rPr>
          <w:rFonts w:ascii="Verdana" w:hAnsi="Verdana"/>
          <w:spacing w:val="-2"/>
          <w:sz w:val="20"/>
          <w:szCs w:val="20"/>
          <w:lang w:bidi="en-US"/>
        </w:rPr>
        <w:t xml:space="preserve">ante la necesidad de remediar esa violación, </w:t>
      </w:r>
      <w:r w:rsidR="00610E17" w:rsidRPr="00996758">
        <w:rPr>
          <w:rFonts w:ascii="Verdana" w:hAnsi="Verdana"/>
          <w:spacing w:val="-2"/>
          <w:sz w:val="20"/>
          <w:szCs w:val="20"/>
          <w:lang w:bidi="en-US"/>
        </w:rPr>
        <w:t xml:space="preserve">la obligación de investigar </w:t>
      </w:r>
      <w:r w:rsidR="00AF2E58" w:rsidRPr="00996758">
        <w:rPr>
          <w:rFonts w:ascii="Verdana" w:hAnsi="Verdana"/>
          <w:spacing w:val="-2"/>
          <w:sz w:val="20"/>
          <w:szCs w:val="20"/>
          <w:lang w:bidi="en-US"/>
        </w:rPr>
        <w:t>es</w:t>
      </w:r>
      <w:r w:rsidR="008142B8" w:rsidRPr="00996758">
        <w:rPr>
          <w:rFonts w:ascii="Verdana" w:hAnsi="Verdana"/>
          <w:spacing w:val="-2"/>
          <w:sz w:val="20"/>
          <w:szCs w:val="20"/>
          <w:lang w:bidi="en-US"/>
        </w:rPr>
        <w:t xml:space="preserve"> una forma de reparación</w:t>
      </w:r>
      <w:r w:rsidR="00610E17" w:rsidRPr="00996758">
        <w:rPr>
          <w:rFonts w:ascii="Verdana" w:hAnsi="Verdana"/>
          <w:spacing w:val="-2"/>
          <w:sz w:val="20"/>
          <w:szCs w:val="20"/>
          <w:lang w:bidi="en-US"/>
        </w:rPr>
        <w:t>.</w:t>
      </w:r>
      <w:r w:rsidRPr="00996758">
        <w:rPr>
          <w:rFonts w:ascii="Verdana" w:hAnsi="Verdana"/>
          <w:spacing w:val="-2"/>
          <w:sz w:val="20"/>
          <w:szCs w:val="20"/>
          <w:lang w:bidi="en-US"/>
        </w:rPr>
        <w:t xml:space="preserve"> </w:t>
      </w:r>
      <w:r w:rsidR="00610E17" w:rsidRPr="00996758">
        <w:rPr>
          <w:rFonts w:ascii="Verdana" w:hAnsi="Verdana"/>
          <w:sz w:val="20"/>
          <w:szCs w:val="20"/>
        </w:rPr>
        <w:t xml:space="preserve">De lo anterior se desprende </w:t>
      </w:r>
      <w:r w:rsidR="00610E17" w:rsidRPr="00996758">
        <w:rPr>
          <w:rFonts w:ascii="Verdana" w:hAnsi="Verdana"/>
          <w:spacing w:val="-2"/>
          <w:sz w:val="20"/>
          <w:szCs w:val="20"/>
        </w:rPr>
        <w:t>que</w:t>
      </w:r>
      <w:r w:rsidR="00610E17" w:rsidRPr="00996758">
        <w:rPr>
          <w:rFonts w:ascii="Verdana" w:hAnsi="Verdana"/>
          <w:sz w:val="20"/>
          <w:szCs w:val="20"/>
        </w:rPr>
        <w:t xml:space="preserve">, si bien </w:t>
      </w:r>
      <w:r w:rsidR="00610E17" w:rsidRPr="00996758">
        <w:rPr>
          <w:rFonts w:ascii="Verdana" w:hAnsi="Verdana"/>
          <w:spacing w:val="-2"/>
          <w:sz w:val="20"/>
          <w:szCs w:val="20"/>
        </w:rPr>
        <w:t>el derecho a</w:t>
      </w:r>
      <w:r w:rsidR="00610E17" w:rsidRPr="00996758">
        <w:rPr>
          <w:rFonts w:ascii="Verdana" w:hAnsi="Verdana"/>
          <w:sz w:val="20"/>
          <w:szCs w:val="20"/>
        </w:rPr>
        <w:t xml:space="preserve"> conocer</w:t>
      </w:r>
      <w:r w:rsidR="00610E17" w:rsidRPr="00996758">
        <w:rPr>
          <w:rFonts w:ascii="Verdana" w:hAnsi="Verdana"/>
          <w:spacing w:val="-2"/>
          <w:sz w:val="20"/>
          <w:szCs w:val="20"/>
        </w:rPr>
        <w:t xml:space="preserve"> la verdad se ha enmarcado fundamentalmente en el derecho de acceso a la justicia, aquel tiene una naturaleza amplia y su vulneración puede afectar distintos derechos consagrados en la Convención Americana,</w:t>
      </w:r>
      <w:r w:rsidR="00610E17" w:rsidRPr="00996758">
        <w:rPr>
          <w:rFonts w:ascii="Verdana" w:hAnsi="Verdana"/>
          <w:spacing w:val="-2"/>
          <w:sz w:val="20"/>
          <w:szCs w:val="20"/>
          <w:lang w:bidi="en-US"/>
        </w:rPr>
        <w:t xml:space="preserve"> </w:t>
      </w:r>
      <w:r w:rsidR="00610E17" w:rsidRPr="00996758">
        <w:rPr>
          <w:rFonts w:ascii="Verdana" w:hAnsi="Verdana"/>
          <w:spacing w:val="-2"/>
          <w:sz w:val="20"/>
          <w:szCs w:val="20"/>
        </w:rPr>
        <w:t>dependiendo del contexto y circunstancias particulares del caso</w:t>
      </w:r>
      <w:r w:rsidRPr="00996758">
        <w:rPr>
          <w:rStyle w:val="FootnoteReference"/>
          <w:rFonts w:ascii="Verdana" w:hAnsi="Verdana"/>
          <w:spacing w:val="-2"/>
          <w:sz w:val="20"/>
          <w:szCs w:val="20"/>
        </w:rPr>
        <w:footnoteReference w:id="160"/>
      </w:r>
      <w:r w:rsidR="00610E17" w:rsidRPr="00996758">
        <w:rPr>
          <w:rFonts w:ascii="Verdana" w:hAnsi="Verdana"/>
          <w:spacing w:val="-2"/>
          <w:sz w:val="20"/>
          <w:szCs w:val="20"/>
        </w:rPr>
        <w:t>.</w:t>
      </w:r>
      <w:r w:rsidRPr="00996758">
        <w:rPr>
          <w:rFonts w:ascii="Verdana" w:hAnsi="Verdana"/>
          <w:spacing w:val="-2"/>
          <w:sz w:val="20"/>
          <w:szCs w:val="20"/>
        </w:rPr>
        <w:t xml:space="preserve"> </w:t>
      </w:r>
    </w:p>
    <w:p w:rsidR="001817CE" w:rsidRPr="00996758" w:rsidRDefault="001817CE" w:rsidP="001817CE">
      <w:pPr>
        <w:pBdr>
          <w:top w:val="nil"/>
        </w:pBdr>
        <w:spacing w:after="0" w:line="240" w:lineRule="auto"/>
        <w:jc w:val="both"/>
        <w:rPr>
          <w:rFonts w:ascii="Verdana" w:hAnsi="Verdana"/>
          <w:sz w:val="20"/>
          <w:szCs w:val="20"/>
          <w:lang w:eastAsia="es-CR"/>
        </w:rPr>
      </w:pPr>
    </w:p>
    <w:p w:rsidR="0005170C" w:rsidRPr="00996758" w:rsidRDefault="0005170C" w:rsidP="0005170C">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este caso, más de 31 años después de la desaparición forzada del señor Isaza Uribe, el Estado aún no ha esclarecido lo ocurrido ni determinado las responsabilidades correspondientes. La Corte constató </w:t>
      </w:r>
      <w:r w:rsidRPr="00996758">
        <w:rPr>
          <w:rFonts w:ascii="Verdana" w:hAnsi="Verdana" w:cs="Verdana"/>
          <w:bCs/>
          <w:sz w:val="20"/>
          <w:szCs w:val="20"/>
        </w:rPr>
        <w:t>que la investigación no ha pasado de la fase preliminar y que las conclusiones de las autoridades en las vías contencioso-administrativa y disciplinaria no han sido completas</w:t>
      </w:r>
      <w:r w:rsidRPr="00996758">
        <w:rPr>
          <w:rFonts w:ascii="Verdana" w:hAnsi="Verdana"/>
          <w:sz w:val="20"/>
          <w:szCs w:val="20"/>
        </w:rPr>
        <w:t xml:space="preserve">. </w:t>
      </w:r>
      <w:r w:rsidR="00AF2E58" w:rsidRPr="00996758">
        <w:rPr>
          <w:rFonts w:ascii="Verdana" w:hAnsi="Verdana"/>
          <w:sz w:val="20"/>
          <w:szCs w:val="20"/>
        </w:rPr>
        <w:t>Según fue señalado, e</w:t>
      </w:r>
      <w:r w:rsidRPr="00996758">
        <w:rPr>
          <w:rFonts w:ascii="Verdana" w:hAnsi="Verdana"/>
          <w:sz w:val="20"/>
          <w:szCs w:val="20"/>
        </w:rPr>
        <w:t>n casos</w:t>
      </w:r>
      <w:r w:rsidR="00AF2E58" w:rsidRPr="00996758">
        <w:rPr>
          <w:rFonts w:ascii="Verdana" w:hAnsi="Verdana"/>
          <w:sz w:val="20"/>
          <w:szCs w:val="20"/>
        </w:rPr>
        <w:t xml:space="preserve"> de desapariciones forzadas,</w:t>
      </w:r>
      <w:r w:rsidRPr="00996758">
        <w:rPr>
          <w:rFonts w:ascii="Verdana" w:hAnsi="Verdana"/>
          <w:sz w:val="20"/>
          <w:szCs w:val="20"/>
        </w:rPr>
        <w:t xml:space="preserve"> el derecho a conocer el paradero de las víctimas desaparecidas constituye un componente esencial del derecho a conocer la verdad </w:t>
      </w:r>
      <w:r w:rsidR="00AF2E58" w:rsidRPr="00996758">
        <w:rPr>
          <w:rFonts w:ascii="Verdana" w:hAnsi="Verdana"/>
          <w:sz w:val="20"/>
          <w:szCs w:val="20"/>
        </w:rPr>
        <w:t xml:space="preserve">de los familiares </w:t>
      </w:r>
      <w:r w:rsidR="00ED7613" w:rsidRPr="00996758">
        <w:rPr>
          <w:rFonts w:ascii="Verdana" w:hAnsi="Verdana"/>
          <w:sz w:val="20"/>
          <w:szCs w:val="20"/>
        </w:rPr>
        <w:t xml:space="preserve">de </w:t>
      </w:r>
      <w:r w:rsidR="00AF2E58" w:rsidRPr="00996758">
        <w:rPr>
          <w:rFonts w:ascii="Verdana" w:hAnsi="Verdana"/>
          <w:sz w:val="20"/>
          <w:szCs w:val="20"/>
        </w:rPr>
        <w:t>éstas, pues</w:t>
      </w:r>
      <w:r w:rsidRPr="00996758">
        <w:rPr>
          <w:rFonts w:ascii="Verdana" w:hAnsi="Verdana"/>
          <w:sz w:val="20"/>
          <w:szCs w:val="20"/>
        </w:rPr>
        <w:t xml:space="preserve"> la incertidumbre sobre lo sucedido a sus seres queridos es una de </w:t>
      </w:r>
      <w:r w:rsidR="00AF2E58" w:rsidRPr="00996758">
        <w:rPr>
          <w:rFonts w:ascii="Verdana" w:hAnsi="Verdana"/>
          <w:sz w:val="20"/>
          <w:szCs w:val="20"/>
        </w:rPr>
        <w:t>sus</w:t>
      </w:r>
      <w:r w:rsidRPr="00996758">
        <w:rPr>
          <w:rFonts w:ascii="Verdana" w:hAnsi="Verdana"/>
          <w:sz w:val="20"/>
          <w:szCs w:val="20"/>
        </w:rPr>
        <w:t xml:space="preserve"> principales fuentes de sufrimientos psíquico y moral</w:t>
      </w:r>
      <w:r w:rsidRPr="00996758">
        <w:rPr>
          <w:rStyle w:val="FootnoteReference"/>
          <w:rFonts w:ascii="Verdana" w:hAnsi="Verdana"/>
          <w:sz w:val="20"/>
          <w:szCs w:val="20"/>
        </w:rPr>
        <w:footnoteReference w:id="161"/>
      </w:r>
      <w:r w:rsidRPr="00996758">
        <w:rPr>
          <w:rFonts w:ascii="Verdana" w:hAnsi="Verdana"/>
          <w:sz w:val="20"/>
          <w:szCs w:val="20"/>
        </w:rPr>
        <w:t xml:space="preserve">. </w:t>
      </w:r>
      <w:r w:rsidR="00103EC8" w:rsidRPr="00996758">
        <w:rPr>
          <w:rFonts w:ascii="Verdana" w:hAnsi="Verdana"/>
          <w:sz w:val="20"/>
          <w:szCs w:val="20"/>
        </w:rPr>
        <w:t>El Estado está obligado a combatir esta situación de impunidad por todos los medios legales disponibles, ya que ésta propicia la repetición crónica de las violaciones de derechos humanos y la indefensión de las víctimas</w:t>
      </w:r>
      <w:r w:rsidR="00103EC8" w:rsidRPr="00996758">
        <w:rPr>
          <w:rStyle w:val="FootnoteReference"/>
          <w:rFonts w:ascii="Verdana" w:hAnsi="Verdana"/>
          <w:sz w:val="20"/>
          <w:szCs w:val="20"/>
        </w:rPr>
        <w:footnoteReference w:id="162"/>
      </w:r>
      <w:r w:rsidR="00103EC8" w:rsidRPr="00996758">
        <w:rPr>
          <w:rFonts w:ascii="Verdana" w:hAnsi="Verdana"/>
          <w:sz w:val="20"/>
          <w:szCs w:val="20"/>
        </w:rPr>
        <w:t xml:space="preserve">. </w:t>
      </w:r>
      <w:r w:rsidRPr="00996758">
        <w:rPr>
          <w:rFonts w:ascii="Verdana" w:hAnsi="Verdana"/>
          <w:sz w:val="20"/>
          <w:szCs w:val="20"/>
        </w:rPr>
        <w:t>En virtud de las consideraciones anteriores, la Corte declara la violación del derecho a conocer la verdad, en perjuicio de los familiares del señor Isaza Uribe.</w:t>
      </w:r>
    </w:p>
    <w:p w:rsidR="0005170C" w:rsidRPr="00996758" w:rsidRDefault="0005170C" w:rsidP="001817CE">
      <w:pPr>
        <w:pBdr>
          <w:top w:val="nil"/>
        </w:pBdr>
        <w:spacing w:after="0" w:line="240" w:lineRule="auto"/>
        <w:jc w:val="both"/>
        <w:rPr>
          <w:rFonts w:ascii="Verdana" w:hAnsi="Verdana"/>
          <w:sz w:val="20"/>
          <w:szCs w:val="20"/>
          <w:lang w:eastAsia="es-CR"/>
        </w:rPr>
      </w:pPr>
    </w:p>
    <w:p w:rsidR="001817CE" w:rsidRPr="00996758" w:rsidRDefault="001817CE" w:rsidP="001817CE">
      <w:pPr>
        <w:numPr>
          <w:ilvl w:val="0"/>
          <w:numId w:val="10"/>
        </w:numPr>
        <w:pBdr>
          <w:top w:val="nil"/>
        </w:pBdr>
        <w:spacing w:after="0" w:line="240" w:lineRule="auto"/>
        <w:ind w:left="0" w:firstLine="0"/>
        <w:jc w:val="both"/>
        <w:rPr>
          <w:rFonts w:ascii="Verdana" w:hAnsi="Verdana"/>
          <w:sz w:val="20"/>
          <w:szCs w:val="20"/>
          <w:lang w:eastAsia="es-CR"/>
        </w:rPr>
      </w:pPr>
      <w:r w:rsidRPr="00996758">
        <w:rPr>
          <w:rFonts w:ascii="Verdana" w:hAnsi="Verdana"/>
          <w:sz w:val="20"/>
          <w:szCs w:val="20"/>
          <w:lang w:eastAsia="es-CR"/>
        </w:rPr>
        <w:t xml:space="preserve">Por las razones anteriores, la Corte declara que el Estado es responsable por la violación de los derechos de </w:t>
      </w:r>
      <w:r w:rsidRPr="00996758">
        <w:rPr>
          <w:rFonts w:ascii="Verdana" w:hAnsi="Verdana"/>
          <w:sz w:val="20"/>
          <w:szCs w:val="20"/>
        </w:rPr>
        <w:t>acceso</w:t>
      </w:r>
      <w:r w:rsidR="00D44AD4" w:rsidRPr="00996758">
        <w:rPr>
          <w:rFonts w:ascii="Verdana" w:hAnsi="Verdana"/>
          <w:sz w:val="20"/>
          <w:szCs w:val="20"/>
          <w:lang w:eastAsia="es-CR"/>
        </w:rPr>
        <w:t xml:space="preserve"> a la justicia </w:t>
      </w:r>
      <w:r w:rsidRPr="00996758">
        <w:rPr>
          <w:rFonts w:ascii="Verdana" w:hAnsi="Verdana"/>
          <w:sz w:val="20"/>
          <w:szCs w:val="20"/>
          <w:lang w:eastAsia="es-CR"/>
        </w:rPr>
        <w:t xml:space="preserve">y a ser oído en un plazo razonable, en los términos de los derechos a las garantías judiciales y a la protección judicial reconocidos en los artículos 8.1 y 25 </w:t>
      </w:r>
      <w:r w:rsidRPr="00996758">
        <w:rPr>
          <w:rFonts w:ascii="Verdana" w:hAnsi="Verdana"/>
          <w:sz w:val="20"/>
          <w:szCs w:val="20"/>
          <w:lang w:eastAsia="es-CR"/>
        </w:rPr>
        <w:lastRenderedPageBreak/>
        <w:t>de la Convención, en relación con el artículo 1.1 de la misma</w:t>
      </w:r>
      <w:r w:rsidR="00971560" w:rsidRPr="00996758">
        <w:rPr>
          <w:rFonts w:ascii="Verdana" w:hAnsi="Verdana"/>
          <w:sz w:val="20"/>
          <w:szCs w:val="20"/>
          <w:lang w:eastAsia="es-CR"/>
        </w:rPr>
        <w:t xml:space="preserve"> </w:t>
      </w:r>
      <w:r w:rsidR="00971560" w:rsidRPr="00996758">
        <w:rPr>
          <w:rFonts w:ascii="Verdana" w:hAnsi="Verdana"/>
          <w:sz w:val="20"/>
          <w:szCs w:val="20"/>
        </w:rPr>
        <w:t>y con el artículo I.b) de la Convención Interamericana sobre Desaparición Forzada de Personas</w:t>
      </w:r>
      <w:r w:rsidRPr="00996758">
        <w:rPr>
          <w:rFonts w:ascii="Verdana" w:hAnsi="Verdana"/>
          <w:sz w:val="20"/>
          <w:szCs w:val="20"/>
          <w:lang w:eastAsia="es-CR"/>
        </w:rPr>
        <w:t xml:space="preserve">, en perjuicio de Víctor Manuel Isaza Uribe, </w:t>
      </w:r>
      <w:r w:rsidRPr="00996758">
        <w:rPr>
          <w:rFonts w:ascii="Verdana" w:eastAsia="Verdana" w:hAnsi="Verdana" w:cs="Verdana"/>
          <w:sz w:val="20"/>
          <w:szCs w:val="20"/>
        </w:rPr>
        <w:t>Carmenza Vélez, Jhony Alexander Isaza Vélez y Haner Alexis Isaza Vélez</w:t>
      </w:r>
      <w:r w:rsidRPr="00996758">
        <w:rPr>
          <w:rFonts w:ascii="Verdana" w:hAnsi="Verdana"/>
          <w:sz w:val="20"/>
          <w:szCs w:val="20"/>
          <w:lang w:eastAsia="es-CR"/>
        </w:rPr>
        <w:t xml:space="preserve">. </w:t>
      </w:r>
      <w:r w:rsidR="00D44AD4" w:rsidRPr="00996758">
        <w:rPr>
          <w:rFonts w:ascii="Verdana" w:hAnsi="Verdana"/>
          <w:sz w:val="20"/>
          <w:szCs w:val="20"/>
          <w:lang w:eastAsia="es-CR"/>
        </w:rPr>
        <w:t>Además, el Estado es responsable por la violación del derecho a conocer la verdad de los familiares de la víctima desaparecida.</w:t>
      </w:r>
    </w:p>
    <w:p w:rsidR="0005170C" w:rsidRPr="00996758" w:rsidRDefault="0005170C" w:rsidP="00C57E6C">
      <w:pPr>
        <w:pBdr>
          <w:top w:val="nil"/>
        </w:pBdr>
        <w:spacing w:after="0" w:line="240" w:lineRule="auto"/>
        <w:jc w:val="both"/>
        <w:rPr>
          <w:rFonts w:ascii="Verdana" w:hAnsi="Verdana"/>
          <w:snapToGrid w:val="0"/>
          <w:spacing w:val="-2"/>
          <w:sz w:val="20"/>
          <w:szCs w:val="20"/>
          <w:lang w:eastAsia="es-ES"/>
        </w:rPr>
      </w:pPr>
    </w:p>
    <w:p w:rsidR="00111BE2" w:rsidRPr="00996758" w:rsidRDefault="00111BE2" w:rsidP="00C57E6C">
      <w:pPr>
        <w:pBdr>
          <w:top w:val="nil"/>
        </w:pBdr>
        <w:spacing w:after="0" w:line="240" w:lineRule="auto"/>
        <w:jc w:val="both"/>
        <w:rPr>
          <w:rFonts w:ascii="Verdana" w:hAnsi="Verdana"/>
          <w:snapToGrid w:val="0"/>
          <w:spacing w:val="-2"/>
          <w:sz w:val="20"/>
          <w:szCs w:val="20"/>
          <w:lang w:eastAsia="es-ES"/>
        </w:rPr>
      </w:pPr>
    </w:p>
    <w:p w:rsidR="00C763A2" w:rsidRPr="00996758" w:rsidRDefault="00C57E6C">
      <w:pPr>
        <w:pStyle w:val="Heading1"/>
        <w:spacing w:before="0" w:after="0"/>
        <w:ind w:firstLine="4"/>
        <w:rPr>
          <w:bCs w:val="0"/>
          <w:caps w:val="0"/>
          <w:snapToGrid/>
        </w:rPr>
      </w:pPr>
      <w:bookmarkStart w:id="36" w:name="_Toc530560069"/>
      <w:r w:rsidRPr="00996758">
        <w:t>ViII.3</w:t>
      </w:r>
      <w:r w:rsidR="00C763A2" w:rsidRPr="00996758">
        <w:br/>
      </w:r>
      <w:r w:rsidRPr="00996758">
        <w:rPr>
          <w:rStyle w:val="Heading1Char"/>
          <w:b/>
        </w:rPr>
        <w:t>DERECHO</w:t>
      </w:r>
      <w:r w:rsidR="00C763A2" w:rsidRPr="00996758">
        <w:rPr>
          <w:rStyle w:val="Heading1Char"/>
          <w:b/>
        </w:rPr>
        <w:t xml:space="preserve"> A LA INTEGRIDAD PERSONAL</w:t>
      </w:r>
      <w:r w:rsidRPr="00996758">
        <w:rPr>
          <w:rStyle w:val="Heading1Char"/>
          <w:b/>
        </w:rPr>
        <w:t xml:space="preserve"> DE LOS FAMILIARES</w:t>
      </w:r>
      <w:r w:rsidR="00F00782" w:rsidRPr="00996758">
        <w:rPr>
          <w:rStyle w:val="Heading1Char"/>
          <w:b/>
        </w:rPr>
        <w:br/>
      </w:r>
      <w:r w:rsidRPr="00996758">
        <w:rPr>
          <w:rStyle w:val="Heading1Char"/>
          <w:b/>
        </w:rPr>
        <w:t>(ARTÍCULO</w:t>
      </w:r>
      <w:r w:rsidR="00C763A2" w:rsidRPr="00996758">
        <w:rPr>
          <w:rStyle w:val="Heading1Char"/>
          <w:b/>
        </w:rPr>
        <w:t xml:space="preserve"> 5 DE LA CONVENCIÓN)</w:t>
      </w:r>
      <w:bookmarkEnd w:id="36"/>
    </w:p>
    <w:p w:rsidR="00690164" w:rsidRPr="00996758" w:rsidRDefault="00690164">
      <w:pPr>
        <w:widowControl w:val="0"/>
        <w:pBdr>
          <w:top w:val="nil"/>
        </w:pBdr>
        <w:autoSpaceDE w:val="0"/>
        <w:autoSpaceDN w:val="0"/>
        <w:adjustRightInd w:val="0"/>
        <w:spacing w:after="0" w:line="240" w:lineRule="auto"/>
        <w:jc w:val="both"/>
        <w:rPr>
          <w:rFonts w:ascii="Verdana" w:hAnsi="Verdana"/>
          <w:sz w:val="20"/>
          <w:szCs w:val="20"/>
        </w:rPr>
      </w:pPr>
    </w:p>
    <w:p w:rsidR="00690164" w:rsidRPr="00996758" w:rsidRDefault="00690164">
      <w:pPr>
        <w:pBdr>
          <w:top w:val="nil"/>
        </w:pBdr>
        <w:spacing w:after="0" w:line="240" w:lineRule="auto"/>
        <w:ind w:firstLine="708"/>
        <w:jc w:val="both"/>
        <w:rPr>
          <w:rFonts w:ascii="Verdana" w:hAnsi="Verdana"/>
          <w:b/>
          <w:i/>
          <w:snapToGrid w:val="0"/>
          <w:spacing w:val="-2"/>
          <w:sz w:val="20"/>
          <w:szCs w:val="20"/>
          <w:lang w:eastAsia="es-ES"/>
        </w:rPr>
      </w:pPr>
      <w:r w:rsidRPr="00996758">
        <w:rPr>
          <w:rFonts w:ascii="Verdana" w:hAnsi="Verdana"/>
          <w:b/>
          <w:i/>
          <w:snapToGrid w:val="0"/>
          <w:spacing w:val="-2"/>
          <w:sz w:val="20"/>
          <w:szCs w:val="20"/>
          <w:lang w:eastAsia="es-ES"/>
        </w:rPr>
        <w:t>Alegatos de las partes</w:t>
      </w:r>
    </w:p>
    <w:p w:rsidR="00690164" w:rsidRPr="00996758" w:rsidRDefault="00690164">
      <w:pPr>
        <w:pBdr>
          <w:top w:val="nil"/>
        </w:pBdr>
        <w:spacing w:after="0" w:line="240" w:lineRule="auto"/>
        <w:jc w:val="both"/>
        <w:rPr>
          <w:rFonts w:ascii="Verdana" w:hAnsi="Verdana"/>
          <w:snapToGrid w:val="0"/>
          <w:spacing w:val="-2"/>
          <w:sz w:val="20"/>
          <w:szCs w:val="20"/>
          <w:lang w:eastAsia="es-ES"/>
        </w:rPr>
      </w:pPr>
    </w:p>
    <w:p w:rsidR="00690164" w:rsidRPr="00996758" w:rsidRDefault="00690164">
      <w:pPr>
        <w:pBdr>
          <w:top w:val="nil"/>
        </w:pBdr>
        <w:spacing w:after="0" w:line="240" w:lineRule="auto"/>
        <w:ind w:left="1416"/>
        <w:jc w:val="both"/>
        <w:rPr>
          <w:rFonts w:ascii="Verdana" w:hAnsi="Verdana"/>
          <w:i/>
          <w:snapToGrid w:val="0"/>
          <w:spacing w:val="-2"/>
          <w:sz w:val="20"/>
          <w:szCs w:val="20"/>
          <w:lang w:eastAsia="es-ES"/>
        </w:rPr>
      </w:pPr>
      <w:r w:rsidRPr="00996758">
        <w:rPr>
          <w:rFonts w:ascii="Verdana" w:hAnsi="Verdana"/>
          <w:i/>
          <w:snapToGrid w:val="0"/>
          <w:spacing w:val="-2"/>
          <w:sz w:val="20"/>
          <w:szCs w:val="20"/>
          <w:lang w:eastAsia="es-ES"/>
        </w:rPr>
        <w:t>i.</w:t>
      </w:r>
      <w:r w:rsidRPr="00996758">
        <w:rPr>
          <w:rFonts w:ascii="Verdana" w:hAnsi="Verdana"/>
          <w:i/>
          <w:snapToGrid w:val="0"/>
          <w:spacing w:val="-2"/>
          <w:sz w:val="20"/>
          <w:szCs w:val="20"/>
          <w:lang w:eastAsia="es-ES"/>
        </w:rPr>
        <w:tab/>
        <w:t>Respecto del artículo 5 de la Convención</w:t>
      </w:r>
    </w:p>
    <w:p w:rsidR="00690164" w:rsidRPr="00996758" w:rsidRDefault="00690164">
      <w:pPr>
        <w:widowControl w:val="0"/>
        <w:pBdr>
          <w:top w:val="nil"/>
        </w:pBdr>
        <w:autoSpaceDE w:val="0"/>
        <w:autoSpaceDN w:val="0"/>
        <w:adjustRightInd w:val="0"/>
        <w:spacing w:after="0" w:line="240" w:lineRule="auto"/>
        <w:jc w:val="both"/>
        <w:rPr>
          <w:rFonts w:ascii="Verdana" w:hAnsi="Verdana"/>
          <w:sz w:val="20"/>
          <w:szCs w:val="20"/>
        </w:rPr>
      </w:pPr>
    </w:p>
    <w:p w:rsidR="00BF1830" w:rsidRPr="00996758" w:rsidRDefault="00B064A1"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b/>
          <w:i/>
          <w:sz w:val="20"/>
          <w:szCs w:val="20"/>
        </w:rPr>
        <w:t>Comisión</w:t>
      </w:r>
      <w:r w:rsidRPr="00996758">
        <w:rPr>
          <w:rFonts w:ascii="Verdana" w:hAnsi="Verdana"/>
          <w:sz w:val="20"/>
          <w:szCs w:val="20"/>
        </w:rPr>
        <w:t xml:space="preserve"> </w:t>
      </w:r>
      <w:r w:rsidRPr="00996758">
        <w:rPr>
          <w:rFonts w:ascii="Verdana" w:hAnsi="Verdana" w:cs="Cambria"/>
          <w:sz w:val="20"/>
          <w:szCs w:val="20"/>
        </w:rPr>
        <w:t>consideró</w:t>
      </w:r>
      <w:r w:rsidR="00AE674F" w:rsidRPr="00996758">
        <w:rPr>
          <w:rFonts w:ascii="Verdana" w:hAnsi="Verdana" w:cs="Cambria"/>
          <w:sz w:val="20"/>
          <w:szCs w:val="20"/>
        </w:rPr>
        <w:t xml:space="preserve"> que, en casos que involucran la desaparición forzada de personas, la violación del derecho a la integridad psíquica y moral de los familiares de la víctima es una conse</w:t>
      </w:r>
      <w:r w:rsidR="00B85946" w:rsidRPr="00996758">
        <w:rPr>
          <w:rFonts w:ascii="Verdana" w:hAnsi="Verdana" w:cs="Cambria"/>
          <w:sz w:val="20"/>
          <w:szCs w:val="20"/>
        </w:rPr>
        <w:t>cuencia directa y, a</w:t>
      </w:r>
      <w:r w:rsidR="00AE674F" w:rsidRPr="00996758">
        <w:rPr>
          <w:rFonts w:ascii="Verdana" w:hAnsi="Verdana" w:cs="Cambria"/>
          <w:sz w:val="20"/>
          <w:szCs w:val="20"/>
        </w:rPr>
        <w:t xml:space="preserve"> la fecha, </w:t>
      </w:r>
      <w:r w:rsidR="00B85946" w:rsidRPr="00996758">
        <w:rPr>
          <w:rFonts w:ascii="Verdana" w:hAnsi="Verdana" w:cs="Cambria"/>
          <w:sz w:val="20"/>
          <w:szCs w:val="20"/>
        </w:rPr>
        <w:t xml:space="preserve">éstos </w:t>
      </w:r>
      <w:r w:rsidR="00AE674F" w:rsidRPr="00996758">
        <w:rPr>
          <w:rFonts w:ascii="Verdana" w:hAnsi="Verdana" w:cs="Cambria"/>
          <w:sz w:val="20"/>
          <w:szCs w:val="20"/>
        </w:rPr>
        <w:t xml:space="preserve">no conocen </w:t>
      </w:r>
      <w:r w:rsidR="00466415" w:rsidRPr="00996758">
        <w:rPr>
          <w:rFonts w:ascii="Verdana" w:hAnsi="Verdana" w:cs="Cambria"/>
          <w:sz w:val="20"/>
          <w:szCs w:val="20"/>
        </w:rPr>
        <w:t xml:space="preserve">el </w:t>
      </w:r>
      <w:r w:rsidR="00AE674F" w:rsidRPr="00996758">
        <w:rPr>
          <w:rFonts w:ascii="Verdana" w:hAnsi="Verdana" w:cs="Cambria"/>
          <w:sz w:val="20"/>
          <w:szCs w:val="20"/>
        </w:rPr>
        <w:t xml:space="preserve">destino o paradero </w:t>
      </w:r>
      <w:r w:rsidR="00466415" w:rsidRPr="00996758">
        <w:rPr>
          <w:rFonts w:ascii="Verdana" w:hAnsi="Verdana" w:cs="Cambria"/>
          <w:sz w:val="20"/>
          <w:szCs w:val="20"/>
        </w:rPr>
        <w:t>del señor Isaza,</w:t>
      </w:r>
      <w:r w:rsidR="00AE674F" w:rsidRPr="00996758">
        <w:rPr>
          <w:rFonts w:ascii="Verdana" w:hAnsi="Verdana" w:cs="Cambria"/>
          <w:sz w:val="20"/>
          <w:szCs w:val="20"/>
        </w:rPr>
        <w:t xml:space="preserve"> no han contado con una respuesta judicial adecuada</w:t>
      </w:r>
      <w:r w:rsidR="00466415" w:rsidRPr="00996758">
        <w:rPr>
          <w:rFonts w:ascii="Verdana" w:hAnsi="Verdana" w:cs="Cambria"/>
          <w:sz w:val="20"/>
          <w:szCs w:val="20"/>
        </w:rPr>
        <w:t xml:space="preserve"> y, </w:t>
      </w:r>
      <w:r w:rsidR="00B85946" w:rsidRPr="00996758">
        <w:rPr>
          <w:rFonts w:ascii="Verdana" w:hAnsi="Verdana" w:cs="Cambria"/>
          <w:sz w:val="20"/>
          <w:szCs w:val="20"/>
        </w:rPr>
        <w:t>por la</w:t>
      </w:r>
      <w:r w:rsidR="00AE674F" w:rsidRPr="00996758">
        <w:rPr>
          <w:rFonts w:ascii="Verdana" w:hAnsi="Verdana" w:cs="Cambria"/>
          <w:sz w:val="20"/>
          <w:szCs w:val="20"/>
        </w:rPr>
        <w:t xml:space="preserve"> violencia y el temor, </w:t>
      </w:r>
      <w:r w:rsidR="00B85946" w:rsidRPr="00996758">
        <w:rPr>
          <w:rFonts w:ascii="Verdana" w:hAnsi="Verdana" w:cs="Cambria"/>
          <w:sz w:val="20"/>
          <w:szCs w:val="20"/>
        </w:rPr>
        <w:t xml:space="preserve">debieron </w:t>
      </w:r>
      <w:r w:rsidR="00D87759" w:rsidRPr="00996758">
        <w:rPr>
          <w:rFonts w:ascii="Verdana" w:hAnsi="Verdana" w:cs="Cambria"/>
          <w:sz w:val="20"/>
          <w:szCs w:val="20"/>
        </w:rPr>
        <w:t>desplazarse de Puerto Nare</w:t>
      </w:r>
      <w:r w:rsidR="00466415" w:rsidRPr="00996758">
        <w:rPr>
          <w:rFonts w:ascii="Verdana" w:hAnsi="Verdana" w:cs="Cambria"/>
          <w:sz w:val="20"/>
          <w:szCs w:val="20"/>
        </w:rPr>
        <w:t>,</w:t>
      </w:r>
      <w:r w:rsidR="00DE5392" w:rsidRPr="00996758">
        <w:rPr>
          <w:rFonts w:ascii="Verdana" w:hAnsi="Verdana" w:cs="Cambria"/>
          <w:sz w:val="20"/>
          <w:szCs w:val="20"/>
        </w:rPr>
        <w:t xml:space="preserve"> por lo que</w:t>
      </w:r>
      <w:r w:rsidR="00466415" w:rsidRPr="00996758">
        <w:rPr>
          <w:rFonts w:ascii="Verdana" w:hAnsi="Verdana" w:cs="Cambria"/>
          <w:sz w:val="20"/>
          <w:szCs w:val="20"/>
        </w:rPr>
        <w:t xml:space="preserve"> </w:t>
      </w:r>
      <w:r w:rsidR="00AE674F" w:rsidRPr="00996758">
        <w:rPr>
          <w:rFonts w:ascii="Verdana" w:hAnsi="Verdana" w:cs="Cambria"/>
          <w:sz w:val="20"/>
          <w:szCs w:val="20"/>
        </w:rPr>
        <w:t xml:space="preserve">el Estado violó </w:t>
      </w:r>
      <w:r w:rsidR="00466415" w:rsidRPr="00996758">
        <w:rPr>
          <w:rFonts w:ascii="Verdana" w:hAnsi="Verdana" w:cs="Cambria"/>
          <w:sz w:val="20"/>
          <w:szCs w:val="20"/>
        </w:rPr>
        <w:t xml:space="preserve">su </w:t>
      </w:r>
      <w:r w:rsidR="00AE674F" w:rsidRPr="00996758">
        <w:rPr>
          <w:rFonts w:ascii="Verdana" w:hAnsi="Verdana" w:cs="Cambria"/>
          <w:sz w:val="20"/>
          <w:szCs w:val="20"/>
        </w:rPr>
        <w:t>d</w:t>
      </w:r>
      <w:r w:rsidR="00466415" w:rsidRPr="00996758">
        <w:rPr>
          <w:rFonts w:ascii="Verdana" w:hAnsi="Verdana" w:cs="Cambria"/>
          <w:sz w:val="20"/>
          <w:szCs w:val="20"/>
        </w:rPr>
        <w:t>erecho a la integridad personal</w:t>
      </w:r>
      <w:r w:rsidRPr="00996758">
        <w:rPr>
          <w:rFonts w:ascii="Verdana" w:hAnsi="Verdana" w:cs="Cambria"/>
          <w:sz w:val="20"/>
          <w:szCs w:val="20"/>
        </w:rPr>
        <w:t>.</w:t>
      </w:r>
      <w:r w:rsidRPr="00996758">
        <w:rPr>
          <w:rFonts w:ascii="Verdana" w:hAnsi="Verdana"/>
          <w:b/>
          <w:sz w:val="20"/>
          <w:szCs w:val="20"/>
        </w:rPr>
        <w:t xml:space="preserve"> </w:t>
      </w:r>
      <w:r w:rsidRPr="00996758">
        <w:rPr>
          <w:rFonts w:ascii="Verdana" w:hAnsi="Verdana" w:cs="Cambria"/>
          <w:sz w:val="20"/>
          <w:szCs w:val="20"/>
        </w:rPr>
        <w:t>Lo</w:t>
      </w:r>
      <w:r w:rsidRPr="00996758">
        <w:rPr>
          <w:rFonts w:ascii="Verdana" w:hAnsi="Verdana" w:cs="Times New Roman"/>
          <w:sz w:val="20"/>
          <w:szCs w:val="20"/>
        </w:rPr>
        <w:t xml:space="preserve">s </w:t>
      </w:r>
      <w:r w:rsidRPr="00996758">
        <w:rPr>
          <w:rFonts w:ascii="Verdana" w:hAnsi="Verdana" w:cs="Times New Roman"/>
          <w:b/>
          <w:i/>
          <w:sz w:val="20"/>
          <w:szCs w:val="20"/>
        </w:rPr>
        <w:t>representantes</w:t>
      </w:r>
      <w:r w:rsidRPr="00996758">
        <w:rPr>
          <w:rFonts w:ascii="Verdana" w:hAnsi="Verdana" w:cs="Times New Roman"/>
          <w:sz w:val="20"/>
          <w:szCs w:val="20"/>
        </w:rPr>
        <w:t xml:space="preserve"> </w:t>
      </w:r>
      <w:r w:rsidR="000065E4" w:rsidRPr="00996758">
        <w:rPr>
          <w:rFonts w:ascii="Verdana" w:hAnsi="Verdana" w:cs="Times New Roman"/>
          <w:sz w:val="20"/>
          <w:szCs w:val="20"/>
        </w:rPr>
        <w:t>coincidieron con lo planteado por la Comisión y, además, alegaron que los graves sufrimientos causados a los familiares son constitutivos de tratos crueles e inhumanos.</w:t>
      </w:r>
      <w:r w:rsidRPr="00996758">
        <w:rPr>
          <w:rFonts w:ascii="Verdana" w:hAnsi="Verdana" w:cs="Times New Roman"/>
          <w:sz w:val="20"/>
          <w:szCs w:val="20"/>
        </w:rPr>
        <w:t xml:space="preserve"> </w:t>
      </w:r>
      <w:r w:rsidR="00DE5392" w:rsidRPr="00996758">
        <w:rPr>
          <w:rFonts w:ascii="Verdana" w:hAnsi="Verdana" w:cs="Times New Roman"/>
          <w:sz w:val="20"/>
          <w:szCs w:val="20"/>
        </w:rPr>
        <w:t>Al</w:t>
      </w:r>
      <w:r w:rsidR="006756E9" w:rsidRPr="00996758">
        <w:rPr>
          <w:rFonts w:ascii="Verdana" w:hAnsi="Verdana" w:cs="Times New Roman"/>
          <w:sz w:val="20"/>
          <w:szCs w:val="20"/>
        </w:rPr>
        <w:t xml:space="preserve"> efectuar</w:t>
      </w:r>
      <w:r w:rsidR="00C45CCD" w:rsidRPr="00996758">
        <w:rPr>
          <w:rFonts w:ascii="Verdana" w:hAnsi="Verdana" w:cs="Times New Roman"/>
          <w:sz w:val="20"/>
          <w:szCs w:val="20"/>
        </w:rPr>
        <w:t xml:space="preserve"> </w:t>
      </w:r>
      <w:r w:rsidR="000065E4" w:rsidRPr="00996758">
        <w:rPr>
          <w:rFonts w:ascii="Verdana" w:hAnsi="Verdana" w:cs="Times New Roman"/>
          <w:sz w:val="20"/>
          <w:szCs w:val="20"/>
        </w:rPr>
        <w:t>su reconocimiento de</w:t>
      </w:r>
      <w:r w:rsidRPr="00996758">
        <w:rPr>
          <w:rFonts w:ascii="Verdana" w:hAnsi="Verdana" w:cs="Times New Roman"/>
          <w:sz w:val="20"/>
          <w:szCs w:val="20"/>
        </w:rPr>
        <w:t xml:space="preserve"> responsabilidad </w:t>
      </w:r>
      <w:r w:rsidR="000065E4" w:rsidRPr="00996758">
        <w:rPr>
          <w:rFonts w:ascii="Verdana" w:hAnsi="Verdana" w:cs="Times New Roman"/>
          <w:sz w:val="20"/>
          <w:szCs w:val="20"/>
        </w:rPr>
        <w:t xml:space="preserve">respecto del </w:t>
      </w:r>
      <w:r w:rsidR="00DE5392" w:rsidRPr="00996758">
        <w:rPr>
          <w:rFonts w:ascii="Verdana" w:hAnsi="Verdana" w:cs="Times New Roman"/>
          <w:sz w:val="20"/>
          <w:szCs w:val="20"/>
        </w:rPr>
        <w:t xml:space="preserve">artículo 5 de la Convención, el </w:t>
      </w:r>
      <w:r w:rsidR="00DE5392" w:rsidRPr="00996758">
        <w:rPr>
          <w:rFonts w:ascii="Verdana" w:hAnsi="Verdana" w:cs="Times New Roman"/>
          <w:b/>
          <w:i/>
          <w:sz w:val="20"/>
          <w:szCs w:val="20"/>
        </w:rPr>
        <w:t>Estado</w:t>
      </w:r>
      <w:r w:rsidR="00C45CCD" w:rsidRPr="00996758">
        <w:rPr>
          <w:rFonts w:ascii="Verdana" w:hAnsi="Verdana" w:cs="Times New Roman"/>
          <w:sz w:val="20"/>
          <w:szCs w:val="20"/>
        </w:rPr>
        <w:t xml:space="preserve"> señaló que el hecho de no saber el paradero de un ser querido puede </w:t>
      </w:r>
      <w:r w:rsidR="00DE5392" w:rsidRPr="00996758">
        <w:rPr>
          <w:rFonts w:ascii="Verdana" w:hAnsi="Verdana" w:cs="Times New Roman"/>
          <w:sz w:val="20"/>
          <w:szCs w:val="20"/>
        </w:rPr>
        <w:t xml:space="preserve">implicar </w:t>
      </w:r>
      <w:r w:rsidR="00C45CCD" w:rsidRPr="00996758">
        <w:rPr>
          <w:rFonts w:ascii="Verdana" w:hAnsi="Verdana" w:cs="Times New Roman"/>
          <w:sz w:val="20"/>
          <w:szCs w:val="20"/>
        </w:rPr>
        <w:t>la afectación al núcleo familiar, sin que necesariamente se haya configurado una desaparición forzada</w:t>
      </w:r>
      <w:r w:rsidR="000065E4" w:rsidRPr="00996758">
        <w:rPr>
          <w:rFonts w:ascii="Verdana" w:hAnsi="Verdana" w:cs="Times New Roman"/>
          <w:sz w:val="20"/>
          <w:szCs w:val="20"/>
        </w:rPr>
        <w:t>.</w:t>
      </w:r>
    </w:p>
    <w:p w:rsidR="00D2234C" w:rsidRPr="00996758" w:rsidRDefault="00D2234C">
      <w:pPr>
        <w:pBdr>
          <w:top w:val="nil"/>
        </w:pBdr>
        <w:spacing w:after="0" w:line="240" w:lineRule="auto"/>
        <w:jc w:val="both"/>
        <w:rPr>
          <w:rFonts w:ascii="Verdana" w:hAnsi="Verdana"/>
          <w:snapToGrid w:val="0"/>
          <w:spacing w:val="-2"/>
          <w:sz w:val="20"/>
          <w:szCs w:val="20"/>
          <w:lang w:eastAsia="es-ES"/>
        </w:rPr>
      </w:pPr>
    </w:p>
    <w:p w:rsidR="00690164" w:rsidRPr="00996758" w:rsidRDefault="00690164">
      <w:pPr>
        <w:pBdr>
          <w:top w:val="nil"/>
        </w:pBdr>
        <w:spacing w:after="0" w:line="240" w:lineRule="auto"/>
        <w:ind w:left="1416"/>
        <w:jc w:val="both"/>
        <w:rPr>
          <w:rFonts w:ascii="Verdana" w:hAnsi="Verdana"/>
          <w:i/>
          <w:snapToGrid w:val="0"/>
          <w:spacing w:val="-2"/>
          <w:sz w:val="20"/>
          <w:szCs w:val="20"/>
          <w:lang w:eastAsia="es-ES"/>
        </w:rPr>
      </w:pPr>
      <w:r w:rsidRPr="00996758">
        <w:rPr>
          <w:rFonts w:ascii="Verdana" w:hAnsi="Verdana"/>
          <w:i/>
          <w:snapToGrid w:val="0"/>
          <w:spacing w:val="-2"/>
          <w:sz w:val="20"/>
          <w:szCs w:val="20"/>
          <w:lang w:eastAsia="es-ES"/>
        </w:rPr>
        <w:t>ii.</w:t>
      </w:r>
      <w:r w:rsidRPr="00996758">
        <w:rPr>
          <w:rFonts w:ascii="Verdana" w:hAnsi="Verdana"/>
          <w:i/>
          <w:snapToGrid w:val="0"/>
          <w:spacing w:val="-2"/>
          <w:sz w:val="20"/>
          <w:szCs w:val="20"/>
          <w:lang w:eastAsia="es-ES"/>
        </w:rPr>
        <w:tab/>
        <w:t>Respecto de los artículos 11</w:t>
      </w:r>
      <w:r w:rsidR="00BA32B0" w:rsidRPr="00996758">
        <w:rPr>
          <w:rFonts w:ascii="Verdana" w:hAnsi="Verdana"/>
          <w:i/>
          <w:snapToGrid w:val="0"/>
          <w:spacing w:val="-2"/>
          <w:sz w:val="20"/>
          <w:szCs w:val="20"/>
          <w:lang w:eastAsia="es-ES"/>
        </w:rPr>
        <w:t>.2</w:t>
      </w:r>
      <w:r w:rsidR="00C57E6C" w:rsidRPr="00996758">
        <w:rPr>
          <w:rStyle w:val="FootnoteReference"/>
          <w:bCs/>
          <w:caps/>
        </w:rPr>
        <w:footnoteReference w:id="163"/>
      </w:r>
      <w:r w:rsidRPr="00996758">
        <w:rPr>
          <w:rFonts w:ascii="Verdana" w:hAnsi="Verdana"/>
          <w:i/>
          <w:snapToGrid w:val="0"/>
          <w:spacing w:val="-2"/>
          <w:sz w:val="20"/>
          <w:szCs w:val="20"/>
          <w:lang w:eastAsia="es-ES"/>
        </w:rPr>
        <w:t xml:space="preserve"> y 17</w:t>
      </w:r>
      <w:r w:rsidR="00BA32B0" w:rsidRPr="00996758">
        <w:rPr>
          <w:rFonts w:ascii="Verdana" w:hAnsi="Verdana"/>
          <w:i/>
          <w:snapToGrid w:val="0"/>
          <w:spacing w:val="-2"/>
          <w:sz w:val="20"/>
          <w:szCs w:val="20"/>
          <w:lang w:eastAsia="es-ES"/>
        </w:rPr>
        <w:t>.1</w:t>
      </w:r>
      <w:r w:rsidR="00C57E6C" w:rsidRPr="00996758">
        <w:rPr>
          <w:rStyle w:val="FootnoteReference"/>
          <w:bCs/>
          <w:caps/>
        </w:rPr>
        <w:footnoteReference w:id="164"/>
      </w:r>
      <w:r w:rsidRPr="00996758">
        <w:rPr>
          <w:rFonts w:ascii="Verdana" w:hAnsi="Verdana"/>
          <w:i/>
          <w:snapToGrid w:val="0"/>
          <w:spacing w:val="-2"/>
          <w:sz w:val="20"/>
          <w:szCs w:val="20"/>
          <w:lang w:eastAsia="es-ES"/>
        </w:rPr>
        <w:t xml:space="preserve"> de la Convención</w:t>
      </w:r>
    </w:p>
    <w:p w:rsidR="00690164" w:rsidRPr="00996758" w:rsidRDefault="00690164">
      <w:pPr>
        <w:widowControl w:val="0"/>
        <w:pBdr>
          <w:top w:val="nil"/>
        </w:pBdr>
        <w:autoSpaceDE w:val="0"/>
        <w:autoSpaceDN w:val="0"/>
        <w:adjustRightInd w:val="0"/>
        <w:spacing w:after="0" w:line="240" w:lineRule="auto"/>
        <w:jc w:val="both"/>
        <w:rPr>
          <w:rFonts w:ascii="Verdana" w:hAnsi="Verdana" w:cs="Times New Roman"/>
          <w:sz w:val="20"/>
          <w:szCs w:val="20"/>
        </w:rPr>
      </w:pPr>
    </w:p>
    <w:p w:rsidR="00BA32B0" w:rsidRPr="00996758" w:rsidRDefault="00BA32B0"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rPr>
      </w:pPr>
      <w:r w:rsidRPr="00996758">
        <w:rPr>
          <w:rFonts w:ascii="Verdana" w:hAnsi="Verdana" w:cs="Times New Roman"/>
          <w:sz w:val="20"/>
          <w:szCs w:val="20"/>
        </w:rPr>
        <w:t xml:space="preserve">Los </w:t>
      </w:r>
      <w:r w:rsidRPr="00996758">
        <w:rPr>
          <w:rFonts w:ascii="Verdana" w:hAnsi="Verdana" w:cs="Times New Roman"/>
          <w:b/>
          <w:i/>
          <w:sz w:val="20"/>
          <w:szCs w:val="20"/>
        </w:rPr>
        <w:t>representantes</w:t>
      </w:r>
      <w:r w:rsidRPr="00996758">
        <w:rPr>
          <w:rFonts w:ascii="Verdana" w:hAnsi="Verdana" w:cs="Times New Roman"/>
          <w:sz w:val="20"/>
          <w:szCs w:val="20"/>
        </w:rPr>
        <w:t xml:space="preserve"> a</w:t>
      </w:r>
      <w:r w:rsidR="00287404" w:rsidRPr="00996758">
        <w:rPr>
          <w:rFonts w:ascii="Verdana" w:hAnsi="Verdana" w:cs="Times New Roman"/>
          <w:sz w:val="20"/>
          <w:szCs w:val="20"/>
        </w:rPr>
        <w:t xml:space="preserve">legaron que </w:t>
      </w:r>
      <w:r w:rsidRPr="00996758">
        <w:rPr>
          <w:rFonts w:ascii="Verdana" w:hAnsi="Verdana" w:cs="Times New Roman"/>
          <w:sz w:val="20"/>
          <w:szCs w:val="20"/>
        </w:rPr>
        <w:t xml:space="preserve">las dinámicas de la familia Isaza </w:t>
      </w:r>
      <w:r w:rsidR="006756E9" w:rsidRPr="00996758">
        <w:rPr>
          <w:rFonts w:ascii="Verdana" w:hAnsi="Verdana" w:cs="Times New Roman"/>
          <w:sz w:val="20"/>
          <w:szCs w:val="20"/>
        </w:rPr>
        <w:t>Vélez</w:t>
      </w:r>
      <w:r w:rsidRPr="00996758">
        <w:rPr>
          <w:rFonts w:ascii="Verdana" w:hAnsi="Verdana" w:cs="Times New Roman"/>
          <w:sz w:val="20"/>
          <w:szCs w:val="20"/>
        </w:rPr>
        <w:t xml:space="preserve"> se vieron radicalmente modificadas por la desaparición forzada, el desarraigo familiar</w:t>
      </w:r>
      <w:r w:rsidR="007B4455" w:rsidRPr="00996758">
        <w:rPr>
          <w:rFonts w:ascii="Verdana" w:hAnsi="Verdana" w:cs="Times New Roman"/>
          <w:sz w:val="20"/>
          <w:szCs w:val="20"/>
        </w:rPr>
        <w:t xml:space="preserve"> y</w:t>
      </w:r>
      <w:r w:rsidRPr="00996758">
        <w:rPr>
          <w:rFonts w:ascii="Verdana" w:hAnsi="Verdana" w:cs="Times New Roman"/>
          <w:sz w:val="20"/>
          <w:szCs w:val="20"/>
        </w:rPr>
        <w:t xml:space="preserve"> el desplazamiento </w:t>
      </w:r>
      <w:r w:rsidR="00287404" w:rsidRPr="00996758">
        <w:rPr>
          <w:rFonts w:ascii="Verdana" w:hAnsi="Verdana" w:cs="Times New Roman"/>
          <w:sz w:val="20"/>
          <w:szCs w:val="20"/>
        </w:rPr>
        <w:t xml:space="preserve">al </w:t>
      </w:r>
      <w:r w:rsidRPr="00996758">
        <w:rPr>
          <w:rFonts w:ascii="Verdana" w:hAnsi="Verdana" w:cs="Times New Roman"/>
          <w:sz w:val="20"/>
          <w:szCs w:val="20"/>
        </w:rPr>
        <w:t>que se vieron forzados, lo cual tuvo consecuencias emociona</w:t>
      </w:r>
      <w:r w:rsidR="00466415" w:rsidRPr="00996758">
        <w:rPr>
          <w:rFonts w:ascii="Verdana" w:hAnsi="Verdana" w:cs="Times New Roman"/>
          <w:sz w:val="20"/>
          <w:szCs w:val="20"/>
        </w:rPr>
        <w:t>les y en su integridad personal</w:t>
      </w:r>
      <w:r w:rsidRPr="00996758">
        <w:rPr>
          <w:rFonts w:ascii="Verdana" w:hAnsi="Verdana" w:cs="Times New Roman"/>
          <w:sz w:val="20"/>
          <w:szCs w:val="20"/>
        </w:rPr>
        <w:t>.</w:t>
      </w:r>
      <w:r w:rsidR="00466415" w:rsidRPr="00996758">
        <w:rPr>
          <w:rFonts w:ascii="Verdana" w:hAnsi="Verdana" w:cs="Times New Roman"/>
          <w:sz w:val="20"/>
          <w:szCs w:val="20"/>
        </w:rPr>
        <w:t xml:space="preserve"> </w:t>
      </w:r>
      <w:r w:rsidR="00F92093" w:rsidRPr="00996758">
        <w:rPr>
          <w:rFonts w:ascii="Verdana" w:hAnsi="Verdana" w:cs="Times New Roman"/>
          <w:sz w:val="20"/>
          <w:szCs w:val="20"/>
        </w:rPr>
        <w:t>Alegaron que</w:t>
      </w:r>
      <w:r w:rsidRPr="00996758">
        <w:rPr>
          <w:rFonts w:ascii="Verdana" w:hAnsi="Verdana" w:cs="Times New Roman"/>
          <w:sz w:val="20"/>
          <w:szCs w:val="20"/>
        </w:rPr>
        <w:t xml:space="preserve"> entidades estatales señalaron a Víctor como miembro de las FARC, lo que generó </w:t>
      </w:r>
      <w:r w:rsidR="00F92093" w:rsidRPr="00996758">
        <w:rPr>
          <w:rFonts w:ascii="Verdana" w:hAnsi="Verdana" w:cs="Times New Roman"/>
          <w:sz w:val="20"/>
          <w:szCs w:val="20"/>
        </w:rPr>
        <w:t xml:space="preserve">estigmatización </w:t>
      </w:r>
      <w:r w:rsidRPr="00996758">
        <w:rPr>
          <w:rFonts w:ascii="Verdana" w:hAnsi="Verdana" w:cs="Times New Roman"/>
          <w:sz w:val="20"/>
          <w:szCs w:val="20"/>
        </w:rPr>
        <w:t xml:space="preserve">en la familia que ahondó </w:t>
      </w:r>
      <w:r w:rsidR="00F92093" w:rsidRPr="00996758">
        <w:rPr>
          <w:rFonts w:ascii="Verdana" w:hAnsi="Verdana" w:cs="Times New Roman"/>
          <w:sz w:val="20"/>
          <w:szCs w:val="20"/>
        </w:rPr>
        <w:t xml:space="preserve">su </w:t>
      </w:r>
      <w:r w:rsidRPr="00996758">
        <w:rPr>
          <w:rFonts w:ascii="Verdana" w:hAnsi="Verdana" w:cs="Times New Roman"/>
          <w:sz w:val="20"/>
          <w:szCs w:val="20"/>
        </w:rPr>
        <w:t>desestructuración y afectó gravemente los derechos de los me</w:t>
      </w:r>
      <w:r w:rsidR="00287404" w:rsidRPr="00996758">
        <w:rPr>
          <w:rFonts w:ascii="Verdana" w:hAnsi="Verdana" w:cs="Times New Roman"/>
          <w:sz w:val="20"/>
          <w:szCs w:val="20"/>
        </w:rPr>
        <w:t>nores en</w:t>
      </w:r>
      <w:r w:rsidR="00F92093" w:rsidRPr="00996758">
        <w:rPr>
          <w:rFonts w:ascii="Verdana" w:hAnsi="Verdana" w:cs="Times New Roman"/>
          <w:sz w:val="20"/>
          <w:szCs w:val="20"/>
        </w:rPr>
        <w:t xml:space="preserve"> su desarrollo natural, lo cual </w:t>
      </w:r>
      <w:r w:rsidR="00287404" w:rsidRPr="00996758">
        <w:rPr>
          <w:rFonts w:ascii="Verdana" w:hAnsi="Verdana" w:cs="Times New Roman"/>
          <w:sz w:val="20"/>
          <w:szCs w:val="20"/>
        </w:rPr>
        <w:t xml:space="preserve">constituye </w:t>
      </w:r>
      <w:r w:rsidRPr="00996758">
        <w:rPr>
          <w:rFonts w:ascii="Verdana" w:hAnsi="Verdana" w:cs="Times New Roman"/>
          <w:sz w:val="20"/>
          <w:szCs w:val="20"/>
        </w:rPr>
        <w:t>una injerencia arbitraria en la vida privada de la familia</w:t>
      </w:r>
      <w:r w:rsidR="00287404" w:rsidRPr="00996758">
        <w:rPr>
          <w:rFonts w:ascii="Verdana" w:hAnsi="Verdana" w:cs="Times New Roman"/>
          <w:sz w:val="20"/>
          <w:szCs w:val="20"/>
        </w:rPr>
        <w:t>, por lo cual</w:t>
      </w:r>
      <w:r w:rsidR="00770D4D" w:rsidRPr="00996758">
        <w:rPr>
          <w:rFonts w:ascii="Verdana" w:hAnsi="Verdana" w:cs="Times New Roman"/>
          <w:sz w:val="20"/>
          <w:szCs w:val="20"/>
        </w:rPr>
        <w:t xml:space="preserve"> </w:t>
      </w:r>
      <w:r w:rsidRPr="00996758">
        <w:rPr>
          <w:rFonts w:ascii="Verdana" w:hAnsi="Verdana" w:cs="Times New Roman"/>
          <w:sz w:val="20"/>
          <w:szCs w:val="20"/>
        </w:rPr>
        <w:t>el Estado vulneró el derecho a la protección a la familia (artículo 17.1) en relación con el derecho a la honra y la dignidad (artículo 11.2)</w:t>
      </w:r>
      <w:r w:rsidR="00770D4D" w:rsidRPr="00996758">
        <w:rPr>
          <w:rFonts w:ascii="Verdana" w:hAnsi="Verdana" w:cs="Times New Roman"/>
          <w:sz w:val="20"/>
          <w:szCs w:val="20"/>
        </w:rPr>
        <w:t>,</w:t>
      </w:r>
      <w:r w:rsidRPr="00996758">
        <w:rPr>
          <w:rFonts w:ascii="Verdana" w:hAnsi="Verdana" w:cs="Times New Roman"/>
          <w:sz w:val="20"/>
          <w:szCs w:val="20"/>
        </w:rPr>
        <w:t xml:space="preserve"> en </w:t>
      </w:r>
      <w:r w:rsidR="00466415" w:rsidRPr="00996758">
        <w:rPr>
          <w:rFonts w:ascii="Verdana" w:hAnsi="Verdana" w:cs="Times New Roman"/>
          <w:sz w:val="20"/>
          <w:szCs w:val="20"/>
        </w:rPr>
        <w:t xml:space="preserve">su </w:t>
      </w:r>
      <w:r w:rsidRPr="00996758">
        <w:rPr>
          <w:rFonts w:ascii="Verdana" w:hAnsi="Verdana" w:cs="Times New Roman"/>
          <w:sz w:val="20"/>
          <w:szCs w:val="20"/>
        </w:rPr>
        <w:t>perjuicio</w:t>
      </w:r>
      <w:r w:rsidR="00466415" w:rsidRPr="00996758">
        <w:rPr>
          <w:rFonts w:ascii="Verdana" w:hAnsi="Verdana" w:cs="Times New Roman"/>
          <w:sz w:val="20"/>
          <w:szCs w:val="20"/>
        </w:rPr>
        <w:t>.</w:t>
      </w:r>
    </w:p>
    <w:p w:rsidR="00770D4D" w:rsidRPr="00996758" w:rsidRDefault="00770D4D">
      <w:pPr>
        <w:widowControl w:val="0"/>
        <w:pBdr>
          <w:top w:val="nil"/>
        </w:pBdr>
        <w:autoSpaceDE w:val="0"/>
        <w:autoSpaceDN w:val="0"/>
        <w:adjustRightInd w:val="0"/>
        <w:spacing w:after="0" w:line="240" w:lineRule="auto"/>
        <w:jc w:val="both"/>
        <w:rPr>
          <w:rFonts w:ascii="Verdana" w:hAnsi="Verdana" w:cs="Times New Roman"/>
          <w:sz w:val="20"/>
          <w:szCs w:val="20"/>
        </w:rPr>
      </w:pPr>
    </w:p>
    <w:p w:rsidR="003B07BB" w:rsidRPr="00996758" w:rsidRDefault="00770D4D"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cs="Times New Roman"/>
          <w:sz w:val="20"/>
          <w:szCs w:val="20"/>
        </w:rPr>
        <w:t xml:space="preserve">El </w:t>
      </w:r>
      <w:r w:rsidRPr="00996758">
        <w:rPr>
          <w:rFonts w:ascii="Verdana" w:hAnsi="Verdana" w:cs="Times New Roman"/>
          <w:b/>
          <w:i/>
          <w:sz w:val="20"/>
          <w:szCs w:val="20"/>
        </w:rPr>
        <w:t>Estado</w:t>
      </w:r>
      <w:r w:rsidRPr="00996758">
        <w:rPr>
          <w:rFonts w:ascii="Verdana" w:hAnsi="Verdana" w:cs="Times New Roman"/>
          <w:sz w:val="20"/>
          <w:szCs w:val="20"/>
        </w:rPr>
        <w:t xml:space="preserve"> alegó, en relación con la supuesta estigmatización, que si una investigación policial o judicial por un delito pudiese constituir una viola</w:t>
      </w:r>
      <w:r w:rsidR="00EF64E5" w:rsidRPr="00996758">
        <w:rPr>
          <w:rFonts w:ascii="Verdana" w:hAnsi="Verdana" w:cs="Times New Roman"/>
          <w:sz w:val="20"/>
          <w:szCs w:val="20"/>
        </w:rPr>
        <w:t xml:space="preserve">ción </w:t>
      </w:r>
      <w:r w:rsidR="00384134" w:rsidRPr="00996758">
        <w:rPr>
          <w:rFonts w:ascii="Verdana" w:hAnsi="Verdana" w:cs="Times New Roman"/>
          <w:sz w:val="20"/>
          <w:szCs w:val="20"/>
        </w:rPr>
        <w:t>del artículo 11</w:t>
      </w:r>
      <w:r w:rsidRPr="00996758">
        <w:rPr>
          <w:rFonts w:ascii="Verdana" w:hAnsi="Verdana" w:cs="Times New Roman"/>
          <w:sz w:val="20"/>
          <w:szCs w:val="20"/>
        </w:rPr>
        <w:t>, se estaría prohibiendo a las autoridades establecer hipó</w:t>
      </w:r>
      <w:r w:rsidR="007B4455" w:rsidRPr="00996758">
        <w:rPr>
          <w:rFonts w:ascii="Verdana" w:hAnsi="Verdana" w:cs="Times New Roman"/>
          <w:sz w:val="20"/>
          <w:szCs w:val="20"/>
        </w:rPr>
        <w:t>tesis de autoría de los hechos</w:t>
      </w:r>
      <w:r w:rsidR="00787A42" w:rsidRPr="00996758">
        <w:rPr>
          <w:rFonts w:ascii="Verdana" w:hAnsi="Verdana" w:cs="Times New Roman"/>
          <w:sz w:val="20"/>
          <w:szCs w:val="20"/>
        </w:rPr>
        <w:t>;</w:t>
      </w:r>
      <w:r w:rsidRPr="00996758">
        <w:rPr>
          <w:rFonts w:ascii="Verdana" w:hAnsi="Verdana" w:cs="Times New Roman"/>
          <w:sz w:val="20"/>
          <w:szCs w:val="20"/>
        </w:rPr>
        <w:t xml:space="preserve"> que los representantes tergiversaron lo señalado por </w:t>
      </w:r>
      <w:r w:rsidR="00287404" w:rsidRPr="00996758">
        <w:rPr>
          <w:rFonts w:ascii="Verdana" w:hAnsi="Verdana" w:cs="Times New Roman"/>
          <w:sz w:val="20"/>
          <w:szCs w:val="20"/>
        </w:rPr>
        <w:t>las</w:t>
      </w:r>
      <w:r w:rsidRPr="00996758">
        <w:rPr>
          <w:rFonts w:ascii="Verdana" w:hAnsi="Verdana" w:cs="Times New Roman"/>
          <w:sz w:val="20"/>
          <w:szCs w:val="20"/>
        </w:rPr>
        <w:t xml:space="preserve"> autoridades policiales y jurisdiccionales, ya que ninguna </w:t>
      </w:r>
      <w:r w:rsidR="00EF3609" w:rsidRPr="00996758">
        <w:rPr>
          <w:rFonts w:ascii="Verdana" w:hAnsi="Verdana" w:cs="Times New Roman"/>
          <w:sz w:val="20"/>
          <w:szCs w:val="20"/>
        </w:rPr>
        <w:t>concluyó</w:t>
      </w:r>
      <w:r w:rsidRPr="00996758">
        <w:rPr>
          <w:rFonts w:ascii="Verdana" w:hAnsi="Verdana" w:cs="Times New Roman"/>
          <w:sz w:val="20"/>
          <w:szCs w:val="20"/>
        </w:rPr>
        <w:t xml:space="preserve"> que el señor Isaza Uribe era miembro de </w:t>
      </w:r>
      <w:r w:rsidR="00EF64E5" w:rsidRPr="00996758">
        <w:rPr>
          <w:rFonts w:ascii="Verdana" w:hAnsi="Verdana" w:cs="Times New Roman"/>
          <w:sz w:val="20"/>
          <w:szCs w:val="20"/>
        </w:rPr>
        <w:t xml:space="preserve">las FARC ni establece </w:t>
      </w:r>
      <w:r w:rsidR="00787A42" w:rsidRPr="00996758">
        <w:rPr>
          <w:rFonts w:ascii="Verdana" w:hAnsi="Verdana" w:cs="Times New Roman"/>
          <w:sz w:val="20"/>
          <w:szCs w:val="20"/>
        </w:rPr>
        <w:t>una versión oficial de fuga, por lo que</w:t>
      </w:r>
      <w:r w:rsidRPr="00996758">
        <w:rPr>
          <w:rFonts w:ascii="Verdana" w:hAnsi="Verdana" w:cs="Times New Roman"/>
          <w:sz w:val="20"/>
          <w:szCs w:val="20"/>
        </w:rPr>
        <w:t xml:space="preserve"> </w:t>
      </w:r>
      <w:r w:rsidR="00C45CCD" w:rsidRPr="00996758">
        <w:rPr>
          <w:rFonts w:ascii="Verdana" w:hAnsi="Verdana" w:cs="Times New Roman"/>
          <w:sz w:val="20"/>
          <w:szCs w:val="20"/>
        </w:rPr>
        <w:t>no</w:t>
      </w:r>
      <w:r w:rsidR="00EF3609" w:rsidRPr="00996758">
        <w:rPr>
          <w:rFonts w:ascii="Verdana" w:hAnsi="Verdana" w:cs="Times New Roman"/>
          <w:sz w:val="20"/>
          <w:szCs w:val="20"/>
        </w:rPr>
        <w:t xml:space="preserve"> </w:t>
      </w:r>
      <w:r w:rsidRPr="00996758">
        <w:rPr>
          <w:rFonts w:ascii="Verdana" w:hAnsi="Verdana" w:cs="Times New Roman"/>
          <w:sz w:val="20"/>
          <w:szCs w:val="20"/>
        </w:rPr>
        <w:t xml:space="preserve">puede haber violación </w:t>
      </w:r>
      <w:r w:rsidR="00384134" w:rsidRPr="00996758">
        <w:rPr>
          <w:rFonts w:ascii="Verdana" w:hAnsi="Verdana" w:cs="Times New Roman"/>
          <w:sz w:val="20"/>
          <w:szCs w:val="20"/>
        </w:rPr>
        <w:t>de ese derecho</w:t>
      </w:r>
      <w:r w:rsidRPr="00996758">
        <w:rPr>
          <w:rFonts w:ascii="Verdana" w:hAnsi="Verdana" w:cs="Times New Roman"/>
          <w:sz w:val="20"/>
          <w:szCs w:val="20"/>
        </w:rPr>
        <w:t xml:space="preserve">. </w:t>
      </w:r>
      <w:r w:rsidR="00EF3609" w:rsidRPr="00996758">
        <w:rPr>
          <w:rFonts w:ascii="Verdana" w:hAnsi="Verdana" w:cs="Times New Roman"/>
          <w:sz w:val="20"/>
          <w:szCs w:val="20"/>
        </w:rPr>
        <w:t xml:space="preserve">Respecto del alegado desplazamiento forzado, </w:t>
      </w:r>
      <w:r w:rsidR="00787A42" w:rsidRPr="00996758">
        <w:rPr>
          <w:rFonts w:ascii="Verdana" w:hAnsi="Verdana" w:cs="Times New Roman"/>
          <w:sz w:val="20"/>
          <w:szCs w:val="20"/>
        </w:rPr>
        <w:t xml:space="preserve">el Estado manifestó que ello </w:t>
      </w:r>
      <w:r w:rsidRPr="00996758">
        <w:rPr>
          <w:rFonts w:ascii="Verdana" w:hAnsi="Verdana" w:cs="Times New Roman"/>
          <w:sz w:val="20"/>
          <w:szCs w:val="20"/>
        </w:rPr>
        <w:t xml:space="preserve">no </w:t>
      </w:r>
      <w:r w:rsidR="00787A42" w:rsidRPr="00996758">
        <w:rPr>
          <w:rFonts w:ascii="Verdana" w:hAnsi="Verdana" w:cs="Times New Roman"/>
          <w:sz w:val="20"/>
          <w:szCs w:val="20"/>
        </w:rPr>
        <w:t>con</w:t>
      </w:r>
      <w:r w:rsidRPr="00996758">
        <w:rPr>
          <w:rFonts w:ascii="Verdana" w:hAnsi="Verdana" w:cs="Times New Roman"/>
          <w:sz w:val="20"/>
          <w:szCs w:val="20"/>
        </w:rPr>
        <w:t>forma el marco fáctico del caso</w:t>
      </w:r>
      <w:r w:rsidR="00787A42" w:rsidRPr="00996758">
        <w:rPr>
          <w:rFonts w:ascii="Verdana" w:hAnsi="Verdana" w:cs="Times New Roman"/>
          <w:sz w:val="20"/>
          <w:szCs w:val="20"/>
        </w:rPr>
        <w:t>; que</w:t>
      </w:r>
      <w:r w:rsidR="004217EF" w:rsidRPr="00996758">
        <w:rPr>
          <w:rFonts w:ascii="Verdana" w:hAnsi="Verdana" w:cs="Times New Roman"/>
          <w:sz w:val="20"/>
          <w:szCs w:val="20"/>
        </w:rPr>
        <w:t xml:space="preserve"> los representantes no aportaron </w:t>
      </w:r>
      <w:r w:rsidR="00787A42" w:rsidRPr="00996758">
        <w:rPr>
          <w:rFonts w:ascii="Verdana" w:hAnsi="Verdana" w:cs="Times New Roman"/>
          <w:sz w:val="20"/>
          <w:szCs w:val="20"/>
        </w:rPr>
        <w:t xml:space="preserve">pruebas al respecto; </w:t>
      </w:r>
      <w:r w:rsidR="008705B6" w:rsidRPr="00996758">
        <w:rPr>
          <w:rFonts w:ascii="Verdana" w:hAnsi="Verdana" w:cs="Times New Roman"/>
          <w:sz w:val="20"/>
          <w:szCs w:val="20"/>
        </w:rPr>
        <w:t xml:space="preserve">y </w:t>
      </w:r>
      <w:r w:rsidR="00787A42" w:rsidRPr="00996758">
        <w:rPr>
          <w:rFonts w:ascii="Verdana" w:hAnsi="Verdana" w:cs="Verdana"/>
          <w:sz w:val="20"/>
          <w:szCs w:val="20"/>
        </w:rPr>
        <w:t>sus agentes no generaron</w:t>
      </w:r>
      <w:r w:rsidR="008705B6" w:rsidRPr="00996758">
        <w:rPr>
          <w:rFonts w:ascii="Verdana" w:hAnsi="Verdana" w:cs="Verdana"/>
          <w:sz w:val="20"/>
          <w:szCs w:val="20"/>
        </w:rPr>
        <w:t xml:space="preserve"> tal situación ni</w:t>
      </w:r>
      <w:r w:rsidR="00787A42" w:rsidRPr="00996758">
        <w:rPr>
          <w:rFonts w:ascii="Verdana" w:hAnsi="Verdana" w:cs="Verdana"/>
          <w:sz w:val="20"/>
          <w:szCs w:val="20"/>
        </w:rPr>
        <w:t xml:space="preserve"> conocieron de la existencia de un riesgo cierto para la familia que hiciera surgir </w:t>
      </w:r>
      <w:r w:rsidR="008705B6" w:rsidRPr="00996758">
        <w:rPr>
          <w:rFonts w:ascii="Verdana" w:hAnsi="Verdana" w:cs="Verdana"/>
          <w:sz w:val="20"/>
          <w:szCs w:val="20"/>
        </w:rPr>
        <w:t xml:space="preserve">un </w:t>
      </w:r>
      <w:r w:rsidR="00787A42" w:rsidRPr="00996758">
        <w:rPr>
          <w:rFonts w:ascii="Verdana" w:hAnsi="Verdana" w:cs="Verdana"/>
          <w:sz w:val="20"/>
          <w:szCs w:val="20"/>
        </w:rPr>
        <w:t>deber de protección particular, ni se les ha negado tal carácter</w:t>
      </w:r>
      <w:r w:rsidR="008705B6" w:rsidRPr="00996758">
        <w:rPr>
          <w:rFonts w:ascii="Verdana" w:hAnsi="Verdana" w:cs="Verdana"/>
          <w:sz w:val="20"/>
          <w:szCs w:val="20"/>
        </w:rPr>
        <w:t xml:space="preserve"> o </w:t>
      </w:r>
      <w:r w:rsidR="00787A42" w:rsidRPr="00996758">
        <w:rPr>
          <w:rFonts w:ascii="Verdana" w:hAnsi="Verdana" w:cs="Verdana"/>
          <w:sz w:val="20"/>
          <w:szCs w:val="20"/>
        </w:rPr>
        <w:t xml:space="preserve">ayudas surgidas de esta condición, </w:t>
      </w:r>
      <w:r w:rsidR="00FF41B8" w:rsidRPr="00996758">
        <w:rPr>
          <w:rFonts w:ascii="Verdana" w:hAnsi="Verdana" w:cs="Times New Roman"/>
          <w:sz w:val="20"/>
          <w:szCs w:val="20"/>
        </w:rPr>
        <w:t>por lo que</w:t>
      </w:r>
      <w:r w:rsidRPr="00996758">
        <w:rPr>
          <w:rFonts w:ascii="Verdana" w:hAnsi="Verdana" w:cs="Times New Roman"/>
          <w:sz w:val="20"/>
          <w:szCs w:val="20"/>
        </w:rPr>
        <w:t xml:space="preserve"> la alegada violación del a</w:t>
      </w:r>
      <w:r w:rsidR="00787A42" w:rsidRPr="00996758">
        <w:rPr>
          <w:rFonts w:ascii="Verdana" w:hAnsi="Verdana" w:cs="Times New Roman"/>
          <w:sz w:val="20"/>
          <w:szCs w:val="20"/>
        </w:rPr>
        <w:t>rtículo 17 carece de fundamento</w:t>
      </w:r>
      <w:r w:rsidR="003B07BB" w:rsidRPr="00996758">
        <w:rPr>
          <w:rFonts w:ascii="Verdana" w:hAnsi="Verdana" w:cs="Verdana"/>
          <w:sz w:val="20"/>
          <w:szCs w:val="20"/>
        </w:rPr>
        <w:t>.</w:t>
      </w:r>
    </w:p>
    <w:p w:rsidR="003B07BB" w:rsidRPr="00996758" w:rsidRDefault="003B07BB">
      <w:pPr>
        <w:widowControl w:val="0"/>
        <w:pBdr>
          <w:top w:val="nil"/>
        </w:pBdr>
        <w:autoSpaceDE w:val="0"/>
        <w:autoSpaceDN w:val="0"/>
        <w:adjustRightInd w:val="0"/>
        <w:spacing w:after="0" w:line="240" w:lineRule="auto"/>
        <w:jc w:val="both"/>
        <w:rPr>
          <w:rFonts w:ascii="Verdana" w:hAnsi="Verdana"/>
          <w:sz w:val="20"/>
          <w:szCs w:val="20"/>
        </w:rPr>
      </w:pPr>
    </w:p>
    <w:p w:rsidR="00963ED3" w:rsidRPr="00996758" w:rsidRDefault="00963ED3">
      <w:pPr>
        <w:pBdr>
          <w:top w:val="nil"/>
        </w:pBdr>
        <w:spacing w:after="0" w:line="240" w:lineRule="auto"/>
        <w:ind w:firstLine="708"/>
        <w:jc w:val="both"/>
        <w:rPr>
          <w:rFonts w:ascii="Verdana" w:hAnsi="Verdana"/>
          <w:b/>
          <w:i/>
          <w:snapToGrid w:val="0"/>
          <w:spacing w:val="-2"/>
          <w:sz w:val="20"/>
          <w:szCs w:val="20"/>
          <w:lang w:eastAsia="es-ES"/>
        </w:rPr>
      </w:pPr>
      <w:r w:rsidRPr="00996758">
        <w:rPr>
          <w:rFonts w:ascii="Verdana" w:hAnsi="Verdana"/>
          <w:b/>
          <w:i/>
          <w:snapToGrid w:val="0"/>
          <w:spacing w:val="-2"/>
          <w:sz w:val="20"/>
          <w:szCs w:val="20"/>
          <w:lang w:eastAsia="es-ES"/>
        </w:rPr>
        <w:t>Consideraciones de la Corte</w:t>
      </w:r>
    </w:p>
    <w:p w:rsidR="00963ED3" w:rsidRPr="00996758" w:rsidRDefault="00963ED3">
      <w:pPr>
        <w:widowControl w:val="0"/>
        <w:pBdr>
          <w:top w:val="nil"/>
        </w:pBdr>
        <w:autoSpaceDE w:val="0"/>
        <w:autoSpaceDN w:val="0"/>
        <w:adjustRightInd w:val="0"/>
        <w:spacing w:after="0" w:line="240" w:lineRule="auto"/>
        <w:jc w:val="both"/>
        <w:rPr>
          <w:rFonts w:ascii="Verdana" w:hAnsi="Verdana" w:cs="Times New Roman"/>
          <w:sz w:val="20"/>
          <w:szCs w:val="20"/>
        </w:rPr>
      </w:pPr>
    </w:p>
    <w:p w:rsidR="007E4F28" w:rsidRPr="00996758" w:rsidRDefault="007E4F28" w:rsidP="00DC7CD8">
      <w:pPr>
        <w:widowControl w:val="0"/>
        <w:numPr>
          <w:ilvl w:val="0"/>
          <w:numId w:val="10"/>
        </w:numPr>
        <w:pBdr>
          <w:top w:val="nil"/>
        </w:pBdr>
        <w:autoSpaceDE w:val="0"/>
        <w:autoSpaceDN w:val="0"/>
        <w:adjustRightInd w:val="0"/>
        <w:spacing w:after="0" w:line="240" w:lineRule="auto"/>
        <w:ind w:left="0" w:firstLine="0"/>
        <w:jc w:val="both"/>
        <w:rPr>
          <w:rFonts w:ascii="Verdana" w:eastAsia="Times" w:hAnsi="Verdana"/>
          <w:sz w:val="20"/>
          <w:szCs w:val="20"/>
          <w:lang w:eastAsia="es-ES"/>
        </w:rPr>
      </w:pPr>
      <w:r w:rsidRPr="00996758">
        <w:rPr>
          <w:rFonts w:ascii="Verdana" w:hAnsi="Verdana"/>
          <w:sz w:val="20"/>
          <w:szCs w:val="20"/>
        </w:rPr>
        <w:t xml:space="preserve">En </w:t>
      </w:r>
      <w:r w:rsidRPr="00996758">
        <w:rPr>
          <w:rFonts w:ascii="Verdana" w:hAnsi="Verdana" w:cs="Times New Roman"/>
          <w:sz w:val="20"/>
          <w:szCs w:val="20"/>
        </w:rPr>
        <w:t>casos</w:t>
      </w:r>
      <w:r w:rsidRPr="00996758">
        <w:rPr>
          <w:rFonts w:ascii="Verdana" w:hAnsi="Verdana"/>
          <w:sz w:val="20"/>
          <w:szCs w:val="20"/>
        </w:rPr>
        <w:t xml:space="preserve"> que involucran la desaparición forzada de personas es posible entender que la violación del derecho a la integridad de los familiares de las víctimas es una consecuencia directa de ese fenómeno, que les causa un severo sufrimiento por el hecho mismo que se acrecienta, entre otros factores, por la constante negativa de las autoridades de proporcionar información acerca del paradero de las víctimas o de realizar una investigación eficaz para lograr el esclarecimiento de lo sucedido</w:t>
      </w:r>
      <w:r w:rsidRPr="00996758">
        <w:rPr>
          <w:rStyle w:val="FootnoteReference"/>
          <w:rFonts w:ascii="Verdana" w:hAnsi="Verdana"/>
          <w:sz w:val="20"/>
          <w:szCs w:val="20"/>
        </w:rPr>
        <w:footnoteReference w:id="165"/>
      </w:r>
      <w:r w:rsidRPr="00996758">
        <w:rPr>
          <w:rFonts w:ascii="Verdana" w:hAnsi="Verdana"/>
          <w:sz w:val="20"/>
          <w:szCs w:val="20"/>
        </w:rPr>
        <w:t>.</w:t>
      </w:r>
      <w:r w:rsidR="00BF3EF5" w:rsidRPr="00996758">
        <w:rPr>
          <w:rFonts w:ascii="Verdana" w:hAnsi="Verdana"/>
          <w:sz w:val="20"/>
          <w:szCs w:val="20"/>
        </w:rPr>
        <w:t xml:space="preserve"> E</w:t>
      </w:r>
      <w:r w:rsidRPr="00996758">
        <w:rPr>
          <w:rFonts w:ascii="Verdana" w:hAnsi="Verdana"/>
          <w:sz w:val="20"/>
          <w:szCs w:val="20"/>
        </w:rPr>
        <w:t xml:space="preserve">n casos de graves violaciones de derechos humanos se puede declarar la violación de ese derecho en perjuicio de familiares de víctimas aplicando una presunción </w:t>
      </w:r>
      <w:r w:rsidRPr="00996758">
        <w:rPr>
          <w:rFonts w:ascii="Verdana" w:hAnsi="Verdana"/>
          <w:i/>
          <w:sz w:val="20"/>
          <w:szCs w:val="20"/>
        </w:rPr>
        <w:t>iuris tantum</w:t>
      </w:r>
      <w:r w:rsidRPr="00996758">
        <w:rPr>
          <w:rFonts w:ascii="Verdana" w:hAnsi="Verdana"/>
          <w:sz w:val="20"/>
          <w:szCs w:val="20"/>
        </w:rPr>
        <w:t xml:space="preserve"> respecto de madres y padres, hijas e hijos, esposos y esposas, compañeros y compañeras permanentes y hermanas y hermanos, siempre que ello responda a las circunstancias particular</w:t>
      </w:r>
      <w:r w:rsidR="00EF3609" w:rsidRPr="00996758">
        <w:rPr>
          <w:rFonts w:ascii="Verdana" w:hAnsi="Verdana"/>
          <w:sz w:val="20"/>
          <w:szCs w:val="20"/>
        </w:rPr>
        <w:t>es en el caso</w:t>
      </w:r>
      <w:r w:rsidRPr="00996758">
        <w:rPr>
          <w:rStyle w:val="FootnoteReference"/>
          <w:rFonts w:ascii="Verdana" w:hAnsi="Verdana"/>
          <w:sz w:val="20"/>
          <w:szCs w:val="20"/>
        </w:rPr>
        <w:footnoteReference w:id="166"/>
      </w:r>
      <w:r w:rsidRPr="00996758">
        <w:rPr>
          <w:rFonts w:ascii="Verdana" w:hAnsi="Verdana"/>
          <w:sz w:val="20"/>
          <w:szCs w:val="20"/>
        </w:rPr>
        <w:t>. Estas afectaciones, comprendidas integralmente en la complejidad de la desaparición forzada, se proyectarán en el tiempo mientras subsista la falta de esclarecimiento del paradero final de la víctima desaparecida</w:t>
      </w:r>
      <w:r w:rsidRPr="00996758">
        <w:rPr>
          <w:rStyle w:val="FootnoteReference"/>
          <w:rFonts w:ascii="Verdana" w:eastAsia="Times" w:hAnsi="Verdana"/>
          <w:sz w:val="20"/>
          <w:szCs w:val="20"/>
          <w:lang w:eastAsia="es-ES"/>
        </w:rPr>
        <w:footnoteReference w:id="167"/>
      </w:r>
      <w:r w:rsidRPr="00996758">
        <w:rPr>
          <w:rFonts w:ascii="Verdana" w:eastAsia="Times" w:hAnsi="Verdana"/>
          <w:sz w:val="20"/>
          <w:szCs w:val="20"/>
          <w:lang w:eastAsia="es-ES"/>
        </w:rPr>
        <w:t>.</w:t>
      </w:r>
    </w:p>
    <w:p w:rsidR="007E4F28" w:rsidRPr="00996758" w:rsidRDefault="007E4F28">
      <w:pPr>
        <w:widowControl w:val="0"/>
        <w:pBdr>
          <w:top w:val="nil"/>
        </w:pBdr>
        <w:autoSpaceDE w:val="0"/>
        <w:autoSpaceDN w:val="0"/>
        <w:adjustRightInd w:val="0"/>
        <w:spacing w:after="0" w:line="240" w:lineRule="auto"/>
        <w:jc w:val="both"/>
        <w:rPr>
          <w:rFonts w:ascii="Verdana" w:eastAsia="Times" w:hAnsi="Verdana"/>
          <w:sz w:val="20"/>
          <w:szCs w:val="20"/>
          <w:lang w:eastAsia="es-ES"/>
        </w:rPr>
      </w:pPr>
    </w:p>
    <w:p w:rsidR="007E4F28" w:rsidRPr="00996758" w:rsidRDefault="007E4F28" w:rsidP="00DC7CD8">
      <w:pPr>
        <w:widowControl w:val="0"/>
        <w:numPr>
          <w:ilvl w:val="0"/>
          <w:numId w:val="10"/>
        </w:numPr>
        <w:pBdr>
          <w:top w:val="nil"/>
        </w:pBdr>
        <w:autoSpaceDE w:val="0"/>
        <w:autoSpaceDN w:val="0"/>
        <w:adjustRightInd w:val="0"/>
        <w:spacing w:after="0" w:line="240" w:lineRule="auto"/>
        <w:ind w:left="0" w:firstLine="0"/>
        <w:jc w:val="both"/>
        <w:rPr>
          <w:rFonts w:ascii="Verdana" w:eastAsia="Times" w:hAnsi="Verdana"/>
          <w:sz w:val="20"/>
          <w:szCs w:val="20"/>
          <w:lang w:eastAsia="es-ES"/>
        </w:rPr>
      </w:pPr>
      <w:r w:rsidRPr="00996758">
        <w:rPr>
          <w:rFonts w:ascii="Verdana" w:eastAsia="Times" w:hAnsi="Verdana"/>
          <w:sz w:val="20"/>
          <w:szCs w:val="20"/>
          <w:lang w:eastAsia="es-ES"/>
        </w:rPr>
        <w:t xml:space="preserve">En el caso </w:t>
      </w:r>
      <w:r w:rsidRPr="00996758">
        <w:rPr>
          <w:rFonts w:ascii="Verdana" w:hAnsi="Verdana"/>
          <w:sz w:val="20"/>
          <w:szCs w:val="20"/>
        </w:rPr>
        <w:t>concreto</w:t>
      </w:r>
      <w:r w:rsidRPr="00996758">
        <w:rPr>
          <w:rFonts w:ascii="Verdana" w:eastAsia="Times" w:hAnsi="Verdana"/>
          <w:sz w:val="20"/>
          <w:szCs w:val="20"/>
          <w:lang w:eastAsia="es-ES"/>
        </w:rPr>
        <w:t xml:space="preserve">, </w:t>
      </w:r>
      <w:r w:rsidR="007B2AB5" w:rsidRPr="00996758">
        <w:rPr>
          <w:rFonts w:ascii="Verdana" w:eastAsia="Times" w:hAnsi="Verdana"/>
          <w:sz w:val="20"/>
          <w:szCs w:val="20"/>
          <w:lang w:eastAsia="es-ES"/>
        </w:rPr>
        <w:t xml:space="preserve">como consecuencia directa de </w:t>
      </w:r>
      <w:r w:rsidR="00A52D90" w:rsidRPr="00996758">
        <w:rPr>
          <w:rFonts w:ascii="Verdana" w:eastAsia="Times" w:hAnsi="Verdana"/>
          <w:sz w:val="20"/>
          <w:szCs w:val="20"/>
          <w:lang w:eastAsia="es-ES"/>
        </w:rPr>
        <w:t xml:space="preserve">la calificación de </w:t>
      </w:r>
      <w:r w:rsidRPr="00996758">
        <w:rPr>
          <w:rFonts w:ascii="Verdana" w:eastAsia="Times" w:hAnsi="Verdana"/>
          <w:sz w:val="20"/>
          <w:szCs w:val="20"/>
          <w:lang w:eastAsia="es-ES"/>
        </w:rPr>
        <w:t>los hechos como desaparición forzada del señor Isaza Uribe, y tomando en consideración el reconocimiento parcial de responsab</w:t>
      </w:r>
      <w:r w:rsidR="00B11575" w:rsidRPr="00996758">
        <w:rPr>
          <w:rFonts w:ascii="Verdana" w:eastAsia="Times" w:hAnsi="Verdana"/>
          <w:sz w:val="20"/>
          <w:szCs w:val="20"/>
          <w:lang w:eastAsia="es-ES"/>
        </w:rPr>
        <w:t>ilidad efectuado por el Estado</w:t>
      </w:r>
      <w:r w:rsidRPr="00996758">
        <w:rPr>
          <w:rFonts w:ascii="Verdana" w:eastAsia="Times" w:hAnsi="Verdana"/>
          <w:sz w:val="20"/>
          <w:szCs w:val="20"/>
          <w:lang w:eastAsia="es-ES"/>
        </w:rPr>
        <w:t>, la Corte est</w:t>
      </w:r>
      <w:r w:rsidR="007B2AB5" w:rsidRPr="00996758">
        <w:rPr>
          <w:rFonts w:ascii="Verdana" w:eastAsia="Times" w:hAnsi="Verdana"/>
          <w:sz w:val="20"/>
          <w:szCs w:val="20"/>
          <w:lang w:eastAsia="es-ES"/>
        </w:rPr>
        <w:t xml:space="preserve">ima presumible la </w:t>
      </w:r>
      <w:r w:rsidR="009F2A37" w:rsidRPr="00996758">
        <w:rPr>
          <w:rFonts w:ascii="Verdana" w:eastAsia="Times" w:hAnsi="Verdana"/>
          <w:sz w:val="20"/>
          <w:szCs w:val="20"/>
          <w:lang w:eastAsia="es-ES"/>
        </w:rPr>
        <w:t xml:space="preserve">afectación a su integridad psíquica y moral </w:t>
      </w:r>
      <w:r w:rsidRPr="00996758">
        <w:rPr>
          <w:rFonts w:ascii="Verdana" w:eastAsia="Times" w:hAnsi="Verdana"/>
          <w:sz w:val="20"/>
          <w:szCs w:val="20"/>
          <w:lang w:eastAsia="es-ES"/>
        </w:rPr>
        <w:t xml:space="preserve">de los familiares, la cual surge además de </w:t>
      </w:r>
      <w:r w:rsidR="009F2A37" w:rsidRPr="00996758">
        <w:rPr>
          <w:rFonts w:ascii="Verdana" w:eastAsia="Times" w:hAnsi="Verdana"/>
          <w:sz w:val="20"/>
          <w:szCs w:val="20"/>
          <w:lang w:eastAsia="es-ES"/>
        </w:rPr>
        <w:t>sus</w:t>
      </w:r>
      <w:r w:rsidRPr="00996758">
        <w:rPr>
          <w:rFonts w:ascii="Verdana" w:eastAsia="Times" w:hAnsi="Verdana"/>
          <w:sz w:val="20"/>
          <w:szCs w:val="20"/>
          <w:lang w:eastAsia="es-ES"/>
        </w:rPr>
        <w:t xml:space="preserve"> declaraciones</w:t>
      </w:r>
      <w:r w:rsidR="007421FE" w:rsidRPr="00996758">
        <w:rPr>
          <w:rStyle w:val="FootnoteReference"/>
          <w:rFonts w:ascii="Verdana" w:eastAsia="Times" w:hAnsi="Verdana"/>
          <w:sz w:val="20"/>
          <w:szCs w:val="20"/>
          <w:lang w:eastAsia="es-ES"/>
        </w:rPr>
        <w:footnoteReference w:id="168"/>
      </w:r>
      <w:r w:rsidRPr="00996758">
        <w:rPr>
          <w:rFonts w:ascii="Verdana" w:eastAsia="Times" w:hAnsi="Verdana"/>
          <w:sz w:val="20"/>
          <w:szCs w:val="20"/>
          <w:lang w:eastAsia="es-ES"/>
        </w:rPr>
        <w:t xml:space="preserve"> y del </w:t>
      </w:r>
      <w:r w:rsidRPr="00996758">
        <w:rPr>
          <w:rFonts w:ascii="Verdana" w:hAnsi="Verdana"/>
          <w:sz w:val="20"/>
          <w:szCs w:val="20"/>
        </w:rPr>
        <w:t xml:space="preserve">informe </w:t>
      </w:r>
      <w:r w:rsidR="005D3973" w:rsidRPr="00996758">
        <w:rPr>
          <w:rFonts w:ascii="Verdana" w:hAnsi="Verdana"/>
          <w:sz w:val="20"/>
          <w:szCs w:val="20"/>
        </w:rPr>
        <w:t xml:space="preserve">realizado </w:t>
      </w:r>
      <w:r w:rsidRPr="00996758">
        <w:rPr>
          <w:rFonts w:ascii="Verdana" w:hAnsi="Verdana"/>
          <w:sz w:val="20"/>
          <w:szCs w:val="20"/>
        </w:rPr>
        <w:t>sobre el impacto psicosocial</w:t>
      </w:r>
      <w:r w:rsidR="007421FE" w:rsidRPr="00996758">
        <w:rPr>
          <w:rStyle w:val="FootnoteReference"/>
          <w:rFonts w:ascii="Verdana" w:hAnsi="Verdana"/>
          <w:sz w:val="20"/>
          <w:szCs w:val="20"/>
        </w:rPr>
        <w:footnoteReference w:id="169"/>
      </w:r>
      <w:r w:rsidR="007B2AB5" w:rsidRPr="00996758">
        <w:rPr>
          <w:rFonts w:ascii="Verdana" w:eastAsia="Times" w:hAnsi="Verdana"/>
          <w:sz w:val="20"/>
          <w:szCs w:val="20"/>
          <w:lang w:eastAsia="es-ES"/>
        </w:rPr>
        <w:t>, que demuestran que han padecido un profundo sufrimiento y angustia</w:t>
      </w:r>
      <w:r w:rsidR="00C95BC0" w:rsidRPr="00996758">
        <w:rPr>
          <w:rFonts w:ascii="Verdana" w:eastAsia="Times" w:hAnsi="Verdana"/>
          <w:sz w:val="20"/>
          <w:szCs w:val="20"/>
          <w:lang w:eastAsia="es-ES"/>
        </w:rPr>
        <w:t xml:space="preserve"> y</w:t>
      </w:r>
      <w:r w:rsidR="009F2A37" w:rsidRPr="00996758">
        <w:rPr>
          <w:rFonts w:ascii="Verdana" w:eastAsia="Times" w:hAnsi="Verdana"/>
          <w:sz w:val="20"/>
          <w:szCs w:val="20"/>
          <w:lang w:eastAsia="es-ES"/>
        </w:rPr>
        <w:t xml:space="preserve"> desestructuración familiar</w:t>
      </w:r>
      <w:r w:rsidRPr="00996758">
        <w:rPr>
          <w:rFonts w:ascii="Verdana" w:hAnsi="Verdana"/>
          <w:sz w:val="20"/>
          <w:szCs w:val="20"/>
        </w:rPr>
        <w:t xml:space="preserve">. </w:t>
      </w:r>
    </w:p>
    <w:p w:rsidR="00CF31B9" w:rsidRPr="00996758" w:rsidRDefault="00CF31B9">
      <w:pPr>
        <w:widowControl w:val="0"/>
        <w:pBdr>
          <w:top w:val="nil"/>
        </w:pBdr>
        <w:autoSpaceDE w:val="0"/>
        <w:autoSpaceDN w:val="0"/>
        <w:adjustRightInd w:val="0"/>
        <w:spacing w:after="0" w:line="240" w:lineRule="auto"/>
        <w:jc w:val="both"/>
        <w:rPr>
          <w:rFonts w:ascii="Verdana" w:eastAsia="Times" w:hAnsi="Verdana"/>
          <w:sz w:val="20"/>
          <w:szCs w:val="20"/>
          <w:lang w:eastAsia="es-ES"/>
        </w:rPr>
      </w:pPr>
    </w:p>
    <w:p w:rsidR="00E528C3" w:rsidRPr="00996758" w:rsidRDefault="00E528C3"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eastAsia="Times" w:hAnsi="Verdana"/>
          <w:sz w:val="20"/>
          <w:szCs w:val="20"/>
          <w:lang w:eastAsia="es-ES"/>
        </w:rPr>
        <w:t>En</w:t>
      </w:r>
      <w:r w:rsidR="00A938F5" w:rsidRPr="00996758">
        <w:rPr>
          <w:rFonts w:ascii="Verdana" w:eastAsia="Times" w:hAnsi="Verdana"/>
          <w:sz w:val="20"/>
          <w:szCs w:val="20"/>
          <w:lang w:eastAsia="es-ES"/>
        </w:rPr>
        <w:t xml:space="preserve"> cuanto a la alegada violación de</w:t>
      </w:r>
      <w:r w:rsidRPr="00996758">
        <w:rPr>
          <w:rFonts w:ascii="Verdana" w:eastAsia="Times" w:hAnsi="Verdana"/>
          <w:sz w:val="20"/>
          <w:szCs w:val="20"/>
          <w:lang w:eastAsia="es-ES"/>
        </w:rPr>
        <w:t>l artículo 17 de la Convención</w:t>
      </w:r>
      <w:r w:rsidR="00A938F5" w:rsidRPr="00996758">
        <w:rPr>
          <w:rFonts w:ascii="Verdana" w:hAnsi="Verdana"/>
          <w:sz w:val="20"/>
          <w:szCs w:val="20"/>
        </w:rPr>
        <w:t xml:space="preserve">, si bien es claro que </w:t>
      </w:r>
      <w:r w:rsidR="00B24530" w:rsidRPr="00996758">
        <w:rPr>
          <w:rFonts w:ascii="Verdana" w:hAnsi="Verdana"/>
          <w:sz w:val="20"/>
          <w:szCs w:val="20"/>
        </w:rPr>
        <w:t xml:space="preserve">el desplazamiento de la familia hacia otro municipio de Antioquia </w:t>
      </w:r>
      <w:r w:rsidR="00A938F5" w:rsidRPr="00996758">
        <w:rPr>
          <w:rFonts w:ascii="Verdana" w:hAnsi="Verdana"/>
          <w:sz w:val="20"/>
          <w:szCs w:val="20"/>
        </w:rPr>
        <w:t xml:space="preserve">fue consecuencia de la situación económica </w:t>
      </w:r>
      <w:r w:rsidR="000A32D0" w:rsidRPr="00996758">
        <w:rPr>
          <w:rFonts w:ascii="Verdana" w:hAnsi="Verdana"/>
          <w:sz w:val="20"/>
          <w:szCs w:val="20"/>
        </w:rPr>
        <w:t xml:space="preserve">y emocional </w:t>
      </w:r>
      <w:r w:rsidR="00A938F5" w:rsidRPr="00996758">
        <w:rPr>
          <w:rFonts w:ascii="Verdana" w:hAnsi="Verdana"/>
          <w:sz w:val="20"/>
          <w:szCs w:val="20"/>
        </w:rPr>
        <w:t>que enfrentaron</w:t>
      </w:r>
      <w:r w:rsidR="009F2A37" w:rsidRPr="00996758">
        <w:rPr>
          <w:rFonts w:ascii="Verdana" w:hAnsi="Verdana"/>
          <w:sz w:val="20"/>
          <w:szCs w:val="20"/>
        </w:rPr>
        <w:t xml:space="preserve"> luego de la desaparición</w:t>
      </w:r>
      <w:r w:rsidR="00A938F5" w:rsidRPr="00996758">
        <w:rPr>
          <w:rFonts w:ascii="Verdana" w:hAnsi="Verdana"/>
          <w:sz w:val="20"/>
          <w:szCs w:val="20"/>
        </w:rPr>
        <w:t xml:space="preserve">, tales </w:t>
      </w:r>
      <w:r w:rsidR="000A32D0" w:rsidRPr="00996758">
        <w:rPr>
          <w:rFonts w:ascii="Verdana" w:eastAsia="Times" w:hAnsi="Verdana"/>
          <w:sz w:val="20"/>
          <w:szCs w:val="20"/>
          <w:lang w:eastAsia="es-ES"/>
        </w:rPr>
        <w:t>impacto</w:t>
      </w:r>
      <w:r w:rsidR="0027113D" w:rsidRPr="00996758">
        <w:rPr>
          <w:rFonts w:ascii="Verdana" w:eastAsia="Times" w:hAnsi="Verdana"/>
          <w:sz w:val="20"/>
          <w:szCs w:val="20"/>
          <w:lang w:eastAsia="es-ES"/>
        </w:rPr>
        <w:t>s</w:t>
      </w:r>
      <w:r w:rsidR="000A32D0" w:rsidRPr="00996758">
        <w:rPr>
          <w:rFonts w:ascii="Verdana" w:eastAsia="Times" w:hAnsi="Verdana"/>
          <w:sz w:val="20"/>
          <w:szCs w:val="20"/>
          <w:lang w:eastAsia="es-ES"/>
        </w:rPr>
        <w:t xml:space="preserve"> en las dinámicas familiares </w:t>
      </w:r>
      <w:r w:rsidR="000A32D0" w:rsidRPr="00996758">
        <w:rPr>
          <w:rFonts w:ascii="Verdana" w:hAnsi="Verdana"/>
          <w:sz w:val="20"/>
          <w:szCs w:val="20"/>
        </w:rPr>
        <w:t>ya</w:t>
      </w:r>
      <w:r w:rsidR="00A938F5" w:rsidRPr="00996758">
        <w:rPr>
          <w:rFonts w:ascii="Verdana" w:hAnsi="Verdana"/>
          <w:sz w:val="20"/>
          <w:szCs w:val="20"/>
        </w:rPr>
        <w:t xml:space="preserve"> han sido </w:t>
      </w:r>
      <w:r w:rsidR="009F2A37" w:rsidRPr="00996758">
        <w:rPr>
          <w:rFonts w:ascii="Verdana" w:hAnsi="Verdana"/>
          <w:sz w:val="20"/>
          <w:szCs w:val="20"/>
        </w:rPr>
        <w:t>tomadas en cuenta</w:t>
      </w:r>
      <w:r w:rsidR="00A938F5" w:rsidRPr="00996758">
        <w:rPr>
          <w:rFonts w:ascii="Verdana" w:hAnsi="Verdana"/>
          <w:sz w:val="20"/>
          <w:szCs w:val="20"/>
        </w:rPr>
        <w:t xml:space="preserve"> </w:t>
      </w:r>
      <w:r w:rsidR="000A32D0" w:rsidRPr="00996758">
        <w:rPr>
          <w:rFonts w:ascii="Verdana" w:hAnsi="Verdana"/>
          <w:sz w:val="20"/>
          <w:szCs w:val="20"/>
        </w:rPr>
        <w:t xml:space="preserve">como parte de las afectaciones a su integridad personal, </w:t>
      </w:r>
      <w:r w:rsidR="0027113D" w:rsidRPr="00996758">
        <w:rPr>
          <w:rFonts w:ascii="Verdana" w:hAnsi="Verdana"/>
          <w:sz w:val="20"/>
          <w:szCs w:val="20"/>
        </w:rPr>
        <w:t>y serán también</w:t>
      </w:r>
      <w:r w:rsidR="00B24530" w:rsidRPr="00996758">
        <w:rPr>
          <w:rFonts w:ascii="Verdana" w:hAnsi="Verdana"/>
          <w:sz w:val="20"/>
          <w:szCs w:val="20"/>
        </w:rPr>
        <w:t xml:space="preserve"> consideradas </w:t>
      </w:r>
      <w:r w:rsidR="00A938F5" w:rsidRPr="00996758">
        <w:rPr>
          <w:rFonts w:ascii="Verdana" w:hAnsi="Verdana"/>
          <w:sz w:val="20"/>
          <w:szCs w:val="20"/>
        </w:rPr>
        <w:t xml:space="preserve">en el capítulo sobre reparaciones. </w:t>
      </w:r>
      <w:r w:rsidRPr="00996758">
        <w:rPr>
          <w:rFonts w:ascii="Verdana" w:hAnsi="Verdana"/>
          <w:sz w:val="20"/>
          <w:szCs w:val="20"/>
        </w:rPr>
        <w:t xml:space="preserve">En consecuencia, </w:t>
      </w:r>
      <w:r w:rsidR="009F2A37" w:rsidRPr="00996758">
        <w:rPr>
          <w:rFonts w:ascii="Verdana" w:hAnsi="Verdana"/>
          <w:sz w:val="20"/>
          <w:szCs w:val="20"/>
        </w:rPr>
        <w:t xml:space="preserve">el </w:t>
      </w:r>
      <w:r w:rsidRPr="00996758">
        <w:rPr>
          <w:rFonts w:ascii="Verdana" w:hAnsi="Verdana"/>
          <w:sz w:val="20"/>
          <w:szCs w:val="20"/>
        </w:rPr>
        <w:t xml:space="preserve">Tribunal </w:t>
      </w:r>
      <w:r w:rsidR="009F2A37" w:rsidRPr="00996758">
        <w:rPr>
          <w:rFonts w:ascii="Verdana" w:hAnsi="Verdana"/>
          <w:sz w:val="20"/>
          <w:szCs w:val="20"/>
        </w:rPr>
        <w:t>no se pronuncia</w:t>
      </w:r>
      <w:r w:rsidRPr="00996758">
        <w:rPr>
          <w:rFonts w:ascii="Verdana" w:hAnsi="Verdana"/>
          <w:sz w:val="20"/>
          <w:szCs w:val="20"/>
        </w:rPr>
        <w:t xml:space="preserve"> respecto de la alegada violación a la protección a la f</w:t>
      </w:r>
      <w:r w:rsidR="00A938F5" w:rsidRPr="00996758">
        <w:rPr>
          <w:rFonts w:ascii="Verdana" w:hAnsi="Verdana"/>
          <w:sz w:val="20"/>
          <w:szCs w:val="20"/>
        </w:rPr>
        <w:t>amilia contenido en el a</w:t>
      </w:r>
      <w:r w:rsidRPr="00996758">
        <w:rPr>
          <w:rFonts w:ascii="Verdana" w:hAnsi="Verdana"/>
          <w:sz w:val="20"/>
          <w:szCs w:val="20"/>
        </w:rPr>
        <w:t>rt</w:t>
      </w:r>
      <w:r w:rsidR="00A938F5" w:rsidRPr="00996758">
        <w:rPr>
          <w:rFonts w:ascii="Verdana" w:hAnsi="Verdana"/>
          <w:sz w:val="20"/>
          <w:szCs w:val="20"/>
        </w:rPr>
        <w:t>í</w:t>
      </w:r>
      <w:r w:rsidRPr="00996758">
        <w:rPr>
          <w:rFonts w:ascii="Verdana" w:hAnsi="Verdana"/>
          <w:sz w:val="20"/>
          <w:szCs w:val="20"/>
        </w:rPr>
        <w:t>culo</w:t>
      </w:r>
      <w:r w:rsidR="00A938F5" w:rsidRPr="00996758">
        <w:rPr>
          <w:rFonts w:ascii="Verdana" w:hAnsi="Verdana"/>
          <w:sz w:val="20"/>
          <w:szCs w:val="20"/>
        </w:rPr>
        <w:t xml:space="preserve"> </w:t>
      </w:r>
      <w:r w:rsidRPr="00996758">
        <w:rPr>
          <w:rFonts w:ascii="Verdana" w:hAnsi="Verdana"/>
          <w:sz w:val="20"/>
          <w:szCs w:val="20"/>
        </w:rPr>
        <w:t xml:space="preserve">17.1 de la Convención. </w:t>
      </w:r>
    </w:p>
    <w:p w:rsidR="00E528C3" w:rsidRPr="00996758" w:rsidRDefault="00E528C3">
      <w:pPr>
        <w:widowControl w:val="0"/>
        <w:pBdr>
          <w:top w:val="nil"/>
        </w:pBdr>
        <w:autoSpaceDE w:val="0"/>
        <w:autoSpaceDN w:val="0"/>
        <w:adjustRightInd w:val="0"/>
        <w:spacing w:after="0" w:line="240" w:lineRule="auto"/>
        <w:jc w:val="both"/>
        <w:rPr>
          <w:rFonts w:ascii="Verdana" w:hAnsi="Verdana"/>
          <w:sz w:val="20"/>
          <w:szCs w:val="20"/>
        </w:rPr>
      </w:pPr>
    </w:p>
    <w:p w:rsidR="008A49C0" w:rsidRPr="00996758" w:rsidRDefault="001824FE" w:rsidP="00DC7CD8">
      <w:pPr>
        <w:widowControl w:val="0"/>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Respecto d</w:t>
      </w:r>
      <w:r w:rsidR="00E528C3" w:rsidRPr="00996758">
        <w:rPr>
          <w:rFonts w:ascii="Verdana" w:hAnsi="Verdana"/>
          <w:sz w:val="20"/>
          <w:szCs w:val="20"/>
        </w:rPr>
        <w:t xml:space="preserve">el derecho a la honra </w:t>
      </w:r>
      <w:r w:rsidRPr="00996758">
        <w:rPr>
          <w:rFonts w:ascii="Verdana" w:hAnsi="Verdana"/>
          <w:sz w:val="20"/>
          <w:szCs w:val="20"/>
        </w:rPr>
        <w:t>y dignidad,</w:t>
      </w:r>
      <w:r w:rsidR="00C95BC0" w:rsidRPr="00996758">
        <w:rPr>
          <w:rFonts w:ascii="Verdana" w:hAnsi="Verdana"/>
          <w:sz w:val="20"/>
          <w:szCs w:val="20"/>
        </w:rPr>
        <w:t xml:space="preserve"> reconocido en </w:t>
      </w:r>
      <w:r w:rsidR="00E528C3" w:rsidRPr="00996758">
        <w:rPr>
          <w:rFonts w:ascii="Verdana" w:hAnsi="Verdana"/>
          <w:sz w:val="20"/>
          <w:szCs w:val="20"/>
        </w:rPr>
        <w:t>el artículo 11 de la Convención</w:t>
      </w:r>
      <w:r w:rsidRPr="00996758">
        <w:rPr>
          <w:rStyle w:val="FootnoteReference"/>
          <w:rFonts w:ascii="Verdana" w:hAnsi="Verdana"/>
          <w:sz w:val="20"/>
          <w:szCs w:val="20"/>
        </w:rPr>
        <w:footnoteReference w:id="170"/>
      </w:r>
      <w:r w:rsidR="00C95BC0" w:rsidRPr="00996758">
        <w:rPr>
          <w:rFonts w:ascii="Verdana" w:hAnsi="Verdana"/>
          <w:spacing w:val="-2"/>
          <w:sz w:val="20"/>
          <w:szCs w:val="20"/>
        </w:rPr>
        <w:t xml:space="preserve">, </w:t>
      </w:r>
      <w:r w:rsidR="000375D0" w:rsidRPr="00996758">
        <w:rPr>
          <w:rFonts w:ascii="Verdana" w:hAnsi="Verdana"/>
          <w:sz w:val="20"/>
          <w:szCs w:val="20"/>
        </w:rPr>
        <w:t>el alegato de los repr</w:t>
      </w:r>
      <w:r w:rsidR="00D54A1C" w:rsidRPr="00996758">
        <w:rPr>
          <w:rFonts w:ascii="Verdana" w:hAnsi="Verdana"/>
          <w:sz w:val="20"/>
          <w:szCs w:val="20"/>
        </w:rPr>
        <w:t>esentantes se centra en que la p</w:t>
      </w:r>
      <w:r w:rsidR="000375D0" w:rsidRPr="00996758">
        <w:rPr>
          <w:rFonts w:ascii="Verdana" w:hAnsi="Verdana"/>
          <w:sz w:val="20"/>
          <w:szCs w:val="20"/>
        </w:rPr>
        <w:t xml:space="preserve">olicía, los tribunales </w:t>
      </w:r>
      <w:r w:rsidR="000375D0" w:rsidRPr="00996758">
        <w:rPr>
          <w:rFonts w:ascii="Verdana" w:hAnsi="Verdana"/>
          <w:sz w:val="20"/>
          <w:szCs w:val="20"/>
        </w:rPr>
        <w:lastRenderedPageBreak/>
        <w:t xml:space="preserve">contencioso administrativos y la Procuraduría </w:t>
      </w:r>
      <w:r w:rsidR="007D1BEA" w:rsidRPr="00996758">
        <w:rPr>
          <w:rFonts w:ascii="Verdana" w:hAnsi="Verdana" w:cs="Times New Roman"/>
          <w:sz w:val="20"/>
          <w:szCs w:val="20"/>
        </w:rPr>
        <w:t>señalaron al señor</w:t>
      </w:r>
      <w:r w:rsidR="000375D0" w:rsidRPr="00996758">
        <w:rPr>
          <w:rFonts w:ascii="Verdana" w:hAnsi="Verdana" w:cs="Times New Roman"/>
          <w:sz w:val="20"/>
          <w:szCs w:val="20"/>
        </w:rPr>
        <w:t xml:space="preserve"> Isaza como miembro de las FARC, lo que</w:t>
      </w:r>
      <w:r w:rsidR="00D54A1C" w:rsidRPr="00996758">
        <w:rPr>
          <w:rFonts w:ascii="Verdana" w:hAnsi="Verdana" w:cs="Times New Roman"/>
          <w:sz w:val="20"/>
          <w:szCs w:val="20"/>
        </w:rPr>
        <w:t xml:space="preserve"> habría generado</w:t>
      </w:r>
      <w:r w:rsidR="000375D0" w:rsidRPr="00996758">
        <w:rPr>
          <w:rFonts w:ascii="Verdana" w:hAnsi="Verdana" w:cs="Times New Roman"/>
          <w:sz w:val="20"/>
          <w:szCs w:val="20"/>
        </w:rPr>
        <w:t xml:space="preserve"> estigmatización </w:t>
      </w:r>
      <w:r w:rsidR="00D54A1C" w:rsidRPr="00996758">
        <w:rPr>
          <w:rFonts w:ascii="Verdana" w:hAnsi="Verdana" w:cs="Times New Roman"/>
          <w:sz w:val="20"/>
          <w:szCs w:val="20"/>
        </w:rPr>
        <w:t xml:space="preserve">y afectaciones </w:t>
      </w:r>
      <w:r w:rsidR="000375D0" w:rsidRPr="00996758">
        <w:rPr>
          <w:rFonts w:ascii="Verdana" w:hAnsi="Verdana" w:cs="Times New Roman"/>
          <w:sz w:val="20"/>
          <w:szCs w:val="20"/>
        </w:rPr>
        <w:t xml:space="preserve">en su </w:t>
      </w:r>
      <w:r w:rsidR="00D54A1C" w:rsidRPr="00996758">
        <w:rPr>
          <w:rFonts w:ascii="Verdana" w:hAnsi="Verdana" w:cs="Times New Roman"/>
          <w:sz w:val="20"/>
          <w:szCs w:val="20"/>
        </w:rPr>
        <w:t>familia</w:t>
      </w:r>
      <w:r w:rsidR="000375D0" w:rsidRPr="00996758">
        <w:rPr>
          <w:rFonts w:ascii="Verdana" w:hAnsi="Verdana" w:cs="Times New Roman"/>
          <w:sz w:val="20"/>
          <w:szCs w:val="20"/>
        </w:rPr>
        <w:t xml:space="preserve">. Sin embargo, según fue analizado en el capítulo anterior, de las determinaciones </w:t>
      </w:r>
      <w:r w:rsidR="008007CE" w:rsidRPr="00996758">
        <w:rPr>
          <w:rFonts w:ascii="Verdana" w:hAnsi="Verdana" w:cs="Times New Roman"/>
          <w:sz w:val="20"/>
          <w:szCs w:val="20"/>
        </w:rPr>
        <w:t>preliminares</w:t>
      </w:r>
      <w:r w:rsidR="000375D0" w:rsidRPr="00996758">
        <w:rPr>
          <w:rFonts w:ascii="Verdana" w:hAnsi="Verdana" w:cs="Times New Roman"/>
          <w:sz w:val="20"/>
          <w:szCs w:val="20"/>
        </w:rPr>
        <w:t xml:space="preserve">, provisionales o definitivas de las autoridades administrativas o judiciales que tuvieron alguna intervención en </w:t>
      </w:r>
      <w:r w:rsidR="00230E35" w:rsidRPr="00996758">
        <w:rPr>
          <w:rFonts w:ascii="Verdana" w:hAnsi="Verdana" w:cs="Times New Roman"/>
          <w:sz w:val="20"/>
          <w:szCs w:val="20"/>
        </w:rPr>
        <w:t>la investigación de los hechos</w:t>
      </w:r>
      <w:r w:rsidR="008007CE" w:rsidRPr="00996758">
        <w:rPr>
          <w:rFonts w:ascii="Verdana" w:hAnsi="Verdana" w:cs="Times New Roman"/>
          <w:sz w:val="20"/>
          <w:szCs w:val="20"/>
        </w:rPr>
        <w:t>,</w:t>
      </w:r>
      <w:r w:rsidR="00230E35" w:rsidRPr="00996758">
        <w:rPr>
          <w:rFonts w:ascii="Verdana" w:hAnsi="Verdana" w:cs="Times New Roman"/>
          <w:sz w:val="20"/>
          <w:szCs w:val="20"/>
        </w:rPr>
        <w:t xml:space="preserve"> </w:t>
      </w:r>
      <w:r w:rsidR="000375D0" w:rsidRPr="00996758">
        <w:rPr>
          <w:rFonts w:ascii="Verdana" w:hAnsi="Verdana" w:cs="Times New Roman"/>
          <w:sz w:val="20"/>
          <w:szCs w:val="20"/>
        </w:rPr>
        <w:t>no surge</w:t>
      </w:r>
      <w:r w:rsidR="00E528C3" w:rsidRPr="00996758">
        <w:rPr>
          <w:rFonts w:ascii="Verdana" w:hAnsi="Verdana"/>
          <w:sz w:val="20"/>
          <w:szCs w:val="20"/>
        </w:rPr>
        <w:t xml:space="preserve"> que funcionarios públicos </w:t>
      </w:r>
      <w:r w:rsidR="000375D0" w:rsidRPr="00996758">
        <w:rPr>
          <w:rFonts w:ascii="Verdana" w:hAnsi="Verdana"/>
          <w:sz w:val="20"/>
          <w:szCs w:val="20"/>
        </w:rPr>
        <w:t xml:space="preserve">declararan o </w:t>
      </w:r>
      <w:r w:rsidR="00E528C3" w:rsidRPr="00996758">
        <w:rPr>
          <w:rFonts w:ascii="Verdana" w:hAnsi="Verdana"/>
          <w:sz w:val="20"/>
          <w:szCs w:val="20"/>
        </w:rPr>
        <w:t xml:space="preserve">promovieran versiones de los hechos en </w:t>
      </w:r>
      <w:r w:rsidR="000375D0" w:rsidRPr="00996758">
        <w:rPr>
          <w:rFonts w:ascii="Verdana" w:hAnsi="Verdana"/>
          <w:sz w:val="20"/>
          <w:szCs w:val="20"/>
        </w:rPr>
        <w:t xml:space="preserve">que se afirme o declare </w:t>
      </w:r>
      <w:r w:rsidR="00230E35" w:rsidRPr="00996758">
        <w:rPr>
          <w:rFonts w:ascii="Verdana" w:hAnsi="Verdana"/>
          <w:sz w:val="20"/>
          <w:szCs w:val="20"/>
        </w:rPr>
        <w:t>categórica</w:t>
      </w:r>
      <w:r w:rsidR="00B673E8" w:rsidRPr="00996758">
        <w:rPr>
          <w:rFonts w:ascii="Verdana" w:hAnsi="Verdana"/>
          <w:sz w:val="20"/>
          <w:szCs w:val="20"/>
        </w:rPr>
        <w:t xml:space="preserve"> o implícita</w:t>
      </w:r>
      <w:r w:rsidR="00230E35" w:rsidRPr="00996758">
        <w:rPr>
          <w:rFonts w:ascii="Verdana" w:hAnsi="Verdana"/>
          <w:sz w:val="20"/>
          <w:szCs w:val="20"/>
        </w:rPr>
        <w:t xml:space="preserve">mente </w:t>
      </w:r>
      <w:r w:rsidR="000375D0" w:rsidRPr="00996758">
        <w:rPr>
          <w:rFonts w:ascii="Verdana" w:hAnsi="Verdana"/>
          <w:sz w:val="20"/>
          <w:szCs w:val="20"/>
        </w:rPr>
        <w:t xml:space="preserve">que </w:t>
      </w:r>
      <w:r w:rsidR="00E528C3" w:rsidRPr="00996758">
        <w:rPr>
          <w:rFonts w:ascii="Verdana" w:hAnsi="Verdana"/>
          <w:sz w:val="20"/>
          <w:szCs w:val="20"/>
        </w:rPr>
        <w:t xml:space="preserve">el señor Isaza Uribe </w:t>
      </w:r>
      <w:r w:rsidR="00426755" w:rsidRPr="00996758">
        <w:rPr>
          <w:rFonts w:ascii="Verdana" w:hAnsi="Verdana"/>
          <w:sz w:val="20"/>
          <w:szCs w:val="20"/>
        </w:rPr>
        <w:t xml:space="preserve">fuese miembro </w:t>
      </w:r>
      <w:r w:rsidR="00E528C3" w:rsidRPr="00996758">
        <w:rPr>
          <w:rFonts w:ascii="Verdana" w:hAnsi="Verdana"/>
          <w:sz w:val="20"/>
          <w:szCs w:val="20"/>
        </w:rPr>
        <w:t>del grupo guerrillero FARC.</w:t>
      </w:r>
      <w:r w:rsidR="000375D0" w:rsidRPr="00996758">
        <w:rPr>
          <w:rFonts w:ascii="Verdana" w:hAnsi="Verdana"/>
          <w:sz w:val="20"/>
          <w:szCs w:val="20"/>
        </w:rPr>
        <w:t xml:space="preserve"> </w:t>
      </w:r>
      <w:r w:rsidR="00230E35" w:rsidRPr="00996758">
        <w:rPr>
          <w:rFonts w:ascii="Verdana" w:hAnsi="Verdana"/>
          <w:sz w:val="20"/>
          <w:szCs w:val="20"/>
        </w:rPr>
        <w:t xml:space="preserve">Esa tampoco ha sido la posición del Estado ante este Tribunal. </w:t>
      </w:r>
      <w:r w:rsidR="00970D06" w:rsidRPr="00996758">
        <w:rPr>
          <w:rFonts w:ascii="Verdana" w:hAnsi="Verdana"/>
          <w:sz w:val="20"/>
          <w:szCs w:val="20"/>
        </w:rPr>
        <w:t>E</w:t>
      </w:r>
      <w:r w:rsidR="000375D0" w:rsidRPr="00996758">
        <w:rPr>
          <w:rFonts w:ascii="Verdana" w:hAnsi="Verdana"/>
          <w:sz w:val="20"/>
          <w:szCs w:val="20"/>
        </w:rPr>
        <w:t xml:space="preserve">sa fue una hipótesis de investigación </w:t>
      </w:r>
      <w:r w:rsidR="008007CE" w:rsidRPr="00996758">
        <w:rPr>
          <w:rFonts w:ascii="Verdana" w:hAnsi="Verdana"/>
          <w:sz w:val="20"/>
          <w:szCs w:val="20"/>
        </w:rPr>
        <w:t xml:space="preserve">que </w:t>
      </w:r>
      <w:r w:rsidR="00426755" w:rsidRPr="00996758">
        <w:rPr>
          <w:rFonts w:ascii="Verdana" w:hAnsi="Verdana"/>
          <w:sz w:val="20"/>
          <w:szCs w:val="20"/>
        </w:rPr>
        <w:t>surgió</w:t>
      </w:r>
      <w:r w:rsidR="000375D0" w:rsidRPr="00996758">
        <w:rPr>
          <w:rFonts w:ascii="Verdana" w:hAnsi="Verdana"/>
          <w:sz w:val="20"/>
          <w:szCs w:val="20"/>
        </w:rPr>
        <w:t xml:space="preserve"> de algunos elementos, </w:t>
      </w:r>
      <w:r w:rsidR="008A49C0" w:rsidRPr="00996758">
        <w:rPr>
          <w:rFonts w:ascii="Verdana" w:hAnsi="Verdana"/>
          <w:sz w:val="20"/>
          <w:szCs w:val="20"/>
        </w:rPr>
        <w:t xml:space="preserve">la cual </w:t>
      </w:r>
      <w:r w:rsidR="000375D0" w:rsidRPr="00996758">
        <w:rPr>
          <w:rFonts w:ascii="Verdana" w:hAnsi="Verdana"/>
          <w:sz w:val="20"/>
          <w:szCs w:val="20"/>
        </w:rPr>
        <w:t>no fue</w:t>
      </w:r>
      <w:r w:rsidR="008A49C0" w:rsidRPr="00996758">
        <w:rPr>
          <w:rFonts w:ascii="Verdana" w:hAnsi="Verdana"/>
          <w:sz w:val="20"/>
          <w:szCs w:val="20"/>
        </w:rPr>
        <w:t xml:space="preserve"> concluyente ni</w:t>
      </w:r>
      <w:r w:rsidR="000375D0" w:rsidRPr="00996758">
        <w:rPr>
          <w:rFonts w:ascii="Verdana" w:hAnsi="Verdana"/>
          <w:sz w:val="20"/>
          <w:szCs w:val="20"/>
        </w:rPr>
        <w:t xml:space="preserve"> corroborada por tales autoridades. </w:t>
      </w:r>
      <w:r w:rsidR="008A49C0" w:rsidRPr="00996758">
        <w:rPr>
          <w:rFonts w:ascii="Verdana" w:hAnsi="Verdana"/>
          <w:sz w:val="20"/>
          <w:szCs w:val="20"/>
        </w:rPr>
        <w:t xml:space="preserve">De ese modo, por más que los familiares </w:t>
      </w:r>
      <w:r w:rsidR="00426755" w:rsidRPr="00996758">
        <w:rPr>
          <w:rFonts w:ascii="Verdana" w:hAnsi="Verdana"/>
          <w:sz w:val="20"/>
          <w:szCs w:val="20"/>
        </w:rPr>
        <w:t xml:space="preserve">sientan </w:t>
      </w:r>
      <w:r w:rsidR="008A49C0" w:rsidRPr="00996758">
        <w:rPr>
          <w:rFonts w:ascii="Verdana" w:hAnsi="Verdana"/>
          <w:sz w:val="20"/>
          <w:szCs w:val="20"/>
        </w:rPr>
        <w:t xml:space="preserve">que tal hipótesis </w:t>
      </w:r>
      <w:r w:rsidR="008A49C0" w:rsidRPr="00996758">
        <w:rPr>
          <w:rFonts w:ascii="Verdana" w:hAnsi="Verdana" w:cs="Times New Roman"/>
          <w:sz w:val="20"/>
          <w:szCs w:val="20"/>
        </w:rPr>
        <w:t xml:space="preserve">de los hechos </w:t>
      </w:r>
      <w:r w:rsidR="00673F53" w:rsidRPr="00996758">
        <w:rPr>
          <w:rFonts w:ascii="Verdana" w:hAnsi="Verdana"/>
          <w:sz w:val="20"/>
          <w:szCs w:val="20"/>
        </w:rPr>
        <w:t>fue denigrante o estigmatizadora</w:t>
      </w:r>
      <w:r w:rsidR="008A49C0" w:rsidRPr="00996758">
        <w:rPr>
          <w:rFonts w:ascii="Verdana" w:hAnsi="Verdana"/>
          <w:sz w:val="20"/>
          <w:szCs w:val="20"/>
        </w:rPr>
        <w:t>, ello surgió en el marco de investigaciones</w:t>
      </w:r>
      <w:r w:rsidR="00F92093" w:rsidRPr="00996758">
        <w:rPr>
          <w:rFonts w:ascii="Verdana" w:hAnsi="Verdana"/>
          <w:sz w:val="20"/>
          <w:szCs w:val="20"/>
        </w:rPr>
        <w:t xml:space="preserve"> de carácter</w:t>
      </w:r>
      <w:r w:rsidR="008A49C0" w:rsidRPr="00996758">
        <w:rPr>
          <w:rFonts w:ascii="Verdana" w:hAnsi="Verdana"/>
          <w:sz w:val="20"/>
          <w:szCs w:val="20"/>
        </w:rPr>
        <w:t xml:space="preserve"> </w:t>
      </w:r>
      <w:r w:rsidR="008A49C0" w:rsidRPr="00996758">
        <w:rPr>
          <w:rFonts w:ascii="Verdana" w:hAnsi="Verdana" w:cs="Times New Roman"/>
          <w:sz w:val="20"/>
          <w:szCs w:val="20"/>
        </w:rPr>
        <w:t xml:space="preserve">policial, administrativa y judicial realizadas </w:t>
      </w:r>
      <w:r w:rsidR="008A49C0" w:rsidRPr="00996758">
        <w:rPr>
          <w:rFonts w:ascii="Verdana" w:hAnsi="Verdana"/>
          <w:sz w:val="20"/>
          <w:szCs w:val="20"/>
        </w:rPr>
        <w:t xml:space="preserve">por autoridades competentes, </w:t>
      </w:r>
      <w:r w:rsidR="008A49C0" w:rsidRPr="00996758">
        <w:rPr>
          <w:rFonts w:ascii="Verdana" w:hAnsi="Verdana" w:cs="Times New Roman"/>
          <w:sz w:val="20"/>
          <w:szCs w:val="20"/>
        </w:rPr>
        <w:t xml:space="preserve">por lo cual no corresponde analizar </w:t>
      </w:r>
      <w:r w:rsidR="00F92093" w:rsidRPr="00996758">
        <w:rPr>
          <w:rFonts w:ascii="Verdana" w:hAnsi="Verdana" w:cs="Times New Roman"/>
          <w:sz w:val="20"/>
          <w:szCs w:val="20"/>
        </w:rPr>
        <w:t>los hechos</w:t>
      </w:r>
      <w:r w:rsidR="008A49C0" w:rsidRPr="00996758">
        <w:rPr>
          <w:rFonts w:ascii="Verdana" w:hAnsi="Verdana" w:cs="Times New Roman"/>
          <w:sz w:val="20"/>
          <w:szCs w:val="20"/>
        </w:rPr>
        <w:t xml:space="preserve"> bajo el artículo 11 de la Convención. </w:t>
      </w:r>
    </w:p>
    <w:p w:rsidR="001502B8" w:rsidRPr="00996758" w:rsidRDefault="001502B8" w:rsidP="001502B8">
      <w:pPr>
        <w:widowControl w:val="0"/>
        <w:pBdr>
          <w:top w:val="nil"/>
        </w:pBdr>
        <w:autoSpaceDE w:val="0"/>
        <w:autoSpaceDN w:val="0"/>
        <w:adjustRightInd w:val="0"/>
        <w:spacing w:after="0" w:line="240" w:lineRule="auto"/>
        <w:jc w:val="both"/>
        <w:rPr>
          <w:rFonts w:ascii="Verdana" w:eastAsia="Times" w:hAnsi="Verdana"/>
          <w:sz w:val="20"/>
          <w:szCs w:val="20"/>
          <w:lang w:eastAsia="es-ES"/>
        </w:rPr>
      </w:pPr>
    </w:p>
    <w:p w:rsidR="001502B8" w:rsidRPr="00996758" w:rsidRDefault="00F92093" w:rsidP="001502B8">
      <w:pPr>
        <w:widowControl w:val="0"/>
        <w:numPr>
          <w:ilvl w:val="0"/>
          <w:numId w:val="10"/>
        </w:numPr>
        <w:pBdr>
          <w:top w:val="nil"/>
        </w:pBdr>
        <w:autoSpaceDE w:val="0"/>
        <w:autoSpaceDN w:val="0"/>
        <w:adjustRightInd w:val="0"/>
        <w:spacing w:after="0" w:line="240" w:lineRule="auto"/>
        <w:ind w:left="0" w:firstLine="0"/>
        <w:jc w:val="both"/>
        <w:rPr>
          <w:rFonts w:ascii="Verdana" w:eastAsia="Times" w:hAnsi="Verdana"/>
          <w:sz w:val="20"/>
          <w:szCs w:val="20"/>
          <w:lang w:eastAsia="es-ES"/>
        </w:rPr>
      </w:pPr>
      <w:r w:rsidRPr="00996758">
        <w:rPr>
          <w:rFonts w:ascii="Verdana" w:eastAsia="Times" w:hAnsi="Verdana"/>
          <w:sz w:val="20"/>
          <w:szCs w:val="20"/>
          <w:lang w:eastAsia="es-ES"/>
        </w:rPr>
        <w:t>En conclusión</w:t>
      </w:r>
      <w:r w:rsidR="001502B8" w:rsidRPr="00996758">
        <w:rPr>
          <w:rFonts w:ascii="Verdana" w:eastAsia="Times" w:hAnsi="Verdana"/>
          <w:sz w:val="20"/>
          <w:szCs w:val="20"/>
          <w:lang w:eastAsia="es-ES"/>
        </w:rPr>
        <w:t xml:space="preserve">, este Tribunal </w:t>
      </w:r>
      <w:r w:rsidR="005D3973" w:rsidRPr="00996758">
        <w:rPr>
          <w:rFonts w:ascii="Verdana" w:eastAsia="Times" w:hAnsi="Verdana"/>
          <w:sz w:val="20"/>
          <w:szCs w:val="20"/>
          <w:lang w:eastAsia="es-ES"/>
        </w:rPr>
        <w:t>declara</w:t>
      </w:r>
      <w:r w:rsidR="001502B8" w:rsidRPr="00996758">
        <w:rPr>
          <w:rFonts w:ascii="Verdana" w:eastAsia="Times" w:hAnsi="Verdana"/>
          <w:sz w:val="20"/>
          <w:szCs w:val="20"/>
          <w:lang w:eastAsia="es-ES"/>
        </w:rPr>
        <w:t xml:space="preserve"> que el Estado es responsable por la violación del derecho a la integridad personal, reconocido en el artículo 5.1 de la Convención Americana, en relación con el artículo 1.1 del mismo instrumento, en perjuicio de la señora </w:t>
      </w:r>
      <w:r w:rsidR="001502B8" w:rsidRPr="00996758">
        <w:rPr>
          <w:rFonts w:ascii="Verdana" w:hAnsi="Verdana" w:cs="Times New Roman"/>
          <w:sz w:val="20"/>
          <w:szCs w:val="20"/>
        </w:rPr>
        <w:t>Carmenza Vélez y los señores Jhony Alexander Isaza Vélez y Haner Alexis Isaza Vélez</w:t>
      </w:r>
      <w:r w:rsidR="001502B8" w:rsidRPr="00996758">
        <w:rPr>
          <w:rFonts w:ascii="Verdana" w:eastAsia="Times" w:hAnsi="Verdana"/>
          <w:sz w:val="20"/>
          <w:szCs w:val="20"/>
          <w:lang w:eastAsia="es-ES"/>
        </w:rPr>
        <w:t>.</w:t>
      </w:r>
    </w:p>
    <w:p w:rsidR="00D275ED" w:rsidRPr="00996758" w:rsidRDefault="00D275ED">
      <w:pPr>
        <w:widowControl w:val="0"/>
        <w:pBdr>
          <w:top w:val="nil"/>
        </w:pBdr>
        <w:autoSpaceDE w:val="0"/>
        <w:autoSpaceDN w:val="0"/>
        <w:adjustRightInd w:val="0"/>
        <w:spacing w:after="0" w:line="240" w:lineRule="auto"/>
        <w:jc w:val="both"/>
        <w:rPr>
          <w:rFonts w:ascii="Verdana" w:hAnsi="Verdana"/>
          <w:sz w:val="20"/>
          <w:szCs w:val="20"/>
        </w:rPr>
      </w:pPr>
    </w:p>
    <w:p w:rsidR="00607AFC" w:rsidRPr="00996758" w:rsidRDefault="00607AFC">
      <w:pPr>
        <w:pBdr>
          <w:top w:val="nil"/>
        </w:pBdr>
        <w:autoSpaceDE w:val="0"/>
        <w:autoSpaceDN w:val="0"/>
        <w:adjustRightInd w:val="0"/>
        <w:spacing w:after="0" w:line="240" w:lineRule="auto"/>
        <w:jc w:val="both"/>
        <w:rPr>
          <w:rFonts w:ascii="Verdana" w:eastAsia="Times New Roman" w:hAnsi="Verdana" w:cs="Tahoma"/>
          <w:sz w:val="20"/>
          <w:szCs w:val="20"/>
        </w:rPr>
      </w:pPr>
    </w:p>
    <w:p w:rsidR="00607AFC" w:rsidRPr="00996758" w:rsidRDefault="00C460F0">
      <w:pPr>
        <w:pStyle w:val="Heading1"/>
        <w:spacing w:before="0" w:after="0"/>
        <w:rPr>
          <w:b w:val="0"/>
          <w:bCs w:val="0"/>
          <w:caps w:val="0"/>
        </w:rPr>
      </w:pPr>
      <w:bookmarkStart w:id="37" w:name="_Toc476251464"/>
      <w:bookmarkStart w:id="38" w:name="_Toc530560070"/>
      <w:r w:rsidRPr="00996758">
        <w:t>IX</w:t>
      </w:r>
      <w:r w:rsidR="00607AFC" w:rsidRPr="00996758">
        <w:br/>
        <w:t>REPARACIONES</w:t>
      </w:r>
      <w:bookmarkEnd w:id="37"/>
      <w:bookmarkEnd w:id="38"/>
    </w:p>
    <w:p w:rsidR="00607AFC" w:rsidRPr="00996758" w:rsidRDefault="00607AFC" w:rsidP="00DC7CD8">
      <w:pPr>
        <w:spacing w:line="240" w:lineRule="auto"/>
        <w:jc w:val="center"/>
        <w:rPr>
          <w:rFonts w:ascii="Verdana" w:hAnsi="Verdana"/>
          <w:b/>
          <w:smallCaps/>
          <w:snapToGrid w:val="0"/>
          <w:sz w:val="20"/>
          <w:szCs w:val="20"/>
          <w:lang w:eastAsia="es-ES"/>
        </w:rPr>
      </w:pPr>
      <w:r w:rsidRPr="00996758">
        <w:rPr>
          <w:rFonts w:ascii="Verdana" w:hAnsi="Verdana" w:cs="Tahoma"/>
          <w:b/>
          <w:smallCaps/>
          <w:sz w:val="20"/>
          <w:szCs w:val="20"/>
        </w:rPr>
        <w:t xml:space="preserve"> (</w:t>
      </w:r>
      <w:r w:rsidRPr="00996758">
        <w:rPr>
          <w:rFonts w:ascii="Verdana" w:hAnsi="Verdana"/>
          <w:b/>
          <w:smallCaps/>
          <w:snapToGrid w:val="0"/>
          <w:sz w:val="20"/>
          <w:szCs w:val="20"/>
          <w:lang w:eastAsia="es-ES"/>
        </w:rPr>
        <w:t>Aplicación del artículo 63.1 de la Convención Americana</w:t>
      </w:r>
      <w:r w:rsidRPr="00996758">
        <w:rPr>
          <w:rStyle w:val="FootnoteReference"/>
          <w:rFonts w:ascii="Verdana" w:hAnsi="Verdana"/>
          <w:bCs/>
          <w:spacing w:val="-2"/>
          <w:sz w:val="20"/>
          <w:szCs w:val="20"/>
        </w:rPr>
        <w:footnoteReference w:id="171"/>
      </w:r>
      <w:r w:rsidRPr="00996758">
        <w:rPr>
          <w:rFonts w:ascii="Verdana" w:hAnsi="Verdana"/>
          <w:b/>
          <w:smallCaps/>
          <w:snapToGrid w:val="0"/>
          <w:sz w:val="20"/>
          <w:szCs w:val="20"/>
          <w:lang w:eastAsia="es-ES"/>
        </w:rPr>
        <w:t>)</w:t>
      </w:r>
    </w:p>
    <w:p w:rsidR="00607AFC" w:rsidRPr="00996758" w:rsidRDefault="00607AFC" w:rsidP="00AE1DD8">
      <w:pPr>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996758">
        <w:rPr>
          <w:rFonts w:ascii="Verdana" w:hAnsi="Verdana"/>
          <w:sz w:val="20"/>
          <w:szCs w:val="20"/>
        </w:rPr>
        <w:t>Con base en lo dispuesto en el artículo 63.1 de la Convención Americana, la Corte ha indicado que toda violación</w:t>
      </w:r>
      <w:r w:rsidRPr="00996758">
        <w:rPr>
          <w:rFonts w:ascii="Verdana" w:hAnsi="Verdana"/>
          <w:spacing w:val="-2"/>
          <w:sz w:val="20"/>
          <w:szCs w:val="20"/>
        </w:rPr>
        <w:t xml:space="preserve">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996758">
        <w:rPr>
          <w:rStyle w:val="FootnoteReference"/>
          <w:rFonts w:ascii="Verdana" w:hAnsi="Verdana"/>
          <w:spacing w:val="-2"/>
          <w:sz w:val="20"/>
          <w:szCs w:val="20"/>
        </w:rPr>
        <w:footnoteReference w:id="172"/>
      </w:r>
      <w:r w:rsidRPr="00996758">
        <w:rPr>
          <w:rFonts w:ascii="Verdana" w:hAnsi="Verdana"/>
          <w:spacing w:val="-2"/>
          <w:sz w:val="20"/>
          <w:szCs w:val="20"/>
        </w:rPr>
        <w:t>.</w:t>
      </w:r>
    </w:p>
    <w:p w:rsidR="00607AFC" w:rsidRPr="00996758" w:rsidRDefault="00607AFC">
      <w:pPr>
        <w:pBdr>
          <w:top w:val="nil"/>
        </w:pBdr>
        <w:autoSpaceDE w:val="0"/>
        <w:autoSpaceDN w:val="0"/>
        <w:adjustRightInd w:val="0"/>
        <w:spacing w:after="0" w:line="240" w:lineRule="auto"/>
        <w:jc w:val="both"/>
        <w:rPr>
          <w:rFonts w:ascii="Verdana" w:hAnsi="Verdana"/>
          <w:spacing w:val="-2"/>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pacing w:val="-2"/>
          <w:sz w:val="20"/>
          <w:szCs w:val="20"/>
        </w:rPr>
        <w:t>Las reparaciones deben tener un nexo causal con los hechos del caso, las violaciones</w:t>
      </w:r>
      <w:r w:rsidRPr="00996758">
        <w:rPr>
          <w:rFonts w:ascii="Verdana" w:hAnsi="Verdana"/>
          <w:sz w:val="20"/>
          <w:szCs w:val="20"/>
          <w:lang w:bidi="en-US"/>
        </w:rPr>
        <w:t xml:space="preserve"> declaradas, los daños acreditados, así como con las medidas solicitadas para reparar l</w:t>
      </w:r>
      <w:r w:rsidRPr="00996758">
        <w:rPr>
          <w:rFonts w:ascii="Verdana" w:hAnsi="Verdana"/>
          <w:sz w:val="20"/>
          <w:szCs w:val="20"/>
        </w:rPr>
        <w:t>o</w:t>
      </w:r>
      <w:r w:rsidRPr="00996758">
        <w:rPr>
          <w:rFonts w:ascii="Verdana" w:hAnsi="Verdana"/>
          <w:sz w:val="20"/>
          <w:szCs w:val="20"/>
          <w:lang w:bidi="en-US"/>
        </w:rPr>
        <w:t>s daños respectivos, cuya concurrencia debe observar el Tribunal para pronunciarse debidamente y conforme a derecho</w:t>
      </w:r>
      <w:r w:rsidRPr="00996758">
        <w:rPr>
          <w:rFonts w:ascii="Verdana" w:hAnsi="Verdana"/>
          <w:sz w:val="20"/>
          <w:szCs w:val="20"/>
          <w:vertAlign w:val="superscript"/>
          <w:lang w:bidi="en-US"/>
        </w:rPr>
        <w:footnoteReference w:id="173"/>
      </w:r>
      <w:r w:rsidRPr="00996758">
        <w:rPr>
          <w:rFonts w:ascii="Verdana" w:hAnsi="Verdana"/>
          <w:sz w:val="20"/>
          <w:szCs w:val="20"/>
          <w:lang w:bidi="en-US"/>
        </w:rPr>
        <w:t>.</w:t>
      </w:r>
      <w:r w:rsidRPr="00996758">
        <w:rPr>
          <w:rFonts w:ascii="Verdana" w:hAnsi="Verdana"/>
          <w:sz w:val="20"/>
          <w:szCs w:val="20"/>
        </w:rPr>
        <w:t xml:space="preserve"> </w:t>
      </w:r>
    </w:p>
    <w:p w:rsidR="00607AFC" w:rsidRPr="00996758" w:rsidRDefault="00607AFC">
      <w:pPr>
        <w:pBdr>
          <w:top w:val="nil"/>
        </w:pBdr>
        <w:autoSpaceDE w:val="0"/>
        <w:autoSpaceDN w:val="0"/>
        <w:adjustRightInd w:val="0"/>
        <w:spacing w:after="0" w:line="240" w:lineRule="auto"/>
        <w:jc w:val="both"/>
        <w:rPr>
          <w:rFonts w:ascii="Verdana" w:hAnsi="Verdana"/>
          <w:sz w:val="20"/>
          <w:szCs w:val="20"/>
          <w:lang w:bidi="en-US"/>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lang w:bidi="en-US"/>
        </w:rPr>
        <w:t>La reparación del daño ocasionado por la infracción de una obligación internacional requiere, siempre</w:t>
      </w:r>
      <w:r w:rsidRPr="00996758">
        <w:rPr>
          <w:rFonts w:ascii="Verdana" w:hAnsi="Verdana"/>
          <w:sz w:val="20"/>
          <w:szCs w:val="20"/>
        </w:rPr>
        <w:t xml:space="preserve"> que sea posible, la plena restitución </w:t>
      </w:r>
      <w:r w:rsidRPr="00996758">
        <w:rPr>
          <w:rFonts w:ascii="Verdana" w:hAnsi="Verdana"/>
          <w:bCs/>
          <w:spacing w:val="-2"/>
          <w:sz w:val="20"/>
          <w:szCs w:val="20"/>
        </w:rPr>
        <w:t>(</w:t>
      </w:r>
      <w:r w:rsidRPr="00996758">
        <w:rPr>
          <w:rFonts w:ascii="Verdana" w:hAnsi="Verdana"/>
          <w:bCs/>
          <w:i/>
          <w:spacing w:val="-2"/>
          <w:sz w:val="20"/>
          <w:szCs w:val="20"/>
        </w:rPr>
        <w:t>restitutio in integrum</w:t>
      </w:r>
      <w:r w:rsidRPr="00996758">
        <w:rPr>
          <w:rFonts w:ascii="Verdana" w:hAnsi="Verdana"/>
          <w:bCs/>
          <w:spacing w:val="-2"/>
          <w:sz w:val="20"/>
          <w:szCs w:val="20"/>
        </w:rPr>
        <w:t>)</w:t>
      </w:r>
      <w:r w:rsidRPr="00996758">
        <w:rPr>
          <w:rFonts w:ascii="Verdana" w:hAnsi="Verdana"/>
          <w:sz w:val="20"/>
          <w:szCs w:val="20"/>
        </w:rPr>
        <w:t xml:space="preserve">, que consiste en el restablecimiento de la situación anterior. De no ser esto factible, </w:t>
      </w:r>
      <w:r w:rsidRPr="00996758">
        <w:rPr>
          <w:rFonts w:ascii="Verdana" w:hAnsi="Verdana"/>
          <w:bCs/>
          <w:spacing w:val="-2"/>
          <w:sz w:val="20"/>
          <w:szCs w:val="20"/>
        </w:rPr>
        <w:t xml:space="preserve">como ocurre en la mayoría de los casos de violaciones a derechos humanos, </w:t>
      </w:r>
      <w:r w:rsidRPr="00996758">
        <w:rPr>
          <w:rFonts w:ascii="Verdana" w:hAnsi="Verdana"/>
          <w:sz w:val="20"/>
          <w:szCs w:val="20"/>
        </w:rPr>
        <w:t xml:space="preserve">el Tribunal determinará </w:t>
      </w:r>
      <w:r w:rsidRPr="00996758">
        <w:rPr>
          <w:rFonts w:ascii="Verdana" w:hAnsi="Verdana"/>
          <w:sz w:val="20"/>
          <w:szCs w:val="20"/>
          <w:lang w:bidi="en-US"/>
        </w:rPr>
        <w:t>medidas</w:t>
      </w:r>
      <w:r w:rsidRPr="00996758">
        <w:rPr>
          <w:rFonts w:ascii="Verdana" w:hAnsi="Verdana"/>
          <w:sz w:val="20"/>
          <w:szCs w:val="20"/>
        </w:rPr>
        <w:t xml:space="preserve"> para garantizar los derechos conculcado</w:t>
      </w:r>
      <w:r w:rsidRPr="00996758">
        <w:rPr>
          <w:rFonts w:ascii="Verdana" w:hAnsi="Verdana"/>
          <w:sz w:val="20"/>
          <w:szCs w:val="20"/>
          <w:lang w:bidi="en-US"/>
        </w:rPr>
        <w:t>s</w:t>
      </w:r>
      <w:r w:rsidRPr="00996758">
        <w:rPr>
          <w:rFonts w:ascii="Verdana" w:hAnsi="Verdana"/>
          <w:sz w:val="20"/>
          <w:szCs w:val="20"/>
        </w:rPr>
        <w:t xml:space="preserve"> y reparar las consecuencias que las infracciones produjeron</w:t>
      </w:r>
      <w:r w:rsidRPr="00996758">
        <w:rPr>
          <w:rFonts w:ascii="Verdana" w:eastAsia="MS Mincho" w:hAnsi="Verdana"/>
          <w:sz w:val="20"/>
          <w:szCs w:val="20"/>
          <w:vertAlign w:val="superscript"/>
        </w:rPr>
        <w:footnoteReference w:id="174"/>
      </w:r>
      <w:r w:rsidRPr="00996758">
        <w:rPr>
          <w:rFonts w:ascii="Verdana" w:hAnsi="Verdana"/>
          <w:sz w:val="20"/>
          <w:szCs w:val="20"/>
        </w:rPr>
        <w:t xml:space="preserve">. </w:t>
      </w:r>
    </w:p>
    <w:p w:rsidR="00607AFC" w:rsidRPr="00996758" w:rsidRDefault="00607AFC">
      <w:pPr>
        <w:pBdr>
          <w:top w:val="nil"/>
        </w:pBdr>
        <w:autoSpaceDE w:val="0"/>
        <w:autoSpaceDN w:val="0"/>
        <w:adjustRightInd w:val="0"/>
        <w:spacing w:after="0" w:line="240" w:lineRule="auto"/>
        <w:jc w:val="both"/>
        <w:rPr>
          <w:rFonts w:ascii="Verdana" w:hAnsi="Verdana"/>
          <w:bCs/>
          <w:spacing w:val="-2"/>
          <w:sz w:val="20"/>
          <w:szCs w:val="20"/>
        </w:rPr>
      </w:pPr>
    </w:p>
    <w:p w:rsidR="002A5C39" w:rsidRPr="00996758" w:rsidRDefault="002A5C39" w:rsidP="00DC7CD8">
      <w:pPr>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996758">
        <w:rPr>
          <w:rFonts w:ascii="Verdana" w:hAnsi="Verdana" w:cs="Times New Roman"/>
          <w:sz w:val="20"/>
          <w:szCs w:val="20"/>
          <w:lang w:bidi="en-US"/>
        </w:rPr>
        <w:t>Al someter el caso, la Comisión Interamericana solicitó a la Corte que ordene al Estado las mismas medidas de reparación que recomendó a éste en su Informe de Fondo (</w:t>
      </w:r>
      <w:r w:rsidRPr="00996758">
        <w:rPr>
          <w:rFonts w:ascii="Verdana" w:hAnsi="Verdana" w:cs="Times New Roman"/>
          <w:i/>
          <w:sz w:val="20"/>
          <w:szCs w:val="20"/>
          <w:lang w:bidi="en-US"/>
        </w:rPr>
        <w:t xml:space="preserve">supra </w:t>
      </w:r>
      <w:r w:rsidRPr="00996758">
        <w:rPr>
          <w:rFonts w:ascii="Verdana" w:hAnsi="Verdana" w:cs="Times New Roman"/>
          <w:sz w:val="20"/>
          <w:szCs w:val="20"/>
          <w:lang w:bidi="en-US"/>
        </w:rPr>
        <w:t>párr. 2.c)</w:t>
      </w:r>
      <w:r w:rsidR="0097139A" w:rsidRPr="00996758">
        <w:rPr>
          <w:rFonts w:ascii="Verdana" w:hAnsi="Verdana" w:cs="Times New Roman"/>
          <w:sz w:val="20"/>
          <w:szCs w:val="20"/>
          <w:lang w:bidi="en-US"/>
        </w:rPr>
        <w:t xml:space="preserve">, </w:t>
      </w:r>
      <w:r w:rsidR="0097139A" w:rsidRPr="00996758">
        <w:rPr>
          <w:rFonts w:ascii="Verdana" w:hAnsi="Verdana" w:cs="Times New Roman"/>
          <w:sz w:val="20"/>
          <w:szCs w:val="20"/>
          <w:lang w:bidi="en-US"/>
        </w:rPr>
        <w:lastRenderedPageBreak/>
        <w:t>las cuáles se dan por reproducidas en este capítulo</w:t>
      </w:r>
      <w:r w:rsidRPr="00996758">
        <w:rPr>
          <w:rFonts w:ascii="Verdana" w:hAnsi="Verdana" w:cs="Times New Roman"/>
          <w:sz w:val="20"/>
          <w:szCs w:val="20"/>
          <w:lang w:bidi="en-US"/>
        </w:rPr>
        <w:t>. Los representantes plantearon sus propias solicitudes de reparaciones, las cuales serán consideradas</w:t>
      </w:r>
      <w:r w:rsidR="001E195E" w:rsidRPr="00996758">
        <w:rPr>
          <w:rFonts w:ascii="Verdana" w:hAnsi="Verdana" w:cs="Times New Roman"/>
          <w:sz w:val="20"/>
          <w:szCs w:val="20"/>
          <w:lang w:bidi="en-US"/>
        </w:rPr>
        <w:t xml:space="preserve"> a continuación</w:t>
      </w:r>
      <w:r w:rsidR="0097139A" w:rsidRPr="00996758">
        <w:rPr>
          <w:rFonts w:ascii="Verdana" w:hAnsi="Verdana" w:cs="Times New Roman"/>
          <w:sz w:val="20"/>
          <w:szCs w:val="20"/>
          <w:lang w:bidi="en-US"/>
        </w:rPr>
        <w:t>.</w:t>
      </w:r>
    </w:p>
    <w:p w:rsidR="002A5C39" w:rsidRPr="00996758" w:rsidRDefault="002A5C39">
      <w:pPr>
        <w:pBdr>
          <w:top w:val="nil"/>
        </w:pBdr>
        <w:autoSpaceDE w:val="0"/>
        <w:autoSpaceDN w:val="0"/>
        <w:adjustRightInd w:val="0"/>
        <w:spacing w:after="0" w:line="240" w:lineRule="auto"/>
        <w:jc w:val="both"/>
        <w:rPr>
          <w:rFonts w:ascii="Verdana" w:hAnsi="Verdana" w:cs="Times New Roman"/>
          <w:sz w:val="20"/>
          <w:szCs w:val="20"/>
          <w:lang w:bidi="en-US"/>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996758">
        <w:rPr>
          <w:rFonts w:ascii="Verdana" w:hAnsi="Verdana"/>
          <w:bCs/>
          <w:spacing w:val="-2"/>
          <w:sz w:val="20"/>
          <w:szCs w:val="20"/>
        </w:rPr>
        <w:t>E</w:t>
      </w:r>
      <w:r w:rsidR="001215EE" w:rsidRPr="00996758">
        <w:rPr>
          <w:rFonts w:ascii="Verdana" w:hAnsi="Verdana"/>
          <w:bCs/>
          <w:spacing w:val="-2"/>
          <w:sz w:val="20"/>
          <w:szCs w:val="20"/>
        </w:rPr>
        <w:t>n su contestación, e</w:t>
      </w:r>
      <w:r w:rsidRPr="00996758">
        <w:rPr>
          <w:rFonts w:ascii="Verdana" w:hAnsi="Verdana"/>
          <w:bCs/>
          <w:spacing w:val="-2"/>
          <w:sz w:val="20"/>
          <w:szCs w:val="20"/>
        </w:rPr>
        <w:t>l Estado no presentó</w:t>
      </w:r>
      <w:r w:rsidR="001215EE" w:rsidRPr="00996758">
        <w:rPr>
          <w:rFonts w:ascii="Verdana" w:hAnsi="Verdana"/>
          <w:bCs/>
          <w:spacing w:val="-2"/>
          <w:sz w:val="20"/>
          <w:szCs w:val="20"/>
        </w:rPr>
        <w:t xml:space="preserve"> alegatos específicos sobre las pretensiones en materia de reparaciones, </w:t>
      </w:r>
      <w:r w:rsidRPr="00996758">
        <w:rPr>
          <w:rFonts w:ascii="Verdana" w:hAnsi="Verdana"/>
          <w:bCs/>
          <w:spacing w:val="-2"/>
          <w:sz w:val="20"/>
          <w:szCs w:val="20"/>
        </w:rPr>
        <w:t>salvo en</w:t>
      </w:r>
      <w:r w:rsidR="001215EE" w:rsidRPr="00996758">
        <w:rPr>
          <w:rFonts w:ascii="Verdana" w:hAnsi="Verdana"/>
          <w:bCs/>
          <w:spacing w:val="-2"/>
          <w:sz w:val="20"/>
          <w:szCs w:val="20"/>
        </w:rPr>
        <w:t xml:space="preserve"> las relativas a daño material. Posteriormente, en sus alegatos finales escritos, el Estado manifestó que “es consciente que al reconocer su responsabilidad internacional parcial surge la subsecuente obligación de reparar a las víctimas de este caso” y señaló que las perspectivas de reparación expresadas por la señora Carmenza Vélez durante la audiencia y por sus hijos en declaraciones escritas “se enmarcan dentro de alguna de las modalidades que conforman una reparación integral a la luz del Sistema Interamericano”. Además, el Estado </w:t>
      </w:r>
      <w:r w:rsidR="00995BD3" w:rsidRPr="00996758">
        <w:rPr>
          <w:rFonts w:ascii="Verdana" w:hAnsi="Verdana"/>
          <w:bCs/>
          <w:spacing w:val="-2"/>
          <w:sz w:val="20"/>
          <w:szCs w:val="20"/>
        </w:rPr>
        <w:t>presentó otras</w:t>
      </w:r>
      <w:r w:rsidR="001215EE" w:rsidRPr="00996758">
        <w:rPr>
          <w:rFonts w:ascii="Verdana" w:hAnsi="Verdana"/>
          <w:bCs/>
          <w:spacing w:val="-2"/>
          <w:sz w:val="20"/>
          <w:szCs w:val="20"/>
        </w:rPr>
        <w:t xml:space="preserve"> observaciones </w:t>
      </w:r>
      <w:r w:rsidR="0097139A" w:rsidRPr="00996758">
        <w:rPr>
          <w:rFonts w:ascii="Verdana" w:hAnsi="Verdana"/>
          <w:bCs/>
          <w:spacing w:val="-2"/>
          <w:sz w:val="20"/>
          <w:szCs w:val="20"/>
        </w:rPr>
        <w:t xml:space="preserve">sobre las solicitudes de </w:t>
      </w:r>
      <w:r w:rsidR="00995BD3" w:rsidRPr="00996758">
        <w:rPr>
          <w:rFonts w:ascii="Verdana" w:hAnsi="Verdana"/>
          <w:bCs/>
          <w:spacing w:val="-2"/>
          <w:sz w:val="20"/>
          <w:szCs w:val="20"/>
        </w:rPr>
        <w:t xml:space="preserve">medidas de </w:t>
      </w:r>
      <w:r w:rsidR="00411E62" w:rsidRPr="00996758">
        <w:rPr>
          <w:rFonts w:ascii="Verdana" w:hAnsi="Verdana"/>
          <w:bCs/>
          <w:spacing w:val="-2"/>
          <w:sz w:val="20"/>
          <w:szCs w:val="20"/>
        </w:rPr>
        <w:t>reparación</w:t>
      </w:r>
      <w:r w:rsidR="00007F91" w:rsidRPr="00996758">
        <w:rPr>
          <w:rFonts w:ascii="Verdana" w:hAnsi="Verdana"/>
          <w:bCs/>
          <w:spacing w:val="-2"/>
          <w:sz w:val="20"/>
          <w:szCs w:val="20"/>
        </w:rPr>
        <w:t xml:space="preserve"> </w:t>
      </w:r>
      <w:r w:rsidR="00411E62" w:rsidRPr="00996758">
        <w:rPr>
          <w:rFonts w:ascii="Verdana" w:hAnsi="Verdana"/>
          <w:bCs/>
          <w:spacing w:val="-2"/>
          <w:sz w:val="20"/>
          <w:szCs w:val="20"/>
        </w:rPr>
        <w:t>o</w:t>
      </w:r>
      <w:r w:rsidR="0097139A" w:rsidRPr="00996758">
        <w:rPr>
          <w:rFonts w:ascii="Verdana" w:hAnsi="Verdana"/>
          <w:bCs/>
          <w:spacing w:val="-2"/>
          <w:sz w:val="20"/>
          <w:szCs w:val="20"/>
        </w:rPr>
        <w:t xml:space="preserve"> sobre las modalidades en que podrían otorgarse o ejecutarse.</w:t>
      </w:r>
    </w:p>
    <w:p w:rsidR="00607AFC" w:rsidRPr="00996758" w:rsidRDefault="00607AFC">
      <w:pPr>
        <w:pBdr>
          <w:top w:val="nil"/>
        </w:pBdr>
        <w:autoSpaceDE w:val="0"/>
        <w:autoSpaceDN w:val="0"/>
        <w:adjustRightInd w:val="0"/>
        <w:spacing w:after="0" w:line="240" w:lineRule="auto"/>
        <w:jc w:val="both"/>
        <w:rPr>
          <w:rFonts w:ascii="Verdana" w:hAnsi="Verdana" w:cs="Times New Roman"/>
          <w:sz w:val="20"/>
          <w:szCs w:val="20"/>
          <w:lang w:bidi="en-US"/>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996758">
        <w:rPr>
          <w:rFonts w:ascii="Verdana" w:hAnsi="Verdana" w:cs="Times New Roman"/>
          <w:sz w:val="20"/>
          <w:szCs w:val="20"/>
          <w:lang w:bidi="en-US"/>
        </w:rPr>
        <w:t>En consideraci</w:t>
      </w:r>
      <w:r w:rsidRPr="00996758">
        <w:rPr>
          <w:rFonts w:ascii="Verdana" w:hAnsi="Verdana"/>
          <w:spacing w:val="-2"/>
          <w:sz w:val="20"/>
          <w:szCs w:val="20"/>
        </w:rPr>
        <w:t>ón de las violaciones declaradas en el capítulo anterior,</w:t>
      </w:r>
      <w:r w:rsidR="0097139A" w:rsidRPr="00996758">
        <w:rPr>
          <w:rFonts w:ascii="Verdana" w:hAnsi="Verdana"/>
          <w:spacing w:val="-2"/>
          <w:sz w:val="20"/>
          <w:szCs w:val="20"/>
        </w:rPr>
        <w:t xml:space="preserve"> y valorando el reconocimiento expresado por el Estado de su obligación de reparar a las víctimas de este caso, </w:t>
      </w:r>
      <w:r w:rsidRPr="00996758">
        <w:rPr>
          <w:rFonts w:ascii="Verdana" w:hAnsi="Verdana"/>
          <w:spacing w:val="-2"/>
          <w:sz w:val="20"/>
          <w:szCs w:val="20"/>
        </w:rPr>
        <w:t xml:space="preserve">el Tribunal procederá a </w:t>
      </w:r>
      <w:r w:rsidR="00411E62" w:rsidRPr="00996758">
        <w:rPr>
          <w:rFonts w:ascii="Verdana" w:hAnsi="Verdana"/>
          <w:spacing w:val="-2"/>
          <w:sz w:val="20"/>
          <w:szCs w:val="20"/>
        </w:rPr>
        <w:t>disponer las medidas dirigidas a reparar los daños ocasionados a las víctimas</w:t>
      </w:r>
      <w:r w:rsidR="00B90965" w:rsidRPr="00996758">
        <w:rPr>
          <w:rFonts w:ascii="Verdana" w:hAnsi="Verdana"/>
          <w:spacing w:val="-2"/>
          <w:sz w:val="20"/>
          <w:szCs w:val="20"/>
        </w:rPr>
        <w:t>, según</w:t>
      </w:r>
      <w:r w:rsidRPr="00996758">
        <w:rPr>
          <w:rFonts w:ascii="Verdana" w:hAnsi="Verdana"/>
          <w:spacing w:val="-2"/>
          <w:sz w:val="20"/>
          <w:szCs w:val="20"/>
        </w:rPr>
        <w:t xml:space="preserve"> las pretensiones </w:t>
      </w:r>
      <w:r w:rsidR="0097139A" w:rsidRPr="00996758">
        <w:rPr>
          <w:rFonts w:ascii="Verdana" w:hAnsi="Verdana"/>
          <w:spacing w:val="-2"/>
          <w:sz w:val="20"/>
          <w:szCs w:val="20"/>
        </w:rPr>
        <w:t>de</w:t>
      </w:r>
      <w:r w:rsidRPr="00996758">
        <w:rPr>
          <w:rFonts w:ascii="Verdana" w:hAnsi="Verdana"/>
          <w:spacing w:val="-2"/>
          <w:sz w:val="20"/>
          <w:szCs w:val="20"/>
        </w:rPr>
        <w:t xml:space="preserve"> la Comisión</w:t>
      </w:r>
      <w:r w:rsidR="005D3973" w:rsidRPr="00996758">
        <w:rPr>
          <w:rFonts w:ascii="Verdana" w:hAnsi="Verdana"/>
          <w:spacing w:val="-2"/>
          <w:sz w:val="20"/>
          <w:szCs w:val="20"/>
        </w:rPr>
        <w:t xml:space="preserve"> (</w:t>
      </w:r>
      <w:r w:rsidR="005D3973" w:rsidRPr="00996758">
        <w:rPr>
          <w:rFonts w:ascii="Verdana" w:hAnsi="Verdana"/>
          <w:i/>
          <w:spacing w:val="-2"/>
          <w:sz w:val="20"/>
          <w:szCs w:val="20"/>
        </w:rPr>
        <w:t xml:space="preserve">supra </w:t>
      </w:r>
      <w:r w:rsidR="005D3973" w:rsidRPr="00996758">
        <w:rPr>
          <w:rFonts w:ascii="Verdana" w:hAnsi="Verdana"/>
          <w:spacing w:val="-2"/>
          <w:sz w:val="20"/>
          <w:szCs w:val="20"/>
        </w:rPr>
        <w:t>párrs. 2 y 4)</w:t>
      </w:r>
      <w:r w:rsidRPr="00996758">
        <w:rPr>
          <w:rFonts w:ascii="Verdana" w:hAnsi="Verdana"/>
          <w:spacing w:val="-2"/>
          <w:sz w:val="20"/>
          <w:szCs w:val="20"/>
        </w:rPr>
        <w:t xml:space="preserve"> y los representantes, </w:t>
      </w:r>
      <w:r w:rsidR="0097139A" w:rsidRPr="00996758">
        <w:rPr>
          <w:rFonts w:ascii="Verdana" w:hAnsi="Verdana"/>
          <w:spacing w:val="-2"/>
          <w:sz w:val="20"/>
          <w:szCs w:val="20"/>
        </w:rPr>
        <w:t xml:space="preserve">en atención a las observaciones </w:t>
      </w:r>
      <w:r w:rsidR="00B90965" w:rsidRPr="00996758">
        <w:rPr>
          <w:rFonts w:ascii="Verdana" w:hAnsi="Verdana"/>
          <w:spacing w:val="-2"/>
          <w:sz w:val="20"/>
          <w:szCs w:val="20"/>
        </w:rPr>
        <w:t xml:space="preserve">del Estado y </w:t>
      </w:r>
      <w:r w:rsidRPr="00996758">
        <w:rPr>
          <w:rFonts w:ascii="Verdana" w:hAnsi="Verdana"/>
          <w:spacing w:val="-2"/>
          <w:sz w:val="20"/>
          <w:szCs w:val="20"/>
        </w:rPr>
        <w:t xml:space="preserve">a la luz de los criterios fijados en </w:t>
      </w:r>
      <w:r w:rsidR="00411E62" w:rsidRPr="00996758">
        <w:rPr>
          <w:rFonts w:ascii="Verdana" w:hAnsi="Verdana"/>
          <w:spacing w:val="-2"/>
          <w:sz w:val="20"/>
          <w:szCs w:val="20"/>
        </w:rPr>
        <w:t>su</w:t>
      </w:r>
      <w:r w:rsidRPr="00996758">
        <w:rPr>
          <w:rFonts w:ascii="Verdana" w:hAnsi="Verdana"/>
          <w:spacing w:val="-2"/>
          <w:sz w:val="20"/>
          <w:szCs w:val="20"/>
        </w:rPr>
        <w:t xml:space="preserve"> jurisprudencia en relación con la naturaleza y alcance de la obligación de reparar.</w:t>
      </w:r>
    </w:p>
    <w:p w:rsidR="00607AFC" w:rsidRPr="00996758" w:rsidRDefault="00607AFC">
      <w:pPr>
        <w:autoSpaceDE w:val="0"/>
        <w:autoSpaceDN w:val="0"/>
        <w:adjustRightInd w:val="0"/>
        <w:spacing w:after="0" w:line="240" w:lineRule="auto"/>
        <w:ind w:right="49"/>
        <w:contextualSpacing/>
        <w:jc w:val="both"/>
        <w:rPr>
          <w:rFonts w:ascii="Verdana" w:hAnsi="Verdana" w:cs="Times New Roman"/>
          <w:sz w:val="20"/>
          <w:szCs w:val="20"/>
          <w:lang w:bidi="en-US"/>
        </w:rPr>
      </w:pPr>
    </w:p>
    <w:p w:rsidR="00111BE2" w:rsidRPr="00996758" w:rsidRDefault="00111BE2">
      <w:pPr>
        <w:autoSpaceDE w:val="0"/>
        <w:autoSpaceDN w:val="0"/>
        <w:adjustRightInd w:val="0"/>
        <w:spacing w:after="0" w:line="240" w:lineRule="auto"/>
        <w:ind w:right="49"/>
        <w:contextualSpacing/>
        <w:jc w:val="both"/>
        <w:rPr>
          <w:rFonts w:ascii="Verdana" w:hAnsi="Verdana" w:cs="Times New Roman"/>
          <w:sz w:val="20"/>
          <w:szCs w:val="20"/>
          <w:lang w:bidi="en-US"/>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39" w:name="_Toc476251465"/>
      <w:bookmarkStart w:id="40" w:name="_Toc505877005"/>
      <w:bookmarkStart w:id="41" w:name="_Toc530560071"/>
      <w:r w:rsidRPr="00996758">
        <w:rPr>
          <w:rFonts w:ascii="Verdana" w:eastAsia="Times New Roman" w:hAnsi="Verdana" w:cs="Times New Roman"/>
          <w:bCs w:val="0"/>
          <w:i/>
          <w:color w:val="auto"/>
          <w:sz w:val="20"/>
          <w:szCs w:val="20"/>
        </w:rPr>
        <w:t>Parte lesionada</w:t>
      </w:r>
      <w:bookmarkEnd w:id="39"/>
      <w:bookmarkEnd w:id="40"/>
      <w:bookmarkEnd w:id="41"/>
    </w:p>
    <w:p w:rsidR="00607AFC" w:rsidRPr="00996758" w:rsidRDefault="00607AFC">
      <w:pPr>
        <w:pBdr>
          <w:top w:val="nil"/>
        </w:pBdr>
        <w:autoSpaceDE w:val="0"/>
        <w:autoSpaceDN w:val="0"/>
        <w:adjustRightInd w:val="0"/>
        <w:spacing w:after="0" w:line="240" w:lineRule="auto"/>
        <w:jc w:val="both"/>
        <w:rPr>
          <w:rFonts w:ascii="Verdana" w:hAnsi="Verdana"/>
          <w:spacing w:val="-2"/>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r w:rsidRPr="00996758">
        <w:rPr>
          <w:rFonts w:ascii="Verdana" w:hAnsi="Verdana"/>
          <w:spacing w:val="-2"/>
          <w:sz w:val="20"/>
          <w:szCs w:val="20"/>
        </w:rPr>
        <w:t>El Tribunal considera como “parte lesionada”, en los términos del artículo 63.1 de la Convención, a</w:t>
      </w:r>
      <w:r w:rsidR="005A49F3" w:rsidRPr="00996758">
        <w:rPr>
          <w:rFonts w:ascii="Verdana" w:hAnsi="Verdana"/>
          <w:spacing w:val="-2"/>
          <w:sz w:val="20"/>
          <w:szCs w:val="20"/>
        </w:rPr>
        <w:t>l señor Víctor Manuel Isaza Uribe, a la señora Carmenza Vélez y a los señores Jhony Alexander Isaza Vélez y Haner Alexis Isaza Vélez</w:t>
      </w:r>
      <w:r w:rsidRPr="00996758">
        <w:rPr>
          <w:rFonts w:ascii="Verdana" w:hAnsi="Verdana"/>
          <w:spacing w:val="-2"/>
          <w:sz w:val="20"/>
          <w:szCs w:val="20"/>
        </w:rPr>
        <w:t>.</w:t>
      </w:r>
    </w:p>
    <w:p w:rsidR="00607AFC" w:rsidRPr="00996758" w:rsidRDefault="00607AFC">
      <w:pPr>
        <w:autoSpaceDE w:val="0"/>
        <w:autoSpaceDN w:val="0"/>
        <w:adjustRightInd w:val="0"/>
        <w:spacing w:after="0" w:line="240" w:lineRule="auto"/>
        <w:ind w:right="49"/>
        <w:contextualSpacing/>
        <w:jc w:val="both"/>
        <w:rPr>
          <w:rFonts w:ascii="Verdana" w:eastAsia="Calibri" w:hAnsi="Verdana" w:cs="Times New Roman"/>
          <w:sz w:val="20"/>
          <w:szCs w:val="20"/>
        </w:rPr>
      </w:pPr>
    </w:p>
    <w:p w:rsidR="00111BE2" w:rsidRPr="00996758" w:rsidRDefault="00111BE2">
      <w:pPr>
        <w:autoSpaceDE w:val="0"/>
        <w:autoSpaceDN w:val="0"/>
        <w:adjustRightInd w:val="0"/>
        <w:spacing w:after="0" w:line="240" w:lineRule="auto"/>
        <w:ind w:right="49"/>
        <w:contextualSpacing/>
        <w:jc w:val="both"/>
        <w:rPr>
          <w:rFonts w:ascii="Verdana" w:eastAsia="Calibri" w:hAnsi="Verdana" w:cs="Times New Roman"/>
          <w:sz w:val="20"/>
          <w:szCs w:val="20"/>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42" w:name="_Toc502316141"/>
      <w:bookmarkStart w:id="43" w:name="_Toc499306115"/>
      <w:bookmarkStart w:id="44" w:name="_Toc505877006"/>
      <w:bookmarkStart w:id="45" w:name="_Toc530560072"/>
      <w:r w:rsidRPr="00996758">
        <w:rPr>
          <w:rFonts w:ascii="Verdana" w:eastAsia="Times New Roman" w:hAnsi="Verdana" w:cs="Times New Roman"/>
          <w:bCs w:val="0"/>
          <w:i/>
          <w:color w:val="auto"/>
          <w:sz w:val="20"/>
          <w:szCs w:val="20"/>
        </w:rPr>
        <w:t>Obligación de investigar</w:t>
      </w:r>
      <w:bookmarkEnd w:id="42"/>
      <w:bookmarkEnd w:id="43"/>
      <w:bookmarkEnd w:id="44"/>
      <w:bookmarkEnd w:id="45"/>
      <w:r w:rsidRPr="00996758">
        <w:rPr>
          <w:rFonts w:ascii="Verdana" w:eastAsia="Times New Roman" w:hAnsi="Verdana" w:cs="Times New Roman"/>
          <w:bCs w:val="0"/>
          <w:i/>
          <w:color w:val="auto"/>
          <w:sz w:val="20"/>
          <w:szCs w:val="20"/>
        </w:rPr>
        <w:t xml:space="preserve"> </w:t>
      </w:r>
    </w:p>
    <w:p w:rsidR="00607AFC" w:rsidRPr="00996758" w:rsidRDefault="00607AFC">
      <w:pPr>
        <w:autoSpaceDE w:val="0"/>
        <w:autoSpaceDN w:val="0"/>
        <w:adjustRightInd w:val="0"/>
        <w:spacing w:after="0" w:line="240" w:lineRule="auto"/>
        <w:ind w:right="49"/>
        <w:contextualSpacing/>
        <w:jc w:val="both"/>
        <w:rPr>
          <w:rFonts w:ascii="Verdana" w:eastAsia="Calibri" w:hAnsi="Verdana" w:cs="Times New Roman"/>
          <w:sz w:val="20"/>
          <w:szCs w:val="20"/>
        </w:rPr>
      </w:pPr>
    </w:p>
    <w:p w:rsidR="00805D0F" w:rsidRPr="00996758" w:rsidRDefault="00805D0F">
      <w:pPr>
        <w:autoSpaceDE w:val="0"/>
        <w:autoSpaceDN w:val="0"/>
        <w:adjustRightInd w:val="0"/>
        <w:spacing w:after="0" w:line="240" w:lineRule="auto"/>
        <w:ind w:left="426" w:right="49" w:firstLine="708"/>
        <w:contextualSpacing/>
        <w:jc w:val="both"/>
        <w:rPr>
          <w:rFonts w:ascii="Verdana" w:eastAsia="Calibri" w:hAnsi="Verdana" w:cs="Times New Roman"/>
          <w:i/>
          <w:sz w:val="20"/>
          <w:szCs w:val="20"/>
        </w:rPr>
      </w:pPr>
      <w:bookmarkStart w:id="46" w:name="_Toc498427296"/>
      <w:r w:rsidRPr="00996758">
        <w:rPr>
          <w:rFonts w:ascii="Verdana" w:eastAsia="Calibri" w:hAnsi="Verdana" w:cs="Times New Roman"/>
          <w:i/>
          <w:sz w:val="20"/>
          <w:szCs w:val="20"/>
        </w:rPr>
        <w:t>B.1. Investigación y, en su caso, enjuiciamiento y sanción de los responsables</w:t>
      </w:r>
      <w:bookmarkEnd w:id="46"/>
    </w:p>
    <w:p w:rsidR="00805D0F" w:rsidRPr="00996758" w:rsidRDefault="00805D0F">
      <w:pPr>
        <w:pBdr>
          <w:top w:val="nil"/>
        </w:pBdr>
        <w:autoSpaceDE w:val="0"/>
        <w:autoSpaceDN w:val="0"/>
        <w:adjustRightInd w:val="0"/>
        <w:spacing w:after="0" w:line="240" w:lineRule="auto"/>
        <w:jc w:val="both"/>
        <w:rPr>
          <w:rFonts w:ascii="Verdana" w:hAnsi="Verdana"/>
          <w:sz w:val="20"/>
          <w:szCs w:val="20"/>
        </w:rPr>
      </w:pPr>
    </w:p>
    <w:p w:rsidR="00805D0F" w:rsidRPr="00996758" w:rsidRDefault="00805D0F"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r w:rsidRPr="00996758">
        <w:rPr>
          <w:rFonts w:ascii="Verdana" w:hAnsi="Verdana"/>
          <w:spacing w:val="-2"/>
          <w:sz w:val="20"/>
          <w:szCs w:val="20"/>
        </w:rPr>
        <w:t xml:space="preserve">Los </w:t>
      </w:r>
      <w:r w:rsidRPr="00996758">
        <w:rPr>
          <w:rFonts w:ascii="Verdana" w:hAnsi="Verdana"/>
          <w:b/>
          <w:i/>
          <w:spacing w:val="-2"/>
          <w:sz w:val="20"/>
          <w:szCs w:val="20"/>
        </w:rPr>
        <w:t>representantes</w:t>
      </w:r>
      <w:r w:rsidRPr="00996758">
        <w:rPr>
          <w:rFonts w:ascii="Verdana" w:hAnsi="Verdana"/>
          <w:spacing w:val="-2"/>
          <w:sz w:val="20"/>
          <w:szCs w:val="20"/>
        </w:rPr>
        <w:t xml:space="preserve"> solicitaron a la Corte que ordene al Estado, específicamente a la Procuraduría General de la Nación, realizar la revocatoria directa del auto de archivo de la indagación preliminar y </w:t>
      </w:r>
      <w:r w:rsidR="00FD6490" w:rsidRPr="00996758">
        <w:rPr>
          <w:rFonts w:ascii="Verdana" w:hAnsi="Verdana"/>
          <w:spacing w:val="-2"/>
          <w:sz w:val="20"/>
          <w:szCs w:val="20"/>
        </w:rPr>
        <w:t xml:space="preserve">reabrirla </w:t>
      </w:r>
      <w:r w:rsidRPr="00996758">
        <w:rPr>
          <w:rFonts w:ascii="Verdana" w:hAnsi="Verdana"/>
          <w:spacing w:val="-2"/>
          <w:sz w:val="20"/>
          <w:szCs w:val="20"/>
        </w:rPr>
        <w:t>para establecer responsabilidades disciplinarias que haya lu</w:t>
      </w:r>
      <w:r w:rsidR="00F84DFD" w:rsidRPr="00996758">
        <w:rPr>
          <w:rFonts w:ascii="Verdana" w:hAnsi="Verdana"/>
          <w:spacing w:val="-2"/>
          <w:sz w:val="20"/>
          <w:szCs w:val="20"/>
        </w:rPr>
        <w:t>gar de agentes estatales de la c</w:t>
      </w:r>
      <w:r w:rsidRPr="00996758">
        <w:rPr>
          <w:rFonts w:ascii="Verdana" w:hAnsi="Verdana"/>
          <w:spacing w:val="-2"/>
          <w:sz w:val="20"/>
          <w:szCs w:val="20"/>
        </w:rPr>
        <w:t>árcel de Puerto Nare o de la fuerza pública del municipio por su participación</w:t>
      </w:r>
      <w:r w:rsidR="00FD6490" w:rsidRPr="00996758">
        <w:rPr>
          <w:rFonts w:ascii="Verdana" w:hAnsi="Verdana"/>
          <w:spacing w:val="-2"/>
          <w:sz w:val="20"/>
          <w:szCs w:val="20"/>
        </w:rPr>
        <w:t xml:space="preserve"> </w:t>
      </w:r>
      <w:r w:rsidRPr="00996758">
        <w:rPr>
          <w:rFonts w:ascii="Verdana" w:hAnsi="Verdana"/>
          <w:spacing w:val="-2"/>
          <w:sz w:val="20"/>
          <w:szCs w:val="20"/>
        </w:rPr>
        <w:t xml:space="preserve">en la desaparición forzada. Además, solicitaron que se ordene a la Fiscalía General de la Nación que impulse la investigación penal por el caso que actualmente se encuentra bajo el radicado 9241 de la Fiscalía 91 de Derechos Humanos, con el objeto de individualizar y judicializar a los responsables de los hechos, teniendo en cuenta </w:t>
      </w:r>
      <w:r w:rsidR="00840C01" w:rsidRPr="00996758">
        <w:rPr>
          <w:rFonts w:ascii="Verdana" w:hAnsi="Verdana"/>
          <w:spacing w:val="-2"/>
          <w:sz w:val="20"/>
          <w:szCs w:val="20"/>
        </w:rPr>
        <w:t xml:space="preserve">los </w:t>
      </w:r>
      <w:r w:rsidRPr="00996758">
        <w:rPr>
          <w:rFonts w:ascii="Verdana" w:hAnsi="Verdana"/>
          <w:spacing w:val="-2"/>
          <w:sz w:val="20"/>
          <w:szCs w:val="20"/>
        </w:rPr>
        <w:t>contexto</w:t>
      </w:r>
      <w:r w:rsidR="00840C01" w:rsidRPr="00996758">
        <w:rPr>
          <w:rFonts w:ascii="Verdana" w:hAnsi="Verdana"/>
          <w:spacing w:val="-2"/>
          <w:sz w:val="20"/>
          <w:szCs w:val="20"/>
        </w:rPr>
        <w:t>s</w:t>
      </w:r>
      <w:r w:rsidRPr="00996758">
        <w:rPr>
          <w:rFonts w:ascii="Verdana" w:hAnsi="Verdana"/>
          <w:spacing w:val="-2"/>
          <w:sz w:val="20"/>
          <w:szCs w:val="20"/>
        </w:rPr>
        <w:t>.</w:t>
      </w:r>
    </w:p>
    <w:p w:rsidR="00805D0F" w:rsidRPr="00996758" w:rsidRDefault="00805D0F">
      <w:pPr>
        <w:pBdr>
          <w:top w:val="nil"/>
        </w:pBdr>
        <w:autoSpaceDE w:val="0"/>
        <w:autoSpaceDN w:val="0"/>
        <w:adjustRightInd w:val="0"/>
        <w:spacing w:after="0" w:line="240" w:lineRule="auto"/>
        <w:jc w:val="both"/>
        <w:rPr>
          <w:rFonts w:ascii="Verdana" w:hAnsi="Verdana"/>
          <w:spacing w:val="-2"/>
          <w:sz w:val="20"/>
          <w:szCs w:val="20"/>
        </w:rPr>
      </w:pPr>
    </w:p>
    <w:p w:rsidR="00FF6EC5" w:rsidRPr="00996758" w:rsidRDefault="00FF6EC5"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r w:rsidRPr="00996758">
        <w:rPr>
          <w:rFonts w:ascii="Verdana" w:hAnsi="Verdana"/>
          <w:spacing w:val="-2"/>
          <w:sz w:val="20"/>
          <w:szCs w:val="20"/>
        </w:rPr>
        <w:t>Al reiterar que no ha renunciado a la investigación de los hechos y que en las últimas actuaciones se ha intentado develar a los responsables, el contexto y los patrones de criminalidad, e</w:t>
      </w:r>
      <w:r w:rsidR="00805D0F" w:rsidRPr="00996758">
        <w:rPr>
          <w:rFonts w:ascii="Verdana" w:hAnsi="Verdana"/>
          <w:spacing w:val="-2"/>
          <w:sz w:val="20"/>
          <w:szCs w:val="20"/>
        </w:rPr>
        <w:t xml:space="preserve">l </w:t>
      </w:r>
      <w:r w:rsidR="00805D0F" w:rsidRPr="00996758">
        <w:rPr>
          <w:rFonts w:ascii="Verdana" w:hAnsi="Verdana"/>
          <w:b/>
          <w:i/>
          <w:spacing w:val="-2"/>
          <w:sz w:val="20"/>
          <w:szCs w:val="20"/>
        </w:rPr>
        <w:t>Estado</w:t>
      </w:r>
      <w:r w:rsidRPr="00996758">
        <w:rPr>
          <w:rFonts w:ascii="Verdana" w:hAnsi="Verdana"/>
          <w:spacing w:val="-2"/>
          <w:sz w:val="20"/>
          <w:szCs w:val="20"/>
        </w:rPr>
        <w:t xml:space="preserve"> manifestó que “se haría innecesaria una medida encaminada a agilizar una investigación que </w:t>
      </w:r>
      <w:r w:rsidR="00AE3670" w:rsidRPr="00996758">
        <w:rPr>
          <w:rFonts w:ascii="Verdana" w:hAnsi="Verdana"/>
          <w:spacing w:val="-2"/>
          <w:sz w:val="20"/>
          <w:szCs w:val="20"/>
        </w:rPr>
        <w:t xml:space="preserve">[…] </w:t>
      </w:r>
      <w:r w:rsidRPr="00996758">
        <w:rPr>
          <w:rFonts w:ascii="Verdana" w:hAnsi="Verdana"/>
          <w:spacing w:val="-2"/>
          <w:sz w:val="20"/>
          <w:szCs w:val="20"/>
        </w:rPr>
        <w:t>hoy en día presenta actividad que denota diligencia y efectividad”.</w:t>
      </w:r>
    </w:p>
    <w:p w:rsidR="00C21209" w:rsidRPr="00996758" w:rsidRDefault="00C21209">
      <w:pPr>
        <w:pBdr>
          <w:top w:val="nil"/>
        </w:pBdr>
        <w:autoSpaceDE w:val="0"/>
        <w:autoSpaceDN w:val="0"/>
        <w:adjustRightInd w:val="0"/>
        <w:spacing w:after="0" w:line="240" w:lineRule="auto"/>
        <w:jc w:val="both"/>
        <w:rPr>
          <w:rFonts w:ascii="Verdana" w:hAnsi="Verdana"/>
          <w:spacing w:val="-2"/>
          <w:sz w:val="20"/>
          <w:szCs w:val="20"/>
        </w:rPr>
      </w:pPr>
    </w:p>
    <w:p w:rsidR="00C21209" w:rsidRPr="00996758" w:rsidRDefault="00C21209"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r w:rsidRPr="00996758">
        <w:rPr>
          <w:rFonts w:ascii="Verdana" w:hAnsi="Verdana"/>
          <w:spacing w:val="-2"/>
          <w:sz w:val="20"/>
          <w:szCs w:val="20"/>
        </w:rPr>
        <w:t xml:space="preserve">La </w:t>
      </w:r>
      <w:r w:rsidRPr="00996758">
        <w:rPr>
          <w:rFonts w:ascii="Verdana" w:hAnsi="Verdana"/>
          <w:b/>
          <w:i/>
          <w:spacing w:val="-2"/>
          <w:sz w:val="20"/>
          <w:szCs w:val="20"/>
        </w:rPr>
        <w:t>Corte</w:t>
      </w:r>
      <w:r w:rsidR="00805D0F" w:rsidRPr="00996758">
        <w:rPr>
          <w:rFonts w:ascii="Verdana" w:hAnsi="Verdana"/>
          <w:spacing w:val="-2"/>
          <w:sz w:val="20"/>
          <w:szCs w:val="20"/>
        </w:rPr>
        <w:t xml:space="preserve"> </w:t>
      </w:r>
      <w:r w:rsidRPr="00996758">
        <w:rPr>
          <w:rFonts w:ascii="Verdana" w:hAnsi="Verdana"/>
          <w:spacing w:val="-2"/>
          <w:sz w:val="20"/>
          <w:szCs w:val="20"/>
        </w:rPr>
        <w:t>hace notar, en relación con la primera solicitud, que el Estado informó que, en cumplimiento de lo recomendado por la Comisión, efectivamente</w:t>
      </w:r>
      <w:r w:rsidR="000C4C0D" w:rsidRPr="00996758">
        <w:rPr>
          <w:rFonts w:ascii="Verdana" w:hAnsi="Verdana"/>
          <w:spacing w:val="-2"/>
          <w:sz w:val="20"/>
          <w:szCs w:val="20"/>
        </w:rPr>
        <w:t xml:space="preserve"> en febrero de 2016</w:t>
      </w:r>
      <w:r w:rsidRPr="00996758">
        <w:rPr>
          <w:rFonts w:ascii="Verdana" w:hAnsi="Verdana"/>
          <w:spacing w:val="-2"/>
          <w:sz w:val="20"/>
          <w:szCs w:val="20"/>
        </w:rPr>
        <w:t xml:space="preserve"> la Procuraduría General de la Nación </w:t>
      </w:r>
      <w:r w:rsidR="001E195E" w:rsidRPr="00996758">
        <w:rPr>
          <w:rFonts w:ascii="Verdana" w:hAnsi="Verdana"/>
          <w:spacing w:val="-2"/>
          <w:sz w:val="20"/>
          <w:szCs w:val="20"/>
        </w:rPr>
        <w:t>revocó de</w:t>
      </w:r>
      <w:r w:rsidRPr="00996758">
        <w:rPr>
          <w:rFonts w:ascii="Verdana" w:hAnsi="Verdana"/>
          <w:spacing w:val="-2"/>
          <w:sz w:val="20"/>
          <w:szCs w:val="20"/>
        </w:rPr>
        <w:t xml:space="preserve"> oficio el auto de 1992 de archivo de la </w:t>
      </w:r>
      <w:r w:rsidR="001E195E" w:rsidRPr="00996758">
        <w:rPr>
          <w:rFonts w:ascii="Verdana" w:hAnsi="Verdana"/>
          <w:spacing w:val="-2"/>
          <w:sz w:val="20"/>
          <w:szCs w:val="20"/>
        </w:rPr>
        <w:t xml:space="preserve">investigación </w:t>
      </w:r>
      <w:r w:rsidRPr="00996758">
        <w:rPr>
          <w:rFonts w:ascii="Verdana" w:hAnsi="Verdana"/>
          <w:spacing w:val="-2"/>
          <w:sz w:val="20"/>
          <w:szCs w:val="20"/>
        </w:rPr>
        <w:t xml:space="preserve">y </w:t>
      </w:r>
      <w:r w:rsidR="001E195E" w:rsidRPr="00996758">
        <w:rPr>
          <w:rFonts w:ascii="Verdana" w:hAnsi="Verdana"/>
          <w:spacing w:val="-2"/>
          <w:sz w:val="20"/>
          <w:szCs w:val="20"/>
        </w:rPr>
        <w:t xml:space="preserve">la </w:t>
      </w:r>
      <w:r w:rsidRPr="00996758">
        <w:rPr>
          <w:rFonts w:ascii="Verdana" w:hAnsi="Verdana"/>
          <w:spacing w:val="-2"/>
          <w:sz w:val="20"/>
          <w:szCs w:val="20"/>
        </w:rPr>
        <w:t xml:space="preserve">reabrió </w:t>
      </w:r>
      <w:r w:rsidR="001E195E" w:rsidRPr="00996758">
        <w:rPr>
          <w:rFonts w:ascii="Verdana" w:hAnsi="Verdana"/>
          <w:spacing w:val="-2"/>
          <w:sz w:val="20"/>
          <w:szCs w:val="20"/>
        </w:rPr>
        <w:t>a efectos de</w:t>
      </w:r>
      <w:r w:rsidRPr="00996758">
        <w:rPr>
          <w:rFonts w:ascii="Verdana" w:hAnsi="Verdana"/>
          <w:spacing w:val="-2"/>
          <w:sz w:val="20"/>
          <w:szCs w:val="20"/>
        </w:rPr>
        <w:t xml:space="preserve"> establecer responsabilidades de agentes estatales (</w:t>
      </w:r>
      <w:r w:rsidRPr="00996758">
        <w:rPr>
          <w:rFonts w:ascii="Verdana" w:hAnsi="Verdana"/>
          <w:i/>
          <w:spacing w:val="-2"/>
          <w:sz w:val="20"/>
          <w:szCs w:val="20"/>
        </w:rPr>
        <w:t>supra</w:t>
      </w:r>
      <w:r w:rsidR="00B11575" w:rsidRPr="00996758">
        <w:rPr>
          <w:rFonts w:ascii="Verdana" w:hAnsi="Verdana"/>
          <w:spacing w:val="-2"/>
          <w:sz w:val="20"/>
          <w:szCs w:val="20"/>
        </w:rPr>
        <w:t xml:space="preserve"> párr. 33</w:t>
      </w:r>
      <w:r w:rsidRPr="00996758">
        <w:rPr>
          <w:rFonts w:ascii="Verdana" w:hAnsi="Verdana"/>
          <w:spacing w:val="-2"/>
          <w:sz w:val="20"/>
          <w:szCs w:val="20"/>
        </w:rPr>
        <w:t>).</w:t>
      </w:r>
      <w:r w:rsidR="00840C01" w:rsidRPr="00996758">
        <w:rPr>
          <w:rFonts w:ascii="Verdana" w:hAnsi="Verdana"/>
          <w:spacing w:val="-2"/>
          <w:sz w:val="20"/>
          <w:szCs w:val="20"/>
        </w:rPr>
        <w:t xml:space="preserve"> </w:t>
      </w:r>
      <w:r w:rsidR="001E195E" w:rsidRPr="00996758">
        <w:rPr>
          <w:rFonts w:ascii="Verdana" w:hAnsi="Verdana"/>
          <w:spacing w:val="-2"/>
          <w:sz w:val="20"/>
          <w:szCs w:val="20"/>
        </w:rPr>
        <w:t>L</w:t>
      </w:r>
      <w:r w:rsidR="00840C01" w:rsidRPr="00996758">
        <w:rPr>
          <w:rFonts w:ascii="Verdana" w:hAnsi="Verdana"/>
          <w:spacing w:val="-2"/>
          <w:sz w:val="20"/>
          <w:szCs w:val="20"/>
        </w:rPr>
        <w:t>a Corte valora la reapertura de la investigación disciplinaria e insta al Estado a continuarla de manera diligente.</w:t>
      </w:r>
      <w:r w:rsidR="00090E37" w:rsidRPr="00996758">
        <w:rPr>
          <w:rFonts w:ascii="Verdana" w:hAnsi="Verdana"/>
          <w:spacing w:val="-2"/>
          <w:sz w:val="20"/>
          <w:szCs w:val="20"/>
        </w:rPr>
        <w:t xml:space="preserve"> El Tribunal no supervisará el cumplimiento de esta obligación de investigar en esa vía.</w:t>
      </w:r>
    </w:p>
    <w:p w:rsidR="00C21209" w:rsidRPr="00996758" w:rsidRDefault="00C21209">
      <w:pPr>
        <w:pBdr>
          <w:top w:val="nil"/>
        </w:pBdr>
        <w:autoSpaceDE w:val="0"/>
        <w:autoSpaceDN w:val="0"/>
        <w:adjustRightInd w:val="0"/>
        <w:spacing w:after="0" w:line="240" w:lineRule="auto"/>
        <w:jc w:val="both"/>
        <w:rPr>
          <w:rFonts w:ascii="Verdana" w:hAnsi="Verdana"/>
          <w:spacing w:val="-2"/>
          <w:sz w:val="20"/>
          <w:szCs w:val="20"/>
        </w:rPr>
      </w:pPr>
    </w:p>
    <w:p w:rsidR="00805D0F" w:rsidRPr="00996758" w:rsidRDefault="00C21209"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pacing w:val="-2"/>
          <w:sz w:val="20"/>
          <w:szCs w:val="20"/>
        </w:rPr>
        <w:lastRenderedPageBreak/>
        <w:t xml:space="preserve">Por otro lado, el Tribunal </w:t>
      </w:r>
      <w:r w:rsidR="00805D0F" w:rsidRPr="00996758">
        <w:rPr>
          <w:rFonts w:ascii="Verdana" w:hAnsi="Verdana"/>
          <w:spacing w:val="-2"/>
          <w:sz w:val="20"/>
          <w:szCs w:val="20"/>
        </w:rPr>
        <w:t xml:space="preserve">valora </w:t>
      </w:r>
      <w:r w:rsidRPr="00996758">
        <w:rPr>
          <w:rFonts w:ascii="Verdana" w:hAnsi="Verdana"/>
          <w:spacing w:val="-2"/>
          <w:sz w:val="20"/>
          <w:szCs w:val="20"/>
        </w:rPr>
        <w:t xml:space="preserve">que la investigación de los hechos se mantenga abierta y que recientemente haya demostrado ciertos </w:t>
      </w:r>
      <w:r w:rsidR="00805D0F" w:rsidRPr="00996758">
        <w:rPr>
          <w:rFonts w:ascii="Verdana" w:hAnsi="Verdana"/>
          <w:spacing w:val="-2"/>
          <w:sz w:val="20"/>
          <w:szCs w:val="20"/>
        </w:rPr>
        <w:t xml:space="preserve">avances </w:t>
      </w:r>
      <w:r w:rsidRPr="00996758">
        <w:rPr>
          <w:rFonts w:ascii="Verdana" w:hAnsi="Verdana"/>
          <w:spacing w:val="-2"/>
          <w:sz w:val="20"/>
          <w:szCs w:val="20"/>
        </w:rPr>
        <w:t>en la consideración del contexto en que ocurrió y ampliando las diligencias hacia otras hipótesis de participación</w:t>
      </w:r>
      <w:r w:rsidR="00805D0F" w:rsidRPr="00996758">
        <w:rPr>
          <w:rFonts w:ascii="Verdana" w:hAnsi="Verdana"/>
          <w:spacing w:val="-2"/>
          <w:sz w:val="20"/>
          <w:szCs w:val="20"/>
        </w:rPr>
        <w:t xml:space="preserve">. </w:t>
      </w:r>
      <w:r w:rsidRPr="00996758">
        <w:rPr>
          <w:rFonts w:ascii="Verdana" w:hAnsi="Verdana"/>
          <w:spacing w:val="-2"/>
          <w:sz w:val="20"/>
          <w:szCs w:val="20"/>
        </w:rPr>
        <w:t xml:space="preserve">Sin embargo, en atención a la calificación jurídica de los hechos y a </w:t>
      </w:r>
      <w:r w:rsidR="00805D0F" w:rsidRPr="00996758">
        <w:rPr>
          <w:rFonts w:ascii="Verdana" w:hAnsi="Verdana"/>
          <w:spacing w:val="-2"/>
          <w:sz w:val="20"/>
          <w:szCs w:val="20"/>
        </w:rPr>
        <w:t xml:space="preserve">las conclusiones de esta Sentencia, la Corte dispone que el Estado debe </w:t>
      </w:r>
      <w:r w:rsidRPr="00996758">
        <w:rPr>
          <w:rFonts w:ascii="Verdana" w:hAnsi="Verdana"/>
          <w:spacing w:val="-2"/>
          <w:sz w:val="20"/>
          <w:szCs w:val="20"/>
        </w:rPr>
        <w:t xml:space="preserve">continuar o </w:t>
      </w:r>
      <w:r w:rsidR="00805D0F" w:rsidRPr="00996758">
        <w:rPr>
          <w:rFonts w:ascii="Verdana" w:hAnsi="Verdana"/>
          <w:spacing w:val="-2"/>
          <w:sz w:val="20"/>
          <w:szCs w:val="20"/>
        </w:rPr>
        <w:t>llevar a cabo las investigaciones amplias, sistemáticas y minuciosas que sean necesarias para determinar y, en su caso, juzgar y sancionar a los responsables de</w:t>
      </w:r>
      <w:r w:rsidRPr="00996758">
        <w:rPr>
          <w:rFonts w:ascii="Verdana" w:hAnsi="Verdana"/>
          <w:spacing w:val="-2"/>
          <w:sz w:val="20"/>
          <w:szCs w:val="20"/>
        </w:rPr>
        <w:t xml:space="preserve"> la desaparición forzada del señor Isaza Uribe</w:t>
      </w:r>
      <w:r w:rsidR="00805D0F" w:rsidRPr="00996758">
        <w:rPr>
          <w:rFonts w:ascii="Verdana" w:hAnsi="Verdana"/>
          <w:spacing w:val="-2"/>
          <w:sz w:val="20"/>
          <w:szCs w:val="20"/>
        </w:rPr>
        <w:t xml:space="preserve">. </w:t>
      </w:r>
      <w:r w:rsidR="00F84DFD" w:rsidRPr="00996758">
        <w:rPr>
          <w:rFonts w:ascii="Verdana" w:hAnsi="Verdana"/>
          <w:spacing w:val="-2"/>
          <w:sz w:val="20"/>
          <w:szCs w:val="20"/>
        </w:rPr>
        <w:t xml:space="preserve">Para estos efectos, las autoridades competentes deberán, en su caso, adoptar las medidas necesarias para </w:t>
      </w:r>
      <w:r w:rsidR="00090E37" w:rsidRPr="00996758">
        <w:rPr>
          <w:rFonts w:ascii="Verdana" w:hAnsi="Verdana"/>
          <w:spacing w:val="-2"/>
          <w:sz w:val="20"/>
          <w:szCs w:val="20"/>
        </w:rPr>
        <w:t xml:space="preserve">determinar la estructura criminal involucrada en la ejecución del hecho, incluyendo posibles beneficiarios, y los </w:t>
      </w:r>
      <w:r w:rsidR="00F84DFD" w:rsidRPr="00996758">
        <w:rPr>
          <w:rFonts w:ascii="Verdana" w:hAnsi="Verdana"/>
          <w:spacing w:val="-2"/>
          <w:sz w:val="20"/>
          <w:szCs w:val="20"/>
        </w:rPr>
        <w:t xml:space="preserve">patrones de </w:t>
      </w:r>
      <w:r w:rsidR="00090E37" w:rsidRPr="00996758">
        <w:rPr>
          <w:rFonts w:ascii="Verdana" w:hAnsi="Verdana"/>
          <w:spacing w:val="-2"/>
          <w:sz w:val="20"/>
          <w:szCs w:val="20"/>
        </w:rPr>
        <w:t>actuación conjunta en los contextos relevantes</w:t>
      </w:r>
      <w:r w:rsidR="00F84DFD" w:rsidRPr="00996758">
        <w:rPr>
          <w:rFonts w:ascii="Verdana" w:hAnsi="Verdana"/>
          <w:spacing w:val="-2"/>
          <w:sz w:val="20"/>
          <w:szCs w:val="20"/>
        </w:rPr>
        <w:t xml:space="preserve">; continuar articulando mecanismos de coordinación entre los diferentes órganos e instituciones estatales con facultades de investigación y otros esquemas existentes o por </w:t>
      </w:r>
      <w:r w:rsidR="00090E37" w:rsidRPr="00996758">
        <w:rPr>
          <w:rFonts w:ascii="Verdana" w:hAnsi="Verdana"/>
          <w:spacing w:val="-2"/>
          <w:sz w:val="20"/>
          <w:szCs w:val="20"/>
        </w:rPr>
        <w:t>crearse</w:t>
      </w:r>
      <w:r w:rsidR="00F84DFD" w:rsidRPr="00996758">
        <w:rPr>
          <w:rFonts w:ascii="Verdana" w:hAnsi="Verdana"/>
          <w:spacing w:val="-2"/>
          <w:sz w:val="20"/>
          <w:szCs w:val="20"/>
        </w:rPr>
        <w:t xml:space="preserve">; </w:t>
      </w:r>
      <w:r w:rsidR="00205F66" w:rsidRPr="00996758">
        <w:rPr>
          <w:rFonts w:ascii="Verdana" w:hAnsi="Verdana"/>
          <w:spacing w:val="-2"/>
          <w:sz w:val="20"/>
          <w:szCs w:val="20"/>
        </w:rPr>
        <w:t>así como</w:t>
      </w:r>
      <w:r w:rsidR="00F84DFD" w:rsidRPr="00996758">
        <w:rPr>
          <w:rFonts w:ascii="Verdana" w:hAnsi="Verdana"/>
          <w:spacing w:val="-2"/>
          <w:sz w:val="20"/>
          <w:szCs w:val="20"/>
        </w:rPr>
        <w:t xml:space="preserve"> </w:t>
      </w:r>
      <w:r w:rsidR="00090E37" w:rsidRPr="00996758">
        <w:rPr>
          <w:rFonts w:ascii="Verdana" w:hAnsi="Verdana"/>
          <w:spacing w:val="-2"/>
          <w:sz w:val="20"/>
          <w:szCs w:val="20"/>
        </w:rPr>
        <w:t xml:space="preserve">agotar </w:t>
      </w:r>
      <w:r w:rsidR="00F84DFD" w:rsidRPr="00996758">
        <w:rPr>
          <w:rFonts w:ascii="Verdana" w:hAnsi="Verdana"/>
          <w:spacing w:val="-2"/>
          <w:sz w:val="20"/>
          <w:szCs w:val="20"/>
        </w:rPr>
        <w:t>las líneas lógicas de investigación para dete</w:t>
      </w:r>
      <w:r w:rsidR="00B85CD1" w:rsidRPr="00996758">
        <w:rPr>
          <w:rFonts w:ascii="Verdana" w:hAnsi="Verdana"/>
          <w:spacing w:val="-2"/>
          <w:sz w:val="20"/>
          <w:szCs w:val="20"/>
        </w:rPr>
        <w:t>rminar si estuvieron involucrada</w:t>
      </w:r>
      <w:r w:rsidR="00F84DFD" w:rsidRPr="00996758">
        <w:rPr>
          <w:rFonts w:ascii="Verdana" w:hAnsi="Verdana"/>
          <w:spacing w:val="-2"/>
          <w:sz w:val="20"/>
          <w:szCs w:val="20"/>
        </w:rPr>
        <w:t xml:space="preserve">s </w:t>
      </w:r>
      <w:r w:rsidR="00205F66" w:rsidRPr="00996758">
        <w:rPr>
          <w:rFonts w:ascii="Verdana" w:hAnsi="Verdana"/>
          <w:spacing w:val="-2"/>
          <w:sz w:val="20"/>
          <w:szCs w:val="20"/>
        </w:rPr>
        <w:t>autoridades civiles</w:t>
      </w:r>
      <w:r w:rsidR="00B85CD1" w:rsidRPr="00996758">
        <w:rPr>
          <w:rFonts w:ascii="Verdana" w:hAnsi="Verdana"/>
          <w:spacing w:val="-2"/>
          <w:sz w:val="20"/>
          <w:szCs w:val="20"/>
        </w:rPr>
        <w:t>, policiales</w:t>
      </w:r>
      <w:r w:rsidR="00205F66" w:rsidRPr="00996758">
        <w:rPr>
          <w:rFonts w:ascii="Verdana" w:hAnsi="Verdana"/>
          <w:spacing w:val="-2"/>
          <w:sz w:val="20"/>
          <w:szCs w:val="20"/>
        </w:rPr>
        <w:t xml:space="preserve"> o militares</w:t>
      </w:r>
      <w:r w:rsidR="00F84DFD" w:rsidRPr="00996758">
        <w:rPr>
          <w:rFonts w:ascii="Verdana" w:hAnsi="Verdana"/>
          <w:spacing w:val="-2"/>
          <w:sz w:val="20"/>
          <w:szCs w:val="20"/>
        </w:rPr>
        <w:t xml:space="preserve">. </w:t>
      </w:r>
      <w:r w:rsidR="00805D0F" w:rsidRPr="00996758">
        <w:rPr>
          <w:rFonts w:ascii="Verdana" w:hAnsi="Verdana"/>
          <w:spacing w:val="-2"/>
          <w:sz w:val="20"/>
          <w:szCs w:val="20"/>
        </w:rPr>
        <w:t>Dicha obligación debe ser cumplida en un plazo razonable con el fin de establecer la verdad de los hechos del presente caso, tomando en cuen</w:t>
      </w:r>
      <w:r w:rsidR="00B8196D" w:rsidRPr="00996758">
        <w:rPr>
          <w:rFonts w:ascii="Verdana" w:hAnsi="Verdana"/>
          <w:spacing w:val="-2"/>
          <w:sz w:val="20"/>
          <w:szCs w:val="20"/>
        </w:rPr>
        <w:t>ta que han transcurrido más de 3</w:t>
      </w:r>
      <w:r w:rsidR="00B072B4" w:rsidRPr="00996758">
        <w:rPr>
          <w:rFonts w:ascii="Verdana" w:hAnsi="Verdana"/>
          <w:spacing w:val="-2"/>
          <w:sz w:val="20"/>
          <w:szCs w:val="20"/>
        </w:rPr>
        <w:t>1</w:t>
      </w:r>
      <w:r w:rsidR="00805D0F" w:rsidRPr="00996758">
        <w:rPr>
          <w:rFonts w:ascii="Verdana" w:hAnsi="Verdana"/>
          <w:spacing w:val="-2"/>
          <w:sz w:val="20"/>
          <w:szCs w:val="20"/>
        </w:rPr>
        <w:t xml:space="preserve"> años desde que sucedieron</w:t>
      </w:r>
      <w:r w:rsidR="00B072B4" w:rsidRPr="00996758">
        <w:rPr>
          <w:rFonts w:ascii="Verdana" w:hAnsi="Verdana"/>
          <w:spacing w:val="-2"/>
          <w:sz w:val="20"/>
          <w:szCs w:val="20"/>
        </w:rPr>
        <w:t xml:space="preserve"> y persiste la impunidad</w:t>
      </w:r>
      <w:r w:rsidR="00805D0F" w:rsidRPr="00996758">
        <w:rPr>
          <w:rFonts w:ascii="Verdana" w:hAnsi="Verdana"/>
          <w:spacing w:val="-2"/>
          <w:sz w:val="20"/>
          <w:szCs w:val="20"/>
        </w:rPr>
        <w:t xml:space="preserve">. </w:t>
      </w:r>
    </w:p>
    <w:p w:rsidR="00D275ED" w:rsidRPr="00996758" w:rsidRDefault="00D275ED">
      <w:pPr>
        <w:pBdr>
          <w:top w:val="nil"/>
        </w:pBdr>
        <w:autoSpaceDE w:val="0"/>
        <w:autoSpaceDN w:val="0"/>
        <w:adjustRightInd w:val="0"/>
        <w:spacing w:after="0" w:line="240" w:lineRule="auto"/>
        <w:jc w:val="both"/>
        <w:rPr>
          <w:rFonts w:ascii="Verdana" w:eastAsia="Calibri" w:hAnsi="Verdana" w:cs="Times New Roman"/>
          <w:i/>
          <w:sz w:val="20"/>
          <w:szCs w:val="20"/>
        </w:rPr>
      </w:pPr>
      <w:bookmarkStart w:id="47" w:name="_Toc498427297"/>
    </w:p>
    <w:p w:rsidR="00805D0F" w:rsidRPr="00996758" w:rsidRDefault="00805D0F">
      <w:pPr>
        <w:autoSpaceDE w:val="0"/>
        <w:autoSpaceDN w:val="0"/>
        <w:adjustRightInd w:val="0"/>
        <w:spacing w:after="0" w:line="240" w:lineRule="auto"/>
        <w:ind w:left="426" w:right="49" w:firstLine="708"/>
        <w:contextualSpacing/>
        <w:jc w:val="both"/>
        <w:rPr>
          <w:rFonts w:ascii="Verdana" w:eastAsia="Calibri" w:hAnsi="Verdana" w:cs="Times New Roman"/>
          <w:i/>
          <w:sz w:val="20"/>
          <w:szCs w:val="20"/>
        </w:rPr>
      </w:pPr>
      <w:r w:rsidRPr="00996758">
        <w:rPr>
          <w:rFonts w:ascii="Verdana" w:eastAsia="Calibri" w:hAnsi="Verdana" w:cs="Times New Roman"/>
          <w:i/>
          <w:sz w:val="20"/>
          <w:szCs w:val="20"/>
        </w:rPr>
        <w:t>B.2. Determinación del paradero e identificación de la víctima desaparecida</w:t>
      </w:r>
      <w:bookmarkEnd w:id="47"/>
    </w:p>
    <w:p w:rsidR="00B8196D" w:rsidRPr="00996758" w:rsidRDefault="00B8196D">
      <w:pPr>
        <w:pBdr>
          <w:top w:val="nil"/>
        </w:pBdr>
        <w:autoSpaceDE w:val="0"/>
        <w:autoSpaceDN w:val="0"/>
        <w:adjustRightInd w:val="0"/>
        <w:spacing w:after="0" w:line="240" w:lineRule="auto"/>
        <w:jc w:val="both"/>
        <w:rPr>
          <w:rFonts w:ascii="Verdana" w:hAnsi="Verdana"/>
          <w:b/>
          <w:sz w:val="20"/>
          <w:szCs w:val="20"/>
        </w:rPr>
      </w:pPr>
    </w:p>
    <w:p w:rsidR="00B8196D" w:rsidRPr="00996758" w:rsidRDefault="00B8196D"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r w:rsidRPr="00996758">
        <w:rPr>
          <w:rFonts w:ascii="Verdana" w:hAnsi="Verdana"/>
          <w:spacing w:val="-2"/>
          <w:sz w:val="20"/>
          <w:szCs w:val="20"/>
        </w:rPr>
        <w:t xml:space="preserve">Los </w:t>
      </w:r>
      <w:r w:rsidRPr="00996758">
        <w:rPr>
          <w:rFonts w:ascii="Verdana" w:hAnsi="Verdana"/>
          <w:b/>
          <w:i/>
          <w:spacing w:val="-2"/>
          <w:sz w:val="20"/>
          <w:szCs w:val="20"/>
        </w:rPr>
        <w:t>representantes</w:t>
      </w:r>
      <w:r w:rsidRPr="00996758">
        <w:rPr>
          <w:rFonts w:ascii="Verdana" w:hAnsi="Verdana"/>
          <w:spacing w:val="-2"/>
          <w:sz w:val="20"/>
          <w:szCs w:val="20"/>
        </w:rPr>
        <w:t xml:space="preserve"> solicitaron que se ordene a la Fiscalía General de la Nación que disponga un plan de búsqueda adecuado y pertinente, por el tiempo que sea necesario, para determinar el paradero de la víctima o la localización </w:t>
      </w:r>
      <w:r w:rsidR="00B85CD1" w:rsidRPr="00996758">
        <w:rPr>
          <w:rFonts w:ascii="Verdana" w:hAnsi="Verdana"/>
          <w:spacing w:val="-2"/>
          <w:sz w:val="20"/>
          <w:szCs w:val="20"/>
        </w:rPr>
        <w:t>de</w:t>
      </w:r>
      <w:r w:rsidRPr="00996758">
        <w:rPr>
          <w:rFonts w:ascii="Verdana" w:hAnsi="Verdana"/>
          <w:spacing w:val="-2"/>
          <w:sz w:val="20"/>
          <w:szCs w:val="20"/>
        </w:rPr>
        <w:t xml:space="preserve"> sus restos, para lo cual debe disponer la asignación de un grupo mínimo de dos investigadores del Cuerpo Técnico de Investigación, con dedicación exclusiva, que permita </w:t>
      </w:r>
      <w:r w:rsidR="00B85CD1" w:rsidRPr="00996758">
        <w:rPr>
          <w:rFonts w:ascii="Verdana" w:hAnsi="Verdana"/>
          <w:spacing w:val="-2"/>
          <w:sz w:val="20"/>
          <w:szCs w:val="20"/>
        </w:rPr>
        <w:t xml:space="preserve">obtener resultados </w:t>
      </w:r>
      <w:r w:rsidRPr="00996758">
        <w:rPr>
          <w:rFonts w:ascii="Verdana" w:hAnsi="Verdana"/>
          <w:spacing w:val="-2"/>
          <w:sz w:val="20"/>
          <w:szCs w:val="20"/>
        </w:rPr>
        <w:t xml:space="preserve">en un plazo razonable en la judicialización </w:t>
      </w:r>
      <w:r w:rsidR="00B85CD1" w:rsidRPr="00996758">
        <w:rPr>
          <w:rFonts w:ascii="Verdana" w:hAnsi="Verdana"/>
          <w:spacing w:val="-2"/>
          <w:sz w:val="20"/>
          <w:szCs w:val="20"/>
        </w:rPr>
        <w:t xml:space="preserve">y </w:t>
      </w:r>
      <w:r w:rsidRPr="00996758">
        <w:rPr>
          <w:rFonts w:ascii="Verdana" w:hAnsi="Verdana"/>
          <w:spacing w:val="-2"/>
          <w:sz w:val="20"/>
          <w:szCs w:val="20"/>
        </w:rPr>
        <w:t xml:space="preserve">en </w:t>
      </w:r>
      <w:r w:rsidR="00B85CD1" w:rsidRPr="00996758">
        <w:rPr>
          <w:rFonts w:ascii="Verdana" w:hAnsi="Verdana"/>
          <w:spacing w:val="-2"/>
          <w:sz w:val="20"/>
          <w:szCs w:val="20"/>
        </w:rPr>
        <w:t xml:space="preserve">la </w:t>
      </w:r>
      <w:r w:rsidRPr="00996758">
        <w:rPr>
          <w:rFonts w:ascii="Verdana" w:hAnsi="Verdana"/>
          <w:spacing w:val="-2"/>
          <w:sz w:val="20"/>
          <w:szCs w:val="20"/>
        </w:rPr>
        <w:t>búsqueda.</w:t>
      </w:r>
    </w:p>
    <w:p w:rsidR="003A4BAA" w:rsidRPr="00996758" w:rsidRDefault="003A4BAA">
      <w:pPr>
        <w:pBdr>
          <w:top w:val="nil"/>
        </w:pBdr>
        <w:autoSpaceDE w:val="0"/>
        <w:autoSpaceDN w:val="0"/>
        <w:adjustRightInd w:val="0"/>
        <w:spacing w:after="0" w:line="240" w:lineRule="auto"/>
        <w:jc w:val="both"/>
        <w:rPr>
          <w:rFonts w:ascii="Verdana" w:hAnsi="Verdana"/>
          <w:sz w:val="20"/>
          <w:szCs w:val="20"/>
        </w:rPr>
      </w:pPr>
    </w:p>
    <w:p w:rsidR="00805D0F" w:rsidRPr="00996758" w:rsidRDefault="000C63E9" w:rsidP="00DC7CD8">
      <w:pPr>
        <w:numPr>
          <w:ilvl w:val="0"/>
          <w:numId w:val="10"/>
        </w:numPr>
        <w:pBdr>
          <w:top w:val="nil"/>
        </w:pBdr>
        <w:autoSpaceDE w:val="0"/>
        <w:autoSpaceDN w:val="0"/>
        <w:adjustRightInd w:val="0"/>
        <w:spacing w:after="0" w:line="240" w:lineRule="auto"/>
        <w:ind w:left="0" w:firstLine="0"/>
        <w:jc w:val="both"/>
        <w:rPr>
          <w:rFonts w:ascii="Verdana" w:hAnsi="Verdana"/>
          <w:spacing w:val="-2"/>
          <w:sz w:val="20"/>
          <w:szCs w:val="20"/>
        </w:rPr>
      </w:pPr>
      <w:bookmarkStart w:id="48" w:name="_Ref405772707"/>
      <w:r w:rsidRPr="00996758">
        <w:rPr>
          <w:rFonts w:ascii="Verdana" w:hAnsi="Verdana" w:cs="Verdana-Italic"/>
          <w:iCs/>
          <w:spacing w:val="-2"/>
          <w:sz w:val="20"/>
          <w:szCs w:val="20"/>
          <w:lang w:bidi="en-US"/>
        </w:rPr>
        <w:t>Es criterio de este</w:t>
      </w:r>
      <w:r w:rsidR="00805D0F" w:rsidRPr="00996758">
        <w:rPr>
          <w:rFonts w:ascii="Verdana" w:hAnsi="Verdana" w:cs="Verdana-Italic"/>
          <w:iCs/>
          <w:spacing w:val="-2"/>
          <w:sz w:val="20"/>
          <w:szCs w:val="20"/>
          <w:lang w:bidi="en-US"/>
        </w:rPr>
        <w:t xml:space="preserve"> Tribunal </w:t>
      </w:r>
      <w:r w:rsidRPr="00996758">
        <w:rPr>
          <w:rFonts w:ascii="Verdana" w:hAnsi="Verdana" w:cs="Verdana-Italic"/>
          <w:iCs/>
          <w:spacing w:val="-2"/>
          <w:sz w:val="20"/>
          <w:szCs w:val="20"/>
          <w:lang w:bidi="en-US"/>
        </w:rPr>
        <w:t xml:space="preserve">que </w:t>
      </w:r>
      <w:r w:rsidR="00090E37" w:rsidRPr="00996758">
        <w:rPr>
          <w:rFonts w:ascii="Verdana" w:hAnsi="Verdana" w:cs="Verdana"/>
          <w:spacing w:val="-2"/>
          <w:sz w:val="20"/>
          <w:szCs w:val="20"/>
        </w:rPr>
        <w:t>la obligación de investigar de las autoridades competentes subsiste mientras se mantenga la incertidumbre sobre la suerte final de la persona desaparecida, pues el derecho de sus familiares de conocer la v</w:t>
      </w:r>
      <w:r w:rsidR="00EE37D9" w:rsidRPr="00996758">
        <w:rPr>
          <w:rFonts w:ascii="Verdana" w:hAnsi="Verdana" w:cs="Verdana"/>
          <w:spacing w:val="-2"/>
          <w:sz w:val="20"/>
          <w:szCs w:val="20"/>
        </w:rPr>
        <w:t>erdad sobre el destino de ésta o</w:t>
      </w:r>
      <w:r w:rsidR="00090E37" w:rsidRPr="00996758">
        <w:rPr>
          <w:rFonts w:ascii="Verdana" w:hAnsi="Verdana" w:cs="Verdana"/>
          <w:spacing w:val="-2"/>
          <w:sz w:val="20"/>
          <w:szCs w:val="20"/>
        </w:rPr>
        <w:t>, en su caso, dónde se encuentran sus restos, representa una justa expectativa que el Estado debe satisfacer con todos los medios a su alcance</w:t>
      </w:r>
      <w:r w:rsidR="00090E37" w:rsidRPr="00996758">
        <w:rPr>
          <w:rFonts w:ascii="Verdana" w:hAnsi="Verdana"/>
          <w:sz w:val="20"/>
          <w:szCs w:val="20"/>
          <w:vertAlign w:val="superscript"/>
        </w:rPr>
        <w:footnoteReference w:id="175"/>
      </w:r>
      <w:r w:rsidR="00090E37" w:rsidRPr="00996758">
        <w:rPr>
          <w:rFonts w:ascii="Verdana" w:hAnsi="Verdana" w:cs="Verdana"/>
          <w:spacing w:val="-2"/>
          <w:sz w:val="20"/>
          <w:szCs w:val="20"/>
        </w:rPr>
        <w:t>.</w:t>
      </w:r>
      <w:r w:rsidR="00090E37" w:rsidRPr="00996758">
        <w:rPr>
          <w:rFonts w:ascii="Verdana" w:hAnsi="Verdana" w:cs="Times New Roman"/>
          <w:sz w:val="20"/>
          <w:szCs w:val="20"/>
          <w:lang w:eastAsia="es-CR"/>
        </w:rPr>
        <w:t xml:space="preserve"> </w:t>
      </w:r>
      <w:bookmarkEnd w:id="48"/>
      <w:r w:rsidR="003A4BAA" w:rsidRPr="00996758">
        <w:rPr>
          <w:rFonts w:ascii="Verdana" w:hAnsi="Verdana" w:cs="Verdana-Italic"/>
          <w:sz w:val="20"/>
          <w:szCs w:val="20"/>
          <w:lang w:bidi="en-US"/>
        </w:rPr>
        <w:t xml:space="preserve">En este caso, </w:t>
      </w:r>
      <w:r w:rsidR="0010182D" w:rsidRPr="00996758">
        <w:rPr>
          <w:rFonts w:ascii="Verdana" w:hAnsi="Verdana" w:cs="Verdana-Italic"/>
          <w:iCs/>
          <w:spacing w:val="-2"/>
          <w:sz w:val="20"/>
          <w:szCs w:val="20"/>
          <w:lang w:bidi="en-US"/>
        </w:rPr>
        <w:t>transcurridos más de 31</w:t>
      </w:r>
      <w:r w:rsidRPr="00996758">
        <w:rPr>
          <w:rFonts w:ascii="Verdana" w:hAnsi="Verdana" w:cs="Verdana-Italic"/>
          <w:iCs/>
          <w:spacing w:val="-2"/>
          <w:sz w:val="20"/>
          <w:szCs w:val="20"/>
          <w:lang w:bidi="en-US"/>
        </w:rPr>
        <w:t xml:space="preserve"> años desde la desaparición del señor Isaza Uribe,</w:t>
      </w:r>
      <w:r w:rsidR="00805D0F" w:rsidRPr="00996758">
        <w:rPr>
          <w:rFonts w:ascii="Verdana" w:hAnsi="Verdana" w:cs="Verdana-Italic"/>
          <w:sz w:val="20"/>
          <w:szCs w:val="20"/>
          <w:lang w:bidi="en-US"/>
        </w:rPr>
        <w:t xml:space="preserve"> </w:t>
      </w:r>
      <w:r w:rsidRPr="00996758">
        <w:rPr>
          <w:rFonts w:ascii="Verdana" w:hAnsi="Verdana" w:cs="Verdana-Italic"/>
          <w:sz w:val="20"/>
          <w:szCs w:val="20"/>
          <w:lang w:bidi="en-US"/>
        </w:rPr>
        <w:t>aún no se conoce su</w:t>
      </w:r>
      <w:r w:rsidR="00805D0F" w:rsidRPr="00996758">
        <w:rPr>
          <w:rFonts w:ascii="Verdana" w:hAnsi="Verdana" w:cs="Verdana-Italic"/>
          <w:sz w:val="20"/>
          <w:szCs w:val="20"/>
          <w:lang w:bidi="en-US"/>
        </w:rPr>
        <w:t xml:space="preserve"> paradero. </w:t>
      </w:r>
      <w:r w:rsidR="003A4BAA" w:rsidRPr="00996758">
        <w:rPr>
          <w:rFonts w:ascii="Verdana" w:hAnsi="Verdana" w:cs="Verdana-Italic"/>
          <w:sz w:val="20"/>
          <w:szCs w:val="20"/>
          <w:lang w:bidi="en-US"/>
        </w:rPr>
        <w:t>Por ello</w:t>
      </w:r>
      <w:r w:rsidR="00805D0F" w:rsidRPr="00996758">
        <w:rPr>
          <w:rFonts w:ascii="Verdana" w:hAnsi="Verdana" w:cs="Verdana-Italic"/>
          <w:sz w:val="20"/>
          <w:szCs w:val="20"/>
          <w:lang w:bidi="en-US"/>
        </w:rPr>
        <w:t xml:space="preserve">, </w:t>
      </w:r>
      <w:r w:rsidRPr="00996758">
        <w:rPr>
          <w:rFonts w:ascii="Verdana" w:hAnsi="Verdana" w:cs="Verdana-Italic"/>
          <w:sz w:val="20"/>
          <w:szCs w:val="20"/>
          <w:lang w:bidi="en-US"/>
        </w:rPr>
        <w:t xml:space="preserve">la Corte dispone que </w:t>
      </w:r>
      <w:r w:rsidR="00805D0F" w:rsidRPr="00996758">
        <w:rPr>
          <w:rFonts w:ascii="Verdana" w:hAnsi="Verdana" w:cs="Verdana-Italic"/>
          <w:sz w:val="20"/>
          <w:szCs w:val="20"/>
          <w:lang w:bidi="en-US"/>
        </w:rPr>
        <w:t xml:space="preserve">el Estado continúe con </w:t>
      </w:r>
      <w:r w:rsidRPr="00996758">
        <w:rPr>
          <w:rFonts w:ascii="Verdana" w:hAnsi="Verdana" w:cs="Verdana-Italic"/>
          <w:sz w:val="20"/>
          <w:szCs w:val="20"/>
          <w:lang w:bidi="en-US"/>
        </w:rPr>
        <w:t xml:space="preserve">su </w:t>
      </w:r>
      <w:r w:rsidR="00805D0F" w:rsidRPr="00996758">
        <w:rPr>
          <w:rFonts w:ascii="Verdana" w:hAnsi="Verdana" w:cs="Verdana-Italic"/>
          <w:sz w:val="20"/>
          <w:szCs w:val="20"/>
          <w:lang w:bidi="en-US"/>
        </w:rPr>
        <w:t>búsqueda</w:t>
      </w:r>
      <w:r w:rsidR="00805D0F" w:rsidRPr="00996758">
        <w:rPr>
          <w:rFonts w:ascii="Verdana" w:hAnsi="Verdana" w:cs="Verdana-Italic"/>
          <w:iCs/>
          <w:spacing w:val="-2"/>
          <w:sz w:val="20"/>
          <w:szCs w:val="20"/>
          <w:lang w:bidi="en-US"/>
        </w:rPr>
        <w:t xml:space="preserve"> por las vías </w:t>
      </w:r>
      <w:r w:rsidR="00090E37" w:rsidRPr="00996758">
        <w:rPr>
          <w:rFonts w:ascii="Verdana" w:hAnsi="Verdana" w:cs="Verdana-Italic"/>
          <w:iCs/>
          <w:spacing w:val="-2"/>
          <w:sz w:val="20"/>
          <w:szCs w:val="20"/>
          <w:lang w:bidi="en-US"/>
        </w:rPr>
        <w:t>judiciales y administrativas</w:t>
      </w:r>
      <w:r w:rsidR="00805D0F" w:rsidRPr="00996758">
        <w:rPr>
          <w:rFonts w:ascii="Verdana" w:hAnsi="Verdana" w:cs="Verdana-Italic"/>
          <w:iCs/>
          <w:spacing w:val="-2"/>
          <w:sz w:val="20"/>
          <w:szCs w:val="20"/>
          <w:lang w:bidi="en-US"/>
        </w:rPr>
        <w:t xml:space="preserve"> pertinentes, en el marco de la</w:t>
      </w:r>
      <w:r w:rsidRPr="00996758">
        <w:rPr>
          <w:rFonts w:ascii="Verdana" w:hAnsi="Verdana" w:cs="Verdana-Italic"/>
          <w:iCs/>
          <w:spacing w:val="-2"/>
          <w:sz w:val="20"/>
          <w:szCs w:val="20"/>
          <w:lang w:bidi="en-US"/>
        </w:rPr>
        <w:t>s</w:t>
      </w:r>
      <w:r w:rsidR="00805D0F" w:rsidRPr="00996758">
        <w:rPr>
          <w:rFonts w:ascii="Verdana" w:hAnsi="Verdana" w:cs="Verdana-Italic"/>
          <w:iCs/>
          <w:spacing w:val="-2"/>
          <w:sz w:val="20"/>
          <w:szCs w:val="20"/>
          <w:lang w:bidi="en-US"/>
        </w:rPr>
        <w:t xml:space="preserve"> cual</w:t>
      </w:r>
      <w:r w:rsidRPr="00996758">
        <w:rPr>
          <w:rFonts w:ascii="Verdana" w:hAnsi="Verdana" w:cs="Verdana-Italic"/>
          <w:iCs/>
          <w:spacing w:val="-2"/>
          <w:sz w:val="20"/>
          <w:szCs w:val="20"/>
          <w:lang w:bidi="en-US"/>
        </w:rPr>
        <w:t>es</w:t>
      </w:r>
      <w:r w:rsidR="00805D0F" w:rsidRPr="00996758">
        <w:rPr>
          <w:rFonts w:ascii="Verdana" w:hAnsi="Verdana" w:cs="Verdana-Italic"/>
          <w:iCs/>
          <w:spacing w:val="-2"/>
          <w:sz w:val="20"/>
          <w:szCs w:val="20"/>
          <w:lang w:bidi="en-US"/>
        </w:rPr>
        <w:t xml:space="preserve"> debe realizar todos los esfuerzos para determinar, a la mayor brevedad, el </w:t>
      </w:r>
      <w:r w:rsidR="003A4BAA" w:rsidRPr="00996758">
        <w:rPr>
          <w:rFonts w:ascii="Verdana" w:hAnsi="Verdana" w:cs="Verdana-Italic"/>
          <w:iCs/>
          <w:spacing w:val="-2"/>
          <w:sz w:val="20"/>
          <w:szCs w:val="20"/>
          <w:lang w:bidi="en-US"/>
        </w:rPr>
        <w:t>paradero de la víctima</w:t>
      </w:r>
      <w:r w:rsidR="00805D0F" w:rsidRPr="00996758">
        <w:rPr>
          <w:rFonts w:ascii="Verdana" w:hAnsi="Verdana" w:cs="Verdana-Italic"/>
          <w:iCs/>
          <w:spacing w:val="-2"/>
          <w:sz w:val="20"/>
          <w:szCs w:val="20"/>
          <w:lang w:bidi="en-US"/>
        </w:rPr>
        <w:t xml:space="preserve">. Esa búsqueda deberá realizarse de manera sistemática </w:t>
      </w:r>
      <w:r w:rsidR="00090E37" w:rsidRPr="00996758">
        <w:rPr>
          <w:rFonts w:ascii="Verdana" w:hAnsi="Verdana" w:cs="Verdana-Italic"/>
          <w:iCs/>
          <w:spacing w:val="-2"/>
          <w:sz w:val="20"/>
          <w:szCs w:val="20"/>
          <w:lang w:bidi="en-US"/>
        </w:rPr>
        <w:t xml:space="preserve">y rigurosa </w:t>
      </w:r>
      <w:r w:rsidR="00805D0F" w:rsidRPr="00996758">
        <w:rPr>
          <w:rFonts w:ascii="Verdana" w:hAnsi="Verdana" w:cs="Verdana-Italic"/>
          <w:iCs/>
          <w:spacing w:val="-2"/>
          <w:sz w:val="20"/>
          <w:szCs w:val="20"/>
          <w:lang w:bidi="en-US"/>
        </w:rPr>
        <w:t xml:space="preserve">y contar con los recursos humanos, técnicos y científicos adecuados e idóneos. Para las referidas diligencias se debe establecer una estrategia de comunicación con los familiares y acordar un marco de acción coordinada para procurar su participación, conocimiento y presencia, conforme a las directrices y protocolos en la materia. Si </w:t>
      </w:r>
      <w:r w:rsidR="00147563" w:rsidRPr="00996758">
        <w:rPr>
          <w:rFonts w:ascii="Verdana" w:hAnsi="Verdana" w:cs="Verdana-Italic"/>
          <w:iCs/>
          <w:spacing w:val="-2"/>
          <w:sz w:val="20"/>
          <w:szCs w:val="20"/>
          <w:lang w:bidi="en-US"/>
        </w:rPr>
        <w:t>la víctima</w:t>
      </w:r>
      <w:r w:rsidR="00805D0F" w:rsidRPr="00996758">
        <w:rPr>
          <w:rFonts w:ascii="Verdana" w:hAnsi="Verdana" w:cs="Verdana-Italic"/>
          <w:iCs/>
          <w:spacing w:val="-2"/>
          <w:sz w:val="20"/>
          <w:szCs w:val="20"/>
          <w:lang w:bidi="en-US"/>
        </w:rPr>
        <w:t xml:space="preserve"> </w:t>
      </w:r>
      <w:r w:rsidR="00147563" w:rsidRPr="00996758">
        <w:rPr>
          <w:rFonts w:ascii="Verdana" w:hAnsi="Verdana" w:cs="Verdana-Italic"/>
          <w:iCs/>
          <w:spacing w:val="-2"/>
          <w:sz w:val="20"/>
          <w:szCs w:val="20"/>
          <w:lang w:bidi="en-US"/>
        </w:rPr>
        <w:t>se encontrare</w:t>
      </w:r>
      <w:r w:rsidR="00805D0F" w:rsidRPr="00996758">
        <w:rPr>
          <w:rFonts w:ascii="Verdana" w:hAnsi="Verdana" w:cs="Verdana-Italic"/>
          <w:iCs/>
          <w:spacing w:val="-2"/>
          <w:sz w:val="20"/>
          <w:szCs w:val="20"/>
          <w:lang w:bidi="en-US"/>
        </w:rPr>
        <w:t xml:space="preserve"> fallecida, los restos mortales deberán ser entregados a sus familiares, previa comprobación fehaciente de identidad, a la mayor brevedad posible y sin costo alguno para ellos. Además, el Estado deberá cubrir los gastos fúnebres, en su caso, de común acuerdo con los familiares, y conforme a sus creencias</w:t>
      </w:r>
      <w:r w:rsidR="00805D0F" w:rsidRPr="00996758">
        <w:rPr>
          <w:rStyle w:val="FootnoteReference"/>
          <w:rFonts w:ascii="Verdana" w:hAnsi="Verdana" w:cs="Verdana-Italic"/>
          <w:iCs/>
          <w:spacing w:val="-2"/>
          <w:sz w:val="20"/>
          <w:szCs w:val="20"/>
          <w:lang w:bidi="en-US"/>
        </w:rPr>
        <w:footnoteReference w:id="176"/>
      </w:r>
      <w:r w:rsidR="00805D0F" w:rsidRPr="00996758">
        <w:rPr>
          <w:rFonts w:ascii="Verdana" w:hAnsi="Verdana" w:cs="Verdana-Italic"/>
          <w:iCs/>
          <w:spacing w:val="-2"/>
          <w:sz w:val="20"/>
          <w:szCs w:val="20"/>
          <w:lang w:bidi="en-US"/>
        </w:rPr>
        <w:t>.</w:t>
      </w:r>
    </w:p>
    <w:p w:rsidR="000D3900" w:rsidRPr="00996758" w:rsidRDefault="000D3900">
      <w:pPr>
        <w:autoSpaceDE w:val="0"/>
        <w:autoSpaceDN w:val="0"/>
        <w:adjustRightInd w:val="0"/>
        <w:spacing w:after="0" w:line="240" w:lineRule="auto"/>
        <w:ind w:right="49"/>
        <w:contextualSpacing/>
        <w:jc w:val="both"/>
        <w:rPr>
          <w:rFonts w:ascii="Verdana" w:eastAsia="Calibri" w:hAnsi="Verdana" w:cs="Times New Roman"/>
          <w:sz w:val="20"/>
          <w:szCs w:val="20"/>
        </w:rPr>
      </w:pPr>
    </w:p>
    <w:p w:rsidR="00111BE2" w:rsidRPr="00996758" w:rsidRDefault="00111BE2">
      <w:pPr>
        <w:autoSpaceDE w:val="0"/>
        <w:autoSpaceDN w:val="0"/>
        <w:adjustRightInd w:val="0"/>
        <w:spacing w:after="0" w:line="240" w:lineRule="auto"/>
        <w:ind w:right="49"/>
        <w:contextualSpacing/>
        <w:jc w:val="both"/>
        <w:rPr>
          <w:rFonts w:ascii="Verdana" w:eastAsia="Calibri" w:hAnsi="Verdana" w:cs="Times New Roman"/>
          <w:sz w:val="20"/>
          <w:szCs w:val="20"/>
        </w:rPr>
      </w:pPr>
    </w:p>
    <w:p w:rsidR="000D3900" w:rsidRPr="00996758" w:rsidRDefault="000D3900">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49" w:name="_Toc530560073"/>
      <w:r w:rsidRPr="00996758">
        <w:rPr>
          <w:rFonts w:ascii="Verdana" w:eastAsia="Times New Roman" w:hAnsi="Verdana" w:cs="Times New Roman"/>
          <w:bCs w:val="0"/>
          <w:i/>
          <w:color w:val="auto"/>
          <w:sz w:val="20"/>
          <w:szCs w:val="20"/>
        </w:rPr>
        <w:t xml:space="preserve">Medida de </w:t>
      </w:r>
      <w:r w:rsidR="00C460F0" w:rsidRPr="00996758">
        <w:rPr>
          <w:rFonts w:ascii="Verdana" w:eastAsia="Times New Roman" w:hAnsi="Verdana" w:cs="Times New Roman"/>
          <w:bCs w:val="0"/>
          <w:i/>
          <w:color w:val="auto"/>
          <w:sz w:val="20"/>
          <w:szCs w:val="20"/>
        </w:rPr>
        <w:t>rehabilitación</w:t>
      </w:r>
      <w:bookmarkEnd w:id="49"/>
      <w:r w:rsidRPr="00996758">
        <w:rPr>
          <w:rFonts w:ascii="Verdana" w:eastAsia="Times New Roman" w:hAnsi="Verdana" w:cs="Times New Roman"/>
          <w:bCs w:val="0"/>
          <w:i/>
          <w:color w:val="auto"/>
          <w:sz w:val="20"/>
          <w:szCs w:val="20"/>
        </w:rPr>
        <w:t xml:space="preserve"> </w:t>
      </w:r>
    </w:p>
    <w:p w:rsidR="000D3900" w:rsidRPr="00996758" w:rsidRDefault="000D3900">
      <w:pPr>
        <w:pBdr>
          <w:top w:val="nil"/>
        </w:pBdr>
        <w:autoSpaceDE w:val="0"/>
        <w:autoSpaceDN w:val="0"/>
        <w:adjustRightInd w:val="0"/>
        <w:spacing w:after="0" w:line="240" w:lineRule="auto"/>
        <w:jc w:val="both"/>
        <w:rPr>
          <w:rFonts w:ascii="Verdana" w:hAnsi="Verdana" w:cs="Verdana-Italic"/>
          <w:iCs/>
          <w:spacing w:val="-2"/>
          <w:sz w:val="20"/>
          <w:szCs w:val="20"/>
          <w:lang w:bidi="en-US"/>
        </w:rPr>
      </w:pPr>
    </w:p>
    <w:p w:rsidR="00CC70A1" w:rsidRPr="00996758" w:rsidRDefault="00B33058" w:rsidP="00090E37">
      <w:pPr>
        <w:numPr>
          <w:ilvl w:val="0"/>
          <w:numId w:val="10"/>
        </w:numPr>
        <w:pBdr>
          <w:top w:val="nil"/>
        </w:pBdr>
        <w:autoSpaceDE w:val="0"/>
        <w:autoSpaceDN w:val="0"/>
        <w:adjustRightInd w:val="0"/>
        <w:spacing w:after="0" w:line="240" w:lineRule="auto"/>
        <w:ind w:left="0" w:firstLine="0"/>
        <w:jc w:val="both"/>
        <w:rPr>
          <w:rFonts w:ascii="Verdana" w:hAnsi="Verdana" w:cs="Verdana-Italic"/>
          <w:iCs/>
          <w:spacing w:val="-2"/>
          <w:sz w:val="20"/>
          <w:szCs w:val="20"/>
          <w:lang w:bidi="en-US"/>
        </w:rPr>
      </w:pPr>
      <w:r w:rsidRPr="00996758">
        <w:rPr>
          <w:rFonts w:ascii="Verdana" w:hAnsi="Verdana" w:cs="Verdana-Italic"/>
          <w:iCs/>
          <w:spacing w:val="-2"/>
          <w:sz w:val="20"/>
          <w:szCs w:val="20"/>
          <w:lang w:bidi="en-US"/>
        </w:rPr>
        <w:t xml:space="preserve">Los </w:t>
      </w:r>
      <w:r w:rsidRPr="00996758">
        <w:rPr>
          <w:rFonts w:ascii="Verdana" w:hAnsi="Verdana" w:cs="Verdana-Italic"/>
          <w:b/>
          <w:i/>
          <w:iCs/>
          <w:spacing w:val="-2"/>
          <w:sz w:val="20"/>
          <w:szCs w:val="20"/>
          <w:lang w:bidi="en-US"/>
        </w:rPr>
        <w:t>representantes</w:t>
      </w:r>
      <w:r w:rsidRPr="00996758">
        <w:rPr>
          <w:rFonts w:ascii="Verdana" w:hAnsi="Verdana" w:cs="Verdana-Italic"/>
          <w:iCs/>
          <w:spacing w:val="-2"/>
          <w:sz w:val="20"/>
          <w:szCs w:val="20"/>
          <w:lang w:bidi="en-US"/>
        </w:rPr>
        <w:t xml:space="preserve"> solicitaron que se ordene al Estado otorgar tratamiento médico y psicológico a los familiares, gratuito y con enfoque diferencial por su condición de víctimas de una grave violación de derechos humanos, por el tiempo que sea necesario.</w:t>
      </w:r>
      <w:r w:rsidR="00090E37" w:rsidRPr="00996758">
        <w:rPr>
          <w:rFonts w:ascii="Verdana" w:hAnsi="Verdana" w:cs="Verdana-Italic"/>
          <w:iCs/>
          <w:spacing w:val="-2"/>
          <w:sz w:val="20"/>
          <w:szCs w:val="20"/>
          <w:lang w:bidi="en-US"/>
        </w:rPr>
        <w:t xml:space="preserve"> </w:t>
      </w:r>
      <w:r w:rsidR="00CC70A1" w:rsidRPr="00996758">
        <w:rPr>
          <w:rFonts w:ascii="Verdana" w:hAnsi="Verdana" w:cs="Verdana-Italic"/>
          <w:iCs/>
          <w:spacing w:val="-2"/>
          <w:sz w:val="20"/>
          <w:szCs w:val="20"/>
          <w:lang w:bidi="en-US"/>
        </w:rPr>
        <w:t xml:space="preserve">El </w:t>
      </w:r>
      <w:r w:rsidR="00CC70A1" w:rsidRPr="00996758">
        <w:rPr>
          <w:rFonts w:ascii="Verdana" w:hAnsi="Verdana" w:cs="Verdana-Italic"/>
          <w:b/>
          <w:i/>
          <w:iCs/>
          <w:spacing w:val="-2"/>
          <w:sz w:val="20"/>
          <w:szCs w:val="20"/>
          <w:lang w:bidi="en-US"/>
        </w:rPr>
        <w:t>Estado</w:t>
      </w:r>
      <w:r w:rsidR="00CC70A1" w:rsidRPr="00996758">
        <w:rPr>
          <w:rFonts w:ascii="Verdana" w:hAnsi="Verdana" w:cs="Verdana-Italic"/>
          <w:iCs/>
          <w:spacing w:val="-2"/>
          <w:sz w:val="20"/>
          <w:szCs w:val="20"/>
          <w:lang w:bidi="en-US"/>
        </w:rPr>
        <w:t xml:space="preserve"> manifestó que reconoce que este tipo de hechos traumáticos ameritan atención p</w:t>
      </w:r>
      <w:r w:rsidR="00EF4D31" w:rsidRPr="00996758">
        <w:rPr>
          <w:rFonts w:ascii="Verdana" w:hAnsi="Verdana" w:cs="Verdana-Italic"/>
          <w:iCs/>
          <w:spacing w:val="-2"/>
          <w:sz w:val="20"/>
          <w:szCs w:val="20"/>
          <w:lang w:bidi="en-US"/>
        </w:rPr>
        <w:t>sicológica y psicosocial y</w:t>
      </w:r>
      <w:r w:rsidR="00CC70A1" w:rsidRPr="00996758">
        <w:rPr>
          <w:rFonts w:ascii="Verdana" w:hAnsi="Verdana" w:cs="Verdana-Italic"/>
          <w:iCs/>
          <w:spacing w:val="-2"/>
          <w:sz w:val="20"/>
          <w:szCs w:val="20"/>
          <w:lang w:bidi="en-US"/>
        </w:rPr>
        <w:t xml:space="preserve"> para </w:t>
      </w:r>
      <w:r w:rsidR="00EF4D31" w:rsidRPr="00996758">
        <w:rPr>
          <w:rFonts w:ascii="Verdana" w:hAnsi="Verdana" w:cs="Verdana-Italic"/>
          <w:iCs/>
          <w:spacing w:val="-2"/>
          <w:sz w:val="20"/>
          <w:szCs w:val="20"/>
          <w:lang w:bidi="en-US"/>
        </w:rPr>
        <w:lastRenderedPageBreak/>
        <w:t xml:space="preserve">ello </w:t>
      </w:r>
      <w:r w:rsidR="00CC70A1" w:rsidRPr="00996758">
        <w:rPr>
          <w:rFonts w:ascii="Verdana" w:hAnsi="Verdana" w:cs="Verdana-Italic"/>
          <w:iCs/>
          <w:spacing w:val="-2"/>
          <w:sz w:val="20"/>
          <w:szCs w:val="20"/>
          <w:lang w:bidi="en-US"/>
        </w:rPr>
        <w:t xml:space="preserve">cuenta con programas </w:t>
      </w:r>
      <w:r w:rsidR="006315D6" w:rsidRPr="00996758">
        <w:rPr>
          <w:rFonts w:ascii="Verdana" w:hAnsi="Verdana" w:cs="Verdana-Italic"/>
          <w:iCs/>
          <w:spacing w:val="-2"/>
          <w:sz w:val="20"/>
          <w:szCs w:val="20"/>
          <w:lang w:bidi="en-US"/>
        </w:rPr>
        <w:t>enfocados</w:t>
      </w:r>
      <w:r w:rsidR="00CC70A1" w:rsidRPr="00996758">
        <w:rPr>
          <w:rFonts w:ascii="Verdana" w:hAnsi="Verdana" w:cs="Verdana-Italic"/>
          <w:iCs/>
          <w:spacing w:val="-2"/>
          <w:sz w:val="20"/>
          <w:szCs w:val="20"/>
          <w:lang w:bidi="en-US"/>
        </w:rPr>
        <w:t xml:space="preserve"> en la población víctima del conflicto armado, por lo cual solicitó a la</w:t>
      </w:r>
      <w:r w:rsidR="00FD58C7" w:rsidRPr="00996758">
        <w:rPr>
          <w:rFonts w:ascii="Verdana" w:hAnsi="Verdana" w:cs="Verdana-Italic"/>
          <w:iCs/>
          <w:spacing w:val="-2"/>
          <w:sz w:val="20"/>
          <w:szCs w:val="20"/>
          <w:lang w:bidi="en-US"/>
        </w:rPr>
        <w:t xml:space="preserve"> Corte que</w:t>
      </w:r>
      <w:r w:rsidR="00CC70A1" w:rsidRPr="00996758">
        <w:rPr>
          <w:rFonts w:ascii="Verdana" w:hAnsi="Verdana" w:cs="Verdana-Italic"/>
          <w:iCs/>
          <w:spacing w:val="-2"/>
          <w:sz w:val="20"/>
          <w:szCs w:val="20"/>
          <w:lang w:bidi="en-US"/>
        </w:rPr>
        <w:t xml:space="preserve"> permita que esta </w:t>
      </w:r>
      <w:r w:rsidR="00FD58C7" w:rsidRPr="00996758">
        <w:rPr>
          <w:rFonts w:ascii="Verdana" w:hAnsi="Verdana" w:cs="Verdana-Italic"/>
          <w:iCs/>
          <w:spacing w:val="-2"/>
          <w:sz w:val="20"/>
          <w:szCs w:val="20"/>
          <w:lang w:bidi="en-US"/>
        </w:rPr>
        <w:t>medida sea implementada a través del Programa de Atención Psicosocial y Salud Integral a Víctimas – PAPSIVI</w:t>
      </w:r>
      <w:r w:rsidR="00CC70A1" w:rsidRPr="00996758">
        <w:rPr>
          <w:rFonts w:ascii="Verdana" w:hAnsi="Verdana" w:cs="Verdana-Italic"/>
          <w:iCs/>
          <w:spacing w:val="-2"/>
          <w:sz w:val="20"/>
          <w:szCs w:val="20"/>
          <w:lang w:bidi="en-US"/>
        </w:rPr>
        <w:t>.</w:t>
      </w:r>
    </w:p>
    <w:p w:rsidR="00E052A2" w:rsidRPr="00996758" w:rsidRDefault="00E052A2">
      <w:pPr>
        <w:pBdr>
          <w:top w:val="nil"/>
        </w:pBdr>
        <w:autoSpaceDE w:val="0"/>
        <w:autoSpaceDN w:val="0"/>
        <w:adjustRightInd w:val="0"/>
        <w:spacing w:after="0" w:line="240" w:lineRule="auto"/>
        <w:jc w:val="both"/>
        <w:rPr>
          <w:rFonts w:ascii="Verdana" w:hAnsi="Verdana" w:cs="Arial"/>
          <w:sz w:val="20"/>
          <w:szCs w:val="20"/>
          <w:lang w:eastAsia="es-CO"/>
        </w:rPr>
      </w:pPr>
    </w:p>
    <w:p w:rsidR="00B25CA7" w:rsidRPr="00996758" w:rsidRDefault="00B072B4" w:rsidP="00DC7CD8">
      <w:pPr>
        <w:numPr>
          <w:ilvl w:val="0"/>
          <w:numId w:val="10"/>
        </w:numPr>
        <w:pBdr>
          <w:top w:val="nil"/>
        </w:pBdr>
        <w:autoSpaceDE w:val="0"/>
        <w:autoSpaceDN w:val="0"/>
        <w:adjustRightInd w:val="0"/>
        <w:spacing w:after="0" w:line="240" w:lineRule="auto"/>
        <w:ind w:left="0" w:firstLine="0"/>
        <w:jc w:val="both"/>
        <w:rPr>
          <w:rFonts w:ascii="Verdana" w:hAnsi="Verdana" w:cs="Arial"/>
          <w:sz w:val="20"/>
          <w:szCs w:val="20"/>
          <w:lang w:eastAsia="es-CO"/>
        </w:rPr>
      </w:pPr>
      <w:r w:rsidRPr="00996758">
        <w:rPr>
          <w:rFonts w:ascii="Verdana" w:hAnsi="Verdana"/>
          <w:sz w:val="20"/>
          <w:szCs w:val="20"/>
          <w:lang w:eastAsia="es-CO"/>
        </w:rPr>
        <w:t xml:space="preserve">En atención a la solicitud de las víctimas y al reconocimiento del Estado al respecto, </w:t>
      </w:r>
      <w:r w:rsidR="00DB36D8" w:rsidRPr="00996758">
        <w:rPr>
          <w:rFonts w:ascii="Verdana" w:hAnsi="Verdana" w:cs="Verdana-Italic"/>
          <w:spacing w:val="-2"/>
          <w:sz w:val="20"/>
          <w:szCs w:val="20"/>
          <w:lang w:bidi="en-US"/>
        </w:rPr>
        <w:t>l</w:t>
      </w:r>
      <w:r w:rsidR="00CC70A1" w:rsidRPr="00996758">
        <w:rPr>
          <w:rFonts w:ascii="Verdana" w:hAnsi="Verdana" w:cs="Verdana-Italic"/>
          <w:spacing w:val="-2"/>
          <w:sz w:val="20"/>
          <w:szCs w:val="20"/>
          <w:lang w:bidi="en-US"/>
        </w:rPr>
        <w:t xml:space="preserve">a </w:t>
      </w:r>
      <w:r w:rsidR="00CC70A1" w:rsidRPr="00996758">
        <w:rPr>
          <w:rFonts w:ascii="Verdana" w:hAnsi="Verdana" w:cs="Verdana-Italic"/>
          <w:b/>
          <w:i/>
          <w:spacing w:val="-2"/>
          <w:sz w:val="20"/>
          <w:szCs w:val="20"/>
          <w:lang w:bidi="en-US"/>
        </w:rPr>
        <w:t>Corte</w:t>
      </w:r>
      <w:r w:rsidR="00CC70A1" w:rsidRPr="00996758">
        <w:rPr>
          <w:rFonts w:ascii="Verdana" w:hAnsi="Verdana" w:cs="Verdana-Italic"/>
          <w:spacing w:val="-2"/>
          <w:sz w:val="20"/>
          <w:szCs w:val="20"/>
          <w:lang w:bidi="en-US"/>
        </w:rPr>
        <w:t xml:space="preserve"> </w:t>
      </w:r>
      <w:r w:rsidR="005D3973" w:rsidRPr="00996758">
        <w:rPr>
          <w:rFonts w:ascii="Verdana" w:hAnsi="Verdana" w:cs="Verdana-Italic"/>
          <w:spacing w:val="-2"/>
          <w:sz w:val="20"/>
          <w:szCs w:val="20"/>
          <w:lang w:bidi="en-US"/>
        </w:rPr>
        <w:t>dispone</w:t>
      </w:r>
      <w:r w:rsidR="002109DA" w:rsidRPr="00996758">
        <w:rPr>
          <w:rFonts w:ascii="Verdana" w:hAnsi="Verdana" w:cs="Verdana-Italic"/>
          <w:spacing w:val="-2"/>
          <w:sz w:val="20"/>
          <w:szCs w:val="20"/>
          <w:lang w:bidi="en-US"/>
        </w:rPr>
        <w:t xml:space="preserve"> en este caso</w:t>
      </w:r>
      <w:r w:rsidR="00CC70A1" w:rsidRPr="00996758">
        <w:rPr>
          <w:rFonts w:ascii="Verdana" w:hAnsi="Verdana" w:cs="Verdana-Italic"/>
          <w:spacing w:val="-2"/>
          <w:sz w:val="20"/>
          <w:szCs w:val="20"/>
          <w:lang w:bidi="en-US"/>
        </w:rPr>
        <w:t xml:space="preserve"> que </w:t>
      </w:r>
      <w:r w:rsidR="00DB36D8" w:rsidRPr="00996758">
        <w:rPr>
          <w:rFonts w:ascii="Verdana" w:hAnsi="Verdana" w:cs="Verdana-Italic"/>
          <w:spacing w:val="-2"/>
          <w:sz w:val="20"/>
          <w:szCs w:val="20"/>
          <w:lang w:bidi="en-US"/>
        </w:rPr>
        <w:t xml:space="preserve">el Estado </w:t>
      </w:r>
      <w:r w:rsidR="005D3973" w:rsidRPr="00996758">
        <w:rPr>
          <w:rFonts w:ascii="Verdana" w:hAnsi="Verdana" w:cs="Verdana-Italic"/>
          <w:spacing w:val="-2"/>
          <w:sz w:val="20"/>
          <w:szCs w:val="20"/>
          <w:lang w:bidi="en-US"/>
        </w:rPr>
        <w:t>debe brindar</w:t>
      </w:r>
      <w:r w:rsidR="00CC70A1" w:rsidRPr="00996758">
        <w:rPr>
          <w:rFonts w:ascii="Verdana" w:hAnsi="Verdana" w:cs="Verdana-Italic"/>
          <w:spacing w:val="-2"/>
          <w:sz w:val="20"/>
          <w:szCs w:val="20"/>
          <w:lang w:bidi="en-US"/>
        </w:rPr>
        <w:t xml:space="preserve"> </w:t>
      </w:r>
      <w:r w:rsidR="00CC70A1" w:rsidRPr="00996758">
        <w:rPr>
          <w:rFonts w:ascii="Verdana" w:hAnsi="Verdana"/>
          <w:sz w:val="20"/>
          <w:szCs w:val="20"/>
        </w:rPr>
        <w:t>gratuitamente, de form</w:t>
      </w:r>
      <w:r w:rsidR="00DB36D8" w:rsidRPr="00996758">
        <w:rPr>
          <w:rFonts w:ascii="Verdana" w:hAnsi="Verdana"/>
          <w:sz w:val="20"/>
          <w:szCs w:val="20"/>
        </w:rPr>
        <w:t>a prioritaria</w:t>
      </w:r>
      <w:r w:rsidRPr="00996758">
        <w:rPr>
          <w:rFonts w:ascii="Verdana" w:hAnsi="Verdana"/>
          <w:sz w:val="20"/>
          <w:szCs w:val="20"/>
        </w:rPr>
        <w:t xml:space="preserve"> e inmediata</w:t>
      </w:r>
      <w:r w:rsidR="00DB36D8" w:rsidRPr="00996758">
        <w:rPr>
          <w:rFonts w:ascii="Verdana" w:hAnsi="Verdana"/>
          <w:sz w:val="20"/>
          <w:szCs w:val="20"/>
        </w:rPr>
        <w:t>, sin cargo alguno y</w:t>
      </w:r>
      <w:r w:rsidR="00CC70A1" w:rsidRPr="00996758">
        <w:rPr>
          <w:rFonts w:ascii="Verdana" w:hAnsi="Verdana"/>
          <w:sz w:val="20"/>
          <w:szCs w:val="20"/>
        </w:rPr>
        <w:t xml:space="preserve"> </w:t>
      </w:r>
      <w:r w:rsidR="00DB36D8" w:rsidRPr="00996758">
        <w:rPr>
          <w:rFonts w:ascii="Verdana" w:hAnsi="Verdana"/>
          <w:sz w:val="20"/>
          <w:szCs w:val="20"/>
        </w:rPr>
        <w:t xml:space="preserve">por el tiempo que sea necesario, </w:t>
      </w:r>
      <w:r w:rsidR="00CC70A1" w:rsidRPr="00996758">
        <w:rPr>
          <w:rFonts w:ascii="Verdana" w:hAnsi="Verdana"/>
          <w:sz w:val="20"/>
          <w:szCs w:val="20"/>
        </w:rPr>
        <w:t xml:space="preserve">el tratamiento psicológico </w:t>
      </w:r>
      <w:r w:rsidR="002109DA" w:rsidRPr="00996758">
        <w:rPr>
          <w:rFonts w:ascii="Verdana" w:hAnsi="Verdana"/>
          <w:sz w:val="20"/>
          <w:szCs w:val="20"/>
        </w:rPr>
        <w:t xml:space="preserve">o psiquiátrico </w:t>
      </w:r>
      <w:r w:rsidR="00CC70A1" w:rsidRPr="00996758">
        <w:rPr>
          <w:rFonts w:ascii="Verdana" w:hAnsi="Verdana"/>
          <w:sz w:val="20"/>
          <w:szCs w:val="20"/>
        </w:rPr>
        <w:t xml:space="preserve">adecuado </w:t>
      </w:r>
      <w:r w:rsidR="00CC70A1" w:rsidRPr="00996758">
        <w:rPr>
          <w:rFonts w:ascii="Verdana" w:hAnsi="Verdana" w:cs="Verdana-Italic"/>
          <w:spacing w:val="-2"/>
          <w:sz w:val="20"/>
          <w:szCs w:val="20"/>
          <w:lang w:bidi="en-US"/>
        </w:rPr>
        <w:t>a las víctimas que así lo requieran</w:t>
      </w:r>
      <w:r w:rsidR="00CC70A1" w:rsidRPr="00996758">
        <w:rPr>
          <w:rFonts w:ascii="Verdana" w:hAnsi="Verdana"/>
          <w:sz w:val="20"/>
          <w:szCs w:val="20"/>
        </w:rPr>
        <w:t xml:space="preserve">, previa manifestación de voluntad, la que debe ser dada dentro del plazo de seis meses contado a partir de la notificación de esta Sentencia. </w:t>
      </w:r>
      <w:r w:rsidR="002109DA" w:rsidRPr="00996758">
        <w:rPr>
          <w:rFonts w:ascii="Verdana" w:hAnsi="Verdana"/>
          <w:sz w:val="20"/>
          <w:szCs w:val="20"/>
        </w:rPr>
        <w:t>En tanto resulte adecuado a lo ordenado, el</w:t>
      </w:r>
      <w:r w:rsidR="00CC70A1" w:rsidRPr="00996758">
        <w:rPr>
          <w:rFonts w:ascii="Verdana" w:hAnsi="Verdana"/>
          <w:sz w:val="20"/>
          <w:szCs w:val="20"/>
        </w:rPr>
        <w:t xml:space="preserve"> Tribunal considera, como en otros casos</w:t>
      </w:r>
      <w:r w:rsidR="005D3973" w:rsidRPr="00996758">
        <w:rPr>
          <w:rStyle w:val="FootnoteReference"/>
          <w:rFonts w:ascii="Verdana" w:hAnsi="Verdana" w:cs="Verdana-Italic"/>
          <w:spacing w:val="-2"/>
          <w:sz w:val="20"/>
          <w:szCs w:val="20"/>
          <w:lang w:bidi="en-US"/>
        </w:rPr>
        <w:footnoteReference w:id="177"/>
      </w:r>
      <w:r w:rsidR="00CC70A1" w:rsidRPr="00996758">
        <w:rPr>
          <w:rFonts w:ascii="Verdana" w:hAnsi="Verdana"/>
          <w:sz w:val="20"/>
          <w:szCs w:val="20"/>
        </w:rPr>
        <w:t>,</w:t>
      </w:r>
      <w:r w:rsidR="00CC70A1" w:rsidRPr="00996758">
        <w:rPr>
          <w:rFonts w:ascii="Verdana" w:hAnsi="Verdana"/>
          <w:sz w:val="20"/>
          <w:szCs w:val="20"/>
          <w:lang w:eastAsia="es-CO"/>
        </w:rPr>
        <w:t xml:space="preserve"> que </w:t>
      </w:r>
      <w:r w:rsidR="00CC70A1" w:rsidRPr="00996758">
        <w:rPr>
          <w:rFonts w:ascii="Verdana" w:hAnsi="Verdana"/>
          <w:sz w:val="20"/>
          <w:szCs w:val="20"/>
        </w:rPr>
        <w:t>el Estado podrá otorgar dicho tratamiento a través de los servicios nacionales de salud, i</w:t>
      </w:r>
      <w:r w:rsidR="00DB36D8" w:rsidRPr="00996758">
        <w:rPr>
          <w:rFonts w:ascii="Verdana" w:hAnsi="Verdana"/>
          <w:sz w:val="20"/>
          <w:szCs w:val="20"/>
        </w:rPr>
        <w:t>nclusive por medio del PAPSIVI</w:t>
      </w:r>
      <w:r w:rsidR="00B25CA7" w:rsidRPr="00996758">
        <w:rPr>
          <w:rFonts w:ascii="Verdana" w:hAnsi="Verdana" w:cs="Verdana-Italic"/>
          <w:spacing w:val="-2"/>
          <w:sz w:val="20"/>
          <w:szCs w:val="20"/>
          <w:lang w:bidi="en-US"/>
        </w:rPr>
        <w:t>.</w:t>
      </w:r>
    </w:p>
    <w:p w:rsidR="007C031A" w:rsidRPr="00996758" w:rsidRDefault="007C031A">
      <w:pPr>
        <w:autoSpaceDE w:val="0"/>
        <w:autoSpaceDN w:val="0"/>
        <w:adjustRightInd w:val="0"/>
        <w:spacing w:after="0" w:line="240" w:lineRule="auto"/>
        <w:ind w:right="49"/>
        <w:contextualSpacing/>
        <w:jc w:val="both"/>
        <w:rPr>
          <w:rFonts w:ascii="Verdana" w:eastAsia="Calibri" w:hAnsi="Verdana" w:cs="Times New Roman"/>
          <w:sz w:val="20"/>
          <w:szCs w:val="20"/>
        </w:rPr>
      </w:pPr>
    </w:p>
    <w:p w:rsidR="00111BE2" w:rsidRPr="00996758" w:rsidRDefault="00111BE2">
      <w:pPr>
        <w:autoSpaceDE w:val="0"/>
        <w:autoSpaceDN w:val="0"/>
        <w:adjustRightInd w:val="0"/>
        <w:spacing w:after="0" w:line="240" w:lineRule="auto"/>
        <w:ind w:right="49"/>
        <w:contextualSpacing/>
        <w:jc w:val="both"/>
        <w:rPr>
          <w:rFonts w:ascii="Verdana" w:eastAsia="Calibri" w:hAnsi="Verdana" w:cs="Times New Roman"/>
          <w:sz w:val="20"/>
          <w:szCs w:val="20"/>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50" w:name="_Toc476251466"/>
      <w:bookmarkStart w:id="51" w:name="_Toc505877007"/>
      <w:bookmarkStart w:id="52" w:name="_Toc530560074"/>
      <w:r w:rsidRPr="00996758">
        <w:rPr>
          <w:rFonts w:ascii="Verdana" w:eastAsia="Times New Roman" w:hAnsi="Verdana" w:cs="Times New Roman"/>
          <w:bCs w:val="0"/>
          <w:i/>
          <w:color w:val="auto"/>
          <w:sz w:val="20"/>
          <w:szCs w:val="20"/>
        </w:rPr>
        <w:t>Medida</w:t>
      </w:r>
      <w:r w:rsidR="000D3900" w:rsidRPr="00996758">
        <w:rPr>
          <w:rFonts w:ascii="Verdana" w:eastAsia="Times New Roman" w:hAnsi="Verdana" w:cs="Times New Roman"/>
          <w:bCs w:val="0"/>
          <w:i/>
          <w:color w:val="auto"/>
          <w:sz w:val="20"/>
          <w:szCs w:val="20"/>
        </w:rPr>
        <w:t>s</w:t>
      </w:r>
      <w:r w:rsidRPr="00996758">
        <w:rPr>
          <w:rFonts w:ascii="Verdana" w:eastAsia="Times New Roman" w:hAnsi="Verdana" w:cs="Times New Roman"/>
          <w:bCs w:val="0"/>
          <w:i/>
          <w:color w:val="auto"/>
          <w:sz w:val="20"/>
          <w:szCs w:val="20"/>
        </w:rPr>
        <w:t xml:space="preserve"> de satisfacción</w:t>
      </w:r>
      <w:bookmarkEnd w:id="50"/>
      <w:bookmarkEnd w:id="51"/>
      <w:r w:rsidRPr="00996758">
        <w:rPr>
          <w:rFonts w:ascii="Verdana" w:eastAsia="Times New Roman" w:hAnsi="Verdana" w:cs="Times New Roman"/>
          <w:bCs w:val="0"/>
          <w:i/>
          <w:color w:val="auto"/>
          <w:sz w:val="20"/>
          <w:szCs w:val="20"/>
        </w:rPr>
        <w:t xml:space="preserve"> </w:t>
      </w:r>
      <w:r w:rsidR="000D3900" w:rsidRPr="00996758">
        <w:rPr>
          <w:rFonts w:ascii="Verdana" w:eastAsia="Times New Roman" w:hAnsi="Verdana" w:cs="Times New Roman"/>
          <w:bCs w:val="0"/>
          <w:i/>
          <w:color w:val="auto"/>
          <w:sz w:val="20"/>
          <w:szCs w:val="20"/>
        </w:rPr>
        <w:t>y garantías de no repetición</w:t>
      </w:r>
      <w:bookmarkEnd w:id="52"/>
    </w:p>
    <w:p w:rsidR="009D019A" w:rsidRPr="00996758" w:rsidRDefault="009D019A">
      <w:pPr>
        <w:pBdr>
          <w:top w:val="nil"/>
        </w:pBdr>
        <w:autoSpaceDE w:val="0"/>
        <w:autoSpaceDN w:val="0"/>
        <w:adjustRightInd w:val="0"/>
        <w:spacing w:after="0" w:line="240" w:lineRule="auto"/>
        <w:jc w:val="both"/>
        <w:rPr>
          <w:rFonts w:ascii="Verdana" w:hAnsi="Verdana"/>
          <w:sz w:val="20"/>
          <w:szCs w:val="20"/>
        </w:rPr>
      </w:pPr>
    </w:p>
    <w:p w:rsidR="00A37728" w:rsidRPr="00996758" w:rsidRDefault="00B72AEA">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D.1</w:t>
      </w:r>
      <w:r w:rsidR="00A37728" w:rsidRPr="00996758">
        <w:rPr>
          <w:rFonts w:ascii="Verdana" w:hAnsi="Verdana"/>
          <w:i/>
          <w:sz w:val="20"/>
          <w:szCs w:val="20"/>
        </w:rPr>
        <w:tab/>
      </w:r>
      <w:r w:rsidR="006D2FB4" w:rsidRPr="00996758">
        <w:rPr>
          <w:rFonts w:ascii="Verdana" w:hAnsi="Verdana"/>
          <w:i/>
          <w:sz w:val="20"/>
          <w:szCs w:val="20"/>
        </w:rPr>
        <w:t>Acto público de reconocimiento de responsabilidad</w:t>
      </w:r>
      <w:r w:rsidR="00E066A5" w:rsidRPr="00996758">
        <w:rPr>
          <w:rFonts w:ascii="Verdana" w:hAnsi="Verdana"/>
          <w:i/>
          <w:sz w:val="20"/>
          <w:szCs w:val="20"/>
        </w:rPr>
        <w:t xml:space="preserve"> </w:t>
      </w:r>
    </w:p>
    <w:p w:rsidR="00A37728" w:rsidRPr="00996758" w:rsidRDefault="00A37728">
      <w:pPr>
        <w:pBdr>
          <w:top w:val="nil"/>
        </w:pBdr>
        <w:autoSpaceDE w:val="0"/>
        <w:autoSpaceDN w:val="0"/>
        <w:adjustRightInd w:val="0"/>
        <w:spacing w:after="0" w:line="240" w:lineRule="auto"/>
        <w:jc w:val="both"/>
        <w:rPr>
          <w:rFonts w:ascii="Verdana" w:hAnsi="Verdana"/>
          <w:sz w:val="20"/>
          <w:szCs w:val="20"/>
        </w:rPr>
      </w:pPr>
    </w:p>
    <w:p w:rsidR="00884116" w:rsidRPr="00996758" w:rsidRDefault="00237960"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representantes</w:t>
      </w:r>
      <w:r w:rsidRPr="00996758">
        <w:rPr>
          <w:rFonts w:ascii="Verdana" w:hAnsi="Verdana"/>
          <w:sz w:val="20"/>
          <w:szCs w:val="20"/>
        </w:rPr>
        <w:t xml:space="preserve"> s</w:t>
      </w:r>
      <w:r w:rsidR="00884116" w:rsidRPr="00996758">
        <w:rPr>
          <w:rFonts w:ascii="Verdana" w:hAnsi="Verdana"/>
          <w:sz w:val="20"/>
          <w:szCs w:val="20"/>
        </w:rPr>
        <w:t xml:space="preserve">olicitaron que se ordene al Estado </w:t>
      </w:r>
      <w:r w:rsidR="0093207F" w:rsidRPr="00996758">
        <w:rPr>
          <w:rFonts w:ascii="Verdana" w:hAnsi="Verdana"/>
          <w:sz w:val="20"/>
          <w:szCs w:val="20"/>
        </w:rPr>
        <w:t>la realización de</w:t>
      </w:r>
      <w:r w:rsidR="00884116" w:rsidRPr="00996758">
        <w:rPr>
          <w:rFonts w:ascii="Verdana" w:hAnsi="Verdana"/>
          <w:sz w:val="20"/>
          <w:szCs w:val="20"/>
        </w:rPr>
        <w:t xml:space="preserve"> un reconocimiento público de responsabilidad y pedido de disculpas a los familiares</w:t>
      </w:r>
      <w:r w:rsidR="007C031A" w:rsidRPr="00996758">
        <w:rPr>
          <w:rStyle w:val="FootnoteReference"/>
          <w:rFonts w:ascii="Verdana" w:hAnsi="Verdana"/>
          <w:sz w:val="20"/>
          <w:szCs w:val="20"/>
        </w:rPr>
        <w:footnoteReference w:id="178"/>
      </w:r>
      <w:r w:rsidR="00884116" w:rsidRPr="00996758">
        <w:rPr>
          <w:rFonts w:ascii="Verdana" w:hAnsi="Verdana"/>
          <w:sz w:val="20"/>
          <w:szCs w:val="20"/>
        </w:rPr>
        <w:t>.</w:t>
      </w:r>
      <w:r w:rsidRPr="00996758">
        <w:rPr>
          <w:rFonts w:ascii="Verdana" w:hAnsi="Verdana"/>
          <w:sz w:val="20"/>
          <w:szCs w:val="20"/>
        </w:rPr>
        <w:t xml:space="preserve"> El </w:t>
      </w:r>
      <w:r w:rsidRPr="00996758">
        <w:rPr>
          <w:rFonts w:ascii="Verdana" w:hAnsi="Verdana"/>
          <w:b/>
          <w:i/>
          <w:sz w:val="20"/>
          <w:szCs w:val="20"/>
        </w:rPr>
        <w:t>Estado</w:t>
      </w:r>
      <w:r w:rsidRPr="00996758">
        <w:rPr>
          <w:rFonts w:ascii="Verdana" w:hAnsi="Verdana"/>
          <w:sz w:val="20"/>
          <w:szCs w:val="20"/>
        </w:rPr>
        <w:t xml:space="preserve"> </w:t>
      </w:r>
      <w:r w:rsidR="00E23C7E" w:rsidRPr="00996758">
        <w:rPr>
          <w:rFonts w:ascii="Verdana" w:hAnsi="Verdana"/>
          <w:sz w:val="20"/>
          <w:szCs w:val="20"/>
        </w:rPr>
        <w:t>señaló</w:t>
      </w:r>
      <w:r w:rsidRPr="00996758">
        <w:rPr>
          <w:rFonts w:ascii="Verdana" w:hAnsi="Verdana"/>
          <w:sz w:val="20"/>
          <w:szCs w:val="20"/>
        </w:rPr>
        <w:t xml:space="preserve"> que, en </w:t>
      </w:r>
      <w:r w:rsidR="00096063" w:rsidRPr="00996758">
        <w:rPr>
          <w:rFonts w:ascii="Verdana" w:hAnsi="Verdana"/>
          <w:sz w:val="20"/>
          <w:szCs w:val="20"/>
        </w:rPr>
        <w:t>atención a</w:t>
      </w:r>
      <w:r w:rsidRPr="00996758">
        <w:rPr>
          <w:rFonts w:ascii="Verdana" w:hAnsi="Verdana"/>
          <w:sz w:val="20"/>
          <w:szCs w:val="20"/>
        </w:rPr>
        <w:t xml:space="preserve"> lo recomendado por la Comisión, se habían logrado avances (</w:t>
      </w:r>
      <w:r w:rsidRPr="00996758">
        <w:rPr>
          <w:rFonts w:ascii="Verdana" w:hAnsi="Verdana"/>
          <w:i/>
          <w:sz w:val="20"/>
          <w:szCs w:val="20"/>
        </w:rPr>
        <w:t xml:space="preserve">supra </w:t>
      </w:r>
      <w:r w:rsidR="00B11575" w:rsidRPr="00996758">
        <w:rPr>
          <w:rFonts w:ascii="Verdana" w:hAnsi="Verdana"/>
          <w:sz w:val="20"/>
          <w:szCs w:val="20"/>
        </w:rPr>
        <w:t>párr. 33</w:t>
      </w:r>
      <w:r w:rsidRPr="00996758">
        <w:rPr>
          <w:rFonts w:ascii="Verdana" w:hAnsi="Verdana"/>
          <w:sz w:val="20"/>
          <w:szCs w:val="20"/>
        </w:rPr>
        <w:t>)</w:t>
      </w:r>
      <w:r w:rsidR="00E066A5" w:rsidRPr="00996758">
        <w:rPr>
          <w:rFonts w:ascii="Verdana" w:eastAsia="Times New Roman" w:hAnsi="Verdana" w:cs="Times New Roman"/>
          <w:spacing w:val="-12"/>
          <w:sz w:val="20"/>
          <w:szCs w:val="20"/>
        </w:rPr>
        <w:t>.</w:t>
      </w:r>
    </w:p>
    <w:p w:rsidR="00233B7B" w:rsidRPr="00996758" w:rsidRDefault="00233B7B">
      <w:pPr>
        <w:pBdr>
          <w:top w:val="nil"/>
        </w:pBdr>
        <w:autoSpaceDE w:val="0"/>
        <w:autoSpaceDN w:val="0"/>
        <w:adjustRightInd w:val="0"/>
        <w:spacing w:after="0" w:line="240" w:lineRule="auto"/>
        <w:jc w:val="both"/>
        <w:rPr>
          <w:rFonts w:ascii="Verdana" w:hAnsi="Verdana"/>
          <w:sz w:val="20"/>
          <w:szCs w:val="20"/>
        </w:rPr>
      </w:pPr>
    </w:p>
    <w:p w:rsidR="00233B7B" w:rsidRPr="00996758" w:rsidRDefault="00E066A5"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bookmarkStart w:id="53" w:name="_Ref405772809"/>
      <w:r w:rsidRPr="00996758">
        <w:rPr>
          <w:rFonts w:ascii="Verdana" w:hAnsi="Verdana"/>
          <w:sz w:val="20"/>
          <w:szCs w:val="20"/>
        </w:rPr>
        <w:t>Si bien el Estado ha efectuado un reconocimiento parcial de responsabilidad</w:t>
      </w:r>
      <w:r w:rsidR="00F545BB" w:rsidRPr="00996758">
        <w:rPr>
          <w:rFonts w:ascii="Verdana" w:hAnsi="Verdana"/>
          <w:sz w:val="20"/>
          <w:szCs w:val="20"/>
        </w:rPr>
        <w:t xml:space="preserve"> en este procedimiento</w:t>
      </w:r>
      <w:r w:rsidRPr="00996758">
        <w:rPr>
          <w:rFonts w:ascii="Verdana" w:hAnsi="Verdana"/>
          <w:sz w:val="20"/>
          <w:szCs w:val="20"/>
        </w:rPr>
        <w:t xml:space="preserve">, que podría representar una satisfacción parcial para las víctimas frente a las violaciones declaradas en esta Sentencia, la </w:t>
      </w:r>
      <w:r w:rsidRPr="00996758">
        <w:rPr>
          <w:rFonts w:ascii="Verdana" w:hAnsi="Verdana"/>
          <w:b/>
          <w:i/>
          <w:sz w:val="20"/>
          <w:szCs w:val="20"/>
        </w:rPr>
        <w:t>Corte</w:t>
      </w:r>
      <w:r w:rsidRPr="00996758">
        <w:rPr>
          <w:rFonts w:ascii="Verdana" w:hAnsi="Verdana"/>
          <w:sz w:val="20"/>
          <w:szCs w:val="20"/>
        </w:rPr>
        <w:t xml:space="preserve"> estima pertinente </w:t>
      </w:r>
      <w:r w:rsidR="00A90650" w:rsidRPr="00996758">
        <w:rPr>
          <w:rFonts w:ascii="Verdana" w:hAnsi="Verdana"/>
          <w:sz w:val="20"/>
          <w:szCs w:val="20"/>
        </w:rPr>
        <w:t>disponer</w:t>
      </w:r>
      <w:r w:rsidRPr="00996758">
        <w:rPr>
          <w:rFonts w:ascii="Verdana" w:hAnsi="Verdana"/>
          <w:sz w:val="20"/>
          <w:szCs w:val="20"/>
        </w:rPr>
        <w:t xml:space="preserve">, </w:t>
      </w:r>
      <w:r w:rsidR="00F545BB" w:rsidRPr="00996758">
        <w:rPr>
          <w:rFonts w:ascii="Verdana" w:hAnsi="Verdana"/>
          <w:sz w:val="20"/>
          <w:szCs w:val="20"/>
        </w:rPr>
        <w:t xml:space="preserve">ante la solicitud de las víctimas, </w:t>
      </w:r>
      <w:r w:rsidRPr="00996758">
        <w:rPr>
          <w:rFonts w:ascii="Verdana" w:hAnsi="Verdana"/>
          <w:sz w:val="20"/>
          <w:szCs w:val="20"/>
        </w:rPr>
        <w:t>con el fin de repa</w:t>
      </w:r>
      <w:r w:rsidR="00F545BB" w:rsidRPr="00996758">
        <w:rPr>
          <w:rFonts w:ascii="Verdana" w:hAnsi="Verdana"/>
          <w:sz w:val="20"/>
          <w:szCs w:val="20"/>
        </w:rPr>
        <w:t>rar el daño causado</w:t>
      </w:r>
      <w:r w:rsidR="00A90650" w:rsidRPr="00996758">
        <w:rPr>
          <w:rFonts w:ascii="Verdana" w:hAnsi="Verdana"/>
          <w:sz w:val="20"/>
          <w:szCs w:val="20"/>
        </w:rPr>
        <w:t xml:space="preserve"> y</w:t>
      </w:r>
      <w:r w:rsidRPr="00996758">
        <w:rPr>
          <w:rFonts w:ascii="Verdana" w:hAnsi="Verdana"/>
          <w:sz w:val="20"/>
          <w:szCs w:val="20"/>
        </w:rPr>
        <w:t xml:space="preserve"> de evitar </w:t>
      </w:r>
      <w:r w:rsidR="00A90650" w:rsidRPr="00996758">
        <w:rPr>
          <w:rFonts w:ascii="Verdana" w:hAnsi="Verdana"/>
          <w:sz w:val="20"/>
          <w:szCs w:val="20"/>
        </w:rPr>
        <w:t>la repetición de</w:t>
      </w:r>
      <w:r w:rsidRPr="00996758">
        <w:rPr>
          <w:rFonts w:ascii="Verdana" w:hAnsi="Verdana"/>
          <w:sz w:val="20"/>
          <w:szCs w:val="20"/>
        </w:rPr>
        <w:t xml:space="preserve"> hechos</w:t>
      </w:r>
      <w:r w:rsidR="00A90650" w:rsidRPr="00996758">
        <w:rPr>
          <w:rFonts w:ascii="Verdana" w:hAnsi="Verdana"/>
          <w:sz w:val="20"/>
          <w:szCs w:val="20"/>
        </w:rPr>
        <w:t xml:space="preserve"> similares</w:t>
      </w:r>
      <w:r w:rsidRPr="00996758">
        <w:rPr>
          <w:rFonts w:ascii="Verdana" w:hAnsi="Verdana"/>
          <w:sz w:val="20"/>
          <w:szCs w:val="20"/>
        </w:rPr>
        <w:t>, que el Estado realice un acto público de reconocimiento de responsabilidad internacional en Colombia, en relación con los hechos de este caso.</w:t>
      </w:r>
      <w:bookmarkEnd w:id="53"/>
      <w:r w:rsidR="00B84AAB" w:rsidRPr="00996758">
        <w:rPr>
          <w:rFonts w:ascii="Verdana" w:hAnsi="Verdana"/>
          <w:sz w:val="20"/>
          <w:szCs w:val="20"/>
        </w:rPr>
        <w:t xml:space="preserve"> </w:t>
      </w:r>
      <w:r w:rsidRPr="00996758">
        <w:rPr>
          <w:rFonts w:ascii="Verdana" w:hAnsi="Verdana"/>
          <w:sz w:val="20"/>
          <w:szCs w:val="20"/>
        </w:rPr>
        <w:t xml:space="preserve">En dicho acto el Estado deberá hacer referencia a los hechos y violaciones de derechos humanos declaradas en la presente Sentencia. El acto deberá llevarse a cabo mediante una ceremonia pública </w:t>
      </w:r>
      <w:r w:rsidR="00B84AAB" w:rsidRPr="00996758">
        <w:rPr>
          <w:rFonts w:ascii="Verdana" w:hAnsi="Verdana"/>
          <w:sz w:val="20"/>
          <w:szCs w:val="20"/>
        </w:rPr>
        <w:t>que</w:t>
      </w:r>
      <w:r w:rsidRPr="00996758">
        <w:rPr>
          <w:rFonts w:ascii="Verdana" w:hAnsi="Verdana"/>
          <w:sz w:val="20"/>
          <w:szCs w:val="20"/>
        </w:rPr>
        <w:t xml:space="preserve"> deberá ser divulgada. El Estado deberá asegurar la participación de las víctimas declaradas en esta Sentencia</w:t>
      </w:r>
      <w:r w:rsidR="00953F96" w:rsidRPr="00996758">
        <w:rPr>
          <w:rFonts w:ascii="Verdana" w:hAnsi="Verdana"/>
          <w:sz w:val="20"/>
          <w:szCs w:val="20"/>
        </w:rPr>
        <w:t xml:space="preserve"> y sus representantes</w:t>
      </w:r>
      <w:r w:rsidRPr="00996758">
        <w:rPr>
          <w:rFonts w:ascii="Verdana" w:hAnsi="Verdana"/>
          <w:sz w:val="20"/>
          <w:szCs w:val="20"/>
        </w:rPr>
        <w:t>. La realización y demás particularidades de dicha ceremonia pública deben consultarse previa y debidamente con las víctimas y sus representantes. Las autoridades estatales que deberán estar presentes o participar en dicho acto deberán ser altos funcionarios estatales. Para cumplir con esta obligación, el Estado cuenta con un plazo de un año a partir de la notificación de la presente Sentencia.</w:t>
      </w:r>
    </w:p>
    <w:p w:rsidR="00884116" w:rsidRPr="00996758" w:rsidRDefault="00884116">
      <w:pPr>
        <w:pBdr>
          <w:top w:val="nil"/>
        </w:pBdr>
        <w:autoSpaceDE w:val="0"/>
        <w:autoSpaceDN w:val="0"/>
        <w:adjustRightInd w:val="0"/>
        <w:spacing w:after="0" w:line="240" w:lineRule="auto"/>
        <w:jc w:val="both"/>
        <w:rPr>
          <w:rFonts w:ascii="Verdana" w:hAnsi="Verdana"/>
          <w:sz w:val="20"/>
          <w:szCs w:val="20"/>
        </w:rPr>
      </w:pPr>
    </w:p>
    <w:p w:rsidR="00D275ED" w:rsidRPr="00996758" w:rsidRDefault="00D275ED">
      <w:pPr>
        <w:pBdr>
          <w:top w:val="nil"/>
        </w:pBdr>
        <w:autoSpaceDE w:val="0"/>
        <w:autoSpaceDN w:val="0"/>
        <w:adjustRightInd w:val="0"/>
        <w:spacing w:after="0" w:line="240" w:lineRule="auto"/>
        <w:jc w:val="both"/>
        <w:rPr>
          <w:rFonts w:ascii="Verdana" w:hAnsi="Verdana"/>
          <w:sz w:val="20"/>
          <w:szCs w:val="20"/>
        </w:rPr>
      </w:pPr>
    </w:p>
    <w:p w:rsidR="00884116" w:rsidRPr="00996758" w:rsidRDefault="00B72AEA">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D.2</w:t>
      </w:r>
      <w:r w:rsidR="00F77E67" w:rsidRPr="00996758">
        <w:rPr>
          <w:rFonts w:ascii="Verdana" w:hAnsi="Verdana"/>
          <w:i/>
          <w:sz w:val="20"/>
          <w:szCs w:val="20"/>
        </w:rPr>
        <w:tab/>
      </w:r>
      <w:r w:rsidR="00884116" w:rsidRPr="00996758">
        <w:rPr>
          <w:rFonts w:ascii="Verdana" w:hAnsi="Verdana"/>
          <w:i/>
          <w:sz w:val="20"/>
          <w:szCs w:val="20"/>
        </w:rPr>
        <w:t xml:space="preserve"> Publicación y difusión de la sentencia</w:t>
      </w:r>
    </w:p>
    <w:p w:rsidR="00884116" w:rsidRPr="00996758" w:rsidRDefault="00884116">
      <w:pPr>
        <w:pBdr>
          <w:top w:val="nil"/>
        </w:pBdr>
        <w:autoSpaceDE w:val="0"/>
        <w:autoSpaceDN w:val="0"/>
        <w:adjustRightInd w:val="0"/>
        <w:spacing w:after="0" w:line="240" w:lineRule="auto"/>
        <w:jc w:val="both"/>
        <w:rPr>
          <w:rFonts w:ascii="Verdana" w:hAnsi="Verdana"/>
          <w:sz w:val="20"/>
          <w:szCs w:val="20"/>
        </w:rPr>
      </w:pPr>
    </w:p>
    <w:p w:rsidR="00884116" w:rsidRPr="00996758" w:rsidRDefault="00B84AAB"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w:t>
      </w:r>
      <w:r w:rsidR="00884116" w:rsidRPr="00996758">
        <w:rPr>
          <w:rFonts w:ascii="Verdana" w:hAnsi="Verdana"/>
          <w:b/>
          <w:i/>
          <w:sz w:val="20"/>
          <w:szCs w:val="20"/>
        </w:rPr>
        <w:t>epresentantes</w:t>
      </w:r>
      <w:r w:rsidR="00884116" w:rsidRPr="00996758">
        <w:rPr>
          <w:rFonts w:ascii="Verdana" w:hAnsi="Verdana"/>
          <w:sz w:val="20"/>
          <w:szCs w:val="20"/>
        </w:rPr>
        <w:t xml:space="preserve"> solicitaron que se ordene al Estado la publicación</w:t>
      </w:r>
      <w:r w:rsidRPr="00996758">
        <w:rPr>
          <w:rFonts w:ascii="Verdana" w:hAnsi="Verdana"/>
          <w:sz w:val="20"/>
          <w:szCs w:val="20"/>
        </w:rPr>
        <w:t xml:space="preserve"> de esta Sentencia</w:t>
      </w:r>
      <w:r w:rsidR="00F11257" w:rsidRPr="00996758">
        <w:rPr>
          <w:rStyle w:val="FootnoteReference"/>
          <w:rFonts w:ascii="Verdana" w:hAnsi="Verdana"/>
          <w:sz w:val="20"/>
          <w:szCs w:val="20"/>
        </w:rPr>
        <w:footnoteReference w:id="179"/>
      </w:r>
      <w:r w:rsidR="00884116" w:rsidRPr="00996758">
        <w:rPr>
          <w:rFonts w:ascii="Verdana" w:hAnsi="Verdana"/>
          <w:sz w:val="20"/>
          <w:szCs w:val="20"/>
        </w:rPr>
        <w:t>.</w:t>
      </w:r>
      <w:r w:rsidR="00F11257" w:rsidRPr="00996758">
        <w:rPr>
          <w:rFonts w:ascii="Verdana" w:hAnsi="Verdana"/>
          <w:sz w:val="20"/>
          <w:szCs w:val="20"/>
        </w:rPr>
        <w:t xml:space="preserve"> El </w:t>
      </w:r>
      <w:r w:rsidR="00F11257" w:rsidRPr="00996758">
        <w:rPr>
          <w:rFonts w:ascii="Verdana" w:hAnsi="Verdana"/>
          <w:b/>
          <w:i/>
          <w:sz w:val="20"/>
          <w:szCs w:val="20"/>
        </w:rPr>
        <w:t>Estado</w:t>
      </w:r>
      <w:r w:rsidR="00F11257" w:rsidRPr="00996758">
        <w:rPr>
          <w:rFonts w:ascii="Verdana" w:hAnsi="Verdana"/>
          <w:sz w:val="20"/>
          <w:szCs w:val="20"/>
        </w:rPr>
        <w:t xml:space="preserve"> expresó su acuerdo con esta medida (</w:t>
      </w:r>
      <w:r w:rsidR="00F11257" w:rsidRPr="00996758">
        <w:rPr>
          <w:rFonts w:ascii="Verdana" w:hAnsi="Verdana"/>
          <w:i/>
          <w:sz w:val="20"/>
          <w:szCs w:val="20"/>
        </w:rPr>
        <w:t xml:space="preserve">infra </w:t>
      </w:r>
      <w:r w:rsidR="00F11257" w:rsidRPr="00996758">
        <w:rPr>
          <w:rFonts w:ascii="Verdana" w:hAnsi="Verdana"/>
          <w:sz w:val="20"/>
          <w:szCs w:val="20"/>
        </w:rPr>
        <w:t xml:space="preserve">párr. </w:t>
      </w:r>
      <w:r w:rsidR="00704EC4" w:rsidRPr="00996758">
        <w:rPr>
          <w:rFonts w:ascii="Verdana" w:hAnsi="Verdana"/>
          <w:sz w:val="20"/>
          <w:szCs w:val="20"/>
        </w:rPr>
        <w:t>205</w:t>
      </w:r>
      <w:r w:rsidR="00F11257" w:rsidRPr="00996758">
        <w:rPr>
          <w:rFonts w:ascii="Verdana" w:hAnsi="Verdana"/>
          <w:sz w:val="20"/>
          <w:szCs w:val="20"/>
        </w:rPr>
        <w:t xml:space="preserve">). </w:t>
      </w:r>
    </w:p>
    <w:p w:rsidR="00884116" w:rsidRPr="00996758" w:rsidRDefault="00884116">
      <w:pPr>
        <w:pBdr>
          <w:top w:val="nil"/>
        </w:pBdr>
        <w:autoSpaceDE w:val="0"/>
        <w:autoSpaceDN w:val="0"/>
        <w:adjustRightInd w:val="0"/>
        <w:spacing w:after="0" w:line="240" w:lineRule="auto"/>
        <w:jc w:val="both"/>
        <w:rPr>
          <w:rFonts w:ascii="Verdana" w:hAnsi="Verdana"/>
          <w:sz w:val="20"/>
          <w:szCs w:val="20"/>
        </w:rPr>
      </w:pPr>
    </w:p>
    <w:p w:rsidR="00884116" w:rsidRPr="00996758" w:rsidRDefault="00884116"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La</w:t>
      </w:r>
      <w:r w:rsidRPr="00996758">
        <w:rPr>
          <w:rFonts w:ascii="Verdana" w:hAnsi="Verdana"/>
          <w:b/>
          <w:sz w:val="20"/>
          <w:szCs w:val="20"/>
        </w:rPr>
        <w:t xml:space="preserve"> </w:t>
      </w:r>
      <w:r w:rsidRPr="00996758">
        <w:rPr>
          <w:rFonts w:ascii="Verdana" w:hAnsi="Verdana"/>
          <w:b/>
          <w:i/>
          <w:sz w:val="20"/>
          <w:szCs w:val="20"/>
        </w:rPr>
        <w:t>Corte</w:t>
      </w:r>
      <w:r w:rsidRPr="00996758">
        <w:rPr>
          <w:rFonts w:ascii="Verdana" w:hAnsi="Verdana"/>
          <w:sz w:val="20"/>
          <w:szCs w:val="20"/>
        </w:rPr>
        <w:t xml:space="preserve"> dispone, como lo ha hecho en otros casos</w:t>
      </w:r>
      <w:r w:rsidRPr="00996758">
        <w:rPr>
          <w:rStyle w:val="FootnoteReference"/>
          <w:rFonts w:ascii="Verdana" w:hAnsi="Verdana"/>
          <w:sz w:val="20"/>
          <w:szCs w:val="20"/>
        </w:rPr>
        <w:footnoteReference w:id="180"/>
      </w:r>
      <w:r w:rsidRPr="00996758">
        <w:rPr>
          <w:rFonts w:ascii="Verdana" w:hAnsi="Verdana"/>
          <w:sz w:val="20"/>
          <w:szCs w:val="20"/>
        </w:rPr>
        <w:t xml:space="preserve">, que el Estado publique, en el plazo de seis meses, contado a partir de la notificación de la presente Sentencia: a) el resumen oficial </w:t>
      </w:r>
      <w:r w:rsidRPr="00996758">
        <w:rPr>
          <w:rFonts w:ascii="Verdana" w:hAnsi="Verdana"/>
          <w:sz w:val="20"/>
          <w:szCs w:val="20"/>
        </w:rPr>
        <w:lastRenderedPageBreak/>
        <w:t xml:space="preserve">de esta Sentencia elaborado por la Corte, por una sola vez, en el diario oficial en un tamaño de letra legible y adecuado; b) el </w:t>
      </w:r>
      <w:r w:rsidR="001609D0" w:rsidRPr="00996758">
        <w:rPr>
          <w:rFonts w:ascii="Verdana" w:hAnsi="Verdana"/>
          <w:sz w:val="20"/>
          <w:szCs w:val="20"/>
        </w:rPr>
        <w:t xml:space="preserve">mismo </w:t>
      </w:r>
      <w:r w:rsidRPr="00996758">
        <w:rPr>
          <w:rFonts w:ascii="Verdana" w:hAnsi="Verdana"/>
          <w:sz w:val="20"/>
          <w:szCs w:val="20"/>
        </w:rPr>
        <w:t xml:space="preserve">resumen oficial, por una sola vez, en un diario de amplia circulación a nivel nacional en un tamaño de letra legible y adecuado; y c) la presente Sentencia en su integridad, disponible al menos por un período de un año, en un sitio </w:t>
      </w:r>
      <w:r w:rsidRPr="00996758">
        <w:rPr>
          <w:rFonts w:ascii="Verdana" w:hAnsi="Verdana"/>
          <w:i/>
          <w:sz w:val="20"/>
          <w:szCs w:val="20"/>
        </w:rPr>
        <w:t>web</w:t>
      </w:r>
      <w:r w:rsidRPr="00996758">
        <w:rPr>
          <w:rFonts w:ascii="Verdana" w:hAnsi="Verdana"/>
          <w:sz w:val="20"/>
          <w:szCs w:val="20"/>
        </w:rPr>
        <w:t xml:space="preserve"> oficial, de manera accesible al público y desde la página de inicio del sitio web.</w:t>
      </w:r>
      <w:r w:rsidR="00F43248" w:rsidRPr="00996758">
        <w:rPr>
          <w:rFonts w:ascii="Verdana" w:hAnsi="Verdana"/>
          <w:sz w:val="20"/>
          <w:szCs w:val="20"/>
        </w:rPr>
        <w:t xml:space="preserve"> </w:t>
      </w:r>
      <w:r w:rsidRPr="00996758">
        <w:rPr>
          <w:rFonts w:ascii="Verdana" w:hAnsi="Verdana"/>
          <w:sz w:val="20"/>
          <w:szCs w:val="20"/>
        </w:rPr>
        <w:t xml:space="preserve">El Estado deberá informar de forma inmediata a este Tribunal una vez que proceda a realizar cada una de las publicaciones dispuestas, independientemente del plazo de un año para presentar su primer informe dispuesto en </w:t>
      </w:r>
      <w:r w:rsidR="004B5DFC" w:rsidRPr="00996758">
        <w:rPr>
          <w:rFonts w:ascii="Verdana" w:hAnsi="Verdana"/>
          <w:sz w:val="20"/>
          <w:szCs w:val="20"/>
        </w:rPr>
        <w:t>la parte resolutiva</w:t>
      </w:r>
      <w:r w:rsidRPr="00996758">
        <w:rPr>
          <w:rFonts w:ascii="Verdana" w:hAnsi="Verdana"/>
          <w:sz w:val="20"/>
          <w:szCs w:val="20"/>
        </w:rPr>
        <w:t xml:space="preserve"> de la Sentencia</w:t>
      </w:r>
    </w:p>
    <w:p w:rsidR="00B072B4" w:rsidRPr="00996758" w:rsidRDefault="00B072B4" w:rsidP="00B072B4">
      <w:pPr>
        <w:pBdr>
          <w:top w:val="nil"/>
        </w:pBdr>
        <w:autoSpaceDE w:val="0"/>
        <w:autoSpaceDN w:val="0"/>
        <w:adjustRightInd w:val="0"/>
        <w:spacing w:after="0" w:line="240" w:lineRule="auto"/>
        <w:jc w:val="both"/>
        <w:rPr>
          <w:rFonts w:ascii="Verdana" w:eastAsia="Verdana" w:hAnsi="Verdana" w:cs="Verdana"/>
          <w:b/>
          <w:sz w:val="20"/>
          <w:szCs w:val="20"/>
        </w:rPr>
      </w:pPr>
    </w:p>
    <w:p w:rsidR="00D275ED" w:rsidRPr="00996758" w:rsidRDefault="00D275ED" w:rsidP="00B072B4">
      <w:pPr>
        <w:pBdr>
          <w:top w:val="nil"/>
        </w:pBdr>
        <w:autoSpaceDE w:val="0"/>
        <w:autoSpaceDN w:val="0"/>
        <w:adjustRightInd w:val="0"/>
        <w:spacing w:after="0" w:line="240" w:lineRule="auto"/>
        <w:jc w:val="both"/>
        <w:rPr>
          <w:rFonts w:ascii="Verdana" w:eastAsia="Verdana" w:hAnsi="Verdana" w:cs="Verdana"/>
          <w:b/>
          <w:sz w:val="20"/>
          <w:szCs w:val="20"/>
        </w:rPr>
      </w:pPr>
    </w:p>
    <w:p w:rsidR="00B072B4" w:rsidRPr="00996758" w:rsidRDefault="00B072B4" w:rsidP="00B072B4">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D.3</w:t>
      </w:r>
      <w:r w:rsidRPr="00996758">
        <w:rPr>
          <w:rFonts w:ascii="Verdana" w:hAnsi="Verdana"/>
          <w:i/>
          <w:sz w:val="20"/>
          <w:szCs w:val="20"/>
        </w:rPr>
        <w:tab/>
      </w:r>
      <w:r w:rsidRPr="00996758">
        <w:rPr>
          <w:rFonts w:ascii="Verdana" w:eastAsia="Verdana" w:hAnsi="Verdana" w:cs="Verdana"/>
          <w:i/>
          <w:sz w:val="20"/>
          <w:szCs w:val="20"/>
        </w:rPr>
        <w:t xml:space="preserve">Medidas de protección para líderes </w:t>
      </w:r>
      <w:r w:rsidR="005D3973" w:rsidRPr="00996758">
        <w:rPr>
          <w:rFonts w:ascii="Verdana" w:eastAsia="Verdana" w:hAnsi="Verdana" w:cs="Verdana"/>
          <w:i/>
          <w:sz w:val="20"/>
          <w:szCs w:val="20"/>
        </w:rPr>
        <w:t xml:space="preserve">y organizaciones </w:t>
      </w:r>
      <w:r w:rsidRPr="00996758">
        <w:rPr>
          <w:rFonts w:ascii="Verdana" w:eastAsia="Verdana" w:hAnsi="Verdana" w:cs="Verdana"/>
          <w:i/>
          <w:sz w:val="20"/>
          <w:szCs w:val="20"/>
        </w:rPr>
        <w:t>sindicales</w:t>
      </w:r>
    </w:p>
    <w:p w:rsidR="00B072B4" w:rsidRPr="00996758" w:rsidRDefault="00B072B4" w:rsidP="00B072B4">
      <w:pPr>
        <w:pBdr>
          <w:top w:val="nil"/>
        </w:pBdr>
        <w:autoSpaceDE w:val="0"/>
        <w:autoSpaceDN w:val="0"/>
        <w:adjustRightInd w:val="0"/>
        <w:spacing w:after="0" w:line="240" w:lineRule="auto"/>
        <w:jc w:val="both"/>
        <w:rPr>
          <w:rFonts w:ascii="Verdana" w:hAnsi="Verdana"/>
          <w:sz w:val="20"/>
          <w:szCs w:val="20"/>
        </w:rPr>
      </w:pPr>
    </w:p>
    <w:p w:rsidR="00B072B4" w:rsidRPr="00996758" w:rsidRDefault="00B072B4" w:rsidP="00B072B4">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representantes</w:t>
      </w:r>
      <w:r w:rsidRPr="00996758">
        <w:rPr>
          <w:rFonts w:ascii="Verdana" w:hAnsi="Verdana"/>
          <w:sz w:val="20"/>
          <w:szCs w:val="20"/>
        </w:rPr>
        <w:t xml:space="preserve"> solicitaron que se ordene al Estado la implementación de una política pública en las fuerzas armadas y en la rama ejecutiva que instruya sobre la obligación de proteger el ejercicio del derecho de asociación sindical como expresión legítima, social y democrática de los derechos de los trabajadores.</w:t>
      </w:r>
    </w:p>
    <w:p w:rsidR="00B072B4" w:rsidRPr="00996758" w:rsidRDefault="00B072B4" w:rsidP="00B072B4">
      <w:pPr>
        <w:pBdr>
          <w:top w:val="nil"/>
        </w:pBdr>
        <w:autoSpaceDE w:val="0"/>
        <w:autoSpaceDN w:val="0"/>
        <w:adjustRightInd w:val="0"/>
        <w:spacing w:after="0" w:line="240" w:lineRule="auto"/>
        <w:jc w:val="both"/>
        <w:rPr>
          <w:rFonts w:ascii="Verdana" w:hAnsi="Verdana"/>
          <w:sz w:val="20"/>
          <w:szCs w:val="20"/>
        </w:rPr>
      </w:pPr>
    </w:p>
    <w:p w:rsidR="00B072B4" w:rsidRPr="00996758" w:rsidRDefault="00B072B4" w:rsidP="00B072B4">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b/>
          <w:i/>
          <w:sz w:val="20"/>
          <w:szCs w:val="20"/>
        </w:rPr>
        <w:t>Estado</w:t>
      </w:r>
      <w:r w:rsidRPr="00996758">
        <w:rPr>
          <w:rFonts w:ascii="Verdana" w:hAnsi="Verdana"/>
          <w:sz w:val="20"/>
          <w:szCs w:val="20"/>
        </w:rPr>
        <w:t xml:space="preserve"> manifestó que no pretende negar que, en una época determinada, los sindicatos “fueron objeto de una violencia particularmente elevada y dirigida”, por lo cual ha tomado una serie de medidas de prevención, protección, garantía y reparación encaminadas a revertirla</w:t>
      </w:r>
      <w:r w:rsidRPr="00996758">
        <w:rPr>
          <w:rStyle w:val="FootnoteReference"/>
          <w:rFonts w:ascii="Verdana" w:hAnsi="Verdana"/>
          <w:sz w:val="20"/>
          <w:szCs w:val="20"/>
        </w:rPr>
        <w:footnoteReference w:id="181"/>
      </w:r>
      <w:r w:rsidRPr="00996758">
        <w:rPr>
          <w:rFonts w:ascii="Verdana" w:hAnsi="Verdana"/>
          <w:sz w:val="20"/>
          <w:szCs w:val="20"/>
        </w:rPr>
        <w:t>. Hizo notar que, en el marco de la Ley 1448 de 2011 (“Ley de Víctimas”), actualmente se adelanta un proceso de reparación colectiva para sindicalistas y sus organizaciones</w:t>
      </w:r>
      <w:r w:rsidRPr="00996758">
        <w:rPr>
          <w:rStyle w:val="FootnoteReference"/>
          <w:rFonts w:ascii="Verdana" w:hAnsi="Verdana"/>
          <w:sz w:val="20"/>
          <w:szCs w:val="20"/>
        </w:rPr>
        <w:footnoteReference w:id="182"/>
      </w:r>
      <w:r w:rsidRPr="00996758">
        <w:rPr>
          <w:rFonts w:ascii="Verdana" w:hAnsi="Verdana"/>
          <w:sz w:val="20"/>
          <w:szCs w:val="20"/>
        </w:rPr>
        <w:t xml:space="preserve">, medida que parte del reconocimiento de la victimización de la colectividad y pretende resaltar la legitimidad de sus actividades, la cual evidentemente tratará el tema de los sindicatos del Magdalena Medio, abarcando Puerto Nare, La Sierra y municipios aledaños. Así, el Estado consideró que, con la publicación de la sentencia y esta reparación colectiva, se cumple con medidas de satisfacción. El </w:t>
      </w:r>
      <w:r w:rsidRPr="00996758">
        <w:rPr>
          <w:rFonts w:ascii="Verdana" w:hAnsi="Verdana"/>
          <w:i/>
          <w:sz w:val="20"/>
          <w:szCs w:val="20"/>
        </w:rPr>
        <w:t>Estado</w:t>
      </w:r>
      <w:r w:rsidRPr="00996758">
        <w:rPr>
          <w:rFonts w:ascii="Verdana" w:hAnsi="Verdana"/>
          <w:sz w:val="20"/>
          <w:szCs w:val="20"/>
        </w:rPr>
        <w:t xml:space="preserve"> también manifestó que ha adoptado medidas de carácter normativo e institucional “adecuadas y efectivas para revertir cualquier contexto de violencia o discriminación”, tanto para desarticular a grupos paramilitares como para revertir la violencia contra miembros de la UP</w:t>
      </w:r>
      <w:r w:rsidRPr="00996758">
        <w:rPr>
          <w:rStyle w:val="FootnoteReference"/>
          <w:rFonts w:ascii="Verdana" w:hAnsi="Verdana" w:cs="Verdana"/>
          <w:sz w:val="20"/>
          <w:szCs w:val="20"/>
        </w:rPr>
        <w:footnoteReference w:id="183"/>
      </w:r>
      <w:r w:rsidRPr="00996758">
        <w:rPr>
          <w:rFonts w:ascii="Verdana" w:hAnsi="Verdana" w:cs="Verdana"/>
          <w:sz w:val="20"/>
          <w:szCs w:val="20"/>
        </w:rPr>
        <w:t xml:space="preserve">, por lo cual </w:t>
      </w:r>
      <w:r w:rsidRPr="00996758">
        <w:rPr>
          <w:rFonts w:ascii="Verdana" w:hAnsi="Verdana"/>
          <w:sz w:val="20"/>
          <w:szCs w:val="20"/>
        </w:rPr>
        <w:t>consideró innecesario ordenar garantías de no repetición.</w:t>
      </w:r>
    </w:p>
    <w:p w:rsidR="00B072B4" w:rsidRPr="00996758" w:rsidRDefault="00B072B4" w:rsidP="00B072B4">
      <w:pPr>
        <w:pBdr>
          <w:top w:val="nil"/>
        </w:pBdr>
        <w:autoSpaceDE w:val="0"/>
        <w:autoSpaceDN w:val="0"/>
        <w:adjustRightInd w:val="0"/>
        <w:spacing w:after="0" w:line="240" w:lineRule="auto"/>
        <w:jc w:val="both"/>
        <w:rPr>
          <w:rFonts w:ascii="Verdana" w:hAnsi="Verdana" w:cs="Times New Roman"/>
          <w:sz w:val="20"/>
          <w:szCs w:val="20"/>
          <w:lang w:bidi="en-US"/>
        </w:rPr>
      </w:pPr>
    </w:p>
    <w:p w:rsidR="00B072B4" w:rsidRPr="00996758" w:rsidRDefault="00B072B4" w:rsidP="00B072B4">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cs="Times New Roman"/>
          <w:sz w:val="20"/>
          <w:szCs w:val="20"/>
          <w:lang w:bidi="en-US"/>
        </w:rPr>
        <w:t>La</w:t>
      </w:r>
      <w:r w:rsidRPr="00996758">
        <w:rPr>
          <w:rFonts w:ascii="Verdana" w:hAnsi="Verdana"/>
          <w:sz w:val="20"/>
          <w:szCs w:val="20"/>
        </w:rPr>
        <w:t xml:space="preserve"> </w:t>
      </w:r>
      <w:r w:rsidRPr="00996758">
        <w:rPr>
          <w:rFonts w:ascii="Verdana" w:hAnsi="Verdana"/>
          <w:b/>
          <w:i/>
          <w:sz w:val="20"/>
          <w:szCs w:val="20"/>
        </w:rPr>
        <w:t>Corte</w:t>
      </w:r>
      <w:r w:rsidRPr="00996758">
        <w:rPr>
          <w:rFonts w:ascii="Verdana" w:hAnsi="Verdana"/>
          <w:sz w:val="20"/>
          <w:szCs w:val="20"/>
        </w:rPr>
        <w:t xml:space="preserve"> considera que, según la información aportada por los representantes y el Estado, e incluso en los </w:t>
      </w:r>
      <w:r w:rsidRPr="00996758">
        <w:rPr>
          <w:rFonts w:ascii="Verdana" w:hAnsi="Verdana"/>
          <w:i/>
          <w:sz w:val="20"/>
          <w:szCs w:val="20"/>
        </w:rPr>
        <w:t>amici curiae</w:t>
      </w:r>
      <w:r w:rsidRPr="00996758">
        <w:rPr>
          <w:rFonts w:ascii="Verdana" w:hAnsi="Verdana"/>
          <w:sz w:val="20"/>
          <w:szCs w:val="20"/>
        </w:rPr>
        <w:t xml:space="preserve"> de la Escuela Nacional Sindical (ENS) y la Central Unitaria de Trabajadores (CUT) de Colombia, es evidente que en Colombia persiste la violencia contra organizaciones sindicales</w:t>
      </w:r>
      <w:r w:rsidR="005D3973" w:rsidRPr="00996758">
        <w:rPr>
          <w:rFonts w:ascii="Verdana" w:hAnsi="Verdana"/>
          <w:sz w:val="20"/>
          <w:szCs w:val="20"/>
        </w:rPr>
        <w:t>, sus miembros y representantes</w:t>
      </w:r>
      <w:r w:rsidRPr="00996758">
        <w:rPr>
          <w:rFonts w:ascii="Verdana" w:hAnsi="Verdana"/>
          <w:sz w:val="20"/>
          <w:szCs w:val="20"/>
        </w:rPr>
        <w:t>.</w:t>
      </w:r>
      <w:r w:rsidR="006510B8" w:rsidRPr="00996758">
        <w:rPr>
          <w:rFonts w:ascii="Verdana" w:hAnsi="Verdana"/>
          <w:sz w:val="20"/>
          <w:szCs w:val="20"/>
        </w:rPr>
        <w:t xml:space="preserve"> Es decir, los datos indican que las políticas y programas adoptados por el Estado </w:t>
      </w:r>
      <w:r w:rsidR="005D3973" w:rsidRPr="00996758">
        <w:rPr>
          <w:rFonts w:ascii="Verdana" w:hAnsi="Verdana"/>
          <w:sz w:val="20"/>
          <w:szCs w:val="20"/>
        </w:rPr>
        <w:t xml:space="preserve">aún no son </w:t>
      </w:r>
      <w:r w:rsidR="006510B8" w:rsidRPr="00996758">
        <w:rPr>
          <w:rFonts w:ascii="Verdana" w:hAnsi="Verdana"/>
          <w:sz w:val="20"/>
          <w:szCs w:val="20"/>
        </w:rPr>
        <w:t>efectivas.</w:t>
      </w:r>
      <w:r w:rsidRPr="00996758">
        <w:rPr>
          <w:rFonts w:ascii="Verdana" w:hAnsi="Verdana"/>
          <w:sz w:val="20"/>
          <w:szCs w:val="20"/>
        </w:rPr>
        <w:t xml:space="preserve"> </w:t>
      </w:r>
      <w:r w:rsidR="008005CE" w:rsidRPr="00996758">
        <w:rPr>
          <w:rFonts w:ascii="Verdana" w:hAnsi="Verdana"/>
          <w:sz w:val="20"/>
          <w:szCs w:val="20"/>
        </w:rPr>
        <w:t>Por ello, la Corte estima pertinente ordenar al Estado que fortalezca los mecanismos de protección para sindicalistas</w:t>
      </w:r>
      <w:r w:rsidR="005D3973" w:rsidRPr="00996758">
        <w:rPr>
          <w:rFonts w:ascii="Verdana" w:hAnsi="Verdana"/>
          <w:sz w:val="20"/>
          <w:szCs w:val="20"/>
        </w:rPr>
        <w:t xml:space="preserve">, </w:t>
      </w:r>
      <w:r w:rsidR="001A6B71" w:rsidRPr="00996758">
        <w:rPr>
          <w:rFonts w:ascii="Verdana" w:hAnsi="Verdana"/>
          <w:sz w:val="20"/>
          <w:szCs w:val="20"/>
        </w:rPr>
        <w:t>representantes</w:t>
      </w:r>
      <w:r w:rsidR="005D3973" w:rsidRPr="00996758">
        <w:rPr>
          <w:rFonts w:ascii="Verdana" w:hAnsi="Verdana"/>
          <w:sz w:val="20"/>
          <w:szCs w:val="20"/>
        </w:rPr>
        <w:t xml:space="preserve"> y organizaciones sindicales</w:t>
      </w:r>
      <w:r w:rsidR="008005CE" w:rsidRPr="00996758">
        <w:rPr>
          <w:rFonts w:ascii="Verdana" w:hAnsi="Verdana"/>
          <w:sz w:val="20"/>
          <w:szCs w:val="20"/>
        </w:rPr>
        <w:t xml:space="preserve"> ya existentes y</w:t>
      </w:r>
      <w:r w:rsidR="005D3973" w:rsidRPr="00996758">
        <w:rPr>
          <w:rFonts w:ascii="Verdana" w:hAnsi="Verdana"/>
          <w:sz w:val="20"/>
          <w:szCs w:val="20"/>
        </w:rPr>
        <w:t>, además, que</w:t>
      </w:r>
      <w:r w:rsidR="008005CE" w:rsidRPr="00996758">
        <w:rPr>
          <w:rFonts w:ascii="Verdana" w:hAnsi="Verdana"/>
          <w:sz w:val="20"/>
          <w:szCs w:val="20"/>
        </w:rPr>
        <w:t xml:space="preserve"> establezca los que sean necesarios, en coordinación y consulta con las organizaciones sindicales, para que puedan desarrollar sus actividades libremente y sin temor a represalias. </w:t>
      </w:r>
      <w:r w:rsidR="00834E15" w:rsidRPr="00996758">
        <w:rPr>
          <w:rFonts w:ascii="Verdana" w:hAnsi="Verdana"/>
          <w:sz w:val="20"/>
          <w:szCs w:val="20"/>
        </w:rPr>
        <w:t>El Estado deberá presentar un informe anual ante este Tribunal, durante tres años, en que informe específicamente sobre el cumplimiento de esta medida.</w:t>
      </w:r>
    </w:p>
    <w:p w:rsidR="00B072B4" w:rsidRPr="00996758" w:rsidRDefault="00B072B4">
      <w:pPr>
        <w:pBdr>
          <w:top w:val="nil"/>
        </w:pBdr>
        <w:autoSpaceDE w:val="0"/>
        <w:autoSpaceDN w:val="0"/>
        <w:adjustRightInd w:val="0"/>
        <w:spacing w:after="0" w:line="240" w:lineRule="auto"/>
        <w:jc w:val="both"/>
        <w:rPr>
          <w:rFonts w:ascii="Verdana" w:hAnsi="Verdana"/>
          <w:sz w:val="20"/>
          <w:szCs w:val="20"/>
        </w:rPr>
      </w:pPr>
    </w:p>
    <w:p w:rsidR="00B072B4" w:rsidRPr="00996758" w:rsidRDefault="00B072B4">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54" w:name="_Toc505877008"/>
      <w:bookmarkStart w:id="55" w:name="_Toc530560075"/>
      <w:r w:rsidRPr="00996758">
        <w:rPr>
          <w:rFonts w:ascii="Verdana" w:eastAsia="Times New Roman" w:hAnsi="Verdana" w:cs="Times New Roman"/>
          <w:bCs w:val="0"/>
          <w:i/>
          <w:color w:val="auto"/>
          <w:sz w:val="20"/>
          <w:szCs w:val="20"/>
        </w:rPr>
        <w:t>Indemnizaciones compensatorias</w:t>
      </w:r>
      <w:bookmarkEnd w:id="54"/>
      <w:bookmarkEnd w:id="55"/>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A95297" w:rsidRPr="00996758" w:rsidRDefault="00A95297">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E.1</w:t>
      </w:r>
      <w:r w:rsidRPr="00996758">
        <w:rPr>
          <w:rFonts w:ascii="Verdana" w:hAnsi="Verdana"/>
          <w:i/>
          <w:sz w:val="20"/>
          <w:szCs w:val="20"/>
        </w:rPr>
        <w:tab/>
        <w:t>Daño material</w:t>
      </w:r>
    </w:p>
    <w:p w:rsidR="00A95297" w:rsidRPr="00996758" w:rsidRDefault="00A95297">
      <w:pPr>
        <w:pBdr>
          <w:top w:val="nil"/>
        </w:pBdr>
        <w:autoSpaceDE w:val="0"/>
        <w:autoSpaceDN w:val="0"/>
        <w:adjustRightInd w:val="0"/>
        <w:spacing w:after="0" w:line="240" w:lineRule="auto"/>
        <w:jc w:val="both"/>
        <w:rPr>
          <w:rFonts w:ascii="Verdana" w:hAnsi="Verdana"/>
          <w:sz w:val="20"/>
          <w:szCs w:val="20"/>
        </w:rPr>
      </w:pPr>
    </w:p>
    <w:p w:rsidR="00607AFC" w:rsidRPr="00996758" w:rsidRDefault="00A90650"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00607AFC" w:rsidRPr="00996758">
        <w:rPr>
          <w:rFonts w:ascii="Verdana" w:hAnsi="Verdana"/>
          <w:b/>
          <w:i/>
          <w:sz w:val="20"/>
          <w:szCs w:val="20"/>
        </w:rPr>
        <w:t>representante</w:t>
      </w:r>
      <w:r w:rsidRPr="00996758">
        <w:rPr>
          <w:rFonts w:ascii="Verdana" w:hAnsi="Verdana"/>
          <w:b/>
          <w:i/>
          <w:sz w:val="20"/>
          <w:szCs w:val="20"/>
        </w:rPr>
        <w:t>s</w:t>
      </w:r>
      <w:r w:rsidRPr="00996758">
        <w:rPr>
          <w:rFonts w:ascii="Verdana" w:hAnsi="Verdana"/>
          <w:sz w:val="20"/>
          <w:szCs w:val="20"/>
        </w:rPr>
        <w:t xml:space="preserve"> solicitaron</w:t>
      </w:r>
      <w:r w:rsidR="00607AFC" w:rsidRPr="00996758">
        <w:rPr>
          <w:rFonts w:ascii="Verdana" w:hAnsi="Verdana"/>
          <w:sz w:val="20"/>
          <w:szCs w:val="20"/>
        </w:rPr>
        <w:t xml:space="preserve"> </w:t>
      </w:r>
      <w:r w:rsidR="00C03A43" w:rsidRPr="00996758">
        <w:rPr>
          <w:rFonts w:ascii="Verdana" w:hAnsi="Verdana"/>
          <w:sz w:val="20"/>
          <w:szCs w:val="20"/>
        </w:rPr>
        <w:t>indemnizaciones por concepto de</w:t>
      </w:r>
      <w:r w:rsidR="00607AFC" w:rsidRPr="00996758">
        <w:rPr>
          <w:rFonts w:ascii="Verdana" w:hAnsi="Verdana"/>
          <w:sz w:val="20"/>
          <w:szCs w:val="20"/>
        </w:rPr>
        <w:t xml:space="preserve"> daño</w:t>
      </w:r>
      <w:r w:rsidR="00C03A43" w:rsidRPr="00996758">
        <w:rPr>
          <w:rFonts w:ascii="Verdana" w:hAnsi="Verdana"/>
          <w:sz w:val="20"/>
          <w:szCs w:val="20"/>
        </w:rPr>
        <w:t xml:space="preserve"> material</w:t>
      </w:r>
      <w:r w:rsidR="00FC6F47" w:rsidRPr="00996758">
        <w:rPr>
          <w:rStyle w:val="FootnoteReference"/>
          <w:rFonts w:ascii="Verdana" w:hAnsi="Verdana"/>
          <w:sz w:val="20"/>
          <w:szCs w:val="20"/>
        </w:rPr>
        <w:footnoteReference w:id="184"/>
      </w:r>
      <w:r w:rsidR="00607AFC" w:rsidRPr="00996758">
        <w:rPr>
          <w:rFonts w:ascii="Verdana" w:hAnsi="Verdana"/>
          <w:sz w:val="20"/>
          <w:szCs w:val="20"/>
        </w:rPr>
        <w:t xml:space="preserve">. </w:t>
      </w:r>
    </w:p>
    <w:p w:rsidR="00C03A43" w:rsidRPr="00996758" w:rsidRDefault="00C03A43">
      <w:pPr>
        <w:pBdr>
          <w:top w:val="nil"/>
        </w:pBdr>
        <w:autoSpaceDE w:val="0"/>
        <w:autoSpaceDN w:val="0"/>
        <w:adjustRightInd w:val="0"/>
        <w:spacing w:after="0" w:line="240" w:lineRule="auto"/>
        <w:jc w:val="both"/>
        <w:rPr>
          <w:rFonts w:ascii="Verdana" w:hAnsi="Verdana"/>
          <w:sz w:val="20"/>
          <w:szCs w:val="20"/>
        </w:rPr>
      </w:pPr>
    </w:p>
    <w:p w:rsidR="00A95297" w:rsidRPr="00996758" w:rsidRDefault="00C03A43" w:rsidP="00DC7CD8">
      <w:pPr>
        <w:numPr>
          <w:ilvl w:val="0"/>
          <w:numId w:val="10"/>
        </w:numPr>
        <w:pBdr>
          <w:top w:val="nil"/>
        </w:pBdr>
        <w:autoSpaceDE w:val="0"/>
        <w:autoSpaceDN w:val="0"/>
        <w:adjustRightInd w:val="0"/>
        <w:spacing w:after="0" w:line="240" w:lineRule="auto"/>
        <w:ind w:left="0" w:firstLine="0"/>
        <w:jc w:val="both"/>
        <w:rPr>
          <w:rFonts w:ascii="Verdana" w:eastAsia="Verdana" w:hAnsi="Verdana" w:cs="Verdana"/>
          <w:sz w:val="20"/>
          <w:szCs w:val="20"/>
        </w:rPr>
      </w:pPr>
      <w:r w:rsidRPr="00996758">
        <w:rPr>
          <w:rFonts w:ascii="Verdana" w:hAnsi="Verdana"/>
          <w:sz w:val="20"/>
          <w:szCs w:val="20"/>
        </w:rPr>
        <w:t xml:space="preserve">El </w:t>
      </w:r>
      <w:r w:rsidRPr="00996758">
        <w:rPr>
          <w:rFonts w:ascii="Verdana" w:hAnsi="Verdana"/>
          <w:b/>
          <w:i/>
          <w:sz w:val="20"/>
          <w:szCs w:val="20"/>
        </w:rPr>
        <w:t>Estado</w:t>
      </w:r>
      <w:r w:rsidRPr="00996758">
        <w:rPr>
          <w:rFonts w:ascii="Verdana" w:hAnsi="Verdana"/>
          <w:sz w:val="20"/>
          <w:szCs w:val="20"/>
        </w:rPr>
        <w:t xml:space="preserve"> señaló </w:t>
      </w:r>
      <w:r w:rsidR="00941843" w:rsidRPr="00996758">
        <w:rPr>
          <w:rFonts w:ascii="Verdana" w:hAnsi="Verdana"/>
          <w:sz w:val="20"/>
          <w:szCs w:val="20"/>
        </w:rPr>
        <w:t xml:space="preserve">en su contestación </w:t>
      </w:r>
      <w:r w:rsidRPr="00996758">
        <w:rPr>
          <w:rFonts w:ascii="Verdana" w:hAnsi="Verdana"/>
          <w:sz w:val="20"/>
          <w:szCs w:val="20"/>
        </w:rPr>
        <w:t>que</w:t>
      </w:r>
      <w:r w:rsidR="00A95297" w:rsidRPr="00996758">
        <w:rPr>
          <w:rFonts w:ascii="Verdana" w:eastAsia="Verdana" w:hAnsi="Verdana" w:cs="Verdana"/>
          <w:sz w:val="20"/>
          <w:szCs w:val="20"/>
        </w:rPr>
        <w:t>, al momento de la sustracción de la cárcel, el señor Isaza Uribe se encontraba bajo medida de aseguramiento, sindicado del delito de homicidio agravado, por el que fue condenado posteriormente a 16 años de prisión, lo cual implica que no estaba desarrollando actividad productiva alguna, por lo que no es posible reconocer el lucro cesante solicitado por los representantes, conforme a jurisprudencia reiterada de la Sección Tercera del Consejo de Estado.</w:t>
      </w:r>
      <w:r w:rsidR="005C6E5A" w:rsidRPr="00996758">
        <w:rPr>
          <w:rFonts w:ascii="Verdana" w:eastAsia="Verdana" w:hAnsi="Verdana" w:cs="Verdana"/>
          <w:sz w:val="20"/>
          <w:szCs w:val="20"/>
        </w:rPr>
        <w:t xml:space="preserve"> </w:t>
      </w:r>
      <w:r w:rsidR="00A95297" w:rsidRPr="00996758">
        <w:rPr>
          <w:rFonts w:ascii="Verdana" w:eastAsia="Verdana" w:hAnsi="Verdana" w:cs="Verdana"/>
          <w:sz w:val="20"/>
          <w:szCs w:val="20"/>
        </w:rPr>
        <w:t>No obstante, en sus alegatos finales el Estado manifestó que</w:t>
      </w:r>
      <w:r w:rsidR="00504BB0" w:rsidRPr="00996758">
        <w:rPr>
          <w:rFonts w:ascii="Verdana" w:eastAsia="Verdana" w:hAnsi="Verdana" w:cs="Verdana"/>
          <w:sz w:val="20"/>
          <w:szCs w:val="20"/>
        </w:rPr>
        <w:t xml:space="preserve"> </w:t>
      </w:r>
      <w:r w:rsidR="00504BB0" w:rsidRPr="00996758">
        <w:rPr>
          <w:rFonts w:ascii="Verdana" w:eastAsia="Verdana" w:hAnsi="Verdana" w:cs="Verdana"/>
          <w:color w:val="000000"/>
          <w:sz w:val="20"/>
          <w:szCs w:val="20"/>
          <w:lang w:eastAsia="es-CR"/>
        </w:rPr>
        <w:t xml:space="preserve">lo correspondiente a esos </w:t>
      </w:r>
      <w:r w:rsidR="00A95297" w:rsidRPr="00996758">
        <w:rPr>
          <w:rFonts w:ascii="Verdana" w:eastAsia="Verdana" w:hAnsi="Verdana" w:cs="Verdana"/>
          <w:color w:val="000000"/>
          <w:sz w:val="20"/>
          <w:szCs w:val="20"/>
          <w:lang w:eastAsia="es-CR"/>
        </w:rPr>
        <w:t xml:space="preserve">16 años tendría que ser restado </w:t>
      </w:r>
      <w:r w:rsidR="00504BB0" w:rsidRPr="00996758">
        <w:rPr>
          <w:rFonts w:ascii="Verdana" w:eastAsia="Verdana" w:hAnsi="Verdana" w:cs="Verdana"/>
          <w:sz w:val="20"/>
          <w:szCs w:val="20"/>
        </w:rPr>
        <w:t xml:space="preserve">el </w:t>
      </w:r>
      <w:r w:rsidR="00504BB0" w:rsidRPr="00996758">
        <w:rPr>
          <w:rFonts w:ascii="Verdana" w:eastAsia="Verdana" w:hAnsi="Verdana" w:cs="Verdana"/>
          <w:color w:val="000000"/>
          <w:sz w:val="20"/>
          <w:szCs w:val="20"/>
          <w:lang w:eastAsia="es-CR"/>
        </w:rPr>
        <w:t>cálculo del lucro cesante</w:t>
      </w:r>
      <w:r w:rsidR="00A95297" w:rsidRPr="00996758">
        <w:rPr>
          <w:rFonts w:ascii="Verdana" w:eastAsia="Verdana" w:hAnsi="Verdana" w:cs="Verdana"/>
          <w:sz w:val="20"/>
          <w:szCs w:val="20"/>
        </w:rPr>
        <w:t xml:space="preserve">. </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b/>
          <w:i/>
          <w:sz w:val="20"/>
          <w:szCs w:val="20"/>
        </w:rPr>
        <w:t>Corte</w:t>
      </w:r>
      <w:r w:rsidRPr="00996758">
        <w:rPr>
          <w:rFonts w:ascii="Verdana" w:hAnsi="Verdana"/>
          <w:sz w:val="20"/>
          <w:szCs w:val="20"/>
        </w:rPr>
        <w:t xml:space="preserve"> ha desarrollado el concepto de daño material y los supuestos en </w:t>
      </w:r>
      <w:r w:rsidRPr="00996758">
        <w:rPr>
          <w:rFonts w:ascii="Verdana" w:eastAsia="Times New Roman" w:hAnsi="Verdana"/>
          <w:sz w:val="20"/>
          <w:szCs w:val="20"/>
        </w:rPr>
        <w:t>que</w:t>
      </w:r>
      <w:r w:rsidRPr="00996758">
        <w:rPr>
          <w:rFonts w:ascii="Verdana" w:hAnsi="Verdana"/>
          <w:sz w:val="20"/>
          <w:szCs w:val="20"/>
        </w:rPr>
        <w:t xml:space="preserve"> corresponde indemnizarlo</w:t>
      </w:r>
      <w:r w:rsidR="00F87955" w:rsidRPr="00996758">
        <w:rPr>
          <w:rFonts w:ascii="Verdana" w:hAnsi="Verdana"/>
          <w:sz w:val="20"/>
          <w:szCs w:val="20"/>
          <w:vertAlign w:val="superscript"/>
        </w:rPr>
        <w:footnoteReference w:id="185"/>
      </w:r>
      <w:r w:rsidRPr="00996758">
        <w:rPr>
          <w:rFonts w:ascii="Verdana" w:hAnsi="Verdana"/>
          <w:sz w:val="20"/>
          <w:szCs w:val="20"/>
        </w:rPr>
        <w:t xml:space="preserve">. </w:t>
      </w:r>
    </w:p>
    <w:p w:rsidR="00AE260A" w:rsidRPr="00996758" w:rsidRDefault="00AE260A">
      <w:pPr>
        <w:pBdr>
          <w:top w:val="nil"/>
        </w:pBdr>
        <w:autoSpaceDE w:val="0"/>
        <w:autoSpaceDN w:val="0"/>
        <w:adjustRightInd w:val="0"/>
        <w:spacing w:after="0" w:line="240" w:lineRule="auto"/>
        <w:jc w:val="both"/>
        <w:rPr>
          <w:rFonts w:ascii="Verdana" w:hAnsi="Verdana"/>
          <w:sz w:val="20"/>
          <w:szCs w:val="20"/>
        </w:rPr>
      </w:pPr>
    </w:p>
    <w:p w:rsidR="00283651" w:rsidRPr="00996758" w:rsidRDefault="000D6EFC" w:rsidP="00DC7CD8">
      <w:pPr>
        <w:numPr>
          <w:ilvl w:val="0"/>
          <w:numId w:val="10"/>
        </w:numPr>
        <w:pBdr>
          <w:top w:val="nil"/>
        </w:pBdr>
        <w:autoSpaceDE w:val="0"/>
        <w:autoSpaceDN w:val="0"/>
        <w:adjustRightInd w:val="0"/>
        <w:spacing w:after="0" w:line="240" w:lineRule="auto"/>
        <w:ind w:left="0" w:firstLine="0"/>
        <w:jc w:val="both"/>
        <w:rPr>
          <w:rFonts w:ascii="Verdana" w:eastAsia="Verdana" w:hAnsi="Verdana" w:cs="Verdana"/>
          <w:sz w:val="20"/>
          <w:szCs w:val="20"/>
        </w:rPr>
      </w:pPr>
      <w:r w:rsidRPr="00996758">
        <w:rPr>
          <w:rFonts w:ascii="Verdana" w:hAnsi="Verdana"/>
          <w:sz w:val="20"/>
          <w:szCs w:val="20"/>
        </w:rPr>
        <w:t>D</w:t>
      </w:r>
      <w:r w:rsidR="00AE260A" w:rsidRPr="00996758">
        <w:rPr>
          <w:rFonts w:ascii="Verdana" w:hAnsi="Verdana"/>
          <w:sz w:val="20"/>
          <w:szCs w:val="20"/>
        </w:rPr>
        <w:t>ado que</w:t>
      </w:r>
      <w:r w:rsidRPr="00996758">
        <w:rPr>
          <w:rFonts w:ascii="Verdana" w:hAnsi="Verdana"/>
          <w:sz w:val="20"/>
          <w:szCs w:val="20"/>
        </w:rPr>
        <w:t>, una vez cumplida</w:t>
      </w:r>
      <w:r w:rsidR="00AE260A" w:rsidRPr="00996758">
        <w:rPr>
          <w:rFonts w:ascii="Verdana" w:hAnsi="Verdana"/>
          <w:sz w:val="20"/>
          <w:szCs w:val="20"/>
        </w:rPr>
        <w:t xml:space="preserve"> su condena, </w:t>
      </w:r>
      <w:r w:rsidRPr="00996758">
        <w:rPr>
          <w:rFonts w:ascii="Verdana" w:hAnsi="Verdana"/>
          <w:sz w:val="20"/>
          <w:szCs w:val="20"/>
        </w:rPr>
        <w:t xml:space="preserve">la víctima </w:t>
      </w:r>
      <w:r w:rsidR="00AE260A" w:rsidRPr="00996758">
        <w:rPr>
          <w:rFonts w:ascii="Verdana" w:hAnsi="Verdana"/>
          <w:sz w:val="20"/>
          <w:szCs w:val="20"/>
        </w:rPr>
        <w:t>aún se encontraría en edad de trabajar, la Corte considera procedente la solicitud de</w:t>
      </w:r>
      <w:r w:rsidR="000C3996" w:rsidRPr="00996758">
        <w:rPr>
          <w:rFonts w:ascii="Verdana" w:hAnsi="Verdana"/>
          <w:sz w:val="20"/>
          <w:szCs w:val="20"/>
        </w:rPr>
        <w:t>l Estado de</w:t>
      </w:r>
      <w:r w:rsidR="00AE260A" w:rsidRPr="00996758">
        <w:rPr>
          <w:rFonts w:ascii="Verdana" w:hAnsi="Verdana"/>
          <w:sz w:val="20"/>
          <w:szCs w:val="20"/>
        </w:rPr>
        <w:t xml:space="preserve"> restar </w:t>
      </w:r>
      <w:r w:rsidRPr="00996758">
        <w:rPr>
          <w:rFonts w:ascii="Verdana" w:hAnsi="Verdana"/>
          <w:sz w:val="20"/>
          <w:szCs w:val="20"/>
        </w:rPr>
        <w:t xml:space="preserve">esos </w:t>
      </w:r>
      <w:r w:rsidR="00AE260A" w:rsidRPr="00996758">
        <w:rPr>
          <w:rFonts w:ascii="Verdana" w:eastAsia="Verdana" w:hAnsi="Verdana" w:cs="Verdana"/>
          <w:color w:val="000000"/>
          <w:sz w:val="20"/>
          <w:szCs w:val="20"/>
          <w:lang w:eastAsia="es-CR"/>
        </w:rPr>
        <w:t>16 años del monto</w:t>
      </w:r>
      <w:r w:rsidR="00AE260A" w:rsidRPr="00996758">
        <w:rPr>
          <w:rFonts w:ascii="Verdana" w:eastAsia="Verdana" w:hAnsi="Verdana" w:cs="Verdana"/>
          <w:sz w:val="20"/>
          <w:szCs w:val="20"/>
        </w:rPr>
        <w:t xml:space="preserve"> </w:t>
      </w:r>
      <w:r w:rsidRPr="00996758">
        <w:rPr>
          <w:rFonts w:ascii="Verdana" w:eastAsia="Verdana" w:hAnsi="Verdana" w:cs="Verdana"/>
          <w:sz w:val="20"/>
          <w:szCs w:val="20"/>
        </w:rPr>
        <w:t>correspondiente al</w:t>
      </w:r>
      <w:r w:rsidR="00AE260A" w:rsidRPr="00996758">
        <w:rPr>
          <w:rFonts w:ascii="Verdana" w:eastAsia="Verdana" w:hAnsi="Verdana" w:cs="Verdana"/>
          <w:color w:val="000000"/>
          <w:sz w:val="20"/>
          <w:szCs w:val="20"/>
          <w:lang w:eastAsia="es-CR"/>
        </w:rPr>
        <w:t xml:space="preserve"> lucro cesante.</w:t>
      </w:r>
      <w:r w:rsidR="00283651" w:rsidRPr="00996758">
        <w:rPr>
          <w:rFonts w:ascii="Verdana" w:eastAsia="Verdana" w:hAnsi="Verdana" w:cs="Verdana"/>
          <w:color w:val="000000"/>
          <w:sz w:val="20"/>
          <w:szCs w:val="20"/>
          <w:lang w:eastAsia="es-CR"/>
        </w:rPr>
        <w:t xml:space="preserve"> En este sentido, efectivamente</w:t>
      </w:r>
      <w:r w:rsidR="00283651" w:rsidRPr="00996758">
        <w:rPr>
          <w:rFonts w:ascii="Verdana" w:eastAsia="Verdana" w:hAnsi="Verdana" w:cs="Verdana"/>
          <w:sz w:val="20"/>
          <w:szCs w:val="20"/>
        </w:rPr>
        <w:t xml:space="preserve"> el perito Ruiz </w:t>
      </w:r>
      <w:r w:rsidR="000C3996" w:rsidRPr="00996758">
        <w:rPr>
          <w:rFonts w:ascii="Verdana" w:eastAsia="Verdana" w:hAnsi="Verdana" w:cs="Verdana"/>
          <w:sz w:val="20"/>
          <w:szCs w:val="20"/>
        </w:rPr>
        <w:t>realizó el cálculo del lucro cesante consolidado tomando en cuenta lo anterior</w:t>
      </w:r>
      <w:r w:rsidR="002478BA" w:rsidRPr="00996758">
        <w:rPr>
          <w:rStyle w:val="FootnoteReference"/>
          <w:rFonts w:ascii="Verdana" w:eastAsia="Verdana" w:hAnsi="Verdana" w:cs="Verdana"/>
          <w:sz w:val="20"/>
          <w:szCs w:val="20"/>
        </w:rPr>
        <w:footnoteReference w:id="186"/>
      </w:r>
      <w:r w:rsidR="00AC24CB" w:rsidRPr="00996758">
        <w:rPr>
          <w:rFonts w:ascii="Verdana" w:eastAsia="Verdana" w:hAnsi="Verdana" w:cs="Verdana"/>
          <w:sz w:val="20"/>
          <w:szCs w:val="20"/>
        </w:rPr>
        <w:t>.</w:t>
      </w:r>
      <w:r w:rsidR="00E3352F" w:rsidRPr="00996758">
        <w:rPr>
          <w:rFonts w:ascii="Verdana" w:eastAsia="Verdana" w:hAnsi="Verdana" w:cs="Verdana"/>
          <w:sz w:val="20"/>
          <w:szCs w:val="20"/>
        </w:rPr>
        <w:t xml:space="preserve"> </w:t>
      </w:r>
      <w:r w:rsidR="00347B36" w:rsidRPr="00996758">
        <w:rPr>
          <w:rFonts w:ascii="Verdana" w:eastAsia="Verdana" w:hAnsi="Verdana" w:cs="Verdana"/>
          <w:sz w:val="20"/>
          <w:szCs w:val="20"/>
        </w:rPr>
        <w:t>E</w:t>
      </w:r>
      <w:r w:rsidR="002478BA" w:rsidRPr="00996758">
        <w:rPr>
          <w:rFonts w:ascii="Verdana" w:eastAsia="Verdana" w:hAnsi="Verdana" w:cs="Verdana"/>
          <w:sz w:val="20"/>
          <w:szCs w:val="20"/>
        </w:rPr>
        <w:t>l Estado no presentó observación alguna respecto del monto fijado por el perito y so</w:t>
      </w:r>
      <w:r w:rsidR="00AC24CB" w:rsidRPr="00996758">
        <w:rPr>
          <w:rFonts w:ascii="Verdana" w:eastAsia="Verdana" w:hAnsi="Verdana" w:cs="Verdana"/>
          <w:sz w:val="20"/>
          <w:szCs w:val="20"/>
        </w:rPr>
        <w:t>licitado por los representantes,</w:t>
      </w:r>
      <w:r w:rsidR="00953F96" w:rsidRPr="00996758">
        <w:rPr>
          <w:rFonts w:ascii="Verdana" w:eastAsia="Verdana" w:hAnsi="Verdana" w:cs="Verdana"/>
          <w:sz w:val="20"/>
          <w:szCs w:val="20"/>
        </w:rPr>
        <w:t xml:space="preserve"> ni</w:t>
      </w:r>
      <w:r w:rsidR="00347B36" w:rsidRPr="00996758">
        <w:rPr>
          <w:rFonts w:ascii="Verdana" w:eastAsia="Verdana" w:hAnsi="Verdana" w:cs="Verdana"/>
          <w:sz w:val="20"/>
          <w:szCs w:val="20"/>
        </w:rPr>
        <w:t xml:space="preserve"> cuestionó el peritaje como tal. No obstante,</w:t>
      </w:r>
      <w:r w:rsidR="00AC24CB" w:rsidRPr="00996758">
        <w:rPr>
          <w:rFonts w:ascii="Verdana" w:eastAsia="Verdana" w:hAnsi="Verdana" w:cs="Verdana"/>
          <w:sz w:val="20"/>
          <w:szCs w:val="20"/>
        </w:rPr>
        <w:t xml:space="preserve"> la Corte </w:t>
      </w:r>
      <w:r w:rsidR="00E3352F" w:rsidRPr="00996758">
        <w:rPr>
          <w:rFonts w:ascii="Verdana" w:eastAsia="Verdana" w:hAnsi="Verdana" w:cs="Verdana"/>
          <w:sz w:val="20"/>
          <w:szCs w:val="20"/>
        </w:rPr>
        <w:t xml:space="preserve">hace notar que </w:t>
      </w:r>
      <w:r w:rsidR="00347B36" w:rsidRPr="00996758">
        <w:rPr>
          <w:rFonts w:ascii="Verdana" w:eastAsia="Verdana" w:hAnsi="Verdana" w:cs="Verdana"/>
          <w:sz w:val="20"/>
          <w:szCs w:val="20"/>
        </w:rPr>
        <w:t>el peritaje</w:t>
      </w:r>
      <w:r w:rsidR="00E3352F" w:rsidRPr="00996758">
        <w:rPr>
          <w:rFonts w:ascii="Verdana" w:eastAsia="Verdana" w:hAnsi="Verdana" w:cs="Verdana"/>
          <w:sz w:val="20"/>
          <w:szCs w:val="20"/>
        </w:rPr>
        <w:t xml:space="preserve"> presenta inconsistencias importantes respecto de la sumatoria de meses para</w:t>
      </w:r>
      <w:r w:rsidR="002C2FA4" w:rsidRPr="00996758">
        <w:rPr>
          <w:rFonts w:ascii="Verdana" w:eastAsia="Verdana" w:hAnsi="Verdana" w:cs="Verdana"/>
          <w:sz w:val="20"/>
          <w:szCs w:val="20"/>
        </w:rPr>
        <w:t xml:space="preserve"> calcular</w:t>
      </w:r>
      <w:r w:rsidR="00AC24CB" w:rsidRPr="00996758">
        <w:rPr>
          <w:rFonts w:ascii="Verdana" w:eastAsia="Verdana" w:hAnsi="Verdana" w:cs="Verdana"/>
          <w:sz w:val="20"/>
          <w:szCs w:val="20"/>
        </w:rPr>
        <w:t xml:space="preserve"> </w:t>
      </w:r>
      <w:r w:rsidR="00DA566D" w:rsidRPr="00996758">
        <w:rPr>
          <w:rFonts w:ascii="Verdana" w:eastAsia="Verdana" w:hAnsi="Verdana" w:cs="Verdana"/>
          <w:sz w:val="20"/>
          <w:szCs w:val="20"/>
        </w:rPr>
        <w:t xml:space="preserve">el monto por </w:t>
      </w:r>
      <w:r w:rsidR="00DA566D" w:rsidRPr="00996758">
        <w:rPr>
          <w:rFonts w:ascii="Verdana" w:eastAsia="Verdana" w:hAnsi="Verdana" w:cs="Verdana"/>
          <w:sz w:val="20"/>
          <w:szCs w:val="20"/>
        </w:rPr>
        <w:lastRenderedPageBreak/>
        <w:t>concepto de lucro cesante</w:t>
      </w:r>
      <w:r w:rsidR="002C2FA4" w:rsidRPr="00996758">
        <w:rPr>
          <w:rFonts w:ascii="Verdana" w:eastAsia="Verdana" w:hAnsi="Verdana" w:cs="Verdana"/>
          <w:sz w:val="20"/>
          <w:szCs w:val="20"/>
        </w:rPr>
        <w:t>, de la expe</w:t>
      </w:r>
      <w:r w:rsidR="00097EAE" w:rsidRPr="00996758">
        <w:rPr>
          <w:rFonts w:ascii="Verdana" w:eastAsia="Verdana" w:hAnsi="Verdana" w:cs="Verdana"/>
          <w:sz w:val="20"/>
          <w:szCs w:val="20"/>
        </w:rPr>
        <w:t>ctativa de vida utilizada y de</w:t>
      </w:r>
      <w:r w:rsidR="00347B36" w:rsidRPr="00996758">
        <w:rPr>
          <w:rFonts w:ascii="Verdana" w:eastAsia="Verdana" w:hAnsi="Verdana" w:cs="Verdana"/>
          <w:sz w:val="20"/>
          <w:szCs w:val="20"/>
        </w:rPr>
        <w:t xml:space="preserve"> los </w:t>
      </w:r>
      <w:r w:rsidR="00097EAE" w:rsidRPr="00996758">
        <w:rPr>
          <w:rFonts w:ascii="Verdana" w:eastAsia="Verdana" w:hAnsi="Verdana" w:cs="Verdana"/>
          <w:sz w:val="20"/>
          <w:szCs w:val="20"/>
        </w:rPr>
        <w:t>índices utilizados</w:t>
      </w:r>
      <w:r w:rsidR="00347B36" w:rsidRPr="00996758">
        <w:rPr>
          <w:rFonts w:ascii="Verdana" w:eastAsia="Verdana" w:hAnsi="Verdana" w:cs="Verdana"/>
          <w:sz w:val="20"/>
          <w:szCs w:val="20"/>
        </w:rPr>
        <w:t xml:space="preserve"> para actualizar </w:t>
      </w:r>
      <w:r w:rsidR="002C2FA4" w:rsidRPr="00996758">
        <w:rPr>
          <w:rFonts w:ascii="Verdana" w:eastAsia="Verdana" w:hAnsi="Verdana" w:cs="Verdana"/>
          <w:sz w:val="20"/>
          <w:szCs w:val="20"/>
        </w:rPr>
        <w:t>el salario</w:t>
      </w:r>
      <w:r w:rsidR="00DA566D" w:rsidRPr="00996758">
        <w:rPr>
          <w:rFonts w:ascii="Verdana" w:eastAsia="Verdana" w:hAnsi="Verdana" w:cs="Verdana"/>
          <w:sz w:val="20"/>
          <w:szCs w:val="20"/>
        </w:rPr>
        <w:t>.</w:t>
      </w:r>
      <w:r w:rsidR="002478BA" w:rsidRPr="00996758">
        <w:rPr>
          <w:rFonts w:ascii="Verdana" w:eastAsia="Verdana" w:hAnsi="Verdana" w:cs="Verdana"/>
          <w:sz w:val="20"/>
          <w:szCs w:val="20"/>
        </w:rPr>
        <w:t xml:space="preserve"> </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En consecuencia, la Corte</w:t>
      </w:r>
      <w:r w:rsidR="00333ECD" w:rsidRPr="00996758">
        <w:rPr>
          <w:rFonts w:ascii="Verdana" w:hAnsi="Verdana"/>
          <w:sz w:val="20"/>
          <w:szCs w:val="20"/>
        </w:rPr>
        <w:t xml:space="preserve"> dispone</w:t>
      </w:r>
      <w:r w:rsidR="00AC24CB" w:rsidRPr="00996758">
        <w:rPr>
          <w:rFonts w:ascii="Verdana" w:hAnsi="Verdana"/>
          <w:sz w:val="20"/>
          <w:szCs w:val="20"/>
        </w:rPr>
        <w:t>, en equidad,</w:t>
      </w:r>
      <w:r w:rsidR="00333ECD" w:rsidRPr="00996758">
        <w:rPr>
          <w:rFonts w:ascii="Verdana" w:hAnsi="Verdana"/>
          <w:sz w:val="20"/>
          <w:szCs w:val="20"/>
        </w:rPr>
        <w:t xml:space="preserve"> que el Estado debe pagar</w:t>
      </w:r>
      <w:r w:rsidR="000F60D6" w:rsidRPr="00996758">
        <w:rPr>
          <w:rFonts w:ascii="Verdana" w:hAnsi="Verdana"/>
          <w:sz w:val="20"/>
          <w:szCs w:val="20"/>
        </w:rPr>
        <w:t xml:space="preserve"> la cantidad </w:t>
      </w:r>
      <w:r w:rsidRPr="00996758">
        <w:rPr>
          <w:rFonts w:ascii="Verdana" w:hAnsi="Verdana"/>
          <w:sz w:val="20"/>
          <w:szCs w:val="20"/>
        </w:rPr>
        <w:t>de US</w:t>
      </w:r>
      <w:r w:rsidR="00834E15" w:rsidRPr="00996758">
        <w:rPr>
          <w:rFonts w:ascii="Verdana" w:hAnsi="Verdana"/>
          <w:sz w:val="20"/>
          <w:szCs w:val="20"/>
        </w:rPr>
        <w:t xml:space="preserve">D </w:t>
      </w:r>
      <w:r w:rsidRPr="00996758">
        <w:rPr>
          <w:rFonts w:ascii="Verdana" w:hAnsi="Verdana"/>
          <w:sz w:val="20"/>
          <w:szCs w:val="20"/>
        </w:rPr>
        <w:t>$</w:t>
      </w:r>
      <w:r w:rsidR="002C2FA4" w:rsidRPr="00996758">
        <w:rPr>
          <w:rFonts w:ascii="Verdana" w:hAnsi="Verdana"/>
          <w:sz w:val="20"/>
          <w:szCs w:val="20"/>
        </w:rPr>
        <w:t>96</w:t>
      </w:r>
      <w:r w:rsidR="000F60D6" w:rsidRPr="00996758">
        <w:rPr>
          <w:rFonts w:ascii="Verdana" w:hAnsi="Verdana"/>
          <w:sz w:val="20"/>
          <w:szCs w:val="20"/>
        </w:rPr>
        <w:t>.</w:t>
      </w:r>
      <w:r w:rsidRPr="00996758">
        <w:rPr>
          <w:rFonts w:ascii="Verdana" w:hAnsi="Verdana"/>
          <w:sz w:val="20"/>
          <w:szCs w:val="20"/>
        </w:rPr>
        <w:t>000,00 (</w:t>
      </w:r>
      <w:r w:rsidR="002C2FA4" w:rsidRPr="00996758">
        <w:rPr>
          <w:rFonts w:ascii="Verdana" w:hAnsi="Verdana"/>
          <w:sz w:val="20"/>
          <w:szCs w:val="20"/>
        </w:rPr>
        <w:t xml:space="preserve">noventa y seis </w:t>
      </w:r>
      <w:r w:rsidRPr="00996758">
        <w:rPr>
          <w:rFonts w:ascii="Verdana" w:hAnsi="Verdana"/>
          <w:sz w:val="20"/>
          <w:szCs w:val="20"/>
        </w:rPr>
        <w:t>mil dólares de los Estados U</w:t>
      </w:r>
      <w:r w:rsidR="000F60D6" w:rsidRPr="00996758">
        <w:rPr>
          <w:rFonts w:ascii="Verdana" w:hAnsi="Verdana"/>
          <w:sz w:val="20"/>
          <w:szCs w:val="20"/>
        </w:rPr>
        <w:t>nidos de América)</w:t>
      </w:r>
      <w:r w:rsidRPr="00996758">
        <w:rPr>
          <w:rFonts w:ascii="Verdana" w:hAnsi="Verdana"/>
          <w:sz w:val="20"/>
          <w:szCs w:val="20"/>
        </w:rPr>
        <w:t xml:space="preserve"> por concep</w:t>
      </w:r>
      <w:r w:rsidR="002C23C8" w:rsidRPr="00996758">
        <w:rPr>
          <w:rFonts w:ascii="Verdana" w:hAnsi="Verdana"/>
          <w:sz w:val="20"/>
          <w:szCs w:val="20"/>
        </w:rPr>
        <w:t xml:space="preserve">to de daño material. El cincuenta por ciento (50%) de la indemnización se repartirá, por partes iguales, entre los </w:t>
      </w:r>
      <w:r w:rsidR="002C23C8" w:rsidRPr="00996758">
        <w:rPr>
          <w:rFonts w:ascii="Verdana" w:hAnsi="Verdana"/>
          <w:spacing w:val="-2"/>
          <w:sz w:val="20"/>
          <w:szCs w:val="20"/>
        </w:rPr>
        <w:t>señores Jhony Alexander Isaza Vélez y Haner Alexis Isaza Vélez</w:t>
      </w:r>
      <w:r w:rsidR="002C23C8" w:rsidRPr="00996758">
        <w:rPr>
          <w:rFonts w:ascii="Verdana" w:hAnsi="Verdana"/>
          <w:sz w:val="20"/>
          <w:szCs w:val="20"/>
        </w:rPr>
        <w:t xml:space="preserve"> y el otro cincuenta por ciento (50%) deberá ser entregado a la señora </w:t>
      </w:r>
      <w:r w:rsidR="002C23C8" w:rsidRPr="00996758">
        <w:rPr>
          <w:rFonts w:ascii="Verdana" w:hAnsi="Verdana"/>
          <w:spacing w:val="-2"/>
          <w:sz w:val="20"/>
          <w:szCs w:val="20"/>
        </w:rPr>
        <w:t xml:space="preserve">Carmenza Vélez, </w:t>
      </w:r>
      <w:r w:rsidRPr="00996758">
        <w:rPr>
          <w:rFonts w:ascii="Verdana" w:hAnsi="Verdana"/>
          <w:sz w:val="20"/>
          <w:szCs w:val="20"/>
        </w:rPr>
        <w:t>en el plazo establecido al efecto (</w:t>
      </w:r>
      <w:r w:rsidRPr="00996758">
        <w:rPr>
          <w:rFonts w:ascii="Verdana" w:hAnsi="Verdana"/>
          <w:i/>
          <w:sz w:val="20"/>
          <w:szCs w:val="20"/>
        </w:rPr>
        <w:t>infra</w:t>
      </w:r>
      <w:r w:rsidRPr="00996758">
        <w:rPr>
          <w:rFonts w:ascii="Verdana" w:hAnsi="Verdana"/>
          <w:sz w:val="20"/>
          <w:szCs w:val="20"/>
        </w:rPr>
        <w:t xml:space="preserve"> párr. </w:t>
      </w:r>
      <w:r w:rsidR="005C6E5A" w:rsidRPr="00996758">
        <w:rPr>
          <w:rFonts w:ascii="Verdana" w:hAnsi="Verdana"/>
          <w:sz w:val="20"/>
          <w:szCs w:val="20"/>
        </w:rPr>
        <w:t>214</w:t>
      </w:r>
      <w:r w:rsidRPr="00996758">
        <w:rPr>
          <w:rFonts w:ascii="Verdana" w:hAnsi="Verdana"/>
          <w:sz w:val="20"/>
          <w:szCs w:val="20"/>
        </w:rPr>
        <w:t>).</w:t>
      </w:r>
    </w:p>
    <w:p w:rsidR="00D275ED" w:rsidRPr="00996758" w:rsidRDefault="00D275ED">
      <w:pPr>
        <w:pBdr>
          <w:top w:val="nil"/>
        </w:pBdr>
        <w:autoSpaceDE w:val="0"/>
        <w:autoSpaceDN w:val="0"/>
        <w:adjustRightInd w:val="0"/>
        <w:spacing w:after="0" w:line="240" w:lineRule="auto"/>
        <w:jc w:val="both"/>
        <w:rPr>
          <w:rFonts w:ascii="Verdana" w:hAnsi="Verdana"/>
          <w:sz w:val="20"/>
          <w:szCs w:val="20"/>
        </w:rPr>
      </w:pPr>
    </w:p>
    <w:p w:rsidR="00D275ED" w:rsidRPr="00996758" w:rsidRDefault="00D275ED">
      <w:pPr>
        <w:pBdr>
          <w:top w:val="nil"/>
        </w:pBdr>
        <w:autoSpaceDE w:val="0"/>
        <w:autoSpaceDN w:val="0"/>
        <w:adjustRightInd w:val="0"/>
        <w:spacing w:after="0" w:line="240" w:lineRule="auto"/>
        <w:jc w:val="both"/>
        <w:rPr>
          <w:rFonts w:ascii="Verdana" w:hAnsi="Verdana"/>
          <w:sz w:val="20"/>
          <w:szCs w:val="20"/>
        </w:rPr>
      </w:pPr>
    </w:p>
    <w:p w:rsidR="00601E56" w:rsidRPr="00996758" w:rsidRDefault="00601E56">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E.2</w:t>
      </w:r>
      <w:r w:rsidRPr="00996758">
        <w:rPr>
          <w:rFonts w:ascii="Verdana" w:hAnsi="Verdana"/>
          <w:i/>
          <w:sz w:val="20"/>
          <w:szCs w:val="20"/>
        </w:rPr>
        <w:tab/>
        <w:t>Daño inmaterial</w:t>
      </w:r>
    </w:p>
    <w:p w:rsidR="00601E56" w:rsidRPr="00996758" w:rsidRDefault="00601E56">
      <w:pPr>
        <w:pBdr>
          <w:top w:val="nil"/>
        </w:pBdr>
        <w:autoSpaceDE w:val="0"/>
        <w:autoSpaceDN w:val="0"/>
        <w:adjustRightInd w:val="0"/>
        <w:spacing w:after="0" w:line="240" w:lineRule="auto"/>
        <w:jc w:val="both"/>
        <w:rPr>
          <w:rFonts w:ascii="Verdana" w:hAnsi="Verdana"/>
          <w:sz w:val="20"/>
          <w:szCs w:val="20"/>
        </w:rPr>
      </w:pPr>
    </w:p>
    <w:p w:rsidR="00601E56" w:rsidRPr="00996758" w:rsidRDefault="00601E56"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representantes</w:t>
      </w:r>
      <w:r w:rsidRPr="00996758">
        <w:rPr>
          <w:rFonts w:ascii="Verdana" w:hAnsi="Verdana"/>
          <w:sz w:val="20"/>
          <w:szCs w:val="20"/>
        </w:rPr>
        <w:t xml:space="preserve"> solicitaron indemnizaciones por concepto de daño inmaterial</w:t>
      </w:r>
      <w:r w:rsidRPr="00996758">
        <w:rPr>
          <w:rStyle w:val="FootnoteReference"/>
          <w:rFonts w:ascii="Verdana" w:hAnsi="Verdana"/>
          <w:sz w:val="20"/>
          <w:szCs w:val="20"/>
        </w:rPr>
        <w:footnoteReference w:id="187"/>
      </w:r>
      <w:r w:rsidRPr="00996758">
        <w:rPr>
          <w:rFonts w:ascii="Verdana" w:hAnsi="Verdana"/>
          <w:sz w:val="20"/>
          <w:szCs w:val="20"/>
        </w:rPr>
        <w:t xml:space="preserve">. </w:t>
      </w:r>
    </w:p>
    <w:p w:rsidR="00C75D0B" w:rsidRPr="00996758" w:rsidRDefault="00C75D0B">
      <w:pPr>
        <w:pBdr>
          <w:top w:val="nil"/>
        </w:pBdr>
        <w:autoSpaceDE w:val="0"/>
        <w:autoSpaceDN w:val="0"/>
        <w:adjustRightInd w:val="0"/>
        <w:spacing w:after="0" w:line="240" w:lineRule="auto"/>
        <w:jc w:val="both"/>
        <w:rPr>
          <w:rFonts w:ascii="Verdana" w:hAnsi="Verdana"/>
          <w:sz w:val="20"/>
          <w:szCs w:val="20"/>
        </w:rPr>
      </w:pPr>
    </w:p>
    <w:p w:rsidR="00C75D0B" w:rsidRPr="00996758" w:rsidRDefault="00C75D0B"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b/>
          <w:i/>
          <w:sz w:val="20"/>
          <w:szCs w:val="20"/>
        </w:rPr>
        <w:t>Estado</w:t>
      </w:r>
      <w:r w:rsidRPr="00996758">
        <w:rPr>
          <w:rFonts w:ascii="Verdana" w:hAnsi="Verdana"/>
          <w:sz w:val="20"/>
          <w:szCs w:val="20"/>
        </w:rPr>
        <w:t xml:space="preserve"> insistió que no ha respaldado la versión de una supuesta fuga del señor Isaza Uribe ni su pe</w:t>
      </w:r>
      <w:r w:rsidR="00360A96" w:rsidRPr="00996758">
        <w:rPr>
          <w:rFonts w:ascii="Verdana" w:hAnsi="Verdana"/>
          <w:sz w:val="20"/>
          <w:szCs w:val="20"/>
        </w:rPr>
        <w:t>rtenencia a un grupo subversivo, por lo que</w:t>
      </w:r>
      <w:r w:rsidRPr="00996758">
        <w:rPr>
          <w:rFonts w:ascii="Verdana" w:hAnsi="Verdana"/>
          <w:sz w:val="20"/>
          <w:szCs w:val="20"/>
        </w:rPr>
        <w:t xml:space="preserve"> </w:t>
      </w:r>
      <w:r w:rsidR="00360A96" w:rsidRPr="00996758">
        <w:rPr>
          <w:rFonts w:ascii="Verdana" w:hAnsi="Verdana"/>
          <w:sz w:val="20"/>
          <w:szCs w:val="20"/>
        </w:rPr>
        <w:t xml:space="preserve">ello </w:t>
      </w:r>
      <w:r w:rsidRPr="00996758">
        <w:rPr>
          <w:rFonts w:ascii="Verdana" w:hAnsi="Verdana"/>
          <w:sz w:val="20"/>
          <w:szCs w:val="20"/>
        </w:rPr>
        <w:t>no puede hacer parte de la i</w:t>
      </w:r>
      <w:r w:rsidR="00C822AE" w:rsidRPr="00996758">
        <w:rPr>
          <w:rFonts w:ascii="Verdana" w:hAnsi="Verdana"/>
          <w:sz w:val="20"/>
          <w:szCs w:val="20"/>
        </w:rPr>
        <w:t xml:space="preserve">ndemnización por daño moral. </w:t>
      </w:r>
      <w:r w:rsidR="008C1391" w:rsidRPr="00996758">
        <w:rPr>
          <w:rFonts w:ascii="Verdana" w:hAnsi="Verdana"/>
          <w:sz w:val="20"/>
          <w:szCs w:val="20"/>
        </w:rPr>
        <w:t>S</w:t>
      </w:r>
      <w:r w:rsidRPr="00996758">
        <w:rPr>
          <w:rFonts w:ascii="Verdana" w:hAnsi="Verdana"/>
          <w:sz w:val="20"/>
          <w:szCs w:val="20"/>
        </w:rPr>
        <w:t xml:space="preserve">olicitó que se reconozca, por </w:t>
      </w:r>
      <w:r w:rsidR="00150FD6" w:rsidRPr="00996758">
        <w:rPr>
          <w:rFonts w:ascii="Verdana" w:hAnsi="Verdana"/>
          <w:sz w:val="20"/>
          <w:szCs w:val="20"/>
        </w:rPr>
        <w:t xml:space="preserve">este </w:t>
      </w:r>
      <w:r w:rsidRPr="00996758">
        <w:rPr>
          <w:rFonts w:ascii="Verdana" w:hAnsi="Verdana"/>
          <w:sz w:val="20"/>
          <w:szCs w:val="20"/>
        </w:rPr>
        <w:t xml:space="preserve">concepto, la suma de 100 salarios mínimos legales mensuales vigentes en Colombia, a cada uno de los solicitantes, en consideración al principio de igualdad y seguridad jurídica en el derecho interno, </w:t>
      </w:r>
      <w:r w:rsidR="00150FD6" w:rsidRPr="00996758">
        <w:rPr>
          <w:rFonts w:ascii="Verdana" w:hAnsi="Verdana"/>
          <w:sz w:val="20"/>
          <w:szCs w:val="20"/>
        </w:rPr>
        <w:t xml:space="preserve">pues </w:t>
      </w:r>
      <w:r w:rsidRPr="00996758">
        <w:rPr>
          <w:rFonts w:ascii="Verdana" w:hAnsi="Verdana"/>
          <w:sz w:val="20"/>
          <w:szCs w:val="20"/>
        </w:rPr>
        <w:t>ese es el monto máximo reco</w:t>
      </w:r>
      <w:r w:rsidR="00E077B4" w:rsidRPr="00996758">
        <w:rPr>
          <w:rFonts w:ascii="Verdana" w:hAnsi="Verdana"/>
          <w:sz w:val="20"/>
          <w:szCs w:val="20"/>
        </w:rPr>
        <w:t xml:space="preserve">nocido por el Consejo de Estado en </w:t>
      </w:r>
      <w:r w:rsidR="008C1391" w:rsidRPr="00996758">
        <w:rPr>
          <w:rFonts w:ascii="Verdana" w:hAnsi="Verdana"/>
          <w:sz w:val="20"/>
          <w:szCs w:val="20"/>
        </w:rPr>
        <w:t xml:space="preserve">casos de </w:t>
      </w:r>
      <w:r w:rsidRPr="00996758">
        <w:rPr>
          <w:rFonts w:ascii="Verdana" w:hAnsi="Verdana"/>
          <w:sz w:val="20"/>
          <w:szCs w:val="20"/>
        </w:rPr>
        <w:t xml:space="preserve">daños causados a personas privadas de libertad. Respecto del daño inmaterial solicitado a favor del señor Isaza, el Estado solicitó su denegación reiterando que en este caso no se </w:t>
      </w:r>
      <w:r w:rsidR="005C6E5A" w:rsidRPr="00996758">
        <w:rPr>
          <w:rFonts w:ascii="Verdana" w:hAnsi="Verdana"/>
          <w:sz w:val="20"/>
          <w:szCs w:val="20"/>
        </w:rPr>
        <w:t xml:space="preserve">configuró desaparición forzada. </w:t>
      </w:r>
      <w:r w:rsidR="00170EBD" w:rsidRPr="00996758">
        <w:rPr>
          <w:rFonts w:ascii="Verdana" w:hAnsi="Verdana"/>
          <w:sz w:val="20"/>
          <w:szCs w:val="20"/>
        </w:rPr>
        <w:t xml:space="preserve">Estas solicitudes no fueron reiteradas en </w:t>
      </w:r>
      <w:r w:rsidR="00C822AE" w:rsidRPr="00996758">
        <w:rPr>
          <w:rFonts w:ascii="Verdana" w:hAnsi="Verdana"/>
          <w:sz w:val="20"/>
          <w:szCs w:val="20"/>
        </w:rPr>
        <w:t xml:space="preserve">sus </w:t>
      </w:r>
      <w:r w:rsidR="00170EBD" w:rsidRPr="00996758">
        <w:rPr>
          <w:rFonts w:ascii="Verdana" w:hAnsi="Verdana"/>
          <w:sz w:val="20"/>
          <w:szCs w:val="20"/>
        </w:rPr>
        <w:t>alegatos finales.</w:t>
      </w:r>
    </w:p>
    <w:p w:rsidR="00623652" w:rsidRPr="00996758" w:rsidRDefault="00623652">
      <w:pPr>
        <w:pBdr>
          <w:top w:val="nil"/>
        </w:pBdr>
        <w:autoSpaceDE w:val="0"/>
        <w:autoSpaceDN w:val="0"/>
        <w:adjustRightInd w:val="0"/>
        <w:spacing w:after="0" w:line="240" w:lineRule="auto"/>
        <w:jc w:val="both"/>
        <w:rPr>
          <w:rFonts w:ascii="Verdana" w:hAnsi="Verdana"/>
          <w:sz w:val="20"/>
          <w:szCs w:val="20"/>
        </w:rPr>
      </w:pPr>
    </w:p>
    <w:p w:rsidR="00623652" w:rsidRPr="00996758" w:rsidRDefault="00623652"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sus alegatos finales, los </w:t>
      </w:r>
      <w:r w:rsidRPr="00996758">
        <w:rPr>
          <w:rFonts w:ascii="Verdana" w:hAnsi="Verdana"/>
          <w:i/>
          <w:sz w:val="20"/>
          <w:szCs w:val="20"/>
        </w:rPr>
        <w:t>representantes</w:t>
      </w:r>
      <w:r w:rsidRPr="00996758">
        <w:rPr>
          <w:rFonts w:ascii="Verdana" w:hAnsi="Verdana"/>
          <w:sz w:val="20"/>
          <w:szCs w:val="20"/>
        </w:rPr>
        <w:t xml:space="preserve"> se opusieron a la solicitud del Estado de limitar la indemnización a montos establecidos en </w:t>
      </w:r>
      <w:r w:rsidR="006315D6" w:rsidRPr="00996758">
        <w:rPr>
          <w:rFonts w:ascii="Verdana" w:hAnsi="Verdana"/>
          <w:sz w:val="20"/>
          <w:szCs w:val="20"/>
        </w:rPr>
        <w:t>la vía</w:t>
      </w:r>
      <w:r w:rsidR="00393893" w:rsidRPr="00996758">
        <w:rPr>
          <w:rFonts w:ascii="Verdana" w:hAnsi="Verdana"/>
          <w:sz w:val="20"/>
          <w:szCs w:val="20"/>
        </w:rPr>
        <w:t xml:space="preserve"> contencioso-</w:t>
      </w:r>
      <w:r w:rsidR="00DE2952" w:rsidRPr="00996758">
        <w:rPr>
          <w:rFonts w:ascii="Verdana" w:hAnsi="Verdana"/>
          <w:sz w:val="20"/>
          <w:szCs w:val="20"/>
        </w:rPr>
        <w:t xml:space="preserve">administrativa. Alegaron que </w:t>
      </w:r>
      <w:r w:rsidR="007421FE" w:rsidRPr="00996758">
        <w:rPr>
          <w:rFonts w:ascii="Verdana" w:hAnsi="Verdana"/>
          <w:sz w:val="20"/>
          <w:szCs w:val="20"/>
        </w:rPr>
        <w:t>l</w:t>
      </w:r>
      <w:r w:rsidRPr="00996758">
        <w:rPr>
          <w:rFonts w:ascii="Verdana" w:hAnsi="Verdana"/>
          <w:sz w:val="20"/>
          <w:szCs w:val="20"/>
        </w:rPr>
        <w:t xml:space="preserve">a señora Vélez intentó obtener reparación </w:t>
      </w:r>
      <w:r w:rsidR="00393893" w:rsidRPr="00996758">
        <w:rPr>
          <w:rFonts w:ascii="Verdana" w:hAnsi="Verdana"/>
          <w:sz w:val="20"/>
          <w:szCs w:val="20"/>
        </w:rPr>
        <w:t>en esa vía</w:t>
      </w:r>
      <w:r w:rsidRPr="00996758">
        <w:rPr>
          <w:rFonts w:ascii="Verdana" w:hAnsi="Verdana"/>
          <w:sz w:val="20"/>
          <w:szCs w:val="20"/>
        </w:rPr>
        <w:t xml:space="preserve">, </w:t>
      </w:r>
      <w:r w:rsidR="00B83034" w:rsidRPr="00996758">
        <w:rPr>
          <w:rFonts w:ascii="Verdana" w:hAnsi="Verdana"/>
          <w:sz w:val="20"/>
          <w:szCs w:val="20"/>
        </w:rPr>
        <w:t>la cual</w:t>
      </w:r>
      <w:r w:rsidR="00AE6FC1" w:rsidRPr="00996758">
        <w:rPr>
          <w:rFonts w:ascii="Verdana" w:hAnsi="Verdana"/>
          <w:sz w:val="20"/>
          <w:szCs w:val="20"/>
        </w:rPr>
        <w:t xml:space="preserve"> negó</w:t>
      </w:r>
      <w:r w:rsidRPr="00996758">
        <w:rPr>
          <w:rFonts w:ascii="Verdana" w:hAnsi="Verdana"/>
          <w:sz w:val="20"/>
          <w:szCs w:val="20"/>
        </w:rPr>
        <w:t xml:space="preserve"> la responsabilidad </w:t>
      </w:r>
      <w:r w:rsidR="006315D6" w:rsidRPr="00996758">
        <w:rPr>
          <w:rFonts w:ascii="Verdana" w:hAnsi="Verdana"/>
          <w:sz w:val="20"/>
          <w:szCs w:val="20"/>
        </w:rPr>
        <w:t xml:space="preserve">estatal </w:t>
      </w:r>
      <w:r w:rsidRPr="00996758">
        <w:rPr>
          <w:rFonts w:ascii="Verdana" w:hAnsi="Verdana"/>
          <w:sz w:val="20"/>
          <w:szCs w:val="20"/>
        </w:rPr>
        <w:t xml:space="preserve">y la indemnización </w:t>
      </w:r>
      <w:r w:rsidR="00B83034" w:rsidRPr="00996758">
        <w:rPr>
          <w:rFonts w:ascii="Verdana" w:hAnsi="Verdana"/>
          <w:sz w:val="20"/>
          <w:szCs w:val="20"/>
        </w:rPr>
        <w:t>solicitada</w:t>
      </w:r>
      <w:r w:rsidR="00DE2952" w:rsidRPr="00996758">
        <w:rPr>
          <w:rFonts w:ascii="Verdana" w:hAnsi="Verdana"/>
          <w:sz w:val="20"/>
          <w:szCs w:val="20"/>
        </w:rPr>
        <w:t>, por lo que e</w:t>
      </w:r>
      <w:r w:rsidR="003B3C3A" w:rsidRPr="00996758">
        <w:rPr>
          <w:rFonts w:ascii="Verdana" w:hAnsi="Verdana"/>
          <w:sz w:val="20"/>
          <w:szCs w:val="20"/>
        </w:rPr>
        <w:t>s</w:t>
      </w:r>
      <w:r w:rsidR="00393893" w:rsidRPr="00996758">
        <w:rPr>
          <w:rFonts w:ascii="Verdana" w:hAnsi="Verdana"/>
          <w:sz w:val="20"/>
          <w:szCs w:val="20"/>
        </w:rPr>
        <w:t xml:space="preserve"> </w:t>
      </w:r>
      <w:r w:rsidR="00D718F6" w:rsidRPr="00996758">
        <w:rPr>
          <w:rFonts w:ascii="Verdana" w:hAnsi="Verdana"/>
          <w:sz w:val="20"/>
          <w:szCs w:val="20"/>
        </w:rPr>
        <w:t>in</w:t>
      </w:r>
      <w:r w:rsidR="007421FE" w:rsidRPr="00996758">
        <w:rPr>
          <w:rFonts w:ascii="Verdana" w:hAnsi="Verdana"/>
          <w:sz w:val="20"/>
          <w:szCs w:val="20"/>
        </w:rPr>
        <w:t xml:space="preserve">aceptable </w:t>
      </w:r>
      <w:r w:rsidRPr="00996758">
        <w:rPr>
          <w:rFonts w:ascii="Verdana" w:hAnsi="Verdana"/>
          <w:sz w:val="20"/>
          <w:szCs w:val="20"/>
        </w:rPr>
        <w:t>que</w:t>
      </w:r>
      <w:r w:rsidR="00393893" w:rsidRPr="00996758">
        <w:rPr>
          <w:rFonts w:ascii="Verdana" w:hAnsi="Verdana"/>
          <w:sz w:val="20"/>
          <w:szCs w:val="20"/>
        </w:rPr>
        <w:t>,</w:t>
      </w:r>
      <w:r w:rsidR="007421FE" w:rsidRPr="00996758">
        <w:rPr>
          <w:rFonts w:ascii="Verdana" w:hAnsi="Verdana"/>
          <w:sz w:val="20"/>
          <w:szCs w:val="20"/>
        </w:rPr>
        <w:t xml:space="preserve"> </w:t>
      </w:r>
      <w:r w:rsidR="003C27AF" w:rsidRPr="00996758">
        <w:rPr>
          <w:rFonts w:ascii="Verdana" w:hAnsi="Verdana"/>
          <w:sz w:val="20"/>
          <w:szCs w:val="20"/>
        </w:rPr>
        <w:t>luego</w:t>
      </w:r>
      <w:r w:rsidR="007421FE" w:rsidRPr="00996758">
        <w:rPr>
          <w:rFonts w:ascii="Verdana" w:hAnsi="Verdana"/>
          <w:sz w:val="20"/>
          <w:szCs w:val="20"/>
        </w:rPr>
        <w:t xml:space="preserve"> de </w:t>
      </w:r>
      <w:r w:rsidRPr="00996758">
        <w:rPr>
          <w:rFonts w:ascii="Verdana" w:hAnsi="Verdana"/>
          <w:sz w:val="20"/>
          <w:szCs w:val="20"/>
        </w:rPr>
        <w:t xml:space="preserve">un proceso ante </w:t>
      </w:r>
      <w:r w:rsidR="007421FE" w:rsidRPr="00996758">
        <w:rPr>
          <w:rFonts w:ascii="Verdana" w:hAnsi="Verdana"/>
          <w:sz w:val="20"/>
          <w:szCs w:val="20"/>
        </w:rPr>
        <w:t xml:space="preserve">el Sistema </w:t>
      </w:r>
      <w:r w:rsidRPr="00996758">
        <w:rPr>
          <w:rFonts w:ascii="Verdana" w:hAnsi="Verdana"/>
          <w:sz w:val="20"/>
          <w:szCs w:val="20"/>
        </w:rPr>
        <w:t>y 30 años después de los hechos,</w:t>
      </w:r>
      <w:r w:rsidR="007421FE" w:rsidRPr="00996758">
        <w:rPr>
          <w:rFonts w:ascii="Verdana" w:hAnsi="Verdana"/>
          <w:sz w:val="20"/>
          <w:szCs w:val="20"/>
        </w:rPr>
        <w:t xml:space="preserve"> </w:t>
      </w:r>
      <w:r w:rsidRPr="00996758">
        <w:rPr>
          <w:rFonts w:ascii="Verdana" w:hAnsi="Verdana"/>
          <w:sz w:val="20"/>
          <w:szCs w:val="20"/>
        </w:rPr>
        <w:t xml:space="preserve">el Estado pretenda limitar la reparación a la que debió haber otorgado </w:t>
      </w:r>
      <w:r w:rsidR="00393893" w:rsidRPr="00996758">
        <w:rPr>
          <w:rFonts w:ascii="Verdana" w:hAnsi="Verdana"/>
          <w:sz w:val="20"/>
          <w:szCs w:val="20"/>
        </w:rPr>
        <w:t xml:space="preserve">en </w:t>
      </w:r>
      <w:r w:rsidR="007421FE" w:rsidRPr="00996758">
        <w:rPr>
          <w:rFonts w:ascii="Verdana" w:hAnsi="Verdana"/>
          <w:sz w:val="20"/>
          <w:szCs w:val="20"/>
        </w:rPr>
        <w:t>1993</w:t>
      </w:r>
      <w:r w:rsidR="00DE2952" w:rsidRPr="00996758">
        <w:rPr>
          <w:rFonts w:ascii="Verdana" w:hAnsi="Verdana"/>
          <w:sz w:val="20"/>
          <w:szCs w:val="20"/>
        </w:rPr>
        <w:t>. Alegaron que</w:t>
      </w:r>
      <w:r w:rsidR="00393893" w:rsidRPr="00996758">
        <w:rPr>
          <w:rFonts w:ascii="Verdana" w:hAnsi="Verdana"/>
          <w:sz w:val="20"/>
          <w:szCs w:val="20"/>
        </w:rPr>
        <w:t xml:space="preserve"> </w:t>
      </w:r>
      <w:r w:rsidR="00E634C9" w:rsidRPr="00996758">
        <w:rPr>
          <w:rFonts w:ascii="Verdana" w:hAnsi="Verdana"/>
          <w:sz w:val="20"/>
          <w:szCs w:val="20"/>
        </w:rPr>
        <w:t xml:space="preserve">el </w:t>
      </w:r>
      <w:r w:rsidRPr="00996758">
        <w:rPr>
          <w:rFonts w:ascii="Verdana" w:hAnsi="Verdana"/>
          <w:sz w:val="20"/>
          <w:szCs w:val="20"/>
        </w:rPr>
        <w:t xml:space="preserve">Estado </w:t>
      </w:r>
      <w:r w:rsidR="00E634C9" w:rsidRPr="00996758">
        <w:rPr>
          <w:rFonts w:ascii="Verdana" w:hAnsi="Verdana"/>
          <w:sz w:val="20"/>
          <w:szCs w:val="20"/>
        </w:rPr>
        <w:t xml:space="preserve">debe </w:t>
      </w:r>
      <w:r w:rsidRPr="00996758">
        <w:rPr>
          <w:rFonts w:ascii="Verdana" w:hAnsi="Verdana"/>
          <w:sz w:val="20"/>
          <w:szCs w:val="20"/>
        </w:rPr>
        <w:t xml:space="preserve">reparar </w:t>
      </w:r>
      <w:r w:rsidR="00DE2952" w:rsidRPr="00996758">
        <w:rPr>
          <w:rFonts w:ascii="Verdana" w:hAnsi="Verdana"/>
          <w:sz w:val="20"/>
          <w:szCs w:val="20"/>
        </w:rPr>
        <w:t xml:space="preserve">según </w:t>
      </w:r>
      <w:r w:rsidRPr="00996758">
        <w:rPr>
          <w:rFonts w:ascii="Verdana" w:hAnsi="Verdana"/>
          <w:sz w:val="20"/>
          <w:szCs w:val="20"/>
        </w:rPr>
        <w:t xml:space="preserve">los estándares </w:t>
      </w:r>
      <w:r w:rsidR="00393893" w:rsidRPr="00996758">
        <w:rPr>
          <w:rFonts w:ascii="Verdana" w:hAnsi="Verdana"/>
          <w:sz w:val="20"/>
          <w:szCs w:val="20"/>
        </w:rPr>
        <w:t>interamericanos</w:t>
      </w:r>
      <w:r w:rsidR="00DE2952" w:rsidRPr="00996758">
        <w:rPr>
          <w:rFonts w:ascii="Verdana" w:hAnsi="Verdana"/>
          <w:sz w:val="20"/>
          <w:szCs w:val="20"/>
        </w:rPr>
        <w:t xml:space="preserve"> y </w:t>
      </w:r>
      <w:r w:rsidR="005C6E5A" w:rsidRPr="00996758">
        <w:rPr>
          <w:rFonts w:ascii="Verdana" w:hAnsi="Verdana"/>
          <w:sz w:val="20"/>
          <w:szCs w:val="20"/>
        </w:rPr>
        <w:t xml:space="preserve">que, </w:t>
      </w:r>
      <w:r w:rsidR="00B83034" w:rsidRPr="00996758">
        <w:rPr>
          <w:rFonts w:ascii="Verdana" w:hAnsi="Verdana"/>
          <w:sz w:val="20"/>
          <w:szCs w:val="20"/>
        </w:rPr>
        <w:t xml:space="preserve">según </w:t>
      </w:r>
      <w:r w:rsidRPr="00996758">
        <w:rPr>
          <w:rFonts w:ascii="Verdana" w:hAnsi="Verdana"/>
          <w:sz w:val="20"/>
          <w:szCs w:val="20"/>
        </w:rPr>
        <w:t>la jurisprudencia del Consejo de Estado en caso</w:t>
      </w:r>
      <w:r w:rsidR="00393893" w:rsidRPr="00996758">
        <w:rPr>
          <w:rFonts w:ascii="Verdana" w:hAnsi="Verdana"/>
          <w:sz w:val="20"/>
          <w:szCs w:val="20"/>
        </w:rPr>
        <w:t>s</w:t>
      </w:r>
      <w:r w:rsidRPr="00996758">
        <w:rPr>
          <w:rFonts w:ascii="Verdana" w:hAnsi="Verdana"/>
          <w:sz w:val="20"/>
          <w:szCs w:val="20"/>
        </w:rPr>
        <w:t xml:space="preserve"> de muerte, </w:t>
      </w:r>
      <w:r w:rsidR="00B83034" w:rsidRPr="00996758">
        <w:rPr>
          <w:rFonts w:ascii="Verdana" w:hAnsi="Verdana"/>
          <w:sz w:val="20"/>
          <w:szCs w:val="20"/>
        </w:rPr>
        <w:t xml:space="preserve">la indemnización se </w:t>
      </w:r>
      <w:r w:rsidR="00393893" w:rsidRPr="00996758">
        <w:rPr>
          <w:rFonts w:ascii="Verdana" w:hAnsi="Verdana"/>
          <w:sz w:val="20"/>
          <w:szCs w:val="20"/>
        </w:rPr>
        <w:t xml:space="preserve">limita </w:t>
      </w:r>
      <w:r w:rsidRPr="00996758">
        <w:rPr>
          <w:rFonts w:ascii="Verdana" w:hAnsi="Verdana"/>
          <w:sz w:val="20"/>
          <w:szCs w:val="20"/>
        </w:rPr>
        <w:t xml:space="preserve">al cónyuge y familiares paterno-filiales, </w:t>
      </w:r>
      <w:r w:rsidR="003B3C3A" w:rsidRPr="00996758">
        <w:rPr>
          <w:rFonts w:ascii="Verdana" w:hAnsi="Verdana"/>
          <w:sz w:val="20"/>
          <w:szCs w:val="20"/>
        </w:rPr>
        <w:t xml:space="preserve">excluyendo </w:t>
      </w:r>
      <w:r w:rsidRPr="00996758">
        <w:rPr>
          <w:rFonts w:ascii="Verdana" w:hAnsi="Verdana"/>
          <w:sz w:val="20"/>
          <w:szCs w:val="20"/>
        </w:rPr>
        <w:t>a las víctimas directas</w:t>
      </w:r>
      <w:r w:rsidR="00E634C9" w:rsidRPr="00996758">
        <w:rPr>
          <w:rFonts w:ascii="Verdana" w:hAnsi="Verdana"/>
          <w:sz w:val="20"/>
          <w:szCs w:val="20"/>
        </w:rPr>
        <w:t xml:space="preserve">, </w:t>
      </w:r>
      <w:r w:rsidR="00393893" w:rsidRPr="00996758">
        <w:rPr>
          <w:rFonts w:ascii="Verdana" w:hAnsi="Verdana"/>
          <w:sz w:val="20"/>
          <w:szCs w:val="20"/>
        </w:rPr>
        <w:t xml:space="preserve">por lo que, </w:t>
      </w:r>
      <w:r w:rsidR="00E634C9" w:rsidRPr="00996758">
        <w:rPr>
          <w:rFonts w:ascii="Verdana" w:hAnsi="Verdana"/>
          <w:sz w:val="20"/>
          <w:szCs w:val="20"/>
        </w:rPr>
        <w:t>con tales criterios</w:t>
      </w:r>
      <w:r w:rsidRPr="00996758">
        <w:rPr>
          <w:rFonts w:ascii="Verdana" w:hAnsi="Verdana"/>
          <w:sz w:val="20"/>
          <w:szCs w:val="20"/>
        </w:rPr>
        <w:t>, no sería posible indemnizar el daño sufrido por Víctor Manuel Isaza Uribe</w:t>
      </w:r>
      <w:r w:rsidR="00AE260A" w:rsidRPr="00996758">
        <w:rPr>
          <w:rFonts w:ascii="Verdana" w:hAnsi="Verdana"/>
          <w:sz w:val="20"/>
          <w:szCs w:val="20"/>
        </w:rPr>
        <w:t xml:space="preserve">. </w:t>
      </w:r>
    </w:p>
    <w:p w:rsidR="00601E56" w:rsidRPr="00996758" w:rsidRDefault="00601E56">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En cuanto a los daños inmateriales alegados, la sentencia puede constituir por sí misma una forma de reparación</w:t>
      </w:r>
      <w:r w:rsidRPr="00996758">
        <w:rPr>
          <w:rStyle w:val="FootnoteReference"/>
          <w:rFonts w:ascii="Verdana" w:eastAsia="Batang" w:hAnsi="Verdana"/>
          <w:sz w:val="20"/>
          <w:szCs w:val="20"/>
        </w:rPr>
        <w:footnoteReference w:id="188"/>
      </w:r>
      <w:r w:rsidRPr="00996758">
        <w:rPr>
          <w:rFonts w:ascii="Verdana" w:hAnsi="Verdana"/>
          <w:sz w:val="20"/>
          <w:szCs w:val="20"/>
        </w:rPr>
        <w:t xml:space="preserve">. No obstante, la </w:t>
      </w:r>
      <w:r w:rsidRPr="00996758">
        <w:rPr>
          <w:rFonts w:ascii="Verdana" w:hAnsi="Verdana"/>
          <w:b/>
          <w:i/>
          <w:sz w:val="20"/>
          <w:szCs w:val="20"/>
        </w:rPr>
        <w:t>Corte</w:t>
      </w:r>
      <w:r w:rsidRPr="00996758">
        <w:rPr>
          <w:rFonts w:ascii="Verdana" w:hAnsi="Verdana"/>
          <w:i/>
          <w:sz w:val="20"/>
          <w:szCs w:val="20"/>
        </w:rPr>
        <w:t xml:space="preserve"> </w:t>
      </w:r>
      <w:r w:rsidRPr="00996758">
        <w:rPr>
          <w:rFonts w:ascii="Verdana" w:hAnsi="Verdana"/>
          <w:sz w:val="20"/>
          <w:szCs w:val="20"/>
        </w:rPr>
        <w:t>ha desarrollado en su jurisprudencia el concepto de daño inmaterial y</w:t>
      </w:r>
      <w:r w:rsidR="00F106B4" w:rsidRPr="00996758">
        <w:rPr>
          <w:rFonts w:ascii="Verdana" w:hAnsi="Verdana"/>
          <w:sz w:val="20"/>
          <w:szCs w:val="20"/>
        </w:rPr>
        <w:t xml:space="preserve"> los supuestos en que corresponde disponer una compensación al respecto</w:t>
      </w:r>
      <w:r w:rsidRPr="00996758">
        <w:rPr>
          <w:rStyle w:val="FootnoteReference"/>
          <w:rFonts w:ascii="Verdana" w:eastAsia="Batang" w:hAnsi="Verdana"/>
          <w:sz w:val="20"/>
          <w:szCs w:val="20"/>
        </w:rPr>
        <w:footnoteReference w:id="189"/>
      </w:r>
      <w:r w:rsidRPr="00996758">
        <w:rPr>
          <w:rFonts w:ascii="Verdana" w:eastAsia="Batang" w:hAnsi="Verdana"/>
          <w:sz w:val="20"/>
          <w:szCs w:val="20"/>
          <w:lang w:eastAsia="es-MX"/>
        </w:rPr>
        <w:t>.</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este </w:t>
      </w:r>
      <w:r w:rsidR="00F106B4" w:rsidRPr="00996758">
        <w:rPr>
          <w:rFonts w:ascii="Verdana" w:hAnsi="Verdana"/>
          <w:sz w:val="20"/>
          <w:szCs w:val="20"/>
        </w:rPr>
        <w:t xml:space="preserve">caso, el Tribunal ha constatado que </w:t>
      </w:r>
      <w:r w:rsidRPr="00996758">
        <w:rPr>
          <w:rFonts w:ascii="Verdana" w:hAnsi="Verdana"/>
          <w:sz w:val="20"/>
          <w:szCs w:val="20"/>
        </w:rPr>
        <w:t xml:space="preserve">las víctimas se vieron afectadas de diversas maneras por </w:t>
      </w:r>
      <w:r w:rsidR="009F680C" w:rsidRPr="00996758">
        <w:rPr>
          <w:rFonts w:ascii="Verdana" w:hAnsi="Verdana"/>
          <w:sz w:val="20"/>
          <w:szCs w:val="20"/>
        </w:rPr>
        <w:t>las desaparición forzada de Víctor Manuel Isaza Uribe</w:t>
      </w:r>
      <w:r w:rsidRPr="00996758">
        <w:rPr>
          <w:rFonts w:ascii="Verdana" w:hAnsi="Verdana"/>
          <w:sz w:val="20"/>
          <w:szCs w:val="20"/>
        </w:rPr>
        <w:t>, que les generaron</w:t>
      </w:r>
      <w:r w:rsidR="009F680C" w:rsidRPr="00996758">
        <w:rPr>
          <w:rFonts w:ascii="Verdana" w:hAnsi="Verdana"/>
          <w:sz w:val="20"/>
          <w:szCs w:val="20"/>
        </w:rPr>
        <w:t xml:space="preserve"> profundas secuelas en su integridad personal</w:t>
      </w:r>
      <w:r w:rsidRPr="00996758">
        <w:rPr>
          <w:rFonts w:ascii="Verdana" w:hAnsi="Verdana"/>
          <w:sz w:val="20"/>
          <w:szCs w:val="20"/>
        </w:rPr>
        <w:t xml:space="preserve">, así como cambios en sus relaciones </w:t>
      </w:r>
      <w:r w:rsidR="00833CDB" w:rsidRPr="00996758">
        <w:rPr>
          <w:rFonts w:ascii="Verdana" w:hAnsi="Verdana"/>
          <w:sz w:val="20"/>
          <w:szCs w:val="20"/>
        </w:rPr>
        <w:t xml:space="preserve">y dinámicas </w:t>
      </w:r>
      <w:r w:rsidRPr="00996758">
        <w:rPr>
          <w:rFonts w:ascii="Verdana" w:hAnsi="Verdana"/>
          <w:sz w:val="20"/>
          <w:szCs w:val="20"/>
        </w:rPr>
        <w:t>familiares</w:t>
      </w:r>
      <w:r w:rsidR="00E0483A" w:rsidRPr="00996758">
        <w:rPr>
          <w:rFonts w:ascii="Verdana" w:hAnsi="Verdana"/>
          <w:sz w:val="20"/>
          <w:szCs w:val="20"/>
        </w:rPr>
        <w:t xml:space="preserve"> (</w:t>
      </w:r>
      <w:r w:rsidR="00E0483A" w:rsidRPr="00996758">
        <w:rPr>
          <w:rFonts w:ascii="Verdana" w:hAnsi="Verdana"/>
          <w:i/>
          <w:sz w:val="20"/>
          <w:szCs w:val="20"/>
        </w:rPr>
        <w:t xml:space="preserve">supra </w:t>
      </w:r>
      <w:r w:rsidR="00E0483A" w:rsidRPr="00996758">
        <w:rPr>
          <w:rFonts w:ascii="Verdana" w:hAnsi="Verdana"/>
          <w:sz w:val="20"/>
          <w:szCs w:val="20"/>
        </w:rPr>
        <w:t xml:space="preserve">párr. </w:t>
      </w:r>
      <w:r w:rsidR="00B11575" w:rsidRPr="00996758">
        <w:rPr>
          <w:rFonts w:ascii="Verdana" w:hAnsi="Verdana"/>
          <w:sz w:val="20"/>
          <w:szCs w:val="20"/>
        </w:rPr>
        <w:t>165</w:t>
      </w:r>
      <w:r w:rsidR="00E0483A" w:rsidRPr="00996758">
        <w:rPr>
          <w:rFonts w:ascii="Verdana" w:hAnsi="Verdana"/>
          <w:sz w:val="20"/>
          <w:szCs w:val="20"/>
        </w:rPr>
        <w:t>)</w:t>
      </w:r>
      <w:r w:rsidRPr="00996758">
        <w:rPr>
          <w:rFonts w:ascii="Verdana" w:hAnsi="Verdana"/>
          <w:sz w:val="20"/>
          <w:szCs w:val="20"/>
        </w:rPr>
        <w:t xml:space="preserve">. </w:t>
      </w:r>
      <w:r w:rsidR="00971797" w:rsidRPr="00996758">
        <w:rPr>
          <w:rFonts w:ascii="Verdana" w:hAnsi="Verdana"/>
          <w:sz w:val="20"/>
          <w:szCs w:val="20"/>
        </w:rPr>
        <w:t>En este caso, la jur</w:t>
      </w:r>
      <w:r w:rsidR="004102A6" w:rsidRPr="00996758">
        <w:rPr>
          <w:rFonts w:ascii="Verdana" w:hAnsi="Verdana"/>
          <w:sz w:val="20"/>
          <w:szCs w:val="20"/>
        </w:rPr>
        <w:t xml:space="preserve">isdicción contencioso administrativa no otorgó indemnizaciones por concepto de daño moral y no </w:t>
      </w:r>
      <w:r w:rsidR="006315D6" w:rsidRPr="00996758">
        <w:rPr>
          <w:rFonts w:ascii="Verdana" w:hAnsi="Verdana"/>
          <w:sz w:val="20"/>
          <w:szCs w:val="20"/>
        </w:rPr>
        <w:t>contribuyó</w:t>
      </w:r>
      <w:r w:rsidR="004102A6" w:rsidRPr="00996758">
        <w:rPr>
          <w:rFonts w:ascii="Verdana" w:hAnsi="Verdana"/>
          <w:sz w:val="20"/>
          <w:szCs w:val="20"/>
        </w:rPr>
        <w:t xml:space="preserve"> a develar la verdad de los hechos (</w:t>
      </w:r>
      <w:r w:rsidR="004102A6" w:rsidRPr="00996758">
        <w:rPr>
          <w:rFonts w:ascii="Verdana" w:hAnsi="Verdana"/>
          <w:i/>
          <w:sz w:val="20"/>
          <w:szCs w:val="20"/>
        </w:rPr>
        <w:t xml:space="preserve">supra </w:t>
      </w:r>
      <w:r w:rsidR="00B11575" w:rsidRPr="00996758">
        <w:rPr>
          <w:rFonts w:ascii="Verdana" w:hAnsi="Verdana"/>
          <w:sz w:val="20"/>
          <w:szCs w:val="20"/>
        </w:rPr>
        <w:t>párrs. 68, 94 y 109</w:t>
      </w:r>
      <w:r w:rsidR="004102A6" w:rsidRPr="00996758">
        <w:rPr>
          <w:rFonts w:ascii="Verdana" w:hAnsi="Verdana"/>
          <w:sz w:val="20"/>
          <w:szCs w:val="20"/>
        </w:rPr>
        <w:t xml:space="preserve">) y es criterio </w:t>
      </w:r>
      <w:r w:rsidR="00971797" w:rsidRPr="00996758">
        <w:rPr>
          <w:rFonts w:ascii="Verdana" w:hAnsi="Verdana"/>
          <w:sz w:val="20"/>
          <w:szCs w:val="20"/>
        </w:rPr>
        <w:t xml:space="preserve">reiterado </w:t>
      </w:r>
      <w:r w:rsidR="004102A6" w:rsidRPr="00996758">
        <w:rPr>
          <w:rFonts w:ascii="Verdana" w:hAnsi="Verdana"/>
          <w:sz w:val="20"/>
          <w:szCs w:val="20"/>
        </w:rPr>
        <w:t>de este Tribunal que</w:t>
      </w:r>
      <w:r w:rsidR="001B6FA6" w:rsidRPr="00996758">
        <w:rPr>
          <w:rFonts w:ascii="Verdana" w:hAnsi="Verdana"/>
          <w:sz w:val="20"/>
          <w:szCs w:val="20"/>
        </w:rPr>
        <w:t>,</w:t>
      </w:r>
      <w:r w:rsidR="004102A6" w:rsidRPr="00996758">
        <w:rPr>
          <w:rFonts w:ascii="Verdana" w:hAnsi="Verdana"/>
          <w:sz w:val="20"/>
          <w:szCs w:val="20"/>
        </w:rPr>
        <w:t xml:space="preserve"> en casos de desaparición forzada</w:t>
      </w:r>
      <w:r w:rsidR="001B6FA6" w:rsidRPr="00996758">
        <w:rPr>
          <w:rFonts w:ascii="Verdana" w:hAnsi="Verdana"/>
          <w:sz w:val="20"/>
          <w:szCs w:val="20"/>
        </w:rPr>
        <w:t>,</w:t>
      </w:r>
      <w:r w:rsidR="004102A6" w:rsidRPr="00996758">
        <w:rPr>
          <w:rFonts w:ascii="Verdana" w:hAnsi="Verdana"/>
          <w:sz w:val="20"/>
          <w:szCs w:val="20"/>
        </w:rPr>
        <w:t xml:space="preserve"> corresponde reconocer e indemnizar </w:t>
      </w:r>
      <w:r w:rsidR="002C23C8" w:rsidRPr="00996758">
        <w:rPr>
          <w:rFonts w:ascii="Verdana" w:hAnsi="Verdana"/>
          <w:sz w:val="20"/>
          <w:szCs w:val="20"/>
        </w:rPr>
        <w:t>a la víctima desaparecida.</w:t>
      </w:r>
      <w:r w:rsidR="004102A6" w:rsidRPr="00996758">
        <w:rPr>
          <w:rFonts w:ascii="Verdana" w:hAnsi="Verdana"/>
          <w:sz w:val="20"/>
          <w:szCs w:val="20"/>
        </w:rPr>
        <w:t xml:space="preserve"> </w:t>
      </w:r>
      <w:r w:rsidR="00DE1DF2" w:rsidRPr="00996758">
        <w:rPr>
          <w:rFonts w:ascii="Verdana" w:hAnsi="Verdana"/>
          <w:sz w:val="20"/>
          <w:szCs w:val="20"/>
        </w:rPr>
        <w:t xml:space="preserve">Tomando en cuenta las indemnizaciones ordenadas por </w:t>
      </w:r>
      <w:r w:rsidR="00833CDB" w:rsidRPr="00996758">
        <w:rPr>
          <w:rFonts w:ascii="Verdana" w:hAnsi="Verdana"/>
          <w:sz w:val="20"/>
          <w:szCs w:val="20"/>
        </w:rPr>
        <w:t>este Tribunal</w:t>
      </w:r>
      <w:r w:rsidR="00DE1DF2" w:rsidRPr="00996758">
        <w:rPr>
          <w:rFonts w:ascii="Verdana" w:hAnsi="Verdana"/>
          <w:sz w:val="20"/>
          <w:szCs w:val="20"/>
        </w:rPr>
        <w:t xml:space="preserve"> en otros casos sobre desaparición forzada de personas, así como las circunstancias del presente caso, la entidad, carácter y gravedad de las violaciones cometidas, la Corte estima pertinente fijar, en equidad, la cantidad de US</w:t>
      </w:r>
      <w:r w:rsidR="00834E15" w:rsidRPr="00996758">
        <w:rPr>
          <w:rFonts w:ascii="Verdana" w:hAnsi="Verdana"/>
          <w:sz w:val="20"/>
          <w:szCs w:val="20"/>
        </w:rPr>
        <w:t xml:space="preserve">D </w:t>
      </w:r>
      <w:r w:rsidR="00DE1DF2" w:rsidRPr="00996758">
        <w:rPr>
          <w:rFonts w:ascii="Verdana" w:hAnsi="Verdana"/>
          <w:sz w:val="20"/>
          <w:szCs w:val="20"/>
        </w:rPr>
        <w:t>$1</w:t>
      </w:r>
      <w:r w:rsidR="00347B36" w:rsidRPr="00996758">
        <w:rPr>
          <w:rFonts w:ascii="Verdana" w:hAnsi="Verdana"/>
          <w:sz w:val="20"/>
          <w:szCs w:val="20"/>
        </w:rPr>
        <w:t>0</w:t>
      </w:r>
      <w:r w:rsidR="00DE1DF2" w:rsidRPr="00996758">
        <w:rPr>
          <w:rFonts w:ascii="Verdana" w:hAnsi="Verdana"/>
          <w:sz w:val="20"/>
          <w:szCs w:val="20"/>
        </w:rPr>
        <w:t>0.000,00 (cien</w:t>
      </w:r>
      <w:r w:rsidR="00FD3259" w:rsidRPr="00996758">
        <w:rPr>
          <w:rFonts w:ascii="Verdana" w:hAnsi="Verdana"/>
          <w:sz w:val="20"/>
          <w:szCs w:val="20"/>
        </w:rPr>
        <w:t xml:space="preserve"> </w:t>
      </w:r>
      <w:r w:rsidR="00DE1DF2" w:rsidRPr="00996758">
        <w:rPr>
          <w:rFonts w:ascii="Verdana" w:hAnsi="Verdana"/>
          <w:sz w:val="20"/>
          <w:szCs w:val="20"/>
        </w:rPr>
        <w:t xml:space="preserve">mil dólares de los Estados Unidos de América) a favor de Víctor Manuel Isaza Uribe. El cincuenta por ciento (50%) de esta indemnización se repartirá, por partes iguales, entre los </w:t>
      </w:r>
      <w:r w:rsidR="00DE1DF2" w:rsidRPr="00996758">
        <w:rPr>
          <w:rFonts w:ascii="Verdana" w:hAnsi="Verdana"/>
          <w:spacing w:val="-2"/>
          <w:sz w:val="20"/>
          <w:szCs w:val="20"/>
        </w:rPr>
        <w:t>señores Jhony Alexander Isaza Vélez y Haner Alexis Isaza Vélez</w:t>
      </w:r>
      <w:r w:rsidR="00DE1DF2" w:rsidRPr="00996758">
        <w:rPr>
          <w:rFonts w:ascii="Verdana" w:hAnsi="Verdana"/>
          <w:sz w:val="20"/>
          <w:szCs w:val="20"/>
        </w:rPr>
        <w:t xml:space="preserve"> y el otro cincuenta por ciento (50%) deberá ser entregado a la señora </w:t>
      </w:r>
      <w:r w:rsidR="00DE1DF2" w:rsidRPr="00996758">
        <w:rPr>
          <w:rFonts w:ascii="Verdana" w:hAnsi="Verdana"/>
          <w:spacing w:val="-2"/>
          <w:sz w:val="20"/>
          <w:szCs w:val="20"/>
        </w:rPr>
        <w:t>Carmenza Vélez</w:t>
      </w:r>
      <w:r w:rsidR="00DE1DF2" w:rsidRPr="00996758">
        <w:rPr>
          <w:rFonts w:ascii="Verdana" w:hAnsi="Verdana"/>
          <w:sz w:val="20"/>
          <w:szCs w:val="20"/>
        </w:rPr>
        <w:t>. Además, el Tribunal fija en equidad la cantidad de US</w:t>
      </w:r>
      <w:r w:rsidR="00834E15" w:rsidRPr="00996758">
        <w:rPr>
          <w:rFonts w:ascii="Verdana" w:hAnsi="Verdana"/>
          <w:sz w:val="20"/>
          <w:szCs w:val="20"/>
        </w:rPr>
        <w:t xml:space="preserve">D </w:t>
      </w:r>
      <w:r w:rsidR="00DE1DF2" w:rsidRPr="00996758">
        <w:rPr>
          <w:rFonts w:ascii="Verdana" w:hAnsi="Verdana"/>
          <w:sz w:val="20"/>
          <w:szCs w:val="20"/>
        </w:rPr>
        <w:t>$</w:t>
      </w:r>
      <w:r w:rsidR="00347B36" w:rsidRPr="00996758">
        <w:rPr>
          <w:rFonts w:ascii="Verdana" w:hAnsi="Verdana"/>
          <w:sz w:val="20"/>
          <w:szCs w:val="20"/>
        </w:rPr>
        <w:t>6</w:t>
      </w:r>
      <w:r w:rsidR="00DE1DF2" w:rsidRPr="00996758">
        <w:rPr>
          <w:rFonts w:ascii="Verdana" w:hAnsi="Verdana"/>
          <w:sz w:val="20"/>
          <w:szCs w:val="20"/>
        </w:rPr>
        <w:t>0.000,00 (</w:t>
      </w:r>
      <w:r w:rsidR="00347B36" w:rsidRPr="00996758">
        <w:rPr>
          <w:rFonts w:ascii="Verdana" w:hAnsi="Verdana"/>
          <w:sz w:val="20"/>
          <w:szCs w:val="20"/>
        </w:rPr>
        <w:t>sesenta</w:t>
      </w:r>
      <w:r w:rsidR="00DE1DF2" w:rsidRPr="00996758">
        <w:rPr>
          <w:rFonts w:ascii="Verdana" w:hAnsi="Verdana"/>
          <w:sz w:val="20"/>
          <w:szCs w:val="20"/>
        </w:rPr>
        <w:t xml:space="preserve"> mil dólares de los Estados Unidos de América) </w:t>
      </w:r>
      <w:r w:rsidR="00971797" w:rsidRPr="00996758">
        <w:rPr>
          <w:rFonts w:ascii="Verdana" w:hAnsi="Verdana"/>
          <w:sz w:val="20"/>
          <w:szCs w:val="20"/>
        </w:rPr>
        <w:t xml:space="preserve">por concepto del daño inmaterial ocasionado a la señora </w:t>
      </w:r>
      <w:r w:rsidR="00971797" w:rsidRPr="00996758">
        <w:rPr>
          <w:rFonts w:ascii="Verdana" w:hAnsi="Verdana"/>
          <w:spacing w:val="-2"/>
          <w:sz w:val="20"/>
          <w:szCs w:val="20"/>
        </w:rPr>
        <w:t>Carmenza Vélez</w:t>
      </w:r>
      <w:r w:rsidR="00971797" w:rsidRPr="00996758">
        <w:rPr>
          <w:rFonts w:ascii="Verdana" w:hAnsi="Verdana"/>
          <w:sz w:val="20"/>
          <w:szCs w:val="20"/>
        </w:rPr>
        <w:t xml:space="preserve"> y a los señores </w:t>
      </w:r>
      <w:r w:rsidR="00DE1DF2" w:rsidRPr="00996758">
        <w:rPr>
          <w:rFonts w:ascii="Verdana" w:hAnsi="Verdana"/>
          <w:spacing w:val="-2"/>
          <w:sz w:val="20"/>
          <w:szCs w:val="20"/>
        </w:rPr>
        <w:t>Jhony Alexander Isaza Vélez y Haner Alexis Isaza Vélez</w:t>
      </w:r>
      <w:r w:rsidR="00971797" w:rsidRPr="00996758">
        <w:rPr>
          <w:rFonts w:ascii="Verdana" w:hAnsi="Verdana"/>
          <w:spacing w:val="-2"/>
          <w:sz w:val="20"/>
          <w:szCs w:val="20"/>
        </w:rPr>
        <w:t>, para cada uno de ellos</w:t>
      </w:r>
      <w:r w:rsidR="00DE1DF2" w:rsidRPr="00996758">
        <w:rPr>
          <w:rFonts w:ascii="Verdana" w:hAnsi="Verdana"/>
          <w:sz w:val="20"/>
          <w:szCs w:val="20"/>
        </w:rPr>
        <w:t>. Los montos dispuestos a favor de las personas antes mencionadas deben ser pagados directamente a ellos, en el plazo establecido al efecto (</w:t>
      </w:r>
      <w:r w:rsidR="00DE1DF2" w:rsidRPr="00996758">
        <w:rPr>
          <w:rFonts w:ascii="Verdana" w:hAnsi="Verdana"/>
          <w:i/>
          <w:sz w:val="20"/>
          <w:szCs w:val="20"/>
        </w:rPr>
        <w:t>infra</w:t>
      </w:r>
      <w:r w:rsidR="00B94379" w:rsidRPr="00996758">
        <w:rPr>
          <w:rFonts w:ascii="Verdana" w:hAnsi="Verdana"/>
          <w:sz w:val="20"/>
          <w:szCs w:val="20"/>
        </w:rPr>
        <w:t xml:space="preserve"> párr. </w:t>
      </w:r>
      <w:r w:rsidR="00704EC4" w:rsidRPr="00996758">
        <w:rPr>
          <w:rFonts w:ascii="Verdana" w:hAnsi="Verdana"/>
          <w:sz w:val="20"/>
          <w:szCs w:val="20"/>
        </w:rPr>
        <w:t>21</w:t>
      </w:r>
      <w:r w:rsidR="005C6E5A" w:rsidRPr="00996758">
        <w:rPr>
          <w:rFonts w:ascii="Verdana" w:hAnsi="Verdana"/>
          <w:sz w:val="20"/>
          <w:szCs w:val="20"/>
        </w:rPr>
        <w:t>4</w:t>
      </w:r>
      <w:r w:rsidR="00DE1DF2" w:rsidRPr="00996758">
        <w:rPr>
          <w:rFonts w:ascii="Verdana" w:hAnsi="Verdana"/>
          <w:sz w:val="20"/>
          <w:szCs w:val="20"/>
        </w:rPr>
        <w:t>).</w:t>
      </w:r>
    </w:p>
    <w:p w:rsidR="00D272A1" w:rsidRPr="00996758" w:rsidRDefault="00D272A1">
      <w:pPr>
        <w:autoSpaceDE w:val="0"/>
        <w:autoSpaceDN w:val="0"/>
        <w:adjustRightInd w:val="0"/>
        <w:spacing w:after="0" w:line="240" w:lineRule="auto"/>
        <w:ind w:right="49"/>
        <w:contextualSpacing/>
        <w:jc w:val="both"/>
        <w:rPr>
          <w:rFonts w:ascii="Verdana" w:eastAsia="Calibri" w:hAnsi="Verdana" w:cs="Times New Roman"/>
          <w:b/>
          <w:sz w:val="20"/>
          <w:szCs w:val="20"/>
        </w:rPr>
      </w:pPr>
    </w:p>
    <w:p w:rsidR="006A3512" w:rsidRPr="00996758" w:rsidRDefault="006A3512">
      <w:pPr>
        <w:autoSpaceDE w:val="0"/>
        <w:autoSpaceDN w:val="0"/>
        <w:adjustRightInd w:val="0"/>
        <w:spacing w:after="0" w:line="240" w:lineRule="auto"/>
        <w:ind w:right="49"/>
        <w:contextualSpacing/>
        <w:jc w:val="both"/>
        <w:rPr>
          <w:rFonts w:ascii="Verdana" w:eastAsia="Calibri" w:hAnsi="Verdana" w:cs="Times New Roman"/>
          <w:b/>
          <w:sz w:val="20"/>
          <w:szCs w:val="20"/>
        </w:rPr>
      </w:pPr>
    </w:p>
    <w:p w:rsidR="00607AFC" w:rsidRPr="00996758" w:rsidRDefault="00607AFC">
      <w:pPr>
        <w:pStyle w:val="Heading2"/>
        <w:keepLines w:val="0"/>
        <w:numPr>
          <w:ilvl w:val="0"/>
          <w:numId w:val="29"/>
        </w:numPr>
        <w:spacing w:before="0" w:line="240" w:lineRule="auto"/>
        <w:ind w:left="1134"/>
        <w:jc w:val="both"/>
        <w:rPr>
          <w:rFonts w:ascii="Verdana" w:hAnsi="Verdana"/>
          <w:i/>
          <w:color w:val="auto"/>
          <w:sz w:val="20"/>
          <w:szCs w:val="20"/>
        </w:rPr>
      </w:pPr>
      <w:bookmarkStart w:id="56" w:name="_Toc476251468"/>
      <w:bookmarkStart w:id="57" w:name="_Toc505877009"/>
      <w:bookmarkStart w:id="58" w:name="_Toc530560076"/>
      <w:r w:rsidRPr="00996758">
        <w:rPr>
          <w:rFonts w:ascii="Verdana" w:eastAsia="Times New Roman" w:hAnsi="Verdana" w:cs="Times New Roman"/>
          <w:bCs w:val="0"/>
          <w:i/>
          <w:color w:val="auto"/>
          <w:sz w:val="20"/>
          <w:szCs w:val="20"/>
        </w:rPr>
        <w:t>Otras</w:t>
      </w:r>
      <w:r w:rsidRPr="00996758">
        <w:rPr>
          <w:rFonts w:ascii="Verdana" w:hAnsi="Verdana"/>
          <w:i/>
          <w:color w:val="auto"/>
          <w:sz w:val="20"/>
          <w:szCs w:val="20"/>
        </w:rPr>
        <w:t xml:space="preserve"> </w:t>
      </w:r>
      <w:r w:rsidRPr="00996758">
        <w:rPr>
          <w:rFonts w:ascii="Verdana" w:eastAsia="Times New Roman" w:hAnsi="Verdana" w:cs="Times New Roman"/>
          <w:bCs w:val="0"/>
          <w:i/>
          <w:color w:val="auto"/>
          <w:sz w:val="20"/>
          <w:szCs w:val="20"/>
        </w:rPr>
        <w:t>medidas</w:t>
      </w:r>
      <w:r w:rsidRPr="00996758">
        <w:rPr>
          <w:rFonts w:ascii="Verdana" w:hAnsi="Verdana"/>
          <w:i/>
          <w:color w:val="auto"/>
          <w:sz w:val="20"/>
          <w:szCs w:val="20"/>
        </w:rPr>
        <w:t xml:space="preserve"> solicitadas</w:t>
      </w:r>
      <w:bookmarkEnd w:id="56"/>
      <w:bookmarkEnd w:id="57"/>
      <w:bookmarkEnd w:id="58"/>
      <w:r w:rsidRPr="00996758">
        <w:rPr>
          <w:rFonts w:ascii="Verdana" w:hAnsi="Verdana"/>
          <w:i/>
          <w:color w:val="auto"/>
          <w:sz w:val="20"/>
          <w:szCs w:val="20"/>
        </w:rPr>
        <w:t xml:space="preserve"> </w:t>
      </w:r>
    </w:p>
    <w:p w:rsidR="00B72AEA" w:rsidRPr="00996758" w:rsidRDefault="00B72AEA">
      <w:pPr>
        <w:pBdr>
          <w:top w:val="nil"/>
        </w:pBdr>
        <w:autoSpaceDE w:val="0"/>
        <w:autoSpaceDN w:val="0"/>
        <w:adjustRightInd w:val="0"/>
        <w:spacing w:after="0" w:line="240" w:lineRule="auto"/>
        <w:jc w:val="both"/>
        <w:rPr>
          <w:rFonts w:ascii="Verdana" w:eastAsia="Verdana" w:hAnsi="Verdana" w:cs="Verdana"/>
          <w:b/>
          <w:sz w:val="20"/>
          <w:szCs w:val="20"/>
        </w:rPr>
      </w:pPr>
    </w:p>
    <w:p w:rsidR="00B72AEA" w:rsidRPr="00996758" w:rsidRDefault="0072796F">
      <w:pPr>
        <w:pBdr>
          <w:top w:val="nil"/>
        </w:pBdr>
        <w:autoSpaceDE w:val="0"/>
        <w:autoSpaceDN w:val="0"/>
        <w:adjustRightInd w:val="0"/>
        <w:spacing w:after="0" w:line="240" w:lineRule="auto"/>
        <w:ind w:left="1134"/>
        <w:jc w:val="both"/>
        <w:rPr>
          <w:rFonts w:ascii="Verdana" w:hAnsi="Verdana"/>
          <w:i/>
          <w:sz w:val="20"/>
          <w:szCs w:val="20"/>
        </w:rPr>
      </w:pPr>
      <w:r w:rsidRPr="00996758">
        <w:rPr>
          <w:rFonts w:ascii="Verdana" w:hAnsi="Verdana"/>
          <w:i/>
          <w:sz w:val="20"/>
          <w:szCs w:val="20"/>
        </w:rPr>
        <w:t>F.1</w:t>
      </w:r>
      <w:r w:rsidRPr="00996758">
        <w:rPr>
          <w:rFonts w:ascii="Verdana" w:hAnsi="Verdana"/>
          <w:i/>
          <w:sz w:val="20"/>
          <w:szCs w:val="20"/>
        </w:rPr>
        <w:tab/>
      </w:r>
      <w:r w:rsidR="00B72AEA" w:rsidRPr="00996758">
        <w:rPr>
          <w:rFonts w:ascii="Verdana" w:hAnsi="Verdana"/>
          <w:i/>
          <w:sz w:val="20"/>
          <w:szCs w:val="20"/>
        </w:rPr>
        <w:t>Derogación y publicidad de los manuales</w:t>
      </w:r>
      <w:r w:rsidRPr="00996758">
        <w:rPr>
          <w:rFonts w:ascii="Verdana" w:hAnsi="Verdana"/>
          <w:i/>
          <w:sz w:val="20"/>
          <w:szCs w:val="20"/>
        </w:rPr>
        <w:t xml:space="preserve"> militares de contrainsurgencia </w:t>
      </w:r>
    </w:p>
    <w:p w:rsidR="00B72AEA" w:rsidRPr="00996758" w:rsidRDefault="00B72AEA">
      <w:pPr>
        <w:pBdr>
          <w:top w:val="nil"/>
        </w:pBdr>
        <w:autoSpaceDE w:val="0"/>
        <w:autoSpaceDN w:val="0"/>
        <w:adjustRightInd w:val="0"/>
        <w:spacing w:after="0" w:line="240" w:lineRule="auto"/>
        <w:jc w:val="both"/>
        <w:rPr>
          <w:rFonts w:ascii="Verdana" w:hAnsi="Verdana"/>
          <w:i/>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Pr="00996758">
        <w:rPr>
          <w:rFonts w:ascii="Verdana" w:hAnsi="Verdana"/>
          <w:b/>
          <w:i/>
          <w:sz w:val="20"/>
          <w:szCs w:val="20"/>
        </w:rPr>
        <w:t>representantes</w:t>
      </w:r>
      <w:r w:rsidRPr="00996758">
        <w:rPr>
          <w:rFonts w:ascii="Verdana" w:hAnsi="Verdana"/>
          <w:sz w:val="20"/>
          <w:szCs w:val="20"/>
        </w:rPr>
        <w:t xml:space="preserve"> solicitaron que se ordene al Estado la expedición de un decreto reglamentario que derogue y suprima, en los manuales y reglamentos de combate de contraguerrillas del Ejército, cualquier afirmación sobre la noción de “enemigo interno” o cualquier otro concepto equivalente que equipare el derecho de asociación sindical con actividades de grupos subversivos, prohibiendo el uso de dicho concepto en futuros instrumentos de la misma índole en cualquier organismo de seguridad de la Fuerza Pública.</w:t>
      </w:r>
    </w:p>
    <w:p w:rsidR="00B72AEA" w:rsidRPr="00996758" w:rsidRDefault="00B72AEA">
      <w:pPr>
        <w:pBdr>
          <w:top w:val="nil"/>
        </w:pBdr>
        <w:autoSpaceDE w:val="0"/>
        <w:autoSpaceDN w:val="0"/>
        <w:adjustRightInd w:val="0"/>
        <w:spacing w:after="0" w:line="240" w:lineRule="auto"/>
        <w:jc w:val="both"/>
        <w:rPr>
          <w:rFonts w:ascii="Verdana" w:hAnsi="Verdana"/>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El </w:t>
      </w:r>
      <w:r w:rsidRPr="00996758">
        <w:rPr>
          <w:rFonts w:ascii="Verdana" w:hAnsi="Verdana"/>
          <w:b/>
          <w:i/>
          <w:sz w:val="20"/>
          <w:szCs w:val="20"/>
        </w:rPr>
        <w:t>Estado</w:t>
      </w:r>
      <w:r w:rsidRPr="00996758">
        <w:rPr>
          <w:rFonts w:ascii="Verdana" w:hAnsi="Verdana"/>
          <w:sz w:val="20"/>
          <w:szCs w:val="20"/>
        </w:rPr>
        <w:t xml:space="preserve"> </w:t>
      </w:r>
      <w:r w:rsidR="00981A4C" w:rsidRPr="00996758">
        <w:rPr>
          <w:rFonts w:ascii="Verdana" w:hAnsi="Verdana"/>
          <w:sz w:val="20"/>
          <w:szCs w:val="20"/>
        </w:rPr>
        <w:t>solicitó a la Corte, en</w:t>
      </w:r>
      <w:r w:rsidRPr="00996758">
        <w:rPr>
          <w:rFonts w:ascii="Verdana" w:hAnsi="Verdana"/>
          <w:sz w:val="20"/>
          <w:szCs w:val="20"/>
        </w:rPr>
        <w:t xml:space="preserve"> referencia a lo señalado por el perito Yepes</w:t>
      </w:r>
      <w:r w:rsidR="00981A4C" w:rsidRPr="00996758">
        <w:rPr>
          <w:rFonts w:ascii="Verdana" w:hAnsi="Verdana"/>
          <w:sz w:val="20"/>
          <w:szCs w:val="20"/>
        </w:rPr>
        <w:t xml:space="preserve"> en cuanto a que </w:t>
      </w:r>
      <w:r w:rsidRPr="00996758">
        <w:rPr>
          <w:rFonts w:ascii="Verdana" w:hAnsi="Verdana"/>
          <w:sz w:val="20"/>
          <w:szCs w:val="20"/>
        </w:rPr>
        <w:t>debería ordenarse al Estado la publicación de los manuales que gozan de reserva y la redacción de nuevos manuales</w:t>
      </w:r>
      <w:r w:rsidR="00117BCC" w:rsidRPr="00996758">
        <w:rPr>
          <w:rFonts w:ascii="Verdana" w:hAnsi="Verdana"/>
          <w:sz w:val="20"/>
          <w:szCs w:val="20"/>
        </w:rPr>
        <w:t xml:space="preserve"> que incluya</w:t>
      </w:r>
      <w:r w:rsidRPr="00996758">
        <w:rPr>
          <w:rFonts w:ascii="Verdana" w:hAnsi="Verdana"/>
          <w:sz w:val="20"/>
          <w:szCs w:val="20"/>
        </w:rPr>
        <w:t xml:space="preserve">n una doctrina que </w:t>
      </w:r>
      <w:r w:rsidR="00AE083D" w:rsidRPr="00996758">
        <w:rPr>
          <w:rFonts w:ascii="Verdana" w:hAnsi="Verdana"/>
          <w:sz w:val="20"/>
          <w:szCs w:val="20"/>
        </w:rPr>
        <w:t xml:space="preserve">sea </w:t>
      </w:r>
      <w:r w:rsidR="00981A4C" w:rsidRPr="00996758">
        <w:rPr>
          <w:rFonts w:ascii="Verdana" w:hAnsi="Verdana"/>
          <w:sz w:val="20"/>
          <w:szCs w:val="20"/>
        </w:rPr>
        <w:t xml:space="preserve">pública y previamente debatida, </w:t>
      </w:r>
      <w:r w:rsidRPr="00996758">
        <w:rPr>
          <w:rFonts w:ascii="Verdana" w:hAnsi="Verdana"/>
          <w:sz w:val="20"/>
          <w:szCs w:val="20"/>
        </w:rPr>
        <w:t>que no dé c</w:t>
      </w:r>
      <w:r w:rsidR="00981A4C" w:rsidRPr="00996758">
        <w:rPr>
          <w:rFonts w:ascii="Verdana" w:hAnsi="Verdana"/>
          <w:sz w:val="20"/>
          <w:szCs w:val="20"/>
        </w:rPr>
        <w:t>abida a esta petición porque</w:t>
      </w:r>
      <w:r w:rsidRPr="00996758">
        <w:rPr>
          <w:rFonts w:ascii="Verdana" w:hAnsi="Verdana"/>
          <w:sz w:val="20"/>
          <w:szCs w:val="20"/>
        </w:rPr>
        <w:t xml:space="preserve">: a) resulta innecesaria, dado que los manuales no están vigentes; b) la doctrina actual goza de reserva legal y constitucional, y; c) resulta a todas luces inconveniente y peligroso que el Estado revele su doctrina militar vigente. </w:t>
      </w:r>
    </w:p>
    <w:p w:rsidR="00B72AEA" w:rsidRPr="00996758" w:rsidRDefault="00B72AEA">
      <w:pPr>
        <w:pBdr>
          <w:top w:val="nil"/>
        </w:pBdr>
        <w:autoSpaceDE w:val="0"/>
        <w:autoSpaceDN w:val="0"/>
        <w:adjustRightInd w:val="0"/>
        <w:spacing w:after="0" w:line="240" w:lineRule="auto"/>
        <w:jc w:val="both"/>
        <w:rPr>
          <w:rFonts w:ascii="Verdana" w:hAnsi="Verdana"/>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La </w:t>
      </w:r>
      <w:r w:rsidRPr="00996758">
        <w:rPr>
          <w:rFonts w:ascii="Verdana" w:hAnsi="Verdana"/>
          <w:b/>
          <w:i/>
          <w:sz w:val="20"/>
          <w:szCs w:val="20"/>
        </w:rPr>
        <w:t>Corte</w:t>
      </w:r>
      <w:r w:rsidRPr="00996758">
        <w:rPr>
          <w:rFonts w:ascii="Verdana" w:hAnsi="Verdana"/>
          <w:sz w:val="20"/>
          <w:szCs w:val="20"/>
        </w:rPr>
        <w:t xml:space="preserve"> hace notar que no ha sido controvertido lo señalado por la Comisión y los representantes, en cuanto a que, en una sentencia del Consejo de Estado del año 2009</w:t>
      </w:r>
      <w:r w:rsidRPr="00996758">
        <w:rPr>
          <w:rStyle w:val="FootnoteReference"/>
          <w:rFonts w:ascii="Verdana" w:hAnsi="Verdana"/>
          <w:sz w:val="20"/>
          <w:szCs w:val="20"/>
        </w:rPr>
        <w:footnoteReference w:id="190"/>
      </w:r>
      <w:r w:rsidRPr="00996758">
        <w:rPr>
          <w:rFonts w:ascii="Verdana" w:hAnsi="Verdana"/>
          <w:sz w:val="20"/>
          <w:szCs w:val="20"/>
        </w:rPr>
        <w:t xml:space="preserve">, se afirma que la Disposición No. 005 de 1969 y el Manual EJC-3-10 de las Fuerzas Militares de 1987 o Reglamento de combate de contraguerrilla “son todavía seguidas por el Ejército Nacional para combatir los grupos alzados en armas y otros delincuentes […] [y] contienen instrucciones que </w:t>
      </w:r>
      <w:r w:rsidR="006A54B0" w:rsidRPr="00996758">
        <w:rPr>
          <w:rFonts w:ascii="Verdana" w:hAnsi="Verdana"/>
          <w:sz w:val="20"/>
          <w:szCs w:val="20"/>
        </w:rPr>
        <w:t xml:space="preserve">[…] </w:t>
      </w:r>
      <w:r w:rsidRPr="00996758">
        <w:rPr>
          <w:rFonts w:ascii="Verdana" w:hAnsi="Verdana"/>
          <w:sz w:val="20"/>
          <w:szCs w:val="20"/>
        </w:rPr>
        <w:t>desde entonces y hasta ahora, son utilizados para instruir militarmente para combatir a los grupos guerrilleros”.</w:t>
      </w:r>
    </w:p>
    <w:p w:rsidR="00B72AEA" w:rsidRPr="00996758" w:rsidRDefault="00B72AEA">
      <w:pPr>
        <w:pBdr>
          <w:top w:val="nil"/>
        </w:pBdr>
        <w:autoSpaceDE w:val="0"/>
        <w:autoSpaceDN w:val="0"/>
        <w:adjustRightInd w:val="0"/>
        <w:spacing w:after="0" w:line="240" w:lineRule="auto"/>
        <w:jc w:val="both"/>
        <w:rPr>
          <w:rFonts w:ascii="Verdana" w:hAnsi="Verdana"/>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cs="Baskerville"/>
          <w:sz w:val="20"/>
          <w:szCs w:val="20"/>
        </w:rPr>
      </w:pPr>
      <w:r w:rsidRPr="00996758">
        <w:rPr>
          <w:rFonts w:ascii="Verdana" w:hAnsi="Verdana" w:cs="Baskerville"/>
          <w:sz w:val="20"/>
          <w:szCs w:val="20"/>
        </w:rPr>
        <w:t xml:space="preserve">En este sentido, el perito Reed </w:t>
      </w:r>
      <w:r w:rsidR="005C6E5A" w:rsidRPr="00996758">
        <w:rPr>
          <w:rFonts w:ascii="Verdana" w:hAnsi="Verdana" w:cs="Baskerville"/>
          <w:sz w:val="20"/>
          <w:szCs w:val="20"/>
        </w:rPr>
        <w:t xml:space="preserve">Hurtado </w:t>
      </w:r>
      <w:r w:rsidRPr="00996758">
        <w:rPr>
          <w:rFonts w:ascii="Verdana" w:hAnsi="Verdana" w:cs="Baskerville"/>
          <w:sz w:val="20"/>
          <w:szCs w:val="20"/>
        </w:rPr>
        <w:t xml:space="preserve">manifestó lo siguiente: </w:t>
      </w:r>
    </w:p>
    <w:p w:rsidR="00B72AEA" w:rsidRPr="00996758" w:rsidRDefault="00B72AEA">
      <w:pPr>
        <w:pBdr>
          <w:top w:val="nil"/>
        </w:pBdr>
        <w:autoSpaceDE w:val="0"/>
        <w:autoSpaceDN w:val="0"/>
        <w:adjustRightInd w:val="0"/>
        <w:spacing w:after="0" w:line="240" w:lineRule="auto"/>
        <w:jc w:val="both"/>
        <w:rPr>
          <w:rFonts w:ascii="Verdana" w:hAnsi="Verdana" w:cs="Baskerville"/>
          <w:sz w:val="20"/>
          <w:szCs w:val="20"/>
        </w:rPr>
      </w:pPr>
    </w:p>
    <w:p w:rsidR="00B72AEA" w:rsidRPr="00996758" w:rsidRDefault="00B72AEA">
      <w:pPr>
        <w:pBdr>
          <w:top w:val="nil"/>
        </w:pBdr>
        <w:autoSpaceDE w:val="0"/>
        <w:autoSpaceDN w:val="0"/>
        <w:adjustRightInd w:val="0"/>
        <w:spacing w:after="0" w:line="240" w:lineRule="auto"/>
        <w:ind w:left="708"/>
        <w:jc w:val="both"/>
        <w:rPr>
          <w:rFonts w:ascii="Verdana" w:hAnsi="Verdana" w:cs="Baskerville"/>
          <w:sz w:val="16"/>
          <w:szCs w:val="16"/>
        </w:rPr>
      </w:pPr>
      <w:r w:rsidRPr="00996758">
        <w:rPr>
          <w:rFonts w:ascii="Verdana" w:hAnsi="Verdana" w:cs="Baskerville"/>
          <w:sz w:val="16"/>
          <w:szCs w:val="16"/>
        </w:rPr>
        <w:lastRenderedPageBreak/>
        <w:t>“[…]</w:t>
      </w:r>
      <w:r w:rsidR="00F02FB2" w:rsidRPr="00996758">
        <w:rPr>
          <w:rFonts w:ascii="Verdana" w:hAnsi="Verdana" w:cs="Baskerville"/>
          <w:sz w:val="16"/>
          <w:szCs w:val="16"/>
        </w:rPr>
        <w:t xml:space="preserve"> </w:t>
      </w:r>
      <w:r w:rsidRPr="00996758">
        <w:rPr>
          <w:rFonts w:ascii="Verdana" w:hAnsi="Verdana" w:cs="Baskerville"/>
          <w:sz w:val="16"/>
          <w:szCs w:val="16"/>
        </w:rPr>
        <w:t xml:space="preserve">el contenido de los reglamentos y manuales demuestra visiones </w:t>
      </w:r>
      <w:r w:rsidR="006E4476" w:rsidRPr="00996758">
        <w:rPr>
          <w:rFonts w:ascii="Verdana" w:hAnsi="Verdana" w:cs="Baskerville"/>
          <w:sz w:val="16"/>
          <w:szCs w:val="16"/>
        </w:rPr>
        <w:t xml:space="preserve">[…] </w:t>
      </w:r>
      <w:r w:rsidRPr="00996758">
        <w:rPr>
          <w:rFonts w:ascii="Verdana" w:hAnsi="Verdana" w:cs="Baskerville"/>
          <w:sz w:val="16"/>
          <w:szCs w:val="16"/>
        </w:rPr>
        <w:t>abiertamente contrarias a los valores del Estado de derech</w:t>
      </w:r>
      <w:r w:rsidR="00F02FB2" w:rsidRPr="00996758">
        <w:rPr>
          <w:rFonts w:ascii="Verdana" w:hAnsi="Verdana" w:cs="Baskerville"/>
          <w:sz w:val="16"/>
          <w:szCs w:val="16"/>
        </w:rPr>
        <w:t>o y de la democracia pluralista</w:t>
      </w:r>
      <w:r w:rsidRPr="00996758">
        <w:rPr>
          <w:rFonts w:ascii="Verdana" w:hAnsi="Verdana" w:cs="Baskerville"/>
          <w:sz w:val="16"/>
          <w:szCs w:val="16"/>
        </w:rPr>
        <w:t xml:space="preserve"> […</w:t>
      </w:r>
      <w:r w:rsidR="00F02FB2" w:rsidRPr="00996758">
        <w:rPr>
          <w:rFonts w:ascii="Verdana" w:hAnsi="Verdana" w:cs="Baskerville"/>
          <w:sz w:val="16"/>
          <w:szCs w:val="16"/>
        </w:rPr>
        <w:t xml:space="preserve"> razón por la cual,</w:t>
      </w:r>
      <w:r w:rsidRPr="00996758">
        <w:rPr>
          <w:rFonts w:ascii="Verdana" w:hAnsi="Verdana" w:cs="Baskerville"/>
          <w:sz w:val="16"/>
          <w:szCs w:val="16"/>
        </w:rPr>
        <w:t>] entre otras, la doctrina militar producida e impartida en Colombia para la época de los hechos continúa siendo objeto de o</w:t>
      </w:r>
      <w:r w:rsidR="00F13F9B" w:rsidRPr="00996758">
        <w:rPr>
          <w:rFonts w:ascii="Verdana" w:hAnsi="Verdana" w:cs="Baskerville"/>
          <w:sz w:val="16"/>
          <w:szCs w:val="16"/>
        </w:rPr>
        <w:t xml:space="preserve">cultamiento, </w:t>
      </w:r>
      <w:r w:rsidRPr="00996758">
        <w:rPr>
          <w:rFonts w:ascii="Verdana" w:hAnsi="Verdana" w:cs="Baskerville"/>
          <w:sz w:val="16"/>
          <w:szCs w:val="16"/>
        </w:rPr>
        <w:t>negación [y</w:t>
      </w:r>
      <w:r w:rsidR="00F13F9B" w:rsidRPr="00996758">
        <w:rPr>
          <w:rFonts w:ascii="Verdana" w:hAnsi="Verdana" w:cs="Baskerville"/>
          <w:sz w:val="16"/>
          <w:szCs w:val="16"/>
        </w:rPr>
        <w:t xml:space="preserve"> …</w:t>
      </w:r>
      <w:r w:rsidRPr="00996758">
        <w:rPr>
          <w:rFonts w:ascii="Verdana" w:hAnsi="Verdana" w:cs="Baskerville"/>
          <w:sz w:val="16"/>
          <w:szCs w:val="16"/>
        </w:rPr>
        <w:t xml:space="preserve">] secretismo. Bajo el amparo de distorsionadas interpretaciones relativas a la seguridad nacional, el Ministerio de Defensa Nacional continúa negando acceso a </w:t>
      </w:r>
      <w:r w:rsidR="00F13F9B" w:rsidRPr="00996758">
        <w:rPr>
          <w:rFonts w:ascii="Verdana" w:hAnsi="Verdana" w:cs="Baskerville"/>
          <w:sz w:val="16"/>
          <w:szCs w:val="16"/>
        </w:rPr>
        <w:t>[…]</w:t>
      </w:r>
      <w:r w:rsidRPr="00996758">
        <w:rPr>
          <w:rFonts w:ascii="Verdana" w:hAnsi="Verdana" w:cs="Baskerville"/>
          <w:sz w:val="16"/>
          <w:szCs w:val="16"/>
        </w:rPr>
        <w:t xml:space="preserve"> a la doctrina militar adoptada </w:t>
      </w:r>
      <w:r w:rsidR="00F13F9B" w:rsidRPr="00996758">
        <w:rPr>
          <w:rFonts w:ascii="Verdana" w:hAnsi="Verdana" w:cs="Baskerville"/>
          <w:sz w:val="16"/>
          <w:szCs w:val="16"/>
        </w:rPr>
        <w:t xml:space="preserve">[entre] </w:t>
      </w:r>
      <w:r w:rsidRPr="00996758">
        <w:rPr>
          <w:rFonts w:ascii="Verdana" w:hAnsi="Verdana" w:cs="Baskerville"/>
          <w:sz w:val="16"/>
          <w:szCs w:val="16"/>
        </w:rPr>
        <w:t>los años 60</w:t>
      </w:r>
      <w:r w:rsidR="00F13F9B" w:rsidRPr="00996758">
        <w:rPr>
          <w:rFonts w:ascii="Verdana" w:hAnsi="Verdana" w:cs="Baskerville"/>
          <w:sz w:val="16"/>
          <w:szCs w:val="16"/>
        </w:rPr>
        <w:t xml:space="preserve"> y 90[, a]</w:t>
      </w:r>
      <w:r w:rsidRPr="00996758">
        <w:rPr>
          <w:rFonts w:ascii="Verdana" w:hAnsi="Verdana" w:cs="Baskerville"/>
          <w:sz w:val="16"/>
          <w:szCs w:val="16"/>
        </w:rPr>
        <w:t>larmantemente</w:t>
      </w:r>
      <w:r w:rsidR="00F13F9B" w:rsidRPr="00996758">
        <w:rPr>
          <w:rFonts w:ascii="Verdana" w:hAnsi="Verdana" w:cs="Baskerville"/>
          <w:sz w:val="16"/>
          <w:szCs w:val="16"/>
        </w:rPr>
        <w:t xml:space="preserve"> […] </w:t>
      </w:r>
      <w:r w:rsidRPr="00996758">
        <w:rPr>
          <w:rFonts w:ascii="Verdana" w:hAnsi="Verdana" w:cs="Baskerville"/>
          <w:sz w:val="16"/>
          <w:szCs w:val="16"/>
        </w:rPr>
        <w:t xml:space="preserve">aduciendo su vigencia actual en operaciones contrainsurgentes y su reserva. </w:t>
      </w:r>
      <w:r w:rsidR="00F53258" w:rsidRPr="00996758">
        <w:rPr>
          <w:rFonts w:ascii="Verdana" w:hAnsi="Verdana" w:cs="Baskerville"/>
          <w:sz w:val="16"/>
          <w:szCs w:val="16"/>
        </w:rPr>
        <w:t>[…]</w:t>
      </w:r>
      <w:r w:rsidRPr="00996758">
        <w:rPr>
          <w:rFonts w:ascii="Verdana" w:hAnsi="Verdana" w:cs="Baskerville"/>
          <w:sz w:val="16"/>
          <w:szCs w:val="16"/>
        </w:rPr>
        <w:t xml:space="preserve"> Es probable y deseable que la gran mayoría de las autoridades estatales colombianas actuales rechacen el tipo de estigmatización </w:t>
      </w:r>
      <w:r w:rsidR="00F13F9B" w:rsidRPr="00996758">
        <w:rPr>
          <w:rFonts w:ascii="Verdana" w:hAnsi="Verdana" w:cs="Baskerville"/>
          <w:sz w:val="16"/>
          <w:szCs w:val="16"/>
        </w:rPr>
        <w:t xml:space="preserve">[…] </w:t>
      </w:r>
      <w:r w:rsidRPr="00996758">
        <w:rPr>
          <w:rFonts w:ascii="Verdana" w:hAnsi="Verdana" w:cs="Baskerville"/>
          <w:sz w:val="16"/>
          <w:szCs w:val="16"/>
        </w:rPr>
        <w:t xml:space="preserve">que contienen los antiguos documentos de doctrina militar </w:t>
      </w:r>
      <w:r w:rsidR="006E4476" w:rsidRPr="00996758">
        <w:rPr>
          <w:rFonts w:ascii="Verdana" w:hAnsi="Verdana" w:cs="Baskerville"/>
          <w:sz w:val="16"/>
          <w:szCs w:val="16"/>
        </w:rPr>
        <w:t>[…]</w:t>
      </w:r>
      <w:r w:rsidRPr="00996758">
        <w:rPr>
          <w:rFonts w:ascii="Verdana" w:hAnsi="Verdana" w:cs="Baskerville"/>
          <w:sz w:val="16"/>
          <w:szCs w:val="16"/>
        </w:rPr>
        <w:t xml:space="preserve"> No obstante, el rechazo informal e implícito no</w:t>
      </w:r>
      <w:r w:rsidR="00FA0D6A" w:rsidRPr="00996758">
        <w:rPr>
          <w:rFonts w:ascii="Verdana" w:hAnsi="Verdana" w:cs="Baskerville"/>
          <w:sz w:val="16"/>
          <w:szCs w:val="16"/>
        </w:rPr>
        <w:t xml:space="preserve"> subsana el agravio ni el daño [pues] </w:t>
      </w:r>
      <w:r w:rsidRPr="00996758">
        <w:rPr>
          <w:rFonts w:ascii="Verdana" w:hAnsi="Verdana" w:cs="Baskerville"/>
          <w:sz w:val="16"/>
          <w:szCs w:val="16"/>
        </w:rPr>
        <w:t xml:space="preserve">no es un reconocimiento de que estos procesos de estigmatización, persecución y represión hayan tenido lugar. […] Asumiendo enteramente la complejidad y la seriedad de cualquier consideración relativa a la seguridad nacional, </w:t>
      </w:r>
      <w:r w:rsidR="00FA0D6A" w:rsidRPr="00996758">
        <w:rPr>
          <w:rFonts w:ascii="Verdana" w:hAnsi="Verdana" w:cs="Baskerville"/>
          <w:sz w:val="16"/>
          <w:szCs w:val="16"/>
        </w:rPr>
        <w:t>[…]</w:t>
      </w:r>
      <w:r w:rsidRPr="00996758">
        <w:rPr>
          <w:rFonts w:ascii="Verdana" w:hAnsi="Verdana" w:cs="Baskerville"/>
          <w:sz w:val="16"/>
          <w:szCs w:val="16"/>
        </w:rPr>
        <w:t xml:space="preserve"> es menester encarar el pasado y transformar realidades y organizaciones sobre la base del conocimiento, no del ocultamiento y la negación</w:t>
      </w:r>
      <w:r w:rsidR="006173B3" w:rsidRPr="00996758">
        <w:rPr>
          <w:rStyle w:val="FootnoteReference"/>
          <w:rFonts w:ascii="Verdana" w:hAnsi="Verdana" w:cs="Baskerville"/>
          <w:sz w:val="16"/>
          <w:szCs w:val="16"/>
        </w:rPr>
        <w:footnoteReference w:id="191"/>
      </w:r>
      <w:r w:rsidRPr="00996758">
        <w:rPr>
          <w:rFonts w:ascii="Verdana" w:hAnsi="Verdana" w:cs="Baskerville"/>
          <w:sz w:val="16"/>
          <w:szCs w:val="16"/>
        </w:rPr>
        <w:t>.</w:t>
      </w:r>
    </w:p>
    <w:p w:rsidR="00B72AEA" w:rsidRPr="00996758" w:rsidRDefault="00B72AEA">
      <w:pPr>
        <w:pBdr>
          <w:top w:val="nil"/>
        </w:pBdr>
        <w:autoSpaceDE w:val="0"/>
        <w:autoSpaceDN w:val="0"/>
        <w:adjustRightInd w:val="0"/>
        <w:spacing w:after="0" w:line="240" w:lineRule="auto"/>
        <w:jc w:val="both"/>
        <w:rPr>
          <w:rFonts w:ascii="Verdana" w:hAnsi="Verdana"/>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particular, el Estado señaló, sobre la vigencia de los manuales de lucha antisubversiva, que </w:t>
      </w:r>
      <w:r w:rsidR="006E4476" w:rsidRPr="00996758">
        <w:rPr>
          <w:rFonts w:ascii="Verdana" w:hAnsi="Verdana"/>
          <w:sz w:val="20"/>
          <w:szCs w:val="20"/>
        </w:rPr>
        <w:t>e</w:t>
      </w:r>
      <w:r w:rsidRPr="00996758">
        <w:rPr>
          <w:rFonts w:ascii="Verdana" w:hAnsi="Verdana"/>
          <w:sz w:val="20"/>
          <w:szCs w:val="20"/>
        </w:rPr>
        <w:t>l Ministerio de Defensa Nacional manifestó que</w:t>
      </w:r>
      <w:r w:rsidR="00117BCC" w:rsidRPr="00996758">
        <w:rPr>
          <w:rFonts w:ascii="Verdana" w:hAnsi="Verdana"/>
          <w:sz w:val="20"/>
          <w:szCs w:val="20"/>
        </w:rPr>
        <w:t xml:space="preserve"> </w:t>
      </w:r>
      <w:r w:rsidRPr="00996758">
        <w:rPr>
          <w:rFonts w:ascii="Verdana" w:hAnsi="Verdana"/>
          <w:sz w:val="20"/>
          <w:szCs w:val="20"/>
        </w:rPr>
        <w:t xml:space="preserve">la Ley 57 de 1985 </w:t>
      </w:r>
      <w:r w:rsidR="006E4476" w:rsidRPr="00996758">
        <w:rPr>
          <w:rFonts w:ascii="Verdana" w:hAnsi="Verdana"/>
          <w:sz w:val="20"/>
          <w:szCs w:val="20"/>
        </w:rPr>
        <w:t xml:space="preserve">estableció la reserva legal a </w:t>
      </w:r>
      <w:r w:rsidRPr="00996758">
        <w:rPr>
          <w:rFonts w:ascii="Verdana" w:hAnsi="Verdana"/>
          <w:sz w:val="20"/>
          <w:szCs w:val="20"/>
        </w:rPr>
        <w:t>la publicidad de actos y documentos oficiales relacionados con la defensa y seguridad nacional</w:t>
      </w:r>
      <w:r w:rsidRPr="00996758">
        <w:rPr>
          <w:rStyle w:val="FootnoteReference"/>
          <w:rFonts w:ascii="Verdana" w:hAnsi="Verdana" w:cs="Verdana"/>
          <w:sz w:val="20"/>
          <w:szCs w:val="20"/>
        </w:rPr>
        <w:footnoteReference w:id="192"/>
      </w:r>
      <w:r w:rsidRPr="00996758">
        <w:rPr>
          <w:rFonts w:ascii="Verdana" w:hAnsi="Verdana"/>
          <w:sz w:val="20"/>
          <w:szCs w:val="20"/>
        </w:rPr>
        <w:t>, con la</w:t>
      </w:r>
      <w:r w:rsidR="00117BCC" w:rsidRPr="00996758">
        <w:rPr>
          <w:rFonts w:ascii="Verdana" w:hAnsi="Verdana"/>
          <w:sz w:val="20"/>
          <w:szCs w:val="20"/>
        </w:rPr>
        <w:t>s</w:t>
      </w:r>
      <w:r w:rsidRPr="00996758">
        <w:rPr>
          <w:rFonts w:ascii="Verdana" w:hAnsi="Verdana"/>
          <w:sz w:val="20"/>
          <w:szCs w:val="20"/>
        </w:rPr>
        <w:t xml:space="preserve"> cual</w:t>
      </w:r>
      <w:r w:rsidR="00117BCC" w:rsidRPr="00996758">
        <w:rPr>
          <w:rFonts w:ascii="Verdana" w:hAnsi="Verdana"/>
          <w:sz w:val="20"/>
          <w:szCs w:val="20"/>
        </w:rPr>
        <w:t>es</w:t>
      </w:r>
      <w:r w:rsidRPr="00996758">
        <w:rPr>
          <w:rFonts w:ascii="Verdana" w:hAnsi="Verdana"/>
          <w:sz w:val="20"/>
          <w:szCs w:val="20"/>
        </w:rPr>
        <w:t xml:space="preserve">, por su naturaleza, tienen relación los manuales militares, en tanto que hacen parte de la doctrina militar utilizada para planeación y ejecución de operaciones militares. </w:t>
      </w:r>
      <w:r w:rsidR="006E4476" w:rsidRPr="00996758">
        <w:rPr>
          <w:rFonts w:ascii="Verdana" w:hAnsi="Verdana"/>
          <w:sz w:val="20"/>
          <w:szCs w:val="20"/>
        </w:rPr>
        <w:t xml:space="preserve">Según el entendimiento de dicho Ministerio, </w:t>
      </w:r>
      <w:r w:rsidRPr="00996758">
        <w:rPr>
          <w:rFonts w:ascii="Verdana" w:hAnsi="Verdana"/>
          <w:sz w:val="20"/>
          <w:szCs w:val="20"/>
        </w:rPr>
        <w:t xml:space="preserve">la </w:t>
      </w:r>
      <w:r w:rsidR="00B7449D" w:rsidRPr="00996758">
        <w:rPr>
          <w:rFonts w:ascii="Verdana" w:hAnsi="Verdana"/>
          <w:sz w:val="20"/>
          <w:szCs w:val="20"/>
        </w:rPr>
        <w:t xml:space="preserve">reserva </w:t>
      </w:r>
      <w:r w:rsidRPr="00996758">
        <w:rPr>
          <w:rFonts w:ascii="Verdana" w:hAnsi="Verdana"/>
          <w:sz w:val="20"/>
          <w:szCs w:val="20"/>
        </w:rPr>
        <w:t>opera por 15 años más al plazo inicial de 30 años dispuesto legalmente</w:t>
      </w:r>
      <w:r w:rsidR="006E4476" w:rsidRPr="00996758">
        <w:rPr>
          <w:rFonts w:ascii="Verdana" w:hAnsi="Verdana"/>
          <w:sz w:val="20"/>
          <w:szCs w:val="20"/>
        </w:rPr>
        <w:t xml:space="preserve"> </w:t>
      </w:r>
      <w:r w:rsidR="00B7449D" w:rsidRPr="00996758">
        <w:rPr>
          <w:rFonts w:ascii="Verdana" w:hAnsi="Verdana"/>
          <w:sz w:val="20"/>
          <w:szCs w:val="20"/>
        </w:rPr>
        <w:t>y</w:t>
      </w:r>
      <w:r w:rsidRPr="00996758">
        <w:rPr>
          <w:rFonts w:ascii="Verdana" w:hAnsi="Verdana"/>
          <w:sz w:val="20"/>
          <w:szCs w:val="20"/>
        </w:rPr>
        <w:t xml:space="preserve"> </w:t>
      </w:r>
      <w:r w:rsidR="006E4476" w:rsidRPr="00996758">
        <w:rPr>
          <w:rFonts w:ascii="Verdana" w:hAnsi="Verdana"/>
          <w:sz w:val="20"/>
          <w:szCs w:val="20"/>
        </w:rPr>
        <w:t>consideró</w:t>
      </w:r>
      <w:r w:rsidRPr="00996758">
        <w:rPr>
          <w:rFonts w:ascii="Verdana" w:hAnsi="Verdana"/>
          <w:sz w:val="20"/>
          <w:szCs w:val="20"/>
        </w:rPr>
        <w:t xml:space="preserve"> importante que la doctrina militar se mantenga </w:t>
      </w:r>
      <w:r w:rsidR="006E4476" w:rsidRPr="00996758">
        <w:rPr>
          <w:rFonts w:ascii="Verdana" w:hAnsi="Verdana"/>
          <w:sz w:val="20"/>
          <w:szCs w:val="20"/>
        </w:rPr>
        <w:t>bajo</w:t>
      </w:r>
      <w:r w:rsidRPr="00996758">
        <w:rPr>
          <w:rFonts w:ascii="Verdana" w:hAnsi="Verdana"/>
          <w:sz w:val="20"/>
          <w:szCs w:val="20"/>
        </w:rPr>
        <w:t xml:space="preserve"> reserva</w:t>
      </w:r>
      <w:r w:rsidR="00B7449D" w:rsidRPr="00996758">
        <w:rPr>
          <w:rFonts w:ascii="Verdana" w:hAnsi="Verdana"/>
          <w:sz w:val="20"/>
          <w:szCs w:val="20"/>
        </w:rPr>
        <w:t xml:space="preserve">. Además, manifestó que </w:t>
      </w:r>
      <w:r w:rsidRPr="00996758">
        <w:rPr>
          <w:rFonts w:ascii="Verdana" w:hAnsi="Verdana"/>
          <w:sz w:val="20"/>
          <w:szCs w:val="20"/>
        </w:rPr>
        <w:t>los manuales en cuestión fueron sucesivamente derogados por las Disposiciones No. 00006 de 1977, No. 036 de 1987, No. 018 de 1999 y 0317 de 2010</w:t>
      </w:r>
      <w:r w:rsidR="007209D7" w:rsidRPr="00996758">
        <w:rPr>
          <w:rFonts w:ascii="Verdana" w:hAnsi="Verdana"/>
          <w:sz w:val="20"/>
          <w:szCs w:val="20"/>
        </w:rPr>
        <w:t>.</w:t>
      </w:r>
      <w:r w:rsidR="007209D7" w:rsidRPr="00996758">
        <w:rPr>
          <w:rStyle w:val="FootnoteReference"/>
          <w:rFonts w:ascii="Verdana" w:hAnsi="Verdana"/>
          <w:sz w:val="20"/>
          <w:szCs w:val="20"/>
        </w:rPr>
        <w:footnoteReference w:id="193"/>
      </w:r>
      <w:r w:rsidRPr="00996758">
        <w:rPr>
          <w:rFonts w:ascii="Verdana" w:hAnsi="Verdana"/>
          <w:sz w:val="20"/>
          <w:szCs w:val="20"/>
        </w:rPr>
        <w:t xml:space="preserve"> </w:t>
      </w:r>
    </w:p>
    <w:p w:rsidR="00B72AEA" w:rsidRPr="00996758" w:rsidRDefault="00B72AEA">
      <w:pPr>
        <w:pBdr>
          <w:top w:val="nil"/>
        </w:pBdr>
        <w:autoSpaceDE w:val="0"/>
        <w:autoSpaceDN w:val="0"/>
        <w:adjustRightInd w:val="0"/>
        <w:spacing w:after="0" w:line="240" w:lineRule="auto"/>
        <w:jc w:val="both"/>
        <w:rPr>
          <w:rFonts w:ascii="Verdana" w:hAnsi="Verdana"/>
          <w:sz w:val="20"/>
          <w:szCs w:val="20"/>
        </w:rPr>
      </w:pPr>
    </w:p>
    <w:p w:rsidR="00B72AEA" w:rsidRPr="00996758" w:rsidRDefault="00B72AEA"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atención a lo anterior, </w:t>
      </w:r>
      <w:r w:rsidR="0014352E" w:rsidRPr="00996758">
        <w:rPr>
          <w:rFonts w:ascii="Verdana" w:hAnsi="Verdana"/>
          <w:sz w:val="20"/>
          <w:szCs w:val="20"/>
        </w:rPr>
        <w:t xml:space="preserve">es claro </w:t>
      </w:r>
      <w:r w:rsidRPr="00996758">
        <w:rPr>
          <w:rFonts w:ascii="Verdana" w:hAnsi="Verdana"/>
          <w:sz w:val="20"/>
          <w:szCs w:val="20"/>
        </w:rPr>
        <w:t xml:space="preserve">que se mantiene la controversia acerca de la vigencia de los manuales y reglamentos que propiciaron la violencia contra ciertos sectores de la población en razón de su calificación </w:t>
      </w:r>
      <w:r w:rsidR="0014352E" w:rsidRPr="00996758">
        <w:rPr>
          <w:rFonts w:ascii="Verdana" w:hAnsi="Verdana"/>
          <w:sz w:val="20"/>
          <w:szCs w:val="20"/>
        </w:rPr>
        <w:t>de “población civil insurgente”</w:t>
      </w:r>
      <w:r w:rsidRPr="00996758">
        <w:rPr>
          <w:rFonts w:ascii="Verdana" w:hAnsi="Verdana"/>
          <w:sz w:val="20"/>
          <w:szCs w:val="20"/>
        </w:rPr>
        <w:t xml:space="preserve">. </w:t>
      </w:r>
      <w:r w:rsidR="0014352E" w:rsidRPr="00996758">
        <w:rPr>
          <w:rFonts w:ascii="Verdana" w:hAnsi="Verdana"/>
          <w:sz w:val="20"/>
          <w:szCs w:val="20"/>
        </w:rPr>
        <w:t>En razón de la reserva aducida por el Estado</w:t>
      </w:r>
      <w:r w:rsidRPr="00996758">
        <w:rPr>
          <w:rFonts w:ascii="Verdana" w:hAnsi="Verdana"/>
          <w:sz w:val="20"/>
          <w:szCs w:val="20"/>
        </w:rPr>
        <w:t>, no es claro si la actual doctrina militar aún contiene nociones</w:t>
      </w:r>
      <w:r w:rsidR="00F13F9B" w:rsidRPr="00996758">
        <w:rPr>
          <w:rFonts w:ascii="Verdana" w:hAnsi="Verdana"/>
          <w:sz w:val="20"/>
          <w:szCs w:val="20"/>
        </w:rPr>
        <w:t xml:space="preserve"> o</w:t>
      </w:r>
      <w:r w:rsidRPr="00996758">
        <w:rPr>
          <w:rFonts w:ascii="Verdana" w:hAnsi="Verdana"/>
          <w:sz w:val="20"/>
          <w:szCs w:val="20"/>
        </w:rPr>
        <w:t xml:space="preserve"> conceptos </w:t>
      </w:r>
      <w:r w:rsidR="00F13F9B" w:rsidRPr="00996758">
        <w:rPr>
          <w:rFonts w:ascii="Verdana" w:hAnsi="Verdana"/>
          <w:sz w:val="20"/>
          <w:szCs w:val="20"/>
        </w:rPr>
        <w:t>cuya aplicación o interpretación</w:t>
      </w:r>
      <w:r w:rsidRPr="00996758">
        <w:rPr>
          <w:rFonts w:ascii="Verdana" w:hAnsi="Verdana"/>
          <w:sz w:val="20"/>
          <w:szCs w:val="20"/>
        </w:rPr>
        <w:t xml:space="preserve"> </w:t>
      </w:r>
      <w:r w:rsidR="007759CA" w:rsidRPr="00996758">
        <w:rPr>
          <w:rFonts w:ascii="Verdana" w:hAnsi="Verdana"/>
          <w:sz w:val="20"/>
          <w:szCs w:val="20"/>
        </w:rPr>
        <w:t xml:space="preserve">puedan colocar </w:t>
      </w:r>
      <w:r w:rsidRPr="00996758">
        <w:rPr>
          <w:rFonts w:ascii="Verdana" w:hAnsi="Verdana"/>
          <w:sz w:val="20"/>
          <w:szCs w:val="20"/>
        </w:rPr>
        <w:t xml:space="preserve">en </w:t>
      </w:r>
      <w:r w:rsidR="007759CA" w:rsidRPr="00996758">
        <w:rPr>
          <w:rFonts w:ascii="Verdana" w:hAnsi="Verdana"/>
          <w:sz w:val="20"/>
          <w:szCs w:val="20"/>
        </w:rPr>
        <w:t>situaciones de riesgo o vulnerabilidad</w:t>
      </w:r>
      <w:r w:rsidRPr="00996758">
        <w:rPr>
          <w:rFonts w:ascii="Verdana" w:hAnsi="Verdana"/>
          <w:sz w:val="20"/>
          <w:szCs w:val="20"/>
        </w:rPr>
        <w:t xml:space="preserve"> a determinadas personas, grupos o comunidades de la población civil en el marco del conflicto armado. </w:t>
      </w:r>
      <w:r w:rsidR="00F13F9B" w:rsidRPr="00996758">
        <w:rPr>
          <w:rFonts w:ascii="Verdana" w:hAnsi="Verdana"/>
          <w:sz w:val="20"/>
          <w:szCs w:val="20"/>
        </w:rPr>
        <w:t>Si bien e</w:t>
      </w:r>
      <w:r w:rsidRPr="00996758">
        <w:rPr>
          <w:rFonts w:ascii="Verdana" w:hAnsi="Verdana"/>
          <w:sz w:val="20"/>
          <w:szCs w:val="20"/>
        </w:rPr>
        <w:t>sto plantea un debate acerca de los límites o excepciones a los principios de transparencia y acceso a la informac</w:t>
      </w:r>
      <w:r w:rsidR="00F13F9B" w:rsidRPr="00996758">
        <w:rPr>
          <w:rFonts w:ascii="Verdana" w:hAnsi="Verdana"/>
          <w:sz w:val="20"/>
          <w:szCs w:val="20"/>
        </w:rPr>
        <w:t xml:space="preserve">ión en una sociedad democrática, en relación con </w:t>
      </w:r>
      <w:r w:rsidRPr="00996758">
        <w:rPr>
          <w:rFonts w:ascii="Verdana" w:hAnsi="Verdana"/>
          <w:sz w:val="20"/>
          <w:szCs w:val="20"/>
        </w:rPr>
        <w:t>la doctri</w:t>
      </w:r>
      <w:r w:rsidR="00F13F9B" w:rsidRPr="00996758">
        <w:rPr>
          <w:rFonts w:ascii="Verdana" w:hAnsi="Verdana"/>
          <w:sz w:val="20"/>
          <w:szCs w:val="20"/>
        </w:rPr>
        <w:t>na militar, l</w:t>
      </w:r>
      <w:r w:rsidRPr="00996758">
        <w:rPr>
          <w:rFonts w:ascii="Verdana" w:hAnsi="Verdana"/>
          <w:sz w:val="20"/>
          <w:szCs w:val="20"/>
        </w:rPr>
        <w:t xml:space="preserve">a Corte </w:t>
      </w:r>
      <w:r w:rsidR="00263F39" w:rsidRPr="00996758">
        <w:rPr>
          <w:rFonts w:ascii="Verdana" w:hAnsi="Verdana"/>
          <w:sz w:val="20"/>
          <w:szCs w:val="20"/>
        </w:rPr>
        <w:t xml:space="preserve">estima </w:t>
      </w:r>
      <w:r w:rsidR="00F13F9B" w:rsidRPr="00996758">
        <w:rPr>
          <w:rFonts w:ascii="Verdana" w:hAnsi="Verdana"/>
          <w:sz w:val="20"/>
          <w:szCs w:val="20"/>
        </w:rPr>
        <w:t xml:space="preserve">que en este momento la información aportada no le permite adoptar una decisión más específica acerca de los manuales y reglamentos en cuestión o de la necesidad de revelar o publicar la doctrina militar actual. Sin perjuicio de ello, </w:t>
      </w:r>
      <w:r w:rsidR="00263F39" w:rsidRPr="00996758">
        <w:rPr>
          <w:rFonts w:ascii="Verdana" w:hAnsi="Verdana"/>
          <w:sz w:val="20"/>
          <w:szCs w:val="20"/>
        </w:rPr>
        <w:t xml:space="preserve">el Tribunal </w:t>
      </w:r>
      <w:r w:rsidRPr="00996758">
        <w:rPr>
          <w:rFonts w:ascii="Verdana" w:hAnsi="Verdana"/>
          <w:sz w:val="20"/>
          <w:szCs w:val="20"/>
        </w:rPr>
        <w:t xml:space="preserve">estima imprescindible que, en el marco de la transición hacia la paz y el fortalecimiento de una sociedad democrática, sea posible </w:t>
      </w:r>
      <w:r w:rsidR="00263F39" w:rsidRPr="00996758">
        <w:rPr>
          <w:rFonts w:ascii="Verdana" w:hAnsi="Verdana"/>
          <w:sz w:val="20"/>
          <w:szCs w:val="20"/>
        </w:rPr>
        <w:t xml:space="preserve">que </w:t>
      </w:r>
      <w:r w:rsidRPr="00996758">
        <w:rPr>
          <w:rFonts w:ascii="Verdana" w:hAnsi="Verdana"/>
          <w:sz w:val="20"/>
          <w:szCs w:val="20"/>
        </w:rPr>
        <w:t xml:space="preserve">el Estado </w:t>
      </w:r>
      <w:r w:rsidR="00EE39BB" w:rsidRPr="00996758">
        <w:rPr>
          <w:rFonts w:ascii="Verdana" w:hAnsi="Verdana"/>
          <w:sz w:val="20"/>
          <w:szCs w:val="20"/>
        </w:rPr>
        <w:t xml:space="preserve">garantice </w:t>
      </w:r>
      <w:r w:rsidRPr="00996758">
        <w:rPr>
          <w:rFonts w:ascii="Verdana" w:hAnsi="Verdana"/>
          <w:sz w:val="20"/>
          <w:szCs w:val="20"/>
        </w:rPr>
        <w:t xml:space="preserve">el derecho de la sociedad colombiana de </w:t>
      </w:r>
      <w:r w:rsidR="00263F39" w:rsidRPr="00996758">
        <w:rPr>
          <w:rFonts w:ascii="Verdana" w:hAnsi="Verdana"/>
          <w:sz w:val="20"/>
          <w:szCs w:val="20"/>
        </w:rPr>
        <w:t xml:space="preserve">conocer, en una </w:t>
      </w:r>
      <w:r w:rsidRPr="00996758">
        <w:rPr>
          <w:rFonts w:ascii="Verdana" w:hAnsi="Verdana"/>
          <w:sz w:val="20"/>
          <w:szCs w:val="20"/>
        </w:rPr>
        <w:t>amplia</w:t>
      </w:r>
      <w:r w:rsidR="00EE39BB" w:rsidRPr="00996758">
        <w:rPr>
          <w:rFonts w:ascii="Verdana" w:hAnsi="Verdana"/>
          <w:sz w:val="20"/>
          <w:szCs w:val="20"/>
        </w:rPr>
        <w:t xml:space="preserve"> deliberación pública</w:t>
      </w:r>
      <w:r w:rsidR="00263F39" w:rsidRPr="00996758">
        <w:rPr>
          <w:rFonts w:ascii="Verdana" w:hAnsi="Verdana"/>
          <w:sz w:val="20"/>
          <w:szCs w:val="20"/>
        </w:rPr>
        <w:t xml:space="preserve">, </w:t>
      </w:r>
      <w:r w:rsidRPr="00996758">
        <w:rPr>
          <w:rFonts w:ascii="Verdana" w:hAnsi="Verdana"/>
          <w:sz w:val="20"/>
          <w:szCs w:val="20"/>
        </w:rPr>
        <w:t xml:space="preserve">este tipo de información y establecer los parámetros y límites para que la actuación de las Fuerzas Armadas y la definición de los medios y métodos de guerra se mantengan en estricta línea con el Derecho Internacional Humanitario y el Derecho Internacional de los Derechos Humanos. </w:t>
      </w:r>
    </w:p>
    <w:p w:rsidR="006510B8" w:rsidRPr="00996758" w:rsidRDefault="006510B8" w:rsidP="006510B8">
      <w:pPr>
        <w:pBdr>
          <w:top w:val="nil"/>
        </w:pBdr>
        <w:autoSpaceDE w:val="0"/>
        <w:autoSpaceDN w:val="0"/>
        <w:adjustRightInd w:val="0"/>
        <w:spacing w:after="0" w:line="240" w:lineRule="auto"/>
        <w:jc w:val="both"/>
        <w:rPr>
          <w:rFonts w:ascii="Verdana" w:hAnsi="Verdana"/>
          <w:b/>
          <w:sz w:val="20"/>
          <w:szCs w:val="20"/>
        </w:rPr>
      </w:pPr>
    </w:p>
    <w:p w:rsidR="006510B8" w:rsidRPr="00996758" w:rsidRDefault="006510B8"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este sentido, la Corte estima razonable que, en la medida en que se vaya estableciendo la paz en el territorio, el control social y la prevención del delito </w:t>
      </w:r>
      <w:r w:rsidR="00834E15" w:rsidRPr="00996758">
        <w:rPr>
          <w:rFonts w:ascii="Verdana" w:hAnsi="Verdana"/>
          <w:sz w:val="20"/>
          <w:szCs w:val="20"/>
        </w:rPr>
        <w:t>queden</w:t>
      </w:r>
      <w:r w:rsidRPr="00996758">
        <w:rPr>
          <w:rFonts w:ascii="Verdana" w:hAnsi="Verdana"/>
          <w:sz w:val="20"/>
          <w:szCs w:val="20"/>
        </w:rPr>
        <w:t xml:space="preserve"> en manos de las fuerzas policiales o de seguridad y las Fuerzas Armadas vuelvan a sus funciones específicas, como corresponde a un Estado de derecho condicionante de una coexistencia pacífica.</w:t>
      </w:r>
    </w:p>
    <w:p w:rsidR="00B072B4" w:rsidRPr="00996758" w:rsidRDefault="00B072B4" w:rsidP="00B072B4">
      <w:pPr>
        <w:pBdr>
          <w:top w:val="nil"/>
        </w:pBdr>
        <w:autoSpaceDE w:val="0"/>
        <w:autoSpaceDN w:val="0"/>
        <w:adjustRightInd w:val="0"/>
        <w:spacing w:after="0" w:line="240" w:lineRule="auto"/>
        <w:jc w:val="both"/>
        <w:rPr>
          <w:rFonts w:ascii="Verdana" w:hAnsi="Verdana"/>
          <w:sz w:val="20"/>
          <w:szCs w:val="20"/>
        </w:rPr>
      </w:pPr>
    </w:p>
    <w:p w:rsidR="00D275ED" w:rsidRPr="00996758" w:rsidRDefault="00D275ED" w:rsidP="00B072B4">
      <w:pPr>
        <w:pBdr>
          <w:top w:val="nil"/>
        </w:pBdr>
        <w:autoSpaceDE w:val="0"/>
        <w:autoSpaceDN w:val="0"/>
        <w:adjustRightInd w:val="0"/>
        <w:spacing w:after="0" w:line="240" w:lineRule="auto"/>
        <w:jc w:val="both"/>
        <w:rPr>
          <w:rFonts w:ascii="Verdana" w:hAnsi="Verdana"/>
          <w:sz w:val="20"/>
          <w:szCs w:val="20"/>
        </w:rPr>
      </w:pPr>
    </w:p>
    <w:p w:rsidR="0072796F" w:rsidRPr="00996758" w:rsidRDefault="0072796F" w:rsidP="0072796F">
      <w:pPr>
        <w:pBdr>
          <w:top w:val="nil"/>
        </w:pBdr>
        <w:autoSpaceDE w:val="0"/>
        <w:autoSpaceDN w:val="0"/>
        <w:adjustRightInd w:val="0"/>
        <w:spacing w:after="0" w:line="240" w:lineRule="auto"/>
        <w:ind w:left="1416"/>
        <w:jc w:val="both"/>
        <w:rPr>
          <w:rFonts w:ascii="Verdana" w:hAnsi="Verdana"/>
          <w:i/>
          <w:sz w:val="20"/>
          <w:szCs w:val="20"/>
        </w:rPr>
      </w:pPr>
      <w:r w:rsidRPr="00996758">
        <w:rPr>
          <w:rFonts w:ascii="Verdana" w:hAnsi="Verdana"/>
          <w:i/>
          <w:sz w:val="20"/>
          <w:szCs w:val="20"/>
        </w:rPr>
        <w:t>F.2</w:t>
      </w:r>
      <w:r w:rsidRPr="00996758">
        <w:rPr>
          <w:rFonts w:ascii="Verdana" w:hAnsi="Verdana"/>
          <w:i/>
          <w:sz w:val="20"/>
          <w:szCs w:val="20"/>
        </w:rPr>
        <w:tab/>
        <w:t xml:space="preserve">Otras medidas </w:t>
      </w:r>
    </w:p>
    <w:p w:rsidR="0072796F" w:rsidRPr="00996758" w:rsidRDefault="0072796F" w:rsidP="00B072B4">
      <w:pPr>
        <w:pBdr>
          <w:top w:val="nil"/>
        </w:pBdr>
        <w:autoSpaceDE w:val="0"/>
        <w:autoSpaceDN w:val="0"/>
        <w:adjustRightInd w:val="0"/>
        <w:spacing w:after="0" w:line="240" w:lineRule="auto"/>
        <w:jc w:val="both"/>
        <w:rPr>
          <w:rFonts w:ascii="Verdana" w:hAnsi="Verdana"/>
          <w:sz w:val="20"/>
          <w:szCs w:val="20"/>
        </w:rPr>
      </w:pPr>
    </w:p>
    <w:p w:rsidR="00B072B4" w:rsidRPr="00996758" w:rsidRDefault="00B072B4" w:rsidP="00B072B4">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En cuanto a las demás medidas de reparación solicitadas</w:t>
      </w:r>
      <w:r w:rsidRPr="00996758">
        <w:rPr>
          <w:rStyle w:val="FootnoteReference"/>
          <w:rFonts w:ascii="Verdana" w:hAnsi="Verdana"/>
          <w:sz w:val="20"/>
          <w:szCs w:val="20"/>
        </w:rPr>
        <w:footnoteReference w:id="194"/>
      </w:r>
      <w:r w:rsidRPr="00996758">
        <w:rPr>
          <w:rFonts w:ascii="Verdana" w:hAnsi="Verdana"/>
          <w:sz w:val="20"/>
          <w:szCs w:val="20"/>
        </w:rPr>
        <w:t>, el Tribunal considera que la presente Sentencia constituye, por sí misma,</w:t>
      </w:r>
      <w:r w:rsidRPr="00996758">
        <w:rPr>
          <w:rFonts w:ascii="Verdana" w:hAnsi="Verdana"/>
          <w:i/>
          <w:sz w:val="20"/>
          <w:szCs w:val="20"/>
        </w:rPr>
        <w:t xml:space="preserve"> </w:t>
      </w:r>
      <w:r w:rsidRPr="00996758">
        <w:rPr>
          <w:rFonts w:ascii="Verdana" w:hAnsi="Verdana"/>
          <w:sz w:val="20"/>
          <w:szCs w:val="20"/>
        </w:rPr>
        <w:t>una forma de reparación, por lo cual no es pertinente ordenarlas.</w:t>
      </w:r>
    </w:p>
    <w:p w:rsidR="00B072B4" w:rsidRPr="00996758" w:rsidRDefault="00B072B4">
      <w:pPr>
        <w:pBdr>
          <w:top w:val="nil"/>
        </w:pBdr>
        <w:autoSpaceDE w:val="0"/>
        <w:autoSpaceDN w:val="0"/>
        <w:adjustRightInd w:val="0"/>
        <w:spacing w:after="0" w:line="240" w:lineRule="auto"/>
        <w:jc w:val="both"/>
        <w:rPr>
          <w:rFonts w:ascii="Verdana" w:hAnsi="Verdana"/>
          <w:sz w:val="20"/>
          <w:szCs w:val="20"/>
        </w:rPr>
      </w:pPr>
    </w:p>
    <w:p w:rsidR="00111BE2" w:rsidRPr="00996758" w:rsidRDefault="00111BE2">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59" w:name="_Toc505877010"/>
      <w:bookmarkStart w:id="60" w:name="_Toc530560077"/>
      <w:r w:rsidRPr="00996758">
        <w:rPr>
          <w:rFonts w:ascii="Verdana" w:eastAsia="Times New Roman" w:hAnsi="Verdana" w:cs="Times New Roman"/>
          <w:bCs w:val="0"/>
          <w:i/>
          <w:color w:val="auto"/>
          <w:sz w:val="20"/>
          <w:szCs w:val="20"/>
        </w:rPr>
        <w:t>Costas y gastos</w:t>
      </w:r>
      <w:bookmarkEnd w:id="59"/>
      <w:bookmarkEnd w:id="60"/>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90E18"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Los </w:t>
      </w:r>
      <w:r w:rsidR="00607AFC" w:rsidRPr="00996758">
        <w:rPr>
          <w:rFonts w:ascii="Verdana" w:hAnsi="Verdana"/>
          <w:b/>
          <w:i/>
          <w:sz w:val="20"/>
          <w:szCs w:val="20"/>
        </w:rPr>
        <w:t>representante</w:t>
      </w:r>
      <w:r w:rsidRPr="00996758">
        <w:rPr>
          <w:rFonts w:ascii="Verdana" w:hAnsi="Verdana"/>
          <w:b/>
          <w:i/>
          <w:sz w:val="20"/>
          <w:szCs w:val="20"/>
        </w:rPr>
        <w:t>s</w:t>
      </w:r>
      <w:r w:rsidRPr="00996758">
        <w:rPr>
          <w:rFonts w:ascii="Verdana" w:hAnsi="Verdana"/>
          <w:sz w:val="20"/>
          <w:szCs w:val="20"/>
        </w:rPr>
        <w:t xml:space="preserve"> manifestaron que d</w:t>
      </w:r>
      <w:r w:rsidRPr="00996758">
        <w:rPr>
          <w:rFonts w:ascii="Verdana" w:eastAsia="Verdana" w:hAnsi="Verdana" w:cs="Verdana"/>
          <w:sz w:val="20"/>
          <w:szCs w:val="20"/>
        </w:rPr>
        <w:t>esde la presentación del caso como representante</w:t>
      </w:r>
      <w:r w:rsidR="005C6E5A" w:rsidRPr="00996758">
        <w:rPr>
          <w:rFonts w:ascii="Verdana" w:eastAsia="Verdana" w:hAnsi="Verdana" w:cs="Verdana"/>
          <w:sz w:val="20"/>
          <w:szCs w:val="20"/>
        </w:rPr>
        <w:t>s</w:t>
      </w:r>
      <w:r w:rsidRPr="00996758">
        <w:rPr>
          <w:rFonts w:ascii="Verdana" w:eastAsia="Verdana" w:hAnsi="Verdana" w:cs="Verdana"/>
          <w:sz w:val="20"/>
          <w:szCs w:val="20"/>
        </w:rPr>
        <w:t xml:space="preserve"> de la</w:t>
      </w:r>
      <w:r w:rsidR="005C6E5A" w:rsidRPr="00996758">
        <w:rPr>
          <w:rFonts w:ascii="Verdana" w:eastAsia="Verdana" w:hAnsi="Verdana" w:cs="Verdana"/>
          <w:sz w:val="20"/>
          <w:szCs w:val="20"/>
        </w:rPr>
        <w:t>s</w:t>
      </w:r>
      <w:r w:rsidRPr="00996758">
        <w:rPr>
          <w:rFonts w:ascii="Verdana" w:eastAsia="Verdana" w:hAnsi="Verdana" w:cs="Verdana"/>
          <w:sz w:val="20"/>
          <w:szCs w:val="20"/>
        </w:rPr>
        <w:t xml:space="preserve"> víctima</w:t>
      </w:r>
      <w:r w:rsidR="005C6E5A" w:rsidRPr="00996758">
        <w:rPr>
          <w:rFonts w:ascii="Verdana" w:eastAsia="Verdana" w:hAnsi="Verdana" w:cs="Verdana"/>
          <w:sz w:val="20"/>
          <w:szCs w:val="20"/>
        </w:rPr>
        <w:t>s</w:t>
      </w:r>
      <w:r w:rsidRPr="00996758">
        <w:rPr>
          <w:rFonts w:ascii="Verdana" w:eastAsia="Verdana" w:hAnsi="Verdana" w:cs="Verdana"/>
          <w:sz w:val="20"/>
          <w:szCs w:val="20"/>
        </w:rPr>
        <w:t>, la</w:t>
      </w:r>
      <w:r w:rsidR="00D30097" w:rsidRPr="00996758">
        <w:rPr>
          <w:rFonts w:ascii="Verdana" w:eastAsia="Verdana" w:hAnsi="Verdana" w:cs="Verdana"/>
          <w:sz w:val="20"/>
          <w:szCs w:val="20"/>
        </w:rPr>
        <w:t xml:space="preserve"> organización</w:t>
      </w:r>
      <w:r w:rsidRPr="00996758">
        <w:rPr>
          <w:rFonts w:ascii="Verdana" w:eastAsia="Verdana" w:hAnsi="Verdana" w:cs="Verdana"/>
          <w:sz w:val="20"/>
          <w:szCs w:val="20"/>
        </w:rPr>
        <w:t xml:space="preserve"> Comisión Colombiana de Juristas ha afrontado una serie de gastos</w:t>
      </w:r>
      <w:r w:rsidR="00357167" w:rsidRPr="00996758">
        <w:rPr>
          <w:rFonts w:ascii="Verdana" w:eastAsia="Verdana" w:hAnsi="Verdana" w:cs="Verdana"/>
          <w:sz w:val="20"/>
          <w:szCs w:val="20"/>
        </w:rPr>
        <w:t>, por lo cual s</w:t>
      </w:r>
      <w:r w:rsidRPr="00996758">
        <w:rPr>
          <w:rFonts w:ascii="Verdana" w:eastAsia="Verdana" w:hAnsi="Verdana" w:cs="Verdana"/>
          <w:sz w:val="20"/>
          <w:szCs w:val="20"/>
        </w:rPr>
        <w:t>olicitaron que se ordene el reembolso de US</w:t>
      </w:r>
      <w:r w:rsidR="00834E15" w:rsidRPr="00996758">
        <w:rPr>
          <w:rFonts w:ascii="Verdana" w:eastAsia="Verdana" w:hAnsi="Verdana" w:cs="Verdana"/>
          <w:sz w:val="20"/>
          <w:szCs w:val="20"/>
        </w:rPr>
        <w:t xml:space="preserve">D </w:t>
      </w:r>
      <w:r w:rsidRPr="00996758">
        <w:rPr>
          <w:rFonts w:ascii="Verdana" w:eastAsia="Verdana" w:hAnsi="Verdana" w:cs="Verdana"/>
          <w:sz w:val="20"/>
          <w:szCs w:val="20"/>
        </w:rPr>
        <w:t>$400,00 dólares</w:t>
      </w:r>
      <w:r w:rsidRPr="00996758">
        <w:rPr>
          <w:rStyle w:val="FootnoteReference"/>
          <w:rFonts w:ascii="Verdana" w:eastAsia="Verdana" w:hAnsi="Verdana" w:cs="Verdana"/>
          <w:sz w:val="20"/>
          <w:szCs w:val="20"/>
        </w:rPr>
        <w:footnoteReference w:id="195"/>
      </w:r>
      <w:r w:rsidR="006C3663" w:rsidRPr="00996758">
        <w:rPr>
          <w:rFonts w:ascii="Verdana" w:eastAsia="Verdana" w:hAnsi="Verdana" w:cs="Verdana"/>
          <w:sz w:val="20"/>
          <w:szCs w:val="20"/>
        </w:rPr>
        <w:t>, así como</w:t>
      </w:r>
      <w:r w:rsidR="00357167" w:rsidRPr="00996758">
        <w:rPr>
          <w:rFonts w:ascii="Verdana" w:eastAsia="Verdana" w:hAnsi="Verdana" w:cs="Verdana"/>
          <w:sz w:val="20"/>
          <w:szCs w:val="20"/>
        </w:rPr>
        <w:t xml:space="preserve"> de</w:t>
      </w:r>
      <w:r w:rsidR="001B6FA6" w:rsidRPr="00996758">
        <w:rPr>
          <w:rFonts w:ascii="Verdana" w:eastAsia="Verdana" w:hAnsi="Verdana" w:cs="Verdana"/>
          <w:sz w:val="20"/>
          <w:szCs w:val="20"/>
        </w:rPr>
        <w:t xml:space="preserve"> US</w:t>
      </w:r>
      <w:r w:rsidR="00834E15" w:rsidRPr="00996758">
        <w:rPr>
          <w:rFonts w:ascii="Verdana" w:eastAsia="Verdana" w:hAnsi="Verdana" w:cs="Verdana"/>
          <w:sz w:val="20"/>
          <w:szCs w:val="20"/>
        </w:rPr>
        <w:t xml:space="preserve">D </w:t>
      </w:r>
      <w:r w:rsidR="001B6FA6" w:rsidRPr="00996758">
        <w:rPr>
          <w:rFonts w:ascii="Verdana" w:eastAsia="Verdana" w:hAnsi="Verdana" w:cs="Verdana"/>
          <w:sz w:val="20"/>
          <w:szCs w:val="20"/>
        </w:rPr>
        <w:t xml:space="preserve">$20.000,00 dólares, </w:t>
      </w:r>
      <w:r w:rsidRPr="00996758">
        <w:rPr>
          <w:rFonts w:ascii="Verdana" w:eastAsia="Verdana" w:hAnsi="Verdana" w:cs="Verdana"/>
          <w:sz w:val="20"/>
          <w:szCs w:val="20"/>
        </w:rPr>
        <w:t>por concepto de gastos y costas</w:t>
      </w:r>
      <w:r w:rsidRPr="00996758">
        <w:rPr>
          <w:rStyle w:val="FootnoteReference"/>
          <w:rFonts w:ascii="Verdana" w:eastAsia="Verdana" w:hAnsi="Verdana" w:cs="Verdana"/>
          <w:sz w:val="20"/>
          <w:szCs w:val="20"/>
        </w:rPr>
        <w:footnoteReference w:id="196"/>
      </w:r>
      <w:r w:rsidRPr="00996758">
        <w:rPr>
          <w:rFonts w:ascii="Verdana" w:eastAsia="Verdana" w:hAnsi="Verdana" w:cs="Verdana"/>
          <w:sz w:val="20"/>
          <w:szCs w:val="20"/>
        </w:rPr>
        <w:t>.</w:t>
      </w:r>
    </w:p>
    <w:p w:rsidR="00607AFC" w:rsidRPr="00996758" w:rsidRDefault="00607AFC">
      <w:pPr>
        <w:pBdr>
          <w:top w:val="nil"/>
        </w:pBdr>
        <w:autoSpaceDE w:val="0"/>
        <w:autoSpaceDN w:val="0"/>
        <w:adjustRightInd w:val="0"/>
        <w:spacing w:after="0" w:line="240" w:lineRule="auto"/>
        <w:jc w:val="both"/>
        <w:rPr>
          <w:rFonts w:ascii="Verdana" w:hAnsi="Verdana"/>
          <w:sz w:val="20"/>
          <w:szCs w:val="20"/>
          <w:lang w:bidi="en-US"/>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lang w:bidi="en-US"/>
        </w:rPr>
        <w:t>La</w:t>
      </w:r>
      <w:r w:rsidRPr="00996758">
        <w:rPr>
          <w:rFonts w:ascii="Verdana" w:hAnsi="Verdana"/>
          <w:b/>
          <w:sz w:val="20"/>
          <w:szCs w:val="20"/>
        </w:rPr>
        <w:t xml:space="preserve"> </w:t>
      </w:r>
      <w:r w:rsidRPr="00996758">
        <w:rPr>
          <w:rFonts w:ascii="Verdana" w:hAnsi="Verdana"/>
          <w:b/>
          <w:i/>
          <w:sz w:val="20"/>
          <w:szCs w:val="20"/>
        </w:rPr>
        <w:t>Corte</w:t>
      </w:r>
      <w:r w:rsidRPr="00996758">
        <w:rPr>
          <w:rFonts w:ascii="Verdana" w:hAnsi="Verdana"/>
          <w:sz w:val="20"/>
          <w:szCs w:val="20"/>
        </w:rPr>
        <w:t xml:space="preserve"> reitera que, conforme a su jurisprudencia</w:t>
      </w:r>
      <w:r w:rsidRPr="00996758">
        <w:rPr>
          <w:rFonts w:ascii="Verdana" w:hAnsi="Verdana"/>
          <w:sz w:val="20"/>
          <w:szCs w:val="20"/>
          <w:vertAlign w:val="superscript"/>
        </w:rPr>
        <w:footnoteReference w:id="197"/>
      </w:r>
      <w:r w:rsidRPr="00996758">
        <w:rPr>
          <w:rFonts w:ascii="Verdana" w:hAnsi="Verdana"/>
          <w:sz w:val="20"/>
          <w:szCs w:val="20"/>
        </w:rPr>
        <w:t>, las costas y gastos hacen parte del concepto de reparación establecido en el artículo 63.1 de la Convención, toda vez que las actividades desplegadas por las víctimas con el fin de obtener justicia, tanto a nivel nacional como internacional, implican erogaciones que deben ser compensadas cuando la responsabilidad internacional del Estado es declarada medi</w:t>
      </w:r>
      <w:r w:rsidR="004032CE" w:rsidRPr="00996758">
        <w:rPr>
          <w:rFonts w:ascii="Verdana" w:hAnsi="Verdana"/>
          <w:sz w:val="20"/>
          <w:szCs w:val="20"/>
        </w:rPr>
        <w:t>ante una sentencia condenatoria</w:t>
      </w:r>
      <w:r w:rsidRPr="00996758">
        <w:rPr>
          <w:rFonts w:ascii="Verdana" w:eastAsia="Verdana" w:hAnsi="Verdana" w:cs="Verdana"/>
          <w:spacing w:val="11"/>
          <w:sz w:val="20"/>
          <w:szCs w:val="20"/>
          <w:vertAlign w:val="superscript"/>
        </w:rPr>
        <w:footnoteReference w:id="198"/>
      </w:r>
      <w:r w:rsidRPr="00996758">
        <w:rPr>
          <w:rFonts w:ascii="Verdana" w:hAnsi="Verdana"/>
          <w:sz w:val="20"/>
          <w:szCs w:val="20"/>
        </w:rPr>
        <w:t>.</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90E18"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w:t>
      </w:r>
      <w:r w:rsidR="00607AFC" w:rsidRPr="00996758">
        <w:rPr>
          <w:rFonts w:ascii="Verdana" w:hAnsi="Verdana"/>
          <w:sz w:val="20"/>
          <w:szCs w:val="20"/>
        </w:rPr>
        <w:t xml:space="preserve">l Tribunal estima </w:t>
      </w:r>
      <w:r w:rsidR="00F74AB7" w:rsidRPr="00996758">
        <w:rPr>
          <w:rFonts w:ascii="Verdana" w:hAnsi="Verdana"/>
          <w:sz w:val="20"/>
          <w:szCs w:val="20"/>
        </w:rPr>
        <w:t>razonable disponer que el Estado pague</w:t>
      </w:r>
      <w:r w:rsidR="00607AFC" w:rsidRPr="00996758">
        <w:rPr>
          <w:rFonts w:ascii="Verdana" w:hAnsi="Verdana"/>
          <w:sz w:val="20"/>
          <w:szCs w:val="20"/>
        </w:rPr>
        <w:t xml:space="preserve"> la cantidad de USD $20.</w:t>
      </w:r>
      <w:r w:rsidR="006C686A" w:rsidRPr="00996758">
        <w:rPr>
          <w:rFonts w:ascii="Verdana" w:hAnsi="Verdana"/>
          <w:sz w:val="20"/>
          <w:szCs w:val="20"/>
        </w:rPr>
        <w:t>4</w:t>
      </w:r>
      <w:r w:rsidR="00607AFC" w:rsidRPr="00996758">
        <w:rPr>
          <w:rFonts w:ascii="Verdana" w:hAnsi="Verdana"/>
          <w:sz w:val="20"/>
          <w:szCs w:val="20"/>
        </w:rPr>
        <w:t xml:space="preserve">00,00 (veinte mil </w:t>
      </w:r>
      <w:r w:rsidR="006C686A" w:rsidRPr="00996758">
        <w:rPr>
          <w:rFonts w:ascii="Verdana" w:hAnsi="Verdana"/>
          <w:sz w:val="20"/>
          <w:szCs w:val="20"/>
        </w:rPr>
        <w:t xml:space="preserve">cuatrocientos </w:t>
      </w:r>
      <w:r w:rsidR="00607AFC" w:rsidRPr="00996758">
        <w:rPr>
          <w:rFonts w:ascii="Verdana" w:hAnsi="Verdana"/>
          <w:sz w:val="20"/>
          <w:szCs w:val="20"/>
        </w:rPr>
        <w:t>dólares de los Estados Unidos de América)</w:t>
      </w:r>
      <w:r w:rsidR="00F74AB7" w:rsidRPr="00996758">
        <w:rPr>
          <w:rFonts w:ascii="Verdana" w:hAnsi="Verdana"/>
          <w:sz w:val="20"/>
          <w:szCs w:val="20"/>
        </w:rPr>
        <w:t xml:space="preserve"> por concepto de gastos y costas de litigio</w:t>
      </w:r>
      <w:r w:rsidR="00607AFC" w:rsidRPr="00996758">
        <w:rPr>
          <w:rFonts w:ascii="Verdana" w:hAnsi="Verdana"/>
          <w:sz w:val="20"/>
          <w:szCs w:val="20"/>
        </w:rPr>
        <w:t>. El Estado debe entregar esta compensación directamente a</w:t>
      </w:r>
      <w:r w:rsidR="00577D11" w:rsidRPr="00996758">
        <w:rPr>
          <w:rFonts w:ascii="Verdana" w:hAnsi="Verdana"/>
          <w:sz w:val="20"/>
          <w:szCs w:val="20"/>
        </w:rPr>
        <w:t xml:space="preserve"> </w:t>
      </w:r>
      <w:r w:rsidR="00607AFC" w:rsidRPr="00996758">
        <w:rPr>
          <w:rFonts w:ascii="Verdana" w:hAnsi="Verdana"/>
          <w:sz w:val="20"/>
          <w:szCs w:val="20"/>
        </w:rPr>
        <w:t>l</w:t>
      </w:r>
      <w:r w:rsidR="00577D11" w:rsidRPr="00996758">
        <w:rPr>
          <w:rFonts w:ascii="Verdana" w:hAnsi="Verdana"/>
          <w:sz w:val="20"/>
          <w:szCs w:val="20"/>
        </w:rPr>
        <w:t>os</w:t>
      </w:r>
      <w:r w:rsidR="00607AFC" w:rsidRPr="00996758">
        <w:rPr>
          <w:rFonts w:ascii="Verdana" w:hAnsi="Verdana"/>
          <w:sz w:val="20"/>
          <w:szCs w:val="20"/>
        </w:rPr>
        <w:t xml:space="preserve"> representante</w:t>
      </w:r>
      <w:r w:rsidR="00577D11" w:rsidRPr="00996758">
        <w:rPr>
          <w:rFonts w:ascii="Verdana" w:hAnsi="Verdana"/>
          <w:sz w:val="20"/>
          <w:szCs w:val="20"/>
        </w:rPr>
        <w:t>s</w:t>
      </w:r>
      <w:r w:rsidR="00607AFC" w:rsidRPr="00996758">
        <w:rPr>
          <w:rFonts w:ascii="Verdana" w:hAnsi="Verdana"/>
          <w:sz w:val="20"/>
          <w:szCs w:val="20"/>
        </w:rPr>
        <w:t xml:space="preserve"> en el plazo fijado al efecto (</w:t>
      </w:r>
      <w:r w:rsidR="00607AFC" w:rsidRPr="00996758">
        <w:rPr>
          <w:rFonts w:ascii="Verdana" w:hAnsi="Verdana"/>
          <w:i/>
          <w:sz w:val="20"/>
          <w:szCs w:val="20"/>
        </w:rPr>
        <w:t xml:space="preserve">infra </w:t>
      </w:r>
      <w:r w:rsidR="00607AFC" w:rsidRPr="00996758">
        <w:rPr>
          <w:rFonts w:ascii="Verdana" w:hAnsi="Verdana"/>
          <w:sz w:val="20"/>
          <w:szCs w:val="20"/>
        </w:rPr>
        <w:t xml:space="preserve">párr. </w:t>
      </w:r>
      <w:r w:rsidR="005C6E5A" w:rsidRPr="00996758">
        <w:rPr>
          <w:rFonts w:ascii="Verdana" w:hAnsi="Verdana"/>
          <w:sz w:val="20"/>
          <w:szCs w:val="20"/>
        </w:rPr>
        <w:t>214</w:t>
      </w:r>
      <w:r w:rsidR="00607AFC" w:rsidRPr="00996758">
        <w:rPr>
          <w:rFonts w:ascii="Verdana" w:hAnsi="Verdana"/>
          <w:sz w:val="20"/>
          <w:szCs w:val="20"/>
        </w:rPr>
        <w:t xml:space="preserve">). </w:t>
      </w:r>
      <w:r w:rsidR="00CB6527" w:rsidRPr="00996758">
        <w:rPr>
          <w:rFonts w:ascii="Verdana" w:hAnsi="Verdana"/>
          <w:sz w:val="20"/>
          <w:szCs w:val="20"/>
        </w:rPr>
        <w:t>En la etapa de supervisión de cumplimiento de la presente Sentencia, la Corte podrá disponer el reembolso por parte del Estado a las víctimas o a sus representantes de gastos posteriores razonables y debidamente comprobados.</w:t>
      </w:r>
    </w:p>
    <w:p w:rsidR="00937CB8" w:rsidRPr="00996758" w:rsidRDefault="00937CB8" w:rsidP="00DC7CD8">
      <w:pPr>
        <w:spacing w:after="0" w:line="240" w:lineRule="auto"/>
        <w:jc w:val="both"/>
        <w:rPr>
          <w:rFonts w:ascii="Verdana" w:hAnsi="Verdana" w:cs="Verdana"/>
          <w:b/>
          <w:i/>
          <w:sz w:val="20"/>
          <w:szCs w:val="20"/>
        </w:rPr>
      </w:pPr>
    </w:p>
    <w:p w:rsidR="00111BE2" w:rsidRPr="00996758" w:rsidRDefault="00111BE2" w:rsidP="00DC7CD8">
      <w:pPr>
        <w:spacing w:after="0" w:line="240" w:lineRule="auto"/>
        <w:jc w:val="both"/>
        <w:rPr>
          <w:rFonts w:ascii="Verdana" w:hAnsi="Verdana" w:cs="Verdana"/>
          <w:b/>
          <w:i/>
          <w:sz w:val="20"/>
          <w:szCs w:val="20"/>
        </w:rPr>
      </w:pPr>
    </w:p>
    <w:p w:rsidR="00D275ED" w:rsidRPr="00996758" w:rsidRDefault="00D275ED" w:rsidP="00DC7CD8">
      <w:pPr>
        <w:spacing w:after="0" w:line="240" w:lineRule="auto"/>
        <w:jc w:val="both"/>
        <w:rPr>
          <w:rFonts w:ascii="Verdana" w:hAnsi="Verdana" w:cs="Verdana"/>
          <w:b/>
          <w:i/>
          <w:sz w:val="20"/>
          <w:szCs w:val="20"/>
        </w:rPr>
      </w:pPr>
    </w:p>
    <w:p w:rsidR="00D275ED" w:rsidRPr="00996758" w:rsidRDefault="00D275ED" w:rsidP="00DC7CD8">
      <w:pPr>
        <w:spacing w:after="0" w:line="240" w:lineRule="auto"/>
        <w:jc w:val="both"/>
        <w:rPr>
          <w:rFonts w:ascii="Verdana" w:hAnsi="Verdana" w:cs="Verdana"/>
          <w:b/>
          <w:i/>
          <w:sz w:val="20"/>
          <w:szCs w:val="20"/>
        </w:rPr>
      </w:pPr>
    </w:p>
    <w:p w:rsidR="00D275ED" w:rsidRPr="00996758" w:rsidRDefault="00D275ED" w:rsidP="00DC7CD8">
      <w:pPr>
        <w:spacing w:after="0" w:line="240" w:lineRule="auto"/>
        <w:jc w:val="both"/>
        <w:rPr>
          <w:rFonts w:ascii="Verdana" w:hAnsi="Verdana" w:cs="Verdana"/>
          <w:b/>
          <w:i/>
          <w:sz w:val="20"/>
          <w:szCs w:val="20"/>
        </w:rPr>
      </w:pPr>
    </w:p>
    <w:p w:rsidR="00937CB8" w:rsidRPr="00996758" w:rsidRDefault="00937CB8" w:rsidP="00AE1DD8">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61" w:name="__RefHeading___Toc11862_2005225395"/>
      <w:bookmarkStart w:id="62" w:name="_Toc375560986"/>
      <w:bookmarkStart w:id="63" w:name="_Toc442987396"/>
      <w:bookmarkStart w:id="64" w:name="_Toc476251471"/>
      <w:bookmarkStart w:id="65" w:name="_Toc530560078"/>
      <w:bookmarkEnd w:id="61"/>
      <w:bookmarkEnd w:id="62"/>
      <w:r w:rsidRPr="00996758">
        <w:rPr>
          <w:rFonts w:ascii="Verdana" w:eastAsia="Times New Roman" w:hAnsi="Verdana" w:cs="Times New Roman"/>
          <w:bCs w:val="0"/>
          <w:i/>
          <w:color w:val="auto"/>
          <w:sz w:val="20"/>
          <w:szCs w:val="20"/>
        </w:rPr>
        <w:lastRenderedPageBreak/>
        <w:t>Reintegro de los gastos al Fondo de Asistencia Legal de Víctimas</w:t>
      </w:r>
      <w:bookmarkEnd w:id="63"/>
      <w:bookmarkEnd w:id="64"/>
      <w:bookmarkEnd w:id="65"/>
    </w:p>
    <w:p w:rsidR="00937CB8" w:rsidRPr="00996758" w:rsidRDefault="00937CB8">
      <w:pPr>
        <w:autoSpaceDE w:val="0"/>
        <w:autoSpaceDN w:val="0"/>
        <w:adjustRightInd w:val="0"/>
        <w:spacing w:after="0" w:line="240" w:lineRule="auto"/>
        <w:ind w:right="49"/>
        <w:contextualSpacing/>
        <w:jc w:val="both"/>
        <w:rPr>
          <w:rFonts w:ascii="Verdana" w:hAnsi="Verdana" w:cs="Verdana"/>
          <w:sz w:val="20"/>
          <w:szCs w:val="20"/>
        </w:rPr>
      </w:pPr>
    </w:p>
    <w:p w:rsidR="00937CB8" w:rsidRPr="00996758" w:rsidRDefault="00937CB8" w:rsidP="00DC7CD8">
      <w:pPr>
        <w:numPr>
          <w:ilvl w:val="0"/>
          <w:numId w:val="10"/>
        </w:numPr>
        <w:autoSpaceDE w:val="0"/>
        <w:autoSpaceDN w:val="0"/>
        <w:adjustRightInd w:val="0"/>
        <w:spacing w:after="0" w:line="240" w:lineRule="auto"/>
        <w:ind w:left="0" w:right="49" w:firstLine="0"/>
        <w:contextualSpacing/>
        <w:jc w:val="both"/>
        <w:rPr>
          <w:rFonts w:ascii="Verdana" w:hAnsi="Verdana"/>
          <w:sz w:val="20"/>
          <w:szCs w:val="20"/>
        </w:rPr>
      </w:pPr>
      <w:r w:rsidRPr="00996758">
        <w:rPr>
          <w:rFonts w:ascii="Verdana" w:hAnsi="Verdana"/>
          <w:sz w:val="20"/>
          <w:szCs w:val="20"/>
        </w:rPr>
        <w:t xml:space="preserve">El Presidente aprobó la asistencia económica necesaria para cubrir determinados gastos de las víctimas con cargo al </w:t>
      </w:r>
      <w:r w:rsidR="00357167" w:rsidRPr="00996758">
        <w:rPr>
          <w:rFonts w:ascii="Verdana" w:hAnsi="Verdana"/>
          <w:sz w:val="20"/>
          <w:szCs w:val="20"/>
        </w:rPr>
        <w:t>Fondo de Asistencia Legal</w:t>
      </w:r>
      <w:r w:rsidRPr="00996758">
        <w:rPr>
          <w:rFonts w:ascii="Verdana" w:hAnsi="Verdana"/>
          <w:sz w:val="20"/>
          <w:szCs w:val="20"/>
        </w:rPr>
        <w:t>. El informe de tales gastos fue oportunamente remitido al Estado</w:t>
      </w:r>
      <w:r w:rsidR="00582829" w:rsidRPr="00996758">
        <w:rPr>
          <w:rStyle w:val="FootnoteReference"/>
          <w:rFonts w:ascii="Verdana" w:hAnsi="Verdana"/>
          <w:sz w:val="20"/>
          <w:szCs w:val="20"/>
        </w:rPr>
        <w:footnoteReference w:id="199"/>
      </w:r>
      <w:r w:rsidRPr="00996758">
        <w:rPr>
          <w:rFonts w:ascii="Verdana" w:hAnsi="Verdana"/>
          <w:sz w:val="20"/>
          <w:szCs w:val="20"/>
        </w:rPr>
        <w:t xml:space="preserve">, el cual </w:t>
      </w:r>
      <w:r w:rsidR="00AB1EF3" w:rsidRPr="00996758">
        <w:rPr>
          <w:rFonts w:ascii="Verdana" w:hAnsi="Verdana"/>
          <w:sz w:val="20"/>
          <w:szCs w:val="20"/>
        </w:rPr>
        <w:t xml:space="preserve">manifestó que no tenía </w:t>
      </w:r>
      <w:r w:rsidRPr="00996758">
        <w:rPr>
          <w:rFonts w:ascii="Verdana" w:hAnsi="Verdana"/>
          <w:sz w:val="20"/>
          <w:szCs w:val="20"/>
        </w:rPr>
        <w:t>observaciones.</w:t>
      </w:r>
      <w:r w:rsidR="00582829" w:rsidRPr="00996758">
        <w:rPr>
          <w:rFonts w:ascii="Verdana" w:hAnsi="Verdana"/>
          <w:sz w:val="20"/>
          <w:szCs w:val="20"/>
        </w:rPr>
        <w:t xml:space="preserve"> </w:t>
      </w:r>
      <w:r w:rsidRPr="00996758">
        <w:rPr>
          <w:rFonts w:ascii="Verdana" w:hAnsi="Verdana"/>
          <w:sz w:val="20"/>
          <w:szCs w:val="20"/>
        </w:rPr>
        <w:t>En consecuencia, en aplicación del artículo 5 del Reglamento del Fondo, la Corte ordena al Estado el reintegro a</w:t>
      </w:r>
      <w:r w:rsidR="00582829" w:rsidRPr="00996758">
        <w:rPr>
          <w:rFonts w:ascii="Verdana" w:hAnsi="Verdana"/>
          <w:sz w:val="20"/>
          <w:szCs w:val="20"/>
        </w:rPr>
        <w:t>l</w:t>
      </w:r>
      <w:r w:rsidRPr="00996758">
        <w:rPr>
          <w:rFonts w:ascii="Verdana" w:hAnsi="Verdana"/>
          <w:sz w:val="20"/>
          <w:szCs w:val="20"/>
        </w:rPr>
        <w:t xml:space="preserve"> Fondo de la cantidad </w:t>
      </w:r>
      <w:r w:rsidR="0008630B" w:rsidRPr="00996758">
        <w:rPr>
          <w:rFonts w:ascii="Verdana" w:hAnsi="Verdana"/>
          <w:sz w:val="20"/>
          <w:szCs w:val="20"/>
        </w:rPr>
        <w:t>de US</w:t>
      </w:r>
      <w:r w:rsidR="00834E15" w:rsidRPr="00996758">
        <w:rPr>
          <w:rFonts w:ascii="Verdana" w:hAnsi="Verdana"/>
          <w:sz w:val="20"/>
          <w:szCs w:val="20"/>
        </w:rPr>
        <w:t xml:space="preserve">D </w:t>
      </w:r>
      <w:r w:rsidR="0008630B" w:rsidRPr="00996758">
        <w:rPr>
          <w:rFonts w:ascii="Verdana" w:hAnsi="Verdana"/>
          <w:sz w:val="20"/>
          <w:szCs w:val="20"/>
        </w:rPr>
        <w:t>$1</w:t>
      </w:r>
      <w:r w:rsidRPr="00996758">
        <w:rPr>
          <w:rFonts w:ascii="Verdana" w:hAnsi="Verdana"/>
          <w:sz w:val="20"/>
          <w:szCs w:val="20"/>
        </w:rPr>
        <w:t>.</w:t>
      </w:r>
      <w:r w:rsidR="0008630B" w:rsidRPr="00996758">
        <w:rPr>
          <w:rFonts w:ascii="Verdana" w:hAnsi="Verdana"/>
          <w:sz w:val="20"/>
          <w:szCs w:val="20"/>
        </w:rPr>
        <w:t>172</w:t>
      </w:r>
      <w:r w:rsidRPr="00996758">
        <w:rPr>
          <w:rFonts w:ascii="Verdana" w:hAnsi="Verdana"/>
          <w:sz w:val="20"/>
          <w:szCs w:val="20"/>
        </w:rPr>
        <w:t>,</w:t>
      </w:r>
      <w:r w:rsidR="0008630B" w:rsidRPr="00996758">
        <w:rPr>
          <w:rFonts w:ascii="Verdana" w:hAnsi="Verdana"/>
          <w:sz w:val="20"/>
          <w:szCs w:val="20"/>
        </w:rPr>
        <w:t>70</w:t>
      </w:r>
      <w:r w:rsidRPr="00996758">
        <w:rPr>
          <w:rFonts w:ascii="Verdana" w:hAnsi="Verdana"/>
          <w:sz w:val="20"/>
          <w:szCs w:val="20"/>
        </w:rPr>
        <w:t xml:space="preserve"> (mil </w:t>
      </w:r>
      <w:r w:rsidR="0008630B" w:rsidRPr="00996758">
        <w:rPr>
          <w:rFonts w:ascii="Verdana" w:hAnsi="Verdana"/>
          <w:sz w:val="20"/>
          <w:szCs w:val="20"/>
        </w:rPr>
        <w:t xml:space="preserve">ciento setenta y dos </w:t>
      </w:r>
      <w:r w:rsidRPr="00996758">
        <w:rPr>
          <w:rFonts w:ascii="Verdana" w:hAnsi="Verdana"/>
          <w:sz w:val="20"/>
          <w:szCs w:val="20"/>
        </w:rPr>
        <w:t xml:space="preserve">dólares de los Estados Unidos de América con </w:t>
      </w:r>
      <w:r w:rsidR="0008630B" w:rsidRPr="00996758">
        <w:rPr>
          <w:rFonts w:ascii="Verdana" w:hAnsi="Verdana"/>
          <w:sz w:val="20"/>
          <w:szCs w:val="20"/>
        </w:rPr>
        <w:t xml:space="preserve">setenta </w:t>
      </w:r>
      <w:r w:rsidRPr="00996758">
        <w:rPr>
          <w:rFonts w:ascii="Verdana" w:hAnsi="Verdana"/>
          <w:sz w:val="20"/>
          <w:szCs w:val="20"/>
        </w:rPr>
        <w:t>centavos) por concepto de los gastos pagados en aplicación del Fondo. Dicha cantidad deberá ser reintegrada a la Corte Interamericana en el plazo de seis meses, contados a partir de la notificación del presente Fallo.</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111BE2" w:rsidRPr="00996758" w:rsidRDefault="00111BE2">
      <w:pPr>
        <w:pBdr>
          <w:top w:val="nil"/>
        </w:pBdr>
        <w:autoSpaceDE w:val="0"/>
        <w:autoSpaceDN w:val="0"/>
        <w:adjustRightInd w:val="0"/>
        <w:spacing w:after="0" w:line="240" w:lineRule="auto"/>
        <w:jc w:val="both"/>
        <w:rPr>
          <w:rFonts w:ascii="Verdana" w:hAnsi="Verdana"/>
          <w:sz w:val="20"/>
          <w:szCs w:val="20"/>
        </w:rPr>
      </w:pPr>
    </w:p>
    <w:p w:rsidR="00D275ED" w:rsidRPr="00996758" w:rsidRDefault="00D275ED">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pPr>
        <w:pStyle w:val="Heading2"/>
        <w:keepLines w:val="0"/>
        <w:numPr>
          <w:ilvl w:val="0"/>
          <w:numId w:val="29"/>
        </w:numPr>
        <w:spacing w:before="0" w:line="240" w:lineRule="auto"/>
        <w:ind w:left="1134"/>
        <w:jc w:val="both"/>
        <w:rPr>
          <w:rFonts w:ascii="Verdana" w:eastAsia="Times New Roman" w:hAnsi="Verdana" w:cs="Times New Roman"/>
          <w:bCs w:val="0"/>
          <w:i/>
          <w:color w:val="auto"/>
          <w:sz w:val="20"/>
          <w:szCs w:val="20"/>
        </w:rPr>
      </w:pPr>
      <w:bookmarkStart w:id="66" w:name="_Toc530560079"/>
      <w:r w:rsidRPr="00996758">
        <w:rPr>
          <w:rFonts w:ascii="Verdana" w:eastAsia="Times New Roman" w:hAnsi="Verdana" w:cs="Times New Roman"/>
          <w:bCs w:val="0"/>
          <w:i/>
          <w:color w:val="auto"/>
          <w:sz w:val="20"/>
          <w:szCs w:val="20"/>
        </w:rPr>
        <w:t>Modalidad</w:t>
      </w:r>
      <w:r w:rsidR="000D3900" w:rsidRPr="00996758">
        <w:rPr>
          <w:rFonts w:ascii="Verdana" w:eastAsia="Times New Roman" w:hAnsi="Verdana" w:cs="Times New Roman"/>
          <w:bCs w:val="0"/>
          <w:i/>
          <w:color w:val="auto"/>
          <w:sz w:val="20"/>
          <w:szCs w:val="20"/>
        </w:rPr>
        <w:t>es</w:t>
      </w:r>
      <w:r w:rsidRPr="00996758">
        <w:rPr>
          <w:rFonts w:ascii="Verdana" w:eastAsia="Times New Roman" w:hAnsi="Verdana" w:cs="Times New Roman"/>
          <w:bCs w:val="0"/>
          <w:i/>
          <w:color w:val="auto"/>
          <w:sz w:val="20"/>
          <w:szCs w:val="20"/>
        </w:rPr>
        <w:t xml:space="preserve"> de cumplimiento de los pagos ordenados</w:t>
      </w:r>
      <w:bookmarkEnd w:id="66"/>
    </w:p>
    <w:p w:rsidR="00607AFC" w:rsidRPr="00996758" w:rsidRDefault="00607AFC">
      <w:pPr>
        <w:pBdr>
          <w:top w:val="nil"/>
        </w:pBdr>
        <w:tabs>
          <w:tab w:val="left" w:pos="5398"/>
        </w:tabs>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El Estado deberá efectuar el pago de las indemnizaciones dispuestas en la presente Sentencia por concepto de daños materiales e inmateriales, así como el reintegro de costas y gastos</w:t>
      </w:r>
      <w:r w:rsidR="00A16222" w:rsidRPr="00996758">
        <w:rPr>
          <w:rFonts w:ascii="Verdana" w:hAnsi="Verdana"/>
          <w:sz w:val="20"/>
          <w:szCs w:val="20"/>
        </w:rPr>
        <w:t>,</w:t>
      </w:r>
      <w:r w:rsidRPr="00996758">
        <w:rPr>
          <w:rFonts w:ascii="Verdana" w:hAnsi="Verdana"/>
          <w:sz w:val="20"/>
          <w:szCs w:val="20"/>
        </w:rPr>
        <w:t xml:space="preserve"> directamente </w:t>
      </w:r>
      <w:r w:rsidR="00A16222" w:rsidRPr="00996758">
        <w:rPr>
          <w:rFonts w:ascii="Verdana" w:hAnsi="Verdana"/>
          <w:sz w:val="20"/>
          <w:szCs w:val="20"/>
        </w:rPr>
        <w:t>a las personas indicadas en esta Sentencia</w:t>
      </w:r>
      <w:r w:rsidRPr="00996758">
        <w:rPr>
          <w:rFonts w:ascii="Verdana" w:hAnsi="Verdana"/>
          <w:sz w:val="20"/>
          <w:szCs w:val="20"/>
        </w:rPr>
        <w:t xml:space="preserve">, dentro del plazo de un año, contado a partir de la notificación </w:t>
      </w:r>
      <w:r w:rsidR="00A16222" w:rsidRPr="00996758">
        <w:rPr>
          <w:rFonts w:ascii="Verdana" w:hAnsi="Verdana"/>
          <w:sz w:val="20"/>
          <w:szCs w:val="20"/>
        </w:rPr>
        <w:t>de la misma</w:t>
      </w:r>
      <w:r w:rsidR="0068357D" w:rsidRPr="00996758">
        <w:rPr>
          <w:rFonts w:ascii="Verdana" w:hAnsi="Verdana"/>
          <w:sz w:val="20"/>
          <w:szCs w:val="20"/>
        </w:rPr>
        <w:t>, sin perjuicio de que pueda desarrollar el pago completo en un plazo menor</w:t>
      </w:r>
      <w:r w:rsidRPr="00996758">
        <w:rPr>
          <w:rFonts w:ascii="Verdana" w:hAnsi="Verdana"/>
          <w:sz w:val="20"/>
          <w:szCs w:val="20"/>
        </w:rPr>
        <w:t>.</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2A2F91"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En caso de que los beneficiarios (distinto</w:t>
      </w:r>
      <w:r w:rsidR="00D30097" w:rsidRPr="00996758">
        <w:rPr>
          <w:rFonts w:ascii="Verdana" w:hAnsi="Verdana"/>
          <w:sz w:val="20"/>
          <w:szCs w:val="20"/>
        </w:rPr>
        <w:t>s</w:t>
      </w:r>
      <w:r w:rsidRPr="00996758">
        <w:rPr>
          <w:rFonts w:ascii="Verdana" w:hAnsi="Verdana"/>
          <w:sz w:val="20"/>
          <w:szCs w:val="20"/>
        </w:rPr>
        <w:t xml:space="preserve"> a la víctima de</w:t>
      </w:r>
      <w:r w:rsidR="00D30097" w:rsidRPr="00996758">
        <w:rPr>
          <w:rFonts w:ascii="Verdana" w:hAnsi="Verdana"/>
          <w:sz w:val="20"/>
          <w:szCs w:val="20"/>
        </w:rPr>
        <w:t xml:space="preserve"> la</w:t>
      </w:r>
      <w:r w:rsidRPr="00996758">
        <w:rPr>
          <w:rFonts w:ascii="Verdana" w:hAnsi="Verdana"/>
          <w:sz w:val="20"/>
          <w:szCs w:val="20"/>
        </w:rPr>
        <w:t xml:space="preserve"> desaparición forzada</w:t>
      </w:r>
      <w:r w:rsidR="00D30097" w:rsidRPr="00996758">
        <w:rPr>
          <w:rFonts w:ascii="Verdana" w:hAnsi="Verdana"/>
          <w:sz w:val="20"/>
          <w:szCs w:val="20"/>
        </w:rPr>
        <w:t xml:space="preserve"> como tal</w:t>
      </w:r>
      <w:r w:rsidRPr="00996758">
        <w:rPr>
          <w:rFonts w:ascii="Verdana" w:hAnsi="Verdana"/>
          <w:sz w:val="20"/>
          <w:szCs w:val="20"/>
        </w:rPr>
        <w:t xml:space="preserve">), hayan fallecido o fallezcan antes de que les sea entregada la indemnización respectiva, ésta se efectuará directamente a sus derechohabientes, conforme al derecho interno aplicable. La distribución de las indemnizaciones dispuestas a favor de la víctima de desaparición forzada deberá realizarse conforme a lo dispuesto en los párrafos </w:t>
      </w:r>
      <w:r w:rsidR="00C5679F" w:rsidRPr="00996758">
        <w:rPr>
          <w:rFonts w:ascii="Verdana" w:hAnsi="Verdana"/>
          <w:sz w:val="20"/>
          <w:szCs w:val="20"/>
        </w:rPr>
        <w:t>196</w:t>
      </w:r>
      <w:r w:rsidR="00DB0919" w:rsidRPr="00996758">
        <w:rPr>
          <w:rFonts w:ascii="Verdana" w:hAnsi="Verdana"/>
          <w:sz w:val="20"/>
          <w:szCs w:val="20"/>
        </w:rPr>
        <w:t xml:space="preserve"> y </w:t>
      </w:r>
      <w:r w:rsidR="00C5679F" w:rsidRPr="00996758">
        <w:rPr>
          <w:rFonts w:ascii="Verdana" w:hAnsi="Verdana"/>
          <w:sz w:val="20"/>
          <w:szCs w:val="20"/>
        </w:rPr>
        <w:t xml:space="preserve">201 </w:t>
      </w:r>
      <w:r w:rsidRPr="00996758">
        <w:rPr>
          <w:rFonts w:ascii="Verdana" w:hAnsi="Verdana"/>
          <w:sz w:val="20"/>
          <w:szCs w:val="20"/>
        </w:rPr>
        <w:t>de esta Sentencia.</w:t>
      </w:r>
    </w:p>
    <w:p w:rsidR="00582829" w:rsidRPr="00996758" w:rsidRDefault="00582829">
      <w:pPr>
        <w:pBdr>
          <w:top w:val="nil"/>
        </w:pBdr>
        <w:autoSpaceDE w:val="0"/>
        <w:autoSpaceDN w:val="0"/>
        <w:adjustRightInd w:val="0"/>
        <w:spacing w:after="0" w:line="240" w:lineRule="auto"/>
        <w:jc w:val="both"/>
        <w:rPr>
          <w:rFonts w:ascii="Verdana" w:hAnsi="Verdana"/>
          <w:sz w:val="20"/>
          <w:szCs w:val="20"/>
        </w:rPr>
      </w:pPr>
    </w:p>
    <w:p w:rsidR="00A16222" w:rsidRPr="00996758" w:rsidRDefault="00A16222"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El Estado debe cumplir sus obligaciones monetarias mediante el pago en dólares de los Estados Unidos de América o su equivalente en moneda nacional, utilizando para el cálculo respectivo el tipo de cambio que se encuentre vigente en la bolsa de Nueva York, Estados Unidos de América, el día anterior al pago. </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Si por causas atribuibles a los beneficiarios de las indemnizaciones o, en su caso a sus derechohabientes, no fuese posible el pago de las cantidades determinadas dentro del plazo indicado, el Estado consignará dichos montos a su favor en una cuenta o certificado de depósito en una institución financiera </w:t>
      </w:r>
      <w:r w:rsidR="00EC6C14" w:rsidRPr="00996758">
        <w:rPr>
          <w:rFonts w:ascii="Verdana" w:hAnsi="Verdana"/>
          <w:sz w:val="20"/>
          <w:szCs w:val="20"/>
        </w:rPr>
        <w:t>colombiana</w:t>
      </w:r>
      <w:r w:rsidRPr="00996758">
        <w:rPr>
          <w:rFonts w:ascii="Verdana" w:hAnsi="Verdana"/>
          <w:sz w:val="20"/>
          <w:szCs w:val="20"/>
        </w:rPr>
        <w:t xml:space="preserve"> solvente, en dólares estadounidenses y en las condiciones financieras más favorables que permitan la legislación y la práctica bancaria. Si no se reclama la indemnización correspondiente una vez transcurridos diez años, las cantidades serán devueltas al Estado con los intereses devengados.</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Las cantidades asignadas en la presente Sentencia como indemnizaciones y como reintegro de costas y gastos deberán ser entregadas a las personas</w:t>
      </w:r>
      <w:r w:rsidR="0068357D" w:rsidRPr="00996758">
        <w:rPr>
          <w:rFonts w:ascii="Verdana" w:hAnsi="Verdana"/>
          <w:sz w:val="20"/>
          <w:szCs w:val="20"/>
        </w:rPr>
        <w:t xml:space="preserve"> y organizaciones</w:t>
      </w:r>
      <w:r w:rsidRPr="00996758">
        <w:rPr>
          <w:rFonts w:ascii="Verdana" w:hAnsi="Verdana"/>
          <w:sz w:val="20"/>
          <w:szCs w:val="20"/>
        </w:rPr>
        <w:t xml:space="preserve"> indicadas en forma íntegra conforme a lo establecido en este Fallo, sin reducciones derivadas de eventuales cargas fiscales.</w:t>
      </w:r>
    </w:p>
    <w:p w:rsidR="00607AFC" w:rsidRPr="00996758" w:rsidRDefault="00607AFC">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rsidP="00DC7CD8">
      <w:pPr>
        <w:numPr>
          <w:ilvl w:val="0"/>
          <w:numId w:val="10"/>
        </w:numPr>
        <w:pBdr>
          <w:top w:val="nil"/>
        </w:pBdr>
        <w:autoSpaceDE w:val="0"/>
        <w:autoSpaceDN w:val="0"/>
        <w:adjustRightInd w:val="0"/>
        <w:spacing w:after="0" w:line="240" w:lineRule="auto"/>
        <w:ind w:left="0" w:firstLine="0"/>
        <w:jc w:val="both"/>
        <w:rPr>
          <w:rFonts w:ascii="Verdana" w:hAnsi="Verdana"/>
          <w:sz w:val="20"/>
          <w:szCs w:val="20"/>
        </w:rPr>
      </w:pPr>
      <w:r w:rsidRPr="00996758">
        <w:rPr>
          <w:rFonts w:ascii="Verdana" w:hAnsi="Verdana"/>
          <w:sz w:val="20"/>
          <w:szCs w:val="20"/>
        </w:rPr>
        <w:t xml:space="preserve">En caso de que el Estado incurriera en mora, deberá pagar un interés sobre la cantidad adeudada correspondiente al interés bancario moratorio en </w:t>
      </w:r>
      <w:r w:rsidR="00EC6C14" w:rsidRPr="00996758">
        <w:rPr>
          <w:rFonts w:ascii="Verdana" w:hAnsi="Verdana"/>
          <w:sz w:val="20"/>
          <w:szCs w:val="20"/>
        </w:rPr>
        <w:t>Colombia</w:t>
      </w:r>
      <w:r w:rsidRPr="00996758">
        <w:rPr>
          <w:rFonts w:ascii="Verdana" w:hAnsi="Verdana"/>
          <w:sz w:val="20"/>
          <w:szCs w:val="20"/>
        </w:rPr>
        <w:t>.</w:t>
      </w:r>
    </w:p>
    <w:p w:rsidR="00E5057E" w:rsidRPr="00996758" w:rsidRDefault="00E5057E">
      <w:pPr>
        <w:pBdr>
          <w:top w:val="nil"/>
        </w:pBdr>
        <w:autoSpaceDE w:val="0"/>
        <w:autoSpaceDN w:val="0"/>
        <w:adjustRightInd w:val="0"/>
        <w:spacing w:after="0" w:line="240" w:lineRule="auto"/>
        <w:jc w:val="both"/>
        <w:rPr>
          <w:rFonts w:ascii="Verdana" w:hAnsi="Verdana"/>
          <w:sz w:val="20"/>
          <w:szCs w:val="20"/>
        </w:rPr>
      </w:pPr>
    </w:p>
    <w:p w:rsidR="00111BE2" w:rsidRPr="00996758" w:rsidRDefault="00111BE2">
      <w:pPr>
        <w:pBdr>
          <w:top w:val="nil"/>
        </w:pBdr>
        <w:autoSpaceDE w:val="0"/>
        <w:autoSpaceDN w:val="0"/>
        <w:adjustRightInd w:val="0"/>
        <w:spacing w:after="0" w:line="240" w:lineRule="auto"/>
        <w:jc w:val="both"/>
        <w:rPr>
          <w:rFonts w:ascii="Verdana" w:hAnsi="Verdana"/>
          <w:sz w:val="20"/>
          <w:szCs w:val="20"/>
        </w:rPr>
      </w:pPr>
    </w:p>
    <w:p w:rsidR="00607AFC" w:rsidRPr="00996758" w:rsidRDefault="00607AFC">
      <w:pPr>
        <w:pStyle w:val="Heading1"/>
      </w:pPr>
      <w:bookmarkStart w:id="67" w:name="_Toc442987398"/>
      <w:bookmarkStart w:id="68" w:name="_Toc476251472"/>
      <w:bookmarkStart w:id="69" w:name="_Toc530560080"/>
      <w:r w:rsidRPr="00996758">
        <w:lastRenderedPageBreak/>
        <w:t>X</w:t>
      </w:r>
      <w:r w:rsidRPr="00996758">
        <w:br/>
        <w:t>PUNTOS RESOLUTIVOS</w:t>
      </w:r>
      <w:bookmarkEnd w:id="67"/>
      <w:bookmarkEnd w:id="68"/>
      <w:bookmarkEnd w:id="69"/>
    </w:p>
    <w:p w:rsidR="00111BE2" w:rsidRPr="00996758" w:rsidRDefault="00111BE2" w:rsidP="00111BE2">
      <w:pPr>
        <w:autoSpaceDE w:val="0"/>
        <w:autoSpaceDN w:val="0"/>
        <w:adjustRightInd w:val="0"/>
        <w:spacing w:after="0" w:line="240" w:lineRule="auto"/>
        <w:ind w:right="49"/>
        <w:contextualSpacing/>
        <w:jc w:val="both"/>
        <w:rPr>
          <w:rFonts w:ascii="Verdana" w:hAnsi="Verdana"/>
          <w:sz w:val="20"/>
          <w:szCs w:val="20"/>
        </w:rPr>
      </w:pPr>
    </w:p>
    <w:p w:rsidR="00607AFC" w:rsidRPr="00996758" w:rsidRDefault="00607AFC" w:rsidP="00916C89">
      <w:pPr>
        <w:numPr>
          <w:ilvl w:val="0"/>
          <w:numId w:val="10"/>
        </w:numPr>
        <w:autoSpaceDE w:val="0"/>
        <w:autoSpaceDN w:val="0"/>
        <w:adjustRightInd w:val="0"/>
        <w:spacing w:after="0" w:line="240" w:lineRule="auto"/>
        <w:ind w:left="0" w:right="49" w:firstLine="0"/>
        <w:contextualSpacing/>
        <w:jc w:val="both"/>
        <w:rPr>
          <w:rFonts w:ascii="Verdana" w:hAnsi="Verdana"/>
          <w:sz w:val="20"/>
          <w:szCs w:val="20"/>
        </w:rPr>
      </w:pPr>
      <w:r w:rsidRPr="00996758">
        <w:rPr>
          <w:rFonts w:ascii="Verdana" w:hAnsi="Verdana"/>
          <w:sz w:val="20"/>
          <w:szCs w:val="20"/>
        </w:rPr>
        <w:t>Por tanto,</w:t>
      </w:r>
    </w:p>
    <w:p w:rsidR="00607AFC" w:rsidRPr="00996758" w:rsidRDefault="00607AFC">
      <w:pPr>
        <w:spacing w:after="0" w:line="240" w:lineRule="auto"/>
        <w:jc w:val="both"/>
        <w:rPr>
          <w:rFonts w:ascii="Verdana" w:hAnsi="Verdana"/>
          <w:b/>
          <w:smallCaps/>
          <w:sz w:val="20"/>
          <w:szCs w:val="20"/>
        </w:rPr>
      </w:pPr>
    </w:p>
    <w:p w:rsidR="00D275ED" w:rsidRPr="00996758" w:rsidRDefault="00D275ED">
      <w:pPr>
        <w:spacing w:after="0" w:line="240" w:lineRule="auto"/>
        <w:jc w:val="both"/>
        <w:rPr>
          <w:rFonts w:ascii="Verdana" w:hAnsi="Verdana"/>
          <w:b/>
          <w:smallCaps/>
          <w:sz w:val="20"/>
          <w:szCs w:val="20"/>
        </w:rPr>
      </w:pPr>
    </w:p>
    <w:p w:rsidR="00607AFC" w:rsidRPr="00996758" w:rsidRDefault="00607AFC">
      <w:pPr>
        <w:spacing w:after="0" w:line="240" w:lineRule="auto"/>
        <w:jc w:val="both"/>
        <w:rPr>
          <w:rFonts w:ascii="Verdana" w:hAnsi="Verdana"/>
          <w:b/>
          <w:smallCaps/>
          <w:sz w:val="20"/>
          <w:szCs w:val="20"/>
        </w:rPr>
      </w:pPr>
      <w:r w:rsidRPr="00996758">
        <w:rPr>
          <w:rFonts w:ascii="Verdana" w:hAnsi="Verdana"/>
          <w:b/>
          <w:smallCaps/>
          <w:sz w:val="20"/>
          <w:szCs w:val="20"/>
        </w:rPr>
        <w:t>LA CORTE</w:t>
      </w:r>
    </w:p>
    <w:p w:rsidR="00111BE2" w:rsidRPr="00996758" w:rsidRDefault="00111BE2" w:rsidP="00CC52CC">
      <w:pPr>
        <w:pStyle w:val="Default"/>
        <w:jc w:val="both"/>
        <w:rPr>
          <w:b/>
          <w:bCs/>
          <w:spacing w:val="-2"/>
          <w:sz w:val="20"/>
          <w:szCs w:val="20"/>
        </w:rPr>
      </w:pPr>
      <w:bookmarkStart w:id="70" w:name="_Toc368399874"/>
    </w:p>
    <w:p w:rsidR="00D275ED" w:rsidRPr="00996758" w:rsidRDefault="00D275ED" w:rsidP="00CC52CC">
      <w:pPr>
        <w:pStyle w:val="Default"/>
        <w:jc w:val="both"/>
        <w:rPr>
          <w:b/>
          <w:bCs/>
          <w:spacing w:val="-2"/>
          <w:sz w:val="20"/>
          <w:szCs w:val="20"/>
        </w:rPr>
      </w:pPr>
    </w:p>
    <w:p w:rsidR="00CC52CC" w:rsidRPr="00996758" w:rsidRDefault="00CC52CC" w:rsidP="00CC52CC">
      <w:pPr>
        <w:pStyle w:val="Default"/>
        <w:jc w:val="both"/>
        <w:rPr>
          <w:b/>
          <w:bCs/>
          <w:spacing w:val="-2"/>
          <w:sz w:val="20"/>
          <w:szCs w:val="20"/>
        </w:rPr>
      </w:pPr>
      <w:r w:rsidRPr="00996758">
        <w:rPr>
          <w:b/>
          <w:bCs/>
          <w:spacing w:val="-2"/>
          <w:sz w:val="20"/>
          <w:szCs w:val="20"/>
        </w:rPr>
        <w:t xml:space="preserve">DECIDE, </w:t>
      </w:r>
    </w:p>
    <w:p w:rsidR="00111BE2" w:rsidRPr="00996758" w:rsidRDefault="00111BE2" w:rsidP="00CC52CC">
      <w:pPr>
        <w:pStyle w:val="Default"/>
        <w:jc w:val="both"/>
        <w:rPr>
          <w:spacing w:val="-2"/>
          <w:sz w:val="20"/>
          <w:szCs w:val="20"/>
        </w:rPr>
      </w:pPr>
    </w:p>
    <w:p w:rsidR="00CC52CC" w:rsidRPr="00996758" w:rsidRDefault="00CC52CC" w:rsidP="00CC52CC">
      <w:pPr>
        <w:pStyle w:val="Default"/>
        <w:jc w:val="both"/>
        <w:rPr>
          <w:spacing w:val="-2"/>
          <w:sz w:val="20"/>
          <w:szCs w:val="20"/>
        </w:rPr>
      </w:pPr>
      <w:r w:rsidRPr="00996758">
        <w:rPr>
          <w:spacing w:val="-2"/>
          <w:sz w:val="20"/>
          <w:szCs w:val="20"/>
        </w:rPr>
        <w:t xml:space="preserve">por </w:t>
      </w:r>
      <w:r w:rsidR="003548D5" w:rsidRPr="00996758">
        <w:rPr>
          <w:spacing w:val="-2"/>
          <w:sz w:val="20"/>
          <w:szCs w:val="20"/>
        </w:rPr>
        <w:t xml:space="preserve">unanimidad, </w:t>
      </w:r>
    </w:p>
    <w:p w:rsidR="00111BE2" w:rsidRPr="00996758" w:rsidRDefault="00111BE2" w:rsidP="00CC52CC">
      <w:pPr>
        <w:pStyle w:val="Default"/>
        <w:jc w:val="both"/>
        <w:rPr>
          <w:spacing w:val="-2"/>
          <w:sz w:val="20"/>
          <w:szCs w:val="20"/>
        </w:rPr>
      </w:pPr>
    </w:p>
    <w:p w:rsidR="00CC52CC" w:rsidRPr="00996758" w:rsidRDefault="00CC52CC" w:rsidP="00CC52CC">
      <w:pPr>
        <w:pStyle w:val="Default"/>
        <w:numPr>
          <w:ilvl w:val="0"/>
          <w:numId w:val="42"/>
        </w:numPr>
        <w:ind w:left="0" w:firstLine="0"/>
        <w:jc w:val="both"/>
        <w:rPr>
          <w:spacing w:val="-2"/>
          <w:sz w:val="20"/>
          <w:szCs w:val="20"/>
        </w:rPr>
      </w:pPr>
      <w:r w:rsidRPr="00996758">
        <w:rPr>
          <w:spacing w:val="-2"/>
          <w:sz w:val="20"/>
          <w:szCs w:val="20"/>
        </w:rPr>
        <w:t xml:space="preserve">Aceptar el reconocimiento parcial de responsabilidad internacional efectuado por el Estado, en los términos de los párrafos 27 a 32 de esta Sentencia. </w:t>
      </w:r>
    </w:p>
    <w:p w:rsidR="00111BE2" w:rsidRPr="00996758" w:rsidRDefault="00111BE2">
      <w:pPr>
        <w:spacing w:after="0" w:line="240" w:lineRule="auto"/>
        <w:jc w:val="both"/>
        <w:rPr>
          <w:rFonts w:ascii="Verdana" w:hAnsi="Verdana"/>
          <w:smallCaps/>
          <w:sz w:val="20"/>
          <w:szCs w:val="20"/>
        </w:rPr>
      </w:pPr>
    </w:p>
    <w:p w:rsidR="00CC52CC" w:rsidRPr="00996758" w:rsidRDefault="00CC52CC">
      <w:pPr>
        <w:spacing w:after="0" w:line="240" w:lineRule="auto"/>
        <w:jc w:val="both"/>
        <w:rPr>
          <w:rFonts w:ascii="Verdana" w:hAnsi="Verdana"/>
          <w:b/>
          <w:smallCaps/>
          <w:sz w:val="20"/>
          <w:szCs w:val="20"/>
        </w:rPr>
      </w:pPr>
    </w:p>
    <w:p w:rsidR="00607AFC" w:rsidRPr="00996758" w:rsidRDefault="00607AFC">
      <w:pPr>
        <w:spacing w:after="0" w:line="240" w:lineRule="auto"/>
        <w:jc w:val="both"/>
        <w:rPr>
          <w:rFonts w:ascii="Verdana" w:hAnsi="Verdana"/>
          <w:sz w:val="20"/>
          <w:szCs w:val="20"/>
        </w:rPr>
      </w:pPr>
      <w:r w:rsidRPr="00996758">
        <w:rPr>
          <w:rFonts w:ascii="Verdana" w:hAnsi="Verdana"/>
          <w:b/>
          <w:smallCaps/>
          <w:sz w:val="20"/>
          <w:szCs w:val="20"/>
        </w:rPr>
        <w:t>DECLARA</w:t>
      </w:r>
      <w:bookmarkEnd w:id="70"/>
      <w:r w:rsidRPr="00996758">
        <w:rPr>
          <w:rFonts w:ascii="Verdana" w:hAnsi="Verdana"/>
          <w:b/>
          <w:sz w:val="20"/>
          <w:szCs w:val="20"/>
        </w:rPr>
        <w:t>,</w:t>
      </w:r>
    </w:p>
    <w:p w:rsidR="00111BE2" w:rsidRPr="00996758" w:rsidRDefault="00111BE2">
      <w:pPr>
        <w:spacing w:after="0" w:line="240" w:lineRule="auto"/>
        <w:ind w:right="11"/>
        <w:jc w:val="both"/>
        <w:rPr>
          <w:rFonts w:ascii="Verdana" w:hAnsi="Verdana"/>
          <w:sz w:val="20"/>
          <w:szCs w:val="20"/>
        </w:rPr>
      </w:pPr>
    </w:p>
    <w:p w:rsidR="00607AFC" w:rsidRPr="00996758" w:rsidRDefault="003548D5">
      <w:pPr>
        <w:spacing w:after="0" w:line="240" w:lineRule="auto"/>
        <w:ind w:right="11"/>
        <w:jc w:val="both"/>
        <w:rPr>
          <w:rFonts w:ascii="Verdana" w:hAnsi="Verdana"/>
          <w:sz w:val="20"/>
          <w:szCs w:val="20"/>
        </w:rPr>
      </w:pPr>
      <w:r w:rsidRPr="00996758">
        <w:rPr>
          <w:rFonts w:ascii="Verdana" w:hAnsi="Verdana"/>
          <w:sz w:val="20"/>
          <w:szCs w:val="20"/>
        </w:rPr>
        <w:t>por unanimidad</w:t>
      </w:r>
      <w:r w:rsidR="00607AFC" w:rsidRPr="00996758">
        <w:rPr>
          <w:rFonts w:ascii="Verdana" w:hAnsi="Verdana"/>
          <w:sz w:val="20"/>
          <w:szCs w:val="20"/>
        </w:rPr>
        <w:t xml:space="preserve">, que: </w:t>
      </w:r>
    </w:p>
    <w:p w:rsidR="00111BE2" w:rsidRPr="00996758" w:rsidRDefault="00111BE2">
      <w:pPr>
        <w:spacing w:after="0" w:line="240" w:lineRule="auto"/>
        <w:jc w:val="both"/>
        <w:rPr>
          <w:rFonts w:ascii="Verdana" w:hAnsi="Verdana"/>
          <w:sz w:val="20"/>
          <w:szCs w:val="20"/>
        </w:rPr>
      </w:pPr>
    </w:p>
    <w:p w:rsidR="00C34B70" w:rsidRPr="00996758" w:rsidRDefault="00CC52CC">
      <w:pPr>
        <w:tabs>
          <w:tab w:val="left" w:pos="0"/>
        </w:tabs>
        <w:spacing w:after="0" w:line="240" w:lineRule="auto"/>
        <w:jc w:val="both"/>
        <w:rPr>
          <w:rFonts w:ascii="Verdana" w:hAnsi="Verdana"/>
          <w:sz w:val="20"/>
          <w:szCs w:val="20"/>
        </w:rPr>
      </w:pPr>
      <w:r w:rsidRPr="00996758">
        <w:rPr>
          <w:rFonts w:ascii="Verdana" w:eastAsia="Calibri" w:hAnsi="Verdana"/>
          <w:spacing w:val="-2"/>
          <w:sz w:val="20"/>
          <w:szCs w:val="20"/>
        </w:rPr>
        <w:t>2</w:t>
      </w:r>
      <w:r w:rsidR="00607AFC" w:rsidRPr="00996758">
        <w:rPr>
          <w:rFonts w:ascii="Verdana" w:eastAsia="Calibri" w:hAnsi="Verdana"/>
          <w:spacing w:val="-2"/>
          <w:sz w:val="20"/>
          <w:szCs w:val="20"/>
        </w:rPr>
        <w:t xml:space="preserve">. </w:t>
      </w:r>
      <w:r w:rsidR="00607AFC" w:rsidRPr="00996758">
        <w:rPr>
          <w:rFonts w:ascii="Verdana" w:eastAsia="Calibri" w:hAnsi="Verdana"/>
          <w:spacing w:val="-2"/>
          <w:sz w:val="20"/>
          <w:szCs w:val="20"/>
        </w:rPr>
        <w:tab/>
      </w:r>
      <w:r w:rsidR="00C34B70" w:rsidRPr="00996758">
        <w:rPr>
          <w:rFonts w:ascii="Verdana" w:hAnsi="Verdana"/>
          <w:sz w:val="20"/>
          <w:szCs w:val="20"/>
          <w:lang w:eastAsia="es-ES"/>
        </w:rPr>
        <w:t xml:space="preserve">El Estado es responsable por la violación de los derechos al reconocimiento de la personalidad jurídica, a la vida, a la integridad física, y a la libertad personal, </w:t>
      </w:r>
      <w:r w:rsidR="00BE75C2" w:rsidRPr="00996758">
        <w:rPr>
          <w:rFonts w:ascii="Verdana" w:hAnsi="Verdana"/>
          <w:sz w:val="20"/>
          <w:szCs w:val="20"/>
          <w:lang w:eastAsia="es-ES"/>
        </w:rPr>
        <w:t>reconocidos</w:t>
      </w:r>
      <w:r w:rsidR="00C34B70" w:rsidRPr="00996758">
        <w:rPr>
          <w:rFonts w:ascii="Verdana" w:hAnsi="Verdana"/>
          <w:sz w:val="20"/>
          <w:szCs w:val="20"/>
          <w:lang w:eastAsia="es-ES"/>
        </w:rPr>
        <w:t xml:space="preserve"> en los </w:t>
      </w:r>
      <w:r w:rsidR="00C34B70" w:rsidRPr="00996758">
        <w:rPr>
          <w:rFonts w:ascii="Verdana" w:hAnsi="Verdana"/>
          <w:sz w:val="20"/>
          <w:szCs w:val="20"/>
        </w:rPr>
        <w:t xml:space="preserve">artículos 3, 4.1, 5.1 y 7 de la Convención Americana, </w:t>
      </w:r>
      <w:r w:rsidR="00BE75C2" w:rsidRPr="00996758">
        <w:rPr>
          <w:rFonts w:ascii="Verdana" w:hAnsi="Verdana"/>
          <w:sz w:val="20"/>
          <w:szCs w:val="20"/>
        </w:rPr>
        <w:t xml:space="preserve">en relación con los artículos 1.1 y 2 de la misma </w:t>
      </w:r>
      <w:r w:rsidR="00C34B70" w:rsidRPr="00996758">
        <w:rPr>
          <w:rFonts w:ascii="Verdana" w:hAnsi="Verdana"/>
          <w:sz w:val="20"/>
          <w:szCs w:val="20"/>
        </w:rPr>
        <w:t xml:space="preserve">y </w:t>
      </w:r>
      <w:r w:rsidR="00022FC0" w:rsidRPr="00996758">
        <w:rPr>
          <w:rFonts w:ascii="Verdana" w:hAnsi="Verdana"/>
          <w:sz w:val="20"/>
          <w:szCs w:val="20"/>
        </w:rPr>
        <w:t xml:space="preserve">con </w:t>
      </w:r>
      <w:r w:rsidR="00C34B70" w:rsidRPr="00996758">
        <w:rPr>
          <w:rFonts w:ascii="Verdana" w:hAnsi="Verdana"/>
          <w:sz w:val="20"/>
          <w:szCs w:val="20"/>
        </w:rPr>
        <w:t>el artículo I.a</w:t>
      </w:r>
      <w:r w:rsidR="00022FC0" w:rsidRPr="00996758">
        <w:rPr>
          <w:rFonts w:ascii="Verdana" w:hAnsi="Verdana"/>
          <w:sz w:val="20"/>
          <w:szCs w:val="20"/>
        </w:rPr>
        <w:t xml:space="preserve">) </w:t>
      </w:r>
      <w:r w:rsidR="00C34B70" w:rsidRPr="00996758">
        <w:rPr>
          <w:rFonts w:ascii="Verdana" w:hAnsi="Verdana"/>
          <w:sz w:val="20"/>
          <w:szCs w:val="20"/>
        </w:rPr>
        <w:t xml:space="preserve">de la Convención Interamericana sobre Desaparición Forzada de Personas, en perjuicio de Víctor Manuel Isaza Uribe, en los términos de los párrafos </w:t>
      </w:r>
      <w:r w:rsidR="00C5679F" w:rsidRPr="00996758">
        <w:rPr>
          <w:rFonts w:ascii="Verdana" w:hAnsi="Verdana"/>
          <w:sz w:val="20"/>
          <w:szCs w:val="20"/>
        </w:rPr>
        <w:t>81</w:t>
      </w:r>
      <w:r w:rsidR="00AC55EF" w:rsidRPr="00996758">
        <w:rPr>
          <w:rFonts w:ascii="Verdana" w:hAnsi="Verdana"/>
          <w:sz w:val="20"/>
          <w:szCs w:val="20"/>
        </w:rPr>
        <w:t xml:space="preserve"> a 144 y 146</w:t>
      </w:r>
      <w:r w:rsidR="00C34B70" w:rsidRPr="00996758">
        <w:rPr>
          <w:rFonts w:ascii="Verdana" w:hAnsi="Verdana"/>
          <w:sz w:val="20"/>
          <w:szCs w:val="20"/>
        </w:rPr>
        <w:t xml:space="preserve"> de esta Sentencia.</w:t>
      </w:r>
    </w:p>
    <w:p w:rsidR="00111BE2" w:rsidRPr="00996758" w:rsidRDefault="00111BE2">
      <w:pPr>
        <w:tabs>
          <w:tab w:val="left" w:pos="0"/>
        </w:tabs>
        <w:spacing w:after="0" w:line="240" w:lineRule="auto"/>
        <w:jc w:val="both"/>
        <w:rPr>
          <w:rFonts w:ascii="Verdana" w:hAnsi="Verdana"/>
          <w:sz w:val="20"/>
          <w:szCs w:val="20"/>
          <w:lang w:eastAsia="es-ES"/>
        </w:rPr>
      </w:pPr>
    </w:p>
    <w:p w:rsidR="00BD17FE" w:rsidRPr="00996758" w:rsidRDefault="00CC52CC">
      <w:pPr>
        <w:tabs>
          <w:tab w:val="left" w:pos="0"/>
        </w:tabs>
        <w:spacing w:after="0" w:line="240" w:lineRule="auto"/>
        <w:jc w:val="both"/>
        <w:rPr>
          <w:rFonts w:ascii="Verdana" w:hAnsi="Verdana"/>
          <w:sz w:val="20"/>
          <w:szCs w:val="20"/>
        </w:rPr>
      </w:pPr>
      <w:r w:rsidRPr="00996758">
        <w:rPr>
          <w:rFonts w:ascii="Verdana" w:hAnsi="Verdana"/>
          <w:sz w:val="20"/>
          <w:szCs w:val="20"/>
          <w:lang w:eastAsia="es-ES"/>
        </w:rPr>
        <w:t>3</w:t>
      </w:r>
      <w:r w:rsidR="00BD17FE" w:rsidRPr="00996758">
        <w:rPr>
          <w:rFonts w:ascii="Verdana" w:hAnsi="Verdana"/>
          <w:sz w:val="20"/>
          <w:szCs w:val="20"/>
          <w:lang w:eastAsia="es-ES"/>
        </w:rPr>
        <w:t>.</w:t>
      </w:r>
      <w:r w:rsidR="00BD17FE" w:rsidRPr="00996758">
        <w:rPr>
          <w:rFonts w:ascii="Verdana" w:hAnsi="Verdana"/>
          <w:sz w:val="20"/>
          <w:szCs w:val="20"/>
          <w:lang w:eastAsia="es-ES"/>
        </w:rPr>
        <w:tab/>
        <w:t>E</w:t>
      </w:r>
      <w:r w:rsidR="00BD17FE" w:rsidRPr="00996758">
        <w:rPr>
          <w:rFonts w:ascii="Verdana" w:hAnsi="Verdana"/>
          <w:sz w:val="20"/>
          <w:szCs w:val="20"/>
        </w:rPr>
        <w:t>l Estado es responsable por la violación de la libertad sindical, contenida en la libertad de asociación, reconocida en el artículo 16 de la Convención, en perjuicio de Víctor Manuel Isaza Uribe, en los términos del párrafo 145 de esta Sentencia.</w:t>
      </w:r>
    </w:p>
    <w:p w:rsidR="00111BE2" w:rsidRPr="00996758" w:rsidRDefault="00111BE2">
      <w:pPr>
        <w:tabs>
          <w:tab w:val="left" w:pos="0"/>
        </w:tabs>
        <w:spacing w:after="0" w:line="240" w:lineRule="auto"/>
        <w:jc w:val="both"/>
        <w:rPr>
          <w:rFonts w:ascii="Verdana" w:hAnsi="Verdana"/>
          <w:sz w:val="20"/>
          <w:szCs w:val="20"/>
        </w:rPr>
      </w:pPr>
    </w:p>
    <w:p w:rsidR="00C34B70" w:rsidRPr="00996758" w:rsidRDefault="00CC52CC">
      <w:pPr>
        <w:tabs>
          <w:tab w:val="left" w:pos="0"/>
        </w:tabs>
        <w:spacing w:after="0" w:line="240" w:lineRule="auto"/>
        <w:jc w:val="both"/>
        <w:rPr>
          <w:rFonts w:ascii="Verdana" w:hAnsi="Verdana"/>
          <w:sz w:val="20"/>
          <w:szCs w:val="20"/>
        </w:rPr>
      </w:pPr>
      <w:r w:rsidRPr="00996758">
        <w:rPr>
          <w:rFonts w:ascii="Verdana" w:hAnsi="Verdana"/>
          <w:sz w:val="20"/>
          <w:szCs w:val="20"/>
        </w:rPr>
        <w:t>4</w:t>
      </w:r>
      <w:r w:rsidR="00C34B70" w:rsidRPr="00996758">
        <w:rPr>
          <w:rFonts w:ascii="Verdana" w:hAnsi="Verdana"/>
          <w:sz w:val="20"/>
          <w:szCs w:val="20"/>
        </w:rPr>
        <w:t>.</w:t>
      </w:r>
      <w:r w:rsidR="00C34B70" w:rsidRPr="00996758">
        <w:rPr>
          <w:rFonts w:ascii="Verdana" w:hAnsi="Verdana"/>
          <w:sz w:val="20"/>
          <w:szCs w:val="20"/>
        </w:rPr>
        <w:tab/>
        <w:t>El Estado es responsable por la violación de</w:t>
      </w:r>
      <w:r w:rsidR="001B6FA6" w:rsidRPr="00996758">
        <w:rPr>
          <w:rFonts w:ascii="Verdana" w:hAnsi="Verdana"/>
          <w:sz w:val="20"/>
          <w:szCs w:val="20"/>
        </w:rPr>
        <w:t xml:space="preserve"> </w:t>
      </w:r>
      <w:r w:rsidR="00C34B70" w:rsidRPr="00996758">
        <w:rPr>
          <w:rFonts w:ascii="Verdana" w:hAnsi="Verdana"/>
          <w:sz w:val="20"/>
          <w:szCs w:val="20"/>
        </w:rPr>
        <w:t>l</w:t>
      </w:r>
      <w:r w:rsidR="001B6FA6" w:rsidRPr="00996758">
        <w:rPr>
          <w:rFonts w:ascii="Verdana" w:hAnsi="Verdana"/>
          <w:sz w:val="20"/>
          <w:szCs w:val="20"/>
        </w:rPr>
        <w:t>os</w:t>
      </w:r>
      <w:r w:rsidR="00C34B70" w:rsidRPr="00996758">
        <w:rPr>
          <w:rFonts w:ascii="Verdana" w:hAnsi="Verdana"/>
          <w:sz w:val="20"/>
          <w:szCs w:val="20"/>
        </w:rPr>
        <w:t xml:space="preserve"> derecho</w:t>
      </w:r>
      <w:r w:rsidR="001B6FA6" w:rsidRPr="00996758">
        <w:rPr>
          <w:rFonts w:ascii="Verdana" w:hAnsi="Verdana"/>
          <w:sz w:val="20"/>
          <w:szCs w:val="20"/>
        </w:rPr>
        <w:t>s</w:t>
      </w:r>
      <w:r w:rsidR="00C34B70" w:rsidRPr="00996758">
        <w:rPr>
          <w:rFonts w:ascii="Verdana" w:hAnsi="Verdana"/>
          <w:sz w:val="20"/>
          <w:szCs w:val="20"/>
        </w:rPr>
        <w:t xml:space="preserve"> </w:t>
      </w:r>
      <w:r w:rsidR="00ED7613" w:rsidRPr="00996758">
        <w:rPr>
          <w:rFonts w:ascii="Verdana" w:hAnsi="Verdana"/>
          <w:sz w:val="20"/>
          <w:szCs w:val="20"/>
        </w:rPr>
        <w:t xml:space="preserve">de acceso a la justicia </w:t>
      </w:r>
      <w:r w:rsidR="00BA07E0" w:rsidRPr="00996758">
        <w:rPr>
          <w:rFonts w:ascii="Verdana" w:hAnsi="Verdana"/>
          <w:sz w:val="20"/>
          <w:szCs w:val="20"/>
        </w:rPr>
        <w:t xml:space="preserve">y </w:t>
      </w:r>
      <w:r w:rsidR="00BA07E0" w:rsidRPr="00996758">
        <w:rPr>
          <w:rFonts w:ascii="Verdana" w:hAnsi="Verdana"/>
          <w:sz w:val="20"/>
          <w:szCs w:val="20"/>
          <w:lang w:eastAsia="es-CR"/>
        </w:rPr>
        <w:t>a ser oído en un plazo razonable</w:t>
      </w:r>
      <w:r w:rsidR="00BE75C2" w:rsidRPr="00996758">
        <w:rPr>
          <w:rFonts w:ascii="Verdana" w:hAnsi="Verdana"/>
          <w:sz w:val="20"/>
          <w:szCs w:val="20"/>
        </w:rPr>
        <w:t xml:space="preserve">, en los términos de los derechos </w:t>
      </w:r>
      <w:r w:rsidR="00C34B70" w:rsidRPr="00996758">
        <w:rPr>
          <w:rFonts w:ascii="Verdana" w:hAnsi="Verdana"/>
          <w:sz w:val="20"/>
          <w:szCs w:val="20"/>
        </w:rPr>
        <w:t>a las garantías judiciales y protección judicial</w:t>
      </w:r>
      <w:r w:rsidR="00BE75C2" w:rsidRPr="00996758">
        <w:rPr>
          <w:rFonts w:ascii="Verdana" w:hAnsi="Verdana"/>
          <w:sz w:val="20"/>
          <w:szCs w:val="20"/>
        </w:rPr>
        <w:t>,</w:t>
      </w:r>
      <w:r w:rsidR="00C34B70" w:rsidRPr="00996758">
        <w:rPr>
          <w:rFonts w:ascii="Verdana" w:hAnsi="Verdana"/>
          <w:sz w:val="20"/>
          <w:szCs w:val="20"/>
        </w:rPr>
        <w:t xml:space="preserve"> </w:t>
      </w:r>
      <w:r w:rsidR="00BE75C2" w:rsidRPr="00996758">
        <w:rPr>
          <w:rFonts w:ascii="Verdana" w:hAnsi="Verdana"/>
          <w:sz w:val="20"/>
          <w:szCs w:val="20"/>
        </w:rPr>
        <w:t>reconocidos</w:t>
      </w:r>
      <w:r w:rsidR="00C34B70" w:rsidRPr="00996758">
        <w:rPr>
          <w:rFonts w:ascii="Verdana" w:hAnsi="Verdana"/>
          <w:sz w:val="20"/>
          <w:szCs w:val="20"/>
        </w:rPr>
        <w:t xml:space="preserve"> en los artículos 8.1 y 25 de la Convención Americana, en relación c</w:t>
      </w:r>
      <w:r w:rsidR="00BE75C2" w:rsidRPr="00996758">
        <w:rPr>
          <w:rFonts w:ascii="Verdana" w:hAnsi="Verdana"/>
          <w:sz w:val="20"/>
          <w:szCs w:val="20"/>
        </w:rPr>
        <w:t>on el artículo 1.1 de la misma</w:t>
      </w:r>
      <w:r w:rsidR="00022FC0" w:rsidRPr="00996758">
        <w:rPr>
          <w:rFonts w:ascii="Verdana" w:hAnsi="Verdana"/>
          <w:sz w:val="20"/>
          <w:szCs w:val="20"/>
        </w:rPr>
        <w:t xml:space="preserve"> y con el artículo I.b) de la Convención Interamericana sobre Desaparición Forzada de Personas</w:t>
      </w:r>
      <w:r w:rsidR="00BE75C2" w:rsidRPr="00996758">
        <w:rPr>
          <w:rFonts w:ascii="Verdana" w:hAnsi="Verdana"/>
          <w:sz w:val="20"/>
          <w:szCs w:val="20"/>
        </w:rPr>
        <w:t xml:space="preserve">, </w:t>
      </w:r>
      <w:r w:rsidR="00460601" w:rsidRPr="00996758">
        <w:rPr>
          <w:rFonts w:ascii="Verdana" w:hAnsi="Verdana"/>
          <w:sz w:val="20"/>
          <w:szCs w:val="20"/>
        </w:rPr>
        <w:t xml:space="preserve">en perjuicio de Víctor Manuel Isaza Uribe, </w:t>
      </w:r>
      <w:r w:rsidR="00460601" w:rsidRPr="00996758">
        <w:rPr>
          <w:rFonts w:ascii="Verdana" w:hAnsi="Verdana"/>
          <w:spacing w:val="-2"/>
          <w:sz w:val="20"/>
          <w:szCs w:val="20"/>
        </w:rPr>
        <w:t xml:space="preserve">Carmenza Vélez, Jhony Alexander </w:t>
      </w:r>
      <w:r w:rsidR="00460601" w:rsidRPr="00996758">
        <w:rPr>
          <w:rFonts w:ascii="Verdana" w:hAnsi="Verdana"/>
          <w:sz w:val="20"/>
          <w:szCs w:val="20"/>
        </w:rPr>
        <w:t>Isaza Vélez y Haner Alexis Isaza Vélez</w:t>
      </w:r>
      <w:r w:rsidR="00C34B70" w:rsidRPr="00996758">
        <w:rPr>
          <w:rFonts w:ascii="Verdana" w:hAnsi="Verdana"/>
          <w:sz w:val="20"/>
          <w:szCs w:val="20"/>
        </w:rPr>
        <w:t>.</w:t>
      </w:r>
      <w:r w:rsidR="00ED7613" w:rsidRPr="00996758">
        <w:rPr>
          <w:rFonts w:ascii="Verdana" w:hAnsi="Verdana"/>
          <w:sz w:val="20"/>
          <w:szCs w:val="20"/>
        </w:rPr>
        <w:t xml:space="preserve"> Además, el Estado es responsable por la violación del derecho a conocer la verdad de los familiares de la víctima desaparecida, en los té</w:t>
      </w:r>
      <w:r w:rsidR="00C5679F" w:rsidRPr="00996758">
        <w:rPr>
          <w:rFonts w:ascii="Verdana" w:hAnsi="Verdana"/>
          <w:sz w:val="20"/>
          <w:szCs w:val="20"/>
        </w:rPr>
        <w:t>rminos de los párrafos 150 a 161</w:t>
      </w:r>
      <w:r w:rsidR="00ED7613" w:rsidRPr="00996758">
        <w:rPr>
          <w:rFonts w:ascii="Verdana" w:hAnsi="Verdana"/>
          <w:sz w:val="20"/>
          <w:szCs w:val="20"/>
        </w:rPr>
        <w:t xml:space="preserve"> de esta Sentencia</w:t>
      </w:r>
    </w:p>
    <w:p w:rsidR="00111BE2" w:rsidRPr="00996758" w:rsidRDefault="00111BE2">
      <w:pPr>
        <w:tabs>
          <w:tab w:val="left" w:pos="0"/>
        </w:tabs>
        <w:spacing w:after="0" w:line="240" w:lineRule="auto"/>
        <w:jc w:val="both"/>
        <w:rPr>
          <w:rFonts w:ascii="Verdana" w:hAnsi="Verdana"/>
          <w:sz w:val="20"/>
          <w:szCs w:val="20"/>
        </w:rPr>
      </w:pPr>
    </w:p>
    <w:p w:rsidR="00BE75C2" w:rsidRPr="00996758" w:rsidRDefault="00CC52CC">
      <w:pPr>
        <w:tabs>
          <w:tab w:val="left" w:pos="0"/>
        </w:tabs>
        <w:spacing w:after="0" w:line="240" w:lineRule="auto"/>
        <w:jc w:val="both"/>
        <w:rPr>
          <w:rFonts w:ascii="Verdana" w:hAnsi="Verdana"/>
          <w:sz w:val="20"/>
          <w:szCs w:val="20"/>
        </w:rPr>
      </w:pPr>
      <w:r w:rsidRPr="00996758">
        <w:rPr>
          <w:rFonts w:ascii="Verdana" w:hAnsi="Verdana"/>
          <w:sz w:val="20"/>
          <w:szCs w:val="20"/>
        </w:rPr>
        <w:t>5</w:t>
      </w:r>
      <w:r w:rsidR="00BE75C2" w:rsidRPr="00996758">
        <w:rPr>
          <w:rFonts w:ascii="Verdana" w:hAnsi="Verdana"/>
          <w:sz w:val="20"/>
          <w:szCs w:val="20"/>
        </w:rPr>
        <w:t>.</w:t>
      </w:r>
      <w:r w:rsidR="00BE75C2" w:rsidRPr="00996758">
        <w:rPr>
          <w:rFonts w:ascii="Verdana" w:hAnsi="Verdana"/>
          <w:sz w:val="20"/>
          <w:szCs w:val="20"/>
        </w:rPr>
        <w:tab/>
        <w:t>El Estado es responsable por la violación del derecho a la integridad personal, reconocido en el artículo 5.1 de la Convención Americana, en relación con el artículo 1.1 del mismo instrumento, en perjuicio de</w:t>
      </w:r>
      <w:r w:rsidR="00BE75C2" w:rsidRPr="00996758">
        <w:rPr>
          <w:rFonts w:ascii="Verdana" w:hAnsi="Verdana"/>
          <w:spacing w:val="-2"/>
          <w:sz w:val="20"/>
          <w:szCs w:val="20"/>
        </w:rPr>
        <w:t xml:space="preserve"> </w:t>
      </w:r>
      <w:r w:rsidR="00F306A4" w:rsidRPr="00996758">
        <w:rPr>
          <w:rFonts w:ascii="Verdana" w:hAnsi="Verdana"/>
          <w:spacing w:val="-2"/>
          <w:sz w:val="20"/>
          <w:szCs w:val="20"/>
        </w:rPr>
        <w:t xml:space="preserve">Carmenza Vélez, </w:t>
      </w:r>
      <w:r w:rsidR="00BE75C2" w:rsidRPr="00996758">
        <w:rPr>
          <w:rFonts w:ascii="Verdana" w:hAnsi="Verdana"/>
          <w:spacing w:val="-2"/>
          <w:sz w:val="20"/>
          <w:szCs w:val="20"/>
        </w:rPr>
        <w:t>Jhony Alexander Isaza Vélez y Haner Alexis Isaza Vélez</w:t>
      </w:r>
      <w:r w:rsidR="00BE75C2" w:rsidRPr="00996758">
        <w:rPr>
          <w:rFonts w:ascii="Verdana" w:hAnsi="Verdana"/>
          <w:sz w:val="20"/>
          <w:szCs w:val="20"/>
        </w:rPr>
        <w:t xml:space="preserve">, en los términos de los párrafos </w:t>
      </w:r>
      <w:r w:rsidR="00C5679F" w:rsidRPr="00996758">
        <w:rPr>
          <w:rFonts w:ascii="Verdana" w:hAnsi="Verdana"/>
          <w:sz w:val="20"/>
          <w:szCs w:val="20"/>
        </w:rPr>
        <w:t>165, 166 y 169</w:t>
      </w:r>
      <w:r w:rsidR="00BE75C2" w:rsidRPr="00996758">
        <w:rPr>
          <w:rFonts w:ascii="Verdana" w:hAnsi="Verdana"/>
          <w:sz w:val="20"/>
          <w:szCs w:val="20"/>
        </w:rPr>
        <w:t xml:space="preserve"> de esta Sentencia.</w:t>
      </w:r>
    </w:p>
    <w:p w:rsidR="00CC4680" w:rsidRPr="00996758" w:rsidRDefault="00CC4680">
      <w:pPr>
        <w:spacing w:after="0" w:line="240" w:lineRule="auto"/>
        <w:contextualSpacing/>
        <w:jc w:val="both"/>
        <w:rPr>
          <w:rFonts w:ascii="Verdana" w:eastAsia="Calibri" w:hAnsi="Verdana" w:cs="Helvetica"/>
          <w:sz w:val="20"/>
          <w:szCs w:val="20"/>
          <w:lang w:bidi="en-US"/>
        </w:rPr>
      </w:pPr>
    </w:p>
    <w:p w:rsidR="00607AFC" w:rsidRPr="00996758" w:rsidRDefault="00CC52CC">
      <w:pPr>
        <w:spacing w:after="0" w:line="240" w:lineRule="auto"/>
        <w:contextualSpacing/>
        <w:jc w:val="both"/>
        <w:rPr>
          <w:rFonts w:ascii="Verdana" w:hAnsi="Verdana"/>
          <w:spacing w:val="-2"/>
          <w:sz w:val="20"/>
          <w:szCs w:val="20"/>
        </w:rPr>
      </w:pPr>
      <w:r w:rsidRPr="00996758">
        <w:rPr>
          <w:rFonts w:ascii="Verdana" w:eastAsia="Calibri" w:hAnsi="Verdana" w:cs="Helvetica"/>
          <w:sz w:val="20"/>
          <w:szCs w:val="20"/>
          <w:lang w:bidi="en-US"/>
        </w:rPr>
        <w:t>6</w:t>
      </w:r>
      <w:r w:rsidR="00607AFC" w:rsidRPr="00996758">
        <w:rPr>
          <w:rFonts w:ascii="Verdana" w:eastAsia="Calibri" w:hAnsi="Verdana" w:cs="Helvetica"/>
          <w:sz w:val="20"/>
          <w:szCs w:val="20"/>
          <w:lang w:bidi="en-US"/>
        </w:rPr>
        <w:t>.</w:t>
      </w:r>
      <w:r w:rsidR="00607AFC" w:rsidRPr="00996758">
        <w:rPr>
          <w:rFonts w:ascii="Verdana" w:eastAsia="Calibri" w:hAnsi="Verdana" w:cs="Helvetica"/>
          <w:sz w:val="20"/>
          <w:szCs w:val="20"/>
          <w:lang w:bidi="en-US"/>
        </w:rPr>
        <w:tab/>
      </w:r>
      <w:r w:rsidR="00607AFC" w:rsidRPr="00996758">
        <w:rPr>
          <w:rFonts w:ascii="Verdana" w:hAnsi="Verdana"/>
          <w:spacing w:val="-2"/>
          <w:sz w:val="20"/>
          <w:szCs w:val="20"/>
        </w:rPr>
        <w:t>El Estado no es responsable por la</w:t>
      </w:r>
      <w:r w:rsidR="00BE75C2" w:rsidRPr="00996758">
        <w:rPr>
          <w:rFonts w:ascii="Verdana" w:hAnsi="Verdana"/>
          <w:spacing w:val="-2"/>
          <w:sz w:val="20"/>
          <w:szCs w:val="20"/>
        </w:rPr>
        <w:t xml:space="preserve"> alegada violación del derecho</w:t>
      </w:r>
      <w:r w:rsidR="00607AFC" w:rsidRPr="00996758">
        <w:rPr>
          <w:rFonts w:ascii="Verdana" w:hAnsi="Verdana"/>
          <w:spacing w:val="-2"/>
          <w:sz w:val="20"/>
          <w:szCs w:val="20"/>
        </w:rPr>
        <w:t xml:space="preserve"> </w:t>
      </w:r>
      <w:r w:rsidR="00BE75C2" w:rsidRPr="00996758">
        <w:rPr>
          <w:rFonts w:ascii="Verdana" w:hAnsi="Verdana"/>
          <w:sz w:val="20"/>
          <w:szCs w:val="20"/>
        </w:rPr>
        <w:t>a la protección a la familia</w:t>
      </w:r>
      <w:r w:rsidR="00BE75C2" w:rsidRPr="00996758">
        <w:rPr>
          <w:rFonts w:ascii="Verdana" w:hAnsi="Verdana"/>
          <w:spacing w:val="-2"/>
          <w:sz w:val="20"/>
          <w:szCs w:val="20"/>
        </w:rPr>
        <w:t>, reconocido en el artículo 17</w:t>
      </w:r>
      <w:r w:rsidR="00607AFC" w:rsidRPr="00996758">
        <w:rPr>
          <w:rFonts w:ascii="Verdana" w:hAnsi="Verdana"/>
          <w:spacing w:val="-2"/>
          <w:sz w:val="20"/>
          <w:szCs w:val="20"/>
        </w:rPr>
        <w:t xml:space="preserve"> de la Convención Americana, por las razones señaladas en </w:t>
      </w:r>
      <w:r w:rsidR="00AC55EF" w:rsidRPr="00996758">
        <w:rPr>
          <w:rFonts w:ascii="Verdana" w:hAnsi="Verdana"/>
          <w:spacing w:val="-2"/>
          <w:sz w:val="20"/>
          <w:szCs w:val="20"/>
        </w:rPr>
        <w:t>el párrafo</w:t>
      </w:r>
      <w:r w:rsidR="00607AFC" w:rsidRPr="00996758">
        <w:rPr>
          <w:rFonts w:ascii="Verdana" w:hAnsi="Verdana"/>
          <w:spacing w:val="-2"/>
          <w:sz w:val="20"/>
          <w:szCs w:val="20"/>
        </w:rPr>
        <w:t xml:space="preserve"> </w:t>
      </w:r>
      <w:r w:rsidR="00C5679F" w:rsidRPr="00996758">
        <w:rPr>
          <w:rFonts w:ascii="Verdana" w:hAnsi="Verdana"/>
          <w:spacing w:val="-2"/>
          <w:sz w:val="20"/>
          <w:szCs w:val="20"/>
        </w:rPr>
        <w:t>167</w:t>
      </w:r>
      <w:r w:rsidR="00AC55EF" w:rsidRPr="00996758">
        <w:rPr>
          <w:rFonts w:ascii="Verdana" w:hAnsi="Verdana"/>
          <w:spacing w:val="-2"/>
          <w:sz w:val="20"/>
          <w:szCs w:val="20"/>
        </w:rPr>
        <w:t xml:space="preserve"> </w:t>
      </w:r>
      <w:r w:rsidR="00607AFC" w:rsidRPr="00996758">
        <w:rPr>
          <w:rFonts w:ascii="Verdana" w:hAnsi="Verdana"/>
          <w:spacing w:val="-2"/>
          <w:sz w:val="20"/>
          <w:szCs w:val="20"/>
        </w:rPr>
        <w:t>de esta Sentencia.</w:t>
      </w:r>
    </w:p>
    <w:p w:rsidR="00111BE2" w:rsidRPr="00996758" w:rsidRDefault="00111BE2">
      <w:pPr>
        <w:spacing w:after="0" w:line="240" w:lineRule="auto"/>
        <w:contextualSpacing/>
        <w:jc w:val="both"/>
        <w:rPr>
          <w:rFonts w:ascii="Verdana" w:hAnsi="Verdana"/>
          <w:spacing w:val="-2"/>
          <w:sz w:val="20"/>
          <w:szCs w:val="20"/>
        </w:rPr>
      </w:pPr>
    </w:p>
    <w:p w:rsidR="00BE75C2" w:rsidRPr="00996758" w:rsidRDefault="00CC52CC">
      <w:pPr>
        <w:spacing w:after="0" w:line="240" w:lineRule="auto"/>
        <w:contextualSpacing/>
        <w:jc w:val="both"/>
        <w:rPr>
          <w:rFonts w:ascii="Verdana" w:hAnsi="Verdana"/>
          <w:spacing w:val="-2"/>
          <w:sz w:val="20"/>
          <w:szCs w:val="20"/>
        </w:rPr>
      </w:pPr>
      <w:r w:rsidRPr="00996758">
        <w:rPr>
          <w:rFonts w:ascii="Verdana" w:eastAsia="Calibri" w:hAnsi="Verdana" w:cs="Helvetica"/>
          <w:sz w:val="20"/>
          <w:szCs w:val="20"/>
          <w:lang w:bidi="en-US"/>
        </w:rPr>
        <w:t>7</w:t>
      </w:r>
      <w:r w:rsidR="00BE75C2" w:rsidRPr="00996758">
        <w:rPr>
          <w:rFonts w:ascii="Verdana" w:eastAsia="Calibri" w:hAnsi="Verdana" w:cs="Helvetica"/>
          <w:sz w:val="20"/>
          <w:szCs w:val="20"/>
          <w:lang w:bidi="en-US"/>
        </w:rPr>
        <w:t>.</w:t>
      </w:r>
      <w:r w:rsidR="00BE75C2" w:rsidRPr="00996758">
        <w:rPr>
          <w:rFonts w:ascii="Verdana" w:eastAsia="Calibri" w:hAnsi="Verdana" w:cs="Helvetica"/>
          <w:sz w:val="20"/>
          <w:szCs w:val="20"/>
          <w:lang w:bidi="en-US"/>
        </w:rPr>
        <w:tab/>
      </w:r>
      <w:r w:rsidR="00BE75C2" w:rsidRPr="00996758">
        <w:rPr>
          <w:rFonts w:ascii="Verdana" w:hAnsi="Verdana"/>
          <w:spacing w:val="-2"/>
          <w:sz w:val="20"/>
          <w:szCs w:val="20"/>
        </w:rPr>
        <w:t xml:space="preserve">El Estado no es responsable por la alegada violación del derecho a </w:t>
      </w:r>
      <w:r w:rsidR="00BE75C2" w:rsidRPr="00996758">
        <w:rPr>
          <w:rFonts w:ascii="Verdana" w:hAnsi="Verdana"/>
          <w:sz w:val="20"/>
          <w:szCs w:val="20"/>
        </w:rPr>
        <w:t>la honra y dignidad</w:t>
      </w:r>
      <w:r w:rsidR="00BE75C2" w:rsidRPr="00996758">
        <w:rPr>
          <w:rFonts w:ascii="Verdana" w:hAnsi="Verdana"/>
          <w:spacing w:val="-2"/>
          <w:sz w:val="20"/>
          <w:szCs w:val="20"/>
        </w:rPr>
        <w:t xml:space="preserve">, reconocido en el artículo 11 de la Convención Americana, por las razones señaladas en </w:t>
      </w:r>
      <w:r w:rsidR="00AC55EF" w:rsidRPr="00996758">
        <w:rPr>
          <w:rFonts w:ascii="Verdana" w:hAnsi="Verdana"/>
          <w:spacing w:val="-2"/>
          <w:sz w:val="20"/>
          <w:szCs w:val="20"/>
        </w:rPr>
        <w:t>el párrafo</w:t>
      </w:r>
      <w:r w:rsidR="00BE75C2" w:rsidRPr="00996758">
        <w:rPr>
          <w:rFonts w:ascii="Verdana" w:hAnsi="Verdana"/>
          <w:spacing w:val="-2"/>
          <w:sz w:val="20"/>
          <w:szCs w:val="20"/>
        </w:rPr>
        <w:t xml:space="preserve"> </w:t>
      </w:r>
      <w:r w:rsidR="00C5679F" w:rsidRPr="00996758">
        <w:rPr>
          <w:rFonts w:ascii="Verdana" w:hAnsi="Verdana"/>
          <w:spacing w:val="-2"/>
          <w:sz w:val="20"/>
          <w:szCs w:val="20"/>
        </w:rPr>
        <w:t>168</w:t>
      </w:r>
      <w:r w:rsidR="00BE75C2" w:rsidRPr="00996758">
        <w:rPr>
          <w:rFonts w:ascii="Verdana" w:hAnsi="Verdana"/>
          <w:spacing w:val="-2"/>
          <w:sz w:val="20"/>
          <w:szCs w:val="20"/>
        </w:rPr>
        <w:t xml:space="preserve"> de esta Sentencia.</w:t>
      </w:r>
    </w:p>
    <w:p w:rsidR="00F306A4" w:rsidRPr="00996758" w:rsidRDefault="00F306A4">
      <w:pPr>
        <w:spacing w:after="0" w:line="240" w:lineRule="auto"/>
        <w:jc w:val="both"/>
        <w:rPr>
          <w:rFonts w:ascii="Verdana" w:hAnsi="Verdana"/>
          <w:sz w:val="20"/>
          <w:szCs w:val="20"/>
        </w:rPr>
      </w:pPr>
    </w:p>
    <w:p w:rsidR="00111BE2" w:rsidRPr="00996758" w:rsidRDefault="00111BE2">
      <w:pPr>
        <w:spacing w:after="0" w:line="240" w:lineRule="auto"/>
        <w:jc w:val="both"/>
        <w:rPr>
          <w:rFonts w:ascii="Verdana" w:hAnsi="Verdana"/>
          <w:sz w:val="20"/>
          <w:szCs w:val="20"/>
        </w:rPr>
      </w:pPr>
    </w:p>
    <w:p w:rsidR="00607AFC" w:rsidRPr="00996758" w:rsidRDefault="00607AFC">
      <w:pPr>
        <w:spacing w:after="0" w:line="240" w:lineRule="auto"/>
        <w:jc w:val="both"/>
        <w:rPr>
          <w:rFonts w:ascii="Verdana" w:hAnsi="Verdana"/>
          <w:sz w:val="20"/>
          <w:szCs w:val="20"/>
        </w:rPr>
      </w:pPr>
      <w:r w:rsidRPr="00996758">
        <w:rPr>
          <w:rFonts w:ascii="Verdana" w:hAnsi="Verdana"/>
          <w:b/>
          <w:sz w:val="20"/>
          <w:szCs w:val="20"/>
        </w:rPr>
        <w:t xml:space="preserve">Y </w:t>
      </w:r>
      <w:r w:rsidRPr="00996758">
        <w:rPr>
          <w:rFonts w:ascii="Verdana" w:hAnsi="Verdana"/>
          <w:b/>
          <w:smallCaps/>
          <w:sz w:val="20"/>
          <w:szCs w:val="20"/>
        </w:rPr>
        <w:t>DISPONE,</w:t>
      </w:r>
    </w:p>
    <w:p w:rsidR="00607AFC" w:rsidRPr="00996758" w:rsidRDefault="00607AFC">
      <w:pPr>
        <w:spacing w:after="0" w:line="240" w:lineRule="auto"/>
        <w:ind w:right="11"/>
        <w:jc w:val="both"/>
        <w:rPr>
          <w:rFonts w:ascii="Verdana" w:hAnsi="Verdana"/>
          <w:sz w:val="20"/>
          <w:szCs w:val="20"/>
        </w:rPr>
      </w:pPr>
    </w:p>
    <w:p w:rsidR="00607AFC" w:rsidRPr="00996758" w:rsidRDefault="003548D5">
      <w:pPr>
        <w:spacing w:after="0" w:line="240" w:lineRule="auto"/>
        <w:ind w:right="11"/>
        <w:jc w:val="both"/>
        <w:rPr>
          <w:rFonts w:ascii="Verdana" w:hAnsi="Verdana"/>
          <w:sz w:val="20"/>
          <w:szCs w:val="20"/>
        </w:rPr>
      </w:pPr>
      <w:r w:rsidRPr="00996758">
        <w:rPr>
          <w:rFonts w:ascii="Verdana" w:hAnsi="Verdana"/>
          <w:sz w:val="20"/>
          <w:szCs w:val="20"/>
        </w:rPr>
        <w:t>p</w:t>
      </w:r>
      <w:r w:rsidR="00607AFC" w:rsidRPr="00996758">
        <w:rPr>
          <w:rFonts w:ascii="Verdana" w:hAnsi="Verdana"/>
          <w:sz w:val="20"/>
          <w:szCs w:val="20"/>
        </w:rPr>
        <w:t xml:space="preserve">or </w:t>
      </w:r>
      <w:r w:rsidRPr="00996758">
        <w:rPr>
          <w:rFonts w:ascii="Verdana" w:hAnsi="Verdana"/>
          <w:sz w:val="20"/>
          <w:szCs w:val="20"/>
        </w:rPr>
        <w:t>unanimidad</w:t>
      </w:r>
      <w:r w:rsidR="00607AFC" w:rsidRPr="00996758">
        <w:rPr>
          <w:rFonts w:ascii="Verdana" w:hAnsi="Verdana"/>
          <w:sz w:val="20"/>
          <w:szCs w:val="20"/>
        </w:rPr>
        <w:t xml:space="preserve">, que: </w:t>
      </w:r>
    </w:p>
    <w:p w:rsidR="00111BE2" w:rsidRPr="00996758" w:rsidRDefault="00111BE2">
      <w:pPr>
        <w:spacing w:after="0" w:line="240" w:lineRule="auto"/>
        <w:jc w:val="both"/>
        <w:rPr>
          <w:rFonts w:ascii="Verdana" w:hAnsi="Verdana"/>
          <w:sz w:val="20"/>
          <w:szCs w:val="20"/>
        </w:rPr>
      </w:pPr>
    </w:p>
    <w:p w:rsidR="00607AFC" w:rsidRPr="00996758" w:rsidRDefault="00CC52CC">
      <w:pPr>
        <w:spacing w:after="0" w:line="240" w:lineRule="auto"/>
        <w:contextualSpacing/>
        <w:jc w:val="both"/>
        <w:rPr>
          <w:rFonts w:ascii="Verdana" w:hAnsi="Verdana"/>
          <w:sz w:val="20"/>
          <w:szCs w:val="20"/>
        </w:rPr>
      </w:pPr>
      <w:r w:rsidRPr="00996758">
        <w:rPr>
          <w:rFonts w:ascii="Verdana" w:hAnsi="Verdana"/>
          <w:sz w:val="20"/>
          <w:szCs w:val="20"/>
        </w:rPr>
        <w:t>8</w:t>
      </w:r>
      <w:r w:rsidR="00607AFC" w:rsidRPr="00996758">
        <w:rPr>
          <w:rFonts w:ascii="Verdana" w:hAnsi="Verdana"/>
          <w:sz w:val="20"/>
          <w:szCs w:val="20"/>
        </w:rPr>
        <w:t xml:space="preserve">. </w:t>
      </w:r>
      <w:r w:rsidR="00607AFC" w:rsidRPr="00996758">
        <w:rPr>
          <w:rFonts w:ascii="Verdana" w:hAnsi="Verdana"/>
          <w:sz w:val="20"/>
          <w:szCs w:val="20"/>
        </w:rPr>
        <w:tab/>
        <w:t xml:space="preserve">Esta Sentencia constituye, por sí misma, una forma de reparación. </w:t>
      </w:r>
    </w:p>
    <w:p w:rsidR="00111BE2" w:rsidRPr="00996758" w:rsidRDefault="00111BE2">
      <w:pPr>
        <w:spacing w:after="0" w:line="240" w:lineRule="auto"/>
        <w:contextualSpacing/>
        <w:jc w:val="both"/>
        <w:rPr>
          <w:rStyle w:val="apple-style-span"/>
          <w:rFonts w:ascii="Verdana" w:eastAsia="MS Mincho" w:hAnsi="Verdana"/>
          <w:sz w:val="20"/>
          <w:szCs w:val="20"/>
        </w:rPr>
      </w:pPr>
    </w:p>
    <w:p w:rsidR="00607AFC" w:rsidRPr="00996758" w:rsidRDefault="00CC52CC">
      <w:pPr>
        <w:spacing w:after="0" w:line="240" w:lineRule="auto"/>
        <w:contextualSpacing/>
        <w:jc w:val="both"/>
        <w:rPr>
          <w:rFonts w:ascii="Verdana" w:hAnsi="Verdana"/>
          <w:sz w:val="20"/>
          <w:szCs w:val="20"/>
        </w:rPr>
      </w:pPr>
      <w:r w:rsidRPr="00996758">
        <w:rPr>
          <w:rFonts w:ascii="Verdana" w:hAnsi="Verdana"/>
          <w:sz w:val="20"/>
          <w:szCs w:val="20"/>
        </w:rPr>
        <w:t>9</w:t>
      </w:r>
      <w:r w:rsidR="00607AFC" w:rsidRPr="00996758">
        <w:rPr>
          <w:rFonts w:ascii="Verdana" w:hAnsi="Verdana"/>
          <w:sz w:val="20"/>
          <w:szCs w:val="20"/>
        </w:rPr>
        <w:t>.</w:t>
      </w:r>
      <w:r w:rsidR="00607AFC" w:rsidRPr="00996758">
        <w:rPr>
          <w:rFonts w:ascii="Verdana" w:hAnsi="Verdana"/>
          <w:sz w:val="20"/>
          <w:szCs w:val="20"/>
        </w:rPr>
        <w:tab/>
        <w:t xml:space="preserve">El Estado debe </w:t>
      </w:r>
      <w:r w:rsidR="003E0438" w:rsidRPr="00996758">
        <w:rPr>
          <w:rFonts w:ascii="Verdana" w:hAnsi="Verdana"/>
          <w:sz w:val="20"/>
          <w:szCs w:val="20"/>
        </w:rPr>
        <w:t xml:space="preserve">continuar con las investigaciones </w:t>
      </w:r>
      <w:r w:rsidR="001038F1" w:rsidRPr="00996758">
        <w:rPr>
          <w:rFonts w:ascii="Verdana" w:hAnsi="Verdana"/>
          <w:sz w:val="20"/>
          <w:szCs w:val="20"/>
        </w:rPr>
        <w:t xml:space="preserve">y procesos judiciales en curso </w:t>
      </w:r>
      <w:r w:rsidR="003E0438" w:rsidRPr="00996758">
        <w:rPr>
          <w:rFonts w:ascii="Verdana" w:hAnsi="Verdana"/>
          <w:sz w:val="20"/>
          <w:szCs w:val="20"/>
        </w:rPr>
        <w:t>a efectos de determinar los hechos y las responsabilidades correspondientes</w:t>
      </w:r>
      <w:r w:rsidR="00607AFC" w:rsidRPr="00996758">
        <w:rPr>
          <w:rFonts w:ascii="Verdana" w:hAnsi="Verdana"/>
          <w:sz w:val="20"/>
          <w:szCs w:val="20"/>
        </w:rPr>
        <w:t>, en los términos de</w:t>
      </w:r>
      <w:r w:rsidR="009B7F3A" w:rsidRPr="00996758">
        <w:rPr>
          <w:rFonts w:ascii="Verdana" w:hAnsi="Verdana"/>
          <w:sz w:val="20"/>
          <w:szCs w:val="20"/>
        </w:rPr>
        <w:t>l</w:t>
      </w:r>
      <w:r w:rsidR="00607AFC" w:rsidRPr="00996758">
        <w:rPr>
          <w:rFonts w:ascii="Verdana" w:hAnsi="Verdana"/>
          <w:sz w:val="20"/>
          <w:szCs w:val="20"/>
        </w:rPr>
        <w:t xml:space="preserve"> párra</w:t>
      </w:r>
      <w:r w:rsidR="009B7F3A" w:rsidRPr="00996758">
        <w:rPr>
          <w:rFonts w:ascii="Verdana" w:hAnsi="Verdana"/>
          <w:sz w:val="20"/>
          <w:szCs w:val="20"/>
        </w:rPr>
        <w:t>fo</w:t>
      </w:r>
      <w:r w:rsidR="00607AFC" w:rsidRPr="00996758">
        <w:rPr>
          <w:rFonts w:ascii="Verdana" w:hAnsi="Verdana"/>
          <w:sz w:val="20"/>
          <w:szCs w:val="20"/>
        </w:rPr>
        <w:t xml:space="preserve"> </w:t>
      </w:r>
      <w:r w:rsidR="00C5679F" w:rsidRPr="00996758">
        <w:rPr>
          <w:rFonts w:ascii="Verdana" w:hAnsi="Verdana"/>
          <w:sz w:val="20"/>
          <w:szCs w:val="20"/>
        </w:rPr>
        <w:t>180</w:t>
      </w:r>
      <w:r w:rsidR="00607AFC" w:rsidRPr="00996758">
        <w:rPr>
          <w:rFonts w:ascii="Verdana" w:hAnsi="Verdana"/>
          <w:sz w:val="20"/>
          <w:szCs w:val="20"/>
        </w:rPr>
        <w:t xml:space="preserve"> de esta Sentencia.</w:t>
      </w:r>
    </w:p>
    <w:p w:rsidR="00111BE2" w:rsidRPr="00996758" w:rsidRDefault="00111BE2">
      <w:pPr>
        <w:spacing w:after="0" w:line="240" w:lineRule="auto"/>
        <w:contextualSpacing/>
        <w:jc w:val="both"/>
        <w:rPr>
          <w:rFonts w:ascii="Verdana" w:hAnsi="Verdana"/>
          <w:sz w:val="20"/>
          <w:szCs w:val="20"/>
        </w:rPr>
      </w:pPr>
    </w:p>
    <w:p w:rsidR="003E0438" w:rsidRPr="00996758" w:rsidRDefault="00CC52CC">
      <w:pPr>
        <w:spacing w:after="0" w:line="240" w:lineRule="auto"/>
        <w:contextualSpacing/>
        <w:jc w:val="both"/>
        <w:rPr>
          <w:rFonts w:ascii="Verdana" w:hAnsi="Verdana"/>
          <w:sz w:val="20"/>
          <w:szCs w:val="20"/>
        </w:rPr>
      </w:pPr>
      <w:r w:rsidRPr="00996758">
        <w:rPr>
          <w:rFonts w:ascii="Verdana" w:hAnsi="Verdana"/>
          <w:sz w:val="20"/>
          <w:szCs w:val="20"/>
        </w:rPr>
        <w:t>10</w:t>
      </w:r>
      <w:r w:rsidR="00460601" w:rsidRPr="00996758">
        <w:rPr>
          <w:rFonts w:ascii="Verdana" w:hAnsi="Verdana"/>
          <w:sz w:val="20"/>
          <w:szCs w:val="20"/>
        </w:rPr>
        <w:t>.</w:t>
      </w:r>
      <w:r w:rsidR="00460601" w:rsidRPr="00996758">
        <w:rPr>
          <w:rFonts w:ascii="Verdana" w:hAnsi="Verdana"/>
          <w:sz w:val="20"/>
          <w:szCs w:val="20"/>
        </w:rPr>
        <w:tab/>
      </w:r>
      <w:r w:rsidR="003E0438" w:rsidRPr="00996758">
        <w:rPr>
          <w:rFonts w:ascii="Verdana" w:hAnsi="Verdana"/>
          <w:sz w:val="20"/>
          <w:szCs w:val="20"/>
        </w:rPr>
        <w:t>El Estado debe efectuar una búsqueda rig</w:t>
      </w:r>
      <w:r w:rsidR="002D2D9E" w:rsidRPr="00996758">
        <w:rPr>
          <w:rFonts w:ascii="Verdana" w:hAnsi="Verdana"/>
          <w:sz w:val="20"/>
          <w:szCs w:val="20"/>
        </w:rPr>
        <w:t xml:space="preserve">urosa por las vías pertinentes </w:t>
      </w:r>
      <w:r w:rsidR="003E0438" w:rsidRPr="00996758">
        <w:rPr>
          <w:rFonts w:ascii="Verdana" w:hAnsi="Verdana"/>
          <w:sz w:val="20"/>
          <w:szCs w:val="20"/>
        </w:rPr>
        <w:t xml:space="preserve">para determinar, a la mayor brevedad, el paradero de </w:t>
      </w:r>
      <w:r w:rsidR="00460601" w:rsidRPr="00996758">
        <w:rPr>
          <w:rFonts w:ascii="Verdana" w:hAnsi="Verdana"/>
          <w:sz w:val="20"/>
          <w:szCs w:val="20"/>
        </w:rPr>
        <w:t>Víctor Manuel Isaza Uribe,</w:t>
      </w:r>
      <w:r w:rsidR="00C5679F" w:rsidRPr="00996758">
        <w:rPr>
          <w:rFonts w:ascii="Verdana" w:hAnsi="Verdana"/>
          <w:sz w:val="20"/>
          <w:szCs w:val="20"/>
        </w:rPr>
        <w:t xml:space="preserve"> en los términos del párrafo 182</w:t>
      </w:r>
      <w:r w:rsidR="00460601" w:rsidRPr="00996758">
        <w:rPr>
          <w:rFonts w:ascii="Verdana" w:hAnsi="Verdana"/>
          <w:sz w:val="20"/>
          <w:szCs w:val="20"/>
        </w:rPr>
        <w:t xml:space="preserve"> de esta Sentencia.</w:t>
      </w:r>
    </w:p>
    <w:p w:rsidR="00111BE2" w:rsidRPr="00996758" w:rsidRDefault="00111BE2" w:rsidP="00AC55EF">
      <w:pPr>
        <w:spacing w:after="0" w:line="240" w:lineRule="auto"/>
        <w:contextualSpacing/>
        <w:jc w:val="both"/>
        <w:rPr>
          <w:rFonts w:ascii="Verdana" w:hAnsi="Verdana"/>
          <w:sz w:val="20"/>
          <w:szCs w:val="20"/>
        </w:rPr>
      </w:pPr>
    </w:p>
    <w:p w:rsidR="00AC55EF" w:rsidRPr="00996758" w:rsidRDefault="00A508E0" w:rsidP="00AC55EF">
      <w:pPr>
        <w:spacing w:after="0" w:line="240" w:lineRule="auto"/>
        <w:contextualSpacing/>
        <w:jc w:val="both"/>
        <w:rPr>
          <w:rFonts w:ascii="Verdana" w:hAnsi="Verdana"/>
          <w:sz w:val="20"/>
          <w:szCs w:val="20"/>
        </w:rPr>
      </w:pPr>
      <w:r w:rsidRPr="00996758">
        <w:rPr>
          <w:rFonts w:ascii="Verdana" w:hAnsi="Verdana"/>
          <w:sz w:val="20"/>
          <w:szCs w:val="20"/>
        </w:rPr>
        <w:t>1</w:t>
      </w:r>
      <w:r w:rsidR="00CC52CC" w:rsidRPr="00996758">
        <w:rPr>
          <w:rFonts w:ascii="Verdana" w:hAnsi="Verdana"/>
          <w:sz w:val="20"/>
          <w:szCs w:val="20"/>
        </w:rPr>
        <w:t>1</w:t>
      </w:r>
      <w:r w:rsidR="00AC55EF" w:rsidRPr="00996758">
        <w:rPr>
          <w:rFonts w:ascii="Verdana" w:hAnsi="Verdana"/>
          <w:sz w:val="20"/>
          <w:szCs w:val="20"/>
        </w:rPr>
        <w:t>.</w:t>
      </w:r>
      <w:r w:rsidR="00AC55EF" w:rsidRPr="00996758">
        <w:rPr>
          <w:rFonts w:ascii="Verdana" w:hAnsi="Verdana"/>
          <w:sz w:val="20"/>
          <w:szCs w:val="20"/>
        </w:rPr>
        <w:tab/>
        <w:t xml:space="preserve">El Estado debe brindar el tratamiento psicológico o psiquiátrico a las víctimas que así lo soliciten, en los términos del párrafo </w:t>
      </w:r>
      <w:r w:rsidR="00C5679F" w:rsidRPr="00996758">
        <w:rPr>
          <w:rFonts w:ascii="Verdana" w:hAnsi="Verdana"/>
          <w:sz w:val="20"/>
          <w:szCs w:val="20"/>
        </w:rPr>
        <w:t>184</w:t>
      </w:r>
      <w:r w:rsidR="00AC55EF" w:rsidRPr="00996758">
        <w:rPr>
          <w:rFonts w:ascii="Verdana" w:hAnsi="Verdana"/>
          <w:sz w:val="20"/>
          <w:szCs w:val="20"/>
        </w:rPr>
        <w:t xml:space="preserve"> de esta Sentencia.</w:t>
      </w:r>
    </w:p>
    <w:p w:rsidR="00607AFC" w:rsidRPr="00996758" w:rsidRDefault="00607AFC">
      <w:pPr>
        <w:spacing w:after="0" w:line="240" w:lineRule="auto"/>
        <w:contextualSpacing/>
        <w:jc w:val="both"/>
        <w:rPr>
          <w:rFonts w:ascii="Verdana" w:hAnsi="Verdana"/>
          <w:sz w:val="20"/>
          <w:szCs w:val="20"/>
        </w:rPr>
      </w:pPr>
    </w:p>
    <w:p w:rsidR="002D2D9E" w:rsidRPr="00996758" w:rsidRDefault="00AC55EF">
      <w:pPr>
        <w:spacing w:after="0" w:line="240" w:lineRule="auto"/>
        <w:contextualSpacing/>
        <w:jc w:val="both"/>
        <w:rPr>
          <w:rFonts w:ascii="Verdana" w:hAnsi="Verdana"/>
          <w:sz w:val="20"/>
          <w:szCs w:val="20"/>
        </w:rPr>
      </w:pPr>
      <w:r w:rsidRPr="00996758">
        <w:rPr>
          <w:rFonts w:ascii="Verdana" w:hAnsi="Verdana"/>
          <w:sz w:val="20"/>
          <w:szCs w:val="20"/>
        </w:rPr>
        <w:t>1</w:t>
      </w:r>
      <w:r w:rsidR="00CC52CC" w:rsidRPr="00996758">
        <w:rPr>
          <w:rFonts w:ascii="Verdana" w:hAnsi="Verdana"/>
          <w:sz w:val="20"/>
          <w:szCs w:val="20"/>
        </w:rPr>
        <w:t>2</w:t>
      </w:r>
      <w:r w:rsidRPr="00996758">
        <w:rPr>
          <w:rFonts w:ascii="Verdana" w:hAnsi="Verdana"/>
          <w:sz w:val="20"/>
          <w:szCs w:val="20"/>
        </w:rPr>
        <w:t>.</w:t>
      </w:r>
      <w:r w:rsidR="002D2D9E" w:rsidRPr="00996758">
        <w:rPr>
          <w:rFonts w:ascii="Verdana" w:hAnsi="Verdana"/>
          <w:sz w:val="20"/>
          <w:szCs w:val="20"/>
        </w:rPr>
        <w:tab/>
        <w:t>El Estado debe realizar un acto público de reconocimiento de responsabilidad internacional en Colombia, en relación con los hechos d</w:t>
      </w:r>
      <w:r w:rsidRPr="00996758">
        <w:rPr>
          <w:rFonts w:ascii="Verdana" w:hAnsi="Verdana"/>
          <w:sz w:val="20"/>
          <w:szCs w:val="20"/>
        </w:rPr>
        <w:t>e este caso,</w:t>
      </w:r>
      <w:r w:rsidR="00C5679F" w:rsidRPr="00996758">
        <w:rPr>
          <w:rFonts w:ascii="Verdana" w:hAnsi="Verdana"/>
          <w:sz w:val="20"/>
          <w:szCs w:val="20"/>
        </w:rPr>
        <w:t xml:space="preserve"> en los términos del párrafo 186</w:t>
      </w:r>
      <w:r w:rsidR="002D2D9E" w:rsidRPr="00996758">
        <w:rPr>
          <w:rFonts w:ascii="Verdana" w:hAnsi="Verdana"/>
          <w:sz w:val="20"/>
          <w:szCs w:val="20"/>
        </w:rPr>
        <w:t xml:space="preserve"> de esta Sentencia.</w:t>
      </w:r>
    </w:p>
    <w:p w:rsidR="00111BE2" w:rsidRPr="00996758" w:rsidRDefault="00111BE2">
      <w:pPr>
        <w:spacing w:after="0" w:line="240" w:lineRule="auto"/>
        <w:contextualSpacing/>
        <w:jc w:val="both"/>
        <w:rPr>
          <w:rFonts w:ascii="Verdana" w:hAnsi="Verdana"/>
          <w:sz w:val="20"/>
          <w:szCs w:val="20"/>
        </w:rPr>
      </w:pPr>
    </w:p>
    <w:p w:rsidR="00607AFC" w:rsidRPr="00996758" w:rsidRDefault="002D2D9E">
      <w:pPr>
        <w:spacing w:after="0" w:line="240" w:lineRule="auto"/>
        <w:contextualSpacing/>
        <w:jc w:val="both"/>
        <w:rPr>
          <w:rFonts w:ascii="Verdana" w:hAnsi="Verdana"/>
          <w:sz w:val="20"/>
          <w:szCs w:val="20"/>
        </w:rPr>
      </w:pPr>
      <w:r w:rsidRPr="00996758">
        <w:rPr>
          <w:rStyle w:val="apple-style-span"/>
          <w:rFonts w:ascii="Verdana" w:eastAsia="MS Mincho" w:hAnsi="Verdana"/>
          <w:sz w:val="20"/>
          <w:szCs w:val="20"/>
        </w:rPr>
        <w:t>1</w:t>
      </w:r>
      <w:r w:rsidR="00CC52CC" w:rsidRPr="00996758">
        <w:rPr>
          <w:rStyle w:val="apple-style-span"/>
          <w:rFonts w:ascii="Verdana" w:eastAsia="MS Mincho" w:hAnsi="Verdana"/>
          <w:sz w:val="20"/>
          <w:szCs w:val="20"/>
        </w:rPr>
        <w:t>3</w:t>
      </w:r>
      <w:r w:rsidR="00607AFC" w:rsidRPr="00996758">
        <w:rPr>
          <w:rStyle w:val="apple-style-span"/>
          <w:rFonts w:ascii="Verdana" w:eastAsia="MS Mincho" w:hAnsi="Verdana"/>
          <w:sz w:val="20"/>
          <w:szCs w:val="20"/>
        </w:rPr>
        <w:t>.</w:t>
      </w:r>
      <w:r w:rsidR="00607AFC" w:rsidRPr="00996758">
        <w:rPr>
          <w:rStyle w:val="apple-style-span"/>
          <w:rFonts w:ascii="Verdana" w:eastAsia="MS Mincho" w:hAnsi="Verdana"/>
          <w:sz w:val="20"/>
          <w:szCs w:val="20"/>
        </w:rPr>
        <w:tab/>
        <w:t xml:space="preserve">El Estado </w:t>
      </w:r>
      <w:r w:rsidR="00607AFC" w:rsidRPr="00996758">
        <w:rPr>
          <w:rFonts w:ascii="Verdana" w:hAnsi="Verdana"/>
          <w:sz w:val="20"/>
          <w:szCs w:val="20"/>
        </w:rPr>
        <w:t>debe</w:t>
      </w:r>
      <w:r w:rsidR="00607AFC" w:rsidRPr="00996758">
        <w:rPr>
          <w:rStyle w:val="apple-style-span"/>
          <w:rFonts w:ascii="Verdana" w:eastAsia="MS Mincho" w:hAnsi="Verdana"/>
          <w:sz w:val="20"/>
          <w:szCs w:val="20"/>
        </w:rPr>
        <w:t xml:space="preserve"> realizar las publicaciones que se indican en el párrafo </w:t>
      </w:r>
      <w:r w:rsidR="00AC55EF" w:rsidRPr="00996758">
        <w:rPr>
          <w:rStyle w:val="apple-style-span"/>
          <w:rFonts w:ascii="Verdana" w:eastAsia="MS Mincho" w:hAnsi="Verdana"/>
          <w:sz w:val="20"/>
          <w:szCs w:val="20"/>
        </w:rPr>
        <w:t>18</w:t>
      </w:r>
      <w:r w:rsidR="00C5679F" w:rsidRPr="00996758">
        <w:rPr>
          <w:rStyle w:val="apple-style-span"/>
          <w:rFonts w:ascii="Verdana" w:eastAsia="MS Mincho" w:hAnsi="Verdana"/>
          <w:sz w:val="20"/>
          <w:szCs w:val="20"/>
        </w:rPr>
        <w:t>8</w:t>
      </w:r>
      <w:r w:rsidR="00607AFC" w:rsidRPr="00996758">
        <w:rPr>
          <w:rStyle w:val="apple-style-span"/>
          <w:rFonts w:ascii="Verdana" w:eastAsia="MS Mincho" w:hAnsi="Verdana"/>
          <w:sz w:val="20"/>
          <w:szCs w:val="20"/>
        </w:rPr>
        <w:t xml:space="preserve"> del presente Fallo, </w:t>
      </w:r>
      <w:r w:rsidR="00607AFC" w:rsidRPr="00996758">
        <w:rPr>
          <w:rFonts w:ascii="Verdana" w:hAnsi="Verdana"/>
          <w:sz w:val="20"/>
          <w:szCs w:val="20"/>
        </w:rPr>
        <w:t xml:space="preserve">en los términos de </w:t>
      </w:r>
      <w:r w:rsidR="00AC55EF" w:rsidRPr="00996758">
        <w:rPr>
          <w:rFonts w:ascii="Verdana" w:hAnsi="Verdana"/>
          <w:sz w:val="20"/>
          <w:szCs w:val="20"/>
        </w:rPr>
        <w:t>ese</w:t>
      </w:r>
      <w:r w:rsidR="00F43248" w:rsidRPr="00996758">
        <w:rPr>
          <w:rFonts w:ascii="Verdana" w:hAnsi="Verdana"/>
          <w:sz w:val="20"/>
          <w:szCs w:val="20"/>
        </w:rPr>
        <w:t xml:space="preserve"> mismo</w:t>
      </w:r>
      <w:r w:rsidR="00AC55EF" w:rsidRPr="00996758">
        <w:rPr>
          <w:rFonts w:ascii="Verdana" w:hAnsi="Verdana"/>
          <w:sz w:val="20"/>
          <w:szCs w:val="20"/>
        </w:rPr>
        <w:t xml:space="preserve"> párrafo</w:t>
      </w:r>
      <w:r w:rsidR="00607AFC" w:rsidRPr="00996758">
        <w:rPr>
          <w:rFonts w:ascii="Verdana" w:hAnsi="Verdana"/>
          <w:sz w:val="20"/>
          <w:szCs w:val="20"/>
        </w:rPr>
        <w:t>.</w:t>
      </w:r>
      <w:r w:rsidR="00607AFC" w:rsidRPr="00996758">
        <w:rPr>
          <w:rStyle w:val="apple-style-span"/>
          <w:rFonts w:ascii="Verdana" w:eastAsia="MS Mincho" w:hAnsi="Verdana"/>
          <w:sz w:val="20"/>
          <w:szCs w:val="20"/>
        </w:rPr>
        <w:t xml:space="preserve"> </w:t>
      </w:r>
    </w:p>
    <w:p w:rsidR="00607AFC" w:rsidRPr="00996758" w:rsidRDefault="00607AFC">
      <w:pPr>
        <w:spacing w:after="0" w:line="240" w:lineRule="auto"/>
        <w:contextualSpacing/>
        <w:jc w:val="both"/>
        <w:rPr>
          <w:rFonts w:ascii="Verdana" w:hAnsi="Verdana" w:cs="Verdana"/>
          <w:sz w:val="20"/>
          <w:szCs w:val="20"/>
        </w:rPr>
      </w:pPr>
    </w:p>
    <w:p w:rsidR="00C5679F" w:rsidRPr="00996758" w:rsidRDefault="002D2D9E">
      <w:pPr>
        <w:spacing w:after="0" w:line="240" w:lineRule="auto"/>
        <w:contextualSpacing/>
        <w:jc w:val="both"/>
        <w:rPr>
          <w:rFonts w:ascii="Verdana" w:hAnsi="Verdana" w:cs="Verdana"/>
          <w:sz w:val="20"/>
          <w:szCs w:val="20"/>
        </w:rPr>
      </w:pPr>
      <w:r w:rsidRPr="00996758">
        <w:rPr>
          <w:rFonts w:ascii="Verdana" w:hAnsi="Verdana" w:cs="Verdana"/>
          <w:sz w:val="20"/>
          <w:szCs w:val="20"/>
        </w:rPr>
        <w:t>1</w:t>
      </w:r>
      <w:r w:rsidR="00CC52CC" w:rsidRPr="00996758">
        <w:rPr>
          <w:rFonts w:ascii="Verdana" w:hAnsi="Verdana" w:cs="Verdana"/>
          <w:sz w:val="20"/>
          <w:szCs w:val="20"/>
        </w:rPr>
        <w:t>4</w:t>
      </w:r>
      <w:r w:rsidR="00607AFC" w:rsidRPr="00996758">
        <w:rPr>
          <w:rFonts w:ascii="Verdana" w:hAnsi="Verdana" w:cs="Verdana"/>
          <w:sz w:val="20"/>
          <w:szCs w:val="20"/>
        </w:rPr>
        <w:t>.</w:t>
      </w:r>
      <w:r w:rsidR="00607AFC" w:rsidRPr="00996758">
        <w:rPr>
          <w:rFonts w:ascii="Verdana" w:hAnsi="Verdana" w:cs="Verdana"/>
          <w:sz w:val="20"/>
          <w:szCs w:val="20"/>
        </w:rPr>
        <w:tab/>
      </w:r>
      <w:r w:rsidR="00C5679F" w:rsidRPr="00996758">
        <w:rPr>
          <w:rFonts w:ascii="Verdana" w:hAnsi="Verdana" w:cs="Verdana"/>
          <w:sz w:val="20"/>
          <w:szCs w:val="20"/>
        </w:rPr>
        <w:t xml:space="preserve">El </w:t>
      </w:r>
      <w:r w:rsidR="00C5679F" w:rsidRPr="00996758">
        <w:rPr>
          <w:rFonts w:ascii="Verdana" w:hAnsi="Verdana"/>
          <w:sz w:val="20"/>
          <w:szCs w:val="20"/>
        </w:rPr>
        <w:t xml:space="preserve">Estado debe fortalecer los mecanismos de protección para sindicalistas, </w:t>
      </w:r>
      <w:r w:rsidR="001A6B71" w:rsidRPr="00996758">
        <w:rPr>
          <w:rFonts w:ascii="Verdana" w:hAnsi="Verdana"/>
          <w:sz w:val="20"/>
          <w:szCs w:val="20"/>
        </w:rPr>
        <w:t>representantes</w:t>
      </w:r>
      <w:r w:rsidR="00C5679F" w:rsidRPr="00996758">
        <w:rPr>
          <w:rFonts w:ascii="Verdana" w:hAnsi="Verdana"/>
          <w:sz w:val="20"/>
          <w:szCs w:val="20"/>
        </w:rPr>
        <w:t xml:space="preserve"> y organizaciones sindicales, en los términos del párrafo 191 de esta Sentencia.</w:t>
      </w:r>
    </w:p>
    <w:p w:rsidR="00111BE2" w:rsidRPr="00996758" w:rsidRDefault="00111BE2">
      <w:pPr>
        <w:spacing w:after="0" w:line="240" w:lineRule="auto"/>
        <w:contextualSpacing/>
        <w:jc w:val="both"/>
        <w:rPr>
          <w:rFonts w:ascii="Verdana" w:hAnsi="Verdana" w:cs="Verdana"/>
          <w:sz w:val="20"/>
          <w:szCs w:val="20"/>
        </w:rPr>
      </w:pPr>
    </w:p>
    <w:p w:rsidR="00607AFC" w:rsidRPr="00996758" w:rsidRDefault="00C5679F">
      <w:pPr>
        <w:spacing w:after="0" w:line="240" w:lineRule="auto"/>
        <w:contextualSpacing/>
        <w:jc w:val="both"/>
        <w:rPr>
          <w:rFonts w:ascii="Verdana" w:hAnsi="Verdana" w:cs="Verdana"/>
          <w:sz w:val="20"/>
          <w:szCs w:val="20"/>
        </w:rPr>
      </w:pPr>
      <w:r w:rsidRPr="00996758">
        <w:rPr>
          <w:rFonts w:ascii="Verdana" w:hAnsi="Verdana" w:cs="Verdana"/>
          <w:sz w:val="20"/>
          <w:szCs w:val="20"/>
        </w:rPr>
        <w:t>15.</w:t>
      </w:r>
      <w:r w:rsidRPr="00996758">
        <w:rPr>
          <w:rFonts w:ascii="Verdana" w:hAnsi="Verdana" w:cs="Verdana"/>
          <w:sz w:val="20"/>
          <w:szCs w:val="20"/>
        </w:rPr>
        <w:tab/>
      </w:r>
      <w:r w:rsidR="00607AFC" w:rsidRPr="00996758">
        <w:rPr>
          <w:rFonts w:ascii="Verdana" w:hAnsi="Verdana" w:cs="Verdana"/>
          <w:sz w:val="20"/>
          <w:szCs w:val="20"/>
        </w:rPr>
        <w:t xml:space="preserve">El Estado </w:t>
      </w:r>
      <w:r w:rsidR="00607AFC" w:rsidRPr="00996758">
        <w:rPr>
          <w:rFonts w:ascii="Verdana" w:hAnsi="Verdana"/>
          <w:sz w:val="20"/>
          <w:szCs w:val="20"/>
        </w:rPr>
        <w:t>debe</w:t>
      </w:r>
      <w:r w:rsidR="00607AFC" w:rsidRPr="00996758">
        <w:rPr>
          <w:rFonts w:ascii="Verdana" w:hAnsi="Verdana" w:cs="Verdana"/>
          <w:sz w:val="20"/>
          <w:szCs w:val="20"/>
        </w:rPr>
        <w:t xml:space="preserve"> pagar las cantidades fijadas en los párrafos </w:t>
      </w:r>
      <w:r w:rsidR="00C17111" w:rsidRPr="00996758">
        <w:rPr>
          <w:rFonts w:ascii="Verdana" w:hAnsi="Verdana" w:cs="Verdana"/>
          <w:sz w:val="20"/>
          <w:szCs w:val="20"/>
        </w:rPr>
        <w:t>196, 201, 212 y 213</w:t>
      </w:r>
      <w:r w:rsidR="00607AFC" w:rsidRPr="00996758">
        <w:rPr>
          <w:rFonts w:ascii="Verdana" w:hAnsi="Verdana" w:cs="Verdana"/>
          <w:sz w:val="20"/>
          <w:szCs w:val="20"/>
        </w:rPr>
        <w:t xml:space="preserve"> de la presente Sentencia por concepto de indemnizaciones compensatorias </w:t>
      </w:r>
      <w:r w:rsidR="00607AFC" w:rsidRPr="00996758">
        <w:rPr>
          <w:rFonts w:ascii="Verdana" w:hAnsi="Verdana"/>
          <w:sz w:val="20"/>
          <w:szCs w:val="20"/>
        </w:rPr>
        <w:t>por daños materiales e inmateriales</w:t>
      </w:r>
      <w:r w:rsidR="009F680C" w:rsidRPr="00996758">
        <w:rPr>
          <w:rFonts w:ascii="Verdana" w:hAnsi="Verdana"/>
          <w:sz w:val="20"/>
          <w:szCs w:val="20"/>
        </w:rPr>
        <w:t>, así como por el reintegro de</w:t>
      </w:r>
      <w:r w:rsidR="00607AFC" w:rsidRPr="00996758">
        <w:rPr>
          <w:rFonts w:ascii="Verdana" w:hAnsi="Verdana"/>
          <w:sz w:val="20"/>
          <w:szCs w:val="20"/>
        </w:rPr>
        <w:t xml:space="preserve"> costas y gastos</w:t>
      </w:r>
      <w:r w:rsidR="009F680C" w:rsidRPr="00996758">
        <w:rPr>
          <w:rFonts w:ascii="Verdana" w:hAnsi="Verdana"/>
          <w:sz w:val="20"/>
          <w:szCs w:val="20"/>
        </w:rPr>
        <w:t xml:space="preserve"> y al Fondo de Asistencia Legal</w:t>
      </w:r>
      <w:r w:rsidR="00607AFC" w:rsidRPr="00996758">
        <w:rPr>
          <w:rFonts w:ascii="Verdana" w:hAnsi="Verdana"/>
          <w:sz w:val="20"/>
          <w:szCs w:val="20"/>
        </w:rPr>
        <w:t>,</w:t>
      </w:r>
      <w:r w:rsidR="00607AFC" w:rsidRPr="00996758">
        <w:rPr>
          <w:rFonts w:ascii="Verdana" w:hAnsi="Verdana" w:cs="Verdana"/>
          <w:sz w:val="20"/>
          <w:szCs w:val="20"/>
        </w:rPr>
        <w:t xml:space="preserve"> en los términos de los referidos párrafos y de los párrafos </w:t>
      </w:r>
      <w:r w:rsidR="001A6B71" w:rsidRPr="00996758">
        <w:rPr>
          <w:rFonts w:ascii="Verdana" w:hAnsi="Verdana" w:cs="Verdana"/>
          <w:sz w:val="20"/>
          <w:szCs w:val="20"/>
        </w:rPr>
        <w:t>214 a 219</w:t>
      </w:r>
      <w:r w:rsidR="00607AFC" w:rsidRPr="00996758">
        <w:rPr>
          <w:rFonts w:ascii="Verdana" w:hAnsi="Verdana" w:cs="Verdana"/>
          <w:sz w:val="20"/>
          <w:szCs w:val="20"/>
        </w:rPr>
        <w:t xml:space="preserve"> del presente Fallo.  </w:t>
      </w:r>
    </w:p>
    <w:p w:rsidR="00111BE2" w:rsidRPr="00996758" w:rsidRDefault="00111BE2">
      <w:pPr>
        <w:spacing w:after="0" w:line="240" w:lineRule="auto"/>
        <w:contextualSpacing/>
        <w:jc w:val="both"/>
        <w:rPr>
          <w:rFonts w:ascii="Verdana" w:hAnsi="Verdana"/>
          <w:sz w:val="20"/>
          <w:szCs w:val="20"/>
        </w:rPr>
      </w:pPr>
    </w:p>
    <w:p w:rsidR="00607AFC" w:rsidRPr="00996758" w:rsidRDefault="002D2D9E">
      <w:pPr>
        <w:spacing w:after="0" w:line="240" w:lineRule="auto"/>
        <w:contextualSpacing/>
        <w:jc w:val="both"/>
        <w:rPr>
          <w:rFonts w:ascii="Verdana" w:hAnsi="Verdana"/>
          <w:sz w:val="20"/>
          <w:szCs w:val="20"/>
        </w:rPr>
      </w:pPr>
      <w:r w:rsidRPr="00996758">
        <w:rPr>
          <w:rFonts w:ascii="Verdana" w:hAnsi="Verdana"/>
          <w:sz w:val="20"/>
          <w:szCs w:val="20"/>
        </w:rPr>
        <w:t>1</w:t>
      </w:r>
      <w:r w:rsidR="001A6B71" w:rsidRPr="00996758">
        <w:rPr>
          <w:rFonts w:ascii="Verdana" w:hAnsi="Verdana"/>
          <w:sz w:val="20"/>
          <w:szCs w:val="20"/>
        </w:rPr>
        <w:t>6</w:t>
      </w:r>
      <w:r w:rsidR="00607AFC" w:rsidRPr="00996758">
        <w:rPr>
          <w:rFonts w:ascii="Verdana" w:hAnsi="Verdana"/>
          <w:sz w:val="20"/>
          <w:szCs w:val="20"/>
        </w:rPr>
        <w:t>.</w:t>
      </w:r>
      <w:r w:rsidR="00607AFC" w:rsidRPr="00996758">
        <w:rPr>
          <w:rFonts w:ascii="Verdana" w:hAnsi="Verdana"/>
          <w:sz w:val="20"/>
          <w:szCs w:val="20"/>
        </w:rPr>
        <w:tab/>
        <w:t xml:space="preserve">El Estado debe </w:t>
      </w:r>
      <w:r w:rsidR="00607AFC" w:rsidRPr="00996758">
        <w:rPr>
          <w:rFonts w:ascii="Verdana" w:hAnsi="Verdana" w:cs="Verdana"/>
          <w:sz w:val="20"/>
          <w:szCs w:val="20"/>
        </w:rPr>
        <w:t>rendir</w:t>
      </w:r>
      <w:r w:rsidR="00607AFC" w:rsidRPr="00996758">
        <w:rPr>
          <w:rFonts w:ascii="Verdana" w:hAnsi="Verdana"/>
          <w:sz w:val="20"/>
          <w:szCs w:val="20"/>
        </w:rPr>
        <w:t xml:space="preserve"> al Tribunal un informe sobre las medidas adoptadas para cumplir con </w:t>
      </w:r>
      <w:r w:rsidR="00607AFC" w:rsidRPr="00996758">
        <w:rPr>
          <w:rFonts w:ascii="Verdana" w:hAnsi="Verdana" w:cs="Verdana"/>
          <w:sz w:val="20"/>
          <w:szCs w:val="20"/>
        </w:rPr>
        <w:t>la presente Sentencia</w:t>
      </w:r>
      <w:r w:rsidR="00607AFC" w:rsidRPr="00996758">
        <w:rPr>
          <w:rFonts w:ascii="Verdana" w:hAnsi="Verdana"/>
          <w:sz w:val="20"/>
          <w:szCs w:val="20"/>
        </w:rPr>
        <w:t>,</w:t>
      </w:r>
      <w:r w:rsidR="00607AFC" w:rsidRPr="00996758">
        <w:rPr>
          <w:rFonts w:ascii="Verdana" w:hAnsi="Verdana" w:cs="Verdana"/>
          <w:sz w:val="20"/>
          <w:szCs w:val="20"/>
        </w:rPr>
        <w:t xml:space="preserve"> dentro del plazo de un año contado a partir de la notificación de </w:t>
      </w:r>
      <w:r w:rsidR="00607AFC" w:rsidRPr="00996758">
        <w:rPr>
          <w:rFonts w:ascii="Verdana" w:hAnsi="Verdana"/>
          <w:sz w:val="20"/>
          <w:szCs w:val="20"/>
        </w:rPr>
        <w:t xml:space="preserve">la misma, y además debe presentar un informe, en el plazo de seis meses </w:t>
      </w:r>
      <w:r w:rsidR="00607AFC" w:rsidRPr="00996758">
        <w:rPr>
          <w:rFonts w:ascii="Verdana" w:hAnsi="Verdana" w:cs="Verdana"/>
          <w:sz w:val="20"/>
          <w:szCs w:val="20"/>
        </w:rPr>
        <w:t xml:space="preserve">contado a partir de la notificación de </w:t>
      </w:r>
      <w:r w:rsidR="00607AFC" w:rsidRPr="00996758">
        <w:rPr>
          <w:rFonts w:ascii="Verdana" w:hAnsi="Verdana"/>
          <w:sz w:val="20"/>
          <w:szCs w:val="20"/>
        </w:rPr>
        <w:t>la misma, en el cual indique –para cada una de las medidas de reparación ordenadas– cuáles son los órganos, instituciones o autoridades estatales encargadas o responsables de implementarlas, que incluya un cronograma de trabajo para su cumplimiento total.</w:t>
      </w:r>
    </w:p>
    <w:p w:rsidR="00111BE2" w:rsidRPr="00996758" w:rsidRDefault="00111BE2">
      <w:pPr>
        <w:spacing w:after="0" w:line="240" w:lineRule="auto"/>
        <w:contextualSpacing/>
        <w:jc w:val="both"/>
        <w:rPr>
          <w:rFonts w:ascii="Verdana" w:hAnsi="Verdana"/>
          <w:sz w:val="20"/>
          <w:szCs w:val="20"/>
        </w:rPr>
      </w:pPr>
    </w:p>
    <w:p w:rsidR="00607AFC" w:rsidRPr="00996758" w:rsidRDefault="002D2D9E">
      <w:pPr>
        <w:spacing w:after="0" w:line="240" w:lineRule="auto"/>
        <w:contextualSpacing/>
        <w:jc w:val="both"/>
        <w:rPr>
          <w:rFonts w:ascii="Verdana" w:hAnsi="Verdana"/>
          <w:sz w:val="20"/>
          <w:szCs w:val="20"/>
        </w:rPr>
      </w:pPr>
      <w:r w:rsidRPr="00996758">
        <w:rPr>
          <w:rFonts w:ascii="Verdana" w:hAnsi="Verdana"/>
          <w:sz w:val="20"/>
          <w:szCs w:val="20"/>
        </w:rPr>
        <w:t>1</w:t>
      </w:r>
      <w:r w:rsidR="001A6B71" w:rsidRPr="00996758">
        <w:rPr>
          <w:rFonts w:ascii="Verdana" w:hAnsi="Verdana"/>
          <w:sz w:val="20"/>
          <w:szCs w:val="20"/>
        </w:rPr>
        <w:t>7</w:t>
      </w:r>
      <w:r w:rsidR="00607AFC" w:rsidRPr="00996758">
        <w:rPr>
          <w:rFonts w:ascii="Verdana" w:hAnsi="Verdana"/>
          <w:sz w:val="20"/>
          <w:szCs w:val="20"/>
        </w:rPr>
        <w:t>.</w:t>
      </w:r>
      <w:r w:rsidR="00607AFC" w:rsidRPr="00996758">
        <w:rPr>
          <w:rFonts w:ascii="Verdana" w:hAnsi="Verdana"/>
          <w:sz w:val="20"/>
          <w:szCs w:val="20"/>
        </w:rPr>
        <w:tab/>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rsidR="00A92240" w:rsidRPr="00996758" w:rsidRDefault="00A92240">
      <w:pPr>
        <w:spacing w:after="0" w:line="240" w:lineRule="auto"/>
        <w:jc w:val="both"/>
        <w:rPr>
          <w:rFonts w:ascii="Verdana" w:hAnsi="Verdana"/>
          <w:sz w:val="20"/>
          <w:szCs w:val="20"/>
          <w:u w:val="single"/>
        </w:rPr>
      </w:pPr>
    </w:p>
    <w:p w:rsidR="00577558" w:rsidRPr="00996758" w:rsidRDefault="00577558">
      <w:pPr>
        <w:spacing w:after="0" w:line="240" w:lineRule="auto"/>
        <w:jc w:val="both"/>
        <w:rPr>
          <w:rFonts w:ascii="Verdana" w:hAnsi="Verdana"/>
          <w:sz w:val="20"/>
          <w:szCs w:val="20"/>
          <w:u w:val="single"/>
        </w:rPr>
      </w:pPr>
    </w:p>
    <w:p w:rsidR="00111BE2" w:rsidRPr="00996758" w:rsidRDefault="00111BE2">
      <w:pPr>
        <w:spacing w:after="0" w:line="240" w:lineRule="auto"/>
        <w:jc w:val="both"/>
        <w:rPr>
          <w:rFonts w:ascii="Verdana" w:hAnsi="Verdana"/>
          <w:sz w:val="20"/>
          <w:szCs w:val="20"/>
          <w:u w:val="single"/>
        </w:rPr>
      </w:pPr>
    </w:p>
    <w:p w:rsidR="00111BE2" w:rsidRPr="00996758" w:rsidRDefault="00111BE2">
      <w:pPr>
        <w:spacing w:after="0" w:line="240" w:lineRule="auto"/>
        <w:jc w:val="both"/>
        <w:rPr>
          <w:rFonts w:ascii="Verdana" w:hAnsi="Verdana"/>
          <w:sz w:val="20"/>
          <w:szCs w:val="20"/>
          <w:u w:val="single"/>
        </w:rPr>
      </w:pPr>
    </w:p>
    <w:p w:rsidR="003548D5" w:rsidRPr="00996758" w:rsidRDefault="00780BBA" w:rsidP="00DE2952">
      <w:pPr>
        <w:spacing w:after="0" w:line="240" w:lineRule="auto"/>
        <w:jc w:val="both"/>
        <w:rPr>
          <w:rFonts w:ascii="Verdana" w:eastAsia="Times" w:hAnsi="Verdana"/>
          <w:sz w:val="20"/>
          <w:szCs w:val="20"/>
        </w:rPr>
      </w:pPr>
      <w:r w:rsidRPr="00996758">
        <w:rPr>
          <w:rFonts w:ascii="Verdana" w:hAnsi="Verdana"/>
          <w:sz w:val="20"/>
          <w:szCs w:val="20"/>
        </w:rPr>
        <w:t xml:space="preserve">Redactada en español en San José, Costa Rica, el </w:t>
      </w:r>
      <w:r w:rsidR="006C686A" w:rsidRPr="00996758">
        <w:rPr>
          <w:rFonts w:ascii="Verdana" w:hAnsi="Verdana"/>
          <w:sz w:val="20"/>
          <w:szCs w:val="20"/>
        </w:rPr>
        <w:t>20</w:t>
      </w:r>
      <w:r w:rsidRPr="00996758">
        <w:rPr>
          <w:rFonts w:ascii="Verdana" w:hAnsi="Verdana"/>
          <w:sz w:val="20"/>
          <w:szCs w:val="20"/>
        </w:rPr>
        <w:t xml:space="preserve"> de </w:t>
      </w:r>
      <w:r w:rsidR="001B6FA6" w:rsidRPr="00996758">
        <w:rPr>
          <w:rFonts w:ascii="Verdana" w:hAnsi="Verdana"/>
          <w:sz w:val="20"/>
          <w:szCs w:val="20"/>
        </w:rPr>
        <w:t>noviembre</w:t>
      </w:r>
      <w:r w:rsidRPr="00996758">
        <w:rPr>
          <w:rFonts w:ascii="Verdana" w:hAnsi="Verdana"/>
          <w:sz w:val="20"/>
          <w:szCs w:val="20"/>
        </w:rPr>
        <w:t xml:space="preserve"> de 2018.</w:t>
      </w:r>
    </w:p>
    <w:p w:rsidR="003548D5" w:rsidRPr="00996758" w:rsidRDefault="003548D5">
      <w:pPr>
        <w:spacing w:after="0" w:line="240" w:lineRule="auto"/>
        <w:jc w:val="both"/>
        <w:rPr>
          <w:rFonts w:ascii="Verdana" w:eastAsia="Times" w:hAnsi="Verdana"/>
          <w:sz w:val="20"/>
          <w:szCs w:val="20"/>
        </w:rPr>
      </w:pPr>
    </w:p>
    <w:p w:rsidR="00111BE2" w:rsidRPr="00996758" w:rsidRDefault="00111BE2">
      <w:pPr>
        <w:spacing w:after="0" w:line="240" w:lineRule="auto"/>
        <w:jc w:val="both"/>
        <w:rPr>
          <w:rFonts w:ascii="Verdana" w:eastAsia="Times" w:hAnsi="Verdana"/>
          <w:sz w:val="20"/>
          <w:szCs w:val="20"/>
        </w:rPr>
      </w:pPr>
    </w:p>
    <w:p w:rsidR="00111BE2" w:rsidRPr="00996758" w:rsidRDefault="00111BE2">
      <w:pPr>
        <w:spacing w:after="0" w:line="240" w:lineRule="auto"/>
        <w:jc w:val="both"/>
        <w:rPr>
          <w:rFonts w:ascii="Verdana" w:eastAsia="Times" w:hAnsi="Verdana"/>
          <w:sz w:val="20"/>
          <w:szCs w:val="20"/>
        </w:rPr>
      </w:pPr>
    </w:p>
    <w:p w:rsidR="00111BE2" w:rsidRPr="00996758" w:rsidRDefault="00111BE2">
      <w:pPr>
        <w:spacing w:after="0" w:line="240" w:lineRule="auto"/>
        <w:jc w:val="both"/>
        <w:rPr>
          <w:rFonts w:ascii="Verdana" w:eastAsia="Times" w:hAnsi="Verdana"/>
          <w:sz w:val="20"/>
          <w:szCs w:val="20"/>
        </w:rPr>
      </w:pPr>
    </w:p>
    <w:p w:rsidR="00780BBA" w:rsidRPr="00996758" w:rsidRDefault="00780BBA">
      <w:pPr>
        <w:spacing w:after="0" w:line="240" w:lineRule="auto"/>
        <w:jc w:val="both"/>
        <w:rPr>
          <w:rFonts w:ascii="Verdana" w:eastAsia="Times" w:hAnsi="Verdana"/>
          <w:sz w:val="20"/>
          <w:szCs w:val="20"/>
        </w:rPr>
      </w:pPr>
      <w:r w:rsidRPr="00996758">
        <w:rPr>
          <w:rFonts w:ascii="Verdana" w:eastAsia="Times" w:hAnsi="Verdana"/>
          <w:sz w:val="20"/>
          <w:szCs w:val="20"/>
        </w:rPr>
        <w:lastRenderedPageBreak/>
        <w:t xml:space="preserve">Corte </w:t>
      </w:r>
      <w:r w:rsidR="00B201AB" w:rsidRPr="00996758">
        <w:rPr>
          <w:rFonts w:ascii="Verdana" w:eastAsia="Times" w:hAnsi="Verdana"/>
          <w:sz w:val="20"/>
          <w:szCs w:val="20"/>
        </w:rPr>
        <w:t>IDH</w:t>
      </w:r>
      <w:r w:rsidRPr="00996758">
        <w:rPr>
          <w:rFonts w:ascii="Verdana" w:eastAsia="Times" w:hAnsi="Verdana"/>
          <w:sz w:val="20"/>
          <w:szCs w:val="20"/>
        </w:rPr>
        <w:t xml:space="preserve">. </w:t>
      </w:r>
      <w:r w:rsidRPr="00996758">
        <w:rPr>
          <w:rFonts w:ascii="Verdana" w:eastAsia="Times" w:hAnsi="Verdana"/>
          <w:i/>
          <w:sz w:val="20"/>
          <w:szCs w:val="20"/>
        </w:rPr>
        <w:t>Caso Isaza Uribe y otros vs. Colombia</w:t>
      </w:r>
      <w:r w:rsidRPr="00996758">
        <w:rPr>
          <w:rFonts w:ascii="Verdana" w:eastAsia="Times" w:hAnsi="Verdana"/>
          <w:sz w:val="20"/>
          <w:szCs w:val="20"/>
        </w:rPr>
        <w:t>, Fondo, Reparaciones y Costas.</w:t>
      </w:r>
    </w:p>
    <w:p w:rsidR="00F72F97" w:rsidRPr="00996758" w:rsidRDefault="00F72F97">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A92240" w:rsidRPr="00996758" w:rsidRDefault="00A92240">
      <w:pPr>
        <w:spacing w:after="0" w:line="240" w:lineRule="auto"/>
        <w:jc w:val="both"/>
        <w:rPr>
          <w:rFonts w:ascii="Verdana" w:hAnsi="Verdana"/>
          <w:sz w:val="20"/>
          <w:szCs w:val="20"/>
        </w:rPr>
      </w:pPr>
    </w:p>
    <w:p w:rsidR="00A92240" w:rsidRPr="00996758" w:rsidRDefault="00A92240">
      <w:pPr>
        <w:spacing w:after="0" w:line="240" w:lineRule="auto"/>
        <w:jc w:val="both"/>
        <w:rPr>
          <w:rFonts w:ascii="Verdana" w:hAnsi="Verdana"/>
          <w:sz w:val="20"/>
          <w:szCs w:val="20"/>
        </w:rPr>
      </w:pPr>
    </w:p>
    <w:p w:rsidR="00D275ED" w:rsidRPr="00996758" w:rsidRDefault="00D275ED">
      <w:pPr>
        <w:spacing w:after="0" w:line="240" w:lineRule="auto"/>
        <w:jc w:val="both"/>
        <w:rPr>
          <w:rFonts w:ascii="Verdana" w:hAnsi="Verdana"/>
          <w:sz w:val="20"/>
          <w:szCs w:val="20"/>
        </w:rPr>
      </w:pPr>
    </w:p>
    <w:p w:rsidR="00780BBA" w:rsidRPr="00996758" w:rsidRDefault="00780BBA">
      <w:pPr>
        <w:spacing w:after="0" w:line="240" w:lineRule="auto"/>
        <w:jc w:val="center"/>
        <w:rPr>
          <w:rFonts w:ascii="Verdana" w:hAnsi="Verdana"/>
          <w:sz w:val="20"/>
          <w:szCs w:val="20"/>
        </w:rPr>
      </w:pPr>
      <w:r w:rsidRPr="00996758">
        <w:rPr>
          <w:rFonts w:ascii="Verdana" w:hAnsi="Verdana"/>
          <w:sz w:val="20"/>
          <w:szCs w:val="20"/>
        </w:rPr>
        <w:t xml:space="preserve">Eduardo Ferrer Mac-Gregor Poisot </w:t>
      </w:r>
    </w:p>
    <w:p w:rsidR="00780BBA" w:rsidRPr="00996758" w:rsidRDefault="00780BBA">
      <w:pPr>
        <w:spacing w:after="0" w:line="240" w:lineRule="auto"/>
        <w:jc w:val="center"/>
        <w:rPr>
          <w:rFonts w:ascii="Verdana" w:hAnsi="Verdana"/>
          <w:sz w:val="20"/>
          <w:szCs w:val="20"/>
        </w:rPr>
      </w:pPr>
      <w:r w:rsidRPr="00996758">
        <w:rPr>
          <w:rFonts w:ascii="Verdana" w:hAnsi="Verdana"/>
          <w:sz w:val="20"/>
          <w:szCs w:val="20"/>
        </w:rPr>
        <w:t>Presidente</w:t>
      </w:r>
    </w:p>
    <w:p w:rsidR="00A92240" w:rsidRPr="00996758" w:rsidRDefault="00A92240">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bookmarkStart w:id="71" w:name="_GoBack"/>
    </w:p>
    <w:bookmarkEnd w:id="71"/>
    <w:p w:rsidR="003548D5" w:rsidRPr="00996758" w:rsidRDefault="003548D5">
      <w:pPr>
        <w:spacing w:after="0" w:line="240" w:lineRule="auto"/>
        <w:jc w:val="both"/>
        <w:rPr>
          <w:rFonts w:ascii="Verdana" w:hAnsi="Verdana"/>
          <w:sz w:val="20"/>
          <w:szCs w:val="20"/>
        </w:rPr>
      </w:pPr>
    </w:p>
    <w:p w:rsidR="00A92240" w:rsidRPr="00996758" w:rsidRDefault="00A92240">
      <w:pPr>
        <w:spacing w:after="0" w:line="240" w:lineRule="auto"/>
        <w:jc w:val="both"/>
        <w:rPr>
          <w:rFonts w:ascii="Verdana" w:hAnsi="Verdana"/>
          <w:sz w:val="20"/>
          <w:szCs w:val="20"/>
        </w:rPr>
      </w:pPr>
    </w:p>
    <w:p w:rsidR="00780BBA" w:rsidRPr="00996758" w:rsidRDefault="00780BBA">
      <w:pPr>
        <w:spacing w:after="0" w:line="240" w:lineRule="auto"/>
        <w:jc w:val="both"/>
        <w:rPr>
          <w:rFonts w:ascii="Verdana" w:hAnsi="Verdana"/>
          <w:sz w:val="20"/>
          <w:szCs w:val="20"/>
        </w:rPr>
      </w:pPr>
      <w:r w:rsidRPr="00996758">
        <w:rPr>
          <w:rFonts w:ascii="Verdana" w:hAnsi="Verdana"/>
          <w:sz w:val="20"/>
          <w:szCs w:val="20"/>
        </w:rPr>
        <w:t xml:space="preserve">Eduardo Vio Grossi </w:t>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Pr="00996758">
        <w:rPr>
          <w:rFonts w:ascii="Verdana" w:hAnsi="Verdana"/>
          <w:sz w:val="20"/>
          <w:szCs w:val="20"/>
        </w:rPr>
        <w:tab/>
      </w:r>
      <w:r w:rsidR="000F067E" w:rsidRPr="00996758">
        <w:rPr>
          <w:rFonts w:ascii="Verdana" w:hAnsi="Verdana"/>
          <w:sz w:val="20"/>
          <w:szCs w:val="20"/>
        </w:rPr>
        <w:t xml:space="preserve">         </w:t>
      </w:r>
      <w:r w:rsidR="00BC4EFE" w:rsidRPr="00996758">
        <w:rPr>
          <w:rFonts w:ascii="Verdana" w:hAnsi="Verdana"/>
          <w:sz w:val="20"/>
          <w:szCs w:val="20"/>
        </w:rPr>
        <w:t>Elizabeth Odio Benito</w:t>
      </w:r>
      <w:r w:rsidR="00BC4EFE" w:rsidRPr="00996758" w:rsidDel="00BC4EFE">
        <w:rPr>
          <w:rFonts w:ascii="Verdana" w:hAnsi="Verdana"/>
          <w:strike/>
          <w:sz w:val="20"/>
          <w:szCs w:val="20"/>
        </w:rPr>
        <w:t xml:space="preserve"> </w:t>
      </w:r>
    </w:p>
    <w:p w:rsidR="00B201AB" w:rsidRPr="00996758" w:rsidRDefault="00B201AB">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A92240" w:rsidRPr="00996758" w:rsidRDefault="00A92240">
      <w:pPr>
        <w:spacing w:after="0" w:line="240" w:lineRule="auto"/>
        <w:jc w:val="both"/>
        <w:rPr>
          <w:rFonts w:ascii="Verdana" w:hAnsi="Verdana"/>
          <w:sz w:val="20"/>
          <w:szCs w:val="20"/>
        </w:rPr>
      </w:pPr>
    </w:p>
    <w:p w:rsidR="00780BBA" w:rsidRPr="00996758" w:rsidRDefault="00780BBA">
      <w:pPr>
        <w:spacing w:after="0" w:line="240" w:lineRule="auto"/>
        <w:jc w:val="both"/>
        <w:rPr>
          <w:rFonts w:ascii="Verdana" w:hAnsi="Verdana"/>
          <w:sz w:val="20"/>
          <w:szCs w:val="20"/>
        </w:rPr>
      </w:pPr>
      <w:r w:rsidRPr="00996758">
        <w:rPr>
          <w:rFonts w:ascii="Verdana" w:hAnsi="Verdana"/>
          <w:sz w:val="20"/>
          <w:szCs w:val="20"/>
        </w:rPr>
        <w:t>Eugenio Raúl Zaffaroni</w:t>
      </w:r>
      <w:r w:rsidR="00BC4EFE" w:rsidRPr="00996758">
        <w:rPr>
          <w:rFonts w:ascii="Verdana" w:hAnsi="Verdana"/>
          <w:sz w:val="20"/>
          <w:szCs w:val="20"/>
        </w:rPr>
        <w:tab/>
      </w:r>
      <w:r w:rsidR="00BC4EFE" w:rsidRPr="00996758">
        <w:rPr>
          <w:rFonts w:ascii="Verdana" w:hAnsi="Verdana"/>
          <w:sz w:val="20"/>
          <w:szCs w:val="20"/>
        </w:rPr>
        <w:tab/>
      </w:r>
      <w:r w:rsidR="00BC4EFE" w:rsidRPr="00996758">
        <w:rPr>
          <w:rFonts w:ascii="Verdana" w:hAnsi="Verdana"/>
          <w:sz w:val="20"/>
          <w:szCs w:val="20"/>
        </w:rPr>
        <w:tab/>
      </w:r>
      <w:r w:rsidR="00BC4EFE" w:rsidRPr="00996758">
        <w:rPr>
          <w:rFonts w:ascii="Verdana" w:hAnsi="Verdana"/>
          <w:sz w:val="20"/>
          <w:szCs w:val="20"/>
        </w:rPr>
        <w:tab/>
      </w:r>
      <w:r w:rsidR="00BC4EFE" w:rsidRPr="00996758">
        <w:rPr>
          <w:rFonts w:ascii="Verdana" w:hAnsi="Verdana"/>
          <w:sz w:val="20"/>
          <w:szCs w:val="20"/>
        </w:rPr>
        <w:tab/>
      </w:r>
      <w:r w:rsidR="00BC4EFE" w:rsidRPr="00996758">
        <w:rPr>
          <w:rFonts w:ascii="Verdana" w:hAnsi="Verdana"/>
          <w:sz w:val="20"/>
          <w:szCs w:val="20"/>
        </w:rPr>
        <w:tab/>
      </w:r>
      <w:r w:rsidR="00BC4EFE" w:rsidRPr="00996758">
        <w:rPr>
          <w:rFonts w:ascii="Verdana" w:hAnsi="Verdana"/>
          <w:sz w:val="20"/>
          <w:szCs w:val="20"/>
        </w:rPr>
        <w:tab/>
      </w:r>
      <w:r w:rsidR="000F067E" w:rsidRPr="00996758">
        <w:rPr>
          <w:rFonts w:ascii="Verdana" w:hAnsi="Verdana"/>
          <w:sz w:val="20"/>
          <w:szCs w:val="20"/>
        </w:rPr>
        <w:t xml:space="preserve">    </w:t>
      </w:r>
      <w:r w:rsidR="00BC4EFE" w:rsidRPr="00996758">
        <w:rPr>
          <w:rFonts w:ascii="Verdana" w:hAnsi="Verdana"/>
          <w:sz w:val="20"/>
          <w:szCs w:val="20"/>
        </w:rPr>
        <w:t>L. Patricio Pazmiño Freire</w:t>
      </w:r>
    </w:p>
    <w:p w:rsidR="00A92240" w:rsidRPr="00996758" w:rsidRDefault="00A92240">
      <w:pPr>
        <w:spacing w:after="0" w:line="240" w:lineRule="auto"/>
        <w:jc w:val="both"/>
        <w:rPr>
          <w:rFonts w:ascii="Verdana" w:hAnsi="Verdana"/>
          <w:sz w:val="20"/>
          <w:szCs w:val="20"/>
        </w:rPr>
      </w:pPr>
    </w:p>
    <w:p w:rsidR="000F067E" w:rsidRPr="00996758" w:rsidRDefault="000F067E">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780BBA" w:rsidRPr="00996758" w:rsidRDefault="00780BBA">
      <w:pPr>
        <w:spacing w:after="0" w:line="240" w:lineRule="auto"/>
        <w:jc w:val="center"/>
        <w:rPr>
          <w:rFonts w:ascii="Verdana" w:hAnsi="Verdana"/>
          <w:sz w:val="20"/>
          <w:szCs w:val="20"/>
        </w:rPr>
      </w:pPr>
      <w:r w:rsidRPr="00996758">
        <w:rPr>
          <w:rFonts w:ascii="Verdana" w:hAnsi="Verdana"/>
          <w:sz w:val="20"/>
          <w:szCs w:val="20"/>
        </w:rPr>
        <w:t>Pablo Saavedra Alessandri</w:t>
      </w:r>
    </w:p>
    <w:p w:rsidR="00780BBA" w:rsidRPr="00996758" w:rsidRDefault="00780BBA">
      <w:pPr>
        <w:spacing w:after="0" w:line="240" w:lineRule="auto"/>
        <w:jc w:val="center"/>
        <w:rPr>
          <w:rFonts w:ascii="Verdana" w:hAnsi="Verdana"/>
          <w:sz w:val="20"/>
          <w:szCs w:val="20"/>
        </w:rPr>
      </w:pPr>
      <w:r w:rsidRPr="00996758">
        <w:rPr>
          <w:rFonts w:ascii="Verdana" w:hAnsi="Verdana"/>
          <w:sz w:val="20"/>
          <w:szCs w:val="20"/>
        </w:rPr>
        <w:t>Secretario</w:t>
      </w:r>
    </w:p>
    <w:p w:rsidR="00A92240" w:rsidRPr="00996758" w:rsidRDefault="00A92240">
      <w:pPr>
        <w:spacing w:after="0" w:line="240" w:lineRule="auto"/>
        <w:jc w:val="both"/>
        <w:rPr>
          <w:rFonts w:ascii="Verdana" w:hAnsi="Verdana"/>
          <w:sz w:val="20"/>
          <w:szCs w:val="20"/>
        </w:rPr>
      </w:pPr>
    </w:p>
    <w:p w:rsidR="00A92240" w:rsidRPr="00996758" w:rsidRDefault="00A92240">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780BBA" w:rsidRPr="00996758" w:rsidRDefault="00780BBA">
      <w:pPr>
        <w:spacing w:after="0" w:line="240" w:lineRule="auto"/>
        <w:jc w:val="both"/>
        <w:rPr>
          <w:rFonts w:ascii="Verdana" w:hAnsi="Verdana"/>
          <w:sz w:val="20"/>
          <w:szCs w:val="20"/>
        </w:rPr>
      </w:pPr>
      <w:r w:rsidRPr="00996758">
        <w:rPr>
          <w:rFonts w:ascii="Verdana" w:hAnsi="Verdana"/>
          <w:sz w:val="20"/>
          <w:szCs w:val="20"/>
        </w:rPr>
        <w:t>Comuníquese y ejecútese,</w:t>
      </w:r>
    </w:p>
    <w:p w:rsidR="00A92240" w:rsidRPr="00996758" w:rsidRDefault="00A92240">
      <w:pPr>
        <w:spacing w:after="0" w:line="240" w:lineRule="auto"/>
        <w:ind w:left="5664"/>
        <w:jc w:val="both"/>
        <w:rPr>
          <w:rFonts w:ascii="Verdana" w:hAnsi="Verdana"/>
          <w:sz w:val="20"/>
          <w:szCs w:val="20"/>
        </w:rPr>
      </w:pPr>
    </w:p>
    <w:p w:rsidR="003548D5" w:rsidRPr="00996758" w:rsidRDefault="003548D5">
      <w:pPr>
        <w:spacing w:after="0" w:line="240" w:lineRule="auto"/>
        <w:ind w:left="5664"/>
        <w:jc w:val="both"/>
        <w:rPr>
          <w:rFonts w:ascii="Verdana" w:hAnsi="Verdana"/>
          <w:sz w:val="20"/>
          <w:szCs w:val="20"/>
        </w:rPr>
      </w:pPr>
    </w:p>
    <w:p w:rsidR="003548D5" w:rsidRPr="00996758" w:rsidRDefault="003548D5">
      <w:pPr>
        <w:spacing w:after="0" w:line="240" w:lineRule="auto"/>
        <w:ind w:left="5664"/>
        <w:jc w:val="both"/>
        <w:rPr>
          <w:rFonts w:ascii="Verdana" w:hAnsi="Verdana"/>
          <w:sz w:val="20"/>
          <w:szCs w:val="20"/>
        </w:rPr>
      </w:pPr>
    </w:p>
    <w:p w:rsidR="003548D5" w:rsidRPr="00996758" w:rsidRDefault="003548D5">
      <w:pPr>
        <w:spacing w:after="0" w:line="240" w:lineRule="auto"/>
        <w:ind w:left="5664"/>
        <w:jc w:val="both"/>
        <w:rPr>
          <w:rFonts w:ascii="Verdana" w:hAnsi="Verdana"/>
          <w:sz w:val="20"/>
          <w:szCs w:val="20"/>
        </w:rPr>
      </w:pPr>
    </w:p>
    <w:p w:rsidR="003548D5" w:rsidRPr="00996758" w:rsidRDefault="003548D5">
      <w:pPr>
        <w:spacing w:after="0" w:line="240" w:lineRule="auto"/>
        <w:ind w:left="5664"/>
        <w:jc w:val="both"/>
        <w:rPr>
          <w:rFonts w:ascii="Verdana" w:hAnsi="Verdana"/>
          <w:sz w:val="20"/>
          <w:szCs w:val="20"/>
        </w:rPr>
      </w:pPr>
    </w:p>
    <w:p w:rsidR="00780BBA" w:rsidRPr="00996758" w:rsidRDefault="00780BBA">
      <w:pPr>
        <w:spacing w:after="0" w:line="240" w:lineRule="auto"/>
        <w:ind w:left="5664"/>
        <w:jc w:val="both"/>
        <w:rPr>
          <w:rFonts w:ascii="Verdana" w:hAnsi="Verdana"/>
          <w:sz w:val="20"/>
          <w:szCs w:val="20"/>
        </w:rPr>
      </w:pPr>
      <w:r w:rsidRPr="00996758">
        <w:rPr>
          <w:rFonts w:ascii="Verdana" w:hAnsi="Verdana"/>
          <w:sz w:val="20"/>
          <w:szCs w:val="20"/>
        </w:rPr>
        <w:t>Eduardo Ferrer Mac-Gregor Poisot</w:t>
      </w:r>
    </w:p>
    <w:p w:rsidR="00780BBA" w:rsidRPr="00996758" w:rsidRDefault="00780BBA">
      <w:pPr>
        <w:spacing w:after="0" w:line="240" w:lineRule="auto"/>
        <w:ind w:left="6360" w:firstLine="720"/>
        <w:jc w:val="both"/>
        <w:rPr>
          <w:rFonts w:ascii="Verdana" w:hAnsi="Verdana"/>
          <w:sz w:val="20"/>
          <w:szCs w:val="20"/>
        </w:rPr>
      </w:pPr>
      <w:r w:rsidRPr="00996758">
        <w:rPr>
          <w:rFonts w:ascii="Verdana" w:hAnsi="Verdana"/>
          <w:sz w:val="20"/>
          <w:szCs w:val="20"/>
        </w:rPr>
        <w:t>Presidente</w:t>
      </w:r>
    </w:p>
    <w:p w:rsidR="00A92240" w:rsidRPr="00996758" w:rsidRDefault="00A92240">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3548D5" w:rsidRPr="00996758" w:rsidRDefault="003548D5">
      <w:pPr>
        <w:spacing w:after="0" w:line="240" w:lineRule="auto"/>
        <w:jc w:val="both"/>
        <w:rPr>
          <w:rFonts w:ascii="Verdana" w:hAnsi="Verdana"/>
          <w:sz w:val="20"/>
          <w:szCs w:val="20"/>
        </w:rPr>
      </w:pPr>
    </w:p>
    <w:p w:rsidR="00780BBA" w:rsidRPr="00996758" w:rsidRDefault="00780BBA">
      <w:pPr>
        <w:spacing w:after="0" w:line="240" w:lineRule="auto"/>
        <w:jc w:val="both"/>
        <w:rPr>
          <w:rFonts w:ascii="Verdana" w:hAnsi="Verdana"/>
          <w:sz w:val="20"/>
          <w:szCs w:val="20"/>
        </w:rPr>
      </w:pPr>
      <w:r w:rsidRPr="00996758">
        <w:rPr>
          <w:rFonts w:ascii="Verdana" w:hAnsi="Verdana"/>
          <w:sz w:val="20"/>
          <w:szCs w:val="20"/>
        </w:rPr>
        <w:t>Pablo Saavedra Alessandri</w:t>
      </w:r>
    </w:p>
    <w:p w:rsidR="00780BBA" w:rsidRPr="00996758" w:rsidRDefault="00780BBA">
      <w:pPr>
        <w:spacing w:after="0" w:line="240" w:lineRule="auto"/>
        <w:jc w:val="both"/>
        <w:rPr>
          <w:rFonts w:ascii="Verdana" w:hAnsi="Verdana"/>
          <w:bCs/>
          <w:sz w:val="20"/>
          <w:szCs w:val="20"/>
        </w:rPr>
      </w:pPr>
      <w:r w:rsidRPr="00996758">
        <w:rPr>
          <w:rFonts w:ascii="Verdana" w:hAnsi="Verdana"/>
          <w:sz w:val="20"/>
          <w:szCs w:val="20"/>
        </w:rPr>
        <w:tab/>
        <w:t>Secretario</w:t>
      </w:r>
    </w:p>
    <w:sectPr w:rsidR="00780BBA" w:rsidRPr="00996758" w:rsidSect="00232BAF">
      <w:headerReference w:type="default" r:id="rId9"/>
      <w:footerReference w:type="default" r:id="rId10"/>
      <w:pgSz w:w="12240" w:h="15840"/>
      <w:pgMar w:top="993" w:right="1183" w:bottom="993" w:left="1134" w:header="708" w:footer="8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58" w:rsidRDefault="00996758" w:rsidP="00F1377A">
      <w:pPr>
        <w:spacing w:after="0" w:line="240" w:lineRule="auto"/>
      </w:pPr>
      <w:r>
        <w:separator/>
      </w:r>
    </w:p>
  </w:endnote>
  <w:endnote w:type="continuationSeparator" w:id="0">
    <w:p w:rsidR="00996758" w:rsidRDefault="00996758" w:rsidP="00F1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Palatino-Italic">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3"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NewBaskervilleStd-Roman">
    <w:altName w:val="Times New Roman"/>
    <w:panose1 w:val="00000000000000000000"/>
    <w:charset w:val="4D"/>
    <w:family w:val="roman"/>
    <w:notTrueType/>
    <w:pitch w:val="default"/>
    <w:sig w:usb0="00000003" w:usb1="00000000" w:usb2="00000000" w:usb3="00000000" w:csb0="00000001" w:csb1="00000000"/>
  </w:font>
  <w:font w:name="Verdana-Italic">
    <w:charset w:val="00"/>
    <w:family w:val="swiss"/>
    <w:pitch w:val="variable"/>
    <w:sig w:usb0="A10006FF" w:usb1="4000205B" w:usb2="00000010" w:usb3="00000000" w:csb0="0000019F" w:csb1="00000000"/>
  </w:font>
  <w:font w:name="Baskerville-Italic">
    <w:panose1 w:val="00000000000000000000"/>
    <w:charset w:val="00"/>
    <w:family w:val="swiss"/>
    <w:notTrueType/>
    <w:pitch w:val="default"/>
    <w:sig w:usb0="00000003" w:usb1="00000000" w:usb2="00000000" w:usb3="00000000" w:csb0="00000001" w:csb1="00000000"/>
  </w:font>
  <w:font w:name="Baskerville">
    <w:altName w:val="Times New Roman"/>
    <w:charset w:val="00"/>
    <w:family w:val="auto"/>
    <w:pitch w:val="variable"/>
    <w:sig w:usb0="00000001" w:usb1="00000000" w:usb2="00000000" w:usb3="00000000" w:csb0="0000019F" w:csb1="00000000"/>
  </w:font>
  <w:font w:name="ArialNarrow">
    <w:charset w:val="00"/>
    <w:family w:val="auto"/>
    <w:pitch w:val="variable"/>
    <w:sig w:usb0="00000287" w:usb1="000008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483356473"/>
      <w:docPartObj>
        <w:docPartGallery w:val="Page Numbers (Bottom of Page)"/>
        <w:docPartUnique/>
      </w:docPartObj>
    </w:sdtPr>
    <w:sdtEndPr>
      <w:rPr>
        <w:noProof/>
      </w:rPr>
    </w:sdtEndPr>
    <w:sdtContent>
      <w:p w:rsidR="00996758" w:rsidRPr="00866581" w:rsidRDefault="00996758">
        <w:pPr>
          <w:pStyle w:val="Footer"/>
          <w:jc w:val="center"/>
          <w:rPr>
            <w:rFonts w:ascii="Verdana" w:hAnsi="Verdana"/>
            <w:sz w:val="18"/>
            <w:szCs w:val="18"/>
          </w:rPr>
        </w:pPr>
      </w:p>
      <w:p w:rsidR="00996758" w:rsidRPr="00866581" w:rsidRDefault="00C839F0" w:rsidP="00663255">
        <w:pPr>
          <w:pStyle w:val="Footer"/>
          <w:jc w:val="center"/>
          <w:rPr>
            <w:rFonts w:ascii="Verdana" w:hAnsi="Verdana"/>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58" w:rsidRDefault="00996758" w:rsidP="00F1377A">
      <w:pPr>
        <w:spacing w:after="0" w:line="240" w:lineRule="auto"/>
      </w:pPr>
      <w:r>
        <w:separator/>
      </w:r>
    </w:p>
  </w:footnote>
  <w:footnote w:type="continuationSeparator" w:id="0">
    <w:p w:rsidR="00996758" w:rsidRDefault="00996758" w:rsidP="00F1377A">
      <w:pPr>
        <w:spacing w:after="0" w:line="240" w:lineRule="auto"/>
      </w:pPr>
      <w:r>
        <w:continuationSeparator/>
      </w:r>
    </w:p>
  </w:footnote>
  <w:footnote w:id="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eastAsia="Times New Roman" w:hAnsi="Verdana" w:cs="Times New Roman"/>
          <w:spacing w:val="-12"/>
          <w:sz w:val="16"/>
          <w:szCs w:val="16"/>
        </w:rPr>
        <w:tab/>
        <w:t>El Juez Humberto Antonio Sierra Porto, de nacionalidad colombiana, no participó en la deliberación y firma de la presente Sentencia, de conformidad con lo dispuesto en los artículos 19.2 del Estatuto y 19.1 del Reglamento de la Corte.</w:t>
      </w:r>
    </w:p>
  </w:footnote>
  <w:footnote w:id="2">
    <w:p w:rsidR="00996758" w:rsidRPr="00EE6C61" w:rsidRDefault="00996758" w:rsidP="00103EC8">
      <w:pPr>
        <w:tabs>
          <w:tab w:val="left" w:pos="567"/>
        </w:tabs>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iCs/>
          <w:spacing w:val="-12"/>
          <w:sz w:val="16"/>
          <w:szCs w:val="16"/>
        </w:rPr>
        <w:t xml:space="preserve">Cfr. </w:t>
      </w:r>
      <w:r w:rsidRPr="00EE6C61">
        <w:rPr>
          <w:rFonts w:ascii="Verdana" w:hAnsi="Verdana" w:cs="Cambria"/>
          <w:spacing w:val="-12"/>
          <w:sz w:val="16"/>
          <w:szCs w:val="16"/>
        </w:rPr>
        <w:t>CIDH, Informe No. 102/11 (admisibilidad), Petición 10.737, Víctor Manuel Isaza Uribe</w:t>
      </w:r>
      <w:r>
        <w:rPr>
          <w:rFonts w:ascii="Verdana" w:hAnsi="Verdana" w:cs="Cambria"/>
          <w:spacing w:val="-12"/>
          <w:sz w:val="16"/>
          <w:szCs w:val="16"/>
        </w:rPr>
        <w:t xml:space="preserve"> y Familia</w:t>
      </w:r>
      <w:r w:rsidRPr="00EE6C61">
        <w:rPr>
          <w:rFonts w:ascii="Verdana" w:hAnsi="Verdana" w:cs="Cambria"/>
          <w:spacing w:val="-12"/>
          <w:sz w:val="16"/>
          <w:szCs w:val="16"/>
        </w:rPr>
        <w:t xml:space="preserve"> (Colombia), 22 de julio de 2011. </w:t>
      </w:r>
      <w:r w:rsidRPr="00EE6C61">
        <w:rPr>
          <w:rFonts w:ascii="Verdana" w:hAnsi="Verdana"/>
          <w:spacing w:val="-12"/>
          <w:sz w:val="16"/>
          <w:szCs w:val="16"/>
        </w:rPr>
        <w:t xml:space="preserve">Disponible en: </w:t>
      </w:r>
      <w:hyperlink r:id="rId1" w:history="1">
        <w:r w:rsidRPr="00EE6C61">
          <w:rPr>
            <w:rStyle w:val="Hyperlink"/>
            <w:rFonts w:ascii="Verdana" w:hAnsi="Verdana"/>
            <w:spacing w:val="-12"/>
            <w:sz w:val="16"/>
            <w:szCs w:val="16"/>
          </w:rPr>
          <w:t>https://www.oas.org/es/cidh/decisiones/2011/COAD10737ES.doc</w:t>
        </w:r>
      </w:hyperlink>
      <w:r w:rsidRPr="00EE6C61">
        <w:rPr>
          <w:rFonts w:ascii="Verdana" w:hAnsi="Verdana"/>
          <w:spacing w:val="-12"/>
          <w:sz w:val="16"/>
          <w:szCs w:val="16"/>
        </w:rPr>
        <w:t xml:space="preserve"> . </w:t>
      </w:r>
      <w:r w:rsidRPr="00EE6C61">
        <w:rPr>
          <w:rFonts w:ascii="Verdana" w:eastAsia="Times New Roman" w:hAnsi="Verdana" w:cs="Times New Roman"/>
          <w:spacing w:val="-12"/>
          <w:sz w:val="16"/>
          <w:szCs w:val="16"/>
        </w:rPr>
        <w:t>En este informe, la Comisión concluyó que el caso era admisible respecto de las alegadas violaciones de los derechos reconocidos en los artículos 3, 4, 5, 7, 8(1), 16 y 25, en concordancia con el artículo 1.1, de la Convención Americana y el artículo 1 de la Convención Interamericana sobre Desaparición Forzada de Personas.</w:t>
      </w:r>
    </w:p>
  </w:footnote>
  <w:footnote w:id="3">
    <w:p w:rsidR="00996758" w:rsidRDefault="00996758" w:rsidP="00103EC8">
      <w:pPr>
        <w:tabs>
          <w:tab w:val="left" w:pos="567"/>
        </w:tabs>
        <w:spacing w:before="120" w:after="120" w:line="240" w:lineRule="auto"/>
        <w:jc w:val="both"/>
        <w:rPr>
          <w:rFonts w:ascii="Verdana" w:eastAsia="Times New Roman" w:hAnsi="Verdana" w:cs="Times New Roman"/>
          <w:spacing w:val="-12"/>
          <w:sz w:val="16"/>
          <w:szCs w:val="16"/>
        </w:rPr>
      </w:pPr>
      <w:r w:rsidRPr="0003090C">
        <w:rPr>
          <w:rStyle w:val="FootnoteReference"/>
          <w:rFonts w:ascii="Verdana" w:hAnsi="Verdana"/>
          <w:spacing w:val="-12"/>
          <w:sz w:val="16"/>
          <w:szCs w:val="16"/>
        </w:rPr>
        <w:footnoteRef/>
      </w:r>
      <w:r>
        <w:t xml:space="preserve"> </w:t>
      </w:r>
      <w:r w:rsidRPr="0003090C">
        <w:rPr>
          <w:rFonts w:ascii="Verdana" w:eastAsia="Times New Roman" w:hAnsi="Verdana" w:cs="Times New Roman"/>
          <w:spacing w:val="-12"/>
          <w:sz w:val="16"/>
          <w:szCs w:val="16"/>
        </w:rPr>
        <w:tab/>
        <w:t xml:space="preserve">La Comisión concluyó que el Estado es responsable por “la violación de los derechos a la personalidad jurídica, a la vida, a la integridad personal, a la libertad personal, a la libertad de asociación, a las garantías judiciales y a la protección judicial consagrados en los artículos 3, 4, 5, 7, 16, 8 y 25 en relación con los artículos 1.1 y 2 del mismo instrumento en perjuicio de las personas que se indican a lo largo del […] informe.  Asimismo, la Comisión concluye que el Estado es responsable por la violación de los artículos I.a) y I.b) de la Convención Interamericana sobre Desaparición Forzada de Personas”. </w:t>
      </w:r>
    </w:p>
    <w:p w:rsidR="00996758" w:rsidRPr="0003090C" w:rsidRDefault="00996758" w:rsidP="00103EC8">
      <w:pPr>
        <w:tabs>
          <w:tab w:val="left" w:pos="567"/>
        </w:tabs>
        <w:spacing w:before="120" w:after="120" w:line="240" w:lineRule="auto"/>
        <w:jc w:val="both"/>
        <w:rPr>
          <w:rFonts w:ascii="Verdana" w:eastAsia="Times New Roman" w:hAnsi="Verdana" w:cs="Times New Roman"/>
          <w:spacing w:val="-12"/>
          <w:sz w:val="16"/>
          <w:szCs w:val="16"/>
        </w:rPr>
      </w:pPr>
      <w:r>
        <w:rPr>
          <w:rFonts w:ascii="Verdana" w:eastAsia="Times New Roman" w:hAnsi="Verdana" w:cs="Times New Roman"/>
          <w:spacing w:val="-12"/>
          <w:sz w:val="16"/>
          <w:szCs w:val="16"/>
        </w:rPr>
        <w:tab/>
      </w:r>
      <w:r w:rsidRPr="0003090C">
        <w:rPr>
          <w:rFonts w:ascii="Verdana" w:eastAsia="Times New Roman" w:hAnsi="Verdana" w:cs="Times New Roman"/>
          <w:spacing w:val="-12"/>
          <w:sz w:val="16"/>
          <w:szCs w:val="16"/>
        </w:rPr>
        <w:t>La Comisión recomendó al Estado: 1. Investigar de manera completa, imparcial y efectiva el paradero de Víctor Manuel Isaza Uribe y, de ser el caso, adoptar las medidas necesarias para identificar y entregar a sus familiares los restos mortales; 2. Llevar a cabo los procedimientos internos relacionados con las violaciones a los derechos humanos declaradas en el presente informe y conducir los procesos correspondientes por el delito de desaparición forzada de Víctor Manuel Isaza Uribe, de manera imparcial, efectiva y dentro de un plazo razonable, con el objeto de esclarecer los hechos en forma completa, identificar a todos los responsables e imponer las sanciones que correspondan; 3. Reparar adecuadamente las violaciones de derechos humanos declaradas en el presente informe tanto en el aspecto material como moral, incluyendo una justa compensación, el establecimiento y difusión de la verdad histórica de los hechos y la implementación de un programa adecuado de atención a sus familiares; 4. Adoptar medidas de no repetición necesarias para evitar que en el futuro se produzcan hechos similares, incluyendo el fortalecimiento de los mecanismos de protección para sindicalistas con el objetivo de que puedan desarrollar sus actividades libremente y sin temor a represalias; y 5. Reconocer públicamente, garantizando mecanismos adecuados de difusión, las violaciones declaradas en el presente caso.</w:t>
      </w:r>
      <w:r>
        <w:rPr>
          <w:rFonts w:ascii="Verdana" w:eastAsia="Times New Roman" w:hAnsi="Verdana" w:cs="Times New Roman"/>
          <w:spacing w:val="-12"/>
          <w:sz w:val="16"/>
          <w:szCs w:val="16"/>
        </w:rPr>
        <w:t xml:space="preserve"> </w:t>
      </w:r>
      <w:r w:rsidRPr="00A87F14">
        <w:rPr>
          <w:rFonts w:ascii="Verdana" w:eastAsia="Times New Roman" w:hAnsi="Verdana" w:cs="Times New Roman"/>
          <w:i/>
          <w:spacing w:val="-12"/>
          <w:sz w:val="16"/>
          <w:szCs w:val="16"/>
        </w:rPr>
        <w:t>Cfr</w:t>
      </w:r>
      <w:r>
        <w:rPr>
          <w:rFonts w:ascii="Verdana" w:eastAsia="Times New Roman" w:hAnsi="Verdana" w:cs="Times New Roman"/>
          <w:spacing w:val="-12"/>
          <w:sz w:val="16"/>
          <w:szCs w:val="16"/>
        </w:rPr>
        <w:t>. CIDH, Informe No. 25</w:t>
      </w:r>
      <w:r w:rsidRPr="00A87F14">
        <w:rPr>
          <w:rFonts w:ascii="Verdana" w:eastAsia="Times New Roman" w:hAnsi="Verdana" w:cs="Times New Roman"/>
          <w:spacing w:val="-12"/>
          <w:sz w:val="16"/>
          <w:szCs w:val="16"/>
        </w:rPr>
        <w:t>/1</w:t>
      </w:r>
      <w:r>
        <w:rPr>
          <w:rFonts w:ascii="Verdana" w:eastAsia="Times New Roman" w:hAnsi="Verdana" w:cs="Times New Roman"/>
          <w:spacing w:val="-12"/>
          <w:sz w:val="16"/>
          <w:szCs w:val="16"/>
        </w:rPr>
        <w:t>5</w:t>
      </w:r>
      <w:r w:rsidRPr="00A87F14">
        <w:rPr>
          <w:rFonts w:ascii="Verdana" w:eastAsia="Times New Roman" w:hAnsi="Verdana" w:cs="Times New Roman"/>
          <w:spacing w:val="-12"/>
          <w:sz w:val="16"/>
          <w:szCs w:val="16"/>
        </w:rPr>
        <w:t xml:space="preserve"> (Fondo), </w:t>
      </w:r>
      <w:r>
        <w:rPr>
          <w:rFonts w:ascii="Verdana" w:eastAsia="Times New Roman" w:hAnsi="Verdana" w:cs="Times New Roman"/>
          <w:spacing w:val="-12"/>
          <w:sz w:val="16"/>
          <w:szCs w:val="16"/>
        </w:rPr>
        <w:t xml:space="preserve">Víctor Manuel Isaza Uribe </w:t>
      </w:r>
      <w:r w:rsidRPr="00A87F14">
        <w:rPr>
          <w:rFonts w:ascii="Verdana" w:eastAsia="Times New Roman" w:hAnsi="Verdana" w:cs="Times New Roman"/>
          <w:spacing w:val="-12"/>
          <w:sz w:val="16"/>
          <w:szCs w:val="16"/>
        </w:rPr>
        <w:t xml:space="preserve">y </w:t>
      </w:r>
      <w:r>
        <w:rPr>
          <w:rFonts w:ascii="Verdana" w:eastAsia="Times New Roman" w:hAnsi="Verdana" w:cs="Times New Roman"/>
          <w:spacing w:val="-12"/>
          <w:sz w:val="16"/>
          <w:szCs w:val="16"/>
        </w:rPr>
        <w:t>Familia</w:t>
      </w:r>
      <w:r w:rsidRPr="00A87F14">
        <w:rPr>
          <w:rFonts w:ascii="Verdana" w:eastAsia="Times New Roman" w:hAnsi="Verdana" w:cs="Times New Roman"/>
          <w:spacing w:val="-12"/>
          <w:sz w:val="16"/>
          <w:szCs w:val="16"/>
        </w:rPr>
        <w:t xml:space="preserve">, </w:t>
      </w:r>
      <w:r>
        <w:rPr>
          <w:rFonts w:ascii="Verdana" w:eastAsia="Times New Roman" w:hAnsi="Verdana" w:cs="Times New Roman"/>
          <w:spacing w:val="-12"/>
          <w:sz w:val="16"/>
          <w:szCs w:val="16"/>
        </w:rPr>
        <w:t>Colombia, OEA/Ser.L/V/II.155, Doc. 4</w:t>
      </w:r>
      <w:r w:rsidRPr="00A87F14">
        <w:rPr>
          <w:rFonts w:ascii="Verdana" w:eastAsia="Times New Roman" w:hAnsi="Verdana" w:cs="Times New Roman"/>
          <w:spacing w:val="-12"/>
          <w:sz w:val="16"/>
          <w:szCs w:val="16"/>
        </w:rPr>
        <w:t xml:space="preserve">, </w:t>
      </w:r>
      <w:r>
        <w:rPr>
          <w:rFonts w:ascii="Verdana" w:eastAsia="Times New Roman" w:hAnsi="Verdana" w:cs="Times New Roman"/>
          <w:spacing w:val="-12"/>
          <w:sz w:val="16"/>
          <w:szCs w:val="16"/>
        </w:rPr>
        <w:t>21 de julio 2015</w:t>
      </w:r>
      <w:r w:rsidRPr="00A87F14">
        <w:rPr>
          <w:rFonts w:ascii="Verdana" w:eastAsia="Times New Roman" w:hAnsi="Verdana" w:cs="Times New Roman"/>
          <w:spacing w:val="-12"/>
          <w:sz w:val="16"/>
          <w:szCs w:val="16"/>
        </w:rPr>
        <w:t xml:space="preserve">. Disponible en: </w:t>
      </w:r>
      <w:hyperlink r:id="rId2" w:history="1">
        <w:r w:rsidRPr="006628FD">
          <w:rPr>
            <w:rStyle w:val="Hyperlink"/>
            <w:rFonts w:ascii="Verdana" w:hAnsi="Verdana"/>
            <w:spacing w:val="-12"/>
            <w:sz w:val="16"/>
            <w:szCs w:val="16"/>
          </w:rPr>
          <w:t>https://www.oas.org/es/cidh/decisiones/corte/2016/10737fondoes.pdf</w:t>
        </w:r>
      </w:hyperlink>
      <w:r>
        <w:rPr>
          <w:rFonts w:ascii="Verdana" w:hAnsi="Verdana"/>
          <w:spacing w:val="-12"/>
          <w:sz w:val="16"/>
          <w:szCs w:val="16"/>
        </w:rPr>
        <w:t xml:space="preserve"> </w:t>
      </w:r>
      <w:r w:rsidRPr="00A87F14">
        <w:rPr>
          <w:rFonts w:ascii="Verdana" w:eastAsia="Times New Roman" w:hAnsi="Verdana" w:cs="Times New Roman"/>
          <w:spacing w:val="-12"/>
          <w:sz w:val="16"/>
          <w:szCs w:val="16"/>
        </w:rPr>
        <w:t xml:space="preserve"> </w:t>
      </w:r>
    </w:p>
  </w:footnote>
  <w:footnote w:id="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La Comisión designó al Comisionado José de Jesús Orozco Enríquez y al entonces Secretario Ejecutivo Emilio Álvarez lcaza L. como sus delegados, así como a las señoras Elizabeth Abi-Mershed, </w:t>
      </w:r>
      <w:r>
        <w:rPr>
          <w:rFonts w:ascii="Verdana" w:hAnsi="Verdana"/>
          <w:spacing w:val="-12"/>
          <w:sz w:val="16"/>
          <w:szCs w:val="16"/>
        </w:rPr>
        <w:t xml:space="preserve">entonces </w:t>
      </w:r>
      <w:r w:rsidRPr="00EE6C61">
        <w:rPr>
          <w:rFonts w:ascii="Verdana" w:hAnsi="Verdana"/>
          <w:spacing w:val="-12"/>
          <w:sz w:val="16"/>
          <w:szCs w:val="16"/>
        </w:rPr>
        <w:t>Secretaria Ejecutiva Adjunta, y Silvia Serrano Guzman y Paulina Corominas, abogad</w:t>
      </w:r>
      <w:r>
        <w:rPr>
          <w:rFonts w:ascii="Verdana" w:hAnsi="Verdana"/>
          <w:spacing w:val="-12"/>
          <w:sz w:val="16"/>
          <w:szCs w:val="16"/>
        </w:rPr>
        <w:t>a</w:t>
      </w:r>
      <w:r w:rsidRPr="00EE6C61">
        <w:rPr>
          <w:rFonts w:ascii="Verdana" w:hAnsi="Verdana"/>
          <w:spacing w:val="-12"/>
          <w:sz w:val="16"/>
          <w:szCs w:val="16"/>
        </w:rPr>
        <w:t xml:space="preserve">s de la Secretaría Ejecutiva, como asesoras legales. </w:t>
      </w:r>
    </w:p>
  </w:footnote>
  <w:footnote w:id="5">
    <w:p w:rsidR="00996758" w:rsidRPr="00EE6C61" w:rsidRDefault="00996758" w:rsidP="00103EC8">
      <w:pPr>
        <w:autoSpaceDE w:val="0"/>
        <w:autoSpaceDN w:val="0"/>
        <w:adjustRightInd w:val="0"/>
        <w:spacing w:before="120" w:after="120" w:line="240" w:lineRule="auto"/>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vertAlign w:val="superscript"/>
        </w:rPr>
        <w:footnoteRef/>
      </w:r>
      <w:r w:rsidRPr="00EE6C61">
        <w:rPr>
          <w:rFonts w:ascii="Verdana" w:eastAsia="Times New Roman" w:hAnsi="Verdana" w:cs="Times New Roman"/>
          <w:spacing w:val="-12"/>
          <w:sz w:val="16"/>
          <w:szCs w:val="16"/>
          <w:vertAlign w:val="superscript"/>
        </w:rPr>
        <w:t xml:space="preserve"> </w:t>
      </w:r>
      <w:r w:rsidRPr="00EE6C61">
        <w:rPr>
          <w:rFonts w:ascii="Verdana" w:eastAsia="Times New Roman" w:hAnsi="Verdana" w:cs="Times New Roman"/>
          <w:spacing w:val="-12"/>
          <w:sz w:val="16"/>
          <w:szCs w:val="16"/>
        </w:rPr>
        <w:tab/>
        <w:t>El 12 de mayo de 2016 la organización “Comisión Colombiana de Juristas” remitió un poder de representación judicial otorgado a ésta por la señora Carmenza Vélez y</w:t>
      </w:r>
      <w:r>
        <w:rPr>
          <w:rFonts w:ascii="Verdana" w:eastAsia="Times New Roman" w:hAnsi="Verdana" w:cs="Times New Roman"/>
          <w:spacing w:val="-12"/>
          <w:sz w:val="16"/>
          <w:szCs w:val="16"/>
        </w:rPr>
        <w:t xml:space="preserve"> por</w:t>
      </w:r>
      <w:r w:rsidRPr="00EE6C61">
        <w:rPr>
          <w:rFonts w:ascii="Verdana" w:eastAsia="Times New Roman" w:hAnsi="Verdana" w:cs="Times New Roman"/>
          <w:spacing w:val="-12"/>
          <w:sz w:val="16"/>
          <w:szCs w:val="16"/>
        </w:rPr>
        <w:t xml:space="preserve"> los señores Jhony Alexander Isaza Vélez y Haner Alexis Isaza Vélez, presuntas víctimas, para actuar ante la Corte en relación con este caso. Por parte de dicha organización han actuado el señor Gustavo Gallón Giraldo, Director de la misma, y los abogados </w:t>
      </w:r>
      <w:r>
        <w:rPr>
          <w:rFonts w:ascii="Verdana" w:eastAsia="Times New Roman" w:hAnsi="Verdana" w:cs="Times New Roman"/>
          <w:spacing w:val="-12"/>
          <w:sz w:val="16"/>
          <w:szCs w:val="16"/>
        </w:rPr>
        <w:t xml:space="preserve">señor </w:t>
      </w:r>
      <w:r w:rsidRPr="00EE6C61">
        <w:rPr>
          <w:rFonts w:ascii="Verdana" w:eastAsia="Times New Roman" w:hAnsi="Verdana" w:cs="Times New Roman"/>
          <w:spacing w:val="-12"/>
          <w:sz w:val="16"/>
          <w:szCs w:val="16"/>
        </w:rPr>
        <w:t xml:space="preserve">Fredy Alejandro Malambo Ospina y </w:t>
      </w:r>
      <w:r>
        <w:rPr>
          <w:rFonts w:ascii="Verdana" w:eastAsia="Times New Roman" w:hAnsi="Verdana" w:cs="Times New Roman"/>
          <w:spacing w:val="-12"/>
          <w:sz w:val="16"/>
          <w:szCs w:val="16"/>
        </w:rPr>
        <w:t xml:space="preserve">señora </w:t>
      </w:r>
      <w:r w:rsidRPr="00EE6C61">
        <w:rPr>
          <w:rFonts w:ascii="Verdana" w:eastAsia="Times New Roman" w:hAnsi="Verdana" w:cs="Times New Roman"/>
          <w:spacing w:val="-12"/>
          <w:sz w:val="16"/>
          <w:szCs w:val="16"/>
        </w:rPr>
        <w:t>Carolina Solano Gutiérrez</w:t>
      </w:r>
      <w:r>
        <w:rPr>
          <w:rFonts w:ascii="Verdana" w:eastAsia="Times New Roman" w:hAnsi="Verdana" w:cs="Times New Roman"/>
          <w:spacing w:val="-12"/>
          <w:sz w:val="16"/>
          <w:szCs w:val="16"/>
        </w:rPr>
        <w:t>.</w:t>
      </w:r>
      <w:r w:rsidRPr="00EE6C61">
        <w:rPr>
          <w:rFonts w:ascii="Verdana" w:eastAsia="Times New Roman" w:hAnsi="Verdana" w:cs="Times New Roman"/>
          <w:spacing w:val="-12"/>
          <w:sz w:val="16"/>
          <w:szCs w:val="16"/>
        </w:rPr>
        <w:t xml:space="preserve"> </w:t>
      </w:r>
    </w:p>
  </w:footnote>
  <w:footnote w:id="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8 de julio de 2016 el Estado de Colombia, a través de la Directora de la Agencia Nacional de Defensa Jurídica del Estado y según lo dispuesto en los artículos 23 y 39.3 del Reglamento de la Corte, designó a los señores Roberto Molina Palacios como Agente y Felipe Ferreira Rojas como su asesor. Luego de la contestación, el 15 de mayo de 2017 el Estado informó que el señor Molina ya no actuaría como Agente y que en su reemplazo designaba a la señora Ángela María Ramírez Rincón y, además del señor Ferreira, también a la señora María del Pilar Gutiérrez Perilla como asesora.</w:t>
      </w:r>
      <w:r>
        <w:rPr>
          <w:rFonts w:ascii="Verdana" w:hAnsi="Verdana"/>
          <w:spacing w:val="-12"/>
          <w:sz w:val="16"/>
          <w:szCs w:val="16"/>
        </w:rPr>
        <w:t xml:space="preserve"> A partir de enero de 2018 también comenzó a actuar como Agente el señor Jonathan Riveros Tarazona.</w:t>
      </w:r>
    </w:p>
  </w:footnote>
  <w:footnote w:id="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Isaza Uribe y otros vs. Colombia. </w:t>
      </w:r>
      <w:r w:rsidRPr="00EE6C61">
        <w:rPr>
          <w:rFonts w:ascii="Verdana" w:hAnsi="Verdana"/>
          <w:spacing w:val="-12"/>
          <w:sz w:val="16"/>
          <w:szCs w:val="16"/>
        </w:rPr>
        <w:t xml:space="preserve">Resolución del Presidente de la Corte de 4 de mayo de 2017. Disponible en:  </w:t>
      </w:r>
      <w:hyperlink r:id="rId3" w:history="1">
        <w:r w:rsidRPr="00EE6C61">
          <w:rPr>
            <w:rStyle w:val="Hyperlink"/>
            <w:rFonts w:ascii="Verdana" w:hAnsi="Verdana"/>
            <w:spacing w:val="-12"/>
            <w:sz w:val="16"/>
            <w:szCs w:val="16"/>
          </w:rPr>
          <w:t>http://www.corteidh.or.cr/docs/asuntos/isaza_fv_17.pdf</w:t>
        </w:r>
      </w:hyperlink>
      <w:r w:rsidRPr="00EE6C61">
        <w:rPr>
          <w:rFonts w:ascii="Verdana" w:hAnsi="Verdana"/>
          <w:spacing w:val="-12"/>
          <w:sz w:val="16"/>
          <w:szCs w:val="16"/>
        </w:rPr>
        <w:t xml:space="preserve">   </w:t>
      </w:r>
    </w:p>
  </w:footnote>
  <w:footnote w:id="8">
    <w:p w:rsidR="00996758" w:rsidRPr="00EE6C61" w:rsidRDefault="00996758" w:rsidP="00103EC8">
      <w:pPr>
        <w:pStyle w:val="ListParagraph"/>
        <w:spacing w:before="120" w:after="120" w:line="240" w:lineRule="auto"/>
        <w:ind w:left="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i/>
          <w:spacing w:val="-12"/>
          <w:sz w:val="16"/>
          <w:szCs w:val="16"/>
        </w:rPr>
        <w:t xml:space="preserve"> </w:t>
      </w:r>
      <w:r w:rsidRPr="00EE6C61">
        <w:rPr>
          <w:rFonts w:ascii="Verdana" w:hAnsi="Verdana"/>
          <w:i/>
          <w:spacing w:val="-12"/>
          <w:sz w:val="16"/>
          <w:szCs w:val="16"/>
        </w:rPr>
        <w:tab/>
        <w:t xml:space="preserve">Cfr. Caso Isaza Uribe y otros vs. Colombia. </w:t>
      </w:r>
      <w:r w:rsidRPr="00EE6C61">
        <w:rPr>
          <w:rFonts w:ascii="Verdana" w:hAnsi="Verdana"/>
          <w:spacing w:val="-12"/>
          <w:sz w:val="16"/>
          <w:szCs w:val="16"/>
        </w:rPr>
        <w:t xml:space="preserve">Resolución del Presidente en ejercicio de la Corte de 13 de diciembre de 2017. Disponible en </w:t>
      </w:r>
      <w:hyperlink r:id="rId4" w:history="1">
        <w:r w:rsidRPr="00EE6C61">
          <w:rPr>
            <w:rStyle w:val="Hyperlink"/>
            <w:rFonts w:ascii="Verdana" w:hAnsi="Verdana"/>
            <w:spacing w:val="-12"/>
            <w:sz w:val="16"/>
            <w:szCs w:val="16"/>
          </w:rPr>
          <w:t>http://www.corteidh.or.cr/docs/asuntos/isaza_13_12_17.pdf</w:t>
        </w:r>
      </w:hyperlink>
      <w:r w:rsidRPr="00EE6C61">
        <w:rPr>
          <w:rFonts w:ascii="Verdana" w:hAnsi="Verdana"/>
          <w:spacing w:val="-12"/>
          <w:sz w:val="16"/>
          <w:szCs w:val="16"/>
        </w:rPr>
        <w:t xml:space="preserve"> </w:t>
      </w:r>
    </w:p>
  </w:footnote>
  <w:footnote w:id="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Isaza Uribe y otros vs. Colombia. </w:t>
      </w:r>
      <w:r w:rsidRPr="00EE6C61">
        <w:rPr>
          <w:rFonts w:ascii="Verdana" w:hAnsi="Verdana"/>
          <w:spacing w:val="-12"/>
          <w:sz w:val="16"/>
          <w:szCs w:val="16"/>
        </w:rPr>
        <w:t xml:space="preserve">Resolución del Presidente de la Corte de 16 de enero de 2018. Disponible en: </w:t>
      </w:r>
      <w:hyperlink r:id="rId5" w:history="1">
        <w:r w:rsidRPr="00EE6C61">
          <w:rPr>
            <w:rStyle w:val="Hyperlink"/>
            <w:rFonts w:ascii="Verdana" w:hAnsi="Verdana"/>
            <w:spacing w:val="-12"/>
            <w:sz w:val="16"/>
            <w:szCs w:val="16"/>
          </w:rPr>
          <w:t>http://www.corteidh.or.cr/docs/asuntos/isaza_16_01_18.pdf</w:t>
        </w:r>
      </w:hyperlink>
      <w:r w:rsidRPr="00EE6C61">
        <w:rPr>
          <w:rFonts w:ascii="Verdana" w:hAnsi="Verdana"/>
          <w:spacing w:val="-12"/>
          <w:sz w:val="16"/>
          <w:szCs w:val="16"/>
        </w:rPr>
        <w:t xml:space="preserve">  </w:t>
      </w:r>
    </w:p>
  </w:footnote>
  <w:footnote w:id="10">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eastAsia="Times New Roman" w:hAnsi="Verdana" w:cs="Times New Roman"/>
          <w:spacing w:val="-12"/>
          <w:sz w:val="16"/>
          <w:szCs w:val="16"/>
        </w:rPr>
        <w:t xml:space="preserve">A esta audiencia comparecieron: a) por la Comisión, el Comisionado Francisco Eguiguren Praeli, Presidente, y la señora Silvia Serrano Guzmán, asesora; b) por el Estado, las </w:t>
      </w:r>
      <w:r w:rsidRPr="00EE6C61">
        <w:rPr>
          <w:rFonts w:ascii="Verdana" w:hAnsi="Verdana"/>
          <w:spacing w:val="-12"/>
          <w:sz w:val="16"/>
          <w:szCs w:val="16"/>
        </w:rPr>
        <w:t xml:space="preserve">señoras Ángela María Ramírez Rincón y María del Pilar Gutierrez Perilla y el señor </w:t>
      </w:r>
      <w:r w:rsidRPr="00EE6C61">
        <w:rPr>
          <w:rFonts w:ascii="Verdana" w:eastAsia="Times New Roman" w:hAnsi="Verdana" w:cs="Times New Roman"/>
          <w:spacing w:val="-12"/>
          <w:sz w:val="16"/>
          <w:szCs w:val="16"/>
        </w:rPr>
        <w:t>Jonathan Duvan Riveros Tarazona, Agentes; y c) por las presuntas víctimas: Gustavo Gallón Giraldo, Fredy Alejandro Malambo Ospina y Carolina Solano Gutiérrez, de la Comisión Colombiana de Juristas, como representantes. La Corte escuchó la declaración de la presunta víctima Carmenza Vélez y los dictámenes de los señores Alberto Yepes Palacio y Carlos Enrique Arévalo Narváez, quienes habían remitido versiones escritas de sus peritajes. Video disponible en:</w:t>
      </w:r>
      <w:r w:rsidRPr="00EE6C61">
        <w:rPr>
          <w:rFonts w:ascii="Verdana" w:hAnsi="Verdana" w:cs="Arial"/>
          <w:spacing w:val="-12"/>
          <w:sz w:val="16"/>
          <w:szCs w:val="16"/>
        </w:rPr>
        <w:t xml:space="preserve"> </w:t>
      </w:r>
      <w:hyperlink r:id="rId6" w:history="1">
        <w:r w:rsidRPr="00EE6C61">
          <w:rPr>
            <w:rStyle w:val="Hyperlink"/>
            <w:rFonts w:ascii="Verdana" w:hAnsi="Verdana"/>
            <w:spacing w:val="-12"/>
            <w:sz w:val="16"/>
            <w:szCs w:val="16"/>
          </w:rPr>
          <w:t>https://vimeo.com/album/4957913</w:t>
        </w:r>
      </w:hyperlink>
    </w:p>
  </w:footnote>
  <w:footnote w:id="11">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eastAsia="Times New Roman" w:hAnsi="Verdana" w:cs="Times New Roman"/>
          <w:spacing w:val="-12"/>
          <w:sz w:val="16"/>
          <w:szCs w:val="16"/>
        </w:rPr>
        <w:t xml:space="preserve">En el escrito se presenta información sobre la violencia antisindical en Colombia como fenómeno histórico y su interpretación; dicha violencia en Antioquia y particularmente contra el SUTIMAC. El documento fue suscrito por el director general de la organización, señor Eric Alberto Orgulloso Martínez. </w:t>
      </w:r>
    </w:p>
  </w:footnote>
  <w:footnote w:id="12">
    <w:p w:rsidR="00996758" w:rsidRPr="00EE6C61" w:rsidRDefault="00996758" w:rsidP="00103EC8">
      <w:pPr>
        <w:autoSpaceDE w:val="0"/>
        <w:autoSpaceDN w:val="0"/>
        <w:adjustRightInd w:val="0"/>
        <w:spacing w:before="120" w:after="120" w:line="240" w:lineRule="auto"/>
        <w:jc w:val="both"/>
        <w:rPr>
          <w:rFonts w:ascii="Verdana" w:hAnsi="Verdana" w:cs="TimesNewRomanPSMT"/>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eastAsia="Times New Roman" w:hAnsi="Verdana" w:cs="Times New Roman"/>
          <w:spacing w:val="-12"/>
          <w:sz w:val="16"/>
          <w:szCs w:val="16"/>
        </w:rPr>
        <w:tab/>
        <w:t>El escrito</w:t>
      </w:r>
      <w:r>
        <w:rPr>
          <w:rFonts w:ascii="Verdana" w:eastAsia="Times New Roman" w:hAnsi="Verdana" w:cs="Times New Roman"/>
          <w:spacing w:val="-12"/>
          <w:sz w:val="16"/>
          <w:szCs w:val="16"/>
        </w:rPr>
        <w:t>, que</w:t>
      </w:r>
      <w:r w:rsidRPr="00EE6C61">
        <w:rPr>
          <w:rFonts w:ascii="Verdana" w:eastAsia="Times New Roman" w:hAnsi="Verdana" w:cs="Times New Roman"/>
          <w:spacing w:val="-12"/>
          <w:sz w:val="16"/>
          <w:szCs w:val="16"/>
        </w:rPr>
        <w:t xml:space="preserve"> se refiere a la violencia antisindical en Colombia</w:t>
      </w:r>
      <w:r>
        <w:rPr>
          <w:rFonts w:ascii="Verdana" w:eastAsia="Times New Roman" w:hAnsi="Verdana" w:cs="Times New Roman"/>
          <w:spacing w:val="-12"/>
          <w:sz w:val="16"/>
          <w:szCs w:val="16"/>
        </w:rPr>
        <w:t>,</w:t>
      </w:r>
      <w:r w:rsidRPr="00EE6C61">
        <w:rPr>
          <w:rFonts w:ascii="Verdana" w:eastAsia="Times New Roman" w:hAnsi="Verdana" w:cs="Times New Roman"/>
          <w:spacing w:val="-12"/>
          <w:sz w:val="16"/>
          <w:szCs w:val="16"/>
        </w:rPr>
        <w:t xml:space="preserve"> señala que la CUT es la central sindical más grande de Colombia y que SUTIMAC fue uno de los sindicatos fundadores de la misma. El documento </w:t>
      </w:r>
      <w:r>
        <w:rPr>
          <w:rFonts w:ascii="Verdana" w:eastAsia="Times New Roman" w:hAnsi="Verdana" w:cs="Times New Roman"/>
          <w:spacing w:val="-12"/>
          <w:sz w:val="16"/>
          <w:szCs w:val="16"/>
        </w:rPr>
        <w:t>fue</w:t>
      </w:r>
      <w:r w:rsidRPr="00EE6C61">
        <w:rPr>
          <w:rFonts w:ascii="Verdana" w:eastAsia="Times New Roman" w:hAnsi="Verdana" w:cs="Times New Roman"/>
          <w:spacing w:val="-12"/>
          <w:sz w:val="16"/>
          <w:szCs w:val="16"/>
        </w:rPr>
        <w:t xml:space="preserve"> suscrito por los señores Luis Alejandro Pedraza Becerra y Fabio Arias Giraldo, presidente y secretario general del CUT. </w:t>
      </w:r>
    </w:p>
  </w:footnote>
  <w:footnote w:id="13">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eastAsia="Times New Roman" w:hAnsi="Verdana" w:cs="Times New Roman"/>
          <w:spacing w:val="-12"/>
          <w:sz w:val="16"/>
          <w:szCs w:val="16"/>
        </w:rPr>
        <w:tab/>
        <w:t>El Estado señaló que su reconocimiento “no abarca los hechos ocurridos entre el 27 octubre y el 18 de noviembre de 1987, tiempo durante el cual Víctor Manuel Isaza estuvo detenido a órdenes del Juzgado 64 de Instrucción Penal de Puerto Nare, debido a una causa penal que se adelantó en su contra, de conformidad con lo que se expon</w:t>
      </w:r>
      <w:r>
        <w:rPr>
          <w:rFonts w:ascii="Verdana" w:eastAsia="Times New Roman" w:hAnsi="Verdana" w:cs="Times New Roman"/>
          <w:spacing w:val="-12"/>
          <w:sz w:val="16"/>
          <w:szCs w:val="16"/>
        </w:rPr>
        <w:t>[e]</w:t>
      </w:r>
      <w:r w:rsidRPr="00EE6C61">
        <w:rPr>
          <w:rFonts w:ascii="Verdana" w:eastAsia="Times New Roman" w:hAnsi="Verdana" w:cs="Times New Roman"/>
          <w:spacing w:val="-12"/>
          <w:sz w:val="16"/>
          <w:szCs w:val="16"/>
        </w:rPr>
        <w:t xml:space="preserve"> en el fondo d</w:t>
      </w:r>
      <w:r>
        <w:rPr>
          <w:rFonts w:ascii="Verdana" w:eastAsia="Times New Roman" w:hAnsi="Verdana" w:cs="Times New Roman"/>
          <w:spacing w:val="-12"/>
          <w:sz w:val="16"/>
          <w:szCs w:val="16"/>
        </w:rPr>
        <w:t>el asunto”.</w:t>
      </w:r>
    </w:p>
  </w:footnote>
  <w:footnote w:id="14">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eastAsia="Times New Roman" w:hAnsi="Verdana" w:cs="Times New Roman"/>
          <w:spacing w:val="-12"/>
          <w:sz w:val="16"/>
          <w:szCs w:val="16"/>
        </w:rPr>
        <w:tab/>
        <w:t>En sus alegatos finales escritos, el Estado agregó que tal reconocimiento se basa en su deber de garante frente a personas privadas de libertad en establecimientos carcelarios, en ausencia de una respuesta satisfactoria sobre las circunstancias de su sustracción por parte de personas no identificadas en contra de su voluntad, por lo que se presume su responsabilidad por fallar en su deber de custodia”, con lo cual “aceptó parcialmente unas de las pretensiones de la Comisión y los representantes” y que no ha l</w:t>
      </w:r>
      <w:r>
        <w:rPr>
          <w:rFonts w:ascii="Verdana" w:eastAsia="Times New Roman" w:hAnsi="Verdana" w:cs="Times New Roman"/>
          <w:spacing w:val="-12"/>
          <w:sz w:val="16"/>
          <w:szCs w:val="16"/>
        </w:rPr>
        <w:t>ogrado esclarecer estos hechos.</w:t>
      </w:r>
    </w:p>
  </w:footnote>
  <w:footnote w:id="15">
    <w:p w:rsidR="00996758" w:rsidRPr="00EE6C61" w:rsidRDefault="00996758" w:rsidP="00103EC8">
      <w:pPr>
        <w:pStyle w:val="Footnotes"/>
        <w:spacing w:before="120" w:after="120"/>
        <w:rPr>
          <w:rFonts w:cs="Times New Roman"/>
          <w:spacing w:val="-12"/>
          <w:lang w:val="es-CR"/>
        </w:rPr>
      </w:pPr>
      <w:r w:rsidRPr="00EE6C61">
        <w:rPr>
          <w:rStyle w:val="FootnoteReference"/>
          <w:rFonts w:eastAsiaTheme="majorEastAsia"/>
          <w:spacing w:val="-12"/>
          <w:lang w:val="es-CR"/>
        </w:rPr>
        <w:footnoteRef/>
      </w:r>
      <w:r w:rsidRPr="00EE6C61">
        <w:rPr>
          <w:spacing w:val="-12"/>
          <w:vertAlign w:val="superscript"/>
          <w:lang w:val="es-CR"/>
        </w:rPr>
        <w:t xml:space="preserve"> </w:t>
      </w:r>
      <w:r w:rsidRPr="00EE6C61">
        <w:rPr>
          <w:rFonts w:cs="Times New Roman"/>
          <w:iCs w:val="0"/>
          <w:spacing w:val="-12"/>
          <w:lang w:val="es-CR" w:bidi="ar-SA"/>
        </w:rPr>
        <w:tab/>
        <w:t>Los artículos 62 y 64 del Reglamento de la Corte establecen: “Artículo 62. Reconocimiento: Si el demandado comunicare a la Corte su aceptación de los hechos o su allanamiento total o parcial a las pretensiones que constan en el sometimiento del caso o en el escrito de las presuntas víctimas o sus representantes, la Corte, oído el parecer de los demás intervinientes en el proceso, resolverá, en el momento procesal oportuno, sobre su procedencia y sus efectos jurídicos”. “Artículo 64. Prosecución del examen del caso: La Corte, teniendo en cuenta las responsabilidades que le incumben de proteger los derechos humanos, podrá decidir que prosiga el examen del caso, aun en presencia de los supuestos señalados en los artículos precedentes”.</w:t>
      </w:r>
    </w:p>
  </w:footnote>
  <w:footnote w:id="16">
    <w:p w:rsidR="00996758" w:rsidRPr="00EE6C61" w:rsidRDefault="00996758" w:rsidP="00103EC8">
      <w:pPr>
        <w:pStyle w:val="Footnotes"/>
        <w:spacing w:before="120" w:after="120"/>
        <w:rPr>
          <w:rFonts w:cs="Times New Roman"/>
          <w:spacing w:val="-12"/>
          <w:lang w:val="es-CR"/>
        </w:rPr>
      </w:pPr>
      <w:r w:rsidRPr="00EE6C61">
        <w:rPr>
          <w:rStyle w:val="FootnoteReference"/>
          <w:rFonts w:eastAsiaTheme="majorEastAsia"/>
          <w:spacing w:val="-12"/>
          <w:lang w:val="es-CR"/>
        </w:rPr>
        <w:footnoteRef/>
      </w:r>
      <w:r w:rsidRPr="00EE6C61">
        <w:rPr>
          <w:rFonts w:cs="Times New Roman"/>
          <w:iCs w:val="0"/>
          <w:spacing w:val="-12"/>
          <w:lang w:val="es-CR" w:bidi="ar-SA"/>
        </w:rPr>
        <w:tab/>
      </w:r>
      <w:r w:rsidRPr="00EE6C61">
        <w:rPr>
          <w:rFonts w:cs="Times New Roman"/>
          <w:i/>
          <w:iCs w:val="0"/>
          <w:spacing w:val="-12"/>
          <w:lang w:val="es-CR" w:bidi="ar-SA"/>
        </w:rPr>
        <w:t>Cfr. Caso Kimel Vs. Argentina. Fondo, Reparaciones y Costas</w:t>
      </w:r>
      <w:r w:rsidRPr="00EE6C61">
        <w:rPr>
          <w:rFonts w:cs="Times New Roman"/>
          <w:iCs w:val="0"/>
          <w:spacing w:val="-12"/>
          <w:lang w:val="es-CR" w:bidi="ar-SA"/>
        </w:rPr>
        <w:t xml:space="preserve">. Sentencia de 2 de mayo de 2008. Serie C No. 177, párr. 24; </w:t>
      </w:r>
      <w:r w:rsidRPr="00EE2921">
        <w:rPr>
          <w:rFonts w:cs="Times New Roman"/>
          <w:iCs w:val="0"/>
          <w:spacing w:val="-12"/>
          <w:lang w:val="es-CR" w:bidi="ar-SA"/>
        </w:rPr>
        <w:t xml:space="preserve">y </w:t>
      </w:r>
      <w:r w:rsidRPr="000C53A4">
        <w:rPr>
          <w:rFonts w:cs="Times New Roman"/>
          <w:bCs/>
          <w:i/>
          <w:iCs w:val="0"/>
          <w:spacing w:val="-12"/>
          <w:lang w:val="es-CR" w:bidi="ar-SA"/>
        </w:rPr>
        <w:t>Caso Ramírez Escobar y otros Vs. Guatemala. Fondo, Reparaciones y Costas</w:t>
      </w:r>
      <w:r w:rsidRPr="00B835EF">
        <w:rPr>
          <w:rFonts w:cs="Times New Roman"/>
          <w:bCs/>
          <w:iCs w:val="0"/>
          <w:spacing w:val="-12"/>
          <w:lang w:val="es-CR" w:bidi="ar-SA"/>
        </w:rPr>
        <w:t>. Sentencia de 9 de marzo de 2018. Serie C No. 351</w:t>
      </w:r>
      <w:r>
        <w:rPr>
          <w:rFonts w:cs="Times New Roman"/>
          <w:bCs/>
          <w:iCs w:val="0"/>
          <w:spacing w:val="-12"/>
          <w:lang w:val="es-CR" w:bidi="ar-SA"/>
        </w:rPr>
        <w:t>, párr. 27</w:t>
      </w:r>
      <w:r>
        <w:rPr>
          <w:rFonts w:cs="Times New Roman"/>
          <w:iCs w:val="0"/>
          <w:spacing w:val="-12"/>
          <w:lang w:val="es-CR" w:bidi="ar-SA"/>
        </w:rPr>
        <w:t xml:space="preserve">. </w:t>
      </w:r>
    </w:p>
  </w:footnote>
  <w:footnote w:id="17">
    <w:p w:rsidR="00996758" w:rsidRPr="00EE6C61" w:rsidRDefault="00996758" w:rsidP="00103EC8">
      <w:pPr>
        <w:pStyle w:val="Footnotes"/>
        <w:spacing w:before="120" w:after="120"/>
        <w:rPr>
          <w:rFonts w:cs="Times New Roman"/>
          <w:spacing w:val="-12"/>
          <w:lang w:val="es-CR"/>
        </w:rPr>
      </w:pPr>
      <w:r w:rsidRPr="00EE6C61">
        <w:rPr>
          <w:rStyle w:val="FootnoteReference"/>
          <w:rFonts w:eastAsiaTheme="majorEastAsia"/>
          <w:spacing w:val="-12"/>
          <w:lang w:val="es-CR"/>
        </w:rPr>
        <w:footnoteRef/>
      </w:r>
      <w:r w:rsidRPr="00EE6C61">
        <w:rPr>
          <w:spacing w:val="-12"/>
          <w:lang w:val="es-CR"/>
        </w:rPr>
        <w:t xml:space="preserve"> </w:t>
      </w:r>
      <w:r w:rsidRPr="00EE6C61">
        <w:rPr>
          <w:rFonts w:cs="Times New Roman"/>
          <w:bCs/>
          <w:iCs w:val="0"/>
          <w:spacing w:val="-12"/>
          <w:lang w:val="es-CR" w:bidi="ar-SA"/>
        </w:rPr>
        <w:tab/>
      </w:r>
      <w:r w:rsidRPr="00EE6C61">
        <w:rPr>
          <w:rFonts w:cs="Times New Roman"/>
          <w:bCs/>
          <w:i/>
          <w:iCs w:val="0"/>
          <w:spacing w:val="-12"/>
          <w:lang w:val="es-CR" w:bidi="ar-SA"/>
        </w:rPr>
        <w:t xml:space="preserve">Cfr. </w:t>
      </w:r>
      <w:r w:rsidRPr="00EE6C61">
        <w:rPr>
          <w:rFonts w:cs="Times New Roman"/>
          <w:i/>
          <w:iCs w:val="0"/>
          <w:spacing w:val="-12"/>
          <w:lang w:val="es-CR" w:bidi="ar-SA"/>
        </w:rPr>
        <w:t>Caso Benavides Cevallos Vs. Ecuador. Fondo, Reparaciones y Costas</w:t>
      </w:r>
      <w:r w:rsidRPr="00EE6C61">
        <w:rPr>
          <w:rFonts w:cs="Times New Roman"/>
          <w:iCs w:val="0"/>
          <w:spacing w:val="-12"/>
          <w:lang w:val="es-CR" w:bidi="ar-SA"/>
        </w:rPr>
        <w:t xml:space="preserve">. Sentencia de 19 de junio de 1998. Serie C No. 38, párr. 57; y </w:t>
      </w:r>
      <w:r w:rsidRPr="00A05AD9">
        <w:rPr>
          <w:rFonts w:cs="Times New Roman"/>
          <w:bCs/>
          <w:i/>
          <w:iCs w:val="0"/>
          <w:spacing w:val="-12"/>
          <w:lang w:val="es-CR" w:bidi="ar-SA"/>
        </w:rPr>
        <w:t>Caso López Soto y otros Vs. Venezuela. Fondo, Reparaciones y Costas</w:t>
      </w:r>
      <w:r w:rsidRPr="00A05AD9">
        <w:rPr>
          <w:rFonts w:cs="Times New Roman"/>
          <w:bCs/>
          <w:iCs w:val="0"/>
          <w:spacing w:val="-12"/>
          <w:lang w:val="es-CR" w:bidi="ar-SA"/>
        </w:rPr>
        <w:t>. Sentencia de 26 de septiembre de 2018. Serie C No. 362</w:t>
      </w:r>
      <w:r>
        <w:rPr>
          <w:rFonts w:cs="Times New Roman"/>
          <w:bCs/>
          <w:iCs w:val="0"/>
          <w:spacing w:val="-12"/>
          <w:lang w:val="es-CR" w:bidi="ar-SA"/>
        </w:rPr>
        <w:t>, párr. 34</w:t>
      </w:r>
      <w:r w:rsidRPr="00EE6C61">
        <w:rPr>
          <w:rFonts w:cs="Times New Roman"/>
          <w:bCs/>
          <w:iCs w:val="0"/>
          <w:spacing w:val="-12"/>
          <w:lang w:val="es-CR" w:bidi="ar-SA"/>
        </w:rPr>
        <w:t>.</w:t>
      </w:r>
    </w:p>
  </w:footnote>
  <w:footnote w:id="18">
    <w:p w:rsidR="00996758" w:rsidRDefault="00996758">
      <w:pPr>
        <w:pStyle w:val="FootnoteText"/>
      </w:pPr>
      <w:r w:rsidRPr="00B835EF">
        <w:rPr>
          <w:rStyle w:val="FootnoteReference"/>
          <w:rFonts w:ascii="Verdana" w:eastAsiaTheme="majorEastAsia" w:hAnsi="Verdana" w:cs="Palatino-Italic"/>
          <w:iCs/>
          <w:spacing w:val="-12"/>
          <w:sz w:val="16"/>
          <w:szCs w:val="16"/>
          <w:lang w:bidi="en-US"/>
        </w:rPr>
        <w:footnoteRef/>
      </w:r>
      <w:r>
        <w:t xml:space="preserve"> </w:t>
      </w:r>
      <w:r w:rsidRPr="00B835EF">
        <w:rPr>
          <w:rFonts w:ascii="Verdana" w:eastAsia="Times New Roman" w:hAnsi="Verdana" w:cs="Times New Roman"/>
          <w:spacing w:val="-12"/>
          <w:sz w:val="16"/>
          <w:szCs w:val="16"/>
        </w:rPr>
        <w:tab/>
      </w:r>
      <w:r w:rsidRPr="00B835EF">
        <w:rPr>
          <w:rFonts w:ascii="Verdana" w:eastAsia="Times New Roman" w:hAnsi="Verdana" w:cs="Times New Roman"/>
          <w:i/>
          <w:spacing w:val="-12"/>
          <w:sz w:val="16"/>
          <w:szCs w:val="16"/>
        </w:rPr>
        <w:t>Cfr. Caso Zambrano Vélez y otros Vs. Ecuador. Fondo, Reparaciones y Costas</w:t>
      </w:r>
      <w:r w:rsidRPr="00B835EF">
        <w:rPr>
          <w:rFonts w:ascii="Verdana" w:eastAsia="Times New Roman" w:hAnsi="Verdana" w:cs="Times New Roman"/>
          <w:spacing w:val="-12"/>
          <w:sz w:val="16"/>
          <w:szCs w:val="16"/>
        </w:rPr>
        <w:t>. Sentencia de 4 de julio de 2007. Serie C No. 16, párr. 17, y</w:t>
      </w:r>
      <w:r>
        <w:rPr>
          <w:rFonts w:ascii="Verdana" w:eastAsia="Times New Roman" w:hAnsi="Verdana" w:cs="Times New Roman"/>
          <w:spacing w:val="-12"/>
          <w:sz w:val="16"/>
          <w:szCs w:val="16"/>
        </w:rPr>
        <w:t xml:space="preserve"> </w:t>
      </w:r>
      <w:r w:rsidRPr="00B835EF">
        <w:rPr>
          <w:rFonts w:ascii="Verdana" w:eastAsia="Times New Roman" w:hAnsi="Verdana" w:cs="Times New Roman"/>
          <w:i/>
          <w:spacing w:val="-12"/>
          <w:sz w:val="16"/>
          <w:szCs w:val="16"/>
        </w:rPr>
        <w:t>Caso López Soto y otros Vs. Venezuela</w:t>
      </w:r>
      <w:r>
        <w:rPr>
          <w:rFonts w:ascii="Verdana" w:eastAsia="Times New Roman" w:hAnsi="Verdana" w:cs="Times New Roman"/>
          <w:spacing w:val="-12"/>
          <w:sz w:val="16"/>
          <w:szCs w:val="16"/>
        </w:rPr>
        <w:t>, párr. 29.</w:t>
      </w:r>
    </w:p>
  </w:footnote>
  <w:footnote w:id="1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Theme="majorEastAsia" w:hAnsi="Verdana" w:cs="Palatino-Italic"/>
          <w:iCs/>
          <w:spacing w:val="-12"/>
          <w:sz w:val="16"/>
          <w:szCs w:val="16"/>
          <w:lang w:bidi="en-US"/>
        </w:rPr>
        <w:footnoteRef/>
      </w:r>
      <w:r w:rsidRPr="00EE6C61">
        <w:rPr>
          <w:rFonts w:ascii="Verdana" w:hAnsi="Verdana"/>
          <w:spacing w:val="-12"/>
          <w:sz w:val="16"/>
          <w:szCs w:val="16"/>
        </w:rPr>
        <w:t xml:space="preserve"> </w:t>
      </w:r>
      <w:r w:rsidRPr="00EE6C61">
        <w:rPr>
          <w:rFonts w:ascii="Verdana" w:eastAsia="Times New Roman" w:hAnsi="Verdana" w:cs="Times New Roman"/>
          <w:spacing w:val="-12"/>
          <w:sz w:val="16"/>
          <w:szCs w:val="16"/>
        </w:rPr>
        <w:tab/>
      </w:r>
      <w:r w:rsidRPr="00EE6C61">
        <w:rPr>
          <w:rFonts w:ascii="Verdana" w:eastAsia="Times New Roman" w:hAnsi="Verdana" w:cs="Times New Roman"/>
          <w:i/>
          <w:spacing w:val="-12"/>
          <w:sz w:val="16"/>
          <w:szCs w:val="16"/>
        </w:rPr>
        <w:t>Cfr. Caso Rodríguez Vera y otros (Desaparecidos del Palacio de Justicia) Vs. Colombia. Excepciones Preliminares, Fondo, Reparaciones y Costas</w:t>
      </w:r>
      <w:r w:rsidRPr="00EE6C61">
        <w:rPr>
          <w:rFonts w:ascii="Verdana" w:eastAsia="Times New Roman" w:hAnsi="Verdana" w:cs="Times New Roman"/>
          <w:spacing w:val="-12"/>
          <w:sz w:val="16"/>
          <w:szCs w:val="16"/>
        </w:rPr>
        <w:t xml:space="preserve">. Sentencia de 14 de noviembre de 2014. Serie C No. 287, párr. 27; y </w:t>
      </w:r>
      <w:r w:rsidRPr="00EE2921">
        <w:rPr>
          <w:rFonts w:ascii="Verdana" w:eastAsia="Times New Roman" w:hAnsi="Verdana" w:cs="Times New Roman"/>
          <w:i/>
          <w:spacing w:val="-12"/>
          <w:sz w:val="16"/>
          <w:szCs w:val="16"/>
        </w:rPr>
        <w:t>Caso Vereda La Esperanza Vs. Colombia. Excepciones Preliminares, Fondo, Reparaciones y Costas</w:t>
      </w:r>
      <w:r w:rsidRPr="00EE2921">
        <w:rPr>
          <w:rFonts w:ascii="Verdana" w:eastAsia="Times New Roman" w:hAnsi="Verdana" w:cs="Times New Roman"/>
          <w:spacing w:val="-12"/>
          <w:sz w:val="16"/>
          <w:szCs w:val="16"/>
        </w:rPr>
        <w:t>. Sentencia de 31 de agosto de 2017. Serie C No. 341</w:t>
      </w:r>
      <w:r w:rsidRPr="00EE6C61">
        <w:rPr>
          <w:rFonts w:ascii="Verdana" w:eastAsia="Times New Roman" w:hAnsi="Verdana" w:cs="Times New Roman"/>
          <w:spacing w:val="-12"/>
          <w:sz w:val="16"/>
          <w:szCs w:val="16"/>
        </w:rPr>
        <w:t>, párr. 21.</w:t>
      </w:r>
    </w:p>
  </w:footnote>
  <w:footnote w:id="20">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eastAsia="Times New Roman" w:hAnsi="Verdana" w:cs="Times New Roman"/>
          <w:spacing w:val="-12"/>
          <w:sz w:val="16"/>
          <w:szCs w:val="16"/>
        </w:rPr>
        <w:tab/>
        <w:t>El 12 de abril de 2005 el Estado</w:t>
      </w:r>
      <w:r>
        <w:rPr>
          <w:rFonts w:ascii="Verdana" w:eastAsia="Times New Roman" w:hAnsi="Verdana" w:cs="Times New Roman"/>
          <w:spacing w:val="-12"/>
          <w:sz w:val="16"/>
          <w:szCs w:val="16"/>
        </w:rPr>
        <w:t xml:space="preserve"> depositó el instrumento de ratificación de</w:t>
      </w:r>
      <w:r w:rsidRPr="00EE6C61">
        <w:rPr>
          <w:rFonts w:ascii="Verdana" w:eastAsia="Times New Roman" w:hAnsi="Verdana" w:cs="Times New Roman"/>
          <w:spacing w:val="-12"/>
          <w:sz w:val="16"/>
          <w:szCs w:val="16"/>
        </w:rPr>
        <w:t xml:space="preserve"> la Convención Interamericana sobre Desaparición Forzada de Personas.</w:t>
      </w:r>
    </w:p>
  </w:footnote>
  <w:footnote w:id="2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eastAsia="Times New Roman" w:hAnsi="Verdana" w:cs="Times New Roman"/>
          <w:spacing w:val="-12"/>
          <w:sz w:val="16"/>
          <w:szCs w:val="16"/>
        </w:rPr>
        <w:tab/>
        <w:t xml:space="preserve">El Estado alegó que la reciente posición adoptada por la Corte en el </w:t>
      </w:r>
      <w:r w:rsidRPr="00EE6C61">
        <w:rPr>
          <w:rFonts w:ascii="Verdana" w:eastAsia="Times New Roman" w:hAnsi="Verdana" w:cs="Times New Roman"/>
          <w:i/>
          <w:spacing w:val="-12"/>
          <w:sz w:val="16"/>
          <w:szCs w:val="16"/>
        </w:rPr>
        <w:t>caso Rodríguez Vera y otros</w:t>
      </w:r>
      <w:r w:rsidRPr="00EE6C61">
        <w:rPr>
          <w:rFonts w:ascii="Verdana" w:eastAsia="Times New Roman" w:hAnsi="Verdana" w:cs="Times New Roman"/>
          <w:spacing w:val="-12"/>
          <w:sz w:val="16"/>
          <w:szCs w:val="16"/>
        </w:rPr>
        <w:t xml:space="preserve"> sobre el “control de legalidad” (que exige que el error se alegue mediante excepción preliminar), lo desnaturaliza, pues éste puede ser ejercido también cuando la Comisión se aparta del debido proceso legal, sin reñir por ello con su autonomía o con un eventual pronunciamiento de la Corte sobre el fondo. </w:t>
      </w:r>
    </w:p>
  </w:footnote>
  <w:footnote w:id="2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eastAsia="Times New Roman" w:hAnsi="Verdana" w:cs="Times New Roman"/>
          <w:spacing w:val="-12"/>
          <w:sz w:val="16"/>
          <w:szCs w:val="16"/>
        </w:rPr>
        <w:tab/>
      </w:r>
      <w:r>
        <w:rPr>
          <w:rFonts w:ascii="Verdana" w:eastAsia="Times New Roman" w:hAnsi="Verdana" w:cs="Times New Roman"/>
          <w:spacing w:val="-12"/>
          <w:sz w:val="16"/>
          <w:szCs w:val="16"/>
        </w:rPr>
        <w:t>El Estado s</w:t>
      </w:r>
      <w:r w:rsidRPr="00EE6C61">
        <w:rPr>
          <w:rFonts w:ascii="Verdana" w:eastAsia="Times New Roman" w:hAnsi="Verdana" w:cs="Times New Roman"/>
          <w:spacing w:val="-12"/>
          <w:sz w:val="16"/>
          <w:szCs w:val="16"/>
        </w:rPr>
        <w:t xml:space="preserve">eñaló que, en marzo de 2012, recibió una comunicación de la Comisión remitiendo una propuesta de solución amistosa presentada por los peticionarios y que, el 3 de octubre siguiente, el Estado sí manifestó a la Comisión que consideraba que no estaban dadas las condiciones para iniciar un proceso de búsqueda de una solución amistosa. </w:t>
      </w:r>
    </w:p>
  </w:footnote>
  <w:footnote w:id="23">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eastAsia="Times New Roman" w:hAnsi="Verdana" w:cs="Times New Roman"/>
          <w:spacing w:val="-12"/>
          <w:sz w:val="16"/>
          <w:szCs w:val="16"/>
        </w:rPr>
        <w:tab/>
        <w:t>El Estado hizo notar que el Informe de admisibilidad fue emitido en 2011, más de 20 años después de presentada la petición; que entre 1998 y 2009 hubo un periodo de inactividad procesal en el caso ante la Comisión, sin que consten motivos por los cuales los representantes no respondieron a información aportada por el Estado en septiembre de 1997 y respecto de la cual la Comisión les reiteró la solicitud de observaciones en agosto de 1998. Durante ese período la CIDH o los representantes no impulsaron el trámite de la petición.</w:t>
      </w:r>
    </w:p>
  </w:footnote>
  <w:footnote w:id="24">
    <w:p w:rsidR="00996758" w:rsidRPr="00EE6C61" w:rsidRDefault="00996758" w:rsidP="00103EC8">
      <w:pPr>
        <w:pStyle w:val="FootnoteText"/>
        <w:spacing w:before="120" w:after="120"/>
        <w:jc w:val="both"/>
        <w:rPr>
          <w:rFonts w:ascii="Verdana" w:eastAsia="Times New Roman" w:hAnsi="Verdana" w:cs="Times New Roman"/>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eastAsia="Times New Roman" w:hAnsi="Verdana" w:cs="Times New Roman"/>
          <w:spacing w:val="-12"/>
          <w:sz w:val="16"/>
          <w:szCs w:val="16"/>
        </w:rPr>
        <w:t>El Estado</w:t>
      </w:r>
      <w:r>
        <w:rPr>
          <w:rFonts w:ascii="Verdana" w:eastAsia="Times New Roman" w:hAnsi="Verdana" w:cs="Times New Roman"/>
          <w:spacing w:val="-12"/>
          <w:sz w:val="16"/>
          <w:szCs w:val="16"/>
        </w:rPr>
        <w:t xml:space="preserve"> señaló que realizó </w:t>
      </w:r>
      <w:r w:rsidRPr="00AF5EAB">
        <w:rPr>
          <w:rFonts w:ascii="Verdana" w:eastAsia="Times New Roman" w:hAnsi="Verdana" w:cs="Times New Roman"/>
          <w:spacing w:val="-12"/>
          <w:sz w:val="16"/>
          <w:szCs w:val="16"/>
        </w:rPr>
        <w:t>consultas interinstitucionales para implementar</w:t>
      </w:r>
      <w:r>
        <w:rPr>
          <w:rFonts w:ascii="Verdana" w:eastAsia="Times New Roman" w:hAnsi="Verdana" w:cs="Times New Roman"/>
          <w:spacing w:val="-12"/>
          <w:sz w:val="16"/>
          <w:szCs w:val="16"/>
        </w:rPr>
        <w:t xml:space="preserve"> </w:t>
      </w:r>
      <w:r w:rsidRPr="00AF5EAB">
        <w:rPr>
          <w:rFonts w:ascii="Verdana" w:eastAsia="Times New Roman" w:hAnsi="Verdana" w:cs="Times New Roman"/>
          <w:spacing w:val="-12"/>
          <w:sz w:val="16"/>
          <w:szCs w:val="16"/>
        </w:rPr>
        <w:t>las</w:t>
      </w:r>
      <w:r>
        <w:rPr>
          <w:rFonts w:ascii="Verdana" w:eastAsia="Times New Roman" w:hAnsi="Verdana" w:cs="Times New Roman"/>
          <w:spacing w:val="-12"/>
          <w:sz w:val="16"/>
          <w:szCs w:val="16"/>
        </w:rPr>
        <w:t xml:space="preserve"> recomendaciones</w:t>
      </w:r>
      <w:r w:rsidRPr="00AF5EAB">
        <w:rPr>
          <w:rFonts w:ascii="Verdana" w:eastAsia="Times New Roman" w:hAnsi="Verdana" w:cs="Times New Roman"/>
          <w:spacing w:val="-12"/>
          <w:sz w:val="16"/>
          <w:szCs w:val="16"/>
        </w:rPr>
        <w:t xml:space="preserve"> de forma concertada con las víctimas y sus representantes, quienes participaron valiosamente en las reuniones,</w:t>
      </w:r>
      <w:r>
        <w:rPr>
          <w:rFonts w:ascii="Verdana" w:eastAsia="Times New Roman" w:hAnsi="Verdana" w:cs="Times New Roman"/>
          <w:spacing w:val="-12"/>
          <w:sz w:val="16"/>
          <w:szCs w:val="16"/>
        </w:rPr>
        <w:t xml:space="preserve"> y que</w:t>
      </w:r>
      <w:r w:rsidRPr="00AF5EAB">
        <w:rPr>
          <w:rFonts w:ascii="Verdana" w:eastAsia="Times New Roman" w:hAnsi="Verdana" w:cs="Times New Roman"/>
          <w:spacing w:val="-12"/>
          <w:sz w:val="16"/>
          <w:szCs w:val="16"/>
        </w:rPr>
        <w:t xml:space="preserve"> informó a la Comisión, en octubre de 2015, enero y marzo de 2016, acerca del estado de cumplimiento</w:t>
      </w:r>
      <w:r>
        <w:rPr>
          <w:rFonts w:ascii="Verdana" w:eastAsia="Times New Roman" w:hAnsi="Verdana" w:cs="Times New Roman"/>
          <w:spacing w:val="-12"/>
          <w:sz w:val="16"/>
          <w:szCs w:val="16"/>
        </w:rPr>
        <w:t>. En particular,</w:t>
      </w:r>
      <w:r w:rsidRPr="00EE6C61">
        <w:rPr>
          <w:rFonts w:ascii="Verdana" w:eastAsia="Times New Roman" w:hAnsi="Verdana" w:cs="Times New Roman"/>
          <w:spacing w:val="-12"/>
          <w:sz w:val="16"/>
          <w:szCs w:val="16"/>
        </w:rPr>
        <w:t xml:space="preserve"> hizo referencia a lo siguiente:</w:t>
      </w:r>
    </w:p>
    <w:p w:rsidR="00996758" w:rsidRPr="00EE6C61" w:rsidRDefault="00996758" w:rsidP="00A05AD9">
      <w:pPr>
        <w:pStyle w:val="FootnoteText"/>
        <w:numPr>
          <w:ilvl w:val="0"/>
          <w:numId w:val="15"/>
        </w:numPr>
        <w:ind w:left="142" w:hanging="142"/>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rPr>
        <w:t>La Fiscalía General y la Procuraduría General mostraron toda la disposición necesaria para impulsar las investigaciones. El Procurador General accedió a la solicitud de los representantes de revocar el auto de archivo de la indagación preliminar y reabrir el proceso disciplinario.</w:t>
      </w:r>
    </w:p>
    <w:p w:rsidR="00996758" w:rsidRPr="00EE6C61" w:rsidRDefault="00996758" w:rsidP="00A05AD9">
      <w:pPr>
        <w:pStyle w:val="FootnoteText"/>
        <w:numPr>
          <w:ilvl w:val="0"/>
          <w:numId w:val="15"/>
        </w:numPr>
        <w:ind w:left="142" w:hanging="142"/>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rPr>
        <w:t>Se logró avanzar con las indemnizaciones, pues se había logrado un concepto favorable del Comité de Ministros.</w:t>
      </w:r>
    </w:p>
    <w:p w:rsidR="00996758" w:rsidRPr="00EE6C61" w:rsidRDefault="00996758" w:rsidP="00A05AD9">
      <w:pPr>
        <w:pStyle w:val="FootnoteText"/>
        <w:numPr>
          <w:ilvl w:val="0"/>
          <w:numId w:val="15"/>
        </w:numPr>
        <w:ind w:left="142" w:hanging="142"/>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rPr>
        <w:t>En cuanto a violencia contra sindicalistas, el Estado se refirió a una serie de medidas normativas e institucionales adoptadas entre 1997 y el 2015 para la protección de líderes sindicales y activistas laborales.</w:t>
      </w:r>
    </w:p>
    <w:p w:rsidR="00996758" w:rsidRPr="00EE6C61" w:rsidRDefault="00996758" w:rsidP="00A05AD9">
      <w:pPr>
        <w:pStyle w:val="FootnoteText"/>
        <w:numPr>
          <w:ilvl w:val="0"/>
          <w:numId w:val="15"/>
        </w:numPr>
        <w:ind w:left="142" w:hanging="142"/>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rPr>
        <w:t>Se lograron importantes avances en la implementación de medidas de satisfacción, específicamente el acto público de reconocimiento de responsabilidad y la instalación de una placa conmemorativa en la cárcel municipal de Puerto Nare, la cual iba a ser asumida por la Unidad para la Atención y Reparación Integral a las Víctimas en acuerdo con los representantes, pero luego el caso fue sometido a la Corte.</w:t>
      </w:r>
    </w:p>
    <w:p w:rsidR="00996758" w:rsidRPr="00EE6C61" w:rsidRDefault="00996758" w:rsidP="00A05AD9">
      <w:pPr>
        <w:pStyle w:val="FootnoteText"/>
        <w:numPr>
          <w:ilvl w:val="0"/>
          <w:numId w:val="15"/>
        </w:numPr>
        <w:ind w:left="142" w:hanging="142"/>
        <w:jc w:val="both"/>
        <w:rPr>
          <w:rFonts w:ascii="Verdana" w:eastAsia="Times New Roman" w:hAnsi="Verdana" w:cs="Times New Roman"/>
          <w:spacing w:val="-12"/>
          <w:sz w:val="16"/>
          <w:szCs w:val="16"/>
        </w:rPr>
      </w:pPr>
      <w:r w:rsidRPr="00EE6C61">
        <w:rPr>
          <w:rFonts w:ascii="Verdana" w:eastAsia="Times New Roman" w:hAnsi="Verdana" w:cs="Times New Roman"/>
          <w:spacing w:val="-12"/>
          <w:sz w:val="16"/>
          <w:szCs w:val="16"/>
        </w:rPr>
        <w:t>En cuanto a acciones para combatir el delito de desaparición forzada, el Estado refirió a la Ley 589 de 2000 que lo tipifica; así como la creación de la Comisión de Búsqueda de Personas Desaparecidas, del Registro Nacional de Desaparecidos, del Mecanismo de Búsqueda Urgente, del Banco de Perfiles Genéticos de Personas Desaparecidas y de espacios de conmemoración; así como otros mecanismos legales, institucionales y admin</w:t>
      </w:r>
      <w:r>
        <w:rPr>
          <w:rFonts w:ascii="Verdana" w:eastAsia="Times New Roman" w:hAnsi="Verdana" w:cs="Times New Roman"/>
          <w:spacing w:val="-12"/>
          <w:sz w:val="16"/>
          <w:szCs w:val="16"/>
        </w:rPr>
        <w:t xml:space="preserve">istrativos al respecto. </w:t>
      </w:r>
    </w:p>
  </w:footnote>
  <w:footnote w:id="2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i/>
          <w:spacing w:val="-12"/>
          <w:sz w:val="16"/>
          <w:szCs w:val="16"/>
        </w:rPr>
        <w:footnoteRef/>
      </w:r>
      <w:r w:rsidRPr="00EE6C61">
        <w:rPr>
          <w:rFonts w:ascii="Verdana" w:hAnsi="Verdana"/>
          <w:i/>
          <w:spacing w:val="-12"/>
          <w:sz w:val="16"/>
          <w:szCs w:val="16"/>
        </w:rPr>
        <w:t xml:space="preserve"> </w:t>
      </w:r>
      <w:r w:rsidRPr="00EE6C61">
        <w:rPr>
          <w:rFonts w:ascii="Verdana" w:eastAsia="Times New Roman" w:hAnsi="Verdana" w:cs="Times New Roman"/>
          <w:spacing w:val="-12"/>
          <w:sz w:val="16"/>
          <w:szCs w:val="16"/>
        </w:rPr>
        <w:tab/>
      </w:r>
      <w:r w:rsidRPr="00EE6C61">
        <w:rPr>
          <w:rFonts w:ascii="Verdana" w:eastAsia="Times New Roman" w:hAnsi="Verdana" w:cs="Times New Roman"/>
          <w:i/>
          <w:spacing w:val="-12"/>
          <w:sz w:val="16"/>
          <w:szCs w:val="16"/>
        </w:rPr>
        <w:t>Cfr. Control de Legalidad en el ejercicio de las atribuciones de la Comisión Interamericana (arts. 41 y 44 a 51 de la Convención)</w:t>
      </w:r>
      <w:r w:rsidRPr="00EE6C61">
        <w:rPr>
          <w:rFonts w:ascii="Verdana" w:eastAsia="Times New Roman" w:hAnsi="Verdana" w:cs="Times New Roman"/>
          <w:spacing w:val="-12"/>
          <w:sz w:val="16"/>
          <w:szCs w:val="16"/>
        </w:rPr>
        <w:t xml:space="preserve">, Opinión Consultiva OC-19/05 de 28 de noviembre de 2005 párr. 25, y </w:t>
      </w:r>
      <w:r w:rsidRPr="00EE6C61">
        <w:rPr>
          <w:rFonts w:ascii="Verdana" w:eastAsia="Times New Roman" w:hAnsi="Verdana" w:cs="Times New Roman"/>
          <w:i/>
          <w:spacing w:val="-12"/>
          <w:sz w:val="16"/>
          <w:szCs w:val="16"/>
        </w:rPr>
        <w:t>Caso Trabajadores Cesados de Petroperú y otros Vs. Perú. Excepciones Preliminares, Fondo, Reparaciones y Costas.</w:t>
      </w:r>
      <w:r w:rsidRPr="00EE6C61">
        <w:rPr>
          <w:rFonts w:ascii="Verdana" w:eastAsia="Times New Roman" w:hAnsi="Verdana" w:cs="Times New Roman"/>
          <w:spacing w:val="-12"/>
          <w:sz w:val="16"/>
          <w:szCs w:val="16"/>
        </w:rPr>
        <w:t xml:space="preserve"> Sentencia de 23 de noviembre de 2017. Serie C No. 344, párr. 51.</w:t>
      </w:r>
    </w:p>
  </w:footnote>
  <w:footnote w:id="26">
    <w:p w:rsidR="00996758" w:rsidRDefault="00996758" w:rsidP="00103EC8">
      <w:pPr>
        <w:pStyle w:val="FootnoteText"/>
        <w:spacing w:before="120" w:after="120"/>
        <w:jc w:val="both"/>
      </w:pPr>
      <w:r w:rsidRPr="009B1844">
        <w:rPr>
          <w:rStyle w:val="FootnoteReference"/>
          <w:rFonts w:ascii="Verdana" w:hAnsi="Verdana"/>
          <w:i/>
          <w:spacing w:val="-12"/>
          <w:sz w:val="16"/>
          <w:szCs w:val="16"/>
        </w:rPr>
        <w:footnoteRef/>
      </w:r>
      <w:r>
        <w:t xml:space="preserve"> </w:t>
      </w:r>
      <w:r w:rsidRPr="009B1844">
        <w:rPr>
          <w:rFonts w:ascii="Verdana" w:eastAsia="Times New Roman" w:hAnsi="Verdana" w:cs="Times New Roman"/>
          <w:spacing w:val="-12"/>
          <w:sz w:val="16"/>
          <w:szCs w:val="16"/>
        </w:rPr>
        <w:tab/>
      </w:r>
      <w:r w:rsidRPr="009B1844">
        <w:rPr>
          <w:rFonts w:ascii="Verdana" w:eastAsia="Times New Roman" w:hAnsi="Verdana" w:cs="Times New Roman"/>
          <w:i/>
          <w:spacing w:val="-12"/>
          <w:sz w:val="16"/>
          <w:szCs w:val="16"/>
        </w:rPr>
        <w:t>Cfr. Caso Castañeda Gutman Vs. México</w:t>
      </w:r>
      <w:r>
        <w:rPr>
          <w:rFonts w:ascii="Verdana" w:eastAsia="Times New Roman" w:hAnsi="Verdana" w:cs="Times New Roman"/>
          <w:spacing w:val="-12"/>
          <w:sz w:val="16"/>
          <w:szCs w:val="16"/>
        </w:rPr>
        <w:t>.</w:t>
      </w:r>
      <w:r w:rsidRPr="009B1844">
        <w:rPr>
          <w:rFonts w:ascii="Verdana" w:eastAsia="Times New Roman" w:hAnsi="Verdana" w:cs="Times New Roman"/>
          <w:spacing w:val="-12"/>
          <w:sz w:val="16"/>
          <w:szCs w:val="16"/>
        </w:rPr>
        <w:t xml:space="preserve"> </w:t>
      </w:r>
      <w:r w:rsidRPr="009B1844">
        <w:rPr>
          <w:rFonts w:ascii="Verdana" w:eastAsia="Times New Roman" w:hAnsi="Verdana" w:cs="Times New Roman"/>
          <w:i/>
          <w:spacing w:val="-12"/>
          <w:sz w:val="16"/>
          <w:szCs w:val="16"/>
        </w:rPr>
        <w:t>Excepciones Preliminares, Fondo, Reparaciones y Costas</w:t>
      </w:r>
      <w:r w:rsidRPr="009B1844">
        <w:rPr>
          <w:rFonts w:ascii="Verdana" w:eastAsia="Times New Roman" w:hAnsi="Verdana" w:cs="Times New Roman"/>
          <w:spacing w:val="-12"/>
          <w:sz w:val="16"/>
          <w:szCs w:val="16"/>
        </w:rPr>
        <w:t>. Sentencia de 6 de agosto de 2008. Serie C No. 184, párr. 40</w:t>
      </w:r>
      <w:r>
        <w:rPr>
          <w:rFonts w:ascii="Verdana" w:eastAsia="Times New Roman" w:hAnsi="Verdana" w:cs="Times New Roman"/>
          <w:spacing w:val="-12"/>
          <w:sz w:val="16"/>
          <w:szCs w:val="16"/>
        </w:rPr>
        <w:t>;</w:t>
      </w:r>
      <w:r w:rsidRPr="009B1844">
        <w:rPr>
          <w:rFonts w:ascii="Verdana" w:eastAsia="Times New Roman" w:hAnsi="Verdana" w:cs="Times New Roman"/>
          <w:spacing w:val="-12"/>
          <w:sz w:val="16"/>
          <w:szCs w:val="16"/>
        </w:rPr>
        <w:t xml:space="preserve"> y </w:t>
      </w:r>
      <w:r w:rsidRPr="00A05AD9">
        <w:rPr>
          <w:rFonts w:ascii="Verdana" w:eastAsia="Times New Roman" w:hAnsi="Verdana" w:cs="Times New Roman"/>
          <w:i/>
          <w:spacing w:val="-12"/>
          <w:sz w:val="16"/>
          <w:szCs w:val="16"/>
        </w:rPr>
        <w:t>Caso Valencia Hinojosa y otra Vs. Ecuador. Excepciones Preliminares, Fondo, Reparaciones y Costas</w:t>
      </w:r>
      <w:r w:rsidRPr="009B1844">
        <w:rPr>
          <w:rFonts w:ascii="Verdana" w:eastAsia="Times New Roman" w:hAnsi="Verdana" w:cs="Times New Roman"/>
          <w:spacing w:val="-12"/>
          <w:sz w:val="16"/>
          <w:szCs w:val="16"/>
        </w:rPr>
        <w:t>. Sentencia de 29 de noviembre de 2016. Serie C No. 327</w:t>
      </w:r>
      <w:r>
        <w:rPr>
          <w:rFonts w:ascii="Verdana" w:eastAsia="Times New Roman" w:hAnsi="Verdana" w:cs="Times New Roman"/>
          <w:spacing w:val="-12"/>
          <w:sz w:val="16"/>
          <w:szCs w:val="16"/>
        </w:rPr>
        <w:t>, párr. 28</w:t>
      </w:r>
      <w:r w:rsidRPr="009B1844">
        <w:rPr>
          <w:rFonts w:ascii="Verdana" w:eastAsia="Times New Roman" w:hAnsi="Verdana" w:cs="Times New Roman"/>
          <w:spacing w:val="-12"/>
          <w:sz w:val="16"/>
          <w:szCs w:val="16"/>
        </w:rPr>
        <w:t>.</w:t>
      </w:r>
    </w:p>
  </w:footnote>
  <w:footnote w:id="2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Pr>
          <w:rFonts w:ascii="Verdana" w:eastAsia="Times New Roman" w:hAnsi="Verdana" w:cs="Times New Roman"/>
          <w:spacing w:val="-12"/>
          <w:sz w:val="16"/>
          <w:szCs w:val="16"/>
        </w:rPr>
        <w:tab/>
        <w:t>Se hace notar que, e</w:t>
      </w:r>
      <w:r w:rsidRPr="00EE6C61">
        <w:rPr>
          <w:rFonts w:ascii="Verdana" w:eastAsia="Times New Roman" w:hAnsi="Verdana" w:cs="Times New Roman"/>
          <w:spacing w:val="-12"/>
          <w:sz w:val="16"/>
          <w:szCs w:val="16"/>
        </w:rPr>
        <w:t xml:space="preserve">n </w:t>
      </w:r>
      <w:r>
        <w:rPr>
          <w:rFonts w:ascii="Verdana" w:eastAsia="Times New Roman" w:hAnsi="Verdana" w:cs="Times New Roman"/>
          <w:spacing w:val="-12"/>
          <w:sz w:val="16"/>
          <w:szCs w:val="16"/>
        </w:rPr>
        <w:t>un</w:t>
      </w:r>
      <w:r w:rsidRPr="00EE6C61">
        <w:rPr>
          <w:rFonts w:ascii="Verdana" w:eastAsia="Times New Roman" w:hAnsi="Verdana" w:cs="Times New Roman"/>
          <w:spacing w:val="-12"/>
          <w:sz w:val="16"/>
          <w:szCs w:val="16"/>
        </w:rPr>
        <w:t xml:space="preserve"> caso reciente</w:t>
      </w:r>
      <w:r>
        <w:rPr>
          <w:rFonts w:ascii="Verdana" w:eastAsia="Times New Roman" w:hAnsi="Verdana" w:cs="Times New Roman"/>
          <w:spacing w:val="-12"/>
          <w:sz w:val="16"/>
          <w:szCs w:val="16"/>
        </w:rPr>
        <w:t>,</w:t>
      </w:r>
      <w:r w:rsidRPr="00EE6C61">
        <w:rPr>
          <w:rFonts w:ascii="Verdana" w:eastAsia="Times New Roman" w:hAnsi="Verdana" w:cs="Times New Roman"/>
          <w:spacing w:val="-12"/>
          <w:sz w:val="16"/>
          <w:szCs w:val="16"/>
        </w:rPr>
        <w:t xml:space="preserve"> </w:t>
      </w:r>
      <w:r>
        <w:rPr>
          <w:rFonts w:ascii="Verdana" w:eastAsia="Times New Roman" w:hAnsi="Verdana" w:cs="Times New Roman"/>
          <w:spacing w:val="-12"/>
          <w:sz w:val="16"/>
          <w:szCs w:val="16"/>
        </w:rPr>
        <w:t xml:space="preserve">tal alegato </w:t>
      </w:r>
      <w:r w:rsidRPr="00EE6C61">
        <w:rPr>
          <w:rFonts w:ascii="Verdana" w:eastAsia="Times New Roman" w:hAnsi="Verdana" w:cs="Times New Roman"/>
          <w:spacing w:val="-12"/>
          <w:sz w:val="16"/>
          <w:szCs w:val="16"/>
        </w:rPr>
        <w:t xml:space="preserve">no se presentó </w:t>
      </w:r>
      <w:r>
        <w:rPr>
          <w:rFonts w:ascii="Verdana" w:eastAsia="Times New Roman" w:hAnsi="Verdana" w:cs="Times New Roman"/>
          <w:spacing w:val="-12"/>
          <w:sz w:val="16"/>
          <w:szCs w:val="16"/>
        </w:rPr>
        <w:t xml:space="preserve">como </w:t>
      </w:r>
      <w:r w:rsidRPr="00EE6C61">
        <w:rPr>
          <w:rFonts w:ascii="Verdana" w:eastAsia="Times New Roman" w:hAnsi="Verdana" w:cs="Times New Roman"/>
          <w:spacing w:val="-12"/>
          <w:sz w:val="16"/>
          <w:szCs w:val="16"/>
        </w:rPr>
        <w:t xml:space="preserve">excepción preliminar, pues fueron los representantes quienes solicitaron a la Corte ejercer </w:t>
      </w:r>
      <w:r>
        <w:rPr>
          <w:rFonts w:ascii="Verdana" w:eastAsia="Times New Roman" w:hAnsi="Verdana" w:cs="Times New Roman"/>
          <w:spacing w:val="-12"/>
          <w:sz w:val="16"/>
          <w:szCs w:val="16"/>
        </w:rPr>
        <w:t>un</w:t>
      </w:r>
      <w:r w:rsidRPr="00EE6C61">
        <w:rPr>
          <w:rFonts w:ascii="Verdana" w:eastAsia="Times New Roman" w:hAnsi="Verdana" w:cs="Times New Roman"/>
          <w:spacing w:val="-12"/>
          <w:sz w:val="16"/>
          <w:szCs w:val="16"/>
        </w:rPr>
        <w:t xml:space="preserve"> control </w:t>
      </w:r>
      <w:r>
        <w:rPr>
          <w:rFonts w:ascii="Verdana" w:eastAsia="Times New Roman" w:hAnsi="Verdana" w:cs="Times New Roman"/>
          <w:spacing w:val="-12"/>
          <w:sz w:val="16"/>
          <w:szCs w:val="16"/>
        </w:rPr>
        <w:t xml:space="preserve">de legalidad </w:t>
      </w:r>
      <w:r w:rsidRPr="00EE6C61">
        <w:rPr>
          <w:rFonts w:ascii="Verdana" w:eastAsia="Times New Roman" w:hAnsi="Verdana" w:cs="Times New Roman"/>
          <w:spacing w:val="-12"/>
          <w:sz w:val="16"/>
          <w:szCs w:val="16"/>
        </w:rPr>
        <w:t xml:space="preserve">en relación con una presunta víctima que había quedado excluida en el Informe de la Comisión. </w:t>
      </w:r>
      <w:r w:rsidRPr="00EE6C61">
        <w:rPr>
          <w:rFonts w:ascii="Verdana" w:eastAsia="Times New Roman" w:hAnsi="Verdana" w:cs="Times New Roman"/>
          <w:i/>
          <w:spacing w:val="-12"/>
          <w:sz w:val="16"/>
          <w:szCs w:val="16"/>
        </w:rPr>
        <w:t xml:space="preserve">Cfr. Caso Trabajadores Cesados de Petroperú y otros Vs. Perú, </w:t>
      </w:r>
      <w:r w:rsidRPr="00EE6C61">
        <w:rPr>
          <w:rFonts w:ascii="Verdana" w:eastAsia="Times New Roman" w:hAnsi="Verdana" w:cs="Times New Roman"/>
          <w:spacing w:val="-12"/>
          <w:sz w:val="16"/>
          <w:szCs w:val="16"/>
        </w:rPr>
        <w:t xml:space="preserve">párrs. 49 a 57. </w:t>
      </w:r>
    </w:p>
  </w:footnote>
  <w:footnote w:id="28">
    <w:p w:rsidR="00996758" w:rsidRPr="00EE6C61" w:rsidRDefault="00996758" w:rsidP="00103EC8">
      <w:pPr>
        <w:pStyle w:val="FootnoteText"/>
        <w:spacing w:before="120" w:after="120"/>
        <w:jc w:val="both"/>
        <w:rPr>
          <w:rFonts w:ascii="Verdana" w:hAnsi="Verdana"/>
          <w:bCs/>
          <w:iCs/>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eastAsia="Times New Roman" w:hAnsi="Verdana" w:cs="Times New Roman"/>
          <w:spacing w:val="-12"/>
          <w:sz w:val="16"/>
          <w:szCs w:val="16"/>
        </w:rPr>
        <w:tab/>
      </w:r>
      <w:r w:rsidRPr="00EE6C61">
        <w:rPr>
          <w:rFonts w:ascii="Verdana" w:eastAsia="Times New Roman" w:hAnsi="Verdana" w:cs="Times New Roman"/>
          <w:i/>
          <w:spacing w:val="-12"/>
          <w:sz w:val="16"/>
          <w:szCs w:val="16"/>
        </w:rPr>
        <w:t xml:space="preserve">Cfr. Caso Rodríguez Vera y otros (Desaparecidos del Palacio de Justicia) Vs. Colombia, </w:t>
      </w:r>
      <w:r w:rsidRPr="00EE6C61">
        <w:rPr>
          <w:rFonts w:ascii="Verdana" w:eastAsia="Times New Roman" w:hAnsi="Verdana" w:cs="Times New Roman"/>
          <w:spacing w:val="-12"/>
          <w:sz w:val="16"/>
          <w:szCs w:val="16"/>
        </w:rPr>
        <w:t xml:space="preserve">párr. 54. Ver también </w:t>
      </w:r>
      <w:r w:rsidRPr="00EE6C61">
        <w:rPr>
          <w:rFonts w:ascii="Verdana" w:eastAsia="Times New Roman" w:hAnsi="Verdana" w:cs="Times New Roman"/>
          <w:i/>
          <w:spacing w:val="-12"/>
          <w:sz w:val="16"/>
          <w:szCs w:val="16"/>
        </w:rPr>
        <w:t>Caso Herrera Espinoza y otros Vs. Ecuador. Excepciones Preliminares, Fondo, Reparaciones y Costas</w:t>
      </w:r>
      <w:r w:rsidRPr="00EE6C61">
        <w:rPr>
          <w:rFonts w:ascii="Verdana" w:eastAsia="Times New Roman" w:hAnsi="Verdana" w:cs="Times New Roman"/>
          <w:spacing w:val="-12"/>
          <w:sz w:val="16"/>
          <w:szCs w:val="16"/>
        </w:rPr>
        <w:t xml:space="preserve">. Sentencia de 1 de septiembre de 2016. Serie C No. 316, párr. 39. </w:t>
      </w:r>
    </w:p>
  </w:footnote>
  <w:footnote w:id="2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bCs/>
          <w:spacing w:val="-12"/>
          <w:sz w:val="16"/>
          <w:szCs w:val="16"/>
        </w:rPr>
        <w:tab/>
        <w:t xml:space="preserve">La prueba documental puede ser presentada, en general y de conformidad con el artículo 57.2 del Reglamento, junto con los escritos de sometimiento del caso, de solicitudes y argumentos o de contestación, según corresponda, y no es admisible la prueba remitida fuera de esas oportunidades procesales, salvo en las excepciones establecidas en el referido artículo 57.2 del Reglamento (a saber, fuerza mayor, impedimento grave) o salvo si se tratara de un hecho superviniente, es decir, ocurrido con posterioridad a los citados momentos procesales. </w:t>
      </w:r>
      <w:r w:rsidRPr="00EE6C61">
        <w:rPr>
          <w:rFonts w:ascii="Verdana" w:hAnsi="Verdana"/>
          <w:bCs/>
          <w:i/>
          <w:spacing w:val="-12"/>
          <w:sz w:val="16"/>
          <w:szCs w:val="16"/>
        </w:rPr>
        <w:t xml:space="preserve">Cfr. Caso Familia Barrios Vs. Venezuela. Fondo, Reparaciones y Costas. </w:t>
      </w:r>
      <w:r w:rsidRPr="00EE6C61">
        <w:rPr>
          <w:rFonts w:ascii="Verdana" w:hAnsi="Verdana"/>
          <w:bCs/>
          <w:spacing w:val="-12"/>
          <w:sz w:val="16"/>
          <w:szCs w:val="16"/>
        </w:rPr>
        <w:t xml:space="preserve">Sentencia de 24 de noviembre de 2011. Serie C No. 237, párrs. 17 y 18, y </w:t>
      </w:r>
      <w:r w:rsidRPr="00EE6C61">
        <w:rPr>
          <w:rFonts w:ascii="Verdana" w:hAnsi="Verdana"/>
          <w:bCs/>
          <w:i/>
          <w:spacing w:val="-12"/>
          <w:sz w:val="16"/>
          <w:szCs w:val="16"/>
        </w:rPr>
        <w:t>Caso Acosta y otros Vs. Nicaragua. Excepciones Preliminares, Fondo, Reparaciones y Costas</w:t>
      </w:r>
      <w:r w:rsidRPr="00EE6C61">
        <w:rPr>
          <w:rFonts w:ascii="Verdana" w:hAnsi="Verdana"/>
          <w:bCs/>
          <w:spacing w:val="-12"/>
          <w:sz w:val="16"/>
          <w:szCs w:val="16"/>
        </w:rPr>
        <w:t>. Sentencia de 25 de marzo de 2017. Serie C No. 334, párr. 23.</w:t>
      </w:r>
    </w:p>
  </w:footnote>
  <w:footnote w:id="3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w:t>
      </w:r>
      <w:r w:rsidRPr="00EE6C61">
        <w:rPr>
          <w:rFonts w:ascii="Verdana" w:hAnsi="Verdana"/>
          <w:i/>
          <w:spacing w:val="-12"/>
          <w:sz w:val="16"/>
          <w:szCs w:val="16"/>
        </w:rPr>
        <w:t>Caso Velásquez Rodríguez Vs. Honduras. Fondo</w:t>
      </w:r>
      <w:r w:rsidRPr="00EE6C61">
        <w:rPr>
          <w:rFonts w:ascii="Verdana" w:hAnsi="Verdana"/>
          <w:spacing w:val="-12"/>
          <w:sz w:val="16"/>
          <w:szCs w:val="16"/>
        </w:rPr>
        <w:t xml:space="preserve">. Sentencia de 29 de julio de 1988. Serie C No.4, párr. 140, y </w:t>
      </w:r>
      <w:r w:rsidRPr="00EE6C61">
        <w:rPr>
          <w:rFonts w:ascii="Verdana" w:hAnsi="Verdana"/>
          <w:bCs/>
          <w:i/>
          <w:spacing w:val="-12"/>
          <w:sz w:val="16"/>
          <w:szCs w:val="16"/>
        </w:rPr>
        <w:t xml:space="preserve">Caso Carvajal Carvajal y otros Vs. Colombia. Fondo, Reparaciones y Costas. </w:t>
      </w:r>
      <w:r w:rsidRPr="00EE6C61">
        <w:rPr>
          <w:rFonts w:ascii="Verdana" w:hAnsi="Verdana"/>
          <w:bCs/>
          <w:spacing w:val="-12"/>
          <w:sz w:val="16"/>
          <w:szCs w:val="16"/>
        </w:rPr>
        <w:t xml:space="preserve">Sentencia de 13 de marzo de 2018. Serie C No. 352, </w:t>
      </w:r>
      <w:r>
        <w:rPr>
          <w:rFonts w:ascii="Verdana" w:hAnsi="Verdana"/>
          <w:spacing w:val="-12"/>
          <w:sz w:val="16"/>
          <w:szCs w:val="16"/>
        </w:rPr>
        <w:t>párr. 18.</w:t>
      </w:r>
    </w:p>
  </w:footnote>
  <w:footnote w:id="31">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Informe del Centro Nacional de Memoria Histórica, “Huellas y Rostros de la Desaparición forzada (1970-2010)”, Tomo II, Imprenta Nac</w:t>
      </w:r>
      <w:r>
        <w:rPr>
          <w:rFonts w:ascii="Verdana" w:hAnsi="Verdana"/>
          <w:spacing w:val="-12"/>
          <w:sz w:val="16"/>
          <w:szCs w:val="16"/>
        </w:rPr>
        <w:t>ional de Colombia, Bogotá, 2013</w:t>
      </w:r>
      <w:r w:rsidRPr="00EE6C61">
        <w:rPr>
          <w:rFonts w:ascii="Verdana" w:hAnsi="Verdana"/>
          <w:spacing w:val="-12"/>
          <w:sz w:val="16"/>
          <w:szCs w:val="16"/>
        </w:rPr>
        <w:t xml:space="preserve"> (exp. prueba, </w:t>
      </w:r>
      <w:r>
        <w:rPr>
          <w:rFonts w:ascii="Verdana" w:hAnsi="Verdana"/>
          <w:spacing w:val="-12"/>
          <w:sz w:val="16"/>
          <w:szCs w:val="16"/>
        </w:rPr>
        <w:t>f.</w:t>
      </w:r>
      <w:r w:rsidRPr="00EE6C61">
        <w:rPr>
          <w:rFonts w:ascii="Verdana" w:hAnsi="Verdana"/>
          <w:spacing w:val="-12"/>
          <w:sz w:val="16"/>
          <w:szCs w:val="16"/>
        </w:rPr>
        <w:t xml:space="preserve"> 5453)</w:t>
      </w:r>
      <w:r>
        <w:rPr>
          <w:rFonts w:ascii="Verdana" w:hAnsi="Verdana"/>
          <w:spacing w:val="-12"/>
          <w:sz w:val="16"/>
          <w:szCs w:val="16"/>
        </w:rPr>
        <w:t>.</w:t>
      </w:r>
    </w:p>
  </w:footnote>
  <w:footnote w:id="32">
    <w:p w:rsidR="00996758" w:rsidRPr="00EE6C61" w:rsidRDefault="00996758" w:rsidP="00103EC8">
      <w:pPr>
        <w:pStyle w:val="FootnoteText"/>
        <w:spacing w:before="120" w:after="120"/>
        <w:jc w:val="both"/>
      </w:pPr>
      <w:r w:rsidRPr="00EE6C61">
        <w:rPr>
          <w:rStyle w:val="FootnoteReference"/>
          <w:rFonts w:ascii="Verdana" w:hAnsi="Verdana"/>
          <w:sz w:val="16"/>
          <w:szCs w:val="16"/>
        </w:rPr>
        <w:footnoteRef/>
      </w:r>
      <w:r w:rsidRPr="00EE6C61">
        <w:t xml:space="preserve"> </w:t>
      </w:r>
      <w:r w:rsidRPr="00EE6C61">
        <w:rPr>
          <w:rFonts w:ascii="Verdana" w:hAnsi="Verdana"/>
          <w:spacing w:val="-12"/>
          <w:sz w:val="16"/>
          <w:szCs w:val="16"/>
        </w:rPr>
        <w:tab/>
        <w:t xml:space="preserve">La primera edición del </w:t>
      </w:r>
      <w:r>
        <w:rPr>
          <w:rFonts w:ascii="Verdana" w:hAnsi="Verdana"/>
          <w:spacing w:val="-12"/>
          <w:sz w:val="16"/>
          <w:szCs w:val="16"/>
        </w:rPr>
        <w:t>Informe</w:t>
      </w:r>
      <w:r w:rsidRPr="00EE6C61">
        <w:rPr>
          <w:rFonts w:ascii="Verdana" w:hAnsi="Verdana"/>
          <w:spacing w:val="-12"/>
          <w:sz w:val="16"/>
          <w:szCs w:val="16"/>
        </w:rPr>
        <w:t xml:space="preserve"> fue publicada en noviembre del 2013, un año después del último escrito suscrito por aquél en el trámite del caso ante la Comisión como miembro de la organización representante de las presuntas víctimas.</w:t>
      </w:r>
    </w:p>
  </w:footnote>
  <w:footnote w:id="3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Su objetivo es poner la información a disposición de los interesados, investigadores y ciudadanos en general, para proporcionar y enriquecer el conocimiento de la historia política y social de Colombia y contribuir a la realización de la reparación integral y el derecho a la verdad de las víctimas y de la sociedad en su conjunto, así como al deber de memoria del Estado con ocasión de las violaciones ocurridas en el marco del conflicto armado colombiano Información tomada de la página web del Centro Nacional de Memoria Histórica. Disponible en:  </w:t>
      </w:r>
      <w:hyperlink r:id="rId7" w:history="1">
        <w:r w:rsidRPr="00EE6C61">
          <w:rPr>
            <w:rStyle w:val="Hyperlink"/>
            <w:rFonts w:ascii="Verdana" w:hAnsi="Verdana"/>
            <w:spacing w:val="-12"/>
            <w:sz w:val="16"/>
            <w:szCs w:val="16"/>
          </w:rPr>
          <w:t>http://www.centrodememoriahistorica.gov.co/somos-cnmh/que-es-el-centro-nacional-de-memoria-historica</w:t>
        </w:r>
      </w:hyperlink>
      <w:r w:rsidRPr="00EE6C61">
        <w:rPr>
          <w:rFonts w:ascii="Verdana" w:hAnsi="Verdana"/>
          <w:spacing w:val="-12"/>
          <w:sz w:val="16"/>
          <w:szCs w:val="16"/>
        </w:rPr>
        <w:t xml:space="preserve"> </w:t>
      </w:r>
    </w:p>
  </w:footnote>
  <w:footnote w:id="3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Por ejemplo, en el </w:t>
      </w:r>
      <w:r w:rsidRPr="00EE6C61">
        <w:rPr>
          <w:rFonts w:ascii="Verdana" w:hAnsi="Verdana"/>
          <w:i/>
          <w:spacing w:val="-12"/>
          <w:sz w:val="16"/>
          <w:szCs w:val="16"/>
        </w:rPr>
        <w:t>caso de las Comunidades Afrodescendientes Desplazadas De La Cuenca Del Río Cacarica (Operación Génesis) Vs. Colombia</w:t>
      </w:r>
      <w:r w:rsidRPr="00EE6C61">
        <w:rPr>
          <w:rFonts w:ascii="Verdana" w:hAnsi="Verdana"/>
          <w:spacing w:val="-12"/>
          <w:sz w:val="16"/>
          <w:szCs w:val="16"/>
        </w:rPr>
        <w:t xml:space="preserve">, en el cual fueron referenciados por el declarante a título informativo ofrecido por el Estado (ver párr. 249). Asimismo ver </w:t>
      </w:r>
      <w:r w:rsidRPr="00EE6C61">
        <w:rPr>
          <w:rFonts w:ascii="Verdana" w:hAnsi="Verdana"/>
          <w:i/>
          <w:spacing w:val="-12"/>
          <w:sz w:val="16"/>
          <w:szCs w:val="16"/>
        </w:rPr>
        <w:t>casos Vereda La Esperanza</w:t>
      </w:r>
      <w:r>
        <w:rPr>
          <w:rFonts w:ascii="Verdana" w:hAnsi="Verdana"/>
          <w:i/>
          <w:spacing w:val="-12"/>
          <w:sz w:val="16"/>
          <w:szCs w:val="16"/>
        </w:rPr>
        <w:t xml:space="preserve"> </w:t>
      </w:r>
      <w:r w:rsidRPr="00EE6C61">
        <w:rPr>
          <w:rFonts w:ascii="Verdana" w:hAnsi="Verdana"/>
          <w:i/>
          <w:spacing w:val="-12"/>
          <w:sz w:val="16"/>
          <w:szCs w:val="16"/>
        </w:rPr>
        <w:t>Vs. Colombia, Yarce y otras</w:t>
      </w:r>
      <w:r w:rsidRPr="00EE6C61">
        <w:rPr>
          <w:rFonts w:ascii="Verdana" w:hAnsi="Verdana"/>
          <w:spacing w:val="-12"/>
          <w:sz w:val="16"/>
          <w:szCs w:val="16"/>
        </w:rPr>
        <w:t xml:space="preserve"> </w:t>
      </w:r>
      <w:r w:rsidRPr="00EE6C61">
        <w:rPr>
          <w:rFonts w:ascii="Verdana" w:hAnsi="Verdana"/>
          <w:i/>
          <w:spacing w:val="-12"/>
          <w:sz w:val="16"/>
          <w:szCs w:val="16"/>
        </w:rPr>
        <w:t>Vs. Colombia</w:t>
      </w:r>
      <w:r w:rsidRPr="00EE6C61">
        <w:rPr>
          <w:rFonts w:ascii="Verdana" w:hAnsi="Verdana"/>
          <w:spacing w:val="-12"/>
          <w:sz w:val="16"/>
          <w:szCs w:val="16"/>
        </w:rPr>
        <w:t xml:space="preserve"> y </w:t>
      </w:r>
      <w:r w:rsidRPr="00EE6C61">
        <w:rPr>
          <w:rFonts w:ascii="Verdana" w:hAnsi="Verdana"/>
          <w:i/>
          <w:spacing w:val="-12"/>
          <w:sz w:val="16"/>
          <w:szCs w:val="16"/>
        </w:rPr>
        <w:t>Carvajal Carvajal Vs. Colombia</w:t>
      </w:r>
      <w:r w:rsidRPr="00EE6C61">
        <w:rPr>
          <w:rFonts w:ascii="Verdana" w:hAnsi="Verdana"/>
          <w:spacing w:val="-12"/>
          <w:sz w:val="16"/>
          <w:szCs w:val="16"/>
        </w:rPr>
        <w:t>.</w:t>
      </w:r>
    </w:p>
  </w:footnote>
  <w:footnote w:id="35">
    <w:p w:rsidR="00996758" w:rsidRPr="00EE6C61" w:rsidRDefault="00996758" w:rsidP="00103EC8">
      <w:pPr>
        <w:pStyle w:val="ListParagraph"/>
        <w:spacing w:before="120" w:after="120" w:line="240" w:lineRule="auto"/>
        <w:ind w:left="0"/>
        <w:jc w:val="both"/>
        <w:rPr>
          <w:rFonts w:ascii="Verdana" w:eastAsia="Verdana" w:hAnsi="Verdana" w:cs="Verdana"/>
          <w:sz w:val="20"/>
          <w:szCs w:val="20"/>
        </w:rPr>
      </w:pPr>
      <w:r w:rsidRPr="00EE6C61">
        <w:rPr>
          <w:rStyle w:val="FootnoteReference"/>
          <w:rFonts w:ascii="Verdana" w:hAnsi="Verdana"/>
          <w:spacing w:val="-12"/>
          <w:sz w:val="16"/>
          <w:szCs w:val="16"/>
        </w:rPr>
        <w:footnoteRef/>
      </w:r>
      <w:r w:rsidRPr="00EE6C61">
        <w:t xml:space="preserve"> </w:t>
      </w:r>
      <w:r w:rsidRPr="00EE6C61">
        <w:rPr>
          <w:rFonts w:ascii="Verdana" w:hAnsi="Verdana"/>
          <w:spacing w:val="-12"/>
          <w:sz w:val="16"/>
          <w:szCs w:val="16"/>
        </w:rPr>
        <w:tab/>
        <w:t xml:space="preserve">Sin perjuicio de </w:t>
      </w:r>
      <w:r>
        <w:rPr>
          <w:rFonts w:ascii="Verdana" w:hAnsi="Verdana"/>
          <w:spacing w:val="-12"/>
          <w:sz w:val="16"/>
          <w:szCs w:val="16"/>
        </w:rPr>
        <w:t>ello</w:t>
      </w:r>
      <w:r w:rsidRPr="00EE6C61">
        <w:rPr>
          <w:rFonts w:ascii="Verdana" w:hAnsi="Verdana"/>
          <w:spacing w:val="-12"/>
          <w:sz w:val="16"/>
          <w:szCs w:val="16"/>
        </w:rPr>
        <w:t>, en sus alegatos finales escritos los representantes presentaron unos planos del municipio de Puerto Nare y solicitaron que la Corte los admita como prueba para mejor resolver. El Estado alegó que la documentación es de abril de 2016, por lo que no existe justificación alguna, bajo el artículo 57 del Reglamento, para que fuesen presentados en esa oportunidad. En este sentido, la Corte considera que, si bien la presentación de estos documentos sería extemporánea, el Estado también manifestó, al reconocer responsabilidad, que una de las inconsistencias de las investigaciones internas es la falta de verificación exacta de estaciones de policía y fuerzas armadas (</w:t>
      </w:r>
      <w:r w:rsidRPr="00DF213C">
        <w:rPr>
          <w:rFonts w:ascii="Verdana" w:hAnsi="Verdana"/>
          <w:i/>
          <w:spacing w:val="-12"/>
          <w:sz w:val="16"/>
          <w:szCs w:val="16"/>
        </w:rPr>
        <w:t>supra</w:t>
      </w:r>
      <w:r>
        <w:rPr>
          <w:rFonts w:ascii="Verdana" w:hAnsi="Verdana"/>
          <w:spacing w:val="-12"/>
          <w:sz w:val="16"/>
          <w:szCs w:val="16"/>
        </w:rPr>
        <w:t xml:space="preserve"> nota</w:t>
      </w:r>
      <w:r w:rsidRPr="00EE6C61">
        <w:rPr>
          <w:rFonts w:ascii="Verdana" w:hAnsi="Verdana"/>
          <w:spacing w:val="-12"/>
          <w:sz w:val="16"/>
          <w:szCs w:val="16"/>
        </w:rPr>
        <w:t xml:space="preserve"> </w:t>
      </w:r>
      <w:r>
        <w:rPr>
          <w:rFonts w:ascii="Verdana" w:hAnsi="Verdana"/>
          <w:spacing w:val="-12"/>
          <w:sz w:val="16"/>
          <w:szCs w:val="16"/>
        </w:rPr>
        <w:t>15</w:t>
      </w:r>
      <w:r w:rsidRPr="00EE6C61">
        <w:rPr>
          <w:rFonts w:ascii="Verdana" w:hAnsi="Verdana"/>
          <w:spacing w:val="-12"/>
          <w:sz w:val="16"/>
          <w:szCs w:val="16"/>
        </w:rPr>
        <w:t>), por lo cual estima procedente, en aplicación del artículo 58.a) de su Reglamento, incorporar tal documentación de oficio al acervo probatorio de este caso por estimarla útil o necesaria para el análisis del mismo.</w:t>
      </w:r>
    </w:p>
  </w:footnote>
  <w:footnote w:id="36">
    <w:p w:rsidR="00996758" w:rsidRPr="00EE6C61" w:rsidRDefault="00996758" w:rsidP="00103EC8">
      <w:pPr>
        <w:pStyle w:val="FootnoteText"/>
        <w:spacing w:before="120" w:after="120"/>
        <w:jc w:val="both"/>
        <w:rPr>
          <w:rFonts w:ascii="Verdana" w:hAnsi="Verdana"/>
          <w:i/>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w:t>
      </w:r>
      <w:r w:rsidRPr="00EE6C61">
        <w:rPr>
          <w:rFonts w:ascii="Verdana" w:hAnsi="Verdana"/>
          <w:bCs/>
          <w:spacing w:val="-12"/>
          <w:sz w:val="16"/>
          <w:szCs w:val="16"/>
        </w:rPr>
        <w:t>l Estado remitió los dictámenes de la señora Paula Gaviria Betancur y del señor Jorge Mauricio Cardona Angarita y los testimonios del señor Diego Fernando Mora Arango y la se</w:t>
      </w:r>
      <w:r>
        <w:rPr>
          <w:rFonts w:ascii="Verdana" w:hAnsi="Verdana"/>
          <w:bCs/>
          <w:spacing w:val="-12"/>
          <w:sz w:val="16"/>
          <w:szCs w:val="16"/>
        </w:rPr>
        <w:t>ñora Luz María Ramírez García. E</w:t>
      </w:r>
      <w:r w:rsidRPr="00EE6C61">
        <w:rPr>
          <w:rFonts w:ascii="Verdana" w:hAnsi="Verdana"/>
          <w:bCs/>
          <w:spacing w:val="-12"/>
          <w:sz w:val="16"/>
          <w:szCs w:val="16"/>
        </w:rPr>
        <w:t xml:space="preserve">l representante remitió las declaraciones de las presuntas víctimas </w:t>
      </w:r>
      <w:r w:rsidRPr="00EE6C61">
        <w:rPr>
          <w:rFonts w:ascii="Verdana" w:eastAsia="Times New Roman" w:hAnsi="Verdana" w:cs="Times New Roman"/>
          <w:spacing w:val="-12"/>
          <w:sz w:val="16"/>
          <w:szCs w:val="16"/>
        </w:rPr>
        <w:t>Jhony Alexander Isaza Vélez y Haner Alexis Isaza Vélez</w:t>
      </w:r>
      <w:r w:rsidRPr="00EE6C61">
        <w:rPr>
          <w:rFonts w:ascii="Verdana" w:hAnsi="Verdana"/>
          <w:bCs/>
          <w:spacing w:val="-12"/>
          <w:sz w:val="16"/>
          <w:szCs w:val="16"/>
        </w:rPr>
        <w:t>, de las testigos Ofelia Uribe y Fabiola Lalinde, así como de los peritos Michael Reed Hurtado, José Luciano Sanin Vasquez, Carlos Medina Gallego, Yeini Carolina Torres Bocachica y Fernando Ruiz Acosta.</w:t>
      </w:r>
    </w:p>
  </w:footnote>
  <w:footnote w:id="3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w:t>
      </w:r>
      <w:r w:rsidRPr="00EE6C61">
        <w:rPr>
          <w:rFonts w:ascii="Verdana" w:hAnsi="Verdana"/>
          <w:i/>
          <w:spacing w:val="-12"/>
          <w:sz w:val="16"/>
          <w:szCs w:val="16"/>
        </w:rPr>
        <w:t>Caso Loayza Tamayo Vs. Perú. Fondo</w:t>
      </w:r>
      <w:r w:rsidRPr="00EE6C61">
        <w:rPr>
          <w:rFonts w:ascii="Verdana" w:hAnsi="Verdana"/>
          <w:spacing w:val="-12"/>
          <w:sz w:val="16"/>
          <w:szCs w:val="16"/>
        </w:rPr>
        <w:t xml:space="preserve">. Sentencia de 17 de septiembre de 1997. Serie C No. 33, párr. 43, y </w:t>
      </w:r>
      <w:r w:rsidRPr="00EE6C61">
        <w:rPr>
          <w:rFonts w:ascii="Verdana" w:hAnsi="Verdana"/>
          <w:i/>
          <w:spacing w:val="-12"/>
          <w:sz w:val="16"/>
          <w:szCs w:val="16"/>
        </w:rPr>
        <w:t>Caso Pacheco León y otros Vs. Honduras. Fondo, Reparaciones y Costas</w:t>
      </w:r>
      <w:r w:rsidRPr="00EE6C61">
        <w:rPr>
          <w:rFonts w:ascii="Verdana" w:hAnsi="Verdana"/>
          <w:spacing w:val="-12"/>
          <w:sz w:val="16"/>
          <w:szCs w:val="16"/>
        </w:rPr>
        <w:t>. Sentencia de 15 de noviembre 2017. Serie C No. 342, párr. 20.</w:t>
      </w:r>
    </w:p>
  </w:footnote>
  <w:footnote w:id="3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inter alia, Caso</w:t>
      </w:r>
      <w:r w:rsidRPr="00EE6C61">
        <w:rPr>
          <w:rFonts w:ascii="Verdana" w:hAnsi="Verdana"/>
          <w:spacing w:val="-12"/>
          <w:sz w:val="16"/>
          <w:szCs w:val="16"/>
        </w:rPr>
        <w:t xml:space="preserve"> </w:t>
      </w:r>
      <w:r w:rsidRPr="00EE6C61">
        <w:rPr>
          <w:rFonts w:ascii="Verdana" w:hAnsi="Verdana"/>
          <w:i/>
          <w:spacing w:val="-12"/>
          <w:sz w:val="16"/>
          <w:szCs w:val="16"/>
        </w:rPr>
        <w:t>Vereda La Esperanza vs. Colombia, supra</w:t>
      </w:r>
      <w:r w:rsidRPr="00EE6C61">
        <w:rPr>
          <w:rFonts w:ascii="Verdana" w:hAnsi="Verdana"/>
          <w:spacing w:val="-12"/>
          <w:sz w:val="16"/>
          <w:szCs w:val="16"/>
        </w:rPr>
        <w:t>, párr</w:t>
      </w:r>
      <w:r>
        <w:rPr>
          <w:rFonts w:ascii="Verdana" w:hAnsi="Verdana"/>
          <w:spacing w:val="-12"/>
          <w:sz w:val="16"/>
          <w:szCs w:val="16"/>
        </w:rPr>
        <w:t>s</w:t>
      </w:r>
      <w:r w:rsidRPr="00EE6C61">
        <w:rPr>
          <w:rFonts w:ascii="Verdana" w:hAnsi="Verdana"/>
          <w:spacing w:val="-12"/>
          <w:sz w:val="16"/>
          <w:szCs w:val="16"/>
        </w:rPr>
        <w:t>. 52 a 54. El Grupo de Memoria Histórica de la Comisión Nacional de Reparación y Reconciliación (CNRR) constató que, en el Magdalena Medio, “[a] partir de 1982 el ejército acentuó y complementó tácticas contrainsurgentes que anteriormente habían sido empleadas de manera marginal, como los patrullajes conjuntos de unidades militares y paramilitares. La conformación de las escuelas de entrenamiento militar a civiles donde la capacitación estaba a cargo de oficiales y ex oficiales del ejército, fue un paso importante no sólo en la capacitación sino en la reproducción y naturalización de los grupos de autodefensa en el Magdalena Medio. [… Los] grupos de autodefensa en sus primeros años fueron la ‘vanguardia’ de las escuadras del ejército, con la misión de buscar contacto con la guerrilla y desarticular sus bases políticas y sociales”. Ver también “</w:t>
      </w:r>
      <w:r w:rsidRPr="00EE6C61">
        <w:rPr>
          <w:rFonts w:ascii="Verdana" w:eastAsia="Calibri" w:hAnsi="Verdana" w:cs="Calibri"/>
          <w:i/>
          <w:spacing w:val="-12"/>
          <w:sz w:val="16"/>
          <w:szCs w:val="16"/>
        </w:rPr>
        <w:t>La Rochela: memorias de un crimen contra la justicia”</w:t>
      </w:r>
      <w:r w:rsidRPr="00EE6C61">
        <w:rPr>
          <w:rFonts w:ascii="Verdana" w:eastAsia="Calibri" w:hAnsi="Verdana" w:cs="Calibri"/>
          <w:spacing w:val="-12"/>
          <w:sz w:val="16"/>
          <w:szCs w:val="16"/>
        </w:rPr>
        <w:t xml:space="preserve">, Ed. Aguilar, Altea, Taurus, Alfaguara S. A., Bogotá, 2010, Pág. 278. Disponible en: </w:t>
      </w:r>
      <w:hyperlink r:id="rId8" w:history="1">
        <w:r w:rsidRPr="00EE6C61">
          <w:rPr>
            <w:rStyle w:val="Hyperlink"/>
            <w:rFonts w:ascii="Verdana" w:eastAsia="Calibri" w:hAnsi="Verdana" w:cs="Calibri"/>
            <w:spacing w:val="-12"/>
            <w:sz w:val="16"/>
            <w:szCs w:val="16"/>
          </w:rPr>
          <w:t>http://www.centrodememoriahistorica.gov.co/descargas/informes2010/informe_la_rochela.pdf</w:t>
        </w:r>
      </w:hyperlink>
      <w:r>
        <w:rPr>
          <w:rFonts w:ascii="Verdana" w:eastAsia="Calibri" w:hAnsi="Verdana" w:cs="Calibri"/>
          <w:spacing w:val="-12"/>
          <w:sz w:val="16"/>
          <w:szCs w:val="16"/>
        </w:rPr>
        <w:t xml:space="preserve"> .</w:t>
      </w:r>
      <w:r w:rsidRPr="00EE6C61">
        <w:rPr>
          <w:rFonts w:ascii="Verdana" w:eastAsia="Calibri" w:hAnsi="Verdana" w:cs="Calibri"/>
          <w:spacing w:val="-12"/>
          <w:sz w:val="16"/>
          <w:szCs w:val="16"/>
        </w:rPr>
        <w:t xml:space="preserve"> </w:t>
      </w:r>
      <w:r w:rsidRPr="00EE6C61">
        <w:rPr>
          <w:rFonts w:ascii="Verdana" w:hAnsi="Verdana"/>
          <w:spacing w:val="-12"/>
          <w:sz w:val="16"/>
          <w:szCs w:val="16"/>
        </w:rPr>
        <w:t xml:space="preserve">El Departamento Administrativo de Seguridad (DAS) documentó que, en el Magdalena Medio, se puso en marcha, a partir de 1982, una “gran labor de desinfección del área contra las FARC” mediante la conformación de grupos paramilitares oficialmente organizados, entrenados y supervisados (Departamento Administrativo de Seguridad, Central de Inteligencia, circa 1990, “Creación de la autodefensa en el Magdalena Medio”, p. 5, citado por el perito Michael </w:t>
      </w:r>
      <w:r>
        <w:rPr>
          <w:rFonts w:ascii="Verdana" w:hAnsi="Verdana"/>
          <w:spacing w:val="-12"/>
          <w:sz w:val="16"/>
          <w:szCs w:val="16"/>
        </w:rPr>
        <w:t xml:space="preserve">Reed en su declaración escrita, </w:t>
      </w:r>
      <w:r w:rsidRPr="00EE6C61">
        <w:rPr>
          <w:rFonts w:ascii="Verdana" w:hAnsi="Verdana"/>
          <w:spacing w:val="-12"/>
          <w:sz w:val="16"/>
          <w:szCs w:val="16"/>
        </w:rPr>
        <w:t>exp. prueba folio. 6245)</w:t>
      </w:r>
      <w:r>
        <w:rPr>
          <w:rFonts w:ascii="Verdana" w:hAnsi="Verdana"/>
          <w:spacing w:val="-12"/>
          <w:sz w:val="16"/>
          <w:szCs w:val="16"/>
        </w:rPr>
        <w:t>.</w:t>
      </w:r>
    </w:p>
  </w:footnote>
  <w:footnote w:id="3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19 Comerciantes vs. Colombia, </w:t>
      </w:r>
      <w:r w:rsidRPr="00EE6C61">
        <w:rPr>
          <w:rFonts w:ascii="Verdana" w:hAnsi="Verdana"/>
          <w:spacing w:val="-12"/>
          <w:sz w:val="16"/>
          <w:szCs w:val="16"/>
        </w:rPr>
        <w:t xml:space="preserve">párrs. 84.a) a 84.h), y </w:t>
      </w:r>
      <w:r w:rsidRPr="00EE6C61">
        <w:rPr>
          <w:rFonts w:ascii="Verdana" w:hAnsi="Verdana"/>
          <w:i/>
          <w:spacing w:val="-12"/>
          <w:sz w:val="16"/>
          <w:szCs w:val="16"/>
        </w:rPr>
        <w:t xml:space="preserve"> Caso de la Masacre de Mapiripán vs. Colombia, </w:t>
      </w:r>
      <w:r w:rsidRPr="00EE6C61">
        <w:rPr>
          <w:rFonts w:ascii="Verdana" w:hAnsi="Verdana"/>
          <w:spacing w:val="-12"/>
          <w:sz w:val="16"/>
          <w:szCs w:val="16"/>
        </w:rPr>
        <w:t xml:space="preserve">párrs. 96.2 a 96.3.  </w:t>
      </w:r>
    </w:p>
  </w:footnote>
  <w:footnote w:id="4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Estado manifestó que ese grupo ACMM, conocido en sus inicios como “Los Escopeteros”, fue fundado y liderado por Ramón María Isaza Arango, alias “el viejo”, “Moncho” o “el patrón”. Manifestó, con base en un documento de la Fiscalía General de la Nación, que mientras ello sucedía en Antioquia, en el municipio de Puerto Boyacá se gestaba un proceso de organización y arme de la población civil para enfrentar el asedio a campesinos, ganaderos y agricultores de la región generado por varios Frentes de las FARC. Así, con el fin de procurar armas para la población civil se decidió la creación y funcionamiento de la Asociación de Campesinos y Ganaderos del Magdalena Medio (“ACDEGAM”), que se constituiría en fachada para el tránsito de dineros, logística, pago de sueldos, armas y municiones de las nacientes Autodefensas Campesinas de Puerto Boyacá, razón por la cual para el año 1984 Ramón Isaza, por razones de orden económico y logístico, admitió fusionar su grupo “Los Escopeteros” con las nacientes Autodefensas Campesinas de Puerto Boyacá (ACPB), y ambas se valieron de la ya existente “ACDEGAM”</w:t>
      </w:r>
      <w:r>
        <w:rPr>
          <w:rFonts w:ascii="Verdana" w:hAnsi="Verdana"/>
          <w:spacing w:val="-12"/>
          <w:sz w:val="16"/>
          <w:szCs w:val="16"/>
        </w:rPr>
        <w:t>. El grupo unificado extendió su accionar por todo el Magdalena Medio. Además, señaló que existe evidencia según la cual las ACPB nacieron también como un grupo de escopeteros, lo que hace creer que crecieron con mayor rapidez en hombres, armas y logística, apoyados en una secundaria fuente de financiación proveniente del narcotráfico, permitiendo liderar y organizar diversos grupos con ideales antisubversivos conocidos indistintamente para inicio de los ochenta como “Masetos” y “Escopeteros”, desbordando el territorio primigenio y extendiendo a nivel nacional el fenómeno paramilitar y la injerencia de la agrupación armada ilegal. (</w:t>
      </w:r>
      <w:r w:rsidRPr="00075BBA">
        <w:rPr>
          <w:rFonts w:ascii="Verdana" w:hAnsi="Verdana"/>
          <w:i/>
          <w:spacing w:val="-12"/>
          <w:sz w:val="16"/>
          <w:szCs w:val="16"/>
        </w:rPr>
        <w:t>Cfr</w:t>
      </w:r>
      <w:r>
        <w:rPr>
          <w:rFonts w:ascii="Verdana" w:hAnsi="Verdana"/>
          <w:spacing w:val="-12"/>
          <w:sz w:val="16"/>
          <w:szCs w:val="16"/>
        </w:rPr>
        <w:t>. Escrito de contestación del Estado, págs. 48 a 54, exp. fondo ff. 307 a 313)</w:t>
      </w:r>
      <w:r w:rsidRPr="00EE6C61">
        <w:rPr>
          <w:rFonts w:ascii="Verdana" w:hAnsi="Verdana"/>
          <w:spacing w:val="-12"/>
          <w:sz w:val="16"/>
          <w:szCs w:val="16"/>
        </w:rPr>
        <w:t>. En efecto, esta Corte fue informada en otro caso que en 1984 se conformó en el Municipio de Puerto Boyacá un “grupo de autodefensa” denominado Asociación de Campesinos y Ganaderos del Magdalena Medio (ACDEGAM), el cual en sus inicios tenía fines sociales y de defensa contra posibl</w:t>
      </w:r>
      <w:r>
        <w:rPr>
          <w:rFonts w:ascii="Verdana" w:hAnsi="Verdana"/>
          <w:spacing w:val="-12"/>
          <w:sz w:val="16"/>
          <w:szCs w:val="16"/>
        </w:rPr>
        <w:t>es agresiones de la guerrilla y, c</w:t>
      </w:r>
      <w:r w:rsidRPr="00EE6C61">
        <w:rPr>
          <w:rFonts w:ascii="Verdana" w:hAnsi="Verdana"/>
          <w:spacing w:val="-12"/>
          <w:sz w:val="16"/>
          <w:szCs w:val="16"/>
        </w:rPr>
        <w:t>on el tiempo</w:t>
      </w:r>
      <w:r>
        <w:rPr>
          <w:rFonts w:ascii="Verdana" w:hAnsi="Verdana"/>
          <w:spacing w:val="-12"/>
          <w:sz w:val="16"/>
          <w:szCs w:val="16"/>
        </w:rPr>
        <w:t>,</w:t>
      </w:r>
      <w:r w:rsidRPr="00EE6C61">
        <w:rPr>
          <w:rFonts w:ascii="Verdana" w:hAnsi="Verdana"/>
          <w:spacing w:val="-12"/>
          <w:sz w:val="16"/>
          <w:szCs w:val="16"/>
        </w:rPr>
        <w:t xml:space="preserve"> esta agrupación derivó en un grupo “paramilitar” o delincuencial, que no solo pretendía defenderse de la guerrilla sino también atacarla y erradicarla.  Este grupo tenía gran control en los Municipios de Puerto Boyacá, Puerto Berrío y Cimitarra y se encontraba comandado por Gonzalo Pérez y sus hijos Henry y Marcelo Pérez.  En la época en que ocurrieron los hechos de este caso</w:t>
      </w:r>
      <w:r>
        <w:rPr>
          <w:rFonts w:ascii="Verdana" w:hAnsi="Verdana"/>
          <w:spacing w:val="-12"/>
          <w:sz w:val="16"/>
          <w:szCs w:val="16"/>
        </w:rPr>
        <w:t>,</w:t>
      </w:r>
      <w:r w:rsidRPr="00EE6C61">
        <w:rPr>
          <w:rFonts w:ascii="Verdana" w:hAnsi="Verdana"/>
          <w:spacing w:val="-12"/>
          <w:sz w:val="16"/>
          <w:szCs w:val="16"/>
        </w:rPr>
        <w:t xml:space="preserve"> el Magdalena Medio era una región en la cual había una intensa actividad de lucha del Ejército y las “autodefensas” contra los guerrilleros, en la cual los altos mandos militares de la zona no sólo apoyaron al referido “grupo de autodefensa” para que se defendiera de la guerrilla, sino que además lo apoyaron para que adoptara una actitud ofensiva. </w:t>
      </w:r>
      <w:r w:rsidRPr="00EE6C61">
        <w:rPr>
          <w:rFonts w:ascii="Verdana" w:hAnsi="Verdana"/>
          <w:i/>
          <w:spacing w:val="-12"/>
          <w:sz w:val="16"/>
          <w:szCs w:val="16"/>
        </w:rPr>
        <w:t xml:space="preserve">Cfr. Caso 19 Comerciantes vs. Colombia, </w:t>
      </w:r>
      <w:r w:rsidRPr="00EE6C61">
        <w:rPr>
          <w:rFonts w:ascii="Verdana" w:hAnsi="Verdana"/>
          <w:spacing w:val="-12"/>
          <w:sz w:val="16"/>
          <w:szCs w:val="16"/>
        </w:rPr>
        <w:t>párr. 84.d). Así, esta primera etapa del período del paramilitarismo surgió de un contexto que se caracterizó por: (i) la precariedad del Estado en el territorio, (ii) el avance logrado por las FARC en el Magdalena Medio, (iii) la habilitación de grupos de autodefensas a nivel nacional y su promoción por parte del Ejército, (iv) la organización de los ganaderos a través de “ACDEGAM”, y (vi) la conformación de una dirección política, todo ello en un marco en el cual cohabitaron circunstancias contextuales tales como la existencia de demandas territoriales por provisión privada de seguridad</w:t>
      </w:r>
      <w:r>
        <w:rPr>
          <w:rFonts w:ascii="Verdana" w:hAnsi="Verdana"/>
          <w:spacing w:val="-12"/>
          <w:sz w:val="16"/>
          <w:szCs w:val="16"/>
        </w:rPr>
        <w:t xml:space="preserve"> (</w:t>
      </w:r>
      <w:r w:rsidRPr="00EE6C61">
        <w:rPr>
          <w:rFonts w:ascii="Verdana" w:hAnsi="Verdana"/>
          <w:i/>
          <w:spacing w:val="-12"/>
          <w:sz w:val="16"/>
          <w:szCs w:val="16"/>
        </w:rPr>
        <w:t>Cfr. Caso</w:t>
      </w:r>
      <w:r w:rsidRPr="00EE6C61">
        <w:rPr>
          <w:rFonts w:ascii="Verdana" w:hAnsi="Verdana"/>
          <w:spacing w:val="-12"/>
          <w:sz w:val="16"/>
          <w:szCs w:val="16"/>
        </w:rPr>
        <w:t xml:space="preserve"> </w:t>
      </w:r>
      <w:r w:rsidRPr="00EE6C61">
        <w:rPr>
          <w:rFonts w:ascii="Verdana" w:hAnsi="Verdana"/>
          <w:i/>
          <w:spacing w:val="-12"/>
          <w:sz w:val="16"/>
          <w:szCs w:val="16"/>
        </w:rPr>
        <w:t xml:space="preserve">Vereda La Esperanza vs. Colombia, </w:t>
      </w:r>
      <w:r w:rsidRPr="00EE6C61">
        <w:rPr>
          <w:rFonts w:ascii="Verdana" w:hAnsi="Verdana"/>
          <w:spacing w:val="-12"/>
          <w:sz w:val="16"/>
          <w:szCs w:val="16"/>
        </w:rPr>
        <w:t>párr. 54</w:t>
      </w:r>
      <w:r>
        <w:rPr>
          <w:rFonts w:ascii="Verdana" w:hAnsi="Verdana"/>
          <w:spacing w:val="-12"/>
          <w:sz w:val="16"/>
          <w:szCs w:val="16"/>
        </w:rPr>
        <w:t>)</w:t>
      </w:r>
      <w:r w:rsidRPr="00EE6C61">
        <w:rPr>
          <w:rFonts w:ascii="Verdana" w:hAnsi="Verdana"/>
          <w:spacing w:val="-12"/>
          <w:sz w:val="16"/>
          <w:szCs w:val="16"/>
        </w:rPr>
        <w:t>.</w:t>
      </w:r>
    </w:p>
  </w:footnote>
  <w:footnote w:id="4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w:t>
      </w:r>
      <w:r w:rsidRPr="00EE6C61">
        <w:rPr>
          <w:rFonts w:ascii="Verdana" w:hAnsi="Verdana"/>
          <w:spacing w:val="-12"/>
          <w:sz w:val="16"/>
          <w:szCs w:val="16"/>
        </w:rPr>
        <w:t xml:space="preserve"> </w:t>
      </w:r>
      <w:r w:rsidRPr="00EE6C61">
        <w:rPr>
          <w:rFonts w:ascii="Verdana" w:hAnsi="Verdana"/>
          <w:i/>
          <w:spacing w:val="-12"/>
          <w:sz w:val="16"/>
          <w:szCs w:val="16"/>
        </w:rPr>
        <w:t>Vereda La Esperanza vs. Colombia, supra</w:t>
      </w:r>
      <w:r w:rsidRPr="00EE6C61">
        <w:rPr>
          <w:rFonts w:ascii="Verdana" w:hAnsi="Verdana"/>
          <w:spacing w:val="-12"/>
          <w:sz w:val="16"/>
          <w:szCs w:val="16"/>
        </w:rPr>
        <w:t xml:space="preserve">, párrs. 55y 56. </w:t>
      </w:r>
      <w:r>
        <w:rPr>
          <w:rFonts w:ascii="Verdana" w:hAnsi="Verdana"/>
          <w:spacing w:val="-12"/>
          <w:sz w:val="16"/>
          <w:szCs w:val="16"/>
        </w:rPr>
        <w:t>Ver también la d</w:t>
      </w:r>
      <w:r w:rsidRPr="00EE6C61">
        <w:rPr>
          <w:rFonts w:ascii="Verdana" w:hAnsi="Verdana"/>
          <w:spacing w:val="-12"/>
          <w:sz w:val="16"/>
          <w:szCs w:val="16"/>
        </w:rPr>
        <w:t xml:space="preserve">eclaración escrita del perito </w:t>
      </w:r>
      <w:r>
        <w:rPr>
          <w:rFonts w:ascii="Verdana" w:hAnsi="Verdana"/>
          <w:spacing w:val="-12"/>
          <w:sz w:val="16"/>
          <w:szCs w:val="16"/>
        </w:rPr>
        <w:t>Carlos Medina Gallego</w:t>
      </w:r>
      <w:r w:rsidRPr="00EE6C61">
        <w:rPr>
          <w:rFonts w:ascii="Verdana" w:hAnsi="Verdana"/>
          <w:spacing w:val="-12"/>
          <w:sz w:val="16"/>
          <w:szCs w:val="16"/>
        </w:rPr>
        <w:t xml:space="preserve"> (exp. prueba ff.</w:t>
      </w:r>
      <w:r>
        <w:rPr>
          <w:rFonts w:ascii="Verdana" w:hAnsi="Verdana"/>
          <w:spacing w:val="-12"/>
          <w:sz w:val="16"/>
          <w:szCs w:val="16"/>
        </w:rPr>
        <w:t xml:space="preserve"> 7000-7010).</w:t>
      </w:r>
    </w:p>
  </w:footnote>
  <w:footnote w:id="42">
    <w:p w:rsidR="00996758" w:rsidRPr="00EE6C61" w:rsidRDefault="00996758" w:rsidP="00103EC8">
      <w:pPr>
        <w:pStyle w:val="2Footnotes"/>
        <w:rPr>
          <w:szCs w:val="16"/>
          <w:lang w:val="es-CR"/>
        </w:rPr>
      </w:pPr>
      <w:r w:rsidRPr="00EE6C61">
        <w:rPr>
          <w:rStyle w:val="FootnoteReference"/>
          <w:szCs w:val="16"/>
          <w:lang w:val="es-CR"/>
        </w:rPr>
        <w:footnoteRef/>
      </w:r>
      <w:r w:rsidRPr="00EE6C61">
        <w:rPr>
          <w:szCs w:val="16"/>
          <w:lang w:val="es-CR"/>
        </w:rPr>
        <w:t xml:space="preserve"> </w:t>
      </w:r>
      <w:r w:rsidRPr="00EE6C61">
        <w:rPr>
          <w:spacing w:val="-12"/>
          <w:szCs w:val="16"/>
          <w:lang w:val="es-CR"/>
        </w:rPr>
        <w:tab/>
        <w:t xml:space="preserve">Ver en este sentido la documentación y citación de información y de su propia jurisprudencia, realizada por este Tribunal en el </w:t>
      </w:r>
      <w:r w:rsidRPr="00EE6C61">
        <w:rPr>
          <w:i/>
          <w:spacing w:val="-12"/>
          <w:szCs w:val="16"/>
          <w:lang w:val="es-CR"/>
        </w:rPr>
        <w:t>caso</w:t>
      </w:r>
      <w:r w:rsidRPr="00EE6C61">
        <w:rPr>
          <w:szCs w:val="16"/>
          <w:lang w:val="es-CR"/>
        </w:rPr>
        <w:t xml:space="preserve"> </w:t>
      </w:r>
      <w:r w:rsidRPr="00EE6C61">
        <w:rPr>
          <w:i/>
          <w:spacing w:val="-12"/>
          <w:szCs w:val="16"/>
          <w:lang w:val="es-CR"/>
        </w:rPr>
        <w:t>Vereda La Esperanza vs. Colombia, supra</w:t>
      </w:r>
      <w:r w:rsidRPr="00EE6C61">
        <w:rPr>
          <w:spacing w:val="-12"/>
          <w:szCs w:val="16"/>
          <w:lang w:val="es-CR"/>
        </w:rPr>
        <w:t>, párr. 68 a 70.</w:t>
      </w:r>
    </w:p>
  </w:footnote>
  <w:footnote w:id="4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Así, por ejemplo, en un discurso pronunciado en abril de 1986 el Comandante de la V Brigada del Ejército Nacional, con jurisdicción en el Magdalena Medio, Brigadier General Daniel García Echeverry hacía un “fervoroso llamado a los sentimientos nacionalistas de los colombianos para pasar de la inacción a la legítima defensa, a la acción ofensiva para hacer frente a la actividad terrorista” (</w:t>
      </w:r>
      <w:r w:rsidRPr="00EE6C61">
        <w:rPr>
          <w:rFonts w:ascii="Verdana" w:hAnsi="Verdana"/>
          <w:i/>
          <w:spacing w:val="-12"/>
          <w:sz w:val="16"/>
          <w:szCs w:val="16"/>
        </w:rPr>
        <w:t>Cfr.</w:t>
      </w:r>
      <w:r w:rsidRPr="00EE6C61">
        <w:rPr>
          <w:rFonts w:ascii="Verdana" w:hAnsi="Verdana"/>
          <w:spacing w:val="-12"/>
          <w:sz w:val="16"/>
          <w:szCs w:val="16"/>
        </w:rPr>
        <w:t xml:space="preserve"> </w:t>
      </w:r>
      <w:hyperlink r:id="rId9" w:history="1">
        <w:r w:rsidRPr="00EE6C61">
          <w:rPr>
            <w:rStyle w:val="Hyperlink"/>
            <w:rFonts w:ascii="Verdana" w:hAnsi="Verdana"/>
            <w:spacing w:val="-12"/>
            <w:sz w:val="16"/>
            <w:szCs w:val="16"/>
          </w:rPr>
          <w:t>https://www.semana.com/nacion/articulo/con-sus-propias-manos/7681-3</w:t>
        </w:r>
      </w:hyperlink>
      <w:r w:rsidRPr="00EE6C61">
        <w:rPr>
          <w:rFonts w:ascii="Verdana" w:hAnsi="Verdana"/>
          <w:spacing w:val="-12"/>
          <w:sz w:val="16"/>
          <w:szCs w:val="16"/>
        </w:rPr>
        <w:t xml:space="preserve"> ) En 1987, en un debate sobre los grupos paramilitares en la Cámara de Representantes, el Ministro de Defensa (1986-1988), General Rafael Samudio Molina, afirmó que “el derecho de autodefensa es un principio natural. Cada cual puede apelar al legítimo derecho de defensa y, si las comunidades se organizan, hay que mirarlo desde el punto de vista que lo hacen para proteger sus bienes y sus vidas” (</w:t>
      </w:r>
      <w:r w:rsidRPr="00EE6C61">
        <w:rPr>
          <w:rFonts w:ascii="Verdana" w:hAnsi="Verdana"/>
          <w:i/>
          <w:spacing w:val="-12"/>
          <w:sz w:val="16"/>
          <w:szCs w:val="16"/>
        </w:rPr>
        <w:t>Cfr</w:t>
      </w:r>
      <w:r w:rsidRPr="00EE6C61">
        <w:rPr>
          <w:rFonts w:ascii="Verdana" w:hAnsi="Verdana"/>
          <w:spacing w:val="-12"/>
          <w:sz w:val="16"/>
          <w:szCs w:val="16"/>
        </w:rPr>
        <w:t>. Diario El Mundo, Medellín, edición de 25 de julio de 1987, pág</w:t>
      </w:r>
      <w:r>
        <w:rPr>
          <w:rFonts w:ascii="Verdana" w:hAnsi="Verdana"/>
          <w:spacing w:val="-12"/>
          <w:sz w:val="16"/>
          <w:szCs w:val="16"/>
        </w:rPr>
        <w:t>.</w:t>
      </w:r>
      <w:r w:rsidRPr="00EE6C61">
        <w:rPr>
          <w:rFonts w:ascii="Verdana" w:hAnsi="Verdana"/>
          <w:spacing w:val="-12"/>
          <w:sz w:val="16"/>
          <w:szCs w:val="16"/>
        </w:rPr>
        <w:t xml:space="preserve"> 8, exp. prueba, folio 4962).</w:t>
      </w:r>
      <w:r>
        <w:rPr>
          <w:rFonts w:ascii="Verdana" w:hAnsi="Verdana"/>
          <w:spacing w:val="-12"/>
          <w:sz w:val="16"/>
          <w:szCs w:val="16"/>
        </w:rPr>
        <w:t xml:space="preserve"> Ver también la d</w:t>
      </w:r>
      <w:r w:rsidRPr="00EE6C61">
        <w:rPr>
          <w:rFonts w:ascii="Verdana" w:hAnsi="Verdana"/>
          <w:spacing w:val="-12"/>
          <w:sz w:val="16"/>
          <w:szCs w:val="16"/>
        </w:rPr>
        <w:t xml:space="preserve">eclaración escrita del perito </w:t>
      </w:r>
      <w:r>
        <w:rPr>
          <w:rFonts w:ascii="Verdana" w:hAnsi="Verdana"/>
          <w:spacing w:val="-12"/>
          <w:sz w:val="16"/>
          <w:szCs w:val="16"/>
        </w:rPr>
        <w:t>Carlos Medina Gallego</w:t>
      </w:r>
      <w:r w:rsidRPr="00EE6C61">
        <w:rPr>
          <w:rFonts w:ascii="Verdana" w:hAnsi="Verdana"/>
          <w:spacing w:val="-12"/>
          <w:sz w:val="16"/>
          <w:szCs w:val="16"/>
        </w:rPr>
        <w:t xml:space="preserve"> (exp. prueba ff.</w:t>
      </w:r>
      <w:r>
        <w:rPr>
          <w:rFonts w:ascii="Verdana" w:hAnsi="Verdana"/>
          <w:spacing w:val="-12"/>
          <w:sz w:val="16"/>
          <w:szCs w:val="16"/>
        </w:rPr>
        <w:t xml:space="preserve"> 7000-7010).</w:t>
      </w:r>
    </w:p>
  </w:footnote>
  <w:footnote w:id="44">
    <w:p w:rsidR="00996758" w:rsidRPr="00EE6C61" w:rsidRDefault="00996758" w:rsidP="00103EC8">
      <w:pPr>
        <w:autoSpaceDE w:val="0"/>
        <w:autoSpaceDN w:val="0"/>
        <w:adjustRightInd w:val="0"/>
        <w:spacing w:before="120" w:after="120" w:line="240" w:lineRule="auto"/>
        <w:jc w:val="both"/>
        <w:rPr>
          <w:rFonts w:ascii="Verdana" w:hAnsi="Verdana"/>
          <w:spacing w:val="-12"/>
          <w:sz w:val="16"/>
          <w:szCs w:val="16"/>
          <w:highlight w:val="yellow"/>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8023A5">
        <w:rPr>
          <w:rFonts w:ascii="Verdana" w:hAnsi="Verdana"/>
          <w:spacing w:val="-12"/>
          <w:sz w:val="16"/>
          <w:szCs w:val="16"/>
        </w:rPr>
        <w:t xml:space="preserve">En el referido documento del Departamento Administrativo de Seguridad (DAS), se relatan los vínculos entre la organización paramilitar de Puerto Boyacá y el Batallón “Bárbula”; operaciones y patrullajes conjuntos entre paramilitares y militares; las actividades de “limpieza” de la región del Magdalena Medio contra todos los individuos considerados “colaboradores de las FARC”; la forma en que el grupo paramilitar de Puerto Boyacá empezó a articular sus actividades con otras “autodefensas" de otras regiones de Colombia y estableció alianzas con narcotraficantes, como Gonzalo Rodríguez Gacha y Víctor Carranza, con la ayuda de miembros de inteligencia militar. Cfr. Documento del Departamento Administrativo de Seguridad, sin título ni fecha, elaborado con base en las declaraciones de Diego Viáfara Salinas ante funcionarios del DAS el 10 de mayo de 1988. Diego Viáfara Salinas rindió testimonio ante la Procuraduría el 22 de febrero de 1989 confirmando lo expuesto en el Documento del DAS. El testimonio de Viáfara Salinas fue reproducido en “Testimonio sobre Narcotráfico y justicia privada”, en Anales del Congreso, Año XXXII, No. 89, Bogotá 2 de septiembre de 1989. (exp. prueba, </w:t>
      </w:r>
      <w:r>
        <w:rPr>
          <w:rFonts w:ascii="Verdana" w:hAnsi="Verdana"/>
          <w:spacing w:val="-12"/>
          <w:sz w:val="16"/>
          <w:szCs w:val="16"/>
        </w:rPr>
        <w:t>ff</w:t>
      </w:r>
      <w:r w:rsidRPr="008023A5">
        <w:rPr>
          <w:rFonts w:ascii="Verdana" w:hAnsi="Verdana"/>
          <w:spacing w:val="-12"/>
          <w:sz w:val="16"/>
          <w:szCs w:val="16"/>
        </w:rPr>
        <w:t xml:space="preserve">. 1470 a 1548). Igualmente citado en el </w:t>
      </w:r>
      <w:r w:rsidRPr="008023A5">
        <w:rPr>
          <w:rFonts w:ascii="Verdana" w:hAnsi="Verdana"/>
          <w:i/>
          <w:spacing w:val="-12"/>
          <w:sz w:val="16"/>
          <w:szCs w:val="16"/>
        </w:rPr>
        <w:t>caso 19 Comerciantes Vs. Colombia</w:t>
      </w:r>
      <w:r w:rsidRPr="008023A5">
        <w:rPr>
          <w:rFonts w:ascii="Verdana" w:hAnsi="Verdana"/>
          <w:spacing w:val="-12"/>
          <w:sz w:val="16"/>
          <w:szCs w:val="16"/>
        </w:rPr>
        <w:t>, párr. 84.d.</w:t>
      </w:r>
    </w:p>
  </w:footnote>
  <w:footnote w:id="4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de la Masacre de Pueblo Bello Vs. Colombia. </w:t>
      </w:r>
      <w:r w:rsidRPr="00EE6C61">
        <w:rPr>
          <w:rFonts w:ascii="Verdana" w:hAnsi="Verdana"/>
          <w:spacing w:val="-12"/>
          <w:sz w:val="16"/>
          <w:szCs w:val="16"/>
        </w:rPr>
        <w:t>Sentencia de 31 de enero de 2006. Serie C No. 140</w:t>
      </w:r>
      <w:r w:rsidRPr="00EE6C61">
        <w:rPr>
          <w:rFonts w:ascii="Verdana" w:hAnsi="Verdana"/>
          <w:i/>
          <w:spacing w:val="-12"/>
          <w:sz w:val="16"/>
          <w:szCs w:val="16"/>
        </w:rPr>
        <w:t xml:space="preserve">, </w:t>
      </w:r>
      <w:r w:rsidRPr="00EE6C61">
        <w:rPr>
          <w:rFonts w:ascii="Verdana" w:hAnsi="Verdana"/>
          <w:spacing w:val="-12"/>
          <w:sz w:val="16"/>
          <w:szCs w:val="16"/>
        </w:rPr>
        <w:t>párr. 126.</w:t>
      </w:r>
    </w:p>
  </w:footnote>
  <w:footnote w:id="4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Así, en abril de 1989 se emitió el Decreto 0815, mediante el cual se suspendió la vigencia del parágrafo 3 del artículo 33 del Decreto legislativo 3398 de 1965, el cual facultaba al Ministerio de Defensa Nacional para autorizar a los particulares el porte de armas de uso privativo de las Fuerzas Armadas.  Cabe destacar que en la parte considerativa de dicho decreto se indicó que “la interpretación de[l Decreto legislativo 3398 de 1965, adoptado como legislación permanente por la Ley 48 de 1968,] por algunos sectores de la opinión pública ha causado confusión sobre su alcance y finalidades en el sentido de que se puedan llegar a tomar como una autorización legal para organizar grupos civiles armados que resultan actuando al margen de la Constitución y las leyes”.  Mediante sentencia de 25 de mayo de 1989, la Corte Suprema de Justicia declaró “inexequible” el referido parágrafo 3 del artículo 33 del Decreto 3398. El 8 de junio de 1989 el Estado emitió el Decreto 1194 “para sancionar nuevas modalidades delictivas, por requerirlo el restablecimiento del orden público”. En la parte considerativa de esta norma se expuso que “los acontecimientos que vienen ocurriendo en el país, han demostrado que existe una nueva modalidad delictiva consistente en la comisión de actos atroces por parte de grupos armados, mal llamados “paramilitares”, constituidos en escuadrones de la muerte, bandas de sicarios, grupos de autodefensa o de justicia privada, cuya existencia y acción afectan gravemente la estabilidad social del país, las cuales deben reprimirse para lograr el restablecimiento del orden y la paz públicos”. En este decreto se tipificó la promoción, financiación, organización, dirección, fomento y ejecución de actos “tendientes a obtener la formación o ingreso de personas a grupos armados de los denominados comúnmente escuadrones de la muerte, bandas de sicarios o de justicia privada, equivocadamente denominados paramilitares”. También se tipificó la vinculación y pertenencia a dichos grupos, así como el instruir, entrenar o equipar “a personas en tácticas, técnicas o procedimientos militares para el desarrollo de las actividades delictivas” de los referidos grupos armados.  Además, se estipuló como agravante de las anteriores conductas, el hecho de que fueran “cometidas por miembros activos o retirados de las Fuerzas Militares o de Policía Nacional o de organismos de seguridad del Estado”, de lo cual se deduce que esta agravante tuvo una importante motivación, cual fue que efectivamente miembros de la Fuerza Pública tenían vinculación con tales grupos delincuenciales. Desde entonces han sido adoptadas una serie de normas más al respecto. </w:t>
      </w:r>
      <w:r w:rsidRPr="00EE6C61">
        <w:rPr>
          <w:rFonts w:ascii="Verdana" w:hAnsi="Verdana"/>
          <w:i/>
          <w:spacing w:val="-12"/>
          <w:sz w:val="16"/>
          <w:szCs w:val="16"/>
        </w:rPr>
        <w:t xml:space="preserve">Cfr. Caso 19 Comerciantes Vs. Colombia, </w:t>
      </w:r>
      <w:r w:rsidRPr="00EE6C61">
        <w:rPr>
          <w:rFonts w:ascii="Verdana" w:hAnsi="Verdana"/>
          <w:spacing w:val="-12"/>
          <w:sz w:val="16"/>
          <w:szCs w:val="16"/>
        </w:rPr>
        <w:t xml:space="preserve">párrs. 84.a) a 84.g). </w:t>
      </w:r>
      <w:r w:rsidRPr="00EE6C61">
        <w:rPr>
          <w:rFonts w:ascii="Verdana" w:hAnsi="Verdana"/>
          <w:i/>
          <w:spacing w:val="-12"/>
          <w:sz w:val="16"/>
          <w:szCs w:val="16"/>
        </w:rPr>
        <w:t xml:space="preserve"> </w:t>
      </w:r>
    </w:p>
  </w:footnote>
  <w:footnote w:id="4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Sitio web de la Alcaldía de Puerto Nare, Reseña histórica. Disponible en: </w:t>
      </w:r>
      <w:hyperlink r:id="rId10" w:history="1">
        <w:r w:rsidRPr="00EE6C61">
          <w:rPr>
            <w:rStyle w:val="Hyperlink"/>
            <w:rFonts w:ascii="Verdana" w:hAnsi="Verdana"/>
            <w:spacing w:val="-12"/>
            <w:sz w:val="16"/>
            <w:szCs w:val="16"/>
          </w:rPr>
          <w:t>http://www.puertonare-antioquia.gov.co/informacion_general.shtml</w:t>
        </w:r>
      </w:hyperlink>
      <w:r>
        <w:rPr>
          <w:rFonts w:ascii="Verdana" w:hAnsi="Verdana"/>
          <w:spacing w:val="-12"/>
          <w:sz w:val="16"/>
          <w:szCs w:val="16"/>
        </w:rPr>
        <w:t xml:space="preserve"> ; H</w:t>
      </w:r>
      <w:r w:rsidRPr="00EE6C61">
        <w:rPr>
          <w:rFonts w:ascii="Verdana" w:hAnsi="Verdana"/>
          <w:spacing w:val="-12"/>
          <w:sz w:val="16"/>
          <w:szCs w:val="16"/>
        </w:rPr>
        <w:t>uellas y Rostros de la Desaparición Forzada (1970-2010)</w:t>
      </w:r>
      <w:r w:rsidRPr="00EE6C61">
        <w:rPr>
          <w:rFonts w:ascii="Verdana" w:hAnsi="Verdana"/>
          <w:i/>
          <w:spacing w:val="-12"/>
          <w:sz w:val="16"/>
          <w:szCs w:val="16"/>
        </w:rPr>
        <w:t xml:space="preserve"> </w:t>
      </w:r>
      <w:r>
        <w:rPr>
          <w:rFonts w:ascii="Verdana" w:hAnsi="Verdana"/>
          <w:spacing w:val="-12"/>
          <w:sz w:val="16"/>
          <w:szCs w:val="16"/>
        </w:rPr>
        <w:t>(exp. prueba ff. 5553 a 5600). Según señalaron los representantes, h</w:t>
      </w:r>
      <w:r w:rsidRPr="00EE6C61">
        <w:rPr>
          <w:rFonts w:ascii="Verdana" w:hAnsi="Verdana"/>
          <w:spacing w:val="-12"/>
          <w:sz w:val="16"/>
          <w:szCs w:val="16"/>
        </w:rPr>
        <w:t>oy día la razón social de dichas empresas es “Cementos Argos” y “Caldesa S.A.” respectivamente</w:t>
      </w:r>
    </w:p>
  </w:footnote>
  <w:footnote w:id="48">
    <w:p w:rsidR="00996758" w:rsidRPr="00EE6C61" w:rsidRDefault="00996758" w:rsidP="00103EC8">
      <w:pPr>
        <w:pStyle w:val="FootnoteText"/>
        <w:spacing w:before="120" w:after="120"/>
        <w:jc w:val="both"/>
        <w:rPr>
          <w:rFonts w:ascii="Verdana" w:eastAsia="Calibri" w:hAnsi="Verdana" w:cs="Calibri"/>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Huellas y Rostros de la D</w:t>
      </w:r>
      <w:r>
        <w:rPr>
          <w:rFonts w:ascii="Verdana" w:hAnsi="Verdana"/>
          <w:spacing w:val="-12"/>
          <w:sz w:val="16"/>
          <w:szCs w:val="16"/>
        </w:rPr>
        <w:t>esaparición Forzada (1970-2010)</w:t>
      </w:r>
      <w:r w:rsidRPr="00EE6C61">
        <w:rPr>
          <w:rFonts w:ascii="Verdana" w:hAnsi="Verdana"/>
          <w:i/>
          <w:spacing w:val="-12"/>
          <w:sz w:val="16"/>
          <w:szCs w:val="16"/>
        </w:rPr>
        <w:t xml:space="preserve"> </w:t>
      </w:r>
      <w:r>
        <w:rPr>
          <w:rFonts w:ascii="Verdana" w:hAnsi="Verdana"/>
          <w:spacing w:val="-12"/>
          <w:sz w:val="16"/>
          <w:szCs w:val="16"/>
        </w:rPr>
        <w:t xml:space="preserve">(exp. prueba, folio 5566); </w:t>
      </w:r>
      <w:r w:rsidRPr="00EE6C61">
        <w:rPr>
          <w:rFonts w:ascii="Verdana" w:hAnsi="Verdana"/>
          <w:spacing w:val="-12"/>
          <w:sz w:val="16"/>
          <w:szCs w:val="16"/>
        </w:rPr>
        <w:t>y “Liderazgos sindicales exterminados: una historia de resistencia frente a las lógicas del terror contra SUTIMAC Puerto Nare”. En: “NOS HACEN FALTA Memoria histórica de la violencia antisindical en Antioquia, Atlántico y Santander (1975-20</w:t>
      </w:r>
      <w:r>
        <w:rPr>
          <w:rFonts w:ascii="Verdana" w:hAnsi="Verdana"/>
          <w:spacing w:val="-12"/>
          <w:sz w:val="16"/>
          <w:szCs w:val="16"/>
        </w:rPr>
        <w:t>12)”. Escuela Nacional Sindical.</w:t>
      </w:r>
      <w:r w:rsidRPr="00EE6C61">
        <w:rPr>
          <w:rFonts w:ascii="Verdana" w:hAnsi="Verdana"/>
          <w:spacing w:val="-12"/>
          <w:sz w:val="16"/>
          <w:szCs w:val="16"/>
        </w:rPr>
        <w:t xml:space="preserve"> Primera Edición. Medellín: 2015 (exp. prueba </w:t>
      </w:r>
      <w:r>
        <w:rPr>
          <w:rFonts w:ascii="Verdana" w:hAnsi="Verdana"/>
          <w:spacing w:val="-12"/>
          <w:sz w:val="16"/>
          <w:szCs w:val="16"/>
        </w:rPr>
        <w:t>f.</w:t>
      </w:r>
      <w:r w:rsidRPr="00EE6C61">
        <w:rPr>
          <w:rFonts w:ascii="Verdana" w:hAnsi="Verdana"/>
          <w:spacing w:val="-12"/>
          <w:sz w:val="16"/>
          <w:szCs w:val="16"/>
        </w:rPr>
        <w:t xml:space="preserve"> 1769). </w:t>
      </w:r>
    </w:p>
  </w:footnote>
  <w:footnote w:id="4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w:t>
      </w:r>
      <w:r>
        <w:rPr>
          <w:rFonts w:ascii="Verdana" w:hAnsi="Verdana"/>
          <w:spacing w:val="-12"/>
          <w:sz w:val="16"/>
          <w:szCs w:val="16"/>
        </w:rPr>
        <w:t>“</w:t>
      </w:r>
      <w:r w:rsidRPr="00EE6C61">
        <w:rPr>
          <w:rFonts w:ascii="Verdana" w:hAnsi="Verdana"/>
          <w:spacing w:val="-12"/>
          <w:sz w:val="16"/>
          <w:szCs w:val="16"/>
        </w:rPr>
        <w:t>Liderazgos sindicales exterminados: una hi</w:t>
      </w:r>
      <w:r>
        <w:rPr>
          <w:rFonts w:ascii="Verdana" w:hAnsi="Verdana"/>
          <w:spacing w:val="-12"/>
          <w:sz w:val="16"/>
          <w:szCs w:val="16"/>
        </w:rPr>
        <w:t>storia de resistencia frente a l</w:t>
      </w:r>
      <w:r w:rsidRPr="00EE6C61">
        <w:rPr>
          <w:rFonts w:ascii="Verdana" w:hAnsi="Verdana"/>
          <w:spacing w:val="-12"/>
          <w:sz w:val="16"/>
          <w:szCs w:val="16"/>
        </w:rPr>
        <w:t xml:space="preserve">as </w:t>
      </w:r>
      <w:r>
        <w:rPr>
          <w:rFonts w:ascii="Verdana" w:hAnsi="Verdana"/>
          <w:spacing w:val="-12"/>
          <w:sz w:val="16"/>
          <w:szCs w:val="16"/>
        </w:rPr>
        <w:t>l</w:t>
      </w:r>
      <w:r w:rsidRPr="00EE6C61">
        <w:rPr>
          <w:rFonts w:ascii="Verdana" w:hAnsi="Verdana"/>
          <w:spacing w:val="-12"/>
          <w:sz w:val="16"/>
          <w:szCs w:val="16"/>
        </w:rPr>
        <w:t>ógicas del terror contra SUTIMAC Puerto Nare</w:t>
      </w:r>
      <w:r>
        <w:rPr>
          <w:rFonts w:ascii="Verdana" w:hAnsi="Verdana"/>
          <w:spacing w:val="-12"/>
          <w:sz w:val="16"/>
          <w:szCs w:val="16"/>
        </w:rPr>
        <w:t xml:space="preserve">”, </w:t>
      </w:r>
      <w:r>
        <w:rPr>
          <w:rFonts w:ascii="Verdana" w:hAnsi="Verdana"/>
          <w:i/>
          <w:spacing w:val="-12"/>
          <w:sz w:val="16"/>
          <w:szCs w:val="16"/>
        </w:rPr>
        <w:t>supra</w:t>
      </w:r>
      <w:r w:rsidRPr="00EE6C61">
        <w:rPr>
          <w:rFonts w:ascii="Verdana" w:hAnsi="Verdana"/>
          <w:spacing w:val="-12"/>
          <w:sz w:val="16"/>
          <w:szCs w:val="16"/>
        </w:rPr>
        <w:t xml:space="preserve"> (exp. prueba, f. 1771).</w:t>
      </w:r>
    </w:p>
  </w:footnote>
  <w:footnote w:id="5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“En vista de los logros obtenidos en materia laboral para los obreros de la región [por] los sindicatos obreros asentados en La Sierra, SUTIMAC y SINTRACOLCARBURO, [… cuyos] dirigentes se definían como "comunistas", mayoritariamente provenientes de Puerto Nare y su corregimiento La Sierra, los dirigentes sindicales ingresan a la arena política, al observar que pueden obtener beneficios para toda la población y no sólo beneficios laborales, al arrastrar gran caudal político, con los obreros y sus familias, siendo así que: "en el Concejo de Puerto Nare, por lo general tenían asiento, al menos dos (2) concejales, provenientes de los sindicatos; primero como parte del movimiento político U.N.O. — PARTIDO COMUNISTA, más adelante como FRENTE DEMOCRATICO y a partir de 1986, como UNION PATRIOTICA (U.P)" [… Así fue] hasta que fueron diezmados a finales de los ochenta y prácticamente desaparecidos en la década de los noventa, recomponiendo el mapa de poder del municipio de Puerto Nare […] Lo que sí es claro y concreto, es que en el término de veintiún (21) meses, desde el 08 de Diciembre de 1986 hasta el 30 de Agosto de 1988, en […] Puerto Nare, […] se desarrolló una estrategia de exterminio físico, desplazamiento forzado y tortura psicológica en contra de las personas que representaran el movimiento sindical y a la vez político de la Unión Patriótica en el área”.</w:t>
      </w:r>
      <w:r w:rsidRPr="00EE6C61">
        <w:rPr>
          <w:rFonts w:ascii="Verdana" w:hAnsi="Verdana" w:cs="Times New Roman"/>
          <w:sz w:val="16"/>
          <w:szCs w:val="16"/>
        </w:rPr>
        <w:t xml:space="preserve"> </w:t>
      </w:r>
      <w:r w:rsidRPr="00EE6C61">
        <w:rPr>
          <w:rFonts w:ascii="Verdana" w:hAnsi="Verdana"/>
          <w:i/>
          <w:spacing w:val="-12"/>
          <w:sz w:val="16"/>
          <w:szCs w:val="16"/>
        </w:rPr>
        <w:t xml:space="preserve">Cfr. </w:t>
      </w:r>
      <w:r w:rsidRPr="00EE6C61">
        <w:rPr>
          <w:rFonts w:ascii="Verdana" w:hAnsi="Verdana"/>
          <w:spacing w:val="-12"/>
          <w:sz w:val="16"/>
          <w:szCs w:val="16"/>
        </w:rPr>
        <w:t>Informe de Policía Judicial No. 9-5413 del 10 de septiembre de 2015 (exp. prueba ff. 950-956); e informe del Cuerpo Técnico de Investigación (CTI) de la Fiscalía General de la Nación de 9 de febrero de 2016. (exp. prueba, folio, 7154).</w:t>
      </w:r>
    </w:p>
  </w:footnote>
  <w:footnote w:id="51">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Pr>
          <w:rFonts w:ascii="Verdana" w:hAnsi="Verdana"/>
          <w:spacing w:val="-12"/>
          <w:sz w:val="16"/>
          <w:szCs w:val="16"/>
        </w:rPr>
        <w:t xml:space="preserve"> </w:t>
      </w:r>
      <w:r>
        <w:rPr>
          <w:rFonts w:ascii="Verdana" w:hAnsi="Verdana"/>
          <w:spacing w:val="-12"/>
          <w:sz w:val="16"/>
          <w:szCs w:val="16"/>
        </w:rPr>
        <w:tab/>
        <w:t xml:space="preserve">Cfr. </w:t>
      </w:r>
      <w:r w:rsidRPr="00EE6C61">
        <w:rPr>
          <w:rFonts w:ascii="Verdana" w:hAnsi="Verdana"/>
          <w:spacing w:val="-12"/>
          <w:sz w:val="16"/>
          <w:szCs w:val="16"/>
        </w:rPr>
        <w:t xml:space="preserve">“Reconocer el pasado, construir el futuro. Informe sobre violencia contra sindicalistas y trabajadores sindicalizados, 1984 – 2011”. </w:t>
      </w:r>
      <w:r>
        <w:rPr>
          <w:rFonts w:ascii="Verdana" w:hAnsi="Verdana"/>
          <w:spacing w:val="-12"/>
          <w:sz w:val="16"/>
          <w:szCs w:val="16"/>
        </w:rPr>
        <w:t>Programa de las N</w:t>
      </w:r>
      <w:r w:rsidRPr="00EE6C61">
        <w:rPr>
          <w:rFonts w:ascii="Verdana" w:hAnsi="Verdana"/>
          <w:spacing w:val="-12"/>
          <w:sz w:val="16"/>
          <w:szCs w:val="16"/>
        </w:rPr>
        <w:t xml:space="preserve">aciones </w:t>
      </w:r>
      <w:r>
        <w:rPr>
          <w:rFonts w:ascii="Verdana" w:hAnsi="Verdana"/>
          <w:spacing w:val="-12"/>
          <w:sz w:val="16"/>
          <w:szCs w:val="16"/>
        </w:rPr>
        <w:t>U</w:t>
      </w:r>
      <w:r w:rsidRPr="00EE6C61">
        <w:rPr>
          <w:rFonts w:ascii="Verdana" w:hAnsi="Verdana"/>
          <w:spacing w:val="-12"/>
          <w:sz w:val="16"/>
          <w:szCs w:val="16"/>
        </w:rPr>
        <w:t xml:space="preserve">nidas para el </w:t>
      </w:r>
      <w:r>
        <w:rPr>
          <w:rFonts w:ascii="Verdana" w:hAnsi="Verdana"/>
          <w:spacing w:val="-12"/>
          <w:sz w:val="16"/>
          <w:szCs w:val="16"/>
        </w:rPr>
        <w:t>D</w:t>
      </w:r>
      <w:r w:rsidRPr="00EE6C61">
        <w:rPr>
          <w:rFonts w:ascii="Verdana" w:hAnsi="Verdana"/>
          <w:spacing w:val="-12"/>
          <w:sz w:val="16"/>
          <w:szCs w:val="16"/>
        </w:rPr>
        <w:t>esarrollo (PNUD)</w:t>
      </w:r>
      <w:r>
        <w:rPr>
          <w:rFonts w:ascii="Verdana" w:hAnsi="Verdana"/>
          <w:spacing w:val="-12"/>
          <w:sz w:val="16"/>
          <w:szCs w:val="16"/>
        </w:rPr>
        <w:t>-Colombia</w:t>
      </w:r>
      <w:r w:rsidRPr="00EE6C61">
        <w:rPr>
          <w:rFonts w:ascii="Verdana" w:hAnsi="Verdana"/>
          <w:spacing w:val="-12"/>
          <w:sz w:val="16"/>
          <w:szCs w:val="16"/>
        </w:rPr>
        <w:t>. (2012)</w:t>
      </w:r>
      <w:r>
        <w:rPr>
          <w:rFonts w:ascii="Verdana" w:hAnsi="Verdana"/>
          <w:spacing w:val="-12"/>
          <w:sz w:val="16"/>
          <w:szCs w:val="16"/>
        </w:rPr>
        <w:t>, Bogotá, pág. 128</w:t>
      </w:r>
      <w:r w:rsidRPr="00EE6C61">
        <w:rPr>
          <w:rFonts w:ascii="Verdana" w:hAnsi="Verdana"/>
          <w:spacing w:val="-12"/>
          <w:sz w:val="16"/>
          <w:szCs w:val="16"/>
        </w:rPr>
        <w:t xml:space="preserve"> (exp. prueba, folio 2603).  </w:t>
      </w:r>
    </w:p>
  </w:footnote>
  <w:footnote w:id="5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Consta: </w:t>
      </w:r>
      <w:r w:rsidRPr="00EE6C61">
        <w:rPr>
          <w:rFonts w:ascii="Verdana" w:eastAsia="Times New Roman" w:hAnsi="Verdana" w:cs="Palatino-Italic"/>
          <w:iCs/>
          <w:noProof/>
          <w:spacing w:val="-12"/>
          <w:sz w:val="16"/>
          <w:szCs w:val="16"/>
          <w:u w:color="000000"/>
          <w:bdr w:val="none" w:sz="0" w:space="0" w:color="auto" w:frame="1"/>
        </w:rPr>
        <w:t xml:space="preserve">ii) el 11 de enero de 1987 Luis Antonio Gómez habría sido entregado a presuntos grupos paramilitares por parte de la policía del corregimiento La Sierra; iii) el 7 de marzo de 1987 fue asesinado Jhon Alberto Montoya por paramilitares del MAS en la Inspección de Policía Departamental de la Sierra; iv) el 9 de marzo de 1987 fue asesinado Jesús Antonio Molina, dirigente de la UP y sindical de Sutimac Nare, por el grupo paramilitar MAS a media cuadra del puesto de policía de La Sierra; v) el 30 de septiembre de 1987 fue asesinado Pablo Emilio Córdoba Madrigal, Concejal de la UP, miembro de la junta directiva de SINTRACOLCARBURO y directivo de SUTIMAC, por el grupo paramilitar MAS, cuando se encontraba en la Inspección Departamental de Policía de la Sierra; y vi) el 16 de noviembre de 1987 Gustavo de Jesús Callejas y Héctor Alonso Loaiza Londoño, activistas de la Seccional Caracolí de SUTIMAC y trabajadores de Cementos Nare, fueron asesinados por el grupo paramilitar MAS a escasos metros de la estación de policía de La Sierra. </w:t>
      </w:r>
      <w:r w:rsidRPr="00EE6C61">
        <w:rPr>
          <w:rFonts w:ascii="Verdana" w:eastAsia="Times New Roman" w:hAnsi="Verdana" w:cs="Palatino-Italic"/>
          <w:i/>
          <w:iCs/>
          <w:noProof/>
          <w:spacing w:val="-12"/>
          <w:sz w:val="16"/>
          <w:szCs w:val="16"/>
          <w:u w:color="000000"/>
          <w:bdr w:val="none" w:sz="0" w:space="0" w:color="auto" w:frame="1"/>
        </w:rPr>
        <w:t>Cfr.</w:t>
      </w:r>
      <w:r w:rsidRPr="00EE6C61">
        <w:rPr>
          <w:rFonts w:ascii="Verdana" w:eastAsia="Times New Roman" w:hAnsi="Verdana" w:cs="Palatino-Italic"/>
          <w:iCs/>
          <w:noProof/>
          <w:spacing w:val="-12"/>
          <w:sz w:val="16"/>
          <w:szCs w:val="16"/>
          <w:u w:color="000000"/>
          <w:bdr w:val="none" w:sz="0" w:space="0" w:color="auto" w:frame="1"/>
        </w:rPr>
        <w:t xml:space="preserve"> Huellas y Rostros de la Desaparición forzada (1970-2010), </w:t>
      </w:r>
      <w:r w:rsidRPr="00EE6C61">
        <w:rPr>
          <w:rFonts w:ascii="Verdana" w:eastAsia="Times New Roman" w:hAnsi="Verdana" w:cs="Palatino-Italic"/>
          <w:i/>
          <w:iCs/>
          <w:noProof/>
          <w:spacing w:val="-12"/>
          <w:sz w:val="16"/>
          <w:szCs w:val="16"/>
          <w:u w:color="000000"/>
          <w:bdr w:val="none" w:sz="0" w:space="0" w:color="auto" w:frame="1"/>
        </w:rPr>
        <w:t>supra</w:t>
      </w:r>
      <w:r w:rsidRPr="00EE6C61">
        <w:rPr>
          <w:rFonts w:ascii="Verdana" w:eastAsia="Times New Roman" w:hAnsi="Verdana" w:cs="Palatino-Italic"/>
          <w:iCs/>
          <w:noProof/>
          <w:spacing w:val="-12"/>
          <w:sz w:val="16"/>
          <w:szCs w:val="16"/>
          <w:u w:color="000000"/>
          <w:bdr w:val="none" w:sz="0" w:space="0" w:color="auto" w:frame="1"/>
        </w:rPr>
        <w:t xml:space="preserve"> (exp. prueba, folios 5569 a 5574).</w:t>
      </w:r>
    </w:p>
  </w:footnote>
  <w:footnote w:id="53">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Huellas y Rostros de la Desaparición Forza</w:t>
      </w:r>
      <w:r>
        <w:rPr>
          <w:rFonts w:ascii="Verdana" w:hAnsi="Verdana"/>
          <w:spacing w:val="-12"/>
          <w:sz w:val="16"/>
          <w:szCs w:val="16"/>
        </w:rPr>
        <w:t>da (1970-2010)</w:t>
      </w:r>
      <w:r w:rsidRPr="00EE6C61">
        <w:rPr>
          <w:rFonts w:ascii="Verdana" w:hAnsi="Verdana"/>
          <w:spacing w:val="-12"/>
          <w:sz w:val="16"/>
          <w:szCs w:val="16"/>
        </w:rPr>
        <w:t xml:space="preserve"> (exp. prueba, folios 5553 a 5600). Además de los ya citados, los asesinatos y/o desapariciones referidos son: Carlos Arturo Salazar y Darío Gómez, sindicalistas de Cementos Nare y militantes de la UP el 19 de enero de 1988; Jesús Emilio Monsalver Mesa, sindicalista de la seccional Nare de Sutimac y militante de la UP el 24 de enero de 1988; Juan de Jesús Grisales Urrego, miembro de Sutimac y celador de la empresa el 3 de febrero de 1988; Héctor Julio Mejía, dirigente sindical de Sutimac Nare, el 8 de febrero de 1988; Jesús Anibal Parra Castrillón, directivo de Sutimac Nare, el 28 de marzo de 1988; León de Jesús Cardona Isaza, presidente nacional de Sutimac y miembro de Fenaltraconcem y de la UP, el 30 de agosto de 1988; José Manuel Herrera, integrante del comité de organización del sindicato de Cementos Nare, afiliado a Sutimac, el 4 de septiembre de 1988; Carlos Alfonso Tobón Zapata, miembro de Sutimac, el 28 de enero de 1989; Juan Rivera, operario de la empresa Colcarburos y vicepresidente de Sutimac el 12 de agosto de 1989; y Luis E. Durán, trabajador afiliado a Sutimac, el 29 de septiembre de 1989. Además, ver notas de prensa “Investigarán desaparición de dos líderes en Puerto Nare” publicada por El Colombiano el 25 de enero de 1988;</w:t>
      </w:r>
      <w:r>
        <w:rPr>
          <w:rFonts w:ascii="Verdana" w:hAnsi="Verdana"/>
          <w:spacing w:val="-12"/>
          <w:sz w:val="16"/>
          <w:szCs w:val="16"/>
        </w:rPr>
        <w:t xml:space="preserve"> y </w:t>
      </w:r>
      <w:r w:rsidRPr="00EE6C61">
        <w:rPr>
          <w:rFonts w:ascii="Verdana" w:hAnsi="Verdana"/>
          <w:spacing w:val="-12"/>
          <w:sz w:val="16"/>
          <w:szCs w:val="16"/>
        </w:rPr>
        <w:t xml:space="preserve">“En el último año murieron asesinados 32 sindicalistas” publicada por El Colombiano el 1 de mayo de 1987, (exp. prueba folio. 87). Ver también: Organización Internacional del Trabajo, </w:t>
      </w:r>
      <w:r w:rsidRPr="00EE6C61">
        <w:rPr>
          <w:rFonts w:ascii="Verdana" w:hAnsi="Verdana"/>
          <w:bCs/>
          <w:spacing w:val="-12"/>
          <w:sz w:val="16"/>
          <w:szCs w:val="16"/>
        </w:rPr>
        <w:t>Informe provisional - Informe núm. 259, Noviembre 1988, Denuncia 613, “</w:t>
      </w:r>
      <w:r w:rsidRPr="00EE6C61">
        <w:rPr>
          <w:rFonts w:ascii="Verdana" w:eastAsia="Times New Roman" w:hAnsi="Verdana" w:cs="Times New Roman"/>
          <w:spacing w:val="-12"/>
          <w:sz w:val="16"/>
          <w:szCs w:val="16"/>
          <w:lang w:eastAsia="es-CR"/>
        </w:rPr>
        <w:t xml:space="preserve">La CUT, la CIOSL, la CMOPE y la FSM han informado de los siguientes asesinatos: […] Jesús Antonio Molina, directivo del SUTIMAC, asesinado el 9 de marzo de 1987 en Puerto Nare por sicarios”, disponible en: </w:t>
      </w:r>
      <w:hyperlink r:id="rId11" w:history="1">
        <w:r w:rsidRPr="00EE6C61">
          <w:rPr>
            <w:rStyle w:val="Hyperlink"/>
            <w:rFonts w:ascii="Verdana" w:eastAsia="Times New Roman" w:hAnsi="Verdana" w:cs="Times New Roman"/>
            <w:spacing w:val="-12"/>
            <w:sz w:val="16"/>
            <w:szCs w:val="16"/>
            <w:lang w:eastAsia="es-CR"/>
          </w:rPr>
          <w:t>http://www.ilo.org/dyn/normlex/es/f?p=NORMLEXPUB:50002:0::NO::P50002_COMPLAINT_TEXT_ID:2901664</w:t>
        </w:r>
      </w:hyperlink>
      <w:r w:rsidRPr="00EE6C61">
        <w:rPr>
          <w:rFonts w:ascii="Verdana" w:eastAsia="Times New Roman" w:hAnsi="Verdana" w:cs="Times New Roman"/>
          <w:spacing w:val="-12"/>
          <w:sz w:val="16"/>
          <w:szCs w:val="16"/>
          <w:lang w:eastAsia="es-CR"/>
        </w:rPr>
        <w:t xml:space="preserve"> . </w:t>
      </w:r>
    </w:p>
  </w:footnote>
  <w:footnote w:id="5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Trebuchet MS"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eastAsia="Times New Roman" w:hAnsi="Verdana" w:cs="Palatino-Italic"/>
          <w:iCs/>
          <w:noProof/>
          <w:spacing w:val="-12"/>
          <w:sz w:val="16"/>
          <w:szCs w:val="16"/>
          <w:u w:color="000000"/>
          <w:bdr w:val="none" w:sz="0" w:space="0" w:color="auto" w:frame="1"/>
        </w:rPr>
        <w:t>En estas comunicaciones se presentó un listado de los asesinatos y desapariciones ocurridos en el Magdalena Medio, a partir de diciembre de 1986. La CUT y la FENALTRACONCEM informaron al Alcalde, al Gobernador, a las autoridades militares y policiales y a las autoridades nacionales; señalaron que “los integrantes de un grupo paramilitar de aproximadamente 30 personas, denominado ‘Autodefensa Popular’, continúan sembrando el terror y la incertidumbre”; y solicitaron el cese de la política criminal contra los trabajadores y la investigación de los hechos, así como el retiro de las patrullas del Ejército que se encontraban acantonadas en Puerto Nare y “Montañitas”, del departamento de Antioquia.</w:t>
      </w:r>
      <w:r w:rsidRPr="00EE6C61">
        <w:rPr>
          <w:rFonts w:ascii="Verdana" w:hAnsi="Verdana"/>
        </w:rPr>
        <w:t xml:space="preserve"> </w:t>
      </w:r>
      <w:r w:rsidRPr="00EE6C61">
        <w:rPr>
          <w:rFonts w:ascii="Verdana" w:hAnsi="Verdana"/>
          <w:i/>
          <w:spacing w:val="-12"/>
          <w:sz w:val="16"/>
          <w:szCs w:val="16"/>
        </w:rPr>
        <w:t>Cfr</w:t>
      </w:r>
      <w:r w:rsidRPr="00EE6C61">
        <w:rPr>
          <w:rFonts w:ascii="Verdana" w:hAnsi="Verdana"/>
          <w:spacing w:val="-12"/>
          <w:sz w:val="16"/>
          <w:szCs w:val="16"/>
        </w:rPr>
        <w:t xml:space="preserve">. Cartas dirigidas a diversas autoridades. (exp. prueba, </w:t>
      </w:r>
      <w:r>
        <w:rPr>
          <w:rFonts w:ascii="Verdana" w:hAnsi="Verdana"/>
          <w:spacing w:val="-12"/>
          <w:sz w:val="16"/>
          <w:szCs w:val="16"/>
        </w:rPr>
        <w:t>ff.</w:t>
      </w:r>
      <w:r w:rsidRPr="00EE6C61">
        <w:rPr>
          <w:rFonts w:ascii="Verdana" w:hAnsi="Verdana"/>
          <w:spacing w:val="-12"/>
          <w:sz w:val="16"/>
          <w:szCs w:val="16"/>
        </w:rPr>
        <w:t xml:space="preserve"> 89 a 98). En declaración pública de 19 de enero de 1989, el comité ejecutivo de la FENALTRACONCEM denunciaba que: “La guerra sucia que los portadores de la doctrina de la ‘seguridad nacional’ ha desatado contra nuestros pueblos es la ofensiva de sectores derechistas y reaccionarios expresada en una respuesta criminal contra el proceso de participación popular… ha sido puesta en práctica contra gente inerme con fines políticos, para atemorizar a la población, impedir sus luchas y destruir sus organizaciones sociales. La ola criminal desatada en la región del Nare fue dirigida contra la militancia de la Unión Patriótica para impedir su presencia en e l consejo municipal de Puerto Nare […] cuyos ediles fueron asesinados y otros desterrados, el único “delito” que cometieron fue el de defender con ahínco los derechos de los pobladores del corregimiento La Sierra</w:t>
      </w:r>
      <w:r>
        <w:rPr>
          <w:rFonts w:ascii="Verdana" w:hAnsi="Verdana"/>
          <w:spacing w:val="-12"/>
          <w:sz w:val="16"/>
          <w:szCs w:val="16"/>
        </w:rPr>
        <w:t xml:space="preserve"> [</w:t>
      </w:r>
      <w:r w:rsidRPr="00EE6C61">
        <w:rPr>
          <w:rFonts w:ascii="Verdana" w:hAnsi="Verdana"/>
          <w:spacing w:val="-12"/>
          <w:sz w:val="16"/>
          <w:szCs w:val="16"/>
        </w:rPr>
        <w:t>…</w:t>
      </w:r>
      <w:r>
        <w:rPr>
          <w:rFonts w:ascii="Verdana" w:hAnsi="Verdana"/>
          <w:spacing w:val="-12"/>
          <w:sz w:val="16"/>
          <w:szCs w:val="16"/>
        </w:rPr>
        <w:t>]</w:t>
      </w:r>
      <w:r w:rsidRPr="00EE6C61">
        <w:rPr>
          <w:rFonts w:ascii="Verdana" w:hAnsi="Verdana"/>
          <w:spacing w:val="-12"/>
          <w:sz w:val="16"/>
          <w:szCs w:val="16"/>
        </w:rPr>
        <w:t xml:space="preserve"> no es casual que los integrantes de la denominada “</w:t>
      </w:r>
      <w:r>
        <w:rPr>
          <w:rFonts w:ascii="Verdana" w:hAnsi="Verdana"/>
          <w:spacing w:val="-12"/>
          <w:sz w:val="16"/>
          <w:szCs w:val="16"/>
        </w:rPr>
        <w:t xml:space="preserve">Autodefensa popular” se paseen </w:t>
      </w:r>
      <w:r w:rsidRPr="00EE6C61">
        <w:rPr>
          <w:rFonts w:ascii="Verdana" w:hAnsi="Verdana"/>
          <w:spacing w:val="-12"/>
          <w:sz w:val="16"/>
          <w:szCs w:val="16"/>
        </w:rPr>
        <w:t xml:space="preserve">orondos por la calle de la sierra portando armas de corto y largo alcance en presencia de la policía”.  </w:t>
      </w:r>
      <w:r>
        <w:rPr>
          <w:rFonts w:ascii="Verdana" w:hAnsi="Verdana"/>
          <w:spacing w:val="-12"/>
          <w:sz w:val="16"/>
          <w:szCs w:val="16"/>
        </w:rPr>
        <w:t>E</w:t>
      </w:r>
      <w:r w:rsidRPr="00EE6C61">
        <w:rPr>
          <w:rFonts w:ascii="Verdana" w:hAnsi="Verdana"/>
          <w:spacing w:val="-12"/>
          <w:sz w:val="16"/>
          <w:szCs w:val="16"/>
        </w:rPr>
        <w:t xml:space="preserve">l 22 de septiembre de 1988 </w:t>
      </w:r>
      <w:r>
        <w:rPr>
          <w:rFonts w:ascii="Verdana" w:hAnsi="Verdana"/>
          <w:spacing w:val="-12"/>
          <w:sz w:val="16"/>
          <w:szCs w:val="16"/>
        </w:rPr>
        <w:t>l</w:t>
      </w:r>
      <w:r w:rsidRPr="00EE6C61">
        <w:rPr>
          <w:rFonts w:ascii="Verdana" w:hAnsi="Verdana"/>
          <w:spacing w:val="-12"/>
          <w:sz w:val="16"/>
          <w:szCs w:val="16"/>
        </w:rPr>
        <w:t xml:space="preserve">os sindicalistas de Sutimac que sobrevivieron gracias al </w:t>
      </w:r>
      <w:r>
        <w:rPr>
          <w:rFonts w:ascii="Verdana" w:hAnsi="Verdana"/>
          <w:spacing w:val="-12"/>
          <w:sz w:val="16"/>
          <w:szCs w:val="16"/>
        </w:rPr>
        <w:t>exilio de la región denunciaron,</w:t>
      </w:r>
      <w:r w:rsidRPr="00EE6C61">
        <w:rPr>
          <w:rFonts w:ascii="Verdana" w:hAnsi="Verdana"/>
          <w:spacing w:val="-12"/>
          <w:sz w:val="16"/>
          <w:szCs w:val="16"/>
        </w:rPr>
        <w:t xml:space="preserve"> en el periódico Voz, las alianzas entre patronos, altos mandos militares y el MAS en la cadena de asesinatos en esta región; que comandantes del ejército y la policía andaban junto con los paramilitares: “en muchas regiones de puerto Berrio andan (…) con el comandante de la catorce brigada o en la base militar de Calderón o en la alcaldía de Puerto Boyacá (…) lamentablemente a quien denuncia lo mandan al cementerio. ¿Quién delata a los testigos? El mismo juez promiscuo de Puerto Nare, el señor Manuel García y los mismos comandantes de la policía y el ejército (…) Esa es la gotera por la que todo se escapa rumbo a los asesinos”. Citado </w:t>
      </w:r>
      <w:r>
        <w:rPr>
          <w:rFonts w:ascii="Verdana" w:hAnsi="Verdana"/>
          <w:spacing w:val="-12"/>
          <w:sz w:val="16"/>
          <w:szCs w:val="16"/>
        </w:rPr>
        <w:t>en la versión escrita de</w:t>
      </w:r>
      <w:r w:rsidRPr="00EE6C61">
        <w:rPr>
          <w:rFonts w:ascii="Verdana" w:hAnsi="Verdana"/>
          <w:spacing w:val="-12"/>
          <w:sz w:val="16"/>
          <w:szCs w:val="16"/>
        </w:rPr>
        <w:t>l perito Yepes (exp. prueba folio. 7175)</w:t>
      </w:r>
      <w:r>
        <w:rPr>
          <w:rFonts w:ascii="Verdana" w:hAnsi="Verdana"/>
          <w:spacing w:val="-12"/>
          <w:sz w:val="16"/>
          <w:szCs w:val="16"/>
        </w:rPr>
        <w:t>.</w:t>
      </w:r>
    </w:p>
  </w:footnote>
  <w:footnote w:id="55">
    <w:p w:rsidR="00996758" w:rsidRPr="00EE6C61" w:rsidRDefault="00996758" w:rsidP="00103EC8">
      <w:pPr>
        <w:pStyle w:val="FootnoteText"/>
        <w:tabs>
          <w:tab w:val="left" w:pos="709"/>
        </w:tabs>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El 7 de noviembre de 1989, dos años después de su desaparición, el señor Víctor Manuel Isaza Uribe fue condenado en ausencia por el Juzgado Noveno Superior de Medellín a la pena de 16 años de prisión, por haberlo encontrado responsable de la consumación del delito de homicidio agravado en la persona del señor Francisco Humberto García Montoya, en calidad de autor intelectual y material. </w:t>
      </w:r>
      <w:r w:rsidRPr="00EE6C61">
        <w:rPr>
          <w:rFonts w:ascii="Verdana" w:hAnsi="Verdana"/>
          <w:i/>
          <w:spacing w:val="-12"/>
          <w:sz w:val="16"/>
          <w:szCs w:val="16"/>
        </w:rPr>
        <w:t>Cfr.</w:t>
      </w:r>
      <w:r w:rsidRPr="00EE6C61">
        <w:rPr>
          <w:rFonts w:ascii="Verdana" w:hAnsi="Verdana"/>
          <w:spacing w:val="-12"/>
          <w:sz w:val="16"/>
          <w:szCs w:val="16"/>
        </w:rPr>
        <w:t xml:space="preserve"> Sentencia de 7 de 7 de noviembre de 1989 del Juzgado Noveno Superior de Medellín, radicado 6.724-16 (exp. de prueba, f.5380).</w:t>
      </w:r>
    </w:p>
  </w:footnote>
  <w:footnote w:id="56">
    <w:p w:rsidR="00996758" w:rsidRPr="00EE6C61" w:rsidRDefault="00996758" w:rsidP="00103EC8">
      <w:pPr>
        <w:pStyle w:val="FootnoteText"/>
        <w:tabs>
          <w:tab w:val="left" w:pos="709"/>
        </w:tabs>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Copia de constancia expedida el 12 de noviembre de 1989 por el presidente de SUTIMAC (exp. prueba, </w:t>
      </w:r>
      <w:r>
        <w:rPr>
          <w:rFonts w:ascii="Verdana" w:hAnsi="Verdana"/>
          <w:spacing w:val="-12"/>
          <w:sz w:val="16"/>
          <w:szCs w:val="16"/>
        </w:rPr>
        <w:t>f</w:t>
      </w:r>
      <w:r w:rsidRPr="00EE6C61">
        <w:rPr>
          <w:rFonts w:ascii="Verdana" w:hAnsi="Verdana"/>
          <w:spacing w:val="-12"/>
          <w:sz w:val="16"/>
          <w:szCs w:val="16"/>
        </w:rPr>
        <w:t xml:space="preserve">. 8); copia del carnet de afiliación al sindicato de Sutimac seccional Puerto Nare, de 21 de enero de 1979, documento entregado en la audiencia pública por la presunta víctima Carmenza Vélez (exp. prueba, </w:t>
      </w:r>
      <w:r>
        <w:rPr>
          <w:rFonts w:ascii="Verdana" w:hAnsi="Verdana"/>
          <w:spacing w:val="-12"/>
          <w:sz w:val="16"/>
          <w:szCs w:val="16"/>
        </w:rPr>
        <w:t>f</w:t>
      </w:r>
      <w:r w:rsidRPr="00EE6C61">
        <w:rPr>
          <w:rFonts w:ascii="Verdana" w:hAnsi="Verdana"/>
          <w:spacing w:val="-12"/>
          <w:sz w:val="16"/>
          <w:szCs w:val="16"/>
        </w:rPr>
        <w:t xml:space="preserve">. 7184); y declaración escrita ante la Corte de la </w:t>
      </w:r>
      <w:r>
        <w:rPr>
          <w:rFonts w:ascii="Verdana" w:hAnsi="Verdana"/>
          <w:spacing w:val="-12"/>
          <w:sz w:val="16"/>
          <w:szCs w:val="16"/>
        </w:rPr>
        <w:t xml:space="preserve">testigo Luz María Ramírez García, </w:t>
      </w:r>
      <w:r w:rsidRPr="00EE6C61">
        <w:rPr>
          <w:rFonts w:ascii="Verdana" w:hAnsi="Verdana"/>
          <w:spacing w:val="-12"/>
          <w:sz w:val="16"/>
          <w:szCs w:val="16"/>
        </w:rPr>
        <w:t xml:space="preserve">Fiscal 91 de Derechos Humanos y Derecho Internacional Humanitario de Medellín (exp. prueba, </w:t>
      </w:r>
      <w:r>
        <w:rPr>
          <w:rFonts w:ascii="Verdana" w:hAnsi="Verdana"/>
          <w:spacing w:val="-12"/>
          <w:sz w:val="16"/>
          <w:szCs w:val="16"/>
        </w:rPr>
        <w:t>ff</w:t>
      </w:r>
      <w:r w:rsidRPr="00EE6C61">
        <w:rPr>
          <w:rFonts w:ascii="Verdana" w:hAnsi="Verdana"/>
          <w:spacing w:val="-12"/>
          <w:sz w:val="16"/>
          <w:szCs w:val="16"/>
        </w:rPr>
        <w:t>. 6229 a 6234).</w:t>
      </w:r>
    </w:p>
  </w:footnote>
  <w:footnote w:id="5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Declaración rendida en audiencia pública</w:t>
      </w:r>
      <w:r>
        <w:rPr>
          <w:rFonts w:ascii="Verdana" w:hAnsi="Verdana"/>
          <w:spacing w:val="-12"/>
          <w:sz w:val="16"/>
          <w:szCs w:val="16"/>
        </w:rPr>
        <w:t xml:space="preserve"> ante la Corte</w:t>
      </w:r>
      <w:r w:rsidRPr="00EE6C61">
        <w:rPr>
          <w:rFonts w:ascii="Verdana" w:hAnsi="Verdana"/>
          <w:spacing w:val="-12"/>
          <w:sz w:val="16"/>
          <w:szCs w:val="16"/>
        </w:rPr>
        <w:t xml:space="preserve"> por la señora Carmenza Vélez.</w:t>
      </w:r>
    </w:p>
  </w:footnote>
  <w:footnote w:id="5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Los otros tres detenidos sustraídos eran William Mejía Restrepo, Pedro Delgado Jurado y Mario Patiño Gutiérrez. </w:t>
      </w:r>
    </w:p>
  </w:footnote>
  <w:footnote w:id="5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Declaración rendida en audiencia pública por la señora Carmenza Vélez.</w:t>
      </w:r>
    </w:p>
  </w:footnote>
  <w:footnote w:id="6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Declaraciones ante fedatario público de Haner Alexis Isaza Vélez y Jhony Alexander Isaza Vélez (exp. prueba, ff. 6981 y 6986), y declaración rendida en audiencia pública por la señora Carmenza Vélez.</w:t>
      </w:r>
    </w:p>
  </w:footnote>
  <w:footnote w:id="6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Se hace notar que, en sus alegatos finales escritos, el Estado hizo referencia a varias diligencias que no había informado anteriormente o que no fueron documentalmente sustentadas. Por ende, en esta sección se incluyen únicamente las principales actuaciones realizadas en el marco de la investigación previa. </w:t>
      </w:r>
      <w:r w:rsidRPr="00EE6C61">
        <w:rPr>
          <w:rFonts w:ascii="Verdana" w:hAnsi="Verdana"/>
          <w:i/>
          <w:spacing w:val="-12"/>
          <w:sz w:val="16"/>
          <w:szCs w:val="16"/>
        </w:rPr>
        <w:t>Cfr</w:t>
      </w:r>
      <w:r w:rsidRPr="00EE6C61">
        <w:rPr>
          <w:rFonts w:ascii="Verdana" w:hAnsi="Verdana"/>
          <w:spacing w:val="-12"/>
          <w:sz w:val="16"/>
          <w:szCs w:val="16"/>
        </w:rPr>
        <w:t>. comunicación del Estado de 22 de abril de 2013 (exp. prueba ff. 31 a 33); y declaración escrita de la señora Luz María Ramírez García, testigo ofrecida por el Estado (exp. prueba, ff. 6206 a 6234).</w:t>
      </w:r>
    </w:p>
  </w:footnote>
  <w:footnote w:id="62">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Entre el 19 de noviembre de 1987 y el 8 de noviembre de 1994, el </w:t>
      </w:r>
      <w:r w:rsidRPr="00EE6C61">
        <w:rPr>
          <w:rFonts w:ascii="Verdana" w:eastAsia="Arial Unicode MS" w:hAnsi="Verdana"/>
          <w:spacing w:val="-12"/>
          <w:sz w:val="16"/>
          <w:szCs w:val="16"/>
          <w:bdr w:val="nil"/>
        </w:rPr>
        <w:t xml:space="preserve">Juzgado 64 de Instrucción Criminal de Puerto </w:t>
      </w:r>
      <w:r w:rsidRPr="00EE6C61">
        <w:rPr>
          <w:rFonts w:ascii="Verdana" w:hAnsi="Verdana"/>
          <w:spacing w:val="-12"/>
          <w:sz w:val="16"/>
          <w:szCs w:val="16"/>
        </w:rPr>
        <w:t xml:space="preserve">Nare y el Juzgado 104 de Instrucción Criminal Ambulante de Medellín recibieron 19 declaraciones por parte de habitantes de la zona, trabajadores de la empresa Cementos Nare, familiares de los cuatro detenidos que fueron sustraídos de la cárcel, personas que se encontraban cerca del lugar de los hechos (el celador de una embarcación), los otros detenidos en la cárcel y los dos guardianes de ésta. </w:t>
      </w:r>
      <w:r w:rsidRPr="00EE6C61">
        <w:rPr>
          <w:rFonts w:ascii="Verdana" w:hAnsi="Verdana"/>
          <w:i/>
          <w:spacing w:val="-12"/>
          <w:sz w:val="16"/>
          <w:szCs w:val="16"/>
        </w:rPr>
        <w:t>Cfr</w:t>
      </w:r>
      <w:r w:rsidRPr="00EE6C61">
        <w:rPr>
          <w:rFonts w:ascii="Verdana" w:hAnsi="Verdana"/>
          <w:spacing w:val="-12"/>
          <w:sz w:val="16"/>
          <w:szCs w:val="16"/>
        </w:rPr>
        <w:t>. Declaración ante fedatario público de la testigo ofrecida por el Estado Luz María Ramírez García. (exp. prueba, ff. 6207 a 6220)</w:t>
      </w:r>
    </w:p>
  </w:footnote>
  <w:footnote w:id="6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Declaración escrita de la señora Luz María Ramírez García, testigo ofrecida por el Estado (exp. prueba, </w:t>
      </w:r>
      <w:r>
        <w:rPr>
          <w:rFonts w:ascii="Verdana" w:hAnsi="Verdana"/>
          <w:spacing w:val="-12"/>
          <w:sz w:val="16"/>
          <w:szCs w:val="16"/>
        </w:rPr>
        <w:t>f</w:t>
      </w:r>
      <w:r w:rsidRPr="00EE6C61">
        <w:rPr>
          <w:rFonts w:ascii="Verdana" w:hAnsi="Verdana"/>
          <w:spacing w:val="-12"/>
          <w:sz w:val="16"/>
          <w:szCs w:val="16"/>
        </w:rPr>
        <w:t>. 6223). Asimismo,  el 25 de enero de 1996 la Fiscalía Delegada ante la Corte Suprema de Justicia dirimió un conflicto de competencia entre la Fiscalía Seccional Antisecuestro de Puerto Berrio y la Fiscalía Regional de Medellín en torno al conocimiento de la investigación, asignándole competencia a esta última.</w:t>
      </w:r>
    </w:p>
  </w:footnote>
  <w:footnote w:id="6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Entre el 7 de noviembre de 1996 y el 25 de agosto de 1997 la Fiscalía Regional de Medellín recibió 9 declaraciones</w:t>
      </w:r>
      <w:r w:rsidRPr="00EE6C61">
        <w:rPr>
          <w:rFonts w:ascii="Verdana" w:hAnsi="Verdana" w:cs="Arial"/>
          <w:color w:val="282828"/>
          <w:spacing w:val="-12"/>
          <w:sz w:val="16"/>
          <w:szCs w:val="16"/>
        </w:rPr>
        <w:t xml:space="preserve">. </w:t>
      </w:r>
      <w:r w:rsidRPr="00EE6C61">
        <w:rPr>
          <w:rFonts w:ascii="Verdana" w:hAnsi="Verdana" w:cs="Arial"/>
          <w:i/>
          <w:color w:val="282828"/>
          <w:spacing w:val="-12"/>
          <w:sz w:val="16"/>
          <w:szCs w:val="16"/>
        </w:rPr>
        <w:t>Cfr.</w:t>
      </w:r>
      <w:r w:rsidRPr="00EE6C61">
        <w:rPr>
          <w:rFonts w:ascii="Verdana" w:hAnsi="Verdana" w:cs="Arial"/>
          <w:color w:val="282828"/>
          <w:spacing w:val="-12"/>
          <w:sz w:val="16"/>
          <w:szCs w:val="16"/>
        </w:rPr>
        <w:t xml:space="preserve"> </w:t>
      </w:r>
      <w:r w:rsidRPr="00EE6C61">
        <w:rPr>
          <w:rFonts w:ascii="Verdana" w:hAnsi="Verdana"/>
          <w:spacing w:val="-12"/>
          <w:sz w:val="16"/>
          <w:szCs w:val="16"/>
        </w:rPr>
        <w:t xml:space="preserve">Declaración ante fedatario público de la testigo ofrecida por el Estado Luz María Ramírez García. (exp. prueba, </w:t>
      </w:r>
      <w:r>
        <w:rPr>
          <w:rFonts w:ascii="Verdana" w:hAnsi="Verdana"/>
          <w:spacing w:val="-12"/>
          <w:sz w:val="16"/>
          <w:szCs w:val="16"/>
        </w:rPr>
        <w:t>ff.</w:t>
      </w:r>
      <w:r w:rsidRPr="00EE6C61">
        <w:rPr>
          <w:rFonts w:ascii="Verdana" w:hAnsi="Verdana"/>
          <w:spacing w:val="-12"/>
          <w:sz w:val="16"/>
          <w:szCs w:val="16"/>
        </w:rPr>
        <w:t xml:space="preserve"> 6224 a 6228)</w:t>
      </w:r>
    </w:p>
  </w:footnote>
  <w:footnote w:id="65">
    <w:p w:rsidR="00996758" w:rsidRPr="00EE6C61" w:rsidRDefault="00996758" w:rsidP="00103EC8">
      <w:pPr>
        <w:pStyle w:val="FootnoteText"/>
        <w:tabs>
          <w:tab w:val="left" w:pos="709"/>
        </w:tabs>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Estado informó que los hechos no han sido enunciados o confesados por algún postulado ni se encuentran registrados en el Sistema de Información de Justicia y Paz (SIJYP) de la Fiscalía General de la Nación.</w:t>
      </w:r>
      <w:r w:rsidRPr="00EE6C61">
        <w:rPr>
          <w:rFonts w:ascii="Verdana" w:eastAsia="Arial Unicode MS" w:hAnsi="Verdana" w:cs="Times New Roman"/>
          <w:sz w:val="16"/>
          <w:szCs w:val="16"/>
          <w:bdr w:val="nil"/>
        </w:rPr>
        <w:t xml:space="preserve"> </w:t>
      </w:r>
      <w:r w:rsidRPr="00EE6C61">
        <w:rPr>
          <w:rFonts w:ascii="Verdana" w:hAnsi="Verdana"/>
          <w:i/>
          <w:spacing w:val="-12"/>
          <w:sz w:val="16"/>
          <w:szCs w:val="16"/>
        </w:rPr>
        <w:t>Cfr.</w:t>
      </w:r>
      <w:r w:rsidRPr="00EE6C61">
        <w:rPr>
          <w:rFonts w:ascii="Verdana" w:hAnsi="Verdana"/>
          <w:spacing w:val="-12"/>
          <w:sz w:val="16"/>
          <w:szCs w:val="16"/>
        </w:rPr>
        <w:t xml:space="preserve"> Comunicación del Estado del 22 de abril de 2013 (exp. prueba, </w:t>
      </w:r>
      <w:r>
        <w:rPr>
          <w:rFonts w:ascii="Verdana" w:hAnsi="Verdana"/>
          <w:spacing w:val="-12"/>
          <w:sz w:val="16"/>
          <w:szCs w:val="16"/>
        </w:rPr>
        <w:t>ff</w:t>
      </w:r>
      <w:r w:rsidRPr="00EE6C61">
        <w:rPr>
          <w:rFonts w:ascii="Verdana" w:hAnsi="Verdana"/>
          <w:spacing w:val="-12"/>
          <w:sz w:val="16"/>
          <w:szCs w:val="16"/>
        </w:rPr>
        <w:t>. 10 a 41); y declaración de la señora Luz María Ramírez García (exp. prueba, ff. 6206 a 6234)</w:t>
      </w:r>
    </w:p>
  </w:footnote>
  <w:footnote w:id="6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spacing w:val="-12"/>
          <w:sz w:val="16"/>
          <w:szCs w:val="16"/>
        </w:rPr>
        <w:t>Declaración escrita ante la Corte de la Fiscal 91 de Derechos Humanos y Derecho Internacional Humanitario de Medellín, Luz María Ramírez García (exp. prueba, ff. 6229 a 6234)</w:t>
      </w:r>
    </w:p>
  </w:footnote>
  <w:footnote w:id="6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La señora Vélez presentó una ampliación de queja el 22 de julio de ese año, en la que denunció la falta de avances en la investigación penal; que el 17 de julio de 1989 acudió al Juzgado 64 de Instrucción Criminal a indagar sobre la investigación, donde le informaron “que estaba archivada porque no había alguien que declarara, que desgraciadamente nadie hablaba”; manifestó</w:t>
      </w:r>
      <w:r>
        <w:rPr>
          <w:rFonts w:ascii="Verdana" w:hAnsi="Verdana"/>
          <w:spacing w:val="-12"/>
          <w:sz w:val="16"/>
          <w:szCs w:val="16"/>
        </w:rPr>
        <w:t xml:space="preserve"> que</w:t>
      </w:r>
      <w:r w:rsidRPr="00EE6C61">
        <w:rPr>
          <w:rFonts w:ascii="Verdana" w:hAnsi="Verdana"/>
          <w:spacing w:val="-12"/>
          <w:sz w:val="16"/>
          <w:szCs w:val="16"/>
        </w:rPr>
        <w:t xml:space="preserve"> “es imposible que no hagan nada sabiendo que lo sacaron de la cárcel hombres armados vestidos de militares y otros de civil”, entre otros datos. </w:t>
      </w:r>
      <w:r w:rsidRPr="00EE6C61">
        <w:rPr>
          <w:rFonts w:ascii="Verdana" w:hAnsi="Verdana"/>
          <w:i/>
          <w:spacing w:val="-12"/>
          <w:sz w:val="16"/>
          <w:szCs w:val="16"/>
        </w:rPr>
        <w:t>Cfr</w:t>
      </w:r>
      <w:r w:rsidRPr="00EE6C61">
        <w:rPr>
          <w:rFonts w:ascii="Verdana" w:hAnsi="Verdana"/>
          <w:spacing w:val="-12"/>
          <w:sz w:val="16"/>
          <w:szCs w:val="16"/>
        </w:rPr>
        <w:t>. ampliación de queja del 22 de julio de 1989 de la señora Carmenza Vélez (exp. prueba, ff. 70 a 72).</w:t>
      </w:r>
    </w:p>
  </w:footnote>
  <w:footnote w:id="6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A54F9D">
        <w:rPr>
          <w:rFonts w:ascii="Verdana" w:hAnsi="Verdana"/>
          <w:i/>
          <w:spacing w:val="-12"/>
          <w:sz w:val="16"/>
          <w:szCs w:val="16"/>
        </w:rPr>
        <w:t>Cfr.</w:t>
      </w:r>
      <w:r w:rsidRPr="00EE6C61">
        <w:rPr>
          <w:rFonts w:ascii="Verdana" w:hAnsi="Verdana"/>
          <w:spacing w:val="-12"/>
          <w:sz w:val="16"/>
          <w:szCs w:val="16"/>
        </w:rPr>
        <w:t xml:space="preserve"> </w:t>
      </w:r>
      <w:r w:rsidRPr="00A54F9D">
        <w:rPr>
          <w:rFonts w:ascii="Verdana" w:hAnsi="Verdana"/>
          <w:spacing w:val="-12"/>
          <w:sz w:val="16"/>
          <w:szCs w:val="16"/>
        </w:rPr>
        <w:t xml:space="preserve">Comunicación del Estado del 11 de octubre de 1991 (exp. prueba, </w:t>
      </w:r>
      <w:r>
        <w:rPr>
          <w:rFonts w:ascii="Verdana" w:hAnsi="Verdana"/>
          <w:spacing w:val="-12"/>
          <w:sz w:val="16"/>
          <w:szCs w:val="16"/>
        </w:rPr>
        <w:t xml:space="preserve">f. </w:t>
      </w:r>
      <w:r w:rsidRPr="00A54F9D">
        <w:rPr>
          <w:rFonts w:ascii="Verdana" w:hAnsi="Verdana"/>
          <w:spacing w:val="-12"/>
          <w:sz w:val="16"/>
          <w:szCs w:val="16"/>
        </w:rPr>
        <w:t>77)</w:t>
      </w:r>
      <w:r>
        <w:rPr>
          <w:rFonts w:ascii="Verdana" w:hAnsi="Verdana"/>
          <w:spacing w:val="-12"/>
          <w:sz w:val="16"/>
          <w:szCs w:val="16"/>
        </w:rPr>
        <w:t>.</w:t>
      </w:r>
    </w:p>
  </w:footnote>
  <w:footnote w:id="69">
    <w:p w:rsidR="00996758" w:rsidRPr="00EE6C61" w:rsidRDefault="00996758" w:rsidP="00103EC8">
      <w:pPr>
        <w:pStyle w:val="FootnoteText"/>
        <w:tabs>
          <w:tab w:val="left" w:pos="709"/>
        </w:tabs>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Resolución de 20 de octubre de 1992</w:t>
      </w:r>
      <w:r>
        <w:rPr>
          <w:rFonts w:ascii="Verdana" w:hAnsi="Verdana"/>
          <w:spacing w:val="-12"/>
          <w:sz w:val="16"/>
          <w:szCs w:val="16"/>
        </w:rPr>
        <w:t xml:space="preserve"> </w:t>
      </w:r>
      <w:r w:rsidRPr="00EE6C61">
        <w:rPr>
          <w:rFonts w:ascii="Verdana" w:hAnsi="Verdana"/>
          <w:spacing w:val="-12"/>
          <w:sz w:val="16"/>
          <w:szCs w:val="16"/>
        </w:rPr>
        <w:t>de la Procuraduría Delegada para los Derechos Humanos (exp. prueba, ff. 42 a 48).</w:t>
      </w:r>
    </w:p>
  </w:footnote>
  <w:footnote w:id="7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w:t>
      </w:r>
      <w:r>
        <w:rPr>
          <w:rFonts w:ascii="Verdana" w:hAnsi="Verdana"/>
          <w:spacing w:val="-12"/>
          <w:sz w:val="16"/>
          <w:szCs w:val="16"/>
        </w:rPr>
        <w:t>Resolución d</w:t>
      </w:r>
      <w:r w:rsidRPr="00EE6C61">
        <w:rPr>
          <w:rFonts w:ascii="Verdana" w:hAnsi="Verdana"/>
          <w:spacing w:val="-12"/>
          <w:sz w:val="16"/>
          <w:szCs w:val="16"/>
        </w:rPr>
        <w:t>e 29 de febrero de 2016</w:t>
      </w:r>
      <w:r>
        <w:rPr>
          <w:rFonts w:ascii="Verdana" w:hAnsi="Verdana"/>
          <w:spacing w:val="-12"/>
          <w:sz w:val="16"/>
          <w:szCs w:val="16"/>
        </w:rPr>
        <w:t xml:space="preserve"> del </w:t>
      </w:r>
      <w:r w:rsidRPr="00EE6C61">
        <w:rPr>
          <w:rFonts w:ascii="Verdana" w:hAnsi="Verdana"/>
          <w:spacing w:val="-12"/>
          <w:sz w:val="16"/>
          <w:szCs w:val="16"/>
        </w:rPr>
        <w:t xml:space="preserve">Despacho del Procurador General de la Nación, revocatoria directa del fallo disciplinario del 22 de octubre de 1992 </w:t>
      </w:r>
      <w:r>
        <w:rPr>
          <w:rFonts w:ascii="Verdana" w:hAnsi="Verdana"/>
          <w:spacing w:val="-12"/>
          <w:sz w:val="16"/>
          <w:szCs w:val="16"/>
        </w:rPr>
        <w:t>(exp. prueba, ff. 5999 a 6007).</w:t>
      </w:r>
    </w:p>
  </w:footnote>
  <w:footnote w:id="71">
    <w:p w:rsidR="00996758" w:rsidRPr="00EE6C61" w:rsidRDefault="00996758" w:rsidP="00103EC8">
      <w:pPr>
        <w:pStyle w:val="FootnoteText"/>
        <w:tabs>
          <w:tab w:val="left" w:pos="709"/>
        </w:tabs>
        <w:spacing w:before="120" w:after="120"/>
        <w:jc w:val="both"/>
        <w:rPr>
          <w:rFonts w:ascii="Verdana" w:hAnsi="Verdana"/>
          <w:spacing w:val="-12"/>
          <w:sz w:val="16"/>
          <w:szCs w:val="16"/>
          <w:highlight w:val="yellow"/>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spacing w:val="-12"/>
          <w:sz w:val="16"/>
          <w:szCs w:val="16"/>
        </w:rPr>
        <w:t>Comunicaciones del Estado de 16 de septiembre y 11 de octubre de 1991 (exp. p</w:t>
      </w:r>
      <w:r>
        <w:rPr>
          <w:rFonts w:ascii="Verdana" w:hAnsi="Verdana"/>
          <w:spacing w:val="-12"/>
          <w:sz w:val="16"/>
          <w:szCs w:val="16"/>
        </w:rPr>
        <w:t>rueba, ff. 73 a 80 y 81 a 83); s</w:t>
      </w:r>
      <w:r w:rsidRPr="00EE6C61">
        <w:rPr>
          <w:rFonts w:ascii="Verdana" w:hAnsi="Verdana"/>
          <w:spacing w:val="-12"/>
          <w:sz w:val="16"/>
          <w:szCs w:val="16"/>
        </w:rPr>
        <w:t xml:space="preserve">entencia </w:t>
      </w:r>
      <w:r>
        <w:rPr>
          <w:rFonts w:ascii="Verdana" w:hAnsi="Verdana"/>
          <w:spacing w:val="-12"/>
          <w:sz w:val="16"/>
          <w:szCs w:val="16"/>
        </w:rPr>
        <w:t xml:space="preserve">de </w:t>
      </w:r>
      <w:r w:rsidRPr="00EE6C61">
        <w:rPr>
          <w:rFonts w:ascii="Verdana" w:hAnsi="Verdana"/>
          <w:spacing w:val="-12"/>
          <w:sz w:val="16"/>
          <w:szCs w:val="16"/>
        </w:rPr>
        <w:t>23 de septiembre de 1994</w:t>
      </w:r>
      <w:r>
        <w:rPr>
          <w:rFonts w:ascii="Verdana" w:hAnsi="Verdana"/>
          <w:spacing w:val="-12"/>
          <w:sz w:val="16"/>
          <w:szCs w:val="16"/>
        </w:rPr>
        <w:t xml:space="preserve"> </w:t>
      </w:r>
      <w:r w:rsidRPr="00EE6C61">
        <w:rPr>
          <w:rFonts w:ascii="Verdana" w:hAnsi="Verdana"/>
          <w:spacing w:val="-12"/>
          <w:sz w:val="16"/>
          <w:szCs w:val="16"/>
        </w:rPr>
        <w:t>del Consejo de Estado, Sala de lo Contencioso Administrativo Secc</w:t>
      </w:r>
      <w:r>
        <w:rPr>
          <w:rFonts w:ascii="Verdana" w:hAnsi="Verdana"/>
          <w:spacing w:val="-12"/>
          <w:sz w:val="16"/>
          <w:szCs w:val="16"/>
        </w:rPr>
        <w:t>ión Tercera. Santa Fe de Bogotá</w:t>
      </w:r>
      <w:r w:rsidRPr="00EE6C61">
        <w:rPr>
          <w:rFonts w:ascii="Verdana" w:hAnsi="Verdana"/>
          <w:spacing w:val="-12"/>
          <w:sz w:val="16"/>
          <w:szCs w:val="16"/>
        </w:rPr>
        <w:t xml:space="preserve"> (exp. prueba, f. 2).</w:t>
      </w:r>
    </w:p>
  </w:footnote>
  <w:footnote w:id="72">
    <w:p w:rsidR="00996758" w:rsidRPr="00EE6C61" w:rsidRDefault="00996758" w:rsidP="00103EC8">
      <w:pPr>
        <w:pStyle w:val="FootnoteText"/>
        <w:tabs>
          <w:tab w:val="left" w:pos="709"/>
        </w:tabs>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Pr>
          <w:rFonts w:ascii="Verdana" w:hAnsi="Verdana"/>
          <w:spacing w:val="-12"/>
          <w:sz w:val="16"/>
          <w:szCs w:val="16"/>
        </w:rPr>
        <w:t xml:space="preserve"> </w:t>
      </w:r>
      <w:r w:rsidRPr="00EE6C61">
        <w:rPr>
          <w:rFonts w:ascii="Verdana" w:hAnsi="Verdana"/>
          <w:spacing w:val="-12"/>
          <w:sz w:val="16"/>
          <w:szCs w:val="16"/>
        </w:rPr>
        <w:t>Huellas y Rostros de la D</w:t>
      </w:r>
      <w:r>
        <w:rPr>
          <w:rFonts w:ascii="Verdana" w:hAnsi="Verdana"/>
          <w:spacing w:val="-12"/>
          <w:sz w:val="16"/>
          <w:szCs w:val="16"/>
        </w:rPr>
        <w:t>esaparición Forzada (1970-2010)</w:t>
      </w:r>
      <w:r w:rsidRPr="00EE6C61">
        <w:rPr>
          <w:rFonts w:ascii="Verdana" w:hAnsi="Verdana"/>
          <w:spacing w:val="-12"/>
          <w:sz w:val="16"/>
          <w:szCs w:val="16"/>
        </w:rPr>
        <w:t xml:space="preserve"> </w:t>
      </w:r>
      <w:r w:rsidRPr="00EE6C61">
        <w:rPr>
          <w:rFonts w:ascii="Verdana" w:hAnsi="Verdana"/>
          <w:i/>
          <w:spacing w:val="-12"/>
          <w:sz w:val="16"/>
          <w:szCs w:val="16"/>
        </w:rPr>
        <w:t>(</w:t>
      </w:r>
      <w:r w:rsidRPr="00EE6C61">
        <w:rPr>
          <w:rFonts w:ascii="Verdana" w:hAnsi="Verdana"/>
          <w:spacing w:val="-12"/>
          <w:sz w:val="16"/>
          <w:szCs w:val="16"/>
        </w:rPr>
        <w:t>exp. prueba, ff. 5553 a 5600).</w:t>
      </w:r>
    </w:p>
  </w:footnote>
  <w:footnote w:id="7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3 de la Convención Americana establece: “Toda persona tiene derecho al reconocimiento de su personalidad jurídica”.</w:t>
      </w:r>
    </w:p>
  </w:footnote>
  <w:footnote w:id="7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4.1 de la Convención Americana establece: “Toda persona tiene derecho a que se respete su vida. Este derecho estará protegido por la ley y, en general, a partir del momento de la concepción. Nadie puede ser privado de la vida arbitrariamente”.</w:t>
      </w:r>
    </w:p>
  </w:footnote>
  <w:footnote w:id="7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5.1 de la Convención Americana señala: “Toda persona tiene derecho a que se respete su integridad física, psíquica y moral”.</w:t>
      </w:r>
    </w:p>
  </w:footnote>
  <w:footnote w:id="7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7 de la Convención Americana establece: “1. Toda persona tiene derecho a la libertad y a la seguridad personales [;] 2. Nadie puede ser privado de su libertad física, salvo por las causas y en las condiciones fijadas de antemano por las Constituciones Políticas de los Estados Partes o por las leyes dictadas conforme a ellas [;] 3. Nadie puede ser sometido a detención o encarcelamiento arbitrarios […]”.</w:t>
      </w:r>
    </w:p>
  </w:footnote>
  <w:footnote w:id="7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I.a) y I.b) de la Convención Interamericana sobre Desaparición Forzada de Personas establece: “Los Estados Partes en esta Convención se comprometen a: a) No practicar, no permitir, ni tolerar la desaparición forzada de personas, ni aun en estado de emergencia, excepción o suspensión de garantías individuales; b) Sancionar en el ámbito de su jurisdicción a los autores, cómplices y encubridores del delito de desaparición forzada de personas, así como la tentativa de comisión del mismo”.</w:t>
      </w:r>
    </w:p>
  </w:footnote>
  <w:footnote w:id="7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16 de la Convención Americana reconoce que: “Todas las personas tienen derecho a asociarse libremente con fines ideológicos, religiosos, políticos, económicos, laborales, sociales, culturales, deportivos o de cualquier índole.”</w:t>
      </w:r>
    </w:p>
  </w:footnote>
  <w:footnote w:id="7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 Goiburú y otros Vs. Paraguay.</w:t>
      </w:r>
      <w:r w:rsidRPr="00EE6C61">
        <w:rPr>
          <w:rFonts w:ascii="Verdana" w:hAnsi="Verdana"/>
          <w:spacing w:val="-12"/>
          <w:sz w:val="16"/>
          <w:szCs w:val="16"/>
        </w:rPr>
        <w:t xml:space="preserve"> </w:t>
      </w:r>
      <w:r w:rsidRPr="00EE6C61">
        <w:rPr>
          <w:rFonts w:ascii="Verdana" w:hAnsi="Verdana"/>
          <w:i/>
          <w:spacing w:val="-12"/>
          <w:sz w:val="16"/>
          <w:szCs w:val="16"/>
        </w:rPr>
        <w:t xml:space="preserve">Fondo, Reparaciones y Costas. </w:t>
      </w:r>
      <w:r w:rsidRPr="00EE6C61">
        <w:rPr>
          <w:rFonts w:ascii="Verdana" w:hAnsi="Verdana"/>
          <w:spacing w:val="-12"/>
          <w:sz w:val="16"/>
          <w:szCs w:val="16"/>
        </w:rPr>
        <w:t xml:space="preserve">Sentencia de 22 de septiembre de 2006. Serie C No. 153, párr. 84; </w:t>
      </w:r>
      <w:r w:rsidRPr="00EE6C61">
        <w:rPr>
          <w:rFonts w:ascii="Verdana" w:hAnsi="Verdana"/>
          <w:i/>
          <w:spacing w:val="-12"/>
          <w:sz w:val="16"/>
          <w:szCs w:val="16"/>
        </w:rPr>
        <w:t xml:space="preserve">Caso Anzualdo Castro Vs. Perú. Excepción Preliminar, Fondo, Reparaciones y Costas. </w:t>
      </w:r>
      <w:r w:rsidRPr="00EE6C61">
        <w:rPr>
          <w:rFonts w:ascii="Verdana" w:hAnsi="Verdana"/>
          <w:spacing w:val="-12"/>
          <w:sz w:val="16"/>
          <w:szCs w:val="16"/>
        </w:rPr>
        <w:t>Sentencia de 22 de septiembre de 2009. Serie C No. 202., párr. 60, y</w:t>
      </w:r>
      <w:r w:rsidRPr="00EE6C61">
        <w:rPr>
          <w:rFonts w:ascii="Verdana" w:hAnsi="Verdana"/>
          <w:i/>
          <w:spacing w:val="-12"/>
          <w:sz w:val="16"/>
          <w:szCs w:val="16"/>
        </w:rPr>
        <w:t xml:space="preserve"> </w:t>
      </w:r>
      <w:r w:rsidRPr="00EE6C61">
        <w:rPr>
          <w:rFonts w:ascii="Verdana" w:hAnsi="Verdana" w:cs="Times New Roman"/>
          <w:bCs/>
          <w:i/>
          <w:iCs/>
          <w:spacing w:val="-12"/>
          <w:sz w:val="16"/>
          <w:szCs w:val="16"/>
        </w:rPr>
        <w:t xml:space="preserve">Caso Vereda La Esperanza Vs. Colombia, </w:t>
      </w:r>
      <w:r w:rsidRPr="00EE6C61">
        <w:rPr>
          <w:rFonts w:ascii="Verdana" w:hAnsi="Verdana" w:cs="Times New Roman"/>
          <w:bCs/>
          <w:iCs/>
          <w:spacing w:val="-12"/>
          <w:sz w:val="16"/>
          <w:szCs w:val="16"/>
        </w:rPr>
        <w:t>párr. 149.</w:t>
      </w:r>
    </w:p>
  </w:footnote>
  <w:footnote w:id="8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inter alia,</w:t>
      </w:r>
      <w:r w:rsidRPr="00EE6C61">
        <w:rPr>
          <w:rFonts w:ascii="Verdana" w:hAnsi="Verdana"/>
          <w:sz w:val="16"/>
          <w:szCs w:val="16"/>
        </w:rPr>
        <w:t xml:space="preserve"> </w:t>
      </w:r>
      <w:r w:rsidRPr="00EE6C61">
        <w:rPr>
          <w:rFonts w:ascii="Verdana" w:hAnsi="Verdana"/>
          <w:i/>
          <w:spacing w:val="-12"/>
          <w:sz w:val="16"/>
          <w:szCs w:val="16"/>
        </w:rPr>
        <w:t>Caso Velásquez Rodríguez Vs. Honduras. Fondo, supra; Godínez Cruz Vs. Honduras. Fondo. Sentencia de 20 de enero de 1989. Serie C No. 5</w:t>
      </w:r>
      <w:r>
        <w:rPr>
          <w:rFonts w:ascii="Verdana" w:hAnsi="Verdana"/>
          <w:i/>
          <w:spacing w:val="-12"/>
          <w:sz w:val="16"/>
          <w:szCs w:val="16"/>
        </w:rPr>
        <w:t xml:space="preserve">; Caso Anzualdo Castro Vs. Perú, </w:t>
      </w:r>
      <w:r w:rsidRPr="00EE6C61">
        <w:rPr>
          <w:rFonts w:ascii="Verdana" w:hAnsi="Verdana"/>
          <w:spacing w:val="-12"/>
          <w:sz w:val="16"/>
          <w:szCs w:val="16"/>
        </w:rPr>
        <w:t xml:space="preserve">párrs. 51-103; y </w:t>
      </w:r>
      <w:r w:rsidRPr="00EE6C61">
        <w:rPr>
          <w:rFonts w:ascii="Verdana" w:hAnsi="Verdana"/>
          <w:i/>
          <w:spacing w:val="-12"/>
          <w:sz w:val="16"/>
          <w:szCs w:val="16"/>
        </w:rPr>
        <w:t xml:space="preserve">Caso Vásquez Durand y otros Vs. Ecuador, </w:t>
      </w:r>
      <w:r w:rsidRPr="00EE6C61">
        <w:rPr>
          <w:rFonts w:ascii="Verdana" w:hAnsi="Verdana"/>
          <w:spacing w:val="-12"/>
          <w:sz w:val="16"/>
          <w:szCs w:val="16"/>
        </w:rPr>
        <w:t>párr. 133</w:t>
      </w:r>
      <w:r w:rsidRPr="00EE6C61">
        <w:rPr>
          <w:rFonts w:ascii="Verdana" w:hAnsi="Verdana"/>
          <w:i/>
          <w:spacing w:val="-12"/>
          <w:sz w:val="16"/>
          <w:szCs w:val="16"/>
        </w:rPr>
        <w:t>.</w:t>
      </w:r>
    </w:p>
  </w:footnote>
  <w:footnote w:id="8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 Goiburú y otros Vs. Paraguay</w:t>
      </w:r>
      <w:r w:rsidRPr="00EE6C61">
        <w:rPr>
          <w:rFonts w:ascii="Verdana" w:hAnsi="Verdana"/>
          <w:spacing w:val="-12"/>
          <w:sz w:val="16"/>
          <w:szCs w:val="16"/>
        </w:rPr>
        <w:t xml:space="preserve">, párr. 85; y </w:t>
      </w:r>
      <w:r w:rsidRPr="00EE6C61">
        <w:rPr>
          <w:rFonts w:ascii="Verdana" w:hAnsi="Verdana"/>
          <w:i/>
          <w:spacing w:val="-12"/>
          <w:sz w:val="16"/>
          <w:szCs w:val="16"/>
        </w:rPr>
        <w:t xml:space="preserve">Caso Vásquez Durand y otros Vs. Ecuador, </w:t>
      </w:r>
      <w:r>
        <w:rPr>
          <w:rFonts w:ascii="Verdana" w:hAnsi="Verdana"/>
          <w:spacing w:val="-12"/>
          <w:sz w:val="16"/>
          <w:szCs w:val="16"/>
        </w:rPr>
        <w:t>párr. 106</w:t>
      </w:r>
      <w:r w:rsidRPr="00EE6C61">
        <w:rPr>
          <w:rFonts w:ascii="Verdana" w:hAnsi="Verdana"/>
          <w:i/>
          <w:spacing w:val="-12"/>
          <w:sz w:val="16"/>
          <w:szCs w:val="16"/>
        </w:rPr>
        <w:t>.</w:t>
      </w:r>
    </w:p>
  </w:footnote>
  <w:footnote w:id="82">
    <w:p w:rsidR="00996758" w:rsidRPr="00EE6C61" w:rsidRDefault="00996758" w:rsidP="00103EC8">
      <w:pPr>
        <w:pStyle w:val="FootnoteText"/>
        <w:tabs>
          <w:tab w:val="left" w:pos="709"/>
        </w:tabs>
        <w:spacing w:before="120" w:after="120"/>
        <w:jc w:val="both"/>
        <w:rPr>
          <w:rFonts w:ascii="Verdana" w:hAnsi="Verdana"/>
          <w:i/>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Suárez Rosero Vs. Ecuador. Fondo. </w:t>
      </w:r>
      <w:r w:rsidRPr="00EE6C61">
        <w:rPr>
          <w:rFonts w:ascii="Verdana" w:hAnsi="Verdana"/>
          <w:spacing w:val="-12"/>
          <w:sz w:val="16"/>
          <w:szCs w:val="16"/>
        </w:rPr>
        <w:t xml:space="preserve">Sentencia de 12 de noviembre de 1997. Serie C No. 35, párr. 37, y </w:t>
      </w:r>
      <w:r w:rsidRPr="00EE6C61">
        <w:rPr>
          <w:rFonts w:ascii="Verdana" w:hAnsi="Verdana"/>
          <w:i/>
          <w:spacing w:val="-12"/>
          <w:sz w:val="16"/>
          <w:szCs w:val="16"/>
        </w:rPr>
        <w:t xml:space="preserve">Caso San Miguel Sosa y otras Vs. Venezuela, supra, </w:t>
      </w:r>
      <w:r w:rsidRPr="00EE6C61">
        <w:rPr>
          <w:rFonts w:ascii="Verdana" w:hAnsi="Verdana"/>
          <w:spacing w:val="-12"/>
          <w:sz w:val="16"/>
          <w:szCs w:val="16"/>
        </w:rPr>
        <w:t>párr. 203.</w:t>
      </w:r>
    </w:p>
  </w:footnote>
  <w:footnote w:id="83">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Style w:val="FootnoteReference"/>
          <w:rFonts w:ascii="Verdana" w:hAnsi="Verdana"/>
          <w:spacing w:val="-12"/>
          <w:sz w:val="16"/>
          <w:szCs w:val="16"/>
        </w:rPr>
        <w:t xml:space="preserve"> </w:t>
      </w:r>
      <w:r w:rsidRPr="00EE6C61">
        <w:rPr>
          <w:rFonts w:ascii="Verdana" w:hAnsi="Verdana"/>
          <w:spacing w:val="-12"/>
          <w:sz w:val="16"/>
          <w:szCs w:val="16"/>
        </w:rPr>
        <w:tab/>
        <w:t xml:space="preserve">Bajo el artículo 1.1 de la Convención, todo menoscabo a los derechos humanos reconocidos en la Convención que pueda ser atribuido, según las reglas del Derecho Internacional, a la acción u omisión de cualquier autoridad pública, constituye un hecho imputable al Estado que compromete su responsabilidad en los términos previstos por la misma Convención, independientemente de que el órgano o funcionario haya actuado en contravención de disposiciones de derecho interno o desbordado los límites de su propia competencia. </w:t>
      </w:r>
      <w:r w:rsidRPr="00EE6C61">
        <w:rPr>
          <w:rFonts w:ascii="Verdana" w:hAnsi="Verdana"/>
          <w:i/>
          <w:spacing w:val="-12"/>
          <w:sz w:val="16"/>
          <w:szCs w:val="16"/>
        </w:rPr>
        <w:t>Cfr.</w:t>
      </w:r>
      <w:r>
        <w:rPr>
          <w:rFonts w:ascii="Verdana" w:hAnsi="Verdana"/>
          <w:i/>
          <w:spacing w:val="-12"/>
          <w:sz w:val="16"/>
          <w:szCs w:val="16"/>
        </w:rPr>
        <w:t xml:space="preserve">, inter alia, </w:t>
      </w:r>
      <w:r w:rsidRPr="00EE6C61">
        <w:rPr>
          <w:rFonts w:ascii="Verdana" w:hAnsi="Verdana"/>
          <w:i/>
          <w:spacing w:val="-12"/>
          <w:sz w:val="16"/>
          <w:szCs w:val="16"/>
        </w:rPr>
        <w:t xml:space="preserve"> Caso “Cinco Pensionistas” Vs. Perú.</w:t>
      </w:r>
      <w:r w:rsidRPr="00EE6C61">
        <w:rPr>
          <w:rFonts w:ascii="Verdana" w:hAnsi="Verdana"/>
          <w:spacing w:val="-12"/>
          <w:sz w:val="16"/>
          <w:szCs w:val="16"/>
        </w:rPr>
        <w:t xml:space="preserve"> Sentencia de 28 de febrero de 2003. Serie C No. 98, párr. 63;</w:t>
      </w:r>
      <w:r w:rsidRPr="00EE6C61">
        <w:rPr>
          <w:rFonts w:ascii="Verdana" w:hAnsi="Verdana"/>
          <w:i/>
          <w:spacing w:val="-12"/>
          <w:sz w:val="16"/>
          <w:szCs w:val="16"/>
        </w:rPr>
        <w:t xml:space="preserve"> Condición Jurídica y Derechos de los Migrantes Indocumentados.</w:t>
      </w:r>
      <w:r w:rsidRPr="00EE6C61">
        <w:rPr>
          <w:rFonts w:ascii="Verdana" w:hAnsi="Verdana"/>
          <w:spacing w:val="-12"/>
          <w:sz w:val="16"/>
          <w:szCs w:val="16"/>
        </w:rPr>
        <w:t xml:space="preserve"> Opinión Consultiva OC-18/03 de 17 de septiembre  de 2003. Serie A No. 18, párr. 76</w:t>
      </w:r>
      <w:r>
        <w:rPr>
          <w:rFonts w:ascii="Verdana" w:hAnsi="Verdana"/>
          <w:spacing w:val="-12"/>
          <w:sz w:val="16"/>
          <w:szCs w:val="16"/>
        </w:rPr>
        <w:t>.</w:t>
      </w:r>
    </w:p>
  </w:footnote>
  <w:footnote w:id="8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iCs/>
          <w:spacing w:val="-12"/>
          <w:sz w:val="16"/>
          <w:szCs w:val="16"/>
        </w:rPr>
        <w:t xml:space="preserve">Cfr. </w:t>
      </w:r>
      <w:r w:rsidRPr="00EE6C61">
        <w:rPr>
          <w:rFonts w:ascii="Verdana" w:hAnsi="Verdana"/>
          <w:i/>
          <w:spacing w:val="-12"/>
          <w:sz w:val="16"/>
          <w:szCs w:val="16"/>
        </w:rPr>
        <w:t xml:space="preserve">Caso de los “Niños de la Calle” (Villagrán Morales y otros). </w:t>
      </w:r>
      <w:r w:rsidRPr="00EE6C61">
        <w:rPr>
          <w:rFonts w:ascii="Verdana" w:hAnsi="Verdana"/>
          <w:spacing w:val="-12"/>
          <w:sz w:val="16"/>
          <w:szCs w:val="16"/>
        </w:rPr>
        <w:t xml:space="preserve">Sentencia de 19 de noviembre de 1999. Serie C No. 63, párr. 75; </w:t>
      </w:r>
      <w:r w:rsidRPr="00EE6C61">
        <w:rPr>
          <w:rFonts w:ascii="Verdana" w:hAnsi="Verdana"/>
          <w:i/>
          <w:color w:val="000000"/>
          <w:spacing w:val="-12"/>
          <w:sz w:val="16"/>
          <w:szCs w:val="16"/>
        </w:rPr>
        <w:t>Caso 19 Comerciantes</w:t>
      </w:r>
      <w:r w:rsidRPr="00EE6C61">
        <w:rPr>
          <w:rFonts w:ascii="Verdana" w:hAnsi="Verdana"/>
          <w:color w:val="000000"/>
          <w:spacing w:val="-12"/>
          <w:sz w:val="16"/>
          <w:szCs w:val="16"/>
        </w:rPr>
        <w:t>. Sentencia de 5 de julio de 2004. Serie C No. 109, párr. 141</w:t>
      </w:r>
      <w:r>
        <w:rPr>
          <w:rFonts w:ascii="Verdana" w:hAnsi="Verdana"/>
          <w:spacing w:val="-12"/>
          <w:sz w:val="16"/>
          <w:szCs w:val="16"/>
        </w:rPr>
        <w:t xml:space="preserve">; y </w:t>
      </w:r>
      <w:r w:rsidRPr="009E72E5">
        <w:rPr>
          <w:rFonts w:ascii="Verdana" w:hAnsi="Verdana"/>
          <w:i/>
          <w:spacing w:val="-12"/>
          <w:sz w:val="16"/>
          <w:szCs w:val="16"/>
        </w:rPr>
        <w:t>Caso Rodríguez Vera y otros (Desaparecidos del Palacio de Justicia) Vs. Colombia</w:t>
      </w:r>
      <w:r w:rsidRPr="00EE6C61">
        <w:rPr>
          <w:rFonts w:ascii="Verdana" w:hAnsi="Verdana"/>
          <w:i/>
          <w:spacing w:val="-12"/>
          <w:sz w:val="16"/>
          <w:szCs w:val="16"/>
        </w:rPr>
        <w:t>,</w:t>
      </w:r>
      <w:r>
        <w:rPr>
          <w:rFonts w:ascii="Verdana" w:hAnsi="Verdana"/>
          <w:spacing w:val="-12"/>
          <w:sz w:val="16"/>
          <w:szCs w:val="16"/>
        </w:rPr>
        <w:t xml:space="preserve"> párr. 81.</w:t>
      </w:r>
    </w:p>
  </w:footnote>
  <w:footnote w:id="85">
    <w:p w:rsidR="00996758" w:rsidRPr="00EE6C61" w:rsidRDefault="00996758" w:rsidP="00103EC8">
      <w:pPr>
        <w:pStyle w:val="FootnoteText"/>
        <w:spacing w:before="120" w:after="120"/>
        <w:jc w:val="both"/>
        <w:rPr>
          <w:rFonts w:ascii="Verdana" w:hAnsi="Verdana" w:cs="Verdana"/>
          <w:spacing w:val="-12"/>
          <w:sz w:val="16"/>
          <w:szCs w:val="16"/>
          <w:lang w:eastAsia="es-CR"/>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Velásquez Rodríguez Vs. Honduras. Fondo, </w:t>
      </w:r>
      <w:r w:rsidRPr="00EE6C61">
        <w:rPr>
          <w:rFonts w:ascii="Verdana" w:hAnsi="Verdana"/>
          <w:spacing w:val="-12"/>
          <w:sz w:val="16"/>
          <w:szCs w:val="16"/>
        </w:rPr>
        <w:t xml:space="preserve">párrs. 127 y 128, y </w:t>
      </w:r>
      <w:r w:rsidRPr="00EE6C61">
        <w:rPr>
          <w:rFonts w:ascii="Verdana" w:hAnsi="Verdana"/>
          <w:i/>
          <w:spacing w:val="-12"/>
          <w:sz w:val="16"/>
          <w:szCs w:val="16"/>
        </w:rPr>
        <w:t xml:space="preserve">Caso Rodríguez Vera y otros (Desaparecidos del Palacio de Justicia) Vs. Colombia, supra, </w:t>
      </w:r>
      <w:r w:rsidRPr="00EE6C61">
        <w:rPr>
          <w:rFonts w:ascii="Verdana" w:hAnsi="Verdana"/>
          <w:spacing w:val="-12"/>
          <w:sz w:val="16"/>
          <w:szCs w:val="16"/>
        </w:rPr>
        <w:t>párr.81.</w:t>
      </w:r>
    </w:p>
  </w:footnote>
  <w:footnote w:id="8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Times"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Caso Velásquez Rodríguez Vs. Honduras. Fondo, supra, </w:t>
      </w:r>
      <w:r w:rsidRPr="00EE6C61">
        <w:rPr>
          <w:rFonts w:ascii="Verdana" w:hAnsi="Verdana"/>
          <w:spacing w:val="-12"/>
          <w:sz w:val="16"/>
          <w:szCs w:val="16"/>
        </w:rPr>
        <w:t xml:space="preserve"> párrs. 130 y 131; </w:t>
      </w:r>
      <w:r w:rsidRPr="00EE6C61">
        <w:rPr>
          <w:rFonts w:ascii="Verdana" w:hAnsi="Verdana"/>
          <w:color w:val="000000"/>
          <w:spacing w:val="-12"/>
          <w:sz w:val="16"/>
          <w:szCs w:val="16"/>
        </w:rPr>
        <w:t xml:space="preserve">y </w:t>
      </w:r>
      <w:r w:rsidRPr="001A4A00">
        <w:rPr>
          <w:rFonts w:ascii="Verdana" w:hAnsi="Verdana"/>
          <w:i/>
          <w:spacing w:val="-12"/>
          <w:sz w:val="16"/>
          <w:szCs w:val="16"/>
        </w:rPr>
        <w:t>Caso Mu</w:t>
      </w:r>
      <w:r>
        <w:rPr>
          <w:rFonts w:ascii="Verdana" w:hAnsi="Verdana"/>
          <w:i/>
          <w:spacing w:val="-12"/>
          <w:sz w:val="16"/>
          <w:szCs w:val="16"/>
        </w:rPr>
        <w:t>nárriz Escobar y otros Vs. Perú,</w:t>
      </w:r>
      <w:r w:rsidRPr="001A4A00">
        <w:rPr>
          <w:rFonts w:ascii="Verdana" w:hAnsi="Verdana"/>
          <w:i/>
          <w:spacing w:val="-12"/>
          <w:sz w:val="16"/>
          <w:szCs w:val="16"/>
        </w:rPr>
        <w:t xml:space="preserve"> </w:t>
      </w:r>
      <w:r w:rsidRPr="004F143D">
        <w:rPr>
          <w:rFonts w:ascii="Verdana" w:hAnsi="Verdana"/>
          <w:spacing w:val="-12"/>
          <w:sz w:val="16"/>
          <w:szCs w:val="16"/>
        </w:rPr>
        <w:t>párr. 67</w:t>
      </w:r>
      <w:r w:rsidRPr="001A4A00">
        <w:rPr>
          <w:rFonts w:ascii="Verdana" w:hAnsi="Verdana"/>
          <w:spacing w:val="-12"/>
          <w:sz w:val="16"/>
          <w:szCs w:val="16"/>
        </w:rPr>
        <w:t>.</w:t>
      </w:r>
      <w:r w:rsidRPr="00EE6C61">
        <w:rPr>
          <w:rFonts w:ascii="Verdana" w:hAnsi="Verdana"/>
          <w:spacing w:val="-12"/>
          <w:sz w:val="16"/>
          <w:szCs w:val="16"/>
        </w:rPr>
        <w:t xml:space="preserve"> En este sentido, en el </w:t>
      </w:r>
      <w:r w:rsidRPr="00EE6C61">
        <w:rPr>
          <w:rFonts w:ascii="Verdana" w:hAnsi="Verdana"/>
          <w:i/>
          <w:spacing w:val="-12"/>
          <w:sz w:val="16"/>
          <w:szCs w:val="16"/>
        </w:rPr>
        <w:t>caso González Medina y familiares vs. República Dominicana</w:t>
      </w:r>
      <w:r w:rsidRPr="00EE6C61">
        <w:rPr>
          <w:rFonts w:ascii="Verdana" w:hAnsi="Verdana"/>
          <w:spacing w:val="-12"/>
          <w:sz w:val="16"/>
          <w:szCs w:val="16"/>
        </w:rPr>
        <w:t xml:space="preserve"> la Corte concluyó, por medio de prueba indiciaria, que la víctima había sido detenida y posteriormente desaparecida de manera forzada (</w:t>
      </w:r>
      <w:r w:rsidRPr="00EE6C61">
        <w:rPr>
          <w:rFonts w:ascii="Verdana" w:hAnsi="Verdana"/>
          <w:i/>
          <w:spacing w:val="-12"/>
          <w:sz w:val="16"/>
          <w:szCs w:val="16"/>
        </w:rPr>
        <w:t>Cfr. Caso González Medina y familiares Vs. República Dominicana. Excepciones Preliminares, Fondo, Reparaciones y Costas</w:t>
      </w:r>
      <w:r w:rsidRPr="00EE6C61">
        <w:rPr>
          <w:rFonts w:ascii="Verdana" w:hAnsi="Verdana"/>
          <w:spacing w:val="-12"/>
          <w:sz w:val="16"/>
          <w:szCs w:val="16"/>
        </w:rPr>
        <w:t xml:space="preserve">. Sentencia de 27 de febrero de 2012. Serie C No. 240.). Asimismo, en el </w:t>
      </w:r>
      <w:r w:rsidRPr="00EE6C61">
        <w:rPr>
          <w:rFonts w:ascii="Verdana" w:hAnsi="Verdana"/>
          <w:i/>
          <w:spacing w:val="-12"/>
          <w:sz w:val="16"/>
          <w:szCs w:val="16"/>
        </w:rPr>
        <w:t>caso Osorio Rivera y familiares vs. Perú,</w:t>
      </w:r>
      <w:r w:rsidRPr="00EE6C61">
        <w:rPr>
          <w:rFonts w:ascii="Verdana" w:hAnsi="Verdana"/>
          <w:spacing w:val="-12"/>
          <w:sz w:val="16"/>
          <w:szCs w:val="16"/>
        </w:rPr>
        <w:t xml:space="preserve"> la Corte calificó los hechos de la misma manera, infiriendo que la detención de la víctima había continuado más allá de una orden de libertad (</w:t>
      </w:r>
      <w:r w:rsidRPr="00EE6C61">
        <w:rPr>
          <w:rFonts w:ascii="Verdana" w:hAnsi="Verdana"/>
          <w:i/>
          <w:spacing w:val="-12"/>
          <w:sz w:val="16"/>
          <w:szCs w:val="16"/>
        </w:rPr>
        <w:t>Cfr. Caso Osorio Rivera y familiares Vs. Perú</w:t>
      </w:r>
      <w:r w:rsidRPr="00EE6C61">
        <w:rPr>
          <w:rFonts w:ascii="Verdana" w:hAnsi="Verdana"/>
          <w:spacing w:val="-12"/>
          <w:sz w:val="16"/>
          <w:szCs w:val="16"/>
        </w:rPr>
        <w:t>. supra.).</w:t>
      </w:r>
    </w:p>
  </w:footnote>
  <w:footnote w:id="87">
    <w:p w:rsidR="00996758" w:rsidRPr="00847339" w:rsidRDefault="00996758" w:rsidP="00103EC8">
      <w:pPr>
        <w:pStyle w:val="FootnoteText"/>
        <w:spacing w:before="120" w:after="120"/>
        <w:jc w:val="both"/>
        <w:rPr>
          <w:rFonts w:ascii="Verdana" w:hAnsi="Verdana" w:cs="Verdana"/>
          <w:spacing w:val="-12"/>
          <w:sz w:val="16"/>
          <w:szCs w:val="16"/>
        </w:rPr>
      </w:pPr>
      <w:r w:rsidRPr="00EE6C61">
        <w:rPr>
          <w:rStyle w:val="FootnoteReference"/>
          <w:rFonts w:ascii="Verdana" w:eastAsia="Times" w:hAnsi="Verdana"/>
          <w:spacing w:val="-12"/>
          <w:sz w:val="16"/>
          <w:szCs w:val="16"/>
        </w:rPr>
        <w:footnoteRef/>
      </w:r>
      <w:r w:rsidRPr="00EE6C61">
        <w:rPr>
          <w:rFonts w:ascii="Verdana" w:hAnsi="Verdana"/>
          <w:spacing w:val="-12"/>
          <w:sz w:val="16"/>
          <w:szCs w:val="16"/>
        </w:rPr>
        <w:tab/>
      </w:r>
      <w:r w:rsidRPr="00EE6C61">
        <w:rPr>
          <w:rFonts w:ascii="Verdana" w:hAnsi="Verdana"/>
          <w:i/>
          <w:spacing w:val="-12"/>
          <w:sz w:val="16"/>
          <w:szCs w:val="16"/>
        </w:rPr>
        <w:t>Cfr. Caso Gómez Palomino Vs. Perú. Fondo, Reparaciones y Costas</w:t>
      </w:r>
      <w:r w:rsidRPr="00EE6C61">
        <w:rPr>
          <w:rFonts w:ascii="Verdana" w:hAnsi="Verdana"/>
          <w:spacing w:val="-12"/>
          <w:sz w:val="16"/>
          <w:szCs w:val="16"/>
        </w:rPr>
        <w:t>. Sentencia de 22 de noviembre de 2005. Serie C No. 136,</w:t>
      </w:r>
      <w:r w:rsidRPr="00EE6C61">
        <w:rPr>
          <w:rFonts w:ascii="Verdana" w:hAnsi="Verdana"/>
          <w:i/>
          <w:spacing w:val="-12"/>
          <w:sz w:val="16"/>
          <w:szCs w:val="16"/>
        </w:rPr>
        <w:t xml:space="preserve"> </w:t>
      </w:r>
      <w:r w:rsidRPr="00EE6C61">
        <w:rPr>
          <w:rFonts w:ascii="Verdana" w:hAnsi="Verdana"/>
          <w:spacing w:val="-12"/>
          <w:sz w:val="16"/>
          <w:szCs w:val="16"/>
        </w:rPr>
        <w:t xml:space="preserve">párr. 97, y </w:t>
      </w:r>
      <w:r w:rsidRPr="001A4A00">
        <w:rPr>
          <w:rFonts w:ascii="Verdana" w:hAnsi="Verdana"/>
          <w:i/>
          <w:spacing w:val="-12"/>
          <w:sz w:val="16"/>
          <w:szCs w:val="16"/>
        </w:rPr>
        <w:t>Caso Mu</w:t>
      </w:r>
      <w:r>
        <w:rPr>
          <w:rFonts w:ascii="Verdana" w:hAnsi="Verdana"/>
          <w:i/>
          <w:spacing w:val="-12"/>
          <w:sz w:val="16"/>
          <w:szCs w:val="16"/>
        </w:rPr>
        <w:t xml:space="preserve">nárriz Escobar y otros Vs. Perú, </w:t>
      </w:r>
      <w:r w:rsidRPr="004F143D">
        <w:rPr>
          <w:rFonts w:ascii="Verdana" w:hAnsi="Verdana"/>
          <w:spacing w:val="-12"/>
          <w:sz w:val="16"/>
          <w:szCs w:val="16"/>
        </w:rPr>
        <w:t>párr. 63</w:t>
      </w:r>
      <w:r>
        <w:rPr>
          <w:rFonts w:ascii="Verdana" w:hAnsi="Verdana"/>
          <w:spacing w:val="-12"/>
          <w:sz w:val="16"/>
          <w:szCs w:val="16"/>
        </w:rPr>
        <w:t>.</w:t>
      </w:r>
    </w:p>
  </w:footnote>
  <w:footnote w:id="8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inter alia, Caso Velásquez Rodríguez Vs. Honduras. Fondo</w:t>
      </w:r>
      <w:r w:rsidRPr="00EE6C61">
        <w:rPr>
          <w:rFonts w:ascii="Verdana" w:hAnsi="Verdana"/>
          <w:spacing w:val="-12"/>
          <w:sz w:val="16"/>
          <w:szCs w:val="16"/>
        </w:rPr>
        <w:t xml:space="preserve">, supra, párrs. 155 a 157, y </w:t>
      </w:r>
      <w:r w:rsidRPr="00EE6C61">
        <w:rPr>
          <w:rFonts w:ascii="Verdana" w:hAnsi="Verdana"/>
          <w:i/>
          <w:spacing w:val="-12"/>
          <w:sz w:val="16"/>
          <w:szCs w:val="16"/>
        </w:rPr>
        <w:t>Caso</w:t>
      </w:r>
      <w:r w:rsidRPr="00EE6C61">
        <w:rPr>
          <w:rFonts w:ascii="Verdana" w:hAnsi="Verdana"/>
          <w:spacing w:val="-12"/>
          <w:sz w:val="16"/>
          <w:szCs w:val="16"/>
        </w:rPr>
        <w:t xml:space="preserve"> </w:t>
      </w:r>
      <w:r w:rsidRPr="00EE6C61">
        <w:rPr>
          <w:rFonts w:ascii="Verdana" w:hAnsi="Verdana"/>
          <w:i/>
          <w:spacing w:val="-12"/>
          <w:sz w:val="16"/>
          <w:szCs w:val="16"/>
        </w:rPr>
        <w:t>Vereda La Esperanza vs. Colombia, supra</w:t>
      </w:r>
      <w:r w:rsidRPr="00EE6C61">
        <w:rPr>
          <w:rFonts w:ascii="Verdana" w:hAnsi="Verdana"/>
          <w:spacing w:val="-12"/>
          <w:sz w:val="16"/>
          <w:szCs w:val="16"/>
        </w:rPr>
        <w:t>, párr. 150.</w:t>
      </w:r>
    </w:p>
  </w:footnote>
  <w:footnote w:id="89">
    <w:p w:rsidR="00996758" w:rsidRPr="001A4A00"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4F143D">
        <w:rPr>
          <w:rFonts w:ascii="Verdana" w:hAnsi="Verdana"/>
          <w:i/>
          <w:spacing w:val="-12"/>
          <w:sz w:val="16"/>
          <w:szCs w:val="16"/>
        </w:rPr>
        <w:t>Caso Radilla Pacheco Vs. México. Excepciones Preliminares, Fondo, Reparaciones y Costas</w:t>
      </w:r>
      <w:r w:rsidRPr="004F143D">
        <w:rPr>
          <w:rFonts w:ascii="Verdana" w:hAnsi="Verdana"/>
          <w:spacing w:val="-12"/>
          <w:sz w:val="16"/>
          <w:szCs w:val="16"/>
        </w:rPr>
        <w:t>. Sentencia de 23 de noviembre de 2009. Serie C No. 209, párr. 145, y</w:t>
      </w:r>
      <w:r w:rsidRPr="001A4A00">
        <w:rPr>
          <w:rFonts w:ascii="Verdana" w:hAnsi="Verdana"/>
          <w:i/>
          <w:spacing w:val="-12"/>
          <w:sz w:val="16"/>
          <w:szCs w:val="16"/>
        </w:rPr>
        <w:t xml:space="preserve"> Caso Miembros de la Aldea Chichupac y comunidades vecinas del Municipio de Rabinal Vs. Guatemala. </w:t>
      </w:r>
      <w:r w:rsidRPr="004F143D">
        <w:rPr>
          <w:rFonts w:ascii="Verdana" w:hAnsi="Verdana"/>
          <w:spacing w:val="-12"/>
          <w:sz w:val="16"/>
          <w:szCs w:val="16"/>
        </w:rPr>
        <w:t>Excepciones Preliminares, Fondo, Reparaciones y Costas. Sentencia de 30 de noviembre de 2016. Serie C No. 328.</w:t>
      </w:r>
    </w:p>
  </w:footnote>
  <w:footnote w:id="90">
    <w:p w:rsidR="00996758" w:rsidRPr="00ED666E" w:rsidRDefault="00996758" w:rsidP="00103EC8">
      <w:pPr>
        <w:tabs>
          <w:tab w:val="left" w:pos="426"/>
        </w:tabs>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La Declaración sobre la Protección de Todas las Personas contra las Desapariciones Forzadas de 1992, establece que se producen desapariciones forzadas en caso que: “se arreste, detenga o traslade contra su voluntad a las personas, o que estas resulten privadas de su libertad de alguna otra forma por agentes gubernamentales de cualquier sector o nivel, por grupos organizados o por particulares que actúan en nombre del Gobierno o con su apoyo directo o indirecto, su autorización o su asentimiento […]”. El artículo 2 de la Convención Internacional para la Protección de Todas las Personas contra las Desapariciones Forzadas de 2006 las define como: “el arresto, la detención, el secuestro o cualquier otra forma de privación de libertad que sean obra de agentes del Estado o por personas o grupos de personas que actúan con la autorización, el apoyo o la aquiescencia del Estado […]”. Por su parte, el artículo II de la Convención Interamericana sobre Desaparición Forzada la define como: “la privación de la libertad a una o más personas, cualquiera que fuere su forma, cometida por agentes del Estado o por personas o grupos de personas que actúen con la autorización, el apoyo o la aquiescencia del Estado, […]”.</w:t>
      </w:r>
      <w:r>
        <w:rPr>
          <w:rFonts w:ascii="Verdana" w:hAnsi="Verdana"/>
          <w:spacing w:val="-12"/>
          <w:sz w:val="16"/>
          <w:szCs w:val="16"/>
        </w:rPr>
        <w:t xml:space="preserve"> </w:t>
      </w:r>
      <w:r w:rsidRPr="004F143D">
        <w:rPr>
          <w:rFonts w:ascii="Verdana" w:hAnsi="Verdana"/>
          <w:i/>
          <w:spacing w:val="-12"/>
          <w:sz w:val="16"/>
          <w:szCs w:val="16"/>
        </w:rPr>
        <w:t>Cfr. Caso Velásquez Rodríguez Vs. Honduras. Fondo</w:t>
      </w:r>
      <w:r w:rsidRPr="004F143D">
        <w:rPr>
          <w:rFonts w:ascii="Verdana" w:hAnsi="Verdana"/>
          <w:spacing w:val="-12"/>
          <w:sz w:val="16"/>
          <w:szCs w:val="16"/>
        </w:rPr>
        <w:t xml:space="preserve">, párr. 129, y </w:t>
      </w:r>
      <w:r w:rsidRPr="004F143D">
        <w:rPr>
          <w:rFonts w:ascii="Verdana" w:hAnsi="Verdana"/>
          <w:i/>
          <w:spacing w:val="-12"/>
          <w:sz w:val="16"/>
          <w:szCs w:val="16"/>
        </w:rPr>
        <w:t>Caso Tenorio Roca y otros Vs. Perú. Excepciones Preliminares, Fondo, Reparaciones y Costas</w:t>
      </w:r>
      <w:r w:rsidRPr="004F143D">
        <w:rPr>
          <w:rFonts w:ascii="Verdana" w:hAnsi="Verdana"/>
          <w:spacing w:val="-12"/>
          <w:sz w:val="16"/>
          <w:szCs w:val="16"/>
        </w:rPr>
        <w:t>. Sentencia de 22 de junio de 2016. Serie C No. 314, párr. 148.</w:t>
      </w:r>
    </w:p>
  </w:footnote>
  <w:footnote w:id="9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 Blanco Romero y otros Vs. Venezuela. Fondo, Reparaciones y Costas.</w:t>
      </w:r>
      <w:r w:rsidRPr="00EE6C61">
        <w:rPr>
          <w:rFonts w:ascii="Verdana" w:hAnsi="Verdana"/>
          <w:spacing w:val="-12"/>
          <w:sz w:val="16"/>
          <w:szCs w:val="16"/>
        </w:rPr>
        <w:t xml:space="preserve"> Sentencia de 28 de noviembre de 2005. Serie C No. 138, párr. 105; y </w:t>
      </w:r>
      <w:r w:rsidRPr="001A4A00">
        <w:rPr>
          <w:rFonts w:ascii="Verdana" w:hAnsi="Verdana"/>
          <w:i/>
          <w:spacing w:val="-12"/>
          <w:sz w:val="16"/>
          <w:szCs w:val="16"/>
        </w:rPr>
        <w:t>Caso Mu</w:t>
      </w:r>
      <w:r>
        <w:rPr>
          <w:rFonts w:ascii="Verdana" w:hAnsi="Verdana"/>
          <w:i/>
          <w:spacing w:val="-12"/>
          <w:sz w:val="16"/>
          <w:szCs w:val="16"/>
        </w:rPr>
        <w:t>nárriz Escobar y otros Vs. Perú,</w:t>
      </w:r>
      <w:r w:rsidRPr="001A4A00">
        <w:rPr>
          <w:rFonts w:ascii="Verdana" w:hAnsi="Verdana"/>
          <w:i/>
          <w:spacing w:val="-12"/>
          <w:sz w:val="16"/>
          <w:szCs w:val="16"/>
        </w:rPr>
        <w:t xml:space="preserve"> </w:t>
      </w:r>
      <w:r>
        <w:rPr>
          <w:rFonts w:ascii="Verdana" w:hAnsi="Verdana"/>
          <w:spacing w:val="-12"/>
          <w:sz w:val="16"/>
          <w:szCs w:val="16"/>
        </w:rPr>
        <w:t>párr. 70.</w:t>
      </w:r>
      <w:r w:rsidRPr="00EE6C61">
        <w:rPr>
          <w:rFonts w:ascii="Verdana" w:hAnsi="Verdana"/>
          <w:spacing w:val="-12"/>
          <w:sz w:val="16"/>
          <w:szCs w:val="16"/>
        </w:rPr>
        <w:t xml:space="preserve"> Así, “la desaparición forzada puede iniciarse con una detención ilegal o con un arresto o detención inicialmente legal. Es decir que la protección de la víctima contra la desaparición forzada debe resultar efectiva contra la privación de libertad, cualquiera que sea la forma que ésta revista, y no limitarse a los casos de privación ilegal de libertad” (Grupo de Trabajo sobre las Desapariciones Forzadas o Involuntarias, Informe del Grupo de Trabajo sobre las Desapariciones Forzadas o Involuntarias, Comentario general sobre la definición de desapariciones forzadas, A/HRC/7/2, 10 de enero de 2008, párr. 7).</w:t>
      </w:r>
    </w:p>
  </w:footnote>
  <w:footnote w:id="92">
    <w:p w:rsidR="00996758" w:rsidRPr="001A4A00"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ab/>
      </w:r>
      <w:r w:rsidRPr="00EE6C61">
        <w:rPr>
          <w:rFonts w:ascii="Verdana" w:hAnsi="Verdana"/>
          <w:i/>
          <w:spacing w:val="-12"/>
          <w:sz w:val="16"/>
          <w:szCs w:val="16"/>
        </w:rPr>
        <w:t>Cfr. Caso de la Masacre de Pueblo Bello Vs. Colombia, supra</w:t>
      </w:r>
      <w:r w:rsidRPr="00EE6C61">
        <w:rPr>
          <w:rFonts w:ascii="Verdana" w:hAnsi="Verdana"/>
          <w:spacing w:val="-12"/>
          <w:sz w:val="16"/>
          <w:szCs w:val="16"/>
        </w:rPr>
        <w:t xml:space="preserve">, párr. 111; </w:t>
      </w:r>
      <w:r w:rsidRPr="00EE6C61">
        <w:rPr>
          <w:rFonts w:ascii="Verdana" w:hAnsi="Verdana" w:cs="Verdana"/>
          <w:bCs/>
          <w:spacing w:val="-12"/>
          <w:sz w:val="16"/>
          <w:szCs w:val="16"/>
        </w:rPr>
        <w:t xml:space="preserve">y </w:t>
      </w:r>
      <w:r w:rsidRPr="001A4A00">
        <w:rPr>
          <w:rFonts w:ascii="Verdana" w:hAnsi="Verdana" w:cs="Verdana"/>
          <w:bCs/>
          <w:i/>
          <w:spacing w:val="-12"/>
          <w:sz w:val="16"/>
          <w:szCs w:val="16"/>
        </w:rPr>
        <w:t>Caso Go</w:t>
      </w:r>
      <w:r>
        <w:rPr>
          <w:rFonts w:ascii="Verdana" w:hAnsi="Verdana" w:cs="Verdana"/>
          <w:bCs/>
          <w:i/>
          <w:spacing w:val="-12"/>
          <w:sz w:val="16"/>
          <w:szCs w:val="16"/>
        </w:rPr>
        <w:t>nzales Lluy y otros Vs. Ecuador,</w:t>
      </w:r>
      <w:r w:rsidRPr="001A4A00">
        <w:rPr>
          <w:rFonts w:ascii="Verdana" w:hAnsi="Verdana" w:cs="Verdana"/>
          <w:bCs/>
          <w:i/>
          <w:spacing w:val="-12"/>
          <w:sz w:val="16"/>
          <w:szCs w:val="16"/>
        </w:rPr>
        <w:t xml:space="preserve"> </w:t>
      </w:r>
      <w:r w:rsidRPr="00AE3EEA">
        <w:rPr>
          <w:rFonts w:ascii="Verdana" w:hAnsi="Verdana" w:cs="Verdana"/>
          <w:bCs/>
          <w:spacing w:val="-12"/>
          <w:sz w:val="16"/>
          <w:szCs w:val="16"/>
        </w:rPr>
        <w:t>párr. 168</w:t>
      </w:r>
    </w:p>
  </w:footnote>
  <w:footnote w:id="9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ab/>
      </w:r>
      <w:r w:rsidRPr="00EE6C61">
        <w:rPr>
          <w:rFonts w:ascii="Verdana" w:hAnsi="Verdana"/>
          <w:i/>
          <w:spacing w:val="-12"/>
          <w:sz w:val="16"/>
          <w:szCs w:val="16"/>
        </w:rPr>
        <w:t>Cfr. Caso Neira Alegría y otros Vs. Perú. Fondo</w:t>
      </w:r>
      <w:r w:rsidRPr="00EE6C61">
        <w:rPr>
          <w:rFonts w:ascii="Verdana" w:hAnsi="Verdana"/>
          <w:spacing w:val="-12"/>
          <w:sz w:val="16"/>
          <w:szCs w:val="16"/>
        </w:rPr>
        <w:t>. Sentencia de 19 de enero de 1995. Serie C No. 20, párr. 60,</w:t>
      </w:r>
      <w:r w:rsidRPr="00EE6C61">
        <w:rPr>
          <w:rFonts w:ascii="Verdana" w:hAnsi="Verdana" w:cs="Verdana"/>
          <w:bCs/>
          <w:spacing w:val="-12"/>
          <w:sz w:val="16"/>
          <w:szCs w:val="16"/>
        </w:rPr>
        <w:t xml:space="preserve"> y </w:t>
      </w:r>
      <w:r w:rsidRPr="00EE6C61">
        <w:rPr>
          <w:rFonts w:ascii="Verdana" w:hAnsi="Verdana" w:cs="Verdana"/>
          <w:bCs/>
          <w:i/>
          <w:spacing w:val="-12"/>
          <w:sz w:val="16"/>
          <w:szCs w:val="16"/>
        </w:rPr>
        <w:t xml:space="preserve">Caso Quispialaya Vilcapoma Vs. Perú. Excepciones Preliminares, Fondo, Reparaciones y Costas. </w:t>
      </w:r>
      <w:r w:rsidRPr="00EE6C61">
        <w:rPr>
          <w:rFonts w:ascii="Verdana" w:hAnsi="Verdana" w:cs="Verdana"/>
          <w:bCs/>
          <w:spacing w:val="-12"/>
          <w:sz w:val="16"/>
          <w:szCs w:val="16"/>
        </w:rPr>
        <w:t>Sentencia de 23 de noviembre de 2015. Serie C No. 308.</w:t>
      </w:r>
      <w:r w:rsidRPr="00EE6C61" w:rsidDel="001C27C8">
        <w:rPr>
          <w:rFonts w:ascii="Verdana" w:hAnsi="Verdana" w:cs="Verdana"/>
          <w:bCs/>
          <w:spacing w:val="-12"/>
          <w:sz w:val="16"/>
          <w:szCs w:val="16"/>
        </w:rPr>
        <w:t xml:space="preserve"> </w:t>
      </w:r>
      <w:r w:rsidRPr="00EE6C61">
        <w:rPr>
          <w:rFonts w:ascii="Verdana" w:hAnsi="Verdana" w:cs="Verdana"/>
          <w:bCs/>
          <w:spacing w:val="-12"/>
          <w:sz w:val="16"/>
          <w:szCs w:val="16"/>
        </w:rPr>
        <w:t>párr. 117.</w:t>
      </w:r>
    </w:p>
  </w:footnote>
  <w:footnote w:id="94">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eastAsia="Times" w:hAnsi="Verdana"/>
          <w:spacing w:val="-12"/>
          <w:sz w:val="16"/>
          <w:szCs w:val="16"/>
          <w:lang w:eastAsia="x-none"/>
        </w:rPr>
        <w:footnoteRef/>
      </w:r>
      <w:r w:rsidRPr="00EE6C61">
        <w:rPr>
          <w:rFonts w:ascii="Verdana" w:hAnsi="Verdana"/>
          <w:spacing w:val="-12"/>
          <w:sz w:val="16"/>
          <w:szCs w:val="16"/>
        </w:rPr>
        <w:tab/>
      </w:r>
      <w:r w:rsidRPr="00EE6C61">
        <w:rPr>
          <w:rFonts w:ascii="Verdana" w:hAnsi="Verdana"/>
          <w:i/>
          <w:spacing w:val="-12"/>
          <w:sz w:val="16"/>
          <w:szCs w:val="16"/>
        </w:rPr>
        <w:t>Cfr. Caso “Instituto de Reeducación del Menor” Vs. Paraguay, supra</w:t>
      </w:r>
      <w:r w:rsidRPr="00EE6C61">
        <w:rPr>
          <w:rFonts w:ascii="Verdana" w:hAnsi="Verdana"/>
          <w:spacing w:val="-12"/>
          <w:sz w:val="16"/>
          <w:szCs w:val="16"/>
        </w:rPr>
        <w:t xml:space="preserve">, párr. 152, y </w:t>
      </w:r>
      <w:r w:rsidRPr="00EE6C61">
        <w:rPr>
          <w:rFonts w:ascii="Verdana" w:hAnsi="Verdana"/>
          <w:i/>
          <w:spacing w:val="-12"/>
          <w:sz w:val="16"/>
          <w:szCs w:val="16"/>
        </w:rPr>
        <w:t>Caso Chinchilla Sandoval y otros Vs. Guatemala. Excepción Preliminar, Fondo, Reparaciones y Costas</w:t>
      </w:r>
      <w:r w:rsidRPr="00EE6C61">
        <w:rPr>
          <w:rFonts w:ascii="Verdana" w:hAnsi="Verdana"/>
          <w:spacing w:val="-12"/>
          <w:sz w:val="16"/>
          <w:szCs w:val="16"/>
        </w:rPr>
        <w:t>. Sentencia de 29 de febrero de 2016. Serie C No. 312, párr. 168. Ver también CIDH, Informe sobre los Derechos Humanos de las Personas Privadas de la Libertad en las Américas, OEA/ Ser. L/V/II Doc. 64, 31 de diciembre de 2011, párrs. 49 y ss.</w:t>
      </w:r>
    </w:p>
  </w:footnote>
  <w:footnote w:id="9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 de los “Niños de la Calle” (Villagrán Morales y otros) Vs. Guatemala. Fondo</w:t>
      </w:r>
      <w:r w:rsidRPr="00EE6C61">
        <w:rPr>
          <w:rFonts w:ascii="Verdana" w:hAnsi="Verdana"/>
          <w:spacing w:val="-12"/>
          <w:sz w:val="16"/>
          <w:szCs w:val="16"/>
        </w:rPr>
        <w:t xml:space="preserve">, párrs. 95 y. 170; </w:t>
      </w:r>
      <w:r w:rsidRPr="00EE6C61">
        <w:rPr>
          <w:rFonts w:ascii="Verdana" w:hAnsi="Verdana"/>
          <w:i/>
          <w:spacing w:val="-12"/>
          <w:sz w:val="16"/>
          <w:szCs w:val="16"/>
        </w:rPr>
        <w:t xml:space="preserve">Caso Juan Humberto Sánchez Vs. Honduras. Excepción Preliminar, Fondo, Reparaciones y Costas. </w:t>
      </w:r>
      <w:r w:rsidRPr="00EE6C61">
        <w:rPr>
          <w:rFonts w:ascii="Verdana" w:hAnsi="Verdana"/>
          <w:spacing w:val="-12"/>
          <w:sz w:val="16"/>
          <w:szCs w:val="16"/>
        </w:rPr>
        <w:t xml:space="preserve">Sentencia de 7 de junio de 2003. Serie C No. 99, párrs. 100 y 111; </w:t>
      </w:r>
      <w:r w:rsidRPr="00EE6C61">
        <w:rPr>
          <w:rFonts w:ascii="Verdana" w:hAnsi="Verdana"/>
          <w:i/>
          <w:spacing w:val="-12"/>
          <w:sz w:val="16"/>
          <w:szCs w:val="16"/>
        </w:rPr>
        <w:t>Caso Mendoza y otros Vs. Argentina. Excepciones Preliminares, Fondo y Reparaciones.</w:t>
      </w:r>
      <w:r w:rsidRPr="00EE6C61">
        <w:rPr>
          <w:rFonts w:ascii="Verdana" w:hAnsi="Verdana"/>
          <w:spacing w:val="-12"/>
          <w:sz w:val="16"/>
          <w:szCs w:val="16"/>
        </w:rPr>
        <w:t xml:space="preserve"> Sentencia de 14 de mayo de 2013 Serie C No. 260, párr</w:t>
      </w:r>
      <w:r>
        <w:rPr>
          <w:rFonts w:ascii="Verdana" w:hAnsi="Verdana"/>
          <w:spacing w:val="-12"/>
          <w:sz w:val="16"/>
          <w:szCs w:val="16"/>
        </w:rPr>
        <w:t>.</w:t>
      </w:r>
      <w:r w:rsidRPr="00EE6C61">
        <w:rPr>
          <w:rFonts w:ascii="Verdana" w:hAnsi="Verdana"/>
          <w:spacing w:val="-12"/>
          <w:sz w:val="16"/>
          <w:szCs w:val="16"/>
        </w:rPr>
        <w:t xml:space="preserve"> 203. Cabe mencionar la jurisprudencia del Tribunal Europeo de Derechos Humanos, que ha sostenido que, bajo el artículo 3 de</w:t>
      </w:r>
      <w:r>
        <w:rPr>
          <w:rFonts w:ascii="Verdana" w:hAnsi="Verdana"/>
          <w:spacing w:val="-12"/>
          <w:sz w:val="16"/>
          <w:szCs w:val="16"/>
        </w:rPr>
        <w:t>l Convenio Europeo</w:t>
      </w:r>
      <w:r w:rsidRPr="00EE6C61">
        <w:rPr>
          <w:rFonts w:ascii="Verdana" w:hAnsi="Verdana"/>
          <w:spacing w:val="-12"/>
          <w:sz w:val="16"/>
          <w:szCs w:val="16"/>
        </w:rPr>
        <w:t xml:space="preserve">, el cual reconoce el derecho a la integridad personal, el Estado tiene la obligación de dar una “explicación convincente” de cualquier lesión sufrida por una persona privada de su libertad. Asimismo, se requiere una investigación oficial y efectiva cuando un individuo hace una “aseveración creíble” de que han sido violados, por un agente del Estado, alguno de sus </w:t>
      </w:r>
      <w:r w:rsidRPr="00EE6C61">
        <w:rPr>
          <w:rFonts w:ascii="Verdana" w:hAnsi="Verdana" w:cs="Verdana"/>
          <w:bCs/>
          <w:spacing w:val="-12"/>
          <w:sz w:val="16"/>
          <w:szCs w:val="16"/>
          <w:lang w:bidi="en-US"/>
        </w:rPr>
        <w:t>derechos</w:t>
      </w:r>
      <w:r w:rsidRPr="00EE6C61">
        <w:rPr>
          <w:rFonts w:ascii="Verdana" w:hAnsi="Verdana"/>
          <w:spacing w:val="-12"/>
          <w:sz w:val="16"/>
          <w:szCs w:val="16"/>
        </w:rPr>
        <w:t xml:space="preserve"> estipulados en el artículo 3 de dicho instrumento. La investigación debe ser capaz de lograr la identificación y castigo de los responsables. En esta misma línea, ha afirmado que, de otra manera, la prohibición general de tratos crueles, inhumanos y degradantes, entre otros, sería “inefectiva en la práctica”, ya que sería posible que agentes del Estado abusen de los derechos de aquellos que se encuentran bajo su custodia con total impunidad. </w:t>
      </w:r>
      <w:r w:rsidRPr="00AE3EEA">
        <w:rPr>
          <w:rFonts w:ascii="Verdana" w:hAnsi="Verdana"/>
          <w:i/>
          <w:spacing w:val="-12"/>
          <w:sz w:val="16"/>
          <w:szCs w:val="16"/>
        </w:rPr>
        <w:t>Cfr</w:t>
      </w:r>
      <w:r w:rsidRPr="00EE6C61">
        <w:rPr>
          <w:rFonts w:ascii="Verdana" w:hAnsi="Verdana"/>
          <w:spacing w:val="-12"/>
          <w:sz w:val="16"/>
          <w:szCs w:val="16"/>
        </w:rPr>
        <w:t xml:space="preserve">. TEDH. </w:t>
      </w:r>
      <w:r w:rsidRPr="00AE3EEA">
        <w:rPr>
          <w:rFonts w:ascii="Verdana" w:hAnsi="Verdana"/>
          <w:i/>
          <w:spacing w:val="-12"/>
          <w:sz w:val="16"/>
          <w:szCs w:val="16"/>
        </w:rPr>
        <w:t>Elci y otros Vs. Turquía</w:t>
      </w:r>
      <w:r w:rsidRPr="00EE6C61">
        <w:rPr>
          <w:rFonts w:ascii="Verdana" w:hAnsi="Verdana"/>
          <w:spacing w:val="-12"/>
          <w:sz w:val="16"/>
          <w:szCs w:val="16"/>
        </w:rPr>
        <w:t xml:space="preserve">, No. 23141 y 25091/94, Sentencia de 13 de noviembre de 2003, párrs. 648 y 649, y </w:t>
      </w:r>
      <w:r w:rsidRPr="00AE3EEA">
        <w:rPr>
          <w:rFonts w:ascii="Verdana" w:hAnsi="Verdana"/>
          <w:i/>
          <w:spacing w:val="-12"/>
          <w:sz w:val="16"/>
          <w:szCs w:val="16"/>
        </w:rPr>
        <w:t>Assenov y otros Vs. Bulgaria</w:t>
      </w:r>
      <w:r w:rsidRPr="00EE6C61">
        <w:rPr>
          <w:rFonts w:ascii="Verdana" w:hAnsi="Verdana"/>
          <w:spacing w:val="-12"/>
          <w:sz w:val="16"/>
          <w:szCs w:val="16"/>
        </w:rPr>
        <w:t>, No. 24760/94, Sentencia del 28 de octubre de 1999, párr. 102.</w:t>
      </w:r>
    </w:p>
  </w:footnote>
  <w:footnote w:id="96">
    <w:p w:rsidR="00996758" w:rsidRPr="00EE6C61" w:rsidRDefault="00996758" w:rsidP="00103EC8">
      <w:pPr>
        <w:pStyle w:val="FootnoteText"/>
        <w:spacing w:before="120" w:after="120"/>
        <w:jc w:val="both"/>
        <w:rPr>
          <w:rFonts w:ascii="Verdana" w:hAnsi="Verdana"/>
          <w:i/>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Verdana"/>
          <w:bCs/>
          <w:spacing w:val="-12"/>
          <w:sz w:val="16"/>
          <w:szCs w:val="16"/>
          <w:lang w:bidi="en-US"/>
        </w:rPr>
        <w:tab/>
      </w:r>
      <w:r w:rsidRPr="00EE6C61">
        <w:rPr>
          <w:rFonts w:ascii="Verdana" w:hAnsi="Verdana" w:cs="Verdana"/>
          <w:bCs/>
          <w:i/>
          <w:spacing w:val="-12"/>
          <w:sz w:val="16"/>
          <w:szCs w:val="16"/>
          <w:lang w:bidi="en-US"/>
        </w:rPr>
        <w:t>Cfr., inter alia, Caso Bámaca Velásquez Vs. Guatemala. Fondo</w:t>
      </w:r>
      <w:r w:rsidRPr="00EE6C61">
        <w:rPr>
          <w:rFonts w:ascii="Verdana" w:hAnsi="Verdana" w:cs="Verdana"/>
          <w:bCs/>
          <w:spacing w:val="-12"/>
          <w:sz w:val="16"/>
          <w:szCs w:val="16"/>
          <w:lang w:bidi="en-US"/>
        </w:rPr>
        <w:t xml:space="preserve">. Sentencia de 25 de noviembre de 2000. Serie C No. 70, párrs. 132 a 135 y 143; </w:t>
      </w:r>
      <w:r>
        <w:rPr>
          <w:rFonts w:ascii="Verdana" w:hAnsi="Verdana" w:cs="Verdana"/>
          <w:i/>
          <w:spacing w:val="-12"/>
          <w:sz w:val="16"/>
          <w:szCs w:val="16"/>
          <w:lang w:bidi="en-US"/>
        </w:rPr>
        <w:t>Caso Anzualdo Castro Vs. Perú</w:t>
      </w:r>
      <w:r w:rsidRPr="00EE6C61">
        <w:rPr>
          <w:rFonts w:ascii="Verdana" w:hAnsi="Verdana" w:cs="Verdana"/>
          <w:i/>
          <w:spacing w:val="-12"/>
          <w:sz w:val="16"/>
          <w:szCs w:val="16"/>
          <w:lang w:bidi="en-US"/>
        </w:rPr>
        <w:t xml:space="preserve">, </w:t>
      </w:r>
      <w:r w:rsidRPr="00EE6C61">
        <w:rPr>
          <w:rFonts w:ascii="Verdana" w:hAnsi="Verdana" w:cs="Verdana"/>
          <w:spacing w:val="-12"/>
          <w:sz w:val="16"/>
          <w:szCs w:val="16"/>
          <w:lang w:bidi="en-US"/>
        </w:rPr>
        <w:t xml:space="preserve">párrs. 33 a 50 y 68 a 72; </w:t>
      </w:r>
      <w:r w:rsidRPr="00EE6C61">
        <w:rPr>
          <w:rFonts w:ascii="Verdana" w:hAnsi="Verdana" w:cs="Verdana"/>
          <w:bCs/>
          <w:spacing w:val="-12"/>
          <w:sz w:val="16"/>
          <w:szCs w:val="16"/>
          <w:lang w:bidi="en-US"/>
        </w:rPr>
        <w:t xml:space="preserve"> </w:t>
      </w:r>
      <w:r w:rsidRPr="00EE6C61">
        <w:rPr>
          <w:rFonts w:ascii="Verdana" w:hAnsi="Verdana" w:cs="Verdana"/>
          <w:bCs/>
          <w:i/>
          <w:spacing w:val="-12"/>
          <w:sz w:val="16"/>
          <w:szCs w:val="16"/>
          <w:lang w:bidi="en-US"/>
        </w:rPr>
        <w:t>Caso Osorio Rivera y familiares Vs. Perú. Excepciones Preliminares, Fondo, Reparaciones y Costas</w:t>
      </w:r>
      <w:r w:rsidRPr="00EE6C61">
        <w:rPr>
          <w:rFonts w:ascii="Verdana" w:hAnsi="Verdana" w:cs="Verdana"/>
          <w:bCs/>
          <w:spacing w:val="-12"/>
          <w:sz w:val="16"/>
          <w:szCs w:val="16"/>
          <w:lang w:bidi="en-US"/>
        </w:rPr>
        <w:t>. Sentencia de 26 de noviembre de 2013. Serie C No. 274, párrs. 141 y 155</w:t>
      </w:r>
      <w:r>
        <w:rPr>
          <w:rFonts w:ascii="Verdana" w:hAnsi="Verdana" w:cs="Verdana"/>
          <w:bCs/>
          <w:spacing w:val="-12"/>
          <w:sz w:val="16"/>
          <w:szCs w:val="16"/>
          <w:lang w:bidi="en-US"/>
        </w:rPr>
        <w:t xml:space="preserve">; y, </w:t>
      </w:r>
      <w:r w:rsidRPr="00AE3EEA">
        <w:rPr>
          <w:rFonts w:ascii="Verdana" w:hAnsi="Verdana" w:cs="Verdana"/>
          <w:bCs/>
          <w:i/>
          <w:spacing w:val="-12"/>
          <w:sz w:val="16"/>
          <w:szCs w:val="16"/>
          <w:lang w:bidi="en-US"/>
        </w:rPr>
        <w:t>mutatis mutandi</w:t>
      </w:r>
      <w:r>
        <w:rPr>
          <w:rFonts w:ascii="Verdana" w:hAnsi="Verdana" w:cs="Verdana"/>
          <w:bCs/>
          <w:i/>
          <w:spacing w:val="-12"/>
          <w:sz w:val="16"/>
          <w:szCs w:val="16"/>
          <w:lang w:bidi="en-US"/>
        </w:rPr>
        <w:t>,</w:t>
      </w:r>
      <w:r>
        <w:rPr>
          <w:rFonts w:ascii="Verdana" w:hAnsi="Verdana" w:cs="Verdana"/>
          <w:bCs/>
          <w:spacing w:val="-12"/>
          <w:sz w:val="16"/>
          <w:szCs w:val="16"/>
          <w:lang w:bidi="en-US"/>
        </w:rPr>
        <w:t xml:space="preserve"> </w:t>
      </w:r>
      <w:r w:rsidRPr="00AE3EEA">
        <w:rPr>
          <w:rFonts w:ascii="Verdana" w:hAnsi="Verdana" w:cs="Verdana"/>
          <w:bCs/>
          <w:i/>
          <w:spacing w:val="-12"/>
          <w:sz w:val="16"/>
          <w:szCs w:val="16"/>
          <w:lang w:bidi="en-US"/>
        </w:rPr>
        <w:t>Caso Mu</w:t>
      </w:r>
      <w:r w:rsidRPr="00086F19">
        <w:rPr>
          <w:rFonts w:ascii="Verdana" w:hAnsi="Verdana" w:cs="Verdana"/>
          <w:bCs/>
          <w:i/>
          <w:spacing w:val="-12"/>
          <w:sz w:val="16"/>
          <w:szCs w:val="16"/>
          <w:lang w:bidi="en-US"/>
        </w:rPr>
        <w:t>nárriz Escobar y otros Vs. Perú</w:t>
      </w:r>
      <w:r>
        <w:rPr>
          <w:rFonts w:ascii="Verdana" w:hAnsi="Verdana" w:cs="Verdana"/>
          <w:bCs/>
          <w:i/>
          <w:spacing w:val="-12"/>
          <w:sz w:val="16"/>
          <w:szCs w:val="16"/>
          <w:lang w:bidi="en-US"/>
        </w:rPr>
        <w:t>,</w:t>
      </w:r>
      <w:r w:rsidRPr="00AE3EEA">
        <w:rPr>
          <w:rFonts w:ascii="Verdana" w:hAnsi="Verdana" w:cs="Verdana"/>
          <w:bCs/>
          <w:i/>
          <w:spacing w:val="-12"/>
          <w:sz w:val="16"/>
          <w:szCs w:val="16"/>
          <w:lang w:bidi="en-US"/>
        </w:rPr>
        <w:t xml:space="preserve"> </w:t>
      </w:r>
      <w:r>
        <w:rPr>
          <w:rFonts w:ascii="Verdana" w:hAnsi="Verdana" w:cs="Verdana"/>
          <w:bCs/>
          <w:spacing w:val="-12"/>
          <w:sz w:val="16"/>
          <w:szCs w:val="16"/>
          <w:lang w:bidi="en-US"/>
        </w:rPr>
        <w:t>párr. 79.</w:t>
      </w:r>
      <w:r w:rsidRPr="00EE6C61">
        <w:rPr>
          <w:rFonts w:ascii="Verdana" w:hAnsi="Verdana" w:cs="Verdana"/>
          <w:bCs/>
          <w:spacing w:val="-12"/>
          <w:sz w:val="16"/>
          <w:szCs w:val="16"/>
          <w:lang w:bidi="en-US"/>
        </w:rPr>
        <w:t xml:space="preserve"> Este criterio es compartido, en similar sentido, por el Tribunal Europeo de Derechos Humanos el cual ha indicado que, en casos donde no se ha demostrado la detención de una persona por autoridades estatales, se puede presumir o inferir dicha detención si se establece que la persona estaba en un lugar bajo control del Estado y no ha sido vista desde entonces. </w:t>
      </w:r>
      <w:r w:rsidRPr="002C4B43">
        <w:rPr>
          <w:rFonts w:ascii="Verdana" w:hAnsi="Verdana" w:cs="Verdana"/>
          <w:bCs/>
          <w:spacing w:val="-12"/>
          <w:sz w:val="16"/>
          <w:szCs w:val="16"/>
          <w:lang w:val="en-US" w:bidi="en-US"/>
        </w:rPr>
        <w:t>En el texto original, el Tribunal Europeo indicó: “</w:t>
      </w:r>
      <w:r w:rsidRPr="006835CE">
        <w:rPr>
          <w:rFonts w:ascii="Verdana" w:hAnsi="Verdana" w:cs="Verdana"/>
          <w:bCs/>
          <w:i/>
          <w:spacing w:val="-12"/>
          <w:sz w:val="16"/>
          <w:szCs w:val="16"/>
          <w:lang w:val="en-US" w:bidi="en-US"/>
        </w:rPr>
        <w:t>Where the events in issue lie wholly, or in large part, within the ex</w:t>
      </w:r>
      <w:r w:rsidRPr="002C4B43">
        <w:rPr>
          <w:rFonts w:ascii="Verdana" w:hAnsi="Verdana" w:cs="Verdana"/>
          <w:bCs/>
          <w:i/>
          <w:spacing w:val="-12"/>
          <w:sz w:val="16"/>
          <w:szCs w:val="16"/>
          <w:lang w:val="en-US" w:bidi="en-US"/>
        </w:rPr>
        <w:t xml:space="preserve">clusive </w:t>
      </w:r>
      <w:r w:rsidRPr="00165F15">
        <w:rPr>
          <w:rFonts w:ascii="Verdana" w:hAnsi="Verdana" w:cs="Verdana"/>
          <w:bCs/>
          <w:i/>
          <w:spacing w:val="-12"/>
          <w:sz w:val="16"/>
          <w:szCs w:val="16"/>
          <w:lang w:val="en-US" w:bidi="en-US"/>
        </w:rPr>
        <w:t>knowledge of the authorities, such as in cases where persons are under their control in custody, strong presumptions of fact will arise in respect of injuries and death occurring during that detention. Indeed, the burden of proof may be regarded as resting on the authorities to provide a satisfactory and convincing explanation […].These principles apply also to cases in which, although it has not been proved that a person has been taken into custody by the authorities, it is possible to establish that he or she entered a place under their control and has not been seen since. In such circumstances, the onus is on the Government to provide a plausible explanation of what happened on the premises and to show that the person concerned was not detained by the authorities, but left the premises without subsequently being deprived of his or her liberty</w:t>
      </w:r>
      <w:r w:rsidRPr="00165F15">
        <w:rPr>
          <w:rFonts w:ascii="Verdana" w:hAnsi="Verdana" w:cs="Verdana"/>
          <w:bCs/>
          <w:spacing w:val="-12"/>
          <w:sz w:val="16"/>
          <w:szCs w:val="16"/>
          <w:lang w:val="en-US" w:bidi="en-US"/>
        </w:rPr>
        <w:t xml:space="preserve">”. </w:t>
      </w:r>
      <w:r w:rsidRPr="00EE6C61">
        <w:rPr>
          <w:rFonts w:ascii="Verdana" w:hAnsi="Verdana" w:cs="Verdana"/>
          <w:bCs/>
          <w:spacing w:val="-12"/>
          <w:sz w:val="16"/>
          <w:szCs w:val="16"/>
          <w:lang w:bidi="en-US"/>
        </w:rPr>
        <w:t xml:space="preserve">TEDH, </w:t>
      </w:r>
      <w:r w:rsidRPr="00AE3EEA">
        <w:rPr>
          <w:rFonts w:ascii="Verdana" w:hAnsi="Verdana" w:cs="Verdana"/>
          <w:bCs/>
          <w:i/>
          <w:spacing w:val="-12"/>
          <w:sz w:val="16"/>
          <w:szCs w:val="16"/>
          <w:lang w:bidi="en-US"/>
        </w:rPr>
        <w:t>Caso Khadzhialiyev y otros Vs. Rusia</w:t>
      </w:r>
      <w:r w:rsidRPr="00EE6C61">
        <w:rPr>
          <w:rFonts w:ascii="Verdana" w:hAnsi="Verdana" w:cs="Verdana"/>
          <w:bCs/>
          <w:spacing w:val="-12"/>
          <w:sz w:val="16"/>
          <w:szCs w:val="16"/>
          <w:lang w:bidi="en-US"/>
        </w:rPr>
        <w:t>, No. 3013/04, Sentencia de 6 de noviembre de 2008, párrs. 79 y 80.</w:t>
      </w:r>
    </w:p>
  </w:footnote>
  <w:footnote w:id="97">
    <w:p w:rsidR="00996758" w:rsidRDefault="00996758" w:rsidP="00103EC8">
      <w:pPr>
        <w:pStyle w:val="FootnoteText"/>
        <w:spacing w:before="120" w:after="120"/>
        <w:jc w:val="both"/>
      </w:pPr>
      <w:r w:rsidRPr="00E0353A">
        <w:rPr>
          <w:rStyle w:val="FootnoteReference"/>
          <w:rFonts w:ascii="Verdana" w:hAnsi="Verdana"/>
          <w:spacing w:val="-12"/>
          <w:sz w:val="16"/>
          <w:szCs w:val="16"/>
        </w:rPr>
        <w:footnoteRef/>
      </w:r>
      <w:r>
        <w:t xml:space="preserve"> </w:t>
      </w:r>
      <w:r>
        <w:tab/>
      </w:r>
      <w:r>
        <w:rPr>
          <w:rFonts w:ascii="Verdana" w:hAnsi="Verdana" w:cs="Verdana"/>
          <w:bCs/>
          <w:i/>
          <w:spacing w:val="-12"/>
          <w:sz w:val="16"/>
          <w:szCs w:val="16"/>
          <w:lang w:bidi="en-US"/>
        </w:rPr>
        <w:t>Cfr</w:t>
      </w:r>
      <w:r w:rsidRPr="00E0353A">
        <w:rPr>
          <w:rFonts w:ascii="Verdana" w:hAnsi="Verdana" w:cs="Verdana"/>
          <w:bCs/>
          <w:spacing w:val="-12"/>
          <w:sz w:val="16"/>
          <w:szCs w:val="16"/>
          <w:lang w:bidi="en-US"/>
        </w:rPr>
        <w:t>. Convención Internacional para la protección de todas las personas contra las desapariciones forzadas</w:t>
      </w:r>
      <w:r>
        <w:rPr>
          <w:rFonts w:ascii="Verdana" w:hAnsi="Verdana" w:cs="Verdana"/>
          <w:bCs/>
          <w:spacing w:val="-12"/>
          <w:sz w:val="16"/>
          <w:szCs w:val="16"/>
          <w:lang w:bidi="en-US"/>
        </w:rPr>
        <w:t>. Ver también</w:t>
      </w:r>
      <w:r w:rsidRPr="00E0353A">
        <w:rPr>
          <w:rFonts w:ascii="Verdana" w:hAnsi="Verdana" w:cs="Verdana"/>
          <w:bCs/>
          <w:spacing w:val="-12"/>
          <w:sz w:val="16"/>
          <w:szCs w:val="16"/>
          <w:lang w:bidi="en-US"/>
        </w:rPr>
        <w:t xml:space="preserve">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w:t>
      </w:r>
      <w:r>
        <w:rPr>
          <w:rFonts w:ascii="Verdana" w:hAnsi="Verdana" w:cs="Verdana"/>
          <w:bCs/>
          <w:spacing w:val="-12"/>
          <w:sz w:val="16"/>
          <w:szCs w:val="16"/>
          <w:lang w:bidi="en-US"/>
        </w:rPr>
        <w:t>96. (E/CN. 4/1996/38), párr. 55.</w:t>
      </w:r>
      <w:r>
        <w:rPr>
          <w:sz w:val="16"/>
          <w:szCs w:val="16"/>
        </w:rPr>
        <w:t xml:space="preserve"> </w:t>
      </w:r>
    </w:p>
  </w:footnote>
  <w:footnote w:id="98">
    <w:p w:rsidR="00996758" w:rsidRPr="00EE6C61" w:rsidRDefault="00996758" w:rsidP="00103EC8">
      <w:pPr>
        <w:spacing w:before="120" w:after="120" w:line="240" w:lineRule="auto"/>
        <w:jc w:val="both"/>
        <w:rPr>
          <w:rFonts w:ascii="Verdana" w:hAnsi="Verdana"/>
          <w:spacing w:val="-12"/>
          <w:sz w:val="16"/>
          <w:szCs w:val="16"/>
        </w:rPr>
      </w:pPr>
      <w:r w:rsidRPr="00EE6C61">
        <w:rPr>
          <w:rStyle w:val="FootnoteReference"/>
          <w:rFonts w:ascii="Verdana" w:eastAsia="Times" w:hAnsi="Verdana"/>
          <w:spacing w:val="-12"/>
          <w:sz w:val="16"/>
          <w:szCs w:val="16"/>
        </w:rPr>
        <w:footnoteRef/>
      </w:r>
      <w:r w:rsidRPr="00EE6C61">
        <w:rPr>
          <w:rFonts w:ascii="Verdana" w:hAnsi="Verdana" w:cs="Verdana-Italic"/>
          <w:i/>
          <w:spacing w:val="-12"/>
          <w:sz w:val="16"/>
          <w:szCs w:val="16"/>
          <w:lang w:bidi="en-US"/>
        </w:rPr>
        <w:tab/>
        <w:t>Cfr., mutatis mutandi, Caso Juan Humberto Sánchez Vs. Honduras, supra,</w:t>
      </w:r>
      <w:r w:rsidRPr="00EE6C61">
        <w:rPr>
          <w:rFonts w:ascii="Verdana" w:hAnsi="Verdana" w:cs="Verdana-Italic"/>
          <w:spacing w:val="-12"/>
          <w:sz w:val="16"/>
          <w:szCs w:val="16"/>
          <w:lang w:bidi="en-US"/>
        </w:rPr>
        <w:t xml:space="preserve"> p</w:t>
      </w:r>
      <w:r w:rsidRPr="00EE6C61">
        <w:rPr>
          <w:rFonts w:ascii="Verdana" w:hAnsi="Verdana" w:cs="Arial"/>
          <w:spacing w:val="-12"/>
          <w:sz w:val="16"/>
          <w:szCs w:val="16"/>
          <w:lang w:eastAsia="zh-CN" w:bidi="en-US"/>
        </w:rPr>
        <w:t xml:space="preserve">árr. 111, y </w:t>
      </w:r>
      <w:r w:rsidRPr="00EE6C61">
        <w:rPr>
          <w:rFonts w:ascii="Verdana" w:hAnsi="Verdana" w:cs="Arial"/>
          <w:i/>
          <w:spacing w:val="-12"/>
          <w:sz w:val="16"/>
          <w:szCs w:val="16"/>
        </w:rPr>
        <w:t>Caso</w:t>
      </w:r>
      <w:r w:rsidRPr="00EE6C61">
        <w:rPr>
          <w:rFonts w:ascii="Verdana" w:hAnsi="Verdana" w:cs="Arial"/>
          <w:b/>
          <w:bCs/>
          <w:i/>
          <w:spacing w:val="-12"/>
          <w:sz w:val="16"/>
          <w:szCs w:val="16"/>
        </w:rPr>
        <w:t xml:space="preserve"> </w:t>
      </w:r>
      <w:r w:rsidRPr="00EE6C61">
        <w:rPr>
          <w:rFonts w:ascii="Verdana" w:hAnsi="Verdana"/>
          <w:i/>
          <w:spacing w:val="-12"/>
          <w:sz w:val="16"/>
          <w:szCs w:val="16"/>
        </w:rPr>
        <w:t>Chinchilla Sandoval y otros Vs. Guatemala</w:t>
      </w:r>
      <w:r w:rsidRPr="00EE6C61">
        <w:rPr>
          <w:rFonts w:ascii="Verdana" w:hAnsi="Verdana" w:cs="Arial"/>
          <w:color w:val="262626"/>
          <w:spacing w:val="-12"/>
          <w:sz w:val="16"/>
          <w:szCs w:val="16"/>
          <w:highlight w:val="white"/>
        </w:rPr>
        <w:t xml:space="preserve">, </w:t>
      </w:r>
      <w:r w:rsidRPr="00EE6C61">
        <w:rPr>
          <w:rFonts w:ascii="Verdana" w:hAnsi="Verdana" w:cs="Verdana"/>
          <w:spacing w:val="-12"/>
          <w:sz w:val="16"/>
          <w:szCs w:val="16"/>
        </w:rPr>
        <w:t>párr. 257</w:t>
      </w:r>
      <w:r w:rsidRPr="00EE6C61">
        <w:rPr>
          <w:rFonts w:ascii="Verdana" w:hAnsi="Verdana" w:cs="Verdana"/>
          <w:i/>
          <w:spacing w:val="-12"/>
          <w:sz w:val="16"/>
          <w:szCs w:val="16"/>
        </w:rPr>
        <w:t xml:space="preserve">. </w:t>
      </w:r>
    </w:p>
  </w:footnote>
  <w:footnote w:id="9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cs="Verdana"/>
          <w:i/>
          <w:spacing w:val="-12"/>
          <w:sz w:val="16"/>
          <w:szCs w:val="16"/>
          <w:lang w:bidi="en-US"/>
        </w:rPr>
        <w:t xml:space="preserve">Cfr. Caso Anzualdo Castro Vs. Perú, </w:t>
      </w:r>
      <w:r w:rsidRPr="00EE6C61">
        <w:rPr>
          <w:rFonts w:ascii="Verdana" w:hAnsi="Verdana" w:cs="Verdana"/>
          <w:spacing w:val="-12"/>
          <w:sz w:val="16"/>
          <w:szCs w:val="16"/>
          <w:lang w:bidi="en-US"/>
        </w:rPr>
        <w:t>párr. 65.</w:t>
      </w:r>
      <w:r w:rsidRPr="00EE6C61">
        <w:rPr>
          <w:rFonts w:ascii="Verdana" w:hAnsi="Verdana" w:cs="Times New Roman"/>
          <w:i/>
          <w:spacing w:val="-12"/>
          <w:sz w:val="16"/>
          <w:szCs w:val="16"/>
        </w:rPr>
        <w:t xml:space="preserve"> Cfr.</w:t>
      </w:r>
      <w:r w:rsidRPr="00EE6C61">
        <w:rPr>
          <w:rFonts w:ascii="Verdana" w:hAnsi="Verdana" w:cs="Times New Roman"/>
          <w:spacing w:val="-12"/>
          <w:sz w:val="16"/>
          <w:szCs w:val="16"/>
        </w:rPr>
        <w:t xml:space="preserve"> artículo 12.2 de la Convención Internacional para la protección de todas las personas contra las desapariciones forzadas y artículo 13 de la Declaración sobre la protección de todas las personas contra las desapariciones forzadas. Además, la Declaración y el Programa de Acción de Viena aprobados por la Conferencia Mundial de Derechos Humanos el 25 de junio de 1993, estableció que: “es obligación de todos los Estados, en cualquier circunstancia, emprender una investigación siempre que haya motivos para creer que se ha producido una desaparición forzada en un territorio sujeto a su jurisdicción y, si se confirman las denuncias, enjuiciar a los autores del hecho” (párr. 62).</w:t>
      </w:r>
    </w:p>
  </w:footnote>
  <w:footnote w:id="10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cs="Verdana"/>
          <w:i/>
          <w:spacing w:val="-12"/>
          <w:sz w:val="16"/>
          <w:szCs w:val="16"/>
          <w:lang w:bidi="en-US"/>
        </w:rPr>
        <w:t xml:space="preserve">Cfr. Caso González Medina y familiares vs. República Dominicana, </w:t>
      </w:r>
      <w:r w:rsidRPr="00EE6C61">
        <w:rPr>
          <w:rFonts w:ascii="Verdana" w:hAnsi="Verdana" w:cs="Verdana"/>
          <w:spacing w:val="-12"/>
          <w:sz w:val="16"/>
          <w:szCs w:val="16"/>
          <w:lang w:bidi="en-US"/>
        </w:rPr>
        <w:t xml:space="preserve">párrs. 169 y 170.  </w:t>
      </w:r>
      <w:r w:rsidRPr="00EE6C61">
        <w:rPr>
          <w:rFonts w:ascii="Verdana" w:hAnsi="Verdana"/>
          <w:bCs/>
          <w:spacing w:val="-12"/>
          <w:sz w:val="16"/>
          <w:szCs w:val="16"/>
        </w:rPr>
        <w:t xml:space="preserve">En el </w:t>
      </w:r>
      <w:r w:rsidRPr="00EE6C61">
        <w:rPr>
          <w:rFonts w:ascii="Verdana" w:hAnsi="Verdana"/>
          <w:bCs/>
          <w:i/>
          <w:spacing w:val="-12"/>
          <w:sz w:val="16"/>
          <w:szCs w:val="16"/>
        </w:rPr>
        <w:t>caso Gutiérrez Hernández y otros Vs. Guatemala</w:t>
      </w:r>
      <w:r w:rsidRPr="00EE6C61">
        <w:rPr>
          <w:rFonts w:ascii="Verdana" w:hAnsi="Verdana"/>
          <w:bCs/>
          <w:spacing w:val="-12"/>
          <w:sz w:val="16"/>
          <w:szCs w:val="16"/>
        </w:rPr>
        <w:t>, este Tribunal consideró, al observar que las investigaciones realizadas en torno a la desaparición de la víctima no habían sido diligentes, que no se podía descartar que lo que ocurrido fuera una desaparición forzada (</w:t>
      </w:r>
      <w:r w:rsidRPr="00EE6C61">
        <w:rPr>
          <w:rFonts w:ascii="Verdana" w:hAnsi="Verdana"/>
          <w:bCs/>
          <w:i/>
          <w:spacing w:val="-12"/>
          <w:sz w:val="16"/>
          <w:szCs w:val="16"/>
        </w:rPr>
        <w:t>Cfr.</w:t>
      </w:r>
      <w:r w:rsidRPr="00EE6C61">
        <w:rPr>
          <w:rFonts w:ascii="Verdana" w:hAnsi="Verdana"/>
          <w:bCs/>
          <w:spacing w:val="-12"/>
          <w:sz w:val="16"/>
          <w:szCs w:val="16"/>
        </w:rPr>
        <w:t xml:space="preserve"> </w:t>
      </w:r>
      <w:r w:rsidRPr="00EE6C61">
        <w:rPr>
          <w:rFonts w:ascii="Verdana" w:hAnsi="Verdana"/>
          <w:bCs/>
          <w:i/>
          <w:spacing w:val="-12"/>
          <w:sz w:val="16"/>
          <w:szCs w:val="16"/>
        </w:rPr>
        <w:t>Caso Gutiérrez Hernández y otros Vs. Guatemala</w:t>
      </w:r>
      <w:r>
        <w:rPr>
          <w:rFonts w:ascii="Verdana" w:hAnsi="Verdana"/>
          <w:bCs/>
          <w:spacing w:val="-12"/>
          <w:sz w:val="16"/>
          <w:szCs w:val="16"/>
        </w:rPr>
        <w:t>,</w:t>
      </w:r>
      <w:r>
        <w:rPr>
          <w:rFonts w:ascii="Verdana" w:hAnsi="Verdana"/>
          <w:spacing w:val="-12"/>
          <w:sz w:val="16"/>
          <w:szCs w:val="16"/>
        </w:rPr>
        <w:t xml:space="preserve"> </w:t>
      </w:r>
      <w:r w:rsidRPr="00EE6C61">
        <w:rPr>
          <w:rFonts w:ascii="Verdana" w:hAnsi="Verdana"/>
          <w:bCs/>
          <w:spacing w:val="-12"/>
          <w:sz w:val="16"/>
          <w:szCs w:val="16"/>
        </w:rPr>
        <w:t xml:space="preserve">párr.135). Ver también </w:t>
      </w:r>
      <w:r w:rsidRPr="00EE6C61">
        <w:rPr>
          <w:rFonts w:ascii="Verdana" w:hAnsi="Verdana"/>
          <w:i/>
          <w:spacing w:val="-12"/>
          <w:sz w:val="16"/>
          <w:szCs w:val="16"/>
        </w:rPr>
        <w:t xml:space="preserve">Caso Rodriguez Vera y Otros (Desaparecidos del Palacio de Justicia) Vs. Colombia, </w:t>
      </w:r>
      <w:r w:rsidRPr="00EE6C61">
        <w:rPr>
          <w:rFonts w:ascii="Verdana" w:hAnsi="Verdana"/>
          <w:spacing w:val="-12"/>
          <w:sz w:val="16"/>
          <w:szCs w:val="16"/>
        </w:rPr>
        <w:t>párr</w:t>
      </w:r>
      <w:r>
        <w:rPr>
          <w:rFonts w:ascii="Verdana" w:hAnsi="Verdana"/>
          <w:spacing w:val="-12"/>
          <w:sz w:val="16"/>
          <w:szCs w:val="16"/>
        </w:rPr>
        <w:t>s</w:t>
      </w:r>
      <w:r w:rsidRPr="00EE6C61">
        <w:rPr>
          <w:rFonts w:ascii="Verdana" w:hAnsi="Verdana"/>
          <w:spacing w:val="-12"/>
          <w:sz w:val="16"/>
          <w:szCs w:val="16"/>
        </w:rPr>
        <w:t>. 299 y 301.</w:t>
      </w:r>
    </w:p>
  </w:footnote>
  <w:footnote w:id="10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Señaló: “[…] que el día de hoy [19 de noviembre de 1987 a las] 00:30 hora. zona urbana este Mpio. cárcel local, […] a eso de las 02:20 am se presentó al Comando de Policía [una persona] e informó que en la cárcel al parecer habían ocurrido algo extraño (sic), porque él al pasar frente al establecimiento vio la puerta abierta y los guardianes no se veían por parte alguna, al entrar y revisar las dependencias vio que los guardianes se encontraban encerrados bajo candado en una de las celdas, luego salió hacia el Comando a dar aviso cuando vio por la vía pública una cantidad de papeles regados la que se trata de propaganda subversiva alusiva al noveno frente de las FARC. Luego se trasladó hacia la cárcel la patrulla de servicio y se pudo constatar que en realidad las cosas habían sucedido tal a la información suministrada por el antes mencionado quien […] en el momento se encontraba como celador en la escuela […] También se constató que de los presos recluidos allí en total 9, faltaban 4 habiendo solamente 5 reclusos y que la liberación de los detenidos fue efectiva. Los guardianes dicen haber notado la presencia de unos diez tipos armados de metralletas. […] Es de anotar que en el momento de someter a los sres. guardianes fueron despojados del armamento de dotación y al emprender la huida dejaron el armamento y la munición regada por las diferentes dependencias”. </w:t>
      </w:r>
      <w:r w:rsidRPr="00EE6C61">
        <w:rPr>
          <w:rFonts w:ascii="Verdana" w:hAnsi="Verdana"/>
          <w:i/>
          <w:spacing w:val="-12"/>
          <w:sz w:val="16"/>
          <w:szCs w:val="16"/>
        </w:rPr>
        <w:t>Cfr.</w:t>
      </w:r>
      <w:r w:rsidRPr="00EE6C61">
        <w:rPr>
          <w:rFonts w:ascii="Verdana" w:hAnsi="Verdana"/>
          <w:spacing w:val="-12"/>
          <w:sz w:val="16"/>
          <w:szCs w:val="16"/>
        </w:rPr>
        <w:t xml:space="preserve"> Informe de asalto a la cárcel local, Estación de Puerto Nare de la Policía Nacional, del 19 de noviembre de 1987. (exp. prueba, folio 5960) .</w:t>
      </w:r>
    </w:p>
  </w:footnote>
  <w:footnote w:id="102">
    <w:p w:rsidR="00996758" w:rsidRPr="00EE6C61" w:rsidRDefault="00996758" w:rsidP="00103EC8">
      <w:pPr>
        <w:pStyle w:val="FootnoteText"/>
        <w:spacing w:before="120" w:after="120"/>
        <w:jc w:val="both"/>
        <w:rPr>
          <w:rStyle w:val="FootnoteReference"/>
          <w:i/>
          <w:vertAlign w:val="baseline"/>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spacing w:val="-12"/>
          <w:sz w:val="16"/>
          <w:szCs w:val="16"/>
        </w:rPr>
        <w:t>Declaración de Horacio de Jesús Gil Gómez, ante el Juzgado 64 de Instrucción Criminal de Puerto Nare, del 19 de noviembre de 1987. (exp. prueba, folio 5409).</w:t>
      </w:r>
      <w:r w:rsidRPr="00EE6C61">
        <w:rPr>
          <w:rFonts w:ascii="Verdana" w:hAnsi="Verdana"/>
          <w:i/>
          <w:spacing w:val="-12"/>
          <w:sz w:val="16"/>
          <w:szCs w:val="16"/>
        </w:rPr>
        <w:t xml:space="preserve"> </w:t>
      </w:r>
    </w:p>
  </w:footnote>
  <w:footnote w:id="10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Declaración de Jorge Obed Rendón Moreno, ante el Juzgado 64 de Instrucción Criminal de Puerto Nare, del 19 de noviembre de 1987. (exp. prueba, folio 5429)</w:t>
      </w:r>
      <w:r w:rsidRPr="00EE6C61" w:rsidDel="00EB5D19">
        <w:rPr>
          <w:rFonts w:ascii="Verdana" w:hAnsi="Verdana"/>
          <w:spacing w:val="-12"/>
          <w:sz w:val="16"/>
          <w:szCs w:val="16"/>
        </w:rPr>
        <w:t xml:space="preserve"> </w:t>
      </w:r>
    </w:p>
  </w:footnote>
  <w:footnote w:id="10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Declaraciones de Alirio Antonio Sierra Pérez, Francisco Javier Gómez y Omar de Jesús Correa Isaza ante la Procuraduría Departamental en la ciudad de Medellín, del 30 de enero de 1992, las dos primeras, y del 4 de febrero del mismo año, la tercera. (exp. prueba, folio 5939)</w:t>
      </w:r>
      <w:r w:rsidRPr="00EE6C61" w:rsidDel="00C523E5">
        <w:rPr>
          <w:rFonts w:ascii="Verdana" w:hAnsi="Verdana"/>
          <w:spacing w:val="-12"/>
          <w:sz w:val="16"/>
          <w:szCs w:val="16"/>
        </w:rPr>
        <w:t xml:space="preserve"> </w:t>
      </w:r>
    </w:p>
  </w:footnote>
  <w:footnote w:id="10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spacing w:val="-12"/>
          <w:sz w:val="16"/>
          <w:szCs w:val="16"/>
        </w:rPr>
        <w:t xml:space="preserve">Además, el juez señaló: “[…] Se desconoce hasta el momento de esta constancia (doce del día [del 19 de noviembre de 1987]) el rumbo que tomaron los desconocidos con los presos que se llevaron consigo y por quienes se teme de que se atente contra su vida. Debe advertirse que el establecimiento carcelario está ubicado en uno de los extremos de la población, ya a la salida de la misma, a gran distancia del Comando donde está la estación de Policía, en sentido contrario, por lo que guarda de los presos está encomendada a dos obreros al servicio del municipio, con escaso y pésimo armamento que, entre otras cosas, no lo llevaron consigo los intrusos, limitándose a ordenar a los guardianes que descargaran sus armas mientras ellos permanecían en el establecimiento seleccionando los presos que iban a secuestrar. […]” </w:t>
      </w:r>
      <w:r w:rsidRPr="00EE6C61">
        <w:rPr>
          <w:rFonts w:ascii="Verdana" w:hAnsi="Verdana"/>
          <w:i/>
          <w:spacing w:val="-12"/>
          <w:sz w:val="16"/>
          <w:szCs w:val="16"/>
        </w:rPr>
        <w:t>Cfr.</w:t>
      </w:r>
      <w:r w:rsidRPr="00EE6C61">
        <w:rPr>
          <w:rFonts w:ascii="Verdana" w:hAnsi="Verdana"/>
          <w:spacing w:val="-12"/>
          <w:sz w:val="16"/>
          <w:szCs w:val="16"/>
        </w:rPr>
        <w:t xml:space="preserve"> Constancia del Juzgado 64 de Instrucción Criminal, La Sierra, Puerto Nare, del 19 de noviembre de 1987. (exp. prueba, folio 5957)</w:t>
      </w:r>
    </w:p>
  </w:footnote>
  <w:footnote w:id="106">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pacing w:val="-12"/>
          <w:sz w:val="16"/>
          <w:szCs w:val="16"/>
        </w:rPr>
        <w:tab/>
        <w:t>Consta que, en su informe evaluativo, el Procurador Regional de Puerto Berrío indicó al Procurador Delegado que, de las pruebas allegadas, se infiere que el grupo de hombres sin identificar serían “al parecer” de las FARC. Además, en el trámite del caso ante la Comisión el Estado informó que el 5 de junio de 1991 el DAS remitió a la Procuraduría Delegada un informe en el cual señala que en la época de los hechos existía una violencia generalizada contra diversos sectores de la población y que los hombres que sacaron a Víctor Isaza de la cárcel pertenecían al IX frente del movimiento guerrillero FARC</w:t>
      </w:r>
      <w:r>
        <w:rPr>
          <w:rFonts w:ascii="Verdana" w:hAnsi="Verdana"/>
          <w:spacing w:val="-12"/>
          <w:sz w:val="16"/>
          <w:szCs w:val="16"/>
        </w:rPr>
        <w:t xml:space="preserve">. </w:t>
      </w:r>
      <w:r w:rsidRPr="00EE6C61">
        <w:rPr>
          <w:rFonts w:ascii="Verdana" w:hAnsi="Verdana"/>
          <w:i/>
          <w:spacing w:val="-12"/>
          <w:sz w:val="16"/>
          <w:szCs w:val="16"/>
        </w:rPr>
        <w:t>Cfr.</w:t>
      </w:r>
      <w:r>
        <w:rPr>
          <w:rFonts w:ascii="Verdana" w:hAnsi="Verdana"/>
          <w:spacing w:val="-12"/>
          <w:sz w:val="16"/>
          <w:szCs w:val="16"/>
        </w:rPr>
        <w:t xml:space="preserve"> c</w:t>
      </w:r>
      <w:r w:rsidRPr="00EE6C61">
        <w:rPr>
          <w:rFonts w:ascii="Verdana" w:hAnsi="Verdana"/>
          <w:spacing w:val="-12"/>
          <w:sz w:val="16"/>
          <w:szCs w:val="16"/>
        </w:rPr>
        <w:t xml:space="preserve">omunicación del Estado del 11 de octubre de 1991, </w:t>
      </w:r>
      <w:r>
        <w:rPr>
          <w:rFonts w:ascii="Verdana" w:hAnsi="Verdana"/>
          <w:spacing w:val="-12"/>
          <w:sz w:val="16"/>
          <w:szCs w:val="16"/>
        </w:rPr>
        <w:t>(</w:t>
      </w:r>
      <w:r w:rsidRPr="00EE6C61">
        <w:rPr>
          <w:rFonts w:ascii="Verdana" w:hAnsi="Verdana"/>
          <w:spacing w:val="-12"/>
          <w:sz w:val="16"/>
          <w:szCs w:val="16"/>
        </w:rPr>
        <w:t>exp. prueba, folios 73 a 80). Ese informe no fue aportado a este proceso y no consta si el mismo fue valorado por la Procuraduría.</w:t>
      </w:r>
    </w:p>
  </w:footnote>
  <w:footnote w:id="107">
    <w:p w:rsidR="00996758" w:rsidRPr="00EE6C61" w:rsidRDefault="00996758" w:rsidP="00103EC8">
      <w:pPr>
        <w:pStyle w:val="FootnoteText"/>
        <w:spacing w:before="120" w:after="120"/>
        <w:jc w:val="both"/>
        <w:rPr>
          <w:rFonts w:ascii="Verdana" w:hAnsi="Verdana"/>
          <w:b/>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Un trabajador de Cementos Nare y dirigente sindical de SUTIMAC declaró: “en </w:t>
      </w:r>
      <w:r>
        <w:rPr>
          <w:rFonts w:ascii="Verdana" w:hAnsi="Verdana"/>
          <w:spacing w:val="-12"/>
          <w:sz w:val="16"/>
          <w:szCs w:val="16"/>
        </w:rPr>
        <w:t>esa</w:t>
      </w:r>
      <w:r w:rsidRPr="00EE6C61">
        <w:rPr>
          <w:rFonts w:ascii="Verdana" w:hAnsi="Verdana"/>
          <w:spacing w:val="-12"/>
          <w:sz w:val="16"/>
          <w:szCs w:val="16"/>
        </w:rPr>
        <w:t xml:space="preserve"> región tan militarizada no pueden operar con consentimiento de autorización de las autoridades del lugar, porque el día que sacaron a Víctor Manuel de la cárcel se encontraba la guardacosta 121 de la Armada Nacional a cien metros</w:t>
      </w:r>
      <w:r>
        <w:rPr>
          <w:rFonts w:ascii="Verdana" w:hAnsi="Verdana"/>
          <w:spacing w:val="-12"/>
          <w:sz w:val="16"/>
          <w:szCs w:val="16"/>
        </w:rPr>
        <w:t xml:space="preserve"> o menos</w:t>
      </w:r>
      <w:r w:rsidRPr="00EE6C61">
        <w:rPr>
          <w:rFonts w:ascii="Verdana" w:hAnsi="Verdana"/>
          <w:spacing w:val="-12"/>
          <w:sz w:val="16"/>
          <w:szCs w:val="16"/>
        </w:rPr>
        <w:t xml:space="preserve"> y nadie dice nada”</w:t>
      </w:r>
      <w:r>
        <w:rPr>
          <w:rFonts w:ascii="Verdana" w:hAnsi="Verdana"/>
          <w:spacing w:val="-12"/>
          <w:sz w:val="16"/>
          <w:szCs w:val="16"/>
        </w:rPr>
        <w:t>.</w:t>
      </w:r>
      <w:r w:rsidRPr="00EE6C61">
        <w:rPr>
          <w:rFonts w:ascii="Verdana" w:hAnsi="Verdana"/>
          <w:spacing w:val="-12"/>
          <w:sz w:val="16"/>
          <w:szCs w:val="16"/>
        </w:rPr>
        <w:t xml:space="preserve"> </w:t>
      </w:r>
      <w:r w:rsidRPr="00EE6C61">
        <w:rPr>
          <w:rFonts w:ascii="Verdana" w:hAnsi="Verdana"/>
          <w:i/>
          <w:spacing w:val="-12"/>
          <w:sz w:val="16"/>
          <w:szCs w:val="16"/>
        </w:rPr>
        <w:t xml:space="preserve">Cfr. </w:t>
      </w:r>
      <w:r w:rsidRPr="00EE6C61">
        <w:rPr>
          <w:rFonts w:ascii="Verdana" w:hAnsi="Verdana"/>
          <w:spacing w:val="-12"/>
          <w:sz w:val="16"/>
          <w:szCs w:val="16"/>
        </w:rPr>
        <w:t xml:space="preserve">Declaración de Omar de Jesús Correa Isaza ante el Juzgado Ciento Cuatro de Instrucción Criminal Ambulante. Medellín, 19 de junio de 1991, </w:t>
      </w:r>
      <w:r>
        <w:rPr>
          <w:rFonts w:ascii="Verdana" w:hAnsi="Verdana"/>
          <w:spacing w:val="-12"/>
          <w:sz w:val="16"/>
          <w:szCs w:val="16"/>
        </w:rPr>
        <w:t>(</w:t>
      </w:r>
      <w:r w:rsidRPr="00EE6C61">
        <w:rPr>
          <w:rFonts w:ascii="Verdana" w:hAnsi="Verdana"/>
          <w:spacing w:val="-12"/>
          <w:sz w:val="16"/>
          <w:szCs w:val="16"/>
        </w:rPr>
        <w:t xml:space="preserve">exp. prueba, </w:t>
      </w:r>
      <w:r>
        <w:rPr>
          <w:rFonts w:ascii="Verdana" w:hAnsi="Verdana"/>
          <w:spacing w:val="-12"/>
          <w:sz w:val="16"/>
          <w:szCs w:val="16"/>
        </w:rPr>
        <w:t>f</w:t>
      </w:r>
      <w:r w:rsidRPr="00EE6C61">
        <w:rPr>
          <w:rFonts w:ascii="Verdana" w:hAnsi="Verdana"/>
          <w:spacing w:val="-12"/>
          <w:sz w:val="16"/>
          <w:szCs w:val="16"/>
        </w:rPr>
        <w:t>. 925). Otro trabajador de Cementos Nare, en su versión rendida el 30 de enero de 1992 ante la Procuraduría</w:t>
      </w:r>
      <w:r>
        <w:rPr>
          <w:rFonts w:ascii="Verdana" w:hAnsi="Verdana"/>
          <w:spacing w:val="-12"/>
          <w:sz w:val="16"/>
          <w:szCs w:val="16"/>
        </w:rPr>
        <w:t xml:space="preserve"> Departamental</w:t>
      </w:r>
      <w:r w:rsidRPr="00EE6C61">
        <w:rPr>
          <w:rFonts w:ascii="Verdana" w:hAnsi="Verdana"/>
          <w:spacing w:val="-12"/>
          <w:sz w:val="16"/>
          <w:szCs w:val="16"/>
        </w:rPr>
        <w:t>: “[…] los anuncios callejeros sindicaban a la guerrilla de haberlos secuestrado pero lo cierto es que en el municipio de Puerto Nare la cárcel queda o está ubicada en un lugar muy céntrico de los puestos de Policía al mismo puerto fluvial donde había la patrulla fluvial de Guardacosta que llamamos y marcada con el número 122, que estaban por dispositivos de seguridad en la región y no se explica uno como sin ninguna resistencia de las autoridades en una zona donde no existe guerrilla se hable de secuestro por parte de estas personas” (exp. prueba</w:t>
      </w:r>
      <w:r>
        <w:rPr>
          <w:rFonts w:ascii="Verdana" w:hAnsi="Verdana"/>
          <w:spacing w:val="-12"/>
          <w:sz w:val="16"/>
          <w:szCs w:val="16"/>
        </w:rPr>
        <w:t>,</w:t>
      </w:r>
      <w:r w:rsidRPr="00EE6C61">
        <w:rPr>
          <w:rFonts w:ascii="Verdana" w:hAnsi="Verdana"/>
          <w:spacing w:val="-12"/>
          <w:sz w:val="16"/>
          <w:szCs w:val="16"/>
        </w:rPr>
        <w:t xml:space="preserve"> </w:t>
      </w:r>
      <w:r>
        <w:rPr>
          <w:rFonts w:ascii="Verdana" w:hAnsi="Verdana"/>
          <w:spacing w:val="-12"/>
          <w:sz w:val="16"/>
          <w:szCs w:val="16"/>
        </w:rPr>
        <w:t>f</w:t>
      </w:r>
      <w:r w:rsidRPr="00EE6C61">
        <w:rPr>
          <w:rFonts w:ascii="Verdana" w:hAnsi="Verdana"/>
          <w:spacing w:val="-12"/>
          <w:sz w:val="16"/>
          <w:szCs w:val="16"/>
        </w:rPr>
        <w:t>. 5</w:t>
      </w:r>
      <w:r>
        <w:rPr>
          <w:rFonts w:ascii="Verdana" w:hAnsi="Verdana"/>
          <w:spacing w:val="-12"/>
          <w:sz w:val="16"/>
          <w:szCs w:val="16"/>
        </w:rPr>
        <w:t>5</w:t>
      </w:r>
      <w:r w:rsidRPr="00EE6C61">
        <w:rPr>
          <w:rFonts w:ascii="Verdana" w:hAnsi="Verdana"/>
          <w:spacing w:val="-12"/>
          <w:sz w:val="16"/>
          <w:szCs w:val="16"/>
        </w:rPr>
        <w:t>). Declaración de Alirio Antonio Sierra Pérez</w:t>
      </w:r>
      <w:r w:rsidRPr="007D4693">
        <w:rPr>
          <w:rFonts w:ascii="Verdana" w:hAnsi="Verdana"/>
          <w:spacing w:val="-12"/>
          <w:sz w:val="16"/>
          <w:szCs w:val="16"/>
        </w:rPr>
        <w:t xml:space="preserve"> </w:t>
      </w:r>
      <w:r>
        <w:rPr>
          <w:rFonts w:ascii="Verdana" w:hAnsi="Verdana"/>
          <w:spacing w:val="-12"/>
          <w:sz w:val="16"/>
          <w:szCs w:val="16"/>
        </w:rPr>
        <w:t xml:space="preserve">el 30 de enero de 1992 </w:t>
      </w:r>
      <w:r w:rsidRPr="00EE6C61">
        <w:rPr>
          <w:rFonts w:ascii="Verdana" w:hAnsi="Verdana"/>
          <w:spacing w:val="-12"/>
          <w:sz w:val="16"/>
          <w:szCs w:val="16"/>
        </w:rPr>
        <w:t>ante la Procuraduría</w:t>
      </w:r>
      <w:r>
        <w:rPr>
          <w:rFonts w:ascii="Verdana" w:hAnsi="Verdana"/>
          <w:spacing w:val="-12"/>
          <w:sz w:val="16"/>
          <w:szCs w:val="16"/>
        </w:rPr>
        <w:t xml:space="preserve"> Departamental</w:t>
      </w:r>
      <w:r w:rsidRPr="00EE6C61">
        <w:rPr>
          <w:rFonts w:ascii="Verdana" w:hAnsi="Verdana"/>
          <w:spacing w:val="-12"/>
          <w:sz w:val="16"/>
          <w:szCs w:val="16"/>
        </w:rPr>
        <w:t xml:space="preserve">: “Por esos días se encontraba en Puerto Nare el guardacostas del ejército No. 122 y el cual estaba a cincuenta metros de la cárcel en un lugar denominado La Peña” (exp. prueba, </w:t>
      </w:r>
      <w:r>
        <w:rPr>
          <w:rFonts w:ascii="Verdana" w:hAnsi="Verdana"/>
          <w:spacing w:val="-12"/>
          <w:sz w:val="16"/>
          <w:szCs w:val="16"/>
        </w:rPr>
        <w:t>f</w:t>
      </w:r>
      <w:r w:rsidRPr="00EE6C61">
        <w:rPr>
          <w:rFonts w:ascii="Verdana" w:hAnsi="Verdana"/>
          <w:spacing w:val="-12"/>
          <w:sz w:val="16"/>
          <w:szCs w:val="16"/>
        </w:rPr>
        <w:t xml:space="preserve">. 50). Ver también: declaración de Darío García ante la Procuraduría Delegada para la Defensa de los Derechos Humanos, 28 de enero de 1992 (exp. prueba, </w:t>
      </w:r>
      <w:r>
        <w:rPr>
          <w:rFonts w:ascii="Verdana" w:hAnsi="Verdana"/>
          <w:spacing w:val="-12"/>
          <w:sz w:val="16"/>
          <w:szCs w:val="16"/>
        </w:rPr>
        <w:t>f.</w:t>
      </w:r>
      <w:r w:rsidRPr="00EE6C61">
        <w:rPr>
          <w:rFonts w:ascii="Verdana" w:hAnsi="Verdana"/>
          <w:spacing w:val="-12"/>
          <w:sz w:val="16"/>
          <w:szCs w:val="16"/>
        </w:rPr>
        <w:t xml:space="preserve"> 940); declaración ante fedatario público de Jhony Alexander Isaza Vélez (exp. prueba, </w:t>
      </w:r>
      <w:r>
        <w:rPr>
          <w:rFonts w:ascii="Verdana" w:hAnsi="Verdana"/>
          <w:spacing w:val="-12"/>
          <w:sz w:val="16"/>
          <w:szCs w:val="16"/>
        </w:rPr>
        <w:t>f.</w:t>
      </w:r>
      <w:r w:rsidRPr="00EE6C61">
        <w:rPr>
          <w:rFonts w:ascii="Verdana" w:hAnsi="Verdana"/>
          <w:spacing w:val="-12"/>
          <w:sz w:val="16"/>
          <w:szCs w:val="16"/>
        </w:rPr>
        <w:t xml:space="preserve"> 6986); </w:t>
      </w:r>
      <w:r>
        <w:rPr>
          <w:rFonts w:ascii="Verdana" w:hAnsi="Verdana"/>
          <w:spacing w:val="-12"/>
          <w:sz w:val="16"/>
          <w:szCs w:val="16"/>
        </w:rPr>
        <w:t>d</w:t>
      </w:r>
      <w:r w:rsidRPr="00EE6C61">
        <w:rPr>
          <w:rFonts w:ascii="Verdana" w:hAnsi="Verdana"/>
          <w:spacing w:val="-12"/>
          <w:sz w:val="16"/>
          <w:szCs w:val="16"/>
        </w:rPr>
        <w:t>iligencia de inspección georreferenciada</w:t>
      </w:r>
      <w:r>
        <w:rPr>
          <w:rFonts w:ascii="Verdana" w:hAnsi="Verdana"/>
          <w:spacing w:val="-12"/>
          <w:sz w:val="16"/>
          <w:szCs w:val="16"/>
        </w:rPr>
        <w:t>, Fiscalía General de la Nación</w:t>
      </w:r>
      <w:r w:rsidRPr="00EE6C61">
        <w:rPr>
          <w:rFonts w:ascii="Verdana" w:hAnsi="Verdana"/>
          <w:spacing w:val="-12"/>
          <w:sz w:val="16"/>
          <w:szCs w:val="16"/>
        </w:rPr>
        <w:t xml:space="preserve"> (exp. prueba </w:t>
      </w:r>
      <w:r>
        <w:rPr>
          <w:rFonts w:ascii="Verdana" w:hAnsi="Verdana"/>
          <w:spacing w:val="-12"/>
          <w:sz w:val="16"/>
          <w:szCs w:val="16"/>
        </w:rPr>
        <w:t>ff</w:t>
      </w:r>
      <w:r w:rsidRPr="00EE6C61">
        <w:rPr>
          <w:rFonts w:ascii="Verdana" w:hAnsi="Verdana"/>
          <w:spacing w:val="-12"/>
          <w:sz w:val="16"/>
          <w:szCs w:val="16"/>
        </w:rPr>
        <w:t>. 7447 a 7449)</w:t>
      </w:r>
    </w:p>
  </w:footnote>
  <w:footnote w:id="108">
    <w:p w:rsidR="00996758" w:rsidRPr="00EE6C61" w:rsidRDefault="00996758" w:rsidP="00103EC8">
      <w:pPr>
        <w:tabs>
          <w:tab w:val="left" w:pos="709"/>
        </w:tabs>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Diligencia de inspección georreferenciada,</w:t>
      </w:r>
      <w:r>
        <w:rPr>
          <w:rFonts w:ascii="Verdana" w:hAnsi="Verdana"/>
          <w:spacing w:val="-12"/>
          <w:sz w:val="16"/>
          <w:szCs w:val="16"/>
        </w:rPr>
        <w:t xml:space="preserve"> Fiscalía General de la Nación</w:t>
      </w:r>
      <w:r w:rsidRPr="00EE6C61">
        <w:rPr>
          <w:rFonts w:ascii="Verdana" w:hAnsi="Verdana"/>
          <w:spacing w:val="-12"/>
          <w:sz w:val="16"/>
          <w:szCs w:val="16"/>
        </w:rPr>
        <w:t xml:space="preserve"> (exp</w:t>
      </w:r>
      <w:r>
        <w:rPr>
          <w:rFonts w:ascii="Verdana" w:hAnsi="Verdana"/>
          <w:spacing w:val="-12"/>
          <w:sz w:val="16"/>
          <w:szCs w:val="16"/>
        </w:rPr>
        <w:t>.</w:t>
      </w:r>
      <w:r w:rsidRPr="00EE6C61">
        <w:rPr>
          <w:rFonts w:ascii="Verdana" w:hAnsi="Verdana"/>
          <w:spacing w:val="-12"/>
          <w:sz w:val="16"/>
          <w:szCs w:val="16"/>
        </w:rPr>
        <w:t xml:space="preserve"> de prueba folios 7447 a 7449), y </w:t>
      </w:r>
      <w:r>
        <w:rPr>
          <w:rFonts w:ascii="Verdana" w:hAnsi="Verdana"/>
          <w:spacing w:val="-12"/>
          <w:sz w:val="16"/>
          <w:szCs w:val="16"/>
        </w:rPr>
        <w:t>“</w:t>
      </w:r>
      <w:r w:rsidRPr="00EE6C61">
        <w:rPr>
          <w:rFonts w:ascii="Verdana" w:hAnsi="Verdana"/>
          <w:spacing w:val="-12"/>
          <w:sz w:val="16"/>
          <w:szCs w:val="16"/>
        </w:rPr>
        <w:t>Huellas y Rostros de la Desaparición Forzada (1970-2010)</w:t>
      </w:r>
      <w:r>
        <w:rPr>
          <w:rFonts w:ascii="Verdana" w:hAnsi="Verdana"/>
          <w:spacing w:val="-12"/>
          <w:sz w:val="16"/>
          <w:szCs w:val="16"/>
        </w:rPr>
        <w:t>”</w:t>
      </w:r>
      <w:r w:rsidRPr="00EE6C61">
        <w:rPr>
          <w:rFonts w:ascii="Verdana" w:hAnsi="Verdana"/>
          <w:spacing w:val="-12"/>
          <w:sz w:val="16"/>
          <w:szCs w:val="16"/>
        </w:rPr>
        <w:t xml:space="preserve"> (exp.</w:t>
      </w:r>
      <w:r>
        <w:rPr>
          <w:rFonts w:ascii="Verdana" w:hAnsi="Verdana"/>
          <w:spacing w:val="-12"/>
          <w:sz w:val="16"/>
          <w:szCs w:val="16"/>
        </w:rPr>
        <w:t xml:space="preserve"> </w:t>
      </w:r>
      <w:r w:rsidRPr="00EE6C61">
        <w:rPr>
          <w:rFonts w:ascii="Verdana" w:hAnsi="Verdana"/>
          <w:spacing w:val="-12"/>
          <w:sz w:val="16"/>
          <w:szCs w:val="16"/>
        </w:rPr>
        <w:t xml:space="preserve">prueba, </w:t>
      </w:r>
      <w:r>
        <w:rPr>
          <w:rFonts w:ascii="Verdana" w:hAnsi="Verdana"/>
          <w:spacing w:val="-12"/>
          <w:sz w:val="16"/>
          <w:szCs w:val="16"/>
        </w:rPr>
        <w:t>f.</w:t>
      </w:r>
      <w:r w:rsidRPr="00EE6C61">
        <w:rPr>
          <w:rFonts w:ascii="Verdana" w:hAnsi="Verdana"/>
          <w:spacing w:val="-12"/>
          <w:sz w:val="16"/>
          <w:szCs w:val="16"/>
        </w:rPr>
        <w:t xml:space="preserve"> 5555).</w:t>
      </w:r>
    </w:p>
  </w:footnote>
  <w:footnote w:id="10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En un informe del DAS se señala que “en las instalaciones de ACDEGA</w:t>
      </w:r>
      <w:r>
        <w:rPr>
          <w:rFonts w:ascii="Verdana" w:hAnsi="Verdana"/>
          <w:spacing w:val="-12"/>
          <w:sz w:val="16"/>
          <w:szCs w:val="16"/>
        </w:rPr>
        <w:t>M</w:t>
      </w:r>
      <w:r w:rsidRPr="00EE6C61">
        <w:rPr>
          <w:rFonts w:ascii="Verdana" w:hAnsi="Verdana"/>
          <w:spacing w:val="-12"/>
          <w:sz w:val="16"/>
          <w:szCs w:val="16"/>
        </w:rPr>
        <w:t xml:space="preserve"> en Puerto Boyacá funciona una imprenta […] en la que, en muchas ocasiones se elaboró propaganda negra de las FARC para dirigirla en cartas a particulares y así ubicar a los auxiliadores de esa organización. También se han elaborado folletos, chapolas, boletines y comunicados a nombre de varias Organizaciones de justicia privada” </w:t>
      </w:r>
      <w:r w:rsidRPr="00EE6C61">
        <w:rPr>
          <w:rFonts w:ascii="Verdana" w:hAnsi="Verdana"/>
          <w:i/>
          <w:spacing w:val="-12"/>
          <w:sz w:val="16"/>
          <w:szCs w:val="16"/>
        </w:rPr>
        <w:t xml:space="preserve">Cfr. </w:t>
      </w:r>
      <w:r w:rsidRPr="00EE6C61">
        <w:rPr>
          <w:rFonts w:ascii="Verdana" w:hAnsi="Verdana"/>
          <w:spacing w:val="-12"/>
          <w:sz w:val="16"/>
          <w:szCs w:val="16"/>
        </w:rPr>
        <w:t xml:space="preserve">Departamento Administrativo de Seguridad, Central de Inteligencia, circa 1990, “Creación de la autodefensa en el Magdalena Medio”, p. 5, citado por el perito Michael Reed en su declaración escrita </w:t>
      </w:r>
      <w:r>
        <w:rPr>
          <w:rFonts w:ascii="Verdana" w:hAnsi="Verdana"/>
          <w:spacing w:val="-12"/>
          <w:sz w:val="16"/>
          <w:szCs w:val="16"/>
        </w:rPr>
        <w:t>(</w:t>
      </w:r>
      <w:r w:rsidRPr="00EE6C61">
        <w:rPr>
          <w:rFonts w:ascii="Verdana" w:hAnsi="Verdana"/>
          <w:spacing w:val="-12"/>
          <w:sz w:val="16"/>
          <w:szCs w:val="16"/>
        </w:rPr>
        <w:t>exp.</w:t>
      </w:r>
      <w:r>
        <w:rPr>
          <w:rFonts w:ascii="Verdana" w:hAnsi="Verdana"/>
          <w:spacing w:val="-12"/>
          <w:sz w:val="16"/>
          <w:szCs w:val="16"/>
        </w:rPr>
        <w:t xml:space="preserve"> </w:t>
      </w:r>
      <w:r w:rsidRPr="00EE6C61">
        <w:rPr>
          <w:rFonts w:ascii="Verdana" w:hAnsi="Verdana"/>
          <w:spacing w:val="-12"/>
          <w:sz w:val="16"/>
          <w:szCs w:val="16"/>
        </w:rPr>
        <w:t>prueba f. 6245).</w:t>
      </w:r>
    </w:p>
  </w:footnote>
  <w:footnote w:id="110">
    <w:p w:rsidR="00996758" w:rsidRPr="00EE6C61" w:rsidRDefault="00996758" w:rsidP="00103EC8">
      <w:pPr>
        <w:tabs>
          <w:tab w:val="left" w:pos="709"/>
        </w:tabs>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Declaración de Omar de Jesús Correa Isaza ante la Procuraduría Departamental de Medellín: “[…] esa misma noche aparece el municipio inundado de un panfleto firmado por las FARC lo extraño es que no haya habido ningún tipo de enfrentamiento. […] yo hice esta denuncia hace mucho tiempo le pedía a la Procuraduría General que examinaran las máquinas de escribir de la administración municipal para establecer qué relación había entre el panfleto y las máquinas del municipio, eso no se hizo”. Declaración de Alirio Antonio Sierra Pérez: “Tuve un volante de ellos en mi poder […] veo imposible que en medio del ejército, la Policía y los paramilitares se entre la guerrilla a sacar cuatro compañeros y nadie ver nada (sic), personalmente pienso que ese boletín fue sacado por los mismos paramilitares, con el fin de confundir más la región”</w:t>
      </w:r>
      <w:r>
        <w:rPr>
          <w:rFonts w:ascii="Verdana" w:hAnsi="Verdana"/>
          <w:spacing w:val="-12"/>
          <w:sz w:val="16"/>
          <w:szCs w:val="16"/>
        </w:rPr>
        <w:t>.</w:t>
      </w:r>
      <w:r w:rsidRPr="00EE6C61">
        <w:rPr>
          <w:rFonts w:ascii="Verdana" w:hAnsi="Verdana"/>
          <w:spacing w:val="-12"/>
          <w:sz w:val="16"/>
          <w:szCs w:val="16"/>
        </w:rPr>
        <w:t xml:space="preserve"> (exp. prueba </w:t>
      </w:r>
      <w:r>
        <w:rPr>
          <w:rFonts w:ascii="Verdana" w:hAnsi="Verdana"/>
          <w:spacing w:val="-12"/>
          <w:sz w:val="16"/>
          <w:szCs w:val="16"/>
        </w:rPr>
        <w:t>f.</w:t>
      </w:r>
      <w:r w:rsidRPr="00EE6C61">
        <w:rPr>
          <w:rFonts w:ascii="Verdana" w:hAnsi="Verdana"/>
          <w:spacing w:val="-12"/>
          <w:sz w:val="16"/>
          <w:szCs w:val="16"/>
        </w:rPr>
        <w:t xml:space="preserve"> 50). </w:t>
      </w:r>
    </w:p>
  </w:footnote>
  <w:footnote w:id="11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Tribunal Administrativo de Antioquia, sentencia del 26 de noviembre de 1993, radicado 25.861. (exp. prueba, folio 5969)</w:t>
      </w:r>
    </w:p>
  </w:footnote>
  <w:footnote w:id="11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r>
      <w:r w:rsidRPr="0078473F">
        <w:rPr>
          <w:rFonts w:ascii="Verdana" w:hAnsi="Verdana"/>
          <w:i/>
          <w:spacing w:val="-12"/>
          <w:sz w:val="16"/>
          <w:szCs w:val="16"/>
        </w:rPr>
        <w:t>Cfr.</w:t>
      </w:r>
      <w:r w:rsidRPr="00EE6C61">
        <w:rPr>
          <w:rFonts w:ascii="Verdana" w:hAnsi="Verdana"/>
          <w:spacing w:val="-12"/>
          <w:sz w:val="16"/>
          <w:szCs w:val="16"/>
        </w:rPr>
        <w:t xml:space="preserve"> Consejo de Estado, Sección Tercera, sentencia del 23 de septiembre de 1994, expediente 9458. (exp. prueba, folio 5988)</w:t>
      </w:r>
    </w:p>
  </w:footnote>
  <w:footnote w:id="11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307B62">
        <w:rPr>
          <w:rFonts w:ascii="Verdana" w:hAnsi="Verdana"/>
          <w:i/>
          <w:spacing w:val="-12"/>
          <w:sz w:val="16"/>
          <w:szCs w:val="16"/>
        </w:rPr>
        <w:t>Cfr</w:t>
      </w:r>
      <w:r w:rsidRPr="00307B62">
        <w:rPr>
          <w:rFonts w:ascii="Verdana" w:hAnsi="Verdana"/>
          <w:spacing w:val="-12"/>
          <w:sz w:val="16"/>
          <w:szCs w:val="16"/>
        </w:rPr>
        <w:t xml:space="preserve">. Sentencia de la Sala de lo Contencioso Administrativo, Sección Tercera del Consejo de Estado de Colombia, de 23 de septiembre de 1994 ( exp, prueba, </w:t>
      </w:r>
      <w:r>
        <w:rPr>
          <w:rFonts w:ascii="Verdana" w:hAnsi="Verdana"/>
          <w:spacing w:val="-12"/>
          <w:sz w:val="16"/>
          <w:szCs w:val="16"/>
        </w:rPr>
        <w:t xml:space="preserve">f. </w:t>
      </w:r>
      <w:r w:rsidRPr="00307B62">
        <w:rPr>
          <w:rFonts w:ascii="Verdana" w:hAnsi="Verdana"/>
          <w:spacing w:val="-12"/>
          <w:sz w:val="16"/>
          <w:szCs w:val="16"/>
        </w:rPr>
        <w:t>7255); y d</w:t>
      </w:r>
      <w:r w:rsidRPr="00EE6C61">
        <w:rPr>
          <w:rFonts w:ascii="Verdana" w:hAnsi="Verdana"/>
          <w:spacing w:val="-12"/>
          <w:sz w:val="16"/>
          <w:szCs w:val="16"/>
        </w:rPr>
        <w:t>eclaración de Carmenza Vélez de 8 de ene</w:t>
      </w:r>
      <w:r>
        <w:rPr>
          <w:rFonts w:ascii="Verdana" w:hAnsi="Verdana"/>
          <w:spacing w:val="-12"/>
          <w:sz w:val="16"/>
          <w:szCs w:val="16"/>
        </w:rPr>
        <w:t>ro de 1997 ante la Procuraduría, citada en los alegatos finales escritos del Estado (exp. fondo, f. 816)</w:t>
      </w:r>
    </w:p>
  </w:footnote>
  <w:footnote w:id="114">
    <w:p w:rsidR="00996758" w:rsidRPr="00EE6C61" w:rsidRDefault="00996758" w:rsidP="00103EC8">
      <w:pPr>
        <w:pStyle w:val="FootnoteText"/>
        <w:spacing w:before="120" w:after="120"/>
        <w:jc w:val="both"/>
      </w:pPr>
      <w:r w:rsidRPr="00EE6C61">
        <w:rPr>
          <w:rStyle w:val="FootnoteReference"/>
          <w:rFonts w:ascii="Verdana" w:hAnsi="Verdana"/>
          <w:spacing w:val="-12"/>
          <w:sz w:val="16"/>
          <w:szCs w:val="16"/>
        </w:rPr>
        <w:footnoteRef/>
      </w:r>
      <w:r w:rsidRPr="00EE6C61">
        <w:t xml:space="preserve"> </w:t>
      </w:r>
      <w:r w:rsidRPr="00EE6C61">
        <w:rPr>
          <w:rFonts w:ascii="Verdana" w:hAnsi="Verdana"/>
          <w:spacing w:val="-12"/>
          <w:sz w:val="16"/>
          <w:szCs w:val="16"/>
        </w:rPr>
        <w:tab/>
        <w:t xml:space="preserve">El Estado hizo notar que, en </w:t>
      </w:r>
      <w:r>
        <w:rPr>
          <w:rFonts w:ascii="Verdana" w:hAnsi="Verdana"/>
          <w:spacing w:val="-12"/>
          <w:sz w:val="16"/>
          <w:szCs w:val="16"/>
        </w:rPr>
        <w:t>una</w:t>
      </w:r>
      <w:r w:rsidRPr="00EE6C61">
        <w:rPr>
          <w:rFonts w:ascii="Verdana" w:hAnsi="Verdana"/>
          <w:spacing w:val="-12"/>
          <w:sz w:val="16"/>
          <w:szCs w:val="16"/>
        </w:rPr>
        <w:t xml:space="preserve"> declaración de 9 de mayo de 1991, la señora Vélez manifestó que “[l]os paramilitares se creen la autoridad del pueblo y la dominan. A [Víctor] lo escogieron porque era sindicalista y también porque lo sindicaron de la muerte del doctor Humberto García, [que] era jefe de Relaciones Industriales de Cementos Nare” [y] tenía vínculos con grupos paramilitares y este decía que tenía que acabar con los sindicatos. El papá [de García] fue a la empresa Cementos Nare […] y dijo que si no iban a hacer nada por la muerte del hijo”. </w:t>
      </w:r>
      <w:r>
        <w:rPr>
          <w:rFonts w:ascii="Verdana" w:hAnsi="Verdana"/>
          <w:spacing w:val="-12"/>
          <w:sz w:val="16"/>
          <w:szCs w:val="16"/>
        </w:rPr>
        <w:t>A la vez, e</w:t>
      </w:r>
      <w:r w:rsidRPr="00EE6C61">
        <w:rPr>
          <w:rFonts w:ascii="Verdana" w:hAnsi="Verdana"/>
          <w:spacing w:val="-12"/>
          <w:sz w:val="16"/>
          <w:szCs w:val="16"/>
        </w:rPr>
        <w:t>n otra declaración ella afirmó que, cuando Víctor le solicitó trabajo para un sobrino, “Humberto le respondió [a Víctor] que él no iba a colocar más guerrilleros ahí y además que Víctor era el próximo que seguía en la lista […] dando a entender que era el próximo que iban a matar, entonces de ahí se deduce quién era Humberto García y cuál era el dominio de los paramilitares en la zona y por supuesto de esto se deduce que no fue la guerrilla la que sacó a Víctor de la cárcel para desaparecerlo, sino que fueron los paramilitares”.</w:t>
      </w:r>
    </w:p>
  </w:footnote>
  <w:footnote w:id="115">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Declaró que “cuando a mi papá lo detuvieron, el 27 de octubre de 1987, fue porque él ese día se fue a trabajar y salió al club […] en la hora de la comida y se encontró con el abogado de la empresa y le pidió trabajo para un sobrino de él. A la solicitud el abogado él contesto que ‘cuál trabajo si usted es un guerrillero hijueputa y usted es el siguiente en la lista’. Luego esa noche mi papá se emborrachó y fue y mató a ese abogado” </w:t>
      </w:r>
      <w:r w:rsidRPr="00EE6C61">
        <w:rPr>
          <w:rFonts w:ascii="Verdana" w:hAnsi="Verdana"/>
          <w:i/>
          <w:spacing w:val="-12"/>
          <w:sz w:val="16"/>
          <w:szCs w:val="16"/>
        </w:rPr>
        <w:t xml:space="preserve">Cfr. </w:t>
      </w:r>
      <w:r w:rsidRPr="00EE6C61">
        <w:rPr>
          <w:rFonts w:ascii="Verdana" w:hAnsi="Verdana"/>
          <w:spacing w:val="-12"/>
          <w:sz w:val="16"/>
          <w:szCs w:val="16"/>
        </w:rPr>
        <w:t xml:space="preserve">Declaración Jhony Alexander Isaza Vélez. (exp. prueba, </w:t>
      </w:r>
      <w:r>
        <w:rPr>
          <w:rFonts w:ascii="Verdana" w:hAnsi="Verdana"/>
          <w:spacing w:val="-12"/>
          <w:sz w:val="16"/>
          <w:szCs w:val="16"/>
        </w:rPr>
        <w:t>f.</w:t>
      </w:r>
      <w:r w:rsidRPr="00EE6C61">
        <w:rPr>
          <w:rFonts w:ascii="Verdana" w:hAnsi="Verdana"/>
          <w:spacing w:val="-12"/>
          <w:sz w:val="16"/>
          <w:szCs w:val="16"/>
        </w:rPr>
        <w:t xml:space="preserve"> 6985)</w:t>
      </w:r>
    </w:p>
  </w:footnote>
  <w:footnote w:id="116">
    <w:p w:rsidR="00996758" w:rsidRPr="00EE6C61" w:rsidRDefault="00996758" w:rsidP="007D4693">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Según el Juzgado, “también resulta de compromiso en contra del sindicado Isaza Uribe el testimonio del médico Carlos Mario Saldarriaga, quien dijo haber acudido –por el natural escándalo que produjo el hecho– al comedor, y en la parte externa observó a Víctor Manuel, a quien muchas veces había tratado como médico, empuñando un cuchillo y al inquirirlo por lo que pasaba, manifestó [refiriéndose al señor Humberto García] que ‘este hijueputa mató a Julio César Uribe’”.</w:t>
      </w:r>
      <w:r w:rsidRPr="00EE6C61">
        <w:rPr>
          <w:rFonts w:ascii="Verdana" w:hAnsi="Verdana"/>
          <w:i/>
          <w:sz w:val="16"/>
          <w:szCs w:val="16"/>
        </w:rPr>
        <w:t xml:space="preserve"> </w:t>
      </w:r>
      <w:r w:rsidRPr="00EE6C61">
        <w:rPr>
          <w:rFonts w:ascii="Verdana" w:hAnsi="Verdana"/>
          <w:i/>
          <w:spacing w:val="-12"/>
          <w:sz w:val="16"/>
          <w:szCs w:val="16"/>
        </w:rPr>
        <w:t>Cfr</w:t>
      </w:r>
      <w:r w:rsidRPr="00EE6C61">
        <w:rPr>
          <w:rFonts w:ascii="Verdana" w:hAnsi="Verdana"/>
          <w:spacing w:val="-12"/>
          <w:sz w:val="16"/>
          <w:szCs w:val="16"/>
        </w:rPr>
        <w:t>. Resolución de 29 de octubre de 1987 del Juzgado 64 de Instrucción Criminal de Puerto Nare, en el proceso seguido contra Víctor Manuel Isaza Uribe. Documento aportado por el Estado</w:t>
      </w:r>
      <w:r>
        <w:rPr>
          <w:rFonts w:ascii="Verdana" w:hAnsi="Verdana"/>
          <w:spacing w:val="-12"/>
          <w:sz w:val="16"/>
          <w:szCs w:val="16"/>
        </w:rPr>
        <w:t>.</w:t>
      </w:r>
      <w:r w:rsidRPr="00EE6C61">
        <w:rPr>
          <w:rFonts w:ascii="Verdana" w:hAnsi="Verdana"/>
          <w:spacing w:val="-12"/>
          <w:sz w:val="16"/>
          <w:szCs w:val="16"/>
        </w:rPr>
        <w:t xml:space="preserve"> (exp. prueba folio, 536</w:t>
      </w:r>
      <w:r>
        <w:rPr>
          <w:rFonts w:ascii="Verdana" w:hAnsi="Verdana"/>
          <w:spacing w:val="-12"/>
          <w:sz w:val="16"/>
          <w:szCs w:val="16"/>
        </w:rPr>
        <w:t>1</w:t>
      </w:r>
      <w:r w:rsidRPr="00EE6C61">
        <w:rPr>
          <w:rFonts w:ascii="Verdana" w:hAnsi="Verdana"/>
          <w:spacing w:val="-12"/>
          <w:sz w:val="16"/>
          <w:szCs w:val="16"/>
        </w:rPr>
        <w:t>). Lo anterior fue reiterado en la acusación proferida en su contra por el homicidio, en la cual el referido Juzgado además hizo notar que, luego de haber cometido el hecho, el señor Isaza Uribe manifestó ante otros trabajadores de la empresa “que en el club el abogado García le había dicho que no se hicieran ilusiones de que Lucio Serrano se encontraba vivo (dicho ciudadano figura como uno de los desaparecidos en lo que va corrido del año pasado a la época actual, anota el despacho); que a los dos días de su captura se lo había mandado a la muerte porque había la consigna de acabar con todos los guerrilleros de la empresa. Y que manifestaba Víctor Isaza su temor de que también iba a ser asesinado porque su nombre figuraba en la lista”.</w:t>
      </w:r>
      <w:r>
        <w:rPr>
          <w:rFonts w:ascii="Verdana" w:hAnsi="Verdana"/>
          <w:spacing w:val="-12"/>
          <w:sz w:val="16"/>
          <w:szCs w:val="16"/>
        </w:rPr>
        <w:t xml:space="preserve"> </w:t>
      </w:r>
      <w:r w:rsidRPr="0078473F">
        <w:rPr>
          <w:rFonts w:ascii="Verdana" w:hAnsi="Verdana"/>
          <w:i/>
          <w:spacing w:val="-12"/>
          <w:sz w:val="16"/>
          <w:szCs w:val="16"/>
        </w:rPr>
        <w:t>Cfr</w:t>
      </w:r>
      <w:r>
        <w:rPr>
          <w:rFonts w:ascii="Verdana" w:hAnsi="Verdana"/>
          <w:spacing w:val="-12"/>
          <w:sz w:val="16"/>
          <w:szCs w:val="16"/>
        </w:rPr>
        <w:t>. Sentencia de</w:t>
      </w:r>
      <w:r w:rsidRPr="007D4693">
        <w:rPr>
          <w:rFonts w:ascii="Verdana" w:hAnsi="Verdana"/>
          <w:spacing w:val="-12"/>
          <w:sz w:val="16"/>
          <w:szCs w:val="16"/>
        </w:rPr>
        <w:t xml:space="preserve"> 7 de noviembre de 1989</w:t>
      </w:r>
      <w:r>
        <w:rPr>
          <w:rFonts w:ascii="Verdana" w:hAnsi="Verdana"/>
          <w:spacing w:val="-12"/>
          <w:sz w:val="16"/>
          <w:szCs w:val="16"/>
        </w:rPr>
        <w:t xml:space="preserve"> </w:t>
      </w:r>
      <w:r w:rsidRPr="007D4693">
        <w:rPr>
          <w:rFonts w:ascii="Verdana" w:hAnsi="Verdana"/>
          <w:spacing w:val="-12"/>
          <w:sz w:val="16"/>
          <w:szCs w:val="16"/>
        </w:rPr>
        <w:t>proferida por el Juzga</w:t>
      </w:r>
      <w:r>
        <w:rPr>
          <w:rFonts w:ascii="Verdana" w:hAnsi="Verdana"/>
          <w:spacing w:val="-12"/>
          <w:sz w:val="16"/>
          <w:szCs w:val="16"/>
        </w:rPr>
        <w:t>do Noveno Superior de Medellín, c</w:t>
      </w:r>
      <w:r w:rsidRPr="007D4693">
        <w:rPr>
          <w:rFonts w:ascii="Verdana" w:hAnsi="Verdana"/>
          <w:spacing w:val="-12"/>
          <w:sz w:val="16"/>
          <w:szCs w:val="16"/>
        </w:rPr>
        <w:t>ondena penal cont</w:t>
      </w:r>
      <w:r>
        <w:rPr>
          <w:rFonts w:ascii="Verdana" w:hAnsi="Verdana"/>
          <w:spacing w:val="-12"/>
          <w:sz w:val="16"/>
          <w:szCs w:val="16"/>
        </w:rPr>
        <w:t xml:space="preserve">ra Víctor Manuel Isaza </w:t>
      </w:r>
      <w:r w:rsidRPr="007D4693">
        <w:rPr>
          <w:rFonts w:ascii="Verdana" w:hAnsi="Verdana"/>
          <w:spacing w:val="-12"/>
          <w:sz w:val="16"/>
          <w:szCs w:val="16"/>
        </w:rPr>
        <w:t>Uribe por el delito d</w:t>
      </w:r>
      <w:r>
        <w:rPr>
          <w:rFonts w:ascii="Verdana" w:hAnsi="Verdana"/>
          <w:spacing w:val="-12"/>
          <w:sz w:val="16"/>
          <w:szCs w:val="16"/>
        </w:rPr>
        <w:t>e homicidio agravado (exp. prueba, f. 5382).</w:t>
      </w:r>
    </w:p>
  </w:footnote>
  <w:footnote w:id="11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Resolución de 15 de febrero de 1988 del Juzgado 64 de Instrucción Criminal de Puerto Nare, en el proceso seguido contra Víctor Manuel Isaza Uribe. Documento aportado por el Estado (exp. prueba, folios 5366 y 5368).</w:t>
      </w:r>
    </w:p>
  </w:footnote>
  <w:footnote w:id="11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Documento del Departamento Administrativo de</w:t>
      </w:r>
      <w:r>
        <w:rPr>
          <w:rFonts w:ascii="Verdana" w:hAnsi="Verdana"/>
          <w:spacing w:val="-12"/>
          <w:sz w:val="16"/>
          <w:szCs w:val="16"/>
        </w:rPr>
        <w:t xml:space="preserve"> Seguridad, sin título ni fecha (exp. prueba, ff. 1470 a 1548).</w:t>
      </w:r>
      <w:r w:rsidRPr="00EE6C61">
        <w:rPr>
          <w:rFonts w:ascii="Verdana" w:hAnsi="Verdana"/>
          <w:spacing w:val="-12"/>
          <w:sz w:val="16"/>
          <w:szCs w:val="16"/>
        </w:rPr>
        <w:t xml:space="preserve"> </w:t>
      </w:r>
    </w:p>
  </w:footnote>
  <w:footnote w:id="11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Times New Roman" w:hAnsi="Verdana" w:cs="Palatino-Italic"/>
          <w:iCs/>
          <w:noProof/>
          <w:spacing w:val="-12"/>
          <w:sz w:val="16"/>
          <w:szCs w:val="16"/>
          <w:u w:color="000000"/>
          <w:bdr w:val="none" w:sz="0" w:space="0" w:color="auto" w:frame="1"/>
        </w:rPr>
        <w:footnoteRef/>
      </w:r>
      <w:r w:rsidRPr="00EE6C61">
        <w:rPr>
          <w:rFonts w:ascii="Verdana" w:hAnsi="Verdana"/>
          <w:spacing w:val="-12"/>
          <w:sz w:val="16"/>
          <w:szCs w:val="16"/>
        </w:rPr>
        <w:t xml:space="preserve"> </w:t>
      </w:r>
      <w:r w:rsidRPr="00EE6C61">
        <w:rPr>
          <w:rFonts w:ascii="Verdana" w:hAnsi="Verdana"/>
          <w:i/>
          <w:spacing w:val="-12"/>
          <w:sz w:val="16"/>
          <w:szCs w:val="16"/>
        </w:rPr>
        <w:tab/>
        <w:t xml:space="preserve"> </w:t>
      </w:r>
      <w:r w:rsidRPr="00EE6C61">
        <w:rPr>
          <w:rFonts w:ascii="Verdana" w:hAnsi="Verdana"/>
          <w:spacing w:val="-12"/>
          <w:sz w:val="16"/>
          <w:szCs w:val="16"/>
        </w:rPr>
        <w:t xml:space="preserve">El Juzgado 64 de Instrucción Criminal de Puerto Nare, que tomó declaración a Horacio de Jesús Gil Gómez hizo constar que éste declaró lo siguiente: “Lo que sí le digo es que yo creo que entre los que iban vestidos de civil, iba uno que yo creo que fue el que mató a Pablo Emilio Córdoba Madrigal, el concejal de la UP, porque yo ese día de la muerte de don Pablo yo sentí los tiros porque me tocaba surtir un establecimiento de cantina de ahí cerca y entonces cuando los disparos corrí a asomarme y vi un tipo igualito a usted señor secretario pero de boso… Ese fue de los también ayer estuvieron en la cárcel y anoche estaba de un pantalón negro y camisa a rayas, de manga larga. Se cubría el rostro con un poncho pero cuando en momento en que se le cayó el poncho ahí fue donde lo reconocí y ahí si me invadió el miedo… (en este momento, pese a la muy posible importancia de lo dicho por el declarante y al decir éste que tomará reposo para ampliar su declaración posteriormente). El declarante leyó su declaración, se ratificó en lo dicho y firma en constancia”. Los representantes hicieron notar que, cuando el testigo señaló lo anterior, la diligencia fue suspendida, sin que con posterioridad se hubiera reanudado, no obstante la importancia de esa declaración.  </w:t>
      </w:r>
      <w:r w:rsidRPr="00EE6C61">
        <w:rPr>
          <w:rFonts w:ascii="Verdana" w:hAnsi="Verdana"/>
          <w:i/>
          <w:spacing w:val="-12"/>
          <w:sz w:val="16"/>
          <w:szCs w:val="16"/>
        </w:rPr>
        <w:t xml:space="preserve">Cfr. </w:t>
      </w:r>
      <w:r w:rsidRPr="00EE6C61">
        <w:rPr>
          <w:rFonts w:ascii="Verdana" w:hAnsi="Verdana"/>
          <w:spacing w:val="-12"/>
          <w:sz w:val="16"/>
          <w:szCs w:val="16"/>
        </w:rPr>
        <w:t xml:space="preserve"> Declaración de Horacio de Jesús Gil Gómez, ante el Juzgado 64 de Instrucción Criminal de Puerto Nare, del 19 de noviembre de 1987. (exp. prueba folio 5410 y 5411)</w:t>
      </w:r>
      <w:r w:rsidRPr="00EE6C61" w:rsidDel="00EB302E">
        <w:rPr>
          <w:rFonts w:ascii="Verdana" w:hAnsi="Verdana"/>
          <w:spacing w:val="-12"/>
          <w:sz w:val="16"/>
          <w:szCs w:val="16"/>
        </w:rPr>
        <w:t xml:space="preserve"> </w:t>
      </w:r>
    </w:p>
  </w:footnote>
  <w:footnote w:id="12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CIDH, </w:t>
      </w:r>
      <w:r w:rsidRPr="00EE6C61">
        <w:rPr>
          <w:rFonts w:ascii="Verdana" w:hAnsi="Verdana"/>
          <w:iCs/>
          <w:spacing w:val="-12"/>
          <w:sz w:val="16"/>
          <w:szCs w:val="16"/>
        </w:rPr>
        <w:t>Segundo Informe sobre la Situación de los Derechos Humanos en Colombia.</w:t>
      </w:r>
      <w:r w:rsidRPr="00EE6C61">
        <w:rPr>
          <w:rFonts w:ascii="Verdana" w:hAnsi="Verdana"/>
          <w:spacing w:val="-12"/>
          <w:sz w:val="16"/>
          <w:szCs w:val="16"/>
        </w:rPr>
        <w:t xml:space="preserve"> OEA/Ser.L/V/II.84 Doc.39 rev., 14 de octubre de 1993, Cap. VIII. Disponible en: </w:t>
      </w:r>
      <w:hyperlink r:id="rId12" w:history="1">
        <w:r w:rsidRPr="00EE6C61">
          <w:rPr>
            <w:rStyle w:val="Hyperlink"/>
            <w:rFonts w:ascii="Verdana" w:hAnsi="Verdana"/>
            <w:spacing w:val="-12"/>
            <w:sz w:val="16"/>
            <w:szCs w:val="16"/>
          </w:rPr>
          <w:t>http://www.cidh.org/countryrep/Colombia93sp/cap.8.htm</w:t>
        </w:r>
      </w:hyperlink>
      <w:r w:rsidRPr="00EE6C61">
        <w:rPr>
          <w:rFonts w:ascii="Verdana" w:hAnsi="Verdana"/>
          <w:spacing w:val="-12"/>
          <w:sz w:val="16"/>
          <w:szCs w:val="16"/>
        </w:rPr>
        <w:t xml:space="preserve"> . Además, en medios de comunicación se informaba en mayo de 1987 que en un año habrían sido asesinados en Colombia 32 líderes sindicales, he</w:t>
      </w:r>
      <w:r>
        <w:rPr>
          <w:rFonts w:ascii="Verdana" w:hAnsi="Verdana"/>
          <w:spacing w:val="-12"/>
          <w:sz w:val="16"/>
          <w:szCs w:val="16"/>
        </w:rPr>
        <w:t>chos que habrían sido denunciad</w:t>
      </w:r>
      <w:r w:rsidRPr="00EE6C61">
        <w:rPr>
          <w:rFonts w:ascii="Verdana" w:hAnsi="Verdana"/>
          <w:spacing w:val="-12"/>
          <w:sz w:val="16"/>
          <w:szCs w:val="16"/>
        </w:rPr>
        <w:t xml:space="preserve">os en el V foro nacional sobre derechos humanos, realizado en Bogotá, y se señala que “los principales directivos de las centrales obreras fueron amenazados de muerte, por lo menos una vez, en este último año”. En otra nota de prensa de enero de 1988 se informó sobre la desaparición de dos líderes sindicales en Puerto Nare, así como de la reunión que directivos de la Federación Nacional de Trabajadores de la Construcción, el Cemento y la Madera (sic) habrían sostenido con el Procurador General de la Nación, a quien denunciaron “la difícil situación de orden público que se vive en la región antioqueña.” </w:t>
      </w:r>
      <w:r w:rsidRPr="00EE6C61">
        <w:rPr>
          <w:rFonts w:ascii="Verdana" w:hAnsi="Verdana"/>
          <w:i/>
          <w:spacing w:val="-12"/>
          <w:sz w:val="16"/>
          <w:szCs w:val="16"/>
        </w:rPr>
        <w:t>Cfr</w:t>
      </w:r>
      <w:r w:rsidRPr="00EE6C61">
        <w:rPr>
          <w:rFonts w:ascii="Verdana" w:hAnsi="Verdana"/>
          <w:spacing w:val="-12"/>
          <w:sz w:val="16"/>
          <w:szCs w:val="16"/>
        </w:rPr>
        <w:t>. Nota de prensa “Investigarán desaparición de dos líderes en Puerto Nare” publicada por El Colombiano el 25 de enero de 1988 (exp. prueba folio. 87).</w:t>
      </w:r>
    </w:p>
  </w:footnote>
  <w:footnote w:id="12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En sus considerandos el decreto afirma: "Que los compromisos que el país tiene contraídos en el campo internacional requieren la adopción y ejecución de medidas que fortalezcan su seguridad interior y exterior”.  Según el perito Yepes, con estos instrumentos el Gobierno sentó un piso legal para aplicar las recomendaciones consignadas en el informe de la misión de la Escuela Especial de Guerra de Estados Unidos, en febrero de 1962, de entrenar grupos mixtos de civiles y militares y de desarrollar una estrategia paramilitar contrainsurgente. El uso de los civiles en actividades de "restablecimiento de la normalidad" (art. 25), y la posibilidad de entregar a civiles armas de uso privativo de las FF AA (art. 33, par. 3) crean la base del paramilitarismo” </w:t>
      </w:r>
      <w:r w:rsidRPr="00EE6C61">
        <w:rPr>
          <w:rFonts w:ascii="Verdana" w:hAnsi="Verdana"/>
          <w:i/>
          <w:spacing w:val="-12"/>
          <w:sz w:val="16"/>
          <w:szCs w:val="16"/>
        </w:rPr>
        <w:t xml:space="preserve">Cfr. </w:t>
      </w:r>
      <w:r w:rsidRPr="00EE6C61">
        <w:rPr>
          <w:rFonts w:ascii="Verdana" w:hAnsi="Verdana"/>
          <w:spacing w:val="-12"/>
          <w:sz w:val="16"/>
          <w:szCs w:val="16"/>
        </w:rPr>
        <w:t xml:space="preserve">Versión escrita del peritaje rendido durante la audiencia ante la Corte por el señor Yepes. (exp. prueba, </w:t>
      </w:r>
      <w:r>
        <w:rPr>
          <w:rFonts w:ascii="Verdana" w:hAnsi="Verdana"/>
          <w:spacing w:val="-12"/>
          <w:sz w:val="16"/>
          <w:szCs w:val="16"/>
        </w:rPr>
        <w:t>f</w:t>
      </w:r>
      <w:r w:rsidRPr="00EE6C61">
        <w:rPr>
          <w:rFonts w:ascii="Verdana" w:hAnsi="Verdana"/>
          <w:spacing w:val="-12"/>
          <w:sz w:val="16"/>
          <w:szCs w:val="16"/>
        </w:rPr>
        <w:t>. 7165).</w:t>
      </w:r>
    </w:p>
  </w:footnote>
  <w:footnote w:id="12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Fueron referidos los siguientes: Reglamento de combate de contraguerrillas – EJC 3-10, del Comando General de las Fuerzas Militares, Disposición No. 005 de 9 de abril de 1969; Manual de Guerrillas y Contraguerrillas urbanas – EJC 3-18, del Ejército Nacional, Disposición No. 00006 de 1977; Manual de instrucciones generales para operaciones de contraguerrillas, del Comando General del Ejército de 1979; Manual de combate contra bandoleros o guerrilleros - ECJ-3-101, del Comando General del Ejército, de 25 de junio de 1982; y Reglamento de combate de contraguerrilla – EJC-3-10, del Comando General de las Fuerzas Militares, de 1987.  </w:t>
      </w:r>
      <w:r w:rsidRPr="00EE6C61">
        <w:rPr>
          <w:rFonts w:ascii="Verdana" w:hAnsi="Verdana"/>
          <w:i/>
          <w:spacing w:val="-12"/>
          <w:sz w:val="16"/>
          <w:szCs w:val="16"/>
        </w:rPr>
        <w:t>Cfr.</w:t>
      </w:r>
      <w:r w:rsidRPr="00EE6C61">
        <w:rPr>
          <w:rFonts w:ascii="Verdana" w:hAnsi="Verdana"/>
          <w:spacing w:val="-12"/>
          <w:sz w:val="16"/>
          <w:szCs w:val="16"/>
        </w:rPr>
        <w:t xml:space="preserve"> Declaración escrita del perito Michael Reed Hurtado.  (exp. prueba folios. 6237 a 6975) </w:t>
      </w:r>
    </w:p>
  </w:footnote>
  <w:footnote w:id="12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Style w:val="FootnoteReference"/>
          <w:rFonts w:ascii="Verdana" w:hAnsi="Verdana"/>
          <w:spacing w:val="-12"/>
          <w:sz w:val="16"/>
          <w:szCs w:val="16"/>
        </w:rPr>
        <w:t xml:space="preserve"> </w:t>
      </w:r>
      <w:r w:rsidRPr="00EE6C61">
        <w:tab/>
      </w:r>
      <w:r w:rsidRPr="00EE6C61">
        <w:rPr>
          <w:rFonts w:ascii="Verdana" w:hAnsi="Verdana"/>
          <w:spacing w:val="-12"/>
          <w:sz w:val="16"/>
          <w:szCs w:val="16"/>
        </w:rPr>
        <w:t>Así, el perito hizo notar que el Reglamento de combate contra guerrillas EJC 3-10 de 1987, en concordancia con lo contenido en las versiones de EJC 3-10 de 1969 y EJC-101 de 1982, concibe la actuación del movimiento insurgente como incluyente de frentes civiles y militares, pues parte de consideraciones sobre la guerra no convencional o irregular y el asecho del comunismo internacional y elabora una noción de enemigo etéreo y amplio, que además de incluir a los “grupos armados o bandoleros”, incluye a “una masa heterogénea conformada por elementos provenientes de diferentes sectores y unificada a través de un proceso de actividad sicológica que logra su adhesión a las causas revolucionarias. Puede tener un asiento geográfico determinado o estar dispersa dentro del conglomerado nacional pero unida a través de los postulados políticos y económicos de la insurgencia; es dirigida y activada por grupos minoritarios de agitación, que operan en forma clandestina, a través de normas claramente definidas y que han probado su efectividad en movimientos insurgentes de otras épocas y de otras latitudes. A la población civil insurgente se le encomienda dentro del proceso bélico misiones adecuadas que permiten el fortalecimiento, el incremento y el éxito de los grupos armados”.</w:t>
      </w:r>
    </w:p>
  </w:footnote>
  <w:footnote w:id="124">
    <w:p w:rsidR="00996758" w:rsidRPr="00EE6C61" w:rsidRDefault="00996758" w:rsidP="00103EC8">
      <w:pPr>
        <w:autoSpaceDE w:val="0"/>
        <w:autoSpaceDN w:val="0"/>
        <w:adjustRightInd w:val="0"/>
        <w:spacing w:before="120" w:after="120" w:line="240" w:lineRule="auto"/>
        <w:jc w:val="both"/>
        <w:rPr>
          <w:rFonts w:ascii="Verdana" w:hAnsi="Verdana" w:cs="Baskerville"/>
          <w:i/>
          <w:spacing w:val="-12"/>
          <w:sz w:val="16"/>
          <w:szCs w:val="16"/>
          <w:highlight w:val="yellow"/>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perito Reed puntualizó que, de manera más concreta este tipo de señalamiento se observa en una obra militar utilizada para la instrucción a partir de, al menos, finales de 1985, llamada “Conozcamos Nuestro Enemigo”, que es una publicación oficial de la Escuela Militar de Cadetes que presenta de manera sucinta la concepción del enemigo y la inclusión dentro de esa categoría de organizaciones sociales y políticas que ejercen la defensa de derechos, incluyendo sindicatos y organizaciones no gubernamentales de derechos humanos. Así, el manual de instrucción incorpora listas de organizaciones que denomina “organismos de fachada”, y define como: “estructura orgánica de dependencia directa que en algunos casos están legalmente constituidas utilizadas por el Partido (Comunista Colombiano) como instrumento para obtener objetivos inmediatos e intermedios, que fundamentan su accionar en la persecución de beneficios comunes y en especial para las clases menos favorecidas; dándole en el fondo un sentido político a las situaciones para que repercutan en favor de sus intereses (sic.)” En la lista se incluyen: la Confederación Sindical de Trabajadores de Colombia (CSTC), la Federación Nacional Agraria (FENSA), el Comité de Solidaridad con los Presos Políticos, el Comité Permanente por la Defensa de los Derechos Humanos, y la Asociación Colombiana de Juristas Laborales (ACJL).</w:t>
      </w:r>
      <w:r w:rsidRPr="00EE6C61">
        <w:rPr>
          <w:rFonts w:ascii="Verdana" w:hAnsi="Verdana"/>
          <w:i/>
          <w:spacing w:val="-12"/>
          <w:sz w:val="16"/>
          <w:szCs w:val="16"/>
        </w:rPr>
        <w:t xml:space="preserve"> </w:t>
      </w:r>
    </w:p>
  </w:footnote>
  <w:footnote w:id="125">
    <w:p w:rsidR="00996758" w:rsidRPr="0078473F" w:rsidRDefault="00996758" w:rsidP="007D4693">
      <w:pPr>
        <w:pStyle w:val="FootnoteText"/>
        <w:spacing w:before="120" w:after="120"/>
        <w:jc w:val="both"/>
        <w:rPr>
          <w:rStyle w:val="FootnoteReference"/>
          <w:rFonts w:ascii="Verdana" w:hAnsi="Verdana"/>
          <w:sz w:val="16"/>
          <w:szCs w:val="16"/>
          <w:vertAlign w:val="baseline"/>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El Manual “Combate contra bandoleros o guerrilleros” estableció en 1982 que organizar, instruir y apoyar las juntas de autodefensas debe ser un objetivo permanente de la Fuerza Militar donde la población es leal y se manifiesta agresiva y decidida contra el enemigo. De manera explícita, el Reglamento de combate de contraguerrillas (EJC 3-10) ordena “organizar en forma militar a la población civil, para que (…) apoye la ejecución de operaciones de combate”. Las disposiciones siguientes determinan la organización, la dotación militar, el entrenamiento, la operación y la supervisión de los grupos paramilitares, denominados “juntas de autodefensa”, entendidos como “una organización de tipo militar que se hace con personal civil seleccionado de la zona de combate, que se entrena y equipa para desarrollar acciones contra grupos de guerrilleros que amenacen el área o para operar en coordinación con tropas de acciones de combate”. </w:t>
      </w:r>
      <w:r w:rsidRPr="00EE6C61">
        <w:rPr>
          <w:rFonts w:ascii="Verdana" w:hAnsi="Verdana"/>
          <w:i/>
          <w:spacing w:val="-12"/>
          <w:sz w:val="16"/>
          <w:szCs w:val="16"/>
        </w:rPr>
        <w:t>Cfr.</w:t>
      </w:r>
      <w:r w:rsidRPr="00EE6C61">
        <w:rPr>
          <w:rFonts w:ascii="Verdana" w:hAnsi="Verdana"/>
          <w:spacing w:val="-12"/>
          <w:sz w:val="16"/>
          <w:szCs w:val="16"/>
        </w:rPr>
        <w:t xml:space="preserve"> Declaración escrita del perito Michael Reed Hurtado  (e</w:t>
      </w:r>
      <w:r>
        <w:rPr>
          <w:rFonts w:ascii="Verdana" w:hAnsi="Verdana"/>
          <w:spacing w:val="-12"/>
          <w:sz w:val="16"/>
          <w:szCs w:val="16"/>
        </w:rPr>
        <w:t xml:space="preserve">xp. prueba f. </w:t>
      </w:r>
      <w:r w:rsidR="00EE6528">
        <w:rPr>
          <w:rFonts w:ascii="Verdana" w:hAnsi="Verdana"/>
          <w:spacing w:val="-12"/>
          <w:sz w:val="16"/>
          <w:szCs w:val="16"/>
        </w:rPr>
        <w:t>6245).</w:t>
      </w:r>
    </w:p>
  </w:footnote>
  <w:footnote w:id="126">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spacing w:val="-12"/>
          <w:sz w:val="16"/>
          <w:szCs w:val="16"/>
        </w:rPr>
        <w:t>Declaración escrita del perito Michael Reed (exp. prueba ff. 6237-6251).</w:t>
      </w:r>
    </w:p>
  </w:footnote>
  <w:footnote w:id="127">
    <w:p w:rsidR="00996758" w:rsidRPr="00EE6C61" w:rsidRDefault="00996758" w:rsidP="007D4693">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perito refirió como ejemplos que, en su memoria al Congreso de 1987 – 1988, el Ministro de Defensa General Rafael Samudio Molina expresó que: “La subversión actúa en los campos políticos, económicos, educativo, sindical y armado, con propósitos bien definidos (…) los grupos subversivos actúan simultáneamente en zonas urbanas y rurales, desarrollan actividad militar paralela a la acción política y utilizan la estrategia de convergencia en los campos político, social, laboral, educativo, judicial y armado”; que el General Jaime Sarmiento Sarmiento, Comandante de las Fuerzas Militares afirmó, en un editorial de la Revista de las Fuerzas Armadas de 1980, que “la subversión tenía como estrategia ‘infiltrarse en todas las instituciones nacionales, desde la simple célula familiar (…) pasando por las agrupaciones (…) sin descuidar a los sindicatos’”; y que el coronel Orlando Zafra Galvis, segundo Comandante del BINCI del Ejército entre 1981 y 1982 escribió en la Revista de las Fuerzas Armadas en 1985 que “los agentes clandestinos y los agitadores se infiltran en las organizaciones sociales y estatales, se apoderan de los cargos directivos y generan planes de debilitamiento de las estructuras con miras a crear el caos y el derrumbamiento final del Estado. No existe instituto, organización o grupo social, político o religioso, sobre el cual no tengan interés de penetrarlo y dominarlo. Todas estas actividades constituyen lo que se denomina la guerra política, que es la parte más peligrosa para la vida de las democracias</w:t>
      </w:r>
      <w:r w:rsidRPr="0078473F">
        <w:rPr>
          <w:rFonts w:ascii="Verdana" w:hAnsi="Verdana"/>
          <w:i/>
          <w:spacing w:val="-12"/>
          <w:sz w:val="16"/>
          <w:szCs w:val="16"/>
        </w:rPr>
        <w:t>”. Cfr.</w:t>
      </w:r>
      <w:r>
        <w:rPr>
          <w:rFonts w:ascii="Verdana" w:hAnsi="Verdana"/>
          <w:spacing w:val="-12"/>
          <w:sz w:val="16"/>
          <w:szCs w:val="16"/>
        </w:rPr>
        <w:t xml:space="preserve"> </w:t>
      </w:r>
      <w:r w:rsidRPr="00EE6C61">
        <w:rPr>
          <w:rFonts w:ascii="Verdana" w:hAnsi="Verdana"/>
          <w:spacing w:val="-12"/>
          <w:sz w:val="16"/>
          <w:szCs w:val="16"/>
        </w:rPr>
        <w:t xml:space="preserve">Versión escrita del peritaje rendido durante la audiencia ante la Corte por el señor Alberto Yepes </w:t>
      </w:r>
      <w:r w:rsidRPr="007D4693">
        <w:rPr>
          <w:rFonts w:ascii="Verdana" w:hAnsi="Verdana"/>
          <w:spacing w:val="-12"/>
          <w:sz w:val="16"/>
          <w:szCs w:val="16"/>
        </w:rPr>
        <w:t>Palacio</w:t>
      </w:r>
      <w:r>
        <w:rPr>
          <w:rFonts w:ascii="Verdana" w:hAnsi="Verdana"/>
          <w:spacing w:val="-12"/>
          <w:sz w:val="16"/>
          <w:szCs w:val="16"/>
        </w:rPr>
        <w:t xml:space="preserve"> (exp. prueba, ff. 7159 a 7182)</w:t>
      </w:r>
      <w:r w:rsidR="00EE6528">
        <w:rPr>
          <w:rFonts w:ascii="Verdana" w:hAnsi="Verdana"/>
          <w:spacing w:val="-12"/>
          <w:sz w:val="16"/>
          <w:szCs w:val="16"/>
        </w:rPr>
        <w:t>.</w:t>
      </w:r>
    </w:p>
  </w:footnote>
  <w:footnote w:id="128">
    <w:p w:rsidR="00996758" w:rsidRPr="0088374F" w:rsidRDefault="00996758" w:rsidP="00103EC8">
      <w:pPr>
        <w:pStyle w:val="FootnoteText"/>
        <w:spacing w:before="120" w:after="120"/>
        <w:jc w:val="both"/>
        <w:rPr>
          <w:rFonts w:ascii="Verdana" w:hAnsi="Verdana"/>
          <w:b/>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spacing w:val="-12"/>
          <w:sz w:val="16"/>
          <w:szCs w:val="16"/>
        </w:rPr>
        <w:t>Versión escrita del peritaje rendido durante la audiencia ante la Corte por el señor Alberto Yepes</w:t>
      </w:r>
      <w:r>
        <w:rPr>
          <w:rFonts w:ascii="Verdana" w:hAnsi="Verdana"/>
          <w:spacing w:val="-12"/>
          <w:sz w:val="16"/>
          <w:szCs w:val="16"/>
        </w:rPr>
        <w:t xml:space="preserve"> Palacio</w:t>
      </w:r>
      <w:r w:rsidRPr="00EE6C61">
        <w:rPr>
          <w:rFonts w:ascii="Verdana" w:hAnsi="Verdana"/>
          <w:spacing w:val="-12"/>
          <w:sz w:val="16"/>
          <w:szCs w:val="16"/>
        </w:rPr>
        <w:t xml:space="preserve"> (exp. prueba </w:t>
      </w:r>
      <w:r>
        <w:rPr>
          <w:rFonts w:ascii="Verdana" w:hAnsi="Verdana"/>
          <w:spacing w:val="-12"/>
          <w:sz w:val="16"/>
          <w:szCs w:val="16"/>
        </w:rPr>
        <w:t>ff.</w:t>
      </w:r>
      <w:r w:rsidRPr="00EE6C61">
        <w:rPr>
          <w:rFonts w:ascii="Verdana" w:hAnsi="Verdana"/>
          <w:spacing w:val="-12"/>
          <w:sz w:val="16"/>
          <w:szCs w:val="16"/>
        </w:rPr>
        <w:t xml:space="preserve"> 7176 a 7178).</w:t>
      </w:r>
      <w:r>
        <w:rPr>
          <w:rFonts w:ascii="Verdana" w:hAnsi="Verdana"/>
          <w:spacing w:val="-12"/>
          <w:sz w:val="16"/>
          <w:szCs w:val="16"/>
        </w:rPr>
        <w:t xml:space="preserve"> Ver también la d</w:t>
      </w:r>
      <w:r w:rsidRPr="00EE6C61">
        <w:rPr>
          <w:rFonts w:ascii="Verdana" w:hAnsi="Verdana"/>
          <w:spacing w:val="-12"/>
          <w:sz w:val="16"/>
          <w:szCs w:val="16"/>
        </w:rPr>
        <w:t xml:space="preserve">eclaración escrita del perito </w:t>
      </w:r>
      <w:r>
        <w:rPr>
          <w:rFonts w:ascii="Verdana" w:hAnsi="Verdana"/>
          <w:spacing w:val="-12"/>
          <w:sz w:val="16"/>
          <w:szCs w:val="16"/>
        </w:rPr>
        <w:t>Carlos Medina Gallego</w:t>
      </w:r>
      <w:r w:rsidRPr="00EE6C61">
        <w:rPr>
          <w:rFonts w:ascii="Verdana" w:hAnsi="Verdana"/>
          <w:spacing w:val="-12"/>
          <w:sz w:val="16"/>
          <w:szCs w:val="16"/>
        </w:rPr>
        <w:t xml:space="preserve"> (exp. prueba </w:t>
      </w:r>
      <w:r>
        <w:rPr>
          <w:rFonts w:ascii="Verdana" w:hAnsi="Verdana"/>
          <w:spacing w:val="-12"/>
          <w:sz w:val="16"/>
          <w:szCs w:val="16"/>
        </w:rPr>
        <w:t>f</w:t>
      </w:r>
      <w:r w:rsidRPr="00EE6C61">
        <w:rPr>
          <w:rFonts w:ascii="Verdana" w:hAnsi="Verdana"/>
          <w:spacing w:val="-12"/>
          <w:sz w:val="16"/>
          <w:szCs w:val="16"/>
        </w:rPr>
        <w:t>.</w:t>
      </w:r>
      <w:r>
        <w:rPr>
          <w:rFonts w:ascii="Verdana" w:hAnsi="Verdana"/>
          <w:spacing w:val="-12"/>
          <w:sz w:val="16"/>
          <w:szCs w:val="16"/>
        </w:rPr>
        <w:t xml:space="preserve"> 7000-7010).</w:t>
      </w:r>
    </w:p>
  </w:footnote>
  <w:footnote w:id="12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Informe Conjunto del Relator Especial encargado de la cuestión de la tortura, Sr. Nigel S. Rodley, y del Relator Especial encargado de la cuestión de las ejecuciones extrajudiciales, sumarias o arbitrarias, Sr. Bacre Waly Ndiaye. E/CN.4/1995/111 de 16 de enero de 1995. Disponible en: </w:t>
      </w:r>
      <w:hyperlink r:id="rId13" w:history="1">
        <w:r w:rsidRPr="00EE6C61">
          <w:rPr>
            <w:rStyle w:val="Hyperlink"/>
            <w:rFonts w:ascii="Verdana" w:hAnsi="Verdana"/>
            <w:spacing w:val="-12"/>
            <w:sz w:val="16"/>
            <w:szCs w:val="16"/>
          </w:rPr>
          <w:t>http://www.hchr.org.co/documentoseinformes/documentos/html/informes/onu/rest/E-CN-4-1995-111.html</w:t>
        </w:r>
      </w:hyperlink>
      <w:r w:rsidRPr="00EE6C61">
        <w:rPr>
          <w:rFonts w:ascii="Verdana" w:hAnsi="Verdana"/>
          <w:spacing w:val="-12"/>
          <w:sz w:val="16"/>
          <w:szCs w:val="16"/>
        </w:rPr>
        <w:t xml:space="preserve"> </w:t>
      </w:r>
    </w:p>
  </w:footnote>
  <w:footnote w:id="13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7D4693">
        <w:rPr>
          <w:rFonts w:ascii="Verdana" w:hAnsi="Verdana"/>
          <w:i/>
          <w:spacing w:val="-12"/>
          <w:sz w:val="16"/>
          <w:szCs w:val="16"/>
        </w:rPr>
        <w:t>Cfr.</w:t>
      </w:r>
      <w:r w:rsidRPr="007D4693">
        <w:rPr>
          <w:rFonts w:ascii="Verdana" w:hAnsi="Verdana"/>
          <w:spacing w:val="-12"/>
          <w:sz w:val="16"/>
          <w:szCs w:val="16"/>
        </w:rPr>
        <w:t xml:space="preserve"> Citado en la versión escrita del peritaje rendido durante la audiencia ante la Corte por el señor Alberto Yepes (exp. prueba </w:t>
      </w:r>
      <w:r>
        <w:rPr>
          <w:rFonts w:ascii="Verdana" w:hAnsi="Verdana"/>
          <w:spacing w:val="-12"/>
          <w:sz w:val="16"/>
          <w:szCs w:val="16"/>
        </w:rPr>
        <w:t>f</w:t>
      </w:r>
      <w:r w:rsidRPr="007D4693">
        <w:rPr>
          <w:rFonts w:ascii="Verdana" w:hAnsi="Verdana"/>
          <w:spacing w:val="-12"/>
          <w:sz w:val="16"/>
          <w:szCs w:val="16"/>
        </w:rPr>
        <w:t>. 7170)</w:t>
      </w:r>
    </w:p>
  </w:footnote>
  <w:footnote w:id="131">
    <w:p w:rsidR="00996758" w:rsidRPr="00EE6C61" w:rsidRDefault="00996758" w:rsidP="00103EC8">
      <w:pPr>
        <w:pStyle w:val="2Footnotes"/>
        <w:rPr>
          <w:spacing w:val="-12"/>
          <w:szCs w:val="16"/>
          <w:lang w:val="es-CR"/>
        </w:rPr>
      </w:pPr>
      <w:r w:rsidRPr="00EE6C61">
        <w:rPr>
          <w:rStyle w:val="FootnoteReference"/>
          <w:spacing w:val="-12"/>
          <w:szCs w:val="16"/>
          <w:lang w:val="es-CR"/>
        </w:rPr>
        <w:footnoteRef/>
      </w:r>
      <w:r w:rsidRPr="00EE6C61">
        <w:rPr>
          <w:rFonts w:cs="Times New Roman"/>
          <w:spacing w:val="-12"/>
          <w:szCs w:val="16"/>
          <w:lang w:val="es-CR"/>
        </w:rPr>
        <w:t xml:space="preserve"> </w:t>
      </w:r>
      <w:r w:rsidRPr="00EE6C61">
        <w:rPr>
          <w:rFonts w:cs="Times New Roman"/>
          <w:spacing w:val="-12"/>
          <w:szCs w:val="16"/>
          <w:lang w:val="es-CR"/>
        </w:rPr>
        <w:tab/>
      </w:r>
      <w:r w:rsidRPr="00EE6C61">
        <w:rPr>
          <w:spacing w:val="-12"/>
          <w:szCs w:val="16"/>
          <w:lang w:val="es-CR"/>
        </w:rPr>
        <w:t xml:space="preserve">En ese caso, tal conclusión se basó en decisiones judiciales nacionales, un informe del Relator Especial de las Naciones Unidas sobre ejecuciones sumarias o arbitrarias sobre la visita realizada a Colombia en octubre de 1989 e informes del Departamento Administrativo de Seguridad (DAS) de mayo de 1988, marzo de 1989 y febrero de 1990. </w:t>
      </w:r>
      <w:r w:rsidRPr="00EE6C61">
        <w:rPr>
          <w:i/>
          <w:spacing w:val="-12"/>
          <w:szCs w:val="16"/>
          <w:lang w:val="es-CR"/>
        </w:rPr>
        <w:t>Cfr. Caso 19 Co</w:t>
      </w:r>
      <w:r>
        <w:rPr>
          <w:i/>
          <w:spacing w:val="-12"/>
          <w:szCs w:val="16"/>
          <w:lang w:val="es-CR"/>
        </w:rPr>
        <w:t>merciantes vs. Colombia,</w:t>
      </w:r>
      <w:r w:rsidRPr="00EE6C61">
        <w:rPr>
          <w:i/>
          <w:spacing w:val="-12"/>
          <w:szCs w:val="16"/>
          <w:lang w:val="es-CR"/>
        </w:rPr>
        <w:t xml:space="preserve"> </w:t>
      </w:r>
      <w:r w:rsidRPr="00EE6C61">
        <w:rPr>
          <w:spacing w:val="-12"/>
          <w:szCs w:val="16"/>
          <w:lang w:val="es-CR"/>
        </w:rPr>
        <w:t xml:space="preserve">párrs. 130 y ss.  </w:t>
      </w:r>
    </w:p>
  </w:footnote>
  <w:footnote w:id="13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Informe del Cuerpo Técnico de Investigación (CTI) de la Fiscalía General de la Nación de 9 de febrero de 2016 (exp. prueba,</w:t>
      </w:r>
      <w:r>
        <w:rPr>
          <w:rFonts w:ascii="Verdana" w:hAnsi="Verdana"/>
          <w:spacing w:val="-12"/>
          <w:sz w:val="16"/>
          <w:szCs w:val="16"/>
        </w:rPr>
        <w:t xml:space="preserve"> ff. 7160 a 7163</w:t>
      </w:r>
      <w:r w:rsidRPr="00EE6C61">
        <w:rPr>
          <w:rFonts w:ascii="Verdana" w:hAnsi="Verdana"/>
          <w:spacing w:val="-12"/>
          <w:sz w:val="16"/>
          <w:szCs w:val="16"/>
        </w:rPr>
        <w:t>).</w:t>
      </w:r>
    </w:p>
  </w:footnote>
  <w:footnote w:id="133">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cs="Times New Roman"/>
          <w:i/>
          <w:spacing w:val="-12"/>
          <w:sz w:val="16"/>
          <w:szCs w:val="16"/>
        </w:rPr>
        <w:t xml:space="preserve">Cfr. </w:t>
      </w:r>
      <w:r w:rsidRPr="00EE6C61">
        <w:rPr>
          <w:rFonts w:ascii="Verdana" w:hAnsi="Verdana" w:cs="Times New Roman"/>
          <w:spacing w:val="-12"/>
          <w:sz w:val="16"/>
          <w:szCs w:val="16"/>
        </w:rPr>
        <w:t>Declaración escrita de la señora</w:t>
      </w:r>
      <w:r w:rsidRPr="00EE6C61">
        <w:rPr>
          <w:rFonts w:ascii="Verdana" w:hAnsi="Verdana" w:cs="Times New Roman"/>
          <w:i/>
          <w:spacing w:val="-12"/>
          <w:sz w:val="16"/>
          <w:szCs w:val="16"/>
        </w:rPr>
        <w:t xml:space="preserve"> </w:t>
      </w:r>
      <w:r w:rsidRPr="00EE6C61">
        <w:rPr>
          <w:rFonts w:ascii="Verdana" w:hAnsi="Verdana" w:cs="Times New Roman"/>
          <w:spacing w:val="-12"/>
          <w:sz w:val="16"/>
          <w:szCs w:val="16"/>
        </w:rPr>
        <w:t xml:space="preserve">Luz María Ramírez García (exp. prueba, </w:t>
      </w:r>
      <w:r>
        <w:rPr>
          <w:rFonts w:ascii="Verdana" w:hAnsi="Verdana" w:cs="Times New Roman"/>
          <w:spacing w:val="-12"/>
          <w:sz w:val="16"/>
          <w:szCs w:val="16"/>
        </w:rPr>
        <w:t>ff</w:t>
      </w:r>
      <w:r w:rsidRPr="00EE6C61">
        <w:rPr>
          <w:rFonts w:ascii="Verdana" w:hAnsi="Verdana" w:cs="Times New Roman"/>
          <w:spacing w:val="-12"/>
          <w:sz w:val="16"/>
          <w:szCs w:val="16"/>
        </w:rPr>
        <w:t>. 6199 a 6204).</w:t>
      </w:r>
    </w:p>
  </w:footnote>
  <w:footnote w:id="13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Proceso Radicado No. 4239 de la Fiscalía Delegada ante el Cuerpo Técnico de Investigaciones: ampliación de indagatoria del 3 de agosto de 1995; ampliación de indagatoria del 8 de agosto de 1995;  ampliación de indagatoria del 4 de diciembre de 1995; ampliación de indagatoria rendida el 8 de agosto de 1995 ; ampliación de indagatoria realizada el 28 y el 29 de noviembre de 1995. </w:t>
      </w:r>
      <w:r w:rsidRPr="00EE6C61">
        <w:rPr>
          <w:rFonts w:ascii="Verdana" w:hAnsi="Verdana"/>
          <w:i/>
          <w:spacing w:val="-12"/>
          <w:sz w:val="16"/>
          <w:szCs w:val="16"/>
        </w:rPr>
        <w:t>Cfr.</w:t>
      </w:r>
      <w:r w:rsidRPr="00EE6C61">
        <w:rPr>
          <w:rFonts w:ascii="Verdana" w:hAnsi="Verdana"/>
          <w:spacing w:val="-12"/>
          <w:sz w:val="16"/>
          <w:szCs w:val="16"/>
        </w:rPr>
        <w:t xml:space="preserve"> CINEP, Revista Noche y Niebla, “Deuda con la Humanidad: Paramilitarismo de Estado en Colombia 1988-2003, “Bladimir” testigo de excepción sobre el accionar paramilitar en los territorios de la brigada No. 14 del ejército” (exp. prueba, </w:t>
      </w:r>
      <w:r>
        <w:rPr>
          <w:rFonts w:ascii="Verdana" w:hAnsi="Verdana"/>
          <w:spacing w:val="-12"/>
          <w:sz w:val="16"/>
          <w:szCs w:val="16"/>
        </w:rPr>
        <w:t>ff.</w:t>
      </w:r>
      <w:r w:rsidRPr="00EE6C61">
        <w:rPr>
          <w:rFonts w:ascii="Verdana" w:hAnsi="Verdana"/>
          <w:spacing w:val="-12"/>
          <w:sz w:val="16"/>
          <w:szCs w:val="16"/>
        </w:rPr>
        <w:t xml:space="preserve"> 1180 a 1184). </w:t>
      </w:r>
    </w:p>
  </w:footnote>
  <w:footnote w:id="13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w:t>
      </w:r>
      <w:r>
        <w:rPr>
          <w:rFonts w:ascii="Verdana" w:hAnsi="Verdana"/>
          <w:i/>
          <w:spacing w:val="-12"/>
          <w:sz w:val="16"/>
          <w:szCs w:val="16"/>
        </w:rPr>
        <w:t>fr. C</w:t>
      </w:r>
      <w:r w:rsidRPr="00EE6C61">
        <w:rPr>
          <w:rFonts w:ascii="Verdana" w:hAnsi="Verdana"/>
          <w:i/>
          <w:spacing w:val="-12"/>
          <w:sz w:val="16"/>
          <w:szCs w:val="16"/>
        </w:rPr>
        <w:t>aso de la Masacre de la Rochela Vs. Colombia</w:t>
      </w:r>
      <w:r>
        <w:rPr>
          <w:rFonts w:ascii="Verdana" w:hAnsi="Verdana"/>
          <w:spacing w:val="-12"/>
          <w:sz w:val="16"/>
          <w:szCs w:val="16"/>
        </w:rPr>
        <w:t>.</w:t>
      </w:r>
      <w:r w:rsidRPr="00EE6C61">
        <w:rPr>
          <w:rFonts w:ascii="Verdana" w:hAnsi="Verdana"/>
          <w:spacing w:val="-12"/>
          <w:sz w:val="16"/>
          <w:szCs w:val="16"/>
        </w:rPr>
        <w:t xml:space="preserve"> Sentencia de 11 de mayo de 2007</w:t>
      </w:r>
      <w:r>
        <w:rPr>
          <w:rFonts w:ascii="Verdana" w:hAnsi="Verdana"/>
          <w:spacing w:val="-12"/>
          <w:sz w:val="16"/>
          <w:szCs w:val="16"/>
        </w:rPr>
        <w:t>.</w:t>
      </w:r>
      <w:r w:rsidRPr="00EE6C61">
        <w:rPr>
          <w:rFonts w:ascii="Verdana" w:hAnsi="Verdana"/>
          <w:spacing w:val="-12"/>
          <w:sz w:val="16"/>
          <w:szCs w:val="16"/>
        </w:rPr>
        <w:t xml:space="preserve"> Serie C No. 163; y Sentencia </w:t>
      </w:r>
      <w:r w:rsidRPr="00EE6C61">
        <w:rPr>
          <w:rFonts w:ascii="Verdana" w:hAnsi="Verdana" w:cs="Verdana"/>
          <w:spacing w:val="-12"/>
          <w:sz w:val="16"/>
          <w:szCs w:val="16"/>
          <w:lang w:bidi="en-US"/>
        </w:rPr>
        <w:t>de 14 de noviembre de 1990 de la Sala de Decisión del Tribunal Superior de Orden Público.</w:t>
      </w:r>
    </w:p>
  </w:footnote>
  <w:footnote w:id="136">
    <w:p w:rsidR="00996758" w:rsidRPr="00EE6C61" w:rsidRDefault="00996758" w:rsidP="00103EC8">
      <w:pPr>
        <w:pStyle w:val="FootnoteText"/>
        <w:spacing w:before="120" w:after="120"/>
        <w:jc w:val="both"/>
      </w:pPr>
      <w:r w:rsidRPr="00EE6C61">
        <w:rPr>
          <w:rStyle w:val="FootnoteReference"/>
          <w:rFonts w:ascii="Verdana" w:hAnsi="Verdana"/>
          <w:spacing w:val="-12"/>
          <w:sz w:val="16"/>
          <w:szCs w:val="16"/>
        </w:rPr>
        <w:footnoteRef/>
      </w:r>
      <w:r w:rsidRPr="00EE6C61">
        <w:rPr>
          <w:rStyle w:val="FootnoteReference"/>
          <w:rFonts w:ascii="Verdana" w:hAnsi="Verdana"/>
          <w:spacing w:val="-12"/>
          <w:sz w:val="16"/>
          <w:szCs w:val="16"/>
        </w:rPr>
        <w:t xml:space="preserve"> </w:t>
      </w:r>
      <w:r w:rsidRPr="00EE6C61">
        <w:rPr>
          <w:rFonts w:ascii="Verdana" w:hAnsi="Verdana"/>
          <w:spacing w:val="-12"/>
          <w:sz w:val="16"/>
          <w:szCs w:val="16"/>
        </w:rPr>
        <w:tab/>
        <w:t xml:space="preserve">Relató </w:t>
      </w:r>
      <w:r>
        <w:rPr>
          <w:rFonts w:ascii="Verdana" w:hAnsi="Verdana"/>
          <w:spacing w:val="-12"/>
          <w:sz w:val="16"/>
          <w:szCs w:val="16"/>
        </w:rPr>
        <w:t xml:space="preserve">acerca de </w:t>
      </w:r>
      <w:r w:rsidRPr="00EE6C61">
        <w:rPr>
          <w:rFonts w:ascii="Verdana" w:hAnsi="Verdana"/>
          <w:spacing w:val="-12"/>
          <w:sz w:val="16"/>
          <w:szCs w:val="16"/>
        </w:rPr>
        <w:t>una reunión celebrada en Cimitarra entre un General del Ejército y reconocidos líderes paramilitares de Puerto Boyacá, como Henry y Gonzalo Pérez, en la que el alto oficial les explicó que los paramilitares iban a pasar de una fase defensiva a una fase ofensiva, en la cual debían ir a combatir y que para ello contarían con todo el respaldo del Ejército.</w:t>
      </w:r>
    </w:p>
  </w:footnote>
  <w:footnote w:id="13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Ampliación de indagatoria realizada el 29 de noviembre de 1995, páginas 7 y siguientes. Extractos de dichas declaraciones igualmente constan en la Revista Noche y Niebla, “Deuda con la Humanidad: Paramilitarismo de Estado en Colombia 1988-2003, “Bladimir” testigo de excepción sobre el accionar paramilitar en los territorios de la brigada No. 14 del ejército”</w:t>
      </w:r>
      <w:r>
        <w:rPr>
          <w:rFonts w:ascii="Verdana" w:hAnsi="Verdana"/>
          <w:spacing w:val="-12"/>
          <w:sz w:val="16"/>
          <w:szCs w:val="16"/>
        </w:rPr>
        <w:t xml:space="preserve">, </w:t>
      </w:r>
      <w:r>
        <w:rPr>
          <w:rFonts w:ascii="Verdana" w:hAnsi="Verdana"/>
          <w:i/>
          <w:spacing w:val="-12"/>
          <w:sz w:val="16"/>
          <w:szCs w:val="16"/>
        </w:rPr>
        <w:t>supra</w:t>
      </w:r>
      <w:r w:rsidRPr="00EE6C61">
        <w:rPr>
          <w:rFonts w:ascii="Verdana" w:hAnsi="Verdana"/>
          <w:spacing w:val="-12"/>
          <w:sz w:val="16"/>
          <w:szCs w:val="16"/>
        </w:rPr>
        <w:t xml:space="preserve">. </w:t>
      </w:r>
    </w:p>
  </w:footnote>
  <w:footnote w:id="13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Pr>
          <w:rFonts w:ascii="Verdana" w:hAnsi="Verdana"/>
          <w:color w:val="000000"/>
          <w:spacing w:val="-12"/>
          <w:sz w:val="16"/>
          <w:szCs w:val="16"/>
        </w:rPr>
        <w:t>Los representantes hicieron referencia a las versiones l</w:t>
      </w:r>
      <w:r w:rsidRPr="00EE6C61">
        <w:rPr>
          <w:rFonts w:ascii="Verdana" w:hAnsi="Verdana"/>
          <w:color w:val="000000"/>
          <w:spacing w:val="-12"/>
          <w:sz w:val="16"/>
          <w:szCs w:val="16"/>
        </w:rPr>
        <w:t xml:space="preserve">ibres de </w:t>
      </w:r>
      <w:r w:rsidRPr="00EE6C61">
        <w:rPr>
          <w:rFonts w:ascii="Verdana" w:hAnsi="Verdana" w:cs="Tahoma"/>
          <w:color w:val="000000"/>
          <w:spacing w:val="-12"/>
          <w:sz w:val="16"/>
          <w:szCs w:val="16"/>
          <w:lang w:bidi="en-US"/>
        </w:rPr>
        <w:t>Ramón Isaza ante la Jurisdicción de J</w:t>
      </w:r>
      <w:r>
        <w:rPr>
          <w:rFonts w:ascii="Verdana" w:hAnsi="Verdana" w:cs="Tahoma"/>
          <w:color w:val="000000"/>
          <w:spacing w:val="-12"/>
          <w:sz w:val="16"/>
          <w:szCs w:val="16"/>
          <w:lang w:bidi="en-US"/>
        </w:rPr>
        <w:t>usticia</w:t>
      </w:r>
      <w:r w:rsidRPr="00EE6C61">
        <w:rPr>
          <w:rFonts w:ascii="Verdana" w:hAnsi="Verdana" w:cs="Tahoma"/>
          <w:color w:val="000000"/>
          <w:spacing w:val="-12"/>
          <w:sz w:val="16"/>
          <w:szCs w:val="16"/>
          <w:lang w:bidi="en-US"/>
        </w:rPr>
        <w:t xml:space="preserve"> y Paz de 2 de mayo, 7 de junio y 21 agosto de 2009.</w:t>
      </w:r>
    </w:p>
  </w:footnote>
  <w:footnote w:id="139">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cs="Times New Roman"/>
          <w:i/>
          <w:spacing w:val="-12"/>
          <w:sz w:val="16"/>
          <w:szCs w:val="16"/>
        </w:rPr>
        <w:t xml:space="preserve">Cfr. </w:t>
      </w:r>
      <w:r w:rsidRPr="00EE6C61">
        <w:rPr>
          <w:rFonts w:ascii="Verdana" w:hAnsi="Verdana" w:cs="Times New Roman"/>
          <w:spacing w:val="-12"/>
          <w:sz w:val="16"/>
          <w:szCs w:val="16"/>
        </w:rPr>
        <w:t>Declaración escrita de la señora</w:t>
      </w:r>
      <w:r w:rsidRPr="00EE6C61">
        <w:rPr>
          <w:rFonts w:ascii="Verdana" w:hAnsi="Verdana" w:cs="Times New Roman"/>
          <w:i/>
          <w:spacing w:val="-12"/>
          <w:sz w:val="16"/>
          <w:szCs w:val="16"/>
        </w:rPr>
        <w:t xml:space="preserve"> </w:t>
      </w:r>
      <w:r w:rsidRPr="00EE6C61">
        <w:rPr>
          <w:rFonts w:ascii="Verdana" w:hAnsi="Verdana" w:cs="Times New Roman"/>
          <w:spacing w:val="-12"/>
          <w:sz w:val="16"/>
          <w:szCs w:val="16"/>
        </w:rPr>
        <w:t>Luz María Ramírez García (exp. prueba, folios. 6199 a 6204).</w:t>
      </w:r>
    </w:p>
  </w:footnote>
  <w:footnote w:id="140">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spacing w:val="-12"/>
          <w:sz w:val="16"/>
          <w:szCs w:val="16"/>
        </w:rPr>
        <w:tab/>
      </w:r>
      <w:r w:rsidRPr="00EE6C61">
        <w:rPr>
          <w:rFonts w:ascii="Verdana" w:hAnsi="Verdana" w:cs="Times New Roman"/>
          <w:i/>
          <w:spacing w:val="-12"/>
          <w:sz w:val="16"/>
          <w:szCs w:val="16"/>
        </w:rPr>
        <w:t>Cfr., mutatis mutandi, Caso Kawas Fernández Vs. Honduras. Fondo, Reparaciones y Costas</w:t>
      </w:r>
      <w:r w:rsidRPr="00EE6C61">
        <w:rPr>
          <w:rFonts w:ascii="Verdana" w:hAnsi="Verdana" w:cs="Times New Roman"/>
          <w:spacing w:val="-12"/>
          <w:sz w:val="16"/>
          <w:szCs w:val="16"/>
        </w:rPr>
        <w:t xml:space="preserve">. Sentencia de 3 de abril de 2009. Serie C No. 196, párr. 97; </w:t>
      </w:r>
      <w:r w:rsidRPr="00EE6C61">
        <w:rPr>
          <w:rFonts w:ascii="Verdana" w:hAnsi="Verdana" w:cs="Times New Roman"/>
          <w:i/>
          <w:spacing w:val="-12"/>
          <w:sz w:val="16"/>
          <w:szCs w:val="16"/>
        </w:rPr>
        <w:t>Caso Rodríguez Vera y otros (Desaparecidos del Palacio de Justicia) Vs. Colombia</w:t>
      </w:r>
      <w:r w:rsidRPr="00EE6C61">
        <w:rPr>
          <w:rFonts w:ascii="Verdana" w:hAnsi="Verdana" w:cs="Times New Roman"/>
          <w:spacing w:val="-12"/>
          <w:sz w:val="16"/>
          <w:szCs w:val="16"/>
        </w:rPr>
        <w:t xml:space="preserve">, párr. 305, y </w:t>
      </w:r>
      <w:r w:rsidRPr="00EE6C61">
        <w:rPr>
          <w:rFonts w:ascii="Verdana" w:hAnsi="Verdana" w:cs="Times New Roman"/>
          <w:i/>
          <w:spacing w:val="-12"/>
          <w:sz w:val="16"/>
          <w:szCs w:val="16"/>
        </w:rPr>
        <w:t>Caso Vásquez Durand y otros Vs. Ecuador</w:t>
      </w:r>
      <w:r w:rsidRPr="00EE6C61">
        <w:rPr>
          <w:rFonts w:ascii="Verdana" w:hAnsi="Verdana" w:cs="Times New Roman"/>
          <w:spacing w:val="-12"/>
          <w:sz w:val="16"/>
          <w:szCs w:val="16"/>
        </w:rPr>
        <w:t>, párr.</w:t>
      </w:r>
      <w:r w:rsidRPr="00EE6C61" w:rsidDel="009A3016">
        <w:rPr>
          <w:rFonts w:ascii="Verdana" w:hAnsi="Verdana" w:cs="Times New Roman"/>
          <w:spacing w:val="-12"/>
          <w:sz w:val="16"/>
          <w:szCs w:val="16"/>
        </w:rPr>
        <w:t xml:space="preserve"> </w:t>
      </w:r>
      <w:r w:rsidRPr="00EE6C61">
        <w:rPr>
          <w:rFonts w:ascii="Verdana" w:hAnsi="Verdana" w:cs="Times New Roman"/>
          <w:spacing w:val="-12"/>
          <w:sz w:val="16"/>
          <w:szCs w:val="16"/>
        </w:rPr>
        <w:t>132.</w:t>
      </w:r>
    </w:p>
  </w:footnote>
  <w:footnote w:id="14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ab/>
        <w:t xml:space="preserve">El artículo 2 de la Convención no define cuáles son las medidas pertinentes para la adecuación del derecho interno a la misma, obviamente por depender ello del carácter de la norma que la requiera y las circunstancias de la situación concreta. Por ello, la Corte ha interpretado que tal adecuación implica la adopción de medidas en dos vertientes, a saber: i) la supresión de las normas y prácticas de cualquier naturaleza que entrañen violación a las garantías previstas en la Convención o que desconozcan los derechos allí reconocidos u obstaculicen su ejercicio, y ii) la expedición de normas y el desarrollo de prácticas conducentes a la efectiva observancia de dichas garantías. </w:t>
      </w:r>
      <w:r w:rsidRPr="00EE6C61">
        <w:rPr>
          <w:rFonts w:ascii="Verdana" w:hAnsi="Verdana"/>
          <w:i/>
          <w:spacing w:val="-12"/>
          <w:sz w:val="16"/>
          <w:szCs w:val="16"/>
        </w:rPr>
        <w:t xml:space="preserve">Cfr. Caso Castillo Petruzzi y otros Vs. Perú. Fondo, Reparaciones y Costas. </w:t>
      </w:r>
      <w:r w:rsidRPr="00EE6C61">
        <w:rPr>
          <w:rFonts w:ascii="Verdana" w:hAnsi="Verdana"/>
          <w:spacing w:val="-12"/>
          <w:sz w:val="16"/>
          <w:szCs w:val="16"/>
        </w:rPr>
        <w:t>Sentencia de 30 de mayo de 1999. Serie C No. 52, párr. 207;</w:t>
      </w:r>
      <w:r w:rsidRPr="00EE6C61" w:rsidDel="00460F91">
        <w:rPr>
          <w:rFonts w:ascii="Verdana" w:hAnsi="Verdana"/>
          <w:spacing w:val="-12"/>
          <w:sz w:val="16"/>
          <w:szCs w:val="16"/>
        </w:rPr>
        <w:t xml:space="preserve"> </w:t>
      </w:r>
      <w:r w:rsidRPr="00EE6C61">
        <w:rPr>
          <w:rFonts w:ascii="Verdana" w:hAnsi="Verdana"/>
          <w:i/>
          <w:spacing w:val="-12"/>
          <w:sz w:val="16"/>
          <w:szCs w:val="16"/>
        </w:rPr>
        <w:t xml:space="preserve">Caso La Cantuta Vs. Perú, Fondo, Reparaciones y Costas. </w:t>
      </w:r>
      <w:r w:rsidRPr="00EE6C61">
        <w:rPr>
          <w:rFonts w:ascii="Verdana" w:hAnsi="Verdana"/>
          <w:spacing w:val="-12"/>
          <w:sz w:val="16"/>
          <w:szCs w:val="16"/>
        </w:rPr>
        <w:t xml:space="preserve">Sentencia de 29 de noviembre de 2006. Serie C No. 162, párr. 172, y </w:t>
      </w:r>
      <w:r w:rsidRPr="00EE6C61">
        <w:rPr>
          <w:rFonts w:ascii="Verdana" w:hAnsi="Verdana"/>
          <w:bCs/>
          <w:i/>
          <w:spacing w:val="-12"/>
          <w:sz w:val="16"/>
          <w:szCs w:val="16"/>
        </w:rPr>
        <w:t>Caso San Mig</w:t>
      </w:r>
      <w:r>
        <w:rPr>
          <w:rFonts w:ascii="Verdana" w:hAnsi="Verdana"/>
          <w:bCs/>
          <w:i/>
          <w:spacing w:val="-12"/>
          <w:sz w:val="16"/>
          <w:szCs w:val="16"/>
        </w:rPr>
        <w:t>uel Sosa y otras Vs. Venezuela</w:t>
      </w:r>
      <w:r w:rsidRPr="00EE6C61">
        <w:rPr>
          <w:rFonts w:ascii="Verdana" w:hAnsi="Verdana"/>
          <w:bCs/>
          <w:spacing w:val="-12"/>
          <w:sz w:val="16"/>
          <w:szCs w:val="16"/>
        </w:rPr>
        <w:t>, párr. 166</w:t>
      </w:r>
      <w:r w:rsidRPr="00EE6C61">
        <w:rPr>
          <w:rFonts w:ascii="Verdana" w:hAnsi="Verdana"/>
          <w:spacing w:val="-12"/>
          <w:sz w:val="16"/>
          <w:szCs w:val="16"/>
        </w:rPr>
        <w:t>.</w:t>
      </w:r>
    </w:p>
  </w:footnote>
  <w:footnote w:id="14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De acuerdo a lo establecido por el Derecho Internacional Humanitario, el principio de distinción se refiere a una norma consuetudinaria para conflictos armados internacionales y no internacionales en la cual se establece que “[l]as partes en conflicto deberán distinguir en todo momento entre personas civiles y combatientes”, que “[l]os ataques sólo podrán dirigirse contra combatientes” y que “[l]os civiles no deben ser atacados”. Además, son normas de Derecho Internacional Humanitario consuetudinario las que disponen que “[l]as partes en conflicto deberán hacer en todo momento la distinción entre bienes de carácter civil y objetivos militares”, de tal forma que “los ataques sólo podrán dirigirse contra objetivos militares”, mientras que “los bienes de carácter civil no deben ser atacados”. En ese mismo sentido, ver el párrafo 2 del artículo 13 del Protocolo Adicional II a los Convenios de Ginebra. </w:t>
      </w:r>
      <w:r w:rsidRPr="00EE6C61">
        <w:rPr>
          <w:rFonts w:ascii="Verdana" w:hAnsi="Verdana"/>
          <w:i/>
          <w:spacing w:val="-12"/>
          <w:sz w:val="16"/>
          <w:szCs w:val="16"/>
        </w:rPr>
        <w:t>Cfr. Caso Masacre de Santo Domingo Vs. Colombia. Excepciones Preliminares, Fondo y Reparaciones.</w:t>
      </w:r>
      <w:r w:rsidRPr="00EE6C61">
        <w:rPr>
          <w:rFonts w:ascii="Verdana" w:hAnsi="Verdana"/>
          <w:spacing w:val="-12"/>
          <w:sz w:val="16"/>
          <w:szCs w:val="16"/>
        </w:rPr>
        <w:t xml:space="preserve"> Sentencia de 30 de noviembre de 2</w:t>
      </w:r>
      <w:r>
        <w:rPr>
          <w:rFonts w:ascii="Verdana" w:hAnsi="Verdana"/>
          <w:spacing w:val="-12"/>
          <w:sz w:val="16"/>
          <w:szCs w:val="16"/>
        </w:rPr>
        <w:t>012. Serie C No. 259, párr. 212;</w:t>
      </w:r>
      <w:r w:rsidRPr="00EE6C61">
        <w:rPr>
          <w:rFonts w:ascii="Verdana" w:hAnsi="Verdana"/>
          <w:spacing w:val="-12"/>
          <w:sz w:val="16"/>
          <w:szCs w:val="16"/>
        </w:rPr>
        <w:t xml:space="preserve"> y </w:t>
      </w:r>
      <w:r w:rsidRPr="00EE6C61">
        <w:rPr>
          <w:rFonts w:ascii="Verdana" w:hAnsi="Verdana"/>
          <w:i/>
          <w:spacing w:val="-12"/>
          <w:sz w:val="16"/>
          <w:szCs w:val="16"/>
        </w:rPr>
        <w:t xml:space="preserve">Caso Cruz Sánchez y otros Vs. Perú. Excepciones Preliminares, Fondo, Reparaciones y Costas. </w:t>
      </w:r>
      <w:r w:rsidRPr="00EE6C61">
        <w:rPr>
          <w:rFonts w:ascii="Verdana" w:hAnsi="Verdana"/>
          <w:spacing w:val="-12"/>
          <w:sz w:val="16"/>
          <w:szCs w:val="16"/>
        </w:rPr>
        <w:t>Sentencia de 17 de abril de 2015. Serie C No. 292, párr. 276.</w:t>
      </w:r>
    </w:p>
  </w:footnote>
  <w:footnote w:id="143">
    <w:p w:rsidR="00996758" w:rsidRDefault="00996758" w:rsidP="00103EC8">
      <w:pPr>
        <w:pStyle w:val="FootnoteText"/>
        <w:spacing w:before="120" w:after="120"/>
        <w:jc w:val="both"/>
      </w:pPr>
      <w:r w:rsidRPr="00983058">
        <w:rPr>
          <w:rStyle w:val="FootnoteReference"/>
          <w:rFonts w:ascii="Verdana" w:hAnsi="Verdana"/>
          <w:spacing w:val="-12"/>
          <w:sz w:val="16"/>
          <w:szCs w:val="16"/>
        </w:rPr>
        <w:footnoteRef/>
      </w:r>
      <w:r>
        <w:t xml:space="preserve"> </w:t>
      </w:r>
      <w:r>
        <w:tab/>
      </w:r>
      <w:r>
        <w:rPr>
          <w:rFonts w:ascii="Verdana" w:hAnsi="Verdana"/>
          <w:i/>
          <w:spacing w:val="-12"/>
          <w:sz w:val="16"/>
        </w:rPr>
        <w:t>Cfr.</w:t>
      </w:r>
      <w:r>
        <w:rPr>
          <w:rFonts w:ascii="Verdana" w:hAnsi="Verdana"/>
          <w:spacing w:val="-12"/>
          <w:sz w:val="16"/>
        </w:rPr>
        <w:t xml:space="preserve"> </w:t>
      </w:r>
      <w:r>
        <w:rPr>
          <w:rFonts w:ascii="Verdana" w:hAnsi="Verdana"/>
          <w:i/>
          <w:spacing w:val="-12"/>
          <w:sz w:val="16"/>
          <w:szCs w:val="16"/>
          <w:lang w:val="es-MX"/>
        </w:rPr>
        <w:t>Caso Huilca Tecse Vs. Perú. Fondo, Reparaciones y Costas</w:t>
      </w:r>
      <w:r>
        <w:rPr>
          <w:rFonts w:ascii="Verdana" w:hAnsi="Verdana"/>
          <w:spacing w:val="-12"/>
          <w:sz w:val="16"/>
          <w:szCs w:val="16"/>
          <w:lang w:val="es-MX"/>
        </w:rPr>
        <w:t xml:space="preserve">. Sentencia de 3 de marzo de 2005. Serie C No. 121, párrs. 66 a 79; y </w:t>
      </w:r>
      <w:r>
        <w:rPr>
          <w:rFonts w:ascii="Verdana" w:hAnsi="Verdana"/>
          <w:i/>
          <w:spacing w:val="-12"/>
          <w:sz w:val="16"/>
          <w:szCs w:val="16"/>
          <w:lang w:val="es-MX"/>
        </w:rPr>
        <w:t>Caso Cantoral Huamaní y García Santa Cruz Vs. Perú. Excepción Preliminar, Fondo, Reparaciones y Costas</w:t>
      </w:r>
      <w:r>
        <w:rPr>
          <w:rFonts w:ascii="Verdana" w:hAnsi="Verdana"/>
          <w:spacing w:val="-12"/>
          <w:sz w:val="16"/>
          <w:szCs w:val="16"/>
          <w:lang w:val="es-MX"/>
        </w:rPr>
        <w:t xml:space="preserve">. Sentencia de 10 de julio de 2007. Serie C No. 167, párrs. 146 y 147. Ver también </w:t>
      </w:r>
      <w:r>
        <w:rPr>
          <w:rFonts w:ascii="Verdana" w:hAnsi="Verdana"/>
          <w:i/>
          <w:spacing w:val="-12"/>
          <w:sz w:val="16"/>
          <w:szCs w:val="16"/>
          <w:lang w:val="es-MX"/>
        </w:rPr>
        <w:t>Caso Cepeda Vargas Vs. Colombia, supra</w:t>
      </w:r>
      <w:r>
        <w:rPr>
          <w:rFonts w:ascii="Verdana" w:hAnsi="Verdana"/>
          <w:spacing w:val="-12"/>
          <w:sz w:val="16"/>
          <w:szCs w:val="16"/>
          <w:lang w:val="es-MX"/>
        </w:rPr>
        <w:t xml:space="preserve">, párr. 172, 176 y 177; y </w:t>
      </w:r>
      <w:r>
        <w:rPr>
          <w:rFonts w:ascii="Verdana" w:hAnsi="Verdana"/>
          <w:i/>
          <w:spacing w:val="-12"/>
          <w:sz w:val="16"/>
          <w:szCs w:val="16"/>
          <w:lang w:val="es-MX"/>
        </w:rPr>
        <w:t>Caso García y familiares Vs. Guatemala. Fondo Reparaciones y Costas</w:t>
      </w:r>
      <w:r>
        <w:rPr>
          <w:rFonts w:ascii="Verdana" w:hAnsi="Verdana"/>
          <w:spacing w:val="-12"/>
          <w:sz w:val="16"/>
          <w:szCs w:val="16"/>
          <w:lang w:val="es-MX"/>
        </w:rPr>
        <w:t>. Sentencia de 29 noviembre de 2012 Serie C No. 258, párrs. 116 y 117.</w:t>
      </w:r>
    </w:p>
  </w:footnote>
  <w:footnote w:id="144">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8 de la Convención señala: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footnote>
  <w:footnote w:id="14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El artículo 25 de la Convención expresa: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46">
    <w:p w:rsidR="00996758" w:rsidRPr="00097FD3"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ab/>
        <w:t xml:space="preserve">Cfr. </w:t>
      </w:r>
      <w:r w:rsidRPr="00EE6C61">
        <w:rPr>
          <w:rFonts w:ascii="Verdana" w:hAnsi="Verdana"/>
          <w:i/>
          <w:spacing w:val="-12"/>
          <w:sz w:val="16"/>
          <w:szCs w:val="16"/>
        </w:rPr>
        <w:t xml:space="preserve">Caso Velásquez Rodríguez Vs. Honduras. Fondo, </w:t>
      </w:r>
      <w:r w:rsidRPr="00EE6C61">
        <w:rPr>
          <w:rFonts w:ascii="Verdana" w:hAnsi="Verdana"/>
          <w:spacing w:val="-12"/>
          <w:sz w:val="16"/>
          <w:szCs w:val="16"/>
        </w:rPr>
        <w:t xml:space="preserve">párr. 174, y </w:t>
      </w:r>
      <w:r>
        <w:rPr>
          <w:rFonts w:ascii="Verdana" w:hAnsi="Verdana"/>
          <w:spacing w:val="-12"/>
          <w:sz w:val="16"/>
          <w:szCs w:val="16"/>
        </w:rPr>
        <w:t>C</w:t>
      </w:r>
      <w:r w:rsidRPr="00097FD3">
        <w:rPr>
          <w:rFonts w:ascii="Verdana" w:hAnsi="Verdana"/>
          <w:i/>
          <w:spacing w:val="-12"/>
          <w:sz w:val="16"/>
          <w:szCs w:val="16"/>
        </w:rPr>
        <w:t>aso Carvaja</w:t>
      </w:r>
      <w:r>
        <w:rPr>
          <w:rFonts w:ascii="Verdana" w:hAnsi="Verdana"/>
          <w:i/>
          <w:spacing w:val="-12"/>
          <w:sz w:val="16"/>
          <w:szCs w:val="16"/>
        </w:rPr>
        <w:t>l Carvajal y otros Vs. Colombia,</w:t>
      </w:r>
      <w:r w:rsidRPr="00097FD3">
        <w:rPr>
          <w:rFonts w:ascii="Verdana" w:hAnsi="Verdana"/>
          <w:i/>
          <w:spacing w:val="-12"/>
          <w:sz w:val="16"/>
          <w:szCs w:val="16"/>
        </w:rPr>
        <w:t xml:space="preserve"> </w:t>
      </w:r>
      <w:r>
        <w:rPr>
          <w:rFonts w:ascii="Verdana" w:hAnsi="Verdana"/>
          <w:spacing w:val="-12"/>
          <w:sz w:val="16"/>
          <w:szCs w:val="16"/>
        </w:rPr>
        <w:t>párr. 163.</w:t>
      </w:r>
    </w:p>
  </w:footnote>
  <w:footnote w:id="147">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ab/>
        <w:t xml:space="preserve">Cfr. </w:t>
      </w:r>
      <w:r w:rsidRPr="00EE6C61">
        <w:rPr>
          <w:rFonts w:ascii="Verdana" w:hAnsi="Verdana"/>
          <w:i/>
          <w:spacing w:val="-12"/>
          <w:sz w:val="16"/>
          <w:szCs w:val="16"/>
        </w:rPr>
        <w:t xml:space="preserve">Caso Velásquez Rodríguez, Fondo, </w:t>
      </w:r>
      <w:r w:rsidRPr="00EE6C61">
        <w:rPr>
          <w:rFonts w:ascii="Verdana" w:hAnsi="Verdana"/>
          <w:spacing w:val="-12"/>
          <w:sz w:val="16"/>
          <w:szCs w:val="16"/>
        </w:rPr>
        <w:t xml:space="preserve">párr. 177; </w:t>
      </w:r>
      <w:r w:rsidRPr="00EE6C61">
        <w:rPr>
          <w:rFonts w:ascii="Verdana" w:hAnsi="Verdana"/>
          <w:i/>
          <w:spacing w:val="-12"/>
          <w:sz w:val="16"/>
          <w:szCs w:val="16"/>
        </w:rPr>
        <w:t>Caso de las Hermanas Serrano Cruz Vs. El Salvador. Fondo, Reparaciones y Costas.</w:t>
      </w:r>
      <w:r w:rsidRPr="00EE6C61">
        <w:rPr>
          <w:rFonts w:ascii="Verdana" w:hAnsi="Verdana"/>
          <w:spacing w:val="-12"/>
          <w:sz w:val="16"/>
          <w:szCs w:val="16"/>
        </w:rPr>
        <w:t xml:space="preserve"> Sentencia de 1 de marzo de 2005. Serie C No. 120, párr. 83, </w:t>
      </w:r>
      <w:r>
        <w:rPr>
          <w:rFonts w:ascii="Verdana" w:hAnsi="Verdana"/>
          <w:spacing w:val="-12"/>
          <w:sz w:val="16"/>
          <w:szCs w:val="16"/>
        </w:rPr>
        <w:t xml:space="preserve">y </w:t>
      </w:r>
      <w:r w:rsidRPr="00EE6C61">
        <w:rPr>
          <w:rFonts w:ascii="Verdana" w:hAnsi="Verdana"/>
          <w:i/>
          <w:spacing w:val="-12"/>
          <w:sz w:val="16"/>
          <w:szCs w:val="16"/>
        </w:rPr>
        <w:t xml:space="preserve">Caso Ortiz Hernández y otros Vs. Venezuela. Fondo, Reparaciones y Costas. </w:t>
      </w:r>
      <w:r w:rsidRPr="00EE6C61">
        <w:rPr>
          <w:rFonts w:ascii="Verdana" w:hAnsi="Verdana"/>
          <w:spacing w:val="-12"/>
          <w:sz w:val="16"/>
          <w:szCs w:val="16"/>
        </w:rPr>
        <w:t>Sentencia de 22 de agosto de 2017. Serie C No. 338, párr. 143.</w:t>
      </w:r>
    </w:p>
  </w:footnote>
  <w:footnote w:id="148">
    <w:p w:rsidR="00996758" w:rsidRPr="00EE6C61" w:rsidRDefault="00996758" w:rsidP="00103EC8">
      <w:pPr>
        <w:pStyle w:val="FootnoteText"/>
        <w:tabs>
          <w:tab w:val="left" w:pos="426"/>
        </w:tabs>
        <w:spacing w:before="120" w:after="120"/>
        <w:jc w:val="both"/>
        <w:rPr>
          <w:color w:val="FF0000"/>
          <w:szCs w:val="16"/>
        </w:rPr>
      </w:pPr>
      <w:r w:rsidRPr="00EE6C61">
        <w:rPr>
          <w:rStyle w:val="FootnoteReference"/>
          <w:rFonts w:ascii="Verdana" w:hAnsi="Verdana"/>
          <w:spacing w:val="-12"/>
          <w:sz w:val="16"/>
          <w:szCs w:val="16"/>
        </w:rPr>
        <w:footnoteRef/>
      </w:r>
      <w:r w:rsidRPr="00EE6C61">
        <w:rPr>
          <w:szCs w:val="16"/>
        </w:rPr>
        <w:t xml:space="preserve"> </w:t>
      </w:r>
      <w:r w:rsidRPr="00EE6C61">
        <w:rPr>
          <w:rFonts w:ascii="Verdana" w:hAnsi="Verdana" w:cs="Times New Roman"/>
          <w:spacing w:val="-12"/>
          <w:sz w:val="16"/>
          <w:szCs w:val="16"/>
        </w:rPr>
        <w:tab/>
      </w:r>
      <w:r w:rsidRPr="00EE6C61">
        <w:rPr>
          <w:rFonts w:ascii="Verdana" w:hAnsi="Verdana" w:cs="Times New Roman"/>
          <w:i/>
          <w:spacing w:val="-12"/>
          <w:sz w:val="16"/>
          <w:szCs w:val="16"/>
        </w:rPr>
        <w:t xml:space="preserve">Cfr., inter alia, </w:t>
      </w:r>
      <w:r w:rsidRPr="00EE6C61">
        <w:rPr>
          <w:rFonts w:ascii="Verdana" w:hAnsi="Verdana" w:cs="Times New Roman"/>
          <w:bCs/>
          <w:i/>
          <w:spacing w:val="-12"/>
          <w:sz w:val="16"/>
        </w:rPr>
        <w:t>Caso Velásquez Rodríguez Vs. Honduras. Fondo</w:t>
      </w:r>
      <w:r w:rsidRPr="00EE6C61">
        <w:rPr>
          <w:rFonts w:ascii="Verdana" w:hAnsi="Verdana" w:cs="Times New Roman"/>
          <w:spacing w:val="-12"/>
          <w:sz w:val="16"/>
          <w:szCs w:val="16"/>
        </w:rPr>
        <w:t xml:space="preserve">, párr. 181; </w:t>
      </w:r>
      <w:r w:rsidRPr="00EE6C61">
        <w:rPr>
          <w:rFonts w:ascii="Verdana" w:hAnsi="Verdana" w:cs="Times New Roman"/>
          <w:i/>
          <w:spacing w:val="-12"/>
          <w:sz w:val="16"/>
          <w:szCs w:val="16"/>
        </w:rPr>
        <w:t>Caso Bámaca Velásquez Vs. Guatemala. Fondo</w:t>
      </w:r>
      <w:r w:rsidRPr="00EE6C61">
        <w:rPr>
          <w:rFonts w:ascii="Verdana" w:hAnsi="Verdana" w:cs="Times New Roman"/>
          <w:spacing w:val="-12"/>
          <w:sz w:val="16"/>
          <w:szCs w:val="16"/>
        </w:rPr>
        <w:t xml:space="preserve">, párr. 201; </w:t>
      </w:r>
      <w:r w:rsidRPr="00EE6C61">
        <w:rPr>
          <w:rFonts w:ascii="Verdana" w:hAnsi="Verdana" w:cs="Times New Roman"/>
          <w:bCs/>
          <w:i/>
          <w:spacing w:val="-12"/>
          <w:sz w:val="16"/>
        </w:rPr>
        <w:t>Caso Barrios Altos Vs. Perú. Fondo</w:t>
      </w:r>
      <w:r w:rsidRPr="00EE6C61">
        <w:rPr>
          <w:rFonts w:ascii="Verdana" w:hAnsi="Verdana" w:cs="Times New Roman"/>
          <w:bCs/>
          <w:spacing w:val="-12"/>
          <w:sz w:val="16"/>
        </w:rPr>
        <w:t>. Sentencia de 14 de marzo de 2001. Serie C No. 75</w:t>
      </w:r>
      <w:r w:rsidRPr="00EE6C61">
        <w:rPr>
          <w:rFonts w:ascii="Verdana" w:hAnsi="Verdana" w:cs="Times New Roman"/>
          <w:spacing w:val="-12"/>
          <w:sz w:val="16"/>
          <w:szCs w:val="16"/>
        </w:rPr>
        <w:t xml:space="preserve">, párr. 48; y </w:t>
      </w:r>
      <w:r w:rsidRPr="00097FD3">
        <w:rPr>
          <w:rFonts w:ascii="Verdana" w:hAnsi="Verdana" w:cs="Times New Roman"/>
          <w:i/>
          <w:spacing w:val="-12"/>
          <w:sz w:val="16"/>
          <w:szCs w:val="16"/>
        </w:rPr>
        <w:t>Caso Munárriz Escobar y otros Vs. Perú</w:t>
      </w:r>
      <w:r w:rsidRPr="0078473F">
        <w:rPr>
          <w:rFonts w:ascii="Verdana" w:hAnsi="Verdana" w:cs="Times New Roman"/>
          <w:spacing w:val="-12"/>
          <w:sz w:val="16"/>
          <w:szCs w:val="16"/>
        </w:rPr>
        <w:t>, párr</w:t>
      </w:r>
      <w:r w:rsidRPr="00097FD3">
        <w:rPr>
          <w:rFonts w:ascii="Verdana" w:hAnsi="Verdana" w:cs="Times New Roman"/>
          <w:spacing w:val="-12"/>
          <w:sz w:val="16"/>
          <w:szCs w:val="16"/>
        </w:rPr>
        <w:t>.</w:t>
      </w:r>
      <w:r>
        <w:rPr>
          <w:rFonts w:ascii="Verdana" w:hAnsi="Verdana" w:cs="Times New Roman"/>
          <w:spacing w:val="-12"/>
          <w:sz w:val="16"/>
          <w:szCs w:val="16"/>
        </w:rPr>
        <w:t xml:space="preserve"> </w:t>
      </w:r>
      <w:r w:rsidRPr="0078473F">
        <w:rPr>
          <w:rFonts w:ascii="Verdana" w:hAnsi="Verdana" w:cs="Times New Roman"/>
          <w:spacing w:val="-12"/>
          <w:sz w:val="16"/>
          <w:szCs w:val="16"/>
        </w:rPr>
        <w:t>109.</w:t>
      </w:r>
    </w:p>
  </w:footnote>
  <w:footnote w:id="149">
    <w:p w:rsidR="00996758" w:rsidRPr="00EE6C61" w:rsidRDefault="00996758" w:rsidP="00103EC8">
      <w:pPr>
        <w:tabs>
          <w:tab w:val="left" w:pos="426"/>
        </w:tabs>
        <w:autoSpaceDE w:val="0"/>
        <w:autoSpaceDN w:val="0"/>
        <w:adjustRightInd w:val="0"/>
        <w:spacing w:before="120" w:after="120" w:line="240" w:lineRule="auto"/>
        <w:jc w:val="both"/>
        <w:rPr>
          <w:rStyle w:val="FootnoteReference"/>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iCs/>
          <w:spacing w:val="-12"/>
          <w:sz w:val="16"/>
          <w:szCs w:val="16"/>
        </w:rPr>
        <w:t xml:space="preserve">Cfr. </w:t>
      </w:r>
      <w:r w:rsidRPr="00EE6C61">
        <w:rPr>
          <w:rFonts w:ascii="Verdana" w:hAnsi="Verdana"/>
          <w:bCs/>
          <w:i/>
          <w:spacing w:val="-12"/>
          <w:sz w:val="16"/>
          <w:szCs w:val="16"/>
        </w:rPr>
        <w:t xml:space="preserve">Caso Ticona Estrada y otros Vs. Bolivia. </w:t>
      </w:r>
      <w:r w:rsidRPr="00EE6C61">
        <w:rPr>
          <w:rFonts w:ascii="Verdana" w:hAnsi="Verdana"/>
          <w:i/>
          <w:spacing w:val="-12"/>
          <w:sz w:val="16"/>
          <w:szCs w:val="16"/>
        </w:rPr>
        <w:t>Fondo, Reparaciones y Costas</w:t>
      </w:r>
      <w:r w:rsidRPr="00EE6C61">
        <w:rPr>
          <w:rFonts w:ascii="Verdana" w:hAnsi="Verdana"/>
          <w:spacing w:val="-12"/>
          <w:sz w:val="16"/>
          <w:szCs w:val="16"/>
        </w:rPr>
        <w:t xml:space="preserve">. Sentencia de 27 de noviembre de 2008. Serie C No. 191, párr. 80, y </w:t>
      </w:r>
      <w:r w:rsidRPr="00097FD3">
        <w:rPr>
          <w:rFonts w:ascii="Verdana" w:hAnsi="Verdana" w:cs="Times New Roman"/>
          <w:i/>
          <w:spacing w:val="-12"/>
          <w:sz w:val="16"/>
          <w:szCs w:val="16"/>
        </w:rPr>
        <w:t>Caso Mu</w:t>
      </w:r>
      <w:r>
        <w:rPr>
          <w:rFonts w:ascii="Verdana" w:hAnsi="Verdana" w:cs="Times New Roman"/>
          <w:i/>
          <w:spacing w:val="-12"/>
          <w:sz w:val="16"/>
          <w:szCs w:val="16"/>
        </w:rPr>
        <w:t>nárriz Escobar y otros Vs. Perú,</w:t>
      </w:r>
      <w:r w:rsidRPr="00097FD3">
        <w:rPr>
          <w:rFonts w:ascii="Verdana" w:hAnsi="Verdana" w:cs="Times New Roman"/>
          <w:i/>
          <w:spacing w:val="-12"/>
          <w:sz w:val="16"/>
          <w:szCs w:val="16"/>
        </w:rPr>
        <w:t xml:space="preserve"> </w:t>
      </w:r>
      <w:r w:rsidRPr="0078473F">
        <w:rPr>
          <w:rFonts w:ascii="Verdana" w:hAnsi="Verdana" w:cs="Times New Roman"/>
          <w:spacing w:val="-12"/>
          <w:sz w:val="16"/>
          <w:szCs w:val="16"/>
        </w:rPr>
        <w:t>párr. 104.</w:t>
      </w:r>
    </w:p>
  </w:footnote>
  <w:footnote w:id="150">
    <w:p w:rsidR="00996758" w:rsidRPr="00EE6C61" w:rsidRDefault="00996758" w:rsidP="001E382B">
      <w:pPr>
        <w:autoSpaceDE w:val="0"/>
        <w:autoSpaceDN w:val="0"/>
        <w:adjustRightInd w:val="0"/>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w:t>
      </w:r>
      <w:r>
        <w:rPr>
          <w:rFonts w:ascii="Verdana" w:hAnsi="Verdana"/>
          <w:i/>
          <w:spacing w:val="-12"/>
          <w:sz w:val="16"/>
          <w:szCs w:val="16"/>
        </w:rPr>
        <w:t>fr. C</w:t>
      </w:r>
      <w:r w:rsidRPr="00EE6C61">
        <w:rPr>
          <w:rFonts w:ascii="Verdana" w:hAnsi="Verdana"/>
          <w:i/>
          <w:spacing w:val="-12"/>
          <w:sz w:val="16"/>
          <w:szCs w:val="16"/>
        </w:rPr>
        <w:t xml:space="preserve">aso Anzualdo Castro Vs. Perú. </w:t>
      </w:r>
      <w:r w:rsidRPr="00EE6C61">
        <w:rPr>
          <w:rFonts w:ascii="Verdana" w:hAnsi="Verdana"/>
          <w:spacing w:val="-12"/>
          <w:sz w:val="16"/>
          <w:szCs w:val="16"/>
        </w:rPr>
        <w:t>Excepción Preliminar, Fondo, Reparaciones y Costas.</w:t>
      </w:r>
      <w:r w:rsidRPr="00EE6C61">
        <w:rPr>
          <w:rFonts w:ascii="Verdana" w:hAnsi="Verdana"/>
          <w:i/>
          <w:spacing w:val="-12"/>
          <w:sz w:val="16"/>
          <w:szCs w:val="16"/>
        </w:rPr>
        <w:t xml:space="preserve"> </w:t>
      </w:r>
      <w:r w:rsidRPr="00EE6C61">
        <w:rPr>
          <w:rFonts w:ascii="Verdana" w:hAnsi="Verdana"/>
          <w:spacing w:val="-12"/>
          <w:sz w:val="16"/>
          <w:szCs w:val="16"/>
        </w:rPr>
        <w:t xml:space="preserve">Sentencia de 22 de Septiembre de 2009. Serie C No. 202, párr. 134, y </w:t>
      </w:r>
      <w:r w:rsidRPr="00097FD3">
        <w:rPr>
          <w:rFonts w:ascii="Verdana" w:hAnsi="Verdana" w:cs="Times New Roman"/>
          <w:i/>
          <w:spacing w:val="-12"/>
          <w:sz w:val="16"/>
          <w:szCs w:val="16"/>
        </w:rPr>
        <w:t xml:space="preserve">Caso Terrones Silva y otros Vs. Perú. Excepciones Preliminares, Fondo, Reparaciones y Costas. </w:t>
      </w:r>
      <w:r w:rsidRPr="0078473F">
        <w:rPr>
          <w:rFonts w:ascii="Verdana" w:hAnsi="Verdana" w:cs="Times New Roman"/>
          <w:spacing w:val="-12"/>
          <w:sz w:val="16"/>
          <w:szCs w:val="16"/>
        </w:rPr>
        <w:t>Sentencia de 26 de septiembre de 2018. Serie C No. 360, párr. 202.</w:t>
      </w:r>
    </w:p>
  </w:footnote>
  <w:footnote w:id="151">
    <w:p w:rsidR="00996758" w:rsidRPr="00EE6C61" w:rsidRDefault="00996758" w:rsidP="001E382B">
      <w:pPr>
        <w:autoSpaceDE w:val="0"/>
        <w:autoSpaceDN w:val="0"/>
        <w:adjustRightInd w:val="0"/>
        <w:spacing w:before="120" w:after="120" w:line="240" w:lineRule="auto"/>
        <w:jc w:val="both"/>
        <w:rPr>
          <w:rFonts w:ascii="Verdana" w:hAnsi="Verdana" w:cs="Times New Roman"/>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spacing w:val="-12"/>
          <w:sz w:val="16"/>
          <w:szCs w:val="16"/>
        </w:rPr>
        <w:tab/>
        <w:t xml:space="preserve">En efecto, tal como confirmó la </w:t>
      </w:r>
      <w:r>
        <w:rPr>
          <w:rFonts w:ascii="Verdana" w:hAnsi="Verdana" w:cs="Times New Roman"/>
          <w:spacing w:val="-12"/>
          <w:sz w:val="16"/>
          <w:szCs w:val="16"/>
        </w:rPr>
        <w:t>f</w:t>
      </w:r>
      <w:r w:rsidRPr="00EE6C61">
        <w:rPr>
          <w:rFonts w:ascii="Verdana" w:hAnsi="Verdana" w:cs="Times New Roman"/>
          <w:spacing w:val="-12"/>
          <w:sz w:val="16"/>
          <w:szCs w:val="16"/>
        </w:rPr>
        <w:t xml:space="preserve">iscal Luz María Ramírez García, quien declaró como testigo ofrecida por el Estado en este caso: “dentro de la investigación penal por el caso de Víctor Manuel Isaza Uribe, no se diseñó ni plantificó o ejecutó ningún plan de búsqueda; solo se diligenció un formato de búsqueda de persona desaparecida en el año 2009 y [fue] posteriormente, en providencia del dos (2) de junio de dos mil quince (2015), [que] el Fiscal Octavo Especializado de Medellín dispuso [su] búsqueda en las diferentes bases de datos de acceso público”. </w:t>
      </w:r>
      <w:r w:rsidRPr="00EE6C61">
        <w:rPr>
          <w:rFonts w:ascii="Verdana" w:hAnsi="Verdana" w:cs="Times New Roman"/>
          <w:i/>
          <w:spacing w:val="-12"/>
          <w:sz w:val="16"/>
          <w:szCs w:val="16"/>
        </w:rPr>
        <w:t xml:space="preserve">Cfr. </w:t>
      </w:r>
      <w:r w:rsidRPr="00EE6C61">
        <w:rPr>
          <w:rFonts w:ascii="Verdana" w:hAnsi="Verdana" w:cs="Times New Roman"/>
          <w:spacing w:val="-12"/>
          <w:sz w:val="16"/>
          <w:szCs w:val="16"/>
        </w:rPr>
        <w:t>Declaración escrita de la señora</w:t>
      </w:r>
      <w:r w:rsidRPr="00EE6C61">
        <w:rPr>
          <w:rFonts w:ascii="Verdana" w:hAnsi="Verdana" w:cs="Times New Roman"/>
          <w:i/>
          <w:spacing w:val="-12"/>
          <w:sz w:val="16"/>
          <w:szCs w:val="16"/>
        </w:rPr>
        <w:t xml:space="preserve"> </w:t>
      </w:r>
      <w:r w:rsidRPr="00EE6C61">
        <w:rPr>
          <w:rFonts w:ascii="Verdana" w:hAnsi="Verdana" w:cs="Times New Roman"/>
          <w:spacing w:val="-12"/>
          <w:sz w:val="16"/>
          <w:szCs w:val="16"/>
        </w:rPr>
        <w:t xml:space="preserve">Luz María Ramírez García (exp. prueba, f. 6204). </w:t>
      </w:r>
    </w:p>
  </w:footnote>
  <w:footnote w:id="152">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 mutatis mutandi, Caso Cepeda Vargas Vs. Colombia. Excepciones Preliminares, Fondo, Reparaciones y Costas. </w:t>
      </w:r>
      <w:r w:rsidRPr="00EE6C61">
        <w:rPr>
          <w:rFonts w:ascii="Verdana" w:hAnsi="Verdana"/>
          <w:spacing w:val="-12"/>
          <w:sz w:val="16"/>
          <w:szCs w:val="16"/>
        </w:rPr>
        <w:t>Sentencia de 26 de mayo de 2010. Serie C No. 213, párrs. 118 y 119</w:t>
      </w:r>
      <w:r>
        <w:rPr>
          <w:rFonts w:ascii="Verdana" w:hAnsi="Verdana"/>
          <w:spacing w:val="-12"/>
          <w:sz w:val="16"/>
          <w:szCs w:val="16"/>
        </w:rPr>
        <w:t xml:space="preserve">, y </w:t>
      </w:r>
      <w:r w:rsidRPr="00097FD3">
        <w:rPr>
          <w:rFonts w:ascii="Verdana" w:hAnsi="Verdana"/>
          <w:spacing w:val="-12"/>
          <w:sz w:val="16"/>
          <w:szCs w:val="16"/>
        </w:rPr>
        <w:t>C</w:t>
      </w:r>
      <w:r w:rsidRPr="0078473F">
        <w:rPr>
          <w:rFonts w:ascii="Verdana" w:hAnsi="Verdana"/>
          <w:i/>
          <w:spacing w:val="-12"/>
          <w:sz w:val="16"/>
          <w:szCs w:val="16"/>
        </w:rPr>
        <w:t>aso Pacheco León y otros Vs. Honduras</w:t>
      </w:r>
      <w:r>
        <w:rPr>
          <w:rFonts w:ascii="Verdana" w:hAnsi="Verdana"/>
          <w:spacing w:val="-12"/>
          <w:sz w:val="16"/>
          <w:szCs w:val="16"/>
        </w:rPr>
        <w:t>, párr. 93.</w:t>
      </w:r>
    </w:p>
  </w:footnote>
  <w:footnote w:id="153">
    <w:p w:rsidR="00996758" w:rsidRPr="00EE6C61" w:rsidRDefault="00996758" w:rsidP="001E382B">
      <w:pPr>
        <w:autoSpaceDE w:val="0"/>
        <w:autoSpaceDN w:val="0"/>
        <w:adjustRightInd w:val="0"/>
        <w:spacing w:before="120" w:after="120" w:line="240" w:lineRule="auto"/>
        <w:jc w:val="both"/>
        <w:rPr>
          <w:rFonts w:ascii="Verdana" w:hAnsi="Verdana" w:cs="Times New Roman"/>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spacing w:val="-12"/>
          <w:sz w:val="16"/>
          <w:szCs w:val="16"/>
        </w:rPr>
        <w:tab/>
        <w:t>Por ejemplo, no consta que en la investigación se hubiese realizado alguna actuación dirigida a descartar si los supuestos panfletos de las FARC pudieron haber sido realizados en máquinas de escribir del municipio.</w:t>
      </w:r>
    </w:p>
  </w:footnote>
  <w:footnote w:id="154">
    <w:p w:rsidR="00996758" w:rsidRPr="00EE6C61" w:rsidRDefault="00996758" w:rsidP="00103EC8">
      <w:pPr>
        <w:tabs>
          <w:tab w:val="left" w:pos="426"/>
        </w:tabs>
        <w:autoSpaceDE w:val="0"/>
        <w:autoSpaceDN w:val="0"/>
        <w:adjustRightInd w:val="0"/>
        <w:spacing w:before="120" w:after="120" w:line="240" w:lineRule="auto"/>
        <w:jc w:val="both"/>
        <w:rPr>
          <w:rFonts w:ascii="Verdana" w:hAnsi="Verdana" w:cs="Times New Roman"/>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spacing w:val="-12"/>
          <w:sz w:val="16"/>
          <w:szCs w:val="16"/>
        </w:rPr>
        <w:tab/>
        <w:t>Tal como constató la Procuraduría, en las investigaciones se verificó: “[…] la renuencia de personas que vieron la forma como sucedieron los hechos [a declarar] fue factor determinante en la imposibilidad de esclarecimiento de ellos. Es así como la misma quejosa CARMENZA VELEZ en su ampliación de queja señala que la investigación penal fue archivada ‘… porque no había nadie quien declarara’ […]</w:t>
      </w:r>
      <w:r>
        <w:rPr>
          <w:rFonts w:ascii="Verdana" w:hAnsi="Verdana" w:cs="Times New Roman"/>
          <w:spacing w:val="-12"/>
          <w:sz w:val="16"/>
          <w:szCs w:val="16"/>
        </w:rPr>
        <w:t xml:space="preserve"> </w:t>
      </w:r>
      <w:r w:rsidRPr="00EE6C61">
        <w:rPr>
          <w:rFonts w:ascii="Verdana" w:hAnsi="Verdana" w:cs="Times New Roman"/>
          <w:spacing w:val="-12"/>
          <w:sz w:val="16"/>
          <w:szCs w:val="16"/>
        </w:rPr>
        <w:t>Similar afirmación hace el señor Francisco Javier Gómez cuando declara que ‘es de notar que por esa época, se refiere a los años 86 y 87, hubo un Juzgado de Orden Público (sic) y un Juez ambulante que pudieron recoger algunas declaraciones muy fragmentarias de la población. Fragmentarias en el sentido de que nadie acusa a nadie por temor a ser amenazado o asesinado’. En igual sentido se manifiesta el Personero Municipal de Puerto Nare quien […] consigna lo siguiente: ‘Es de agregar también que han llegado a este Municipio comisiones de Instrucción Criminal y del Cuerpo Técnico de Policía Judicial, las cuales han llegado a una misma conclusión, que no hay testigos, o mejor que los pocos que existen se han negado a hablar por el temor de posibles represalias en contra de su integridad física’”. (exp. prueba f</w:t>
      </w:r>
      <w:r>
        <w:rPr>
          <w:rFonts w:ascii="Verdana" w:hAnsi="Verdana" w:cs="Times New Roman"/>
          <w:spacing w:val="-12"/>
          <w:sz w:val="16"/>
          <w:szCs w:val="16"/>
        </w:rPr>
        <w:t>f</w:t>
      </w:r>
      <w:r w:rsidRPr="00EE6C61">
        <w:rPr>
          <w:rFonts w:ascii="Verdana" w:hAnsi="Verdana" w:cs="Times New Roman"/>
          <w:spacing w:val="-12"/>
          <w:sz w:val="16"/>
          <w:szCs w:val="16"/>
        </w:rPr>
        <w:t>.45</w:t>
      </w:r>
      <w:r>
        <w:rPr>
          <w:rFonts w:ascii="Verdana" w:hAnsi="Verdana" w:cs="Times New Roman"/>
          <w:spacing w:val="-12"/>
          <w:sz w:val="16"/>
          <w:szCs w:val="16"/>
        </w:rPr>
        <w:t>, 55 y 71</w:t>
      </w:r>
      <w:r w:rsidRPr="00EE6C61">
        <w:rPr>
          <w:rFonts w:ascii="Verdana" w:hAnsi="Verdana" w:cs="Times New Roman"/>
          <w:spacing w:val="-12"/>
          <w:sz w:val="16"/>
          <w:szCs w:val="16"/>
        </w:rPr>
        <w:t>).</w:t>
      </w:r>
    </w:p>
  </w:footnote>
  <w:footnote w:id="15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spacing w:val="-12"/>
          <w:sz w:val="16"/>
          <w:szCs w:val="16"/>
        </w:rPr>
        <w:tab/>
        <w:t xml:space="preserve">En ese sentido, la Corte ha indicado que “para cumplir con la obligación de investigar en el marco de las garantías del debido proceso, el Estado debe facilitar todos los medios necesarios para proteger a los operadores de justicia, investigadores, testigos y familiares de las víctimas de hostigamientos y amenazas que tengan como finalidad entorpecer el proceso, evitar el esclarecimiento de los hechos y encubrir a los responsables de los mismos. </w:t>
      </w:r>
      <w:r w:rsidRPr="00EE6C61">
        <w:rPr>
          <w:rFonts w:ascii="Verdana" w:hAnsi="Verdana" w:cs="Times New Roman"/>
          <w:i/>
          <w:spacing w:val="-12"/>
          <w:sz w:val="16"/>
          <w:szCs w:val="16"/>
        </w:rPr>
        <w:t>Cfr. Caso Myrna Mack Chang Vs. Guatemala. Fondo, Reparaciones y Costas</w:t>
      </w:r>
      <w:r w:rsidRPr="00EE6C61">
        <w:rPr>
          <w:rFonts w:ascii="Verdana" w:hAnsi="Verdana" w:cs="Times New Roman"/>
          <w:spacing w:val="-12"/>
          <w:sz w:val="16"/>
          <w:szCs w:val="16"/>
        </w:rPr>
        <w:t xml:space="preserve">. Sentencia de 25 de noviembre de 2003. Serie C No. 101, párr. 199, y </w:t>
      </w:r>
      <w:r w:rsidRPr="00EE6C61">
        <w:rPr>
          <w:rFonts w:ascii="Verdana" w:hAnsi="Verdana" w:cs="Times New Roman"/>
          <w:i/>
          <w:spacing w:val="-12"/>
          <w:sz w:val="16"/>
          <w:szCs w:val="16"/>
        </w:rPr>
        <w:t xml:space="preserve">Caso Carvajal Carvajal y otros Vs. Colombia. Fondo, Reparaciones y Costas. </w:t>
      </w:r>
      <w:r w:rsidRPr="00EE6C61">
        <w:rPr>
          <w:rFonts w:ascii="Verdana" w:hAnsi="Verdana" w:cs="Times New Roman"/>
          <w:spacing w:val="-12"/>
          <w:sz w:val="16"/>
          <w:szCs w:val="16"/>
        </w:rPr>
        <w:t>Sentencia de 13 de marzo de 2018. Serie C No. 352, párr. 126.</w:t>
      </w:r>
    </w:p>
  </w:footnote>
  <w:footnote w:id="156">
    <w:p w:rsidR="00996758" w:rsidRDefault="00996758" w:rsidP="00103EC8">
      <w:pPr>
        <w:pStyle w:val="FootnoteText"/>
        <w:tabs>
          <w:tab w:val="left" w:pos="720"/>
        </w:tabs>
        <w:spacing w:before="120" w:after="120"/>
        <w:contextualSpacing/>
        <w:jc w:val="both"/>
        <w:rPr>
          <w:rFonts w:ascii="Verdana" w:hAnsi="Verdana" w:cs="TimesNewRoman"/>
          <w:spacing w:val="-12"/>
          <w:sz w:val="16"/>
          <w:szCs w:val="16"/>
          <w:lang w:val="es-PR"/>
        </w:rPr>
      </w:pPr>
      <w:r w:rsidRPr="00385A1D">
        <w:rPr>
          <w:rStyle w:val="FootnoteReference"/>
          <w:rFonts w:ascii="Verdana" w:hAnsi="Verdana"/>
          <w:spacing w:val="-12"/>
          <w:sz w:val="16"/>
          <w:szCs w:val="16"/>
          <w:lang w:val="es-PR"/>
        </w:rPr>
        <w:footnoteRef/>
      </w:r>
      <w:r w:rsidRPr="00385A1D">
        <w:rPr>
          <w:rFonts w:ascii="Verdana" w:hAnsi="Verdana"/>
          <w:spacing w:val="-12"/>
          <w:sz w:val="16"/>
          <w:szCs w:val="16"/>
          <w:lang w:val="es-PR"/>
        </w:rPr>
        <w:t xml:space="preserve"> </w:t>
      </w:r>
      <w:r w:rsidRPr="00385A1D">
        <w:rPr>
          <w:rFonts w:ascii="Verdana" w:hAnsi="Verdana"/>
          <w:spacing w:val="-12"/>
          <w:sz w:val="16"/>
          <w:szCs w:val="16"/>
          <w:lang w:val="es-PR"/>
        </w:rPr>
        <w:tab/>
      </w:r>
      <w:r w:rsidRPr="00385A1D">
        <w:rPr>
          <w:rFonts w:ascii="Verdana" w:hAnsi="Verdana"/>
          <w:i/>
          <w:spacing w:val="-12"/>
          <w:sz w:val="16"/>
          <w:szCs w:val="16"/>
          <w:lang w:val="es-PR"/>
        </w:rPr>
        <w:t>Cfr</w:t>
      </w:r>
      <w:r w:rsidRPr="00385A1D">
        <w:rPr>
          <w:rFonts w:ascii="Verdana" w:hAnsi="Verdana"/>
          <w:spacing w:val="-12"/>
          <w:sz w:val="16"/>
          <w:szCs w:val="16"/>
          <w:lang w:val="es-PR"/>
        </w:rPr>
        <w:t xml:space="preserve">. </w:t>
      </w:r>
      <w:r w:rsidRPr="00385A1D">
        <w:rPr>
          <w:rFonts w:ascii="Verdana" w:hAnsi="Verdana"/>
          <w:i/>
          <w:spacing w:val="-12"/>
          <w:sz w:val="16"/>
          <w:szCs w:val="16"/>
          <w:lang w:val="es-PR"/>
        </w:rPr>
        <w:t xml:space="preserve">Caso 19 Comerciantes Vs. Colombia, </w:t>
      </w:r>
      <w:r w:rsidRPr="00385A1D">
        <w:rPr>
          <w:rFonts w:ascii="Verdana" w:hAnsi="Verdana"/>
          <w:spacing w:val="-12"/>
          <w:sz w:val="16"/>
          <w:szCs w:val="16"/>
          <w:lang w:val="es-PR"/>
        </w:rPr>
        <w:t xml:space="preserve">párr. 261, y </w:t>
      </w:r>
      <w:r w:rsidRPr="00385A1D">
        <w:rPr>
          <w:rFonts w:ascii="Verdana" w:hAnsi="Verdana"/>
          <w:i/>
          <w:spacing w:val="-12"/>
          <w:sz w:val="16"/>
          <w:szCs w:val="16"/>
          <w:lang w:val="es-PR"/>
        </w:rPr>
        <w:t xml:space="preserve">Caso </w:t>
      </w:r>
      <w:r w:rsidRPr="00385A1D">
        <w:rPr>
          <w:rFonts w:ascii="Verdana" w:hAnsi="Verdana" w:cs="TimesNewRoman"/>
          <w:bCs/>
          <w:i/>
          <w:spacing w:val="-12"/>
          <w:sz w:val="16"/>
          <w:szCs w:val="16"/>
          <w:lang w:val="es-PR"/>
        </w:rPr>
        <w:t>Gomes Lund y otros ("Guerrilha do Araguaia") Vs. Brasil. Excepciones Preliminares, Fondo, Reparaciones y Costas.</w:t>
      </w:r>
      <w:r w:rsidRPr="00385A1D">
        <w:rPr>
          <w:rFonts w:ascii="Verdana" w:hAnsi="Verdana" w:cs="TimesNewRoman"/>
          <w:bCs/>
          <w:spacing w:val="-12"/>
          <w:sz w:val="16"/>
          <w:szCs w:val="16"/>
          <w:lang w:val="es-PR"/>
        </w:rPr>
        <w:t xml:space="preserve"> Sentencia de 24 de noviembre de 2010. Serie C No. 219</w:t>
      </w:r>
      <w:r w:rsidRPr="00385A1D">
        <w:rPr>
          <w:rFonts w:ascii="Verdana" w:hAnsi="Verdana" w:cs="TimesNewRoman"/>
          <w:spacing w:val="-12"/>
          <w:sz w:val="16"/>
          <w:szCs w:val="16"/>
          <w:lang w:val="es-PR"/>
        </w:rPr>
        <w:t>, párr. 200.</w:t>
      </w:r>
    </w:p>
    <w:p w:rsidR="00996758" w:rsidRPr="00385A1D" w:rsidRDefault="00996758" w:rsidP="00103EC8">
      <w:pPr>
        <w:pStyle w:val="FootnoteText"/>
        <w:tabs>
          <w:tab w:val="left" w:pos="720"/>
        </w:tabs>
        <w:spacing w:before="120" w:after="120"/>
        <w:contextualSpacing/>
        <w:jc w:val="both"/>
        <w:rPr>
          <w:rFonts w:ascii="Verdana" w:hAnsi="Verdana" w:cs="TimesNewRoman"/>
          <w:spacing w:val="-12"/>
          <w:sz w:val="16"/>
          <w:szCs w:val="16"/>
          <w:lang w:val="es-PR"/>
        </w:rPr>
      </w:pPr>
    </w:p>
  </w:footnote>
  <w:footnote w:id="157">
    <w:p w:rsidR="00996758" w:rsidRPr="00385A1D" w:rsidRDefault="00996758" w:rsidP="00103EC8">
      <w:pPr>
        <w:pStyle w:val="FootnoteText"/>
        <w:spacing w:before="120" w:after="120"/>
        <w:rPr>
          <w:rFonts w:ascii="Verdana" w:hAnsi="Verdana"/>
          <w:b/>
          <w:spacing w:val="-12"/>
          <w:sz w:val="16"/>
          <w:szCs w:val="16"/>
          <w:lang w:val="es-PR"/>
        </w:rPr>
      </w:pPr>
      <w:r w:rsidRPr="00385A1D">
        <w:rPr>
          <w:rStyle w:val="FootnoteReference"/>
          <w:rFonts w:ascii="Verdana" w:hAnsi="Verdana"/>
          <w:spacing w:val="-12"/>
          <w:sz w:val="16"/>
          <w:szCs w:val="16"/>
          <w:lang w:val="es-PR"/>
        </w:rPr>
        <w:footnoteRef/>
      </w:r>
      <w:r w:rsidRPr="00385A1D">
        <w:rPr>
          <w:rFonts w:ascii="Verdana" w:hAnsi="Verdana"/>
          <w:spacing w:val="-12"/>
          <w:sz w:val="16"/>
          <w:szCs w:val="16"/>
          <w:lang w:val="es-PR"/>
        </w:rPr>
        <w:t xml:space="preserve"> </w:t>
      </w:r>
      <w:r w:rsidRPr="00385A1D">
        <w:rPr>
          <w:rFonts w:ascii="Verdana" w:hAnsi="Verdana"/>
          <w:spacing w:val="-12"/>
          <w:sz w:val="16"/>
          <w:szCs w:val="16"/>
          <w:lang w:val="es-PR"/>
        </w:rPr>
        <w:tab/>
      </w:r>
      <w:r w:rsidRPr="00385A1D">
        <w:rPr>
          <w:rStyle w:val="Strong"/>
          <w:rFonts w:ascii="Verdana" w:hAnsi="Verdana"/>
          <w:b w:val="0"/>
          <w:i/>
          <w:color w:val="000000"/>
          <w:spacing w:val="-12"/>
          <w:sz w:val="16"/>
          <w:szCs w:val="16"/>
          <w:shd w:val="clear" w:color="auto" w:fill="FFFFFF"/>
          <w:lang w:val="es-PR"/>
        </w:rPr>
        <w:t xml:space="preserve">Cfr. Caso Velásquez Rodríguez Vs. Honduras. Fondo, </w:t>
      </w:r>
      <w:r w:rsidRPr="00385A1D">
        <w:rPr>
          <w:rStyle w:val="Strong"/>
          <w:rFonts w:ascii="Verdana" w:hAnsi="Verdana"/>
          <w:b w:val="0"/>
          <w:color w:val="000000"/>
          <w:spacing w:val="-12"/>
          <w:sz w:val="16"/>
          <w:szCs w:val="16"/>
          <w:shd w:val="clear" w:color="auto" w:fill="FFFFFF"/>
          <w:lang w:val="es-PR"/>
        </w:rPr>
        <w:t>párr. 181.</w:t>
      </w:r>
    </w:p>
  </w:footnote>
  <w:footnote w:id="158">
    <w:p w:rsidR="00996758" w:rsidRPr="00B0484C" w:rsidRDefault="00996758" w:rsidP="00B0484C">
      <w:pPr>
        <w:pStyle w:val="FootnoteText"/>
        <w:spacing w:before="120" w:after="120"/>
        <w:jc w:val="both"/>
      </w:pPr>
      <w:r w:rsidRPr="00385A1D">
        <w:rPr>
          <w:rStyle w:val="FootnoteReference"/>
          <w:rFonts w:ascii="Verdana" w:eastAsiaTheme="majorEastAsia" w:hAnsi="Verdana"/>
          <w:spacing w:val="-12"/>
          <w:sz w:val="16"/>
          <w:szCs w:val="16"/>
          <w:lang w:val="es-PR"/>
        </w:rPr>
        <w:footnoteRef/>
      </w:r>
      <w:r w:rsidRPr="00385A1D">
        <w:rPr>
          <w:rFonts w:ascii="Verdana" w:hAnsi="Verdana"/>
          <w:spacing w:val="-12"/>
          <w:sz w:val="16"/>
          <w:szCs w:val="16"/>
          <w:lang w:val="es-PR"/>
        </w:rPr>
        <w:t xml:space="preserve"> </w:t>
      </w:r>
      <w:r w:rsidRPr="00385A1D">
        <w:rPr>
          <w:rFonts w:ascii="Verdana" w:hAnsi="Verdana"/>
          <w:spacing w:val="-12"/>
          <w:sz w:val="16"/>
          <w:szCs w:val="16"/>
          <w:lang w:val="es-PR"/>
        </w:rPr>
        <w:tab/>
      </w:r>
      <w:r w:rsidRPr="00385A1D">
        <w:rPr>
          <w:rFonts w:ascii="Verdana" w:hAnsi="Verdana"/>
          <w:i/>
          <w:spacing w:val="-12"/>
          <w:sz w:val="16"/>
          <w:szCs w:val="16"/>
          <w:lang w:val="es-PR"/>
        </w:rPr>
        <w:t xml:space="preserve">Cfr. </w:t>
      </w:r>
      <w:r w:rsidRPr="00385A1D">
        <w:rPr>
          <w:rFonts w:ascii="Verdana" w:eastAsia="Verdana" w:hAnsi="Verdana" w:cs="Verdana"/>
          <w:i/>
          <w:spacing w:val="-12"/>
          <w:sz w:val="16"/>
          <w:szCs w:val="16"/>
          <w:lang w:val="es-PR"/>
        </w:rPr>
        <w:t xml:space="preserve">Caso Chitay Nech y otros Vs. Guatemala. Excepciones Preliminares, Fondo, Reparaciones y Costas. </w:t>
      </w:r>
      <w:r w:rsidRPr="00385A1D">
        <w:rPr>
          <w:rFonts w:ascii="Verdana" w:eastAsia="Verdana" w:hAnsi="Verdana" w:cs="Verdana"/>
          <w:spacing w:val="-12"/>
          <w:sz w:val="16"/>
          <w:szCs w:val="16"/>
          <w:lang w:val="es-PR"/>
        </w:rPr>
        <w:t xml:space="preserve">Sentencia de 25 de mayo de 2010. Serie C No. 212, párr. 206; </w:t>
      </w:r>
      <w:r w:rsidRPr="00385A1D">
        <w:rPr>
          <w:rFonts w:ascii="Verdana" w:eastAsia="Verdana" w:hAnsi="Verdana" w:cs="Verdana"/>
          <w:i/>
          <w:spacing w:val="-12"/>
          <w:sz w:val="16"/>
          <w:szCs w:val="16"/>
          <w:lang w:val="es-PR"/>
        </w:rPr>
        <w:t>Caso Gelman Vs. Urugua</w:t>
      </w:r>
      <w:r w:rsidRPr="00385A1D">
        <w:rPr>
          <w:rFonts w:ascii="Verdana" w:eastAsia="Verdana" w:hAnsi="Verdana" w:cs="Verdana"/>
          <w:spacing w:val="-12"/>
          <w:sz w:val="16"/>
          <w:szCs w:val="16"/>
          <w:lang w:val="es-PR"/>
        </w:rPr>
        <w:t xml:space="preserve">y. </w:t>
      </w:r>
      <w:r w:rsidRPr="00385A1D">
        <w:rPr>
          <w:rFonts w:ascii="Verdana" w:eastAsia="Verdana" w:hAnsi="Verdana" w:cs="Verdana"/>
          <w:i/>
          <w:spacing w:val="-12"/>
          <w:sz w:val="16"/>
          <w:szCs w:val="16"/>
          <w:lang w:val="es-PR"/>
        </w:rPr>
        <w:t xml:space="preserve">Fondo y Reparaciones. </w:t>
      </w:r>
      <w:r w:rsidRPr="00385A1D">
        <w:rPr>
          <w:rFonts w:ascii="Verdana" w:eastAsia="Verdana" w:hAnsi="Verdana" w:cs="Verdana"/>
          <w:spacing w:val="-12"/>
          <w:sz w:val="16"/>
          <w:szCs w:val="16"/>
          <w:lang w:val="es-PR"/>
        </w:rPr>
        <w:t xml:space="preserve">Sentencia de 24 de febrero de 2011. Serie C No. 221, párrs. 243 y 244; </w:t>
      </w:r>
      <w:r w:rsidRPr="00385A1D">
        <w:rPr>
          <w:rFonts w:ascii="Verdana" w:eastAsia="Verdana" w:hAnsi="Verdana" w:cs="Verdana"/>
          <w:i/>
          <w:spacing w:val="-12"/>
          <w:sz w:val="16"/>
          <w:szCs w:val="16"/>
          <w:lang w:val="es-PR"/>
        </w:rPr>
        <w:t xml:space="preserve">Caso Uzcátegui y otros Vs. Venezuela. Fondo y Reparaciones. </w:t>
      </w:r>
      <w:r w:rsidRPr="00385A1D">
        <w:rPr>
          <w:rFonts w:ascii="Verdana" w:eastAsia="Verdana" w:hAnsi="Verdana" w:cs="Verdana"/>
          <w:spacing w:val="-12"/>
          <w:sz w:val="16"/>
          <w:szCs w:val="16"/>
          <w:lang w:val="es-PR"/>
        </w:rPr>
        <w:t xml:space="preserve">Sentencia de 3 de septiembre de 2012. Serie C No. 249, párr. 240; </w:t>
      </w:r>
      <w:r w:rsidRPr="00385A1D">
        <w:rPr>
          <w:rFonts w:ascii="Verdana" w:eastAsia="Verdana" w:hAnsi="Verdana" w:cs="Verdana"/>
          <w:i/>
          <w:spacing w:val="-12"/>
          <w:sz w:val="16"/>
          <w:szCs w:val="16"/>
          <w:lang w:val="es-PR"/>
        </w:rPr>
        <w:t xml:space="preserve">Caso de la Masacre de la Rochela Vs. Colombia, </w:t>
      </w:r>
      <w:r w:rsidRPr="00385A1D">
        <w:rPr>
          <w:rFonts w:ascii="Verdana" w:eastAsia="Verdana" w:hAnsi="Verdana" w:cs="Verdana"/>
          <w:spacing w:val="-12"/>
          <w:sz w:val="16"/>
          <w:szCs w:val="16"/>
          <w:lang w:val="es-PR"/>
        </w:rPr>
        <w:t xml:space="preserve">párr. </w:t>
      </w:r>
      <w:r w:rsidRPr="00385A1D">
        <w:rPr>
          <w:rFonts w:ascii="Verdana" w:eastAsia="Verdana" w:hAnsi="Verdana" w:cs="Verdana"/>
          <w:spacing w:val="-12"/>
          <w:position w:val="-1"/>
          <w:sz w:val="16"/>
          <w:szCs w:val="16"/>
          <w:lang w:val="es-PR"/>
        </w:rPr>
        <w:t xml:space="preserve">147; y </w:t>
      </w:r>
      <w:r w:rsidRPr="00385A1D">
        <w:rPr>
          <w:rFonts w:ascii="Verdana" w:eastAsia="Verdana" w:hAnsi="Verdana" w:cs="Verdana"/>
          <w:i/>
          <w:spacing w:val="-12"/>
          <w:position w:val="-1"/>
          <w:sz w:val="16"/>
          <w:szCs w:val="16"/>
          <w:lang w:val="es-PR"/>
        </w:rPr>
        <w:t>Caso Masacres de El Mozote y lugares aledaños Vs. El</w:t>
      </w:r>
      <w:r w:rsidRPr="00385A1D">
        <w:rPr>
          <w:rFonts w:ascii="Verdana" w:eastAsia="Verdana" w:hAnsi="Verdana" w:cs="Verdana"/>
          <w:spacing w:val="-12"/>
          <w:sz w:val="16"/>
          <w:szCs w:val="16"/>
          <w:lang w:val="es-PR"/>
        </w:rPr>
        <w:t xml:space="preserve"> </w:t>
      </w:r>
      <w:r w:rsidRPr="00385A1D">
        <w:rPr>
          <w:rFonts w:ascii="Verdana" w:eastAsia="Verdana" w:hAnsi="Verdana" w:cs="Verdana"/>
          <w:i/>
          <w:spacing w:val="-12"/>
          <w:sz w:val="16"/>
          <w:szCs w:val="16"/>
          <w:lang w:val="es-PR"/>
        </w:rPr>
        <w:t xml:space="preserve">Salvador, </w:t>
      </w:r>
      <w:r w:rsidRPr="00385A1D">
        <w:rPr>
          <w:rFonts w:ascii="Verdana" w:eastAsia="Verdana" w:hAnsi="Verdana" w:cs="Verdana"/>
          <w:spacing w:val="-12"/>
          <w:sz w:val="16"/>
          <w:szCs w:val="16"/>
          <w:lang w:val="es-PR"/>
        </w:rPr>
        <w:t xml:space="preserve">párr. 298. </w:t>
      </w:r>
      <w:r>
        <w:rPr>
          <w:rFonts w:ascii="Verdana" w:eastAsia="Verdana" w:hAnsi="Verdana" w:cs="Verdana"/>
          <w:spacing w:val="-12"/>
          <w:sz w:val="16"/>
          <w:szCs w:val="16"/>
          <w:lang w:val="es-PR"/>
        </w:rPr>
        <w:t xml:space="preserve">Ver también </w:t>
      </w:r>
      <w:r w:rsidRPr="00385A1D">
        <w:rPr>
          <w:rFonts w:ascii="Verdana" w:eastAsia="Verdana" w:hAnsi="Verdana" w:cs="Verdana"/>
          <w:i/>
          <w:spacing w:val="-12"/>
          <w:sz w:val="16"/>
          <w:szCs w:val="16"/>
          <w:lang w:val="es-PR"/>
        </w:rPr>
        <w:t xml:space="preserve">Caso Familia Barrios Vs. Venezuela, </w:t>
      </w:r>
      <w:r w:rsidRPr="00385A1D">
        <w:rPr>
          <w:rFonts w:ascii="Verdana" w:eastAsia="Verdana" w:hAnsi="Verdana" w:cs="Verdana"/>
          <w:spacing w:val="-12"/>
          <w:sz w:val="16"/>
          <w:szCs w:val="16"/>
          <w:lang w:val="es-PR"/>
        </w:rPr>
        <w:t xml:space="preserve">párr. </w:t>
      </w:r>
      <w:r w:rsidRPr="00385A1D">
        <w:rPr>
          <w:rFonts w:ascii="Verdana" w:eastAsia="Verdana" w:hAnsi="Verdana" w:cs="Verdana"/>
          <w:spacing w:val="-12"/>
          <w:position w:val="-1"/>
          <w:sz w:val="16"/>
          <w:szCs w:val="16"/>
          <w:lang w:val="es-PR"/>
        </w:rPr>
        <w:t xml:space="preserve">291; </w:t>
      </w:r>
      <w:r w:rsidRPr="00385A1D">
        <w:rPr>
          <w:rFonts w:ascii="Verdana" w:eastAsia="Verdana" w:hAnsi="Verdana" w:cs="Verdana"/>
          <w:i/>
          <w:spacing w:val="-12"/>
          <w:position w:val="-1"/>
          <w:sz w:val="16"/>
          <w:szCs w:val="16"/>
          <w:lang w:val="es-PR"/>
        </w:rPr>
        <w:t>Caso Contreras y otros Vs. El</w:t>
      </w:r>
      <w:r w:rsidRPr="00385A1D">
        <w:rPr>
          <w:rFonts w:ascii="Verdana" w:eastAsia="Verdana" w:hAnsi="Verdana" w:cs="Verdana"/>
          <w:spacing w:val="-12"/>
          <w:sz w:val="16"/>
          <w:szCs w:val="16"/>
          <w:lang w:val="es-PR"/>
        </w:rPr>
        <w:t xml:space="preserve"> </w:t>
      </w:r>
      <w:r w:rsidRPr="00385A1D">
        <w:rPr>
          <w:rFonts w:ascii="Verdana" w:eastAsia="Verdana" w:hAnsi="Verdana" w:cs="Verdana"/>
          <w:i/>
          <w:spacing w:val="-12"/>
          <w:sz w:val="16"/>
          <w:szCs w:val="16"/>
          <w:lang w:val="es-PR"/>
        </w:rPr>
        <w:t xml:space="preserve">Salvador. Fondo, Reparaciones y Costas. </w:t>
      </w:r>
      <w:r w:rsidRPr="00385A1D">
        <w:rPr>
          <w:rFonts w:ascii="Verdana" w:eastAsia="Verdana" w:hAnsi="Verdana" w:cs="Verdana"/>
          <w:spacing w:val="-12"/>
          <w:sz w:val="16"/>
          <w:szCs w:val="16"/>
          <w:lang w:val="es-PR"/>
        </w:rPr>
        <w:t>Sentencia de 31 de agosto de 2011. Serie C No. 232, párr. 173</w:t>
      </w:r>
      <w:r>
        <w:rPr>
          <w:rFonts w:ascii="Verdana" w:eastAsia="Verdana" w:hAnsi="Verdana" w:cs="Verdana"/>
          <w:spacing w:val="-12"/>
          <w:sz w:val="16"/>
          <w:szCs w:val="16"/>
          <w:lang w:val="es-PR"/>
        </w:rPr>
        <w:t xml:space="preserve">, y </w:t>
      </w:r>
      <w:r w:rsidRPr="00385A1D">
        <w:rPr>
          <w:rFonts w:ascii="Verdana" w:hAnsi="Verdana"/>
          <w:i/>
          <w:spacing w:val="-12"/>
          <w:sz w:val="16"/>
          <w:szCs w:val="16"/>
        </w:rPr>
        <w:t>Caso Comunidad Campesina de Santa Bárbara Vs. Perú. Excepciones Preliminares, Fondo, Reparaciones y Costas</w:t>
      </w:r>
      <w:r w:rsidRPr="00385A1D">
        <w:rPr>
          <w:rFonts w:ascii="Verdana" w:hAnsi="Verdana"/>
          <w:spacing w:val="-12"/>
          <w:sz w:val="16"/>
          <w:szCs w:val="16"/>
        </w:rPr>
        <w:t>. Sentencia de 1 de septiembre de 2015. Serie C No. 299</w:t>
      </w:r>
      <w:r>
        <w:rPr>
          <w:rFonts w:ascii="Verdana" w:hAnsi="Verdana"/>
          <w:spacing w:val="-12"/>
          <w:sz w:val="16"/>
          <w:szCs w:val="16"/>
        </w:rPr>
        <w:t>, párr. 264</w:t>
      </w:r>
      <w:r w:rsidRPr="00385A1D">
        <w:rPr>
          <w:rFonts w:ascii="Verdana" w:hAnsi="Verdana"/>
          <w:spacing w:val="-12"/>
          <w:sz w:val="16"/>
          <w:szCs w:val="16"/>
        </w:rPr>
        <w:t>.</w:t>
      </w:r>
    </w:p>
  </w:footnote>
  <w:footnote w:id="159">
    <w:p w:rsidR="00996758" w:rsidRDefault="00996758" w:rsidP="00103EC8">
      <w:pPr>
        <w:pStyle w:val="FootnoteText"/>
        <w:tabs>
          <w:tab w:val="left" w:pos="567"/>
          <w:tab w:val="left" w:pos="720"/>
        </w:tabs>
        <w:spacing w:before="120" w:after="120"/>
        <w:contextualSpacing/>
        <w:jc w:val="both"/>
        <w:rPr>
          <w:rFonts w:ascii="Verdana" w:hAnsi="Verdana"/>
          <w:color w:val="000000"/>
          <w:spacing w:val="-12"/>
          <w:sz w:val="16"/>
          <w:szCs w:val="16"/>
          <w:lang w:val="es-PR"/>
        </w:rPr>
      </w:pPr>
      <w:r w:rsidRPr="00385A1D">
        <w:rPr>
          <w:rStyle w:val="FootnoteReference"/>
          <w:rFonts w:ascii="Verdana" w:eastAsiaTheme="majorEastAsia" w:hAnsi="Verdana"/>
          <w:spacing w:val="-12"/>
          <w:sz w:val="16"/>
          <w:szCs w:val="16"/>
          <w:lang w:val="es-PR"/>
        </w:rPr>
        <w:footnoteRef/>
      </w:r>
      <w:r w:rsidRPr="00385A1D">
        <w:rPr>
          <w:rFonts w:ascii="Verdana" w:hAnsi="Verdana"/>
          <w:spacing w:val="-12"/>
          <w:sz w:val="16"/>
          <w:szCs w:val="16"/>
          <w:lang w:val="es-PR"/>
        </w:rPr>
        <w:t xml:space="preserve"> </w:t>
      </w:r>
      <w:r w:rsidRPr="00385A1D">
        <w:rPr>
          <w:rFonts w:ascii="Verdana" w:hAnsi="Verdana"/>
          <w:spacing w:val="-12"/>
          <w:sz w:val="16"/>
          <w:szCs w:val="16"/>
          <w:lang w:val="es-PR"/>
        </w:rPr>
        <w:tab/>
      </w:r>
      <w:r w:rsidRPr="00385A1D">
        <w:rPr>
          <w:rFonts w:ascii="Verdana" w:hAnsi="Verdana"/>
          <w:i/>
          <w:spacing w:val="-12"/>
          <w:sz w:val="16"/>
          <w:szCs w:val="16"/>
          <w:lang w:val="es-PR"/>
        </w:rPr>
        <w:t>Cfr.</w:t>
      </w:r>
      <w:r>
        <w:rPr>
          <w:rFonts w:ascii="Verdana" w:hAnsi="Verdana"/>
          <w:i/>
          <w:spacing w:val="-12"/>
          <w:sz w:val="16"/>
          <w:szCs w:val="16"/>
          <w:lang w:val="es-PR"/>
        </w:rPr>
        <w:t xml:space="preserve">, </w:t>
      </w:r>
      <w:r w:rsidRPr="00363D6C">
        <w:rPr>
          <w:rFonts w:ascii="Verdana" w:hAnsi="Verdana"/>
          <w:spacing w:val="-12"/>
          <w:sz w:val="16"/>
          <w:szCs w:val="16"/>
          <w:lang w:val="es-PR"/>
        </w:rPr>
        <w:t>por ejemplo,</w:t>
      </w:r>
      <w:r w:rsidRPr="00385A1D">
        <w:rPr>
          <w:rFonts w:ascii="Verdana" w:hAnsi="Verdana"/>
          <w:i/>
          <w:spacing w:val="-12"/>
          <w:sz w:val="16"/>
          <w:szCs w:val="16"/>
          <w:lang w:val="es-PR"/>
        </w:rPr>
        <w:t xml:space="preserve"> </w:t>
      </w:r>
      <w:r w:rsidRPr="00385A1D">
        <w:rPr>
          <w:rFonts w:ascii="Verdana" w:hAnsi="Verdana"/>
          <w:i/>
          <w:iCs/>
          <w:spacing w:val="-12"/>
          <w:sz w:val="16"/>
          <w:szCs w:val="16"/>
          <w:lang w:val="es-PR"/>
        </w:rPr>
        <w:t xml:space="preserve">Caso Anzualdo Castro Vs. Perú, </w:t>
      </w:r>
      <w:r w:rsidRPr="00385A1D">
        <w:rPr>
          <w:rFonts w:ascii="Verdana" w:hAnsi="Verdana"/>
          <w:spacing w:val="-12"/>
          <w:sz w:val="16"/>
          <w:szCs w:val="16"/>
          <w:lang w:val="es-PR"/>
        </w:rPr>
        <w:t xml:space="preserve">párrs. 118 a 119; </w:t>
      </w:r>
      <w:r w:rsidRPr="00385A1D">
        <w:rPr>
          <w:rFonts w:ascii="Verdana" w:eastAsia="Batang" w:hAnsi="Verdana" w:cs="Arial"/>
          <w:i/>
          <w:spacing w:val="-12"/>
          <w:sz w:val="16"/>
          <w:szCs w:val="16"/>
          <w:lang w:val="es-PR"/>
        </w:rPr>
        <w:t>Caso Gelman Vs. Uruguay</w:t>
      </w:r>
      <w:r w:rsidRPr="00385A1D">
        <w:rPr>
          <w:rFonts w:ascii="Verdana" w:hAnsi="Verdana"/>
          <w:i/>
          <w:spacing w:val="-12"/>
          <w:sz w:val="16"/>
          <w:szCs w:val="16"/>
          <w:lang w:val="es-PR"/>
        </w:rPr>
        <w:t xml:space="preserve">, </w:t>
      </w:r>
      <w:r w:rsidRPr="00385A1D">
        <w:rPr>
          <w:rFonts w:ascii="Verdana" w:eastAsia="Batang" w:hAnsi="Verdana" w:cs="Arial"/>
          <w:spacing w:val="-12"/>
          <w:sz w:val="16"/>
          <w:szCs w:val="16"/>
          <w:lang w:val="es-PR"/>
        </w:rPr>
        <w:t>párrs. 192, 226 y 243 a 246;</w:t>
      </w:r>
      <w:r w:rsidRPr="00385A1D">
        <w:rPr>
          <w:rFonts w:ascii="Verdana" w:hAnsi="Verdana"/>
          <w:i/>
          <w:spacing w:val="-12"/>
          <w:sz w:val="16"/>
          <w:szCs w:val="16"/>
          <w:lang w:val="es-PR"/>
        </w:rPr>
        <w:t xml:space="preserve"> Caso Gudiel Álvarez y otros (Diario Militar) Vs. Guatemala, </w:t>
      </w:r>
      <w:r w:rsidRPr="00385A1D">
        <w:rPr>
          <w:rFonts w:ascii="Verdana" w:hAnsi="Verdana"/>
          <w:spacing w:val="-12"/>
          <w:sz w:val="16"/>
          <w:szCs w:val="16"/>
          <w:lang w:val="es-PR"/>
        </w:rPr>
        <w:t xml:space="preserve">párr. 202; </w:t>
      </w:r>
      <w:r w:rsidRPr="00385A1D">
        <w:rPr>
          <w:rFonts w:ascii="Verdana" w:hAnsi="Verdana"/>
          <w:i/>
          <w:spacing w:val="-12"/>
          <w:sz w:val="16"/>
          <w:szCs w:val="16"/>
          <w:lang w:val="es-PR"/>
        </w:rPr>
        <w:t xml:space="preserve">Caso Gomes Lund y otros ("Guerrilha do Araguaia") Vs. Brasil, </w:t>
      </w:r>
      <w:r w:rsidRPr="00385A1D">
        <w:rPr>
          <w:rFonts w:ascii="Verdana" w:hAnsi="Verdana"/>
          <w:color w:val="000000"/>
          <w:spacing w:val="-12"/>
          <w:sz w:val="16"/>
          <w:szCs w:val="16"/>
          <w:lang w:val="es-PR"/>
        </w:rPr>
        <w:t>párr. 201.</w:t>
      </w:r>
    </w:p>
    <w:p w:rsidR="00996758" w:rsidRPr="00385A1D" w:rsidRDefault="00996758" w:rsidP="00103EC8">
      <w:pPr>
        <w:pStyle w:val="FootnoteText"/>
        <w:tabs>
          <w:tab w:val="left" w:pos="567"/>
          <w:tab w:val="left" w:pos="720"/>
        </w:tabs>
        <w:spacing w:before="120" w:after="120"/>
        <w:contextualSpacing/>
        <w:jc w:val="both"/>
        <w:rPr>
          <w:rFonts w:ascii="Verdana" w:hAnsi="Verdana"/>
          <w:spacing w:val="-12"/>
          <w:sz w:val="16"/>
          <w:szCs w:val="16"/>
          <w:lang w:val="es-PR"/>
        </w:rPr>
      </w:pPr>
    </w:p>
  </w:footnote>
  <w:footnote w:id="160">
    <w:p w:rsidR="00996758" w:rsidRDefault="00996758" w:rsidP="00363D6C">
      <w:pPr>
        <w:pStyle w:val="FootnoteText"/>
        <w:spacing w:before="120" w:after="120"/>
        <w:jc w:val="both"/>
      </w:pPr>
      <w:r w:rsidRPr="00385A1D">
        <w:rPr>
          <w:rStyle w:val="FootnoteReference"/>
          <w:rFonts w:ascii="Verdana" w:hAnsi="Verdana"/>
          <w:sz w:val="16"/>
          <w:szCs w:val="16"/>
        </w:rPr>
        <w:footnoteRef/>
      </w:r>
      <w:r w:rsidRPr="00385A1D">
        <w:rPr>
          <w:rStyle w:val="FootnoteReference"/>
          <w:rFonts w:ascii="Verdana" w:hAnsi="Verdana"/>
          <w:sz w:val="16"/>
          <w:szCs w:val="16"/>
        </w:rPr>
        <w:t xml:space="preserve"> </w:t>
      </w:r>
      <w:r w:rsidRPr="00385A1D">
        <w:rPr>
          <w:rFonts w:ascii="Verdana" w:hAnsi="Verdana"/>
          <w:spacing w:val="-12"/>
          <w:sz w:val="16"/>
          <w:szCs w:val="16"/>
        </w:rPr>
        <w:tab/>
      </w:r>
      <w:r w:rsidRPr="00385A1D">
        <w:rPr>
          <w:rFonts w:ascii="Verdana" w:hAnsi="Verdana"/>
          <w:i/>
          <w:spacing w:val="-12"/>
          <w:sz w:val="16"/>
          <w:szCs w:val="16"/>
        </w:rPr>
        <w:t xml:space="preserve">Cfr. </w:t>
      </w:r>
      <w:r w:rsidRPr="00385A1D">
        <w:rPr>
          <w:rFonts w:ascii="Verdana" w:hAnsi="Verdana"/>
          <w:i/>
          <w:spacing w:val="-12"/>
          <w:sz w:val="16"/>
          <w:szCs w:val="16"/>
          <w:lang w:val="es-PR"/>
        </w:rPr>
        <w:t>inter alia</w:t>
      </w:r>
      <w:r w:rsidRPr="00385A1D">
        <w:rPr>
          <w:rFonts w:ascii="Verdana" w:hAnsi="Verdana"/>
          <w:spacing w:val="-12"/>
          <w:sz w:val="16"/>
          <w:szCs w:val="16"/>
          <w:lang w:val="es-PR"/>
        </w:rPr>
        <w:t>,</w:t>
      </w:r>
      <w:r w:rsidRPr="00385A1D">
        <w:rPr>
          <w:rFonts w:ascii="Verdana" w:hAnsi="Verdana"/>
          <w:i/>
          <w:spacing w:val="-12"/>
          <w:sz w:val="16"/>
          <w:szCs w:val="16"/>
          <w:lang w:val="es-PR"/>
        </w:rPr>
        <w:t xml:space="preserve"> </w:t>
      </w:r>
      <w:r w:rsidRPr="00385A1D">
        <w:rPr>
          <w:rFonts w:ascii="Verdana" w:eastAsia="Calibri" w:hAnsi="Verdana"/>
          <w:bCs/>
          <w:i/>
          <w:iCs/>
          <w:spacing w:val="-12"/>
          <w:sz w:val="16"/>
          <w:szCs w:val="16"/>
          <w:lang w:val="es-PR"/>
        </w:rPr>
        <w:t>Caso Velásquez Rodríguez Vs. Honduras</w:t>
      </w:r>
      <w:r>
        <w:rPr>
          <w:rFonts w:ascii="Verdana" w:hAnsi="Verdana"/>
          <w:i/>
          <w:spacing w:val="-12"/>
          <w:sz w:val="16"/>
          <w:szCs w:val="16"/>
          <w:lang w:val="es-PR"/>
        </w:rPr>
        <w:t>. Fondo</w:t>
      </w:r>
      <w:r w:rsidRPr="00385A1D">
        <w:rPr>
          <w:rFonts w:ascii="Verdana" w:eastAsia="Calibri" w:hAnsi="Verdana"/>
          <w:bCs/>
          <w:spacing w:val="-12"/>
          <w:sz w:val="16"/>
          <w:szCs w:val="16"/>
          <w:lang w:val="es-PR"/>
        </w:rPr>
        <w:t xml:space="preserve">, </w:t>
      </w:r>
      <w:r w:rsidRPr="00385A1D">
        <w:rPr>
          <w:rFonts w:ascii="Verdana" w:hAnsi="Verdana"/>
          <w:spacing w:val="-12"/>
          <w:sz w:val="16"/>
          <w:szCs w:val="16"/>
          <w:lang w:val="es-PR"/>
        </w:rPr>
        <w:t xml:space="preserve">párr. 181; </w:t>
      </w:r>
      <w:r w:rsidRPr="00385A1D">
        <w:rPr>
          <w:rFonts w:ascii="Verdana" w:hAnsi="Verdana"/>
          <w:i/>
          <w:spacing w:val="-12"/>
          <w:sz w:val="16"/>
          <w:szCs w:val="16"/>
          <w:lang w:val="es-PR"/>
        </w:rPr>
        <w:t xml:space="preserve">Caso Bámaca Velásquez Vs. Guatemala. Fondo. </w:t>
      </w:r>
      <w:r w:rsidRPr="00385A1D">
        <w:rPr>
          <w:rFonts w:ascii="Verdana" w:hAnsi="Verdana"/>
          <w:spacing w:val="-12"/>
          <w:sz w:val="16"/>
          <w:szCs w:val="16"/>
          <w:lang w:val="es-PR"/>
        </w:rPr>
        <w:t xml:space="preserve">Sentencia de 25 de noviembre de 2000. Serie C No. 70, párr. 201; </w:t>
      </w:r>
      <w:r w:rsidRPr="00385A1D">
        <w:rPr>
          <w:rFonts w:ascii="Verdana" w:hAnsi="Verdana"/>
          <w:i/>
          <w:spacing w:val="-12"/>
          <w:sz w:val="16"/>
          <w:szCs w:val="16"/>
          <w:lang w:val="es-PR"/>
        </w:rPr>
        <w:t xml:space="preserve">Caso Barrios Altos Vs. Perú. Fondo, </w:t>
      </w:r>
      <w:r w:rsidRPr="00385A1D">
        <w:rPr>
          <w:rFonts w:ascii="Verdana" w:hAnsi="Verdana"/>
          <w:spacing w:val="-12"/>
          <w:sz w:val="16"/>
          <w:szCs w:val="16"/>
          <w:lang w:val="es-PR"/>
        </w:rPr>
        <w:t xml:space="preserve">párr. 48; </w:t>
      </w:r>
      <w:r w:rsidRPr="00385A1D">
        <w:rPr>
          <w:rFonts w:ascii="Verdana" w:hAnsi="Verdana"/>
          <w:i/>
          <w:spacing w:val="-12"/>
          <w:sz w:val="16"/>
          <w:szCs w:val="16"/>
          <w:lang w:val="es-PR"/>
        </w:rPr>
        <w:t>Caso Almonacid Arellano y otros Vs. Chile, supra</w:t>
      </w:r>
      <w:r w:rsidRPr="00385A1D">
        <w:rPr>
          <w:rFonts w:ascii="Verdana" w:hAnsi="Verdana"/>
          <w:spacing w:val="-12"/>
          <w:sz w:val="16"/>
          <w:szCs w:val="16"/>
          <w:lang w:val="es-PR"/>
        </w:rPr>
        <w:t xml:space="preserve">, párr. 148; </w:t>
      </w:r>
      <w:r w:rsidRPr="00385A1D">
        <w:rPr>
          <w:rFonts w:ascii="Verdana" w:hAnsi="Verdana"/>
          <w:i/>
          <w:spacing w:val="-12"/>
          <w:sz w:val="16"/>
          <w:szCs w:val="16"/>
        </w:rPr>
        <w:t>Caso Comunidad Campesina de Santa Bárbara Vs. Perú</w:t>
      </w:r>
      <w:r>
        <w:rPr>
          <w:rFonts w:ascii="Verdana" w:hAnsi="Verdana"/>
          <w:i/>
          <w:spacing w:val="-12"/>
          <w:sz w:val="16"/>
          <w:szCs w:val="16"/>
        </w:rPr>
        <w:t xml:space="preserve">, </w:t>
      </w:r>
      <w:r>
        <w:rPr>
          <w:rFonts w:ascii="Verdana" w:hAnsi="Verdana"/>
          <w:spacing w:val="-12"/>
          <w:sz w:val="16"/>
          <w:szCs w:val="16"/>
        </w:rPr>
        <w:t xml:space="preserve"> párr. 264</w:t>
      </w:r>
      <w:r w:rsidRPr="00385A1D">
        <w:rPr>
          <w:rFonts w:ascii="Verdana" w:hAnsi="Verdana"/>
          <w:spacing w:val="-12"/>
          <w:sz w:val="16"/>
          <w:szCs w:val="16"/>
        </w:rPr>
        <w:t>.</w:t>
      </w:r>
    </w:p>
  </w:footnote>
  <w:footnote w:id="161">
    <w:p w:rsidR="00996758" w:rsidRPr="0005170C" w:rsidRDefault="00996758" w:rsidP="00103EC8">
      <w:pPr>
        <w:pStyle w:val="FootnoteText"/>
        <w:spacing w:before="120" w:after="120"/>
      </w:pPr>
      <w:r w:rsidRPr="0005170C">
        <w:rPr>
          <w:rStyle w:val="FootnoteReference"/>
          <w:rFonts w:ascii="Verdana" w:hAnsi="Verdana"/>
          <w:spacing w:val="-12"/>
          <w:sz w:val="16"/>
          <w:szCs w:val="16"/>
        </w:rPr>
        <w:footnoteRef/>
      </w:r>
      <w:r>
        <w:t xml:space="preserve"> </w:t>
      </w:r>
      <w:r w:rsidRPr="0005170C">
        <w:rPr>
          <w:rFonts w:ascii="Verdana" w:hAnsi="Verdana"/>
          <w:spacing w:val="-12"/>
          <w:sz w:val="16"/>
          <w:szCs w:val="16"/>
        </w:rPr>
        <w:tab/>
      </w:r>
      <w:r w:rsidRPr="0005170C">
        <w:rPr>
          <w:rFonts w:ascii="Verdana" w:hAnsi="Verdana"/>
          <w:i/>
          <w:spacing w:val="-12"/>
          <w:sz w:val="16"/>
          <w:szCs w:val="16"/>
        </w:rPr>
        <w:t xml:space="preserve">Cfr. </w:t>
      </w:r>
      <w:r w:rsidRPr="00ED666E">
        <w:rPr>
          <w:rFonts w:ascii="Verdana" w:hAnsi="Verdana"/>
          <w:i/>
          <w:spacing w:val="-12"/>
          <w:sz w:val="16"/>
          <w:szCs w:val="16"/>
        </w:rPr>
        <w:t xml:space="preserve"> </w:t>
      </w:r>
      <w:r w:rsidRPr="0005170C">
        <w:rPr>
          <w:rFonts w:ascii="Verdana" w:hAnsi="Verdana"/>
          <w:i/>
          <w:spacing w:val="-12"/>
          <w:sz w:val="16"/>
          <w:szCs w:val="16"/>
        </w:rPr>
        <w:t>Caso Comunidad Campe</w:t>
      </w:r>
      <w:r>
        <w:rPr>
          <w:rFonts w:ascii="Verdana" w:hAnsi="Verdana"/>
          <w:i/>
          <w:spacing w:val="-12"/>
          <w:sz w:val="16"/>
          <w:szCs w:val="16"/>
        </w:rPr>
        <w:t xml:space="preserve">sina de Santa Bárbara Vs. Perú, </w:t>
      </w:r>
      <w:r>
        <w:rPr>
          <w:rFonts w:ascii="Verdana" w:hAnsi="Verdana"/>
          <w:spacing w:val="-12"/>
          <w:sz w:val="16"/>
          <w:szCs w:val="16"/>
        </w:rPr>
        <w:t xml:space="preserve">párr. 267, y </w:t>
      </w:r>
      <w:r w:rsidRPr="00ED666E">
        <w:rPr>
          <w:rFonts w:ascii="Verdana" w:hAnsi="Verdana"/>
          <w:i/>
          <w:spacing w:val="-12"/>
          <w:sz w:val="16"/>
          <w:szCs w:val="16"/>
        </w:rPr>
        <w:t>Cas</w:t>
      </w:r>
      <w:r>
        <w:rPr>
          <w:rFonts w:ascii="Verdana" w:hAnsi="Verdana"/>
          <w:i/>
          <w:spacing w:val="-12"/>
          <w:sz w:val="16"/>
          <w:szCs w:val="16"/>
        </w:rPr>
        <w:t xml:space="preserve">o Tenorio Roca y otros Vs. Perú, supra, </w:t>
      </w:r>
      <w:r>
        <w:rPr>
          <w:rFonts w:ascii="Verdana" w:hAnsi="Verdana"/>
          <w:spacing w:val="-12"/>
          <w:sz w:val="16"/>
          <w:szCs w:val="16"/>
        </w:rPr>
        <w:t>párr. 244.</w:t>
      </w:r>
    </w:p>
  </w:footnote>
  <w:footnote w:id="162">
    <w:p w:rsidR="00996758" w:rsidRDefault="00996758" w:rsidP="00103EC8">
      <w:pPr>
        <w:pStyle w:val="FootnoteText"/>
        <w:tabs>
          <w:tab w:val="left" w:pos="720"/>
        </w:tabs>
        <w:spacing w:before="120" w:after="120"/>
        <w:jc w:val="both"/>
        <w:rPr>
          <w:sz w:val="16"/>
          <w:szCs w:val="16"/>
        </w:rPr>
      </w:pPr>
      <w:r w:rsidRPr="00103EC8">
        <w:rPr>
          <w:rStyle w:val="FootnoteReference"/>
          <w:rFonts w:ascii="Verdana" w:hAnsi="Verdana"/>
          <w:spacing w:val="-12"/>
          <w:sz w:val="16"/>
          <w:szCs w:val="16"/>
        </w:rPr>
        <w:footnoteRef/>
      </w:r>
      <w:r>
        <w:rPr>
          <w:sz w:val="16"/>
          <w:szCs w:val="16"/>
        </w:rPr>
        <w:t xml:space="preserve"> </w:t>
      </w:r>
      <w:r w:rsidRPr="00103EC8">
        <w:rPr>
          <w:rFonts w:ascii="Verdana" w:eastAsia="Verdana" w:hAnsi="Verdana" w:cs="Verdana"/>
          <w:i/>
          <w:spacing w:val="-12"/>
          <w:position w:val="-1"/>
          <w:sz w:val="16"/>
          <w:szCs w:val="16"/>
          <w:lang w:val="es-PR"/>
        </w:rPr>
        <w:tab/>
        <w:t>Cfr. Velásquez Rodríguez Vs. Honduras. Fondo, supra</w:t>
      </w:r>
      <w:r w:rsidRPr="00103EC8">
        <w:rPr>
          <w:rFonts w:ascii="Verdana" w:eastAsia="Verdana" w:hAnsi="Verdana" w:cs="Verdana"/>
          <w:spacing w:val="-12"/>
          <w:position w:val="-1"/>
          <w:sz w:val="16"/>
          <w:szCs w:val="16"/>
          <w:lang w:val="es-PR"/>
        </w:rPr>
        <w:t>, párr. 174;</w:t>
      </w:r>
      <w:r w:rsidRPr="00103EC8">
        <w:rPr>
          <w:rFonts w:ascii="Verdana" w:eastAsia="Verdana" w:hAnsi="Verdana" w:cs="Verdana"/>
          <w:i/>
          <w:spacing w:val="-12"/>
          <w:position w:val="-1"/>
          <w:sz w:val="16"/>
          <w:szCs w:val="16"/>
          <w:lang w:val="es-PR"/>
        </w:rPr>
        <w:t xml:space="preserve"> </w:t>
      </w:r>
      <w:r w:rsidRPr="00103EC8">
        <w:rPr>
          <w:rFonts w:ascii="Verdana" w:eastAsia="Verdana" w:hAnsi="Verdana" w:cs="Verdana"/>
          <w:spacing w:val="-12"/>
          <w:position w:val="-1"/>
          <w:sz w:val="16"/>
          <w:szCs w:val="16"/>
          <w:lang w:val="es-PR"/>
        </w:rPr>
        <w:t>y</w:t>
      </w:r>
      <w:r>
        <w:rPr>
          <w:rFonts w:ascii="Verdana" w:eastAsia="Verdana" w:hAnsi="Verdana" w:cs="Verdana"/>
          <w:i/>
          <w:spacing w:val="-12"/>
          <w:position w:val="-1"/>
          <w:sz w:val="16"/>
          <w:szCs w:val="16"/>
          <w:lang w:val="es-PR"/>
        </w:rPr>
        <w:t xml:space="preserve"> </w:t>
      </w:r>
      <w:r w:rsidRPr="00385A1D">
        <w:rPr>
          <w:rFonts w:ascii="Verdana" w:eastAsia="Verdana" w:hAnsi="Verdana" w:cs="Verdana"/>
          <w:i/>
          <w:spacing w:val="-12"/>
          <w:position w:val="-1"/>
          <w:sz w:val="16"/>
          <w:szCs w:val="16"/>
          <w:lang w:val="es-PR"/>
        </w:rPr>
        <w:t>Caso Anzualdo Castro Vs. Perú, supra</w:t>
      </w:r>
      <w:r w:rsidRPr="00385A1D">
        <w:rPr>
          <w:rFonts w:ascii="Verdana" w:eastAsia="Verdana" w:hAnsi="Verdana" w:cs="Verdana"/>
          <w:spacing w:val="-12"/>
          <w:position w:val="-1"/>
          <w:sz w:val="16"/>
          <w:szCs w:val="16"/>
          <w:lang w:val="es-PR"/>
        </w:rPr>
        <w:t>, párr. 1</w:t>
      </w:r>
      <w:r>
        <w:rPr>
          <w:rFonts w:ascii="Verdana" w:eastAsia="Verdana" w:hAnsi="Verdana" w:cs="Verdana"/>
          <w:spacing w:val="-12"/>
          <w:position w:val="-1"/>
          <w:sz w:val="16"/>
          <w:szCs w:val="16"/>
          <w:lang w:val="es-PR"/>
        </w:rPr>
        <w:t>7</w:t>
      </w:r>
      <w:r w:rsidRPr="00385A1D">
        <w:rPr>
          <w:rFonts w:ascii="Verdana" w:eastAsia="Verdana" w:hAnsi="Verdana" w:cs="Verdana"/>
          <w:spacing w:val="-12"/>
          <w:position w:val="-1"/>
          <w:sz w:val="16"/>
          <w:szCs w:val="16"/>
          <w:lang w:val="es-PR"/>
        </w:rPr>
        <w:t>9</w:t>
      </w:r>
      <w:r>
        <w:rPr>
          <w:sz w:val="16"/>
          <w:szCs w:val="16"/>
        </w:rPr>
        <w:t>.</w:t>
      </w:r>
    </w:p>
  </w:footnote>
  <w:footnote w:id="163">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spacing w:val="-12"/>
          <w:sz w:val="16"/>
          <w:szCs w:val="16"/>
        </w:rPr>
        <w:t>El artículo 11 de la Convención  expresa: “1. Toda persona tiene derecho al respeto de su honra y al reconocimiento de su dignidad. 2. Nadie puede ser objeto de injerencias arbitrarias o abusivas en su vida privada, en la de su familia, en su domicilio o en su correspondencia, ni de ataques ilegales a su honra o reputación. 3. Toda persona tiene derecho a la protección de la ley contra esas injerencias o esos ataques”.</w:t>
      </w:r>
    </w:p>
  </w:footnote>
  <w:footnote w:id="164">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Pr>
          <w:rFonts w:ascii="Verdana" w:hAnsi="Verdana"/>
          <w:sz w:val="16"/>
          <w:szCs w:val="16"/>
        </w:rPr>
        <w:t xml:space="preserve">El </w:t>
      </w:r>
      <w:r w:rsidRPr="00EE6C61">
        <w:rPr>
          <w:rFonts w:ascii="Verdana" w:hAnsi="Verdana"/>
          <w:spacing w:val="-12"/>
          <w:sz w:val="16"/>
          <w:szCs w:val="16"/>
        </w:rPr>
        <w:t>artículo 17.1 de la Convención señala: “La familia es el elemento natural y fundamental de la sociedad y debe ser protegida por la sociedad y el Estado”.</w:t>
      </w:r>
    </w:p>
  </w:footnote>
  <w:footnote w:id="165">
    <w:p w:rsidR="00996758" w:rsidRPr="008142B8" w:rsidRDefault="00996758" w:rsidP="00103EC8">
      <w:pPr>
        <w:pStyle w:val="FootnoteText"/>
        <w:spacing w:before="120" w:after="120"/>
        <w:jc w:val="both"/>
        <w:rPr>
          <w:color w:val="FF0000"/>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cs="Times New Roman"/>
          <w:bCs/>
          <w:iCs/>
          <w:spacing w:val="-12"/>
          <w:sz w:val="16"/>
          <w:szCs w:val="16"/>
        </w:rPr>
        <w:tab/>
      </w:r>
      <w:r w:rsidRPr="00EE6C61">
        <w:rPr>
          <w:rFonts w:ascii="Verdana" w:hAnsi="Verdana" w:cs="Times New Roman"/>
          <w:bCs/>
          <w:i/>
          <w:iCs/>
          <w:spacing w:val="-12"/>
          <w:sz w:val="16"/>
          <w:szCs w:val="16"/>
        </w:rPr>
        <w:t xml:space="preserve">Cfr. </w:t>
      </w:r>
      <w:r w:rsidRPr="006756E9">
        <w:rPr>
          <w:rFonts w:ascii="Verdana" w:hAnsi="Verdana" w:cs="Times New Roman"/>
          <w:bCs/>
          <w:i/>
          <w:iCs/>
          <w:spacing w:val="-12"/>
          <w:sz w:val="16"/>
          <w:szCs w:val="16"/>
        </w:rPr>
        <w:t>Caso Blake Vs. Guatemala</w:t>
      </w:r>
      <w:r w:rsidRPr="00EE6C61">
        <w:rPr>
          <w:rFonts w:ascii="Verdana" w:hAnsi="Verdana" w:cs="Times New Roman"/>
          <w:bCs/>
          <w:i/>
          <w:iCs/>
          <w:spacing w:val="-12"/>
          <w:sz w:val="16"/>
          <w:szCs w:val="16"/>
        </w:rPr>
        <w:t>. Fondo</w:t>
      </w:r>
      <w:r w:rsidRPr="00EE6C61">
        <w:rPr>
          <w:rFonts w:ascii="Verdana" w:hAnsi="Verdana" w:cs="Times New Roman"/>
          <w:bCs/>
          <w:iCs/>
          <w:spacing w:val="-12"/>
          <w:sz w:val="16"/>
          <w:szCs w:val="16"/>
        </w:rPr>
        <w:t xml:space="preserve">. Sentencia de 24 de enero de 1998. Serie C No. 36, párr. 114, </w:t>
      </w:r>
      <w:r>
        <w:rPr>
          <w:rFonts w:ascii="Verdana" w:hAnsi="Verdana" w:cs="Times New Roman"/>
          <w:bCs/>
          <w:iCs/>
          <w:spacing w:val="-12"/>
          <w:sz w:val="16"/>
          <w:szCs w:val="16"/>
        </w:rPr>
        <w:t xml:space="preserve">y </w:t>
      </w:r>
      <w:r w:rsidRPr="00097FD3">
        <w:rPr>
          <w:rFonts w:ascii="Verdana" w:hAnsi="Verdana" w:cs="Times New Roman"/>
          <w:i/>
          <w:spacing w:val="-12"/>
          <w:sz w:val="16"/>
          <w:szCs w:val="16"/>
        </w:rPr>
        <w:t>Caso Munárriz Escobar y otros Vs. Perú</w:t>
      </w:r>
      <w:r>
        <w:rPr>
          <w:rFonts w:ascii="Verdana" w:hAnsi="Verdana" w:cs="Times New Roman"/>
          <w:i/>
          <w:spacing w:val="-12"/>
          <w:sz w:val="16"/>
          <w:szCs w:val="16"/>
        </w:rPr>
        <w:t>,</w:t>
      </w:r>
      <w:r w:rsidRPr="00086F19">
        <w:rPr>
          <w:rFonts w:ascii="Verdana" w:hAnsi="Verdana"/>
          <w:i/>
          <w:spacing w:val="-12"/>
          <w:sz w:val="16"/>
          <w:szCs w:val="16"/>
        </w:rPr>
        <w:t xml:space="preserve"> </w:t>
      </w:r>
      <w:r w:rsidRPr="00EE6C61">
        <w:rPr>
          <w:rFonts w:ascii="Verdana" w:hAnsi="Verdana"/>
          <w:i/>
          <w:spacing w:val="-12"/>
          <w:sz w:val="16"/>
          <w:szCs w:val="16"/>
        </w:rPr>
        <w:t>supra,</w:t>
      </w:r>
      <w:r>
        <w:rPr>
          <w:rFonts w:ascii="Verdana" w:hAnsi="Verdana" w:cs="Times New Roman"/>
          <w:spacing w:val="-12"/>
          <w:sz w:val="16"/>
          <w:szCs w:val="16"/>
        </w:rPr>
        <w:t xml:space="preserve"> </w:t>
      </w:r>
      <w:r w:rsidRPr="009E72E5">
        <w:rPr>
          <w:rFonts w:ascii="Verdana" w:hAnsi="Verdana" w:cs="Times New Roman"/>
          <w:spacing w:val="-12"/>
          <w:sz w:val="16"/>
          <w:szCs w:val="16"/>
        </w:rPr>
        <w:t>párr</w:t>
      </w:r>
      <w:r w:rsidRPr="00097FD3">
        <w:rPr>
          <w:rFonts w:ascii="Verdana" w:hAnsi="Verdana" w:cs="Times New Roman"/>
          <w:spacing w:val="-12"/>
          <w:sz w:val="16"/>
          <w:szCs w:val="16"/>
        </w:rPr>
        <w:t>.</w:t>
      </w:r>
      <w:r>
        <w:rPr>
          <w:rFonts w:ascii="Verdana" w:hAnsi="Verdana" w:cs="Times New Roman"/>
          <w:spacing w:val="-12"/>
          <w:sz w:val="16"/>
          <w:szCs w:val="16"/>
        </w:rPr>
        <w:t xml:space="preserve"> 114</w:t>
      </w:r>
      <w:r w:rsidRPr="009E72E5">
        <w:rPr>
          <w:rFonts w:ascii="Verdana" w:hAnsi="Verdana" w:cs="Times New Roman"/>
          <w:spacing w:val="-12"/>
          <w:sz w:val="16"/>
          <w:szCs w:val="16"/>
        </w:rPr>
        <w:t>.</w:t>
      </w:r>
    </w:p>
  </w:footnote>
  <w:footnote w:id="166">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cs="Times New Roman"/>
          <w:bCs/>
          <w:i/>
          <w:iCs/>
          <w:spacing w:val="-12"/>
          <w:sz w:val="16"/>
          <w:szCs w:val="16"/>
        </w:rPr>
        <w:t xml:space="preserve">Cfr. Caso Valle Jaramillo y otros Vs. Colombia, supra </w:t>
      </w:r>
      <w:r w:rsidRPr="00EE6C61">
        <w:rPr>
          <w:rFonts w:ascii="Verdana" w:hAnsi="Verdana" w:cs="Times New Roman"/>
          <w:bCs/>
          <w:iCs/>
          <w:spacing w:val="-12"/>
          <w:sz w:val="16"/>
          <w:szCs w:val="16"/>
        </w:rPr>
        <w:t>párr. 119</w:t>
      </w:r>
      <w:r w:rsidRPr="00EE6C61">
        <w:rPr>
          <w:rFonts w:ascii="Verdana" w:hAnsi="Verdana" w:cs="Times New Roman"/>
          <w:bCs/>
          <w:i/>
          <w:iCs/>
          <w:spacing w:val="-12"/>
          <w:sz w:val="16"/>
          <w:szCs w:val="16"/>
        </w:rPr>
        <w:t>, y</w:t>
      </w:r>
      <w:r w:rsidRPr="00EE6C61">
        <w:rPr>
          <w:rFonts w:ascii="Verdana" w:hAnsi="Verdana"/>
          <w:sz w:val="16"/>
          <w:szCs w:val="16"/>
        </w:rPr>
        <w:t xml:space="preserve"> </w:t>
      </w:r>
      <w:r w:rsidRPr="0078473F">
        <w:rPr>
          <w:rFonts w:ascii="Verdana" w:hAnsi="Verdana"/>
          <w:i/>
          <w:sz w:val="16"/>
          <w:szCs w:val="16"/>
        </w:rPr>
        <w:t>Caso Coc Max y otros (Masacre de Xamán) Vs. Guatemala. Fondo, Reparaciones y Costas</w:t>
      </w:r>
      <w:r w:rsidRPr="00A60F01">
        <w:rPr>
          <w:rFonts w:ascii="Verdana" w:hAnsi="Verdana"/>
          <w:sz w:val="16"/>
          <w:szCs w:val="16"/>
        </w:rPr>
        <w:t xml:space="preserve">. Sentencia de 22 de </w:t>
      </w:r>
      <w:r>
        <w:rPr>
          <w:rFonts w:ascii="Verdana" w:hAnsi="Verdana"/>
          <w:sz w:val="16"/>
          <w:szCs w:val="16"/>
        </w:rPr>
        <w:t>agosto de 2018. Serie C No. 356, párr. 123.</w:t>
      </w:r>
    </w:p>
  </w:footnote>
  <w:footnote w:id="167">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cs="Times New Roman"/>
          <w:bCs/>
          <w:iCs/>
          <w:spacing w:val="-12"/>
          <w:sz w:val="16"/>
          <w:szCs w:val="16"/>
        </w:rPr>
        <w:tab/>
      </w:r>
      <w:r w:rsidRPr="00EE6C61">
        <w:rPr>
          <w:rFonts w:ascii="Verdana" w:hAnsi="Verdana" w:cs="Times New Roman"/>
          <w:bCs/>
          <w:i/>
          <w:iCs/>
          <w:spacing w:val="-12"/>
          <w:sz w:val="16"/>
          <w:szCs w:val="16"/>
        </w:rPr>
        <w:t xml:space="preserve">Cfr. Caso Goiburú y otros Vs. Paraguay, </w:t>
      </w:r>
      <w:r w:rsidRPr="00EE6C61">
        <w:rPr>
          <w:rFonts w:ascii="Verdana" w:hAnsi="Verdana" w:cs="Times New Roman"/>
          <w:bCs/>
          <w:iCs/>
          <w:spacing w:val="-12"/>
          <w:sz w:val="16"/>
          <w:szCs w:val="16"/>
        </w:rPr>
        <w:t>párr. 103, y</w:t>
      </w:r>
      <w:r w:rsidRPr="00EE6C61">
        <w:rPr>
          <w:rFonts w:ascii="Verdana" w:hAnsi="Verdana"/>
          <w:sz w:val="16"/>
          <w:szCs w:val="16"/>
        </w:rPr>
        <w:t xml:space="preserve"> </w:t>
      </w:r>
      <w:r w:rsidRPr="00EE6C61">
        <w:rPr>
          <w:rFonts w:ascii="Verdana" w:hAnsi="Verdana" w:cs="Times New Roman"/>
          <w:bCs/>
          <w:i/>
          <w:iCs/>
          <w:spacing w:val="-12"/>
          <w:sz w:val="16"/>
          <w:szCs w:val="16"/>
        </w:rPr>
        <w:t xml:space="preserve">Caso Vereda La Esperanza Vs. Colombia, </w:t>
      </w:r>
      <w:r w:rsidRPr="00EE6C61">
        <w:rPr>
          <w:rFonts w:ascii="Verdana" w:hAnsi="Verdana" w:cs="Times New Roman"/>
          <w:bCs/>
          <w:iCs/>
          <w:spacing w:val="-12"/>
          <w:sz w:val="16"/>
          <w:szCs w:val="16"/>
        </w:rPr>
        <w:t>párr. 250</w:t>
      </w:r>
      <w:r w:rsidRPr="00EE6C61">
        <w:rPr>
          <w:rFonts w:ascii="Verdana" w:hAnsi="Verdana"/>
          <w:sz w:val="16"/>
          <w:szCs w:val="16"/>
        </w:rPr>
        <w:t>.</w:t>
      </w:r>
    </w:p>
  </w:footnote>
  <w:footnote w:id="168">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cs="Times New Roman"/>
          <w:bCs/>
          <w:iCs/>
          <w:spacing w:val="-12"/>
          <w:sz w:val="16"/>
          <w:szCs w:val="16"/>
        </w:rPr>
        <w:t xml:space="preserve">Durante la audiencia, la señora Carmenza Vélez declaró sobre su angustia y preocupación sufrida por como consecuencia de la desaparición, </w:t>
      </w:r>
      <w:r>
        <w:rPr>
          <w:rFonts w:ascii="Verdana" w:hAnsi="Verdana" w:cs="Times New Roman"/>
          <w:bCs/>
          <w:iCs/>
          <w:spacing w:val="-12"/>
          <w:sz w:val="16"/>
          <w:szCs w:val="16"/>
        </w:rPr>
        <w:t>la cual “</w:t>
      </w:r>
      <w:r w:rsidRPr="00EE6C61">
        <w:rPr>
          <w:rFonts w:ascii="Verdana" w:hAnsi="Verdana" w:cs="Times New Roman"/>
          <w:bCs/>
          <w:iCs/>
          <w:spacing w:val="-12"/>
          <w:sz w:val="16"/>
          <w:szCs w:val="16"/>
        </w:rPr>
        <w:t>fue para nosotros una destrucción, nos acabaron como familia, a mí me quedó media vida”</w:t>
      </w:r>
      <w:r>
        <w:rPr>
          <w:rFonts w:ascii="Verdana" w:hAnsi="Verdana" w:cs="Times New Roman"/>
          <w:bCs/>
          <w:iCs/>
          <w:spacing w:val="-12"/>
          <w:sz w:val="16"/>
          <w:szCs w:val="16"/>
        </w:rPr>
        <w:t xml:space="preserve">, </w:t>
      </w:r>
      <w:r w:rsidRPr="00EE6C61">
        <w:rPr>
          <w:rFonts w:ascii="Verdana" w:hAnsi="Verdana" w:cs="Times New Roman"/>
          <w:bCs/>
          <w:iCs/>
          <w:spacing w:val="-12"/>
          <w:sz w:val="16"/>
          <w:szCs w:val="16"/>
        </w:rPr>
        <w:t>así como por las actividades llevadas a cabo para dar con su paradero. Jhony Alexander Isaza Vélez recordó los asesinatos de los padres de sus compañeros de escuela, quienes eran trabajadores de la empresa Cementos del Nare y m</w:t>
      </w:r>
      <w:r>
        <w:rPr>
          <w:rFonts w:ascii="Verdana" w:hAnsi="Verdana" w:cs="Times New Roman"/>
          <w:bCs/>
          <w:iCs/>
          <w:spacing w:val="-12"/>
          <w:sz w:val="16"/>
          <w:szCs w:val="16"/>
        </w:rPr>
        <w:t>iembros de SUTIMAC; relató sobre</w:t>
      </w:r>
      <w:r w:rsidRPr="00EE6C61">
        <w:rPr>
          <w:rFonts w:ascii="Verdana" w:hAnsi="Verdana" w:cs="Times New Roman"/>
          <w:bCs/>
          <w:iCs/>
          <w:spacing w:val="-12"/>
          <w:sz w:val="16"/>
          <w:szCs w:val="16"/>
        </w:rPr>
        <w:t xml:space="preserve"> la “incertidumbre [sobre el paradero de su] papá, el silencio y el vacío era el pan de todos los días”; recordó como después la empresa les quitó las “raciones de comida” y </w:t>
      </w:r>
      <w:r>
        <w:rPr>
          <w:rFonts w:ascii="Verdana" w:hAnsi="Verdana" w:cs="Times New Roman"/>
          <w:bCs/>
          <w:iCs/>
          <w:spacing w:val="-12"/>
          <w:sz w:val="16"/>
          <w:szCs w:val="16"/>
        </w:rPr>
        <w:t>luego</w:t>
      </w:r>
      <w:r w:rsidRPr="00EE6C61">
        <w:rPr>
          <w:rFonts w:ascii="Verdana" w:hAnsi="Verdana" w:cs="Times New Roman"/>
          <w:bCs/>
          <w:iCs/>
          <w:spacing w:val="-12"/>
          <w:sz w:val="16"/>
          <w:szCs w:val="16"/>
        </w:rPr>
        <w:t xml:space="preserve"> la casa en la que vivían, las penurias económicas y que la lucha por conseguir el sustento diario marcaron la relación familiar. Haner Alexis Isaza Vélez recuerda que él fue quien dio la noticia de la desaparición a su mamá, qui</w:t>
      </w:r>
      <w:r>
        <w:rPr>
          <w:rFonts w:ascii="Verdana" w:hAnsi="Verdana" w:cs="Times New Roman"/>
          <w:bCs/>
          <w:iCs/>
          <w:spacing w:val="-12"/>
          <w:sz w:val="16"/>
          <w:szCs w:val="16"/>
        </w:rPr>
        <w:t>en “nunca se cansó de buscarlo”</w:t>
      </w:r>
      <w:r w:rsidRPr="00EE6C61">
        <w:rPr>
          <w:rFonts w:ascii="Verdana" w:hAnsi="Verdana" w:cs="Times New Roman"/>
          <w:bCs/>
          <w:iCs/>
          <w:spacing w:val="-12"/>
          <w:sz w:val="16"/>
          <w:szCs w:val="16"/>
        </w:rPr>
        <w:t xml:space="preserve">; las dificultades económicas de la familia, cuando se fueron a vivir </w:t>
      </w:r>
      <w:r>
        <w:rPr>
          <w:rFonts w:ascii="Verdana" w:hAnsi="Verdana" w:cs="Times New Roman"/>
          <w:bCs/>
          <w:iCs/>
          <w:spacing w:val="-12"/>
          <w:sz w:val="16"/>
          <w:szCs w:val="16"/>
        </w:rPr>
        <w:t xml:space="preserve">a </w:t>
      </w:r>
      <w:r w:rsidRPr="00EE6C61">
        <w:rPr>
          <w:rFonts w:ascii="Verdana" w:hAnsi="Verdana" w:cs="Times New Roman"/>
          <w:bCs/>
          <w:iCs/>
          <w:spacing w:val="-12"/>
          <w:sz w:val="16"/>
          <w:szCs w:val="16"/>
        </w:rPr>
        <w:t xml:space="preserve">Copacabana y la fragmentación familiar vivida. </w:t>
      </w:r>
      <w:r w:rsidRPr="00EE6C61">
        <w:rPr>
          <w:rFonts w:ascii="Verdana" w:hAnsi="Verdana" w:cs="Times New Roman"/>
          <w:bCs/>
          <w:i/>
          <w:iCs/>
          <w:spacing w:val="-12"/>
          <w:sz w:val="16"/>
          <w:szCs w:val="16"/>
        </w:rPr>
        <w:t>Cfr</w:t>
      </w:r>
      <w:r w:rsidRPr="00EE6C61">
        <w:rPr>
          <w:rFonts w:ascii="Verdana" w:hAnsi="Verdana" w:cs="Times New Roman"/>
          <w:bCs/>
          <w:iCs/>
          <w:spacing w:val="-12"/>
          <w:sz w:val="16"/>
          <w:szCs w:val="16"/>
        </w:rPr>
        <w:t xml:space="preserve">. Declaraciones de Carmenza Vélez durante la audiencia ante la Corte y declaraciones escritas de Haner Alexis Isaza Vélez y Jhony Alexander Isaza Vélez (exp. prueba, </w:t>
      </w:r>
      <w:r>
        <w:rPr>
          <w:rFonts w:ascii="Verdana" w:hAnsi="Verdana" w:cs="Times New Roman"/>
          <w:bCs/>
          <w:iCs/>
          <w:spacing w:val="-12"/>
          <w:sz w:val="16"/>
          <w:szCs w:val="16"/>
        </w:rPr>
        <w:t>ff</w:t>
      </w:r>
      <w:r w:rsidRPr="00EE6C61">
        <w:rPr>
          <w:rFonts w:ascii="Verdana" w:hAnsi="Verdana" w:cs="Times New Roman"/>
          <w:bCs/>
          <w:iCs/>
          <w:spacing w:val="-12"/>
          <w:sz w:val="16"/>
          <w:szCs w:val="16"/>
        </w:rPr>
        <w:t>. 6979 a 6983 y 6984 a 6988).</w:t>
      </w:r>
    </w:p>
  </w:footnote>
  <w:footnote w:id="169">
    <w:p w:rsidR="00996758" w:rsidRPr="00EE6C61" w:rsidRDefault="00996758" w:rsidP="00103EC8">
      <w:pPr>
        <w:autoSpaceDE w:val="0"/>
        <w:autoSpaceDN w:val="0"/>
        <w:adjustRightInd w:val="0"/>
        <w:spacing w:before="120" w:after="120" w:line="240" w:lineRule="auto"/>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cs="Times New Roman"/>
          <w:bCs/>
          <w:iCs/>
          <w:spacing w:val="-12"/>
          <w:sz w:val="16"/>
          <w:szCs w:val="16"/>
        </w:rPr>
        <w:tab/>
      </w:r>
      <w:r w:rsidRPr="00EE6C61">
        <w:rPr>
          <w:rFonts w:ascii="Verdana" w:hAnsi="Verdana" w:cs="Times New Roman"/>
          <w:bCs/>
          <w:i/>
          <w:iCs/>
          <w:spacing w:val="-12"/>
          <w:sz w:val="16"/>
          <w:szCs w:val="16"/>
        </w:rPr>
        <w:t>Cfr.</w:t>
      </w:r>
      <w:r>
        <w:rPr>
          <w:rFonts w:ascii="Verdana" w:hAnsi="Verdana" w:cs="Times New Roman"/>
          <w:bCs/>
          <w:iCs/>
          <w:spacing w:val="-12"/>
          <w:sz w:val="16"/>
          <w:szCs w:val="16"/>
        </w:rPr>
        <w:t xml:space="preserve"> Declaración escrita de la p</w:t>
      </w:r>
      <w:r w:rsidRPr="00EE6C61">
        <w:rPr>
          <w:rFonts w:ascii="Verdana" w:hAnsi="Verdana" w:cs="Times New Roman"/>
          <w:bCs/>
          <w:iCs/>
          <w:spacing w:val="-12"/>
          <w:sz w:val="16"/>
          <w:szCs w:val="16"/>
        </w:rPr>
        <w:t xml:space="preserve">erita Yeiny Carolina Torres (exp. prueba, </w:t>
      </w:r>
      <w:r>
        <w:rPr>
          <w:rFonts w:ascii="Verdana" w:hAnsi="Verdana" w:cs="Times New Roman"/>
          <w:bCs/>
          <w:iCs/>
          <w:spacing w:val="-12"/>
          <w:sz w:val="16"/>
          <w:szCs w:val="16"/>
        </w:rPr>
        <w:t>ff.</w:t>
      </w:r>
      <w:r w:rsidRPr="00EE6C61">
        <w:rPr>
          <w:rFonts w:ascii="Verdana" w:hAnsi="Verdana" w:cs="Times New Roman"/>
          <w:bCs/>
          <w:iCs/>
          <w:spacing w:val="-12"/>
          <w:sz w:val="16"/>
          <w:szCs w:val="16"/>
        </w:rPr>
        <w:t xml:space="preserve"> 7147 y ss). </w:t>
      </w:r>
    </w:p>
  </w:footnote>
  <w:footnote w:id="170">
    <w:p w:rsidR="00996758" w:rsidRPr="00EE6C61" w:rsidRDefault="00996758" w:rsidP="00103EC8">
      <w:pPr>
        <w:widowControl w:val="0"/>
        <w:pBdr>
          <w:top w:val="nil"/>
        </w:pBdr>
        <w:autoSpaceDE w:val="0"/>
        <w:autoSpaceDN w:val="0"/>
        <w:adjustRightInd w:val="0"/>
        <w:spacing w:before="120" w:after="120" w:line="240" w:lineRule="auto"/>
        <w:jc w:val="both"/>
        <w:rPr>
          <w:rFonts w:ascii="Verdana" w:hAnsi="Verdana"/>
          <w:sz w:val="20"/>
          <w:szCs w:val="20"/>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cs="Times New Roman"/>
          <w:bCs/>
          <w:iCs/>
          <w:spacing w:val="-12"/>
          <w:sz w:val="16"/>
          <w:szCs w:val="16"/>
        </w:rPr>
        <w:tab/>
        <w:t>El Tribunal ha declarado violaciones</w:t>
      </w:r>
      <w:r>
        <w:rPr>
          <w:rFonts w:ascii="Verdana" w:hAnsi="Verdana" w:cs="Times New Roman"/>
          <w:bCs/>
          <w:iCs/>
          <w:spacing w:val="-12"/>
          <w:sz w:val="16"/>
          <w:szCs w:val="16"/>
        </w:rPr>
        <w:t xml:space="preserve"> del </w:t>
      </w:r>
      <w:r w:rsidRPr="00EE6C61">
        <w:rPr>
          <w:rFonts w:ascii="Verdana" w:hAnsi="Verdana" w:cs="Times New Roman"/>
          <w:bCs/>
          <w:iCs/>
          <w:spacing w:val="-12"/>
          <w:sz w:val="16"/>
          <w:szCs w:val="16"/>
        </w:rPr>
        <w:t xml:space="preserve">derecho </w:t>
      </w:r>
      <w:r>
        <w:rPr>
          <w:rFonts w:ascii="Verdana" w:hAnsi="Verdana" w:cs="Times New Roman"/>
          <w:bCs/>
          <w:iCs/>
          <w:spacing w:val="-12"/>
          <w:sz w:val="16"/>
          <w:szCs w:val="16"/>
        </w:rPr>
        <w:t xml:space="preserve">la honra y dignidad </w:t>
      </w:r>
      <w:r w:rsidRPr="00EE6C61">
        <w:rPr>
          <w:rFonts w:ascii="Verdana" w:hAnsi="Verdana" w:cs="Times New Roman"/>
          <w:bCs/>
          <w:iCs/>
          <w:spacing w:val="-12"/>
          <w:sz w:val="16"/>
          <w:szCs w:val="16"/>
        </w:rPr>
        <w:t>en casos en que Estado</w:t>
      </w:r>
      <w:r>
        <w:rPr>
          <w:rFonts w:ascii="Verdana" w:hAnsi="Verdana" w:cs="Times New Roman"/>
          <w:bCs/>
          <w:iCs/>
          <w:spacing w:val="-12"/>
          <w:sz w:val="16"/>
          <w:szCs w:val="16"/>
        </w:rPr>
        <w:t>s</w:t>
      </w:r>
      <w:r w:rsidRPr="00EE6C61">
        <w:rPr>
          <w:rFonts w:ascii="Verdana" w:hAnsi="Verdana" w:cs="Times New Roman"/>
          <w:bCs/>
          <w:iCs/>
          <w:spacing w:val="-12"/>
          <w:sz w:val="16"/>
          <w:szCs w:val="16"/>
        </w:rPr>
        <w:t xml:space="preserve"> </w:t>
      </w:r>
      <w:r>
        <w:rPr>
          <w:rFonts w:ascii="Verdana" w:hAnsi="Verdana" w:cs="Times New Roman"/>
          <w:bCs/>
          <w:iCs/>
          <w:spacing w:val="-12"/>
          <w:sz w:val="16"/>
          <w:szCs w:val="16"/>
        </w:rPr>
        <w:t xml:space="preserve">han </w:t>
      </w:r>
      <w:r w:rsidRPr="00EE6C61">
        <w:rPr>
          <w:rFonts w:ascii="Verdana" w:hAnsi="Verdana" w:cs="Times New Roman"/>
          <w:bCs/>
          <w:iCs/>
          <w:spacing w:val="-12"/>
          <w:sz w:val="16"/>
          <w:szCs w:val="16"/>
        </w:rPr>
        <w:t>sometido a personas o grupos de personas al odio, estigmatización, desprecio público, persecución o discriminación por medio de declaraciones públicas de funcionarios públicos (</w:t>
      </w:r>
      <w:r w:rsidRPr="00EE6C61">
        <w:rPr>
          <w:rFonts w:ascii="Verdana" w:hAnsi="Verdana"/>
          <w:bCs/>
          <w:i/>
          <w:spacing w:val="-12"/>
          <w:sz w:val="16"/>
          <w:szCs w:val="16"/>
        </w:rPr>
        <w:t>Cfr. Caso Ríos y otros Vs. Venezuela. Excepciones Preliminares, Fondo, Reparaciones y Costas</w:t>
      </w:r>
      <w:r w:rsidRPr="00EE6C61">
        <w:rPr>
          <w:rFonts w:ascii="Verdana" w:hAnsi="Verdana"/>
          <w:bCs/>
          <w:spacing w:val="-12"/>
          <w:sz w:val="16"/>
          <w:szCs w:val="16"/>
        </w:rPr>
        <w:t xml:space="preserve">. Sentencia de 28 de enero de 2009. Serie C No. 194, párr. 148; y </w:t>
      </w:r>
      <w:r w:rsidRPr="00EE6C61">
        <w:rPr>
          <w:rFonts w:ascii="Verdana" w:hAnsi="Verdana"/>
          <w:bCs/>
          <w:i/>
          <w:spacing w:val="-12"/>
          <w:sz w:val="16"/>
          <w:szCs w:val="16"/>
        </w:rPr>
        <w:t>Caso Andrade Salmón Vs. Bolivia. Fondo, Reparaciones y Costas.</w:t>
      </w:r>
      <w:r w:rsidRPr="00EE6C61">
        <w:rPr>
          <w:rFonts w:ascii="Verdana" w:hAnsi="Verdana"/>
          <w:bCs/>
          <w:spacing w:val="-12"/>
          <w:sz w:val="16"/>
          <w:szCs w:val="16"/>
        </w:rPr>
        <w:t xml:space="preserve"> Sentencia de 1 de diciembre de 2016. Serie C No. 330, párr. 183</w:t>
      </w:r>
      <w:r w:rsidRPr="00EE6C61">
        <w:rPr>
          <w:rFonts w:ascii="Verdana" w:hAnsi="Verdana" w:cs="Times New Roman"/>
          <w:bCs/>
          <w:iCs/>
          <w:spacing w:val="-12"/>
          <w:sz w:val="16"/>
          <w:szCs w:val="16"/>
        </w:rPr>
        <w:t>) o por la aplicación de determinada normativa discriminatoria y las consecuencias de un proceso desarrollado respecto de la víctima, en relación con el contexto social y las circunstancias específicas de lesión a su estima o reputación por la distorsión en el concepto público que sobre aquélla se tenía (</w:t>
      </w:r>
      <w:r w:rsidRPr="00EE6C61">
        <w:rPr>
          <w:rFonts w:ascii="Verdana" w:hAnsi="Verdana"/>
          <w:i/>
          <w:spacing w:val="-12"/>
          <w:sz w:val="16"/>
          <w:szCs w:val="16"/>
        </w:rPr>
        <w:t>Cfr. Caso Flor Freire Vs. Ecuador. Excepción Preliminar, Fondo, Reparaciones y Costas.</w:t>
      </w:r>
      <w:r w:rsidRPr="00EE6C61">
        <w:rPr>
          <w:rFonts w:ascii="Verdana" w:hAnsi="Verdana"/>
          <w:spacing w:val="-12"/>
          <w:sz w:val="16"/>
          <w:szCs w:val="16"/>
        </w:rPr>
        <w:t xml:space="preserve"> Sentencia de 31 de agosto de 2016. Serie C No. 315, párrs. 154 a 158, y </w:t>
      </w:r>
      <w:r w:rsidRPr="00EE6C61">
        <w:rPr>
          <w:rFonts w:ascii="Verdana" w:hAnsi="Verdana"/>
          <w:i/>
          <w:spacing w:val="-12"/>
          <w:sz w:val="16"/>
          <w:szCs w:val="16"/>
        </w:rPr>
        <w:t xml:space="preserve">Caso Acosta y otros Vs. Nicaragua, </w:t>
      </w:r>
      <w:r w:rsidRPr="00EE6C61">
        <w:rPr>
          <w:rFonts w:ascii="Verdana" w:hAnsi="Verdana"/>
          <w:spacing w:val="-12"/>
          <w:sz w:val="16"/>
          <w:szCs w:val="16"/>
        </w:rPr>
        <w:t>párr. 204.).</w:t>
      </w:r>
    </w:p>
  </w:footnote>
  <w:footnote w:id="171">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Calibri" w:hAnsi="Verdana"/>
          <w:spacing w:val="-12"/>
          <w:sz w:val="16"/>
          <w:szCs w:val="16"/>
        </w:rPr>
        <w:footnoteRef/>
      </w:r>
      <w:r w:rsidRPr="00EE6C61">
        <w:rPr>
          <w:rFonts w:ascii="Verdana" w:hAnsi="Verdana"/>
          <w:spacing w:val="-12"/>
          <w:sz w:val="16"/>
          <w:szCs w:val="16"/>
        </w:rPr>
        <w:tab/>
        <w:t>El artículo 63.1 de la Convención Americana establece que: “[c]uando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72">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eastAsia="Calibri" w:hAnsi="Verdana"/>
          <w:spacing w:val="-12"/>
          <w:sz w:val="16"/>
          <w:szCs w:val="16"/>
        </w:rPr>
        <w:footnoteRef/>
      </w:r>
      <w:r w:rsidRPr="00EE6C61">
        <w:rPr>
          <w:rFonts w:ascii="Verdana" w:hAnsi="Verdana"/>
          <w:spacing w:val="-12"/>
          <w:sz w:val="16"/>
          <w:szCs w:val="16"/>
        </w:rPr>
        <w:tab/>
        <w:t>Sobre la obligación de reparar y sus alcances, ver</w:t>
      </w:r>
      <w:r w:rsidRPr="00EE6C61">
        <w:rPr>
          <w:rFonts w:ascii="Verdana" w:hAnsi="Verdana"/>
          <w:i/>
          <w:spacing w:val="-12"/>
          <w:sz w:val="16"/>
          <w:szCs w:val="16"/>
        </w:rPr>
        <w:t xml:space="preserve"> Caso Velásquez Rodríguez Vs. Hondur</w:t>
      </w:r>
      <w:r w:rsidRPr="00EE6C61">
        <w:rPr>
          <w:rFonts w:ascii="Verdana" w:hAnsi="Verdana"/>
          <w:spacing w:val="-12"/>
          <w:sz w:val="16"/>
          <w:szCs w:val="16"/>
        </w:rPr>
        <w:t xml:space="preserve">as. </w:t>
      </w:r>
      <w:r w:rsidRPr="00EE6C61">
        <w:rPr>
          <w:rFonts w:ascii="Verdana" w:hAnsi="Verdana"/>
          <w:i/>
          <w:spacing w:val="-12"/>
          <w:sz w:val="16"/>
          <w:szCs w:val="16"/>
        </w:rPr>
        <w:t>Reparaciones y Costas</w:t>
      </w:r>
      <w:r w:rsidRPr="00EE6C61">
        <w:rPr>
          <w:rFonts w:ascii="Verdana" w:hAnsi="Verdana"/>
          <w:spacing w:val="-12"/>
          <w:sz w:val="16"/>
          <w:szCs w:val="16"/>
        </w:rPr>
        <w:t xml:space="preserve">. Sentencia de 21 de julio de 1989. Serie C No. 7, párrs. 25 a 27; y </w:t>
      </w:r>
      <w:r w:rsidRPr="008B3F8E">
        <w:rPr>
          <w:rFonts w:ascii="Verdana" w:hAnsi="Verdana"/>
          <w:bCs/>
          <w:i/>
          <w:spacing w:val="-12"/>
          <w:sz w:val="16"/>
          <w:szCs w:val="16"/>
        </w:rPr>
        <w:t>Caso López Soto y otros Vs. Venezuela</w:t>
      </w:r>
      <w:r>
        <w:rPr>
          <w:rFonts w:ascii="Verdana" w:hAnsi="Verdana"/>
          <w:bCs/>
          <w:i/>
          <w:spacing w:val="-12"/>
          <w:sz w:val="16"/>
          <w:szCs w:val="16"/>
        </w:rPr>
        <w:t xml:space="preserve">, </w:t>
      </w:r>
      <w:r w:rsidRPr="00BE27D0">
        <w:rPr>
          <w:rFonts w:ascii="Verdana" w:hAnsi="Verdana"/>
          <w:bCs/>
          <w:spacing w:val="-12"/>
          <w:sz w:val="16"/>
          <w:szCs w:val="16"/>
        </w:rPr>
        <w:t>párr.</w:t>
      </w:r>
      <w:r>
        <w:rPr>
          <w:rFonts w:ascii="Verdana" w:hAnsi="Verdana"/>
          <w:bCs/>
          <w:spacing w:val="-12"/>
          <w:sz w:val="16"/>
          <w:szCs w:val="16"/>
        </w:rPr>
        <w:t xml:space="preserve"> 268.</w:t>
      </w:r>
    </w:p>
  </w:footnote>
  <w:footnote w:id="173">
    <w:p w:rsidR="00996758" w:rsidRPr="00EE6C61" w:rsidRDefault="00996758" w:rsidP="00103EC8">
      <w:pPr>
        <w:pStyle w:val="2Footnotes"/>
        <w:rPr>
          <w:rFonts w:cs="Verdana"/>
          <w:spacing w:val="-12"/>
          <w:szCs w:val="16"/>
          <w:lang w:val="es-CR" w:bidi="en-US"/>
        </w:rPr>
      </w:pPr>
      <w:r w:rsidRPr="00EE6C61">
        <w:rPr>
          <w:rStyle w:val="FootnoteReference"/>
          <w:rFonts w:eastAsia="Batang"/>
          <w:spacing w:val="-12"/>
          <w:szCs w:val="16"/>
          <w:lang w:val="es-CR"/>
        </w:rPr>
        <w:footnoteRef/>
      </w:r>
      <w:r w:rsidRPr="00EE6C61">
        <w:rPr>
          <w:spacing w:val="-12"/>
          <w:szCs w:val="16"/>
          <w:lang w:val="es-CR"/>
        </w:rPr>
        <w:tab/>
      </w:r>
      <w:r w:rsidRPr="00EE6C61">
        <w:rPr>
          <w:i/>
          <w:spacing w:val="-12"/>
          <w:szCs w:val="16"/>
          <w:lang w:val="es-CR"/>
        </w:rPr>
        <w:t>Cfr. Caso Ticona Estrada y otros Vs. Bolivia. Fondo, Reparaciones y Costas.</w:t>
      </w:r>
      <w:r w:rsidRPr="00EE6C61">
        <w:rPr>
          <w:spacing w:val="-12"/>
          <w:szCs w:val="16"/>
          <w:lang w:val="es-CR"/>
        </w:rPr>
        <w:t xml:space="preserve"> Sentencia de 27 de noviembre de 2008. Serie C No. 191, párr. 110, </w:t>
      </w:r>
      <w:r w:rsidRPr="00EE6C61">
        <w:rPr>
          <w:spacing w:val="-12"/>
          <w:szCs w:val="16"/>
          <w:lang w:val="es-CR" w:bidi="en-US"/>
        </w:rPr>
        <w:t xml:space="preserve">y </w:t>
      </w:r>
      <w:r w:rsidRPr="008B3F8E">
        <w:rPr>
          <w:bCs/>
          <w:i/>
          <w:spacing w:val="-12"/>
          <w:szCs w:val="16"/>
        </w:rPr>
        <w:t>Caso López Soto y otros Vs. Venezuela</w:t>
      </w:r>
      <w:r>
        <w:rPr>
          <w:bCs/>
          <w:i/>
          <w:spacing w:val="-12"/>
          <w:szCs w:val="16"/>
        </w:rPr>
        <w:t xml:space="preserve">, </w:t>
      </w:r>
      <w:r w:rsidRPr="00BE27D0">
        <w:rPr>
          <w:bCs/>
          <w:spacing w:val="-12"/>
          <w:szCs w:val="16"/>
        </w:rPr>
        <w:t>párr.</w:t>
      </w:r>
      <w:r>
        <w:rPr>
          <w:bCs/>
          <w:spacing w:val="-12"/>
          <w:szCs w:val="16"/>
        </w:rPr>
        <w:t xml:space="preserve"> 270</w:t>
      </w:r>
      <w:r w:rsidRPr="00EE6C61">
        <w:rPr>
          <w:spacing w:val="-12"/>
          <w:szCs w:val="16"/>
          <w:lang w:val="es-CR"/>
        </w:rPr>
        <w:t>.</w:t>
      </w:r>
    </w:p>
  </w:footnote>
  <w:footnote w:id="174">
    <w:p w:rsidR="00996758" w:rsidRPr="00EE6C61" w:rsidRDefault="00996758" w:rsidP="00103EC8">
      <w:pPr>
        <w:pStyle w:val="2Footnotes"/>
        <w:rPr>
          <w:bCs/>
          <w:spacing w:val="-12"/>
          <w:szCs w:val="16"/>
          <w:lang w:val="es-CR" w:bidi="en-US"/>
        </w:rPr>
      </w:pPr>
      <w:r w:rsidRPr="00EE6C61">
        <w:rPr>
          <w:rStyle w:val="FootnoteReference"/>
          <w:rFonts w:eastAsia="MS Mincho"/>
          <w:spacing w:val="-12"/>
          <w:szCs w:val="16"/>
          <w:lang w:val="es-CR"/>
        </w:rPr>
        <w:footnoteRef/>
      </w:r>
      <w:r w:rsidRPr="00EE6C61">
        <w:rPr>
          <w:spacing w:val="-12"/>
          <w:szCs w:val="16"/>
          <w:lang w:val="es-CR"/>
        </w:rPr>
        <w:t xml:space="preserve"> </w:t>
      </w:r>
      <w:r w:rsidRPr="00EE6C61">
        <w:rPr>
          <w:spacing w:val="-12"/>
          <w:szCs w:val="16"/>
          <w:lang w:val="es-CR"/>
        </w:rPr>
        <w:tab/>
      </w:r>
      <w:r w:rsidRPr="00EE6C61">
        <w:rPr>
          <w:i/>
          <w:spacing w:val="-12"/>
          <w:szCs w:val="16"/>
          <w:lang w:val="es-CR"/>
        </w:rPr>
        <w:t xml:space="preserve">Cfr. </w:t>
      </w:r>
      <w:r w:rsidRPr="00EE6C61">
        <w:rPr>
          <w:i/>
          <w:spacing w:val="-12"/>
          <w:szCs w:val="16"/>
          <w:lang w:val="es-CR" w:bidi="en-US"/>
        </w:rPr>
        <w:t xml:space="preserve">Caso Velásquez Rodríguez Vs. Honduras. </w:t>
      </w:r>
      <w:r w:rsidRPr="00EE6C61">
        <w:rPr>
          <w:i/>
          <w:spacing w:val="-12"/>
          <w:szCs w:val="16"/>
          <w:lang w:val="es-CR"/>
        </w:rPr>
        <w:t xml:space="preserve">Reparaciones y Costas, </w:t>
      </w:r>
      <w:r>
        <w:rPr>
          <w:spacing w:val="-12"/>
          <w:szCs w:val="16"/>
          <w:lang w:val="es-CR" w:bidi="en-US"/>
        </w:rPr>
        <w:t>párr. 26;</w:t>
      </w:r>
      <w:r w:rsidRPr="00EE6C61">
        <w:rPr>
          <w:spacing w:val="-12"/>
          <w:szCs w:val="16"/>
          <w:lang w:val="es-CR" w:bidi="en-US"/>
        </w:rPr>
        <w:t xml:space="preserve"> </w:t>
      </w:r>
      <w:r w:rsidRPr="00EE6C61">
        <w:rPr>
          <w:bCs/>
          <w:spacing w:val="-12"/>
          <w:szCs w:val="16"/>
          <w:lang w:val="es-CR" w:bidi="en-US"/>
        </w:rPr>
        <w:t>y</w:t>
      </w:r>
      <w:r w:rsidRPr="00EE6C61">
        <w:rPr>
          <w:spacing w:val="-12"/>
          <w:szCs w:val="16"/>
          <w:lang w:val="es-CR" w:bidi="en-US"/>
        </w:rPr>
        <w:t xml:space="preserve"> </w:t>
      </w:r>
      <w:r w:rsidRPr="008B3F8E">
        <w:rPr>
          <w:bCs/>
          <w:i/>
          <w:spacing w:val="-12"/>
          <w:szCs w:val="16"/>
        </w:rPr>
        <w:t>Caso López Soto y otros Vs. Venezuela</w:t>
      </w:r>
      <w:r>
        <w:rPr>
          <w:bCs/>
          <w:i/>
          <w:spacing w:val="-12"/>
          <w:szCs w:val="16"/>
        </w:rPr>
        <w:t xml:space="preserve">, </w:t>
      </w:r>
      <w:r w:rsidRPr="00BE27D0">
        <w:rPr>
          <w:bCs/>
          <w:spacing w:val="-12"/>
          <w:szCs w:val="16"/>
        </w:rPr>
        <w:t>párr.</w:t>
      </w:r>
      <w:r w:rsidRPr="00BE27D0">
        <w:rPr>
          <w:bCs/>
          <w:spacing w:val="-12"/>
          <w:szCs w:val="16"/>
          <w:lang w:val="es-CR"/>
        </w:rPr>
        <w:t xml:space="preserve"> </w:t>
      </w:r>
      <w:r>
        <w:rPr>
          <w:bCs/>
          <w:spacing w:val="-12"/>
          <w:szCs w:val="16"/>
          <w:lang w:val="es-CR"/>
        </w:rPr>
        <w:t>269.</w:t>
      </w:r>
    </w:p>
  </w:footnote>
  <w:footnote w:id="175">
    <w:p w:rsidR="00996758" w:rsidRPr="00EE6C61" w:rsidRDefault="00996758" w:rsidP="0010182D">
      <w:pPr>
        <w:autoSpaceDE w:val="0"/>
        <w:autoSpaceDN w:val="0"/>
        <w:adjustRightInd w:val="0"/>
        <w:spacing w:before="120" w:after="120" w:line="240" w:lineRule="auto"/>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iCs/>
          <w:spacing w:val="-12"/>
          <w:sz w:val="16"/>
          <w:szCs w:val="16"/>
        </w:rPr>
        <w:t>Cfr.</w:t>
      </w:r>
      <w:r w:rsidRPr="00EE6C61">
        <w:rPr>
          <w:rFonts w:ascii="Verdana" w:hAnsi="Verdana"/>
          <w:i/>
          <w:spacing w:val="-12"/>
          <w:sz w:val="16"/>
          <w:szCs w:val="16"/>
        </w:rPr>
        <w:t xml:space="preserve"> </w:t>
      </w:r>
      <w:r w:rsidRPr="00EE6C61">
        <w:rPr>
          <w:rFonts w:ascii="Verdana" w:hAnsi="Verdana" w:cs="Times New Roman"/>
          <w:i/>
          <w:spacing w:val="-12"/>
          <w:sz w:val="16"/>
          <w:szCs w:val="16"/>
        </w:rPr>
        <w:t>Caso Velásque</w:t>
      </w:r>
      <w:r>
        <w:rPr>
          <w:rFonts w:ascii="Verdana" w:hAnsi="Verdana" w:cs="Times New Roman"/>
          <w:i/>
          <w:spacing w:val="-12"/>
          <w:sz w:val="16"/>
          <w:szCs w:val="16"/>
        </w:rPr>
        <w:t>z Rodríguez Vs. Honduras. Fondo</w:t>
      </w:r>
      <w:r w:rsidRPr="00EE6C61">
        <w:rPr>
          <w:rFonts w:ascii="Verdana" w:hAnsi="Verdana"/>
          <w:i/>
          <w:spacing w:val="-12"/>
          <w:sz w:val="16"/>
          <w:szCs w:val="16"/>
        </w:rPr>
        <w:t xml:space="preserve">, </w:t>
      </w:r>
      <w:r w:rsidRPr="00EE6C61">
        <w:rPr>
          <w:rFonts w:ascii="Verdana" w:hAnsi="Verdana"/>
          <w:spacing w:val="-12"/>
          <w:sz w:val="16"/>
          <w:szCs w:val="16"/>
        </w:rPr>
        <w:t xml:space="preserve">párr. 181, y </w:t>
      </w:r>
      <w:r w:rsidRPr="00BE27D0">
        <w:rPr>
          <w:rFonts w:ascii="Verdana" w:hAnsi="Verdana"/>
          <w:i/>
          <w:spacing w:val="-12"/>
          <w:sz w:val="16"/>
          <w:szCs w:val="16"/>
        </w:rPr>
        <w:t xml:space="preserve">Caso </w:t>
      </w:r>
      <w:r w:rsidRPr="00C043D5">
        <w:rPr>
          <w:rFonts w:ascii="Verdana" w:hAnsi="Verdana"/>
          <w:i/>
          <w:spacing w:val="-12"/>
          <w:sz w:val="16"/>
          <w:szCs w:val="16"/>
        </w:rPr>
        <w:t>Terrones Silva y otros Vs. Perú</w:t>
      </w:r>
      <w:r>
        <w:rPr>
          <w:rFonts w:ascii="Verdana" w:hAnsi="Verdana"/>
          <w:i/>
          <w:spacing w:val="-12"/>
          <w:sz w:val="16"/>
          <w:szCs w:val="16"/>
        </w:rPr>
        <w:t xml:space="preserve">, </w:t>
      </w:r>
      <w:r>
        <w:rPr>
          <w:rFonts w:ascii="Verdana" w:hAnsi="Verdana"/>
          <w:spacing w:val="-12"/>
          <w:sz w:val="16"/>
          <w:szCs w:val="16"/>
        </w:rPr>
        <w:t>párr. 195</w:t>
      </w:r>
      <w:r w:rsidRPr="00EE6C61">
        <w:rPr>
          <w:rFonts w:ascii="Verdana" w:hAnsi="Verdana" w:cs="Times New Roman"/>
          <w:spacing w:val="-12"/>
          <w:sz w:val="16"/>
          <w:szCs w:val="16"/>
        </w:rPr>
        <w:t>.</w:t>
      </w:r>
    </w:p>
  </w:footnote>
  <w:footnote w:id="176">
    <w:p w:rsidR="00996758" w:rsidRPr="00EE6C61" w:rsidRDefault="00996758" w:rsidP="00103EC8">
      <w:pPr>
        <w:pStyle w:val="FootnoteText"/>
        <w:spacing w:before="120" w:after="120"/>
        <w:jc w:val="both"/>
        <w:rPr>
          <w:rFonts w:ascii="Verdana" w:hAnsi="Verdana"/>
          <w:spacing w:val="-4"/>
          <w:sz w:val="16"/>
          <w:szCs w:val="16"/>
        </w:rPr>
      </w:pPr>
      <w:r w:rsidRPr="00EE6C61">
        <w:rPr>
          <w:rStyle w:val="FootnoteReference"/>
          <w:rFonts w:ascii="Verdana" w:hAnsi="Verdana"/>
          <w:spacing w:val="-4"/>
          <w:sz w:val="16"/>
          <w:szCs w:val="16"/>
        </w:rPr>
        <w:footnoteRef/>
      </w:r>
      <w:r w:rsidRPr="00EE6C61">
        <w:rPr>
          <w:rFonts w:ascii="Verdana" w:hAnsi="Verdana"/>
          <w:spacing w:val="-4"/>
          <w:sz w:val="16"/>
          <w:szCs w:val="16"/>
        </w:rPr>
        <w:t xml:space="preserve"> </w:t>
      </w:r>
      <w:r w:rsidRPr="00EE6C61">
        <w:rPr>
          <w:rFonts w:ascii="Verdana" w:hAnsi="Verdana" w:cs="Times New Roman"/>
          <w:bCs/>
          <w:iCs/>
          <w:spacing w:val="-12"/>
          <w:sz w:val="16"/>
          <w:szCs w:val="16"/>
        </w:rPr>
        <w:tab/>
      </w:r>
      <w:r w:rsidRPr="00EE6C61">
        <w:rPr>
          <w:rFonts w:ascii="Verdana" w:hAnsi="Verdana" w:cs="Times New Roman"/>
          <w:bCs/>
          <w:i/>
          <w:iCs/>
          <w:spacing w:val="-12"/>
          <w:sz w:val="16"/>
          <w:szCs w:val="16"/>
        </w:rPr>
        <w:t>Cfr. Caso Contreras y otros Vs. El Salvador. Fondo, Reparaciones y Costas.</w:t>
      </w:r>
      <w:r w:rsidRPr="00EE6C61">
        <w:rPr>
          <w:rFonts w:ascii="Verdana" w:hAnsi="Verdana" w:cs="Times New Roman"/>
          <w:bCs/>
          <w:iCs/>
          <w:spacing w:val="-12"/>
          <w:sz w:val="16"/>
          <w:szCs w:val="16"/>
        </w:rPr>
        <w:t xml:space="preserve"> Sentencia de 31 de agosto de 2011. Serie C No. 232, párr. 191, </w:t>
      </w:r>
      <w:r w:rsidRPr="009E72E5">
        <w:rPr>
          <w:rFonts w:ascii="Verdana" w:hAnsi="Verdana"/>
          <w:i/>
          <w:spacing w:val="-12"/>
          <w:sz w:val="16"/>
          <w:szCs w:val="16"/>
        </w:rPr>
        <w:t xml:space="preserve">Caso </w:t>
      </w:r>
      <w:r w:rsidRPr="00C043D5">
        <w:rPr>
          <w:rFonts w:ascii="Verdana" w:hAnsi="Verdana"/>
          <w:i/>
          <w:spacing w:val="-12"/>
          <w:sz w:val="16"/>
          <w:szCs w:val="16"/>
        </w:rPr>
        <w:t>Terrones Silva y otros Vs. Perú</w:t>
      </w:r>
      <w:r>
        <w:rPr>
          <w:rFonts w:ascii="Verdana" w:hAnsi="Verdana"/>
          <w:i/>
          <w:spacing w:val="-12"/>
          <w:sz w:val="16"/>
          <w:szCs w:val="16"/>
        </w:rPr>
        <w:t xml:space="preserve">, </w:t>
      </w:r>
      <w:r>
        <w:rPr>
          <w:rFonts w:ascii="Verdana" w:hAnsi="Verdana"/>
          <w:spacing w:val="-12"/>
          <w:sz w:val="16"/>
          <w:szCs w:val="16"/>
        </w:rPr>
        <w:t>párr. 248</w:t>
      </w:r>
      <w:r w:rsidRPr="00EE6C61">
        <w:rPr>
          <w:rFonts w:ascii="Verdana" w:hAnsi="Verdana" w:cs="Times New Roman"/>
          <w:bCs/>
          <w:iCs/>
          <w:spacing w:val="-12"/>
          <w:sz w:val="16"/>
          <w:szCs w:val="16"/>
        </w:rPr>
        <w:t>.</w:t>
      </w:r>
      <w:r w:rsidRPr="00EE6C61">
        <w:rPr>
          <w:rFonts w:ascii="Verdana" w:hAnsi="Verdana"/>
          <w:spacing w:val="-4"/>
          <w:sz w:val="16"/>
          <w:szCs w:val="16"/>
        </w:rPr>
        <w:t xml:space="preserve"> </w:t>
      </w:r>
    </w:p>
  </w:footnote>
  <w:footnote w:id="177">
    <w:p w:rsidR="00996758" w:rsidRPr="00EE6C61" w:rsidRDefault="00996758" w:rsidP="005D3973">
      <w:pPr>
        <w:pStyle w:val="FootnoteText"/>
        <w:spacing w:before="120" w:after="120"/>
        <w:jc w:val="both"/>
        <w:rPr>
          <w:rFonts w:ascii="Verdana" w:hAnsi="Verdana"/>
          <w:spacing w:val="-4"/>
          <w:sz w:val="16"/>
          <w:szCs w:val="16"/>
        </w:rPr>
      </w:pPr>
      <w:r w:rsidRPr="00EE6C61">
        <w:rPr>
          <w:rStyle w:val="FootnoteReference"/>
          <w:rFonts w:ascii="Verdana" w:hAnsi="Verdana"/>
          <w:spacing w:val="-4"/>
          <w:sz w:val="16"/>
          <w:szCs w:val="16"/>
        </w:rPr>
        <w:footnoteRef/>
      </w:r>
      <w:r w:rsidRPr="00EE6C61">
        <w:rPr>
          <w:rFonts w:ascii="Verdana" w:hAnsi="Verdana"/>
          <w:spacing w:val="-4"/>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Caso19 Comerciantes Vs. Colombia</w:t>
      </w:r>
      <w:r w:rsidRPr="00EE6C61">
        <w:rPr>
          <w:rFonts w:ascii="Verdana" w:hAnsi="Verdana"/>
          <w:spacing w:val="-12"/>
          <w:sz w:val="16"/>
          <w:szCs w:val="16"/>
        </w:rPr>
        <w:t xml:space="preserve">, párr. 278, y </w:t>
      </w:r>
      <w:r w:rsidRPr="00BE27D0">
        <w:rPr>
          <w:rFonts w:ascii="Verdana" w:hAnsi="Verdana"/>
          <w:i/>
          <w:spacing w:val="-12"/>
          <w:sz w:val="16"/>
          <w:szCs w:val="16"/>
        </w:rPr>
        <w:t>Caso Carvajal Carvajal y otros Vs. Colombia</w:t>
      </w:r>
      <w:r>
        <w:rPr>
          <w:rFonts w:ascii="Verdana" w:hAnsi="Verdana"/>
          <w:i/>
          <w:spacing w:val="-12"/>
          <w:sz w:val="16"/>
          <w:szCs w:val="16"/>
        </w:rPr>
        <w:t xml:space="preserve">, </w:t>
      </w:r>
      <w:r>
        <w:rPr>
          <w:rFonts w:ascii="Verdana" w:hAnsi="Verdana"/>
          <w:spacing w:val="-12"/>
          <w:sz w:val="16"/>
          <w:szCs w:val="16"/>
        </w:rPr>
        <w:t>párr. 206</w:t>
      </w:r>
      <w:r w:rsidRPr="00EE6C61">
        <w:rPr>
          <w:rFonts w:ascii="Verdana" w:hAnsi="Verdana"/>
          <w:spacing w:val="-12"/>
          <w:sz w:val="16"/>
          <w:szCs w:val="16"/>
        </w:rPr>
        <w:t>.</w:t>
      </w:r>
      <w:r w:rsidRPr="00EE6C61">
        <w:rPr>
          <w:rStyle w:val="Strong"/>
          <w:rFonts w:ascii="Verdana" w:hAnsi="Verdana"/>
          <w:color w:val="000000"/>
          <w:sz w:val="16"/>
          <w:szCs w:val="16"/>
        </w:rPr>
        <w:t xml:space="preserve"> </w:t>
      </w:r>
    </w:p>
  </w:footnote>
  <w:footnote w:id="178">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bCs/>
          <w:spacing w:val="-12"/>
          <w:sz w:val="16"/>
          <w:szCs w:val="16"/>
        </w:rPr>
        <w:tab/>
        <w:t>Solicitaron que el acto sea acordado con las víctimas y sus representantes, por parte de altas autoridades del Estado y con la más amplia difusión posible en medios de comunicación televisivos, de radio, digitales y de prensa del orden nacional.</w:t>
      </w:r>
    </w:p>
  </w:footnote>
  <w:footnote w:id="179">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bCs/>
          <w:spacing w:val="-12"/>
          <w:sz w:val="16"/>
          <w:szCs w:val="16"/>
        </w:rPr>
        <w:tab/>
        <w:t>Solicitaron que se publique en el Diario Oficial (de las partes relevantes, incluyendo los nombres de cada capítulo y el apartado respectivo, así como la parte resolutiva); en un diario de amplia circulación nacional (resumen oficial); y en el sitio web oficial de la Presidencia de la República, del Ministerio de Relaciones Exteriores y del Ministerio del Trabajo y Seguridad Social (en forma inmediata y el texto íntegro)</w:t>
      </w:r>
    </w:p>
  </w:footnote>
  <w:footnote w:id="180">
    <w:p w:rsidR="00996758" w:rsidRPr="00EE6C61" w:rsidRDefault="00996758" w:rsidP="00103EC8">
      <w:pPr>
        <w:pStyle w:val="FootnoteText"/>
        <w:spacing w:before="120" w:after="120"/>
        <w:jc w:val="both"/>
        <w:rPr>
          <w:rFonts w:ascii="Verdana" w:hAnsi="Verdana"/>
          <w:i/>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 xml:space="preserve">Cfr. </w:t>
      </w:r>
      <w:r w:rsidRPr="00EE6C61">
        <w:rPr>
          <w:rFonts w:ascii="Verdana" w:hAnsi="Verdana"/>
          <w:bCs/>
          <w:i/>
          <w:spacing w:val="-12"/>
          <w:sz w:val="16"/>
          <w:szCs w:val="16"/>
        </w:rPr>
        <w:t xml:space="preserve">Caso Chitay Nech y otros Vs. Guatemala. Excepciones Preliminares, Fondo, Reparaciones y Costas. </w:t>
      </w:r>
      <w:r w:rsidRPr="00EE6C61">
        <w:rPr>
          <w:rFonts w:ascii="Verdana" w:hAnsi="Verdana"/>
          <w:bCs/>
          <w:spacing w:val="-12"/>
          <w:sz w:val="16"/>
          <w:szCs w:val="16"/>
        </w:rPr>
        <w:t>Sentencia de 25 de mayo de 2010. Serie C No. 212</w:t>
      </w:r>
      <w:r w:rsidRPr="00EE6C61">
        <w:rPr>
          <w:rFonts w:ascii="Verdana" w:hAnsi="Verdana"/>
          <w:bCs/>
          <w:i/>
          <w:spacing w:val="-12"/>
          <w:sz w:val="16"/>
          <w:szCs w:val="16"/>
        </w:rPr>
        <w:t xml:space="preserve">, </w:t>
      </w:r>
      <w:r w:rsidRPr="00EE6C61">
        <w:rPr>
          <w:rFonts w:ascii="Verdana" w:hAnsi="Verdana"/>
          <w:bCs/>
          <w:spacing w:val="-12"/>
          <w:sz w:val="16"/>
          <w:szCs w:val="16"/>
        </w:rPr>
        <w:t xml:space="preserve">párr. 244; y </w:t>
      </w:r>
      <w:r>
        <w:rPr>
          <w:rFonts w:ascii="Verdana" w:hAnsi="Verdana"/>
          <w:bCs/>
          <w:i/>
          <w:spacing w:val="-12"/>
          <w:sz w:val="16"/>
          <w:szCs w:val="16"/>
        </w:rPr>
        <w:t>C</w:t>
      </w:r>
      <w:r w:rsidRPr="00C043D5">
        <w:rPr>
          <w:rFonts w:ascii="Verdana" w:hAnsi="Verdana"/>
          <w:bCs/>
          <w:i/>
          <w:spacing w:val="-12"/>
          <w:sz w:val="16"/>
          <w:szCs w:val="16"/>
        </w:rPr>
        <w:t>aso L</w:t>
      </w:r>
      <w:r>
        <w:rPr>
          <w:rFonts w:ascii="Verdana" w:hAnsi="Verdana"/>
          <w:bCs/>
          <w:i/>
          <w:spacing w:val="-12"/>
          <w:sz w:val="16"/>
          <w:szCs w:val="16"/>
        </w:rPr>
        <w:t>ópez Soto y otros Vs. Venezuela</w:t>
      </w:r>
      <w:r w:rsidRPr="00BE27D0">
        <w:rPr>
          <w:rFonts w:ascii="Verdana" w:hAnsi="Verdana"/>
          <w:bCs/>
          <w:spacing w:val="-12"/>
          <w:sz w:val="16"/>
          <w:szCs w:val="16"/>
        </w:rPr>
        <w:t>, párr. 299.</w:t>
      </w:r>
    </w:p>
  </w:footnote>
  <w:footnote w:id="181">
    <w:p w:rsidR="00996758" w:rsidRPr="00EE6C61" w:rsidRDefault="00996758" w:rsidP="00B072B4">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El Estado refirió a una serie de medidas adoptadas: </w:t>
      </w:r>
      <w:r w:rsidRPr="00EE6C61">
        <w:rPr>
          <w:rFonts w:ascii="Verdana" w:eastAsia="Times New Roman" w:hAnsi="Verdana" w:cs="Times New Roman"/>
          <w:spacing w:val="-12"/>
          <w:sz w:val="16"/>
          <w:szCs w:val="16"/>
        </w:rPr>
        <w:t>la creación en 1997 del Programa de Protección para enfrentar las consecuencias de la situación de violencia contra grupos de población vulnerables, reflejándose desde 2003 en una disminución del 61% en el homicidio de sindicalistas. En materia de protección de líderes sindicales y activistas laborales, el Ministerio del Interior amplió en 2011 el alcance de la definición de los sindicalistas sujetos de protección; en 2011 fue creada la Unidad Nacional de Protección -UNP, que ha realizado más de 3000 estudios de nivel de riesgo, con 500 dirigentes y activistas sindicales con medidas de protección; en 2015 el Programa de Prevención y Protección de los derechos de determinadas personas;</w:t>
      </w:r>
      <w:r w:rsidRPr="00EE6C61">
        <w:rPr>
          <w:rFonts w:ascii="Verdana" w:hAnsi="Verdana"/>
          <w:spacing w:val="-12"/>
          <w:sz w:val="16"/>
          <w:szCs w:val="16"/>
        </w:rPr>
        <w:t xml:space="preserve"> capacitaciones a los fiscales encargados de manejar violaciones al derecho de la libertad sindical y delitos de violencia anti-sindicalista; la Ley 1453 de 2011 mediante la cual se sancionan actos o conductas de perturbación al derecho de asociación sindical; la creación de la Comisión Interinstitucional de Derechos Humanos de los Trabajadores y de la Comisión Especial de Tratamiento de Conflictos ante la OIT. </w:t>
      </w:r>
      <w:r>
        <w:rPr>
          <w:rFonts w:ascii="Verdana" w:hAnsi="Verdana"/>
          <w:spacing w:val="-12"/>
          <w:sz w:val="16"/>
          <w:szCs w:val="16"/>
        </w:rPr>
        <w:t xml:space="preserve">Señaló que </w:t>
      </w:r>
      <w:r w:rsidRPr="00EE6C61">
        <w:rPr>
          <w:rFonts w:ascii="Verdana" w:hAnsi="Verdana"/>
          <w:spacing w:val="-12"/>
          <w:sz w:val="16"/>
          <w:szCs w:val="16"/>
        </w:rPr>
        <w:t>se ha disminuido en un 51% en el número de homicidios de líderes sindicales.</w:t>
      </w:r>
    </w:p>
  </w:footnote>
  <w:footnote w:id="182">
    <w:p w:rsidR="00996758" w:rsidRPr="00EE6C61" w:rsidRDefault="00996758" w:rsidP="00B072B4">
      <w:pPr>
        <w:pStyle w:val="FootnoteText"/>
        <w:spacing w:before="120" w:after="120"/>
        <w:jc w:val="both"/>
        <w:rPr>
          <w:rFonts w:ascii="Verdana" w:hAnsi="Verdana"/>
          <w:spacing w:val="-12"/>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El Estado hizo referencia a la declaración rendida ante la Corte por la señora Paula Gaviria Betancur, </w:t>
      </w:r>
      <w:r>
        <w:rPr>
          <w:rFonts w:ascii="Verdana" w:hAnsi="Verdana"/>
          <w:spacing w:val="-12"/>
          <w:sz w:val="16"/>
          <w:szCs w:val="16"/>
        </w:rPr>
        <w:t xml:space="preserve">ex </w:t>
      </w:r>
      <w:r w:rsidRPr="00EE6C61">
        <w:rPr>
          <w:rFonts w:ascii="Verdana" w:hAnsi="Verdana"/>
          <w:spacing w:val="-12"/>
          <w:sz w:val="16"/>
          <w:szCs w:val="16"/>
        </w:rPr>
        <w:t xml:space="preserve">Consejera Presidencial para los Derechos Humanos, quien informó que la Unidad para las Víctimas realizó en el año 2012, en coordinación con el Ministerio del Trabajo, la convocatoria al movimiento sindical para iniciar un proceso de reparación colectiva; que las centrales sindicales Confederación General del Trabajo (CGT), Central Unitaria de Trabajadores (CUT), Confederación de Trabajadores de Colombia (CTC) y la Federación Colombiana de Educadores (FECODE) definieron su representación; y que se construyó una estrategia de comunicaciones como un ejercicio de fortalecimiento, no estigmatización y visibilización del proceso de reparación al sindicalismo, luego de lo cual se creó la Mesa Permanente de Concertación con dicha centrales sindicales y el Gobierno Nacional reconoció la victimización colectiva al movimiento sindical. </w:t>
      </w:r>
    </w:p>
  </w:footnote>
  <w:footnote w:id="183">
    <w:p w:rsidR="00996758" w:rsidRPr="00EE6C61" w:rsidRDefault="00996758" w:rsidP="00B072B4">
      <w:pPr>
        <w:pStyle w:val="FootnoteText"/>
        <w:spacing w:before="120" w:after="120"/>
        <w:jc w:val="both"/>
        <w:rPr>
          <w:rFonts w:ascii="Verdana" w:hAnsi="Verdana"/>
          <w:spacing w:val="-12"/>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El Estado refirió a lo siguiente: creación en 2017 de la Unidad especial de investigación para el desmantelamiento de organizaciones y conductas criminales responsables de conductas cometidas contra organizaciones defensoras de derechos humanos y movimientos políticos; y en 2000 y 2010 y 2017 programas de protección colectivos y específico para dirigentes, miembros y sobrevivientes de la UP y el Partido Comunista, producto de la búsqueda de solución amistosa entre 1999 y 2006 con la UP en el marco de la petición ante la Comisión; convocatoria del Gobierno Nacional a partidos y movimientos políticos y dos expertos delegados por las FARC-EP para la conformación de una comisión que construya lineamientos del estatuto de garantías para la oposición; el Sistema Integral de Seguridad para el Ejercicio de la Política en 2017; y acercamiento desde el 2013 de la Unidad de Victimas con representantes de la UP para ofrecer su vinculación al Programa de Reparación Colectiva (con lo que se creó un Comité de Garantías Electorales para el Partido Político de la UP).</w:t>
      </w:r>
    </w:p>
  </w:footnote>
  <w:footnote w:id="184">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spacing w:val="-12"/>
          <w:sz w:val="16"/>
          <w:szCs w:val="16"/>
        </w:rPr>
        <w:t>Los representantes alegaron que</w:t>
      </w:r>
      <w:r w:rsidRPr="00EE6C61">
        <w:rPr>
          <w:rFonts w:ascii="Verdana" w:eastAsia="Verdana" w:hAnsi="Verdana" w:cs="Verdana"/>
          <w:sz w:val="16"/>
          <w:szCs w:val="16"/>
        </w:rPr>
        <w:t xml:space="preserve"> </w:t>
      </w:r>
      <w:r>
        <w:rPr>
          <w:rFonts w:ascii="Verdana" w:hAnsi="Verdana"/>
          <w:spacing w:val="-12"/>
          <w:sz w:val="16"/>
          <w:szCs w:val="16"/>
        </w:rPr>
        <w:t xml:space="preserve">Víctor Manuel Isaza Uribe, con su trabajo durante </w:t>
      </w:r>
      <w:r w:rsidRPr="00EE6C61">
        <w:rPr>
          <w:rFonts w:ascii="Verdana" w:hAnsi="Verdana"/>
          <w:spacing w:val="-12"/>
          <w:sz w:val="16"/>
          <w:szCs w:val="16"/>
        </w:rPr>
        <w:t xml:space="preserve">12 años en la empresa Cementos Nare S.A, aportaba económicamente </w:t>
      </w:r>
      <w:r>
        <w:rPr>
          <w:rFonts w:ascii="Verdana" w:hAnsi="Verdana"/>
          <w:spacing w:val="-12"/>
          <w:sz w:val="16"/>
          <w:szCs w:val="16"/>
        </w:rPr>
        <w:t>a su familia y, c</w:t>
      </w:r>
      <w:r w:rsidRPr="00EE6C61">
        <w:rPr>
          <w:rFonts w:ascii="Verdana" w:hAnsi="Verdana"/>
          <w:spacing w:val="-12"/>
          <w:sz w:val="16"/>
          <w:szCs w:val="16"/>
        </w:rPr>
        <w:t xml:space="preserve">omo consecuencia de su desaparición, su esposa Carmenza Vélez se vio obligada a buscar nuevas fuentes de ingresos para mantener y educar a sus dos hijos, pues al no tener certeza de su muerte no ha podido acceder a la pensión que le correspondería. El monto </w:t>
      </w:r>
      <w:r>
        <w:rPr>
          <w:rFonts w:ascii="Verdana" w:hAnsi="Verdana"/>
          <w:spacing w:val="-12"/>
          <w:sz w:val="16"/>
          <w:szCs w:val="16"/>
        </w:rPr>
        <w:t xml:space="preserve">solicitado por </w:t>
      </w:r>
      <w:r w:rsidRPr="00EE6C61">
        <w:rPr>
          <w:rFonts w:ascii="Verdana" w:hAnsi="Verdana"/>
          <w:spacing w:val="-12"/>
          <w:sz w:val="16"/>
          <w:szCs w:val="16"/>
        </w:rPr>
        <w:t xml:space="preserve">lucro cesante </w:t>
      </w:r>
      <w:r>
        <w:rPr>
          <w:rFonts w:ascii="Verdana" w:hAnsi="Verdana"/>
          <w:spacing w:val="-12"/>
          <w:sz w:val="16"/>
          <w:szCs w:val="16"/>
        </w:rPr>
        <w:t xml:space="preserve">fue </w:t>
      </w:r>
      <w:r w:rsidRPr="00EE6C61">
        <w:rPr>
          <w:rFonts w:ascii="Verdana" w:hAnsi="Verdana"/>
          <w:spacing w:val="-12"/>
          <w:sz w:val="16"/>
          <w:szCs w:val="16"/>
        </w:rPr>
        <w:t xml:space="preserve">determinado </w:t>
      </w:r>
      <w:r>
        <w:rPr>
          <w:rFonts w:ascii="Verdana" w:hAnsi="Verdana"/>
          <w:spacing w:val="-12"/>
          <w:sz w:val="16"/>
          <w:szCs w:val="16"/>
        </w:rPr>
        <w:t xml:space="preserve">con base en </w:t>
      </w:r>
      <w:r w:rsidRPr="00EE6C61">
        <w:rPr>
          <w:rFonts w:ascii="Verdana" w:hAnsi="Verdana"/>
          <w:spacing w:val="-12"/>
          <w:sz w:val="16"/>
          <w:szCs w:val="16"/>
        </w:rPr>
        <w:t xml:space="preserve">un peritaje </w:t>
      </w:r>
      <w:r>
        <w:rPr>
          <w:rFonts w:ascii="Verdana" w:hAnsi="Verdana"/>
          <w:spacing w:val="-12"/>
          <w:sz w:val="16"/>
          <w:szCs w:val="16"/>
        </w:rPr>
        <w:t>del señor Fernando Ruiz.</w:t>
      </w:r>
    </w:p>
  </w:footnote>
  <w:footnote w:id="185">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color w:val="000000"/>
          <w:spacing w:val="-12"/>
          <w:sz w:val="16"/>
          <w:szCs w:val="16"/>
        </w:rPr>
        <w:footnoteRef/>
      </w:r>
      <w:r w:rsidRPr="00EE6C61">
        <w:rPr>
          <w:rFonts w:ascii="Verdana" w:hAnsi="Verdana"/>
          <w:spacing w:val="-12"/>
          <w:sz w:val="16"/>
          <w:szCs w:val="16"/>
        </w:rPr>
        <w:tab/>
        <w:t xml:space="preserve">Este Tribunal ha establecido que el daño material supone “la pérdida o detrimento de los ingresos de las víctimas, los gastos efectuados con motivo de los hechos y las consecuencias de carácter pecuniario que tengan un nexo causal con los hechos del caso”. </w:t>
      </w:r>
      <w:r w:rsidRPr="00EE6C61">
        <w:rPr>
          <w:rFonts w:ascii="Verdana" w:hAnsi="Verdana"/>
          <w:i/>
          <w:spacing w:val="-12"/>
          <w:sz w:val="16"/>
          <w:szCs w:val="16"/>
        </w:rPr>
        <w:t>Caso Bámaca Velásquez Vs. Guatemala. Reparaciones y Costas</w:t>
      </w:r>
      <w:r w:rsidRPr="00EE6C61">
        <w:rPr>
          <w:rFonts w:ascii="Verdana" w:hAnsi="Verdana"/>
          <w:spacing w:val="-12"/>
          <w:sz w:val="16"/>
          <w:szCs w:val="16"/>
        </w:rPr>
        <w:t xml:space="preserve">. Sentencia de 22 de febrero de 2002. Serie C No. 91, párr. 43, y </w:t>
      </w:r>
      <w:r w:rsidRPr="008B3F8E">
        <w:rPr>
          <w:rFonts w:ascii="Verdana" w:hAnsi="Verdana"/>
          <w:bCs/>
          <w:i/>
          <w:spacing w:val="-12"/>
          <w:sz w:val="16"/>
          <w:szCs w:val="16"/>
        </w:rPr>
        <w:t>Caso López Soto y otros Vs. Venezuela</w:t>
      </w:r>
      <w:r>
        <w:rPr>
          <w:rFonts w:ascii="Verdana" w:hAnsi="Verdana"/>
          <w:bCs/>
          <w:i/>
          <w:spacing w:val="-12"/>
          <w:sz w:val="16"/>
          <w:szCs w:val="16"/>
        </w:rPr>
        <w:t xml:space="preserve">, </w:t>
      </w:r>
      <w:r w:rsidRPr="00BE27D0">
        <w:rPr>
          <w:rFonts w:ascii="Verdana" w:hAnsi="Verdana"/>
          <w:bCs/>
          <w:spacing w:val="-12"/>
          <w:sz w:val="16"/>
          <w:szCs w:val="16"/>
        </w:rPr>
        <w:t>párr. 359</w:t>
      </w:r>
      <w:r w:rsidRPr="00EE6C61">
        <w:rPr>
          <w:rFonts w:ascii="Verdana" w:hAnsi="Verdana"/>
          <w:spacing w:val="-12"/>
          <w:sz w:val="16"/>
          <w:szCs w:val="16"/>
        </w:rPr>
        <w:t>.</w:t>
      </w:r>
    </w:p>
  </w:footnote>
  <w:footnote w:id="186">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El perito tomó como fecha de inicio para el cálculo el 27 de octubre de 2007, momento en que la víctima habría cumplido su condena y se podría reincorporar a la vida laboral, y el 31 de octubre de 2014, </w:t>
      </w:r>
      <w:r>
        <w:rPr>
          <w:rFonts w:ascii="Verdana" w:hAnsi="Verdana"/>
          <w:spacing w:val="-12"/>
          <w:sz w:val="16"/>
          <w:szCs w:val="16"/>
        </w:rPr>
        <w:t>cuando</w:t>
      </w:r>
      <w:r w:rsidRPr="00EE6C61">
        <w:rPr>
          <w:rFonts w:ascii="Verdana" w:hAnsi="Verdana"/>
          <w:spacing w:val="-12"/>
          <w:sz w:val="16"/>
          <w:szCs w:val="16"/>
        </w:rPr>
        <w:t xml:space="preserve"> habría cumplido la edad de pensión establecida en la ley colombiana. Posteriormente, analizó el lucro cesante futuro comprendido entre el 31 de diciembre de 2017 y la fecha estimada de muerte. Para calcular los ingresos, el perito Ruiz</w:t>
      </w:r>
      <w:r>
        <w:rPr>
          <w:rFonts w:ascii="Verdana" w:hAnsi="Verdana"/>
          <w:spacing w:val="-12"/>
          <w:sz w:val="16"/>
          <w:szCs w:val="16"/>
        </w:rPr>
        <w:t xml:space="preserve"> Acosta</w:t>
      </w:r>
      <w:r w:rsidRPr="00EE6C61">
        <w:rPr>
          <w:rFonts w:ascii="Verdana" w:hAnsi="Verdana"/>
          <w:spacing w:val="-12"/>
          <w:sz w:val="16"/>
          <w:szCs w:val="16"/>
        </w:rPr>
        <w:t xml:space="preserve"> consideró, en atención a las restricciones del </w:t>
      </w:r>
      <w:r w:rsidRPr="00EE6C61">
        <w:rPr>
          <w:rFonts w:ascii="Verdana" w:hAnsi="Verdana"/>
          <w:i/>
          <w:spacing w:val="-12"/>
          <w:sz w:val="16"/>
          <w:szCs w:val="16"/>
        </w:rPr>
        <w:t>ius variandi</w:t>
      </w:r>
      <w:r w:rsidRPr="00EE6C61">
        <w:rPr>
          <w:rFonts w:ascii="Verdana" w:hAnsi="Verdana"/>
          <w:spacing w:val="-12"/>
          <w:sz w:val="16"/>
          <w:szCs w:val="16"/>
        </w:rPr>
        <w:t>, que al reincorporarse a la vida laboral la víctima habría ostentado, al menos, el mismo cargo o salario que devengaba antes de su detención y, teniendo en cuenta la expectativa de vida en Colombia, estableció que, de conformidad con las fórmulas del Consejo de Estado, el lucro cesante consolidado de la víctima corresponde a $699.359.813 pesos (US$244.171,00), y el lucro cesante futuro $572.872.800 pesos (US$200.010.00) para un total de $1.272.232.613 pesos (US$444.182,00), a</w:t>
      </w:r>
      <w:r>
        <w:rPr>
          <w:rFonts w:ascii="Verdana" w:hAnsi="Verdana"/>
          <w:spacing w:val="-12"/>
          <w:sz w:val="16"/>
          <w:szCs w:val="16"/>
        </w:rPr>
        <w:t>l</w:t>
      </w:r>
      <w:r w:rsidRPr="00EE6C61">
        <w:rPr>
          <w:rFonts w:ascii="Verdana" w:hAnsi="Verdana"/>
          <w:spacing w:val="-12"/>
          <w:sz w:val="16"/>
          <w:szCs w:val="16"/>
        </w:rPr>
        <w:t xml:space="preserve"> 2 de marzo de 2018 con una tasa representativa de 2.864,21 pesos colombianos por dólar estadounidense según la Bolsa de Nueva York. </w:t>
      </w:r>
      <w:r w:rsidRPr="00EE6C61">
        <w:rPr>
          <w:rFonts w:ascii="Verdana" w:hAnsi="Verdana"/>
          <w:i/>
          <w:spacing w:val="-12"/>
          <w:sz w:val="16"/>
          <w:szCs w:val="16"/>
        </w:rPr>
        <w:t xml:space="preserve">Cfr. </w:t>
      </w:r>
      <w:r w:rsidRPr="00EE6C61">
        <w:rPr>
          <w:rFonts w:ascii="Verdana" w:hAnsi="Verdana"/>
          <w:spacing w:val="-12"/>
          <w:sz w:val="16"/>
          <w:szCs w:val="16"/>
        </w:rPr>
        <w:t>Declaración escrita del perito Fernando Ruiz (exp. prueba, ff. 7022-7026)</w:t>
      </w:r>
    </w:p>
  </w:footnote>
  <w:footnote w:id="187">
    <w:p w:rsidR="00996758" w:rsidRPr="00EE6C61" w:rsidRDefault="00996758" w:rsidP="00103EC8">
      <w:pPr>
        <w:pStyle w:val="FootnoteText"/>
        <w:spacing w:before="120" w:after="120"/>
        <w:jc w:val="both"/>
        <w:rPr>
          <w:rFonts w:ascii="Verdana" w:hAnsi="Verdana"/>
          <w:b/>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Alegaron que se configura un profundo daño moral para las víctimas en razón de la desaparición, la estigmatización </w:t>
      </w:r>
      <w:r>
        <w:rPr>
          <w:rFonts w:ascii="Verdana" w:hAnsi="Verdana"/>
          <w:spacing w:val="-12"/>
          <w:sz w:val="16"/>
          <w:szCs w:val="16"/>
        </w:rPr>
        <w:t>sufrida por</w:t>
      </w:r>
      <w:r w:rsidRPr="00EE6C61">
        <w:rPr>
          <w:rFonts w:ascii="Verdana" w:hAnsi="Verdana"/>
          <w:spacing w:val="-12"/>
          <w:sz w:val="16"/>
          <w:szCs w:val="16"/>
        </w:rPr>
        <w:t xml:space="preserve"> los familiares y la persistente impunidad; que el Estado ha negado sistemáticamente </w:t>
      </w:r>
      <w:r>
        <w:rPr>
          <w:rFonts w:ascii="Verdana" w:hAnsi="Verdana"/>
          <w:spacing w:val="-12"/>
          <w:sz w:val="16"/>
          <w:szCs w:val="16"/>
        </w:rPr>
        <w:t>la</w:t>
      </w:r>
      <w:r w:rsidRPr="00EE6C61">
        <w:rPr>
          <w:rFonts w:ascii="Verdana" w:hAnsi="Verdana"/>
          <w:spacing w:val="-12"/>
          <w:sz w:val="16"/>
          <w:szCs w:val="16"/>
        </w:rPr>
        <w:t xml:space="preserve"> desaparición forzada, no obstante tenerlo registrado en una base de datos oficial (el SIRDEC) como desaparecido; y que el proyecto de vida de los familiares se vio profundamente truncado. Solicitan que, en equidad, la Corte ordene una compensación por concepto de daño inmaterial de $80.000,00 dólares a favor de Carmenza Vélez, Jhony Alexander Isaza Vélez, y Haner Alexis Isaza Vélez y, por el daño directo y menoscabo moral generado por las violaciones sufridas directamente por Víctor Manuel Isaza Uribe, el pago de US $100.000,00 dólares, que deberá ser distribuida entre su esposa e hijos.</w:t>
      </w:r>
    </w:p>
  </w:footnote>
  <w:footnote w:id="188">
    <w:p w:rsidR="00996758" w:rsidRPr="00EE6C61" w:rsidRDefault="00996758" w:rsidP="00103EC8">
      <w:pPr>
        <w:spacing w:before="120" w:after="120" w:line="240" w:lineRule="auto"/>
        <w:contextualSpacing/>
        <w:jc w:val="both"/>
        <w:rPr>
          <w:rFonts w:ascii="Verdana" w:eastAsia="Times New Roman"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 Caso Suárez Rosero Vs. Ecuador. Reparaciones y Costas</w:t>
      </w:r>
      <w:r w:rsidRPr="00EE6C61">
        <w:rPr>
          <w:rFonts w:ascii="Verdana" w:hAnsi="Verdana"/>
          <w:spacing w:val="-12"/>
          <w:sz w:val="16"/>
          <w:szCs w:val="16"/>
        </w:rPr>
        <w:t xml:space="preserve">. Sentencia de 20 de enero de 1999. Serie C No. 44, párr. 72, y </w:t>
      </w:r>
      <w:r w:rsidRPr="00BE27D0">
        <w:rPr>
          <w:rFonts w:ascii="Verdana" w:hAnsi="Verdana"/>
          <w:i/>
          <w:spacing w:val="-12"/>
          <w:sz w:val="16"/>
          <w:szCs w:val="16"/>
        </w:rPr>
        <w:t>Caso Munárriz Escobar y otros Vs. Perú</w:t>
      </w:r>
      <w:r w:rsidRPr="00EE6C61">
        <w:rPr>
          <w:rFonts w:ascii="Verdana" w:hAnsi="Verdana"/>
          <w:bCs/>
          <w:spacing w:val="-12"/>
          <w:sz w:val="16"/>
          <w:szCs w:val="16"/>
        </w:rPr>
        <w:t xml:space="preserve">, párr. </w:t>
      </w:r>
      <w:r>
        <w:rPr>
          <w:rFonts w:ascii="Verdana" w:hAnsi="Verdana"/>
          <w:bCs/>
          <w:spacing w:val="-12"/>
          <w:sz w:val="16"/>
          <w:szCs w:val="16"/>
        </w:rPr>
        <w:t>144</w:t>
      </w:r>
      <w:r w:rsidRPr="00EE6C61">
        <w:rPr>
          <w:rFonts w:ascii="Verdana" w:eastAsia="Times New Roman" w:hAnsi="Verdana"/>
          <w:bCs/>
          <w:color w:val="000000"/>
          <w:spacing w:val="-12"/>
          <w:sz w:val="16"/>
          <w:szCs w:val="16"/>
        </w:rPr>
        <w:t>.</w:t>
      </w:r>
    </w:p>
  </w:footnote>
  <w:footnote w:id="189">
    <w:p w:rsidR="00996758" w:rsidRPr="00EE6C61" w:rsidRDefault="00996758" w:rsidP="00103EC8">
      <w:pPr>
        <w:pStyle w:val="NormalWeb"/>
        <w:spacing w:before="120" w:beforeAutospacing="0" w:after="120" w:afterAutospacing="0"/>
        <w:contextualSpacing/>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La Corte </w:t>
      </w:r>
      <w:r w:rsidRPr="00EE6C61">
        <w:rPr>
          <w:rFonts w:ascii="Verdana" w:hAnsi="Verdana"/>
          <w:iCs/>
          <w:spacing w:val="-12"/>
          <w:sz w:val="16"/>
          <w:szCs w:val="16"/>
        </w:rPr>
        <w:t xml:space="preserve">ha establecido que el daño inmaterial puede comprender tanto los sufrimientos y las aflicciones causados por la violación de derechos, como el menoscabo de valores muy significativos para las personas y cualquier alteración, de carácter no pecuniario, en las condiciones de existencia de las víctimas.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términos de equidad. </w:t>
      </w:r>
      <w:r w:rsidRPr="00EE6C61">
        <w:rPr>
          <w:rFonts w:ascii="Verdana" w:hAnsi="Verdana"/>
          <w:i/>
          <w:iCs/>
          <w:spacing w:val="-12"/>
          <w:sz w:val="16"/>
          <w:szCs w:val="16"/>
        </w:rPr>
        <w:t>Cfr. Caso de los “Niños de la Calle” (Villagrán Morales y otros) Vs. Guatemala. Reparaciones y Costas</w:t>
      </w:r>
      <w:r w:rsidRPr="00EE6C61">
        <w:rPr>
          <w:rFonts w:ascii="Verdana" w:hAnsi="Verdana"/>
          <w:spacing w:val="-12"/>
          <w:sz w:val="16"/>
          <w:szCs w:val="16"/>
        </w:rPr>
        <w:t>. Sentencia de 26 de mayo de 2001. Serie C No. 77</w:t>
      </w:r>
      <w:r w:rsidRPr="00EE6C61">
        <w:rPr>
          <w:rFonts w:ascii="Verdana" w:hAnsi="Verdana"/>
          <w:i/>
          <w:iCs/>
          <w:spacing w:val="-12"/>
          <w:sz w:val="16"/>
          <w:szCs w:val="16"/>
        </w:rPr>
        <w:t xml:space="preserve">, </w:t>
      </w:r>
      <w:r w:rsidRPr="00EE6C61">
        <w:rPr>
          <w:rFonts w:ascii="Verdana" w:hAnsi="Verdana"/>
          <w:spacing w:val="-12"/>
          <w:sz w:val="16"/>
          <w:szCs w:val="16"/>
        </w:rPr>
        <w:t xml:space="preserve">párr. 84; </w:t>
      </w:r>
      <w:r w:rsidRPr="00EE6C61">
        <w:rPr>
          <w:rFonts w:ascii="Verdana" w:hAnsi="Verdana"/>
          <w:i/>
          <w:iCs/>
          <w:spacing w:val="-12"/>
          <w:sz w:val="16"/>
          <w:szCs w:val="16"/>
        </w:rPr>
        <w:t>Caso Cantoral Benavides Vs. Perú. Reparaciones y Costas</w:t>
      </w:r>
      <w:r w:rsidRPr="00EE6C61">
        <w:rPr>
          <w:rFonts w:ascii="Verdana" w:hAnsi="Verdana"/>
          <w:bCs/>
          <w:iCs/>
          <w:spacing w:val="-12"/>
          <w:sz w:val="16"/>
          <w:szCs w:val="16"/>
        </w:rPr>
        <w:t>. Sentencia de 3 de diciembre de 2001. Serie C No. 88</w:t>
      </w:r>
      <w:r w:rsidRPr="00EE6C61">
        <w:rPr>
          <w:rFonts w:ascii="Verdana" w:hAnsi="Verdana"/>
          <w:iCs/>
          <w:spacing w:val="-12"/>
          <w:sz w:val="16"/>
          <w:szCs w:val="16"/>
        </w:rPr>
        <w:t>,</w:t>
      </w:r>
      <w:r w:rsidRPr="00EE6C61">
        <w:rPr>
          <w:rFonts w:ascii="Verdana" w:hAnsi="Verdana"/>
          <w:i/>
          <w:iCs/>
          <w:spacing w:val="-12"/>
          <w:sz w:val="16"/>
          <w:szCs w:val="16"/>
        </w:rPr>
        <w:t xml:space="preserve"> </w:t>
      </w:r>
      <w:r w:rsidRPr="00EE6C61">
        <w:rPr>
          <w:rFonts w:ascii="Verdana" w:hAnsi="Verdana"/>
          <w:spacing w:val="-12"/>
          <w:sz w:val="16"/>
          <w:szCs w:val="16"/>
        </w:rPr>
        <w:t xml:space="preserve">párr. 53, y </w:t>
      </w:r>
      <w:r w:rsidRPr="009E72E5">
        <w:rPr>
          <w:rFonts w:ascii="Verdana" w:hAnsi="Verdana"/>
          <w:i/>
          <w:spacing w:val="-12"/>
          <w:sz w:val="16"/>
          <w:szCs w:val="16"/>
        </w:rPr>
        <w:t>Caso Munárriz Escobar y otros Vs. Perú</w:t>
      </w:r>
      <w:r w:rsidRPr="00EE6C61">
        <w:rPr>
          <w:rFonts w:ascii="Verdana" w:hAnsi="Verdana"/>
          <w:bCs/>
          <w:spacing w:val="-12"/>
          <w:sz w:val="16"/>
          <w:szCs w:val="16"/>
        </w:rPr>
        <w:t xml:space="preserve">, párr. </w:t>
      </w:r>
      <w:r>
        <w:rPr>
          <w:rFonts w:ascii="Verdana" w:hAnsi="Verdana"/>
          <w:bCs/>
          <w:spacing w:val="-12"/>
          <w:sz w:val="16"/>
          <w:szCs w:val="16"/>
        </w:rPr>
        <w:t>144</w:t>
      </w:r>
      <w:r w:rsidRPr="00EE6C61">
        <w:rPr>
          <w:rFonts w:ascii="Verdana" w:hAnsi="Verdana"/>
          <w:spacing w:val="-12"/>
          <w:sz w:val="16"/>
          <w:szCs w:val="16"/>
        </w:rPr>
        <w:t>.</w:t>
      </w:r>
    </w:p>
  </w:footnote>
  <w:footnote w:id="190">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Consejo de Estado. Sala de lo Contencioso Administrativo. Sección Primera. 5 de febrero de 2009. Expediente 11001-03-15-000-2008-01400-01. Actor, Javier Giraldo Moreno. (exp. prueba, </w:t>
      </w:r>
      <w:r>
        <w:rPr>
          <w:rFonts w:ascii="Verdana" w:hAnsi="Verdana"/>
          <w:spacing w:val="-12"/>
          <w:sz w:val="16"/>
          <w:szCs w:val="16"/>
        </w:rPr>
        <w:t>ff</w:t>
      </w:r>
      <w:r w:rsidRPr="00EE6C61">
        <w:rPr>
          <w:rFonts w:ascii="Verdana" w:hAnsi="Verdana"/>
          <w:spacing w:val="-12"/>
          <w:sz w:val="16"/>
          <w:szCs w:val="16"/>
        </w:rPr>
        <w:t xml:space="preserve"> 1021 a 1028)</w:t>
      </w:r>
    </w:p>
  </w:footnote>
  <w:footnote w:id="191">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z w:val="16"/>
          <w:szCs w:val="16"/>
        </w:rPr>
        <w:tab/>
      </w:r>
      <w:r w:rsidRPr="00EE6C61">
        <w:rPr>
          <w:rFonts w:ascii="Verdana" w:hAnsi="Verdana"/>
          <w:i/>
          <w:spacing w:val="-12"/>
          <w:sz w:val="16"/>
          <w:szCs w:val="16"/>
        </w:rPr>
        <w:t>Cfr.</w:t>
      </w:r>
      <w:r w:rsidRPr="00EE6C61">
        <w:rPr>
          <w:rFonts w:ascii="Verdana" w:hAnsi="Verdana"/>
          <w:spacing w:val="-12"/>
          <w:sz w:val="16"/>
          <w:szCs w:val="16"/>
        </w:rPr>
        <w:t xml:space="preserve"> Declaración escrita d</w:t>
      </w:r>
      <w:r>
        <w:rPr>
          <w:rFonts w:ascii="Verdana" w:hAnsi="Verdana"/>
          <w:spacing w:val="-12"/>
          <w:sz w:val="16"/>
          <w:szCs w:val="16"/>
        </w:rPr>
        <w:t>el perito Michael Reed Hurtado</w:t>
      </w:r>
      <w:r w:rsidRPr="00EE6C61">
        <w:rPr>
          <w:rFonts w:ascii="Verdana" w:hAnsi="Verdana"/>
          <w:spacing w:val="-12"/>
          <w:sz w:val="16"/>
          <w:szCs w:val="16"/>
        </w:rPr>
        <w:t xml:space="preserve"> (exp. prueba </w:t>
      </w:r>
      <w:r>
        <w:rPr>
          <w:rFonts w:ascii="Verdana" w:hAnsi="Verdana"/>
          <w:spacing w:val="-12"/>
          <w:sz w:val="16"/>
          <w:szCs w:val="16"/>
        </w:rPr>
        <w:t>ff</w:t>
      </w:r>
      <w:r w:rsidRPr="00EE6C61">
        <w:rPr>
          <w:rFonts w:ascii="Verdana" w:hAnsi="Verdana"/>
          <w:spacing w:val="-12"/>
          <w:sz w:val="16"/>
          <w:szCs w:val="16"/>
        </w:rPr>
        <w:t>. 6240 a 6250)</w:t>
      </w:r>
    </w:p>
  </w:footnote>
  <w:footnote w:id="192">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 xml:space="preserve">Ley 57 de 1985, Artículo </w:t>
      </w:r>
      <w:r>
        <w:rPr>
          <w:rFonts w:ascii="Verdana" w:hAnsi="Verdana"/>
          <w:spacing w:val="-12"/>
          <w:sz w:val="16"/>
          <w:szCs w:val="16"/>
        </w:rPr>
        <w:t>1</w:t>
      </w:r>
      <w:r w:rsidRPr="00EE6C61">
        <w:rPr>
          <w:rFonts w:ascii="Verdana" w:hAnsi="Verdana"/>
          <w:spacing w:val="-12"/>
          <w:sz w:val="16"/>
          <w:szCs w:val="16"/>
        </w:rPr>
        <w:t>2.- “Toda persona tiene derecho a consultar los documentos que reposen en las oficinas públicas y a que se le expida copia de los mismos, siempre que dichos documentos no tengan carácter reservado conforme a la Constitución o la ley, o no hagan relación a la defensa o seguridad nacional”.</w:t>
      </w:r>
    </w:p>
  </w:footnote>
  <w:footnote w:id="193">
    <w:p w:rsidR="00996758" w:rsidRPr="00EE6C61" w:rsidRDefault="00996758" w:rsidP="007209D7">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El Ministerio de Defensa afirmó que los Manuales referidos en el presente documento, contienen la formas, métodos y medios a través de los cuales las Fuerzas Militares han contrarrestados las acciones de los diferentes actores del conflicto durante las últimas seis décadas, amenaza que se mantiene a la fecha, por tal razón, dichas estrategias no pueden ser de conocimiento público, ya que en caso contrario colocaría en riesgo la integridad personal del personal que ejecuta las operaciones militares y de la población civil, ya que al dejarlos al descubierto otorgarían amplia ventaja militar en favor de grupos armados organizados, dificultando cumplir a cabalidad la misión constitucional de las fuerzas militares, colocando además en riesgo la seguridad nacional y la inte</w:t>
      </w:r>
      <w:r>
        <w:rPr>
          <w:rFonts w:ascii="Verdana" w:hAnsi="Verdana"/>
          <w:spacing w:val="-12"/>
          <w:sz w:val="16"/>
          <w:szCs w:val="16"/>
        </w:rPr>
        <w:t xml:space="preserve">gridad del territorio militar. </w:t>
      </w:r>
      <w:r w:rsidRPr="005C6E5A">
        <w:rPr>
          <w:rFonts w:ascii="Verdana" w:hAnsi="Verdana"/>
          <w:i/>
          <w:spacing w:val="-12"/>
          <w:sz w:val="16"/>
          <w:szCs w:val="16"/>
        </w:rPr>
        <w:t>Cfr.</w:t>
      </w:r>
      <w:r>
        <w:rPr>
          <w:rFonts w:ascii="Verdana" w:hAnsi="Verdana"/>
          <w:spacing w:val="-12"/>
          <w:sz w:val="16"/>
          <w:szCs w:val="16"/>
        </w:rPr>
        <w:t xml:space="preserve"> </w:t>
      </w:r>
      <w:r w:rsidRPr="00EE6C61">
        <w:rPr>
          <w:rFonts w:ascii="Verdana" w:hAnsi="Verdana"/>
          <w:spacing w:val="-12"/>
          <w:sz w:val="16"/>
          <w:szCs w:val="16"/>
        </w:rPr>
        <w:t>Ministerio de Defensa. Oficio de 2 de marzo de 2018, ra</w:t>
      </w:r>
      <w:r>
        <w:rPr>
          <w:rFonts w:ascii="Verdana" w:hAnsi="Verdana"/>
          <w:spacing w:val="-12"/>
          <w:sz w:val="16"/>
          <w:szCs w:val="16"/>
        </w:rPr>
        <w:t>dicado OFI18-19276 MDN-DVPAIDH (exp. fondo, f. 894).</w:t>
      </w:r>
    </w:p>
  </w:footnote>
  <w:footnote w:id="194">
    <w:p w:rsidR="00996758" w:rsidRPr="00EE6C61" w:rsidRDefault="00996758" w:rsidP="00B072B4">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pacing w:val="-12"/>
          <w:sz w:val="16"/>
          <w:szCs w:val="16"/>
        </w:rPr>
        <w:tab/>
        <w:t>Los representantes solicitaron que se ordene al Estado ejecutar el levantamiento, en un acto público, de una placa en la entrada principal de la Cárcel Municipal de Puerto Nare donde el Estado reconozca su responsabilidad en la desaparición forzada; y que en la placa se debe clarificar que no hubo fuga alguna por parte de aquél, que estos hechos no pueden volver a repetirse y reafirmando su compromiso con la defensa y protección del ejercicio del derecho de asociación sindical, según lo pactado con los familiares</w:t>
      </w:r>
    </w:p>
  </w:footnote>
  <w:footnote w:id="195">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pacing w:val="-12"/>
          <w:sz w:val="16"/>
          <w:szCs w:val="16"/>
        </w:rPr>
        <w:footnoteRef/>
      </w:r>
      <w:r w:rsidRPr="00EE6C61">
        <w:rPr>
          <w:rFonts w:ascii="Verdana" w:hAnsi="Verdana"/>
          <w:sz w:val="16"/>
          <w:szCs w:val="16"/>
        </w:rPr>
        <w:t xml:space="preserve"> </w:t>
      </w:r>
      <w:r w:rsidRPr="00EE6C61">
        <w:rPr>
          <w:rFonts w:ascii="Verdana" w:hAnsi="Verdana"/>
          <w:spacing w:val="-12"/>
          <w:sz w:val="16"/>
          <w:szCs w:val="16"/>
        </w:rPr>
        <w:tab/>
        <w:t>Incluyeron viajes, hoteles, comunicaciones, fotocopias y envíos, además de gastos correspondientes al tiempo de trabajo jurídico dedicado a la atención específica del caso y a la investigación, recopilación y presentación de pruebas y preparación de escritos. Aportaron una certificación y planilla con documentación de respaldo correspondiente a gastos de viaje a Washington en el proceso de litigio ante la Comisión, valor de gastos incurridos en los años del litigo dividido entre el número de casos que lleva la CCJ.</w:t>
      </w:r>
    </w:p>
  </w:footnote>
  <w:footnote w:id="196">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Aportaron una certificación y planilla anexa a los gastos incurridos por la CCJ en los honorarios de los abogados encargados del caso (valor del salario de abogados dividido por la dedicación de tiempo en el litigio del caso respecto de su carga laboral)</w:t>
      </w:r>
    </w:p>
  </w:footnote>
  <w:footnote w:id="197">
    <w:p w:rsidR="00996758" w:rsidRPr="00EE6C61" w:rsidRDefault="00996758" w:rsidP="00103EC8">
      <w:pPr>
        <w:pStyle w:val="FootnoteText"/>
        <w:spacing w:before="120" w:after="120"/>
        <w:jc w:val="both"/>
        <w:rPr>
          <w:rFonts w:ascii="Verdana" w:hAnsi="Verdana"/>
          <w:b/>
          <w:bCs/>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bCs/>
          <w:i/>
          <w:color w:val="000000"/>
          <w:spacing w:val="-12"/>
          <w:sz w:val="16"/>
          <w:szCs w:val="16"/>
        </w:rPr>
        <w:tab/>
        <w:t xml:space="preserve">Cfr. Caso Velásquez Rodríguez Vs. Honduras. Reparaciones, </w:t>
      </w:r>
      <w:r w:rsidRPr="00EE6C61">
        <w:rPr>
          <w:rFonts w:ascii="Verdana" w:hAnsi="Verdana"/>
          <w:bCs/>
          <w:color w:val="000000"/>
          <w:spacing w:val="-12"/>
          <w:sz w:val="16"/>
          <w:szCs w:val="16"/>
        </w:rPr>
        <w:t xml:space="preserve">párr. 42, y </w:t>
      </w:r>
      <w:r w:rsidRPr="008B3F8E">
        <w:rPr>
          <w:rFonts w:ascii="Verdana" w:hAnsi="Verdana"/>
          <w:bCs/>
          <w:i/>
          <w:spacing w:val="-12"/>
          <w:sz w:val="16"/>
          <w:szCs w:val="16"/>
        </w:rPr>
        <w:t>Caso San Mig</w:t>
      </w:r>
      <w:r>
        <w:rPr>
          <w:rFonts w:ascii="Verdana" w:hAnsi="Verdana"/>
          <w:bCs/>
          <w:i/>
          <w:spacing w:val="-12"/>
          <w:sz w:val="16"/>
          <w:szCs w:val="16"/>
        </w:rPr>
        <w:t xml:space="preserve">uel Sosa y otras Vs. Venezuela, </w:t>
      </w:r>
      <w:r>
        <w:rPr>
          <w:rFonts w:ascii="Verdana" w:hAnsi="Verdana"/>
          <w:bCs/>
          <w:spacing w:val="-12"/>
          <w:sz w:val="16"/>
          <w:szCs w:val="16"/>
        </w:rPr>
        <w:t>párr. 248.</w:t>
      </w:r>
      <w:r w:rsidRPr="00EE6C61">
        <w:rPr>
          <w:rStyle w:val="Strong"/>
          <w:rFonts w:ascii="Verdana" w:hAnsi="Verdana"/>
          <w:iCs/>
          <w:color w:val="000000"/>
          <w:spacing w:val="-12"/>
          <w:sz w:val="16"/>
          <w:szCs w:val="16"/>
          <w:shd w:val="clear" w:color="auto" w:fill="FFFFFF"/>
        </w:rPr>
        <w:t xml:space="preserve"> </w:t>
      </w:r>
    </w:p>
  </w:footnote>
  <w:footnote w:id="198">
    <w:p w:rsidR="00996758" w:rsidRPr="00EE6C61" w:rsidRDefault="00996758" w:rsidP="00103EC8">
      <w:pPr>
        <w:pStyle w:val="FootnoteText"/>
        <w:spacing w:before="120" w:after="120"/>
        <w:jc w:val="both"/>
        <w:rPr>
          <w:rFonts w:ascii="Verdana" w:hAnsi="Verdana"/>
          <w:spacing w:val="-12"/>
          <w:sz w:val="16"/>
          <w:szCs w:val="16"/>
        </w:rPr>
      </w:pPr>
      <w:r w:rsidRPr="00EE6C61">
        <w:rPr>
          <w:rStyle w:val="FootnoteReference"/>
          <w:rFonts w:ascii="Verdana" w:hAnsi="Verdana"/>
          <w:spacing w:val="-12"/>
          <w:sz w:val="16"/>
          <w:szCs w:val="16"/>
        </w:rPr>
        <w:footnoteRef/>
      </w:r>
      <w:r w:rsidRPr="00EE6C61">
        <w:rPr>
          <w:rFonts w:ascii="Verdana" w:hAnsi="Verdana"/>
          <w:spacing w:val="-12"/>
          <w:sz w:val="16"/>
          <w:szCs w:val="16"/>
        </w:rPr>
        <w:t xml:space="preserve"> </w:t>
      </w:r>
      <w:r w:rsidRPr="00EE6C61">
        <w:rPr>
          <w:rFonts w:ascii="Verdana" w:hAnsi="Verdana"/>
          <w:spacing w:val="-12"/>
          <w:sz w:val="16"/>
          <w:szCs w:val="16"/>
        </w:rPr>
        <w:tab/>
        <w:t xml:space="preserve">En cuanto a su reembolso, corresponde al Tribunal apreciar prudentemente su alcance, el cual comprende los gastos generados ante las autoridades de la jurisdicción interna, así como los generados en el curso del proceso ante este Tribunal,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EE6C61">
        <w:rPr>
          <w:rFonts w:ascii="Verdana" w:hAnsi="Verdana"/>
          <w:i/>
          <w:spacing w:val="-12"/>
          <w:sz w:val="16"/>
          <w:szCs w:val="16"/>
        </w:rPr>
        <w:t>quantum</w:t>
      </w:r>
      <w:r w:rsidRPr="00EE6C61">
        <w:rPr>
          <w:rFonts w:ascii="Verdana" w:hAnsi="Verdana"/>
          <w:spacing w:val="-12"/>
          <w:sz w:val="16"/>
          <w:szCs w:val="16"/>
        </w:rPr>
        <w:t xml:space="preserve"> sea razonable. Las pretensiones de las víctimas o sus representantes en materia de costas y gastos, y las pruebas que las sustentan, deben presentarse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 </w:t>
      </w:r>
      <w:r w:rsidRPr="00EE6C61">
        <w:rPr>
          <w:rFonts w:ascii="Verdana" w:eastAsia="Verdana" w:hAnsi="Verdana" w:cs="Verdana"/>
          <w:i/>
          <w:spacing w:val="-12"/>
          <w:sz w:val="16"/>
          <w:szCs w:val="16"/>
        </w:rPr>
        <w:t>Caso Garrido y Baigorria Vs. Argentina. Reparaciones y Costas</w:t>
      </w:r>
      <w:r w:rsidRPr="00EE6C61">
        <w:rPr>
          <w:rFonts w:ascii="Verdana" w:eastAsia="Verdana" w:hAnsi="Verdana" w:cs="Verdana"/>
          <w:spacing w:val="-12"/>
          <w:sz w:val="16"/>
          <w:szCs w:val="16"/>
        </w:rPr>
        <w:t xml:space="preserve">, </w:t>
      </w:r>
      <w:r w:rsidRPr="00EE6C61">
        <w:rPr>
          <w:rFonts w:ascii="Verdana" w:eastAsia="Verdana" w:hAnsi="Verdana" w:cs="Verdana"/>
          <w:bCs/>
          <w:spacing w:val="-12"/>
          <w:sz w:val="16"/>
          <w:szCs w:val="16"/>
        </w:rPr>
        <w:t>Sentencia de 27 de agosto de 1998. Serie C No. 39.</w:t>
      </w:r>
      <w:r w:rsidRPr="00EE6C61">
        <w:rPr>
          <w:rFonts w:ascii="Verdana" w:eastAsia="Verdana" w:hAnsi="Verdana" w:cs="Verdana"/>
          <w:spacing w:val="-12"/>
          <w:sz w:val="16"/>
          <w:szCs w:val="16"/>
        </w:rPr>
        <w:t xml:space="preserve"> párr. 82, y </w:t>
      </w:r>
      <w:r w:rsidRPr="008B3F8E">
        <w:rPr>
          <w:rFonts w:ascii="Verdana" w:hAnsi="Verdana"/>
          <w:bCs/>
          <w:i/>
          <w:spacing w:val="-12"/>
          <w:sz w:val="16"/>
          <w:szCs w:val="16"/>
        </w:rPr>
        <w:t>Caso San Mig</w:t>
      </w:r>
      <w:r>
        <w:rPr>
          <w:rFonts w:ascii="Verdana" w:hAnsi="Verdana"/>
          <w:bCs/>
          <w:i/>
          <w:spacing w:val="-12"/>
          <w:sz w:val="16"/>
          <w:szCs w:val="16"/>
        </w:rPr>
        <w:t xml:space="preserve">uel Sosa y otras Vs. Venezuela, </w:t>
      </w:r>
      <w:r>
        <w:rPr>
          <w:rFonts w:ascii="Verdana" w:hAnsi="Verdana"/>
          <w:bCs/>
          <w:spacing w:val="-12"/>
          <w:sz w:val="16"/>
          <w:szCs w:val="16"/>
        </w:rPr>
        <w:t>párr. 248</w:t>
      </w:r>
      <w:r w:rsidRPr="00EE6C61">
        <w:rPr>
          <w:rFonts w:ascii="Verdana" w:hAnsi="Verdana"/>
          <w:iCs/>
          <w:spacing w:val="-12"/>
          <w:sz w:val="16"/>
          <w:szCs w:val="16"/>
        </w:rPr>
        <w:t>.</w:t>
      </w:r>
    </w:p>
  </w:footnote>
  <w:footnote w:id="199">
    <w:p w:rsidR="00996758" w:rsidRPr="00EE6C61" w:rsidRDefault="00996758" w:rsidP="00103EC8">
      <w:pPr>
        <w:pStyle w:val="FootnoteText"/>
        <w:spacing w:before="120" w:after="120"/>
        <w:jc w:val="both"/>
        <w:rPr>
          <w:rFonts w:ascii="Verdana" w:hAnsi="Verdana"/>
          <w:sz w:val="16"/>
          <w:szCs w:val="16"/>
        </w:rPr>
      </w:pPr>
      <w:r w:rsidRPr="00EE6C61">
        <w:rPr>
          <w:rStyle w:val="FootnoteReference"/>
          <w:rFonts w:ascii="Verdana" w:hAnsi="Verdana"/>
          <w:sz w:val="16"/>
          <w:szCs w:val="16"/>
        </w:rPr>
        <w:footnoteRef/>
      </w:r>
      <w:r w:rsidRPr="00EE6C61">
        <w:rPr>
          <w:rFonts w:ascii="Verdana" w:hAnsi="Verdana"/>
          <w:sz w:val="16"/>
          <w:szCs w:val="16"/>
        </w:rPr>
        <w:t xml:space="preserve"> </w:t>
      </w:r>
      <w:r w:rsidRPr="00EE6C61">
        <w:rPr>
          <w:rFonts w:ascii="Verdana" w:hAnsi="Verdana"/>
          <w:spacing w:val="-12"/>
          <w:sz w:val="16"/>
          <w:szCs w:val="16"/>
        </w:rPr>
        <w:tab/>
        <w:t>Se hace notar que, si bien fue aprobada la asistencia económica del Fondo también para cubrir gastos razonables de formalización y envío de los afidávit de los señores Isaza Vélez (</w:t>
      </w:r>
      <w:r w:rsidRPr="00EE6C61">
        <w:rPr>
          <w:rFonts w:ascii="Verdana" w:hAnsi="Verdana"/>
          <w:i/>
          <w:spacing w:val="-12"/>
          <w:sz w:val="16"/>
          <w:szCs w:val="16"/>
        </w:rPr>
        <w:t>supra</w:t>
      </w:r>
      <w:r w:rsidRPr="00EE6C61">
        <w:rPr>
          <w:rFonts w:ascii="Verdana" w:hAnsi="Verdana"/>
          <w:spacing w:val="-12"/>
          <w:sz w:val="16"/>
          <w:szCs w:val="16"/>
        </w:rPr>
        <w:t xml:space="preserve"> párr. 10), en el informe consta que no fueron recibidos los documentos de soporte de gastos por esos rubros a efectos de ser reintegrados, de modo que no se efectuó reembolso alguno al respecto.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433462"/>
      <w:docPartObj>
        <w:docPartGallery w:val="Page Numbers (Top of Page)"/>
        <w:docPartUnique/>
      </w:docPartObj>
    </w:sdtPr>
    <w:sdtEndPr>
      <w:rPr>
        <w:noProof/>
      </w:rPr>
    </w:sdtEndPr>
    <w:sdtContent>
      <w:p w:rsidR="00996758" w:rsidRDefault="00996758">
        <w:pPr>
          <w:pStyle w:val="Header"/>
          <w:jc w:val="center"/>
        </w:pPr>
        <w:r>
          <w:t>-</w:t>
        </w:r>
        <w:r>
          <w:fldChar w:fldCharType="begin"/>
        </w:r>
        <w:r>
          <w:instrText xml:space="preserve"> PAGE   \* MERGEFORMAT </w:instrText>
        </w:r>
        <w:r>
          <w:fldChar w:fldCharType="separate"/>
        </w:r>
        <w:r w:rsidR="00C839F0">
          <w:rPr>
            <w:noProof/>
          </w:rPr>
          <w:t>2</w:t>
        </w:r>
        <w:r>
          <w:rPr>
            <w:noProof/>
          </w:rPr>
          <w:fldChar w:fldCharType="end"/>
        </w:r>
        <w:r>
          <w:rPr>
            <w:noProof/>
          </w:rPr>
          <w:t>-</w:t>
        </w:r>
      </w:p>
    </w:sdtContent>
  </w:sdt>
  <w:p w:rsidR="00996758" w:rsidRDefault="00996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5EA"/>
    <w:multiLevelType w:val="hybridMultilevel"/>
    <w:tmpl w:val="F2321CF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33958CE"/>
    <w:multiLevelType w:val="hybridMultilevel"/>
    <w:tmpl w:val="C1E86906"/>
    <w:lvl w:ilvl="0" w:tplc="93162BF4">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5762FA4"/>
    <w:multiLevelType w:val="hybridMultilevel"/>
    <w:tmpl w:val="2580F2AA"/>
    <w:lvl w:ilvl="0" w:tplc="9E280E3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7515E9E"/>
    <w:multiLevelType w:val="hybridMultilevel"/>
    <w:tmpl w:val="9DFEB0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7645A1"/>
    <w:multiLevelType w:val="hybridMultilevel"/>
    <w:tmpl w:val="341EE572"/>
    <w:lvl w:ilvl="0" w:tplc="0A7ED142">
      <w:start w:val="1"/>
      <w:numFmt w:val="decimal"/>
      <w:lvlText w:val="%1."/>
      <w:lvlJc w:val="left"/>
      <w:pPr>
        <w:ind w:left="1705" w:hanging="360"/>
      </w:pPr>
      <w:rPr>
        <w:rFonts w:hint="default"/>
        <w:b/>
        <w:i w:val="0"/>
        <w:sz w:val="20"/>
      </w:rPr>
    </w:lvl>
    <w:lvl w:ilvl="1" w:tplc="140A0019">
      <w:start w:val="1"/>
      <w:numFmt w:val="lowerLetter"/>
      <w:lvlText w:val="%2."/>
      <w:lvlJc w:val="left"/>
      <w:pPr>
        <w:ind w:left="2425" w:hanging="360"/>
      </w:pPr>
    </w:lvl>
    <w:lvl w:ilvl="2" w:tplc="140A001B" w:tentative="1">
      <w:start w:val="1"/>
      <w:numFmt w:val="lowerRoman"/>
      <w:lvlText w:val="%3."/>
      <w:lvlJc w:val="right"/>
      <w:pPr>
        <w:ind w:left="3145" w:hanging="180"/>
      </w:pPr>
    </w:lvl>
    <w:lvl w:ilvl="3" w:tplc="140A000F" w:tentative="1">
      <w:start w:val="1"/>
      <w:numFmt w:val="decimal"/>
      <w:lvlText w:val="%4."/>
      <w:lvlJc w:val="left"/>
      <w:pPr>
        <w:ind w:left="3865" w:hanging="360"/>
      </w:pPr>
    </w:lvl>
    <w:lvl w:ilvl="4" w:tplc="140A0019" w:tentative="1">
      <w:start w:val="1"/>
      <w:numFmt w:val="lowerLetter"/>
      <w:lvlText w:val="%5."/>
      <w:lvlJc w:val="left"/>
      <w:pPr>
        <w:ind w:left="4585" w:hanging="360"/>
      </w:pPr>
    </w:lvl>
    <w:lvl w:ilvl="5" w:tplc="140A001B" w:tentative="1">
      <w:start w:val="1"/>
      <w:numFmt w:val="lowerRoman"/>
      <w:lvlText w:val="%6."/>
      <w:lvlJc w:val="right"/>
      <w:pPr>
        <w:ind w:left="5305" w:hanging="180"/>
      </w:pPr>
    </w:lvl>
    <w:lvl w:ilvl="6" w:tplc="140A000F" w:tentative="1">
      <w:start w:val="1"/>
      <w:numFmt w:val="decimal"/>
      <w:lvlText w:val="%7."/>
      <w:lvlJc w:val="left"/>
      <w:pPr>
        <w:ind w:left="6025" w:hanging="360"/>
      </w:pPr>
    </w:lvl>
    <w:lvl w:ilvl="7" w:tplc="140A0019" w:tentative="1">
      <w:start w:val="1"/>
      <w:numFmt w:val="lowerLetter"/>
      <w:lvlText w:val="%8."/>
      <w:lvlJc w:val="left"/>
      <w:pPr>
        <w:ind w:left="6745" w:hanging="360"/>
      </w:pPr>
    </w:lvl>
    <w:lvl w:ilvl="8" w:tplc="140A001B" w:tentative="1">
      <w:start w:val="1"/>
      <w:numFmt w:val="lowerRoman"/>
      <w:lvlText w:val="%9."/>
      <w:lvlJc w:val="right"/>
      <w:pPr>
        <w:ind w:left="7465" w:hanging="180"/>
      </w:pPr>
    </w:lvl>
  </w:abstractNum>
  <w:abstractNum w:abstractNumId="5">
    <w:nsid w:val="14466405"/>
    <w:multiLevelType w:val="hybridMultilevel"/>
    <w:tmpl w:val="8A10014C"/>
    <w:lvl w:ilvl="0" w:tplc="21C4A5F8">
      <w:start w:val="5"/>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8606361"/>
    <w:multiLevelType w:val="hybridMultilevel"/>
    <w:tmpl w:val="1E142FCE"/>
    <w:lvl w:ilvl="0" w:tplc="3A04FE80">
      <w:start w:val="1"/>
      <w:numFmt w:val="upperLetter"/>
      <w:lvlText w:val="%1."/>
      <w:lvlJc w:val="left"/>
      <w:pPr>
        <w:ind w:left="720" w:hanging="360"/>
      </w:pPr>
      <w:rPr>
        <w:rFonts w:ascii="Verdana" w:hAnsi="Verdana" w:hint="default"/>
        <w:b/>
        <w:i/>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A9B6CE7"/>
    <w:multiLevelType w:val="multilevel"/>
    <w:tmpl w:val="D2A46D70"/>
    <w:lvl w:ilvl="0">
      <w:start w:val="1"/>
      <w:numFmt w:val="decimal"/>
      <w:lvlText w:val="%1."/>
      <w:lvlJc w:val="left"/>
      <w:pPr>
        <w:tabs>
          <w:tab w:val="num" w:pos="680"/>
        </w:tabs>
        <w:ind w:left="0" w:firstLine="0"/>
      </w:pPr>
      <w:rPr>
        <w:rFonts w:hint="default"/>
        <w:b w:val="0"/>
        <w:i w:val="0"/>
        <w:strike w:val="0"/>
        <w:sz w:val="20"/>
      </w:rPr>
    </w:lvl>
    <w:lvl w:ilvl="1">
      <w:start w:val="1"/>
      <w:numFmt w:val="decimal"/>
      <w:lvlText w:val="%2."/>
      <w:lvlJc w:val="left"/>
      <w:pPr>
        <w:tabs>
          <w:tab w:val="num" w:pos="567"/>
        </w:tabs>
        <w:ind w:left="0" w:firstLine="0"/>
      </w:pPr>
      <w:rPr>
        <w:rFonts w:hint="default"/>
        <w:b w:val="0"/>
        <w:i w:val="0"/>
        <w:strike w:val="0"/>
        <w:sz w:val="20"/>
      </w:rPr>
    </w:lvl>
    <w:lvl w:ilvl="2">
      <w:start w:val="1"/>
      <w:numFmt w:val="bullet"/>
      <w:lvlText w:val="-"/>
      <w:lvlJc w:val="left"/>
      <w:pPr>
        <w:tabs>
          <w:tab w:val="num" w:pos="2340"/>
        </w:tabs>
        <w:ind w:left="2340" w:hanging="360"/>
      </w:pPr>
      <w:rPr>
        <w:rFonts w:ascii="Verdana" w:eastAsia="Batang" w:hAnsi="Verdana"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CEB20F9"/>
    <w:multiLevelType w:val="hybridMultilevel"/>
    <w:tmpl w:val="4C801DCC"/>
    <w:lvl w:ilvl="0" w:tplc="8B0E25CE">
      <w:start w:val="1"/>
      <w:numFmt w:val="upperLetter"/>
      <w:lvlText w:val="%1."/>
      <w:lvlJc w:val="left"/>
      <w:pPr>
        <w:ind w:left="360" w:hanging="360"/>
      </w:pPr>
      <w:rPr>
        <w:b/>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nsid w:val="1DA60F13"/>
    <w:multiLevelType w:val="hybridMultilevel"/>
    <w:tmpl w:val="E528BB66"/>
    <w:lvl w:ilvl="0" w:tplc="140A0011">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E5C6333"/>
    <w:multiLevelType w:val="hybridMultilevel"/>
    <w:tmpl w:val="F96EBCCC"/>
    <w:lvl w:ilvl="0" w:tplc="5D90E81C">
      <w:start w:val="3"/>
      <w:numFmt w:val="bullet"/>
      <w:lvlText w:val="-"/>
      <w:lvlJc w:val="left"/>
      <w:pPr>
        <w:ind w:left="720" w:hanging="360"/>
      </w:pPr>
      <w:rPr>
        <w:rFonts w:ascii="Verdana" w:eastAsiaTheme="minorHAnsi" w:hAnsi="Verdana" w:cstheme="minorBid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19B7FEC"/>
    <w:multiLevelType w:val="hybridMultilevel"/>
    <w:tmpl w:val="E9064814"/>
    <w:lvl w:ilvl="0" w:tplc="DA684398">
      <w:start w:val="1"/>
      <w:numFmt w:val="upperLetter"/>
      <w:lvlText w:val="%1."/>
      <w:lvlJc w:val="left"/>
      <w:pPr>
        <w:ind w:left="90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27726B"/>
    <w:multiLevelType w:val="hybridMultilevel"/>
    <w:tmpl w:val="A3DCE292"/>
    <w:lvl w:ilvl="0" w:tplc="ED72D81E">
      <w:start w:val="1"/>
      <w:numFmt w:val="bullet"/>
      <w:lvlText w:val="-"/>
      <w:lvlJc w:val="left"/>
      <w:pPr>
        <w:ind w:left="720" w:hanging="360"/>
      </w:pPr>
      <w:rPr>
        <w:rFonts w:ascii="Verdana" w:eastAsia="Times New Roman" w:hAnsi="Verdan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A4024DB"/>
    <w:multiLevelType w:val="hybridMultilevel"/>
    <w:tmpl w:val="3DFE8C0E"/>
    <w:lvl w:ilvl="0" w:tplc="5D90E81C">
      <w:start w:val="3"/>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C7242C8"/>
    <w:multiLevelType w:val="hybridMultilevel"/>
    <w:tmpl w:val="9C04D36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6E65998"/>
    <w:multiLevelType w:val="hybridMultilevel"/>
    <w:tmpl w:val="92A2ECB8"/>
    <w:lvl w:ilvl="0" w:tplc="02C22674">
      <w:start w:val="1"/>
      <w:numFmt w:val="decimal"/>
      <w:lvlText w:val="%1."/>
      <w:lvlJc w:val="left"/>
      <w:pPr>
        <w:ind w:left="360" w:hanging="360"/>
      </w:pPr>
      <w:rPr>
        <w:b w:val="0"/>
        <w:i w:val="0"/>
        <w:sz w:val="20"/>
        <w:szCs w:val="20"/>
        <w:lang w:val="es-ES_tradnl"/>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38915174"/>
    <w:multiLevelType w:val="hybridMultilevel"/>
    <w:tmpl w:val="4DAA055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38B41D64"/>
    <w:multiLevelType w:val="hybridMultilevel"/>
    <w:tmpl w:val="127ECDD4"/>
    <w:lvl w:ilvl="0" w:tplc="82522CB2">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ahoma"/>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Tahoma"/>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Tahoma"/>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Tahoma"/>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Tahoma"/>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Tahoma"/>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Tahoma"/>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Tahoma"/>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Tahoma"/>
        <w:b/>
        <w:bCs/>
        <w:color w:val="000000"/>
        <w:position w:val="0"/>
        <w:sz w:val="22"/>
        <w:szCs w:val="22"/>
        <w:u w:color="000000"/>
        <w:lang w:val="es-ES_tradnl"/>
      </w:rPr>
    </w:lvl>
  </w:abstractNum>
  <w:abstractNum w:abstractNumId="19">
    <w:nsid w:val="3C9D01BF"/>
    <w:multiLevelType w:val="hybridMultilevel"/>
    <w:tmpl w:val="F91E776A"/>
    <w:lvl w:ilvl="0" w:tplc="140A0015">
      <w:start w:val="1"/>
      <w:numFmt w:val="upp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nsid w:val="3F3510E3"/>
    <w:multiLevelType w:val="hybridMultilevel"/>
    <w:tmpl w:val="F0BC1668"/>
    <w:lvl w:ilvl="0" w:tplc="4AEEDDF0">
      <w:start w:val="3"/>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1495754"/>
    <w:multiLevelType w:val="hybridMultilevel"/>
    <w:tmpl w:val="F91E776A"/>
    <w:lvl w:ilvl="0" w:tplc="140A0015">
      <w:start w:val="1"/>
      <w:numFmt w:val="upp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nsid w:val="421B43F6"/>
    <w:multiLevelType w:val="hybridMultilevel"/>
    <w:tmpl w:val="53763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F439D"/>
    <w:multiLevelType w:val="hybridMultilevel"/>
    <w:tmpl w:val="B076395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C366D43"/>
    <w:multiLevelType w:val="hybridMultilevel"/>
    <w:tmpl w:val="D1BE0240"/>
    <w:lvl w:ilvl="0" w:tplc="E84A0D6E">
      <w:start w:val="1"/>
      <w:numFmt w:val="upperRoman"/>
      <w:pStyle w:val="Title"/>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CCD1B5F"/>
    <w:multiLevelType w:val="hybridMultilevel"/>
    <w:tmpl w:val="944248FA"/>
    <w:lvl w:ilvl="0" w:tplc="29F6478E">
      <w:start w:val="2"/>
      <w:numFmt w:val="decimal"/>
      <w:lvlText w:val="%1."/>
      <w:lvlJc w:val="left"/>
      <w:pPr>
        <w:ind w:left="360" w:hanging="360"/>
      </w:pPr>
      <w:rPr>
        <w:rFonts w:ascii="Verdana" w:hAnsi="Verdana" w:hint="default"/>
        <w:b w:val="0"/>
        <w:i w:val="0"/>
        <w:color w:val="auto"/>
        <w:sz w:val="20"/>
        <w:szCs w:val="20"/>
      </w:rPr>
    </w:lvl>
    <w:lvl w:ilvl="1" w:tplc="0C0A0019">
      <w:start w:val="1"/>
      <w:numFmt w:val="lowerLetter"/>
      <w:lvlText w:val="%2."/>
      <w:lvlJc w:val="left"/>
      <w:pPr>
        <w:ind w:left="1080" w:hanging="360"/>
      </w:pPr>
    </w:lvl>
    <w:lvl w:ilvl="2" w:tplc="487AF94A">
      <w:start w:val="1"/>
      <w:numFmt w:val="upperLetter"/>
      <w:lvlText w:val="%3."/>
      <w:lvlJc w:val="left"/>
      <w:pPr>
        <w:ind w:left="1980" w:hanging="360"/>
      </w:pPr>
      <w:rPr>
        <w:rFonts w:cs="Tahoma"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56247875"/>
    <w:multiLevelType w:val="hybridMultilevel"/>
    <w:tmpl w:val="42E0E2E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5A8C0434"/>
    <w:multiLevelType w:val="hybridMultilevel"/>
    <w:tmpl w:val="FA5E765A"/>
    <w:lvl w:ilvl="0" w:tplc="D9564908">
      <w:start w:val="1"/>
      <w:numFmt w:val="decimal"/>
      <w:lvlText w:val="%1."/>
      <w:lvlJc w:val="left"/>
      <w:pPr>
        <w:ind w:left="720" w:hanging="360"/>
      </w:pPr>
      <w:rPr>
        <w:rFonts w:hint="default"/>
        <w:b w:val="0"/>
        <w:i w:val="0"/>
        <w:strike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nsid w:val="6339470D"/>
    <w:multiLevelType w:val="hybridMultilevel"/>
    <w:tmpl w:val="0520E7A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6A5045B0"/>
    <w:multiLevelType w:val="hybridMultilevel"/>
    <w:tmpl w:val="63542876"/>
    <w:lvl w:ilvl="0" w:tplc="C24EBA3C">
      <w:start w:val="1"/>
      <w:numFmt w:val="decimal"/>
      <w:lvlText w:val="%1."/>
      <w:lvlJc w:val="left"/>
      <w:pPr>
        <w:ind w:left="720" w:hanging="360"/>
      </w:pPr>
      <w:rPr>
        <w:rFonts w:ascii="Verdana" w:hAnsi="Verdana" w:cs="Times New Roman" w:hint="default"/>
        <w:b w:val="0"/>
        <w:i w:val="0"/>
        <w:strike w:val="0"/>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F637750"/>
    <w:multiLevelType w:val="multilevel"/>
    <w:tmpl w:val="2AB240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753A80"/>
    <w:multiLevelType w:val="hybridMultilevel"/>
    <w:tmpl w:val="AC9A0106"/>
    <w:lvl w:ilvl="0" w:tplc="16D40AFE">
      <w:start w:val="1"/>
      <w:numFmt w:val="decimal"/>
      <w:lvlText w:val="%1."/>
      <w:lvlJc w:val="left"/>
      <w:pPr>
        <w:ind w:left="0" w:firstLine="0"/>
      </w:pPr>
      <w:rPr>
        <w:rFonts w:ascii="Verdana" w:hAnsi="Verdana" w:hint="default"/>
        <w:b w:val="0"/>
        <w:i w:val="0"/>
        <w:strike w:val="0"/>
        <w:color w:val="auto"/>
        <w:sz w:val="20"/>
        <w:szCs w:val="20"/>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3F0893E6">
      <w:start w:val="1"/>
      <w:numFmt w:val="decimal"/>
      <w:lvlText w:val="%4."/>
      <w:lvlJc w:val="left"/>
      <w:pPr>
        <w:ind w:left="2738" w:hanging="360"/>
      </w:pPr>
    </w:lvl>
    <w:lvl w:ilvl="4" w:tplc="E7BA4BB6">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2">
    <w:nsid w:val="79521DDA"/>
    <w:multiLevelType w:val="hybridMultilevel"/>
    <w:tmpl w:val="C8A296E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79C1258F"/>
    <w:multiLevelType w:val="hybridMultilevel"/>
    <w:tmpl w:val="A3B02EF6"/>
    <w:lvl w:ilvl="0" w:tplc="01B4A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8B08DD"/>
    <w:multiLevelType w:val="hybridMultilevel"/>
    <w:tmpl w:val="8B5494FE"/>
    <w:lvl w:ilvl="0" w:tplc="59102DE0">
      <w:start w:val="1"/>
      <w:numFmt w:val="upperLetter"/>
      <w:lvlText w:val="%1."/>
      <w:lvlJc w:val="left"/>
      <w:pPr>
        <w:ind w:left="90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A8D4B2A"/>
    <w:multiLevelType w:val="hybridMultilevel"/>
    <w:tmpl w:val="0CE2BB56"/>
    <w:lvl w:ilvl="0" w:tplc="DE829D9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6">
    <w:nsid w:val="7CD83368"/>
    <w:multiLevelType w:val="hybridMultilevel"/>
    <w:tmpl w:val="FC642C3E"/>
    <w:lvl w:ilvl="0" w:tplc="67208FC8">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E64D32"/>
    <w:multiLevelType w:val="hybridMultilevel"/>
    <w:tmpl w:val="E9AAC004"/>
    <w:lvl w:ilvl="0" w:tplc="84C60B70">
      <w:start w:val="1"/>
      <w:numFmt w:val="decimal"/>
      <w:lvlText w:val="%1."/>
      <w:lvlJc w:val="left"/>
      <w:pPr>
        <w:tabs>
          <w:tab w:val="num" w:pos="11028"/>
        </w:tabs>
        <w:ind w:left="0" w:firstLine="0"/>
      </w:pPr>
      <w:rPr>
        <w:rFonts w:ascii="Verdana" w:eastAsia="Times New Roman" w:hAnsi="Verdana"/>
        <w:b w:val="0"/>
        <w:bCs w:val="0"/>
        <w:i w:val="0"/>
        <w:iCs w:val="0"/>
        <w:strike w:val="0"/>
        <w:dstrike w:val="0"/>
        <w:color w:val="auto"/>
        <w:sz w:val="20"/>
        <w:szCs w:val="20"/>
        <w:u w:val="none"/>
        <w:effect w:val="none"/>
        <w:lang w:val="es-ES_tradnl"/>
      </w:rPr>
    </w:lvl>
    <w:lvl w:ilvl="1" w:tplc="140A0019">
      <w:start w:val="1"/>
      <w:numFmt w:val="lowerLetter"/>
      <w:lvlText w:val="%2)"/>
      <w:lvlJc w:val="left"/>
      <w:pPr>
        <w:tabs>
          <w:tab w:val="num" w:pos="1080"/>
        </w:tabs>
        <w:ind w:left="1080" w:hanging="360"/>
      </w:pPr>
      <w:rPr>
        <w:b w:val="0"/>
        <w:bCs w:val="0"/>
        <w:i w:val="0"/>
        <w:iCs w:val="0"/>
        <w:sz w:val="20"/>
        <w:szCs w:val="20"/>
      </w:rPr>
    </w:lvl>
    <w:lvl w:ilvl="2" w:tplc="140A001B">
      <w:start w:val="1"/>
      <w:numFmt w:val="lowerRoman"/>
      <w:lvlText w:val="%3."/>
      <w:lvlJc w:val="right"/>
      <w:pPr>
        <w:tabs>
          <w:tab w:val="num" w:pos="1530"/>
        </w:tabs>
        <w:ind w:left="1530" w:hanging="180"/>
      </w:pPr>
      <w:rPr>
        <w:b w:val="0"/>
        <w:strike w:val="0"/>
        <w:dstrike w:val="0"/>
        <w:u w:val="none"/>
        <w:effect w:val="none"/>
      </w:rPr>
    </w:lvl>
    <w:lvl w:ilvl="3" w:tplc="140A000F">
      <w:start w:val="1"/>
      <w:numFmt w:val="decimal"/>
      <w:lvlText w:val="%4."/>
      <w:lvlJc w:val="left"/>
      <w:pPr>
        <w:tabs>
          <w:tab w:val="num" w:pos="2880"/>
        </w:tabs>
        <w:ind w:left="2880" w:hanging="360"/>
      </w:pPr>
    </w:lvl>
    <w:lvl w:ilvl="4" w:tplc="140A0019">
      <w:start w:val="1"/>
      <w:numFmt w:val="lowerLetter"/>
      <w:pStyle w:val="Heading6"/>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38">
    <w:nsid w:val="7D99374E"/>
    <w:multiLevelType w:val="hybridMultilevel"/>
    <w:tmpl w:val="8438B96C"/>
    <w:lvl w:ilvl="0" w:tplc="08260504">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7F6E6500"/>
    <w:multiLevelType w:val="hybridMultilevel"/>
    <w:tmpl w:val="6EC61F6C"/>
    <w:lvl w:ilvl="0" w:tplc="7E4218B6">
      <w:start w:val="1"/>
      <w:numFmt w:val="upperRoman"/>
      <w:lvlText w:val="%1."/>
      <w:lvlJc w:val="left"/>
      <w:pPr>
        <w:ind w:left="1440" w:hanging="720"/>
      </w:pPr>
      <w:rPr>
        <w:rFonts w:hint="default"/>
        <w:color w:val="00000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9"/>
  </w:num>
  <w:num w:numId="2">
    <w:abstractNumId w:val="4"/>
  </w:num>
  <w:num w:numId="3">
    <w:abstractNumId w:val="40"/>
  </w:num>
  <w:num w:numId="4">
    <w:abstractNumId w:val="10"/>
  </w:num>
  <w:num w:numId="5">
    <w:abstractNumId w:val="20"/>
  </w:num>
  <w:num w:numId="6">
    <w:abstractNumId w:val="35"/>
  </w:num>
  <w:num w:numId="7">
    <w:abstractNumId w:val="13"/>
  </w:num>
  <w:num w:numId="8">
    <w:abstractNumId w:val="8"/>
  </w:num>
  <w:num w:numId="9">
    <w:abstractNumId w:val="24"/>
  </w:num>
  <w:num w:numId="10">
    <w:abstractNumId w:val="27"/>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0"/>
  </w:num>
  <w:num w:numId="14">
    <w:abstractNumId w:val="14"/>
  </w:num>
  <w:num w:numId="15">
    <w:abstractNumId w:val="12"/>
  </w:num>
  <w:num w:numId="16">
    <w:abstractNumId w:val="1"/>
  </w:num>
  <w:num w:numId="17">
    <w:abstractNumId w:val="39"/>
  </w:num>
  <w:num w:numId="18">
    <w:abstractNumId w:val="33"/>
  </w:num>
  <w:num w:numId="19">
    <w:abstractNumId w:val="3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6"/>
  </w:num>
  <w:num w:numId="23">
    <w:abstractNumId w:val="5"/>
  </w:num>
  <w:num w:numId="24">
    <w:abstractNumId w:val="18"/>
  </w:num>
  <w:num w:numId="25">
    <w:abstractNumId w:val="28"/>
  </w:num>
  <w:num w:numId="26">
    <w:abstractNumId w:val="7"/>
  </w:num>
  <w:num w:numId="27">
    <w:abstractNumId w:val="37"/>
  </w:num>
  <w:num w:numId="28">
    <w:abstractNumId w:val="25"/>
  </w:num>
  <w:num w:numId="29">
    <w:abstractNumId w:val="1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5"/>
  </w:num>
  <w:num w:numId="33">
    <w:abstractNumId w:val="11"/>
  </w:num>
  <w:num w:numId="34">
    <w:abstractNumId w:val="31"/>
  </w:num>
  <w:num w:numId="35">
    <w:abstractNumId w:val="32"/>
  </w:num>
  <w:num w:numId="36">
    <w:abstractNumId w:val="6"/>
  </w:num>
  <w:num w:numId="37">
    <w:abstractNumId w:val="26"/>
  </w:num>
  <w:num w:numId="38">
    <w:abstractNumId w:val="16"/>
  </w:num>
  <w:num w:numId="39">
    <w:abstractNumId w:val="29"/>
  </w:num>
  <w:num w:numId="40">
    <w:abstractNumId w:val="2"/>
  </w:num>
  <w:num w:numId="41">
    <w:abstractNumId w:val="22"/>
  </w:num>
  <w:num w:numId="4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9D"/>
    <w:rsid w:val="000000BA"/>
    <w:rsid w:val="0000177E"/>
    <w:rsid w:val="000019B7"/>
    <w:rsid w:val="00001CBE"/>
    <w:rsid w:val="00003666"/>
    <w:rsid w:val="0000528C"/>
    <w:rsid w:val="00005558"/>
    <w:rsid w:val="00006468"/>
    <w:rsid w:val="000065E4"/>
    <w:rsid w:val="00006AFA"/>
    <w:rsid w:val="00006D1C"/>
    <w:rsid w:val="00007F91"/>
    <w:rsid w:val="000107A4"/>
    <w:rsid w:val="00010C24"/>
    <w:rsid w:val="000115B0"/>
    <w:rsid w:val="000119C1"/>
    <w:rsid w:val="0001283D"/>
    <w:rsid w:val="0001299B"/>
    <w:rsid w:val="000129C0"/>
    <w:rsid w:val="00012A44"/>
    <w:rsid w:val="00013B43"/>
    <w:rsid w:val="00014509"/>
    <w:rsid w:val="0001475C"/>
    <w:rsid w:val="0001600C"/>
    <w:rsid w:val="0001617D"/>
    <w:rsid w:val="000179CD"/>
    <w:rsid w:val="00020033"/>
    <w:rsid w:val="000204E3"/>
    <w:rsid w:val="00020607"/>
    <w:rsid w:val="000223FD"/>
    <w:rsid w:val="00022566"/>
    <w:rsid w:val="00022FC0"/>
    <w:rsid w:val="00023547"/>
    <w:rsid w:val="00024F16"/>
    <w:rsid w:val="000252DF"/>
    <w:rsid w:val="000257B8"/>
    <w:rsid w:val="00026161"/>
    <w:rsid w:val="0002625A"/>
    <w:rsid w:val="000263E6"/>
    <w:rsid w:val="00026ACA"/>
    <w:rsid w:val="000304DA"/>
    <w:rsid w:val="0003090C"/>
    <w:rsid w:val="000324F5"/>
    <w:rsid w:val="00033D5F"/>
    <w:rsid w:val="00033E50"/>
    <w:rsid w:val="00034DAD"/>
    <w:rsid w:val="00035348"/>
    <w:rsid w:val="0003551C"/>
    <w:rsid w:val="00035E35"/>
    <w:rsid w:val="0003604F"/>
    <w:rsid w:val="000375D0"/>
    <w:rsid w:val="00037942"/>
    <w:rsid w:val="0004265A"/>
    <w:rsid w:val="00043455"/>
    <w:rsid w:val="00043839"/>
    <w:rsid w:val="00043AA7"/>
    <w:rsid w:val="000443AE"/>
    <w:rsid w:val="00044796"/>
    <w:rsid w:val="00045191"/>
    <w:rsid w:val="00045603"/>
    <w:rsid w:val="0004575C"/>
    <w:rsid w:val="00046684"/>
    <w:rsid w:val="000476B1"/>
    <w:rsid w:val="000505F4"/>
    <w:rsid w:val="0005170C"/>
    <w:rsid w:val="00051EAA"/>
    <w:rsid w:val="000528AE"/>
    <w:rsid w:val="00053ACE"/>
    <w:rsid w:val="00054913"/>
    <w:rsid w:val="000556D5"/>
    <w:rsid w:val="00055A51"/>
    <w:rsid w:val="00057D91"/>
    <w:rsid w:val="00060118"/>
    <w:rsid w:val="00061E6F"/>
    <w:rsid w:val="00062500"/>
    <w:rsid w:val="00063110"/>
    <w:rsid w:val="00064379"/>
    <w:rsid w:val="0006451D"/>
    <w:rsid w:val="000645B4"/>
    <w:rsid w:val="00065339"/>
    <w:rsid w:val="00066664"/>
    <w:rsid w:val="00066851"/>
    <w:rsid w:val="00066BA1"/>
    <w:rsid w:val="00066E1C"/>
    <w:rsid w:val="00070454"/>
    <w:rsid w:val="000711BF"/>
    <w:rsid w:val="000726E1"/>
    <w:rsid w:val="000750A9"/>
    <w:rsid w:val="00075BBA"/>
    <w:rsid w:val="00076046"/>
    <w:rsid w:val="00077B26"/>
    <w:rsid w:val="00080BF8"/>
    <w:rsid w:val="00082E95"/>
    <w:rsid w:val="00083D3E"/>
    <w:rsid w:val="00084A1E"/>
    <w:rsid w:val="00084B5E"/>
    <w:rsid w:val="0008518E"/>
    <w:rsid w:val="00085CA7"/>
    <w:rsid w:val="0008630B"/>
    <w:rsid w:val="00086F19"/>
    <w:rsid w:val="00087EF3"/>
    <w:rsid w:val="00090712"/>
    <w:rsid w:val="0009086A"/>
    <w:rsid w:val="00090C4D"/>
    <w:rsid w:val="00090E37"/>
    <w:rsid w:val="0009101D"/>
    <w:rsid w:val="000916B1"/>
    <w:rsid w:val="00092067"/>
    <w:rsid w:val="0009388B"/>
    <w:rsid w:val="00096063"/>
    <w:rsid w:val="000964E5"/>
    <w:rsid w:val="0009694D"/>
    <w:rsid w:val="00096C91"/>
    <w:rsid w:val="000972AF"/>
    <w:rsid w:val="0009732C"/>
    <w:rsid w:val="00097648"/>
    <w:rsid w:val="00097B6C"/>
    <w:rsid w:val="00097EAE"/>
    <w:rsid w:val="00097FD3"/>
    <w:rsid w:val="000A1252"/>
    <w:rsid w:val="000A21A5"/>
    <w:rsid w:val="000A25C0"/>
    <w:rsid w:val="000A30DD"/>
    <w:rsid w:val="000A32D0"/>
    <w:rsid w:val="000A3AA5"/>
    <w:rsid w:val="000A492C"/>
    <w:rsid w:val="000A4BE8"/>
    <w:rsid w:val="000A5EE6"/>
    <w:rsid w:val="000A6F01"/>
    <w:rsid w:val="000B0027"/>
    <w:rsid w:val="000B050A"/>
    <w:rsid w:val="000B2AB5"/>
    <w:rsid w:val="000B2EE3"/>
    <w:rsid w:val="000B32E1"/>
    <w:rsid w:val="000B566B"/>
    <w:rsid w:val="000B56AD"/>
    <w:rsid w:val="000B5F07"/>
    <w:rsid w:val="000B6193"/>
    <w:rsid w:val="000B61E7"/>
    <w:rsid w:val="000B62B8"/>
    <w:rsid w:val="000B6695"/>
    <w:rsid w:val="000C078D"/>
    <w:rsid w:val="000C081E"/>
    <w:rsid w:val="000C091F"/>
    <w:rsid w:val="000C3090"/>
    <w:rsid w:val="000C3996"/>
    <w:rsid w:val="000C40F0"/>
    <w:rsid w:val="000C4C0D"/>
    <w:rsid w:val="000C53A4"/>
    <w:rsid w:val="000C59CE"/>
    <w:rsid w:val="000C6343"/>
    <w:rsid w:val="000C63E9"/>
    <w:rsid w:val="000C660C"/>
    <w:rsid w:val="000C6EAA"/>
    <w:rsid w:val="000C7546"/>
    <w:rsid w:val="000C757E"/>
    <w:rsid w:val="000D03EA"/>
    <w:rsid w:val="000D0B4B"/>
    <w:rsid w:val="000D0ED2"/>
    <w:rsid w:val="000D10A0"/>
    <w:rsid w:val="000D1593"/>
    <w:rsid w:val="000D2DCF"/>
    <w:rsid w:val="000D3900"/>
    <w:rsid w:val="000D39A2"/>
    <w:rsid w:val="000D4EE0"/>
    <w:rsid w:val="000D619C"/>
    <w:rsid w:val="000D6AB9"/>
    <w:rsid w:val="000D6EFC"/>
    <w:rsid w:val="000E1192"/>
    <w:rsid w:val="000E1EA2"/>
    <w:rsid w:val="000E36B1"/>
    <w:rsid w:val="000E4001"/>
    <w:rsid w:val="000E5046"/>
    <w:rsid w:val="000E5076"/>
    <w:rsid w:val="000E5D1D"/>
    <w:rsid w:val="000E730B"/>
    <w:rsid w:val="000F00FB"/>
    <w:rsid w:val="000F067E"/>
    <w:rsid w:val="000F08AD"/>
    <w:rsid w:val="000F0A36"/>
    <w:rsid w:val="000F20DF"/>
    <w:rsid w:val="000F2D66"/>
    <w:rsid w:val="000F309A"/>
    <w:rsid w:val="000F3837"/>
    <w:rsid w:val="000F3B7F"/>
    <w:rsid w:val="000F411C"/>
    <w:rsid w:val="000F60D6"/>
    <w:rsid w:val="000F7A42"/>
    <w:rsid w:val="001010B2"/>
    <w:rsid w:val="00101258"/>
    <w:rsid w:val="001016CE"/>
    <w:rsid w:val="0010182D"/>
    <w:rsid w:val="00101871"/>
    <w:rsid w:val="00102011"/>
    <w:rsid w:val="00102B23"/>
    <w:rsid w:val="00102E21"/>
    <w:rsid w:val="001038F1"/>
    <w:rsid w:val="00103D54"/>
    <w:rsid w:val="00103EC8"/>
    <w:rsid w:val="0010556B"/>
    <w:rsid w:val="00105576"/>
    <w:rsid w:val="00107F23"/>
    <w:rsid w:val="001102B9"/>
    <w:rsid w:val="00111197"/>
    <w:rsid w:val="00111BE2"/>
    <w:rsid w:val="00112029"/>
    <w:rsid w:val="001138AC"/>
    <w:rsid w:val="00113AAA"/>
    <w:rsid w:val="00116033"/>
    <w:rsid w:val="00117BCC"/>
    <w:rsid w:val="00120C80"/>
    <w:rsid w:val="001215A1"/>
    <w:rsid w:val="001215EE"/>
    <w:rsid w:val="001234D6"/>
    <w:rsid w:val="00124171"/>
    <w:rsid w:val="00124212"/>
    <w:rsid w:val="00124383"/>
    <w:rsid w:val="00124D8C"/>
    <w:rsid w:val="001263DE"/>
    <w:rsid w:val="001266DA"/>
    <w:rsid w:val="00126D9A"/>
    <w:rsid w:val="00126FF2"/>
    <w:rsid w:val="00127219"/>
    <w:rsid w:val="00127604"/>
    <w:rsid w:val="001318A3"/>
    <w:rsid w:val="00131A2D"/>
    <w:rsid w:val="00131C74"/>
    <w:rsid w:val="00131D53"/>
    <w:rsid w:val="0013269C"/>
    <w:rsid w:val="001328FB"/>
    <w:rsid w:val="00133FAD"/>
    <w:rsid w:val="00134BCA"/>
    <w:rsid w:val="00134CE7"/>
    <w:rsid w:val="00135EB3"/>
    <w:rsid w:val="001373AC"/>
    <w:rsid w:val="00137C0A"/>
    <w:rsid w:val="00137E54"/>
    <w:rsid w:val="001405F1"/>
    <w:rsid w:val="00141575"/>
    <w:rsid w:val="0014196C"/>
    <w:rsid w:val="0014352E"/>
    <w:rsid w:val="001439C2"/>
    <w:rsid w:val="0014486E"/>
    <w:rsid w:val="001454EB"/>
    <w:rsid w:val="00146001"/>
    <w:rsid w:val="00146765"/>
    <w:rsid w:val="00147563"/>
    <w:rsid w:val="001477D6"/>
    <w:rsid w:val="00147AAB"/>
    <w:rsid w:val="001502B8"/>
    <w:rsid w:val="001504A1"/>
    <w:rsid w:val="00150AC2"/>
    <w:rsid w:val="00150FD6"/>
    <w:rsid w:val="00151873"/>
    <w:rsid w:val="00153E3E"/>
    <w:rsid w:val="00154CE6"/>
    <w:rsid w:val="00155E51"/>
    <w:rsid w:val="00156588"/>
    <w:rsid w:val="00157A69"/>
    <w:rsid w:val="001609D0"/>
    <w:rsid w:val="00160F33"/>
    <w:rsid w:val="00161D93"/>
    <w:rsid w:val="00162008"/>
    <w:rsid w:val="0016220F"/>
    <w:rsid w:val="00162F1A"/>
    <w:rsid w:val="001638DE"/>
    <w:rsid w:val="00163962"/>
    <w:rsid w:val="00164C07"/>
    <w:rsid w:val="001651FA"/>
    <w:rsid w:val="00165CFB"/>
    <w:rsid w:val="00165F15"/>
    <w:rsid w:val="00170170"/>
    <w:rsid w:val="00170759"/>
    <w:rsid w:val="001707A1"/>
    <w:rsid w:val="00170EBD"/>
    <w:rsid w:val="0017324B"/>
    <w:rsid w:val="0017736C"/>
    <w:rsid w:val="001775B9"/>
    <w:rsid w:val="00177A24"/>
    <w:rsid w:val="00177ADB"/>
    <w:rsid w:val="00177B29"/>
    <w:rsid w:val="00180048"/>
    <w:rsid w:val="001817CE"/>
    <w:rsid w:val="001824FE"/>
    <w:rsid w:val="00182644"/>
    <w:rsid w:val="001836D0"/>
    <w:rsid w:val="0018417B"/>
    <w:rsid w:val="00184E05"/>
    <w:rsid w:val="001860A0"/>
    <w:rsid w:val="00190331"/>
    <w:rsid w:val="00190884"/>
    <w:rsid w:val="0019111E"/>
    <w:rsid w:val="00191C7F"/>
    <w:rsid w:val="00192B0F"/>
    <w:rsid w:val="001933FF"/>
    <w:rsid w:val="001936CF"/>
    <w:rsid w:val="00193EC2"/>
    <w:rsid w:val="0019499D"/>
    <w:rsid w:val="00196209"/>
    <w:rsid w:val="00197D48"/>
    <w:rsid w:val="00197F42"/>
    <w:rsid w:val="001A0397"/>
    <w:rsid w:val="001A0C98"/>
    <w:rsid w:val="001A0E0A"/>
    <w:rsid w:val="001A0E16"/>
    <w:rsid w:val="001A1594"/>
    <w:rsid w:val="001A15D2"/>
    <w:rsid w:val="001A1D59"/>
    <w:rsid w:val="001A30E3"/>
    <w:rsid w:val="001A36B2"/>
    <w:rsid w:val="001A43D0"/>
    <w:rsid w:val="001A4846"/>
    <w:rsid w:val="001A4A00"/>
    <w:rsid w:val="001A5D64"/>
    <w:rsid w:val="001A6B6E"/>
    <w:rsid w:val="001A6B71"/>
    <w:rsid w:val="001A6EED"/>
    <w:rsid w:val="001A7170"/>
    <w:rsid w:val="001B149F"/>
    <w:rsid w:val="001B1C4E"/>
    <w:rsid w:val="001B2C9F"/>
    <w:rsid w:val="001B413C"/>
    <w:rsid w:val="001B5B1D"/>
    <w:rsid w:val="001B6FA6"/>
    <w:rsid w:val="001B775A"/>
    <w:rsid w:val="001B7978"/>
    <w:rsid w:val="001B7F99"/>
    <w:rsid w:val="001C1291"/>
    <w:rsid w:val="001C1D64"/>
    <w:rsid w:val="001C26AF"/>
    <w:rsid w:val="001C27C8"/>
    <w:rsid w:val="001C4A38"/>
    <w:rsid w:val="001C4E00"/>
    <w:rsid w:val="001C4F1B"/>
    <w:rsid w:val="001C4F23"/>
    <w:rsid w:val="001C54BE"/>
    <w:rsid w:val="001C5E56"/>
    <w:rsid w:val="001C680F"/>
    <w:rsid w:val="001C7431"/>
    <w:rsid w:val="001C7D5A"/>
    <w:rsid w:val="001C7F76"/>
    <w:rsid w:val="001D0142"/>
    <w:rsid w:val="001D07D0"/>
    <w:rsid w:val="001D0EE1"/>
    <w:rsid w:val="001D1252"/>
    <w:rsid w:val="001D2FDA"/>
    <w:rsid w:val="001D4020"/>
    <w:rsid w:val="001D4D07"/>
    <w:rsid w:val="001D5B90"/>
    <w:rsid w:val="001D631A"/>
    <w:rsid w:val="001D6A32"/>
    <w:rsid w:val="001D7009"/>
    <w:rsid w:val="001D7829"/>
    <w:rsid w:val="001D7CF1"/>
    <w:rsid w:val="001E019E"/>
    <w:rsid w:val="001E051F"/>
    <w:rsid w:val="001E0CAD"/>
    <w:rsid w:val="001E0E7B"/>
    <w:rsid w:val="001E1091"/>
    <w:rsid w:val="001E13BC"/>
    <w:rsid w:val="001E195E"/>
    <w:rsid w:val="001E3328"/>
    <w:rsid w:val="001E368F"/>
    <w:rsid w:val="001E382B"/>
    <w:rsid w:val="001E74F5"/>
    <w:rsid w:val="001F2071"/>
    <w:rsid w:val="001F229B"/>
    <w:rsid w:val="001F2F6C"/>
    <w:rsid w:val="001F389B"/>
    <w:rsid w:val="001F392F"/>
    <w:rsid w:val="001F3A90"/>
    <w:rsid w:val="001F3CD6"/>
    <w:rsid w:val="001F4FAC"/>
    <w:rsid w:val="001F56C5"/>
    <w:rsid w:val="001F5BBE"/>
    <w:rsid w:val="001F65B9"/>
    <w:rsid w:val="001F6936"/>
    <w:rsid w:val="001F7282"/>
    <w:rsid w:val="001F7C1B"/>
    <w:rsid w:val="0020117D"/>
    <w:rsid w:val="00201BDD"/>
    <w:rsid w:val="00202A69"/>
    <w:rsid w:val="00202B42"/>
    <w:rsid w:val="0020384C"/>
    <w:rsid w:val="0020420D"/>
    <w:rsid w:val="002049C7"/>
    <w:rsid w:val="00205F66"/>
    <w:rsid w:val="0020690A"/>
    <w:rsid w:val="002109DA"/>
    <w:rsid w:val="002109DF"/>
    <w:rsid w:val="002120B0"/>
    <w:rsid w:val="00213FF8"/>
    <w:rsid w:val="002151F7"/>
    <w:rsid w:val="00215953"/>
    <w:rsid w:val="00215D6E"/>
    <w:rsid w:val="002161AC"/>
    <w:rsid w:val="002165C2"/>
    <w:rsid w:val="002174DB"/>
    <w:rsid w:val="00217A8C"/>
    <w:rsid w:val="0022004D"/>
    <w:rsid w:val="00220DA2"/>
    <w:rsid w:val="002221DE"/>
    <w:rsid w:val="00223E78"/>
    <w:rsid w:val="00223F20"/>
    <w:rsid w:val="00223F96"/>
    <w:rsid w:val="00224419"/>
    <w:rsid w:val="00224DD0"/>
    <w:rsid w:val="00224EDB"/>
    <w:rsid w:val="00225911"/>
    <w:rsid w:val="00225BD1"/>
    <w:rsid w:val="00227148"/>
    <w:rsid w:val="00227F13"/>
    <w:rsid w:val="002305B5"/>
    <w:rsid w:val="00230E35"/>
    <w:rsid w:val="00231E74"/>
    <w:rsid w:val="002325CD"/>
    <w:rsid w:val="00232BAF"/>
    <w:rsid w:val="00233B7B"/>
    <w:rsid w:val="0023428C"/>
    <w:rsid w:val="00234333"/>
    <w:rsid w:val="00235596"/>
    <w:rsid w:val="00235954"/>
    <w:rsid w:val="00236DD0"/>
    <w:rsid w:val="00236EBC"/>
    <w:rsid w:val="00237139"/>
    <w:rsid w:val="00237960"/>
    <w:rsid w:val="002409A7"/>
    <w:rsid w:val="002409F8"/>
    <w:rsid w:val="00241043"/>
    <w:rsid w:val="00241F5D"/>
    <w:rsid w:val="00243920"/>
    <w:rsid w:val="00244581"/>
    <w:rsid w:val="00244E41"/>
    <w:rsid w:val="00245DC3"/>
    <w:rsid w:val="00245E3A"/>
    <w:rsid w:val="00246911"/>
    <w:rsid w:val="002470CB"/>
    <w:rsid w:val="002475B0"/>
    <w:rsid w:val="002476EE"/>
    <w:rsid w:val="002478BA"/>
    <w:rsid w:val="00247A3C"/>
    <w:rsid w:val="002504FB"/>
    <w:rsid w:val="0025259B"/>
    <w:rsid w:val="00253DE0"/>
    <w:rsid w:val="00254523"/>
    <w:rsid w:val="0025490D"/>
    <w:rsid w:val="00255C1A"/>
    <w:rsid w:val="002569C0"/>
    <w:rsid w:val="00256CD6"/>
    <w:rsid w:val="002572BE"/>
    <w:rsid w:val="0026068A"/>
    <w:rsid w:val="002617CB"/>
    <w:rsid w:val="00262602"/>
    <w:rsid w:val="00262A6C"/>
    <w:rsid w:val="00263228"/>
    <w:rsid w:val="00263244"/>
    <w:rsid w:val="00263797"/>
    <w:rsid w:val="00263F39"/>
    <w:rsid w:val="00264A2A"/>
    <w:rsid w:val="00265379"/>
    <w:rsid w:val="00265477"/>
    <w:rsid w:val="00265629"/>
    <w:rsid w:val="00266294"/>
    <w:rsid w:val="00266706"/>
    <w:rsid w:val="00266FFF"/>
    <w:rsid w:val="00270D5D"/>
    <w:rsid w:val="0027113D"/>
    <w:rsid w:val="0027165F"/>
    <w:rsid w:val="00272720"/>
    <w:rsid w:val="0027400D"/>
    <w:rsid w:val="00274807"/>
    <w:rsid w:val="00275B88"/>
    <w:rsid w:val="00275BD8"/>
    <w:rsid w:val="00275D40"/>
    <w:rsid w:val="00276073"/>
    <w:rsid w:val="002769A4"/>
    <w:rsid w:val="00276FE5"/>
    <w:rsid w:val="00277A8A"/>
    <w:rsid w:val="00277D26"/>
    <w:rsid w:val="00277F1A"/>
    <w:rsid w:val="0028092C"/>
    <w:rsid w:val="00280E0F"/>
    <w:rsid w:val="002827DA"/>
    <w:rsid w:val="00283289"/>
    <w:rsid w:val="002835E7"/>
    <w:rsid w:val="00283651"/>
    <w:rsid w:val="00283CBA"/>
    <w:rsid w:val="002855AB"/>
    <w:rsid w:val="002866D5"/>
    <w:rsid w:val="00286953"/>
    <w:rsid w:val="00286996"/>
    <w:rsid w:val="00286CB3"/>
    <w:rsid w:val="00287404"/>
    <w:rsid w:val="00287868"/>
    <w:rsid w:val="00287B29"/>
    <w:rsid w:val="0029148D"/>
    <w:rsid w:val="002925AB"/>
    <w:rsid w:val="0029319E"/>
    <w:rsid w:val="00293B5A"/>
    <w:rsid w:val="00294A8F"/>
    <w:rsid w:val="00294EE7"/>
    <w:rsid w:val="00295698"/>
    <w:rsid w:val="002959C4"/>
    <w:rsid w:val="00296083"/>
    <w:rsid w:val="0029694C"/>
    <w:rsid w:val="00296DC1"/>
    <w:rsid w:val="00297155"/>
    <w:rsid w:val="002974CD"/>
    <w:rsid w:val="00297A6B"/>
    <w:rsid w:val="002A0035"/>
    <w:rsid w:val="002A0B81"/>
    <w:rsid w:val="002A2F91"/>
    <w:rsid w:val="002A4709"/>
    <w:rsid w:val="002A5351"/>
    <w:rsid w:val="002A5504"/>
    <w:rsid w:val="002A5C39"/>
    <w:rsid w:val="002A6EE4"/>
    <w:rsid w:val="002B0EC0"/>
    <w:rsid w:val="002B0F81"/>
    <w:rsid w:val="002B0F9E"/>
    <w:rsid w:val="002B1E79"/>
    <w:rsid w:val="002B2472"/>
    <w:rsid w:val="002B255B"/>
    <w:rsid w:val="002B2641"/>
    <w:rsid w:val="002B298A"/>
    <w:rsid w:val="002B2C65"/>
    <w:rsid w:val="002B2C70"/>
    <w:rsid w:val="002B3B01"/>
    <w:rsid w:val="002B6442"/>
    <w:rsid w:val="002B6AF4"/>
    <w:rsid w:val="002B6BAD"/>
    <w:rsid w:val="002C23C8"/>
    <w:rsid w:val="002C2FA4"/>
    <w:rsid w:val="002C399B"/>
    <w:rsid w:val="002C3A33"/>
    <w:rsid w:val="002C4B43"/>
    <w:rsid w:val="002C521A"/>
    <w:rsid w:val="002C5AF8"/>
    <w:rsid w:val="002C6D47"/>
    <w:rsid w:val="002C70FA"/>
    <w:rsid w:val="002C71B2"/>
    <w:rsid w:val="002C7DD9"/>
    <w:rsid w:val="002D04BA"/>
    <w:rsid w:val="002D05F0"/>
    <w:rsid w:val="002D08DF"/>
    <w:rsid w:val="002D12C6"/>
    <w:rsid w:val="002D227A"/>
    <w:rsid w:val="002D259A"/>
    <w:rsid w:val="002D27FE"/>
    <w:rsid w:val="002D2D9E"/>
    <w:rsid w:val="002D3233"/>
    <w:rsid w:val="002D5266"/>
    <w:rsid w:val="002D5CAB"/>
    <w:rsid w:val="002D6F5D"/>
    <w:rsid w:val="002D73B3"/>
    <w:rsid w:val="002D7C12"/>
    <w:rsid w:val="002E05C0"/>
    <w:rsid w:val="002E1168"/>
    <w:rsid w:val="002E1B51"/>
    <w:rsid w:val="002E1C94"/>
    <w:rsid w:val="002E3058"/>
    <w:rsid w:val="002E348A"/>
    <w:rsid w:val="002E4FCB"/>
    <w:rsid w:val="002E5147"/>
    <w:rsid w:val="002E596E"/>
    <w:rsid w:val="002E5EC4"/>
    <w:rsid w:val="002E611D"/>
    <w:rsid w:val="002E74A1"/>
    <w:rsid w:val="002E78EF"/>
    <w:rsid w:val="002E79D4"/>
    <w:rsid w:val="002F0227"/>
    <w:rsid w:val="002F0D15"/>
    <w:rsid w:val="002F134F"/>
    <w:rsid w:val="002F29C3"/>
    <w:rsid w:val="002F2B21"/>
    <w:rsid w:val="002F3336"/>
    <w:rsid w:val="002F461E"/>
    <w:rsid w:val="002F4C3E"/>
    <w:rsid w:val="002F4D68"/>
    <w:rsid w:val="002F5689"/>
    <w:rsid w:val="002F7ACD"/>
    <w:rsid w:val="00300F00"/>
    <w:rsid w:val="00301115"/>
    <w:rsid w:val="0030167D"/>
    <w:rsid w:val="00301ED5"/>
    <w:rsid w:val="00302098"/>
    <w:rsid w:val="003025B5"/>
    <w:rsid w:val="00302B49"/>
    <w:rsid w:val="00302F7D"/>
    <w:rsid w:val="003036EE"/>
    <w:rsid w:val="00303ED3"/>
    <w:rsid w:val="003041DF"/>
    <w:rsid w:val="00304610"/>
    <w:rsid w:val="00304746"/>
    <w:rsid w:val="00304AB3"/>
    <w:rsid w:val="00304B65"/>
    <w:rsid w:val="003059B8"/>
    <w:rsid w:val="00305CA4"/>
    <w:rsid w:val="00306670"/>
    <w:rsid w:val="00306E5D"/>
    <w:rsid w:val="00307B62"/>
    <w:rsid w:val="00310168"/>
    <w:rsid w:val="00310AD3"/>
    <w:rsid w:val="0031171C"/>
    <w:rsid w:val="00312270"/>
    <w:rsid w:val="003124D3"/>
    <w:rsid w:val="0031304B"/>
    <w:rsid w:val="00313850"/>
    <w:rsid w:val="00314823"/>
    <w:rsid w:val="00314D34"/>
    <w:rsid w:val="00315AAB"/>
    <w:rsid w:val="003200DF"/>
    <w:rsid w:val="00320DA8"/>
    <w:rsid w:val="00320FA5"/>
    <w:rsid w:val="0032103B"/>
    <w:rsid w:val="00321B78"/>
    <w:rsid w:val="003246C2"/>
    <w:rsid w:val="003263F1"/>
    <w:rsid w:val="0032686F"/>
    <w:rsid w:val="00326BE3"/>
    <w:rsid w:val="00326FA3"/>
    <w:rsid w:val="00332C49"/>
    <w:rsid w:val="003336C4"/>
    <w:rsid w:val="00333ECD"/>
    <w:rsid w:val="00334EDA"/>
    <w:rsid w:val="00335A39"/>
    <w:rsid w:val="00335CA5"/>
    <w:rsid w:val="0033640D"/>
    <w:rsid w:val="00336BDF"/>
    <w:rsid w:val="00336D11"/>
    <w:rsid w:val="00341878"/>
    <w:rsid w:val="00342E47"/>
    <w:rsid w:val="003445E1"/>
    <w:rsid w:val="003477BF"/>
    <w:rsid w:val="00347B36"/>
    <w:rsid w:val="00353786"/>
    <w:rsid w:val="0035409B"/>
    <w:rsid w:val="003548D5"/>
    <w:rsid w:val="0035654E"/>
    <w:rsid w:val="00357167"/>
    <w:rsid w:val="00357D98"/>
    <w:rsid w:val="00360A96"/>
    <w:rsid w:val="00360DC3"/>
    <w:rsid w:val="00361823"/>
    <w:rsid w:val="00361ECC"/>
    <w:rsid w:val="0036256C"/>
    <w:rsid w:val="0036289A"/>
    <w:rsid w:val="00362D07"/>
    <w:rsid w:val="00363D6C"/>
    <w:rsid w:val="00363FDE"/>
    <w:rsid w:val="003654D2"/>
    <w:rsid w:val="003665FC"/>
    <w:rsid w:val="00367346"/>
    <w:rsid w:val="00370E4F"/>
    <w:rsid w:val="0037179D"/>
    <w:rsid w:val="003733DB"/>
    <w:rsid w:val="00373FF6"/>
    <w:rsid w:val="0037563B"/>
    <w:rsid w:val="003769B5"/>
    <w:rsid w:val="00377450"/>
    <w:rsid w:val="00380211"/>
    <w:rsid w:val="00380DFF"/>
    <w:rsid w:val="00384134"/>
    <w:rsid w:val="00384316"/>
    <w:rsid w:val="0038480C"/>
    <w:rsid w:val="00384C20"/>
    <w:rsid w:val="00384D9F"/>
    <w:rsid w:val="003855A0"/>
    <w:rsid w:val="00385A1D"/>
    <w:rsid w:val="00385DFF"/>
    <w:rsid w:val="00387833"/>
    <w:rsid w:val="00387CEB"/>
    <w:rsid w:val="00391979"/>
    <w:rsid w:val="0039249E"/>
    <w:rsid w:val="003934C7"/>
    <w:rsid w:val="00393893"/>
    <w:rsid w:val="003938FE"/>
    <w:rsid w:val="003956AC"/>
    <w:rsid w:val="003967EA"/>
    <w:rsid w:val="00396CF1"/>
    <w:rsid w:val="00397676"/>
    <w:rsid w:val="003976AF"/>
    <w:rsid w:val="003A15A7"/>
    <w:rsid w:val="003A2146"/>
    <w:rsid w:val="003A21E7"/>
    <w:rsid w:val="003A2A3F"/>
    <w:rsid w:val="003A32F7"/>
    <w:rsid w:val="003A426F"/>
    <w:rsid w:val="003A4BAA"/>
    <w:rsid w:val="003A5109"/>
    <w:rsid w:val="003A5A1D"/>
    <w:rsid w:val="003A5E3A"/>
    <w:rsid w:val="003A6798"/>
    <w:rsid w:val="003A67F9"/>
    <w:rsid w:val="003A6DE8"/>
    <w:rsid w:val="003A6F57"/>
    <w:rsid w:val="003A7CFE"/>
    <w:rsid w:val="003B07BB"/>
    <w:rsid w:val="003B0C86"/>
    <w:rsid w:val="003B215E"/>
    <w:rsid w:val="003B24C5"/>
    <w:rsid w:val="003B2BF4"/>
    <w:rsid w:val="003B3C3A"/>
    <w:rsid w:val="003B3CD6"/>
    <w:rsid w:val="003B3D15"/>
    <w:rsid w:val="003B47C5"/>
    <w:rsid w:val="003B4B65"/>
    <w:rsid w:val="003B53D3"/>
    <w:rsid w:val="003B554F"/>
    <w:rsid w:val="003B561C"/>
    <w:rsid w:val="003B5D0B"/>
    <w:rsid w:val="003B7792"/>
    <w:rsid w:val="003C035E"/>
    <w:rsid w:val="003C27AF"/>
    <w:rsid w:val="003C38CF"/>
    <w:rsid w:val="003C64BA"/>
    <w:rsid w:val="003C6D09"/>
    <w:rsid w:val="003C74F5"/>
    <w:rsid w:val="003D0845"/>
    <w:rsid w:val="003D09D6"/>
    <w:rsid w:val="003D1208"/>
    <w:rsid w:val="003D19FA"/>
    <w:rsid w:val="003D2A49"/>
    <w:rsid w:val="003D2CCD"/>
    <w:rsid w:val="003D48C8"/>
    <w:rsid w:val="003D6BBF"/>
    <w:rsid w:val="003E0438"/>
    <w:rsid w:val="003E07F0"/>
    <w:rsid w:val="003E12E8"/>
    <w:rsid w:val="003E14D1"/>
    <w:rsid w:val="003E1997"/>
    <w:rsid w:val="003E19FA"/>
    <w:rsid w:val="003E1A42"/>
    <w:rsid w:val="003E1D24"/>
    <w:rsid w:val="003E285E"/>
    <w:rsid w:val="003E2A0E"/>
    <w:rsid w:val="003E3C6D"/>
    <w:rsid w:val="003E4C17"/>
    <w:rsid w:val="003E628F"/>
    <w:rsid w:val="003E67A9"/>
    <w:rsid w:val="003E73E6"/>
    <w:rsid w:val="003F0007"/>
    <w:rsid w:val="003F064A"/>
    <w:rsid w:val="003F0B93"/>
    <w:rsid w:val="003F2C67"/>
    <w:rsid w:val="003F2FD5"/>
    <w:rsid w:val="003F302E"/>
    <w:rsid w:val="003F4964"/>
    <w:rsid w:val="003F567A"/>
    <w:rsid w:val="00400AC9"/>
    <w:rsid w:val="004016A9"/>
    <w:rsid w:val="00402BF0"/>
    <w:rsid w:val="004032CE"/>
    <w:rsid w:val="00403A88"/>
    <w:rsid w:val="004054CD"/>
    <w:rsid w:val="0040580D"/>
    <w:rsid w:val="004062AA"/>
    <w:rsid w:val="00406545"/>
    <w:rsid w:val="004069C1"/>
    <w:rsid w:val="004102A6"/>
    <w:rsid w:val="00411135"/>
    <w:rsid w:val="00411E0E"/>
    <w:rsid w:val="00411E62"/>
    <w:rsid w:val="0041386B"/>
    <w:rsid w:val="00413E67"/>
    <w:rsid w:val="004163D5"/>
    <w:rsid w:val="00416DCC"/>
    <w:rsid w:val="004217EF"/>
    <w:rsid w:val="004218C2"/>
    <w:rsid w:val="004219FC"/>
    <w:rsid w:val="004235E3"/>
    <w:rsid w:val="00425F76"/>
    <w:rsid w:val="00426316"/>
    <w:rsid w:val="00426382"/>
    <w:rsid w:val="00426755"/>
    <w:rsid w:val="00426875"/>
    <w:rsid w:val="00427357"/>
    <w:rsid w:val="00427964"/>
    <w:rsid w:val="0043135D"/>
    <w:rsid w:val="00433B9D"/>
    <w:rsid w:val="00433E12"/>
    <w:rsid w:val="0043478A"/>
    <w:rsid w:val="00435273"/>
    <w:rsid w:val="00436490"/>
    <w:rsid w:val="00436799"/>
    <w:rsid w:val="00436982"/>
    <w:rsid w:val="00437AEE"/>
    <w:rsid w:val="00437DBC"/>
    <w:rsid w:val="00441005"/>
    <w:rsid w:val="004415BC"/>
    <w:rsid w:val="004424DB"/>
    <w:rsid w:val="00442800"/>
    <w:rsid w:val="004431CF"/>
    <w:rsid w:val="00445468"/>
    <w:rsid w:val="0044588C"/>
    <w:rsid w:val="00447625"/>
    <w:rsid w:val="00447DD7"/>
    <w:rsid w:val="00454431"/>
    <w:rsid w:val="00455DCC"/>
    <w:rsid w:val="00456D48"/>
    <w:rsid w:val="00460601"/>
    <w:rsid w:val="00460716"/>
    <w:rsid w:val="00460CD1"/>
    <w:rsid w:val="00461406"/>
    <w:rsid w:val="00461446"/>
    <w:rsid w:val="004615C3"/>
    <w:rsid w:val="00461A8D"/>
    <w:rsid w:val="00461BDD"/>
    <w:rsid w:val="0046314C"/>
    <w:rsid w:val="00463486"/>
    <w:rsid w:val="00463856"/>
    <w:rsid w:val="00463D98"/>
    <w:rsid w:val="00464857"/>
    <w:rsid w:val="00465105"/>
    <w:rsid w:val="00465635"/>
    <w:rsid w:val="00466415"/>
    <w:rsid w:val="00466A84"/>
    <w:rsid w:val="00472537"/>
    <w:rsid w:val="00474443"/>
    <w:rsid w:val="00474D5A"/>
    <w:rsid w:val="0047506C"/>
    <w:rsid w:val="00475406"/>
    <w:rsid w:val="004755FB"/>
    <w:rsid w:val="00475785"/>
    <w:rsid w:val="0047584A"/>
    <w:rsid w:val="004761F0"/>
    <w:rsid w:val="0047670D"/>
    <w:rsid w:val="00477CDA"/>
    <w:rsid w:val="00480601"/>
    <w:rsid w:val="00480C1C"/>
    <w:rsid w:val="004811D2"/>
    <w:rsid w:val="004816F8"/>
    <w:rsid w:val="00483E5A"/>
    <w:rsid w:val="00484140"/>
    <w:rsid w:val="00484279"/>
    <w:rsid w:val="004844AD"/>
    <w:rsid w:val="00484BA7"/>
    <w:rsid w:val="0048525F"/>
    <w:rsid w:val="004872A9"/>
    <w:rsid w:val="004911A6"/>
    <w:rsid w:val="0049154C"/>
    <w:rsid w:val="004917FA"/>
    <w:rsid w:val="00491D3B"/>
    <w:rsid w:val="00492F62"/>
    <w:rsid w:val="004947D6"/>
    <w:rsid w:val="00494E7E"/>
    <w:rsid w:val="004953D5"/>
    <w:rsid w:val="00497DF5"/>
    <w:rsid w:val="004A0ACC"/>
    <w:rsid w:val="004A0B73"/>
    <w:rsid w:val="004A0FB4"/>
    <w:rsid w:val="004A2052"/>
    <w:rsid w:val="004A297F"/>
    <w:rsid w:val="004A54D4"/>
    <w:rsid w:val="004A62C8"/>
    <w:rsid w:val="004A6F01"/>
    <w:rsid w:val="004A7174"/>
    <w:rsid w:val="004B07D3"/>
    <w:rsid w:val="004B0BED"/>
    <w:rsid w:val="004B1605"/>
    <w:rsid w:val="004B2467"/>
    <w:rsid w:val="004B26AB"/>
    <w:rsid w:val="004B2A7C"/>
    <w:rsid w:val="004B337C"/>
    <w:rsid w:val="004B3BEA"/>
    <w:rsid w:val="004B4024"/>
    <w:rsid w:val="004B536A"/>
    <w:rsid w:val="004B5C59"/>
    <w:rsid w:val="004B5DFC"/>
    <w:rsid w:val="004B6785"/>
    <w:rsid w:val="004C0CBC"/>
    <w:rsid w:val="004C0F99"/>
    <w:rsid w:val="004C1105"/>
    <w:rsid w:val="004C223F"/>
    <w:rsid w:val="004C26E3"/>
    <w:rsid w:val="004C3A58"/>
    <w:rsid w:val="004C48FD"/>
    <w:rsid w:val="004C5057"/>
    <w:rsid w:val="004C5229"/>
    <w:rsid w:val="004C6DD0"/>
    <w:rsid w:val="004C6E8E"/>
    <w:rsid w:val="004C73E3"/>
    <w:rsid w:val="004C7616"/>
    <w:rsid w:val="004C7C32"/>
    <w:rsid w:val="004D196A"/>
    <w:rsid w:val="004D20A1"/>
    <w:rsid w:val="004D2F4A"/>
    <w:rsid w:val="004D3B20"/>
    <w:rsid w:val="004D494C"/>
    <w:rsid w:val="004D602F"/>
    <w:rsid w:val="004D6D81"/>
    <w:rsid w:val="004D7606"/>
    <w:rsid w:val="004D7F78"/>
    <w:rsid w:val="004E03E3"/>
    <w:rsid w:val="004E09CE"/>
    <w:rsid w:val="004E1408"/>
    <w:rsid w:val="004E2008"/>
    <w:rsid w:val="004E2DB3"/>
    <w:rsid w:val="004E41F1"/>
    <w:rsid w:val="004E4393"/>
    <w:rsid w:val="004E6096"/>
    <w:rsid w:val="004E60DD"/>
    <w:rsid w:val="004E68C3"/>
    <w:rsid w:val="004E6CFD"/>
    <w:rsid w:val="004E6D1E"/>
    <w:rsid w:val="004F143D"/>
    <w:rsid w:val="004F1968"/>
    <w:rsid w:val="004F31BE"/>
    <w:rsid w:val="004F3682"/>
    <w:rsid w:val="004F3B12"/>
    <w:rsid w:val="004F547E"/>
    <w:rsid w:val="004F56A1"/>
    <w:rsid w:val="004F6244"/>
    <w:rsid w:val="004F6E43"/>
    <w:rsid w:val="004F7AF9"/>
    <w:rsid w:val="005008ED"/>
    <w:rsid w:val="00501435"/>
    <w:rsid w:val="00501626"/>
    <w:rsid w:val="00501C42"/>
    <w:rsid w:val="00501CF0"/>
    <w:rsid w:val="00503071"/>
    <w:rsid w:val="0050381A"/>
    <w:rsid w:val="00504419"/>
    <w:rsid w:val="00504BB0"/>
    <w:rsid w:val="00505319"/>
    <w:rsid w:val="0050728C"/>
    <w:rsid w:val="0050764C"/>
    <w:rsid w:val="00507AF7"/>
    <w:rsid w:val="00507D28"/>
    <w:rsid w:val="0051042D"/>
    <w:rsid w:val="0051075B"/>
    <w:rsid w:val="005141DC"/>
    <w:rsid w:val="0051449F"/>
    <w:rsid w:val="0051505E"/>
    <w:rsid w:val="005156C9"/>
    <w:rsid w:val="00515781"/>
    <w:rsid w:val="00517314"/>
    <w:rsid w:val="00517391"/>
    <w:rsid w:val="005201DE"/>
    <w:rsid w:val="005202D8"/>
    <w:rsid w:val="00520AE2"/>
    <w:rsid w:val="00520C72"/>
    <w:rsid w:val="00521B1E"/>
    <w:rsid w:val="00523F25"/>
    <w:rsid w:val="005241F2"/>
    <w:rsid w:val="005242AC"/>
    <w:rsid w:val="005245AF"/>
    <w:rsid w:val="00526E56"/>
    <w:rsid w:val="00530A3E"/>
    <w:rsid w:val="005344F4"/>
    <w:rsid w:val="00534DE2"/>
    <w:rsid w:val="0053668D"/>
    <w:rsid w:val="00536EC6"/>
    <w:rsid w:val="005371E1"/>
    <w:rsid w:val="005374B4"/>
    <w:rsid w:val="005379AA"/>
    <w:rsid w:val="00540AB4"/>
    <w:rsid w:val="00540D9F"/>
    <w:rsid w:val="0054140B"/>
    <w:rsid w:val="005427EA"/>
    <w:rsid w:val="0054453C"/>
    <w:rsid w:val="00545FC0"/>
    <w:rsid w:val="00546BFE"/>
    <w:rsid w:val="00547321"/>
    <w:rsid w:val="005509C5"/>
    <w:rsid w:val="00551760"/>
    <w:rsid w:val="00551A42"/>
    <w:rsid w:val="00551EA5"/>
    <w:rsid w:val="005540DD"/>
    <w:rsid w:val="0055473A"/>
    <w:rsid w:val="00554752"/>
    <w:rsid w:val="00554DFA"/>
    <w:rsid w:val="00554FE1"/>
    <w:rsid w:val="005559EC"/>
    <w:rsid w:val="00555D94"/>
    <w:rsid w:val="00561371"/>
    <w:rsid w:val="00563D9B"/>
    <w:rsid w:val="00566F80"/>
    <w:rsid w:val="005671CF"/>
    <w:rsid w:val="00570A16"/>
    <w:rsid w:val="00570F0C"/>
    <w:rsid w:val="005715B6"/>
    <w:rsid w:val="00574B7C"/>
    <w:rsid w:val="00576133"/>
    <w:rsid w:val="0057731A"/>
    <w:rsid w:val="00577558"/>
    <w:rsid w:val="00577D11"/>
    <w:rsid w:val="005814B9"/>
    <w:rsid w:val="0058269F"/>
    <w:rsid w:val="00582829"/>
    <w:rsid w:val="00583D30"/>
    <w:rsid w:val="00584DDD"/>
    <w:rsid w:val="00587284"/>
    <w:rsid w:val="00587993"/>
    <w:rsid w:val="00591037"/>
    <w:rsid w:val="005914E1"/>
    <w:rsid w:val="00591AF1"/>
    <w:rsid w:val="0059255A"/>
    <w:rsid w:val="00592960"/>
    <w:rsid w:val="00592AB7"/>
    <w:rsid w:val="005946A8"/>
    <w:rsid w:val="00595A83"/>
    <w:rsid w:val="00596091"/>
    <w:rsid w:val="0059650A"/>
    <w:rsid w:val="005969C5"/>
    <w:rsid w:val="005969CF"/>
    <w:rsid w:val="00597C43"/>
    <w:rsid w:val="005A2800"/>
    <w:rsid w:val="005A28CE"/>
    <w:rsid w:val="005A3301"/>
    <w:rsid w:val="005A377F"/>
    <w:rsid w:val="005A4294"/>
    <w:rsid w:val="005A49F3"/>
    <w:rsid w:val="005A6090"/>
    <w:rsid w:val="005A656A"/>
    <w:rsid w:val="005A7F82"/>
    <w:rsid w:val="005B032E"/>
    <w:rsid w:val="005B2449"/>
    <w:rsid w:val="005B2B56"/>
    <w:rsid w:val="005B46FB"/>
    <w:rsid w:val="005B536C"/>
    <w:rsid w:val="005B5514"/>
    <w:rsid w:val="005B6B74"/>
    <w:rsid w:val="005C0EEF"/>
    <w:rsid w:val="005C0FCD"/>
    <w:rsid w:val="005C1A91"/>
    <w:rsid w:val="005C1B51"/>
    <w:rsid w:val="005C3BE9"/>
    <w:rsid w:val="005C4A8C"/>
    <w:rsid w:val="005C53A7"/>
    <w:rsid w:val="005C5A0B"/>
    <w:rsid w:val="005C5BE4"/>
    <w:rsid w:val="005C5BE8"/>
    <w:rsid w:val="005C69AE"/>
    <w:rsid w:val="005C6E5A"/>
    <w:rsid w:val="005C79AA"/>
    <w:rsid w:val="005C7CAE"/>
    <w:rsid w:val="005D1007"/>
    <w:rsid w:val="005D248E"/>
    <w:rsid w:val="005D2C96"/>
    <w:rsid w:val="005D3252"/>
    <w:rsid w:val="005D3522"/>
    <w:rsid w:val="005D3973"/>
    <w:rsid w:val="005D409D"/>
    <w:rsid w:val="005D47C3"/>
    <w:rsid w:val="005D4A4B"/>
    <w:rsid w:val="005D4D42"/>
    <w:rsid w:val="005D4D6C"/>
    <w:rsid w:val="005D51DB"/>
    <w:rsid w:val="005D595C"/>
    <w:rsid w:val="005D689D"/>
    <w:rsid w:val="005D6D26"/>
    <w:rsid w:val="005E09AE"/>
    <w:rsid w:val="005E19AA"/>
    <w:rsid w:val="005E1B92"/>
    <w:rsid w:val="005E2113"/>
    <w:rsid w:val="005E3A31"/>
    <w:rsid w:val="005E45FE"/>
    <w:rsid w:val="005E490C"/>
    <w:rsid w:val="005E4D0B"/>
    <w:rsid w:val="005E4DE7"/>
    <w:rsid w:val="005E6CC3"/>
    <w:rsid w:val="005F0F95"/>
    <w:rsid w:val="005F25FD"/>
    <w:rsid w:val="005F2D88"/>
    <w:rsid w:val="005F34FF"/>
    <w:rsid w:val="005F4CD2"/>
    <w:rsid w:val="005F5414"/>
    <w:rsid w:val="005F587C"/>
    <w:rsid w:val="005F734F"/>
    <w:rsid w:val="005F767F"/>
    <w:rsid w:val="006003BC"/>
    <w:rsid w:val="00600423"/>
    <w:rsid w:val="00601E56"/>
    <w:rsid w:val="006020DE"/>
    <w:rsid w:val="00602270"/>
    <w:rsid w:val="00602E36"/>
    <w:rsid w:val="00602F39"/>
    <w:rsid w:val="00602FCE"/>
    <w:rsid w:val="00603735"/>
    <w:rsid w:val="006038BB"/>
    <w:rsid w:val="006079C7"/>
    <w:rsid w:val="006079F6"/>
    <w:rsid w:val="00607AFC"/>
    <w:rsid w:val="00607B40"/>
    <w:rsid w:val="00610CFD"/>
    <w:rsid w:val="00610D61"/>
    <w:rsid w:val="00610E17"/>
    <w:rsid w:val="00612520"/>
    <w:rsid w:val="006137A7"/>
    <w:rsid w:val="00613D0B"/>
    <w:rsid w:val="0061490F"/>
    <w:rsid w:val="00616A82"/>
    <w:rsid w:val="00616BB8"/>
    <w:rsid w:val="00616C2C"/>
    <w:rsid w:val="006173B3"/>
    <w:rsid w:val="00620705"/>
    <w:rsid w:val="00620DE2"/>
    <w:rsid w:val="00621B77"/>
    <w:rsid w:val="00621D37"/>
    <w:rsid w:val="0062243B"/>
    <w:rsid w:val="00622FD0"/>
    <w:rsid w:val="00623652"/>
    <w:rsid w:val="006237CA"/>
    <w:rsid w:val="00623A69"/>
    <w:rsid w:val="00623C04"/>
    <w:rsid w:val="00623FCC"/>
    <w:rsid w:val="00624F86"/>
    <w:rsid w:val="006252DD"/>
    <w:rsid w:val="00626786"/>
    <w:rsid w:val="00626E0D"/>
    <w:rsid w:val="00627283"/>
    <w:rsid w:val="00631200"/>
    <w:rsid w:val="006312DE"/>
    <w:rsid w:val="006315D6"/>
    <w:rsid w:val="00631F62"/>
    <w:rsid w:val="00632321"/>
    <w:rsid w:val="00633CCF"/>
    <w:rsid w:val="00635DC6"/>
    <w:rsid w:val="0063611C"/>
    <w:rsid w:val="00637724"/>
    <w:rsid w:val="00637823"/>
    <w:rsid w:val="00637D88"/>
    <w:rsid w:val="006403E1"/>
    <w:rsid w:val="0064043F"/>
    <w:rsid w:val="006408A2"/>
    <w:rsid w:val="00640A62"/>
    <w:rsid w:val="00643D63"/>
    <w:rsid w:val="00645295"/>
    <w:rsid w:val="00645319"/>
    <w:rsid w:val="0064737C"/>
    <w:rsid w:val="006503CA"/>
    <w:rsid w:val="006503E0"/>
    <w:rsid w:val="006510B8"/>
    <w:rsid w:val="00651565"/>
    <w:rsid w:val="0065252D"/>
    <w:rsid w:val="00652CE6"/>
    <w:rsid w:val="006541A3"/>
    <w:rsid w:val="0065528C"/>
    <w:rsid w:val="00656575"/>
    <w:rsid w:val="006566B6"/>
    <w:rsid w:val="00656A54"/>
    <w:rsid w:val="00660208"/>
    <w:rsid w:val="00660BAC"/>
    <w:rsid w:val="0066232D"/>
    <w:rsid w:val="006624C6"/>
    <w:rsid w:val="006631B0"/>
    <w:rsid w:val="00663255"/>
    <w:rsid w:val="00664D98"/>
    <w:rsid w:val="00670689"/>
    <w:rsid w:val="0067116D"/>
    <w:rsid w:val="00671546"/>
    <w:rsid w:val="006717D8"/>
    <w:rsid w:val="00672411"/>
    <w:rsid w:val="006726F9"/>
    <w:rsid w:val="0067279F"/>
    <w:rsid w:val="00672B9A"/>
    <w:rsid w:val="00673A26"/>
    <w:rsid w:val="00673F53"/>
    <w:rsid w:val="00674969"/>
    <w:rsid w:val="0067538E"/>
    <w:rsid w:val="00675490"/>
    <w:rsid w:val="006756E9"/>
    <w:rsid w:val="006764A4"/>
    <w:rsid w:val="006766E4"/>
    <w:rsid w:val="00677C1A"/>
    <w:rsid w:val="00680005"/>
    <w:rsid w:val="006803C3"/>
    <w:rsid w:val="00680444"/>
    <w:rsid w:val="00681A5B"/>
    <w:rsid w:val="00681D9D"/>
    <w:rsid w:val="0068357D"/>
    <w:rsid w:val="006835CE"/>
    <w:rsid w:val="00684C6B"/>
    <w:rsid w:val="00686E75"/>
    <w:rsid w:val="00690164"/>
    <w:rsid w:val="00690B82"/>
    <w:rsid w:val="00690E18"/>
    <w:rsid w:val="00691116"/>
    <w:rsid w:val="006916AA"/>
    <w:rsid w:val="00692A19"/>
    <w:rsid w:val="00692CB6"/>
    <w:rsid w:val="00692D6B"/>
    <w:rsid w:val="006934FA"/>
    <w:rsid w:val="00693F8A"/>
    <w:rsid w:val="00694D51"/>
    <w:rsid w:val="00695C16"/>
    <w:rsid w:val="00696267"/>
    <w:rsid w:val="00696673"/>
    <w:rsid w:val="0069772B"/>
    <w:rsid w:val="00697CE5"/>
    <w:rsid w:val="006A2956"/>
    <w:rsid w:val="006A3512"/>
    <w:rsid w:val="006A4531"/>
    <w:rsid w:val="006A5173"/>
    <w:rsid w:val="006A54B0"/>
    <w:rsid w:val="006A6BDC"/>
    <w:rsid w:val="006B049F"/>
    <w:rsid w:val="006B0F59"/>
    <w:rsid w:val="006B1468"/>
    <w:rsid w:val="006B1E5D"/>
    <w:rsid w:val="006B3574"/>
    <w:rsid w:val="006B39E6"/>
    <w:rsid w:val="006B3D32"/>
    <w:rsid w:val="006B402A"/>
    <w:rsid w:val="006B473E"/>
    <w:rsid w:val="006B493F"/>
    <w:rsid w:val="006B49E9"/>
    <w:rsid w:val="006B5757"/>
    <w:rsid w:val="006B5AB1"/>
    <w:rsid w:val="006B7A4D"/>
    <w:rsid w:val="006C12B9"/>
    <w:rsid w:val="006C3325"/>
    <w:rsid w:val="006C3663"/>
    <w:rsid w:val="006C4D70"/>
    <w:rsid w:val="006C5006"/>
    <w:rsid w:val="006C686A"/>
    <w:rsid w:val="006C6D5E"/>
    <w:rsid w:val="006D0006"/>
    <w:rsid w:val="006D07BD"/>
    <w:rsid w:val="006D201A"/>
    <w:rsid w:val="006D2CCC"/>
    <w:rsid w:val="006D2FB4"/>
    <w:rsid w:val="006D3661"/>
    <w:rsid w:val="006D3C5F"/>
    <w:rsid w:val="006D4D3C"/>
    <w:rsid w:val="006D5C36"/>
    <w:rsid w:val="006D7FBE"/>
    <w:rsid w:val="006E12EE"/>
    <w:rsid w:val="006E1602"/>
    <w:rsid w:val="006E1B9E"/>
    <w:rsid w:val="006E365B"/>
    <w:rsid w:val="006E4136"/>
    <w:rsid w:val="006E4476"/>
    <w:rsid w:val="006E45AC"/>
    <w:rsid w:val="006E6DBF"/>
    <w:rsid w:val="006E6DD0"/>
    <w:rsid w:val="006E6F5B"/>
    <w:rsid w:val="006E71FB"/>
    <w:rsid w:val="006F0C4E"/>
    <w:rsid w:val="006F16E0"/>
    <w:rsid w:val="006F1C06"/>
    <w:rsid w:val="006F1D44"/>
    <w:rsid w:val="006F1EE0"/>
    <w:rsid w:val="006F2A11"/>
    <w:rsid w:val="006F35A7"/>
    <w:rsid w:val="006F360F"/>
    <w:rsid w:val="006F494F"/>
    <w:rsid w:val="006F63DD"/>
    <w:rsid w:val="006F6FF2"/>
    <w:rsid w:val="006F77BA"/>
    <w:rsid w:val="006F7BC8"/>
    <w:rsid w:val="00701064"/>
    <w:rsid w:val="00701494"/>
    <w:rsid w:val="00701FF7"/>
    <w:rsid w:val="007025A5"/>
    <w:rsid w:val="00703796"/>
    <w:rsid w:val="00703887"/>
    <w:rsid w:val="00704102"/>
    <w:rsid w:val="00704EC4"/>
    <w:rsid w:val="00704F50"/>
    <w:rsid w:val="007052A2"/>
    <w:rsid w:val="0070536E"/>
    <w:rsid w:val="007056EB"/>
    <w:rsid w:val="00705B90"/>
    <w:rsid w:val="0070658A"/>
    <w:rsid w:val="007066F3"/>
    <w:rsid w:val="00706C50"/>
    <w:rsid w:val="00711370"/>
    <w:rsid w:val="00712E7F"/>
    <w:rsid w:val="00712FC9"/>
    <w:rsid w:val="00713CC5"/>
    <w:rsid w:val="00714AC9"/>
    <w:rsid w:val="00715E40"/>
    <w:rsid w:val="00716942"/>
    <w:rsid w:val="00720150"/>
    <w:rsid w:val="00720855"/>
    <w:rsid w:val="007209D7"/>
    <w:rsid w:val="00721B82"/>
    <w:rsid w:val="007223CF"/>
    <w:rsid w:val="00725655"/>
    <w:rsid w:val="007263B6"/>
    <w:rsid w:val="00726431"/>
    <w:rsid w:val="00726D32"/>
    <w:rsid w:val="007272F2"/>
    <w:rsid w:val="0072741F"/>
    <w:rsid w:val="0072796F"/>
    <w:rsid w:val="00730D8B"/>
    <w:rsid w:val="00730D9D"/>
    <w:rsid w:val="00731216"/>
    <w:rsid w:val="007319AC"/>
    <w:rsid w:val="00731A1D"/>
    <w:rsid w:val="00732326"/>
    <w:rsid w:val="00734E50"/>
    <w:rsid w:val="007358F2"/>
    <w:rsid w:val="00740261"/>
    <w:rsid w:val="00740776"/>
    <w:rsid w:val="00741334"/>
    <w:rsid w:val="007421FE"/>
    <w:rsid w:val="00742393"/>
    <w:rsid w:val="00742874"/>
    <w:rsid w:val="00743498"/>
    <w:rsid w:val="00744442"/>
    <w:rsid w:val="0074483E"/>
    <w:rsid w:val="00744CFC"/>
    <w:rsid w:val="00745332"/>
    <w:rsid w:val="00746763"/>
    <w:rsid w:val="00746BDE"/>
    <w:rsid w:val="00747F84"/>
    <w:rsid w:val="0075124B"/>
    <w:rsid w:val="0075188B"/>
    <w:rsid w:val="00751D48"/>
    <w:rsid w:val="007539F1"/>
    <w:rsid w:val="007541B2"/>
    <w:rsid w:val="007543D3"/>
    <w:rsid w:val="00755594"/>
    <w:rsid w:val="0075564B"/>
    <w:rsid w:val="00756418"/>
    <w:rsid w:val="007565B9"/>
    <w:rsid w:val="00756A49"/>
    <w:rsid w:val="0075731C"/>
    <w:rsid w:val="00757A5D"/>
    <w:rsid w:val="0076123C"/>
    <w:rsid w:val="00764854"/>
    <w:rsid w:val="00765690"/>
    <w:rsid w:val="0077078E"/>
    <w:rsid w:val="00770D4D"/>
    <w:rsid w:val="0077107C"/>
    <w:rsid w:val="00771EFC"/>
    <w:rsid w:val="007725E7"/>
    <w:rsid w:val="00772799"/>
    <w:rsid w:val="007737D3"/>
    <w:rsid w:val="00774109"/>
    <w:rsid w:val="0077548D"/>
    <w:rsid w:val="0077571E"/>
    <w:rsid w:val="007759CA"/>
    <w:rsid w:val="00775D6C"/>
    <w:rsid w:val="00775E40"/>
    <w:rsid w:val="00775E66"/>
    <w:rsid w:val="00780BBA"/>
    <w:rsid w:val="00781162"/>
    <w:rsid w:val="0078175C"/>
    <w:rsid w:val="007820B3"/>
    <w:rsid w:val="00782BF9"/>
    <w:rsid w:val="00782CBA"/>
    <w:rsid w:val="0078473F"/>
    <w:rsid w:val="007856E1"/>
    <w:rsid w:val="00785853"/>
    <w:rsid w:val="00785B02"/>
    <w:rsid w:val="00786974"/>
    <w:rsid w:val="0078754C"/>
    <w:rsid w:val="00787A42"/>
    <w:rsid w:val="00790213"/>
    <w:rsid w:val="00790EE6"/>
    <w:rsid w:val="0079172A"/>
    <w:rsid w:val="00792BAB"/>
    <w:rsid w:val="00792E22"/>
    <w:rsid w:val="007931FA"/>
    <w:rsid w:val="0079484D"/>
    <w:rsid w:val="00794E85"/>
    <w:rsid w:val="00794EE2"/>
    <w:rsid w:val="007960B1"/>
    <w:rsid w:val="007969EA"/>
    <w:rsid w:val="00796A78"/>
    <w:rsid w:val="00797339"/>
    <w:rsid w:val="007A002F"/>
    <w:rsid w:val="007A05DA"/>
    <w:rsid w:val="007A06A4"/>
    <w:rsid w:val="007A0D7F"/>
    <w:rsid w:val="007A1337"/>
    <w:rsid w:val="007A2600"/>
    <w:rsid w:val="007A2BAA"/>
    <w:rsid w:val="007A4AD7"/>
    <w:rsid w:val="007B02D2"/>
    <w:rsid w:val="007B0B09"/>
    <w:rsid w:val="007B1048"/>
    <w:rsid w:val="007B10E0"/>
    <w:rsid w:val="007B12D1"/>
    <w:rsid w:val="007B147F"/>
    <w:rsid w:val="007B148C"/>
    <w:rsid w:val="007B2AB5"/>
    <w:rsid w:val="007B2B0B"/>
    <w:rsid w:val="007B3235"/>
    <w:rsid w:val="007B3866"/>
    <w:rsid w:val="007B3CC4"/>
    <w:rsid w:val="007B4455"/>
    <w:rsid w:val="007B4BCF"/>
    <w:rsid w:val="007B517E"/>
    <w:rsid w:val="007B52FA"/>
    <w:rsid w:val="007B5364"/>
    <w:rsid w:val="007B5B27"/>
    <w:rsid w:val="007B5F60"/>
    <w:rsid w:val="007B64B1"/>
    <w:rsid w:val="007B74F4"/>
    <w:rsid w:val="007B765E"/>
    <w:rsid w:val="007B76C4"/>
    <w:rsid w:val="007B7819"/>
    <w:rsid w:val="007B7C1C"/>
    <w:rsid w:val="007C0217"/>
    <w:rsid w:val="007C031A"/>
    <w:rsid w:val="007C0692"/>
    <w:rsid w:val="007C37D9"/>
    <w:rsid w:val="007C4824"/>
    <w:rsid w:val="007C5109"/>
    <w:rsid w:val="007C5553"/>
    <w:rsid w:val="007C67E0"/>
    <w:rsid w:val="007C68A0"/>
    <w:rsid w:val="007C78EE"/>
    <w:rsid w:val="007C7BE9"/>
    <w:rsid w:val="007D066E"/>
    <w:rsid w:val="007D0B63"/>
    <w:rsid w:val="007D0CDE"/>
    <w:rsid w:val="007D15A2"/>
    <w:rsid w:val="007D167A"/>
    <w:rsid w:val="007D1BEA"/>
    <w:rsid w:val="007D236D"/>
    <w:rsid w:val="007D2C4E"/>
    <w:rsid w:val="007D33D0"/>
    <w:rsid w:val="007D3B78"/>
    <w:rsid w:val="007D43EE"/>
    <w:rsid w:val="007D4693"/>
    <w:rsid w:val="007D5C4E"/>
    <w:rsid w:val="007D665E"/>
    <w:rsid w:val="007D773D"/>
    <w:rsid w:val="007D7EC8"/>
    <w:rsid w:val="007E04C7"/>
    <w:rsid w:val="007E0EE8"/>
    <w:rsid w:val="007E217C"/>
    <w:rsid w:val="007E2816"/>
    <w:rsid w:val="007E289B"/>
    <w:rsid w:val="007E402C"/>
    <w:rsid w:val="007E4F28"/>
    <w:rsid w:val="007E5364"/>
    <w:rsid w:val="007E55CF"/>
    <w:rsid w:val="007E5BDA"/>
    <w:rsid w:val="007E6233"/>
    <w:rsid w:val="007E79CB"/>
    <w:rsid w:val="007F1533"/>
    <w:rsid w:val="007F1997"/>
    <w:rsid w:val="007F1DE5"/>
    <w:rsid w:val="007F21D8"/>
    <w:rsid w:val="007F2668"/>
    <w:rsid w:val="007F3854"/>
    <w:rsid w:val="007F4CA7"/>
    <w:rsid w:val="007F5AB8"/>
    <w:rsid w:val="007F6C9D"/>
    <w:rsid w:val="007F7936"/>
    <w:rsid w:val="007F7E98"/>
    <w:rsid w:val="008005CE"/>
    <w:rsid w:val="008007CE"/>
    <w:rsid w:val="00801BD4"/>
    <w:rsid w:val="008023A5"/>
    <w:rsid w:val="008032AE"/>
    <w:rsid w:val="008038C6"/>
    <w:rsid w:val="008038EE"/>
    <w:rsid w:val="00804B1E"/>
    <w:rsid w:val="00805104"/>
    <w:rsid w:val="00805477"/>
    <w:rsid w:val="00805846"/>
    <w:rsid w:val="00805D0F"/>
    <w:rsid w:val="00806912"/>
    <w:rsid w:val="008078D1"/>
    <w:rsid w:val="00807CEF"/>
    <w:rsid w:val="0081034F"/>
    <w:rsid w:val="008106D4"/>
    <w:rsid w:val="008110E5"/>
    <w:rsid w:val="00812BAF"/>
    <w:rsid w:val="008134A1"/>
    <w:rsid w:val="00813D23"/>
    <w:rsid w:val="00814240"/>
    <w:rsid w:val="008142B0"/>
    <w:rsid w:val="008142B8"/>
    <w:rsid w:val="00815489"/>
    <w:rsid w:val="0081738E"/>
    <w:rsid w:val="00817937"/>
    <w:rsid w:val="00817EE3"/>
    <w:rsid w:val="00820027"/>
    <w:rsid w:val="0082027F"/>
    <w:rsid w:val="00820C46"/>
    <w:rsid w:val="00821092"/>
    <w:rsid w:val="008214A5"/>
    <w:rsid w:val="0082173C"/>
    <w:rsid w:val="00821BD2"/>
    <w:rsid w:val="00821FB9"/>
    <w:rsid w:val="00822005"/>
    <w:rsid w:val="008228F3"/>
    <w:rsid w:val="0082328E"/>
    <w:rsid w:val="00823C21"/>
    <w:rsid w:val="00824891"/>
    <w:rsid w:val="00825155"/>
    <w:rsid w:val="0082566C"/>
    <w:rsid w:val="00827791"/>
    <w:rsid w:val="008279FB"/>
    <w:rsid w:val="008306D6"/>
    <w:rsid w:val="0083075F"/>
    <w:rsid w:val="00830D7D"/>
    <w:rsid w:val="0083190C"/>
    <w:rsid w:val="00833CDB"/>
    <w:rsid w:val="0083493D"/>
    <w:rsid w:val="00834E15"/>
    <w:rsid w:val="00835097"/>
    <w:rsid w:val="00835397"/>
    <w:rsid w:val="00835F48"/>
    <w:rsid w:val="0083774F"/>
    <w:rsid w:val="00837936"/>
    <w:rsid w:val="00840C01"/>
    <w:rsid w:val="00841A96"/>
    <w:rsid w:val="00841BA0"/>
    <w:rsid w:val="00841FBA"/>
    <w:rsid w:val="00842486"/>
    <w:rsid w:val="0084378E"/>
    <w:rsid w:val="0084689B"/>
    <w:rsid w:val="00846967"/>
    <w:rsid w:val="00847003"/>
    <w:rsid w:val="00847339"/>
    <w:rsid w:val="0084747A"/>
    <w:rsid w:val="00847BF1"/>
    <w:rsid w:val="008500E2"/>
    <w:rsid w:val="00851AAB"/>
    <w:rsid w:val="00852193"/>
    <w:rsid w:val="00852549"/>
    <w:rsid w:val="0085259B"/>
    <w:rsid w:val="00852D1B"/>
    <w:rsid w:val="00857423"/>
    <w:rsid w:val="00857C35"/>
    <w:rsid w:val="008606D7"/>
    <w:rsid w:val="008615AB"/>
    <w:rsid w:val="00861D51"/>
    <w:rsid w:val="00863230"/>
    <w:rsid w:val="00863B9F"/>
    <w:rsid w:val="00863FCE"/>
    <w:rsid w:val="00864856"/>
    <w:rsid w:val="0086548C"/>
    <w:rsid w:val="008660C8"/>
    <w:rsid w:val="008661EF"/>
    <w:rsid w:val="0086630F"/>
    <w:rsid w:val="00866581"/>
    <w:rsid w:val="00870028"/>
    <w:rsid w:val="008701B1"/>
    <w:rsid w:val="008705B6"/>
    <w:rsid w:val="00873AA3"/>
    <w:rsid w:val="00873B81"/>
    <w:rsid w:val="008753D3"/>
    <w:rsid w:val="00875674"/>
    <w:rsid w:val="00876111"/>
    <w:rsid w:val="008766EF"/>
    <w:rsid w:val="008766FA"/>
    <w:rsid w:val="00877BCD"/>
    <w:rsid w:val="00880715"/>
    <w:rsid w:val="00880966"/>
    <w:rsid w:val="00880D3A"/>
    <w:rsid w:val="008817E1"/>
    <w:rsid w:val="00882734"/>
    <w:rsid w:val="0088374F"/>
    <w:rsid w:val="00884116"/>
    <w:rsid w:val="00886033"/>
    <w:rsid w:val="0088636E"/>
    <w:rsid w:val="00886927"/>
    <w:rsid w:val="00887D84"/>
    <w:rsid w:val="00891ABC"/>
    <w:rsid w:val="00891BFA"/>
    <w:rsid w:val="00894538"/>
    <w:rsid w:val="00894743"/>
    <w:rsid w:val="00894A4D"/>
    <w:rsid w:val="00894B0F"/>
    <w:rsid w:val="00894D99"/>
    <w:rsid w:val="00896DFA"/>
    <w:rsid w:val="008970AA"/>
    <w:rsid w:val="008A1275"/>
    <w:rsid w:val="008A2CEE"/>
    <w:rsid w:val="008A3847"/>
    <w:rsid w:val="008A4431"/>
    <w:rsid w:val="008A49C0"/>
    <w:rsid w:val="008A5219"/>
    <w:rsid w:val="008A7C54"/>
    <w:rsid w:val="008B1768"/>
    <w:rsid w:val="008B1E93"/>
    <w:rsid w:val="008B2068"/>
    <w:rsid w:val="008B2801"/>
    <w:rsid w:val="008B3CEA"/>
    <w:rsid w:val="008B405F"/>
    <w:rsid w:val="008B4433"/>
    <w:rsid w:val="008B4547"/>
    <w:rsid w:val="008B4BB1"/>
    <w:rsid w:val="008B7161"/>
    <w:rsid w:val="008B7770"/>
    <w:rsid w:val="008B77C2"/>
    <w:rsid w:val="008B77FF"/>
    <w:rsid w:val="008C0DC4"/>
    <w:rsid w:val="008C1391"/>
    <w:rsid w:val="008C1595"/>
    <w:rsid w:val="008C2F8E"/>
    <w:rsid w:val="008C32C0"/>
    <w:rsid w:val="008C32DB"/>
    <w:rsid w:val="008C3EEE"/>
    <w:rsid w:val="008C4843"/>
    <w:rsid w:val="008C501D"/>
    <w:rsid w:val="008C5574"/>
    <w:rsid w:val="008C5ADC"/>
    <w:rsid w:val="008C73C6"/>
    <w:rsid w:val="008C768C"/>
    <w:rsid w:val="008D24F2"/>
    <w:rsid w:val="008D3730"/>
    <w:rsid w:val="008D4D18"/>
    <w:rsid w:val="008D72BE"/>
    <w:rsid w:val="008D7B72"/>
    <w:rsid w:val="008D7FF4"/>
    <w:rsid w:val="008E071B"/>
    <w:rsid w:val="008E088B"/>
    <w:rsid w:val="008E0A01"/>
    <w:rsid w:val="008E1FF3"/>
    <w:rsid w:val="008E41A4"/>
    <w:rsid w:val="008E4455"/>
    <w:rsid w:val="008E68BE"/>
    <w:rsid w:val="008F068B"/>
    <w:rsid w:val="008F1CE4"/>
    <w:rsid w:val="008F2655"/>
    <w:rsid w:val="008F4C56"/>
    <w:rsid w:val="008F5BBC"/>
    <w:rsid w:val="008F7CFE"/>
    <w:rsid w:val="009008CE"/>
    <w:rsid w:val="00902599"/>
    <w:rsid w:val="009030FF"/>
    <w:rsid w:val="0090410B"/>
    <w:rsid w:val="009043F4"/>
    <w:rsid w:val="0090572C"/>
    <w:rsid w:val="00907645"/>
    <w:rsid w:val="009100B6"/>
    <w:rsid w:val="0091042E"/>
    <w:rsid w:val="00910BE2"/>
    <w:rsid w:val="00910DB8"/>
    <w:rsid w:val="009116B4"/>
    <w:rsid w:val="00912D82"/>
    <w:rsid w:val="00913ECD"/>
    <w:rsid w:val="00916019"/>
    <w:rsid w:val="00916C89"/>
    <w:rsid w:val="00917C42"/>
    <w:rsid w:val="009217B3"/>
    <w:rsid w:val="0092260C"/>
    <w:rsid w:val="0092260F"/>
    <w:rsid w:val="00922771"/>
    <w:rsid w:val="00923205"/>
    <w:rsid w:val="00923A8D"/>
    <w:rsid w:val="009240BC"/>
    <w:rsid w:val="00925A6D"/>
    <w:rsid w:val="00926336"/>
    <w:rsid w:val="0092636F"/>
    <w:rsid w:val="009270A3"/>
    <w:rsid w:val="009313B1"/>
    <w:rsid w:val="0093207F"/>
    <w:rsid w:val="00933B7C"/>
    <w:rsid w:val="00933C9C"/>
    <w:rsid w:val="0093464A"/>
    <w:rsid w:val="00934BE2"/>
    <w:rsid w:val="009352F5"/>
    <w:rsid w:val="00935478"/>
    <w:rsid w:val="00935DC6"/>
    <w:rsid w:val="00937144"/>
    <w:rsid w:val="0093724E"/>
    <w:rsid w:val="00937C7B"/>
    <w:rsid w:val="00937CB8"/>
    <w:rsid w:val="009403E2"/>
    <w:rsid w:val="00941843"/>
    <w:rsid w:val="009426D5"/>
    <w:rsid w:val="00946011"/>
    <w:rsid w:val="009463F7"/>
    <w:rsid w:val="009464D1"/>
    <w:rsid w:val="00946669"/>
    <w:rsid w:val="00946A6C"/>
    <w:rsid w:val="0095132B"/>
    <w:rsid w:val="009516A4"/>
    <w:rsid w:val="00952A60"/>
    <w:rsid w:val="00952F5E"/>
    <w:rsid w:val="0095321D"/>
    <w:rsid w:val="00953382"/>
    <w:rsid w:val="009536D1"/>
    <w:rsid w:val="00953C22"/>
    <w:rsid w:val="00953F96"/>
    <w:rsid w:val="009552B4"/>
    <w:rsid w:val="00955486"/>
    <w:rsid w:val="0095571B"/>
    <w:rsid w:val="009557E1"/>
    <w:rsid w:val="00955A6C"/>
    <w:rsid w:val="00956BDE"/>
    <w:rsid w:val="0095730B"/>
    <w:rsid w:val="009575C8"/>
    <w:rsid w:val="00957710"/>
    <w:rsid w:val="00957C93"/>
    <w:rsid w:val="00960505"/>
    <w:rsid w:val="00960C40"/>
    <w:rsid w:val="00960D31"/>
    <w:rsid w:val="00961952"/>
    <w:rsid w:val="00963ED3"/>
    <w:rsid w:val="0096423F"/>
    <w:rsid w:val="0096495B"/>
    <w:rsid w:val="00964D1A"/>
    <w:rsid w:val="00965134"/>
    <w:rsid w:val="00965349"/>
    <w:rsid w:val="00965369"/>
    <w:rsid w:val="00967B8A"/>
    <w:rsid w:val="00970D06"/>
    <w:rsid w:val="0097139A"/>
    <w:rsid w:val="00971560"/>
    <w:rsid w:val="00971797"/>
    <w:rsid w:val="00971C96"/>
    <w:rsid w:val="00971D34"/>
    <w:rsid w:val="0097200B"/>
    <w:rsid w:val="00972FF8"/>
    <w:rsid w:val="00973844"/>
    <w:rsid w:val="00973A93"/>
    <w:rsid w:val="00976666"/>
    <w:rsid w:val="00977628"/>
    <w:rsid w:val="00977653"/>
    <w:rsid w:val="009803CF"/>
    <w:rsid w:val="00980841"/>
    <w:rsid w:val="0098128B"/>
    <w:rsid w:val="00981A4C"/>
    <w:rsid w:val="00983058"/>
    <w:rsid w:val="00983ED5"/>
    <w:rsid w:val="00984860"/>
    <w:rsid w:val="00984D29"/>
    <w:rsid w:val="00984E63"/>
    <w:rsid w:val="009857F6"/>
    <w:rsid w:val="00986731"/>
    <w:rsid w:val="00987844"/>
    <w:rsid w:val="00987BEA"/>
    <w:rsid w:val="0099001C"/>
    <w:rsid w:val="009903F1"/>
    <w:rsid w:val="009903FD"/>
    <w:rsid w:val="0099150A"/>
    <w:rsid w:val="00991B0F"/>
    <w:rsid w:val="00991F01"/>
    <w:rsid w:val="009930FB"/>
    <w:rsid w:val="00993205"/>
    <w:rsid w:val="009939D1"/>
    <w:rsid w:val="00993CD0"/>
    <w:rsid w:val="0099410C"/>
    <w:rsid w:val="00994FEA"/>
    <w:rsid w:val="00995BD3"/>
    <w:rsid w:val="00995D47"/>
    <w:rsid w:val="00996662"/>
    <w:rsid w:val="00996758"/>
    <w:rsid w:val="00996B92"/>
    <w:rsid w:val="0099748E"/>
    <w:rsid w:val="00997F68"/>
    <w:rsid w:val="009A0536"/>
    <w:rsid w:val="009A1117"/>
    <w:rsid w:val="009A1EF6"/>
    <w:rsid w:val="009A1F14"/>
    <w:rsid w:val="009A20E7"/>
    <w:rsid w:val="009A2F2F"/>
    <w:rsid w:val="009A3016"/>
    <w:rsid w:val="009A41A5"/>
    <w:rsid w:val="009A4E66"/>
    <w:rsid w:val="009A51C4"/>
    <w:rsid w:val="009A527A"/>
    <w:rsid w:val="009A6C38"/>
    <w:rsid w:val="009A717E"/>
    <w:rsid w:val="009A747E"/>
    <w:rsid w:val="009A7B9D"/>
    <w:rsid w:val="009A7E1A"/>
    <w:rsid w:val="009B0ADF"/>
    <w:rsid w:val="009B1844"/>
    <w:rsid w:val="009B1996"/>
    <w:rsid w:val="009B19A2"/>
    <w:rsid w:val="009B1E78"/>
    <w:rsid w:val="009B208C"/>
    <w:rsid w:val="009B3DD9"/>
    <w:rsid w:val="009B5813"/>
    <w:rsid w:val="009B62ED"/>
    <w:rsid w:val="009B6871"/>
    <w:rsid w:val="009B7F3A"/>
    <w:rsid w:val="009C275E"/>
    <w:rsid w:val="009C2A7E"/>
    <w:rsid w:val="009C3373"/>
    <w:rsid w:val="009C3F02"/>
    <w:rsid w:val="009C4089"/>
    <w:rsid w:val="009C43F6"/>
    <w:rsid w:val="009C446A"/>
    <w:rsid w:val="009C45BD"/>
    <w:rsid w:val="009C4943"/>
    <w:rsid w:val="009C791F"/>
    <w:rsid w:val="009D019A"/>
    <w:rsid w:val="009D0CB8"/>
    <w:rsid w:val="009D1DAF"/>
    <w:rsid w:val="009D2474"/>
    <w:rsid w:val="009D307B"/>
    <w:rsid w:val="009D3670"/>
    <w:rsid w:val="009D4322"/>
    <w:rsid w:val="009D5848"/>
    <w:rsid w:val="009D58B6"/>
    <w:rsid w:val="009D5F62"/>
    <w:rsid w:val="009D615C"/>
    <w:rsid w:val="009D6A1A"/>
    <w:rsid w:val="009E0291"/>
    <w:rsid w:val="009E0840"/>
    <w:rsid w:val="009E324A"/>
    <w:rsid w:val="009E395B"/>
    <w:rsid w:val="009E3B5E"/>
    <w:rsid w:val="009E3C2E"/>
    <w:rsid w:val="009E4785"/>
    <w:rsid w:val="009E4BFC"/>
    <w:rsid w:val="009E563D"/>
    <w:rsid w:val="009E5FB2"/>
    <w:rsid w:val="009E6A0B"/>
    <w:rsid w:val="009F1ED3"/>
    <w:rsid w:val="009F1FCD"/>
    <w:rsid w:val="009F2348"/>
    <w:rsid w:val="009F249A"/>
    <w:rsid w:val="009F2870"/>
    <w:rsid w:val="009F2A37"/>
    <w:rsid w:val="009F3731"/>
    <w:rsid w:val="009F4A3F"/>
    <w:rsid w:val="009F680C"/>
    <w:rsid w:val="00A001BC"/>
    <w:rsid w:val="00A00D31"/>
    <w:rsid w:val="00A00F05"/>
    <w:rsid w:val="00A02201"/>
    <w:rsid w:val="00A022CF"/>
    <w:rsid w:val="00A03B8F"/>
    <w:rsid w:val="00A044DF"/>
    <w:rsid w:val="00A04DD3"/>
    <w:rsid w:val="00A053EF"/>
    <w:rsid w:val="00A05AD9"/>
    <w:rsid w:val="00A06397"/>
    <w:rsid w:val="00A06AE1"/>
    <w:rsid w:val="00A076C3"/>
    <w:rsid w:val="00A07AF7"/>
    <w:rsid w:val="00A10459"/>
    <w:rsid w:val="00A104AE"/>
    <w:rsid w:val="00A12F39"/>
    <w:rsid w:val="00A140C9"/>
    <w:rsid w:val="00A15C22"/>
    <w:rsid w:val="00A16222"/>
    <w:rsid w:val="00A163D5"/>
    <w:rsid w:val="00A17010"/>
    <w:rsid w:val="00A17B37"/>
    <w:rsid w:val="00A17DB7"/>
    <w:rsid w:val="00A2017E"/>
    <w:rsid w:val="00A20EDB"/>
    <w:rsid w:val="00A2128A"/>
    <w:rsid w:val="00A2162D"/>
    <w:rsid w:val="00A21ABD"/>
    <w:rsid w:val="00A21E46"/>
    <w:rsid w:val="00A22701"/>
    <w:rsid w:val="00A227CD"/>
    <w:rsid w:val="00A2347E"/>
    <w:rsid w:val="00A2418A"/>
    <w:rsid w:val="00A27730"/>
    <w:rsid w:val="00A27C3D"/>
    <w:rsid w:val="00A31728"/>
    <w:rsid w:val="00A318E7"/>
    <w:rsid w:val="00A31CA6"/>
    <w:rsid w:val="00A32D7B"/>
    <w:rsid w:val="00A34C01"/>
    <w:rsid w:val="00A34FD7"/>
    <w:rsid w:val="00A36797"/>
    <w:rsid w:val="00A376D7"/>
    <w:rsid w:val="00A37728"/>
    <w:rsid w:val="00A3784A"/>
    <w:rsid w:val="00A37939"/>
    <w:rsid w:val="00A40F5A"/>
    <w:rsid w:val="00A4299D"/>
    <w:rsid w:val="00A43180"/>
    <w:rsid w:val="00A4391D"/>
    <w:rsid w:val="00A43AD7"/>
    <w:rsid w:val="00A43CDF"/>
    <w:rsid w:val="00A44B08"/>
    <w:rsid w:val="00A4515E"/>
    <w:rsid w:val="00A4523A"/>
    <w:rsid w:val="00A4543F"/>
    <w:rsid w:val="00A46393"/>
    <w:rsid w:val="00A507C9"/>
    <w:rsid w:val="00A508E0"/>
    <w:rsid w:val="00A5153B"/>
    <w:rsid w:val="00A51C36"/>
    <w:rsid w:val="00A52D90"/>
    <w:rsid w:val="00A52ED1"/>
    <w:rsid w:val="00A535D1"/>
    <w:rsid w:val="00A54744"/>
    <w:rsid w:val="00A547B3"/>
    <w:rsid w:val="00A54BAE"/>
    <w:rsid w:val="00A54F9D"/>
    <w:rsid w:val="00A5560D"/>
    <w:rsid w:val="00A57F91"/>
    <w:rsid w:val="00A60F01"/>
    <w:rsid w:val="00A63031"/>
    <w:rsid w:val="00A64084"/>
    <w:rsid w:val="00A64DDC"/>
    <w:rsid w:val="00A65C24"/>
    <w:rsid w:val="00A66621"/>
    <w:rsid w:val="00A66B27"/>
    <w:rsid w:val="00A7198A"/>
    <w:rsid w:val="00A71D0B"/>
    <w:rsid w:val="00A71DDF"/>
    <w:rsid w:val="00A735FB"/>
    <w:rsid w:val="00A73680"/>
    <w:rsid w:val="00A736A5"/>
    <w:rsid w:val="00A7410B"/>
    <w:rsid w:val="00A74FE8"/>
    <w:rsid w:val="00A77047"/>
    <w:rsid w:val="00A771B4"/>
    <w:rsid w:val="00A775D9"/>
    <w:rsid w:val="00A77825"/>
    <w:rsid w:val="00A778B5"/>
    <w:rsid w:val="00A80247"/>
    <w:rsid w:val="00A808B5"/>
    <w:rsid w:val="00A821FF"/>
    <w:rsid w:val="00A8242A"/>
    <w:rsid w:val="00A83199"/>
    <w:rsid w:val="00A839AB"/>
    <w:rsid w:val="00A8510E"/>
    <w:rsid w:val="00A8605C"/>
    <w:rsid w:val="00A862BF"/>
    <w:rsid w:val="00A86B58"/>
    <w:rsid w:val="00A86DAC"/>
    <w:rsid w:val="00A875DD"/>
    <w:rsid w:val="00A87D5C"/>
    <w:rsid w:val="00A90650"/>
    <w:rsid w:val="00A906B8"/>
    <w:rsid w:val="00A90A81"/>
    <w:rsid w:val="00A91DBF"/>
    <w:rsid w:val="00A921B4"/>
    <w:rsid w:val="00A92240"/>
    <w:rsid w:val="00A938F5"/>
    <w:rsid w:val="00A93F93"/>
    <w:rsid w:val="00A94338"/>
    <w:rsid w:val="00A95297"/>
    <w:rsid w:val="00A9630C"/>
    <w:rsid w:val="00AA1043"/>
    <w:rsid w:val="00AA17E6"/>
    <w:rsid w:val="00AA1BB6"/>
    <w:rsid w:val="00AA39F5"/>
    <w:rsid w:val="00AA3A11"/>
    <w:rsid w:val="00AA41CB"/>
    <w:rsid w:val="00AA600B"/>
    <w:rsid w:val="00AA62E1"/>
    <w:rsid w:val="00AA6918"/>
    <w:rsid w:val="00AA72C5"/>
    <w:rsid w:val="00AA7B68"/>
    <w:rsid w:val="00AA7DFE"/>
    <w:rsid w:val="00AB004F"/>
    <w:rsid w:val="00AB080C"/>
    <w:rsid w:val="00AB13C6"/>
    <w:rsid w:val="00AB1EEA"/>
    <w:rsid w:val="00AB1EF3"/>
    <w:rsid w:val="00AB21D1"/>
    <w:rsid w:val="00AB2AF8"/>
    <w:rsid w:val="00AB2E59"/>
    <w:rsid w:val="00AB3170"/>
    <w:rsid w:val="00AB3EB5"/>
    <w:rsid w:val="00AB4C78"/>
    <w:rsid w:val="00AB5105"/>
    <w:rsid w:val="00AB6B79"/>
    <w:rsid w:val="00AB7320"/>
    <w:rsid w:val="00AB7B15"/>
    <w:rsid w:val="00AC1604"/>
    <w:rsid w:val="00AC171B"/>
    <w:rsid w:val="00AC1D1D"/>
    <w:rsid w:val="00AC20A4"/>
    <w:rsid w:val="00AC2392"/>
    <w:rsid w:val="00AC24CB"/>
    <w:rsid w:val="00AC332D"/>
    <w:rsid w:val="00AC35A1"/>
    <w:rsid w:val="00AC3ECD"/>
    <w:rsid w:val="00AC44F0"/>
    <w:rsid w:val="00AC55EF"/>
    <w:rsid w:val="00AC5F96"/>
    <w:rsid w:val="00AC6124"/>
    <w:rsid w:val="00AC679D"/>
    <w:rsid w:val="00AC6C73"/>
    <w:rsid w:val="00AD0337"/>
    <w:rsid w:val="00AD0927"/>
    <w:rsid w:val="00AD1575"/>
    <w:rsid w:val="00AD26FF"/>
    <w:rsid w:val="00AD2C41"/>
    <w:rsid w:val="00AD3ADD"/>
    <w:rsid w:val="00AD581A"/>
    <w:rsid w:val="00AD6D42"/>
    <w:rsid w:val="00AD7FF4"/>
    <w:rsid w:val="00AE01F0"/>
    <w:rsid w:val="00AE083D"/>
    <w:rsid w:val="00AE0958"/>
    <w:rsid w:val="00AE0AFC"/>
    <w:rsid w:val="00AE1D38"/>
    <w:rsid w:val="00AE1D9D"/>
    <w:rsid w:val="00AE1DD8"/>
    <w:rsid w:val="00AE237D"/>
    <w:rsid w:val="00AE25FE"/>
    <w:rsid w:val="00AE260A"/>
    <w:rsid w:val="00AE3670"/>
    <w:rsid w:val="00AE3772"/>
    <w:rsid w:val="00AE39F7"/>
    <w:rsid w:val="00AE3EEA"/>
    <w:rsid w:val="00AE40EA"/>
    <w:rsid w:val="00AE4D48"/>
    <w:rsid w:val="00AE674F"/>
    <w:rsid w:val="00AE6A69"/>
    <w:rsid w:val="00AE6FC1"/>
    <w:rsid w:val="00AE7C74"/>
    <w:rsid w:val="00AF0273"/>
    <w:rsid w:val="00AF0778"/>
    <w:rsid w:val="00AF0821"/>
    <w:rsid w:val="00AF2E58"/>
    <w:rsid w:val="00AF3E19"/>
    <w:rsid w:val="00AF5DD4"/>
    <w:rsid w:val="00AF5EAB"/>
    <w:rsid w:val="00AF7F98"/>
    <w:rsid w:val="00B039CB"/>
    <w:rsid w:val="00B03DCE"/>
    <w:rsid w:val="00B03F4C"/>
    <w:rsid w:val="00B046BA"/>
    <w:rsid w:val="00B0484C"/>
    <w:rsid w:val="00B05A26"/>
    <w:rsid w:val="00B064A1"/>
    <w:rsid w:val="00B06787"/>
    <w:rsid w:val="00B06903"/>
    <w:rsid w:val="00B072B4"/>
    <w:rsid w:val="00B07839"/>
    <w:rsid w:val="00B0788A"/>
    <w:rsid w:val="00B0797E"/>
    <w:rsid w:val="00B11575"/>
    <w:rsid w:val="00B13C7F"/>
    <w:rsid w:val="00B14429"/>
    <w:rsid w:val="00B15211"/>
    <w:rsid w:val="00B15AA5"/>
    <w:rsid w:val="00B16692"/>
    <w:rsid w:val="00B16B4D"/>
    <w:rsid w:val="00B201AB"/>
    <w:rsid w:val="00B20446"/>
    <w:rsid w:val="00B20C34"/>
    <w:rsid w:val="00B218B3"/>
    <w:rsid w:val="00B21F07"/>
    <w:rsid w:val="00B24530"/>
    <w:rsid w:val="00B24606"/>
    <w:rsid w:val="00B247AD"/>
    <w:rsid w:val="00B2561B"/>
    <w:rsid w:val="00B25CA7"/>
    <w:rsid w:val="00B25CBD"/>
    <w:rsid w:val="00B2600C"/>
    <w:rsid w:val="00B261AD"/>
    <w:rsid w:val="00B2644E"/>
    <w:rsid w:val="00B2656B"/>
    <w:rsid w:val="00B26CB4"/>
    <w:rsid w:val="00B301D1"/>
    <w:rsid w:val="00B3047E"/>
    <w:rsid w:val="00B31471"/>
    <w:rsid w:val="00B32330"/>
    <w:rsid w:val="00B324A5"/>
    <w:rsid w:val="00B33058"/>
    <w:rsid w:val="00B33A80"/>
    <w:rsid w:val="00B33C62"/>
    <w:rsid w:val="00B343A2"/>
    <w:rsid w:val="00B35388"/>
    <w:rsid w:val="00B36884"/>
    <w:rsid w:val="00B3750E"/>
    <w:rsid w:val="00B375B9"/>
    <w:rsid w:val="00B37D87"/>
    <w:rsid w:val="00B37DF5"/>
    <w:rsid w:val="00B40A0A"/>
    <w:rsid w:val="00B41896"/>
    <w:rsid w:val="00B41E73"/>
    <w:rsid w:val="00B41E84"/>
    <w:rsid w:val="00B42E01"/>
    <w:rsid w:val="00B42E9E"/>
    <w:rsid w:val="00B43982"/>
    <w:rsid w:val="00B442EB"/>
    <w:rsid w:val="00B46687"/>
    <w:rsid w:val="00B50A38"/>
    <w:rsid w:val="00B5339D"/>
    <w:rsid w:val="00B538D2"/>
    <w:rsid w:val="00B549A1"/>
    <w:rsid w:val="00B552A4"/>
    <w:rsid w:val="00B555BA"/>
    <w:rsid w:val="00B559E0"/>
    <w:rsid w:val="00B569A7"/>
    <w:rsid w:val="00B56CF2"/>
    <w:rsid w:val="00B57B87"/>
    <w:rsid w:val="00B60B39"/>
    <w:rsid w:val="00B62B59"/>
    <w:rsid w:val="00B63506"/>
    <w:rsid w:val="00B64C6B"/>
    <w:rsid w:val="00B64FB6"/>
    <w:rsid w:val="00B651E6"/>
    <w:rsid w:val="00B672BC"/>
    <w:rsid w:val="00B673E8"/>
    <w:rsid w:val="00B67DE4"/>
    <w:rsid w:val="00B707EA"/>
    <w:rsid w:val="00B7081D"/>
    <w:rsid w:val="00B70ADA"/>
    <w:rsid w:val="00B710D5"/>
    <w:rsid w:val="00B71882"/>
    <w:rsid w:val="00B72029"/>
    <w:rsid w:val="00B72A87"/>
    <w:rsid w:val="00B72AEA"/>
    <w:rsid w:val="00B7394E"/>
    <w:rsid w:val="00B7449D"/>
    <w:rsid w:val="00B7483F"/>
    <w:rsid w:val="00B74EE0"/>
    <w:rsid w:val="00B769D4"/>
    <w:rsid w:val="00B76A59"/>
    <w:rsid w:val="00B7706A"/>
    <w:rsid w:val="00B77979"/>
    <w:rsid w:val="00B77AEB"/>
    <w:rsid w:val="00B77D7C"/>
    <w:rsid w:val="00B8031D"/>
    <w:rsid w:val="00B8043C"/>
    <w:rsid w:val="00B8054D"/>
    <w:rsid w:val="00B80A71"/>
    <w:rsid w:val="00B80AAA"/>
    <w:rsid w:val="00B816FD"/>
    <w:rsid w:val="00B8196D"/>
    <w:rsid w:val="00B822CF"/>
    <w:rsid w:val="00B83034"/>
    <w:rsid w:val="00B835B2"/>
    <w:rsid w:val="00B835EF"/>
    <w:rsid w:val="00B83F12"/>
    <w:rsid w:val="00B84303"/>
    <w:rsid w:val="00B84AAB"/>
    <w:rsid w:val="00B851E7"/>
    <w:rsid w:val="00B85530"/>
    <w:rsid w:val="00B85946"/>
    <w:rsid w:val="00B85CD1"/>
    <w:rsid w:val="00B90740"/>
    <w:rsid w:val="00B90965"/>
    <w:rsid w:val="00B91832"/>
    <w:rsid w:val="00B930D1"/>
    <w:rsid w:val="00B93C06"/>
    <w:rsid w:val="00B94379"/>
    <w:rsid w:val="00B94756"/>
    <w:rsid w:val="00B94F50"/>
    <w:rsid w:val="00B96952"/>
    <w:rsid w:val="00BA0273"/>
    <w:rsid w:val="00BA07E0"/>
    <w:rsid w:val="00BA0874"/>
    <w:rsid w:val="00BA09E7"/>
    <w:rsid w:val="00BA1874"/>
    <w:rsid w:val="00BA1B42"/>
    <w:rsid w:val="00BA1C74"/>
    <w:rsid w:val="00BA2253"/>
    <w:rsid w:val="00BA32B0"/>
    <w:rsid w:val="00BA33D8"/>
    <w:rsid w:val="00BA3851"/>
    <w:rsid w:val="00BA3D30"/>
    <w:rsid w:val="00BA5D73"/>
    <w:rsid w:val="00BA5DFF"/>
    <w:rsid w:val="00BA647F"/>
    <w:rsid w:val="00BB0482"/>
    <w:rsid w:val="00BB08FE"/>
    <w:rsid w:val="00BB0F3E"/>
    <w:rsid w:val="00BB1821"/>
    <w:rsid w:val="00BB1EB9"/>
    <w:rsid w:val="00BB2BD6"/>
    <w:rsid w:val="00BB311F"/>
    <w:rsid w:val="00BB5536"/>
    <w:rsid w:val="00BB5DEE"/>
    <w:rsid w:val="00BB5E3D"/>
    <w:rsid w:val="00BB6283"/>
    <w:rsid w:val="00BB67F7"/>
    <w:rsid w:val="00BB6C3F"/>
    <w:rsid w:val="00BB704C"/>
    <w:rsid w:val="00BB7634"/>
    <w:rsid w:val="00BB7FD9"/>
    <w:rsid w:val="00BC13FC"/>
    <w:rsid w:val="00BC1DFD"/>
    <w:rsid w:val="00BC3A26"/>
    <w:rsid w:val="00BC4EFE"/>
    <w:rsid w:val="00BC590D"/>
    <w:rsid w:val="00BC5B0B"/>
    <w:rsid w:val="00BD14EA"/>
    <w:rsid w:val="00BD17FE"/>
    <w:rsid w:val="00BD5C3D"/>
    <w:rsid w:val="00BD6790"/>
    <w:rsid w:val="00BD6863"/>
    <w:rsid w:val="00BD726F"/>
    <w:rsid w:val="00BD7779"/>
    <w:rsid w:val="00BE0042"/>
    <w:rsid w:val="00BE08D6"/>
    <w:rsid w:val="00BE1002"/>
    <w:rsid w:val="00BE14C1"/>
    <w:rsid w:val="00BE1E09"/>
    <w:rsid w:val="00BE254C"/>
    <w:rsid w:val="00BE29E2"/>
    <w:rsid w:val="00BE41FA"/>
    <w:rsid w:val="00BE48F5"/>
    <w:rsid w:val="00BE586E"/>
    <w:rsid w:val="00BE5D1E"/>
    <w:rsid w:val="00BE75C2"/>
    <w:rsid w:val="00BF0599"/>
    <w:rsid w:val="00BF1830"/>
    <w:rsid w:val="00BF1E57"/>
    <w:rsid w:val="00BF2D6E"/>
    <w:rsid w:val="00BF3703"/>
    <w:rsid w:val="00BF3EF5"/>
    <w:rsid w:val="00BF433F"/>
    <w:rsid w:val="00BF520E"/>
    <w:rsid w:val="00BF5494"/>
    <w:rsid w:val="00BF5945"/>
    <w:rsid w:val="00BF6A84"/>
    <w:rsid w:val="00C0092B"/>
    <w:rsid w:val="00C0146C"/>
    <w:rsid w:val="00C01B69"/>
    <w:rsid w:val="00C021BB"/>
    <w:rsid w:val="00C035D7"/>
    <w:rsid w:val="00C03A43"/>
    <w:rsid w:val="00C047AE"/>
    <w:rsid w:val="00C04E30"/>
    <w:rsid w:val="00C059F3"/>
    <w:rsid w:val="00C059F6"/>
    <w:rsid w:val="00C05A6E"/>
    <w:rsid w:val="00C07669"/>
    <w:rsid w:val="00C07C6B"/>
    <w:rsid w:val="00C10BD5"/>
    <w:rsid w:val="00C10EB2"/>
    <w:rsid w:val="00C11C02"/>
    <w:rsid w:val="00C12CE6"/>
    <w:rsid w:val="00C13ED3"/>
    <w:rsid w:val="00C144E2"/>
    <w:rsid w:val="00C145FD"/>
    <w:rsid w:val="00C15FE5"/>
    <w:rsid w:val="00C164A6"/>
    <w:rsid w:val="00C17111"/>
    <w:rsid w:val="00C171F8"/>
    <w:rsid w:val="00C173B5"/>
    <w:rsid w:val="00C17D8E"/>
    <w:rsid w:val="00C2059D"/>
    <w:rsid w:val="00C205EB"/>
    <w:rsid w:val="00C21209"/>
    <w:rsid w:val="00C2121A"/>
    <w:rsid w:val="00C21294"/>
    <w:rsid w:val="00C21EAE"/>
    <w:rsid w:val="00C223B6"/>
    <w:rsid w:val="00C23B5B"/>
    <w:rsid w:val="00C23C03"/>
    <w:rsid w:val="00C24662"/>
    <w:rsid w:val="00C24A8C"/>
    <w:rsid w:val="00C24DCE"/>
    <w:rsid w:val="00C26B57"/>
    <w:rsid w:val="00C26E26"/>
    <w:rsid w:val="00C30F61"/>
    <w:rsid w:val="00C311CE"/>
    <w:rsid w:val="00C312C5"/>
    <w:rsid w:val="00C31BED"/>
    <w:rsid w:val="00C3364D"/>
    <w:rsid w:val="00C34885"/>
    <w:rsid w:val="00C34B70"/>
    <w:rsid w:val="00C34C25"/>
    <w:rsid w:val="00C36170"/>
    <w:rsid w:val="00C36B91"/>
    <w:rsid w:val="00C37702"/>
    <w:rsid w:val="00C4180C"/>
    <w:rsid w:val="00C41940"/>
    <w:rsid w:val="00C42EB3"/>
    <w:rsid w:val="00C44B6D"/>
    <w:rsid w:val="00C45CCD"/>
    <w:rsid w:val="00C45FA8"/>
    <w:rsid w:val="00C460F0"/>
    <w:rsid w:val="00C4619B"/>
    <w:rsid w:val="00C4632F"/>
    <w:rsid w:val="00C4729F"/>
    <w:rsid w:val="00C500CE"/>
    <w:rsid w:val="00C501B2"/>
    <w:rsid w:val="00C502A6"/>
    <w:rsid w:val="00C517F5"/>
    <w:rsid w:val="00C523E5"/>
    <w:rsid w:val="00C5489E"/>
    <w:rsid w:val="00C54BE7"/>
    <w:rsid w:val="00C54F63"/>
    <w:rsid w:val="00C5679F"/>
    <w:rsid w:val="00C57704"/>
    <w:rsid w:val="00C57D75"/>
    <w:rsid w:val="00C57E6C"/>
    <w:rsid w:val="00C605AF"/>
    <w:rsid w:val="00C62E49"/>
    <w:rsid w:val="00C636D9"/>
    <w:rsid w:val="00C641C7"/>
    <w:rsid w:val="00C647DB"/>
    <w:rsid w:val="00C64C6B"/>
    <w:rsid w:val="00C652A3"/>
    <w:rsid w:val="00C6563B"/>
    <w:rsid w:val="00C65C7A"/>
    <w:rsid w:val="00C65C88"/>
    <w:rsid w:val="00C66760"/>
    <w:rsid w:val="00C66C83"/>
    <w:rsid w:val="00C70529"/>
    <w:rsid w:val="00C71D7F"/>
    <w:rsid w:val="00C73D28"/>
    <w:rsid w:val="00C75A9A"/>
    <w:rsid w:val="00C75D0B"/>
    <w:rsid w:val="00C75D95"/>
    <w:rsid w:val="00C763A2"/>
    <w:rsid w:val="00C775D3"/>
    <w:rsid w:val="00C80177"/>
    <w:rsid w:val="00C8098E"/>
    <w:rsid w:val="00C80CFC"/>
    <w:rsid w:val="00C822AE"/>
    <w:rsid w:val="00C838B2"/>
    <w:rsid w:val="00C839F0"/>
    <w:rsid w:val="00C83CD7"/>
    <w:rsid w:val="00C845A7"/>
    <w:rsid w:val="00C85106"/>
    <w:rsid w:val="00C863A3"/>
    <w:rsid w:val="00C870E4"/>
    <w:rsid w:val="00C8788B"/>
    <w:rsid w:val="00C904AB"/>
    <w:rsid w:val="00C90D68"/>
    <w:rsid w:val="00C932E4"/>
    <w:rsid w:val="00C936BD"/>
    <w:rsid w:val="00C953FF"/>
    <w:rsid w:val="00C95AF6"/>
    <w:rsid w:val="00C95BC0"/>
    <w:rsid w:val="00CA02C1"/>
    <w:rsid w:val="00CA0554"/>
    <w:rsid w:val="00CA1859"/>
    <w:rsid w:val="00CA3C75"/>
    <w:rsid w:val="00CA4CDF"/>
    <w:rsid w:val="00CA615A"/>
    <w:rsid w:val="00CA65B8"/>
    <w:rsid w:val="00CA65E0"/>
    <w:rsid w:val="00CB075B"/>
    <w:rsid w:val="00CB16B7"/>
    <w:rsid w:val="00CB19B6"/>
    <w:rsid w:val="00CB37EC"/>
    <w:rsid w:val="00CB40DA"/>
    <w:rsid w:val="00CB4D9D"/>
    <w:rsid w:val="00CB56D6"/>
    <w:rsid w:val="00CB5FF8"/>
    <w:rsid w:val="00CB6255"/>
    <w:rsid w:val="00CB6527"/>
    <w:rsid w:val="00CB6AE3"/>
    <w:rsid w:val="00CC0357"/>
    <w:rsid w:val="00CC0CC2"/>
    <w:rsid w:val="00CC14B0"/>
    <w:rsid w:val="00CC1759"/>
    <w:rsid w:val="00CC40D6"/>
    <w:rsid w:val="00CC4680"/>
    <w:rsid w:val="00CC48D6"/>
    <w:rsid w:val="00CC52CC"/>
    <w:rsid w:val="00CC68ED"/>
    <w:rsid w:val="00CC70A1"/>
    <w:rsid w:val="00CC7B76"/>
    <w:rsid w:val="00CD09C7"/>
    <w:rsid w:val="00CD28F0"/>
    <w:rsid w:val="00CD3BD3"/>
    <w:rsid w:val="00CD533F"/>
    <w:rsid w:val="00CD64A8"/>
    <w:rsid w:val="00CD6FC5"/>
    <w:rsid w:val="00CE008A"/>
    <w:rsid w:val="00CE1441"/>
    <w:rsid w:val="00CE26C2"/>
    <w:rsid w:val="00CE3127"/>
    <w:rsid w:val="00CE3B6E"/>
    <w:rsid w:val="00CE4332"/>
    <w:rsid w:val="00CE4BC5"/>
    <w:rsid w:val="00CE6535"/>
    <w:rsid w:val="00CE6692"/>
    <w:rsid w:val="00CE718A"/>
    <w:rsid w:val="00CE7700"/>
    <w:rsid w:val="00CF1E20"/>
    <w:rsid w:val="00CF31B9"/>
    <w:rsid w:val="00CF32F0"/>
    <w:rsid w:val="00CF4011"/>
    <w:rsid w:val="00CF45D6"/>
    <w:rsid w:val="00CF75AB"/>
    <w:rsid w:val="00CF7605"/>
    <w:rsid w:val="00CF7B7F"/>
    <w:rsid w:val="00CF7B93"/>
    <w:rsid w:val="00CF7F4D"/>
    <w:rsid w:val="00D033EC"/>
    <w:rsid w:val="00D0386D"/>
    <w:rsid w:val="00D0521A"/>
    <w:rsid w:val="00D05D60"/>
    <w:rsid w:val="00D05EFE"/>
    <w:rsid w:val="00D1057C"/>
    <w:rsid w:val="00D13544"/>
    <w:rsid w:val="00D136D1"/>
    <w:rsid w:val="00D14B38"/>
    <w:rsid w:val="00D14CA8"/>
    <w:rsid w:val="00D15917"/>
    <w:rsid w:val="00D159F7"/>
    <w:rsid w:val="00D15C0C"/>
    <w:rsid w:val="00D17219"/>
    <w:rsid w:val="00D20C8A"/>
    <w:rsid w:val="00D20D76"/>
    <w:rsid w:val="00D216AB"/>
    <w:rsid w:val="00D2234C"/>
    <w:rsid w:val="00D2436B"/>
    <w:rsid w:val="00D24D28"/>
    <w:rsid w:val="00D25091"/>
    <w:rsid w:val="00D25441"/>
    <w:rsid w:val="00D272A1"/>
    <w:rsid w:val="00D275ED"/>
    <w:rsid w:val="00D27787"/>
    <w:rsid w:val="00D27C51"/>
    <w:rsid w:val="00D27CA9"/>
    <w:rsid w:val="00D30097"/>
    <w:rsid w:val="00D305D7"/>
    <w:rsid w:val="00D308E0"/>
    <w:rsid w:val="00D30DEE"/>
    <w:rsid w:val="00D314E7"/>
    <w:rsid w:val="00D31799"/>
    <w:rsid w:val="00D317DD"/>
    <w:rsid w:val="00D319EF"/>
    <w:rsid w:val="00D31B13"/>
    <w:rsid w:val="00D32A09"/>
    <w:rsid w:val="00D3363D"/>
    <w:rsid w:val="00D33704"/>
    <w:rsid w:val="00D3430B"/>
    <w:rsid w:val="00D35311"/>
    <w:rsid w:val="00D35FC5"/>
    <w:rsid w:val="00D3681C"/>
    <w:rsid w:val="00D36D9E"/>
    <w:rsid w:val="00D37A89"/>
    <w:rsid w:val="00D37E1A"/>
    <w:rsid w:val="00D40927"/>
    <w:rsid w:val="00D42C65"/>
    <w:rsid w:val="00D43752"/>
    <w:rsid w:val="00D4453C"/>
    <w:rsid w:val="00D44597"/>
    <w:rsid w:val="00D44A86"/>
    <w:rsid w:val="00D44AD4"/>
    <w:rsid w:val="00D45A4C"/>
    <w:rsid w:val="00D4611B"/>
    <w:rsid w:val="00D4732D"/>
    <w:rsid w:val="00D47F99"/>
    <w:rsid w:val="00D504B3"/>
    <w:rsid w:val="00D5055A"/>
    <w:rsid w:val="00D513DC"/>
    <w:rsid w:val="00D51BBD"/>
    <w:rsid w:val="00D53356"/>
    <w:rsid w:val="00D53A85"/>
    <w:rsid w:val="00D54904"/>
    <w:rsid w:val="00D54A1C"/>
    <w:rsid w:val="00D54B17"/>
    <w:rsid w:val="00D55283"/>
    <w:rsid w:val="00D55AD8"/>
    <w:rsid w:val="00D563CB"/>
    <w:rsid w:val="00D60DF5"/>
    <w:rsid w:val="00D60ED0"/>
    <w:rsid w:val="00D620A4"/>
    <w:rsid w:val="00D6271A"/>
    <w:rsid w:val="00D6290D"/>
    <w:rsid w:val="00D63D3F"/>
    <w:rsid w:val="00D643CE"/>
    <w:rsid w:val="00D656D1"/>
    <w:rsid w:val="00D6580C"/>
    <w:rsid w:val="00D66612"/>
    <w:rsid w:val="00D66A64"/>
    <w:rsid w:val="00D66C40"/>
    <w:rsid w:val="00D67EE1"/>
    <w:rsid w:val="00D705F8"/>
    <w:rsid w:val="00D7068D"/>
    <w:rsid w:val="00D718F6"/>
    <w:rsid w:val="00D71F6F"/>
    <w:rsid w:val="00D73235"/>
    <w:rsid w:val="00D73384"/>
    <w:rsid w:val="00D74A17"/>
    <w:rsid w:val="00D74B41"/>
    <w:rsid w:val="00D74E05"/>
    <w:rsid w:val="00D74E2C"/>
    <w:rsid w:val="00D76459"/>
    <w:rsid w:val="00D773A9"/>
    <w:rsid w:val="00D834D5"/>
    <w:rsid w:val="00D83953"/>
    <w:rsid w:val="00D83963"/>
    <w:rsid w:val="00D843A0"/>
    <w:rsid w:val="00D84FD6"/>
    <w:rsid w:val="00D85634"/>
    <w:rsid w:val="00D85BB9"/>
    <w:rsid w:val="00D86B28"/>
    <w:rsid w:val="00D87759"/>
    <w:rsid w:val="00D87B95"/>
    <w:rsid w:val="00D900D6"/>
    <w:rsid w:val="00D9048A"/>
    <w:rsid w:val="00D92757"/>
    <w:rsid w:val="00D9475F"/>
    <w:rsid w:val="00D94E89"/>
    <w:rsid w:val="00D9637C"/>
    <w:rsid w:val="00D9764D"/>
    <w:rsid w:val="00DA15B9"/>
    <w:rsid w:val="00DA17D8"/>
    <w:rsid w:val="00DA1890"/>
    <w:rsid w:val="00DA2B90"/>
    <w:rsid w:val="00DA2DD6"/>
    <w:rsid w:val="00DA31A8"/>
    <w:rsid w:val="00DA37B2"/>
    <w:rsid w:val="00DA3FBE"/>
    <w:rsid w:val="00DA4089"/>
    <w:rsid w:val="00DA49F8"/>
    <w:rsid w:val="00DA4F47"/>
    <w:rsid w:val="00DA566D"/>
    <w:rsid w:val="00DA6313"/>
    <w:rsid w:val="00DA702E"/>
    <w:rsid w:val="00DA78E6"/>
    <w:rsid w:val="00DA7C2F"/>
    <w:rsid w:val="00DB0919"/>
    <w:rsid w:val="00DB36D8"/>
    <w:rsid w:val="00DB3BFA"/>
    <w:rsid w:val="00DB3E31"/>
    <w:rsid w:val="00DB3E7E"/>
    <w:rsid w:val="00DB50FE"/>
    <w:rsid w:val="00DB63B0"/>
    <w:rsid w:val="00DB6849"/>
    <w:rsid w:val="00DB69B2"/>
    <w:rsid w:val="00DB7765"/>
    <w:rsid w:val="00DB7E97"/>
    <w:rsid w:val="00DC103A"/>
    <w:rsid w:val="00DC1621"/>
    <w:rsid w:val="00DC1EDC"/>
    <w:rsid w:val="00DC2246"/>
    <w:rsid w:val="00DC2475"/>
    <w:rsid w:val="00DC265A"/>
    <w:rsid w:val="00DC5713"/>
    <w:rsid w:val="00DC68AA"/>
    <w:rsid w:val="00DC70E3"/>
    <w:rsid w:val="00DC7CD8"/>
    <w:rsid w:val="00DD1864"/>
    <w:rsid w:val="00DD1C57"/>
    <w:rsid w:val="00DD1C72"/>
    <w:rsid w:val="00DD3460"/>
    <w:rsid w:val="00DD34A0"/>
    <w:rsid w:val="00DD3E66"/>
    <w:rsid w:val="00DD417A"/>
    <w:rsid w:val="00DD49CC"/>
    <w:rsid w:val="00DD4FEB"/>
    <w:rsid w:val="00DD6019"/>
    <w:rsid w:val="00DD6945"/>
    <w:rsid w:val="00DD70D9"/>
    <w:rsid w:val="00DD73BE"/>
    <w:rsid w:val="00DE018F"/>
    <w:rsid w:val="00DE0AE7"/>
    <w:rsid w:val="00DE1428"/>
    <w:rsid w:val="00DE1DF2"/>
    <w:rsid w:val="00DE2541"/>
    <w:rsid w:val="00DE2952"/>
    <w:rsid w:val="00DE325B"/>
    <w:rsid w:val="00DE395C"/>
    <w:rsid w:val="00DE4013"/>
    <w:rsid w:val="00DE4189"/>
    <w:rsid w:val="00DE49B7"/>
    <w:rsid w:val="00DE5392"/>
    <w:rsid w:val="00DE6E12"/>
    <w:rsid w:val="00DE7796"/>
    <w:rsid w:val="00DE7963"/>
    <w:rsid w:val="00DF04E4"/>
    <w:rsid w:val="00DF0676"/>
    <w:rsid w:val="00DF130A"/>
    <w:rsid w:val="00DF213C"/>
    <w:rsid w:val="00DF2389"/>
    <w:rsid w:val="00DF319D"/>
    <w:rsid w:val="00DF3319"/>
    <w:rsid w:val="00DF49E3"/>
    <w:rsid w:val="00DF4AC9"/>
    <w:rsid w:val="00DF56B9"/>
    <w:rsid w:val="00DF6652"/>
    <w:rsid w:val="00DF7221"/>
    <w:rsid w:val="00E00FDC"/>
    <w:rsid w:val="00E01B74"/>
    <w:rsid w:val="00E01FAC"/>
    <w:rsid w:val="00E0213E"/>
    <w:rsid w:val="00E02745"/>
    <w:rsid w:val="00E0353A"/>
    <w:rsid w:val="00E03B95"/>
    <w:rsid w:val="00E0483A"/>
    <w:rsid w:val="00E052A2"/>
    <w:rsid w:val="00E066A5"/>
    <w:rsid w:val="00E07328"/>
    <w:rsid w:val="00E077B4"/>
    <w:rsid w:val="00E07A86"/>
    <w:rsid w:val="00E07F91"/>
    <w:rsid w:val="00E10277"/>
    <w:rsid w:val="00E1093E"/>
    <w:rsid w:val="00E10BE7"/>
    <w:rsid w:val="00E1374C"/>
    <w:rsid w:val="00E153C8"/>
    <w:rsid w:val="00E2011D"/>
    <w:rsid w:val="00E211EC"/>
    <w:rsid w:val="00E2191D"/>
    <w:rsid w:val="00E22137"/>
    <w:rsid w:val="00E22844"/>
    <w:rsid w:val="00E22F91"/>
    <w:rsid w:val="00E2356C"/>
    <w:rsid w:val="00E23678"/>
    <w:rsid w:val="00E23957"/>
    <w:rsid w:val="00E23B53"/>
    <w:rsid w:val="00E23C7E"/>
    <w:rsid w:val="00E244D5"/>
    <w:rsid w:val="00E2599A"/>
    <w:rsid w:val="00E25E4E"/>
    <w:rsid w:val="00E30371"/>
    <w:rsid w:val="00E30EAD"/>
    <w:rsid w:val="00E314D4"/>
    <w:rsid w:val="00E31C9B"/>
    <w:rsid w:val="00E33188"/>
    <w:rsid w:val="00E3351F"/>
    <w:rsid w:val="00E3352F"/>
    <w:rsid w:val="00E3388A"/>
    <w:rsid w:val="00E34B5A"/>
    <w:rsid w:val="00E3523F"/>
    <w:rsid w:val="00E36CE3"/>
    <w:rsid w:val="00E37714"/>
    <w:rsid w:val="00E37C20"/>
    <w:rsid w:val="00E40581"/>
    <w:rsid w:val="00E42D0A"/>
    <w:rsid w:val="00E43265"/>
    <w:rsid w:val="00E44912"/>
    <w:rsid w:val="00E45398"/>
    <w:rsid w:val="00E45F39"/>
    <w:rsid w:val="00E465E6"/>
    <w:rsid w:val="00E46F60"/>
    <w:rsid w:val="00E47F58"/>
    <w:rsid w:val="00E5057E"/>
    <w:rsid w:val="00E51C07"/>
    <w:rsid w:val="00E5236B"/>
    <w:rsid w:val="00E528C3"/>
    <w:rsid w:val="00E53038"/>
    <w:rsid w:val="00E5408F"/>
    <w:rsid w:val="00E5473B"/>
    <w:rsid w:val="00E55886"/>
    <w:rsid w:val="00E559F7"/>
    <w:rsid w:val="00E56E43"/>
    <w:rsid w:val="00E60871"/>
    <w:rsid w:val="00E60D20"/>
    <w:rsid w:val="00E61461"/>
    <w:rsid w:val="00E61611"/>
    <w:rsid w:val="00E6214B"/>
    <w:rsid w:val="00E62FFA"/>
    <w:rsid w:val="00E634C9"/>
    <w:rsid w:val="00E638BD"/>
    <w:rsid w:val="00E64995"/>
    <w:rsid w:val="00E64A0B"/>
    <w:rsid w:val="00E64F77"/>
    <w:rsid w:val="00E667EF"/>
    <w:rsid w:val="00E66D12"/>
    <w:rsid w:val="00E702C8"/>
    <w:rsid w:val="00E723AA"/>
    <w:rsid w:val="00E731D7"/>
    <w:rsid w:val="00E74E91"/>
    <w:rsid w:val="00E751F5"/>
    <w:rsid w:val="00E7524E"/>
    <w:rsid w:val="00E75278"/>
    <w:rsid w:val="00E77A15"/>
    <w:rsid w:val="00E811D3"/>
    <w:rsid w:val="00E8200F"/>
    <w:rsid w:val="00E8255F"/>
    <w:rsid w:val="00E837A5"/>
    <w:rsid w:val="00E84554"/>
    <w:rsid w:val="00E84628"/>
    <w:rsid w:val="00E846EA"/>
    <w:rsid w:val="00E8479F"/>
    <w:rsid w:val="00E853EB"/>
    <w:rsid w:val="00E8583B"/>
    <w:rsid w:val="00E8606B"/>
    <w:rsid w:val="00E863A8"/>
    <w:rsid w:val="00E905B3"/>
    <w:rsid w:val="00E90B2A"/>
    <w:rsid w:val="00E9188D"/>
    <w:rsid w:val="00E930F6"/>
    <w:rsid w:val="00E9352C"/>
    <w:rsid w:val="00E93851"/>
    <w:rsid w:val="00E93925"/>
    <w:rsid w:val="00E93F4C"/>
    <w:rsid w:val="00E943E7"/>
    <w:rsid w:val="00E9492D"/>
    <w:rsid w:val="00E95067"/>
    <w:rsid w:val="00E958A6"/>
    <w:rsid w:val="00E9614B"/>
    <w:rsid w:val="00E9642B"/>
    <w:rsid w:val="00E97485"/>
    <w:rsid w:val="00E976A3"/>
    <w:rsid w:val="00E97AA1"/>
    <w:rsid w:val="00EA0E7B"/>
    <w:rsid w:val="00EA1477"/>
    <w:rsid w:val="00EA1660"/>
    <w:rsid w:val="00EA2DF4"/>
    <w:rsid w:val="00EA33F8"/>
    <w:rsid w:val="00EA39FC"/>
    <w:rsid w:val="00EA3E20"/>
    <w:rsid w:val="00EA5C6C"/>
    <w:rsid w:val="00EA65F8"/>
    <w:rsid w:val="00EA71A4"/>
    <w:rsid w:val="00EA72CE"/>
    <w:rsid w:val="00EA7348"/>
    <w:rsid w:val="00EB0975"/>
    <w:rsid w:val="00EB18A4"/>
    <w:rsid w:val="00EB1F1D"/>
    <w:rsid w:val="00EB2543"/>
    <w:rsid w:val="00EB284E"/>
    <w:rsid w:val="00EB2F4B"/>
    <w:rsid w:val="00EB3016"/>
    <w:rsid w:val="00EB302E"/>
    <w:rsid w:val="00EB3F32"/>
    <w:rsid w:val="00EB47BA"/>
    <w:rsid w:val="00EB51A6"/>
    <w:rsid w:val="00EB5816"/>
    <w:rsid w:val="00EB5B06"/>
    <w:rsid w:val="00EB5D19"/>
    <w:rsid w:val="00EB5FB3"/>
    <w:rsid w:val="00EB6760"/>
    <w:rsid w:val="00EB6E06"/>
    <w:rsid w:val="00EB7A7B"/>
    <w:rsid w:val="00EC0006"/>
    <w:rsid w:val="00EC29AF"/>
    <w:rsid w:val="00EC3B07"/>
    <w:rsid w:val="00EC5135"/>
    <w:rsid w:val="00EC525A"/>
    <w:rsid w:val="00EC5E74"/>
    <w:rsid w:val="00EC6C14"/>
    <w:rsid w:val="00EC6D28"/>
    <w:rsid w:val="00EC78BE"/>
    <w:rsid w:val="00ED0CEF"/>
    <w:rsid w:val="00ED19AC"/>
    <w:rsid w:val="00ED24D3"/>
    <w:rsid w:val="00ED2C64"/>
    <w:rsid w:val="00ED31D8"/>
    <w:rsid w:val="00ED32E0"/>
    <w:rsid w:val="00ED54D2"/>
    <w:rsid w:val="00ED63E1"/>
    <w:rsid w:val="00ED666E"/>
    <w:rsid w:val="00ED72AE"/>
    <w:rsid w:val="00ED7613"/>
    <w:rsid w:val="00ED7CB1"/>
    <w:rsid w:val="00EE00D7"/>
    <w:rsid w:val="00EE2921"/>
    <w:rsid w:val="00EE3497"/>
    <w:rsid w:val="00EE37D9"/>
    <w:rsid w:val="00EE39BB"/>
    <w:rsid w:val="00EE3B18"/>
    <w:rsid w:val="00EE443C"/>
    <w:rsid w:val="00EE61F3"/>
    <w:rsid w:val="00EE6528"/>
    <w:rsid w:val="00EE6594"/>
    <w:rsid w:val="00EE6C61"/>
    <w:rsid w:val="00EE7F5E"/>
    <w:rsid w:val="00EF20E8"/>
    <w:rsid w:val="00EF242F"/>
    <w:rsid w:val="00EF257F"/>
    <w:rsid w:val="00EF2B68"/>
    <w:rsid w:val="00EF303A"/>
    <w:rsid w:val="00EF3609"/>
    <w:rsid w:val="00EF4D31"/>
    <w:rsid w:val="00EF4D42"/>
    <w:rsid w:val="00EF4E26"/>
    <w:rsid w:val="00EF64E5"/>
    <w:rsid w:val="00F00782"/>
    <w:rsid w:val="00F02C7C"/>
    <w:rsid w:val="00F02FB2"/>
    <w:rsid w:val="00F02FB7"/>
    <w:rsid w:val="00F038AB"/>
    <w:rsid w:val="00F03A00"/>
    <w:rsid w:val="00F04B20"/>
    <w:rsid w:val="00F05C4E"/>
    <w:rsid w:val="00F071A7"/>
    <w:rsid w:val="00F07B6E"/>
    <w:rsid w:val="00F07FC2"/>
    <w:rsid w:val="00F106B4"/>
    <w:rsid w:val="00F11257"/>
    <w:rsid w:val="00F12DE5"/>
    <w:rsid w:val="00F1377A"/>
    <w:rsid w:val="00F13BF0"/>
    <w:rsid w:val="00F13F9B"/>
    <w:rsid w:val="00F1405F"/>
    <w:rsid w:val="00F14398"/>
    <w:rsid w:val="00F149E0"/>
    <w:rsid w:val="00F15587"/>
    <w:rsid w:val="00F163AE"/>
    <w:rsid w:val="00F163CB"/>
    <w:rsid w:val="00F16EBD"/>
    <w:rsid w:val="00F1798B"/>
    <w:rsid w:val="00F201AE"/>
    <w:rsid w:val="00F21A90"/>
    <w:rsid w:val="00F21C3E"/>
    <w:rsid w:val="00F22808"/>
    <w:rsid w:val="00F22C41"/>
    <w:rsid w:val="00F24367"/>
    <w:rsid w:val="00F24A6E"/>
    <w:rsid w:val="00F2582D"/>
    <w:rsid w:val="00F306A4"/>
    <w:rsid w:val="00F31000"/>
    <w:rsid w:val="00F31617"/>
    <w:rsid w:val="00F32D26"/>
    <w:rsid w:val="00F348EC"/>
    <w:rsid w:val="00F3573C"/>
    <w:rsid w:val="00F35C43"/>
    <w:rsid w:val="00F35E5C"/>
    <w:rsid w:val="00F403AD"/>
    <w:rsid w:val="00F411FF"/>
    <w:rsid w:val="00F41433"/>
    <w:rsid w:val="00F424B8"/>
    <w:rsid w:val="00F4284E"/>
    <w:rsid w:val="00F43248"/>
    <w:rsid w:val="00F45AEE"/>
    <w:rsid w:val="00F4770C"/>
    <w:rsid w:val="00F509E3"/>
    <w:rsid w:val="00F50C40"/>
    <w:rsid w:val="00F51ACF"/>
    <w:rsid w:val="00F52B73"/>
    <w:rsid w:val="00F52E34"/>
    <w:rsid w:val="00F53258"/>
    <w:rsid w:val="00F53616"/>
    <w:rsid w:val="00F53A3A"/>
    <w:rsid w:val="00F53C14"/>
    <w:rsid w:val="00F544CE"/>
    <w:rsid w:val="00F545BB"/>
    <w:rsid w:val="00F54A77"/>
    <w:rsid w:val="00F54FA2"/>
    <w:rsid w:val="00F5594F"/>
    <w:rsid w:val="00F55966"/>
    <w:rsid w:val="00F56C1F"/>
    <w:rsid w:val="00F573A9"/>
    <w:rsid w:val="00F60098"/>
    <w:rsid w:val="00F61ED0"/>
    <w:rsid w:val="00F62BD3"/>
    <w:rsid w:val="00F6307D"/>
    <w:rsid w:val="00F64F8E"/>
    <w:rsid w:val="00F671B5"/>
    <w:rsid w:val="00F6777A"/>
    <w:rsid w:val="00F67A20"/>
    <w:rsid w:val="00F71D5E"/>
    <w:rsid w:val="00F72F97"/>
    <w:rsid w:val="00F73997"/>
    <w:rsid w:val="00F73F8B"/>
    <w:rsid w:val="00F73FE1"/>
    <w:rsid w:val="00F74AB7"/>
    <w:rsid w:val="00F74F80"/>
    <w:rsid w:val="00F76EA3"/>
    <w:rsid w:val="00F77BD7"/>
    <w:rsid w:val="00F77E67"/>
    <w:rsid w:val="00F77F17"/>
    <w:rsid w:val="00F81AED"/>
    <w:rsid w:val="00F81F7C"/>
    <w:rsid w:val="00F82380"/>
    <w:rsid w:val="00F82ABD"/>
    <w:rsid w:val="00F83E2D"/>
    <w:rsid w:val="00F84DFD"/>
    <w:rsid w:val="00F86228"/>
    <w:rsid w:val="00F869E2"/>
    <w:rsid w:val="00F87895"/>
    <w:rsid w:val="00F87955"/>
    <w:rsid w:val="00F87B94"/>
    <w:rsid w:val="00F9060E"/>
    <w:rsid w:val="00F90B30"/>
    <w:rsid w:val="00F9185D"/>
    <w:rsid w:val="00F92093"/>
    <w:rsid w:val="00F92888"/>
    <w:rsid w:val="00F94DE8"/>
    <w:rsid w:val="00F96C06"/>
    <w:rsid w:val="00F97900"/>
    <w:rsid w:val="00F97BA0"/>
    <w:rsid w:val="00FA0316"/>
    <w:rsid w:val="00FA0352"/>
    <w:rsid w:val="00FA051B"/>
    <w:rsid w:val="00FA0952"/>
    <w:rsid w:val="00FA0D6A"/>
    <w:rsid w:val="00FA0DC4"/>
    <w:rsid w:val="00FA118B"/>
    <w:rsid w:val="00FA125E"/>
    <w:rsid w:val="00FA17C7"/>
    <w:rsid w:val="00FA1AD6"/>
    <w:rsid w:val="00FA44DE"/>
    <w:rsid w:val="00FA4555"/>
    <w:rsid w:val="00FA7619"/>
    <w:rsid w:val="00FB0790"/>
    <w:rsid w:val="00FB109E"/>
    <w:rsid w:val="00FB1E05"/>
    <w:rsid w:val="00FB2FD7"/>
    <w:rsid w:val="00FB3313"/>
    <w:rsid w:val="00FB423D"/>
    <w:rsid w:val="00FB5861"/>
    <w:rsid w:val="00FB5B4B"/>
    <w:rsid w:val="00FC0063"/>
    <w:rsid w:val="00FC0376"/>
    <w:rsid w:val="00FC07D5"/>
    <w:rsid w:val="00FC09C0"/>
    <w:rsid w:val="00FC09F8"/>
    <w:rsid w:val="00FC0CF0"/>
    <w:rsid w:val="00FC3BE9"/>
    <w:rsid w:val="00FC60E4"/>
    <w:rsid w:val="00FC62F6"/>
    <w:rsid w:val="00FC69A7"/>
    <w:rsid w:val="00FC6F47"/>
    <w:rsid w:val="00FC7054"/>
    <w:rsid w:val="00FC754E"/>
    <w:rsid w:val="00FD0F37"/>
    <w:rsid w:val="00FD158C"/>
    <w:rsid w:val="00FD1922"/>
    <w:rsid w:val="00FD1D88"/>
    <w:rsid w:val="00FD3259"/>
    <w:rsid w:val="00FD356A"/>
    <w:rsid w:val="00FD3D87"/>
    <w:rsid w:val="00FD410B"/>
    <w:rsid w:val="00FD58C7"/>
    <w:rsid w:val="00FD5ACE"/>
    <w:rsid w:val="00FD5B0A"/>
    <w:rsid w:val="00FD5DF8"/>
    <w:rsid w:val="00FD6490"/>
    <w:rsid w:val="00FD6AE7"/>
    <w:rsid w:val="00FD719E"/>
    <w:rsid w:val="00FD7BF7"/>
    <w:rsid w:val="00FE0EB1"/>
    <w:rsid w:val="00FE1082"/>
    <w:rsid w:val="00FE1504"/>
    <w:rsid w:val="00FE3E21"/>
    <w:rsid w:val="00FE457F"/>
    <w:rsid w:val="00FE4E50"/>
    <w:rsid w:val="00FE534A"/>
    <w:rsid w:val="00FE68DB"/>
    <w:rsid w:val="00FE6BF1"/>
    <w:rsid w:val="00FF0945"/>
    <w:rsid w:val="00FF257F"/>
    <w:rsid w:val="00FF2921"/>
    <w:rsid w:val="00FF30C0"/>
    <w:rsid w:val="00FF3453"/>
    <w:rsid w:val="00FF3ACE"/>
    <w:rsid w:val="00FF3DA8"/>
    <w:rsid w:val="00FF3ED8"/>
    <w:rsid w:val="00FF41B8"/>
    <w:rsid w:val="00FF4DA7"/>
    <w:rsid w:val="00FF6606"/>
    <w:rsid w:val="00FF6EC5"/>
    <w:rsid w:val="00FF77F2"/>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CFD"/>
    <w:pPr>
      <w:keepNext/>
      <w:keepLines/>
      <w:spacing w:before="360" w:after="360" w:line="240" w:lineRule="auto"/>
      <w:jc w:val="center"/>
      <w:outlineLvl w:val="0"/>
    </w:pPr>
    <w:rPr>
      <w:rFonts w:ascii="Verdana" w:eastAsia="Times New Roman" w:hAnsi="Verdana" w:cs="Verdana"/>
      <w:b/>
      <w:bCs/>
      <w:caps/>
      <w:snapToGrid w:val="0"/>
      <w:sz w:val="20"/>
      <w:szCs w:val="20"/>
      <w:lang w:eastAsia="es-ES"/>
    </w:rPr>
  </w:style>
  <w:style w:type="paragraph" w:styleId="Heading2">
    <w:name w:val="heading 2"/>
    <w:basedOn w:val="Normal"/>
    <w:next w:val="Normal"/>
    <w:link w:val="Heading2Char"/>
    <w:unhideWhenUsed/>
    <w:qFormat/>
    <w:rsid w:val="00190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4DE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60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semiHidden/>
    <w:unhideWhenUsed/>
    <w:qFormat/>
    <w:rsid w:val="00060118"/>
    <w:pPr>
      <w:keepNext w:val="0"/>
      <w:keepLines w:val="0"/>
      <w:numPr>
        <w:ilvl w:val="4"/>
        <w:numId w:val="20"/>
      </w:numPr>
      <w:spacing w:before="0" w:line="240" w:lineRule="auto"/>
      <w:jc w:val="both"/>
      <w:outlineLvl w:val="5"/>
    </w:pPr>
    <w:rPr>
      <w:rFonts w:ascii="Verdana" w:eastAsia="Times New Roman" w:hAnsi="Verdana" w:cs="Times New Roman"/>
      <w:color w:val="auto"/>
      <w:spacing w:val="-2"/>
      <w:sz w:val="20"/>
      <w:szCs w:val="20"/>
      <w:lang w:val="es-ES_tradnl"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2,Lista vistosa - Énfasis 11"/>
    <w:basedOn w:val="Normal"/>
    <w:link w:val="ListParagraphChar1"/>
    <w:uiPriority w:val="99"/>
    <w:qFormat/>
    <w:rsid w:val="00CB40DA"/>
    <w:pPr>
      <w:ind w:left="720"/>
      <w:contextualSpacing/>
    </w:pPr>
  </w:style>
  <w:style w:type="paragraph" w:customStyle="1" w:styleId="ColorfulList-Accent11">
    <w:name w:val="Colorful List - Accent 11"/>
    <w:aliases w:val="Párrafo de lista1,List Paragraph1,List Paragraph11"/>
    <w:basedOn w:val="Normal"/>
    <w:link w:val="ColorfulList-Accent1Char1"/>
    <w:qFormat/>
    <w:rsid w:val="009F4A3F"/>
    <w:pPr>
      <w:spacing w:after="0" w:line="240" w:lineRule="auto"/>
      <w:ind w:left="708"/>
    </w:pPr>
    <w:rPr>
      <w:rFonts w:ascii="Times New Roman" w:eastAsia="Times New Roman" w:hAnsi="Times New Roman" w:cs="Times New Roman"/>
      <w:sz w:val="24"/>
      <w:szCs w:val="24"/>
      <w:lang w:val="es-MX"/>
    </w:rPr>
  </w:style>
  <w:style w:type="character" w:customStyle="1" w:styleId="ColorfulList-Accent1Char1">
    <w:name w:val="Colorful List - Accent 1 Char1"/>
    <w:aliases w:val="Párrafo de lista1 Char,List Paragraph1 Char,Colorful List - Accent 11 Char,List Paragraph Char,Footnote Char,List Paragraph2 Char,Lista vistosa - Énfasis 11 Char"/>
    <w:link w:val="ColorfulList-Accent11"/>
    <w:uiPriority w:val="99"/>
    <w:rsid w:val="009F4A3F"/>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E1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77"/>
    <w:rPr>
      <w:rFonts w:ascii="Tahoma" w:hAnsi="Tahoma" w:cs="Tahoma"/>
      <w:sz w:val="16"/>
      <w:szCs w:val="16"/>
    </w:rPr>
  </w:style>
  <w:style w:type="paragraph" w:customStyle="1" w:styleId="Default">
    <w:name w:val="Default"/>
    <w:rsid w:val="005C1A91"/>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
    <w:unhideWhenUsed/>
    <w:qFormat/>
    <w:rsid w:val="00F1377A"/>
    <w:pPr>
      <w:spacing w:after="0" w:line="240" w:lineRule="auto"/>
    </w:pPr>
    <w:rPr>
      <w:sz w:val="20"/>
      <w:szCs w:val="20"/>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link w:val="FootnoteText"/>
    <w:qFormat/>
    <w:rsid w:val="00F1377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nhideWhenUsed/>
    <w:qFormat/>
    <w:rsid w:val="00F1377A"/>
    <w:rPr>
      <w:vertAlign w:val="superscript"/>
    </w:rPr>
  </w:style>
  <w:style w:type="character" w:styleId="Strong">
    <w:name w:val="Strong"/>
    <w:aliases w:val="Heading 2.1"/>
    <w:basedOn w:val="DefaultParagraphFont"/>
    <w:uiPriority w:val="22"/>
    <w:qFormat/>
    <w:rsid w:val="00F1377A"/>
    <w:rPr>
      <w:b/>
      <w:bCs/>
    </w:rPr>
  </w:style>
  <w:style w:type="character" w:styleId="CommentReference">
    <w:name w:val="annotation reference"/>
    <w:basedOn w:val="DefaultParagraphFont"/>
    <w:uiPriority w:val="99"/>
    <w:semiHidden/>
    <w:unhideWhenUsed/>
    <w:rsid w:val="002827DA"/>
    <w:rPr>
      <w:sz w:val="16"/>
      <w:szCs w:val="16"/>
    </w:rPr>
  </w:style>
  <w:style w:type="paragraph" w:styleId="CommentText">
    <w:name w:val="annotation text"/>
    <w:basedOn w:val="Normal"/>
    <w:link w:val="CommentTextChar"/>
    <w:uiPriority w:val="99"/>
    <w:semiHidden/>
    <w:unhideWhenUsed/>
    <w:rsid w:val="002827DA"/>
    <w:pPr>
      <w:spacing w:line="240" w:lineRule="auto"/>
    </w:pPr>
    <w:rPr>
      <w:sz w:val="20"/>
      <w:szCs w:val="20"/>
    </w:rPr>
  </w:style>
  <w:style w:type="character" w:customStyle="1" w:styleId="CommentTextChar">
    <w:name w:val="Comment Text Char"/>
    <w:basedOn w:val="DefaultParagraphFont"/>
    <w:link w:val="CommentText"/>
    <w:uiPriority w:val="99"/>
    <w:semiHidden/>
    <w:rsid w:val="002827DA"/>
    <w:rPr>
      <w:sz w:val="20"/>
      <w:szCs w:val="20"/>
    </w:rPr>
  </w:style>
  <w:style w:type="paragraph" w:styleId="CommentSubject">
    <w:name w:val="annotation subject"/>
    <w:basedOn w:val="CommentText"/>
    <w:next w:val="CommentText"/>
    <w:link w:val="CommentSubjectChar"/>
    <w:uiPriority w:val="99"/>
    <w:semiHidden/>
    <w:unhideWhenUsed/>
    <w:rsid w:val="002827DA"/>
    <w:rPr>
      <w:b/>
      <w:bCs/>
    </w:rPr>
  </w:style>
  <w:style w:type="character" w:customStyle="1" w:styleId="CommentSubjectChar">
    <w:name w:val="Comment Subject Char"/>
    <w:basedOn w:val="CommentTextChar"/>
    <w:link w:val="CommentSubject"/>
    <w:uiPriority w:val="99"/>
    <w:semiHidden/>
    <w:rsid w:val="002827DA"/>
    <w:rPr>
      <w:b/>
      <w:bCs/>
      <w:sz w:val="20"/>
      <w:szCs w:val="20"/>
    </w:rPr>
  </w:style>
  <w:style w:type="character" w:styleId="Hyperlink">
    <w:name w:val="Hyperlink"/>
    <w:basedOn w:val="DefaultParagraphFont"/>
    <w:uiPriority w:val="99"/>
    <w:unhideWhenUsed/>
    <w:rsid w:val="00162008"/>
    <w:rPr>
      <w:color w:val="0000FF" w:themeColor="hyperlink"/>
      <w:u w:val="single"/>
    </w:rPr>
  </w:style>
  <w:style w:type="paragraph" w:styleId="NormalWeb">
    <w:name w:val="Normal (Web)"/>
    <w:aliases w:val="Normal (Web) Char1,Normal (Web) Char Char,Normal (Web) Char1 Char,Normal (Web) Char Char Char"/>
    <w:basedOn w:val="Normal"/>
    <w:uiPriority w:val="99"/>
    <w:unhideWhenUsed/>
    <w:qFormat/>
    <w:rsid w:val="00270D5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Emphasis">
    <w:name w:val="Emphasis"/>
    <w:basedOn w:val="DefaultParagraphFont"/>
    <w:uiPriority w:val="20"/>
    <w:qFormat/>
    <w:rsid w:val="007B5F60"/>
    <w:rPr>
      <w:i/>
      <w:iCs/>
    </w:rPr>
  </w:style>
  <w:style w:type="character" w:customStyle="1" w:styleId="Heading1Char">
    <w:name w:val="Heading 1 Char"/>
    <w:basedOn w:val="DefaultParagraphFont"/>
    <w:link w:val="Heading1"/>
    <w:uiPriority w:val="9"/>
    <w:rsid w:val="004E6CFD"/>
    <w:rPr>
      <w:rFonts w:ascii="Verdana" w:eastAsia="Times New Roman" w:hAnsi="Verdana" w:cs="Verdana"/>
      <w:b/>
      <w:bCs/>
      <w:caps/>
      <w:snapToGrid w:val="0"/>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E6CFD"/>
    <w:pPr>
      <w:spacing w:after="0" w:line="240" w:lineRule="auto"/>
      <w:jc w:val="both"/>
    </w:pPr>
    <w:rPr>
      <w:vertAlign w:val="superscript"/>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4E6CFD"/>
    <w:rPr>
      <w:rFonts w:ascii="Verdana" w:eastAsia="Batang" w:hAnsi="Verdana" w:cs="Times"/>
      <w:noProof/>
      <w:sz w:val="16"/>
      <w:szCs w:val="20"/>
      <w:lang w:val="es-ES_tradnl"/>
    </w:rPr>
  </w:style>
  <w:style w:type="paragraph" w:styleId="Header">
    <w:name w:val="header"/>
    <w:basedOn w:val="Normal"/>
    <w:link w:val="HeaderChar"/>
    <w:uiPriority w:val="99"/>
    <w:unhideWhenUsed/>
    <w:rsid w:val="000E730B"/>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730B"/>
  </w:style>
  <w:style w:type="paragraph" w:styleId="Footer">
    <w:name w:val="footer"/>
    <w:basedOn w:val="Normal"/>
    <w:link w:val="FooterChar"/>
    <w:uiPriority w:val="99"/>
    <w:unhideWhenUsed/>
    <w:rsid w:val="000E730B"/>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730B"/>
  </w:style>
  <w:style w:type="paragraph" w:styleId="Title">
    <w:name w:val="Title"/>
    <w:basedOn w:val="Normal"/>
    <w:link w:val="TitleChar"/>
    <w:qFormat/>
    <w:rsid w:val="005B536C"/>
    <w:pPr>
      <w:numPr>
        <w:numId w:val="9"/>
      </w:num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5B536C"/>
    <w:rPr>
      <w:rFonts w:ascii="Verdana" w:eastAsia="Times New Roman" w:hAnsi="Verdana" w:cs="Times New Roman"/>
      <w:b/>
      <w:sz w:val="20"/>
      <w:szCs w:val="20"/>
      <w:lang w:val="es-ES_tradnl" w:eastAsia="es-ES" w:bidi="en-US"/>
    </w:rPr>
  </w:style>
  <w:style w:type="paragraph" w:styleId="TOC1">
    <w:name w:val="toc 1"/>
    <w:basedOn w:val="Normal"/>
    <w:next w:val="Normal"/>
    <w:autoRedefine/>
    <w:uiPriority w:val="39"/>
    <w:unhideWhenUsed/>
    <w:rsid w:val="005B536C"/>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5B536C"/>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paragraph" w:styleId="TOC3">
    <w:name w:val="toc 3"/>
    <w:basedOn w:val="Normal"/>
    <w:next w:val="Normal"/>
    <w:autoRedefine/>
    <w:uiPriority w:val="39"/>
    <w:unhideWhenUsed/>
    <w:rsid w:val="005B536C"/>
    <w:pPr>
      <w:spacing w:after="100"/>
      <w:ind w:left="440"/>
    </w:pPr>
  </w:style>
  <w:style w:type="character" w:customStyle="1" w:styleId="Estilo1Car">
    <w:name w:val="Estilo1 Car"/>
    <w:basedOn w:val="DefaultParagraphFont"/>
    <w:link w:val="Estilo1"/>
    <w:locked/>
    <w:rsid w:val="00201BDD"/>
    <w:rPr>
      <w:rFonts w:ascii="Verdana" w:eastAsia="Batang" w:hAnsi="Verdana" w:cs="Times"/>
      <w:i/>
      <w:sz w:val="20"/>
      <w:szCs w:val="24"/>
      <w:lang w:val="es-ES_tradnl"/>
    </w:rPr>
  </w:style>
  <w:style w:type="paragraph" w:customStyle="1" w:styleId="Estilo1">
    <w:name w:val="Estilo1"/>
    <w:basedOn w:val="Normal"/>
    <w:link w:val="Estilo1Car"/>
    <w:qFormat/>
    <w:rsid w:val="00201BDD"/>
    <w:pPr>
      <w:spacing w:after="120" w:line="240" w:lineRule="auto"/>
      <w:ind w:left="2018" w:right="6" w:hanging="180"/>
      <w:jc w:val="both"/>
    </w:pPr>
    <w:rPr>
      <w:rFonts w:ascii="Verdana" w:eastAsia="Batang" w:hAnsi="Verdana" w:cs="Times"/>
      <w:i/>
      <w:sz w:val="20"/>
      <w:szCs w:val="24"/>
      <w:lang w:val="es-ES_tradnl"/>
    </w:rPr>
  </w:style>
  <w:style w:type="paragraph" w:customStyle="1" w:styleId="Footnotes">
    <w:name w:val="**. Footnotes"/>
    <w:basedOn w:val="FootnoteText"/>
    <w:link w:val="FootnotesChar"/>
    <w:autoRedefine/>
    <w:qFormat/>
    <w:rsid w:val="00CC0CC2"/>
    <w:pPr>
      <w:spacing w:before="60" w:after="60"/>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DefaultParagraphFont"/>
    <w:link w:val="Footnotes"/>
    <w:rsid w:val="00CC0CC2"/>
    <w:rPr>
      <w:rFonts w:ascii="Verdana" w:eastAsia="Times New Roman" w:hAnsi="Verdana" w:cs="Palatino-Italic"/>
      <w:iCs/>
      <w:spacing w:val="-4"/>
      <w:sz w:val="16"/>
      <w:szCs w:val="16"/>
      <w:lang w:val="es-ES" w:bidi="en-US"/>
    </w:rPr>
  </w:style>
  <w:style w:type="character" w:customStyle="1" w:styleId="Heading2Char">
    <w:name w:val="Heading 2 Char"/>
    <w:basedOn w:val="DefaultParagraphFont"/>
    <w:link w:val="Heading2"/>
    <w:rsid w:val="001908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4DE7"/>
    <w:rPr>
      <w:rFonts w:asciiTheme="majorHAnsi" w:eastAsiaTheme="majorEastAsia" w:hAnsiTheme="majorHAnsi" w:cstheme="majorBidi"/>
      <w:b/>
      <w:bCs/>
      <w:color w:val="4F81BD" w:themeColor="accent1"/>
    </w:rPr>
  </w:style>
  <w:style w:type="paragraph" w:customStyle="1" w:styleId="Style2">
    <w:name w:val="Style2"/>
    <w:basedOn w:val="Normal"/>
    <w:link w:val="Style2Char"/>
    <w:qFormat/>
    <w:rsid w:val="005E4DE7"/>
    <w:pPr>
      <w:numPr>
        <w:numId w:val="17"/>
      </w:numPr>
      <w:spacing w:after="0" w:line="240" w:lineRule="auto"/>
      <w:jc w:val="both"/>
    </w:pPr>
    <w:rPr>
      <w:rFonts w:ascii="Cambria" w:eastAsia="Arial Unicode MS" w:hAnsi="Cambria" w:cs="Times New Roman"/>
      <w:sz w:val="20"/>
      <w:szCs w:val="20"/>
      <w:bdr w:val="nil"/>
      <w:lang w:val="es-ES"/>
    </w:rPr>
  </w:style>
  <w:style w:type="character" w:customStyle="1" w:styleId="Style2Char">
    <w:name w:val="Style2 Char"/>
    <w:link w:val="Style2"/>
    <w:locked/>
    <w:rsid w:val="005E4DE7"/>
    <w:rPr>
      <w:rFonts w:ascii="Cambria" w:eastAsia="Arial Unicode MS" w:hAnsi="Cambria" w:cs="Times New Roman"/>
      <w:sz w:val="20"/>
      <w:szCs w:val="20"/>
      <w:bdr w:val="nil"/>
      <w:lang w:val="es-ES"/>
    </w:rPr>
  </w:style>
  <w:style w:type="character" w:customStyle="1" w:styleId="apple-converted-space">
    <w:name w:val="apple-converted-space"/>
    <w:basedOn w:val="DefaultParagraphFont"/>
    <w:rsid w:val="005E4DE7"/>
  </w:style>
  <w:style w:type="character" w:customStyle="1" w:styleId="Heading6Char">
    <w:name w:val="Heading 6 Char"/>
    <w:basedOn w:val="DefaultParagraphFont"/>
    <w:link w:val="Heading6"/>
    <w:uiPriority w:val="9"/>
    <w:semiHidden/>
    <w:rsid w:val="00060118"/>
    <w:rPr>
      <w:rFonts w:ascii="Verdana" w:eastAsia="Times New Roman" w:hAnsi="Verdana" w:cs="Times New Roman"/>
      <w:spacing w:val="-2"/>
      <w:sz w:val="20"/>
      <w:szCs w:val="20"/>
      <w:lang w:val="es-ES_tradnl" w:eastAsia="es-CR"/>
    </w:rPr>
  </w:style>
  <w:style w:type="paragraph" w:customStyle="1" w:styleId="Prrafodelista2">
    <w:name w:val="Párrafo de lista2"/>
    <w:basedOn w:val="Normal"/>
    <w:uiPriority w:val="99"/>
    <w:rsid w:val="00060118"/>
    <w:pPr>
      <w:spacing w:after="0" w:line="240" w:lineRule="auto"/>
      <w:ind w:left="720"/>
    </w:pPr>
    <w:rPr>
      <w:rFonts w:ascii="Verdana" w:eastAsia="MS Mincho" w:hAnsi="Verdana" w:cs="Times New Roman"/>
      <w:sz w:val="20"/>
      <w:szCs w:val="20"/>
      <w:lang w:val="es-ES_tradnl" w:bidi="en-US"/>
    </w:rPr>
  </w:style>
  <w:style w:type="character" w:customStyle="1" w:styleId="Heading5Char">
    <w:name w:val="Heading 5 Char"/>
    <w:basedOn w:val="DefaultParagraphFont"/>
    <w:link w:val="Heading5"/>
    <w:uiPriority w:val="9"/>
    <w:semiHidden/>
    <w:rsid w:val="00060118"/>
    <w:rPr>
      <w:rFonts w:asciiTheme="majorHAnsi" w:eastAsiaTheme="majorEastAsia" w:hAnsiTheme="majorHAnsi" w:cstheme="majorBidi"/>
      <w:color w:val="243F60" w:themeColor="accent1" w:themeShade="7F"/>
    </w:rPr>
  </w:style>
  <w:style w:type="paragraph" w:customStyle="1" w:styleId="negritamayuscula">
    <w:name w:val="negrita mayuscula"/>
    <w:basedOn w:val="Normal"/>
    <w:rsid w:val="00EF257F"/>
    <w:pPr>
      <w:widowControl w:val="0"/>
      <w:tabs>
        <w:tab w:val="left" w:pos="1120"/>
      </w:tabs>
      <w:spacing w:after="0" w:line="360" w:lineRule="atLeast"/>
      <w:jc w:val="both"/>
    </w:pPr>
    <w:rPr>
      <w:rFonts w:ascii="Garamond" w:eastAsia="Times New Roman" w:hAnsi="Garamond" w:cs="Times New Roman"/>
      <w:sz w:val="20"/>
      <w:szCs w:val="20"/>
      <w:lang w:val="es-ES_tradnl"/>
    </w:rPr>
  </w:style>
  <w:style w:type="character" w:customStyle="1" w:styleId="FootnoteAnchor">
    <w:name w:val="Footnote Anchor"/>
    <w:rsid w:val="003E67A9"/>
    <w:rPr>
      <w:vertAlign w:val="superscript"/>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semiHidden/>
    <w:locked/>
    <w:rsid w:val="000C6343"/>
    <w:rPr>
      <w:rFonts w:ascii="Arial Unicode MS" w:eastAsia="Arial Unicode MS" w:hAnsi="Arial Unicode MS" w:cs="Arial Unicode MS"/>
      <w:sz w:val="24"/>
      <w:szCs w:val="24"/>
      <w:lang w:val="es-ES" w:eastAsia="es-ES"/>
    </w:rPr>
  </w:style>
  <w:style w:type="paragraph" w:styleId="BodyText">
    <w:name w:val="Body Text"/>
    <w:aliases w:val="Body Text Char Car Car Car Car Car Car Car Car Car Car Car Car Car,Body Text Char Car Car Car Car Car Car Car Car Car Car Car Car"/>
    <w:basedOn w:val="Normal"/>
    <w:link w:val="BodyTextChar"/>
    <w:semiHidden/>
    <w:unhideWhenUsed/>
    <w:rsid w:val="000C6343"/>
    <w:pPr>
      <w:spacing w:after="0" w:line="240" w:lineRule="auto"/>
      <w:jc w:val="both"/>
    </w:pPr>
    <w:rPr>
      <w:rFonts w:ascii="Arial Unicode MS" w:eastAsia="Arial Unicode MS" w:hAnsi="Arial Unicode MS" w:cs="Arial Unicode MS"/>
      <w:sz w:val="24"/>
      <w:szCs w:val="24"/>
      <w:lang w:val="es-ES" w:eastAsia="es-ES"/>
    </w:rPr>
  </w:style>
  <w:style w:type="character" w:customStyle="1" w:styleId="BodyTextChar1">
    <w:name w:val="Body Text Char1"/>
    <w:basedOn w:val="DefaultParagraphFont"/>
    <w:uiPriority w:val="99"/>
    <w:semiHidden/>
    <w:rsid w:val="000C6343"/>
  </w:style>
  <w:style w:type="paragraph" w:customStyle="1" w:styleId="2Footnotes">
    <w:name w:val="2. Footnotes"/>
    <w:basedOn w:val="FootnoteText"/>
    <w:link w:val="2FootnotesChar"/>
    <w:autoRedefine/>
    <w:qFormat/>
    <w:rsid w:val="009C4089"/>
    <w:pPr>
      <w:spacing w:before="120" w:after="120"/>
      <w:jc w:val="both"/>
    </w:pPr>
    <w:rPr>
      <w:rFonts w:ascii="Verdana" w:eastAsia="Times New Roman" w:hAnsi="Verdana" w:cs="Palatino-Italic"/>
      <w:iCs/>
      <w:noProof/>
      <w:sz w:val="16"/>
      <w:szCs w:val="18"/>
      <w:u w:color="000000"/>
      <w:bdr w:val="none" w:sz="0" w:space="0" w:color="auto" w:frame="1"/>
      <w:lang w:val="es-ES"/>
    </w:rPr>
  </w:style>
  <w:style w:type="character" w:customStyle="1" w:styleId="2FootnotesChar">
    <w:name w:val="2. Footnotes Char"/>
    <w:link w:val="2Footnotes"/>
    <w:rsid w:val="00BD14EA"/>
    <w:rPr>
      <w:rFonts w:ascii="Verdana" w:eastAsia="Times New Roman" w:hAnsi="Verdana" w:cs="Palatino-Italic"/>
      <w:iCs/>
      <w:noProof/>
      <w:sz w:val="16"/>
      <w:szCs w:val="18"/>
      <w:u w:color="000000"/>
      <w:bdr w:val="none" w:sz="0" w:space="0" w:color="auto" w:frame="1"/>
      <w:lang w:val="es-ES"/>
    </w:rPr>
  </w:style>
  <w:style w:type="character" w:customStyle="1" w:styleId="apple-style-span">
    <w:name w:val="apple-style-span"/>
    <w:basedOn w:val="DefaultParagraphFont"/>
    <w:qFormat/>
    <w:rsid w:val="007F7E98"/>
  </w:style>
  <w:style w:type="paragraph" w:styleId="BodyText2">
    <w:name w:val="Body Text 2"/>
    <w:basedOn w:val="Normal"/>
    <w:link w:val="BodyText2Char"/>
    <w:rsid w:val="00DB6849"/>
    <w:pPr>
      <w:spacing w:after="120" w:line="480" w:lineRule="auto"/>
    </w:pPr>
    <w:rPr>
      <w:rFonts w:ascii="Times New Roman" w:eastAsia="Times New Roman" w:hAnsi="Times New Roman" w:cs="Times New Roman"/>
      <w:sz w:val="24"/>
      <w:szCs w:val="24"/>
      <w:lang w:val="es-ES" w:eastAsia="es-ES"/>
    </w:rPr>
  </w:style>
  <w:style w:type="character" w:customStyle="1" w:styleId="BodyText2Char">
    <w:name w:val="Body Text 2 Char"/>
    <w:basedOn w:val="DefaultParagraphFont"/>
    <w:link w:val="BodyText2"/>
    <w:rsid w:val="00DB6849"/>
    <w:rPr>
      <w:rFonts w:ascii="Times New Roman" w:eastAsia="Times New Roman" w:hAnsi="Times New Roman" w:cs="Times New Roman"/>
      <w:sz w:val="24"/>
      <w:szCs w:val="24"/>
      <w:lang w:val="es-ES" w:eastAsia="es-ES"/>
    </w:rPr>
  </w:style>
  <w:style w:type="numbering" w:customStyle="1" w:styleId="List0">
    <w:name w:val="List 0"/>
    <w:basedOn w:val="NoList"/>
    <w:rsid w:val="009A717E"/>
    <w:pPr>
      <w:numPr>
        <w:numId w:val="24"/>
      </w:numPr>
    </w:p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DefaultParagraphFont"/>
    <w:uiPriority w:val="99"/>
    <w:rsid w:val="003A6DE8"/>
    <w:rPr>
      <w:rFonts w:ascii="Verdana" w:hAnsi="Verdana" w:cs="Verdana"/>
      <w:sz w:val="20"/>
      <w:szCs w:val="20"/>
      <w:lang w:val="es-ES_tradnl"/>
    </w:rPr>
  </w:style>
  <w:style w:type="character" w:customStyle="1" w:styleId="ListParagraphChar1">
    <w:name w:val="List Paragraph Char1"/>
    <w:aliases w:val="Footnote Char1,List Paragraph2 Char1,Lista vistosa - Énfasis 11 Char1"/>
    <w:basedOn w:val="DefaultParagraphFont"/>
    <w:link w:val="ListParagraph"/>
    <w:uiPriority w:val="34"/>
    <w:rsid w:val="003A6DE8"/>
  </w:style>
  <w:style w:type="character" w:styleId="FollowedHyperlink">
    <w:name w:val="FollowedHyperlink"/>
    <w:basedOn w:val="DefaultParagraphFont"/>
    <w:uiPriority w:val="99"/>
    <w:semiHidden/>
    <w:unhideWhenUsed/>
    <w:rsid w:val="00D843A0"/>
    <w:rPr>
      <w:color w:val="800080" w:themeColor="followedHyperlink"/>
      <w:u w:val="single"/>
    </w:rPr>
  </w:style>
  <w:style w:type="character" w:styleId="LineNumber">
    <w:name w:val="line number"/>
    <w:basedOn w:val="DefaultParagraphFont"/>
    <w:uiPriority w:val="99"/>
    <w:semiHidden/>
    <w:unhideWhenUsed/>
    <w:rsid w:val="009E0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6CFD"/>
    <w:pPr>
      <w:keepNext/>
      <w:keepLines/>
      <w:spacing w:before="360" w:after="360" w:line="240" w:lineRule="auto"/>
      <w:jc w:val="center"/>
      <w:outlineLvl w:val="0"/>
    </w:pPr>
    <w:rPr>
      <w:rFonts w:ascii="Verdana" w:eastAsia="Times New Roman" w:hAnsi="Verdana" w:cs="Verdana"/>
      <w:b/>
      <w:bCs/>
      <w:caps/>
      <w:snapToGrid w:val="0"/>
      <w:sz w:val="20"/>
      <w:szCs w:val="20"/>
      <w:lang w:eastAsia="es-ES"/>
    </w:rPr>
  </w:style>
  <w:style w:type="paragraph" w:styleId="Heading2">
    <w:name w:val="heading 2"/>
    <w:basedOn w:val="Normal"/>
    <w:next w:val="Normal"/>
    <w:link w:val="Heading2Char"/>
    <w:unhideWhenUsed/>
    <w:qFormat/>
    <w:rsid w:val="001908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E4DE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601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semiHidden/>
    <w:unhideWhenUsed/>
    <w:qFormat/>
    <w:rsid w:val="00060118"/>
    <w:pPr>
      <w:keepNext w:val="0"/>
      <w:keepLines w:val="0"/>
      <w:numPr>
        <w:ilvl w:val="4"/>
        <w:numId w:val="20"/>
      </w:numPr>
      <w:spacing w:before="0" w:line="240" w:lineRule="auto"/>
      <w:jc w:val="both"/>
      <w:outlineLvl w:val="5"/>
    </w:pPr>
    <w:rPr>
      <w:rFonts w:ascii="Verdana" w:eastAsia="Times New Roman" w:hAnsi="Verdana" w:cs="Times New Roman"/>
      <w:color w:val="auto"/>
      <w:spacing w:val="-2"/>
      <w:sz w:val="20"/>
      <w:szCs w:val="20"/>
      <w:lang w:val="es-ES_tradnl"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note,List Paragraph2,Lista vistosa - Énfasis 11"/>
    <w:basedOn w:val="Normal"/>
    <w:link w:val="ListParagraphChar1"/>
    <w:uiPriority w:val="99"/>
    <w:qFormat/>
    <w:rsid w:val="00CB40DA"/>
    <w:pPr>
      <w:ind w:left="720"/>
      <w:contextualSpacing/>
    </w:pPr>
  </w:style>
  <w:style w:type="paragraph" w:customStyle="1" w:styleId="ColorfulList-Accent11">
    <w:name w:val="Colorful List - Accent 11"/>
    <w:aliases w:val="Párrafo de lista1,List Paragraph1,List Paragraph11"/>
    <w:basedOn w:val="Normal"/>
    <w:link w:val="ColorfulList-Accent1Char1"/>
    <w:qFormat/>
    <w:rsid w:val="009F4A3F"/>
    <w:pPr>
      <w:spacing w:after="0" w:line="240" w:lineRule="auto"/>
      <w:ind w:left="708"/>
    </w:pPr>
    <w:rPr>
      <w:rFonts w:ascii="Times New Roman" w:eastAsia="Times New Roman" w:hAnsi="Times New Roman" w:cs="Times New Roman"/>
      <w:sz w:val="24"/>
      <w:szCs w:val="24"/>
      <w:lang w:val="es-MX"/>
    </w:rPr>
  </w:style>
  <w:style w:type="character" w:customStyle="1" w:styleId="ColorfulList-Accent1Char1">
    <w:name w:val="Colorful List - Accent 1 Char1"/>
    <w:aliases w:val="Párrafo de lista1 Char,List Paragraph1 Char,Colorful List - Accent 11 Char,List Paragraph Char,Footnote Char,List Paragraph2 Char,Lista vistosa - Énfasis 11 Char"/>
    <w:link w:val="ColorfulList-Accent11"/>
    <w:uiPriority w:val="99"/>
    <w:rsid w:val="009F4A3F"/>
    <w:rPr>
      <w:rFonts w:ascii="Times New Roman" w:eastAsia="Times New Roman" w:hAnsi="Times New Roman" w:cs="Times New Roman"/>
      <w:sz w:val="24"/>
      <w:szCs w:val="24"/>
      <w:lang w:val="es-MX"/>
    </w:rPr>
  </w:style>
  <w:style w:type="paragraph" w:styleId="BalloonText">
    <w:name w:val="Balloon Text"/>
    <w:basedOn w:val="Normal"/>
    <w:link w:val="BalloonTextChar"/>
    <w:uiPriority w:val="99"/>
    <w:semiHidden/>
    <w:unhideWhenUsed/>
    <w:rsid w:val="00E10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77"/>
    <w:rPr>
      <w:rFonts w:ascii="Tahoma" w:hAnsi="Tahoma" w:cs="Tahoma"/>
      <w:sz w:val="16"/>
      <w:szCs w:val="16"/>
    </w:rPr>
  </w:style>
  <w:style w:type="paragraph" w:customStyle="1" w:styleId="Default">
    <w:name w:val="Default"/>
    <w:rsid w:val="005C1A91"/>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aliases w:val="2. Footnote Text,Footnote Tesina,FA Fu,Footnote Text Char Char Char Char Char,Footnote Text Char Char Char Char,Footnote reference,Footnote Text Char Char Char,Footnote Text Cha,FA Fußnotentext,FA Fuﬂnotentext,Ca,C,ft,5,footnote text,Car"/>
    <w:basedOn w:val="Normal"/>
    <w:link w:val="FootnoteTextChar"/>
    <w:unhideWhenUsed/>
    <w:qFormat/>
    <w:rsid w:val="00F1377A"/>
    <w:pPr>
      <w:spacing w:after="0" w:line="240" w:lineRule="auto"/>
    </w:pPr>
    <w:rPr>
      <w:sz w:val="20"/>
      <w:szCs w:val="20"/>
    </w:rPr>
  </w:style>
  <w:style w:type="character" w:customStyle="1" w:styleId="FootnoteTextChar">
    <w:name w:val="Footnote Text Char"/>
    <w:aliases w:val="2. Footnote Text Char,Footnote Tesina Char,FA Fu Char,Footnote Text Char Char Char Char Char Char,Footnote Text Char Char Char Char Char1,Footnote reference Char,Footnote Text Char Char Char Char1,Footnote Text Cha Char,Ca Char,C Char"/>
    <w:basedOn w:val="DefaultParagraphFont"/>
    <w:link w:val="FootnoteText"/>
    <w:qFormat/>
    <w:rsid w:val="00F1377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link w:val="4GChar"/>
    <w:unhideWhenUsed/>
    <w:qFormat/>
    <w:rsid w:val="00F1377A"/>
    <w:rPr>
      <w:vertAlign w:val="superscript"/>
    </w:rPr>
  </w:style>
  <w:style w:type="character" w:styleId="Strong">
    <w:name w:val="Strong"/>
    <w:aliases w:val="Heading 2.1"/>
    <w:basedOn w:val="DefaultParagraphFont"/>
    <w:uiPriority w:val="22"/>
    <w:qFormat/>
    <w:rsid w:val="00F1377A"/>
    <w:rPr>
      <w:b/>
      <w:bCs/>
    </w:rPr>
  </w:style>
  <w:style w:type="character" w:styleId="CommentReference">
    <w:name w:val="annotation reference"/>
    <w:basedOn w:val="DefaultParagraphFont"/>
    <w:uiPriority w:val="99"/>
    <w:semiHidden/>
    <w:unhideWhenUsed/>
    <w:rsid w:val="002827DA"/>
    <w:rPr>
      <w:sz w:val="16"/>
      <w:szCs w:val="16"/>
    </w:rPr>
  </w:style>
  <w:style w:type="paragraph" w:styleId="CommentText">
    <w:name w:val="annotation text"/>
    <w:basedOn w:val="Normal"/>
    <w:link w:val="CommentTextChar"/>
    <w:uiPriority w:val="99"/>
    <w:semiHidden/>
    <w:unhideWhenUsed/>
    <w:rsid w:val="002827DA"/>
    <w:pPr>
      <w:spacing w:line="240" w:lineRule="auto"/>
    </w:pPr>
    <w:rPr>
      <w:sz w:val="20"/>
      <w:szCs w:val="20"/>
    </w:rPr>
  </w:style>
  <w:style w:type="character" w:customStyle="1" w:styleId="CommentTextChar">
    <w:name w:val="Comment Text Char"/>
    <w:basedOn w:val="DefaultParagraphFont"/>
    <w:link w:val="CommentText"/>
    <w:uiPriority w:val="99"/>
    <w:semiHidden/>
    <w:rsid w:val="002827DA"/>
    <w:rPr>
      <w:sz w:val="20"/>
      <w:szCs w:val="20"/>
    </w:rPr>
  </w:style>
  <w:style w:type="paragraph" w:styleId="CommentSubject">
    <w:name w:val="annotation subject"/>
    <w:basedOn w:val="CommentText"/>
    <w:next w:val="CommentText"/>
    <w:link w:val="CommentSubjectChar"/>
    <w:uiPriority w:val="99"/>
    <w:semiHidden/>
    <w:unhideWhenUsed/>
    <w:rsid w:val="002827DA"/>
    <w:rPr>
      <w:b/>
      <w:bCs/>
    </w:rPr>
  </w:style>
  <w:style w:type="character" w:customStyle="1" w:styleId="CommentSubjectChar">
    <w:name w:val="Comment Subject Char"/>
    <w:basedOn w:val="CommentTextChar"/>
    <w:link w:val="CommentSubject"/>
    <w:uiPriority w:val="99"/>
    <w:semiHidden/>
    <w:rsid w:val="002827DA"/>
    <w:rPr>
      <w:b/>
      <w:bCs/>
      <w:sz w:val="20"/>
      <w:szCs w:val="20"/>
    </w:rPr>
  </w:style>
  <w:style w:type="character" w:styleId="Hyperlink">
    <w:name w:val="Hyperlink"/>
    <w:basedOn w:val="DefaultParagraphFont"/>
    <w:uiPriority w:val="99"/>
    <w:unhideWhenUsed/>
    <w:rsid w:val="00162008"/>
    <w:rPr>
      <w:color w:val="0000FF" w:themeColor="hyperlink"/>
      <w:u w:val="single"/>
    </w:rPr>
  </w:style>
  <w:style w:type="paragraph" w:styleId="NormalWeb">
    <w:name w:val="Normal (Web)"/>
    <w:aliases w:val="Normal (Web) Char1,Normal (Web) Char Char,Normal (Web) Char1 Char,Normal (Web) Char Char Char"/>
    <w:basedOn w:val="Normal"/>
    <w:uiPriority w:val="99"/>
    <w:unhideWhenUsed/>
    <w:qFormat/>
    <w:rsid w:val="00270D5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Emphasis">
    <w:name w:val="Emphasis"/>
    <w:basedOn w:val="DefaultParagraphFont"/>
    <w:uiPriority w:val="20"/>
    <w:qFormat/>
    <w:rsid w:val="007B5F60"/>
    <w:rPr>
      <w:i/>
      <w:iCs/>
    </w:rPr>
  </w:style>
  <w:style w:type="character" w:customStyle="1" w:styleId="Heading1Char">
    <w:name w:val="Heading 1 Char"/>
    <w:basedOn w:val="DefaultParagraphFont"/>
    <w:link w:val="Heading1"/>
    <w:uiPriority w:val="9"/>
    <w:rsid w:val="004E6CFD"/>
    <w:rPr>
      <w:rFonts w:ascii="Verdana" w:eastAsia="Times New Roman" w:hAnsi="Verdana" w:cs="Verdana"/>
      <w:b/>
      <w:bCs/>
      <w:caps/>
      <w:snapToGrid w:val="0"/>
      <w:sz w:val="20"/>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E6CFD"/>
    <w:pPr>
      <w:spacing w:after="0" w:line="240" w:lineRule="auto"/>
      <w:jc w:val="both"/>
    </w:pPr>
    <w:rPr>
      <w:vertAlign w:val="superscript"/>
    </w:rPr>
  </w:style>
  <w:style w:type="character" w:customStyle="1" w:styleId="FootnoteTextChar1">
    <w:name w:val="Footnote Text Char1"/>
    <w:aliases w:val="2. Footnote Text Char1,Footnote Tesina Char1,FA Fu Char2,Footnote Text Char Char Char Char Char Char2,Footnote Text Char Char Char Char Char3,Footnote reference Char2,Footnote Text Char Char Char Char3,Footnote Text Cha Char2,C Char1"/>
    <w:basedOn w:val="DefaultParagraphFont"/>
    <w:rsid w:val="004E6CFD"/>
    <w:rPr>
      <w:rFonts w:ascii="Verdana" w:eastAsia="Batang" w:hAnsi="Verdana" w:cs="Times"/>
      <w:noProof/>
      <w:sz w:val="16"/>
      <w:szCs w:val="20"/>
      <w:lang w:val="es-ES_tradnl"/>
    </w:rPr>
  </w:style>
  <w:style w:type="paragraph" w:styleId="Header">
    <w:name w:val="header"/>
    <w:basedOn w:val="Normal"/>
    <w:link w:val="HeaderChar"/>
    <w:uiPriority w:val="99"/>
    <w:unhideWhenUsed/>
    <w:rsid w:val="000E730B"/>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730B"/>
  </w:style>
  <w:style w:type="paragraph" w:styleId="Footer">
    <w:name w:val="footer"/>
    <w:basedOn w:val="Normal"/>
    <w:link w:val="FooterChar"/>
    <w:uiPriority w:val="99"/>
    <w:unhideWhenUsed/>
    <w:rsid w:val="000E730B"/>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730B"/>
  </w:style>
  <w:style w:type="paragraph" w:styleId="Title">
    <w:name w:val="Title"/>
    <w:basedOn w:val="Normal"/>
    <w:link w:val="TitleChar"/>
    <w:qFormat/>
    <w:rsid w:val="005B536C"/>
    <w:pPr>
      <w:numPr>
        <w:numId w:val="9"/>
      </w:num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5B536C"/>
    <w:rPr>
      <w:rFonts w:ascii="Verdana" w:eastAsia="Times New Roman" w:hAnsi="Verdana" w:cs="Times New Roman"/>
      <w:b/>
      <w:sz w:val="20"/>
      <w:szCs w:val="20"/>
      <w:lang w:val="es-ES_tradnl" w:eastAsia="es-ES" w:bidi="en-US"/>
    </w:rPr>
  </w:style>
  <w:style w:type="paragraph" w:styleId="TOC1">
    <w:name w:val="toc 1"/>
    <w:basedOn w:val="Normal"/>
    <w:next w:val="Normal"/>
    <w:autoRedefine/>
    <w:uiPriority w:val="39"/>
    <w:unhideWhenUsed/>
    <w:rsid w:val="005B536C"/>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5B536C"/>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paragraph" w:styleId="TOC3">
    <w:name w:val="toc 3"/>
    <w:basedOn w:val="Normal"/>
    <w:next w:val="Normal"/>
    <w:autoRedefine/>
    <w:uiPriority w:val="39"/>
    <w:unhideWhenUsed/>
    <w:rsid w:val="005B536C"/>
    <w:pPr>
      <w:spacing w:after="100"/>
      <w:ind w:left="440"/>
    </w:pPr>
  </w:style>
  <w:style w:type="character" w:customStyle="1" w:styleId="Estilo1Car">
    <w:name w:val="Estilo1 Car"/>
    <w:basedOn w:val="DefaultParagraphFont"/>
    <w:link w:val="Estilo1"/>
    <w:locked/>
    <w:rsid w:val="00201BDD"/>
    <w:rPr>
      <w:rFonts w:ascii="Verdana" w:eastAsia="Batang" w:hAnsi="Verdana" w:cs="Times"/>
      <w:i/>
      <w:sz w:val="20"/>
      <w:szCs w:val="24"/>
      <w:lang w:val="es-ES_tradnl"/>
    </w:rPr>
  </w:style>
  <w:style w:type="paragraph" w:customStyle="1" w:styleId="Estilo1">
    <w:name w:val="Estilo1"/>
    <w:basedOn w:val="Normal"/>
    <w:link w:val="Estilo1Car"/>
    <w:qFormat/>
    <w:rsid w:val="00201BDD"/>
    <w:pPr>
      <w:spacing w:after="120" w:line="240" w:lineRule="auto"/>
      <w:ind w:left="2018" w:right="6" w:hanging="180"/>
      <w:jc w:val="both"/>
    </w:pPr>
    <w:rPr>
      <w:rFonts w:ascii="Verdana" w:eastAsia="Batang" w:hAnsi="Verdana" w:cs="Times"/>
      <w:i/>
      <w:sz w:val="20"/>
      <w:szCs w:val="24"/>
      <w:lang w:val="es-ES_tradnl"/>
    </w:rPr>
  </w:style>
  <w:style w:type="paragraph" w:customStyle="1" w:styleId="Footnotes">
    <w:name w:val="**. Footnotes"/>
    <w:basedOn w:val="FootnoteText"/>
    <w:link w:val="FootnotesChar"/>
    <w:autoRedefine/>
    <w:qFormat/>
    <w:rsid w:val="00CC0CC2"/>
    <w:pPr>
      <w:spacing w:before="60" w:after="60"/>
      <w:jc w:val="both"/>
    </w:pPr>
    <w:rPr>
      <w:rFonts w:ascii="Verdana" w:eastAsia="Times New Roman" w:hAnsi="Verdana" w:cs="Palatino-Italic"/>
      <w:iCs/>
      <w:spacing w:val="-4"/>
      <w:sz w:val="16"/>
      <w:szCs w:val="16"/>
      <w:lang w:val="es-ES" w:bidi="en-US"/>
    </w:rPr>
  </w:style>
  <w:style w:type="character" w:customStyle="1" w:styleId="FootnotesChar">
    <w:name w:val="**. Footnotes Char"/>
    <w:basedOn w:val="DefaultParagraphFont"/>
    <w:link w:val="Footnotes"/>
    <w:rsid w:val="00CC0CC2"/>
    <w:rPr>
      <w:rFonts w:ascii="Verdana" w:eastAsia="Times New Roman" w:hAnsi="Verdana" w:cs="Palatino-Italic"/>
      <w:iCs/>
      <w:spacing w:val="-4"/>
      <w:sz w:val="16"/>
      <w:szCs w:val="16"/>
      <w:lang w:val="es-ES" w:bidi="en-US"/>
    </w:rPr>
  </w:style>
  <w:style w:type="character" w:customStyle="1" w:styleId="Heading2Char">
    <w:name w:val="Heading 2 Char"/>
    <w:basedOn w:val="DefaultParagraphFont"/>
    <w:link w:val="Heading2"/>
    <w:rsid w:val="001908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E4DE7"/>
    <w:rPr>
      <w:rFonts w:asciiTheme="majorHAnsi" w:eastAsiaTheme="majorEastAsia" w:hAnsiTheme="majorHAnsi" w:cstheme="majorBidi"/>
      <w:b/>
      <w:bCs/>
      <w:color w:val="4F81BD" w:themeColor="accent1"/>
    </w:rPr>
  </w:style>
  <w:style w:type="paragraph" w:customStyle="1" w:styleId="Style2">
    <w:name w:val="Style2"/>
    <w:basedOn w:val="Normal"/>
    <w:link w:val="Style2Char"/>
    <w:qFormat/>
    <w:rsid w:val="005E4DE7"/>
    <w:pPr>
      <w:numPr>
        <w:numId w:val="17"/>
      </w:numPr>
      <w:spacing w:after="0" w:line="240" w:lineRule="auto"/>
      <w:jc w:val="both"/>
    </w:pPr>
    <w:rPr>
      <w:rFonts w:ascii="Cambria" w:eastAsia="Arial Unicode MS" w:hAnsi="Cambria" w:cs="Times New Roman"/>
      <w:sz w:val="20"/>
      <w:szCs w:val="20"/>
      <w:bdr w:val="nil"/>
      <w:lang w:val="es-ES"/>
    </w:rPr>
  </w:style>
  <w:style w:type="character" w:customStyle="1" w:styleId="Style2Char">
    <w:name w:val="Style2 Char"/>
    <w:link w:val="Style2"/>
    <w:locked/>
    <w:rsid w:val="005E4DE7"/>
    <w:rPr>
      <w:rFonts w:ascii="Cambria" w:eastAsia="Arial Unicode MS" w:hAnsi="Cambria" w:cs="Times New Roman"/>
      <w:sz w:val="20"/>
      <w:szCs w:val="20"/>
      <w:bdr w:val="nil"/>
      <w:lang w:val="es-ES"/>
    </w:rPr>
  </w:style>
  <w:style w:type="character" w:customStyle="1" w:styleId="apple-converted-space">
    <w:name w:val="apple-converted-space"/>
    <w:basedOn w:val="DefaultParagraphFont"/>
    <w:rsid w:val="005E4DE7"/>
  </w:style>
  <w:style w:type="character" w:customStyle="1" w:styleId="Heading6Char">
    <w:name w:val="Heading 6 Char"/>
    <w:basedOn w:val="DefaultParagraphFont"/>
    <w:link w:val="Heading6"/>
    <w:uiPriority w:val="9"/>
    <w:semiHidden/>
    <w:rsid w:val="00060118"/>
    <w:rPr>
      <w:rFonts w:ascii="Verdana" w:eastAsia="Times New Roman" w:hAnsi="Verdana" w:cs="Times New Roman"/>
      <w:spacing w:val="-2"/>
      <w:sz w:val="20"/>
      <w:szCs w:val="20"/>
      <w:lang w:val="es-ES_tradnl" w:eastAsia="es-CR"/>
    </w:rPr>
  </w:style>
  <w:style w:type="paragraph" w:customStyle="1" w:styleId="Prrafodelista2">
    <w:name w:val="Párrafo de lista2"/>
    <w:basedOn w:val="Normal"/>
    <w:uiPriority w:val="99"/>
    <w:rsid w:val="00060118"/>
    <w:pPr>
      <w:spacing w:after="0" w:line="240" w:lineRule="auto"/>
      <w:ind w:left="720"/>
    </w:pPr>
    <w:rPr>
      <w:rFonts w:ascii="Verdana" w:eastAsia="MS Mincho" w:hAnsi="Verdana" w:cs="Times New Roman"/>
      <w:sz w:val="20"/>
      <w:szCs w:val="20"/>
      <w:lang w:val="es-ES_tradnl" w:bidi="en-US"/>
    </w:rPr>
  </w:style>
  <w:style w:type="character" w:customStyle="1" w:styleId="Heading5Char">
    <w:name w:val="Heading 5 Char"/>
    <w:basedOn w:val="DefaultParagraphFont"/>
    <w:link w:val="Heading5"/>
    <w:uiPriority w:val="9"/>
    <w:semiHidden/>
    <w:rsid w:val="00060118"/>
    <w:rPr>
      <w:rFonts w:asciiTheme="majorHAnsi" w:eastAsiaTheme="majorEastAsia" w:hAnsiTheme="majorHAnsi" w:cstheme="majorBidi"/>
      <w:color w:val="243F60" w:themeColor="accent1" w:themeShade="7F"/>
    </w:rPr>
  </w:style>
  <w:style w:type="paragraph" w:customStyle="1" w:styleId="negritamayuscula">
    <w:name w:val="negrita mayuscula"/>
    <w:basedOn w:val="Normal"/>
    <w:rsid w:val="00EF257F"/>
    <w:pPr>
      <w:widowControl w:val="0"/>
      <w:tabs>
        <w:tab w:val="left" w:pos="1120"/>
      </w:tabs>
      <w:spacing w:after="0" w:line="360" w:lineRule="atLeast"/>
      <w:jc w:val="both"/>
    </w:pPr>
    <w:rPr>
      <w:rFonts w:ascii="Garamond" w:eastAsia="Times New Roman" w:hAnsi="Garamond" w:cs="Times New Roman"/>
      <w:sz w:val="20"/>
      <w:szCs w:val="20"/>
      <w:lang w:val="es-ES_tradnl"/>
    </w:rPr>
  </w:style>
  <w:style w:type="character" w:customStyle="1" w:styleId="FootnoteAnchor">
    <w:name w:val="Footnote Anchor"/>
    <w:rsid w:val="003E67A9"/>
    <w:rPr>
      <w:vertAlign w:val="superscript"/>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semiHidden/>
    <w:locked/>
    <w:rsid w:val="000C6343"/>
    <w:rPr>
      <w:rFonts w:ascii="Arial Unicode MS" w:eastAsia="Arial Unicode MS" w:hAnsi="Arial Unicode MS" w:cs="Arial Unicode MS"/>
      <w:sz w:val="24"/>
      <w:szCs w:val="24"/>
      <w:lang w:val="es-ES" w:eastAsia="es-ES"/>
    </w:rPr>
  </w:style>
  <w:style w:type="paragraph" w:styleId="BodyText">
    <w:name w:val="Body Text"/>
    <w:aliases w:val="Body Text Char Car Car Car Car Car Car Car Car Car Car Car Car Car,Body Text Char Car Car Car Car Car Car Car Car Car Car Car Car"/>
    <w:basedOn w:val="Normal"/>
    <w:link w:val="BodyTextChar"/>
    <w:semiHidden/>
    <w:unhideWhenUsed/>
    <w:rsid w:val="000C6343"/>
    <w:pPr>
      <w:spacing w:after="0" w:line="240" w:lineRule="auto"/>
      <w:jc w:val="both"/>
    </w:pPr>
    <w:rPr>
      <w:rFonts w:ascii="Arial Unicode MS" w:eastAsia="Arial Unicode MS" w:hAnsi="Arial Unicode MS" w:cs="Arial Unicode MS"/>
      <w:sz w:val="24"/>
      <w:szCs w:val="24"/>
      <w:lang w:val="es-ES" w:eastAsia="es-ES"/>
    </w:rPr>
  </w:style>
  <w:style w:type="character" w:customStyle="1" w:styleId="BodyTextChar1">
    <w:name w:val="Body Text Char1"/>
    <w:basedOn w:val="DefaultParagraphFont"/>
    <w:uiPriority w:val="99"/>
    <w:semiHidden/>
    <w:rsid w:val="000C6343"/>
  </w:style>
  <w:style w:type="paragraph" w:customStyle="1" w:styleId="2Footnotes">
    <w:name w:val="2. Footnotes"/>
    <w:basedOn w:val="FootnoteText"/>
    <w:link w:val="2FootnotesChar"/>
    <w:autoRedefine/>
    <w:qFormat/>
    <w:rsid w:val="009C4089"/>
    <w:pPr>
      <w:spacing w:before="120" w:after="120"/>
      <w:jc w:val="both"/>
    </w:pPr>
    <w:rPr>
      <w:rFonts w:ascii="Verdana" w:eastAsia="Times New Roman" w:hAnsi="Verdana" w:cs="Palatino-Italic"/>
      <w:iCs/>
      <w:noProof/>
      <w:sz w:val="16"/>
      <w:szCs w:val="18"/>
      <w:u w:color="000000"/>
      <w:bdr w:val="none" w:sz="0" w:space="0" w:color="auto" w:frame="1"/>
      <w:lang w:val="es-ES"/>
    </w:rPr>
  </w:style>
  <w:style w:type="character" w:customStyle="1" w:styleId="2FootnotesChar">
    <w:name w:val="2. Footnotes Char"/>
    <w:link w:val="2Footnotes"/>
    <w:rsid w:val="00BD14EA"/>
    <w:rPr>
      <w:rFonts w:ascii="Verdana" w:eastAsia="Times New Roman" w:hAnsi="Verdana" w:cs="Palatino-Italic"/>
      <w:iCs/>
      <w:noProof/>
      <w:sz w:val="16"/>
      <w:szCs w:val="18"/>
      <w:u w:color="000000"/>
      <w:bdr w:val="none" w:sz="0" w:space="0" w:color="auto" w:frame="1"/>
      <w:lang w:val="es-ES"/>
    </w:rPr>
  </w:style>
  <w:style w:type="character" w:customStyle="1" w:styleId="apple-style-span">
    <w:name w:val="apple-style-span"/>
    <w:basedOn w:val="DefaultParagraphFont"/>
    <w:qFormat/>
    <w:rsid w:val="007F7E98"/>
  </w:style>
  <w:style w:type="paragraph" w:styleId="BodyText2">
    <w:name w:val="Body Text 2"/>
    <w:basedOn w:val="Normal"/>
    <w:link w:val="BodyText2Char"/>
    <w:rsid w:val="00DB6849"/>
    <w:pPr>
      <w:spacing w:after="120" w:line="480" w:lineRule="auto"/>
    </w:pPr>
    <w:rPr>
      <w:rFonts w:ascii="Times New Roman" w:eastAsia="Times New Roman" w:hAnsi="Times New Roman" w:cs="Times New Roman"/>
      <w:sz w:val="24"/>
      <w:szCs w:val="24"/>
      <w:lang w:val="es-ES" w:eastAsia="es-ES"/>
    </w:rPr>
  </w:style>
  <w:style w:type="character" w:customStyle="1" w:styleId="BodyText2Char">
    <w:name w:val="Body Text 2 Char"/>
    <w:basedOn w:val="DefaultParagraphFont"/>
    <w:link w:val="BodyText2"/>
    <w:rsid w:val="00DB6849"/>
    <w:rPr>
      <w:rFonts w:ascii="Times New Roman" w:eastAsia="Times New Roman" w:hAnsi="Times New Roman" w:cs="Times New Roman"/>
      <w:sz w:val="24"/>
      <w:szCs w:val="24"/>
      <w:lang w:val="es-ES" w:eastAsia="es-ES"/>
    </w:rPr>
  </w:style>
  <w:style w:type="numbering" w:customStyle="1" w:styleId="List0">
    <w:name w:val="List 0"/>
    <w:basedOn w:val="NoList"/>
    <w:rsid w:val="009A717E"/>
    <w:pPr>
      <w:numPr>
        <w:numId w:val="24"/>
      </w:numPr>
    </w:pPr>
  </w:style>
  <w:style w:type="character" w:customStyle="1" w:styleId="FootnoteTextChar3">
    <w:name w:val="Footnote Text Char3"/>
    <w:aliases w:val="Footnote Text Char Char Char Char Char Char3,Footnote Text Char Char Char Char Char4,Footnote reference Char3,FA Fu Char3,Footnote Text Char Char Char Char4,Footnote Text Cha Char3,FA Fußnotentext Char3,FA Fuﬂnotentext Char3,Ca Char3"/>
    <w:basedOn w:val="DefaultParagraphFont"/>
    <w:uiPriority w:val="99"/>
    <w:rsid w:val="003A6DE8"/>
    <w:rPr>
      <w:rFonts w:ascii="Verdana" w:hAnsi="Verdana" w:cs="Verdana"/>
      <w:sz w:val="20"/>
      <w:szCs w:val="20"/>
      <w:lang w:val="es-ES_tradnl"/>
    </w:rPr>
  </w:style>
  <w:style w:type="character" w:customStyle="1" w:styleId="ListParagraphChar1">
    <w:name w:val="List Paragraph Char1"/>
    <w:aliases w:val="Footnote Char1,List Paragraph2 Char1,Lista vistosa - Énfasis 11 Char1"/>
    <w:basedOn w:val="DefaultParagraphFont"/>
    <w:link w:val="ListParagraph"/>
    <w:uiPriority w:val="34"/>
    <w:rsid w:val="003A6DE8"/>
  </w:style>
  <w:style w:type="character" w:styleId="FollowedHyperlink">
    <w:name w:val="FollowedHyperlink"/>
    <w:basedOn w:val="DefaultParagraphFont"/>
    <w:uiPriority w:val="99"/>
    <w:semiHidden/>
    <w:unhideWhenUsed/>
    <w:rsid w:val="00D843A0"/>
    <w:rPr>
      <w:color w:val="800080" w:themeColor="followedHyperlink"/>
      <w:u w:val="single"/>
    </w:rPr>
  </w:style>
  <w:style w:type="character" w:styleId="LineNumber">
    <w:name w:val="line number"/>
    <w:basedOn w:val="DefaultParagraphFont"/>
    <w:uiPriority w:val="99"/>
    <w:semiHidden/>
    <w:unhideWhenUsed/>
    <w:rsid w:val="009E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947">
      <w:bodyDiv w:val="1"/>
      <w:marLeft w:val="0"/>
      <w:marRight w:val="0"/>
      <w:marTop w:val="0"/>
      <w:marBottom w:val="0"/>
      <w:divBdr>
        <w:top w:val="none" w:sz="0" w:space="0" w:color="auto"/>
        <w:left w:val="none" w:sz="0" w:space="0" w:color="auto"/>
        <w:bottom w:val="none" w:sz="0" w:space="0" w:color="auto"/>
        <w:right w:val="none" w:sz="0" w:space="0" w:color="auto"/>
      </w:divBdr>
    </w:div>
    <w:div w:id="18285716">
      <w:bodyDiv w:val="1"/>
      <w:marLeft w:val="0"/>
      <w:marRight w:val="0"/>
      <w:marTop w:val="0"/>
      <w:marBottom w:val="0"/>
      <w:divBdr>
        <w:top w:val="none" w:sz="0" w:space="0" w:color="auto"/>
        <w:left w:val="none" w:sz="0" w:space="0" w:color="auto"/>
        <w:bottom w:val="none" w:sz="0" w:space="0" w:color="auto"/>
        <w:right w:val="none" w:sz="0" w:space="0" w:color="auto"/>
      </w:divBdr>
    </w:div>
    <w:div w:id="67195201">
      <w:bodyDiv w:val="1"/>
      <w:marLeft w:val="0"/>
      <w:marRight w:val="0"/>
      <w:marTop w:val="0"/>
      <w:marBottom w:val="0"/>
      <w:divBdr>
        <w:top w:val="none" w:sz="0" w:space="0" w:color="auto"/>
        <w:left w:val="none" w:sz="0" w:space="0" w:color="auto"/>
        <w:bottom w:val="none" w:sz="0" w:space="0" w:color="auto"/>
        <w:right w:val="none" w:sz="0" w:space="0" w:color="auto"/>
      </w:divBdr>
    </w:div>
    <w:div w:id="81882413">
      <w:bodyDiv w:val="1"/>
      <w:marLeft w:val="0"/>
      <w:marRight w:val="0"/>
      <w:marTop w:val="0"/>
      <w:marBottom w:val="0"/>
      <w:divBdr>
        <w:top w:val="none" w:sz="0" w:space="0" w:color="auto"/>
        <w:left w:val="none" w:sz="0" w:space="0" w:color="auto"/>
        <w:bottom w:val="none" w:sz="0" w:space="0" w:color="auto"/>
        <w:right w:val="none" w:sz="0" w:space="0" w:color="auto"/>
      </w:divBdr>
    </w:div>
    <w:div w:id="120467855">
      <w:bodyDiv w:val="1"/>
      <w:marLeft w:val="0"/>
      <w:marRight w:val="0"/>
      <w:marTop w:val="0"/>
      <w:marBottom w:val="0"/>
      <w:divBdr>
        <w:top w:val="none" w:sz="0" w:space="0" w:color="auto"/>
        <w:left w:val="none" w:sz="0" w:space="0" w:color="auto"/>
        <w:bottom w:val="none" w:sz="0" w:space="0" w:color="auto"/>
        <w:right w:val="none" w:sz="0" w:space="0" w:color="auto"/>
      </w:divBdr>
    </w:div>
    <w:div w:id="155414035">
      <w:bodyDiv w:val="1"/>
      <w:marLeft w:val="0"/>
      <w:marRight w:val="0"/>
      <w:marTop w:val="0"/>
      <w:marBottom w:val="0"/>
      <w:divBdr>
        <w:top w:val="none" w:sz="0" w:space="0" w:color="auto"/>
        <w:left w:val="none" w:sz="0" w:space="0" w:color="auto"/>
        <w:bottom w:val="none" w:sz="0" w:space="0" w:color="auto"/>
        <w:right w:val="none" w:sz="0" w:space="0" w:color="auto"/>
      </w:divBdr>
    </w:div>
    <w:div w:id="166410355">
      <w:bodyDiv w:val="1"/>
      <w:marLeft w:val="0"/>
      <w:marRight w:val="0"/>
      <w:marTop w:val="0"/>
      <w:marBottom w:val="0"/>
      <w:divBdr>
        <w:top w:val="none" w:sz="0" w:space="0" w:color="auto"/>
        <w:left w:val="none" w:sz="0" w:space="0" w:color="auto"/>
        <w:bottom w:val="none" w:sz="0" w:space="0" w:color="auto"/>
        <w:right w:val="none" w:sz="0" w:space="0" w:color="auto"/>
      </w:divBdr>
    </w:div>
    <w:div w:id="173424387">
      <w:bodyDiv w:val="1"/>
      <w:marLeft w:val="0"/>
      <w:marRight w:val="0"/>
      <w:marTop w:val="0"/>
      <w:marBottom w:val="0"/>
      <w:divBdr>
        <w:top w:val="none" w:sz="0" w:space="0" w:color="auto"/>
        <w:left w:val="none" w:sz="0" w:space="0" w:color="auto"/>
        <w:bottom w:val="none" w:sz="0" w:space="0" w:color="auto"/>
        <w:right w:val="none" w:sz="0" w:space="0" w:color="auto"/>
      </w:divBdr>
    </w:div>
    <w:div w:id="189027048">
      <w:bodyDiv w:val="1"/>
      <w:marLeft w:val="0"/>
      <w:marRight w:val="0"/>
      <w:marTop w:val="0"/>
      <w:marBottom w:val="0"/>
      <w:divBdr>
        <w:top w:val="none" w:sz="0" w:space="0" w:color="auto"/>
        <w:left w:val="none" w:sz="0" w:space="0" w:color="auto"/>
        <w:bottom w:val="none" w:sz="0" w:space="0" w:color="auto"/>
        <w:right w:val="none" w:sz="0" w:space="0" w:color="auto"/>
      </w:divBdr>
    </w:div>
    <w:div w:id="201212146">
      <w:bodyDiv w:val="1"/>
      <w:marLeft w:val="0"/>
      <w:marRight w:val="0"/>
      <w:marTop w:val="0"/>
      <w:marBottom w:val="0"/>
      <w:divBdr>
        <w:top w:val="none" w:sz="0" w:space="0" w:color="auto"/>
        <w:left w:val="none" w:sz="0" w:space="0" w:color="auto"/>
        <w:bottom w:val="none" w:sz="0" w:space="0" w:color="auto"/>
        <w:right w:val="none" w:sz="0" w:space="0" w:color="auto"/>
      </w:divBdr>
    </w:div>
    <w:div w:id="201865267">
      <w:bodyDiv w:val="1"/>
      <w:marLeft w:val="0"/>
      <w:marRight w:val="0"/>
      <w:marTop w:val="0"/>
      <w:marBottom w:val="0"/>
      <w:divBdr>
        <w:top w:val="none" w:sz="0" w:space="0" w:color="auto"/>
        <w:left w:val="none" w:sz="0" w:space="0" w:color="auto"/>
        <w:bottom w:val="none" w:sz="0" w:space="0" w:color="auto"/>
        <w:right w:val="none" w:sz="0" w:space="0" w:color="auto"/>
      </w:divBdr>
    </w:div>
    <w:div w:id="303242552">
      <w:bodyDiv w:val="1"/>
      <w:marLeft w:val="0"/>
      <w:marRight w:val="0"/>
      <w:marTop w:val="0"/>
      <w:marBottom w:val="0"/>
      <w:divBdr>
        <w:top w:val="none" w:sz="0" w:space="0" w:color="auto"/>
        <w:left w:val="none" w:sz="0" w:space="0" w:color="auto"/>
        <w:bottom w:val="none" w:sz="0" w:space="0" w:color="auto"/>
        <w:right w:val="none" w:sz="0" w:space="0" w:color="auto"/>
      </w:divBdr>
    </w:div>
    <w:div w:id="311178587">
      <w:bodyDiv w:val="1"/>
      <w:marLeft w:val="0"/>
      <w:marRight w:val="0"/>
      <w:marTop w:val="0"/>
      <w:marBottom w:val="0"/>
      <w:divBdr>
        <w:top w:val="none" w:sz="0" w:space="0" w:color="auto"/>
        <w:left w:val="none" w:sz="0" w:space="0" w:color="auto"/>
        <w:bottom w:val="none" w:sz="0" w:space="0" w:color="auto"/>
        <w:right w:val="none" w:sz="0" w:space="0" w:color="auto"/>
      </w:divBdr>
    </w:div>
    <w:div w:id="334455378">
      <w:bodyDiv w:val="1"/>
      <w:marLeft w:val="0"/>
      <w:marRight w:val="0"/>
      <w:marTop w:val="0"/>
      <w:marBottom w:val="0"/>
      <w:divBdr>
        <w:top w:val="none" w:sz="0" w:space="0" w:color="auto"/>
        <w:left w:val="none" w:sz="0" w:space="0" w:color="auto"/>
        <w:bottom w:val="none" w:sz="0" w:space="0" w:color="auto"/>
        <w:right w:val="none" w:sz="0" w:space="0" w:color="auto"/>
      </w:divBdr>
    </w:div>
    <w:div w:id="335353602">
      <w:bodyDiv w:val="1"/>
      <w:marLeft w:val="0"/>
      <w:marRight w:val="0"/>
      <w:marTop w:val="0"/>
      <w:marBottom w:val="0"/>
      <w:divBdr>
        <w:top w:val="none" w:sz="0" w:space="0" w:color="auto"/>
        <w:left w:val="none" w:sz="0" w:space="0" w:color="auto"/>
        <w:bottom w:val="none" w:sz="0" w:space="0" w:color="auto"/>
        <w:right w:val="none" w:sz="0" w:space="0" w:color="auto"/>
      </w:divBdr>
    </w:div>
    <w:div w:id="352267774">
      <w:bodyDiv w:val="1"/>
      <w:marLeft w:val="0"/>
      <w:marRight w:val="0"/>
      <w:marTop w:val="0"/>
      <w:marBottom w:val="0"/>
      <w:divBdr>
        <w:top w:val="none" w:sz="0" w:space="0" w:color="auto"/>
        <w:left w:val="none" w:sz="0" w:space="0" w:color="auto"/>
        <w:bottom w:val="none" w:sz="0" w:space="0" w:color="auto"/>
        <w:right w:val="none" w:sz="0" w:space="0" w:color="auto"/>
      </w:divBdr>
    </w:div>
    <w:div w:id="370808029">
      <w:bodyDiv w:val="1"/>
      <w:marLeft w:val="0"/>
      <w:marRight w:val="0"/>
      <w:marTop w:val="0"/>
      <w:marBottom w:val="0"/>
      <w:divBdr>
        <w:top w:val="none" w:sz="0" w:space="0" w:color="auto"/>
        <w:left w:val="none" w:sz="0" w:space="0" w:color="auto"/>
        <w:bottom w:val="none" w:sz="0" w:space="0" w:color="auto"/>
        <w:right w:val="none" w:sz="0" w:space="0" w:color="auto"/>
      </w:divBdr>
    </w:div>
    <w:div w:id="391201396">
      <w:bodyDiv w:val="1"/>
      <w:marLeft w:val="0"/>
      <w:marRight w:val="0"/>
      <w:marTop w:val="0"/>
      <w:marBottom w:val="0"/>
      <w:divBdr>
        <w:top w:val="none" w:sz="0" w:space="0" w:color="auto"/>
        <w:left w:val="none" w:sz="0" w:space="0" w:color="auto"/>
        <w:bottom w:val="none" w:sz="0" w:space="0" w:color="auto"/>
        <w:right w:val="none" w:sz="0" w:space="0" w:color="auto"/>
      </w:divBdr>
    </w:div>
    <w:div w:id="434641535">
      <w:bodyDiv w:val="1"/>
      <w:marLeft w:val="0"/>
      <w:marRight w:val="0"/>
      <w:marTop w:val="0"/>
      <w:marBottom w:val="0"/>
      <w:divBdr>
        <w:top w:val="none" w:sz="0" w:space="0" w:color="auto"/>
        <w:left w:val="none" w:sz="0" w:space="0" w:color="auto"/>
        <w:bottom w:val="none" w:sz="0" w:space="0" w:color="auto"/>
        <w:right w:val="none" w:sz="0" w:space="0" w:color="auto"/>
      </w:divBdr>
    </w:div>
    <w:div w:id="439187319">
      <w:bodyDiv w:val="1"/>
      <w:marLeft w:val="0"/>
      <w:marRight w:val="0"/>
      <w:marTop w:val="0"/>
      <w:marBottom w:val="0"/>
      <w:divBdr>
        <w:top w:val="none" w:sz="0" w:space="0" w:color="auto"/>
        <w:left w:val="none" w:sz="0" w:space="0" w:color="auto"/>
        <w:bottom w:val="none" w:sz="0" w:space="0" w:color="auto"/>
        <w:right w:val="none" w:sz="0" w:space="0" w:color="auto"/>
      </w:divBdr>
    </w:div>
    <w:div w:id="456947279">
      <w:bodyDiv w:val="1"/>
      <w:marLeft w:val="0"/>
      <w:marRight w:val="0"/>
      <w:marTop w:val="0"/>
      <w:marBottom w:val="0"/>
      <w:divBdr>
        <w:top w:val="none" w:sz="0" w:space="0" w:color="auto"/>
        <w:left w:val="none" w:sz="0" w:space="0" w:color="auto"/>
        <w:bottom w:val="none" w:sz="0" w:space="0" w:color="auto"/>
        <w:right w:val="none" w:sz="0" w:space="0" w:color="auto"/>
      </w:divBdr>
    </w:div>
    <w:div w:id="495219937">
      <w:bodyDiv w:val="1"/>
      <w:marLeft w:val="0"/>
      <w:marRight w:val="0"/>
      <w:marTop w:val="0"/>
      <w:marBottom w:val="0"/>
      <w:divBdr>
        <w:top w:val="none" w:sz="0" w:space="0" w:color="auto"/>
        <w:left w:val="none" w:sz="0" w:space="0" w:color="auto"/>
        <w:bottom w:val="none" w:sz="0" w:space="0" w:color="auto"/>
        <w:right w:val="none" w:sz="0" w:space="0" w:color="auto"/>
      </w:divBdr>
    </w:div>
    <w:div w:id="575169293">
      <w:bodyDiv w:val="1"/>
      <w:marLeft w:val="0"/>
      <w:marRight w:val="0"/>
      <w:marTop w:val="0"/>
      <w:marBottom w:val="0"/>
      <w:divBdr>
        <w:top w:val="none" w:sz="0" w:space="0" w:color="auto"/>
        <w:left w:val="none" w:sz="0" w:space="0" w:color="auto"/>
        <w:bottom w:val="none" w:sz="0" w:space="0" w:color="auto"/>
        <w:right w:val="none" w:sz="0" w:space="0" w:color="auto"/>
      </w:divBdr>
    </w:div>
    <w:div w:id="578834361">
      <w:bodyDiv w:val="1"/>
      <w:marLeft w:val="0"/>
      <w:marRight w:val="0"/>
      <w:marTop w:val="0"/>
      <w:marBottom w:val="0"/>
      <w:divBdr>
        <w:top w:val="none" w:sz="0" w:space="0" w:color="auto"/>
        <w:left w:val="none" w:sz="0" w:space="0" w:color="auto"/>
        <w:bottom w:val="none" w:sz="0" w:space="0" w:color="auto"/>
        <w:right w:val="none" w:sz="0" w:space="0" w:color="auto"/>
      </w:divBdr>
    </w:div>
    <w:div w:id="597177986">
      <w:bodyDiv w:val="1"/>
      <w:marLeft w:val="0"/>
      <w:marRight w:val="0"/>
      <w:marTop w:val="0"/>
      <w:marBottom w:val="0"/>
      <w:divBdr>
        <w:top w:val="none" w:sz="0" w:space="0" w:color="auto"/>
        <w:left w:val="none" w:sz="0" w:space="0" w:color="auto"/>
        <w:bottom w:val="none" w:sz="0" w:space="0" w:color="auto"/>
        <w:right w:val="none" w:sz="0" w:space="0" w:color="auto"/>
      </w:divBdr>
    </w:div>
    <w:div w:id="660500545">
      <w:bodyDiv w:val="1"/>
      <w:marLeft w:val="0"/>
      <w:marRight w:val="0"/>
      <w:marTop w:val="0"/>
      <w:marBottom w:val="0"/>
      <w:divBdr>
        <w:top w:val="none" w:sz="0" w:space="0" w:color="auto"/>
        <w:left w:val="none" w:sz="0" w:space="0" w:color="auto"/>
        <w:bottom w:val="none" w:sz="0" w:space="0" w:color="auto"/>
        <w:right w:val="none" w:sz="0" w:space="0" w:color="auto"/>
      </w:divBdr>
    </w:div>
    <w:div w:id="675158145">
      <w:bodyDiv w:val="1"/>
      <w:marLeft w:val="0"/>
      <w:marRight w:val="0"/>
      <w:marTop w:val="0"/>
      <w:marBottom w:val="0"/>
      <w:divBdr>
        <w:top w:val="none" w:sz="0" w:space="0" w:color="auto"/>
        <w:left w:val="none" w:sz="0" w:space="0" w:color="auto"/>
        <w:bottom w:val="none" w:sz="0" w:space="0" w:color="auto"/>
        <w:right w:val="none" w:sz="0" w:space="0" w:color="auto"/>
      </w:divBdr>
    </w:div>
    <w:div w:id="695424154">
      <w:bodyDiv w:val="1"/>
      <w:marLeft w:val="0"/>
      <w:marRight w:val="0"/>
      <w:marTop w:val="0"/>
      <w:marBottom w:val="0"/>
      <w:divBdr>
        <w:top w:val="none" w:sz="0" w:space="0" w:color="auto"/>
        <w:left w:val="none" w:sz="0" w:space="0" w:color="auto"/>
        <w:bottom w:val="none" w:sz="0" w:space="0" w:color="auto"/>
        <w:right w:val="none" w:sz="0" w:space="0" w:color="auto"/>
      </w:divBdr>
    </w:div>
    <w:div w:id="696858279">
      <w:bodyDiv w:val="1"/>
      <w:marLeft w:val="0"/>
      <w:marRight w:val="0"/>
      <w:marTop w:val="0"/>
      <w:marBottom w:val="0"/>
      <w:divBdr>
        <w:top w:val="none" w:sz="0" w:space="0" w:color="auto"/>
        <w:left w:val="none" w:sz="0" w:space="0" w:color="auto"/>
        <w:bottom w:val="none" w:sz="0" w:space="0" w:color="auto"/>
        <w:right w:val="none" w:sz="0" w:space="0" w:color="auto"/>
      </w:divBdr>
    </w:div>
    <w:div w:id="697703845">
      <w:bodyDiv w:val="1"/>
      <w:marLeft w:val="0"/>
      <w:marRight w:val="0"/>
      <w:marTop w:val="0"/>
      <w:marBottom w:val="0"/>
      <w:divBdr>
        <w:top w:val="none" w:sz="0" w:space="0" w:color="auto"/>
        <w:left w:val="none" w:sz="0" w:space="0" w:color="auto"/>
        <w:bottom w:val="none" w:sz="0" w:space="0" w:color="auto"/>
        <w:right w:val="none" w:sz="0" w:space="0" w:color="auto"/>
      </w:divBdr>
    </w:div>
    <w:div w:id="802112656">
      <w:bodyDiv w:val="1"/>
      <w:marLeft w:val="0"/>
      <w:marRight w:val="0"/>
      <w:marTop w:val="0"/>
      <w:marBottom w:val="0"/>
      <w:divBdr>
        <w:top w:val="none" w:sz="0" w:space="0" w:color="auto"/>
        <w:left w:val="none" w:sz="0" w:space="0" w:color="auto"/>
        <w:bottom w:val="none" w:sz="0" w:space="0" w:color="auto"/>
        <w:right w:val="none" w:sz="0" w:space="0" w:color="auto"/>
      </w:divBdr>
    </w:div>
    <w:div w:id="810632187">
      <w:bodyDiv w:val="1"/>
      <w:marLeft w:val="0"/>
      <w:marRight w:val="0"/>
      <w:marTop w:val="0"/>
      <w:marBottom w:val="0"/>
      <w:divBdr>
        <w:top w:val="none" w:sz="0" w:space="0" w:color="auto"/>
        <w:left w:val="none" w:sz="0" w:space="0" w:color="auto"/>
        <w:bottom w:val="none" w:sz="0" w:space="0" w:color="auto"/>
        <w:right w:val="none" w:sz="0" w:space="0" w:color="auto"/>
      </w:divBdr>
    </w:div>
    <w:div w:id="848763494">
      <w:bodyDiv w:val="1"/>
      <w:marLeft w:val="0"/>
      <w:marRight w:val="0"/>
      <w:marTop w:val="0"/>
      <w:marBottom w:val="0"/>
      <w:divBdr>
        <w:top w:val="none" w:sz="0" w:space="0" w:color="auto"/>
        <w:left w:val="none" w:sz="0" w:space="0" w:color="auto"/>
        <w:bottom w:val="none" w:sz="0" w:space="0" w:color="auto"/>
        <w:right w:val="none" w:sz="0" w:space="0" w:color="auto"/>
      </w:divBdr>
    </w:div>
    <w:div w:id="858929003">
      <w:bodyDiv w:val="1"/>
      <w:marLeft w:val="0"/>
      <w:marRight w:val="0"/>
      <w:marTop w:val="0"/>
      <w:marBottom w:val="0"/>
      <w:divBdr>
        <w:top w:val="none" w:sz="0" w:space="0" w:color="auto"/>
        <w:left w:val="none" w:sz="0" w:space="0" w:color="auto"/>
        <w:bottom w:val="none" w:sz="0" w:space="0" w:color="auto"/>
        <w:right w:val="none" w:sz="0" w:space="0" w:color="auto"/>
      </w:divBdr>
    </w:div>
    <w:div w:id="899906873">
      <w:bodyDiv w:val="1"/>
      <w:marLeft w:val="0"/>
      <w:marRight w:val="0"/>
      <w:marTop w:val="0"/>
      <w:marBottom w:val="0"/>
      <w:divBdr>
        <w:top w:val="none" w:sz="0" w:space="0" w:color="auto"/>
        <w:left w:val="none" w:sz="0" w:space="0" w:color="auto"/>
        <w:bottom w:val="none" w:sz="0" w:space="0" w:color="auto"/>
        <w:right w:val="none" w:sz="0" w:space="0" w:color="auto"/>
      </w:divBdr>
    </w:div>
    <w:div w:id="940988458">
      <w:bodyDiv w:val="1"/>
      <w:marLeft w:val="0"/>
      <w:marRight w:val="0"/>
      <w:marTop w:val="0"/>
      <w:marBottom w:val="0"/>
      <w:divBdr>
        <w:top w:val="none" w:sz="0" w:space="0" w:color="auto"/>
        <w:left w:val="none" w:sz="0" w:space="0" w:color="auto"/>
        <w:bottom w:val="none" w:sz="0" w:space="0" w:color="auto"/>
        <w:right w:val="none" w:sz="0" w:space="0" w:color="auto"/>
      </w:divBdr>
    </w:div>
    <w:div w:id="964579561">
      <w:bodyDiv w:val="1"/>
      <w:marLeft w:val="0"/>
      <w:marRight w:val="0"/>
      <w:marTop w:val="0"/>
      <w:marBottom w:val="0"/>
      <w:divBdr>
        <w:top w:val="none" w:sz="0" w:space="0" w:color="auto"/>
        <w:left w:val="none" w:sz="0" w:space="0" w:color="auto"/>
        <w:bottom w:val="none" w:sz="0" w:space="0" w:color="auto"/>
        <w:right w:val="none" w:sz="0" w:space="0" w:color="auto"/>
      </w:divBdr>
    </w:div>
    <w:div w:id="1048723446">
      <w:bodyDiv w:val="1"/>
      <w:marLeft w:val="0"/>
      <w:marRight w:val="0"/>
      <w:marTop w:val="0"/>
      <w:marBottom w:val="0"/>
      <w:divBdr>
        <w:top w:val="none" w:sz="0" w:space="0" w:color="auto"/>
        <w:left w:val="none" w:sz="0" w:space="0" w:color="auto"/>
        <w:bottom w:val="none" w:sz="0" w:space="0" w:color="auto"/>
        <w:right w:val="none" w:sz="0" w:space="0" w:color="auto"/>
      </w:divBdr>
    </w:div>
    <w:div w:id="1086654040">
      <w:bodyDiv w:val="1"/>
      <w:marLeft w:val="0"/>
      <w:marRight w:val="0"/>
      <w:marTop w:val="0"/>
      <w:marBottom w:val="0"/>
      <w:divBdr>
        <w:top w:val="none" w:sz="0" w:space="0" w:color="auto"/>
        <w:left w:val="none" w:sz="0" w:space="0" w:color="auto"/>
        <w:bottom w:val="none" w:sz="0" w:space="0" w:color="auto"/>
        <w:right w:val="none" w:sz="0" w:space="0" w:color="auto"/>
      </w:divBdr>
    </w:div>
    <w:div w:id="1140658684">
      <w:bodyDiv w:val="1"/>
      <w:marLeft w:val="0"/>
      <w:marRight w:val="0"/>
      <w:marTop w:val="0"/>
      <w:marBottom w:val="0"/>
      <w:divBdr>
        <w:top w:val="none" w:sz="0" w:space="0" w:color="auto"/>
        <w:left w:val="none" w:sz="0" w:space="0" w:color="auto"/>
        <w:bottom w:val="none" w:sz="0" w:space="0" w:color="auto"/>
        <w:right w:val="none" w:sz="0" w:space="0" w:color="auto"/>
      </w:divBdr>
    </w:div>
    <w:div w:id="1152407694">
      <w:bodyDiv w:val="1"/>
      <w:marLeft w:val="0"/>
      <w:marRight w:val="0"/>
      <w:marTop w:val="0"/>
      <w:marBottom w:val="0"/>
      <w:divBdr>
        <w:top w:val="none" w:sz="0" w:space="0" w:color="auto"/>
        <w:left w:val="none" w:sz="0" w:space="0" w:color="auto"/>
        <w:bottom w:val="none" w:sz="0" w:space="0" w:color="auto"/>
        <w:right w:val="none" w:sz="0" w:space="0" w:color="auto"/>
      </w:divBdr>
    </w:div>
    <w:div w:id="1205559531">
      <w:bodyDiv w:val="1"/>
      <w:marLeft w:val="0"/>
      <w:marRight w:val="0"/>
      <w:marTop w:val="0"/>
      <w:marBottom w:val="0"/>
      <w:divBdr>
        <w:top w:val="none" w:sz="0" w:space="0" w:color="auto"/>
        <w:left w:val="none" w:sz="0" w:space="0" w:color="auto"/>
        <w:bottom w:val="none" w:sz="0" w:space="0" w:color="auto"/>
        <w:right w:val="none" w:sz="0" w:space="0" w:color="auto"/>
      </w:divBdr>
    </w:div>
    <w:div w:id="1253204506">
      <w:bodyDiv w:val="1"/>
      <w:marLeft w:val="0"/>
      <w:marRight w:val="0"/>
      <w:marTop w:val="0"/>
      <w:marBottom w:val="0"/>
      <w:divBdr>
        <w:top w:val="none" w:sz="0" w:space="0" w:color="auto"/>
        <w:left w:val="none" w:sz="0" w:space="0" w:color="auto"/>
        <w:bottom w:val="none" w:sz="0" w:space="0" w:color="auto"/>
        <w:right w:val="none" w:sz="0" w:space="0" w:color="auto"/>
      </w:divBdr>
    </w:div>
    <w:div w:id="1339236471">
      <w:bodyDiv w:val="1"/>
      <w:marLeft w:val="0"/>
      <w:marRight w:val="0"/>
      <w:marTop w:val="0"/>
      <w:marBottom w:val="0"/>
      <w:divBdr>
        <w:top w:val="none" w:sz="0" w:space="0" w:color="auto"/>
        <w:left w:val="none" w:sz="0" w:space="0" w:color="auto"/>
        <w:bottom w:val="none" w:sz="0" w:space="0" w:color="auto"/>
        <w:right w:val="none" w:sz="0" w:space="0" w:color="auto"/>
      </w:divBdr>
    </w:div>
    <w:div w:id="1395011056">
      <w:bodyDiv w:val="1"/>
      <w:marLeft w:val="0"/>
      <w:marRight w:val="0"/>
      <w:marTop w:val="0"/>
      <w:marBottom w:val="0"/>
      <w:divBdr>
        <w:top w:val="none" w:sz="0" w:space="0" w:color="auto"/>
        <w:left w:val="none" w:sz="0" w:space="0" w:color="auto"/>
        <w:bottom w:val="none" w:sz="0" w:space="0" w:color="auto"/>
        <w:right w:val="none" w:sz="0" w:space="0" w:color="auto"/>
      </w:divBdr>
    </w:div>
    <w:div w:id="1406491106">
      <w:bodyDiv w:val="1"/>
      <w:marLeft w:val="0"/>
      <w:marRight w:val="0"/>
      <w:marTop w:val="0"/>
      <w:marBottom w:val="0"/>
      <w:divBdr>
        <w:top w:val="none" w:sz="0" w:space="0" w:color="auto"/>
        <w:left w:val="none" w:sz="0" w:space="0" w:color="auto"/>
        <w:bottom w:val="none" w:sz="0" w:space="0" w:color="auto"/>
        <w:right w:val="none" w:sz="0" w:space="0" w:color="auto"/>
      </w:divBdr>
    </w:div>
    <w:div w:id="1467890396">
      <w:bodyDiv w:val="1"/>
      <w:marLeft w:val="0"/>
      <w:marRight w:val="0"/>
      <w:marTop w:val="0"/>
      <w:marBottom w:val="0"/>
      <w:divBdr>
        <w:top w:val="none" w:sz="0" w:space="0" w:color="auto"/>
        <w:left w:val="none" w:sz="0" w:space="0" w:color="auto"/>
        <w:bottom w:val="none" w:sz="0" w:space="0" w:color="auto"/>
        <w:right w:val="none" w:sz="0" w:space="0" w:color="auto"/>
      </w:divBdr>
    </w:div>
    <w:div w:id="1496384166">
      <w:bodyDiv w:val="1"/>
      <w:marLeft w:val="0"/>
      <w:marRight w:val="0"/>
      <w:marTop w:val="0"/>
      <w:marBottom w:val="0"/>
      <w:divBdr>
        <w:top w:val="none" w:sz="0" w:space="0" w:color="auto"/>
        <w:left w:val="none" w:sz="0" w:space="0" w:color="auto"/>
        <w:bottom w:val="none" w:sz="0" w:space="0" w:color="auto"/>
        <w:right w:val="none" w:sz="0" w:space="0" w:color="auto"/>
      </w:divBdr>
    </w:div>
    <w:div w:id="1551989362">
      <w:bodyDiv w:val="1"/>
      <w:marLeft w:val="0"/>
      <w:marRight w:val="0"/>
      <w:marTop w:val="0"/>
      <w:marBottom w:val="0"/>
      <w:divBdr>
        <w:top w:val="none" w:sz="0" w:space="0" w:color="auto"/>
        <w:left w:val="none" w:sz="0" w:space="0" w:color="auto"/>
        <w:bottom w:val="none" w:sz="0" w:space="0" w:color="auto"/>
        <w:right w:val="none" w:sz="0" w:space="0" w:color="auto"/>
      </w:divBdr>
    </w:div>
    <w:div w:id="1562521651">
      <w:bodyDiv w:val="1"/>
      <w:marLeft w:val="0"/>
      <w:marRight w:val="0"/>
      <w:marTop w:val="0"/>
      <w:marBottom w:val="0"/>
      <w:divBdr>
        <w:top w:val="none" w:sz="0" w:space="0" w:color="auto"/>
        <w:left w:val="none" w:sz="0" w:space="0" w:color="auto"/>
        <w:bottom w:val="none" w:sz="0" w:space="0" w:color="auto"/>
        <w:right w:val="none" w:sz="0" w:space="0" w:color="auto"/>
      </w:divBdr>
    </w:div>
    <w:div w:id="1579896875">
      <w:bodyDiv w:val="1"/>
      <w:marLeft w:val="0"/>
      <w:marRight w:val="0"/>
      <w:marTop w:val="0"/>
      <w:marBottom w:val="0"/>
      <w:divBdr>
        <w:top w:val="none" w:sz="0" w:space="0" w:color="auto"/>
        <w:left w:val="none" w:sz="0" w:space="0" w:color="auto"/>
        <w:bottom w:val="none" w:sz="0" w:space="0" w:color="auto"/>
        <w:right w:val="none" w:sz="0" w:space="0" w:color="auto"/>
      </w:divBdr>
    </w:div>
    <w:div w:id="1582372172">
      <w:bodyDiv w:val="1"/>
      <w:marLeft w:val="0"/>
      <w:marRight w:val="0"/>
      <w:marTop w:val="0"/>
      <w:marBottom w:val="0"/>
      <w:divBdr>
        <w:top w:val="none" w:sz="0" w:space="0" w:color="auto"/>
        <w:left w:val="none" w:sz="0" w:space="0" w:color="auto"/>
        <w:bottom w:val="none" w:sz="0" w:space="0" w:color="auto"/>
        <w:right w:val="none" w:sz="0" w:space="0" w:color="auto"/>
      </w:divBdr>
    </w:div>
    <w:div w:id="1613896886">
      <w:bodyDiv w:val="1"/>
      <w:marLeft w:val="0"/>
      <w:marRight w:val="0"/>
      <w:marTop w:val="0"/>
      <w:marBottom w:val="0"/>
      <w:divBdr>
        <w:top w:val="none" w:sz="0" w:space="0" w:color="auto"/>
        <w:left w:val="none" w:sz="0" w:space="0" w:color="auto"/>
        <w:bottom w:val="none" w:sz="0" w:space="0" w:color="auto"/>
        <w:right w:val="none" w:sz="0" w:space="0" w:color="auto"/>
      </w:divBdr>
    </w:div>
    <w:div w:id="1727801952">
      <w:bodyDiv w:val="1"/>
      <w:marLeft w:val="0"/>
      <w:marRight w:val="0"/>
      <w:marTop w:val="0"/>
      <w:marBottom w:val="0"/>
      <w:divBdr>
        <w:top w:val="none" w:sz="0" w:space="0" w:color="auto"/>
        <w:left w:val="none" w:sz="0" w:space="0" w:color="auto"/>
        <w:bottom w:val="none" w:sz="0" w:space="0" w:color="auto"/>
        <w:right w:val="none" w:sz="0" w:space="0" w:color="auto"/>
      </w:divBdr>
    </w:div>
    <w:div w:id="1736316427">
      <w:bodyDiv w:val="1"/>
      <w:marLeft w:val="0"/>
      <w:marRight w:val="0"/>
      <w:marTop w:val="0"/>
      <w:marBottom w:val="0"/>
      <w:divBdr>
        <w:top w:val="none" w:sz="0" w:space="0" w:color="auto"/>
        <w:left w:val="none" w:sz="0" w:space="0" w:color="auto"/>
        <w:bottom w:val="none" w:sz="0" w:space="0" w:color="auto"/>
        <w:right w:val="none" w:sz="0" w:space="0" w:color="auto"/>
      </w:divBdr>
    </w:div>
    <w:div w:id="1763840329">
      <w:bodyDiv w:val="1"/>
      <w:marLeft w:val="0"/>
      <w:marRight w:val="0"/>
      <w:marTop w:val="0"/>
      <w:marBottom w:val="0"/>
      <w:divBdr>
        <w:top w:val="none" w:sz="0" w:space="0" w:color="auto"/>
        <w:left w:val="none" w:sz="0" w:space="0" w:color="auto"/>
        <w:bottom w:val="none" w:sz="0" w:space="0" w:color="auto"/>
        <w:right w:val="none" w:sz="0" w:space="0" w:color="auto"/>
      </w:divBdr>
    </w:div>
    <w:div w:id="1865823520">
      <w:bodyDiv w:val="1"/>
      <w:marLeft w:val="0"/>
      <w:marRight w:val="0"/>
      <w:marTop w:val="0"/>
      <w:marBottom w:val="0"/>
      <w:divBdr>
        <w:top w:val="none" w:sz="0" w:space="0" w:color="auto"/>
        <w:left w:val="none" w:sz="0" w:space="0" w:color="auto"/>
        <w:bottom w:val="none" w:sz="0" w:space="0" w:color="auto"/>
        <w:right w:val="none" w:sz="0" w:space="0" w:color="auto"/>
      </w:divBdr>
    </w:div>
    <w:div w:id="1910456940">
      <w:bodyDiv w:val="1"/>
      <w:marLeft w:val="0"/>
      <w:marRight w:val="0"/>
      <w:marTop w:val="0"/>
      <w:marBottom w:val="0"/>
      <w:divBdr>
        <w:top w:val="none" w:sz="0" w:space="0" w:color="auto"/>
        <w:left w:val="none" w:sz="0" w:space="0" w:color="auto"/>
        <w:bottom w:val="none" w:sz="0" w:space="0" w:color="auto"/>
        <w:right w:val="none" w:sz="0" w:space="0" w:color="auto"/>
      </w:divBdr>
    </w:div>
    <w:div w:id="1992177619">
      <w:bodyDiv w:val="1"/>
      <w:marLeft w:val="0"/>
      <w:marRight w:val="0"/>
      <w:marTop w:val="0"/>
      <w:marBottom w:val="0"/>
      <w:divBdr>
        <w:top w:val="none" w:sz="0" w:space="0" w:color="auto"/>
        <w:left w:val="none" w:sz="0" w:space="0" w:color="auto"/>
        <w:bottom w:val="none" w:sz="0" w:space="0" w:color="auto"/>
        <w:right w:val="none" w:sz="0" w:space="0" w:color="auto"/>
      </w:divBdr>
    </w:div>
    <w:div w:id="2002195799">
      <w:bodyDiv w:val="1"/>
      <w:marLeft w:val="0"/>
      <w:marRight w:val="0"/>
      <w:marTop w:val="0"/>
      <w:marBottom w:val="0"/>
      <w:divBdr>
        <w:top w:val="none" w:sz="0" w:space="0" w:color="auto"/>
        <w:left w:val="none" w:sz="0" w:space="0" w:color="auto"/>
        <w:bottom w:val="none" w:sz="0" w:space="0" w:color="auto"/>
        <w:right w:val="none" w:sz="0" w:space="0" w:color="auto"/>
      </w:divBdr>
    </w:div>
    <w:div w:id="2057045132">
      <w:bodyDiv w:val="1"/>
      <w:marLeft w:val="0"/>
      <w:marRight w:val="0"/>
      <w:marTop w:val="0"/>
      <w:marBottom w:val="0"/>
      <w:divBdr>
        <w:top w:val="none" w:sz="0" w:space="0" w:color="auto"/>
        <w:left w:val="none" w:sz="0" w:space="0" w:color="auto"/>
        <w:bottom w:val="none" w:sz="0" w:space="0" w:color="auto"/>
        <w:right w:val="none" w:sz="0" w:space="0" w:color="auto"/>
      </w:divBdr>
    </w:div>
    <w:div w:id="2058240084">
      <w:bodyDiv w:val="1"/>
      <w:marLeft w:val="0"/>
      <w:marRight w:val="0"/>
      <w:marTop w:val="0"/>
      <w:marBottom w:val="0"/>
      <w:divBdr>
        <w:top w:val="none" w:sz="0" w:space="0" w:color="auto"/>
        <w:left w:val="none" w:sz="0" w:space="0" w:color="auto"/>
        <w:bottom w:val="none" w:sz="0" w:space="0" w:color="auto"/>
        <w:right w:val="none" w:sz="0" w:space="0" w:color="auto"/>
      </w:divBdr>
    </w:div>
    <w:div w:id="20773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centrodememoriahistorica.gov.co/descargas/informes2010/informe_la_rochela.pdf" TargetMode="External"/><Relationship Id="rId13" Type="http://schemas.openxmlformats.org/officeDocument/2006/relationships/hyperlink" Target="http://www.hchr.org.co/documentoseinformes/documentos/html/informes/onu/rest/E-CN-4-1995-111.html" TargetMode="External"/><Relationship Id="rId3" Type="http://schemas.openxmlformats.org/officeDocument/2006/relationships/hyperlink" Target="http://www.corteidh.or.cr/docs/asuntos/isaza_fv_17.pdf" TargetMode="External"/><Relationship Id="rId7" Type="http://schemas.openxmlformats.org/officeDocument/2006/relationships/hyperlink" Target="http://www.centrodememoriahistorica.gov.co/somos-cnmh/que-es-el-centro-nacional-de-memoria-historica" TargetMode="External"/><Relationship Id="rId12" Type="http://schemas.openxmlformats.org/officeDocument/2006/relationships/hyperlink" Target="http://www.cidh.org/countryrep/Colombia93sp/cap.8.htm" TargetMode="External"/><Relationship Id="rId2" Type="http://schemas.openxmlformats.org/officeDocument/2006/relationships/hyperlink" Target="https://www.oas.org/es/cidh/decisiones/corte/2016/10737fondoes.pdf" TargetMode="External"/><Relationship Id="rId1" Type="http://schemas.openxmlformats.org/officeDocument/2006/relationships/hyperlink" Target="https://www.oas.org/es/cidh/decisiones/2011/COAD10737ES.doc" TargetMode="External"/><Relationship Id="rId6" Type="http://schemas.openxmlformats.org/officeDocument/2006/relationships/hyperlink" Target="https://vimeo.com/album/4957913" TargetMode="External"/><Relationship Id="rId11" Type="http://schemas.openxmlformats.org/officeDocument/2006/relationships/hyperlink" Target="http://www.ilo.org/dyn/normlex/es/f?p=NORMLEXPUB:50002:0::NO::P50002_COMPLAINT_TEXT_ID:2901664" TargetMode="External"/><Relationship Id="rId5" Type="http://schemas.openxmlformats.org/officeDocument/2006/relationships/hyperlink" Target="http://www.corteidh.or.cr/docs/asuntos/isaza_16_01_18.pdf" TargetMode="External"/><Relationship Id="rId10" Type="http://schemas.openxmlformats.org/officeDocument/2006/relationships/hyperlink" Target="http://www.puertonare-antioquia.gov.co/informacion_general.shtml" TargetMode="External"/><Relationship Id="rId4" Type="http://schemas.openxmlformats.org/officeDocument/2006/relationships/hyperlink" Target="http://www.corteidh.or.cr/docs/asuntos/isaza_13_12_17.pdf" TargetMode="External"/><Relationship Id="rId9" Type="http://schemas.openxmlformats.org/officeDocument/2006/relationships/hyperlink" Target="https://www.semana.com/nacion/articulo/con-sus-propias-manos/76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A9AD-6580-449B-8B04-2E6032FC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25940</Words>
  <Characters>147864</Characters>
  <Application>Microsoft Office Word</Application>
  <DocSecurity>0</DocSecurity>
  <Lines>1232</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3</cp:revision>
  <cp:lastPrinted>2018-12-19T23:25:00Z</cp:lastPrinted>
  <dcterms:created xsi:type="dcterms:W3CDTF">2018-12-19T23:19:00Z</dcterms:created>
  <dcterms:modified xsi:type="dcterms:W3CDTF">2018-12-19T23:31:00Z</dcterms:modified>
</cp:coreProperties>
</file>