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2F" w:rsidRDefault="00AC4D2F" w:rsidP="00AA55A3">
      <w:pPr>
        <w:pStyle w:val="Title"/>
        <w:spacing w:before="120"/>
        <w:ind w:left="-142" w:right="-138"/>
        <w:rPr>
          <w:rFonts w:eastAsia="MS Mincho"/>
        </w:rPr>
      </w:pPr>
    </w:p>
    <w:p w:rsidR="00AC4D2F" w:rsidRDefault="00AC4D2F" w:rsidP="00AC4D2F">
      <w:pPr>
        <w:pStyle w:val="Title"/>
        <w:ind w:left="-142" w:right="-138"/>
        <w:rPr>
          <w:rFonts w:eastAsia="MS Mincho"/>
        </w:rPr>
      </w:pPr>
    </w:p>
    <w:p w:rsidR="00DC4D22" w:rsidRDefault="00DC4D22" w:rsidP="00AC4D2F">
      <w:pPr>
        <w:pStyle w:val="Title"/>
        <w:ind w:left="-142" w:right="-138"/>
        <w:rPr>
          <w:rFonts w:eastAsia="MS Mincho"/>
        </w:rPr>
      </w:pPr>
    </w:p>
    <w:p w:rsidR="00DC4D22" w:rsidRDefault="00DC4D22" w:rsidP="00AC4D2F">
      <w:pPr>
        <w:pStyle w:val="Title"/>
        <w:ind w:left="-142" w:right="-138"/>
        <w:rPr>
          <w:rFonts w:eastAsia="MS Mincho"/>
        </w:rPr>
      </w:pPr>
    </w:p>
    <w:p w:rsidR="00AC4D2F" w:rsidRPr="00897CBE" w:rsidRDefault="00AC4D2F" w:rsidP="00AC4D2F">
      <w:pPr>
        <w:pStyle w:val="Title"/>
        <w:ind w:left="-142" w:right="-138"/>
        <w:rPr>
          <w:rFonts w:eastAsia="MS Mincho"/>
        </w:rPr>
      </w:pPr>
      <w:r w:rsidRPr="00897CBE">
        <w:rPr>
          <w:rFonts w:eastAsia="MS Mincho"/>
        </w:rPr>
        <w:t>CORTE INTERAMERICANA DE DERECHOS HUMANOS</w:t>
      </w:r>
    </w:p>
    <w:p w:rsidR="00AC4D2F" w:rsidRDefault="00AC4D2F" w:rsidP="00AC4D2F">
      <w:pPr>
        <w:pStyle w:val="Title"/>
        <w:ind w:left="-142" w:right="-138"/>
        <w:rPr>
          <w:rFonts w:eastAsia="MS Mincho"/>
        </w:rPr>
      </w:pPr>
    </w:p>
    <w:p w:rsidR="00AC4D2F" w:rsidRPr="00897CBE" w:rsidRDefault="00AC4D2F" w:rsidP="00AC4D2F">
      <w:pPr>
        <w:pStyle w:val="Title"/>
        <w:ind w:left="-142" w:right="-138"/>
        <w:rPr>
          <w:rFonts w:eastAsia="MS Mincho"/>
        </w:rPr>
      </w:pPr>
    </w:p>
    <w:p w:rsidR="00AC4D2F" w:rsidRPr="00897CBE" w:rsidRDefault="009530F3" w:rsidP="00AC4D2F">
      <w:pPr>
        <w:pStyle w:val="Title"/>
        <w:ind w:left="-142" w:right="-138"/>
        <w:rPr>
          <w:rFonts w:eastAsia="MS Mincho"/>
          <w:sz w:val="16"/>
        </w:rPr>
      </w:pPr>
      <w:r>
        <w:rPr>
          <w:rFonts w:eastAsia="MS Mincho"/>
          <w:i/>
        </w:rPr>
        <w:t xml:space="preserve">CASO </w:t>
      </w:r>
      <w:r w:rsidR="005203B9">
        <w:rPr>
          <w:rFonts w:eastAsia="MS Mincho"/>
          <w:i/>
        </w:rPr>
        <w:t>VEREDA LA ESPERANZA</w:t>
      </w:r>
      <w:r w:rsidR="00AC4D2F">
        <w:rPr>
          <w:rFonts w:eastAsia="MS Mincho"/>
          <w:i/>
        </w:rPr>
        <w:t xml:space="preserve"> </w:t>
      </w:r>
      <w:r w:rsidR="00AC4D2F" w:rsidRPr="00897CBE">
        <w:rPr>
          <w:rFonts w:eastAsia="MS Mincho"/>
          <w:i/>
        </w:rPr>
        <w:t xml:space="preserve">VS. </w:t>
      </w:r>
      <w:r w:rsidR="00AC4D2F">
        <w:rPr>
          <w:rFonts w:eastAsia="MS Mincho"/>
          <w:i/>
        </w:rPr>
        <w:t>COLOMBIA</w:t>
      </w:r>
    </w:p>
    <w:p w:rsidR="00AC4D2F" w:rsidRPr="00897CBE" w:rsidRDefault="00AC4D2F" w:rsidP="00AC4D2F">
      <w:pPr>
        <w:pStyle w:val="Title"/>
        <w:ind w:left="-142" w:right="-138"/>
        <w:rPr>
          <w:rFonts w:eastAsia="MS Mincho"/>
          <w:sz w:val="16"/>
        </w:rPr>
      </w:pPr>
    </w:p>
    <w:p w:rsidR="009530F3" w:rsidRPr="00476A84" w:rsidRDefault="009530F3" w:rsidP="00AC4D2F">
      <w:pPr>
        <w:pStyle w:val="Title"/>
        <w:ind w:left="-142" w:right="-138"/>
        <w:jc w:val="left"/>
        <w:rPr>
          <w:rFonts w:eastAsia="MS Mincho"/>
          <w:sz w:val="16"/>
        </w:rPr>
      </w:pPr>
    </w:p>
    <w:p w:rsidR="00AC4D2F" w:rsidRPr="00476A84" w:rsidRDefault="008661ED" w:rsidP="00AC4D2F">
      <w:pPr>
        <w:pStyle w:val="Title"/>
        <w:ind w:left="-142" w:right="-138"/>
        <w:jc w:val="left"/>
        <w:rPr>
          <w:rFonts w:eastAsia="MS Mincho"/>
          <w:sz w:val="16"/>
        </w:rPr>
      </w:pPr>
      <w:r w:rsidRPr="00476A84">
        <w:rPr>
          <w:rFonts w:eastAsia="MS Mincho"/>
          <w:sz w:val="16"/>
        </w:rPr>
        <w:t xml:space="preserve"> </w:t>
      </w:r>
    </w:p>
    <w:p w:rsidR="00AC4D2F" w:rsidRPr="00476A84" w:rsidRDefault="00AC4D2F" w:rsidP="00AC4D2F">
      <w:pPr>
        <w:pStyle w:val="Title"/>
        <w:ind w:left="-142" w:right="-138"/>
        <w:rPr>
          <w:rFonts w:eastAsia="MS Mincho"/>
        </w:rPr>
      </w:pPr>
      <w:r w:rsidRPr="00476A84">
        <w:rPr>
          <w:rFonts w:eastAsia="MS Mincho"/>
        </w:rPr>
        <w:t xml:space="preserve">SENTENCIA DE </w:t>
      </w:r>
      <w:r w:rsidR="00580D64">
        <w:rPr>
          <w:rFonts w:eastAsia="MS Mincho"/>
        </w:rPr>
        <w:t>21</w:t>
      </w:r>
      <w:r w:rsidRPr="00476A84">
        <w:rPr>
          <w:rFonts w:eastAsia="MS Mincho"/>
        </w:rPr>
        <w:t xml:space="preserve"> DE </w:t>
      </w:r>
      <w:r w:rsidR="004200EB">
        <w:rPr>
          <w:rFonts w:eastAsia="MS Mincho"/>
        </w:rPr>
        <w:t xml:space="preserve">NOVIEMBRE </w:t>
      </w:r>
      <w:r w:rsidRPr="00476A84">
        <w:rPr>
          <w:rFonts w:eastAsia="MS Mincho"/>
        </w:rPr>
        <w:t xml:space="preserve">DE </w:t>
      </w:r>
      <w:r w:rsidR="005203B9">
        <w:rPr>
          <w:rFonts w:eastAsia="MS Mincho"/>
        </w:rPr>
        <w:t>2018</w:t>
      </w:r>
    </w:p>
    <w:p w:rsidR="00AC4D2F" w:rsidRPr="00897CBE" w:rsidRDefault="00AC4D2F" w:rsidP="00AC4D2F">
      <w:pPr>
        <w:pStyle w:val="Subtitle"/>
        <w:ind w:left="-142" w:right="-138"/>
      </w:pPr>
      <w:r w:rsidRPr="00897CBE">
        <w:t>(</w:t>
      </w:r>
      <w:r w:rsidR="00032D02" w:rsidRPr="00032D02">
        <w:t xml:space="preserve">Interpretación de la Sentencia de </w:t>
      </w:r>
      <w:r w:rsidR="005203B9">
        <w:t>Excepción</w:t>
      </w:r>
      <w:r w:rsidRPr="00063E53">
        <w:t xml:space="preserve"> Preliminar,</w:t>
      </w:r>
      <w:r>
        <w:t xml:space="preserve"> </w:t>
      </w:r>
      <w:r w:rsidRPr="00897CBE">
        <w:t>Fondo, Reparaciones y Costas)</w:t>
      </w:r>
    </w:p>
    <w:p w:rsidR="00AC4D2F" w:rsidRPr="00897CBE" w:rsidRDefault="00AC4D2F" w:rsidP="00AC4D2F">
      <w:pPr>
        <w:ind w:left="-142" w:right="-138"/>
        <w:rPr>
          <w:szCs w:val="20"/>
        </w:rPr>
      </w:pPr>
    </w:p>
    <w:p w:rsidR="00AC4D2F" w:rsidRPr="00897CBE" w:rsidRDefault="00AC4D2F" w:rsidP="00AC4D2F">
      <w:pPr>
        <w:ind w:left="-142" w:right="-138"/>
        <w:rPr>
          <w:szCs w:val="20"/>
        </w:rPr>
      </w:pPr>
    </w:p>
    <w:p w:rsidR="00AC4D2F" w:rsidRPr="00897CBE" w:rsidRDefault="00AC4D2F" w:rsidP="00AC4D2F">
      <w:pPr>
        <w:ind w:left="-142" w:right="-138"/>
        <w:rPr>
          <w:szCs w:val="20"/>
        </w:rPr>
      </w:pPr>
    </w:p>
    <w:p w:rsidR="00AC4D2F" w:rsidRPr="00897CBE" w:rsidRDefault="00AC4D2F" w:rsidP="00AC4D2F">
      <w:pPr>
        <w:rPr>
          <w:szCs w:val="20"/>
        </w:rPr>
      </w:pPr>
      <w:r w:rsidRPr="00897CBE">
        <w:rPr>
          <w:szCs w:val="20"/>
        </w:rPr>
        <w:t xml:space="preserve">En el </w:t>
      </w:r>
      <w:r w:rsidRPr="00897CBE">
        <w:rPr>
          <w:i/>
          <w:szCs w:val="20"/>
        </w:rPr>
        <w:t>Caso</w:t>
      </w:r>
      <w:r w:rsidRPr="00897CBE">
        <w:rPr>
          <w:szCs w:val="20"/>
        </w:rPr>
        <w:t xml:space="preserve"> </w:t>
      </w:r>
      <w:r w:rsidR="005203B9">
        <w:rPr>
          <w:i/>
          <w:szCs w:val="20"/>
        </w:rPr>
        <w:t>Vereda La Esperanza Vs. Colombia</w:t>
      </w:r>
      <w:r w:rsidRPr="00897CBE">
        <w:rPr>
          <w:i/>
          <w:szCs w:val="20"/>
        </w:rPr>
        <w:t>,</w:t>
      </w:r>
    </w:p>
    <w:p w:rsidR="00AC4D2F" w:rsidRPr="00897CBE" w:rsidRDefault="00AC4D2F" w:rsidP="00AC4D2F">
      <w:pPr>
        <w:ind w:left="-142" w:right="-138"/>
        <w:rPr>
          <w:szCs w:val="20"/>
        </w:rPr>
      </w:pPr>
    </w:p>
    <w:p w:rsidR="00AC4D2F" w:rsidRPr="00897CBE" w:rsidRDefault="00AC4D2F" w:rsidP="00AC4D2F">
      <w:pPr>
        <w:ind w:right="-138"/>
      </w:pPr>
      <w:proofErr w:type="gramStart"/>
      <w:r w:rsidRPr="00897CBE">
        <w:t>la</w:t>
      </w:r>
      <w:proofErr w:type="gramEnd"/>
      <w:r w:rsidRPr="00897CBE">
        <w:t xml:space="preserve"> Corte Interamericana de Derechos Humanos (en adelante “la Corte Interamericana”, “la Corte” o “el Tribunal”), integrada por los siguientes Jueces</w:t>
      </w:r>
      <w:r w:rsidR="00CA5111">
        <w:rPr>
          <w:rStyle w:val="FootnoteReference"/>
        </w:rPr>
        <w:footnoteReference w:id="1"/>
      </w:r>
      <w:r w:rsidRPr="00897CBE">
        <w:t>:</w:t>
      </w:r>
    </w:p>
    <w:p w:rsidR="00AC4D2F" w:rsidRPr="00897CBE" w:rsidRDefault="00AC4D2F" w:rsidP="00AC4D2F">
      <w:pPr>
        <w:ind w:right="-138"/>
        <w:rPr>
          <w:sz w:val="16"/>
        </w:rPr>
      </w:pPr>
    </w:p>
    <w:p w:rsidR="00AC4D2F" w:rsidRPr="00DA2012" w:rsidRDefault="005203B9" w:rsidP="00AC4D2F">
      <w:pPr>
        <w:pStyle w:val="citaindirecta"/>
        <w:ind w:right="-138"/>
        <w:rPr>
          <w:lang w:val="pt-BR"/>
        </w:rPr>
      </w:pPr>
      <w:r w:rsidRPr="00DA2012">
        <w:rPr>
          <w:lang w:val="pt-BR"/>
        </w:rPr>
        <w:t>Eduardo Ferrer Mac-Gregor Poisot</w:t>
      </w:r>
      <w:r w:rsidR="00AC4D2F" w:rsidRPr="00DA2012">
        <w:rPr>
          <w:lang w:val="pt-BR"/>
        </w:rPr>
        <w:t xml:space="preserve">, Presidente; </w:t>
      </w:r>
    </w:p>
    <w:p w:rsidR="00B70E76" w:rsidRPr="00897CBE" w:rsidRDefault="005203B9" w:rsidP="00B70E76">
      <w:pPr>
        <w:ind w:left="708" w:right="-138"/>
      </w:pPr>
      <w:r w:rsidRPr="00897CBE">
        <w:t>Eduardo Vio Grossi</w:t>
      </w:r>
      <w:r w:rsidR="00B70E76" w:rsidRPr="00897CBE">
        <w:t xml:space="preserve">, </w:t>
      </w:r>
      <w:r w:rsidR="00B70E76">
        <w:t>Vicepresidente;</w:t>
      </w:r>
    </w:p>
    <w:p w:rsidR="00AC4D2F" w:rsidRPr="00897CBE" w:rsidRDefault="00AC5E07" w:rsidP="00AC4D2F">
      <w:pPr>
        <w:pStyle w:val="citaindirecta"/>
        <w:ind w:right="-138"/>
      </w:pPr>
      <w:r>
        <w:t>Elizabeth Odio Benito</w:t>
      </w:r>
      <w:r w:rsidR="00AC4D2F" w:rsidRPr="00897CBE">
        <w:t>, Juez;</w:t>
      </w:r>
    </w:p>
    <w:p w:rsidR="00AC4D2F" w:rsidRPr="00897CBE" w:rsidRDefault="00AC5E07" w:rsidP="00AC4D2F">
      <w:pPr>
        <w:pStyle w:val="citaindirecta"/>
        <w:ind w:right="-138"/>
      </w:pPr>
      <w:r>
        <w:t xml:space="preserve">Eugenio Raúl </w:t>
      </w:r>
      <w:proofErr w:type="spellStart"/>
      <w:r>
        <w:t>Zaffaroni</w:t>
      </w:r>
      <w:proofErr w:type="spellEnd"/>
      <w:r w:rsidR="00B70E76">
        <w:t>, Juez, y</w:t>
      </w:r>
      <w:r w:rsidR="00AC4D2F" w:rsidRPr="00897CBE">
        <w:t xml:space="preserve"> </w:t>
      </w:r>
    </w:p>
    <w:p w:rsidR="00AC4D2F" w:rsidRPr="00897CBE" w:rsidRDefault="00AC5E07" w:rsidP="00AC4D2F">
      <w:pPr>
        <w:pStyle w:val="citaindirecta"/>
        <w:ind w:right="-138"/>
      </w:pPr>
      <w:r>
        <w:t>Patricio Pazmiño Freire</w:t>
      </w:r>
      <w:r w:rsidR="00AC4D2F" w:rsidRPr="00897CBE">
        <w:t xml:space="preserve">, Juez </w:t>
      </w:r>
    </w:p>
    <w:p w:rsidR="00AC4D2F" w:rsidRPr="00897CBE" w:rsidRDefault="00AC4D2F" w:rsidP="00AC4D2F">
      <w:pPr>
        <w:ind w:right="-138"/>
      </w:pPr>
    </w:p>
    <w:p w:rsidR="00AC4D2F" w:rsidRPr="00897CBE" w:rsidRDefault="00AC4D2F" w:rsidP="00AC4D2F">
      <w:pPr>
        <w:ind w:right="-138"/>
      </w:pPr>
      <w:proofErr w:type="gramStart"/>
      <w:r w:rsidRPr="00897CBE">
        <w:t>presentes</w:t>
      </w:r>
      <w:proofErr w:type="gramEnd"/>
      <w:r w:rsidRPr="00897CBE">
        <w:t>, además,</w:t>
      </w:r>
    </w:p>
    <w:p w:rsidR="00AC4D2F" w:rsidRPr="00897CBE" w:rsidRDefault="00AC4D2F" w:rsidP="00AC4D2F">
      <w:pPr>
        <w:ind w:right="-138"/>
      </w:pPr>
    </w:p>
    <w:p w:rsidR="00AC4D2F" w:rsidRPr="00897CBE" w:rsidRDefault="00AC4D2F" w:rsidP="00AC4D2F">
      <w:pPr>
        <w:ind w:firstLine="708"/>
      </w:pPr>
      <w:r w:rsidRPr="00897CBE">
        <w:t>Pablo Saavedra Alessandri, Secretario, y</w:t>
      </w:r>
    </w:p>
    <w:p w:rsidR="00AC4D2F" w:rsidRPr="00897CBE" w:rsidRDefault="00AC4D2F" w:rsidP="00AC4D2F">
      <w:pPr>
        <w:ind w:left="708" w:right="-138"/>
      </w:pPr>
      <w:r w:rsidRPr="00897CBE">
        <w:t>Emilia Segares Rodríguez, Secretaria Adjunta,</w:t>
      </w:r>
    </w:p>
    <w:p w:rsidR="00AC4D2F" w:rsidRPr="00897CBE" w:rsidRDefault="00AC4D2F" w:rsidP="00AC4D2F">
      <w:pPr>
        <w:ind w:right="-138"/>
      </w:pPr>
    </w:p>
    <w:p w:rsidR="00AC4D2F" w:rsidRDefault="00AC4D2F" w:rsidP="00AC4D2F">
      <w:pPr>
        <w:ind w:right="-138"/>
      </w:pPr>
    </w:p>
    <w:p w:rsidR="00032D02" w:rsidRDefault="00032D02" w:rsidP="00032D02">
      <w:pPr>
        <w:ind w:right="-138"/>
        <w:rPr>
          <w:rFonts w:cs="Verdana"/>
          <w:spacing w:val="-2"/>
          <w:szCs w:val="20"/>
          <w:lang w:val="es-ES_tradnl"/>
        </w:rPr>
      </w:pPr>
      <w:r w:rsidRPr="000866D1">
        <w:rPr>
          <w:rFonts w:cs="Verdana"/>
          <w:spacing w:val="-2"/>
          <w:szCs w:val="20"/>
          <w:lang w:val="es-ES_tradnl"/>
        </w:rPr>
        <w:t>de conformidad con el artículo 67 de la Convención Americana sobre Derechos Humanos (en adelante también “la Convención Americana” o “la Convención”) y el artículo 68 del Reglamento de la Corte (en adelante “el Reglamento”), resuelve la</w:t>
      </w:r>
      <w:r w:rsidR="00E80643">
        <w:rPr>
          <w:rFonts w:cs="Verdana"/>
          <w:spacing w:val="-2"/>
          <w:szCs w:val="20"/>
          <w:lang w:val="es-ES_tradnl"/>
        </w:rPr>
        <w:t>s</w:t>
      </w:r>
      <w:r w:rsidRPr="000866D1">
        <w:rPr>
          <w:rFonts w:cs="Verdana"/>
          <w:spacing w:val="-2"/>
          <w:szCs w:val="20"/>
          <w:lang w:val="es-ES_tradnl"/>
        </w:rPr>
        <w:t xml:space="preserve"> solicitud</w:t>
      </w:r>
      <w:r w:rsidR="00E80643">
        <w:rPr>
          <w:rFonts w:cs="Verdana"/>
          <w:spacing w:val="-2"/>
          <w:szCs w:val="20"/>
          <w:lang w:val="es-ES_tradnl"/>
        </w:rPr>
        <w:t>es</w:t>
      </w:r>
      <w:r w:rsidRPr="000866D1">
        <w:rPr>
          <w:rFonts w:cs="Verdana"/>
          <w:spacing w:val="-2"/>
          <w:szCs w:val="20"/>
          <w:lang w:val="es-ES_tradnl"/>
        </w:rPr>
        <w:t xml:space="preserve"> de interpretación de la Sentencia </w:t>
      </w:r>
      <w:r w:rsidR="0086660F">
        <w:rPr>
          <w:rFonts w:cs="Verdana"/>
          <w:spacing w:val="-2"/>
          <w:szCs w:val="20"/>
          <w:lang w:val="es-ES_tradnl"/>
        </w:rPr>
        <w:t>sobre</w:t>
      </w:r>
      <w:r w:rsidR="0086660F" w:rsidRPr="000866D1">
        <w:rPr>
          <w:rFonts w:cs="Verdana"/>
          <w:spacing w:val="-2"/>
          <w:szCs w:val="20"/>
          <w:lang w:val="es-ES_tradnl"/>
        </w:rPr>
        <w:t xml:space="preserve"> </w:t>
      </w:r>
      <w:r w:rsidRPr="000866D1">
        <w:rPr>
          <w:rFonts w:cs="Verdana"/>
          <w:spacing w:val="-2"/>
          <w:szCs w:val="20"/>
          <w:lang w:val="es-ES_tradnl"/>
        </w:rPr>
        <w:t xml:space="preserve">excepción preliminar, fondo, reparaciones y costas emitida por este Tribunal </w:t>
      </w:r>
      <w:r>
        <w:rPr>
          <w:rFonts w:cs="Verdana"/>
          <w:spacing w:val="-2"/>
          <w:szCs w:val="20"/>
          <w:lang w:val="es-ES_tradnl"/>
        </w:rPr>
        <w:t xml:space="preserve">el </w:t>
      </w:r>
      <w:r w:rsidR="00E80643">
        <w:rPr>
          <w:rFonts w:cs="Verdana"/>
          <w:spacing w:val="-2"/>
          <w:szCs w:val="20"/>
          <w:lang w:val="es-ES_tradnl"/>
        </w:rPr>
        <w:t>31</w:t>
      </w:r>
      <w:r>
        <w:rPr>
          <w:rFonts w:cs="Verdana"/>
          <w:spacing w:val="-2"/>
          <w:szCs w:val="20"/>
          <w:lang w:val="es-ES_tradnl"/>
        </w:rPr>
        <w:t xml:space="preserve"> de </w:t>
      </w:r>
      <w:r w:rsidR="00E80643">
        <w:rPr>
          <w:rFonts w:cs="Verdana"/>
          <w:spacing w:val="-2"/>
          <w:szCs w:val="20"/>
          <w:lang w:val="es-ES_tradnl"/>
        </w:rPr>
        <w:t>agosto de 2017</w:t>
      </w:r>
      <w:r>
        <w:rPr>
          <w:rFonts w:cs="Verdana"/>
          <w:spacing w:val="-2"/>
          <w:szCs w:val="20"/>
          <w:lang w:val="es-ES_tradnl"/>
        </w:rPr>
        <w:t xml:space="preserve"> </w:t>
      </w:r>
      <w:r w:rsidRPr="000866D1">
        <w:rPr>
          <w:rFonts w:cs="Verdana"/>
          <w:spacing w:val="-2"/>
          <w:szCs w:val="20"/>
          <w:lang w:val="es-ES_tradnl"/>
        </w:rPr>
        <w:t xml:space="preserve">en el presente caso (en adelante también “la Sentencia”), </w:t>
      </w:r>
      <w:r w:rsidRPr="00A351FB">
        <w:rPr>
          <w:rFonts w:cs="Verdana"/>
          <w:spacing w:val="-2"/>
          <w:szCs w:val="20"/>
          <w:lang w:val="es-ES_tradnl"/>
        </w:rPr>
        <w:t>interpuesta</w:t>
      </w:r>
      <w:r w:rsidR="00E80643">
        <w:rPr>
          <w:rFonts w:cs="Verdana"/>
          <w:spacing w:val="-2"/>
          <w:szCs w:val="20"/>
          <w:lang w:val="es-ES_tradnl"/>
        </w:rPr>
        <w:t>s</w:t>
      </w:r>
      <w:r w:rsidRPr="00A351FB">
        <w:rPr>
          <w:rFonts w:cs="Verdana"/>
          <w:spacing w:val="-2"/>
          <w:szCs w:val="20"/>
          <w:lang w:val="es-ES_tradnl"/>
        </w:rPr>
        <w:t xml:space="preserve"> </w:t>
      </w:r>
      <w:r w:rsidR="0086660F">
        <w:rPr>
          <w:rFonts w:cs="Verdana"/>
          <w:spacing w:val="-2"/>
          <w:szCs w:val="20"/>
          <w:lang w:val="es-ES_tradnl"/>
        </w:rPr>
        <w:t>los días</w:t>
      </w:r>
      <w:r w:rsidRPr="00A351FB">
        <w:rPr>
          <w:rFonts w:cs="Verdana"/>
          <w:spacing w:val="-2"/>
          <w:szCs w:val="20"/>
          <w:lang w:val="es-ES_tradnl"/>
        </w:rPr>
        <w:t xml:space="preserve"> </w:t>
      </w:r>
      <w:r w:rsidR="00E80643">
        <w:rPr>
          <w:rFonts w:cs="Verdana"/>
          <w:spacing w:val="-2"/>
          <w:szCs w:val="20"/>
          <w:lang w:val="es-ES_tradnl"/>
        </w:rPr>
        <w:t>26 y 27 de febrero de 2018, respectivamente, por los representantes de las víctimas (en adelante “los representantes”) y</w:t>
      </w:r>
      <w:r w:rsidRPr="000866D1">
        <w:rPr>
          <w:rFonts w:cs="Verdana"/>
          <w:spacing w:val="-2"/>
          <w:szCs w:val="20"/>
          <w:lang w:val="es-ES_tradnl"/>
        </w:rPr>
        <w:t xml:space="preserve"> el </w:t>
      </w:r>
      <w:r w:rsidRPr="000866D1">
        <w:rPr>
          <w:rFonts w:eastAsia="Times"/>
          <w:bCs/>
          <w:spacing w:val="-2"/>
          <w:szCs w:val="20"/>
          <w:lang w:val="es-ES_tradnl"/>
        </w:rPr>
        <w:t>Estado de</w:t>
      </w:r>
      <w:r>
        <w:rPr>
          <w:rFonts w:eastAsia="Times"/>
          <w:bCs/>
          <w:spacing w:val="-2"/>
          <w:szCs w:val="20"/>
          <w:lang w:val="es-ES_tradnl"/>
        </w:rPr>
        <w:t xml:space="preserve"> Colombia </w:t>
      </w:r>
      <w:r w:rsidRPr="000866D1">
        <w:rPr>
          <w:spacing w:val="-2"/>
          <w:szCs w:val="20"/>
          <w:lang w:val="es-ES_tradnl"/>
        </w:rPr>
        <w:t>(en adelante “</w:t>
      </w:r>
      <w:r>
        <w:rPr>
          <w:spacing w:val="-2"/>
          <w:szCs w:val="20"/>
          <w:lang w:val="es-ES_tradnl"/>
        </w:rPr>
        <w:t>Colombia</w:t>
      </w:r>
      <w:r w:rsidRPr="000866D1">
        <w:rPr>
          <w:spacing w:val="-2"/>
          <w:szCs w:val="20"/>
          <w:lang w:val="es-ES_tradnl"/>
        </w:rPr>
        <w:t>” o “el Estado”)</w:t>
      </w:r>
      <w:r w:rsidRPr="000866D1">
        <w:rPr>
          <w:rFonts w:cs="Verdana"/>
          <w:spacing w:val="-2"/>
          <w:szCs w:val="20"/>
          <w:lang w:val="es-ES_tradnl"/>
        </w:rPr>
        <w:t>.</w:t>
      </w:r>
    </w:p>
    <w:p w:rsidR="00AC4D2F" w:rsidRDefault="00032D02" w:rsidP="00032D02">
      <w:pPr>
        <w:ind w:right="-138"/>
      </w:pPr>
      <w:r>
        <w:rPr>
          <w:rFonts w:cs="Verdana"/>
          <w:spacing w:val="-2"/>
          <w:szCs w:val="20"/>
          <w:lang w:val="es-ES_tradnl"/>
        </w:rPr>
        <w:t xml:space="preserve"> </w:t>
      </w:r>
      <w:r w:rsidR="00AC4D2F" w:rsidRPr="0001175E">
        <w:rPr>
          <w:b/>
        </w:rPr>
        <w:br w:type="page"/>
      </w:r>
      <w:r w:rsidRPr="00897CBE">
        <w:lastRenderedPageBreak/>
        <w:t xml:space="preserve"> </w:t>
      </w:r>
    </w:p>
    <w:p w:rsidR="00200285" w:rsidRPr="00897CBE" w:rsidRDefault="00200285" w:rsidP="00032D02">
      <w:pPr>
        <w:ind w:right="-138"/>
      </w:pPr>
    </w:p>
    <w:p w:rsidR="00032D02" w:rsidRPr="00032D02" w:rsidRDefault="00032D02" w:rsidP="00032D02">
      <w:pPr>
        <w:keepNext/>
        <w:tabs>
          <w:tab w:val="left" w:pos="567"/>
        </w:tabs>
        <w:jc w:val="center"/>
        <w:outlineLvl w:val="1"/>
        <w:rPr>
          <w:rFonts w:eastAsia="Times New Roman" w:cs="Verdana"/>
          <w:b/>
          <w:bCs/>
          <w:iCs/>
          <w:caps/>
          <w:snapToGrid w:val="0"/>
          <w:spacing w:val="-2"/>
          <w:szCs w:val="20"/>
          <w:lang w:val="es-ES_tradnl" w:eastAsia="es-ES"/>
        </w:rPr>
      </w:pPr>
      <w:r w:rsidRPr="00032D02">
        <w:rPr>
          <w:rFonts w:eastAsia="Times New Roman" w:cs="Verdana"/>
          <w:b/>
          <w:bCs/>
          <w:iCs/>
          <w:caps/>
          <w:snapToGrid w:val="0"/>
          <w:spacing w:val="-2"/>
          <w:szCs w:val="20"/>
          <w:lang w:val="es-ES_tradnl" w:eastAsia="es-ES"/>
        </w:rPr>
        <w:t>I</w:t>
      </w:r>
    </w:p>
    <w:p w:rsidR="00032D02" w:rsidRPr="00032D02" w:rsidRDefault="00032D02" w:rsidP="00032D02">
      <w:pPr>
        <w:keepNext/>
        <w:tabs>
          <w:tab w:val="left" w:pos="567"/>
        </w:tabs>
        <w:spacing w:after="360"/>
        <w:jc w:val="center"/>
        <w:outlineLvl w:val="1"/>
        <w:rPr>
          <w:rFonts w:eastAsia="Times New Roman" w:cs="Verdana"/>
          <w:b/>
          <w:bCs/>
          <w:iCs/>
          <w:caps/>
          <w:snapToGrid w:val="0"/>
          <w:spacing w:val="-2"/>
          <w:szCs w:val="20"/>
          <w:lang w:val="es-ES_tradnl" w:eastAsia="es-ES"/>
        </w:rPr>
      </w:pPr>
      <w:r w:rsidRPr="00032D02">
        <w:rPr>
          <w:rFonts w:eastAsia="Times New Roman" w:cs="Verdana"/>
          <w:b/>
          <w:bCs/>
          <w:iCs/>
          <w:caps/>
          <w:snapToGrid w:val="0"/>
          <w:spacing w:val="-2"/>
          <w:szCs w:val="20"/>
          <w:lang w:val="es-ES_tradnl" w:eastAsia="es-ES"/>
        </w:rPr>
        <w:t>SOLICITUD</w:t>
      </w:r>
      <w:r w:rsidR="006D77EE">
        <w:rPr>
          <w:rFonts w:eastAsia="Times New Roman" w:cs="Verdana"/>
          <w:b/>
          <w:bCs/>
          <w:iCs/>
          <w:caps/>
          <w:snapToGrid w:val="0"/>
          <w:spacing w:val="-2"/>
          <w:szCs w:val="20"/>
          <w:lang w:val="es-ES_tradnl" w:eastAsia="es-ES"/>
        </w:rPr>
        <w:t>es</w:t>
      </w:r>
      <w:r w:rsidRPr="00032D02">
        <w:rPr>
          <w:rFonts w:eastAsia="Times New Roman" w:cs="Verdana"/>
          <w:b/>
          <w:bCs/>
          <w:iCs/>
          <w:caps/>
          <w:snapToGrid w:val="0"/>
          <w:spacing w:val="-2"/>
          <w:szCs w:val="20"/>
          <w:lang w:val="es-ES_tradnl" w:eastAsia="es-ES"/>
        </w:rPr>
        <w:t xml:space="preserve"> DE INTERPRETACIÓN</w:t>
      </w:r>
      <w:r>
        <w:rPr>
          <w:rFonts w:eastAsia="Times New Roman" w:cs="Verdana"/>
          <w:b/>
          <w:bCs/>
          <w:iCs/>
          <w:caps/>
          <w:snapToGrid w:val="0"/>
          <w:spacing w:val="-2"/>
          <w:szCs w:val="20"/>
          <w:lang w:val="es-ES_tradnl" w:eastAsia="es-ES"/>
        </w:rPr>
        <w:t xml:space="preserve"> </w:t>
      </w:r>
      <w:r>
        <w:rPr>
          <w:rFonts w:eastAsia="Times New Roman" w:cs="Verdana"/>
          <w:b/>
          <w:bCs/>
          <w:iCs/>
          <w:caps/>
          <w:snapToGrid w:val="0"/>
          <w:spacing w:val="-2"/>
          <w:szCs w:val="20"/>
          <w:lang w:val="es-ES_tradnl" w:eastAsia="es-ES"/>
        </w:rPr>
        <w:br/>
        <w:t>Y PROCEDIMIENTO ANTE LA cORTE</w:t>
      </w:r>
    </w:p>
    <w:p w:rsidR="000C17DE" w:rsidRPr="005D3C5C" w:rsidRDefault="00C20E8D" w:rsidP="00C20E8D">
      <w:pPr>
        <w:numPr>
          <w:ilvl w:val="0"/>
          <w:numId w:val="16"/>
        </w:numPr>
        <w:spacing w:before="120" w:after="120"/>
        <w:ind w:left="0" w:firstLine="0"/>
        <w:rPr>
          <w:rFonts w:eastAsia="Times New Roman" w:cs="Times New Roman"/>
          <w:color w:val="000000"/>
          <w:szCs w:val="20"/>
          <w:lang w:val="es-CL" w:eastAsia="es-CL"/>
        </w:rPr>
      </w:pPr>
      <w:r w:rsidRPr="005D3C5C">
        <w:rPr>
          <w:rFonts w:cs="Verdana"/>
          <w:spacing w:val="-2"/>
          <w:szCs w:val="20"/>
          <w:lang w:val="es-ES_tradnl"/>
        </w:rPr>
        <w:t xml:space="preserve">El </w:t>
      </w:r>
      <w:r w:rsidR="00F250E4">
        <w:rPr>
          <w:rFonts w:cs="Verdana"/>
          <w:spacing w:val="-2"/>
          <w:szCs w:val="20"/>
          <w:lang w:val="es-ES_tradnl"/>
        </w:rPr>
        <w:t>31</w:t>
      </w:r>
      <w:r w:rsidRPr="005D3C5C">
        <w:rPr>
          <w:rFonts w:cs="Verdana"/>
          <w:spacing w:val="-2"/>
          <w:szCs w:val="20"/>
          <w:lang w:val="es-ES_tradnl"/>
        </w:rPr>
        <w:t xml:space="preserve"> de </w:t>
      </w:r>
      <w:r w:rsidR="00F250E4">
        <w:rPr>
          <w:rFonts w:cs="Verdana"/>
          <w:spacing w:val="-2"/>
          <w:szCs w:val="20"/>
          <w:lang w:val="es-ES_tradnl"/>
        </w:rPr>
        <w:t>agosto de 2017</w:t>
      </w:r>
      <w:r w:rsidRPr="005D3C5C">
        <w:rPr>
          <w:rFonts w:cs="Verdana"/>
          <w:spacing w:val="-2"/>
          <w:szCs w:val="20"/>
          <w:lang w:val="es-ES_tradnl"/>
        </w:rPr>
        <w:t xml:space="preserve"> </w:t>
      </w:r>
      <w:r w:rsidRPr="005D3C5C">
        <w:rPr>
          <w:rFonts w:eastAsia="Times"/>
          <w:spacing w:val="-2"/>
          <w:szCs w:val="20"/>
          <w:lang w:val="es-ES_tradnl"/>
        </w:rPr>
        <w:t>la Corte emitió la Sentencia</w:t>
      </w:r>
      <w:r w:rsidR="005761FF">
        <w:rPr>
          <w:rFonts w:eastAsia="Times"/>
          <w:spacing w:val="-2"/>
          <w:szCs w:val="20"/>
          <w:lang w:val="es-ES_tradnl"/>
        </w:rPr>
        <w:t xml:space="preserve"> en el presente caso</w:t>
      </w:r>
      <w:r w:rsidRPr="005D3C5C">
        <w:rPr>
          <w:rFonts w:eastAsia="Times"/>
          <w:spacing w:val="-2"/>
          <w:szCs w:val="20"/>
          <w:lang w:val="es-ES_tradnl"/>
        </w:rPr>
        <w:t xml:space="preserve">, la cual fue notificada a las partes y a la </w:t>
      </w:r>
      <w:r w:rsidRPr="005D3C5C">
        <w:rPr>
          <w:rFonts w:eastAsia="Times New Roman" w:cs="Times New Roman"/>
          <w:color w:val="000000"/>
          <w:szCs w:val="20"/>
          <w:lang w:val="es-CL" w:eastAsia="es-CL"/>
        </w:rPr>
        <w:t>Comisión</w:t>
      </w:r>
      <w:r w:rsidRPr="005D3C5C">
        <w:rPr>
          <w:rFonts w:eastAsia="Times"/>
          <w:spacing w:val="-2"/>
          <w:szCs w:val="20"/>
          <w:lang w:val="es-ES_tradnl"/>
        </w:rPr>
        <w:t xml:space="preserve"> Interamericana de </w:t>
      </w:r>
      <w:r w:rsidRPr="005D3C5C">
        <w:rPr>
          <w:rFonts w:cs="Verdana"/>
          <w:spacing w:val="-2"/>
          <w:szCs w:val="20"/>
          <w:lang w:val="es-ES_tradnl"/>
        </w:rPr>
        <w:t xml:space="preserve">Derechos Humanos (en adelante “la Comisión Interamericana” o “la Comisión”) </w:t>
      </w:r>
      <w:r w:rsidRPr="005D3C5C">
        <w:rPr>
          <w:rFonts w:eastAsia="Times"/>
          <w:spacing w:val="-2"/>
          <w:szCs w:val="20"/>
          <w:lang w:val="es-ES_tradnl"/>
        </w:rPr>
        <w:t xml:space="preserve">el </w:t>
      </w:r>
      <w:r w:rsidR="00F250E4">
        <w:rPr>
          <w:rFonts w:eastAsia="Times"/>
          <w:spacing w:val="-2"/>
          <w:szCs w:val="20"/>
          <w:lang w:val="es-ES_tradnl"/>
        </w:rPr>
        <w:t>30</w:t>
      </w:r>
      <w:r w:rsidRPr="005D3C5C">
        <w:rPr>
          <w:rFonts w:eastAsia="Times"/>
          <w:spacing w:val="-2"/>
          <w:szCs w:val="20"/>
          <w:lang w:val="es-ES_tradnl"/>
        </w:rPr>
        <w:t xml:space="preserve"> de </w:t>
      </w:r>
      <w:r w:rsidR="00F250E4">
        <w:rPr>
          <w:rFonts w:eastAsia="Times"/>
          <w:spacing w:val="-2"/>
          <w:szCs w:val="20"/>
          <w:lang w:val="es-ES_tradnl"/>
        </w:rPr>
        <w:t>noviembre</w:t>
      </w:r>
      <w:r w:rsidRPr="005D3C5C">
        <w:rPr>
          <w:rFonts w:eastAsia="Times"/>
          <w:spacing w:val="-2"/>
          <w:szCs w:val="20"/>
          <w:lang w:val="es-ES_tradnl"/>
        </w:rPr>
        <w:t xml:space="preserve"> del mismo año.</w:t>
      </w:r>
    </w:p>
    <w:p w:rsidR="00C20E8D" w:rsidRPr="00EA22D3" w:rsidRDefault="00C20E8D" w:rsidP="00781C53">
      <w:pPr>
        <w:numPr>
          <w:ilvl w:val="0"/>
          <w:numId w:val="16"/>
        </w:numPr>
        <w:spacing w:before="120" w:after="120"/>
        <w:ind w:left="0" w:firstLine="0"/>
        <w:rPr>
          <w:rFonts w:eastAsia="Times New Roman" w:cs="Times New Roman"/>
          <w:color w:val="000000"/>
          <w:szCs w:val="20"/>
          <w:lang w:val="es-CL" w:eastAsia="es-CL"/>
        </w:rPr>
      </w:pPr>
      <w:bookmarkStart w:id="0" w:name="_Ref395083029"/>
      <w:bookmarkStart w:id="1" w:name="_Ref403060836"/>
      <w:bookmarkStart w:id="2" w:name="_Ref363085373"/>
      <w:r w:rsidRPr="00EA22D3">
        <w:rPr>
          <w:rFonts w:cs="Verdana"/>
          <w:spacing w:val="-2"/>
          <w:szCs w:val="20"/>
          <w:lang w:val="es-ES_tradnl"/>
        </w:rPr>
        <w:t xml:space="preserve">El </w:t>
      </w:r>
      <w:r w:rsidR="00F250E4" w:rsidRPr="00EA22D3">
        <w:rPr>
          <w:rFonts w:cs="Verdana"/>
          <w:spacing w:val="-2"/>
          <w:szCs w:val="20"/>
          <w:lang w:val="es-ES_tradnl"/>
        </w:rPr>
        <w:t>26</w:t>
      </w:r>
      <w:r w:rsidRPr="00EA22D3">
        <w:rPr>
          <w:rFonts w:cs="Verdana"/>
          <w:spacing w:val="-2"/>
          <w:szCs w:val="20"/>
          <w:lang w:val="es-ES_tradnl"/>
        </w:rPr>
        <w:t xml:space="preserve"> de </w:t>
      </w:r>
      <w:r w:rsidR="00F250E4" w:rsidRPr="00EA22D3">
        <w:rPr>
          <w:rFonts w:cs="Verdana"/>
          <w:spacing w:val="-2"/>
          <w:szCs w:val="20"/>
          <w:lang w:val="es-ES_tradnl"/>
        </w:rPr>
        <w:t>febrero de 2018,</w:t>
      </w:r>
      <w:bookmarkStart w:id="3" w:name="_Ref403060837"/>
      <w:bookmarkEnd w:id="0"/>
      <w:bookmarkEnd w:id="1"/>
      <w:bookmarkEnd w:id="2"/>
      <w:r w:rsidR="00F250E4" w:rsidRPr="00EA22D3">
        <w:rPr>
          <w:rFonts w:cs="Verdana"/>
          <w:spacing w:val="-2"/>
          <w:szCs w:val="20"/>
          <w:lang w:val="es-ES_tradnl"/>
        </w:rPr>
        <w:t xml:space="preserve"> </w:t>
      </w:r>
      <w:bookmarkEnd w:id="3"/>
      <w:r w:rsidR="006D77EE" w:rsidRPr="00EA22D3">
        <w:rPr>
          <w:rFonts w:cs="Verdana"/>
          <w:spacing w:val="-2"/>
          <w:szCs w:val="20"/>
          <w:lang w:val="es-ES_tradnl"/>
        </w:rPr>
        <w:t xml:space="preserve">los representantes </w:t>
      </w:r>
      <w:r w:rsidR="005761FF" w:rsidRPr="00EA22D3">
        <w:rPr>
          <w:rFonts w:cs="Verdana"/>
          <w:spacing w:val="-2"/>
          <w:szCs w:val="20"/>
          <w:lang w:val="es-ES_tradnl"/>
        </w:rPr>
        <w:t>de las víctimas</w:t>
      </w:r>
      <w:r w:rsidR="005761FF" w:rsidRPr="00EA22D3">
        <w:rPr>
          <w:rStyle w:val="FootnoteReference"/>
          <w:spacing w:val="-2"/>
          <w:lang w:val="es-ES_tradnl"/>
        </w:rPr>
        <w:footnoteReference w:id="2"/>
      </w:r>
      <w:r w:rsidR="005761FF" w:rsidRPr="00EA22D3">
        <w:rPr>
          <w:rFonts w:cs="Verdana"/>
          <w:spacing w:val="-2"/>
          <w:szCs w:val="20"/>
          <w:lang w:val="es-ES_tradnl"/>
        </w:rPr>
        <w:t xml:space="preserve"> </w:t>
      </w:r>
      <w:r w:rsidR="006D77EE" w:rsidRPr="00EA22D3">
        <w:rPr>
          <w:rFonts w:cs="Verdana"/>
          <w:spacing w:val="-2"/>
          <w:szCs w:val="20"/>
          <w:lang w:val="es-ES_tradnl"/>
        </w:rPr>
        <w:t xml:space="preserve">sometieron una solicitud de interpretación </w:t>
      </w:r>
      <w:r w:rsidR="005761FF" w:rsidRPr="00EA22D3">
        <w:rPr>
          <w:rFonts w:cs="Verdana"/>
          <w:spacing w:val="-2"/>
          <w:szCs w:val="20"/>
          <w:lang w:val="es-ES_tradnl"/>
        </w:rPr>
        <w:t>relacionada con</w:t>
      </w:r>
      <w:r w:rsidR="00DB3F05" w:rsidRPr="00EA22D3">
        <w:rPr>
          <w:rFonts w:cs="Verdana"/>
          <w:spacing w:val="-2"/>
          <w:szCs w:val="20"/>
          <w:lang w:val="es-ES_tradnl"/>
        </w:rPr>
        <w:t xml:space="preserve">: </w:t>
      </w:r>
      <w:r w:rsidR="00A22229" w:rsidRPr="00781C53">
        <w:rPr>
          <w:rFonts w:cs="Verdana"/>
          <w:spacing w:val="-2"/>
          <w:szCs w:val="20"/>
          <w:lang w:val="es-ES_tradnl"/>
        </w:rPr>
        <w:t>a) precisiones sobre los nombre de las personas beneficiarias de la reparación, b</w:t>
      </w:r>
      <w:r w:rsidR="00DB3F05" w:rsidRPr="00EA22D3">
        <w:rPr>
          <w:rFonts w:cs="Verdana"/>
          <w:spacing w:val="-2"/>
          <w:szCs w:val="20"/>
          <w:lang w:val="es-ES_tradnl"/>
        </w:rPr>
        <w:t>) aclaraci</w:t>
      </w:r>
      <w:r w:rsidR="00EA22D3" w:rsidRPr="00781C53">
        <w:rPr>
          <w:rFonts w:cs="Verdana"/>
          <w:spacing w:val="-2"/>
          <w:szCs w:val="20"/>
          <w:lang w:val="es-ES_tradnl"/>
        </w:rPr>
        <w:t>ones</w:t>
      </w:r>
      <w:r w:rsidR="00DB3F05" w:rsidRPr="00EA22D3">
        <w:rPr>
          <w:rFonts w:cs="Verdana"/>
          <w:spacing w:val="-2"/>
          <w:szCs w:val="20"/>
          <w:lang w:val="es-ES_tradnl"/>
        </w:rPr>
        <w:t xml:space="preserve"> en la sección resolutiva sobre reparaciones, y </w:t>
      </w:r>
      <w:r w:rsidR="00EA22D3" w:rsidRPr="00781C53">
        <w:rPr>
          <w:rFonts w:cs="Verdana"/>
          <w:spacing w:val="-2"/>
          <w:szCs w:val="20"/>
          <w:lang w:val="es-ES_tradnl"/>
        </w:rPr>
        <w:t>c</w:t>
      </w:r>
      <w:r w:rsidR="00DB3F05" w:rsidRPr="00EA22D3">
        <w:rPr>
          <w:rFonts w:cs="Verdana"/>
          <w:spacing w:val="-2"/>
          <w:szCs w:val="20"/>
          <w:lang w:val="es-ES_tradnl"/>
        </w:rPr>
        <w:t xml:space="preserve">) </w:t>
      </w:r>
      <w:r w:rsidR="00DB3F05" w:rsidRPr="00EA22D3">
        <w:rPr>
          <w:rFonts w:cs="Verdana"/>
          <w:spacing w:val="-2"/>
          <w:szCs w:val="20"/>
          <w:lang w:val="es-CR"/>
        </w:rPr>
        <w:t>aclaraci</w:t>
      </w:r>
      <w:r w:rsidR="00EA22D3" w:rsidRPr="00781C53">
        <w:rPr>
          <w:rFonts w:cs="Verdana"/>
          <w:spacing w:val="-2"/>
          <w:szCs w:val="20"/>
          <w:lang w:val="es-CR"/>
        </w:rPr>
        <w:t>ones</w:t>
      </w:r>
      <w:r w:rsidR="00DB3F05" w:rsidRPr="00EA22D3">
        <w:rPr>
          <w:rFonts w:cs="Verdana"/>
          <w:spacing w:val="-2"/>
          <w:szCs w:val="20"/>
          <w:lang w:val="es-CR"/>
        </w:rPr>
        <w:t xml:space="preserve"> respecto a la resolución de la excepción preliminar </w:t>
      </w:r>
      <w:r w:rsidR="00CA5111" w:rsidRPr="00EA22D3">
        <w:rPr>
          <w:rFonts w:cs="Verdana"/>
          <w:spacing w:val="-2"/>
          <w:szCs w:val="20"/>
          <w:lang w:val="es-CR"/>
        </w:rPr>
        <w:t>relativa a</w:t>
      </w:r>
      <w:r w:rsidR="00DB3F05" w:rsidRPr="00EA22D3">
        <w:rPr>
          <w:rFonts w:cs="Verdana"/>
          <w:spacing w:val="-2"/>
          <w:szCs w:val="20"/>
          <w:lang w:val="es-CR"/>
        </w:rPr>
        <w:t xml:space="preserve"> la identificación de </w:t>
      </w:r>
      <w:r w:rsidR="000B73F3">
        <w:rPr>
          <w:rFonts w:cs="Verdana"/>
          <w:spacing w:val="-2"/>
          <w:szCs w:val="20"/>
          <w:lang w:val="es-CR"/>
        </w:rPr>
        <w:t xml:space="preserve">tres presuntas </w:t>
      </w:r>
      <w:r w:rsidR="00DB3F05" w:rsidRPr="00EA22D3">
        <w:rPr>
          <w:rFonts w:cs="Verdana"/>
          <w:spacing w:val="-2"/>
          <w:szCs w:val="20"/>
          <w:lang w:val="es-CR"/>
        </w:rPr>
        <w:t>víctimas.</w:t>
      </w:r>
    </w:p>
    <w:p w:rsidR="006D77EE" w:rsidRPr="00781C53" w:rsidRDefault="00DB3F05" w:rsidP="00DB3F05">
      <w:pPr>
        <w:numPr>
          <w:ilvl w:val="0"/>
          <w:numId w:val="16"/>
        </w:numPr>
        <w:spacing w:before="120" w:after="120"/>
        <w:ind w:left="0" w:firstLine="0"/>
        <w:rPr>
          <w:rFonts w:eastAsia="Times New Roman" w:cs="Times New Roman"/>
          <w:color w:val="000000"/>
          <w:szCs w:val="20"/>
          <w:lang w:val="es-CL" w:eastAsia="es-CL"/>
        </w:rPr>
      </w:pPr>
      <w:bookmarkStart w:id="4" w:name="_Ref403065790"/>
      <w:r w:rsidRPr="00EA22D3">
        <w:rPr>
          <w:rFonts w:eastAsia="Times New Roman" w:cs="Times New Roman"/>
          <w:color w:val="000000"/>
          <w:szCs w:val="20"/>
          <w:lang w:val="es-CL" w:eastAsia="es-CL"/>
        </w:rPr>
        <w:t>Asimismo, e</w:t>
      </w:r>
      <w:r w:rsidR="006D77EE" w:rsidRPr="00EA22D3">
        <w:rPr>
          <w:rFonts w:eastAsia="Times New Roman" w:cs="Times New Roman"/>
          <w:color w:val="000000"/>
          <w:szCs w:val="20"/>
          <w:lang w:val="es-CL" w:eastAsia="es-CL"/>
        </w:rPr>
        <w:t xml:space="preserve">l 27 de febrero de 2018, </w:t>
      </w:r>
      <w:r w:rsidR="006D77EE" w:rsidRPr="00EA22D3">
        <w:rPr>
          <w:rFonts w:cs="Verdana"/>
          <w:spacing w:val="-2"/>
          <w:szCs w:val="20"/>
          <w:lang w:val="es-ES_tradnl"/>
        </w:rPr>
        <w:t>el Estado sometió una solicitud de interpretación respecto de</w:t>
      </w:r>
      <w:r w:rsidRPr="00EA22D3">
        <w:rPr>
          <w:rFonts w:cs="Verdana"/>
          <w:spacing w:val="-2"/>
          <w:szCs w:val="20"/>
          <w:lang w:val="es-ES_tradnl"/>
        </w:rPr>
        <w:t xml:space="preserve">: a) </w:t>
      </w:r>
      <w:r w:rsidRPr="00EA22D3">
        <w:rPr>
          <w:rFonts w:cs="Verdana"/>
          <w:spacing w:val="-2"/>
          <w:szCs w:val="20"/>
          <w:lang w:val="es-CR"/>
        </w:rPr>
        <w:t>el pago ordenado por concepto de daño inmaterial; b) la forma de pago y distribución de los montos en equidad fijados por la Corte; c) los gastos posteriores que se generen en la supervisión del cumplimiento de la Sentencia, y d) la modalidad de cumplimiento de los pagos ordenados.</w:t>
      </w:r>
    </w:p>
    <w:p w:rsidR="00C20E8D" w:rsidRPr="00781C53" w:rsidRDefault="00C20E8D" w:rsidP="006D77EE">
      <w:pPr>
        <w:numPr>
          <w:ilvl w:val="0"/>
          <w:numId w:val="16"/>
        </w:numPr>
        <w:spacing w:before="120" w:after="120"/>
        <w:ind w:left="0" w:firstLine="0"/>
        <w:rPr>
          <w:rFonts w:eastAsia="Times New Roman" w:cs="Times New Roman"/>
          <w:color w:val="000000"/>
          <w:szCs w:val="20"/>
          <w:lang w:val="es-CL" w:eastAsia="es-CL"/>
        </w:rPr>
      </w:pPr>
      <w:r w:rsidRPr="005D3C5C">
        <w:rPr>
          <w:rFonts w:cs="Verdana"/>
          <w:spacing w:val="-2"/>
          <w:szCs w:val="20"/>
          <w:lang w:val="es-ES_tradnl"/>
        </w:rPr>
        <w:t xml:space="preserve">El </w:t>
      </w:r>
      <w:r w:rsidR="006D77EE">
        <w:rPr>
          <w:rFonts w:cs="Verdana"/>
          <w:spacing w:val="-2"/>
          <w:szCs w:val="20"/>
          <w:lang w:val="es-ES_tradnl"/>
        </w:rPr>
        <w:t xml:space="preserve">5 de marzo </w:t>
      </w:r>
      <w:r w:rsidRPr="005D3C5C">
        <w:rPr>
          <w:rFonts w:cs="Verdana"/>
          <w:spacing w:val="-2"/>
          <w:szCs w:val="20"/>
          <w:lang w:val="es-ES_tradnl"/>
        </w:rPr>
        <w:t>de 201</w:t>
      </w:r>
      <w:r w:rsidR="00F250E4">
        <w:rPr>
          <w:rFonts w:cs="Verdana"/>
          <w:spacing w:val="-2"/>
          <w:szCs w:val="20"/>
          <w:lang w:val="es-ES_tradnl"/>
        </w:rPr>
        <w:t>8</w:t>
      </w:r>
      <w:r w:rsidRPr="005D3C5C">
        <w:rPr>
          <w:rFonts w:cs="Verdana"/>
          <w:spacing w:val="-2"/>
          <w:szCs w:val="20"/>
          <w:lang w:val="es-ES_tradnl"/>
        </w:rPr>
        <w:t>, de conformidad con el artículo 68.2 del Reglamento y siguiendo instrucciones del Presidente de la Corte, la Secretaría transmitió la</w:t>
      </w:r>
      <w:r w:rsidR="006D77EE">
        <w:rPr>
          <w:rFonts w:cs="Verdana"/>
          <w:spacing w:val="-2"/>
          <w:szCs w:val="20"/>
          <w:lang w:val="es-ES_tradnl"/>
        </w:rPr>
        <w:t>s</w:t>
      </w:r>
      <w:r w:rsidRPr="005D3C5C">
        <w:rPr>
          <w:rFonts w:cs="Verdana"/>
          <w:spacing w:val="-2"/>
          <w:szCs w:val="20"/>
          <w:lang w:val="es-ES_tradnl"/>
        </w:rPr>
        <w:t xml:space="preserve"> referida</w:t>
      </w:r>
      <w:r w:rsidR="006D77EE">
        <w:rPr>
          <w:rFonts w:cs="Verdana"/>
          <w:spacing w:val="-2"/>
          <w:szCs w:val="20"/>
          <w:lang w:val="es-ES_tradnl"/>
        </w:rPr>
        <w:t>s</w:t>
      </w:r>
      <w:r w:rsidRPr="005D3C5C">
        <w:rPr>
          <w:rFonts w:cs="Verdana"/>
          <w:spacing w:val="-2"/>
          <w:szCs w:val="20"/>
          <w:lang w:val="es-ES_tradnl"/>
        </w:rPr>
        <w:t xml:space="preserve"> solicitud</w:t>
      </w:r>
      <w:r w:rsidR="006D77EE">
        <w:rPr>
          <w:rFonts w:cs="Verdana"/>
          <w:spacing w:val="-2"/>
          <w:szCs w:val="20"/>
          <w:lang w:val="es-ES_tradnl"/>
        </w:rPr>
        <w:t>es</w:t>
      </w:r>
      <w:r w:rsidRPr="005D3C5C">
        <w:rPr>
          <w:rFonts w:cs="Verdana"/>
          <w:spacing w:val="-2"/>
          <w:szCs w:val="20"/>
          <w:lang w:val="es-ES_tradnl"/>
        </w:rPr>
        <w:t xml:space="preserve"> de interpretación a l</w:t>
      </w:r>
      <w:r w:rsidR="006D77EE">
        <w:rPr>
          <w:rFonts w:cs="Verdana"/>
          <w:spacing w:val="-2"/>
          <w:szCs w:val="20"/>
          <w:lang w:val="es-ES_tradnl"/>
        </w:rPr>
        <w:t>as partes</w:t>
      </w:r>
      <w:r w:rsidRPr="005D3C5C">
        <w:rPr>
          <w:rFonts w:cs="Verdana"/>
          <w:spacing w:val="-2"/>
          <w:szCs w:val="20"/>
          <w:lang w:val="es-ES_tradnl"/>
        </w:rPr>
        <w:t xml:space="preserve"> y a la Comisión y les otorgó un plazo para que presentaran las </w:t>
      </w:r>
      <w:r w:rsidR="000B73F3">
        <w:rPr>
          <w:rFonts w:cs="Verdana"/>
          <w:spacing w:val="-2"/>
          <w:szCs w:val="20"/>
          <w:lang w:val="es-ES_tradnl"/>
        </w:rPr>
        <w:t>observaciones</w:t>
      </w:r>
      <w:r w:rsidR="000B73F3" w:rsidRPr="005D3C5C">
        <w:rPr>
          <w:rFonts w:cs="Verdana"/>
          <w:spacing w:val="-2"/>
          <w:szCs w:val="20"/>
          <w:lang w:val="es-ES_tradnl"/>
        </w:rPr>
        <w:t xml:space="preserve"> </w:t>
      </w:r>
      <w:r w:rsidRPr="005D3C5C">
        <w:rPr>
          <w:rFonts w:cs="Verdana"/>
          <w:spacing w:val="-2"/>
          <w:szCs w:val="20"/>
          <w:lang w:val="es-ES_tradnl"/>
        </w:rPr>
        <w:t xml:space="preserve">escritas que </w:t>
      </w:r>
      <w:r w:rsidR="000B73F3" w:rsidRPr="005D3C5C">
        <w:rPr>
          <w:rFonts w:cs="Verdana"/>
          <w:spacing w:val="-2"/>
          <w:szCs w:val="20"/>
          <w:lang w:val="es-ES_tradnl"/>
        </w:rPr>
        <w:t>estim</w:t>
      </w:r>
      <w:r w:rsidR="009C6C08">
        <w:rPr>
          <w:rFonts w:cs="Verdana"/>
          <w:spacing w:val="-2"/>
          <w:szCs w:val="20"/>
          <w:lang w:val="es-ES_tradnl"/>
        </w:rPr>
        <w:t>aran</w:t>
      </w:r>
      <w:r w:rsidR="000B73F3" w:rsidRPr="005D3C5C">
        <w:rPr>
          <w:rFonts w:cs="Verdana"/>
          <w:spacing w:val="-2"/>
          <w:szCs w:val="20"/>
          <w:lang w:val="es-ES_tradnl"/>
        </w:rPr>
        <w:t xml:space="preserve"> </w:t>
      </w:r>
      <w:r w:rsidRPr="005D3C5C">
        <w:rPr>
          <w:rFonts w:cs="Verdana"/>
          <w:spacing w:val="-2"/>
          <w:szCs w:val="20"/>
          <w:lang w:val="es-ES_tradnl"/>
        </w:rPr>
        <w:t xml:space="preserve">pertinentes. </w:t>
      </w:r>
      <w:bookmarkStart w:id="5" w:name="_Ref324683819"/>
      <w:bookmarkEnd w:id="4"/>
      <w:r w:rsidR="00983D88" w:rsidRPr="005D3C5C">
        <w:rPr>
          <w:rFonts w:cs="Verdana"/>
          <w:spacing w:val="-2"/>
          <w:szCs w:val="20"/>
          <w:lang w:val="es-ES_tradnl"/>
        </w:rPr>
        <w:t>Los días</w:t>
      </w:r>
      <w:r w:rsidRPr="005D3C5C">
        <w:rPr>
          <w:rFonts w:cs="Verdana"/>
          <w:spacing w:val="-2"/>
          <w:szCs w:val="20"/>
          <w:lang w:val="es-ES_tradnl"/>
        </w:rPr>
        <w:t xml:space="preserve"> </w:t>
      </w:r>
      <w:r w:rsidR="006D77EE">
        <w:rPr>
          <w:rFonts w:cs="Verdana"/>
          <w:spacing w:val="-2"/>
          <w:szCs w:val="20"/>
          <w:lang w:val="es-ES_tradnl"/>
        </w:rPr>
        <w:t xml:space="preserve">22 y 23 </w:t>
      </w:r>
      <w:r w:rsidR="00983D88" w:rsidRPr="005D3C5C">
        <w:rPr>
          <w:rFonts w:cs="Verdana"/>
          <w:spacing w:val="-2"/>
          <w:szCs w:val="20"/>
          <w:lang w:val="es-ES_tradnl"/>
        </w:rPr>
        <w:t xml:space="preserve">de </w:t>
      </w:r>
      <w:r w:rsidR="006D77EE">
        <w:rPr>
          <w:rFonts w:cs="Verdana"/>
          <w:spacing w:val="-2"/>
          <w:szCs w:val="20"/>
          <w:lang w:val="es-ES_tradnl"/>
        </w:rPr>
        <w:t>marzo</w:t>
      </w:r>
      <w:r w:rsidR="00983D88" w:rsidRPr="005D3C5C">
        <w:rPr>
          <w:rFonts w:cs="Verdana"/>
          <w:spacing w:val="-2"/>
          <w:szCs w:val="20"/>
          <w:lang w:val="es-ES_tradnl"/>
        </w:rPr>
        <w:t xml:space="preserve"> </w:t>
      </w:r>
      <w:r w:rsidRPr="005D3C5C">
        <w:rPr>
          <w:rFonts w:cs="Verdana"/>
          <w:spacing w:val="-2"/>
          <w:szCs w:val="20"/>
          <w:lang w:val="es-ES_tradnl"/>
        </w:rPr>
        <w:t xml:space="preserve">de </w:t>
      </w:r>
      <w:r w:rsidR="006D77EE">
        <w:rPr>
          <w:rFonts w:cs="Verdana"/>
          <w:spacing w:val="-2"/>
          <w:szCs w:val="20"/>
          <w:lang w:val="es-ES_tradnl"/>
        </w:rPr>
        <w:t>2018</w:t>
      </w:r>
      <w:r w:rsidR="00CA5111">
        <w:rPr>
          <w:rFonts w:cs="Verdana"/>
          <w:spacing w:val="-2"/>
          <w:szCs w:val="20"/>
          <w:lang w:val="es-ES_tradnl"/>
        </w:rPr>
        <w:t>,</w:t>
      </w:r>
      <w:r w:rsidRPr="005D3C5C">
        <w:rPr>
          <w:rFonts w:cs="Verdana"/>
          <w:spacing w:val="-2"/>
          <w:szCs w:val="20"/>
          <w:lang w:val="es-ES_tradnl"/>
        </w:rPr>
        <w:t xml:space="preserve"> </w:t>
      </w:r>
      <w:r w:rsidR="005D3C5C" w:rsidRPr="005D3C5C">
        <w:rPr>
          <w:rFonts w:cs="Verdana"/>
          <w:spacing w:val="-2"/>
          <w:szCs w:val="20"/>
          <w:lang w:val="es-ES_tradnl"/>
        </w:rPr>
        <w:t xml:space="preserve">los </w:t>
      </w:r>
      <w:r w:rsidRPr="005D3C5C">
        <w:rPr>
          <w:rFonts w:cs="Verdana"/>
          <w:spacing w:val="-2"/>
          <w:szCs w:val="20"/>
          <w:lang w:val="es-ES_tradnl"/>
        </w:rPr>
        <w:t>representante</w:t>
      </w:r>
      <w:r w:rsidR="005D3C5C" w:rsidRPr="005D3C5C">
        <w:rPr>
          <w:rFonts w:cs="Verdana"/>
          <w:spacing w:val="-2"/>
          <w:szCs w:val="20"/>
          <w:lang w:val="es-ES_tradnl"/>
        </w:rPr>
        <w:t>s</w:t>
      </w:r>
      <w:r w:rsidR="006D77EE">
        <w:rPr>
          <w:rFonts w:cs="Verdana"/>
          <w:spacing w:val="-2"/>
          <w:szCs w:val="20"/>
          <w:lang w:val="es-ES_tradnl"/>
        </w:rPr>
        <w:t xml:space="preserve"> y el Estado</w:t>
      </w:r>
      <w:r w:rsidR="00CA5111">
        <w:rPr>
          <w:rFonts w:cs="Verdana"/>
          <w:spacing w:val="-2"/>
          <w:szCs w:val="20"/>
          <w:lang w:val="es-ES_tradnl"/>
        </w:rPr>
        <w:t>, respectivamente,</w:t>
      </w:r>
      <w:r w:rsidRPr="005D3C5C">
        <w:rPr>
          <w:rFonts w:cs="Verdana"/>
          <w:spacing w:val="-2"/>
          <w:szCs w:val="20"/>
          <w:lang w:val="es-ES_tradnl"/>
        </w:rPr>
        <w:t xml:space="preserve"> presentaron sus </w:t>
      </w:r>
      <w:r w:rsidR="000B73F3">
        <w:rPr>
          <w:rFonts w:cs="Verdana"/>
          <w:spacing w:val="-2"/>
          <w:szCs w:val="20"/>
          <w:lang w:val="es-ES_tradnl"/>
        </w:rPr>
        <w:t>observaciones</w:t>
      </w:r>
      <w:r w:rsidR="000B73F3" w:rsidRPr="005D3C5C">
        <w:rPr>
          <w:rFonts w:cs="Verdana"/>
          <w:spacing w:val="-2"/>
          <w:szCs w:val="20"/>
          <w:lang w:val="es-ES_tradnl"/>
        </w:rPr>
        <w:t xml:space="preserve"> </w:t>
      </w:r>
      <w:r w:rsidRPr="005D3C5C">
        <w:rPr>
          <w:rFonts w:cs="Verdana"/>
          <w:spacing w:val="-2"/>
          <w:szCs w:val="20"/>
          <w:lang w:val="es-ES_tradnl"/>
        </w:rPr>
        <w:t>escritas</w:t>
      </w:r>
      <w:bookmarkEnd w:id="5"/>
      <w:r w:rsidR="005D3C5C" w:rsidRPr="005D3C5C">
        <w:rPr>
          <w:rFonts w:cs="Verdana"/>
          <w:spacing w:val="-2"/>
          <w:szCs w:val="20"/>
          <w:lang w:val="es-ES_tradnl"/>
        </w:rPr>
        <w:t xml:space="preserve">, y el </w:t>
      </w:r>
      <w:r w:rsidR="006D77EE">
        <w:rPr>
          <w:rFonts w:cs="Verdana"/>
          <w:spacing w:val="-2"/>
          <w:szCs w:val="20"/>
          <w:lang w:val="es-ES_tradnl"/>
        </w:rPr>
        <w:t>2</w:t>
      </w:r>
      <w:r w:rsidR="005D3C5C" w:rsidRPr="005D3C5C">
        <w:rPr>
          <w:rFonts w:cs="Verdana"/>
          <w:spacing w:val="-2"/>
          <w:szCs w:val="20"/>
          <w:lang w:val="es-ES_tradnl"/>
        </w:rPr>
        <w:t xml:space="preserve">6 de </w:t>
      </w:r>
      <w:r w:rsidR="006D77EE">
        <w:rPr>
          <w:rFonts w:cs="Verdana"/>
          <w:spacing w:val="-2"/>
          <w:szCs w:val="20"/>
          <w:lang w:val="es-ES_tradnl"/>
        </w:rPr>
        <w:t>marzo de 2018</w:t>
      </w:r>
      <w:r w:rsidR="005D3C5C">
        <w:rPr>
          <w:rFonts w:cs="Verdana"/>
          <w:spacing w:val="-2"/>
          <w:szCs w:val="20"/>
          <w:lang w:val="es-ES_tradnl"/>
        </w:rPr>
        <w:t xml:space="preserve"> la Comisión hizo lo propio.</w:t>
      </w:r>
    </w:p>
    <w:p w:rsidR="00297115" w:rsidRPr="00781C53" w:rsidRDefault="00D836C5" w:rsidP="006D77EE">
      <w:pPr>
        <w:numPr>
          <w:ilvl w:val="0"/>
          <w:numId w:val="16"/>
        </w:numPr>
        <w:spacing w:before="120" w:after="120"/>
        <w:ind w:left="0" w:firstLine="0"/>
        <w:rPr>
          <w:rFonts w:eastAsia="Times New Roman" w:cs="Times New Roman"/>
          <w:color w:val="000000"/>
          <w:szCs w:val="20"/>
          <w:lang w:val="es-CL" w:eastAsia="es-CL"/>
        </w:rPr>
      </w:pPr>
      <w:r w:rsidRPr="00781C53">
        <w:rPr>
          <w:rFonts w:cs="Verdana"/>
          <w:spacing w:val="-2"/>
          <w:szCs w:val="20"/>
          <w:lang w:val="es-ES_tradnl"/>
        </w:rPr>
        <w:t xml:space="preserve">El 24 de mayo </w:t>
      </w:r>
      <w:r w:rsidR="00297115" w:rsidRPr="00781C53">
        <w:rPr>
          <w:rFonts w:cs="Verdana"/>
          <w:spacing w:val="-2"/>
          <w:szCs w:val="20"/>
          <w:lang w:val="es-ES_tradnl"/>
        </w:rPr>
        <w:t xml:space="preserve">de 2018, siguiendo instrucciones del Presidente, se informó a las partes y a la Comisión que se había estimado </w:t>
      </w:r>
      <w:r w:rsidR="00297115" w:rsidRPr="00297115">
        <w:rPr>
          <w:rFonts w:eastAsia="Times New Roman" w:cs="Times New Roman"/>
          <w:color w:val="000000"/>
          <w:szCs w:val="20"/>
          <w:lang w:val="es-CL" w:eastAsia="es-CL"/>
        </w:rPr>
        <w:t>procedente efectuar cambios materiales para precisar el nombre exacto de las víctimas declaradas en la Sentencia del presente caso, de conformidad con el art. 76 del Reglamento de la Corte.</w:t>
      </w:r>
    </w:p>
    <w:p w:rsidR="00C20E8D" w:rsidRPr="000866D1" w:rsidRDefault="00C20E8D" w:rsidP="00C20E8D">
      <w:pPr>
        <w:tabs>
          <w:tab w:val="left" w:pos="567"/>
        </w:tabs>
        <w:spacing w:before="360"/>
        <w:jc w:val="center"/>
        <w:rPr>
          <w:rFonts w:eastAsia="Times"/>
          <w:b/>
          <w:bCs/>
          <w:spacing w:val="-2"/>
          <w:szCs w:val="20"/>
          <w:lang w:val="es-ES_tradnl"/>
        </w:rPr>
      </w:pPr>
      <w:r w:rsidRPr="000866D1">
        <w:rPr>
          <w:rFonts w:eastAsia="Times"/>
          <w:b/>
          <w:bCs/>
          <w:spacing w:val="-2"/>
          <w:szCs w:val="20"/>
          <w:lang w:val="es-ES_tradnl"/>
        </w:rPr>
        <w:t>II</w:t>
      </w:r>
    </w:p>
    <w:p w:rsidR="00C20E8D" w:rsidRPr="000866D1" w:rsidRDefault="00C20E8D" w:rsidP="00C20E8D">
      <w:pPr>
        <w:tabs>
          <w:tab w:val="left" w:pos="567"/>
        </w:tabs>
        <w:spacing w:after="360"/>
        <w:jc w:val="center"/>
        <w:rPr>
          <w:rFonts w:eastAsia="Times"/>
          <w:b/>
          <w:bCs/>
          <w:spacing w:val="-2"/>
          <w:szCs w:val="20"/>
          <w:lang w:val="es-ES_tradnl"/>
        </w:rPr>
      </w:pPr>
      <w:r w:rsidRPr="000866D1">
        <w:rPr>
          <w:rFonts w:eastAsia="Times"/>
          <w:b/>
          <w:bCs/>
          <w:spacing w:val="-2"/>
          <w:szCs w:val="20"/>
          <w:lang w:val="es-ES_tradnl"/>
        </w:rPr>
        <w:t>COMPETENCIA</w:t>
      </w:r>
    </w:p>
    <w:p w:rsidR="007D7A08" w:rsidRPr="00B01902" w:rsidRDefault="007D7A08" w:rsidP="007D7A08">
      <w:pPr>
        <w:numPr>
          <w:ilvl w:val="0"/>
          <w:numId w:val="16"/>
        </w:numPr>
        <w:spacing w:before="120" w:after="120"/>
        <w:ind w:left="0" w:firstLine="0"/>
        <w:rPr>
          <w:rFonts w:eastAsia="Times"/>
          <w:spacing w:val="-2"/>
          <w:szCs w:val="20"/>
          <w:lang w:val="es-ES_tradnl"/>
        </w:rPr>
      </w:pPr>
      <w:bookmarkStart w:id="6" w:name="_Ref361668910"/>
      <w:r w:rsidRPr="00200285">
        <w:rPr>
          <w:rFonts w:eastAsia="Times"/>
          <w:spacing w:val="-2"/>
          <w:szCs w:val="20"/>
          <w:lang w:val="es-ES_tradnl"/>
        </w:rPr>
        <w:t>El artículo 67 de la Convención establece que “</w:t>
      </w:r>
      <w:bookmarkEnd w:id="6"/>
      <w:r w:rsidRPr="00B01902">
        <w:rPr>
          <w:rFonts w:eastAsia="Times"/>
          <w:spacing w:val="-2"/>
          <w:szCs w:val="20"/>
          <w:lang w:val="es-ES_tradnl"/>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p>
    <w:p w:rsidR="00200285" w:rsidRPr="00200285" w:rsidRDefault="007D7A08" w:rsidP="00781C53">
      <w:pPr>
        <w:numPr>
          <w:ilvl w:val="0"/>
          <w:numId w:val="16"/>
        </w:numPr>
        <w:spacing w:before="120" w:after="120"/>
        <w:ind w:left="0" w:firstLine="0"/>
        <w:rPr>
          <w:rFonts w:eastAsia="Times"/>
          <w:bCs/>
          <w:spacing w:val="-2"/>
          <w:szCs w:val="20"/>
          <w:lang w:val="es-ES_tradnl"/>
        </w:rPr>
      </w:pPr>
      <w:r w:rsidRPr="000866D1">
        <w:rPr>
          <w:rFonts w:eastAsia="Times"/>
          <w:spacing w:val="-2"/>
          <w:szCs w:val="20"/>
          <w:lang w:val="es-ES_tradnl"/>
        </w:rPr>
        <w:t>De conformidad con el artículo citado, la Corte es competente para interpretar sus fallos.</w:t>
      </w:r>
      <w:r w:rsidRPr="000A3972">
        <w:rPr>
          <w:rFonts w:eastAsia="Times"/>
          <w:spacing w:val="-2"/>
          <w:szCs w:val="20"/>
          <w:lang w:val="es-ES_tradnl"/>
        </w:rPr>
        <w:t xml:space="preserve"> Para realizar el examen de las solicitudes de interpretación y resolver lo que a este respecto corresponda, el Tribunal debe tener, si es posible, la misma composición que tenía al dictar la Sentencia respectiva, de acuerdo con el artículo 68.3 del Reglamento</w:t>
      </w:r>
      <w:r w:rsidR="006B0B1E">
        <w:rPr>
          <w:rStyle w:val="FootnoteReference"/>
          <w:lang w:val="es-CR"/>
        </w:rPr>
        <w:footnoteReference w:id="3"/>
      </w:r>
      <w:r w:rsidRPr="000A3972">
        <w:rPr>
          <w:rFonts w:eastAsia="Times"/>
          <w:spacing w:val="-2"/>
          <w:szCs w:val="20"/>
          <w:lang w:val="es-ES_tradnl"/>
        </w:rPr>
        <w:t xml:space="preserve">. En esta ocasión, la Corte </w:t>
      </w:r>
      <w:r w:rsidR="000A3972">
        <w:rPr>
          <w:rFonts w:eastAsia="Times"/>
          <w:spacing w:val="-2"/>
          <w:szCs w:val="20"/>
          <w:lang w:val="es-ES_tradnl"/>
        </w:rPr>
        <w:t xml:space="preserve">está </w:t>
      </w:r>
      <w:r w:rsidRPr="000A3972">
        <w:rPr>
          <w:rFonts w:eastAsia="Times"/>
          <w:spacing w:val="-2"/>
          <w:szCs w:val="20"/>
          <w:lang w:val="es-ES_tradnl"/>
        </w:rPr>
        <w:t>integra</w:t>
      </w:r>
      <w:r w:rsidR="000A3972">
        <w:rPr>
          <w:rFonts w:eastAsia="Times"/>
          <w:spacing w:val="-2"/>
          <w:szCs w:val="20"/>
          <w:lang w:val="es-ES_tradnl"/>
        </w:rPr>
        <w:t xml:space="preserve">da por </w:t>
      </w:r>
      <w:r w:rsidRPr="000A3972">
        <w:t xml:space="preserve">los </w:t>
      </w:r>
      <w:r w:rsidR="000A3972">
        <w:t xml:space="preserve">mismos </w:t>
      </w:r>
      <w:r w:rsidRPr="000A3972">
        <w:t xml:space="preserve">jueces que dictaron la Sentencia cuya interpretación ha sido solicitada. </w:t>
      </w:r>
    </w:p>
    <w:p w:rsidR="007D7A08" w:rsidRPr="000866D1" w:rsidRDefault="007D7A08" w:rsidP="007D7A08">
      <w:pPr>
        <w:pStyle w:val="NoSpacing"/>
        <w:spacing w:before="360"/>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lastRenderedPageBreak/>
        <w:t>III</w:t>
      </w:r>
    </w:p>
    <w:p w:rsidR="007D7A08" w:rsidRPr="007D7A08" w:rsidRDefault="007D7A08" w:rsidP="00B01902">
      <w:pPr>
        <w:pStyle w:val="NoSpacing"/>
        <w:spacing w:after="360"/>
        <w:jc w:val="center"/>
      </w:pPr>
      <w:r w:rsidRPr="000866D1">
        <w:rPr>
          <w:rFonts w:ascii="Verdana" w:hAnsi="Verdana" w:cs="Verdana"/>
          <w:b/>
          <w:spacing w:val="-2"/>
          <w:sz w:val="20"/>
          <w:szCs w:val="20"/>
          <w:lang w:val="es-ES_tradnl"/>
        </w:rPr>
        <w:t>ADMISIBILIDAD</w:t>
      </w:r>
    </w:p>
    <w:p w:rsidR="005F50D1" w:rsidRDefault="00200285" w:rsidP="00461D9E">
      <w:pPr>
        <w:numPr>
          <w:ilvl w:val="0"/>
          <w:numId w:val="16"/>
        </w:numPr>
        <w:tabs>
          <w:tab w:val="num" w:pos="720"/>
        </w:tabs>
        <w:spacing w:before="120" w:after="120"/>
        <w:ind w:left="0" w:firstLine="0"/>
        <w:rPr>
          <w:spacing w:val="-2"/>
          <w:szCs w:val="20"/>
          <w:lang w:val="es-ES_tradnl"/>
        </w:rPr>
      </w:pPr>
      <w:r w:rsidRPr="00A73AF0">
        <w:rPr>
          <w:rFonts w:eastAsia="Times"/>
          <w:spacing w:val="-2"/>
          <w:szCs w:val="20"/>
          <w:lang w:val="es-ES_tradnl"/>
        </w:rPr>
        <w:t>Corresponde</w:t>
      </w:r>
      <w:r w:rsidRPr="00A73AF0">
        <w:rPr>
          <w:spacing w:val="-2"/>
          <w:szCs w:val="20"/>
          <w:lang w:val="es-ES_tradnl"/>
        </w:rPr>
        <w:t xml:space="preserve"> a la Corte verificar si la</w:t>
      </w:r>
      <w:r w:rsidR="000A3972">
        <w:rPr>
          <w:spacing w:val="-2"/>
          <w:szCs w:val="20"/>
          <w:lang w:val="es-ES_tradnl"/>
        </w:rPr>
        <w:t xml:space="preserve">s solicitudes </w:t>
      </w:r>
      <w:r w:rsidRPr="00A73AF0">
        <w:rPr>
          <w:spacing w:val="-2"/>
          <w:szCs w:val="20"/>
          <w:lang w:val="es-ES_tradnl"/>
        </w:rPr>
        <w:t>presentada</w:t>
      </w:r>
      <w:r w:rsidR="000A3972">
        <w:rPr>
          <w:spacing w:val="-2"/>
          <w:szCs w:val="20"/>
          <w:lang w:val="es-ES_tradnl"/>
        </w:rPr>
        <w:t>s</w:t>
      </w:r>
      <w:r w:rsidRPr="00A73AF0">
        <w:rPr>
          <w:spacing w:val="-2"/>
          <w:szCs w:val="20"/>
          <w:lang w:val="es-ES_tradnl"/>
        </w:rPr>
        <w:t xml:space="preserve"> por </w:t>
      </w:r>
      <w:r w:rsidR="000A3972">
        <w:rPr>
          <w:spacing w:val="-2"/>
          <w:szCs w:val="20"/>
          <w:lang w:val="es-ES_tradnl"/>
        </w:rPr>
        <w:t xml:space="preserve">los representantes y por </w:t>
      </w:r>
      <w:r w:rsidRPr="00A73AF0">
        <w:rPr>
          <w:spacing w:val="-2"/>
          <w:szCs w:val="20"/>
          <w:lang w:val="es-ES_tradnl"/>
        </w:rPr>
        <w:t>el Estado cumple</w:t>
      </w:r>
      <w:r w:rsidR="000A3972">
        <w:rPr>
          <w:spacing w:val="-2"/>
          <w:szCs w:val="20"/>
          <w:lang w:val="es-ES_tradnl"/>
        </w:rPr>
        <w:t>n</w:t>
      </w:r>
      <w:r w:rsidRPr="00A73AF0">
        <w:rPr>
          <w:spacing w:val="-2"/>
          <w:szCs w:val="20"/>
          <w:lang w:val="es-ES_tradnl"/>
        </w:rPr>
        <w:t xml:space="preserve"> con los requisitos establecidos en las normas aplicables a una solicitud de interpretación de Sentencia, a saber, el artículo 67 de la Convención, anteriormente citado, y el artículo 68 del Reglamento</w:t>
      </w:r>
      <w:r>
        <w:rPr>
          <w:rStyle w:val="FootnoteReference"/>
          <w:spacing w:val="-2"/>
          <w:lang w:val="es-ES_tradnl"/>
        </w:rPr>
        <w:footnoteReference w:id="4"/>
      </w:r>
      <w:r>
        <w:rPr>
          <w:spacing w:val="-2"/>
          <w:szCs w:val="20"/>
          <w:lang w:val="es-ES_tradnl"/>
        </w:rPr>
        <w:t xml:space="preserve">. </w:t>
      </w:r>
    </w:p>
    <w:p w:rsidR="00461D9E" w:rsidRPr="005D3C5C" w:rsidRDefault="00461D9E" w:rsidP="00461D9E">
      <w:pPr>
        <w:numPr>
          <w:ilvl w:val="0"/>
          <w:numId w:val="16"/>
        </w:numPr>
        <w:tabs>
          <w:tab w:val="num" w:pos="720"/>
        </w:tabs>
        <w:spacing w:before="120" w:after="120"/>
        <w:ind w:left="0" w:firstLine="0"/>
        <w:rPr>
          <w:spacing w:val="-2"/>
          <w:szCs w:val="20"/>
          <w:lang w:val="es-ES_tradnl"/>
        </w:rPr>
      </w:pPr>
      <w:r w:rsidRPr="005D3C5C">
        <w:rPr>
          <w:spacing w:val="-2"/>
          <w:szCs w:val="20"/>
          <w:lang w:val="es-ES_tradnl"/>
        </w:rPr>
        <w:t xml:space="preserve">La Corte </w:t>
      </w:r>
      <w:r w:rsidRPr="005D3C5C">
        <w:rPr>
          <w:rFonts w:eastAsia="Times"/>
          <w:spacing w:val="-2"/>
          <w:szCs w:val="20"/>
          <w:lang w:val="es-ES_tradnl"/>
        </w:rPr>
        <w:t>advierte</w:t>
      </w:r>
      <w:r w:rsidRPr="005D3C5C">
        <w:rPr>
          <w:spacing w:val="-2"/>
          <w:szCs w:val="20"/>
          <w:lang w:val="es-ES_tradnl"/>
        </w:rPr>
        <w:t xml:space="preserve"> que</w:t>
      </w:r>
      <w:r w:rsidR="000A3972">
        <w:rPr>
          <w:spacing w:val="-2"/>
          <w:szCs w:val="20"/>
          <w:lang w:val="es-ES_tradnl"/>
        </w:rPr>
        <w:t xml:space="preserve"> tanto los representantes como</w:t>
      </w:r>
      <w:r w:rsidR="00A32DEE">
        <w:rPr>
          <w:spacing w:val="-2"/>
          <w:szCs w:val="20"/>
          <w:lang w:val="es-ES_tradnl"/>
        </w:rPr>
        <w:t xml:space="preserve"> el Estado presentaron</w:t>
      </w:r>
      <w:r w:rsidRPr="005D3C5C">
        <w:rPr>
          <w:spacing w:val="-2"/>
          <w:szCs w:val="20"/>
          <w:lang w:val="es-ES_tradnl"/>
        </w:rPr>
        <w:t xml:space="preserve"> su</w:t>
      </w:r>
      <w:r w:rsidR="00A32DEE">
        <w:rPr>
          <w:spacing w:val="-2"/>
          <w:szCs w:val="20"/>
          <w:lang w:val="es-ES_tradnl"/>
        </w:rPr>
        <w:t>s</w:t>
      </w:r>
      <w:r w:rsidRPr="005D3C5C">
        <w:rPr>
          <w:spacing w:val="-2"/>
          <w:szCs w:val="20"/>
          <w:lang w:val="es-ES_tradnl"/>
        </w:rPr>
        <w:t xml:space="preserve"> solicitud</w:t>
      </w:r>
      <w:r w:rsidR="00A32DEE">
        <w:rPr>
          <w:spacing w:val="-2"/>
          <w:szCs w:val="20"/>
          <w:lang w:val="es-ES_tradnl"/>
        </w:rPr>
        <w:t>es</w:t>
      </w:r>
      <w:r w:rsidRPr="005D3C5C">
        <w:rPr>
          <w:spacing w:val="-2"/>
          <w:szCs w:val="20"/>
          <w:lang w:val="es-ES_tradnl"/>
        </w:rPr>
        <w:t xml:space="preserve"> de interpretación dentro del plazo de noventa días establecido en el artículo 67 de la </w:t>
      </w:r>
      <w:r w:rsidRPr="005D3C5C">
        <w:rPr>
          <w:rFonts w:eastAsia="Times"/>
          <w:spacing w:val="-2"/>
          <w:szCs w:val="20"/>
          <w:lang w:val="es-ES_tradnl"/>
        </w:rPr>
        <w:t>Convención</w:t>
      </w:r>
      <w:r w:rsidR="00A32DEE">
        <w:rPr>
          <w:rFonts w:eastAsia="Times"/>
          <w:spacing w:val="-2"/>
          <w:szCs w:val="20"/>
          <w:lang w:val="es-ES_tradnl"/>
        </w:rPr>
        <w:t xml:space="preserve">, </w:t>
      </w:r>
      <w:r w:rsidR="00A32DEE">
        <w:t>ya que las mismas fueron presentadas el 26 y 27 de febrero de 2018, respectivamente, y las partes fueron notificadas de la Sentencia el 30 de noviembre de 2017</w:t>
      </w:r>
      <w:r w:rsidRPr="005D3C5C">
        <w:rPr>
          <w:spacing w:val="-2"/>
          <w:szCs w:val="20"/>
          <w:lang w:val="es-ES_tradnl"/>
        </w:rPr>
        <w:t xml:space="preserve">. Por ende, la solicitud resulta admisible en lo que se refiere al plazo de su presentación. </w:t>
      </w:r>
      <w:r w:rsidR="00A32DEE">
        <w:t xml:space="preserve">En cuanto a los demás requisitos, la Corte realizará el análisis respectivo al mérito de dichas solicitudes en el </w:t>
      </w:r>
      <w:r w:rsidR="0027086A">
        <w:t xml:space="preserve">siguiente </w:t>
      </w:r>
      <w:r w:rsidR="00A32DEE">
        <w:t>capítulo.</w:t>
      </w:r>
    </w:p>
    <w:p w:rsidR="00A24CBC" w:rsidRPr="00A24CBC" w:rsidRDefault="00A24CBC" w:rsidP="00A24CBC">
      <w:pPr>
        <w:pStyle w:val="NoSpacing"/>
        <w:spacing w:before="360"/>
        <w:jc w:val="center"/>
        <w:rPr>
          <w:rFonts w:ascii="Verdana" w:hAnsi="Verdana" w:cs="Verdana"/>
          <w:b/>
          <w:spacing w:val="-2"/>
          <w:sz w:val="20"/>
          <w:szCs w:val="20"/>
          <w:lang w:val="es-ES_tradnl"/>
        </w:rPr>
      </w:pPr>
      <w:r w:rsidRPr="00A24CBC">
        <w:rPr>
          <w:rFonts w:ascii="Verdana" w:hAnsi="Verdana" w:cs="Verdana"/>
          <w:b/>
          <w:spacing w:val="-2"/>
          <w:sz w:val="20"/>
          <w:szCs w:val="20"/>
          <w:lang w:val="es-ES_tradnl"/>
        </w:rPr>
        <w:t>IV</w:t>
      </w:r>
    </w:p>
    <w:p w:rsidR="00A24CBC" w:rsidRPr="000866D1" w:rsidRDefault="00A24CBC" w:rsidP="00A24CBC">
      <w:pPr>
        <w:pStyle w:val="NoSpacing"/>
        <w:spacing w:after="360"/>
        <w:jc w:val="center"/>
        <w:rPr>
          <w:rFonts w:ascii="Verdana" w:hAnsi="Verdana" w:cs="Verdana"/>
          <w:b/>
          <w:spacing w:val="-2"/>
          <w:sz w:val="20"/>
          <w:szCs w:val="20"/>
          <w:lang w:val="es-ES_tradnl"/>
        </w:rPr>
      </w:pPr>
      <w:r w:rsidRPr="000866D1">
        <w:rPr>
          <w:rFonts w:ascii="Verdana" w:hAnsi="Verdana" w:cs="Verdana"/>
          <w:b/>
          <w:spacing w:val="-2"/>
          <w:sz w:val="20"/>
          <w:szCs w:val="20"/>
          <w:lang w:val="es-ES_tradnl"/>
        </w:rPr>
        <w:t xml:space="preserve">ANÁLISIS DE LA PROCEDENCIA DE LA SOLICITUD DE INTERPRETACIÓN </w:t>
      </w:r>
    </w:p>
    <w:p w:rsidR="00A24CBC" w:rsidRPr="000E44BE" w:rsidRDefault="00A24CBC" w:rsidP="00A24CBC">
      <w:pPr>
        <w:numPr>
          <w:ilvl w:val="0"/>
          <w:numId w:val="16"/>
        </w:numPr>
        <w:tabs>
          <w:tab w:val="num" w:pos="720"/>
        </w:tabs>
        <w:spacing w:before="120" w:after="120"/>
        <w:ind w:left="0" w:firstLine="0"/>
        <w:rPr>
          <w:rFonts w:eastAsia="Times"/>
          <w:bCs/>
          <w:spacing w:val="-2"/>
          <w:szCs w:val="20"/>
          <w:lang w:val="es-ES_tradnl"/>
        </w:rPr>
      </w:pPr>
      <w:r w:rsidRPr="000866D1">
        <w:rPr>
          <w:rFonts w:eastAsia="Times"/>
          <w:spacing w:val="-2"/>
          <w:szCs w:val="20"/>
          <w:lang w:val="es-ES_tradnl"/>
        </w:rPr>
        <w:t>A continuación</w:t>
      </w:r>
      <w:r w:rsidR="00DF1F35">
        <w:rPr>
          <w:rFonts w:eastAsia="Times"/>
          <w:spacing w:val="-2"/>
          <w:szCs w:val="20"/>
          <w:lang w:val="es-ES_tradnl"/>
        </w:rPr>
        <w:t>,</w:t>
      </w:r>
      <w:r w:rsidRPr="000866D1">
        <w:rPr>
          <w:rFonts w:eastAsia="Times"/>
          <w:spacing w:val="-2"/>
          <w:szCs w:val="20"/>
          <w:lang w:val="es-ES_tradnl"/>
        </w:rPr>
        <w:t xml:space="preserve"> el Tribunal analizará la</w:t>
      </w:r>
      <w:r w:rsidR="00C1576D">
        <w:rPr>
          <w:rFonts w:eastAsia="Times"/>
          <w:spacing w:val="-2"/>
          <w:szCs w:val="20"/>
          <w:lang w:val="es-ES_tradnl"/>
        </w:rPr>
        <w:t>s</w:t>
      </w:r>
      <w:r w:rsidRPr="000866D1">
        <w:rPr>
          <w:rFonts w:eastAsia="Times"/>
          <w:spacing w:val="-2"/>
          <w:szCs w:val="20"/>
          <w:lang w:val="es-ES_tradnl"/>
        </w:rPr>
        <w:t xml:space="preserve"> solicitud</w:t>
      </w:r>
      <w:r w:rsidR="00C1576D">
        <w:rPr>
          <w:rFonts w:eastAsia="Times"/>
          <w:spacing w:val="-2"/>
          <w:szCs w:val="20"/>
          <w:lang w:val="es-ES_tradnl"/>
        </w:rPr>
        <w:t>es de los representantes y</w:t>
      </w:r>
      <w:r w:rsidRPr="000866D1">
        <w:rPr>
          <w:rFonts w:eastAsia="Times"/>
          <w:spacing w:val="-2"/>
          <w:szCs w:val="20"/>
          <w:lang w:val="es-ES_tradnl"/>
        </w:rPr>
        <w:t xml:space="preserve"> del Estado para determinar si, de acuerdo a la normativa y a los estándares desarrollados en su jurisprudencia, procede aclarar el sentido o alcance de algún punto de la Sentencia. </w:t>
      </w:r>
    </w:p>
    <w:p w:rsidR="000E44BE" w:rsidRPr="005254A8" w:rsidRDefault="000E44BE" w:rsidP="000E44BE">
      <w:pPr>
        <w:numPr>
          <w:ilvl w:val="0"/>
          <w:numId w:val="16"/>
        </w:numPr>
        <w:tabs>
          <w:tab w:val="num" w:pos="720"/>
        </w:tabs>
        <w:spacing w:before="120" w:after="120"/>
        <w:ind w:left="0" w:firstLine="0"/>
        <w:rPr>
          <w:lang w:val="es-CR"/>
        </w:rPr>
      </w:pPr>
      <w:bookmarkStart w:id="7" w:name="_Ref392082429"/>
      <w:r w:rsidRPr="005254A8">
        <w:rPr>
          <w:lang w:val="es-CR"/>
        </w:rPr>
        <w:t>Para analizar la procedencia de la</w:t>
      </w:r>
      <w:r w:rsidR="00C1576D">
        <w:rPr>
          <w:lang w:val="es-CR"/>
        </w:rPr>
        <w:t>s</w:t>
      </w:r>
      <w:r w:rsidRPr="005254A8">
        <w:rPr>
          <w:lang w:val="es-CR"/>
        </w:rPr>
        <w:t xml:space="preserve"> solicitud</w:t>
      </w:r>
      <w:r w:rsidR="00C1576D">
        <w:rPr>
          <w:lang w:val="es-CR"/>
        </w:rPr>
        <w:t>es de los representantes y</w:t>
      </w:r>
      <w:r w:rsidRPr="005254A8">
        <w:rPr>
          <w:lang w:val="es-CR"/>
        </w:rPr>
        <w:t xml:space="preserve"> del Estado, la Corte toma en consideración su </w:t>
      </w:r>
      <w:r w:rsidRPr="000E44BE">
        <w:rPr>
          <w:rFonts w:eastAsia="Times"/>
          <w:spacing w:val="-2"/>
          <w:szCs w:val="20"/>
          <w:lang w:val="es-ES_tradnl"/>
        </w:rPr>
        <w:t>jurisprudencia</w:t>
      </w:r>
      <w:r w:rsidRPr="005254A8">
        <w:rPr>
          <w:lang w:val="es-CR"/>
        </w:rPr>
        <w:t xml:space="preserve"> constante, claramente sustentada en el ordenamiento aplicable, en cuanto a que una solicitud de interpretación de sentencia no puede utilizarse como medio de impugnación de la decisión cuya interpretación se requiere.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Pr="005254A8">
        <w:rPr>
          <w:rStyle w:val="FootnoteReference"/>
          <w:lang w:val="es-CR"/>
        </w:rPr>
        <w:footnoteReference w:id="5"/>
      </w:r>
      <w:r w:rsidRPr="005254A8">
        <w:rPr>
          <w:lang w:val="es-CR"/>
        </w:rPr>
        <w:t>. Por lo tanto, no se puede solicitar la modificación o anulación de la sentencia respectiva a través de una solicitud de interpretación</w:t>
      </w:r>
      <w:r w:rsidRPr="005254A8">
        <w:rPr>
          <w:rStyle w:val="FootnoteReference"/>
          <w:lang w:val="es-CR"/>
        </w:rPr>
        <w:footnoteReference w:id="6"/>
      </w:r>
      <w:r w:rsidRPr="005254A8">
        <w:rPr>
          <w:lang w:val="es-CR"/>
        </w:rPr>
        <w:t>.</w:t>
      </w:r>
      <w:bookmarkEnd w:id="7"/>
    </w:p>
    <w:p w:rsidR="00D72B1C" w:rsidRPr="00781C53" w:rsidRDefault="00265C94" w:rsidP="000E44BE">
      <w:pPr>
        <w:numPr>
          <w:ilvl w:val="0"/>
          <w:numId w:val="16"/>
        </w:numPr>
        <w:tabs>
          <w:tab w:val="num" w:pos="720"/>
        </w:tabs>
        <w:spacing w:before="120" w:after="120"/>
        <w:ind w:left="0" w:firstLine="0"/>
        <w:rPr>
          <w:rFonts w:eastAsia="Times"/>
          <w:szCs w:val="20"/>
          <w:lang w:val="es-ES_tradnl"/>
        </w:rPr>
      </w:pPr>
      <w:r>
        <w:t xml:space="preserve">Adicionalmente, la Corte ha sostenido la improcedencia de utilizar una solicitud de interpretación para someter cuestiones de hecho y de derecho que ya fueron planteadas en su oportunidad procesal y sobre las cuales la Corte ya adoptó una </w:t>
      </w:r>
      <w:r>
        <w:lastRenderedPageBreak/>
        <w:t>decisión</w:t>
      </w:r>
      <w:r>
        <w:rPr>
          <w:rStyle w:val="FootnoteReference"/>
        </w:rPr>
        <w:footnoteReference w:id="7"/>
      </w:r>
      <w:r>
        <w:t>, así como para pretender que la Corte valore nuevamente cuestiones que ya han sido resueltas por ésta en su Sentencia</w:t>
      </w:r>
      <w:r>
        <w:rPr>
          <w:rStyle w:val="FootnoteReference"/>
        </w:rPr>
        <w:footnoteReference w:id="8"/>
      </w:r>
      <w:r>
        <w:t>. De igual manera, por esta vía tampoco se puede intentar que se amplíe el alcance de una medida de reparación ordenada oportunamente</w:t>
      </w:r>
      <w:r>
        <w:rPr>
          <w:rStyle w:val="FootnoteReference"/>
        </w:rPr>
        <w:footnoteReference w:id="9"/>
      </w:r>
      <w:r>
        <w:t>.</w:t>
      </w:r>
    </w:p>
    <w:p w:rsidR="00362CB3" w:rsidRPr="004F322D" w:rsidRDefault="0095012D" w:rsidP="00362CB3">
      <w:pPr>
        <w:numPr>
          <w:ilvl w:val="0"/>
          <w:numId w:val="16"/>
        </w:numPr>
        <w:tabs>
          <w:tab w:val="num" w:pos="720"/>
        </w:tabs>
        <w:spacing w:before="120" w:after="120"/>
        <w:ind w:left="0" w:firstLine="0"/>
        <w:rPr>
          <w:lang w:val="es-CR"/>
        </w:rPr>
      </w:pPr>
      <w:r w:rsidRPr="004F322D">
        <w:t xml:space="preserve">Respecto a la solicitud de los representantes sobre la </w:t>
      </w:r>
      <w:r w:rsidR="004F322D" w:rsidRPr="004F322D">
        <w:t xml:space="preserve">corrección </w:t>
      </w:r>
      <w:r w:rsidRPr="004F322D">
        <w:t xml:space="preserve">de algunos nombres de las personas beneficiarias de las medidas de reparación, la Corte </w:t>
      </w:r>
      <w:r w:rsidR="005F50D1" w:rsidRPr="004F322D">
        <w:t>recuerda que</w:t>
      </w:r>
      <w:r w:rsidRPr="004F322D">
        <w:t xml:space="preserve"> </w:t>
      </w:r>
      <w:r w:rsidRPr="004F322D">
        <w:rPr>
          <w:szCs w:val="20"/>
          <w:lang w:val="es-ES_tradnl"/>
        </w:rPr>
        <w:t>estimó procedente efectuar los cambios pertinentes en la Sentencia emitida el 31 de agosto de 2017, de conformidad con el art. 76 del Reglamento</w:t>
      </w:r>
      <w:r w:rsidR="005F50D1" w:rsidRPr="004F322D">
        <w:rPr>
          <w:szCs w:val="20"/>
          <w:lang w:val="es-ES_tradnl"/>
        </w:rPr>
        <w:t xml:space="preserve">. La Sentencia corregida fue notificada a las partes y a la Comisión el </w:t>
      </w:r>
      <w:r w:rsidR="004F322D" w:rsidRPr="00781C53">
        <w:rPr>
          <w:szCs w:val="20"/>
          <w:lang w:val="es-ES_tradnl"/>
        </w:rPr>
        <w:t>24</w:t>
      </w:r>
      <w:r w:rsidR="005F50D1" w:rsidRPr="004F322D">
        <w:rPr>
          <w:szCs w:val="20"/>
          <w:lang w:val="es-ES_tradnl"/>
        </w:rPr>
        <w:t xml:space="preserve"> de mayo de 2018</w:t>
      </w:r>
      <w:r w:rsidR="004F322D" w:rsidRPr="004F322D">
        <w:rPr>
          <w:szCs w:val="20"/>
          <w:lang w:val="es-ES_tradnl"/>
        </w:rPr>
        <w:t xml:space="preserve"> (</w:t>
      </w:r>
      <w:r w:rsidR="004F322D" w:rsidRPr="004F322D">
        <w:rPr>
          <w:i/>
          <w:szCs w:val="20"/>
          <w:lang w:val="es-ES_tradnl"/>
        </w:rPr>
        <w:t>supra</w:t>
      </w:r>
      <w:r w:rsidR="004F322D" w:rsidRPr="004F322D">
        <w:rPr>
          <w:szCs w:val="20"/>
          <w:lang w:val="es-ES_tradnl"/>
        </w:rPr>
        <w:t xml:space="preserve"> párr. 5)</w:t>
      </w:r>
      <w:r w:rsidRPr="004F322D">
        <w:rPr>
          <w:szCs w:val="20"/>
          <w:lang w:val="es-ES_tradnl"/>
        </w:rPr>
        <w:t xml:space="preserve">. </w:t>
      </w:r>
      <w:r w:rsidR="00D72B1C" w:rsidRPr="004F322D">
        <w:t xml:space="preserve">Bajo este entendido, la Corte examinará las </w:t>
      </w:r>
      <w:r w:rsidR="005F50D1" w:rsidRPr="004F322D">
        <w:t xml:space="preserve">demás </w:t>
      </w:r>
      <w:r w:rsidR="00D72B1C" w:rsidRPr="004F322D">
        <w:t xml:space="preserve">cuestiones planteadas por los representantes y el Estado, así como las observaciones de la Comisión, en el siguiente orden: </w:t>
      </w:r>
      <w:r w:rsidRPr="004F322D">
        <w:t>A</w:t>
      </w:r>
      <w:r w:rsidR="00362CB3" w:rsidRPr="004F322D">
        <w:t>)</w:t>
      </w:r>
      <w:r w:rsidR="00BB04C8" w:rsidRPr="004F322D">
        <w:t xml:space="preserve"> </w:t>
      </w:r>
      <w:r w:rsidR="009623A8" w:rsidRPr="004F322D">
        <w:t>Aclaración e</w:t>
      </w:r>
      <w:r w:rsidR="00BB04C8" w:rsidRPr="004F322D">
        <w:rPr>
          <w:lang w:val="es-CR"/>
        </w:rPr>
        <w:t xml:space="preserve">n relación a la sección resolutiva sobre </w:t>
      </w:r>
      <w:r w:rsidR="00362CB3" w:rsidRPr="004F322D">
        <w:rPr>
          <w:lang w:val="es-CR"/>
        </w:rPr>
        <w:t>reparaci</w:t>
      </w:r>
      <w:r w:rsidRPr="004F322D">
        <w:rPr>
          <w:lang w:val="es-CR"/>
        </w:rPr>
        <w:t>ones de la Sentencia; B</w:t>
      </w:r>
      <w:r w:rsidR="00362CB3" w:rsidRPr="004F322D">
        <w:rPr>
          <w:lang w:val="es-CR"/>
        </w:rPr>
        <w:t xml:space="preserve">) </w:t>
      </w:r>
      <w:r w:rsidR="00545723" w:rsidRPr="004F322D">
        <w:rPr>
          <w:lang w:val="es-CR"/>
        </w:rPr>
        <w:t>Sobre la excepción preliminar interpuesta por el Estado</w:t>
      </w:r>
      <w:r w:rsidRPr="004F322D">
        <w:rPr>
          <w:lang w:val="es-CR"/>
        </w:rPr>
        <w:t>; C</w:t>
      </w:r>
      <w:r w:rsidR="00362CB3" w:rsidRPr="004F322D">
        <w:rPr>
          <w:lang w:val="es-CR"/>
        </w:rPr>
        <w:t>)</w:t>
      </w:r>
      <w:r w:rsidR="00545723" w:rsidRPr="004F322D">
        <w:rPr>
          <w:lang w:val="es-CR"/>
        </w:rPr>
        <w:t xml:space="preserve"> </w:t>
      </w:r>
      <w:r w:rsidR="00362CB3" w:rsidRPr="004F322D">
        <w:rPr>
          <w:lang w:val="es-CR"/>
        </w:rPr>
        <w:t>El pago ordenado por concepto de daño inmaterial</w:t>
      </w:r>
      <w:r w:rsidRPr="004F322D">
        <w:rPr>
          <w:lang w:val="es-CR"/>
        </w:rPr>
        <w:t>; D</w:t>
      </w:r>
      <w:r w:rsidR="00362CB3" w:rsidRPr="004F322D">
        <w:rPr>
          <w:lang w:val="es-CR"/>
        </w:rPr>
        <w:t>) Forma de pago y distribución de los montos en equidad</w:t>
      </w:r>
      <w:r w:rsidRPr="004F322D">
        <w:rPr>
          <w:lang w:val="es-CR"/>
        </w:rPr>
        <w:t>; E</w:t>
      </w:r>
      <w:r w:rsidR="00362CB3" w:rsidRPr="004F322D">
        <w:rPr>
          <w:lang w:val="es-CR"/>
        </w:rPr>
        <w:t>) Gastos posteriores que se generen la supervisión de cumplimiento de Sentencia</w:t>
      </w:r>
      <w:r w:rsidRPr="004F322D">
        <w:rPr>
          <w:lang w:val="es-CR"/>
        </w:rPr>
        <w:t>, y F</w:t>
      </w:r>
      <w:r w:rsidR="00362CB3" w:rsidRPr="004F322D">
        <w:rPr>
          <w:lang w:val="es-CR"/>
        </w:rPr>
        <w:t>) Modalidad de cumplimiento de los pagos ordenados.</w:t>
      </w:r>
    </w:p>
    <w:p w:rsidR="00D50732" w:rsidRDefault="0095012D" w:rsidP="00781C53">
      <w:pPr>
        <w:tabs>
          <w:tab w:val="num" w:pos="720"/>
        </w:tabs>
        <w:spacing w:before="240" w:after="240"/>
        <w:ind w:left="720"/>
        <w:rPr>
          <w:b/>
          <w:i/>
          <w:lang w:val="es-CR"/>
        </w:rPr>
      </w:pPr>
      <w:r>
        <w:rPr>
          <w:b/>
          <w:i/>
          <w:lang w:val="es-CR"/>
        </w:rPr>
        <w:t>A</w:t>
      </w:r>
      <w:r w:rsidR="00964662">
        <w:rPr>
          <w:b/>
          <w:i/>
          <w:lang w:val="es-CR"/>
        </w:rPr>
        <w:t xml:space="preserve">. </w:t>
      </w:r>
      <w:r w:rsidR="009623A8">
        <w:rPr>
          <w:b/>
          <w:i/>
          <w:lang w:val="es-CR"/>
        </w:rPr>
        <w:t>Aclaración e</w:t>
      </w:r>
      <w:r w:rsidR="00D50732">
        <w:rPr>
          <w:b/>
          <w:i/>
          <w:lang w:val="es-CR"/>
        </w:rPr>
        <w:t>n relación a</w:t>
      </w:r>
      <w:r w:rsidR="00964662">
        <w:rPr>
          <w:b/>
          <w:i/>
          <w:lang w:val="es-CR"/>
        </w:rPr>
        <w:t xml:space="preserve"> </w:t>
      </w:r>
      <w:r w:rsidR="00963C4E">
        <w:rPr>
          <w:b/>
          <w:i/>
          <w:lang w:val="es-CR"/>
        </w:rPr>
        <w:t>la sección resolutiva sobre reparaciones de la Sentencia</w:t>
      </w:r>
    </w:p>
    <w:p w:rsidR="009623A8" w:rsidRDefault="00D50732" w:rsidP="00D50732">
      <w:pPr>
        <w:numPr>
          <w:ilvl w:val="0"/>
          <w:numId w:val="16"/>
        </w:numPr>
        <w:tabs>
          <w:tab w:val="num" w:pos="720"/>
        </w:tabs>
        <w:spacing w:before="120" w:after="120"/>
        <w:ind w:left="0" w:firstLine="0"/>
        <w:rPr>
          <w:lang w:val="es-CR"/>
        </w:rPr>
      </w:pPr>
      <w:r>
        <w:rPr>
          <w:lang w:val="es-CR"/>
        </w:rPr>
        <w:t>L</w:t>
      </w:r>
      <w:r w:rsidR="00964662" w:rsidRPr="00D50732">
        <w:rPr>
          <w:lang w:val="es-CR"/>
        </w:rPr>
        <w:t>os</w:t>
      </w:r>
      <w:r w:rsidR="00964662" w:rsidRPr="003318D8">
        <w:rPr>
          <w:b/>
          <w:i/>
          <w:lang w:val="es-CR"/>
        </w:rPr>
        <w:t xml:space="preserve"> </w:t>
      </w:r>
      <w:r w:rsidR="00964662" w:rsidRPr="00D7495A">
        <w:rPr>
          <w:i/>
          <w:lang w:val="es-CR"/>
        </w:rPr>
        <w:t>representantes</w:t>
      </w:r>
      <w:r w:rsidR="00963C4E" w:rsidRPr="00D50732">
        <w:rPr>
          <w:lang w:val="es-CR"/>
        </w:rPr>
        <w:t xml:space="preserve"> realizaron las siguientes solicitudes de aclaración</w:t>
      </w:r>
      <w:r>
        <w:rPr>
          <w:lang w:val="es-CR"/>
        </w:rPr>
        <w:t xml:space="preserve"> </w:t>
      </w:r>
      <w:r w:rsidR="00BB04C8">
        <w:rPr>
          <w:lang w:val="es-CR"/>
        </w:rPr>
        <w:t>sobre</w:t>
      </w:r>
      <w:r>
        <w:rPr>
          <w:lang w:val="es-CR"/>
        </w:rPr>
        <w:t xml:space="preserve"> las reparaciones ordenadas en la Sentencia</w:t>
      </w:r>
      <w:r w:rsidR="00963C4E" w:rsidRPr="00D50732">
        <w:rPr>
          <w:lang w:val="es-CR"/>
        </w:rPr>
        <w:t xml:space="preserve">: </w:t>
      </w:r>
    </w:p>
    <w:p w:rsidR="00AE12C3" w:rsidRPr="00A22229" w:rsidRDefault="00A52855" w:rsidP="00AE12C3">
      <w:pPr>
        <w:spacing w:before="120" w:after="120"/>
        <w:ind w:left="720"/>
        <w:rPr>
          <w:lang w:val="es-CR"/>
        </w:rPr>
      </w:pPr>
      <w:r w:rsidRPr="00A22229">
        <w:rPr>
          <w:lang w:val="es-CR"/>
        </w:rPr>
        <w:t>1</w:t>
      </w:r>
      <w:r w:rsidR="009623A8" w:rsidRPr="00A22229">
        <w:rPr>
          <w:lang w:val="es-CR"/>
        </w:rPr>
        <w:t xml:space="preserve">) </w:t>
      </w:r>
      <w:r w:rsidR="00AE12C3" w:rsidRPr="00A22229">
        <w:rPr>
          <w:lang w:val="es-CR"/>
        </w:rPr>
        <w:t>Solicitaron “aclarar si a la señora Nelly Soto de Castaño y a Cruz Verónica Giraldo Soto, madre e hija respectivamente del señor Javier Giraldo, se les debe pagar tanto la indemnización establecida en el párrafo 309 que daría a cada una reparación de 35.310.10 USD, como la establecida exclusivamente para ellas en el párrafo 310 que es de 9.938 USD”;</w:t>
      </w:r>
    </w:p>
    <w:p w:rsidR="009623A8" w:rsidRPr="00A22229" w:rsidRDefault="00AE12C3" w:rsidP="009623A8">
      <w:pPr>
        <w:spacing w:before="120" w:after="120"/>
        <w:ind w:left="720"/>
        <w:rPr>
          <w:lang w:val="es-CR"/>
        </w:rPr>
      </w:pPr>
      <w:r w:rsidRPr="00A22229">
        <w:rPr>
          <w:lang w:val="es-CR"/>
        </w:rPr>
        <w:t xml:space="preserve">2) </w:t>
      </w:r>
      <w:r w:rsidR="009623A8" w:rsidRPr="00A22229">
        <w:rPr>
          <w:lang w:val="es-CR"/>
        </w:rPr>
        <w:t>E</w:t>
      </w:r>
      <w:r w:rsidR="00963C4E" w:rsidRPr="00A22229">
        <w:rPr>
          <w:lang w:val="es-CR"/>
        </w:rPr>
        <w:t xml:space="preserve">n relación al párrafo 309 de la Sentencia, mencionaron que </w:t>
      </w:r>
      <w:r w:rsidR="008B4A2B">
        <w:rPr>
          <w:lang w:val="es-CR"/>
        </w:rPr>
        <w:t>é</w:t>
      </w:r>
      <w:r w:rsidR="008B4A2B" w:rsidRPr="00A22229">
        <w:rPr>
          <w:lang w:val="es-CR"/>
        </w:rPr>
        <w:t xml:space="preserve">ste </w:t>
      </w:r>
      <w:r w:rsidR="00963C4E" w:rsidRPr="00A22229">
        <w:rPr>
          <w:lang w:val="es-CR"/>
        </w:rPr>
        <w:t xml:space="preserve">señala “que los padres o madres de las víctimas tienen derecho a una indemnización de 35.310.10 USD en concepto de daño moral, y se afirma que la única que tiene esta condición es la señora María </w:t>
      </w:r>
      <w:proofErr w:type="spellStart"/>
      <w:r w:rsidR="00963C4E" w:rsidRPr="00A22229">
        <w:rPr>
          <w:lang w:val="es-CR"/>
        </w:rPr>
        <w:t>Diocelina</w:t>
      </w:r>
      <w:proofErr w:type="spellEnd"/>
      <w:r w:rsidR="00963C4E" w:rsidRPr="00A22229">
        <w:rPr>
          <w:lang w:val="es-CR"/>
        </w:rPr>
        <w:t xml:space="preserve"> Quintero (fallecida)”. Al respecto, indicaron que “se omite a María Engracia Hernández de Gallego, quien solo demandó administrativamente por el caso de su hijo Juan Carlos, y no por el de su hijo Octavio” y que “[t]</w:t>
      </w:r>
      <w:proofErr w:type="spellStart"/>
      <w:r w:rsidR="00963C4E" w:rsidRPr="00A22229">
        <w:rPr>
          <w:lang w:val="es-CR"/>
        </w:rPr>
        <w:t>ampoco</w:t>
      </w:r>
      <w:proofErr w:type="spellEnd"/>
      <w:r w:rsidR="00963C4E" w:rsidRPr="00A22229">
        <w:rPr>
          <w:lang w:val="es-CR"/>
        </w:rPr>
        <w:t xml:space="preserve"> se incluye al señor </w:t>
      </w:r>
      <w:proofErr w:type="spellStart"/>
      <w:r w:rsidR="00963C4E" w:rsidRPr="00A22229">
        <w:rPr>
          <w:lang w:val="es-CR"/>
        </w:rPr>
        <w:t>Arcesio</w:t>
      </w:r>
      <w:proofErr w:type="spellEnd"/>
      <w:r w:rsidR="00963C4E" w:rsidRPr="00A22229">
        <w:rPr>
          <w:lang w:val="es-CR"/>
        </w:rPr>
        <w:t xml:space="preserve"> Muñoz, quien es relacionado en el pie de página 440 como un hermano de Orlando Muñoz, y en realidad es el padre de Orlando Muñoz”</w:t>
      </w:r>
      <w:r w:rsidRPr="00A22229">
        <w:rPr>
          <w:lang w:val="es-CR"/>
        </w:rPr>
        <w:t>, y</w:t>
      </w:r>
      <w:r w:rsidR="00963C4E" w:rsidRPr="00A22229">
        <w:rPr>
          <w:lang w:val="es-CR"/>
        </w:rPr>
        <w:t xml:space="preserve"> </w:t>
      </w:r>
    </w:p>
    <w:p w:rsidR="00C80D09" w:rsidRDefault="00A52855" w:rsidP="009623A8">
      <w:pPr>
        <w:spacing w:before="120" w:after="120"/>
        <w:ind w:left="720"/>
        <w:rPr>
          <w:lang w:val="es-CR"/>
        </w:rPr>
      </w:pPr>
      <w:r w:rsidRPr="00A22229">
        <w:rPr>
          <w:lang w:val="es-CR"/>
        </w:rPr>
        <w:t>3</w:t>
      </w:r>
      <w:r w:rsidR="009623A8" w:rsidRPr="00A22229">
        <w:rPr>
          <w:lang w:val="es-CR"/>
        </w:rPr>
        <w:t>) R</w:t>
      </w:r>
      <w:r w:rsidR="00D50732" w:rsidRPr="00A22229">
        <w:rPr>
          <w:lang w:val="es-CR"/>
        </w:rPr>
        <w:t xml:space="preserve">especto de </w:t>
      </w:r>
      <w:r w:rsidR="00963C4E" w:rsidRPr="00A22229">
        <w:rPr>
          <w:lang w:val="es-CR"/>
        </w:rPr>
        <w:t xml:space="preserve">Leónidas Cardona Quintero (fallecido), hermano de Juan Crisóstomo y Miguel </w:t>
      </w:r>
      <w:proofErr w:type="spellStart"/>
      <w:r w:rsidR="00963C4E" w:rsidRPr="00A22229">
        <w:rPr>
          <w:lang w:val="es-CR"/>
        </w:rPr>
        <w:t>Ancizar</w:t>
      </w:r>
      <w:proofErr w:type="spellEnd"/>
      <w:r w:rsidR="00D50732" w:rsidRPr="00A22229">
        <w:rPr>
          <w:lang w:val="es-CR"/>
        </w:rPr>
        <w:t xml:space="preserve"> </w:t>
      </w:r>
      <w:r w:rsidR="00963C4E" w:rsidRPr="00A22229">
        <w:rPr>
          <w:lang w:val="es-CR"/>
        </w:rPr>
        <w:t>Cardona Quintero,</w:t>
      </w:r>
      <w:r w:rsidR="00D50732" w:rsidRPr="00A22229">
        <w:rPr>
          <w:lang w:val="es-CR"/>
        </w:rPr>
        <w:t xml:space="preserve"> indicaron que </w:t>
      </w:r>
      <w:r w:rsidR="00C80D09" w:rsidRPr="00A22229">
        <w:rPr>
          <w:lang w:val="es-CR"/>
        </w:rPr>
        <w:t>“</w:t>
      </w:r>
      <w:r w:rsidR="00963C4E" w:rsidRPr="00A22229">
        <w:rPr>
          <w:lang w:val="es-CR"/>
        </w:rPr>
        <w:t xml:space="preserve">fue reconocido por la </w:t>
      </w:r>
      <w:r w:rsidR="008B4A2B">
        <w:rPr>
          <w:lang w:val="es-CR"/>
        </w:rPr>
        <w:t>[Comisión]</w:t>
      </w:r>
      <w:r w:rsidR="008B4A2B" w:rsidRPr="00A22229">
        <w:rPr>
          <w:lang w:val="es-CR"/>
        </w:rPr>
        <w:t xml:space="preserve"> </w:t>
      </w:r>
      <w:r w:rsidR="00963C4E" w:rsidRPr="00A22229">
        <w:rPr>
          <w:lang w:val="es-CR"/>
        </w:rPr>
        <w:t>en su informe, y presentado por las</w:t>
      </w:r>
      <w:r w:rsidR="00D50732" w:rsidRPr="00A22229">
        <w:rPr>
          <w:lang w:val="es-CR"/>
        </w:rPr>
        <w:t xml:space="preserve"> </w:t>
      </w:r>
      <w:r w:rsidR="00963C4E" w:rsidRPr="00A22229">
        <w:rPr>
          <w:lang w:val="es-CR"/>
        </w:rPr>
        <w:t xml:space="preserve">víctimas en </w:t>
      </w:r>
      <w:r w:rsidR="00D50732" w:rsidRPr="00A22229">
        <w:rPr>
          <w:lang w:val="es-CR"/>
        </w:rPr>
        <w:t>el ESAP, y se le reconoció</w:t>
      </w:r>
      <w:r w:rsidR="00963C4E" w:rsidRPr="00A22229">
        <w:rPr>
          <w:lang w:val="es-CR"/>
        </w:rPr>
        <w:t xml:space="preserve"> su reparación correspondiente en</w:t>
      </w:r>
      <w:r w:rsidR="00D50732" w:rsidRPr="00A22229">
        <w:rPr>
          <w:lang w:val="es-CR"/>
        </w:rPr>
        <w:t xml:space="preserve"> </w:t>
      </w:r>
      <w:r w:rsidR="00963C4E" w:rsidRPr="00A22229">
        <w:rPr>
          <w:lang w:val="es-CR"/>
        </w:rPr>
        <w:t>la nota al pie 440 numeral 18</w:t>
      </w:r>
      <w:r w:rsidR="00D50732" w:rsidRPr="00A22229">
        <w:rPr>
          <w:lang w:val="es-CR"/>
        </w:rPr>
        <w:t xml:space="preserve">, sin </w:t>
      </w:r>
      <w:r w:rsidR="00963C4E" w:rsidRPr="00A22229">
        <w:rPr>
          <w:lang w:val="es-CR"/>
        </w:rPr>
        <w:t>embargo, no se encuentra identificada como víctima</w:t>
      </w:r>
      <w:r w:rsidR="00D50732" w:rsidRPr="00A22229">
        <w:rPr>
          <w:lang w:val="es-CR"/>
        </w:rPr>
        <w:t xml:space="preserve"> </w:t>
      </w:r>
      <w:r w:rsidR="00963C4E" w:rsidRPr="00A22229">
        <w:rPr>
          <w:lang w:val="es-CR"/>
        </w:rPr>
        <w:t>en el pie de página 1</w:t>
      </w:r>
      <w:r w:rsidR="00C80D09" w:rsidRPr="00A22229">
        <w:rPr>
          <w:lang w:val="es-CR"/>
        </w:rPr>
        <w:t>”</w:t>
      </w:r>
      <w:r w:rsidR="00963C4E" w:rsidRPr="00A22229">
        <w:rPr>
          <w:lang w:val="es-CR"/>
        </w:rPr>
        <w:t>.</w:t>
      </w:r>
      <w:r w:rsidR="00D50732" w:rsidRPr="00A22229">
        <w:rPr>
          <w:lang w:val="es-CR"/>
        </w:rPr>
        <w:t xml:space="preserve"> Por </w:t>
      </w:r>
      <w:r w:rsidR="00D50732" w:rsidRPr="00A22229">
        <w:rPr>
          <w:lang w:val="es-CR"/>
        </w:rPr>
        <w:lastRenderedPageBreak/>
        <w:t>tanto, s</w:t>
      </w:r>
      <w:r w:rsidR="00963C4E" w:rsidRPr="00A22229">
        <w:rPr>
          <w:lang w:val="es-CR"/>
        </w:rPr>
        <w:t>olicita</w:t>
      </w:r>
      <w:r w:rsidR="00D50732" w:rsidRPr="00A22229">
        <w:rPr>
          <w:lang w:val="es-CR"/>
        </w:rPr>
        <w:t>r</w:t>
      </w:r>
      <w:r w:rsidR="00963C4E" w:rsidRPr="00A22229">
        <w:rPr>
          <w:lang w:val="es-CR"/>
        </w:rPr>
        <w:t>o</w:t>
      </w:r>
      <w:r w:rsidR="00D50732" w:rsidRPr="00A22229">
        <w:rPr>
          <w:lang w:val="es-CR"/>
        </w:rPr>
        <w:t>n</w:t>
      </w:r>
      <w:r w:rsidR="00963C4E" w:rsidRPr="00A22229">
        <w:rPr>
          <w:lang w:val="es-CR"/>
        </w:rPr>
        <w:t xml:space="preserve"> que la Corte aclare que sus herederos tienen</w:t>
      </w:r>
      <w:r w:rsidR="00D50732" w:rsidRPr="00A22229">
        <w:rPr>
          <w:lang w:val="es-CR"/>
        </w:rPr>
        <w:t xml:space="preserve"> </w:t>
      </w:r>
      <w:r w:rsidR="00963C4E" w:rsidRPr="00A22229">
        <w:rPr>
          <w:lang w:val="es-CR"/>
        </w:rPr>
        <w:t>derecho a esta reparación.</w:t>
      </w:r>
    </w:p>
    <w:p w:rsidR="00B24589" w:rsidRPr="00E66330" w:rsidRDefault="00E66330" w:rsidP="00781C53">
      <w:pPr>
        <w:numPr>
          <w:ilvl w:val="0"/>
          <w:numId w:val="16"/>
        </w:numPr>
        <w:tabs>
          <w:tab w:val="num" w:pos="720"/>
        </w:tabs>
        <w:spacing w:before="120" w:after="120"/>
        <w:ind w:left="0" w:firstLine="0"/>
        <w:rPr>
          <w:lang w:val="es-CR"/>
        </w:rPr>
      </w:pPr>
      <w:r w:rsidRPr="00781C53">
        <w:rPr>
          <w:lang w:val="es-CR"/>
        </w:rPr>
        <w:t xml:space="preserve">La </w:t>
      </w:r>
      <w:r w:rsidRPr="00D7495A">
        <w:rPr>
          <w:i/>
          <w:lang w:val="es-CR"/>
        </w:rPr>
        <w:t>Comisión</w:t>
      </w:r>
      <w:r w:rsidRPr="00781C53">
        <w:rPr>
          <w:lang w:val="es-CR"/>
        </w:rPr>
        <w:t xml:space="preserve"> indicó </w:t>
      </w:r>
      <w:r w:rsidR="00953AFF">
        <w:rPr>
          <w:lang w:val="es-CR"/>
        </w:rPr>
        <w:t>de</w:t>
      </w:r>
      <w:r w:rsidRPr="00781C53">
        <w:rPr>
          <w:lang w:val="es-CR"/>
        </w:rPr>
        <w:t xml:space="preserve"> forma genérica</w:t>
      </w:r>
      <w:r w:rsidR="00953AFF">
        <w:rPr>
          <w:lang w:val="es-CR"/>
        </w:rPr>
        <w:t xml:space="preserve"> que</w:t>
      </w:r>
      <w:r w:rsidRPr="00781C53">
        <w:rPr>
          <w:lang w:val="es-CR"/>
        </w:rPr>
        <w:t xml:space="preserve"> corresponde la aclaración respecto de las víctimas indicadas en la sección resolutiva de reparaciones de la </w:t>
      </w:r>
      <w:r w:rsidRPr="00E66330">
        <w:rPr>
          <w:lang w:val="es-CR"/>
        </w:rPr>
        <w:t>Sentencia.</w:t>
      </w:r>
      <w:r w:rsidR="00953AFF">
        <w:rPr>
          <w:lang w:val="es-CR"/>
        </w:rPr>
        <w:t xml:space="preserve"> </w:t>
      </w:r>
      <w:r w:rsidR="00B24589" w:rsidRPr="00E66330">
        <w:rPr>
          <w:lang w:val="es-CR"/>
        </w:rPr>
        <w:t xml:space="preserve">El </w:t>
      </w:r>
      <w:r w:rsidR="00B24589" w:rsidRPr="00D7495A">
        <w:rPr>
          <w:i/>
          <w:lang w:val="es-CR"/>
        </w:rPr>
        <w:t>Estado</w:t>
      </w:r>
      <w:r w:rsidR="00B24589" w:rsidRPr="00E66330">
        <w:rPr>
          <w:lang w:val="es-CR"/>
        </w:rPr>
        <w:t xml:space="preserve"> no presentó observaciones relacionadas con estas solicitudes. </w:t>
      </w:r>
    </w:p>
    <w:p w:rsidR="00AE12C3" w:rsidRPr="000850CF" w:rsidRDefault="00AE12C3" w:rsidP="00AE12C3">
      <w:pPr>
        <w:numPr>
          <w:ilvl w:val="0"/>
          <w:numId w:val="16"/>
        </w:numPr>
        <w:tabs>
          <w:tab w:val="num" w:pos="720"/>
        </w:tabs>
        <w:spacing w:before="120" w:after="120"/>
        <w:ind w:left="0" w:firstLine="0"/>
        <w:rPr>
          <w:lang w:val="es-CR"/>
        </w:rPr>
      </w:pPr>
      <w:r>
        <w:rPr>
          <w:lang w:val="es-CR"/>
        </w:rPr>
        <w:t>E</w:t>
      </w:r>
      <w:r w:rsidRPr="002B755D">
        <w:rPr>
          <w:lang w:val="es-CR"/>
        </w:rPr>
        <w:t xml:space="preserve">n relación a las señoras Nelly Soto de Castaño y Cruz Verónica Giraldo Soto, la Corte </w:t>
      </w:r>
      <w:r>
        <w:rPr>
          <w:lang w:val="es-CR"/>
        </w:rPr>
        <w:t>recuerda</w:t>
      </w:r>
      <w:r w:rsidRPr="002B755D">
        <w:rPr>
          <w:lang w:val="es-CR"/>
        </w:rPr>
        <w:t xml:space="preserve"> que en el párrafo 309 de la Sentencia </w:t>
      </w:r>
      <w:r>
        <w:rPr>
          <w:lang w:val="es-CR"/>
        </w:rPr>
        <w:t>se fija</w:t>
      </w:r>
      <w:r w:rsidR="00725B22">
        <w:rPr>
          <w:lang w:val="es-CR"/>
        </w:rPr>
        <w:t>ro</w:t>
      </w:r>
      <w:r>
        <w:rPr>
          <w:lang w:val="es-CR"/>
        </w:rPr>
        <w:t>n una serie de indemnizaciones por concepto de daño inmaterial a favor de los familiares de las víctimas</w:t>
      </w:r>
      <w:r w:rsidR="00725B22">
        <w:rPr>
          <w:lang w:val="es-CR"/>
        </w:rPr>
        <w:t xml:space="preserve"> para las </w:t>
      </w:r>
      <w:r>
        <w:rPr>
          <w:lang w:val="es-CR"/>
        </w:rPr>
        <w:t xml:space="preserve">cuales el Estado no otorgó indemnización en la </w:t>
      </w:r>
      <w:r>
        <w:t>jurisdicción interna, ya sea porque no interpusieron recurso alguno a nivel doméstico, o porque la solicitud fue negada. No obstante, según se señaló en el párrafo 307 de la Sentencia</w:t>
      </w:r>
      <w:r w:rsidR="00953AFF">
        <w:t>,</w:t>
      </w:r>
      <w:r>
        <w:t xml:space="preserve"> “</w:t>
      </w:r>
      <w:r w:rsidRPr="005D40E4">
        <w:rPr>
          <w:lang w:val="es-CR"/>
        </w:rPr>
        <w:t>en el caso de Cruz Verónica Giraldo Soto, y de Nelly Soto Castaño, se encuentra pendiente el pago de la indemnización por la cantidad de US$ 9,938.00</w:t>
      </w:r>
      <w:r>
        <w:rPr>
          <w:lang w:val="es-CR"/>
        </w:rPr>
        <w:t xml:space="preserve">”, por lo que el caso de esas dos personas </w:t>
      </w:r>
      <w:r>
        <w:t xml:space="preserve">es particular, debido a que el pago de su indemnización por este rubro había sido fijado por el Estado en la jurisdicción nacional, </w:t>
      </w:r>
      <w:r w:rsidR="00953AFF">
        <w:t>estando pendiente de pago</w:t>
      </w:r>
      <w:r>
        <w:t xml:space="preserve"> la cantidad de US$ 9,938.00. </w:t>
      </w:r>
    </w:p>
    <w:p w:rsidR="00AE12C3" w:rsidRDefault="00AE12C3" w:rsidP="00AE12C3">
      <w:pPr>
        <w:numPr>
          <w:ilvl w:val="0"/>
          <w:numId w:val="16"/>
        </w:numPr>
        <w:tabs>
          <w:tab w:val="num" w:pos="720"/>
        </w:tabs>
        <w:spacing w:before="120" w:after="120"/>
        <w:ind w:left="0" w:firstLine="0"/>
        <w:rPr>
          <w:lang w:val="es-CR"/>
        </w:rPr>
      </w:pPr>
      <w:r>
        <w:t xml:space="preserve">Es por ese motivo que en el párrafo 310 de la Sentencia se fija como indemnización la suma de US$ 9,938 (nueve mil novecientos treinta y ocho dólares de los Estados Unidos de América) a favor de Cruz Verónica Giraldo Soto y de Nelly Soto de Castaño, por concepto de daño inmaterial, para cada una, por la ejecución de Javier de Jesús Giraldo. Por tanto, resulta claro de la lectura de la Sentencia que el caso particular de las señoras </w:t>
      </w:r>
      <w:r w:rsidRPr="002B755D">
        <w:rPr>
          <w:lang w:val="es-CR"/>
        </w:rPr>
        <w:t>Nelly Soto de Castaño y Cruz Verónica Giraldo Soto</w:t>
      </w:r>
      <w:r>
        <w:rPr>
          <w:lang w:val="es-CR"/>
        </w:rPr>
        <w:t xml:space="preserve"> fue tratado de manera independiente por la Corte en el párrafo 310 de la Sentencia, y por tanto, dichas personas no se encuentran incluidas en la reparación ordenada en el párrafo 309 de la </w:t>
      </w:r>
      <w:r w:rsidR="00725B22">
        <w:rPr>
          <w:lang w:val="es-CR"/>
        </w:rPr>
        <w:t>decisión del Tribunal</w:t>
      </w:r>
      <w:r>
        <w:rPr>
          <w:lang w:val="es-CR"/>
        </w:rPr>
        <w:t xml:space="preserve">. </w:t>
      </w:r>
    </w:p>
    <w:p w:rsidR="00F63BF4" w:rsidRPr="00BC6D5F" w:rsidRDefault="00A52855" w:rsidP="00BC6D5F">
      <w:pPr>
        <w:numPr>
          <w:ilvl w:val="0"/>
          <w:numId w:val="16"/>
        </w:numPr>
        <w:tabs>
          <w:tab w:val="num" w:pos="720"/>
        </w:tabs>
        <w:spacing w:before="120" w:after="120"/>
        <w:ind w:left="0" w:firstLine="0"/>
        <w:rPr>
          <w:lang w:val="es-CR"/>
        </w:rPr>
      </w:pPr>
      <w:r>
        <w:rPr>
          <w:lang w:val="es-CR"/>
        </w:rPr>
        <w:t>E</w:t>
      </w:r>
      <w:r w:rsidR="008C5CD5">
        <w:rPr>
          <w:lang w:val="es-CR"/>
        </w:rPr>
        <w:t>n relación a</w:t>
      </w:r>
      <w:r w:rsidR="00F63BF4">
        <w:rPr>
          <w:lang w:val="es-CR"/>
        </w:rPr>
        <w:t xml:space="preserve"> la señora</w:t>
      </w:r>
      <w:r w:rsidR="00C80D09">
        <w:rPr>
          <w:lang w:val="es-CR"/>
        </w:rPr>
        <w:t xml:space="preserve"> </w:t>
      </w:r>
      <w:r w:rsidR="00F63BF4" w:rsidRPr="00D50732">
        <w:rPr>
          <w:lang w:val="es-CR"/>
        </w:rPr>
        <w:t>María Engracia Hernández de Gallego</w:t>
      </w:r>
      <w:r w:rsidR="0014200D">
        <w:rPr>
          <w:lang w:val="es-CR"/>
        </w:rPr>
        <w:t xml:space="preserve">, </w:t>
      </w:r>
      <w:r w:rsidR="00DF1F35">
        <w:rPr>
          <w:lang w:val="es-CR"/>
        </w:rPr>
        <w:t xml:space="preserve">tal como surge del </w:t>
      </w:r>
      <w:r w:rsidR="0014200D">
        <w:rPr>
          <w:lang w:val="es-CR"/>
        </w:rPr>
        <w:t>an</w:t>
      </w:r>
      <w:r w:rsidR="00BC6D5F">
        <w:rPr>
          <w:lang w:val="es-CR"/>
        </w:rPr>
        <w:t xml:space="preserve">álisis de la prueba presentada </w:t>
      </w:r>
      <w:r w:rsidR="00DF1F35">
        <w:rPr>
          <w:lang w:val="es-CR"/>
        </w:rPr>
        <w:t>durante el</w:t>
      </w:r>
      <w:r w:rsidR="00BC6D5F">
        <w:rPr>
          <w:lang w:val="es-CR"/>
        </w:rPr>
        <w:t xml:space="preserve"> proceso</w:t>
      </w:r>
      <w:r w:rsidR="00DF1F35">
        <w:rPr>
          <w:lang w:val="es-CR"/>
        </w:rPr>
        <w:t xml:space="preserve"> ante la Corte</w:t>
      </w:r>
      <w:r w:rsidR="00BC6D5F">
        <w:rPr>
          <w:lang w:val="es-CR"/>
        </w:rPr>
        <w:t>,</w:t>
      </w:r>
      <w:r w:rsidR="0014200D">
        <w:rPr>
          <w:lang w:val="es-CR"/>
        </w:rPr>
        <w:t xml:space="preserve"> </w:t>
      </w:r>
      <w:r w:rsidR="00953AFF">
        <w:rPr>
          <w:lang w:val="es-CR"/>
        </w:rPr>
        <w:t>é</w:t>
      </w:r>
      <w:r w:rsidR="00BC6D5F">
        <w:rPr>
          <w:lang w:val="es-CR"/>
        </w:rPr>
        <w:t>sta únicamente fue indemnizada en la jurisdicción interna por la desaparición de su hijo Juan Carlos Gallego Hernández, y no por la desaparición de Octavio de Jesús Gallego Hernández</w:t>
      </w:r>
      <w:r w:rsidR="00BC6D5F">
        <w:rPr>
          <w:rStyle w:val="FootnoteReference"/>
          <w:lang w:val="es-CR"/>
        </w:rPr>
        <w:footnoteReference w:id="10"/>
      </w:r>
      <w:r w:rsidR="00BC6D5F">
        <w:rPr>
          <w:lang w:val="es-CR"/>
        </w:rPr>
        <w:t>.</w:t>
      </w:r>
      <w:r w:rsidR="0014200D">
        <w:rPr>
          <w:lang w:val="es-CR"/>
        </w:rPr>
        <w:t xml:space="preserve"> </w:t>
      </w:r>
      <w:r w:rsidR="00BC6D5F">
        <w:rPr>
          <w:lang w:val="es-CR"/>
        </w:rPr>
        <w:t xml:space="preserve">Por tanto, el Tribunal aclara que María Engracia Hernández de Gallego es beneficiaria de la indemnización por daño inmaterial de la cantidad de </w:t>
      </w:r>
      <w:r w:rsidR="00BC6D5F">
        <w:t>US$ 35,310.10 y de US$ 5.000, otorgadas en los párrafos 309 y 311 de la Sentencia, respectivamente</w:t>
      </w:r>
      <w:r w:rsidR="004D17C8">
        <w:t>, por la desaparición de su hijo Octavio de Jesús Gallego Hernández</w:t>
      </w:r>
      <w:r w:rsidR="00BC6D5F">
        <w:t>.</w:t>
      </w:r>
    </w:p>
    <w:p w:rsidR="00E3196D" w:rsidRPr="00A22229" w:rsidRDefault="00E3196D" w:rsidP="00E3196D">
      <w:pPr>
        <w:numPr>
          <w:ilvl w:val="0"/>
          <w:numId w:val="16"/>
        </w:numPr>
        <w:tabs>
          <w:tab w:val="num" w:pos="720"/>
        </w:tabs>
        <w:spacing w:before="120" w:after="120"/>
        <w:ind w:left="0" w:firstLine="0"/>
        <w:rPr>
          <w:lang w:val="es-CR"/>
        </w:rPr>
      </w:pPr>
      <w:r w:rsidRPr="00A22229">
        <w:rPr>
          <w:lang w:val="es-CR"/>
        </w:rPr>
        <w:t xml:space="preserve">Por otra parte, </w:t>
      </w:r>
      <w:r w:rsidR="00F63BF4" w:rsidRPr="00A22229">
        <w:rPr>
          <w:lang w:val="es-CR"/>
        </w:rPr>
        <w:t xml:space="preserve">respecto al señor </w:t>
      </w:r>
      <w:proofErr w:type="spellStart"/>
      <w:r w:rsidR="00F63BF4" w:rsidRPr="00A22229">
        <w:rPr>
          <w:lang w:val="es-CR"/>
        </w:rPr>
        <w:t>Arsecio</w:t>
      </w:r>
      <w:proofErr w:type="spellEnd"/>
      <w:r w:rsidR="00F63BF4" w:rsidRPr="00A22229">
        <w:rPr>
          <w:lang w:val="es-CR"/>
        </w:rPr>
        <w:t xml:space="preserve"> Muñoz, </w:t>
      </w:r>
      <w:r w:rsidRPr="00A22229">
        <w:rPr>
          <w:lang w:val="es-CR"/>
        </w:rPr>
        <w:t xml:space="preserve">la Corte constata que la Comisión indicó en el Anexo Único al Informe de Fondo que </w:t>
      </w:r>
      <w:r w:rsidR="00953AFF">
        <w:rPr>
          <w:lang w:val="es-CR"/>
        </w:rPr>
        <w:t>é</w:t>
      </w:r>
      <w:r w:rsidR="00F63BF4" w:rsidRPr="00A22229">
        <w:rPr>
          <w:lang w:val="es-CR"/>
        </w:rPr>
        <w:t>ste</w:t>
      </w:r>
      <w:r w:rsidRPr="00A22229">
        <w:rPr>
          <w:lang w:val="es-CR"/>
        </w:rPr>
        <w:t xml:space="preserve"> e</w:t>
      </w:r>
      <w:r w:rsidR="007E5A41" w:rsidRPr="00A22229">
        <w:rPr>
          <w:lang w:val="es-CR"/>
        </w:rPr>
        <w:t>ra</w:t>
      </w:r>
      <w:r w:rsidRPr="00A22229">
        <w:rPr>
          <w:lang w:val="es-CR"/>
        </w:rPr>
        <w:t xml:space="preserve"> hermano de la víctima Orlando de Jesús Muñoz Castaño. </w:t>
      </w:r>
      <w:r w:rsidR="007B6FA8" w:rsidRPr="00A22229">
        <w:rPr>
          <w:lang w:val="es-CR"/>
        </w:rPr>
        <w:t>Asimismo, consta en el expediente del trámite ante la Comisión que</w:t>
      </w:r>
      <w:r w:rsidR="00725B22">
        <w:rPr>
          <w:lang w:val="es-CR"/>
        </w:rPr>
        <w:t>,</w:t>
      </w:r>
      <w:r w:rsidR="007B6FA8" w:rsidRPr="00A22229">
        <w:rPr>
          <w:lang w:val="es-CR"/>
        </w:rPr>
        <w:t xml:space="preserve"> </w:t>
      </w:r>
      <w:r w:rsidR="00725B22" w:rsidRPr="00A22229">
        <w:rPr>
          <w:lang w:val="es-CR"/>
        </w:rPr>
        <w:t>en una comunicación de 16 de septiembre de 2010</w:t>
      </w:r>
      <w:r w:rsidR="00725B22">
        <w:rPr>
          <w:lang w:val="es-CR"/>
        </w:rPr>
        <w:t xml:space="preserve">, </w:t>
      </w:r>
      <w:r w:rsidR="007B6FA8" w:rsidRPr="00A22229">
        <w:rPr>
          <w:lang w:val="es-CR"/>
        </w:rPr>
        <w:t xml:space="preserve">los representantes, remitieron a la Comisión un cuadro con los nombres de los familiares de las víctimas en el cual vincularon al señor </w:t>
      </w:r>
      <w:proofErr w:type="spellStart"/>
      <w:r w:rsidR="007B6FA8" w:rsidRPr="00A22229">
        <w:rPr>
          <w:lang w:val="es-CR"/>
        </w:rPr>
        <w:t>Arsecio</w:t>
      </w:r>
      <w:proofErr w:type="spellEnd"/>
      <w:r w:rsidR="007B6FA8" w:rsidRPr="00A22229">
        <w:rPr>
          <w:lang w:val="es-CR"/>
        </w:rPr>
        <w:t xml:space="preserve"> Muñoz como hermano de Orlando de Jesús</w:t>
      </w:r>
      <w:r w:rsidR="00DB34F2" w:rsidRPr="00A22229">
        <w:rPr>
          <w:lang w:val="es-CR"/>
        </w:rPr>
        <w:t xml:space="preserve"> y no como su padre</w:t>
      </w:r>
      <w:r w:rsidR="00953AFF">
        <w:rPr>
          <w:lang w:val="es-CR"/>
        </w:rPr>
        <w:t>,</w:t>
      </w:r>
      <w:r w:rsidR="00DB34F2" w:rsidRPr="00A22229">
        <w:rPr>
          <w:lang w:val="es-CR"/>
        </w:rPr>
        <w:t xml:space="preserve"> como luego lo afirmaron</w:t>
      </w:r>
      <w:r w:rsidR="007B6FA8" w:rsidRPr="00A22229">
        <w:rPr>
          <w:rStyle w:val="FootnoteReference"/>
          <w:lang w:val="es-CR"/>
        </w:rPr>
        <w:footnoteReference w:id="11"/>
      </w:r>
      <w:r w:rsidR="007B6FA8" w:rsidRPr="00A22229">
        <w:rPr>
          <w:lang w:val="es-CR"/>
        </w:rPr>
        <w:t xml:space="preserve">. No obstante lo anterior, </w:t>
      </w:r>
      <w:r w:rsidR="00DB34F2" w:rsidRPr="00781C53">
        <w:rPr>
          <w:lang w:val="es-CR"/>
        </w:rPr>
        <w:t xml:space="preserve">a la luz de los elementos de prueba aportados, </w:t>
      </w:r>
      <w:r w:rsidR="007B6FA8" w:rsidRPr="00A22229">
        <w:rPr>
          <w:lang w:val="es-CR"/>
        </w:rPr>
        <w:t xml:space="preserve">la Corte aclara que el señor </w:t>
      </w:r>
      <w:proofErr w:type="spellStart"/>
      <w:r w:rsidR="007B6FA8" w:rsidRPr="00A22229">
        <w:rPr>
          <w:lang w:val="es-CR"/>
        </w:rPr>
        <w:t>Arsecio</w:t>
      </w:r>
      <w:proofErr w:type="spellEnd"/>
      <w:r w:rsidR="007B6FA8" w:rsidRPr="00A22229">
        <w:rPr>
          <w:lang w:val="es-CR"/>
        </w:rPr>
        <w:t xml:space="preserve"> Muñoz es </w:t>
      </w:r>
      <w:r w:rsidR="00DB34F2" w:rsidRPr="00781C53">
        <w:rPr>
          <w:lang w:val="es-CR"/>
        </w:rPr>
        <w:t xml:space="preserve">efectivamente </w:t>
      </w:r>
      <w:r w:rsidR="007B6FA8" w:rsidRPr="00A22229">
        <w:rPr>
          <w:lang w:val="es-CR"/>
        </w:rPr>
        <w:t xml:space="preserve">el padre de Orlando de Jesús Muñoz Castaño, y por tanto, es beneficiario de la indemnización por daño inmaterial de la cantidad de </w:t>
      </w:r>
      <w:r w:rsidR="007B6FA8" w:rsidRPr="00A22229">
        <w:t>US$ 35,310.10 y de US$ 5.000, otorgadas</w:t>
      </w:r>
      <w:r w:rsidR="00545723" w:rsidRPr="00A22229">
        <w:t>, respectivamente,</w:t>
      </w:r>
      <w:r w:rsidR="007B6FA8" w:rsidRPr="00A22229">
        <w:t xml:space="preserve"> en los párrafos 309 y 311 de la Sentencia.</w:t>
      </w:r>
    </w:p>
    <w:p w:rsidR="00C80D09" w:rsidRPr="00F440F2" w:rsidRDefault="00C80D09" w:rsidP="00781C53">
      <w:pPr>
        <w:numPr>
          <w:ilvl w:val="0"/>
          <w:numId w:val="16"/>
        </w:numPr>
        <w:tabs>
          <w:tab w:val="num" w:pos="720"/>
        </w:tabs>
        <w:spacing w:before="120" w:after="120"/>
        <w:ind w:left="0" w:firstLine="0"/>
        <w:rPr>
          <w:lang w:val="es-CR"/>
        </w:rPr>
      </w:pPr>
      <w:r w:rsidRPr="00F440F2">
        <w:rPr>
          <w:lang w:val="es-CR"/>
        </w:rPr>
        <w:lastRenderedPageBreak/>
        <w:t xml:space="preserve">Por último, </w:t>
      </w:r>
      <w:r w:rsidR="00545723" w:rsidRPr="00F440F2">
        <w:rPr>
          <w:lang w:val="es-CR"/>
        </w:rPr>
        <w:t>respecto</w:t>
      </w:r>
      <w:r w:rsidR="007B6FA8" w:rsidRPr="00F440F2">
        <w:rPr>
          <w:lang w:val="es-CR"/>
        </w:rPr>
        <w:t xml:space="preserve"> a Leónidas Cardona Quintero, la Corte constata que </w:t>
      </w:r>
      <w:r w:rsidR="00423267" w:rsidRPr="00F440F2">
        <w:rPr>
          <w:lang w:val="es-CR"/>
        </w:rPr>
        <w:t xml:space="preserve">la Comisión no incluyó </w:t>
      </w:r>
      <w:r w:rsidR="000A3743" w:rsidRPr="00F440F2">
        <w:rPr>
          <w:lang w:val="es-CR"/>
        </w:rPr>
        <w:t xml:space="preserve">a esta persona </w:t>
      </w:r>
      <w:r w:rsidR="00423267" w:rsidRPr="00F440F2">
        <w:rPr>
          <w:lang w:val="es-CR"/>
        </w:rPr>
        <w:t>en el Anexo Único al Informe de Fondo</w:t>
      </w:r>
      <w:r w:rsidR="00545723" w:rsidRPr="00F440F2">
        <w:rPr>
          <w:lang w:val="es-CR"/>
        </w:rPr>
        <w:t>, como víctima del caso</w:t>
      </w:r>
      <w:r w:rsidR="00423267" w:rsidRPr="00F440F2">
        <w:rPr>
          <w:lang w:val="es-CR"/>
        </w:rPr>
        <w:t xml:space="preserve">. </w:t>
      </w:r>
      <w:r w:rsidR="00953AFF">
        <w:rPr>
          <w:lang w:val="es-CR"/>
        </w:rPr>
        <w:t>Al respecto, de</w:t>
      </w:r>
      <w:r w:rsidR="000A3743" w:rsidRPr="00F440F2">
        <w:rPr>
          <w:lang w:val="es-CR"/>
        </w:rPr>
        <w:t xml:space="preserve"> conformidad con el artículo </w:t>
      </w:r>
      <w:r w:rsidR="004C04B9">
        <w:rPr>
          <w:lang w:val="es-CR"/>
        </w:rPr>
        <w:t>35</w:t>
      </w:r>
      <w:r w:rsidR="000A3743" w:rsidRPr="00F440F2">
        <w:rPr>
          <w:lang w:val="es-CR"/>
        </w:rPr>
        <w:t xml:space="preserve"> de su Reglamento</w:t>
      </w:r>
      <w:r w:rsidR="00953AFF">
        <w:rPr>
          <w:lang w:val="es-CR"/>
        </w:rPr>
        <w:t>,</w:t>
      </w:r>
      <w:r w:rsidR="00AC056B">
        <w:rPr>
          <w:lang w:val="es-CR"/>
        </w:rPr>
        <w:t xml:space="preserve"> se recuerda que</w:t>
      </w:r>
      <w:r w:rsidR="004C04B9">
        <w:rPr>
          <w:lang w:val="es-CR"/>
        </w:rPr>
        <w:t xml:space="preserve"> </w:t>
      </w:r>
      <w:r w:rsidR="00953AFF">
        <w:rPr>
          <w:lang w:val="es-CR"/>
        </w:rPr>
        <w:t>la Comisión</w:t>
      </w:r>
      <w:r w:rsidR="004C04B9">
        <w:rPr>
          <w:lang w:val="es-CR"/>
        </w:rPr>
        <w:t xml:space="preserve"> debe identificar a las presuntas víctimas en su escrito de sometimiento</w:t>
      </w:r>
      <w:r w:rsidR="00953AFF">
        <w:rPr>
          <w:lang w:val="es-CR"/>
        </w:rPr>
        <w:t xml:space="preserve">. En el presente caso la Corte advierte que </w:t>
      </w:r>
      <w:r w:rsidR="00423267" w:rsidRPr="00F440F2">
        <w:rPr>
          <w:lang w:val="es-CR"/>
        </w:rPr>
        <w:t>el Estado</w:t>
      </w:r>
      <w:r w:rsidR="00AC056B">
        <w:rPr>
          <w:lang w:val="es-CR"/>
        </w:rPr>
        <w:t xml:space="preserve"> </w:t>
      </w:r>
      <w:r w:rsidR="00423267" w:rsidRPr="00F440F2">
        <w:rPr>
          <w:lang w:val="es-CR"/>
        </w:rPr>
        <w:t>señaló que no se oponía a que se le reparara según lo que se probara en el marco del proceso internacional. En razón de esto, la Corte</w:t>
      </w:r>
      <w:r w:rsidR="00DA6AFA" w:rsidRPr="00F440F2">
        <w:rPr>
          <w:lang w:val="es-CR"/>
        </w:rPr>
        <w:t xml:space="preserve"> aclara que</w:t>
      </w:r>
      <w:r w:rsidR="00423267" w:rsidRPr="00F440F2">
        <w:rPr>
          <w:lang w:val="es-CR"/>
        </w:rPr>
        <w:t xml:space="preserve"> Leónidas Cardona Quintero </w:t>
      </w:r>
      <w:r w:rsidR="004C04B9">
        <w:rPr>
          <w:lang w:val="es-CR"/>
        </w:rPr>
        <w:t xml:space="preserve">debe ser incluido </w:t>
      </w:r>
      <w:r w:rsidR="00423267" w:rsidRPr="00F440F2">
        <w:rPr>
          <w:lang w:val="es-CR"/>
        </w:rPr>
        <w:t>como beneficiario de las indemnizaciones por concepto de daño inmaterial fijadas en los párra</w:t>
      </w:r>
      <w:r w:rsidR="00DA6AFA" w:rsidRPr="00F440F2">
        <w:rPr>
          <w:lang w:val="es-CR"/>
        </w:rPr>
        <w:t xml:space="preserve">fos 309 y 311 de la Sentencia, y por tanto, sus herederos tienen derecho a dicha medida de reparación. </w:t>
      </w:r>
      <w:r w:rsidR="00423267" w:rsidRPr="00F440F2">
        <w:rPr>
          <w:lang w:val="es-CR"/>
        </w:rPr>
        <w:t xml:space="preserve"> </w:t>
      </w:r>
    </w:p>
    <w:p w:rsidR="00D50732" w:rsidRPr="00E66330" w:rsidRDefault="00D50732" w:rsidP="00781C53">
      <w:pPr>
        <w:tabs>
          <w:tab w:val="num" w:pos="720"/>
        </w:tabs>
        <w:spacing w:before="240" w:after="240"/>
        <w:ind w:left="720"/>
        <w:rPr>
          <w:b/>
          <w:i/>
          <w:lang w:val="es-CR"/>
        </w:rPr>
      </w:pPr>
      <w:r w:rsidRPr="00781C53">
        <w:rPr>
          <w:b/>
          <w:i/>
          <w:lang w:val="es-CR"/>
        </w:rPr>
        <w:tab/>
      </w:r>
      <w:r w:rsidR="0095012D" w:rsidRPr="00781C53">
        <w:rPr>
          <w:b/>
          <w:i/>
          <w:lang w:val="es-CR"/>
        </w:rPr>
        <w:t>B</w:t>
      </w:r>
      <w:r w:rsidRPr="00E66330">
        <w:rPr>
          <w:b/>
          <w:i/>
          <w:lang w:val="es-CR"/>
        </w:rPr>
        <w:t xml:space="preserve">. </w:t>
      </w:r>
      <w:r w:rsidR="00C80D09" w:rsidRPr="00E66330">
        <w:rPr>
          <w:b/>
          <w:i/>
          <w:lang w:val="es-CR"/>
        </w:rPr>
        <w:t xml:space="preserve">Sobre </w:t>
      </w:r>
      <w:r w:rsidRPr="00E66330">
        <w:rPr>
          <w:b/>
          <w:i/>
          <w:lang w:val="es-CR"/>
        </w:rPr>
        <w:t>la excepción preliminar</w:t>
      </w:r>
      <w:r w:rsidR="00C80D09" w:rsidRPr="00E66330">
        <w:rPr>
          <w:b/>
          <w:i/>
          <w:lang w:val="es-CR"/>
        </w:rPr>
        <w:t xml:space="preserve"> interpuesta por el Estado</w:t>
      </w:r>
    </w:p>
    <w:p w:rsidR="00B24589" w:rsidRPr="00781C53" w:rsidRDefault="00B24589" w:rsidP="00781C53">
      <w:pPr>
        <w:spacing w:before="240" w:after="240"/>
        <w:ind w:firstLine="720"/>
        <w:rPr>
          <w:i/>
          <w:highlight w:val="yellow"/>
          <w:lang w:val="es-CR"/>
        </w:rPr>
      </w:pPr>
      <w:r w:rsidRPr="00781C53">
        <w:rPr>
          <w:i/>
          <w:lang w:val="es-CR"/>
        </w:rPr>
        <w:t>B.1. Alegatos de las partes y de la Comisión</w:t>
      </w:r>
    </w:p>
    <w:p w:rsidR="00D50732" w:rsidRPr="00E66330" w:rsidRDefault="00D50732" w:rsidP="008E548B">
      <w:pPr>
        <w:numPr>
          <w:ilvl w:val="0"/>
          <w:numId w:val="16"/>
        </w:numPr>
        <w:tabs>
          <w:tab w:val="num" w:pos="720"/>
        </w:tabs>
        <w:spacing w:before="120" w:after="120"/>
        <w:ind w:left="0" w:firstLine="0"/>
        <w:rPr>
          <w:lang w:val="es-CR"/>
        </w:rPr>
      </w:pPr>
      <w:r w:rsidRPr="00E66330">
        <w:rPr>
          <w:lang w:val="es-CR"/>
        </w:rPr>
        <w:t xml:space="preserve">Los </w:t>
      </w:r>
      <w:r w:rsidRPr="00D7495A">
        <w:rPr>
          <w:i/>
          <w:lang w:val="es-CR"/>
        </w:rPr>
        <w:t>representantes</w:t>
      </w:r>
      <w:r w:rsidRPr="00E66330">
        <w:rPr>
          <w:lang w:val="es-CR"/>
        </w:rPr>
        <w:t xml:space="preserve"> </w:t>
      </w:r>
      <w:r w:rsidR="00D62335" w:rsidRPr="00E66330">
        <w:rPr>
          <w:lang w:val="es-CR"/>
        </w:rPr>
        <w:t xml:space="preserve">se refirieron a la resolución de la excepción preliminar por medio de la cual la Corte excluyó a dos presuntas víctimas, y </w:t>
      </w:r>
      <w:r w:rsidR="008B485D" w:rsidRPr="00E66330">
        <w:rPr>
          <w:lang w:val="es-CR"/>
        </w:rPr>
        <w:t xml:space="preserve">señalaron </w:t>
      </w:r>
      <w:r w:rsidR="00D62335" w:rsidRPr="00E66330">
        <w:rPr>
          <w:lang w:val="es-CR"/>
        </w:rPr>
        <w:t xml:space="preserve">en particular </w:t>
      </w:r>
      <w:r w:rsidR="008B485D" w:rsidRPr="00E66330">
        <w:rPr>
          <w:lang w:val="es-CR"/>
        </w:rPr>
        <w:t>“</w:t>
      </w:r>
      <w:r w:rsidRPr="00E66330">
        <w:rPr>
          <w:lang w:val="es-CR"/>
        </w:rPr>
        <w:t xml:space="preserve">que el Estado no </w:t>
      </w:r>
      <w:r w:rsidR="00D62335" w:rsidRPr="00E66330">
        <w:rPr>
          <w:lang w:val="es-CR"/>
        </w:rPr>
        <w:t xml:space="preserve">había planteado </w:t>
      </w:r>
      <w:r w:rsidRPr="00E66330">
        <w:rPr>
          <w:lang w:val="es-CR"/>
        </w:rPr>
        <w:t>en su escrito de contestación</w:t>
      </w:r>
      <w:r w:rsidR="008B485D" w:rsidRPr="00E66330">
        <w:rPr>
          <w:lang w:val="es-CR"/>
        </w:rPr>
        <w:t xml:space="preserve"> </w:t>
      </w:r>
      <w:r w:rsidRPr="00E66330">
        <w:rPr>
          <w:lang w:val="es-CR"/>
        </w:rPr>
        <w:t>una excepción preliminar por falta de identificación, sino por falta de representación jurídica</w:t>
      </w:r>
      <w:r w:rsidR="008B485D" w:rsidRPr="00E66330">
        <w:rPr>
          <w:lang w:val="es-CR"/>
        </w:rPr>
        <w:t xml:space="preserve">” respecto de </w:t>
      </w:r>
      <w:r w:rsidR="009127DF">
        <w:rPr>
          <w:lang w:val="es-CR"/>
        </w:rPr>
        <w:t>“</w:t>
      </w:r>
      <w:r w:rsidR="008B485D" w:rsidRPr="00E66330">
        <w:rPr>
          <w:lang w:val="es-CR"/>
        </w:rPr>
        <w:t>alias Fre</w:t>
      </w:r>
      <w:r w:rsidR="009562AC" w:rsidRPr="00E66330">
        <w:rPr>
          <w:lang w:val="es-CR"/>
        </w:rPr>
        <w:t>d</w:t>
      </w:r>
      <w:r w:rsidR="008B485D" w:rsidRPr="00E66330">
        <w:rPr>
          <w:lang w:val="es-CR"/>
        </w:rPr>
        <w:t>dy y su esposa</w:t>
      </w:r>
      <w:r w:rsidR="009127DF">
        <w:rPr>
          <w:lang w:val="es-CR"/>
        </w:rPr>
        <w:t>”</w:t>
      </w:r>
      <w:r w:rsidRPr="00E66330">
        <w:rPr>
          <w:lang w:val="es-CR"/>
        </w:rPr>
        <w:t>.</w:t>
      </w:r>
      <w:r w:rsidR="008B485D" w:rsidRPr="00E66330">
        <w:rPr>
          <w:lang w:val="es-CR"/>
        </w:rPr>
        <w:t xml:space="preserve"> </w:t>
      </w:r>
      <w:r w:rsidR="009562AC" w:rsidRPr="00E66330">
        <w:rPr>
          <w:lang w:val="es-CR"/>
        </w:rPr>
        <w:t>Asimismo, re</w:t>
      </w:r>
      <w:r w:rsidRPr="00E66330">
        <w:rPr>
          <w:lang w:val="es-CR"/>
        </w:rPr>
        <w:t>corda</w:t>
      </w:r>
      <w:r w:rsidR="009562AC" w:rsidRPr="00E66330">
        <w:rPr>
          <w:lang w:val="es-CR"/>
        </w:rPr>
        <w:t xml:space="preserve">ron </w:t>
      </w:r>
      <w:r w:rsidRPr="00E66330">
        <w:rPr>
          <w:lang w:val="es-CR"/>
        </w:rPr>
        <w:t>que</w:t>
      </w:r>
      <w:r w:rsidR="009562AC" w:rsidRPr="00E66330">
        <w:rPr>
          <w:lang w:val="es-CR"/>
        </w:rPr>
        <w:t xml:space="preserve"> </w:t>
      </w:r>
      <w:r w:rsidRPr="00E66330">
        <w:rPr>
          <w:lang w:val="es-CR"/>
        </w:rPr>
        <w:t xml:space="preserve">en su escrito de contestación, el Estado </w:t>
      </w:r>
      <w:r w:rsidR="00A51001">
        <w:rPr>
          <w:lang w:val="es-CR"/>
        </w:rPr>
        <w:t xml:space="preserve">había </w:t>
      </w:r>
      <w:r w:rsidRPr="00E66330">
        <w:rPr>
          <w:lang w:val="es-CR"/>
        </w:rPr>
        <w:t>señal</w:t>
      </w:r>
      <w:r w:rsidR="00A51001">
        <w:rPr>
          <w:lang w:val="es-CR"/>
        </w:rPr>
        <w:t>ado</w:t>
      </w:r>
      <w:r w:rsidRPr="00E66330">
        <w:rPr>
          <w:lang w:val="es-CR"/>
        </w:rPr>
        <w:t xml:space="preserve"> que a raíz de los esfuerzos</w:t>
      </w:r>
      <w:r w:rsidR="009562AC" w:rsidRPr="00E66330">
        <w:rPr>
          <w:lang w:val="es-CR"/>
        </w:rPr>
        <w:t xml:space="preserve"> </w:t>
      </w:r>
      <w:r w:rsidRPr="00E66330">
        <w:rPr>
          <w:lang w:val="es-CR"/>
        </w:rPr>
        <w:t xml:space="preserve">realizados para identificar a </w:t>
      </w:r>
      <w:r w:rsidR="009127DF">
        <w:rPr>
          <w:lang w:val="es-CR"/>
        </w:rPr>
        <w:t xml:space="preserve">“alias </w:t>
      </w:r>
      <w:r w:rsidRPr="00E66330">
        <w:rPr>
          <w:lang w:val="es-CR"/>
        </w:rPr>
        <w:t>Fredy y su esposa</w:t>
      </w:r>
      <w:r w:rsidR="009127DF">
        <w:rPr>
          <w:lang w:val="es-CR"/>
        </w:rPr>
        <w:t>”</w:t>
      </w:r>
      <w:r w:rsidRPr="00E66330">
        <w:rPr>
          <w:lang w:val="es-CR"/>
        </w:rPr>
        <w:t xml:space="preserve"> para dar cumplimiento al informe de la Comisión</w:t>
      </w:r>
      <w:r w:rsidR="009562AC" w:rsidRPr="00E66330">
        <w:rPr>
          <w:lang w:val="es-CR"/>
        </w:rPr>
        <w:t xml:space="preserve"> </w:t>
      </w:r>
      <w:r w:rsidRPr="00E66330">
        <w:rPr>
          <w:lang w:val="es-CR"/>
        </w:rPr>
        <w:t>Interamericana, se había logrado iden</w:t>
      </w:r>
      <w:r w:rsidR="008E7978" w:rsidRPr="00E66330">
        <w:rPr>
          <w:lang w:val="es-CR"/>
        </w:rPr>
        <w:t xml:space="preserve">tificarlos como </w:t>
      </w:r>
      <w:r w:rsidR="00233BF4">
        <w:rPr>
          <w:lang w:val="es-CR"/>
        </w:rPr>
        <w:t>“</w:t>
      </w:r>
      <w:r w:rsidR="00233BF4" w:rsidRPr="00781C53">
        <w:rPr>
          <w:lang w:val="es-CR"/>
        </w:rPr>
        <w:t>L.S.</w:t>
      </w:r>
      <w:r w:rsidR="00233BF4">
        <w:rPr>
          <w:lang w:val="es-CR"/>
        </w:rPr>
        <w:t>”</w:t>
      </w:r>
      <w:r w:rsidRPr="00233BF4">
        <w:rPr>
          <w:lang w:val="es-CR"/>
        </w:rPr>
        <w:t xml:space="preserve"> y </w:t>
      </w:r>
      <w:r w:rsidR="00233BF4">
        <w:rPr>
          <w:lang w:val="es-CR"/>
        </w:rPr>
        <w:t>“</w:t>
      </w:r>
      <w:r w:rsidR="00233BF4" w:rsidRPr="00233BF4">
        <w:rPr>
          <w:lang w:val="es-CR"/>
        </w:rPr>
        <w:t>D.C</w:t>
      </w:r>
      <w:r w:rsidRPr="00233BF4">
        <w:rPr>
          <w:lang w:val="es-CR"/>
        </w:rPr>
        <w:t>.</w:t>
      </w:r>
      <w:r w:rsidR="00233BF4">
        <w:rPr>
          <w:lang w:val="es-CR"/>
        </w:rPr>
        <w:t>”.</w:t>
      </w:r>
      <w:r w:rsidR="009562AC" w:rsidRPr="00E66330">
        <w:rPr>
          <w:lang w:val="es-CR"/>
        </w:rPr>
        <w:t xml:space="preserve"> </w:t>
      </w:r>
      <w:r w:rsidR="00D62335" w:rsidRPr="00E66330">
        <w:rPr>
          <w:lang w:val="es-CR"/>
        </w:rPr>
        <w:t>En lo que se refiere a la exclusión de A. como presunta víctima del caso decidida por la Corte, indicaron que no “</w:t>
      </w:r>
      <w:r w:rsidR="008E548B" w:rsidRPr="00E66330">
        <w:rPr>
          <w:lang w:val="es-CR"/>
        </w:rPr>
        <w:t>se desprende del expediente, que en los varios intentos de contactar</w:t>
      </w:r>
      <w:r w:rsidR="009127DF">
        <w:rPr>
          <w:lang w:val="es-CR"/>
        </w:rPr>
        <w:t xml:space="preserve"> </w:t>
      </w:r>
      <w:r w:rsidR="00D62335" w:rsidRPr="00E66330">
        <w:rPr>
          <w:lang w:val="es-CR"/>
        </w:rPr>
        <w:t>[</w:t>
      </w:r>
      <w:r w:rsidR="009127DF">
        <w:rPr>
          <w:lang w:val="es-CR"/>
        </w:rPr>
        <w:t>a esa persona</w:t>
      </w:r>
      <w:r w:rsidR="00D62335" w:rsidRPr="00E66330">
        <w:rPr>
          <w:lang w:val="es-CR"/>
        </w:rPr>
        <w:t>]</w:t>
      </w:r>
      <w:r w:rsidR="008E548B" w:rsidRPr="00E66330">
        <w:rPr>
          <w:lang w:val="es-CR"/>
        </w:rPr>
        <w:t xml:space="preserve"> […], se le planteara la posibilidad de participar como víctima por la desaparición forzada de sus padres”.</w:t>
      </w:r>
      <w:r w:rsidR="008E7978" w:rsidRPr="00E66330">
        <w:rPr>
          <w:lang w:val="es-CR"/>
        </w:rPr>
        <w:t xml:space="preserve"> </w:t>
      </w:r>
      <w:r w:rsidR="009562AC" w:rsidRPr="00E66330">
        <w:rPr>
          <w:lang w:val="es-CR"/>
        </w:rPr>
        <w:t>En razón de lo anterior, solicitaron a la Corte que</w:t>
      </w:r>
      <w:r w:rsidRPr="00E66330">
        <w:rPr>
          <w:lang w:val="es-CR"/>
        </w:rPr>
        <w:t xml:space="preserve"> </w:t>
      </w:r>
      <w:r w:rsidR="009562AC" w:rsidRPr="00E66330">
        <w:rPr>
          <w:lang w:val="es-CR"/>
        </w:rPr>
        <w:t>“</w:t>
      </w:r>
      <w:r w:rsidRPr="00E66330">
        <w:rPr>
          <w:lang w:val="es-CR"/>
        </w:rPr>
        <w:t>aclare el fundamento para determinar que estas personas no habrían sido identificadas, y</w:t>
      </w:r>
      <w:r w:rsidR="009562AC" w:rsidRPr="00E66330">
        <w:rPr>
          <w:lang w:val="es-CR"/>
        </w:rPr>
        <w:t xml:space="preserve"> </w:t>
      </w:r>
      <w:r w:rsidRPr="00E66330">
        <w:rPr>
          <w:lang w:val="es-CR"/>
        </w:rPr>
        <w:t>que por tanto no se debían adoptar medidas para contactar a sus familiares a fines de</w:t>
      </w:r>
      <w:r w:rsidR="009562AC" w:rsidRPr="00E66330">
        <w:rPr>
          <w:lang w:val="es-CR"/>
        </w:rPr>
        <w:t xml:space="preserve"> </w:t>
      </w:r>
      <w:r w:rsidRPr="00E66330">
        <w:rPr>
          <w:lang w:val="es-CR"/>
        </w:rPr>
        <w:t>determinar su interés en participar en el presente proceso</w:t>
      </w:r>
      <w:r w:rsidR="009562AC" w:rsidRPr="00E66330">
        <w:rPr>
          <w:lang w:val="es-CR"/>
        </w:rPr>
        <w:t>”</w:t>
      </w:r>
      <w:r w:rsidRPr="00E66330">
        <w:rPr>
          <w:lang w:val="es-CR"/>
        </w:rPr>
        <w:t xml:space="preserve">. </w:t>
      </w:r>
      <w:r w:rsidR="008E548B" w:rsidRPr="00E66330">
        <w:rPr>
          <w:lang w:val="es-CR"/>
        </w:rPr>
        <w:t xml:space="preserve">Adicionalmente, reiteraron su “desacuerdo con el hecho de que la Corte emprendiera el proceso de contacto con [“A.”] […] de manera bilateral con el Estado, y específicamente a través del Instituto Colombiano de Bienestar Familiar, misma institución que aprobó </w:t>
      </w:r>
      <w:r w:rsidR="00A51001">
        <w:rPr>
          <w:lang w:val="es-CR"/>
        </w:rPr>
        <w:t>[su presunta]</w:t>
      </w:r>
      <w:r w:rsidR="00A51001" w:rsidRPr="00E66330">
        <w:rPr>
          <w:lang w:val="es-CR"/>
        </w:rPr>
        <w:t xml:space="preserve"> </w:t>
      </w:r>
      <w:r w:rsidR="008E548B" w:rsidRPr="00E66330">
        <w:rPr>
          <w:lang w:val="es-CR"/>
        </w:rPr>
        <w:t>adopción irregular”.</w:t>
      </w:r>
    </w:p>
    <w:p w:rsidR="00E65232" w:rsidRPr="00781C53" w:rsidRDefault="00E65232" w:rsidP="00781C53">
      <w:pPr>
        <w:numPr>
          <w:ilvl w:val="0"/>
          <w:numId w:val="16"/>
        </w:numPr>
        <w:tabs>
          <w:tab w:val="num" w:pos="720"/>
        </w:tabs>
        <w:spacing w:before="120" w:after="120"/>
        <w:ind w:left="0" w:firstLine="0"/>
        <w:rPr>
          <w:i/>
          <w:iCs/>
          <w:lang w:val="es-CR"/>
        </w:rPr>
      </w:pPr>
      <w:r w:rsidRPr="00E66330">
        <w:rPr>
          <w:lang w:val="es-CR"/>
        </w:rPr>
        <w:t xml:space="preserve">La </w:t>
      </w:r>
      <w:r w:rsidRPr="00D7495A">
        <w:rPr>
          <w:i/>
          <w:lang w:val="es-CR"/>
        </w:rPr>
        <w:t>Comisión</w:t>
      </w:r>
      <w:r w:rsidRPr="00E66330">
        <w:rPr>
          <w:lang w:val="es-CR"/>
        </w:rPr>
        <w:t xml:space="preserve"> observó “que de las consideraciones establecidas en la Sentencia en los párrafos 31 a 40, podría ser de utilidad esclarecer la fundamentación de la decisión de aceptar la excepción preliminar del Estado en relación con </w:t>
      </w:r>
      <w:r w:rsidR="000D3512">
        <w:rPr>
          <w:lang w:val="es-CR"/>
        </w:rPr>
        <w:t>‘</w:t>
      </w:r>
      <w:r w:rsidRPr="00E66330">
        <w:rPr>
          <w:lang w:val="es-CR"/>
        </w:rPr>
        <w:t xml:space="preserve">alias Fredy </w:t>
      </w:r>
      <w:r w:rsidR="009127DF">
        <w:rPr>
          <w:lang w:val="es-CR"/>
        </w:rPr>
        <w:t xml:space="preserve">y </w:t>
      </w:r>
      <w:r w:rsidRPr="00E66330">
        <w:rPr>
          <w:lang w:val="es-CR"/>
        </w:rPr>
        <w:t>su esposa</w:t>
      </w:r>
      <w:r w:rsidR="000D3512">
        <w:rPr>
          <w:lang w:val="es-CR"/>
        </w:rPr>
        <w:t>’</w:t>
      </w:r>
      <w:r w:rsidRPr="00E66330">
        <w:rPr>
          <w:lang w:val="es-CR"/>
        </w:rPr>
        <w:t xml:space="preserve"> y su hijo </w:t>
      </w:r>
      <w:r w:rsidR="000D3512">
        <w:rPr>
          <w:lang w:val="es-CR"/>
        </w:rPr>
        <w:t>‘</w:t>
      </w:r>
      <w:r w:rsidRPr="00E66330">
        <w:rPr>
          <w:lang w:val="es-CR"/>
        </w:rPr>
        <w:t>A</w:t>
      </w:r>
      <w:r w:rsidR="000D3512">
        <w:rPr>
          <w:lang w:val="es-CR"/>
        </w:rPr>
        <w:t>’</w:t>
      </w:r>
      <w:r w:rsidRPr="00E66330">
        <w:rPr>
          <w:lang w:val="es-CR"/>
        </w:rPr>
        <w:t xml:space="preserve">”. Así, destacó que desde el Informe de Fondo individualizó </w:t>
      </w:r>
      <w:r w:rsidR="00A51001">
        <w:rPr>
          <w:lang w:val="es-CR"/>
        </w:rPr>
        <w:t>“</w:t>
      </w:r>
      <w:r w:rsidRPr="00E66330">
        <w:rPr>
          <w:lang w:val="es-CR"/>
        </w:rPr>
        <w:t xml:space="preserve">de la manera más completa posible a estas tres personas y las incluyó como víctimas, teniendo particularmente en cuenta tanto la naturaleza de las graves violaciones ocurridas en el presente caso como el contexto específico que [los] vincula […] con los hechos del mismo”. Finalmente, señaló que en sus observaciones a la excepción preliminar, se refirió “únicamente </w:t>
      </w:r>
      <w:r w:rsidR="008D7159">
        <w:rPr>
          <w:lang w:val="es-CR"/>
        </w:rPr>
        <w:t>[al]</w:t>
      </w:r>
      <w:r w:rsidR="008D7159" w:rsidRPr="00E66330">
        <w:rPr>
          <w:lang w:val="es-CR"/>
        </w:rPr>
        <w:t xml:space="preserve"> </w:t>
      </w:r>
      <w:r w:rsidRPr="00E66330">
        <w:rPr>
          <w:lang w:val="es-CR"/>
        </w:rPr>
        <w:t xml:space="preserve">tema de </w:t>
      </w:r>
      <w:r w:rsidR="008D7159">
        <w:rPr>
          <w:lang w:val="es-CR"/>
        </w:rPr>
        <w:t xml:space="preserve">[la falta de] </w:t>
      </w:r>
      <w:r w:rsidRPr="00E66330">
        <w:rPr>
          <w:lang w:val="es-CR"/>
        </w:rPr>
        <w:t xml:space="preserve">representación porque era el objeto de dicho cuestionamiento procesal”. </w:t>
      </w:r>
    </w:p>
    <w:p w:rsidR="009562AC" w:rsidRPr="00E66330" w:rsidRDefault="00FA3D77" w:rsidP="00781C53">
      <w:pPr>
        <w:numPr>
          <w:ilvl w:val="0"/>
          <w:numId w:val="16"/>
        </w:numPr>
        <w:tabs>
          <w:tab w:val="num" w:pos="720"/>
        </w:tabs>
        <w:spacing w:before="120" w:after="120"/>
        <w:ind w:left="0" w:firstLine="0"/>
        <w:rPr>
          <w:i/>
          <w:iCs/>
          <w:lang w:val="es-CR"/>
        </w:rPr>
      </w:pPr>
      <w:r w:rsidRPr="00E66330">
        <w:rPr>
          <w:lang w:val="es-CR"/>
        </w:rPr>
        <w:t xml:space="preserve">El </w:t>
      </w:r>
      <w:r w:rsidRPr="00D7495A">
        <w:rPr>
          <w:i/>
          <w:lang w:val="es-CR"/>
        </w:rPr>
        <w:t>Estado</w:t>
      </w:r>
      <w:r w:rsidRPr="00E66330">
        <w:rPr>
          <w:lang w:val="es-CR"/>
        </w:rPr>
        <w:t xml:space="preserve"> </w:t>
      </w:r>
      <w:r w:rsidR="008E548B" w:rsidRPr="00E66330">
        <w:rPr>
          <w:lang w:val="es-CR"/>
        </w:rPr>
        <w:t xml:space="preserve">consideró que lo formulado por los representantes </w:t>
      </w:r>
      <w:r w:rsidR="008D7159">
        <w:rPr>
          <w:lang w:val="es-CR"/>
        </w:rPr>
        <w:t>no “</w:t>
      </w:r>
      <w:r w:rsidR="008E548B" w:rsidRPr="00E66330">
        <w:rPr>
          <w:lang w:val="es-CR"/>
        </w:rPr>
        <w:t xml:space="preserve">podría ser entendido como una solicitud de interpretación”, </w:t>
      </w:r>
      <w:r w:rsidR="009D0314">
        <w:rPr>
          <w:lang w:val="es-CR"/>
        </w:rPr>
        <w:t>y</w:t>
      </w:r>
      <w:r w:rsidR="008E548B" w:rsidRPr="00E66330">
        <w:rPr>
          <w:lang w:val="es-CR"/>
        </w:rPr>
        <w:t xml:space="preserve"> señaló que estos “se limitan a expresar sus inconformidades sin señalar aspecto alguno sobre el cual requieran claridad por parte del Tribunal</w:t>
      </w:r>
      <w:r w:rsidR="008E7978" w:rsidRPr="00E66330">
        <w:rPr>
          <w:lang w:val="es-CR"/>
        </w:rPr>
        <w:t>”</w:t>
      </w:r>
      <w:r w:rsidR="008E548B" w:rsidRPr="00E66330">
        <w:rPr>
          <w:lang w:val="es-CR"/>
        </w:rPr>
        <w:t>. En este sentido, solicitó a la Corte desestimar los argumentos en cuestión.</w:t>
      </w:r>
      <w:r w:rsidR="008E548B" w:rsidRPr="00E66330">
        <w:rPr>
          <w:rFonts w:eastAsia="Calibri" w:cs="Verdana"/>
          <w:sz w:val="22"/>
          <w:szCs w:val="22"/>
          <w:lang w:val="es-CR"/>
        </w:rPr>
        <w:t xml:space="preserve"> </w:t>
      </w:r>
      <w:r w:rsidR="008E548B" w:rsidRPr="00781C53">
        <w:rPr>
          <w:lang w:val="es-CR"/>
        </w:rPr>
        <w:t>Además, respecto a las observaciones sobre el proceso de contacto con “A.” resaltó “la actitud ambivalente de los [r]</w:t>
      </w:r>
      <w:proofErr w:type="spellStart"/>
      <w:r w:rsidR="008E548B" w:rsidRPr="00E66330">
        <w:rPr>
          <w:lang w:val="es-CR"/>
        </w:rPr>
        <w:t>epresentantes</w:t>
      </w:r>
      <w:proofErr w:type="spellEnd"/>
      <w:r w:rsidR="008E548B" w:rsidRPr="00E66330">
        <w:rPr>
          <w:lang w:val="es-CR"/>
        </w:rPr>
        <w:t xml:space="preserve"> ya que por una parte afirmaron en el marco del proceso internacional no representar al joven señalado, y por otra, cuestionan los procedimientos adelantados por el Tribunal y el </w:t>
      </w:r>
      <w:r w:rsidR="008E548B" w:rsidRPr="00E66330">
        <w:rPr>
          <w:lang w:val="es-CR"/>
        </w:rPr>
        <w:lastRenderedPageBreak/>
        <w:t xml:space="preserve">Estado </w:t>
      </w:r>
      <w:r w:rsidR="008D7159">
        <w:rPr>
          <w:lang w:val="es-CR"/>
        </w:rPr>
        <w:t>[…]</w:t>
      </w:r>
      <w:r w:rsidR="008E548B" w:rsidRPr="00E66330">
        <w:rPr>
          <w:lang w:val="es-CR"/>
        </w:rPr>
        <w:t>, a través de las entidades legitimadas para tal fin”. Agregó que en los argumentos planteados en el procedimiento internacional, se refirió detalladamente al proceso de restitución de derechos desarrollado por el Instituto Colombiano de Bienestar Familiar en relación con “A.</w:t>
      </w:r>
      <w:r w:rsidR="008E7978" w:rsidRPr="00E66330">
        <w:rPr>
          <w:lang w:val="es-CR"/>
        </w:rPr>
        <w:t>”</w:t>
      </w:r>
      <w:r w:rsidR="008E548B" w:rsidRPr="00E66330">
        <w:rPr>
          <w:lang w:val="es-CR"/>
        </w:rPr>
        <w:t>, por lo cual consideró que las afirmaciones de los representantes sobre la “</w:t>
      </w:r>
      <w:r w:rsidR="008E548B" w:rsidRPr="00E66330">
        <w:rPr>
          <w:iCs/>
          <w:lang w:val="es-CR"/>
        </w:rPr>
        <w:t xml:space="preserve">adopción irregular </w:t>
      </w:r>
      <w:r w:rsidR="00EB07DC">
        <w:rPr>
          <w:iCs/>
          <w:lang w:val="es-CR"/>
        </w:rPr>
        <w:t>[</w:t>
      </w:r>
      <w:r w:rsidR="008E548B" w:rsidRPr="00E66330">
        <w:rPr>
          <w:iCs/>
          <w:lang w:val="es-CR"/>
        </w:rPr>
        <w:t xml:space="preserve">de </w:t>
      </w:r>
      <w:r w:rsidR="00EB07DC">
        <w:rPr>
          <w:iCs/>
          <w:lang w:val="es-CR"/>
        </w:rPr>
        <w:t>A.</w:t>
      </w:r>
      <w:r w:rsidR="00E65232" w:rsidRPr="00E66330">
        <w:rPr>
          <w:iCs/>
          <w:lang w:val="es-CR"/>
        </w:rPr>
        <w:t>]</w:t>
      </w:r>
      <w:r w:rsidR="008E548B" w:rsidRPr="00E66330">
        <w:rPr>
          <w:lang w:val="es-CR"/>
        </w:rPr>
        <w:t>” resultan infundadas.</w:t>
      </w:r>
    </w:p>
    <w:p w:rsidR="00E66330" w:rsidRPr="00781C53" w:rsidRDefault="00E66330" w:rsidP="00781C53">
      <w:pPr>
        <w:spacing w:before="240" w:after="240"/>
        <w:ind w:firstLine="720"/>
        <w:rPr>
          <w:i/>
          <w:lang w:val="es-CR"/>
        </w:rPr>
      </w:pPr>
      <w:r w:rsidRPr="00781C53">
        <w:rPr>
          <w:i/>
          <w:lang w:val="es-CR"/>
        </w:rPr>
        <w:t>B.2. Consideraciones de la Corte</w:t>
      </w:r>
    </w:p>
    <w:p w:rsidR="00E66330" w:rsidRDefault="00E66330" w:rsidP="00781C53">
      <w:pPr>
        <w:numPr>
          <w:ilvl w:val="0"/>
          <w:numId w:val="16"/>
        </w:numPr>
        <w:tabs>
          <w:tab w:val="num" w:pos="720"/>
        </w:tabs>
        <w:spacing w:before="120" w:after="120"/>
        <w:ind w:left="0" w:firstLine="0"/>
        <w:rPr>
          <w:lang w:val="es-CR"/>
        </w:rPr>
      </w:pPr>
      <w:r w:rsidRPr="00781C53">
        <w:rPr>
          <w:lang w:val="es-CR"/>
        </w:rPr>
        <w:t xml:space="preserve">En lo que </w:t>
      </w:r>
      <w:r w:rsidR="00650522">
        <w:rPr>
          <w:lang w:val="es-CR"/>
        </w:rPr>
        <w:t>atañe</w:t>
      </w:r>
      <w:r w:rsidRPr="00781C53">
        <w:rPr>
          <w:lang w:val="es-CR"/>
        </w:rPr>
        <w:t xml:space="preserve"> a la solicitud planteada por los representantes y por la Comisión en torno a la resolución sobre la excepci</w:t>
      </w:r>
      <w:r w:rsidR="00AA7B44">
        <w:rPr>
          <w:lang w:val="es-CR"/>
        </w:rPr>
        <w:t>ón</w:t>
      </w:r>
      <w:r w:rsidRPr="00E66330">
        <w:rPr>
          <w:lang w:val="es-CR"/>
        </w:rPr>
        <w:t xml:space="preserve"> preliminar, </w:t>
      </w:r>
      <w:r>
        <w:rPr>
          <w:lang w:val="es-CR"/>
        </w:rPr>
        <w:t>la</w:t>
      </w:r>
      <w:r w:rsidRPr="00E66330">
        <w:rPr>
          <w:lang w:val="es-CR"/>
        </w:rPr>
        <w:t xml:space="preserve"> Corte </w:t>
      </w:r>
      <w:r>
        <w:rPr>
          <w:lang w:val="es-CR"/>
        </w:rPr>
        <w:t>recuerda que las partes pertinentes de la Se</w:t>
      </w:r>
      <w:r w:rsidR="00AA7B44">
        <w:rPr>
          <w:lang w:val="es-CR"/>
        </w:rPr>
        <w:t>ntencia se refirieron por un lado a la situación de las presuntas víctimas identificadas como alias “Fredy y su esposa” por la Comisión, y por otra parte a la situación de A.</w:t>
      </w:r>
    </w:p>
    <w:p w:rsidR="000D7005" w:rsidRDefault="00AA7B44" w:rsidP="00781C53">
      <w:pPr>
        <w:numPr>
          <w:ilvl w:val="0"/>
          <w:numId w:val="16"/>
        </w:numPr>
        <w:tabs>
          <w:tab w:val="num" w:pos="720"/>
        </w:tabs>
        <w:spacing w:before="120" w:after="120"/>
        <w:ind w:left="0" w:firstLine="0"/>
        <w:rPr>
          <w:lang w:val="es-CR"/>
        </w:rPr>
      </w:pPr>
      <w:r>
        <w:rPr>
          <w:lang w:val="es-CR"/>
        </w:rPr>
        <w:t xml:space="preserve">Sobre el primer punto la </w:t>
      </w:r>
      <w:r w:rsidR="00436DBD">
        <w:rPr>
          <w:lang w:val="es-CR"/>
        </w:rPr>
        <w:t>S</w:t>
      </w:r>
      <w:r>
        <w:rPr>
          <w:lang w:val="es-CR"/>
        </w:rPr>
        <w:t>entencia es clara al establecer que</w:t>
      </w:r>
      <w:r w:rsidR="00C97D92">
        <w:rPr>
          <w:lang w:val="es-CR"/>
        </w:rPr>
        <w:t>:</w:t>
      </w:r>
      <w:r>
        <w:rPr>
          <w:lang w:val="es-CR"/>
        </w:rPr>
        <w:t xml:space="preserve"> a) </w:t>
      </w:r>
      <w:r w:rsidR="00C97D92">
        <w:rPr>
          <w:lang w:val="es-CR"/>
        </w:rPr>
        <w:t xml:space="preserve">esas dos personas </w:t>
      </w:r>
      <w:r w:rsidRPr="00AA7B44">
        <w:rPr>
          <w:lang w:val="es-CR"/>
        </w:rPr>
        <w:t xml:space="preserve">no han sido identificadas plenamente por la Comisión en su Informe de Fondo ni </w:t>
      </w:r>
      <w:r w:rsidR="00650522">
        <w:rPr>
          <w:lang w:val="es-CR"/>
        </w:rPr>
        <w:t xml:space="preserve">tampoco </w:t>
      </w:r>
      <w:r w:rsidRPr="00AA7B44">
        <w:rPr>
          <w:lang w:val="es-CR"/>
        </w:rPr>
        <w:t>en el trámite ulterior ante la Corte, siendo que est</w:t>
      </w:r>
      <w:r w:rsidR="00735AAD">
        <w:rPr>
          <w:lang w:val="es-CR"/>
        </w:rPr>
        <w:t>a</w:t>
      </w:r>
      <w:r w:rsidRPr="00AA7B44">
        <w:rPr>
          <w:lang w:val="es-CR"/>
        </w:rPr>
        <w:t xml:space="preserve"> se refiere </w:t>
      </w:r>
      <w:r w:rsidR="00650522">
        <w:rPr>
          <w:lang w:val="es-CR"/>
        </w:rPr>
        <w:t xml:space="preserve">durante todo el desarrollo del proceso </w:t>
      </w:r>
      <w:r w:rsidRPr="00AA7B44">
        <w:rPr>
          <w:lang w:val="es-CR"/>
        </w:rPr>
        <w:t>a ellas por medio de la expresión “alias Fredy y su esposa”</w:t>
      </w:r>
      <w:r>
        <w:rPr>
          <w:lang w:val="es-CR"/>
        </w:rPr>
        <w:t xml:space="preserve">; b) </w:t>
      </w:r>
      <w:r w:rsidRPr="00AA7B44">
        <w:rPr>
          <w:lang w:val="es-CR"/>
        </w:rPr>
        <w:t>el artículo 35.1 del Reglamento de la Corte dispone que el caso le será sometido mediante la presentación del Informe de Fondo, que deberá contener la identificación de las presuntas víctimas</w:t>
      </w:r>
      <w:r>
        <w:rPr>
          <w:lang w:val="es-CR"/>
        </w:rPr>
        <w:t xml:space="preserve">; c) </w:t>
      </w:r>
      <w:r w:rsidR="000D7005">
        <w:rPr>
          <w:lang w:val="es-CR"/>
        </w:rPr>
        <w:t xml:space="preserve">la anterior regla admite una excepción, de conformidad con </w:t>
      </w:r>
      <w:r w:rsidR="000D7005" w:rsidRPr="00AA7B44">
        <w:rPr>
          <w:lang w:val="es-CR"/>
        </w:rPr>
        <w:t>el artículo 35.2 del Reglamento de la Corte</w:t>
      </w:r>
      <w:r w:rsidR="000D7005">
        <w:rPr>
          <w:lang w:val="es-CR"/>
        </w:rPr>
        <w:t xml:space="preserve">, cuando se </w:t>
      </w:r>
      <w:r w:rsidR="000D7005" w:rsidRPr="00AA7B44">
        <w:rPr>
          <w:lang w:val="es-CR"/>
        </w:rPr>
        <w:t>justifique que no fue posible identificarlas</w:t>
      </w:r>
      <w:r w:rsidR="000D7005">
        <w:rPr>
          <w:lang w:val="es-CR"/>
        </w:rPr>
        <w:t xml:space="preserve">, </w:t>
      </w:r>
      <w:r w:rsidR="000D7005" w:rsidRPr="000D7005">
        <w:rPr>
          <w:lang w:val="es-CR"/>
        </w:rPr>
        <w:t>por tratarse de casos de violaciones masivas o colectivas</w:t>
      </w:r>
      <w:r w:rsidR="00650522">
        <w:rPr>
          <w:lang w:val="es-CR"/>
        </w:rPr>
        <w:t>, y</w:t>
      </w:r>
      <w:r w:rsidR="000D7005">
        <w:rPr>
          <w:lang w:val="es-CR"/>
        </w:rPr>
        <w:t xml:space="preserve"> d) </w:t>
      </w:r>
      <w:r w:rsidR="000D7005" w:rsidRPr="000D7005">
        <w:rPr>
          <w:lang w:val="es-CR"/>
        </w:rPr>
        <w:t>la Comisión no brindó explicación sobre la falta de identificación de esas dos presuntas víctimas o respecto a una eventual aplicación del artículo 35.2 del Reglamento</w:t>
      </w:r>
      <w:r w:rsidR="00650522">
        <w:rPr>
          <w:lang w:val="es-CR"/>
        </w:rPr>
        <w:t>.</w:t>
      </w:r>
      <w:r w:rsidR="000D7005">
        <w:rPr>
          <w:lang w:val="es-CR"/>
        </w:rPr>
        <w:t xml:space="preserve"> </w:t>
      </w:r>
      <w:r w:rsidR="00650522">
        <w:rPr>
          <w:lang w:val="es-CR"/>
        </w:rPr>
        <w:t>P</w:t>
      </w:r>
      <w:r w:rsidR="000D7005">
        <w:rPr>
          <w:lang w:val="es-CR"/>
        </w:rPr>
        <w:t xml:space="preserve">or tanto el Tribunal señaló que no correspondía aplicar la excepción prevista en el artículo 35.2 del Reglamento </w:t>
      </w:r>
      <w:r w:rsidR="000D7005" w:rsidRPr="000D7005">
        <w:rPr>
          <w:lang w:val="es-CR"/>
        </w:rPr>
        <w:t xml:space="preserve">y </w:t>
      </w:r>
      <w:r w:rsidR="00C97D92" w:rsidRPr="000D7005">
        <w:rPr>
          <w:lang w:val="es-CR"/>
        </w:rPr>
        <w:t>consider</w:t>
      </w:r>
      <w:r w:rsidR="00C97D92">
        <w:rPr>
          <w:lang w:val="es-CR"/>
        </w:rPr>
        <w:t>ó</w:t>
      </w:r>
      <w:r w:rsidR="00C97D92" w:rsidRPr="000D7005">
        <w:rPr>
          <w:lang w:val="es-CR"/>
        </w:rPr>
        <w:t xml:space="preserve"> </w:t>
      </w:r>
      <w:r w:rsidR="000D7005" w:rsidRPr="000D7005">
        <w:rPr>
          <w:lang w:val="es-CR"/>
        </w:rPr>
        <w:t>pertinente acoger la excepción preliminar del Estado con relación a alias “Fredy” y su “esposa”</w:t>
      </w:r>
      <w:r w:rsidR="000D7005">
        <w:rPr>
          <w:rStyle w:val="FootnoteReference"/>
          <w:lang w:val="es-CR"/>
        </w:rPr>
        <w:footnoteReference w:id="12"/>
      </w:r>
      <w:r w:rsidR="000D7005" w:rsidRPr="000D7005">
        <w:rPr>
          <w:lang w:val="es-CR"/>
        </w:rPr>
        <w:t xml:space="preserve">. </w:t>
      </w:r>
      <w:r w:rsidR="000D7005">
        <w:rPr>
          <w:lang w:val="es-CR"/>
        </w:rPr>
        <w:t xml:space="preserve"> </w:t>
      </w:r>
    </w:p>
    <w:p w:rsidR="00DE66C4" w:rsidRPr="00781C53" w:rsidRDefault="00C97D92" w:rsidP="00781C53">
      <w:pPr>
        <w:numPr>
          <w:ilvl w:val="0"/>
          <w:numId w:val="16"/>
        </w:numPr>
        <w:tabs>
          <w:tab w:val="num" w:pos="720"/>
        </w:tabs>
        <w:spacing w:before="120" w:after="120"/>
        <w:ind w:left="0" w:firstLine="0"/>
        <w:rPr>
          <w:lang w:val="es-CR"/>
        </w:rPr>
      </w:pPr>
      <w:r>
        <w:rPr>
          <w:lang w:val="es-CR"/>
        </w:rPr>
        <w:t>Resulta</w:t>
      </w:r>
      <w:r w:rsidR="00334D29">
        <w:rPr>
          <w:lang w:val="es-CR"/>
        </w:rPr>
        <w:t xml:space="preserve"> pertinente </w:t>
      </w:r>
      <w:r w:rsidR="00E0112B">
        <w:rPr>
          <w:lang w:val="es-CR"/>
        </w:rPr>
        <w:t xml:space="preserve">reiterar </w:t>
      </w:r>
      <w:r w:rsidR="00334D29">
        <w:rPr>
          <w:lang w:val="es-CR"/>
        </w:rPr>
        <w:t xml:space="preserve">que tal </w:t>
      </w:r>
      <w:r w:rsidR="00334D29" w:rsidRPr="00BE133F">
        <w:rPr>
          <w:szCs w:val="20"/>
        </w:rPr>
        <w:t xml:space="preserve">como lo ha dispuesto </w:t>
      </w:r>
      <w:r>
        <w:rPr>
          <w:szCs w:val="20"/>
        </w:rPr>
        <w:t xml:space="preserve">ésta Corte </w:t>
      </w:r>
      <w:r w:rsidR="00334D29" w:rsidRPr="00BE133F">
        <w:rPr>
          <w:szCs w:val="20"/>
        </w:rPr>
        <w:t xml:space="preserve">en su jurisprudencia constante, una solicitud de interpretación de Sentencia no puede utilizarse como medio de impugnación de la decisión cuya interpretación se </w:t>
      </w:r>
      <w:r w:rsidR="00E0112B" w:rsidRPr="00BE133F">
        <w:rPr>
          <w:szCs w:val="20"/>
        </w:rPr>
        <w:t>requiere</w:t>
      </w:r>
      <w:r w:rsidR="00334D29" w:rsidRPr="00BE133F">
        <w:rPr>
          <w:szCs w:val="20"/>
        </w:rPr>
        <w:t>. Dicha solicitud tiene como objeto, exclusivamente, determinar el sentido de un fallo cuando alguna de las partes sostiene que el texto de sus puntos resolutivos o de sus consideraciones carece de claridad o precisión, siempre y cuando esas consideraciones incidan en dicha parte resolutiva</w:t>
      </w:r>
      <w:r w:rsidR="00334D29" w:rsidRPr="00BE133F">
        <w:rPr>
          <w:rStyle w:val="FootnoteReference"/>
        </w:rPr>
        <w:footnoteReference w:id="13"/>
      </w:r>
      <w:r w:rsidR="00334D29" w:rsidRPr="00BE133F">
        <w:rPr>
          <w:szCs w:val="20"/>
        </w:rPr>
        <w:t>.</w:t>
      </w:r>
      <w:r w:rsidR="00334D29" w:rsidRPr="00334D29">
        <w:rPr>
          <w:szCs w:val="20"/>
        </w:rPr>
        <w:t xml:space="preserve"> </w:t>
      </w:r>
      <w:r w:rsidR="00334D29" w:rsidRPr="00BE133F">
        <w:rPr>
          <w:szCs w:val="20"/>
        </w:rPr>
        <w:t>Asimismo, la Corte ha sostenido la improcedencia de utilizar una solicitud de interpretación para someter cuestiones de hecho y de derecho que ya fueron planteadas en su oportunidad procesal y sobre las cuales el Tribunal ya adoptó una decisión</w:t>
      </w:r>
      <w:r w:rsidR="00334D29" w:rsidRPr="00BE133F">
        <w:rPr>
          <w:rStyle w:val="FootnoteReference"/>
        </w:rPr>
        <w:footnoteReference w:id="14"/>
      </w:r>
      <w:r w:rsidR="00334D29">
        <w:rPr>
          <w:szCs w:val="20"/>
        </w:rPr>
        <w:t xml:space="preserve">. </w:t>
      </w:r>
    </w:p>
    <w:p w:rsidR="00334D29" w:rsidRPr="00781C53" w:rsidRDefault="00DE66C4" w:rsidP="00781C53">
      <w:pPr>
        <w:numPr>
          <w:ilvl w:val="0"/>
          <w:numId w:val="16"/>
        </w:numPr>
        <w:tabs>
          <w:tab w:val="num" w:pos="720"/>
        </w:tabs>
        <w:spacing w:before="120" w:after="120"/>
        <w:ind w:left="0" w:firstLine="0"/>
        <w:rPr>
          <w:lang w:val="es-CR"/>
        </w:rPr>
      </w:pPr>
      <w:r>
        <w:rPr>
          <w:szCs w:val="20"/>
        </w:rPr>
        <w:t xml:space="preserve">De acuerdo a lo anterior, y específicamente con respecto a </w:t>
      </w:r>
      <w:r>
        <w:rPr>
          <w:rFonts w:eastAsia="Calibri" w:cs="Arial"/>
          <w:lang w:val="es-CR"/>
        </w:rPr>
        <w:t xml:space="preserve">la excepción preliminar que </w:t>
      </w:r>
      <w:r w:rsidR="00436DBD">
        <w:rPr>
          <w:rFonts w:eastAsia="Calibri" w:cs="Arial"/>
          <w:lang w:val="es-CR"/>
        </w:rPr>
        <w:t xml:space="preserve">se refiere a “Fredy y su esposa”, la Corte encuentra que la sentencia resulta suficientemente clara sobre el punto y que </w:t>
      </w:r>
      <w:r w:rsidR="00436DBD">
        <w:rPr>
          <w:szCs w:val="20"/>
        </w:rPr>
        <w:t xml:space="preserve">la solicitud de </w:t>
      </w:r>
      <w:r w:rsidR="00436DBD" w:rsidRPr="00BD6D27">
        <w:rPr>
          <w:rFonts w:eastAsia="Calibri" w:cs="Arial"/>
          <w:lang w:val="es-CR"/>
        </w:rPr>
        <w:t>interpretación</w:t>
      </w:r>
      <w:r w:rsidR="00436DBD">
        <w:rPr>
          <w:rFonts w:eastAsia="Calibri" w:cs="Arial"/>
          <w:lang w:val="es-CR"/>
        </w:rPr>
        <w:t xml:space="preserve"> </w:t>
      </w:r>
      <w:r w:rsidR="00436DBD" w:rsidRPr="00BD6D27">
        <w:rPr>
          <w:rFonts w:eastAsia="Calibri" w:cs="Arial"/>
        </w:rPr>
        <w:t>no se encuentra dentro del marco establecido en el artículo 67 de la Convención Americana</w:t>
      </w:r>
      <w:r w:rsidR="00436DBD">
        <w:rPr>
          <w:rFonts w:eastAsia="Calibri" w:cs="Arial"/>
        </w:rPr>
        <w:t>,</w:t>
      </w:r>
      <w:r w:rsidR="00436DBD" w:rsidRPr="00BD6D27">
        <w:rPr>
          <w:rFonts w:eastAsia="Calibri" w:cs="Arial"/>
        </w:rPr>
        <w:t xml:space="preserve"> toda vez que el propósito de la interpretación </w:t>
      </w:r>
      <w:r w:rsidR="00436DBD">
        <w:rPr>
          <w:rFonts w:eastAsia="Calibri" w:cs="Arial"/>
        </w:rPr>
        <w:t xml:space="preserve">debe ser </w:t>
      </w:r>
      <w:r w:rsidR="00436DBD" w:rsidRPr="00BD6D27">
        <w:rPr>
          <w:rFonts w:eastAsia="Calibri" w:cs="Arial"/>
        </w:rPr>
        <w:t xml:space="preserve">aclarar algún punto impreciso o </w:t>
      </w:r>
      <w:r w:rsidR="00436DBD" w:rsidRPr="00BD6D27">
        <w:rPr>
          <w:rFonts w:eastAsia="Calibri" w:cs="Arial"/>
        </w:rPr>
        <w:lastRenderedPageBreak/>
        <w:t>ambiguo sobre el sentido o alcance de la Sentencia</w:t>
      </w:r>
      <w:r w:rsidR="00436DBD">
        <w:rPr>
          <w:rFonts w:eastAsia="Calibri" w:cs="Arial"/>
        </w:rPr>
        <w:t>, lo que no es el caso en la presente solicitud</w:t>
      </w:r>
      <w:r w:rsidR="00436DBD" w:rsidRPr="00BD6D27">
        <w:rPr>
          <w:rFonts w:eastAsia="Calibri" w:cs="Arial"/>
        </w:rPr>
        <w:t>.</w:t>
      </w:r>
      <w:r w:rsidR="00436DBD">
        <w:rPr>
          <w:rFonts w:eastAsia="Calibri" w:cs="Arial"/>
        </w:rPr>
        <w:t xml:space="preserve"> </w:t>
      </w:r>
      <w:r w:rsidR="00436DBD" w:rsidRPr="00436DBD">
        <w:rPr>
          <w:rFonts w:eastAsia="Calibri" w:cs="Arial"/>
        </w:rPr>
        <w:t>En razón de lo anterior, este Tribunal considera que la solicitud de los representantes es improcedente.</w:t>
      </w:r>
      <w:r w:rsidR="00436DBD">
        <w:rPr>
          <w:rFonts w:eastAsia="Calibri" w:cs="Arial"/>
        </w:rPr>
        <w:t xml:space="preserve"> </w:t>
      </w:r>
    </w:p>
    <w:p w:rsidR="00CF0EFF" w:rsidRPr="00442077" w:rsidRDefault="00436DBD" w:rsidP="00781C53">
      <w:pPr>
        <w:numPr>
          <w:ilvl w:val="0"/>
          <w:numId w:val="16"/>
        </w:numPr>
        <w:tabs>
          <w:tab w:val="num" w:pos="720"/>
        </w:tabs>
        <w:spacing w:before="120" w:after="120"/>
        <w:ind w:left="0" w:firstLine="0"/>
        <w:rPr>
          <w:lang w:val="es-CR"/>
        </w:rPr>
      </w:pPr>
      <w:r>
        <w:rPr>
          <w:rFonts w:eastAsia="Calibri" w:cs="Arial"/>
        </w:rPr>
        <w:t xml:space="preserve">En cuanto a la parte de la excepción preliminar que versa sobre la presunta víctima A., </w:t>
      </w:r>
      <w:r w:rsidR="00CF0EFF">
        <w:rPr>
          <w:rFonts w:eastAsia="Calibri" w:cs="Arial"/>
        </w:rPr>
        <w:t xml:space="preserve">la solicitud de interpretación se refiere a dos puntos: a) sobre las diligencias que se realizaron para tomar contacto con “A.”, y b) </w:t>
      </w:r>
      <w:r w:rsidR="00850B9A">
        <w:rPr>
          <w:rFonts w:eastAsia="Calibri" w:cs="Arial"/>
        </w:rPr>
        <w:t>una valoración sobre los criterios utilizados por la Corte para resolver la excepción preliminar con respecto a “A.”.</w:t>
      </w:r>
    </w:p>
    <w:p w:rsidR="00850B9A" w:rsidRPr="00850B9A" w:rsidRDefault="00850B9A" w:rsidP="00781C53">
      <w:pPr>
        <w:numPr>
          <w:ilvl w:val="0"/>
          <w:numId w:val="16"/>
        </w:numPr>
        <w:tabs>
          <w:tab w:val="num" w:pos="720"/>
        </w:tabs>
        <w:spacing w:before="120" w:after="120"/>
        <w:ind w:left="0" w:firstLine="0"/>
        <w:rPr>
          <w:lang w:val="es-CR"/>
        </w:rPr>
      </w:pPr>
      <w:r w:rsidRPr="00850B9A">
        <w:rPr>
          <w:rFonts w:eastAsia="Calibri" w:cs="Arial"/>
        </w:rPr>
        <w:t xml:space="preserve">Con respecto </w:t>
      </w:r>
      <w:r w:rsidR="00442077">
        <w:rPr>
          <w:rFonts w:eastAsia="Calibri" w:cs="Arial"/>
        </w:rPr>
        <w:t>a esto último</w:t>
      </w:r>
      <w:r w:rsidRPr="00850B9A">
        <w:rPr>
          <w:rFonts w:eastAsia="Calibri" w:cs="Arial"/>
        </w:rPr>
        <w:t>, cabe señalar que la solicitud resulta inadmisible por estar fuera del marco establecido en el artículo 67 de la Convención Americana, toda vez que el propósito de la interpretación debe ser aclarar algún punto impreciso o ambiguo sobre el sentido o alcance de la Sentencia. En efecto, esa situación no se presenta en este caso puesto que la referida solicitud de los representantes pone de relieve un “desacuerdo” (sic) o una inconformidad con la decisión del Tribunal de dar a lugar a la excepción preliminar respecto de “A.”, persona que</w:t>
      </w:r>
      <w:r>
        <w:rPr>
          <w:rFonts w:eastAsia="Calibri" w:cs="Arial"/>
        </w:rPr>
        <w:t xml:space="preserve">, </w:t>
      </w:r>
      <w:r w:rsidRPr="00850B9A">
        <w:rPr>
          <w:rFonts w:eastAsia="Calibri" w:cs="Arial"/>
        </w:rPr>
        <w:t>según indicaron en más de una oportunidad, no representaban.</w:t>
      </w:r>
    </w:p>
    <w:p w:rsidR="00436DBD" w:rsidRPr="00442077" w:rsidRDefault="00850B9A" w:rsidP="00781C53">
      <w:pPr>
        <w:numPr>
          <w:ilvl w:val="0"/>
          <w:numId w:val="16"/>
        </w:numPr>
        <w:tabs>
          <w:tab w:val="num" w:pos="720"/>
        </w:tabs>
        <w:spacing w:before="120" w:after="120"/>
        <w:ind w:left="0" w:firstLine="0"/>
        <w:rPr>
          <w:lang w:val="es-CR"/>
        </w:rPr>
      </w:pPr>
      <w:r w:rsidRPr="00442077">
        <w:rPr>
          <w:rFonts w:eastAsia="Calibri" w:cs="Arial"/>
        </w:rPr>
        <w:t xml:space="preserve">Con respecto </w:t>
      </w:r>
      <w:r w:rsidR="00442077" w:rsidRPr="00442077">
        <w:rPr>
          <w:rFonts w:eastAsia="Calibri" w:cs="Arial"/>
        </w:rPr>
        <w:t xml:space="preserve">a la solicitud de aclaración en cuanto a las diligencias realizadas para contactarse con “A.”, </w:t>
      </w:r>
      <w:r w:rsidR="00442077" w:rsidRPr="00442077">
        <w:rPr>
          <w:rFonts w:cs="Arial"/>
        </w:rPr>
        <w:t>e</w:t>
      </w:r>
      <w:r w:rsidR="00442077" w:rsidRPr="00442077">
        <w:rPr>
          <w:rFonts w:eastAsia="Calibri" w:cs="Arial"/>
        </w:rPr>
        <w:t>l Tribunal encuentra que las partes de la Sentencia que se refieren a la excepción preliminar que concierne</w:t>
      </w:r>
      <w:r w:rsidR="000B05D1">
        <w:rPr>
          <w:rFonts w:eastAsia="Calibri" w:cs="Arial"/>
        </w:rPr>
        <w:t>n</w:t>
      </w:r>
      <w:r w:rsidR="00442077" w:rsidRPr="00442077">
        <w:rPr>
          <w:rFonts w:eastAsia="Calibri" w:cs="Arial"/>
        </w:rPr>
        <w:t xml:space="preserve"> específicamente </w:t>
      </w:r>
      <w:r w:rsidR="000B05D1">
        <w:rPr>
          <w:rFonts w:eastAsia="Calibri" w:cs="Arial"/>
        </w:rPr>
        <w:t xml:space="preserve">a </w:t>
      </w:r>
      <w:r w:rsidR="00442077" w:rsidRPr="00442077">
        <w:rPr>
          <w:rFonts w:eastAsia="Calibri" w:cs="Arial"/>
        </w:rPr>
        <w:t xml:space="preserve">la presunta víctima “A.” son lo suficientemente claras y precisas, por lo que no resulta necesaria una interpretación de las mismas. </w:t>
      </w:r>
      <w:r w:rsidR="00E0112B">
        <w:rPr>
          <w:rFonts w:eastAsia="Calibri" w:cs="Arial"/>
        </w:rPr>
        <w:t xml:space="preserve">Cabe recordar que </w:t>
      </w:r>
      <w:r w:rsidR="00442077" w:rsidRPr="00442077">
        <w:rPr>
          <w:rFonts w:eastAsia="Calibri" w:cs="Arial"/>
        </w:rPr>
        <w:t xml:space="preserve">la </w:t>
      </w:r>
      <w:r w:rsidR="00436DBD" w:rsidRPr="00442077">
        <w:rPr>
          <w:rFonts w:eastAsia="Calibri" w:cs="Arial"/>
        </w:rPr>
        <w:t xml:space="preserve">Sentencia </w:t>
      </w:r>
      <w:r w:rsidR="00381E00" w:rsidRPr="00442077">
        <w:rPr>
          <w:rFonts w:eastAsia="Calibri" w:cs="Arial"/>
        </w:rPr>
        <w:t>indica de forma inequívoca que</w:t>
      </w:r>
      <w:r w:rsidR="00433F02">
        <w:rPr>
          <w:rFonts w:eastAsia="Calibri" w:cs="Arial"/>
        </w:rPr>
        <w:t xml:space="preserve"> “A.”: </w:t>
      </w:r>
      <w:r w:rsidR="00381E00" w:rsidRPr="00442077">
        <w:rPr>
          <w:rFonts w:eastAsia="Calibri" w:cs="Arial"/>
        </w:rPr>
        <w:t xml:space="preserve">a) no figura como presunta víctima en la petición inicial de este caso; b) en ningún momento en el transcurso del proceso público ante la Comisión o la Corte, </w:t>
      </w:r>
      <w:r w:rsidR="00CF5675">
        <w:rPr>
          <w:rFonts w:eastAsia="Calibri" w:cs="Arial"/>
        </w:rPr>
        <w:t>esa persona</w:t>
      </w:r>
      <w:r w:rsidR="00CF5675" w:rsidRPr="00442077">
        <w:rPr>
          <w:rFonts w:eastAsia="Calibri" w:cs="Arial"/>
        </w:rPr>
        <w:t xml:space="preserve"> </w:t>
      </w:r>
      <w:r w:rsidR="00381E00" w:rsidRPr="00442077">
        <w:rPr>
          <w:rFonts w:eastAsia="Calibri" w:cs="Arial"/>
        </w:rPr>
        <w:t>o alguien que l</w:t>
      </w:r>
      <w:r w:rsidR="000B05D1">
        <w:rPr>
          <w:rFonts w:eastAsia="Calibri" w:cs="Arial"/>
        </w:rPr>
        <w:t>a</w:t>
      </w:r>
      <w:r w:rsidR="00381E00" w:rsidRPr="00442077">
        <w:rPr>
          <w:rFonts w:eastAsia="Calibri" w:cs="Arial"/>
        </w:rPr>
        <w:t xml:space="preserve"> represente, ha manifestado su voluntad de participar en dicho procedimiento; c) los representantes de las presuntas víctimas indicaron en varias oportunidades que no </w:t>
      </w:r>
      <w:r w:rsidR="00CF5675" w:rsidRPr="00442077">
        <w:rPr>
          <w:rFonts w:eastAsia="Calibri" w:cs="Arial"/>
        </w:rPr>
        <w:t>l</w:t>
      </w:r>
      <w:r w:rsidR="00CF5675">
        <w:rPr>
          <w:rFonts w:eastAsia="Calibri" w:cs="Arial"/>
        </w:rPr>
        <w:t>a</w:t>
      </w:r>
      <w:r w:rsidR="00CF5675" w:rsidRPr="00442077">
        <w:rPr>
          <w:rFonts w:eastAsia="Calibri" w:cs="Arial"/>
        </w:rPr>
        <w:t xml:space="preserve"> </w:t>
      </w:r>
      <w:r w:rsidR="00381E00" w:rsidRPr="00442077">
        <w:rPr>
          <w:rFonts w:eastAsia="Calibri" w:cs="Arial"/>
        </w:rPr>
        <w:t xml:space="preserve">representaban, y d) no se ha podido entrar en contacto con </w:t>
      </w:r>
      <w:r w:rsidR="00CF5675">
        <w:rPr>
          <w:rFonts w:eastAsia="Calibri" w:cs="Arial"/>
        </w:rPr>
        <w:t>ella</w:t>
      </w:r>
      <w:r w:rsidR="00381E00">
        <w:rPr>
          <w:rStyle w:val="FootnoteReference"/>
          <w:rFonts w:eastAsia="Calibri"/>
        </w:rPr>
        <w:footnoteReference w:id="15"/>
      </w:r>
      <w:r w:rsidR="00027BF2" w:rsidRPr="00442077">
        <w:rPr>
          <w:rFonts w:eastAsia="Calibri" w:cs="Arial"/>
        </w:rPr>
        <w:t>. Agregó que por tanto se hace necesario una manifestación expresa de voluntad de “A.” o de su representante legal con la finalidad de que pueda efectivamente participar en el proceso. En este caso</w:t>
      </w:r>
      <w:r w:rsidR="000B05D1">
        <w:rPr>
          <w:rFonts w:eastAsia="Calibri" w:cs="Arial"/>
        </w:rPr>
        <w:t>,</w:t>
      </w:r>
      <w:r w:rsidR="00027BF2" w:rsidRPr="00442077">
        <w:rPr>
          <w:rFonts w:eastAsia="Calibri" w:cs="Arial"/>
        </w:rPr>
        <w:t xml:space="preserve"> esa manifestación </w:t>
      </w:r>
      <w:r w:rsidR="00CF5675">
        <w:rPr>
          <w:rFonts w:eastAsia="Calibri" w:cs="Arial"/>
        </w:rPr>
        <w:t xml:space="preserve">de voluntad no ha podido ser </w:t>
      </w:r>
      <w:r w:rsidR="00027BF2" w:rsidRPr="00442077">
        <w:rPr>
          <w:rFonts w:eastAsia="Calibri" w:cs="Arial"/>
        </w:rPr>
        <w:t>recaudada</w:t>
      </w:r>
      <w:r w:rsidR="00027BF2">
        <w:rPr>
          <w:rStyle w:val="FootnoteReference"/>
          <w:rFonts w:eastAsia="Calibri"/>
        </w:rPr>
        <w:footnoteReference w:id="16"/>
      </w:r>
      <w:r w:rsidR="00027BF2" w:rsidRPr="00442077">
        <w:rPr>
          <w:rFonts w:eastAsia="Calibri" w:cs="Arial"/>
        </w:rPr>
        <w:t>.</w:t>
      </w:r>
      <w:r w:rsidR="00381E00" w:rsidRPr="00442077">
        <w:rPr>
          <w:rFonts w:eastAsia="Calibri" w:cs="Arial"/>
        </w:rPr>
        <w:t xml:space="preserve"> </w:t>
      </w:r>
      <w:r w:rsidR="00442077">
        <w:rPr>
          <w:rFonts w:eastAsia="Calibri" w:cs="Arial"/>
        </w:rPr>
        <w:t>Además, l</w:t>
      </w:r>
      <w:r w:rsidR="00027BF2" w:rsidRPr="00442077">
        <w:rPr>
          <w:rFonts w:eastAsia="Calibri" w:cs="Arial"/>
        </w:rPr>
        <w:t xml:space="preserve">a Sentencia hizo alusión a diversas diligencias que fueron realizadas gestiones con la finalidad de tomar contacto con “A.” con el objetivo de </w:t>
      </w:r>
      <w:r w:rsidR="00CF5675" w:rsidRPr="00442077">
        <w:rPr>
          <w:rFonts w:eastAsia="Calibri" w:cs="Arial"/>
        </w:rPr>
        <w:t xml:space="preserve">informar </w:t>
      </w:r>
      <w:r w:rsidR="00027BF2" w:rsidRPr="00442077">
        <w:rPr>
          <w:rFonts w:eastAsia="Calibri" w:cs="Arial"/>
        </w:rPr>
        <w:t>sobre la existencia de un proceso internacional que concierne sus intereses y para determinar si deseaba participar en el mismo</w:t>
      </w:r>
      <w:r w:rsidR="00027BF2">
        <w:rPr>
          <w:rStyle w:val="FootnoteReference"/>
          <w:rFonts w:eastAsia="Calibri"/>
        </w:rPr>
        <w:footnoteReference w:id="17"/>
      </w:r>
      <w:r w:rsidR="00027BF2" w:rsidRPr="00442077">
        <w:rPr>
          <w:rFonts w:eastAsia="Calibri" w:cs="Arial"/>
        </w:rPr>
        <w:t xml:space="preserve">. </w:t>
      </w:r>
      <w:r w:rsidR="00442077">
        <w:rPr>
          <w:rFonts w:eastAsia="Calibri" w:cs="Arial"/>
        </w:rPr>
        <w:t>Por último</w:t>
      </w:r>
      <w:r w:rsidR="00433F02">
        <w:rPr>
          <w:rFonts w:eastAsia="Calibri" w:cs="Arial"/>
        </w:rPr>
        <w:t>,</w:t>
      </w:r>
      <w:r w:rsidR="00442077">
        <w:rPr>
          <w:rFonts w:eastAsia="Calibri" w:cs="Arial"/>
        </w:rPr>
        <w:t xml:space="preserve"> l</w:t>
      </w:r>
      <w:r w:rsidR="00027BF2" w:rsidRPr="00442077">
        <w:rPr>
          <w:rFonts w:eastAsia="Calibri" w:cs="Arial"/>
        </w:rPr>
        <w:t xml:space="preserve">a Corte indicó que </w:t>
      </w:r>
      <w:r w:rsidR="00CF5675">
        <w:rPr>
          <w:rFonts w:eastAsia="Calibri" w:cs="Arial"/>
        </w:rPr>
        <w:t xml:space="preserve">esas diligencias </w:t>
      </w:r>
      <w:r w:rsidR="00027BF2" w:rsidRPr="00442077">
        <w:rPr>
          <w:rFonts w:eastAsia="Calibri" w:cs="Arial"/>
        </w:rPr>
        <w:t>habían sido infructuosas</w:t>
      </w:r>
      <w:r w:rsidR="00027BF2">
        <w:rPr>
          <w:rStyle w:val="FootnoteReference"/>
          <w:rFonts w:eastAsia="Calibri"/>
        </w:rPr>
        <w:footnoteReference w:id="18"/>
      </w:r>
      <w:r w:rsidR="00027BF2" w:rsidRPr="00442077">
        <w:rPr>
          <w:rFonts w:eastAsia="Calibri" w:cs="Arial"/>
        </w:rPr>
        <w:t>.</w:t>
      </w:r>
    </w:p>
    <w:p w:rsidR="00682F2C" w:rsidRPr="00850B9A" w:rsidRDefault="00850B9A" w:rsidP="00850B9A">
      <w:pPr>
        <w:tabs>
          <w:tab w:val="num" w:pos="720"/>
        </w:tabs>
        <w:spacing w:before="240" w:after="240"/>
        <w:ind w:left="720"/>
        <w:rPr>
          <w:b/>
          <w:i/>
          <w:lang w:val="es-CR"/>
        </w:rPr>
      </w:pPr>
      <w:r w:rsidRPr="00850B9A">
        <w:rPr>
          <w:b/>
          <w:i/>
          <w:lang w:val="es-CR"/>
        </w:rPr>
        <w:tab/>
      </w:r>
      <w:r w:rsidR="0095012D" w:rsidRPr="00850B9A">
        <w:rPr>
          <w:b/>
          <w:i/>
          <w:lang w:val="es-CR"/>
        </w:rPr>
        <w:t>C</w:t>
      </w:r>
      <w:r w:rsidR="00682F2C" w:rsidRPr="00850B9A">
        <w:rPr>
          <w:b/>
          <w:i/>
          <w:lang w:val="es-CR"/>
        </w:rPr>
        <w:t xml:space="preserve">. </w:t>
      </w:r>
      <w:r w:rsidR="00362CB3" w:rsidRPr="00850B9A">
        <w:rPr>
          <w:b/>
          <w:i/>
          <w:lang w:val="es-CR"/>
        </w:rPr>
        <w:t>E</w:t>
      </w:r>
      <w:r w:rsidR="00FA3D77" w:rsidRPr="00850B9A">
        <w:rPr>
          <w:b/>
          <w:i/>
          <w:lang w:val="es-CR"/>
        </w:rPr>
        <w:t>l pago ordenado por concepto de daño inmaterial</w:t>
      </w:r>
    </w:p>
    <w:p w:rsidR="009310E4" w:rsidRDefault="00FA3D77" w:rsidP="009310E4">
      <w:pPr>
        <w:numPr>
          <w:ilvl w:val="0"/>
          <w:numId w:val="16"/>
        </w:numPr>
        <w:tabs>
          <w:tab w:val="num" w:pos="720"/>
        </w:tabs>
        <w:spacing w:before="120" w:after="120"/>
        <w:ind w:left="0" w:firstLine="0"/>
        <w:rPr>
          <w:lang w:val="es-CR"/>
        </w:rPr>
      </w:pPr>
      <w:r w:rsidRPr="00FA3D77">
        <w:rPr>
          <w:lang w:val="es-CR"/>
        </w:rPr>
        <w:t xml:space="preserve">El </w:t>
      </w:r>
      <w:r w:rsidRPr="00D7495A">
        <w:rPr>
          <w:i/>
          <w:lang w:val="es-CR"/>
        </w:rPr>
        <w:t>Estado</w:t>
      </w:r>
      <w:r w:rsidRPr="00FA3D77">
        <w:rPr>
          <w:lang w:val="es-CR"/>
        </w:rPr>
        <w:t xml:space="preserve"> presentó una solicitud de interpretación respecto al pago ordenado por concepto de daño inmaterial. En este sentido, consideró que una lectura integral de los párrafos 304 y 309 de la Sentencia “no permite entender a cabalidad la forma </w:t>
      </w:r>
      <w:r w:rsidRPr="00FA3D77">
        <w:rPr>
          <w:lang w:val="es-CR"/>
        </w:rPr>
        <w:lastRenderedPageBreak/>
        <w:t>en que los criterios de distribución contenidos en el párrafo 304, deben aplicarse a los montos ordenados por daño inmaterial en el párrafo 309”, por lo que manifestó que “[u]na precisión en este punto resulta necesaria a efectos de poder cumplir efectivamente con el pago ordenado”</w:t>
      </w:r>
      <w:r>
        <w:rPr>
          <w:lang w:val="es-CR"/>
        </w:rPr>
        <w:t>.</w:t>
      </w:r>
    </w:p>
    <w:p w:rsidR="00326962" w:rsidRPr="00326962" w:rsidRDefault="00326962" w:rsidP="00326962">
      <w:pPr>
        <w:numPr>
          <w:ilvl w:val="0"/>
          <w:numId w:val="16"/>
        </w:numPr>
        <w:tabs>
          <w:tab w:val="num" w:pos="720"/>
        </w:tabs>
        <w:autoSpaceDE w:val="0"/>
        <w:autoSpaceDN w:val="0"/>
        <w:adjustRightInd w:val="0"/>
        <w:spacing w:before="120" w:after="120"/>
        <w:ind w:left="0" w:firstLine="0"/>
        <w:rPr>
          <w:szCs w:val="20"/>
          <w:lang w:val="es-CR"/>
        </w:rPr>
      </w:pPr>
      <w:r w:rsidRPr="00326962">
        <w:rPr>
          <w:szCs w:val="20"/>
          <w:lang w:val="es-CR"/>
        </w:rPr>
        <w:t xml:space="preserve">Los </w:t>
      </w:r>
      <w:r w:rsidRPr="00D7495A">
        <w:rPr>
          <w:i/>
          <w:szCs w:val="20"/>
          <w:lang w:val="es-CR"/>
        </w:rPr>
        <w:t>representantes</w:t>
      </w:r>
      <w:r w:rsidRPr="00326962">
        <w:rPr>
          <w:szCs w:val="20"/>
          <w:lang w:val="es-CR"/>
        </w:rPr>
        <w:t xml:space="preserve"> señalaron que el Estado no especificó “</w:t>
      </w:r>
      <w:r w:rsidR="00D818EA" w:rsidRPr="00326962">
        <w:rPr>
          <w:szCs w:val="20"/>
          <w:lang w:val="es-CR"/>
        </w:rPr>
        <w:t>cuáles</w:t>
      </w:r>
      <w:r w:rsidRPr="00326962">
        <w:rPr>
          <w:szCs w:val="20"/>
          <w:lang w:val="es-CR"/>
        </w:rPr>
        <w:t xml:space="preserve"> serían los puntos ambiguos que no permiten entender el alcance de la medida, limitándose a una referencia a la lectura integral de los mencionados párrafos”, por lo que consideraron que “no se tiene por cumplido el requisito del artículo 68 del Reglamento de [la] […] Corte”. En este sentido, manifestaron “que la Corte ha proporcionado información clara y suficiente para tramitar la reparación por daños material e inmaterial a las víctimas señaladas en dichos párrafos, especificándose en el caso de las reparaciones por daño inmaterial, que se aplicarán los mismos criterios reflejados en el párrafo 304”. Por lo tanto, solicitaron que la solicitud de interpretación sobre esta medida sea</w:t>
      </w:r>
      <w:r>
        <w:rPr>
          <w:szCs w:val="20"/>
          <w:lang w:val="es-CR"/>
        </w:rPr>
        <w:t xml:space="preserve"> </w:t>
      </w:r>
      <w:r w:rsidRPr="00326962">
        <w:rPr>
          <w:szCs w:val="20"/>
          <w:lang w:val="es-CR"/>
        </w:rPr>
        <w:t>desestimada.</w:t>
      </w:r>
    </w:p>
    <w:p w:rsidR="00FA3D77" w:rsidRPr="008B3E01" w:rsidRDefault="009310E4" w:rsidP="009310E4">
      <w:pPr>
        <w:numPr>
          <w:ilvl w:val="0"/>
          <w:numId w:val="16"/>
        </w:numPr>
        <w:tabs>
          <w:tab w:val="num" w:pos="720"/>
        </w:tabs>
        <w:autoSpaceDE w:val="0"/>
        <w:autoSpaceDN w:val="0"/>
        <w:adjustRightInd w:val="0"/>
        <w:spacing w:before="120" w:after="120"/>
        <w:ind w:left="0" w:firstLine="0"/>
        <w:rPr>
          <w:szCs w:val="20"/>
          <w:lang w:val="es-CR"/>
        </w:rPr>
      </w:pPr>
      <w:r w:rsidRPr="009310E4">
        <w:rPr>
          <w:szCs w:val="20"/>
          <w:lang w:val="es-CR"/>
        </w:rPr>
        <w:t>Al respecto, la</w:t>
      </w:r>
      <w:r w:rsidRPr="009B3B75">
        <w:rPr>
          <w:b/>
          <w:i/>
          <w:szCs w:val="20"/>
          <w:lang w:val="es-CR"/>
        </w:rPr>
        <w:t xml:space="preserve"> </w:t>
      </w:r>
      <w:r w:rsidRPr="00D7495A">
        <w:rPr>
          <w:i/>
          <w:szCs w:val="20"/>
          <w:lang w:val="es-CR"/>
        </w:rPr>
        <w:t>Comisión</w:t>
      </w:r>
      <w:r w:rsidRPr="009B3B75">
        <w:rPr>
          <w:b/>
          <w:i/>
          <w:szCs w:val="20"/>
          <w:lang w:val="es-CR"/>
        </w:rPr>
        <w:t xml:space="preserve"> </w:t>
      </w:r>
      <w:r w:rsidRPr="009310E4">
        <w:rPr>
          <w:szCs w:val="20"/>
          <w:lang w:val="es-CR"/>
        </w:rPr>
        <w:t xml:space="preserve">entendió que “lo contenido en el </w:t>
      </w:r>
      <w:r w:rsidRPr="009310E4">
        <w:rPr>
          <w:rFonts w:eastAsia="Calibri" w:cs="Cambria"/>
          <w:szCs w:val="20"/>
          <w:lang w:val="es-CR"/>
        </w:rPr>
        <w:t>párrafo 304 se refiere a las reparaciones por daño material, y el párrafo 309 a las reparaciones</w:t>
      </w:r>
      <w:r w:rsidRPr="009310E4">
        <w:rPr>
          <w:szCs w:val="20"/>
          <w:lang w:val="es-CR"/>
        </w:rPr>
        <w:t xml:space="preserve"> </w:t>
      </w:r>
      <w:r w:rsidRPr="009310E4">
        <w:rPr>
          <w:rFonts w:eastAsia="Calibri" w:cs="Cambria"/>
          <w:szCs w:val="20"/>
          <w:lang w:val="es-CR"/>
        </w:rPr>
        <w:t>por daño inmaterial</w:t>
      </w:r>
      <w:r w:rsidR="007C681B">
        <w:rPr>
          <w:rFonts w:eastAsia="Calibri" w:cs="Cambria"/>
          <w:szCs w:val="20"/>
          <w:lang w:val="es-CR"/>
        </w:rPr>
        <w:t>”, por lo que consideró que “</w:t>
      </w:r>
      <w:r w:rsidRPr="009310E4">
        <w:rPr>
          <w:rFonts w:eastAsia="Calibri" w:cs="Cambria"/>
          <w:szCs w:val="20"/>
          <w:lang w:val="es-CR"/>
        </w:rPr>
        <w:t>la solicitud del Estado no identifica claramente cuáles serían los aspectos imprecisos de tales disposiciones, con lo cual no es posible establecer el objeto de este extremo de la solicitud</w:t>
      </w:r>
      <w:r w:rsidR="007C681B">
        <w:rPr>
          <w:rFonts w:eastAsia="Calibri" w:cs="Cambria"/>
          <w:szCs w:val="20"/>
          <w:lang w:val="es-CR"/>
        </w:rPr>
        <w:t>”</w:t>
      </w:r>
      <w:r w:rsidRPr="009310E4">
        <w:rPr>
          <w:rFonts w:eastAsia="Calibri" w:cs="Cambria"/>
          <w:szCs w:val="20"/>
          <w:lang w:val="es-CR"/>
        </w:rPr>
        <w:t>.</w:t>
      </w:r>
    </w:p>
    <w:p w:rsidR="008B3E01" w:rsidRPr="007C681B" w:rsidRDefault="00427BFB" w:rsidP="009310E4">
      <w:pPr>
        <w:numPr>
          <w:ilvl w:val="0"/>
          <w:numId w:val="16"/>
        </w:numPr>
        <w:tabs>
          <w:tab w:val="num" w:pos="720"/>
        </w:tabs>
        <w:autoSpaceDE w:val="0"/>
        <w:autoSpaceDN w:val="0"/>
        <w:adjustRightInd w:val="0"/>
        <w:spacing w:before="120" w:after="120"/>
        <w:ind w:left="0" w:firstLine="0"/>
        <w:rPr>
          <w:szCs w:val="20"/>
          <w:lang w:val="es-CR"/>
        </w:rPr>
      </w:pPr>
      <w:r>
        <w:rPr>
          <w:szCs w:val="20"/>
          <w:lang w:val="es-CR"/>
        </w:rPr>
        <w:t xml:space="preserve">La Corte recuerda que el párrafo 304 de la Sentencia hace referencia a la indemnización </w:t>
      </w:r>
      <w:r>
        <w:t xml:space="preserve">respecto de los familiares de víctimas de quienes ningún familiar recibió </w:t>
      </w:r>
      <w:r w:rsidR="00DD727F">
        <w:t>indemnización</w:t>
      </w:r>
      <w:r w:rsidR="00A74DAA" w:rsidRPr="00A74DAA">
        <w:rPr>
          <w:szCs w:val="20"/>
          <w:lang w:val="es-CR"/>
        </w:rPr>
        <w:t xml:space="preserve"> </w:t>
      </w:r>
      <w:r w:rsidR="00A74DAA">
        <w:rPr>
          <w:szCs w:val="20"/>
          <w:lang w:val="es-CR"/>
        </w:rPr>
        <w:t>por concepto de daño material</w:t>
      </w:r>
      <w:r>
        <w:t>. Además, en el mencionado párrafo</w:t>
      </w:r>
      <w:r w:rsidR="000B05D1">
        <w:t>,</w:t>
      </w:r>
      <w:r>
        <w:t xml:space="preserve"> </w:t>
      </w:r>
      <w:r w:rsidR="00A74DAA">
        <w:t xml:space="preserve">la Sentencia </w:t>
      </w:r>
      <w:r>
        <w:t xml:space="preserve">determinó los criterios </w:t>
      </w:r>
      <w:r w:rsidR="00D6511C">
        <w:t>de conformidad con</w:t>
      </w:r>
      <w:r>
        <w:t xml:space="preserve"> los cuales deber</w:t>
      </w:r>
      <w:r w:rsidR="00D6511C">
        <w:t>án pagarse dichos montos</w:t>
      </w:r>
      <w:r>
        <w:rPr>
          <w:szCs w:val="20"/>
          <w:lang w:val="es-CR"/>
        </w:rPr>
        <w:t xml:space="preserve">. </w:t>
      </w:r>
      <w:r w:rsidR="00D6511C">
        <w:rPr>
          <w:szCs w:val="20"/>
          <w:lang w:val="es-CR"/>
        </w:rPr>
        <w:t>Por otra parte</w:t>
      </w:r>
      <w:r>
        <w:rPr>
          <w:szCs w:val="20"/>
          <w:lang w:val="es-CR"/>
        </w:rPr>
        <w:t xml:space="preserve">, el párrafo 309 de la Sentencia se refiere a </w:t>
      </w:r>
      <w:r w:rsidR="00D6511C">
        <w:rPr>
          <w:szCs w:val="20"/>
          <w:lang w:val="es-CR"/>
        </w:rPr>
        <w:t xml:space="preserve">la indemnización </w:t>
      </w:r>
      <w:r>
        <w:rPr>
          <w:szCs w:val="20"/>
          <w:lang w:val="es-CR"/>
        </w:rPr>
        <w:t>por concepto de daño inmaterial</w:t>
      </w:r>
      <w:r w:rsidR="00D6511C">
        <w:rPr>
          <w:szCs w:val="20"/>
          <w:lang w:val="es-CR"/>
        </w:rPr>
        <w:t xml:space="preserve"> a favor de los familiares de las víctimas que no recibieron </w:t>
      </w:r>
      <w:r w:rsidR="00A74DAA">
        <w:rPr>
          <w:szCs w:val="20"/>
          <w:lang w:val="es-CR"/>
        </w:rPr>
        <w:t xml:space="preserve">indemnización </w:t>
      </w:r>
      <w:r w:rsidR="00D6511C">
        <w:rPr>
          <w:szCs w:val="20"/>
          <w:lang w:val="es-CR"/>
        </w:rPr>
        <w:t>en la jurisdicción interna</w:t>
      </w:r>
      <w:r>
        <w:rPr>
          <w:szCs w:val="20"/>
          <w:lang w:val="es-CR"/>
        </w:rPr>
        <w:t>. Por tanto, el Tribunal</w:t>
      </w:r>
      <w:r w:rsidR="009B3B75">
        <w:rPr>
          <w:szCs w:val="20"/>
          <w:lang w:val="es-CR"/>
        </w:rPr>
        <w:t xml:space="preserve"> </w:t>
      </w:r>
      <w:r w:rsidR="009B3B75">
        <w:t xml:space="preserve">considera que el texto de los referidos párrafos son lo suficientemente claros y precisos, por lo que no requieren mayores consideraciones a las </w:t>
      </w:r>
      <w:r w:rsidR="00A74DAA">
        <w:t xml:space="preserve">que se encuentran incluidas </w:t>
      </w:r>
      <w:r w:rsidR="009B3B75">
        <w:t>en la Sentencia</w:t>
      </w:r>
      <w:r w:rsidR="000B05D1">
        <w:t>. En consecuencia,</w:t>
      </w:r>
      <w:r w:rsidR="009B3B75">
        <w:t xml:space="preserve"> la solicitud del Estado es improcedente.</w:t>
      </w:r>
    </w:p>
    <w:p w:rsidR="00FA3D77" w:rsidRPr="00FA3D77" w:rsidRDefault="00FA3D77" w:rsidP="00781C53">
      <w:pPr>
        <w:tabs>
          <w:tab w:val="num" w:pos="720"/>
        </w:tabs>
        <w:spacing w:before="240" w:after="240"/>
        <w:ind w:left="720"/>
        <w:rPr>
          <w:b/>
          <w:i/>
          <w:lang w:val="es-CR"/>
        </w:rPr>
      </w:pPr>
      <w:r w:rsidRPr="00781C53">
        <w:rPr>
          <w:b/>
          <w:i/>
          <w:lang w:val="es-CR"/>
        </w:rPr>
        <w:tab/>
      </w:r>
      <w:r w:rsidR="0095012D" w:rsidRPr="0095012D">
        <w:rPr>
          <w:b/>
          <w:i/>
          <w:lang w:val="es-CR"/>
        </w:rPr>
        <w:t>D</w:t>
      </w:r>
      <w:r>
        <w:rPr>
          <w:b/>
          <w:i/>
          <w:lang w:val="es-CR"/>
        </w:rPr>
        <w:t xml:space="preserve">. </w:t>
      </w:r>
      <w:r w:rsidR="00362CB3">
        <w:rPr>
          <w:b/>
          <w:i/>
          <w:lang w:val="es-CR"/>
        </w:rPr>
        <w:t>F</w:t>
      </w:r>
      <w:r>
        <w:rPr>
          <w:b/>
          <w:i/>
          <w:lang w:val="es-CR"/>
        </w:rPr>
        <w:t>orma de pago y distribución de los montos en equidad</w:t>
      </w:r>
    </w:p>
    <w:p w:rsidR="00225080" w:rsidRDefault="00FA3D77" w:rsidP="00225080">
      <w:pPr>
        <w:numPr>
          <w:ilvl w:val="0"/>
          <w:numId w:val="16"/>
        </w:numPr>
        <w:spacing w:before="120" w:after="120"/>
        <w:ind w:left="0" w:firstLine="0"/>
        <w:rPr>
          <w:lang w:val="es-CR"/>
        </w:rPr>
      </w:pPr>
      <w:r w:rsidRPr="00FA3D77">
        <w:rPr>
          <w:lang w:val="es-CR"/>
        </w:rPr>
        <w:t xml:space="preserve">El </w:t>
      </w:r>
      <w:r w:rsidRPr="00D7495A">
        <w:rPr>
          <w:i/>
          <w:lang w:val="es-CR"/>
        </w:rPr>
        <w:t>Estado</w:t>
      </w:r>
      <w:r w:rsidRPr="00FA3D77">
        <w:rPr>
          <w:lang w:val="es-CR"/>
        </w:rPr>
        <w:t xml:space="preserve"> manifestó “que el párrafo 311 [de la Sentencia] no precisa si la cantidad de USD $5.000 (cinco mil dólares de los Estados Unidos de América) es un monto que debe ser distribuido entre las madres, padres, hijas e hijos, y cónyuges, o si por el contrario, deben pagarse USD $5.000 a cada uno de ellos. Lo mismo ocurre con el monto de USD $3,000.00 (tres mil dólares de los Estados Unidos de América) ordenado en el mismo párrafo. No es claro si este debe ser distribuido entre los hermanos y hermanas de las presuntas víctimas en su conjunto, o corresponde a una asignación de USD $3,000.00 para cada uno de ellos”. Además, indicó que en “el párrafo 312 [de la Sentencia] la Corte no especifica si el monto de US$ 100.000,00 (cien mil dólares de los Estados Unidos de América) es un monto que debe ser distribuido a favor de las doce víctimas directas de desaparición forzada declaradas en su conjunto, o si por el contrario, debe pagarse USD $100,000.000 a favor de cada uno de ellos”. Por lo anterior, “</w:t>
      </w:r>
      <w:proofErr w:type="spellStart"/>
      <w:r w:rsidRPr="00FA3D77">
        <w:rPr>
          <w:lang w:val="es-CR"/>
        </w:rPr>
        <w:t>solicit</w:t>
      </w:r>
      <w:proofErr w:type="spellEnd"/>
      <w:r w:rsidRPr="00FA3D77">
        <w:rPr>
          <w:lang w:val="es-CR"/>
        </w:rPr>
        <w:t>[</w:t>
      </w:r>
      <w:proofErr w:type="spellStart"/>
      <w:r w:rsidRPr="00FA3D77">
        <w:rPr>
          <w:lang w:val="es-CR"/>
        </w:rPr>
        <w:t>ó</w:t>
      </w:r>
      <w:proofErr w:type="spellEnd"/>
      <w:r w:rsidRPr="00FA3D77">
        <w:rPr>
          <w:lang w:val="es-CR"/>
        </w:rPr>
        <w:t>] a la Corte aclarar la forma en que los montos fijados en el párrafo 311 y 312 deben ser pagados o distribuidos entre los beneficiarios y en particular determinar si los beneficiaros de los USD $ 5,000.000, 3,000.000, y 100,000.000 son los sujetos individualmente considerados o el grupo</w:t>
      </w:r>
      <w:r>
        <w:rPr>
          <w:lang w:val="es-CR"/>
        </w:rPr>
        <w:t xml:space="preserve"> </w:t>
      </w:r>
      <w:r w:rsidRPr="00FA3D77">
        <w:rPr>
          <w:lang w:val="es-CR"/>
        </w:rPr>
        <w:t>de individuos en su conjunto</w:t>
      </w:r>
      <w:r>
        <w:rPr>
          <w:lang w:val="es-CR"/>
        </w:rPr>
        <w:t>”</w:t>
      </w:r>
      <w:r w:rsidRPr="00FA3D77">
        <w:rPr>
          <w:lang w:val="es-CR"/>
        </w:rPr>
        <w:t>.</w:t>
      </w:r>
      <w:r w:rsidR="00402D83">
        <w:rPr>
          <w:lang w:val="es-CR"/>
        </w:rPr>
        <w:t xml:space="preserve">  </w:t>
      </w:r>
    </w:p>
    <w:p w:rsidR="00326962" w:rsidRPr="00326962" w:rsidRDefault="00326962" w:rsidP="00326962">
      <w:pPr>
        <w:numPr>
          <w:ilvl w:val="0"/>
          <w:numId w:val="16"/>
        </w:numPr>
        <w:spacing w:before="120" w:after="120"/>
        <w:ind w:left="0" w:firstLine="0"/>
        <w:rPr>
          <w:lang w:val="es-CR"/>
        </w:rPr>
      </w:pPr>
      <w:r w:rsidRPr="00326962">
        <w:rPr>
          <w:lang w:val="es-CR"/>
        </w:rPr>
        <w:t xml:space="preserve">Los </w:t>
      </w:r>
      <w:r w:rsidRPr="00D7495A">
        <w:rPr>
          <w:i/>
          <w:lang w:val="es-CR"/>
        </w:rPr>
        <w:t>representantes</w:t>
      </w:r>
      <w:r w:rsidRPr="00326962">
        <w:rPr>
          <w:lang w:val="es-CR"/>
        </w:rPr>
        <w:t xml:space="preserve"> señalaron que considerando la Sentencia en su integridad, y la jurisprudencia de la Corte en esta materia en casos similares, “la decisión del Tribunal como se ve reflejada en la [S]</w:t>
      </w:r>
      <w:proofErr w:type="spellStart"/>
      <w:r w:rsidRPr="00326962">
        <w:rPr>
          <w:lang w:val="es-CR"/>
        </w:rPr>
        <w:t>entencia</w:t>
      </w:r>
      <w:proofErr w:type="spellEnd"/>
      <w:r w:rsidRPr="00326962">
        <w:rPr>
          <w:lang w:val="es-CR"/>
        </w:rPr>
        <w:t xml:space="preserve"> fue la de otorgar los montos </w:t>
      </w:r>
      <w:r w:rsidRPr="00326962">
        <w:rPr>
          <w:lang w:val="es-CR"/>
        </w:rPr>
        <w:lastRenderedPageBreak/>
        <w:t xml:space="preserve">correspondientes a cada víctima, y no al grupo de víctimas en su conjunto”. Así, indicaron que “por ejemplo, no resultaría lógico que a la víctima de ejecución extrajudicial, Javier Giraldo </w:t>
      </w:r>
      <w:proofErr w:type="spellStart"/>
      <w:r w:rsidRPr="00326962">
        <w:rPr>
          <w:lang w:val="es-CR"/>
        </w:rPr>
        <w:t>Giraldo</w:t>
      </w:r>
      <w:proofErr w:type="spellEnd"/>
      <w:r w:rsidRPr="00326962">
        <w:rPr>
          <w:lang w:val="es-CR"/>
        </w:rPr>
        <w:t>, se le reconocieran USD 80.000 mientras las doce víctimas de desaparición forzada compartieran USD 100.000”. En virtud de lo anterior, solicitaron a la Corte aclarar “que los montos referidos en los párrafos 311 y 312 de la [S]</w:t>
      </w:r>
      <w:proofErr w:type="spellStart"/>
      <w:r w:rsidRPr="00326962">
        <w:rPr>
          <w:lang w:val="es-CR"/>
        </w:rPr>
        <w:t>entencia</w:t>
      </w:r>
      <w:proofErr w:type="spellEnd"/>
      <w:r w:rsidRPr="00326962">
        <w:rPr>
          <w:lang w:val="es-CR"/>
        </w:rPr>
        <w:t xml:space="preserve"> se deben pagar a cada víctima, y no al grupo de</w:t>
      </w:r>
      <w:r>
        <w:rPr>
          <w:lang w:val="es-CR"/>
        </w:rPr>
        <w:t xml:space="preserve"> </w:t>
      </w:r>
      <w:r w:rsidRPr="00326962">
        <w:rPr>
          <w:lang w:val="es-CR"/>
        </w:rPr>
        <w:t>víctimas en su conjunto</w:t>
      </w:r>
      <w:r>
        <w:rPr>
          <w:lang w:val="es-CR"/>
        </w:rPr>
        <w:t>”</w:t>
      </w:r>
      <w:r w:rsidRPr="00326962">
        <w:rPr>
          <w:lang w:val="es-CR"/>
        </w:rPr>
        <w:t>.</w:t>
      </w:r>
    </w:p>
    <w:p w:rsidR="00225080" w:rsidRDefault="00225080" w:rsidP="00225080">
      <w:pPr>
        <w:numPr>
          <w:ilvl w:val="0"/>
          <w:numId w:val="16"/>
        </w:numPr>
        <w:spacing w:before="120" w:after="120"/>
        <w:ind w:left="0" w:firstLine="0"/>
        <w:rPr>
          <w:lang w:val="es-CR"/>
        </w:rPr>
      </w:pPr>
      <w:r w:rsidRPr="00225080">
        <w:rPr>
          <w:lang w:val="es-CR"/>
        </w:rPr>
        <w:t xml:space="preserve">En relación al párrafo 311 de la Sentencia, la </w:t>
      </w:r>
      <w:r w:rsidRPr="00D7495A">
        <w:rPr>
          <w:i/>
          <w:lang w:val="es-CR"/>
        </w:rPr>
        <w:t>Comisión</w:t>
      </w:r>
      <w:r w:rsidRPr="00225080">
        <w:rPr>
          <w:lang w:val="es-CR"/>
        </w:rPr>
        <w:t xml:space="preserve"> resaltó que la Corte ya ha señalado en otros asuntos sobre Colombia y frente a un planteamiento similar del Estado colombiano, que teniendo en cuenta la naturaleza de las violaciones declaradas –en el presente caso tratándose de graves violaciones de derechos humanos</w:t>
      </w:r>
      <w:r w:rsidR="000B05D1" w:rsidRPr="00225080">
        <w:rPr>
          <w:lang w:val="es-CR"/>
        </w:rPr>
        <w:t>–</w:t>
      </w:r>
      <w:r w:rsidRPr="00225080">
        <w:rPr>
          <w:lang w:val="es-CR"/>
        </w:rPr>
        <w:t xml:space="preserve"> y su jurisprudencia reiterada en la materia, dichas indemnizaciones corresponden a favor de cada una de las víctimas identificadas. Por lo tanto, consideró importante que la Corte confirme estos aspectos teniendo en cuenta el sentido general de las otras indemnizaciones ordenadas, así como su práctica constante en la materia. Asimismo, respecto al párrafo 312 de la Sentencia entendió “que de una lectura integral de las respectivas disposiciones, existe claridad sobre la modalidad de pago de esta parte de las indemnizaciones”. No obstante, consideró que teniendo en cuenta la importancia de contar con la mayor precisión posible para avanzar con el cumplimiento de las reparaciones, la Corte podría precisar estas determinaciones”.</w:t>
      </w:r>
    </w:p>
    <w:p w:rsidR="00A74DAA" w:rsidRPr="00781C53" w:rsidRDefault="00C30536" w:rsidP="00225080">
      <w:pPr>
        <w:numPr>
          <w:ilvl w:val="0"/>
          <w:numId w:val="16"/>
        </w:numPr>
        <w:spacing w:before="120" w:after="120"/>
        <w:ind w:left="0" w:firstLine="0"/>
        <w:rPr>
          <w:lang w:val="es-CR"/>
        </w:rPr>
      </w:pPr>
      <w:r>
        <w:rPr>
          <w:lang w:val="es-CR"/>
        </w:rPr>
        <w:t xml:space="preserve">La Corte </w:t>
      </w:r>
      <w:r w:rsidR="00A74DAA">
        <w:rPr>
          <w:lang w:val="es-CR"/>
        </w:rPr>
        <w:t>recuerda que los párrafos 311 y 312</w:t>
      </w:r>
      <w:r w:rsidR="00735AAD">
        <w:rPr>
          <w:lang w:val="es-CR"/>
        </w:rPr>
        <w:t xml:space="preserve"> </w:t>
      </w:r>
      <w:r>
        <w:t xml:space="preserve">de la Sentencia </w:t>
      </w:r>
      <w:r w:rsidR="00A74DAA">
        <w:t xml:space="preserve">establecen lo siguiente: </w:t>
      </w:r>
    </w:p>
    <w:p w:rsidR="00A74DAA" w:rsidRPr="00781C53" w:rsidRDefault="00A74DAA" w:rsidP="00A74DAA">
      <w:pPr>
        <w:spacing w:before="120" w:after="120"/>
        <w:ind w:left="567" w:right="900"/>
        <w:rPr>
          <w:sz w:val="18"/>
          <w:lang w:val="es-CR"/>
        </w:rPr>
      </w:pPr>
      <w:r w:rsidRPr="00781C53">
        <w:rPr>
          <w:sz w:val="18"/>
          <w:lang w:val="es-CR"/>
        </w:rPr>
        <w:t>311.</w:t>
      </w:r>
      <w:r w:rsidRPr="00781C53">
        <w:rPr>
          <w:sz w:val="18"/>
          <w:lang w:val="es-CR"/>
        </w:rPr>
        <w:tab/>
      </w:r>
      <w:r w:rsidR="003D14E0" w:rsidRPr="003D14E0">
        <w:rPr>
          <w:sz w:val="18"/>
          <w:lang w:val="es-CR"/>
        </w:rPr>
        <w:t xml:space="preserve">En atención a las indemnizaciones ordenadas por la Corte Interamericana de derechos Humanos en otros casos sobre desaparición forzada de personas y de privación arbitraria a la vida, así como las circunstancias del presente caso, la entidad, carácter y gravedad de las violaciones cometidas, los sufrimientos ocasionados a las víctimas y sus familiares por el tiempo transcurrido desde el momento de los hechos y la impunidad en que se encuentran, la </w:t>
      </w:r>
      <w:proofErr w:type="spellStart"/>
      <w:r w:rsidRPr="00781C53">
        <w:rPr>
          <w:sz w:val="18"/>
          <w:lang w:val="es-CR"/>
        </w:rPr>
        <w:t>la</w:t>
      </w:r>
      <w:proofErr w:type="spellEnd"/>
      <w:r w:rsidRPr="00781C53">
        <w:rPr>
          <w:sz w:val="18"/>
          <w:lang w:val="es-CR"/>
        </w:rPr>
        <w:t xml:space="preserve"> Corte estima pertinente fijar, en equidad, la cantidad de US$ 5.000 (cinco mil dólares de los Estados Unidos de América) a favor de madres, padres, hijas e hijos, y cónyuges de las referidas víctimas de desaparición forzada y ejecución; y US$ 3.000 (tres mil dólares de los Estados Unidos de América) a favor de los hermanos y hermanas de dichas víctimas, ya que se han comprobado las afectaciones a la integridad personal de éstos, sufridas como consecuencia de los hechos del presente caso, así como de sus esfuerzos para la búsqueda del paradero de sus seres queridos y de justicia. </w:t>
      </w:r>
    </w:p>
    <w:p w:rsidR="00A74DAA" w:rsidRDefault="00A74DAA" w:rsidP="00781C53">
      <w:pPr>
        <w:spacing w:before="120" w:after="120"/>
        <w:ind w:left="567" w:right="900"/>
        <w:rPr>
          <w:sz w:val="18"/>
          <w:lang w:val="es-CR"/>
        </w:rPr>
      </w:pPr>
      <w:r w:rsidRPr="00781C53">
        <w:rPr>
          <w:sz w:val="18"/>
          <w:lang w:val="es-CR"/>
        </w:rPr>
        <w:t>312.</w:t>
      </w:r>
      <w:r w:rsidRPr="00781C53">
        <w:rPr>
          <w:sz w:val="18"/>
          <w:lang w:val="es-CR"/>
        </w:rPr>
        <w:tab/>
      </w:r>
      <w:r>
        <w:rPr>
          <w:sz w:val="18"/>
          <w:lang w:val="es-CR"/>
        </w:rPr>
        <w:t>[…]</w:t>
      </w:r>
      <w:r w:rsidR="003D14E0">
        <w:rPr>
          <w:sz w:val="18"/>
          <w:lang w:val="es-CR"/>
        </w:rPr>
        <w:t xml:space="preserve"> </w:t>
      </w:r>
      <w:r w:rsidR="003D14E0" w:rsidRPr="003D14E0">
        <w:rPr>
          <w:sz w:val="18"/>
          <w:lang w:val="es-CR"/>
        </w:rPr>
        <w:t xml:space="preserve">Tomando en cuenta las indemnizaciones ordenadas por la Corte Interamericana en otros casos sobre desaparición forzada de personas, así como las circunstancias del presente caso, la entidad, carácter y gravedad de las violaciones cometidas, </w:t>
      </w:r>
      <w:r w:rsidRPr="00781C53">
        <w:rPr>
          <w:sz w:val="18"/>
          <w:lang w:val="es-CR"/>
        </w:rPr>
        <w:t xml:space="preserve">la Corte estima pertinente fijar, en equidad, la cantidad de US$ 100.000,00 (cien mil dólares de los Estados Unidos de América) a favor de las doce víctimas directas de desaparición forzada declaradas en este caso (supra párr. 168), y US$ 80.000,00 (ochenta mil dólares de los Estados Unidos de América) a favor de Javier Giraldo </w:t>
      </w:r>
      <w:proofErr w:type="spellStart"/>
      <w:r w:rsidRPr="00781C53">
        <w:rPr>
          <w:sz w:val="18"/>
          <w:lang w:val="es-CR"/>
        </w:rPr>
        <w:t>Giraldo</w:t>
      </w:r>
      <w:proofErr w:type="spellEnd"/>
      <w:r>
        <w:rPr>
          <w:sz w:val="18"/>
          <w:lang w:val="es-CR"/>
        </w:rPr>
        <w:t xml:space="preserve"> […]</w:t>
      </w:r>
      <w:r w:rsidRPr="00781C53">
        <w:rPr>
          <w:sz w:val="18"/>
          <w:lang w:val="es-CR"/>
        </w:rPr>
        <w:t xml:space="preserve">. </w:t>
      </w:r>
    </w:p>
    <w:p w:rsidR="00DC5DE5" w:rsidRPr="009E408F" w:rsidRDefault="003D14E0" w:rsidP="00781C53">
      <w:pPr>
        <w:numPr>
          <w:ilvl w:val="0"/>
          <w:numId w:val="16"/>
        </w:numPr>
        <w:spacing w:before="120" w:after="120"/>
        <w:ind w:left="0" w:firstLine="0"/>
        <w:rPr>
          <w:lang w:val="es-CR"/>
        </w:rPr>
      </w:pPr>
      <w:r w:rsidRPr="009E408F">
        <w:rPr>
          <w:lang w:val="es-CR"/>
        </w:rPr>
        <w:t xml:space="preserve">Con respecto a lo dispuesto en el párrafo 312, la Corte aclara que las reparaciones de US$ 100.000,00 (cien mil dólares de los Estados Unidos de América) a favor de las doce víctimas directas de desaparición forzada declaradas en este caso se refiere a cada una de ellas. Como lo señala el propio párrafo de la Sentencia, </w:t>
      </w:r>
      <w:r w:rsidR="00DC5DE5" w:rsidRPr="009E408F">
        <w:rPr>
          <w:lang w:val="es-CR"/>
        </w:rPr>
        <w:t xml:space="preserve">para efectuar ese cálculo se tomó en cuenta ese punto la jurisprudencia </w:t>
      </w:r>
      <w:r w:rsidR="00EC0D0C" w:rsidRPr="009E408F">
        <w:rPr>
          <w:lang w:val="es-CR"/>
        </w:rPr>
        <w:t xml:space="preserve">del Tribunal y de </w:t>
      </w:r>
      <w:r w:rsidR="00DC5DE5" w:rsidRPr="009E408F">
        <w:rPr>
          <w:lang w:val="es-CR"/>
        </w:rPr>
        <w:t xml:space="preserve">las indemnizaciones ordenadas por la Corte Interamericana en otros casos sobre </w:t>
      </w:r>
      <w:r w:rsidR="00DC5DE5" w:rsidRPr="009E408F">
        <w:rPr>
          <w:lang w:val="es-CR"/>
        </w:rPr>
        <w:lastRenderedPageBreak/>
        <w:t>desaparición forzada de personas</w:t>
      </w:r>
      <w:r w:rsidR="000B05D1">
        <w:rPr>
          <w:lang w:val="es-CR"/>
        </w:rPr>
        <w:t>,</w:t>
      </w:r>
      <w:r w:rsidR="00DC5DE5" w:rsidRPr="009E408F">
        <w:rPr>
          <w:lang w:val="es-CR"/>
        </w:rPr>
        <w:t xml:space="preserve"> las cuales resultan más consistentes con esa suma </w:t>
      </w:r>
      <w:r w:rsidR="00AB76F1">
        <w:rPr>
          <w:lang w:val="es-CR"/>
        </w:rPr>
        <w:t xml:space="preserve">a cada una de las </w:t>
      </w:r>
      <w:r w:rsidR="00DC5DE5" w:rsidRPr="009E408F">
        <w:rPr>
          <w:lang w:val="es-CR"/>
        </w:rPr>
        <w:t>persona</w:t>
      </w:r>
      <w:r w:rsidR="00AB76F1">
        <w:rPr>
          <w:lang w:val="es-CR"/>
        </w:rPr>
        <w:t xml:space="preserve">s desaparecidas y no </w:t>
      </w:r>
      <w:r w:rsidR="00F7381E">
        <w:rPr>
          <w:lang w:val="es-CR"/>
        </w:rPr>
        <w:t>a las doce personas en conjunto</w:t>
      </w:r>
      <w:r w:rsidR="00EC0D0C" w:rsidRPr="009E408F">
        <w:rPr>
          <w:rStyle w:val="FootnoteReference"/>
          <w:lang w:val="es-CR"/>
        </w:rPr>
        <w:footnoteReference w:id="19"/>
      </w:r>
      <w:r w:rsidR="00DC5DE5" w:rsidRPr="009E408F">
        <w:rPr>
          <w:lang w:val="es-CR"/>
        </w:rPr>
        <w:t xml:space="preserve">. </w:t>
      </w:r>
    </w:p>
    <w:p w:rsidR="00100FB8" w:rsidRPr="00100FB8" w:rsidRDefault="00100FB8" w:rsidP="00781C53">
      <w:pPr>
        <w:numPr>
          <w:ilvl w:val="0"/>
          <w:numId w:val="16"/>
        </w:numPr>
        <w:spacing w:before="120" w:after="120"/>
        <w:ind w:left="0" w:firstLine="0"/>
      </w:pPr>
      <w:r>
        <w:t>Sob</w:t>
      </w:r>
      <w:r w:rsidR="00736790">
        <w:t>r</w:t>
      </w:r>
      <w:r>
        <w:t>e el párrafo 311, la</w:t>
      </w:r>
      <w:r w:rsidRPr="00100FB8">
        <w:t xml:space="preserve"> Corte recuerda que las indemnizaciones dispuestas por concepto de daño inmaterial responden a que Colombia fue encontrada responsable por: (i) la violación del derecho a las garantías judiciales y protección judicial, y del derecho a conocer la </w:t>
      </w:r>
      <w:r w:rsidRPr="00781C53">
        <w:rPr>
          <w:lang w:val="es-CR"/>
        </w:rPr>
        <w:t>verdad</w:t>
      </w:r>
      <w:r w:rsidRPr="00100FB8">
        <w:t xml:space="preserve"> de los familiares de las víctimas desaparecidas; (i</w:t>
      </w:r>
      <w:r>
        <w:t>i</w:t>
      </w:r>
      <w:r w:rsidRPr="00100FB8">
        <w:t>) por la violación del derecho a la inviolabilidad del domicilio, y a la propiedad privada, en perjuicio de José Eliseo Gallego Quintero y de su esposa María Engracia Hernández, y (</w:t>
      </w:r>
      <w:r>
        <w:t>iii</w:t>
      </w:r>
      <w:r w:rsidRPr="00100FB8">
        <w:t>) por la violación del derecho a la integridad personal, en perjuicio de los familiares de las víctimas del caso.</w:t>
      </w:r>
    </w:p>
    <w:p w:rsidR="00100FB8" w:rsidRPr="00781C53" w:rsidRDefault="00100FB8" w:rsidP="00781C53">
      <w:pPr>
        <w:numPr>
          <w:ilvl w:val="0"/>
          <w:numId w:val="16"/>
        </w:numPr>
        <w:spacing w:before="120" w:after="120"/>
        <w:ind w:left="0" w:firstLine="0"/>
        <w:rPr>
          <w:lang w:val="es-CR"/>
        </w:rPr>
      </w:pPr>
      <w:r>
        <w:rPr>
          <w:lang w:val="es-CR"/>
        </w:rPr>
        <w:t xml:space="preserve">La Corte </w:t>
      </w:r>
      <w:r w:rsidR="00EC0D0C">
        <w:rPr>
          <w:lang w:val="es-CR"/>
        </w:rPr>
        <w:t xml:space="preserve">considera </w:t>
      </w:r>
      <w:r>
        <w:rPr>
          <w:lang w:val="es-CR"/>
        </w:rPr>
        <w:t xml:space="preserve">que </w:t>
      </w:r>
      <w:r w:rsidRPr="00100FB8">
        <w:rPr>
          <w:lang w:val="es-CR"/>
        </w:rPr>
        <w:t xml:space="preserve">resultaría acorde a las violaciones declaradas en este caso, </w:t>
      </w:r>
      <w:r w:rsidR="00F7381E">
        <w:rPr>
          <w:lang w:val="es-CR"/>
        </w:rPr>
        <w:t>y</w:t>
      </w:r>
      <w:r w:rsidR="00F7381E" w:rsidRPr="00100FB8">
        <w:rPr>
          <w:lang w:val="es-CR"/>
        </w:rPr>
        <w:t xml:space="preserve"> </w:t>
      </w:r>
      <w:r w:rsidRPr="00100FB8">
        <w:rPr>
          <w:lang w:val="es-CR"/>
        </w:rPr>
        <w:t>conforme a la jurisprudencia de este Tribunal</w:t>
      </w:r>
      <w:r>
        <w:rPr>
          <w:rStyle w:val="FootnoteReference"/>
          <w:lang w:val="es-CR"/>
        </w:rPr>
        <w:footnoteReference w:id="20"/>
      </w:r>
      <w:r w:rsidR="00735AAD">
        <w:rPr>
          <w:lang w:val="es-CR"/>
        </w:rPr>
        <w:t>,</w:t>
      </w:r>
      <w:r w:rsidRPr="00100FB8">
        <w:rPr>
          <w:lang w:val="es-CR"/>
        </w:rPr>
        <w:t xml:space="preserve"> </w:t>
      </w:r>
      <w:r>
        <w:t xml:space="preserve">considerar que </w:t>
      </w:r>
      <w:r w:rsidR="00F7381E">
        <w:t xml:space="preserve">le corresponde al Estado de </w:t>
      </w:r>
      <w:r>
        <w:t>Colombia pagar la suma de USD $5,000.00 (cinco mil dólares de los Estados Unidos de América) o de USD $3,000.00 (tres mil dólares de los Estados Unidos de América), según sea el parentesco, entre cada uno de</w:t>
      </w:r>
      <w:r w:rsidRPr="00457BCD">
        <w:t xml:space="preserve"> </w:t>
      </w:r>
      <w:r>
        <w:t>los familiares de las víctimas de desaparición forzada y ejecución extrajudicial, por el daño inmaterial ocasionado a cada uno de esos familiares declarados víctimas de las violaciones a la integridad personal y garantías judiciales, protección judicial y del derecho a conocer la verdad.</w:t>
      </w:r>
    </w:p>
    <w:p w:rsidR="00457BCD" w:rsidRPr="00457BCD" w:rsidRDefault="00457BCD" w:rsidP="00225080">
      <w:pPr>
        <w:numPr>
          <w:ilvl w:val="0"/>
          <w:numId w:val="16"/>
        </w:numPr>
        <w:spacing w:before="120" w:after="120"/>
        <w:ind w:left="0" w:firstLine="0"/>
        <w:rPr>
          <w:lang w:val="es-CR"/>
        </w:rPr>
      </w:pPr>
      <w:r>
        <w:t>Por consiguiente, las cantidades fijadas en los párrafo</w:t>
      </w:r>
      <w:r w:rsidR="004703F2">
        <w:t>s</w:t>
      </w:r>
      <w:r>
        <w:t xml:space="preserve"> 311 y 312 de la Sentencia corresponden a favor de cada una de las víctimas mencionadas, por lo que ha de entenderse que de acuerdo a la Sentencia, la Corte fijó las siguientes indemnizaciones por concepto de daño inmaterial: </w:t>
      </w:r>
    </w:p>
    <w:p w:rsidR="00457BCD" w:rsidRDefault="004703F2" w:rsidP="00457BCD">
      <w:pPr>
        <w:spacing w:before="120" w:after="120"/>
        <w:ind w:left="360"/>
      </w:pPr>
      <w:r>
        <w:t>a) a favor de madres, padres, hijas e hijos, y cónyuges de las víctimas de desaparición forzada y ejecución extrajudicial</w:t>
      </w:r>
      <w:r w:rsidR="00457BCD">
        <w:t xml:space="preserve">, </w:t>
      </w:r>
      <w:r>
        <w:t>la</w:t>
      </w:r>
      <w:r w:rsidR="00457BCD">
        <w:t xml:space="preserve"> cantidad de USD $</w:t>
      </w:r>
      <w:r>
        <w:t>5</w:t>
      </w:r>
      <w:r w:rsidR="00457BCD">
        <w:t>,000.00 (</w:t>
      </w:r>
      <w:r>
        <w:t>cinco</w:t>
      </w:r>
      <w:r w:rsidR="00457BCD">
        <w:t xml:space="preserve"> mil dólares de los Estados Uni</w:t>
      </w:r>
      <w:r w:rsidR="00362CB3">
        <w:t>dos de América) para cada uno;</w:t>
      </w:r>
      <w:r w:rsidR="00457BCD">
        <w:t xml:space="preserve"> </w:t>
      </w:r>
    </w:p>
    <w:p w:rsidR="00094EEB" w:rsidRDefault="00457BCD" w:rsidP="00457BCD">
      <w:pPr>
        <w:spacing w:before="120" w:after="120"/>
        <w:ind w:left="360"/>
      </w:pPr>
      <w:r>
        <w:t xml:space="preserve">b) a favor de </w:t>
      </w:r>
      <w:r w:rsidR="004703F2">
        <w:t>los hermanos y hermanas de las víctimas de desaparición forzada y ejecución extrajudicial,</w:t>
      </w:r>
      <w:r>
        <w:t xml:space="preserve"> la cantidad de USD $</w:t>
      </w:r>
      <w:r w:rsidR="004703F2">
        <w:t>3</w:t>
      </w:r>
      <w:r>
        <w:t>,000.00 (</w:t>
      </w:r>
      <w:r w:rsidR="004703F2">
        <w:t>tres</w:t>
      </w:r>
      <w:r>
        <w:t xml:space="preserve"> mil dólares de los Estados Unidos de </w:t>
      </w:r>
      <w:r w:rsidR="00362CB3">
        <w:t>América) para cada uno;</w:t>
      </w:r>
    </w:p>
    <w:p w:rsidR="004703F2" w:rsidRDefault="004703F2" w:rsidP="004703F2">
      <w:pPr>
        <w:spacing w:before="120" w:after="120"/>
        <w:ind w:left="360"/>
      </w:pPr>
      <w:r>
        <w:t>c) a favor de las doce víctimas directas de desaparición forzada declaradas en el caso, la cantidad de USD $100,000.00 (cien mil dólares de los Estados U</w:t>
      </w:r>
      <w:r w:rsidR="00362CB3">
        <w:t>nidos de América) para cada uno, y</w:t>
      </w:r>
    </w:p>
    <w:p w:rsidR="00FA3D77" w:rsidRDefault="004703F2" w:rsidP="004703F2">
      <w:pPr>
        <w:spacing w:before="120" w:after="120"/>
        <w:ind w:left="360"/>
      </w:pPr>
      <w:r>
        <w:t xml:space="preserve">d) a favor de Javier de Jesús Giraldo </w:t>
      </w:r>
      <w:proofErr w:type="spellStart"/>
      <w:r>
        <w:t>Giraldo</w:t>
      </w:r>
      <w:proofErr w:type="spellEnd"/>
      <w:r>
        <w:t>, la cantidad de USD $80,000.00 (ochenta mil dólares de los Estados Unidos de América).</w:t>
      </w:r>
    </w:p>
    <w:p w:rsidR="00FA3D77" w:rsidRDefault="0095012D" w:rsidP="00781C53">
      <w:pPr>
        <w:tabs>
          <w:tab w:val="num" w:pos="720"/>
        </w:tabs>
        <w:spacing w:before="240" w:after="240"/>
        <w:ind w:left="720"/>
        <w:rPr>
          <w:b/>
          <w:i/>
          <w:lang w:val="es-CR"/>
        </w:rPr>
      </w:pPr>
      <w:r>
        <w:rPr>
          <w:b/>
          <w:i/>
          <w:lang w:val="es-CR"/>
        </w:rPr>
        <w:t>E</w:t>
      </w:r>
      <w:r w:rsidR="00FA3D77">
        <w:rPr>
          <w:b/>
          <w:i/>
          <w:lang w:val="es-CR"/>
        </w:rPr>
        <w:t xml:space="preserve">. </w:t>
      </w:r>
      <w:r w:rsidR="00362CB3">
        <w:rPr>
          <w:b/>
          <w:i/>
          <w:lang w:val="es-CR"/>
        </w:rPr>
        <w:t>G</w:t>
      </w:r>
      <w:r w:rsidR="00FA3D77">
        <w:rPr>
          <w:b/>
          <w:i/>
          <w:lang w:val="es-CR"/>
        </w:rPr>
        <w:t>astos posteriores que se generen la supervisión de cumplimiento de Sentencia</w:t>
      </w:r>
    </w:p>
    <w:p w:rsidR="00863E24" w:rsidRPr="00402D83" w:rsidRDefault="00BA269D" w:rsidP="007C681B">
      <w:pPr>
        <w:numPr>
          <w:ilvl w:val="0"/>
          <w:numId w:val="16"/>
        </w:numPr>
        <w:tabs>
          <w:tab w:val="num" w:pos="720"/>
        </w:tabs>
        <w:spacing w:before="120" w:after="120"/>
        <w:ind w:left="0" w:firstLine="0"/>
        <w:rPr>
          <w:lang w:val="es-CR"/>
        </w:rPr>
      </w:pPr>
      <w:r w:rsidRPr="00974CEF">
        <w:rPr>
          <w:lang w:val="es-CR"/>
        </w:rPr>
        <w:lastRenderedPageBreak/>
        <w:t xml:space="preserve">El </w:t>
      </w:r>
      <w:r w:rsidRPr="00D7495A">
        <w:rPr>
          <w:i/>
          <w:lang w:val="es-CR"/>
        </w:rPr>
        <w:t>Estado</w:t>
      </w:r>
      <w:r w:rsidRPr="00974CEF">
        <w:rPr>
          <w:lang w:val="es-CR"/>
        </w:rPr>
        <w:t xml:space="preserve"> hizo referencia al párrafo 315 de la Sentencia, el cual establece que “[l]a Corte considera que en el procedimiento de supervisión y cumplimiento de la presente Sentencia, podrá disponer que el Estado reembolse a las víctimas o sus representantes los gastos razonables en que incurra en dicha etapa procesal”. Consideró que “el </w:t>
      </w:r>
      <w:proofErr w:type="spellStart"/>
      <w:proofErr w:type="gramStart"/>
      <w:r w:rsidRPr="00974CEF">
        <w:rPr>
          <w:lang w:val="es-CR"/>
        </w:rPr>
        <w:t>apar</w:t>
      </w:r>
      <w:r w:rsidR="00736790">
        <w:rPr>
          <w:lang w:val="es-CR"/>
        </w:rPr>
        <w:t>t</w:t>
      </w:r>
      <w:proofErr w:type="spellEnd"/>
      <w:r w:rsidRPr="00974CEF">
        <w:rPr>
          <w:lang w:val="es-CR"/>
        </w:rPr>
        <w:t>[</w:t>
      </w:r>
      <w:proofErr w:type="spellStart"/>
      <w:proofErr w:type="gramEnd"/>
      <w:r w:rsidRPr="00974CEF">
        <w:rPr>
          <w:lang w:val="es-CR"/>
        </w:rPr>
        <w:t>ado</w:t>
      </w:r>
      <w:proofErr w:type="spellEnd"/>
      <w:r w:rsidRPr="00974CEF">
        <w:rPr>
          <w:lang w:val="es-CR"/>
        </w:rPr>
        <w:t>] en cuestión carece de claridad y precisión, en cuanto a: (i) los rubros que podrán ser incluidos como gastos y (ii) el tiempo en que esos emolumentos deberán ser asumidos por Colombia”</w:t>
      </w:r>
      <w:r w:rsidR="00F207B5">
        <w:rPr>
          <w:rStyle w:val="FootnoteReference"/>
          <w:lang w:val="es-CR"/>
        </w:rPr>
        <w:footnoteReference w:id="21"/>
      </w:r>
      <w:r w:rsidR="00974CEF" w:rsidRPr="00974CEF">
        <w:rPr>
          <w:lang w:val="es-CR"/>
        </w:rPr>
        <w:t>.</w:t>
      </w:r>
    </w:p>
    <w:p w:rsidR="00326962" w:rsidRPr="005A0FC8" w:rsidRDefault="00326962" w:rsidP="005A0FC8">
      <w:pPr>
        <w:numPr>
          <w:ilvl w:val="0"/>
          <w:numId w:val="16"/>
        </w:numPr>
        <w:tabs>
          <w:tab w:val="num" w:pos="720"/>
        </w:tabs>
        <w:spacing w:before="120" w:after="120"/>
        <w:ind w:left="0" w:firstLine="0"/>
        <w:rPr>
          <w:lang w:val="es-CR"/>
        </w:rPr>
      </w:pPr>
      <w:r w:rsidRPr="005A0FC8">
        <w:rPr>
          <w:lang w:val="es-CR"/>
        </w:rPr>
        <w:t xml:space="preserve">Los </w:t>
      </w:r>
      <w:r w:rsidRPr="00D7495A">
        <w:rPr>
          <w:i/>
          <w:lang w:val="es-CR"/>
        </w:rPr>
        <w:t>representantes</w:t>
      </w:r>
      <w:r w:rsidRPr="005A0FC8">
        <w:rPr>
          <w:lang w:val="es-CR"/>
        </w:rPr>
        <w:t xml:space="preserve"> consideraron “que la solicitud específica del Estado colombiano es una apelación directa a lo determinado por la Corte, y por tanto debería ser desestimada”, ya que en su opinión, el Estado presenta una serie de argumentos en contra de lo que considera “gastos injustificados por un lapso indefinido”. Agregaron “que la Corte ya ha declarado esta solicitud improcedente en dos ocasiones, sin que existan elementos en el presente caso que ameriten una consideración distinta”.</w:t>
      </w:r>
      <w:r w:rsidR="005A0FC8" w:rsidRPr="005A0FC8">
        <w:rPr>
          <w:lang w:val="es-CR"/>
        </w:rPr>
        <w:t xml:space="preserve"> Por tanto, solicitaron a la Corte reiterar su jurisprudencia constante en la materia</w:t>
      </w:r>
      <w:r w:rsidR="005A0FC8">
        <w:rPr>
          <w:lang w:val="es-CR"/>
        </w:rPr>
        <w:t xml:space="preserve">. </w:t>
      </w:r>
    </w:p>
    <w:p w:rsidR="00402D83" w:rsidRPr="00244BD7" w:rsidRDefault="00402D83" w:rsidP="00402D83">
      <w:pPr>
        <w:numPr>
          <w:ilvl w:val="0"/>
          <w:numId w:val="16"/>
        </w:numPr>
        <w:tabs>
          <w:tab w:val="num" w:pos="720"/>
        </w:tabs>
        <w:spacing w:before="120" w:after="120"/>
        <w:ind w:left="0" w:firstLine="0"/>
        <w:rPr>
          <w:szCs w:val="20"/>
          <w:lang w:val="es-CR"/>
        </w:rPr>
      </w:pPr>
      <w:r w:rsidRPr="00781C53">
        <w:rPr>
          <w:rFonts w:eastAsia="Calibri" w:cs="Verdana"/>
          <w:szCs w:val="20"/>
          <w:lang w:val="es-CR"/>
        </w:rPr>
        <w:t xml:space="preserve">La </w:t>
      </w:r>
      <w:r w:rsidRPr="00D7495A">
        <w:rPr>
          <w:rFonts w:eastAsia="Calibri" w:cs="Verdana"/>
          <w:i/>
          <w:szCs w:val="20"/>
          <w:lang w:val="es-CR"/>
        </w:rPr>
        <w:t>Comisión</w:t>
      </w:r>
      <w:r w:rsidRPr="00781C53">
        <w:rPr>
          <w:rFonts w:eastAsia="Calibri" w:cs="Verdana"/>
          <w:szCs w:val="20"/>
          <w:lang w:val="es-CR"/>
        </w:rPr>
        <w:t xml:space="preserve"> notó que el propio Estado en su solicitud se refirió al criterio ya expresado por la Corte en otros asuntos reiterando que se trata de una obligación que “subsiste mientras que el caso se encuentra en [esta] etapa procesal”. Por lo tanto, consideró “que se trata en principio de un desacuerdo por parte del Estado frente a dicho criterio, sin que sea posible advertir una falta de claridad o ambigüedad en relación con esta disposición de la Sentencia que justifique una interpretación de la Corte sobre este punto”.</w:t>
      </w:r>
    </w:p>
    <w:p w:rsidR="00974CEF" w:rsidRPr="00974CEF" w:rsidRDefault="00BA269D" w:rsidP="007C681B">
      <w:pPr>
        <w:numPr>
          <w:ilvl w:val="0"/>
          <w:numId w:val="16"/>
        </w:numPr>
        <w:spacing w:before="120" w:after="120"/>
        <w:ind w:left="0" w:firstLine="0"/>
        <w:rPr>
          <w:lang w:val="es-CR"/>
        </w:rPr>
      </w:pPr>
      <w:r w:rsidRPr="00BA269D">
        <w:t>El Tribunal recuerda que el párrafo 3</w:t>
      </w:r>
      <w:r w:rsidR="00974CEF">
        <w:t>15</w:t>
      </w:r>
      <w:r w:rsidRPr="00BA269D">
        <w:t xml:space="preserve"> de la Sentencia en el presente caso establece</w:t>
      </w:r>
      <w:r w:rsidR="00974CEF">
        <w:t xml:space="preserve">, </w:t>
      </w:r>
      <w:r w:rsidR="00974CEF">
        <w:rPr>
          <w:i/>
        </w:rPr>
        <w:t xml:space="preserve">inter </w:t>
      </w:r>
      <w:proofErr w:type="spellStart"/>
      <w:r w:rsidR="00974CEF">
        <w:rPr>
          <w:i/>
        </w:rPr>
        <w:t>alia</w:t>
      </w:r>
      <w:proofErr w:type="spellEnd"/>
      <w:r w:rsidR="00FE5900">
        <w:rPr>
          <w:i/>
        </w:rPr>
        <w:t xml:space="preserve"> </w:t>
      </w:r>
      <w:r w:rsidR="00FE5900" w:rsidRPr="00781C53">
        <w:t>que</w:t>
      </w:r>
      <w:r w:rsidRPr="00BA269D">
        <w:t xml:space="preserve">: </w:t>
      </w:r>
    </w:p>
    <w:p w:rsidR="00974CEF" w:rsidRPr="00974CEF" w:rsidRDefault="00974CEF" w:rsidP="00974CEF">
      <w:pPr>
        <w:spacing w:before="120" w:after="120"/>
        <w:ind w:left="720"/>
        <w:rPr>
          <w:sz w:val="18"/>
          <w:lang w:val="es-CR"/>
        </w:rPr>
      </w:pPr>
      <w:r w:rsidRPr="00974CEF">
        <w:rPr>
          <w:sz w:val="18"/>
        </w:rPr>
        <w:t>[…] La Corte considera que, en el procedimiento de supervisión de cumplimiento de la presente Sentencia, podrá disponer que el Estado reembolse a las víctimas o sus representantes los gastos razonables en que incurran en dicha etapa procesal.</w:t>
      </w:r>
    </w:p>
    <w:p w:rsidR="00974CEF" w:rsidRPr="00974CEF" w:rsidRDefault="00BA269D" w:rsidP="007C681B">
      <w:pPr>
        <w:numPr>
          <w:ilvl w:val="0"/>
          <w:numId w:val="16"/>
        </w:numPr>
        <w:spacing w:before="120" w:after="120"/>
        <w:ind w:left="0" w:firstLine="0"/>
        <w:rPr>
          <w:lang w:val="es-CR"/>
        </w:rPr>
      </w:pPr>
      <w:r w:rsidRPr="00BA269D">
        <w:t>Tal como lo ha establecido este Tribunal con anterioridad</w:t>
      </w:r>
      <w:r w:rsidR="00974CEF">
        <w:rPr>
          <w:rStyle w:val="FootnoteReference"/>
        </w:rPr>
        <w:footnoteReference w:id="22"/>
      </w:r>
      <w:r w:rsidRPr="00BA269D">
        <w:t xml:space="preserve">, la Corte considera que el texto del referido párrafo es lo suficientemente claro y preciso, pues de la Sentencia se infiere claramente que esos reintegros se refieren a gastos que deben necesariamente estar relacionados con el procedimiento de supervisión de cumplimiento de la Sentencia. </w:t>
      </w:r>
    </w:p>
    <w:p w:rsidR="00974CEF" w:rsidRPr="00974CEF" w:rsidRDefault="00BA269D" w:rsidP="007C681B">
      <w:pPr>
        <w:numPr>
          <w:ilvl w:val="0"/>
          <w:numId w:val="16"/>
        </w:numPr>
        <w:spacing w:before="120" w:after="120"/>
        <w:ind w:left="0" w:firstLine="0"/>
        <w:rPr>
          <w:lang w:val="es-CR"/>
        </w:rPr>
      </w:pPr>
      <w:r w:rsidRPr="00BA269D">
        <w:t>Asimismo, el reintegro de los gastos será establecido por la misma Corte, quien determinará cuáles gastos resulten razonables y se encuentren debidamente justificados y probados para ser considerados por este Tribunal. Las partes contarán con su oportunidad dentro de la etapa para pronunciarse al respecto, por lo que el derecho de defensa de las partes y la seguridad jurídica no se verán afectadas</w:t>
      </w:r>
      <w:r w:rsidR="00974CEF">
        <w:rPr>
          <w:rStyle w:val="FootnoteReference"/>
        </w:rPr>
        <w:footnoteReference w:id="23"/>
      </w:r>
      <w:r w:rsidRPr="00BA269D">
        <w:t xml:space="preserve">. </w:t>
      </w:r>
    </w:p>
    <w:p w:rsidR="00BA269D" w:rsidRDefault="00BA269D" w:rsidP="007C681B">
      <w:pPr>
        <w:numPr>
          <w:ilvl w:val="0"/>
          <w:numId w:val="16"/>
        </w:numPr>
        <w:spacing w:before="120" w:after="120"/>
        <w:ind w:left="0" w:firstLine="0"/>
        <w:rPr>
          <w:lang w:val="es-CR"/>
        </w:rPr>
      </w:pPr>
      <w:r w:rsidRPr="00BA269D">
        <w:t xml:space="preserve">En cuanto al tiempo de la obligación, la misma va subsistir mientras que el caso se encuentre en la etapa de supervisión de cumplimiento. Por lo tanto, no estamos en </w:t>
      </w:r>
      <w:r w:rsidRPr="00BA269D">
        <w:lastRenderedPageBreak/>
        <w:t>presencia de una obligación con plazo indefinido para el Estado, ya que en cuanto se cumpla con lo dispuesto en el Fallo, la obligación dejará de existir</w:t>
      </w:r>
      <w:r w:rsidR="00845415">
        <w:rPr>
          <w:rStyle w:val="FootnoteReference"/>
        </w:rPr>
        <w:footnoteReference w:id="24"/>
      </w:r>
      <w:r w:rsidRPr="00BA269D">
        <w:t>. En razón de lo anterior, este Tribunal considera que la solicitud del Estado es improcedente</w:t>
      </w:r>
      <w:r w:rsidR="00974CEF">
        <w:t>.</w:t>
      </w:r>
    </w:p>
    <w:p w:rsidR="00AB015E" w:rsidRDefault="0095012D" w:rsidP="00781C53">
      <w:pPr>
        <w:tabs>
          <w:tab w:val="num" w:pos="720"/>
        </w:tabs>
        <w:spacing w:before="240" w:after="240"/>
        <w:ind w:left="720"/>
        <w:rPr>
          <w:b/>
          <w:i/>
          <w:lang w:val="es-CR"/>
        </w:rPr>
      </w:pPr>
      <w:r>
        <w:rPr>
          <w:b/>
          <w:i/>
          <w:lang w:val="es-CR"/>
        </w:rPr>
        <w:t>F</w:t>
      </w:r>
      <w:r w:rsidR="00AB015E">
        <w:rPr>
          <w:b/>
          <w:i/>
          <w:lang w:val="es-CR"/>
        </w:rPr>
        <w:t>. Modalidad de cumplimiento de los pagos ordenados</w:t>
      </w:r>
    </w:p>
    <w:p w:rsidR="00AB015E" w:rsidRDefault="00AB015E" w:rsidP="007C681B">
      <w:pPr>
        <w:numPr>
          <w:ilvl w:val="0"/>
          <w:numId w:val="16"/>
        </w:numPr>
        <w:spacing w:before="120" w:after="120"/>
        <w:ind w:left="0" w:firstLine="0"/>
        <w:rPr>
          <w:lang w:val="es-CR"/>
        </w:rPr>
      </w:pPr>
      <w:r w:rsidRPr="00AB015E">
        <w:rPr>
          <w:lang w:val="es-CR"/>
        </w:rPr>
        <w:t>El</w:t>
      </w:r>
      <w:r w:rsidRPr="00C30536">
        <w:rPr>
          <w:b/>
          <w:i/>
          <w:lang w:val="es-CR"/>
        </w:rPr>
        <w:t xml:space="preserve"> </w:t>
      </w:r>
      <w:r w:rsidRPr="00D7495A">
        <w:rPr>
          <w:i/>
          <w:lang w:val="es-CR"/>
        </w:rPr>
        <w:t>Estado</w:t>
      </w:r>
      <w:r w:rsidRPr="00AB015E">
        <w:rPr>
          <w:lang w:val="es-CR"/>
        </w:rPr>
        <w:t xml:space="preserve"> señaló que en el párrafo 320 de la Sentencia</w:t>
      </w:r>
      <w:r w:rsidR="0000676C">
        <w:rPr>
          <w:lang w:val="es-CR"/>
        </w:rPr>
        <w:t>,</w:t>
      </w:r>
      <w:r w:rsidRPr="00AB015E">
        <w:rPr>
          <w:lang w:val="es-CR"/>
        </w:rPr>
        <w:t xml:space="preserve"> la Corte “le permite al Estado cumplir con sus obligaciones monetarias en el equivalente del monto en moneda nacional, utilizando para el cálculo respectivo el tipo de cambio que se encuentre vigente en la bolsa de Nueva York, Estados Unidos de América, el día anterior al pago”. No obstante, consideró que a diferencia de lo ahí dispuesto, “el párrafo 321 pareciera exigir que el pago sea hecho, únicamente, en dólares estadounidenses”. En virtud de lo anterior, solic</w:t>
      </w:r>
      <w:r w:rsidR="00BA269D">
        <w:rPr>
          <w:lang w:val="es-CR"/>
        </w:rPr>
        <w:t>i</w:t>
      </w:r>
      <w:r w:rsidRPr="00AB015E">
        <w:rPr>
          <w:lang w:val="es-CR"/>
        </w:rPr>
        <w:t>tó a la Corte “aclarar si en los supuestos contemplados en el párrafo 321 el Estado también podrá dar cumplimiento a su obligación pagando los montos en su equivalente en moneda nacional, utilizando para el cálculo respectivo el tipo de cambio que se encuentre vigente en la bolsa de Nueva York, Estados Unidos de América,</w:t>
      </w:r>
      <w:r>
        <w:rPr>
          <w:lang w:val="es-CR"/>
        </w:rPr>
        <w:t xml:space="preserve"> </w:t>
      </w:r>
      <w:r w:rsidRPr="00AB015E">
        <w:rPr>
          <w:lang w:val="es-CR"/>
        </w:rPr>
        <w:t>el día anterior al pago</w:t>
      </w:r>
      <w:r>
        <w:rPr>
          <w:lang w:val="es-CR"/>
        </w:rPr>
        <w:t>”</w:t>
      </w:r>
      <w:r w:rsidRPr="00AB015E">
        <w:rPr>
          <w:lang w:val="es-CR"/>
        </w:rPr>
        <w:t>.</w:t>
      </w:r>
    </w:p>
    <w:p w:rsidR="005A0FC8" w:rsidRPr="005A0FC8" w:rsidRDefault="005A0FC8" w:rsidP="005A0FC8">
      <w:pPr>
        <w:numPr>
          <w:ilvl w:val="0"/>
          <w:numId w:val="16"/>
        </w:numPr>
        <w:spacing w:before="120" w:after="120"/>
        <w:ind w:left="0" w:firstLine="0"/>
        <w:rPr>
          <w:lang w:val="es-CR"/>
        </w:rPr>
      </w:pPr>
      <w:r w:rsidRPr="005A0FC8">
        <w:rPr>
          <w:lang w:val="es-CR"/>
        </w:rPr>
        <w:t xml:space="preserve">Los </w:t>
      </w:r>
      <w:r w:rsidRPr="00D7495A">
        <w:rPr>
          <w:i/>
          <w:lang w:val="es-CR"/>
        </w:rPr>
        <w:t>representantes</w:t>
      </w:r>
      <w:r w:rsidRPr="005A0FC8">
        <w:rPr>
          <w:lang w:val="es-CR"/>
        </w:rPr>
        <w:t xml:space="preserve"> arguyeron que el lenguaje de la Sentencia es específico y claro en cuanto a requerir que el depósito en la cuenta referida sea en dólares estadounidenses. Asimismo, consideraron que “el sentido de la [S]</w:t>
      </w:r>
      <w:proofErr w:type="spellStart"/>
      <w:r w:rsidRPr="005A0FC8">
        <w:rPr>
          <w:lang w:val="es-CR"/>
        </w:rPr>
        <w:t>entencia</w:t>
      </w:r>
      <w:proofErr w:type="spellEnd"/>
      <w:r w:rsidRPr="005A0FC8">
        <w:rPr>
          <w:lang w:val="es-CR"/>
        </w:rPr>
        <w:t>, de ordenar el monto de reparación económica en dólares estadounidenses, solamente a ser cambiado a pesos colombianos el día anterior del pago a la víctima, refleja la […] intención [de] que el cambio a moneda nacional ocurra al mismo tiempo que se efectúa el pago, y no en un momento indeterminado previo que podría ir en detrimento de la víctima”. En este sentido, señalaron que “[e]l párrafo 321 [de la Sentencia] se refiere a una cuenta que se mantendrá vigente durante diez años, y por tanto se debería efectuar el depósito en dólares estadounidenses”. Agreg</w:t>
      </w:r>
      <w:r w:rsidR="008B3E01">
        <w:rPr>
          <w:lang w:val="es-CR"/>
        </w:rPr>
        <w:t>a</w:t>
      </w:r>
      <w:r w:rsidRPr="005A0FC8">
        <w:rPr>
          <w:lang w:val="es-CR"/>
        </w:rPr>
        <w:t xml:space="preserve">ron que </w:t>
      </w:r>
      <w:r w:rsidR="00362CB3">
        <w:rPr>
          <w:lang w:val="es-CR"/>
        </w:rPr>
        <w:t>de conformidad con</w:t>
      </w:r>
      <w:r w:rsidRPr="005A0FC8">
        <w:rPr>
          <w:lang w:val="es-CR"/>
        </w:rPr>
        <w:t xml:space="preserve"> el párrafo 320</w:t>
      </w:r>
      <w:r w:rsidR="00362CB3">
        <w:rPr>
          <w:lang w:val="es-CR"/>
        </w:rPr>
        <w:t xml:space="preserve"> de la Sentencia</w:t>
      </w:r>
      <w:r w:rsidRPr="005A0FC8">
        <w:rPr>
          <w:lang w:val="es-CR"/>
        </w:rPr>
        <w:t xml:space="preserve">, en el momento de hacer el pago a la víctima, se debería pagar el monto asignado en la </w:t>
      </w:r>
      <w:r w:rsidR="00362CB3">
        <w:rPr>
          <w:lang w:val="es-CR"/>
        </w:rPr>
        <w:t>S</w:t>
      </w:r>
      <w:r w:rsidRPr="005A0FC8">
        <w:rPr>
          <w:lang w:val="es-CR"/>
        </w:rPr>
        <w:t>entencia, más los intereses co</w:t>
      </w:r>
      <w:r w:rsidR="00362CB3">
        <w:rPr>
          <w:lang w:val="es-CR"/>
        </w:rPr>
        <w:t>rrespondientes de ser el caso, “</w:t>
      </w:r>
      <w:r w:rsidRPr="005A0FC8">
        <w:rPr>
          <w:lang w:val="es-CR"/>
        </w:rPr>
        <w:t>en dólares de los Estados Unidos de América o su equivalente en moneda nacional, utilizando para el cálculo respectivo el tipo de cambio que se encuentre vigente en la bolsa de Nueva York, Estados Unidos de Am</w:t>
      </w:r>
      <w:r w:rsidR="00362CB3">
        <w:rPr>
          <w:lang w:val="es-CR"/>
        </w:rPr>
        <w:t>érica, el día anterior al pago</w:t>
      </w:r>
      <w:r w:rsidRPr="005A0FC8">
        <w:rPr>
          <w:lang w:val="es-CR"/>
        </w:rPr>
        <w:t>”. Por lo tanto, solicita</w:t>
      </w:r>
      <w:r>
        <w:rPr>
          <w:lang w:val="es-CR"/>
        </w:rPr>
        <w:t xml:space="preserve">ron </w:t>
      </w:r>
      <w:r w:rsidRPr="005A0FC8">
        <w:rPr>
          <w:lang w:val="es-CR"/>
        </w:rPr>
        <w:t>que la Corte desestime la solicitud del Estado.</w:t>
      </w:r>
    </w:p>
    <w:p w:rsidR="00402D83" w:rsidRDefault="00402D83" w:rsidP="00402D83">
      <w:pPr>
        <w:numPr>
          <w:ilvl w:val="0"/>
          <w:numId w:val="16"/>
        </w:numPr>
        <w:spacing w:before="120" w:after="120"/>
        <w:ind w:left="0" w:firstLine="0"/>
        <w:rPr>
          <w:lang w:val="es-CR"/>
        </w:rPr>
      </w:pPr>
      <w:r w:rsidRPr="00402D83">
        <w:rPr>
          <w:lang w:val="es-CR"/>
        </w:rPr>
        <w:t xml:space="preserve">La </w:t>
      </w:r>
      <w:r w:rsidRPr="00D7495A">
        <w:rPr>
          <w:i/>
          <w:lang w:val="es-CR"/>
        </w:rPr>
        <w:t>Comisión</w:t>
      </w:r>
      <w:r w:rsidRPr="00402D83">
        <w:rPr>
          <w:lang w:val="es-CR"/>
        </w:rPr>
        <w:t xml:space="preserve"> indicó que de una lectura conjunta de las disposiciones de los párrafos 320 y 32</w:t>
      </w:r>
      <w:r w:rsidR="0000676C">
        <w:rPr>
          <w:lang w:val="es-CR"/>
        </w:rPr>
        <w:t>1</w:t>
      </w:r>
      <w:r w:rsidRPr="00402D83">
        <w:rPr>
          <w:lang w:val="es-CR"/>
        </w:rPr>
        <w:t>, se entiende “que el cambio a la moneda nacional debe realizarse el día anterior al pago y al tipo de cambio que se encuentre vigente para ese momento, de ahí que las consignaciones referidas en el párrafo 321 deban realizarse en dólares estadounidenses”. No obstante, señaló que la Corte podría considerar precisar este punto para favorecer el</w:t>
      </w:r>
      <w:r>
        <w:rPr>
          <w:lang w:val="es-CR"/>
        </w:rPr>
        <w:t xml:space="preserve"> </w:t>
      </w:r>
      <w:r w:rsidRPr="00402D83">
        <w:rPr>
          <w:lang w:val="es-CR"/>
        </w:rPr>
        <w:t>cumplimiento de dicha medida.</w:t>
      </w:r>
    </w:p>
    <w:p w:rsidR="0000676C" w:rsidRDefault="0000676C" w:rsidP="00402D83">
      <w:pPr>
        <w:numPr>
          <w:ilvl w:val="0"/>
          <w:numId w:val="16"/>
        </w:numPr>
        <w:spacing w:before="120" w:after="120"/>
        <w:ind w:left="0" w:firstLine="0"/>
        <w:rPr>
          <w:lang w:val="es-CR"/>
        </w:rPr>
      </w:pPr>
      <w:r>
        <w:rPr>
          <w:lang w:val="es-CR"/>
        </w:rPr>
        <w:t>La Corte recuerda que los párrafos 320 y 321 de la Sentencia establecen</w:t>
      </w:r>
      <w:r w:rsidR="00362CB3">
        <w:rPr>
          <w:lang w:val="es-CR"/>
        </w:rPr>
        <w:t xml:space="preserve"> que</w:t>
      </w:r>
      <w:r>
        <w:rPr>
          <w:lang w:val="es-CR"/>
        </w:rPr>
        <w:t>:</w:t>
      </w:r>
    </w:p>
    <w:p w:rsidR="0000676C" w:rsidRPr="0000676C" w:rsidRDefault="0000676C" w:rsidP="0000676C">
      <w:pPr>
        <w:spacing w:before="120" w:after="120"/>
        <w:ind w:left="720"/>
        <w:rPr>
          <w:sz w:val="18"/>
        </w:rPr>
      </w:pPr>
      <w:r>
        <w:rPr>
          <w:sz w:val="18"/>
        </w:rPr>
        <w:t xml:space="preserve">320. </w:t>
      </w:r>
      <w:r w:rsidRPr="0000676C">
        <w:rPr>
          <w:sz w:val="18"/>
        </w:rPr>
        <w:t xml:space="preserve">El Estado deberá cumplir con las obligaciones monetarias mediante el pago en dólares de los Estados Unidos de América o su equivalente en moneda nacional, utilizando para el cálculo respectivo el tipo de cambio que se encuentre vigente en la bolsa de Nueva York, Estados Unidos de América, el día anterior al pago. </w:t>
      </w:r>
    </w:p>
    <w:p w:rsidR="0000676C" w:rsidRPr="0000676C" w:rsidRDefault="0000676C" w:rsidP="0000676C">
      <w:pPr>
        <w:spacing w:before="120" w:after="120"/>
        <w:ind w:left="720"/>
        <w:rPr>
          <w:sz w:val="18"/>
        </w:rPr>
      </w:pPr>
      <w:r>
        <w:rPr>
          <w:sz w:val="18"/>
        </w:rPr>
        <w:t xml:space="preserve">321. </w:t>
      </w:r>
      <w:r w:rsidRPr="0000676C">
        <w:rPr>
          <w:sz w:val="18"/>
        </w:rPr>
        <w:t xml:space="preserve">Si por causas atribuibles a los beneficiarios de las indemnizaciones o a sus derechohabientes no fuese posible el pago de las cantidades determinadas dentro del plazo indicado, el Estado consignará dichos montos a favor de los beneficiarios en una </w:t>
      </w:r>
      <w:r w:rsidRPr="0000676C">
        <w:rPr>
          <w:sz w:val="18"/>
        </w:rPr>
        <w:lastRenderedPageBreak/>
        <w:t>cuenta o certificado de depósito en una institución financiera colombiana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rsidR="00AB015E" w:rsidRPr="0000676C" w:rsidRDefault="0000676C" w:rsidP="0000676C">
      <w:pPr>
        <w:numPr>
          <w:ilvl w:val="0"/>
          <w:numId w:val="16"/>
        </w:numPr>
        <w:spacing w:before="120" w:after="120"/>
        <w:ind w:left="0" w:firstLine="0"/>
        <w:rPr>
          <w:lang w:val="es-CR"/>
        </w:rPr>
      </w:pPr>
      <w:r>
        <w:rPr>
          <w:lang w:val="es-CR"/>
        </w:rPr>
        <w:t xml:space="preserve">La Corte considera que </w:t>
      </w:r>
      <w:r w:rsidR="00FE5900">
        <w:rPr>
          <w:lang w:val="es-CR"/>
        </w:rPr>
        <w:t xml:space="preserve">la Sentencia de la Corte es clara en el </w:t>
      </w:r>
      <w:r>
        <w:rPr>
          <w:lang w:val="es-CR"/>
        </w:rPr>
        <w:t xml:space="preserve">punto planteado por el Estado, dado que de la lectura del párrafo 320 se desprende que los valores determinados en dólares estadounidenses pueden ser pagados en moneda colombiana. </w:t>
      </w:r>
      <w:r>
        <w:t>Por lo tanto, se debe utilizar para el cálculo el tipo de cambio que se encuentre vigente en la bolsa de Nueva York, Estados Unidos de América, en el día anterior al pago.</w:t>
      </w:r>
    </w:p>
    <w:p w:rsidR="0000676C" w:rsidRPr="0000676C" w:rsidRDefault="008B3E01" w:rsidP="0000676C">
      <w:pPr>
        <w:numPr>
          <w:ilvl w:val="0"/>
          <w:numId w:val="16"/>
        </w:numPr>
        <w:spacing w:before="120" w:after="120"/>
        <w:ind w:left="0" w:firstLine="0"/>
        <w:rPr>
          <w:lang w:val="es-CR"/>
        </w:rPr>
      </w:pPr>
      <w:r>
        <w:t>N</w:t>
      </w:r>
      <w:r w:rsidR="0000676C">
        <w:t>o</w:t>
      </w:r>
      <w:r>
        <w:t xml:space="preserve"> obstante</w:t>
      </w:r>
      <w:r w:rsidR="0000676C">
        <w:t xml:space="preserve">, </w:t>
      </w:r>
      <w:r>
        <w:t xml:space="preserve">la Corte aclara que </w:t>
      </w:r>
      <w:r w:rsidR="0000676C">
        <w:t>el párrafo 321 debe ser interpretado en con</w:t>
      </w:r>
      <w:r>
        <w:t>sonancia con el párrafo 320</w:t>
      </w:r>
      <w:r w:rsidR="0000676C">
        <w:t>, en el sentido de que en caso de que el pago de los valores indicados en dólares de los Estados Unidos de América no pueda ser realizado en esa moneda, deberá s</w:t>
      </w:r>
      <w:r>
        <w:t>er realizado en moneda colombiana</w:t>
      </w:r>
      <w:r w:rsidR="0000676C">
        <w:t>, utilizando para su conversión el tipo de cambio vigente en la bolsa de Nueva York, Estados Unidos de América, en el día anterior al pago</w:t>
      </w:r>
      <w:r w:rsidR="00845415">
        <w:t>. Ello de acuerdo a la jurisprudencia constante en la materia</w:t>
      </w:r>
      <w:r>
        <w:rPr>
          <w:rStyle w:val="FootnoteReference"/>
        </w:rPr>
        <w:footnoteReference w:id="25"/>
      </w:r>
      <w:r>
        <w:t>.</w:t>
      </w:r>
    </w:p>
    <w:p w:rsidR="00FA3D77" w:rsidRPr="00682F2C" w:rsidRDefault="00FA3D77" w:rsidP="00FA3D77">
      <w:pPr>
        <w:spacing w:before="120" w:after="120"/>
        <w:rPr>
          <w:b/>
          <w:i/>
          <w:lang w:val="es-CR"/>
        </w:rPr>
      </w:pPr>
    </w:p>
    <w:p w:rsidR="00DC589E" w:rsidRPr="00E90BED" w:rsidRDefault="00DC589E" w:rsidP="00DC589E">
      <w:pPr>
        <w:tabs>
          <w:tab w:val="left" w:pos="567"/>
        </w:tabs>
        <w:jc w:val="center"/>
        <w:rPr>
          <w:rFonts w:eastAsia="Times"/>
          <w:b/>
          <w:szCs w:val="20"/>
          <w:lang w:val="es-ES_tradnl"/>
        </w:rPr>
      </w:pPr>
      <w:r w:rsidRPr="00E90BED">
        <w:rPr>
          <w:rFonts w:eastAsia="Times"/>
          <w:b/>
          <w:szCs w:val="20"/>
          <w:lang w:val="es-ES_tradnl"/>
        </w:rPr>
        <w:t>V</w:t>
      </w:r>
    </w:p>
    <w:p w:rsidR="00DC589E" w:rsidRPr="00E90BED" w:rsidRDefault="00DC589E" w:rsidP="00DC589E">
      <w:pPr>
        <w:tabs>
          <w:tab w:val="left" w:pos="567"/>
        </w:tabs>
        <w:jc w:val="center"/>
        <w:rPr>
          <w:rFonts w:eastAsia="Times"/>
          <w:b/>
          <w:szCs w:val="20"/>
          <w:lang w:val="es-ES_tradnl"/>
        </w:rPr>
      </w:pPr>
      <w:r w:rsidRPr="00E90BED">
        <w:rPr>
          <w:rFonts w:eastAsia="Times"/>
          <w:b/>
          <w:szCs w:val="20"/>
          <w:lang w:val="es-ES_tradnl"/>
        </w:rPr>
        <w:t xml:space="preserve">PUNTOS RESOLUTIVOS </w:t>
      </w:r>
    </w:p>
    <w:p w:rsidR="007D7A08" w:rsidRPr="00DC589E" w:rsidRDefault="007D7A08" w:rsidP="00DC589E">
      <w:pPr>
        <w:spacing w:before="120" w:after="120"/>
        <w:rPr>
          <w:rFonts w:eastAsia="Times"/>
          <w:bCs/>
          <w:spacing w:val="-2"/>
          <w:szCs w:val="20"/>
          <w:highlight w:val="yellow"/>
          <w:lang w:val="es-ES_tradnl"/>
        </w:rPr>
      </w:pPr>
    </w:p>
    <w:p w:rsidR="00DC589E" w:rsidRPr="00DC589E" w:rsidRDefault="00DC589E" w:rsidP="00DC589E">
      <w:pPr>
        <w:numPr>
          <w:ilvl w:val="0"/>
          <w:numId w:val="17"/>
        </w:numPr>
        <w:tabs>
          <w:tab w:val="clear" w:pos="0"/>
          <w:tab w:val="left" w:pos="567"/>
          <w:tab w:val="left" w:pos="720"/>
          <w:tab w:val="num" w:pos="1247"/>
        </w:tabs>
        <w:ind w:right="-90"/>
        <w:rPr>
          <w:rFonts w:cs="Arial"/>
          <w:szCs w:val="20"/>
          <w:lang w:val="es-ES_tradnl"/>
        </w:rPr>
      </w:pPr>
      <w:r w:rsidRPr="00DC589E">
        <w:rPr>
          <w:rFonts w:eastAsia="Times"/>
          <w:szCs w:val="20"/>
          <w:lang w:val="es-ES_tradnl"/>
        </w:rPr>
        <w:t xml:space="preserve">Por tanto, </w:t>
      </w:r>
    </w:p>
    <w:p w:rsidR="00DC589E" w:rsidRPr="00DC589E" w:rsidRDefault="00DC589E" w:rsidP="00DC589E">
      <w:pPr>
        <w:tabs>
          <w:tab w:val="left" w:pos="567"/>
        </w:tabs>
        <w:rPr>
          <w:rFonts w:eastAsia="Times" w:cs="Times New Roman"/>
          <w:b/>
          <w:szCs w:val="20"/>
          <w:lang w:val="es-ES_tradnl"/>
        </w:rPr>
      </w:pPr>
    </w:p>
    <w:p w:rsidR="00DC589E" w:rsidRPr="00DC589E" w:rsidRDefault="00DC589E" w:rsidP="00DC589E">
      <w:pPr>
        <w:tabs>
          <w:tab w:val="left" w:pos="567"/>
        </w:tabs>
        <w:rPr>
          <w:rFonts w:eastAsia="Times"/>
          <w:b/>
          <w:szCs w:val="20"/>
          <w:lang w:val="es-ES_tradnl"/>
        </w:rPr>
      </w:pPr>
      <w:r w:rsidRPr="00DC589E">
        <w:rPr>
          <w:rFonts w:eastAsia="Times"/>
          <w:b/>
          <w:szCs w:val="20"/>
          <w:lang w:val="es-ES_tradnl"/>
        </w:rPr>
        <w:t xml:space="preserve">LA CORTE </w:t>
      </w:r>
    </w:p>
    <w:p w:rsidR="00DC589E" w:rsidRPr="00DC589E" w:rsidRDefault="00DC589E" w:rsidP="00DC589E">
      <w:pPr>
        <w:tabs>
          <w:tab w:val="left" w:pos="567"/>
        </w:tabs>
        <w:rPr>
          <w:rFonts w:eastAsia="Times"/>
          <w:b/>
          <w:szCs w:val="20"/>
          <w:lang w:val="es-ES_tradnl"/>
        </w:rPr>
      </w:pPr>
    </w:p>
    <w:p w:rsidR="00DC589E" w:rsidRPr="000A7481" w:rsidRDefault="00DC589E" w:rsidP="00DC589E">
      <w:pPr>
        <w:tabs>
          <w:tab w:val="left" w:pos="567"/>
        </w:tabs>
        <w:rPr>
          <w:rFonts w:eastAsia="Times"/>
          <w:szCs w:val="20"/>
          <w:lang w:val="es-ES_tradnl"/>
        </w:rPr>
      </w:pPr>
      <w:r w:rsidRPr="000A7481">
        <w:rPr>
          <w:rFonts w:eastAsia="Times"/>
          <w:szCs w:val="20"/>
          <w:lang w:val="es-ES_tradnl"/>
        </w:rPr>
        <w:t>de conformidad con el artículo 67 de la Convención Americana sobre Derechos Humanos y los artículos 31.3 y 68 del Reglamento,</w:t>
      </w:r>
    </w:p>
    <w:p w:rsidR="00DC589E" w:rsidRPr="000A7481" w:rsidRDefault="00DC589E" w:rsidP="00DC589E">
      <w:pPr>
        <w:tabs>
          <w:tab w:val="left" w:pos="567"/>
        </w:tabs>
        <w:rPr>
          <w:rFonts w:eastAsia="Times"/>
          <w:b/>
          <w:szCs w:val="20"/>
          <w:lang w:val="es-ES_tradnl"/>
        </w:rPr>
      </w:pPr>
      <w:r w:rsidRPr="000A7481">
        <w:rPr>
          <w:rFonts w:eastAsia="Times"/>
          <w:szCs w:val="20"/>
          <w:lang w:val="es-ES_tradnl"/>
        </w:rPr>
        <w:br/>
      </w:r>
      <w:r w:rsidRPr="000A7481">
        <w:rPr>
          <w:rFonts w:eastAsia="Times"/>
          <w:b/>
          <w:szCs w:val="20"/>
          <w:lang w:val="es-ES_tradnl"/>
        </w:rPr>
        <w:t>DECIDE:</w:t>
      </w:r>
    </w:p>
    <w:p w:rsidR="00DC589E" w:rsidRPr="000A7481" w:rsidRDefault="00DC589E" w:rsidP="00DC589E">
      <w:pPr>
        <w:tabs>
          <w:tab w:val="left" w:pos="567"/>
        </w:tabs>
        <w:rPr>
          <w:rFonts w:eastAsia="Times"/>
          <w:b/>
          <w:szCs w:val="20"/>
          <w:lang w:val="es-ES_tradnl"/>
        </w:rPr>
      </w:pPr>
    </w:p>
    <w:p w:rsidR="00DC589E" w:rsidRPr="000A7481" w:rsidRDefault="00DC589E" w:rsidP="00DC589E">
      <w:pPr>
        <w:tabs>
          <w:tab w:val="left" w:pos="567"/>
          <w:tab w:val="center" w:pos="4252"/>
          <w:tab w:val="right" w:pos="8504"/>
        </w:tabs>
        <w:rPr>
          <w:rFonts w:eastAsia="Times"/>
          <w:szCs w:val="20"/>
          <w:lang w:val="es-ES_tradnl"/>
        </w:rPr>
      </w:pPr>
      <w:r w:rsidRPr="000A7481">
        <w:rPr>
          <w:rFonts w:eastAsia="Times"/>
          <w:szCs w:val="20"/>
          <w:lang w:val="es-ES_tradnl"/>
        </w:rPr>
        <w:t xml:space="preserve">Por </w:t>
      </w:r>
      <w:r w:rsidR="00F7381E">
        <w:rPr>
          <w:rFonts w:eastAsia="Times"/>
          <w:szCs w:val="20"/>
          <w:lang w:val="es-ES_tradnl"/>
        </w:rPr>
        <w:t>unanimidad</w:t>
      </w:r>
      <w:r w:rsidR="00F7381E" w:rsidRPr="000A7481">
        <w:rPr>
          <w:rFonts w:eastAsia="Times"/>
          <w:szCs w:val="20"/>
          <w:lang w:val="es-ES_tradnl"/>
        </w:rPr>
        <w:t>,</w:t>
      </w:r>
    </w:p>
    <w:p w:rsidR="00DC589E" w:rsidRPr="000A7481" w:rsidRDefault="00DC589E" w:rsidP="00DC589E">
      <w:pPr>
        <w:pStyle w:val="ListParagraph"/>
        <w:tabs>
          <w:tab w:val="left" w:pos="567"/>
        </w:tabs>
        <w:spacing w:after="0" w:line="240" w:lineRule="auto"/>
        <w:ind w:left="0"/>
        <w:jc w:val="both"/>
        <w:rPr>
          <w:rFonts w:eastAsia="Times New Roman"/>
          <w:szCs w:val="22"/>
          <w:lang w:val="es-CR"/>
        </w:rPr>
      </w:pPr>
    </w:p>
    <w:p w:rsidR="000A7481" w:rsidRPr="000A7481" w:rsidRDefault="00362CB3" w:rsidP="00670307">
      <w:pPr>
        <w:numPr>
          <w:ilvl w:val="0"/>
          <w:numId w:val="17"/>
        </w:numPr>
        <w:tabs>
          <w:tab w:val="left" w:pos="567"/>
          <w:tab w:val="left" w:pos="720"/>
        </w:tabs>
        <w:ind w:right="-90"/>
        <w:rPr>
          <w:rFonts w:eastAsia="Times New Roman"/>
        </w:rPr>
      </w:pPr>
      <w:r w:rsidRPr="000A7481">
        <w:t xml:space="preserve">Declarar admisibles las solicitudes de interpretación de la Sentencia de excepción preliminar, fondo, reparaciones y costas, emitida en el caso </w:t>
      </w:r>
      <w:r w:rsidR="000A7481" w:rsidRPr="000A7481">
        <w:t>Vereda La Esperanza</w:t>
      </w:r>
      <w:r w:rsidRPr="000A7481">
        <w:t xml:space="preserve"> Vs. Colombia, presentadas por el Estado y l</w:t>
      </w:r>
      <w:r w:rsidR="000A7481" w:rsidRPr="000A7481">
        <w:t>os</w:t>
      </w:r>
      <w:r w:rsidRPr="000A7481">
        <w:t xml:space="preserve"> representantes de las víctimas. </w:t>
      </w:r>
    </w:p>
    <w:p w:rsidR="000A7481" w:rsidRPr="000A7481" w:rsidRDefault="000A7481" w:rsidP="000A7481">
      <w:pPr>
        <w:tabs>
          <w:tab w:val="left" w:pos="567"/>
          <w:tab w:val="left" w:pos="720"/>
        </w:tabs>
        <w:ind w:right="-90"/>
        <w:rPr>
          <w:rFonts w:eastAsia="Times New Roman"/>
        </w:rPr>
      </w:pPr>
    </w:p>
    <w:p w:rsidR="000A7481" w:rsidRPr="00EB66E2" w:rsidRDefault="00362CB3" w:rsidP="00670307">
      <w:pPr>
        <w:numPr>
          <w:ilvl w:val="0"/>
          <w:numId w:val="17"/>
        </w:numPr>
        <w:tabs>
          <w:tab w:val="left" w:pos="567"/>
          <w:tab w:val="left" w:pos="720"/>
        </w:tabs>
        <w:ind w:right="-90"/>
        <w:rPr>
          <w:rFonts w:eastAsia="Times New Roman"/>
        </w:rPr>
      </w:pPr>
      <w:r w:rsidRPr="00EB66E2">
        <w:t xml:space="preserve">Aclarar por medio de interpretación la Sentencia de excepción preliminar, fondo, reparaciones y costas, emitida en el caso </w:t>
      </w:r>
      <w:r w:rsidR="000A7481" w:rsidRPr="00EB66E2">
        <w:t>Vereda La Esperanza</w:t>
      </w:r>
      <w:r w:rsidRPr="00EB66E2">
        <w:t xml:space="preserve"> Vs. Colombia, en los términos de los párrafos </w:t>
      </w:r>
      <w:r w:rsidR="009E408F" w:rsidRPr="00EB66E2">
        <w:t xml:space="preserve">16 a 20, 38 a 42, </w:t>
      </w:r>
      <w:r w:rsidR="00845415">
        <w:t xml:space="preserve">y </w:t>
      </w:r>
      <w:r w:rsidR="00EB66E2" w:rsidRPr="00EB66E2">
        <w:t>5</w:t>
      </w:r>
      <w:r w:rsidR="00845415">
        <w:t>3</w:t>
      </w:r>
      <w:r w:rsidR="00EB66E2" w:rsidRPr="00EB66E2">
        <w:t xml:space="preserve"> </w:t>
      </w:r>
      <w:r w:rsidR="00845415">
        <w:t>a</w:t>
      </w:r>
      <w:r w:rsidR="00845415" w:rsidRPr="00EB66E2">
        <w:t xml:space="preserve"> </w:t>
      </w:r>
      <w:r w:rsidR="00EB66E2" w:rsidRPr="00EB66E2">
        <w:t>55</w:t>
      </w:r>
      <w:r w:rsidR="009E408F" w:rsidRPr="00EB66E2">
        <w:t xml:space="preserve"> de esta Sentencia</w:t>
      </w:r>
      <w:r w:rsidRPr="00EB66E2">
        <w:t xml:space="preserve">. </w:t>
      </w:r>
    </w:p>
    <w:p w:rsidR="000A7481" w:rsidRPr="000A7481" w:rsidRDefault="000A7481" w:rsidP="000A7481">
      <w:pPr>
        <w:tabs>
          <w:tab w:val="left" w:pos="567"/>
          <w:tab w:val="left" w:pos="720"/>
        </w:tabs>
        <w:ind w:right="-90"/>
        <w:rPr>
          <w:rFonts w:eastAsia="Times New Roman"/>
        </w:rPr>
      </w:pPr>
    </w:p>
    <w:p w:rsidR="000A7481" w:rsidRPr="00EB66E2" w:rsidRDefault="00362CB3" w:rsidP="00670307">
      <w:pPr>
        <w:numPr>
          <w:ilvl w:val="0"/>
          <w:numId w:val="17"/>
        </w:numPr>
        <w:tabs>
          <w:tab w:val="left" w:pos="567"/>
          <w:tab w:val="left" w:pos="720"/>
        </w:tabs>
        <w:ind w:right="-90"/>
        <w:rPr>
          <w:rFonts w:eastAsia="Times New Roman"/>
        </w:rPr>
      </w:pPr>
      <w:r w:rsidRPr="00EB66E2">
        <w:t xml:space="preserve">Desestimar por improcedentes las solicitudes de interpretación de la Sentencia de excepción preliminar, fondo, reparaciones y costas emitida en el caso </w:t>
      </w:r>
      <w:r w:rsidR="000A7481" w:rsidRPr="00EB66E2">
        <w:t>Vereda La Esperanza</w:t>
      </w:r>
      <w:r w:rsidRPr="00EB66E2">
        <w:t xml:space="preserve"> Vs. Colombia, presentadas por el Estado y l</w:t>
      </w:r>
      <w:r w:rsidR="000A7481" w:rsidRPr="00EB66E2">
        <w:t>o</w:t>
      </w:r>
      <w:r w:rsidRPr="00EB66E2">
        <w:t xml:space="preserve">s representantes de las víctimas, en los términos de los párrafos </w:t>
      </w:r>
      <w:r w:rsidR="009E408F" w:rsidRPr="00EB66E2">
        <w:t xml:space="preserve">24 a 30, 34, </w:t>
      </w:r>
      <w:r w:rsidR="00845415">
        <w:t xml:space="preserve">y </w:t>
      </w:r>
      <w:r w:rsidR="009E408F" w:rsidRPr="00EB66E2">
        <w:t>46</w:t>
      </w:r>
      <w:r w:rsidR="00845415">
        <w:t xml:space="preserve"> a</w:t>
      </w:r>
      <w:r w:rsidR="003C37D8">
        <w:t xml:space="preserve"> 49</w:t>
      </w:r>
      <w:r w:rsidR="009E408F" w:rsidRPr="00EB66E2">
        <w:t xml:space="preserve"> de esta Sentencia</w:t>
      </w:r>
      <w:r w:rsidRPr="00EB66E2">
        <w:t xml:space="preserve">. </w:t>
      </w:r>
    </w:p>
    <w:p w:rsidR="000A7481" w:rsidRPr="000A7481" w:rsidRDefault="000A7481" w:rsidP="000A7481">
      <w:pPr>
        <w:tabs>
          <w:tab w:val="left" w:pos="567"/>
          <w:tab w:val="left" w:pos="720"/>
        </w:tabs>
        <w:ind w:right="-90"/>
        <w:rPr>
          <w:rFonts w:eastAsia="Times New Roman"/>
        </w:rPr>
      </w:pPr>
    </w:p>
    <w:p w:rsidR="00DC589E" w:rsidRPr="000A7481" w:rsidRDefault="00362CB3" w:rsidP="00670307">
      <w:pPr>
        <w:numPr>
          <w:ilvl w:val="0"/>
          <w:numId w:val="17"/>
        </w:numPr>
        <w:tabs>
          <w:tab w:val="left" w:pos="567"/>
          <w:tab w:val="left" w:pos="720"/>
        </w:tabs>
        <w:ind w:right="-90"/>
        <w:rPr>
          <w:rFonts w:eastAsia="Times New Roman"/>
        </w:rPr>
      </w:pPr>
      <w:r w:rsidRPr="000A7481">
        <w:lastRenderedPageBreak/>
        <w:t>Disponer que la Secretaría de la Corte notifique la presente Sentencia de interpretación a la República de Colombia, a l</w:t>
      </w:r>
      <w:r w:rsidR="000A7481" w:rsidRPr="000A7481">
        <w:t>o</w:t>
      </w:r>
      <w:r w:rsidRPr="000A7481">
        <w:t>s representantes de las víctimas y a la Comisión Interamericana de Derechos Humanos.</w:t>
      </w:r>
    </w:p>
    <w:p w:rsidR="00DC589E" w:rsidRPr="00670307" w:rsidRDefault="00DC589E" w:rsidP="00DC589E">
      <w:pPr>
        <w:pStyle w:val="ListParagraph"/>
        <w:tabs>
          <w:tab w:val="left" w:pos="567"/>
        </w:tabs>
        <w:spacing w:after="0" w:line="240" w:lineRule="auto"/>
        <w:ind w:left="0"/>
        <w:jc w:val="both"/>
        <w:rPr>
          <w:rFonts w:eastAsia="Batang"/>
          <w:highlight w:val="yellow"/>
          <w:lang w:eastAsia="en-US"/>
        </w:rPr>
      </w:pPr>
    </w:p>
    <w:p w:rsidR="00DC589E" w:rsidRDefault="00DC589E" w:rsidP="00DC589E">
      <w:pPr>
        <w:pStyle w:val="ListParagraph"/>
        <w:tabs>
          <w:tab w:val="left" w:pos="567"/>
        </w:tabs>
        <w:spacing w:after="0" w:line="240" w:lineRule="auto"/>
        <w:ind w:left="0"/>
        <w:jc w:val="both"/>
      </w:pPr>
      <w:r w:rsidRPr="000E44BE">
        <w:t xml:space="preserve">Redactada en español, en </w:t>
      </w:r>
      <w:r w:rsidR="000E44BE" w:rsidRPr="000E44BE">
        <w:t>San José</w:t>
      </w:r>
      <w:r w:rsidRPr="000E44BE">
        <w:t xml:space="preserve">, </w:t>
      </w:r>
      <w:r w:rsidR="000E44BE" w:rsidRPr="000E44BE">
        <w:t>Costa Rica</w:t>
      </w:r>
      <w:r w:rsidRPr="000E44BE">
        <w:t xml:space="preserve">, el </w:t>
      </w:r>
      <w:r w:rsidR="003C37D8">
        <w:t>21</w:t>
      </w:r>
      <w:r w:rsidR="003C37D8" w:rsidRPr="000E44BE">
        <w:t xml:space="preserve"> </w:t>
      </w:r>
      <w:r w:rsidRPr="000E44BE">
        <w:t xml:space="preserve">de </w:t>
      </w:r>
      <w:r w:rsidR="00403D72">
        <w:t>noviembre</w:t>
      </w:r>
      <w:r w:rsidR="00403D72" w:rsidRPr="00827C38">
        <w:t xml:space="preserve"> </w:t>
      </w:r>
      <w:r w:rsidR="00A32DEE">
        <w:t>de 2018</w:t>
      </w:r>
      <w:r w:rsidRPr="000E44BE">
        <w:t>.</w:t>
      </w: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Default="00C428F4" w:rsidP="00DC589E">
      <w:pPr>
        <w:pStyle w:val="ListParagraph"/>
        <w:tabs>
          <w:tab w:val="left" w:pos="567"/>
        </w:tabs>
        <w:spacing w:after="0" w:line="240" w:lineRule="auto"/>
        <w:ind w:left="0"/>
        <w:jc w:val="both"/>
      </w:pPr>
    </w:p>
    <w:p w:rsidR="00C428F4" w:rsidRPr="00C428F4" w:rsidRDefault="00C428F4" w:rsidP="00C428F4">
      <w:pPr>
        <w:keepNext/>
        <w:outlineLvl w:val="0"/>
        <w:rPr>
          <w:szCs w:val="20"/>
          <w:lang w:val="es-CR"/>
        </w:rPr>
      </w:pPr>
      <w:r w:rsidRPr="00C428F4">
        <w:rPr>
          <w:szCs w:val="20"/>
        </w:rPr>
        <w:lastRenderedPageBreak/>
        <w:t>C</w:t>
      </w:r>
      <w:bookmarkStart w:id="8" w:name="_GoBack"/>
      <w:bookmarkEnd w:id="8"/>
      <w:r w:rsidRPr="00C428F4">
        <w:rPr>
          <w:szCs w:val="20"/>
        </w:rPr>
        <w:t xml:space="preserve">orte IDH. </w:t>
      </w:r>
      <w:r w:rsidRPr="00C428F4">
        <w:rPr>
          <w:i/>
          <w:szCs w:val="20"/>
        </w:rPr>
        <w:t>Caso Vereda La Esperanza Vs. Colombia. Interpretación de la Sentencia de Excepción Preliminar, Fondo, Reparaciones y Costas</w:t>
      </w:r>
      <w:r w:rsidRPr="00C428F4">
        <w:rPr>
          <w:szCs w:val="20"/>
        </w:rPr>
        <w:t>. Sentencia de 21 de noviembre de 2018.</w:t>
      </w:r>
    </w:p>
    <w:p w:rsidR="00C428F4" w:rsidRPr="00C428F4" w:rsidRDefault="00C428F4" w:rsidP="00C428F4">
      <w:pPr>
        <w:jc w:val="center"/>
        <w:rPr>
          <w:szCs w:val="20"/>
        </w:rPr>
      </w:pPr>
    </w:p>
    <w:p w:rsidR="00C428F4" w:rsidRPr="00C428F4" w:rsidRDefault="00C428F4" w:rsidP="00C428F4">
      <w:pPr>
        <w:jc w:val="center"/>
        <w:rPr>
          <w:szCs w:val="20"/>
        </w:rPr>
      </w:pPr>
    </w:p>
    <w:p w:rsidR="00C428F4" w:rsidRDefault="00C428F4" w:rsidP="00C428F4">
      <w:pPr>
        <w:jc w:val="center"/>
        <w:rPr>
          <w:szCs w:val="20"/>
        </w:rPr>
      </w:pPr>
    </w:p>
    <w:p w:rsidR="00C428F4" w:rsidRPr="00C428F4" w:rsidRDefault="00C428F4" w:rsidP="00C428F4">
      <w:pPr>
        <w:jc w:val="center"/>
        <w:rPr>
          <w:szCs w:val="20"/>
        </w:rPr>
      </w:pPr>
    </w:p>
    <w:p w:rsidR="00C428F4" w:rsidRPr="00C428F4" w:rsidRDefault="00C428F4" w:rsidP="00C428F4">
      <w:pPr>
        <w:jc w:val="center"/>
        <w:rPr>
          <w:szCs w:val="20"/>
        </w:rPr>
      </w:pPr>
    </w:p>
    <w:p w:rsidR="00C428F4" w:rsidRPr="00C428F4" w:rsidRDefault="00C428F4" w:rsidP="00C428F4">
      <w:pPr>
        <w:jc w:val="center"/>
        <w:rPr>
          <w:szCs w:val="20"/>
        </w:rPr>
      </w:pPr>
    </w:p>
    <w:p w:rsidR="00C428F4" w:rsidRPr="00C428F4" w:rsidRDefault="00C428F4" w:rsidP="00C428F4">
      <w:pPr>
        <w:jc w:val="center"/>
        <w:rPr>
          <w:szCs w:val="20"/>
        </w:rPr>
      </w:pPr>
      <w:r w:rsidRPr="00C428F4">
        <w:rPr>
          <w:szCs w:val="20"/>
        </w:rPr>
        <w:t>Eduardo Ferrer Mac-</w:t>
      </w:r>
      <w:proofErr w:type="spellStart"/>
      <w:r w:rsidRPr="00C428F4">
        <w:rPr>
          <w:szCs w:val="20"/>
        </w:rPr>
        <w:t>Gregor</w:t>
      </w:r>
      <w:proofErr w:type="spellEnd"/>
      <w:r w:rsidRPr="00C428F4">
        <w:rPr>
          <w:szCs w:val="20"/>
        </w:rPr>
        <w:t xml:space="preserve"> </w:t>
      </w:r>
      <w:proofErr w:type="spellStart"/>
      <w:r w:rsidRPr="00C428F4">
        <w:rPr>
          <w:szCs w:val="20"/>
        </w:rPr>
        <w:t>Poisot</w:t>
      </w:r>
      <w:proofErr w:type="spellEnd"/>
      <w:r w:rsidRPr="00C428F4">
        <w:rPr>
          <w:szCs w:val="20"/>
        </w:rPr>
        <w:t xml:space="preserve"> </w:t>
      </w:r>
    </w:p>
    <w:p w:rsidR="00C428F4" w:rsidRPr="00C428F4" w:rsidRDefault="00C428F4" w:rsidP="00C428F4">
      <w:pPr>
        <w:jc w:val="center"/>
        <w:rPr>
          <w:szCs w:val="20"/>
        </w:rPr>
      </w:pPr>
      <w:r w:rsidRPr="00C428F4">
        <w:rPr>
          <w:szCs w:val="20"/>
        </w:rPr>
        <w:t xml:space="preserve">Presidente </w:t>
      </w: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r w:rsidRPr="00C428F4">
        <w:rPr>
          <w:szCs w:val="20"/>
        </w:rPr>
        <w:t>Eduardo Vio Grossi</w:t>
      </w:r>
      <w:r w:rsidRPr="00C428F4">
        <w:rPr>
          <w:szCs w:val="20"/>
        </w:rPr>
        <w:tab/>
      </w:r>
      <w:r w:rsidRPr="00C428F4">
        <w:rPr>
          <w:szCs w:val="20"/>
        </w:rPr>
        <w:tab/>
      </w:r>
      <w:r w:rsidRPr="00C428F4">
        <w:rPr>
          <w:szCs w:val="20"/>
        </w:rPr>
        <w:tab/>
      </w:r>
      <w:r w:rsidRPr="00C428F4">
        <w:rPr>
          <w:szCs w:val="20"/>
        </w:rPr>
        <w:tab/>
      </w:r>
      <w:r w:rsidRPr="00C428F4">
        <w:rPr>
          <w:szCs w:val="20"/>
        </w:rPr>
        <w:tab/>
      </w:r>
      <w:r w:rsidRPr="00C428F4">
        <w:rPr>
          <w:szCs w:val="20"/>
        </w:rPr>
        <w:tab/>
        <w:t xml:space="preserve">             Elizabeth Odio Benito</w:t>
      </w:r>
    </w:p>
    <w:p w:rsidR="00C428F4" w:rsidRPr="00C428F4" w:rsidRDefault="00C428F4" w:rsidP="00C428F4">
      <w:pPr>
        <w:rPr>
          <w:szCs w:val="20"/>
        </w:rPr>
      </w:pPr>
    </w:p>
    <w:p w:rsid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jc w:val="center"/>
        <w:rPr>
          <w:szCs w:val="20"/>
        </w:rPr>
      </w:pPr>
      <w:r w:rsidRPr="00C428F4">
        <w:rPr>
          <w:szCs w:val="20"/>
        </w:rPr>
        <w:t xml:space="preserve">Eugenio Raúl </w:t>
      </w:r>
      <w:proofErr w:type="spellStart"/>
      <w:r w:rsidRPr="00C428F4">
        <w:rPr>
          <w:szCs w:val="20"/>
        </w:rPr>
        <w:t>Zaffaroni</w:t>
      </w:r>
      <w:proofErr w:type="spellEnd"/>
      <w:r w:rsidRPr="00C428F4">
        <w:rPr>
          <w:szCs w:val="20"/>
        </w:rPr>
        <w:tab/>
      </w:r>
      <w:r w:rsidRPr="00C428F4">
        <w:rPr>
          <w:szCs w:val="20"/>
        </w:rPr>
        <w:tab/>
      </w:r>
      <w:r w:rsidRPr="00C428F4">
        <w:rPr>
          <w:szCs w:val="20"/>
        </w:rPr>
        <w:tab/>
      </w:r>
      <w:r w:rsidRPr="00C428F4">
        <w:rPr>
          <w:szCs w:val="20"/>
        </w:rPr>
        <w:tab/>
      </w:r>
      <w:r w:rsidRPr="00C428F4">
        <w:rPr>
          <w:szCs w:val="20"/>
        </w:rPr>
        <w:tab/>
        <w:t xml:space="preserve">       L. Patricio Pazmiño Freire</w:t>
      </w: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lang w:val="es-CR"/>
        </w:rPr>
      </w:pPr>
    </w:p>
    <w:p w:rsidR="00C428F4" w:rsidRPr="00C428F4" w:rsidRDefault="00C428F4" w:rsidP="00C428F4">
      <w:pPr>
        <w:rPr>
          <w:szCs w:val="20"/>
        </w:rPr>
      </w:pPr>
    </w:p>
    <w:p w:rsidR="00C428F4" w:rsidRPr="00C428F4" w:rsidRDefault="00C428F4" w:rsidP="00C428F4">
      <w:pPr>
        <w:jc w:val="center"/>
        <w:rPr>
          <w:szCs w:val="20"/>
        </w:rPr>
      </w:pPr>
      <w:r w:rsidRPr="00C428F4">
        <w:rPr>
          <w:szCs w:val="20"/>
        </w:rPr>
        <w:t>Pablo Saavedra Alessandri</w:t>
      </w:r>
    </w:p>
    <w:p w:rsidR="00C428F4" w:rsidRPr="00C428F4" w:rsidRDefault="00C428F4" w:rsidP="00C428F4">
      <w:pPr>
        <w:jc w:val="center"/>
        <w:rPr>
          <w:szCs w:val="20"/>
        </w:rPr>
      </w:pPr>
      <w:r w:rsidRPr="00C428F4">
        <w:rPr>
          <w:szCs w:val="20"/>
        </w:rPr>
        <w:t>Secretario</w:t>
      </w:r>
    </w:p>
    <w:p w:rsidR="00C428F4" w:rsidRPr="00C428F4" w:rsidRDefault="00C428F4" w:rsidP="00C428F4">
      <w:pPr>
        <w:rPr>
          <w:szCs w:val="20"/>
        </w:rPr>
      </w:pPr>
    </w:p>
    <w:p w:rsidR="00C428F4" w:rsidRPr="00C428F4" w:rsidRDefault="00C428F4" w:rsidP="00C428F4">
      <w:pPr>
        <w:pStyle w:val="FootnoteText"/>
        <w:spacing w:before="0" w:after="0"/>
        <w:rPr>
          <w:sz w:val="20"/>
          <w:lang w:val="es-ES"/>
        </w:rPr>
      </w:pPr>
    </w:p>
    <w:p w:rsidR="00C428F4" w:rsidRPr="00C428F4" w:rsidRDefault="00C428F4" w:rsidP="00C428F4">
      <w:pPr>
        <w:pStyle w:val="FootnoteText"/>
        <w:spacing w:before="0" w:after="0"/>
        <w:rPr>
          <w:sz w:val="20"/>
          <w:lang w:val="es-ES"/>
        </w:rPr>
      </w:pPr>
    </w:p>
    <w:p w:rsidR="00C428F4" w:rsidRPr="00C428F4" w:rsidRDefault="00C428F4" w:rsidP="00C428F4">
      <w:pPr>
        <w:pStyle w:val="FootnoteText"/>
        <w:spacing w:before="0" w:after="0"/>
        <w:rPr>
          <w:sz w:val="20"/>
          <w:lang w:val="es-ES"/>
        </w:rPr>
      </w:pPr>
    </w:p>
    <w:p w:rsidR="00C428F4" w:rsidRPr="00C428F4" w:rsidRDefault="00C428F4" w:rsidP="00C428F4">
      <w:pPr>
        <w:pStyle w:val="FootnoteText"/>
        <w:spacing w:before="0" w:after="0"/>
        <w:rPr>
          <w:sz w:val="20"/>
          <w:lang w:val="es-ES"/>
        </w:rPr>
      </w:pPr>
    </w:p>
    <w:p w:rsidR="00C428F4" w:rsidRPr="00C428F4" w:rsidRDefault="00C428F4" w:rsidP="00C428F4">
      <w:pPr>
        <w:rPr>
          <w:szCs w:val="20"/>
        </w:rPr>
      </w:pPr>
      <w:r w:rsidRPr="00C428F4">
        <w:rPr>
          <w:szCs w:val="20"/>
        </w:rPr>
        <w:t>Comuníquese y ejecútese,</w:t>
      </w: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ind w:left="4956"/>
        <w:jc w:val="center"/>
        <w:rPr>
          <w:szCs w:val="20"/>
        </w:rPr>
      </w:pPr>
      <w:r w:rsidRPr="00C428F4">
        <w:rPr>
          <w:szCs w:val="20"/>
        </w:rPr>
        <w:t>Eduardo Ferrer Mac-</w:t>
      </w:r>
      <w:proofErr w:type="spellStart"/>
      <w:r w:rsidRPr="00C428F4">
        <w:rPr>
          <w:szCs w:val="20"/>
        </w:rPr>
        <w:t>Gregor</w:t>
      </w:r>
      <w:proofErr w:type="spellEnd"/>
      <w:r w:rsidRPr="00C428F4">
        <w:rPr>
          <w:szCs w:val="20"/>
        </w:rPr>
        <w:t xml:space="preserve"> </w:t>
      </w:r>
      <w:proofErr w:type="spellStart"/>
      <w:r w:rsidRPr="00C428F4">
        <w:rPr>
          <w:szCs w:val="20"/>
        </w:rPr>
        <w:t>Poisot</w:t>
      </w:r>
      <w:proofErr w:type="spellEnd"/>
    </w:p>
    <w:p w:rsidR="00C428F4" w:rsidRPr="00C428F4" w:rsidRDefault="00C428F4" w:rsidP="00C428F4">
      <w:pPr>
        <w:ind w:left="4956"/>
        <w:jc w:val="center"/>
        <w:rPr>
          <w:szCs w:val="20"/>
        </w:rPr>
      </w:pPr>
      <w:r w:rsidRPr="00C428F4">
        <w:rPr>
          <w:szCs w:val="20"/>
        </w:rPr>
        <w:t>Presidente</w:t>
      </w: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p>
    <w:p w:rsidR="00C428F4" w:rsidRPr="00C428F4" w:rsidRDefault="00C428F4" w:rsidP="00C428F4">
      <w:pPr>
        <w:rPr>
          <w:szCs w:val="20"/>
        </w:rPr>
      </w:pPr>
      <w:r w:rsidRPr="00C428F4">
        <w:rPr>
          <w:szCs w:val="20"/>
        </w:rPr>
        <w:t>Pablo Saavedra Alessandri</w:t>
      </w:r>
    </w:p>
    <w:p w:rsidR="00C428F4" w:rsidRPr="00C428F4" w:rsidRDefault="00C428F4" w:rsidP="00C428F4">
      <w:pPr>
        <w:rPr>
          <w:szCs w:val="20"/>
          <w:lang w:val="es-CR"/>
        </w:rPr>
      </w:pPr>
      <w:r w:rsidRPr="00C428F4">
        <w:rPr>
          <w:szCs w:val="20"/>
        </w:rPr>
        <w:tab/>
      </w:r>
      <w:r w:rsidRPr="00C428F4">
        <w:rPr>
          <w:szCs w:val="20"/>
          <w:lang w:val="es-CR"/>
        </w:rPr>
        <w:t>Secretario</w:t>
      </w:r>
    </w:p>
    <w:sectPr w:rsidR="00C428F4" w:rsidRPr="00C428F4" w:rsidSect="00580D64">
      <w:footerReference w:type="default" r:id="rId9"/>
      <w:footnotePr>
        <w:numRestart w:val="eachSect"/>
      </w:footnotePr>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98" w:rsidRDefault="00094D98" w:rsidP="00AC4D2F">
      <w:r>
        <w:separator/>
      </w:r>
    </w:p>
  </w:endnote>
  <w:endnote w:type="continuationSeparator" w:id="0">
    <w:p w:rsidR="00094D98" w:rsidRDefault="00094D98" w:rsidP="00A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altName w:val="Arial Unicode MS"/>
    <w:charset w:val="00"/>
    <w:family w:val="auto"/>
    <w:pitch w:val="variable"/>
    <w:sig w:usb0="00000001" w:usb1="7800205A" w:usb2="14600000" w:usb3="00000000" w:csb0="00000193"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F2" w:rsidRPr="000C17DE" w:rsidRDefault="00027BF2" w:rsidP="000C17DE">
    <w:pPr>
      <w:pStyle w:val="Footer"/>
      <w:jc w:val="center"/>
      <w:rPr>
        <w:sz w:val="18"/>
        <w:szCs w:val="18"/>
      </w:rPr>
    </w:pPr>
    <w:r>
      <w:rPr>
        <w:sz w:val="18"/>
        <w:szCs w:val="18"/>
      </w:rPr>
      <w:t xml:space="preserve">- </w:t>
    </w:r>
    <w:r w:rsidRPr="000C17DE">
      <w:rPr>
        <w:sz w:val="18"/>
        <w:szCs w:val="18"/>
      </w:rPr>
      <w:fldChar w:fldCharType="begin"/>
    </w:r>
    <w:r w:rsidRPr="000C17DE">
      <w:rPr>
        <w:sz w:val="18"/>
        <w:szCs w:val="18"/>
      </w:rPr>
      <w:instrText xml:space="preserve"> PAGE   \* MERGEFORMAT </w:instrText>
    </w:r>
    <w:r w:rsidRPr="000C17DE">
      <w:rPr>
        <w:sz w:val="18"/>
        <w:szCs w:val="18"/>
      </w:rPr>
      <w:fldChar w:fldCharType="separate"/>
    </w:r>
    <w:r w:rsidR="00832BFC">
      <w:rPr>
        <w:sz w:val="18"/>
        <w:szCs w:val="18"/>
      </w:rPr>
      <w:t>2</w:t>
    </w:r>
    <w:r w:rsidRPr="000C17DE">
      <w:rPr>
        <w:sz w:val="18"/>
        <w:szCs w:val="18"/>
      </w:rPr>
      <w:fldChar w:fldCharType="end"/>
    </w:r>
    <w:r>
      <w:rPr>
        <w:sz w:val="18"/>
        <w:szCs w:val="18"/>
      </w:rPr>
      <w:t xml:space="preserve"> -</w:t>
    </w:r>
  </w:p>
  <w:p w:rsidR="00027BF2" w:rsidRDefault="00027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98" w:rsidRDefault="00094D98" w:rsidP="00AC4D2F">
      <w:r>
        <w:separator/>
      </w:r>
    </w:p>
  </w:footnote>
  <w:footnote w:type="continuationSeparator" w:id="0">
    <w:p w:rsidR="00094D98" w:rsidRDefault="00094D98" w:rsidP="00AC4D2F">
      <w:r>
        <w:continuationSeparator/>
      </w:r>
    </w:p>
  </w:footnote>
  <w:footnote w:id="1">
    <w:p w:rsidR="00027BF2" w:rsidRPr="00FE5900" w:rsidRDefault="00027BF2">
      <w:pPr>
        <w:pStyle w:val="FootnoteText"/>
        <w:rPr>
          <w:szCs w:val="16"/>
        </w:rPr>
      </w:pPr>
      <w:r w:rsidRPr="00FE5900">
        <w:rPr>
          <w:rStyle w:val="FootnoteReference"/>
          <w:szCs w:val="16"/>
        </w:rPr>
        <w:footnoteRef/>
      </w:r>
      <w:r w:rsidRPr="00FE5900">
        <w:rPr>
          <w:szCs w:val="16"/>
        </w:rPr>
        <w:t xml:space="preserve"> </w:t>
      </w:r>
      <w:r w:rsidRPr="00FE5900">
        <w:rPr>
          <w:szCs w:val="16"/>
        </w:rPr>
        <w:tab/>
      </w:r>
      <w:r w:rsidRPr="00FE5900">
        <w:rPr>
          <w:rFonts w:cs="Arial"/>
          <w:spacing w:val="-4"/>
          <w:szCs w:val="16"/>
        </w:rPr>
        <w:t xml:space="preserve">El Juez </w:t>
      </w:r>
      <w:r w:rsidRPr="00FE5900">
        <w:rPr>
          <w:spacing w:val="-4"/>
          <w:szCs w:val="16"/>
        </w:rPr>
        <w:t>Humberto Antonio Sierra Porto</w:t>
      </w:r>
      <w:r w:rsidRPr="00FE5900">
        <w:rPr>
          <w:rFonts w:cs="Arial"/>
          <w:spacing w:val="-4"/>
          <w:szCs w:val="16"/>
        </w:rPr>
        <w:t>, de nacionalidad colombiana, no participó en la deliberación de la presente Sentencia, de conformidad con lo dispuesto en los artículos 19.2 del Estatuto y 19.1 del Reglamento de la Corte.</w:t>
      </w:r>
    </w:p>
  </w:footnote>
  <w:footnote w:id="2">
    <w:p w:rsidR="00027BF2" w:rsidRPr="00735AAD" w:rsidRDefault="00027BF2">
      <w:pPr>
        <w:pStyle w:val="FootnoteText"/>
        <w:rPr>
          <w:szCs w:val="16"/>
        </w:rPr>
      </w:pPr>
      <w:r w:rsidRPr="00FE5900">
        <w:rPr>
          <w:rStyle w:val="FootnoteReference"/>
          <w:szCs w:val="16"/>
        </w:rPr>
        <w:footnoteRef/>
      </w:r>
      <w:r w:rsidRPr="00244BD7">
        <w:rPr>
          <w:szCs w:val="16"/>
        </w:rPr>
        <w:t xml:space="preserve"> </w:t>
      </w:r>
      <w:r w:rsidRPr="00244BD7">
        <w:rPr>
          <w:szCs w:val="16"/>
        </w:rPr>
        <w:tab/>
        <w:t>Los representantes de las víctimas son la Corporación Jurídica Libertad (CJL), y el Centro por la Justicia y el Derecho Internacional (CEJIL).</w:t>
      </w:r>
    </w:p>
  </w:footnote>
  <w:footnote w:id="3">
    <w:p w:rsidR="00027BF2" w:rsidRPr="00735AAD" w:rsidRDefault="00027BF2" w:rsidP="006B0B1E">
      <w:pPr>
        <w:pStyle w:val="FootnoteText"/>
        <w:rPr>
          <w:rFonts w:eastAsia="Times"/>
          <w:szCs w:val="16"/>
        </w:rPr>
      </w:pPr>
      <w:r w:rsidRPr="00735AAD">
        <w:rPr>
          <w:rStyle w:val="FootnoteReference"/>
          <w:szCs w:val="16"/>
        </w:rPr>
        <w:footnoteRef/>
      </w:r>
      <w:r w:rsidRPr="00735AAD">
        <w:rPr>
          <w:szCs w:val="16"/>
        </w:rPr>
        <w:t xml:space="preserve"> </w:t>
      </w:r>
      <w:r w:rsidRPr="00735AAD">
        <w:rPr>
          <w:szCs w:val="16"/>
        </w:rPr>
        <w:tab/>
        <w:t>El referido artículo establece en particular que “[p]ara el examen de la solicitud de interpretación, la Corte se reunirá, si es posible, con la misma composición que tenía al dictar la sentencia respectiva. Sin embargo, en caso de fallecimiento, renuncia, impedimento, excusa o inhabilitación, se sustituirá al Juez de que se trate según el artículo 17 de este Reglamento”.</w:t>
      </w:r>
    </w:p>
  </w:footnote>
  <w:footnote w:id="4">
    <w:p w:rsidR="00027BF2" w:rsidRPr="00781C53" w:rsidRDefault="00027BF2" w:rsidP="000A3972">
      <w:pPr>
        <w:pStyle w:val="NoSpacing"/>
        <w:ind w:right="18"/>
        <w:jc w:val="both"/>
        <w:rPr>
          <w:sz w:val="16"/>
          <w:szCs w:val="16"/>
          <w:lang w:val="es-ES_tradnl"/>
        </w:rPr>
      </w:pPr>
      <w:r w:rsidRPr="00F207B5">
        <w:rPr>
          <w:rStyle w:val="FootnoteReference"/>
          <w:rFonts w:ascii="Verdana" w:hAnsi="Verdana" w:cs="Arial"/>
          <w:sz w:val="16"/>
          <w:szCs w:val="16"/>
        </w:rPr>
        <w:footnoteRef/>
      </w:r>
      <w:r w:rsidRPr="00F207B5">
        <w:rPr>
          <w:rFonts w:ascii="Verdana" w:hAnsi="Verdana" w:cs="Arial"/>
          <w:sz w:val="16"/>
          <w:szCs w:val="16"/>
        </w:rPr>
        <w:t xml:space="preserve"> </w:t>
      </w:r>
      <w:r w:rsidRPr="00F207B5">
        <w:rPr>
          <w:rFonts w:ascii="Verdana" w:hAnsi="Verdana" w:cs="Arial"/>
          <w:sz w:val="16"/>
          <w:szCs w:val="16"/>
        </w:rPr>
        <w:tab/>
      </w:r>
      <w:r w:rsidRPr="00F207B5">
        <w:rPr>
          <w:rFonts w:ascii="Verdana" w:hAnsi="Verdana" w:cs="Arial"/>
          <w:spacing w:val="-2"/>
          <w:sz w:val="16"/>
          <w:szCs w:val="16"/>
          <w:lang w:val="es-ES_tradnl"/>
        </w:rPr>
        <w:t xml:space="preserve">Esta última norma dispone, en lo pertinente, que: </w:t>
      </w:r>
      <w:r w:rsidR="009C6C08">
        <w:rPr>
          <w:rFonts w:ascii="Verdana" w:hAnsi="Verdana" w:cs="Arial"/>
          <w:spacing w:val="-2"/>
          <w:sz w:val="16"/>
          <w:szCs w:val="16"/>
          <w:lang w:val="es-ES_tradnl"/>
        </w:rPr>
        <w:t>“</w:t>
      </w:r>
      <w:r w:rsidRPr="00F207B5">
        <w:rPr>
          <w:rFonts w:ascii="Verdana" w:hAnsi="Verdana" w:cs="Arial"/>
          <w:spacing w:val="-2"/>
          <w:sz w:val="16"/>
          <w:szCs w:val="16"/>
          <w:lang w:val="es-ES_tradnl"/>
        </w:rPr>
        <w:t xml:space="preserve">1. La solicitud de interpretación a que se refiere el artículo 67 de la Convención podrá promoverse en relación con las sentencias de excepciones preliminares, fondo o reparaciones y costas y se presentará en la Secretaría de la Corte indicándose en ella, con precisión, las cuestiones relativas al sentido o alcance de la sentencia cuya interpretación se pida. […] </w:t>
      </w:r>
      <w:r w:rsidRPr="00F207B5">
        <w:rPr>
          <w:rFonts w:ascii="Verdana" w:hAnsi="Verdana" w:cs="Arial"/>
          <w:sz w:val="16"/>
          <w:szCs w:val="16"/>
          <w:lang w:val="es-ES_tradnl"/>
        </w:rPr>
        <w:t>4. La solicitud de interpretación no suspenderá la ejecución de la sentencia. 5. La Corte determinará el procedimiento que se seguirá y resolverá mediante una sentencia</w:t>
      </w:r>
      <w:r w:rsidR="009C6C08">
        <w:rPr>
          <w:rFonts w:ascii="Verdana" w:hAnsi="Verdana" w:cs="Arial"/>
          <w:sz w:val="16"/>
          <w:szCs w:val="16"/>
          <w:lang w:val="es-ES_tradnl"/>
        </w:rPr>
        <w:t>”</w:t>
      </w:r>
      <w:r w:rsidRPr="00F207B5">
        <w:rPr>
          <w:rFonts w:ascii="Verdana" w:hAnsi="Verdana" w:cs="Arial"/>
          <w:sz w:val="16"/>
          <w:szCs w:val="16"/>
          <w:lang w:val="es-ES_tradnl"/>
        </w:rPr>
        <w:t>.</w:t>
      </w:r>
    </w:p>
  </w:footnote>
  <w:footnote w:id="5">
    <w:p w:rsidR="00027BF2" w:rsidRPr="00F207B5" w:rsidRDefault="00027BF2" w:rsidP="000E44BE">
      <w:pPr>
        <w:pStyle w:val="FootnoteText"/>
        <w:rPr>
          <w:szCs w:val="16"/>
          <w:lang w:val="es-CO"/>
        </w:rPr>
      </w:pPr>
      <w:r w:rsidRPr="00F207B5">
        <w:rPr>
          <w:rStyle w:val="FootnoteReference"/>
          <w:szCs w:val="16"/>
          <w:lang w:val="es-CO"/>
        </w:rPr>
        <w:footnoteRef/>
      </w:r>
      <w:r w:rsidRPr="00F207B5">
        <w:rPr>
          <w:szCs w:val="16"/>
          <w:lang w:val="es-CO"/>
        </w:rPr>
        <w:t xml:space="preserve"> </w:t>
      </w:r>
      <w:r w:rsidRPr="00F207B5">
        <w:rPr>
          <w:szCs w:val="16"/>
          <w:lang w:val="es-CO"/>
        </w:rPr>
        <w:tab/>
      </w:r>
      <w:r w:rsidRPr="00F207B5">
        <w:rPr>
          <w:i/>
          <w:szCs w:val="16"/>
          <w:lang w:val="es-CO"/>
        </w:rPr>
        <w:t xml:space="preserve">Cfr. </w:t>
      </w:r>
      <w:r w:rsidR="008B4A2B" w:rsidRPr="00FF47FF">
        <w:rPr>
          <w:i/>
          <w:szCs w:val="16"/>
        </w:rPr>
        <w:t xml:space="preserve">Caso Loayza Tamayo Vs. Perú. Interpretación de la Sentencia de Fondo. </w:t>
      </w:r>
      <w:r w:rsidR="008B4A2B" w:rsidRPr="00FF47FF">
        <w:rPr>
          <w:szCs w:val="16"/>
        </w:rPr>
        <w:t>Resolución de la Corte de 8 de marzo de 1998. Serie C No. 47</w:t>
      </w:r>
      <w:r w:rsidR="008B4A2B" w:rsidRPr="000C495D">
        <w:rPr>
          <w:szCs w:val="16"/>
          <w:lang w:val="es-CO"/>
        </w:rPr>
        <w:t>, párr. 16,</w:t>
      </w:r>
      <w:r w:rsidR="008B4A2B" w:rsidRPr="00CA34B2">
        <w:rPr>
          <w:i/>
          <w:szCs w:val="16"/>
          <w:lang w:val="es-CO"/>
        </w:rPr>
        <w:t xml:space="preserve"> </w:t>
      </w:r>
      <w:r w:rsidR="008B4A2B" w:rsidRPr="000032D2">
        <w:rPr>
          <w:szCs w:val="16"/>
          <w:lang w:val="es-CO"/>
        </w:rPr>
        <w:t>y</w:t>
      </w:r>
      <w:r w:rsidR="008B4A2B" w:rsidRPr="000032D2">
        <w:rPr>
          <w:i/>
          <w:szCs w:val="16"/>
          <w:lang w:val="es-CO"/>
        </w:rPr>
        <w:t xml:space="preserve"> </w:t>
      </w:r>
      <w:r w:rsidR="008B4A2B" w:rsidRPr="00725B22">
        <w:rPr>
          <w:rStyle w:val="Strong"/>
          <w:b w:val="0"/>
          <w:i/>
          <w:color w:val="000000"/>
          <w:szCs w:val="16"/>
          <w:lang w:val="es-MX"/>
        </w:rPr>
        <w:t xml:space="preserve">Caso Gutiérrez Hernández y otros Vs. Guatemala. </w:t>
      </w:r>
      <w:r w:rsidR="008B4A2B" w:rsidRPr="008B4A2B">
        <w:rPr>
          <w:rStyle w:val="Strong"/>
          <w:b w:val="0"/>
          <w:color w:val="000000"/>
          <w:szCs w:val="16"/>
          <w:lang w:val="es-MX"/>
        </w:rPr>
        <w:t>Interpretación de la Sentencia de Excepciones Preliminares, Fondo, Reparaciones y Costas. Sentencia de 22 de agosto de 2018. Serie C No. 357, párr. 10</w:t>
      </w:r>
      <w:r w:rsidRPr="008B4A2B">
        <w:rPr>
          <w:szCs w:val="16"/>
          <w:lang w:val="es-CO"/>
        </w:rPr>
        <w:t>.</w:t>
      </w:r>
    </w:p>
  </w:footnote>
  <w:footnote w:id="6">
    <w:p w:rsidR="00027BF2" w:rsidRPr="00F207B5" w:rsidRDefault="00027BF2" w:rsidP="000E44BE">
      <w:pPr>
        <w:pStyle w:val="FootnoteText"/>
        <w:rPr>
          <w:szCs w:val="16"/>
          <w:lang w:val="es-CO"/>
        </w:rPr>
      </w:pPr>
      <w:r w:rsidRPr="00F207B5">
        <w:rPr>
          <w:rStyle w:val="FootnoteReference"/>
          <w:szCs w:val="16"/>
          <w:lang w:val="es-CO"/>
        </w:rPr>
        <w:footnoteRef/>
      </w:r>
      <w:r w:rsidRPr="00F207B5">
        <w:rPr>
          <w:szCs w:val="16"/>
          <w:lang w:val="es-CO"/>
        </w:rPr>
        <w:t xml:space="preserve"> </w:t>
      </w:r>
      <w:r w:rsidRPr="00F207B5">
        <w:rPr>
          <w:szCs w:val="16"/>
          <w:lang w:val="es-CO"/>
        </w:rPr>
        <w:tab/>
      </w:r>
      <w:r w:rsidRPr="00F207B5">
        <w:rPr>
          <w:i/>
          <w:szCs w:val="16"/>
          <w:lang w:val="es-CO"/>
        </w:rPr>
        <w:t xml:space="preserve">Cfr. </w:t>
      </w:r>
      <w:r w:rsidR="00847A53" w:rsidRPr="00A61A6F">
        <w:rPr>
          <w:i/>
          <w:szCs w:val="16"/>
          <w:lang w:val="es-CO"/>
        </w:rPr>
        <w:t xml:space="preserve">Caso Loayza Tamayo Vs. Perú. </w:t>
      </w:r>
      <w:r w:rsidR="00847A53" w:rsidRPr="00A61A6F">
        <w:rPr>
          <w:i/>
          <w:szCs w:val="16"/>
        </w:rPr>
        <w:t xml:space="preserve">Interpretación de la Sentencia de Fondo, </w:t>
      </w:r>
      <w:r w:rsidR="00847A53" w:rsidRPr="00A61A6F">
        <w:rPr>
          <w:szCs w:val="16"/>
          <w:lang w:val="es-CO"/>
        </w:rPr>
        <w:t xml:space="preserve">párr. 12, y </w:t>
      </w:r>
      <w:r w:rsidR="00847A53" w:rsidRPr="00280537">
        <w:rPr>
          <w:rStyle w:val="Strong"/>
          <w:b w:val="0"/>
          <w:i/>
          <w:color w:val="000000"/>
          <w:szCs w:val="16"/>
          <w:lang w:val="es-MX"/>
        </w:rPr>
        <w:t xml:space="preserve">Caso Gutiérrez Hernández y otros Vs. Guatemala. </w:t>
      </w:r>
      <w:r w:rsidR="00847A53" w:rsidRPr="00280537">
        <w:rPr>
          <w:rStyle w:val="Strong"/>
          <w:b w:val="0"/>
          <w:color w:val="000000"/>
          <w:szCs w:val="16"/>
          <w:lang w:val="es-MX"/>
        </w:rPr>
        <w:t>Interpretación de la Sentencia de Excepciones Preliminares, Fondo, Reparaciones y Costas</w:t>
      </w:r>
      <w:r w:rsidR="00847A53" w:rsidRPr="00A61A6F">
        <w:rPr>
          <w:rStyle w:val="Strong"/>
          <w:b w:val="0"/>
          <w:color w:val="000000"/>
          <w:szCs w:val="16"/>
          <w:lang w:val="es-MX"/>
        </w:rPr>
        <w:t xml:space="preserve">, párr. </w:t>
      </w:r>
      <w:r w:rsidR="00847A53" w:rsidRPr="00725B22">
        <w:rPr>
          <w:rStyle w:val="Strong"/>
          <w:b w:val="0"/>
          <w:color w:val="000000"/>
          <w:szCs w:val="16"/>
          <w:lang w:val="es-MX"/>
        </w:rPr>
        <w:t>10</w:t>
      </w:r>
      <w:r w:rsidRPr="00F207B5">
        <w:rPr>
          <w:szCs w:val="16"/>
          <w:lang w:val="es-CO"/>
        </w:rPr>
        <w:t>.</w:t>
      </w:r>
    </w:p>
  </w:footnote>
  <w:footnote w:id="7">
    <w:p w:rsidR="00027BF2" w:rsidRPr="00244BD7" w:rsidRDefault="00027BF2">
      <w:pPr>
        <w:pStyle w:val="FootnoteText"/>
        <w:rPr>
          <w:szCs w:val="16"/>
          <w:lang w:val="es-CR"/>
        </w:rPr>
      </w:pPr>
      <w:r w:rsidRPr="00244BD7">
        <w:rPr>
          <w:rStyle w:val="FootnoteReference"/>
          <w:szCs w:val="16"/>
        </w:rPr>
        <w:footnoteRef/>
      </w:r>
      <w:r w:rsidRPr="00244BD7">
        <w:rPr>
          <w:szCs w:val="16"/>
        </w:rPr>
        <w:t xml:space="preserve"> </w:t>
      </w:r>
      <w:r w:rsidRPr="00244BD7">
        <w:rPr>
          <w:szCs w:val="16"/>
          <w:lang w:val="es-CR"/>
        </w:rPr>
        <w:tab/>
      </w:r>
      <w:r w:rsidRPr="00735AAD">
        <w:rPr>
          <w:i/>
          <w:szCs w:val="16"/>
        </w:rPr>
        <w:t xml:space="preserve">Cfr. Caso Loayza Tamayo Vs. Perú. Interpretación de la Sentencia de Reparaciones y Costas. </w:t>
      </w:r>
      <w:r w:rsidRPr="00735AAD">
        <w:rPr>
          <w:szCs w:val="16"/>
        </w:rPr>
        <w:t xml:space="preserve">Sentencia de 3 de junio de 1999. Serie C No. 53, párr. 15, </w:t>
      </w:r>
      <w:r w:rsidRPr="00F207B5">
        <w:rPr>
          <w:szCs w:val="16"/>
          <w:lang w:val="es-CO"/>
        </w:rPr>
        <w:t xml:space="preserve">y </w:t>
      </w:r>
      <w:r w:rsidRPr="00F207B5">
        <w:rPr>
          <w:i/>
          <w:szCs w:val="16"/>
          <w:lang w:val="es-CO"/>
        </w:rPr>
        <w:t>Caso Zegarra Marín Vs. Perú. Interpretación de la Sentencia de Excepciones Preliminares, Fondo, Reparaciones y Costas</w:t>
      </w:r>
      <w:r w:rsidRPr="00F207B5">
        <w:rPr>
          <w:szCs w:val="16"/>
          <w:lang w:val="es-CO"/>
        </w:rPr>
        <w:t>, párr. 11.</w:t>
      </w:r>
    </w:p>
  </w:footnote>
  <w:footnote w:id="8">
    <w:p w:rsidR="00027BF2" w:rsidRPr="00244BD7" w:rsidRDefault="00027BF2">
      <w:pPr>
        <w:pStyle w:val="FootnoteText"/>
        <w:rPr>
          <w:szCs w:val="16"/>
          <w:lang w:val="es-CR"/>
        </w:rPr>
      </w:pPr>
      <w:r w:rsidRPr="00244BD7">
        <w:rPr>
          <w:rStyle w:val="FootnoteReference"/>
          <w:szCs w:val="16"/>
        </w:rPr>
        <w:footnoteRef/>
      </w:r>
      <w:r w:rsidRPr="00244BD7">
        <w:rPr>
          <w:szCs w:val="16"/>
        </w:rPr>
        <w:t xml:space="preserve"> </w:t>
      </w:r>
      <w:r w:rsidRPr="00735AAD">
        <w:rPr>
          <w:szCs w:val="16"/>
          <w:lang w:val="es-CR"/>
        </w:rPr>
        <w:tab/>
      </w:r>
      <w:r w:rsidRPr="00735AAD">
        <w:rPr>
          <w:i/>
          <w:szCs w:val="16"/>
        </w:rPr>
        <w:t xml:space="preserve">Cfr. Caso Salvador Chiriboga Vs. Ecuador. Interpretación de la Sentencia de Reparaciones y Costas. </w:t>
      </w:r>
      <w:r w:rsidRPr="00735AAD">
        <w:rPr>
          <w:szCs w:val="16"/>
        </w:rPr>
        <w:t xml:space="preserve">Sentencia de 29 de agosto de 2011. Serie C No. 230, párr. 30, </w:t>
      </w:r>
      <w:r w:rsidRPr="00F207B5">
        <w:rPr>
          <w:szCs w:val="16"/>
          <w:lang w:val="es-CO"/>
        </w:rPr>
        <w:t xml:space="preserve">y </w:t>
      </w:r>
      <w:r w:rsidRPr="00F207B5">
        <w:rPr>
          <w:i/>
          <w:szCs w:val="16"/>
          <w:lang w:val="es-CO"/>
        </w:rPr>
        <w:t>Caso Zegarra Marín Vs. Perú. Interpretación de la Sentencia de Excepciones Preliminares, Fondo, Reparaciones y Costas</w:t>
      </w:r>
      <w:r w:rsidRPr="00F207B5">
        <w:rPr>
          <w:szCs w:val="16"/>
          <w:lang w:val="es-CO"/>
        </w:rPr>
        <w:t>, párr. 11.</w:t>
      </w:r>
    </w:p>
  </w:footnote>
  <w:footnote w:id="9">
    <w:p w:rsidR="00027BF2" w:rsidRPr="00244BD7" w:rsidRDefault="00027BF2">
      <w:pPr>
        <w:pStyle w:val="FootnoteText"/>
        <w:rPr>
          <w:szCs w:val="16"/>
          <w:lang w:val="es-CR"/>
        </w:rPr>
      </w:pPr>
      <w:r w:rsidRPr="00244BD7">
        <w:rPr>
          <w:rStyle w:val="FootnoteReference"/>
          <w:szCs w:val="16"/>
        </w:rPr>
        <w:footnoteRef/>
      </w:r>
      <w:r w:rsidRPr="00244BD7">
        <w:rPr>
          <w:szCs w:val="16"/>
        </w:rPr>
        <w:t xml:space="preserve"> </w:t>
      </w:r>
      <w:r w:rsidRPr="00735AAD">
        <w:rPr>
          <w:szCs w:val="16"/>
          <w:lang w:val="es-CR"/>
        </w:rPr>
        <w:tab/>
      </w:r>
      <w:r w:rsidRPr="00735AAD">
        <w:rPr>
          <w:i/>
          <w:szCs w:val="16"/>
        </w:rPr>
        <w:t xml:space="preserve">Cfr. </w:t>
      </w:r>
      <w:r w:rsidR="008B4A2B" w:rsidRPr="008856E2">
        <w:rPr>
          <w:i/>
          <w:szCs w:val="16"/>
        </w:rPr>
        <w:t>Caso Escher y otros Vs. Brasil. Interpretación de la Sentencia de Excepciones Preliminares, Fondo, Reparaciones y Costas</w:t>
      </w:r>
      <w:r w:rsidR="008B4A2B" w:rsidRPr="008856E2">
        <w:rPr>
          <w:szCs w:val="16"/>
        </w:rPr>
        <w:t>. Sentencia de 20 de noviembre de 2009. Serie C No. 208, párr. 11,</w:t>
      </w:r>
      <w:r w:rsidR="008B4A2B" w:rsidRPr="008856E2">
        <w:rPr>
          <w:i/>
          <w:szCs w:val="16"/>
        </w:rPr>
        <w:t xml:space="preserve"> y</w:t>
      </w:r>
      <w:r w:rsidR="008B4A2B" w:rsidRPr="00C605A3">
        <w:rPr>
          <w:rFonts w:cs="Arial"/>
          <w:szCs w:val="16"/>
        </w:rPr>
        <w:t xml:space="preserve"> </w:t>
      </w:r>
      <w:r w:rsidR="008B4A2B" w:rsidRPr="00C605A3">
        <w:rPr>
          <w:i/>
          <w:szCs w:val="16"/>
        </w:rPr>
        <w:t xml:space="preserve">Caso </w:t>
      </w:r>
      <w:r w:rsidR="008B4A2B" w:rsidRPr="00C605A3">
        <w:rPr>
          <w:bCs/>
          <w:i/>
          <w:szCs w:val="16"/>
        </w:rPr>
        <w:t>Argüelles</w:t>
      </w:r>
      <w:r w:rsidR="008B4A2B" w:rsidRPr="00C605A3">
        <w:rPr>
          <w:i/>
          <w:szCs w:val="16"/>
        </w:rPr>
        <w:t xml:space="preserve"> y otros Vs. Argentina. </w:t>
      </w:r>
      <w:r w:rsidR="008B4A2B" w:rsidRPr="00C605A3">
        <w:rPr>
          <w:i/>
          <w:szCs w:val="16"/>
          <w:lang w:val="es-CO"/>
        </w:rPr>
        <w:t>Interpretación de la Sentencia de Excepción Preliminar, Fondo, Reparaciones y Costas,</w:t>
      </w:r>
      <w:r w:rsidR="008B4A2B" w:rsidRPr="00C605A3">
        <w:rPr>
          <w:szCs w:val="16"/>
          <w:lang w:val="es-CO"/>
        </w:rPr>
        <w:t xml:space="preserve"> </w:t>
      </w:r>
      <w:r w:rsidR="008B4A2B" w:rsidRPr="00617AC5">
        <w:rPr>
          <w:szCs w:val="16"/>
          <w:lang w:val="es-CO"/>
        </w:rPr>
        <w:t>Sentencia de 23 de junio de 2015. Serie C No. 294</w:t>
      </w:r>
      <w:r w:rsidR="008B4A2B">
        <w:rPr>
          <w:szCs w:val="16"/>
          <w:lang w:val="es-CO"/>
        </w:rPr>
        <w:t>,</w:t>
      </w:r>
      <w:r w:rsidR="008B4A2B" w:rsidRPr="00617AC5">
        <w:rPr>
          <w:szCs w:val="16"/>
          <w:lang w:val="es-CO"/>
        </w:rPr>
        <w:t xml:space="preserve"> </w:t>
      </w:r>
      <w:r w:rsidR="008B4A2B" w:rsidRPr="00C605A3">
        <w:rPr>
          <w:szCs w:val="16"/>
          <w:lang w:val="es-CO"/>
        </w:rPr>
        <w:t>párr. 21</w:t>
      </w:r>
      <w:r w:rsidRPr="00F207B5">
        <w:rPr>
          <w:szCs w:val="16"/>
          <w:lang w:val="es-CO"/>
        </w:rPr>
        <w:t>.</w:t>
      </w:r>
    </w:p>
  </w:footnote>
  <w:footnote w:id="10">
    <w:p w:rsidR="00027BF2" w:rsidRPr="00735AAD" w:rsidRDefault="00027BF2">
      <w:pPr>
        <w:pStyle w:val="FootnoteText"/>
        <w:rPr>
          <w:szCs w:val="16"/>
        </w:rPr>
      </w:pPr>
      <w:r w:rsidRPr="00735AAD">
        <w:rPr>
          <w:rStyle w:val="FootnoteReference"/>
          <w:szCs w:val="16"/>
        </w:rPr>
        <w:footnoteRef/>
      </w:r>
      <w:r w:rsidRPr="00735AAD">
        <w:rPr>
          <w:szCs w:val="16"/>
        </w:rPr>
        <w:t xml:space="preserve"> </w:t>
      </w:r>
      <w:r w:rsidRPr="00735AAD">
        <w:rPr>
          <w:szCs w:val="16"/>
        </w:rPr>
        <w:tab/>
      </w:r>
      <w:r w:rsidR="00953AFF">
        <w:rPr>
          <w:i/>
          <w:szCs w:val="16"/>
        </w:rPr>
        <w:t xml:space="preserve">Cfr. </w:t>
      </w:r>
      <w:r w:rsidRPr="00735AAD">
        <w:rPr>
          <w:szCs w:val="16"/>
        </w:rPr>
        <w:t>Sentencia No. 159 de la Sala Tercera de Decisión del Tribunal de lo Contencioso Administrativo de Antioquia de 15 de junio de 2010 (expediente de prueba, folios 5986 a 6106).</w:t>
      </w:r>
    </w:p>
  </w:footnote>
  <w:footnote w:id="11">
    <w:p w:rsidR="00027BF2" w:rsidRPr="00735AAD" w:rsidRDefault="00027BF2">
      <w:pPr>
        <w:pStyle w:val="FootnoteText"/>
        <w:rPr>
          <w:szCs w:val="16"/>
        </w:rPr>
      </w:pPr>
      <w:r w:rsidRPr="00735AAD">
        <w:rPr>
          <w:rStyle w:val="FootnoteReference"/>
          <w:szCs w:val="16"/>
        </w:rPr>
        <w:footnoteRef/>
      </w:r>
      <w:r w:rsidRPr="00735AAD">
        <w:rPr>
          <w:szCs w:val="16"/>
        </w:rPr>
        <w:t xml:space="preserve"> </w:t>
      </w:r>
      <w:r w:rsidRPr="00735AAD">
        <w:rPr>
          <w:szCs w:val="16"/>
        </w:rPr>
        <w:tab/>
      </w:r>
      <w:r w:rsidR="00C97D92">
        <w:rPr>
          <w:i/>
          <w:szCs w:val="16"/>
        </w:rPr>
        <w:t xml:space="preserve">Cfr. </w:t>
      </w:r>
      <w:r w:rsidRPr="00735AAD">
        <w:rPr>
          <w:szCs w:val="16"/>
        </w:rPr>
        <w:t xml:space="preserve">Comunicación de los representantes de 16 de septiembre de 2010 (expediente de prueba, folios 7600 a 7610). </w:t>
      </w:r>
    </w:p>
  </w:footnote>
  <w:footnote w:id="12">
    <w:p w:rsidR="00027BF2" w:rsidRPr="00D7495A" w:rsidRDefault="00027BF2">
      <w:pPr>
        <w:pStyle w:val="FootnoteText"/>
        <w:rPr>
          <w:szCs w:val="16"/>
          <w:lang w:val="es-ES"/>
        </w:rPr>
      </w:pPr>
      <w:r w:rsidRPr="00244BD7">
        <w:rPr>
          <w:rStyle w:val="FootnoteReference"/>
          <w:szCs w:val="16"/>
        </w:rPr>
        <w:footnoteRef/>
      </w:r>
      <w:r w:rsidRPr="00D7495A">
        <w:rPr>
          <w:szCs w:val="16"/>
          <w:lang w:val="es-ES"/>
        </w:rPr>
        <w:t xml:space="preserve"> </w:t>
      </w:r>
      <w:r w:rsidRPr="00D7495A">
        <w:rPr>
          <w:szCs w:val="16"/>
          <w:lang w:val="es-ES"/>
        </w:rPr>
        <w:tab/>
      </w:r>
      <w:r w:rsidR="00311DDC" w:rsidRPr="00CA78FF">
        <w:rPr>
          <w:i/>
          <w:szCs w:val="16"/>
          <w:lang w:val="es-ES"/>
        </w:rPr>
        <w:t>Cfr.</w:t>
      </w:r>
      <w:r w:rsidR="00311DDC">
        <w:rPr>
          <w:szCs w:val="16"/>
          <w:lang w:val="es-ES"/>
        </w:rPr>
        <w:t xml:space="preserve"> </w:t>
      </w:r>
      <w:r w:rsidR="00311DDC" w:rsidRPr="00CA78FF">
        <w:rPr>
          <w:i/>
          <w:szCs w:val="16"/>
          <w:lang w:val="es-ES"/>
        </w:rPr>
        <w:t>Caso Vereda La Esperanza Vs. Colombia.</w:t>
      </w:r>
      <w:r w:rsidR="00311DDC" w:rsidRPr="00CA78FF">
        <w:rPr>
          <w:szCs w:val="16"/>
          <w:lang w:val="es-ES"/>
        </w:rPr>
        <w:t xml:space="preserve"> </w:t>
      </w:r>
      <w:r w:rsidR="00DC5DF3">
        <w:rPr>
          <w:i/>
          <w:szCs w:val="16"/>
          <w:lang w:val="es-ES"/>
        </w:rPr>
        <w:t>Excepción Preliminar</w:t>
      </w:r>
      <w:r w:rsidR="00311DDC" w:rsidRPr="00CA78FF">
        <w:rPr>
          <w:i/>
          <w:szCs w:val="16"/>
          <w:lang w:val="es-ES"/>
        </w:rPr>
        <w:t>, Fondo, Reparaciones y Costas.</w:t>
      </w:r>
      <w:r w:rsidR="00311DDC" w:rsidRPr="00CA78FF">
        <w:rPr>
          <w:szCs w:val="16"/>
          <w:lang w:val="es-ES"/>
        </w:rPr>
        <w:t xml:space="preserve"> Sentencia de 31 de agosto de 2017. Serie C No. 341</w:t>
      </w:r>
      <w:r w:rsidR="00311DDC">
        <w:rPr>
          <w:szCs w:val="16"/>
          <w:lang w:val="es-ES"/>
        </w:rPr>
        <w:t xml:space="preserve">, </w:t>
      </w:r>
      <w:r w:rsidR="00311DDC" w:rsidRPr="00CA78FF">
        <w:rPr>
          <w:szCs w:val="16"/>
          <w:lang w:val="es-ES"/>
        </w:rPr>
        <w:t>párr</w:t>
      </w:r>
      <w:r w:rsidR="00311DDC">
        <w:rPr>
          <w:szCs w:val="16"/>
          <w:lang w:val="es-ES"/>
        </w:rPr>
        <w:t>s</w:t>
      </w:r>
      <w:r w:rsidR="0071587C">
        <w:rPr>
          <w:szCs w:val="16"/>
          <w:lang w:val="es-ES"/>
        </w:rPr>
        <w:t>.</w:t>
      </w:r>
      <w:r w:rsidRPr="00D7495A">
        <w:rPr>
          <w:szCs w:val="16"/>
          <w:lang w:val="es-ES"/>
        </w:rPr>
        <w:t xml:space="preserve"> </w:t>
      </w:r>
      <w:r w:rsidR="00311DDC">
        <w:rPr>
          <w:szCs w:val="16"/>
          <w:lang w:val="es-ES"/>
        </w:rPr>
        <w:t xml:space="preserve">31 a </w:t>
      </w:r>
      <w:r w:rsidRPr="00D7495A">
        <w:rPr>
          <w:szCs w:val="16"/>
          <w:lang w:val="es-ES"/>
        </w:rPr>
        <w:t>34.</w:t>
      </w:r>
    </w:p>
  </w:footnote>
  <w:footnote w:id="13">
    <w:p w:rsidR="00027BF2" w:rsidRPr="00F207B5" w:rsidRDefault="00027BF2" w:rsidP="00334D29">
      <w:pPr>
        <w:spacing w:after="60"/>
        <w:rPr>
          <w:b/>
          <w:sz w:val="16"/>
          <w:szCs w:val="16"/>
        </w:rPr>
      </w:pPr>
      <w:r w:rsidRPr="00F207B5">
        <w:rPr>
          <w:rStyle w:val="FootnoteReference"/>
          <w:sz w:val="16"/>
          <w:szCs w:val="16"/>
        </w:rPr>
        <w:footnoteRef/>
      </w:r>
      <w:r w:rsidRPr="00F207B5">
        <w:rPr>
          <w:sz w:val="16"/>
          <w:szCs w:val="16"/>
        </w:rPr>
        <w:t xml:space="preserve"> </w:t>
      </w:r>
      <w:r w:rsidR="00B21199">
        <w:rPr>
          <w:sz w:val="16"/>
          <w:szCs w:val="16"/>
        </w:rPr>
        <w:tab/>
      </w:r>
      <w:r w:rsidRPr="00F207B5">
        <w:rPr>
          <w:i/>
          <w:sz w:val="16"/>
          <w:szCs w:val="16"/>
        </w:rPr>
        <w:t>Cfr</w:t>
      </w:r>
      <w:r w:rsidRPr="00F207B5">
        <w:rPr>
          <w:sz w:val="16"/>
          <w:szCs w:val="16"/>
        </w:rPr>
        <w:t xml:space="preserve">. </w:t>
      </w:r>
      <w:r w:rsidRPr="00F207B5">
        <w:rPr>
          <w:i/>
          <w:sz w:val="16"/>
          <w:szCs w:val="16"/>
        </w:rPr>
        <w:t>Caso Loayza Tamayo Vs. Perú. Interpretación de la Sentencia de Fondo</w:t>
      </w:r>
      <w:r w:rsidRPr="00F207B5">
        <w:rPr>
          <w:sz w:val="16"/>
          <w:szCs w:val="16"/>
        </w:rPr>
        <w:t xml:space="preserve">. Resolución de la Corte Interamericana de Derechos Humanos de 8 de marzo de 1998. Serie C No. 47, párr. 16, </w:t>
      </w:r>
      <w:r w:rsidR="00AB76F1" w:rsidRPr="00D7495A">
        <w:rPr>
          <w:rStyle w:val="Strong"/>
          <w:b w:val="0"/>
          <w:i/>
          <w:color w:val="000000"/>
          <w:sz w:val="16"/>
          <w:szCs w:val="16"/>
          <w:lang w:val="es-MX"/>
        </w:rPr>
        <w:t xml:space="preserve">Caso Gutiérrez Hernández y otros Vs. Guatemala. </w:t>
      </w:r>
      <w:r w:rsidR="00AB76F1" w:rsidRPr="00D7495A">
        <w:rPr>
          <w:rStyle w:val="Strong"/>
          <w:b w:val="0"/>
          <w:color w:val="000000"/>
          <w:sz w:val="16"/>
          <w:szCs w:val="16"/>
          <w:lang w:val="es-MX"/>
        </w:rPr>
        <w:t>Interpretación de la Sentencia de Excepciones Preliminares, Fondo, Reparaciones y Costas. Sentencia de 22 de agosto de 2018. Serie C No. 357, párr. 10</w:t>
      </w:r>
      <w:r w:rsidRPr="00AB76F1">
        <w:rPr>
          <w:sz w:val="16"/>
          <w:szCs w:val="16"/>
          <w:lang w:val="es-CO"/>
        </w:rPr>
        <w:t>.</w:t>
      </w:r>
    </w:p>
  </w:footnote>
  <w:footnote w:id="14">
    <w:p w:rsidR="00027BF2" w:rsidRPr="00F207B5" w:rsidRDefault="00027BF2" w:rsidP="00334D29">
      <w:pPr>
        <w:spacing w:after="60"/>
        <w:rPr>
          <w:sz w:val="16"/>
          <w:szCs w:val="16"/>
        </w:rPr>
      </w:pPr>
      <w:r w:rsidRPr="00F207B5">
        <w:rPr>
          <w:rStyle w:val="FootnoteReference"/>
          <w:sz w:val="16"/>
          <w:szCs w:val="16"/>
        </w:rPr>
        <w:footnoteRef/>
      </w:r>
      <w:r w:rsidRPr="00F207B5">
        <w:rPr>
          <w:sz w:val="16"/>
          <w:szCs w:val="16"/>
        </w:rPr>
        <w:t xml:space="preserve"> </w:t>
      </w:r>
      <w:r w:rsidR="0071587C">
        <w:rPr>
          <w:sz w:val="16"/>
          <w:szCs w:val="16"/>
        </w:rPr>
        <w:tab/>
      </w:r>
      <w:r w:rsidRPr="00F207B5">
        <w:rPr>
          <w:i/>
          <w:sz w:val="16"/>
          <w:szCs w:val="16"/>
        </w:rPr>
        <w:t>Cfr</w:t>
      </w:r>
      <w:r w:rsidRPr="00F207B5">
        <w:rPr>
          <w:sz w:val="16"/>
          <w:szCs w:val="16"/>
        </w:rPr>
        <w:t xml:space="preserve">. </w:t>
      </w:r>
      <w:r w:rsidRPr="00F207B5">
        <w:rPr>
          <w:i/>
          <w:sz w:val="16"/>
          <w:szCs w:val="16"/>
        </w:rPr>
        <w:t>Caso Loayza Tamayo Vs. Perú. Interpretación de la Sentencia de Reparaciones y Costas</w:t>
      </w:r>
      <w:r w:rsidRPr="00F207B5">
        <w:rPr>
          <w:sz w:val="16"/>
          <w:szCs w:val="16"/>
        </w:rPr>
        <w:t>. Sentencia de 3 de junio de 1999. Serie C No. 53, párr. 15</w:t>
      </w:r>
      <w:r w:rsidRPr="00F207B5">
        <w:rPr>
          <w:sz w:val="16"/>
          <w:szCs w:val="16"/>
          <w:lang w:val="es-CO"/>
        </w:rPr>
        <w:t xml:space="preserve">, </w:t>
      </w:r>
      <w:r w:rsidRPr="00AB76F1">
        <w:rPr>
          <w:sz w:val="16"/>
          <w:szCs w:val="16"/>
          <w:lang w:val="es-CO"/>
        </w:rPr>
        <w:t>y</w:t>
      </w:r>
      <w:r w:rsidRPr="00AB76F1">
        <w:rPr>
          <w:sz w:val="16"/>
          <w:szCs w:val="16"/>
        </w:rPr>
        <w:t xml:space="preserve"> </w:t>
      </w:r>
      <w:r w:rsidRPr="00AB76F1">
        <w:rPr>
          <w:i/>
          <w:sz w:val="16"/>
          <w:szCs w:val="16"/>
        </w:rPr>
        <w:t xml:space="preserve">Caso </w:t>
      </w:r>
      <w:r w:rsidRPr="00AB76F1">
        <w:rPr>
          <w:rFonts w:eastAsia="Times"/>
          <w:bCs/>
          <w:i/>
          <w:sz w:val="16"/>
          <w:szCs w:val="16"/>
        </w:rPr>
        <w:t>Argüelles</w:t>
      </w:r>
      <w:r w:rsidRPr="00AB76F1">
        <w:rPr>
          <w:i/>
          <w:sz w:val="16"/>
          <w:szCs w:val="16"/>
        </w:rPr>
        <w:t xml:space="preserve"> y otros Vs. Argentina. </w:t>
      </w:r>
      <w:r w:rsidRPr="00AB76F1">
        <w:rPr>
          <w:i/>
          <w:sz w:val="16"/>
          <w:szCs w:val="16"/>
          <w:lang w:val="es-CO"/>
        </w:rPr>
        <w:t>Interpretación de la Sentencia de Excepción Preliminar, Fondo, Reparaciones y Costas,</w:t>
      </w:r>
      <w:r w:rsidRPr="00AB76F1">
        <w:rPr>
          <w:sz w:val="16"/>
          <w:szCs w:val="16"/>
          <w:lang w:val="es-CO"/>
        </w:rPr>
        <w:t xml:space="preserve"> párr. 21.</w:t>
      </w:r>
    </w:p>
  </w:footnote>
  <w:footnote w:id="15">
    <w:p w:rsidR="00027BF2" w:rsidRPr="00781C53" w:rsidRDefault="00027BF2">
      <w:pPr>
        <w:pStyle w:val="FootnoteText"/>
        <w:rPr>
          <w:szCs w:val="16"/>
          <w:lang w:val="es-CR"/>
        </w:rPr>
      </w:pPr>
      <w:r w:rsidRPr="00244BD7">
        <w:rPr>
          <w:rStyle w:val="FootnoteReference"/>
          <w:szCs w:val="16"/>
        </w:rPr>
        <w:footnoteRef/>
      </w:r>
      <w:r w:rsidRPr="00244BD7">
        <w:rPr>
          <w:szCs w:val="16"/>
        </w:rPr>
        <w:t xml:space="preserve"> </w:t>
      </w:r>
      <w:r w:rsidRPr="00244BD7">
        <w:rPr>
          <w:szCs w:val="16"/>
          <w:lang w:val="es-CR"/>
        </w:rPr>
        <w:tab/>
      </w:r>
      <w:r w:rsidR="00E0112B" w:rsidRPr="0094090F">
        <w:rPr>
          <w:i/>
          <w:szCs w:val="16"/>
          <w:lang w:val="es-ES"/>
        </w:rPr>
        <w:t>Cfr.</w:t>
      </w:r>
      <w:r w:rsidR="00E0112B">
        <w:rPr>
          <w:szCs w:val="16"/>
          <w:lang w:val="es-ES"/>
        </w:rPr>
        <w:t xml:space="preserve"> </w:t>
      </w:r>
      <w:r w:rsidR="00E0112B" w:rsidRPr="00280537">
        <w:rPr>
          <w:i/>
          <w:szCs w:val="16"/>
          <w:lang w:val="es-ES"/>
        </w:rPr>
        <w:t>Caso Vereda La Esperanza Vs. Colombia.</w:t>
      </w:r>
      <w:r w:rsidR="00E0112B" w:rsidRPr="00280537">
        <w:rPr>
          <w:szCs w:val="16"/>
          <w:lang w:val="es-ES"/>
        </w:rPr>
        <w:t xml:space="preserve"> </w:t>
      </w:r>
      <w:r w:rsidR="00DC5DF3">
        <w:rPr>
          <w:i/>
          <w:szCs w:val="16"/>
          <w:lang w:val="es-ES"/>
        </w:rPr>
        <w:t>Excepción Preliminar</w:t>
      </w:r>
      <w:r w:rsidR="00E0112B" w:rsidRPr="00280537">
        <w:rPr>
          <w:i/>
          <w:szCs w:val="16"/>
          <w:lang w:val="es-ES"/>
        </w:rPr>
        <w:t>, Fondo, Reparaciones y Costas</w:t>
      </w:r>
      <w:r w:rsidR="00E0112B">
        <w:rPr>
          <w:szCs w:val="16"/>
          <w:lang w:val="es-ES"/>
        </w:rPr>
        <w:t xml:space="preserve">, </w:t>
      </w:r>
      <w:r w:rsidR="00E0112B" w:rsidRPr="00280537" w:rsidDel="00C97D92">
        <w:rPr>
          <w:szCs w:val="16"/>
          <w:lang w:val="es-ES"/>
        </w:rPr>
        <w:t xml:space="preserve"> </w:t>
      </w:r>
      <w:r w:rsidR="00E0112B" w:rsidRPr="00280537">
        <w:rPr>
          <w:szCs w:val="16"/>
          <w:lang w:val="es-ES"/>
        </w:rPr>
        <w:t>párr</w:t>
      </w:r>
      <w:r w:rsidR="00E0112B">
        <w:rPr>
          <w:szCs w:val="16"/>
          <w:lang w:val="es-ES"/>
        </w:rPr>
        <w:t>.</w:t>
      </w:r>
      <w:r w:rsidRPr="00244BD7">
        <w:rPr>
          <w:szCs w:val="16"/>
          <w:lang w:val="es-CR"/>
        </w:rPr>
        <w:t xml:space="preserve"> </w:t>
      </w:r>
      <w:r w:rsidRPr="00735AAD">
        <w:rPr>
          <w:szCs w:val="16"/>
          <w:lang w:val="es-CR"/>
        </w:rPr>
        <w:t xml:space="preserve">38. </w:t>
      </w:r>
    </w:p>
  </w:footnote>
  <w:footnote w:id="16">
    <w:p w:rsidR="00027BF2" w:rsidRPr="00781C53" w:rsidRDefault="00027BF2">
      <w:pPr>
        <w:pStyle w:val="FootnoteText"/>
        <w:rPr>
          <w:szCs w:val="16"/>
          <w:lang w:val="es-CR"/>
        </w:rPr>
      </w:pPr>
      <w:r w:rsidRPr="00244BD7">
        <w:rPr>
          <w:rStyle w:val="FootnoteReference"/>
          <w:szCs w:val="16"/>
        </w:rPr>
        <w:footnoteRef/>
      </w:r>
      <w:r w:rsidRPr="00244BD7">
        <w:rPr>
          <w:szCs w:val="16"/>
        </w:rPr>
        <w:t xml:space="preserve"> </w:t>
      </w:r>
      <w:r w:rsidRPr="00244BD7">
        <w:rPr>
          <w:szCs w:val="16"/>
          <w:lang w:val="es-CR"/>
        </w:rPr>
        <w:tab/>
      </w:r>
      <w:r w:rsidR="00E0112B" w:rsidRPr="0094090F">
        <w:rPr>
          <w:i/>
          <w:szCs w:val="16"/>
          <w:lang w:val="es-ES"/>
        </w:rPr>
        <w:t>Cfr.</w:t>
      </w:r>
      <w:r w:rsidR="00E0112B">
        <w:rPr>
          <w:szCs w:val="16"/>
          <w:lang w:val="es-ES"/>
        </w:rPr>
        <w:t xml:space="preserve"> </w:t>
      </w:r>
      <w:r w:rsidR="00E0112B" w:rsidRPr="00280537">
        <w:rPr>
          <w:i/>
          <w:szCs w:val="16"/>
          <w:lang w:val="es-ES"/>
        </w:rPr>
        <w:t>Caso Vereda La Esperanza Vs. Colombia.</w:t>
      </w:r>
      <w:r w:rsidR="00E0112B" w:rsidRPr="00280537">
        <w:rPr>
          <w:szCs w:val="16"/>
          <w:lang w:val="es-ES"/>
        </w:rPr>
        <w:t xml:space="preserve"> </w:t>
      </w:r>
      <w:r w:rsidR="00DC5DF3">
        <w:rPr>
          <w:i/>
          <w:szCs w:val="16"/>
          <w:lang w:val="es-ES"/>
        </w:rPr>
        <w:t>Excepción Preliminar</w:t>
      </w:r>
      <w:r w:rsidR="00E0112B" w:rsidRPr="00280537">
        <w:rPr>
          <w:i/>
          <w:szCs w:val="16"/>
          <w:lang w:val="es-ES"/>
        </w:rPr>
        <w:t>, Fondo, Reparaciones y Costas</w:t>
      </w:r>
      <w:r w:rsidR="00E0112B">
        <w:rPr>
          <w:szCs w:val="16"/>
          <w:lang w:val="es-ES"/>
        </w:rPr>
        <w:t xml:space="preserve">, </w:t>
      </w:r>
      <w:r w:rsidR="00E0112B" w:rsidRPr="00280537" w:rsidDel="00C97D92">
        <w:rPr>
          <w:szCs w:val="16"/>
          <w:lang w:val="es-ES"/>
        </w:rPr>
        <w:t xml:space="preserve"> </w:t>
      </w:r>
      <w:r w:rsidR="00E0112B" w:rsidRPr="00280537">
        <w:rPr>
          <w:szCs w:val="16"/>
          <w:lang w:val="es-ES"/>
        </w:rPr>
        <w:t>párr</w:t>
      </w:r>
      <w:r w:rsidR="00E0112B">
        <w:rPr>
          <w:szCs w:val="16"/>
          <w:lang w:val="es-ES"/>
        </w:rPr>
        <w:t>.</w:t>
      </w:r>
      <w:r w:rsidRPr="00244BD7">
        <w:rPr>
          <w:szCs w:val="16"/>
          <w:lang w:val="es-CR"/>
        </w:rPr>
        <w:t xml:space="preserve"> 39.</w:t>
      </w:r>
    </w:p>
  </w:footnote>
  <w:footnote w:id="17">
    <w:p w:rsidR="00027BF2" w:rsidRPr="00781C53" w:rsidRDefault="00027BF2">
      <w:pPr>
        <w:pStyle w:val="FootnoteText"/>
        <w:rPr>
          <w:szCs w:val="16"/>
          <w:lang w:val="es-CR"/>
        </w:rPr>
      </w:pPr>
      <w:r w:rsidRPr="000F4E87">
        <w:rPr>
          <w:rStyle w:val="FootnoteReference"/>
          <w:szCs w:val="16"/>
        </w:rPr>
        <w:footnoteRef/>
      </w:r>
      <w:r w:rsidRPr="000F4E87">
        <w:rPr>
          <w:szCs w:val="16"/>
        </w:rPr>
        <w:t xml:space="preserve"> </w:t>
      </w:r>
      <w:r w:rsidRPr="000F4E87">
        <w:rPr>
          <w:szCs w:val="16"/>
          <w:lang w:val="es-CR"/>
        </w:rPr>
        <w:tab/>
      </w:r>
      <w:r w:rsidR="000B05D1">
        <w:rPr>
          <w:szCs w:val="16"/>
          <w:lang w:val="es-CR"/>
        </w:rPr>
        <w:t>La Sentencia m</w:t>
      </w:r>
      <w:r w:rsidR="000B05D1" w:rsidRPr="000F4E87">
        <w:rPr>
          <w:szCs w:val="16"/>
          <w:lang w:val="es-CR"/>
        </w:rPr>
        <w:t xml:space="preserve">encionó </w:t>
      </w:r>
      <w:r w:rsidRPr="000F4E87">
        <w:rPr>
          <w:szCs w:val="16"/>
          <w:lang w:val="es-CR"/>
        </w:rPr>
        <w:t>las Comunicaciones de la Secretaría del Tribunal de 29 de junio, 8 de julio, 9 y 18 de agosto, 3 y 21 de octubre de 2016, 26 de enero, 16 y 29 de marzo, 26 de abril, y 2 de mayo de 2017.</w:t>
      </w:r>
      <w:r w:rsidR="00E0112B" w:rsidRPr="000F4E87">
        <w:rPr>
          <w:szCs w:val="16"/>
          <w:lang w:val="es-CR"/>
        </w:rPr>
        <w:t xml:space="preserve"> </w:t>
      </w:r>
      <w:r w:rsidR="00E0112B" w:rsidRPr="000F4E87">
        <w:rPr>
          <w:i/>
          <w:szCs w:val="16"/>
          <w:lang w:val="es-ES"/>
        </w:rPr>
        <w:t>Cfr.</w:t>
      </w:r>
      <w:r w:rsidR="00E0112B" w:rsidRPr="000F4E87">
        <w:rPr>
          <w:szCs w:val="16"/>
          <w:lang w:val="es-ES"/>
        </w:rPr>
        <w:t xml:space="preserve"> </w:t>
      </w:r>
      <w:r w:rsidR="00E0112B" w:rsidRPr="000F4E87">
        <w:rPr>
          <w:i/>
          <w:szCs w:val="16"/>
          <w:lang w:val="es-ES"/>
        </w:rPr>
        <w:t>Caso Vereda La Esperanza Vs. Colombia.</w:t>
      </w:r>
      <w:r w:rsidR="00E0112B" w:rsidRPr="000F4E87">
        <w:rPr>
          <w:szCs w:val="16"/>
          <w:lang w:val="es-ES"/>
        </w:rPr>
        <w:t xml:space="preserve"> </w:t>
      </w:r>
      <w:r w:rsidR="00DC5DF3">
        <w:rPr>
          <w:i/>
          <w:szCs w:val="16"/>
          <w:lang w:val="es-ES"/>
        </w:rPr>
        <w:t>Excepción Preliminar</w:t>
      </w:r>
      <w:r w:rsidR="00E0112B" w:rsidRPr="000F4E87">
        <w:rPr>
          <w:i/>
          <w:szCs w:val="16"/>
          <w:lang w:val="es-ES"/>
        </w:rPr>
        <w:t>, Fondo, Reparaciones y Costas</w:t>
      </w:r>
      <w:r w:rsidR="00E0112B" w:rsidRPr="000F4E87">
        <w:rPr>
          <w:szCs w:val="16"/>
          <w:lang w:val="es-ES"/>
        </w:rPr>
        <w:t xml:space="preserve">, </w:t>
      </w:r>
      <w:r w:rsidR="00E0112B" w:rsidRPr="000F4E87" w:rsidDel="00C97D92">
        <w:rPr>
          <w:szCs w:val="16"/>
          <w:lang w:val="es-ES"/>
        </w:rPr>
        <w:t xml:space="preserve"> </w:t>
      </w:r>
      <w:r w:rsidR="000F4E87" w:rsidRPr="00D7495A">
        <w:rPr>
          <w:szCs w:val="16"/>
          <w:lang w:val="es-ES"/>
        </w:rPr>
        <w:t>nota a pie de página 37</w:t>
      </w:r>
      <w:r w:rsidR="00E0112B" w:rsidRPr="000F4E87">
        <w:rPr>
          <w:szCs w:val="16"/>
          <w:lang w:val="es-ES"/>
        </w:rPr>
        <w:t>.</w:t>
      </w:r>
    </w:p>
  </w:footnote>
  <w:footnote w:id="18">
    <w:p w:rsidR="00027BF2" w:rsidRPr="00D7495A" w:rsidRDefault="00027BF2" w:rsidP="00027BF2">
      <w:pPr>
        <w:pStyle w:val="FootnoteText"/>
        <w:rPr>
          <w:szCs w:val="16"/>
          <w:lang w:val="es-ES"/>
        </w:rPr>
      </w:pPr>
      <w:r w:rsidRPr="00244BD7">
        <w:rPr>
          <w:rStyle w:val="FootnoteReference"/>
          <w:szCs w:val="16"/>
        </w:rPr>
        <w:footnoteRef/>
      </w:r>
      <w:r w:rsidRPr="00D7495A">
        <w:rPr>
          <w:szCs w:val="16"/>
          <w:lang w:val="es-ES"/>
        </w:rPr>
        <w:t xml:space="preserve"> </w:t>
      </w:r>
      <w:r w:rsidRPr="00D7495A">
        <w:rPr>
          <w:szCs w:val="16"/>
          <w:lang w:val="es-ES"/>
        </w:rPr>
        <w:tab/>
      </w:r>
      <w:r w:rsidR="00E0112B" w:rsidRPr="0094090F">
        <w:rPr>
          <w:i/>
          <w:szCs w:val="16"/>
          <w:lang w:val="es-ES"/>
        </w:rPr>
        <w:t>Cfr.</w:t>
      </w:r>
      <w:r w:rsidR="00E0112B">
        <w:rPr>
          <w:szCs w:val="16"/>
          <w:lang w:val="es-ES"/>
        </w:rPr>
        <w:t xml:space="preserve"> </w:t>
      </w:r>
      <w:r w:rsidR="00E0112B" w:rsidRPr="00280537">
        <w:rPr>
          <w:i/>
          <w:szCs w:val="16"/>
          <w:lang w:val="es-ES"/>
        </w:rPr>
        <w:t>Caso Vereda La Esperanza Vs. Colombia.</w:t>
      </w:r>
      <w:r w:rsidR="00E0112B" w:rsidRPr="00280537">
        <w:rPr>
          <w:szCs w:val="16"/>
          <w:lang w:val="es-ES"/>
        </w:rPr>
        <w:t xml:space="preserve"> </w:t>
      </w:r>
      <w:r w:rsidR="00DC5DF3">
        <w:rPr>
          <w:i/>
          <w:szCs w:val="16"/>
          <w:lang w:val="es-ES"/>
        </w:rPr>
        <w:t>Excepción Preliminar</w:t>
      </w:r>
      <w:r w:rsidR="00E0112B" w:rsidRPr="00280537">
        <w:rPr>
          <w:i/>
          <w:szCs w:val="16"/>
          <w:lang w:val="es-ES"/>
        </w:rPr>
        <w:t>, Fondo, Reparaciones y Costas</w:t>
      </w:r>
      <w:r w:rsidR="00E0112B">
        <w:rPr>
          <w:szCs w:val="16"/>
          <w:lang w:val="es-ES"/>
        </w:rPr>
        <w:t xml:space="preserve">, </w:t>
      </w:r>
      <w:r w:rsidR="00E0112B" w:rsidRPr="00280537" w:rsidDel="00C97D92">
        <w:rPr>
          <w:szCs w:val="16"/>
          <w:lang w:val="es-ES"/>
        </w:rPr>
        <w:t xml:space="preserve"> </w:t>
      </w:r>
      <w:r w:rsidR="00E0112B" w:rsidRPr="00280537">
        <w:rPr>
          <w:szCs w:val="16"/>
          <w:lang w:val="es-ES"/>
        </w:rPr>
        <w:t>párr</w:t>
      </w:r>
      <w:r w:rsidR="00E0112B">
        <w:rPr>
          <w:szCs w:val="16"/>
          <w:lang w:val="es-ES"/>
        </w:rPr>
        <w:t>.</w:t>
      </w:r>
      <w:r w:rsidRPr="00D7495A">
        <w:rPr>
          <w:szCs w:val="16"/>
          <w:lang w:val="es-ES"/>
        </w:rPr>
        <w:t xml:space="preserve"> 37.</w:t>
      </w:r>
    </w:p>
  </w:footnote>
  <w:footnote w:id="19">
    <w:p w:rsidR="00EC0D0C" w:rsidRPr="00735AAD" w:rsidRDefault="00EC0D0C">
      <w:pPr>
        <w:pStyle w:val="FootnoteText"/>
        <w:rPr>
          <w:szCs w:val="16"/>
        </w:rPr>
      </w:pPr>
      <w:r w:rsidRPr="00735AAD">
        <w:rPr>
          <w:rStyle w:val="FootnoteReference"/>
          <w:szCs w:val="16"/>
        </w:rPr>
        <w:footnoteRef/>
      </w:r>
      <w:r w:rsidRPr="00D7495A">
        <w:rPr>
          <w:szCs w:val="16"/>
          <w:lang w:val="es-ES"/>
        </w:rPr>
        <w:t xml:space="preserve"> </w:t>
      </w:r>
      <w:r w:rsidRPr="00D7495A">
        <w:rPr>
          <w:szCs w:val="16"/>
          <w:lang w:val="es-ES"/>
        </w:rPr>
        <w:tab/>
      </w:r>
      <w:r w:rsidRPr="00D7495A">
        <w:rPr>
          <w:i/>
          <w:szCs w:val="16"/>
          <w:lang w:val="es-ES"/>
        </w:rPr>
        <w:t xml:space="preserve">Caso Manuel Cepeda Vargas Vs. </w:t>
      </w:r>
      <w:r w:rsidRPr="00244BD7">
        <w:rPr>
          <w:i/>
          <w:szCs w:val="16"/>
        </w:rPr>
        <w:t>Colombia. Excepciones Preliminares, Fondo, Reparaciones y Costas.</w:t>
      </w:r>
      <w:r w:rsidRPr="00244BD7">
        <w:rPr>
          <w:szCs w:val="16"/>
        </w:rPr>
        <w:t xml:space="preserve"> Sentencia de 26 de mayo de 2010. Serie C No. 213, p</w:t>
      </w:r>
      <w:r w:rsidRPr="00735AAD">
        <w:rPr>
          <w:szCs w:val="16"/>
        </w:rPr>
        <w:t xml:space="preserve">árrs. 252 a 253; </w:t>
      </w:r>
      <w:r w:rsidRPr="00735AAD">
        <w:rPr>
          <w:i/>
          <w:szCs w:val="16"/>
        </w:rPr>
        <w:t>Caso Vélez Restrepo y familiares Vs. Colombia. Excepción Preliminar, Fondo, Reparaciones y Costas.</w:t>
      </w:r>
      <w:r w:rsidRPr="00735AAD">
        <w:rPr>
          <w:szCs w:val="16"/>
        </w:rPr>
        <w:t xml:space="preserve"> Sentencia de 3 de septiembre de 2012. Serie C No. 248, párr. 302; </w:t>
      </w:r>
      <w:r w:rsidRPr="00735AAD">
        <w:rPr>
          <w:i/>
          <w:szCs w:val="16"/>
        </w:rPr>
        <w:t xml:space="preserve">Caso Luna López Vs. Honduras. Supervisión de Cumplimiento de Sentencia. </w:t>
      </w:r>
      <w:r w:rsidRPr="00735AAD">
        <w:rPr>
          <w:szCs w:val="16"/>
        </w:rPr>
        <w:t>Resolución de la Corte de 27 de enero de 2015, Considerandos 21 y 22</w:t>
      </w:r>
      <w:r w:rsidR="00F7381E">
        <w:rPr>
          <w:szCs w:val="16"/>
        </w:rPr>
        <w:t>, y</w:t>
      </w:r>
      <w:r w:rsidRPr="00735AAD">
        <w:rPr>
          <w:szCs w:val="16"/>
        </w:rPr>
        <w:t xml:space="preserve"> </w:t>
      </w:r>
      <w:r w:rsidRPr="00735AAD">
        <w:rPr>
          <w:i/>
          <w:szCs w:val="16"/>
        </w:rPr>
        <w:t>Caso Rodríguez Vera y otros (Desaparecidos del Palacio de Justicia) Vs. Colombia. Supervisión de Cumplimiento de Sentencia.</w:t>
      </w:r>
      <w:r w:rsidRPr="00735AAD">
        <w:rPr>
          <w:szCs w:val="16"/>
        </w:rPr>
        <w:t xml:space="preserve"> Resolución de la Corte Interamericana de Derechos Humanos de 10 de febrero de 2017, párr. 10.</w:t>
      </w:r>
    </w:p>
  </w:footnote>
  <w:footnote w:id="20">
    <w:p w:rsidR="00100FB8" w:rsidRPr="00735AAD" w:rsidRDefault="00100FB8" w:rsidP="00100FB8">
      <w:pPr>
        <w:pStyle w:val="FootnoteText"/>
        <w:rPr>
          <w:szCs w:val="16"/>
          <w:lang w:val="es-CR"/>
        </w:rPr>
      </w:pPr>
      <w:r w:rsidRPr="00735AAD">
        <w:rPr>
          <w:rStyle w:val="FootnoteReference"/>
          <w:szCs w:val="16"/>
        </w:rPr>
        <w:footnoteRef/>
      </w:r>
      <w:r w:rsidRPr="00781C53">
        <w:rPr>
          <w:szCs w:val="16"/>
          <w:lang w:val="es-ES"/>
        </w:rPr>
        <w:t xml:space="preserve"> </w:t>
      </w:r>
      <w:r w:rsidRPr="00781C53">
        <w:rPr>
          <w:szCs w:val="16"/>
          <w:lang w:val="es-ES"/>
        </w:rPr>
        <w:tab/>
      </w:r>
      <w:r w:rsidRPr="00781C53">
        <w:rPr>
          <w:i/>
          <w:szCs w:val="16"/>
          <w:lang w:val="es-ES"/>
        </w:rPr>
        <w:t xml:space="preserve">Cfr. </w:t>
      </w:r>
      <w:r w:rsidRPr="00244BD7">
        <w:rPr>
          <w:i/>
          <w:szCs w:val="16"/>
        </w:rPr>
        <w:t>Caso Rodríguez Vera y otros (Desaparecidos del Palacio de Justicia) Vs. Colombia. Supervisión de Cumplimiento de Sentencia.</w:t>
      </w:r>
      <w:r w:rsidRPr="00735AAD">
        <w:rPr>
          <w:szCs w:val="16"/>
        </w:rPr>
        <w:t xml:space="preserve"> Resolución de la Corte Interamericana de Derechos Humanos de 10 de febrero de 2017, párr. 10, y </w:t>
      </w:r>
      <w:r w:rsidRPr="00735AAD">
        <w:rPr>
          <w:i/>
          <w:szCs w:val="16"/>
        </w:rPr>
        <w:t xml:space="preserve">Caso Yarce y otras Vs. Colombia. Interpretación de la Sentencia de Excepción Preliminar, Fondo, Reparaciones y Costas. </w:t>
      </w:r>
      <w:r w:rsidRPr="00735AAD">
        <w:rPr>
          <w:szCs w:val="16"/>
        </w:rPr>
        <w:t>Sentencia de 21 de noviembre 2017. Serie C No. 343, párrs. 18 a 20.</w:t>
      </w:r>
    </w:p>
  </w:footnote>
  <w:footnote w:id="21">
    <w:p w:rsidR="00F207B5" w:rsidRPr="00781C53" w:rsidRDefault="00F207B5">
      <w:pPr>
        <w:pStyle w:val="FootnoteText"/>
        <w:rPr>
          <w:szCs w:val="16"/>
          <w:lang w:val="es-CR"/>
        </w:rPr>
      </w:pPr>
      <w:r w:rsidRPr="00735AAD">
        <w:rPr>
          <w:rStyle w:val="FootnoteReference"/>
          <w:szCs w:val="16"/>
        </w:rPr>
        <w:footnoteRef/>
      </w:r>
      <w:r w:rsidRPr="00735AAD">
        <w:rPr>
          <w:szCs w:val="16"/>
        </w:rPr>
        <w:t xml:space="preserve"> </w:t>
      </w:r>
      <w:r w:rsidRPr="00735AAD">
        <w:rPr>
          <w:szCs w:val="16"/>
          <w:lang w:val="es-CR"/>
        </w:rPr>
        <w:tab/>
        <w:t xml:space="preserve">Agregó que lo anterior “da lugar a márgenes hermenéuticos de gran amplitud para las partes del proceso, que podrían conducir a que se deban sufragar gastos indeterminados por parte del Estado”. Asimismo, </w:t>
      </w:r>
      <w:r w:rsidRPr="00781C53">
        <w:rPr>
          <w:rFonts w:cs="Times"/>
          <w:szCs w:val="16"/>
          <w:lang w:val="es-CR"/>
        </w:rPr>
        <w:t>consideró “que imponer obligaciones indeterminadas en los fallos puede generar consecuencias, no solo difíciles de afrontar por parte del Estado, sino contrarias a Derecho”. Concluyó arguyendo “que el punto en cuestión amerita una interpretación de la […] Corte en la que se establezca de manera precisa el alcance de la orden bajo análisis, de forma tal que no se dé lugar a la inclusión de gastos injustificados por un lapso indefinido”.</w:t>
      </w:r>
    </w:p>
  </w:footnote>
  <w:footnote w:id="22">
    <w:p w:rsidR="00027BF2" w:rsidRPr="00735AAD" w:rsidRDefault="00027BF2">
      <w:pPr>
        <w:pStyle w:val="FootnoteText"/>
        <w:rPr>
          <w:i/>
          <w:szCs w:val="16"/>
          <w:lang w:val="es-CR"/>
        </w:rPr>
      </w:pPr>
      <w:r w:rsidRPr="00244BD7">
        <w:rPr>
          <w:rStyle w:val="FootnoteReference"/>
          <w:szCs w:val="16"/>
        </w:rPr>
        <w:footnoteRef/>
      </w:r>
      <w:r w:rsidRPr="00244BD7">
        <w:rPr>
          <w:szCs w:val="16"/>
        </w:rPr>
        <w:t xml:space="preserve"> </w:t>
      </w:r>
      <w:r w:rsidRPr="00244BD7">
        <w:rPr>
          <w:szCs w:val="16"/>
          <w:lang w:val="es-CR"/>
        </w:rPr>
        <w:tab/>
      </w:r>
      <w:r w:rsidRPr="00735AAD">
        <w:rPr>
          <w:i/>
          <w:szCs w:val="16"/>
        </w:rPr>
        <w:t>Cfr. Caso Duque Vs. Colombia.</w:t>
      </w:r>
      <w:r w:rsidRPr="00735AAD">
        <w:rPr>
          <w:szCs w:val="16"/>
        </w:rPr>
        <w:t xml:space="preserve"> Interpretación de la Sentencia de 21 de noviembre de 2016. Serie C No. 322, párrs. 15 y 16, y </w:t>
      </w:r>
      <w:r w:rsidRPr="00735AAD">
        <w:rPr>
          <w:i/>
          <w:szCs w:val="16"/>
        </w:rPr>
        <w:t xml:space="preserve">Caso Yarce y otras Vs. Colombia. </w:t>
      </w:r>
      <w:r w:rsidRPr="00735AAD">
        <w:rPr>
          <w:szCs w:val="16"/>
        </w:rPr>
        <w:t>Interpretación de la Sentencia de 21 de noviembre 2017. Serie C No. 343, párr. 30.</w:t>
      </w:r>
    </w:p>
  </w:footnote>
  <w:footnote w:id="23">
    <w:p w:rsidR="00027BF2" w:rsidRPr="00735AAD" w:rsidRDefault="00027BF2">
      <w:pPr>
        <w:pStyle w:val="FootnoteText"/>
        <w:rPr>
          <w:szCs w:val="16"/>
          <w:lang w:val="es-CR"/>
        </w:rPr>
      </w:pPr>
      <w:r w:rsidRPr="00735AAD">
        <w:rPr>
          <w:rStyle w:val="FootnoteReference"/>
          <w:szCs w:val="16"/>
        </w:rPr>
        <w:footnoteRef/>
      </w:r>
      <w:r w:rsidRPr="00735AAD">
        <w:rPr>
          <w:szCs w:val="16"/>
        </w:rPr>
        <w:t xml:space="preserve"> </w:t>
      </w:r>
      <w:r w:rsidRPr="00735AAD">
        <w:rPr>
          <w:szCs w:val="16"/>
        </w:rPr>
        <w:tab/>
      </w:r>
      <w:r w:rsidRPr="00735AAD">
        <w:rPr>
          <w:i/>
          <w:szCs w:val="16"/>
        </w:rPr>
        <w:t xml:space="preserve">Cfr. Caso Yarce y otras Vs. Colombia. </w:t>
      </w:r>
      <w:r w:rsidRPr="00735AAD">
        <w:rPr>
          <w:szCs w:val="16"/>
        </w:rPr>
        <w:t>Interpretación de la Sentencia de 21 de noviembre 2017. Serie C No. 343, párr. 31.</w:t>
      </w:r>
    </w:p>
  </w:footnote>
  <w:footnote w:id="24">
    <w:p w:rsidR="00845415" w:rsidRPr="00735AAD" w:rsidRDefault="00845415" w:rsidP="00845415">
      <w:pPr>
        <w:pStyle w:val="FootnoteText"/>
        <w:rPr>
          <w:szCs w:val="16"/>
          <w:lang w:val="es-CR"/>
        </w:rPr>
      </w:pPr>
      <w:r w:rsidRPr="00735AAD">
        <w:rPr>
          <w:rStyle w:val="FootnoteReference"/>
          <w:szCs w:val="16"/>
        </w:rPr>
        <w:footnoteRef/>
      </w:r>
      <w:r w:rsidRPr="00735AAD">
        <w:rPr>
          <w:szCs w:val="16"/>
        </w:rPr>
        <w:t xml:space="preserve"> </w:t>
      </w:r>
      <w:r w:rsidRPr="00735AAD">
        <w:rPr>
          <w:szCs w:val="16"/>
        </w:rPr>
        <w:tab/>
      </w:r>
      <w:r w:rsidRPr="00735AAD">
        <w:rPr>
          <w:i/>
          <w:szCs w:val="16"/>
        </w:rPr>
        <w:t>Cfr.</w:t>
      </w:r>
      <w:r w:rsidRPr="00735AAD">
        <w:rPr>
          <w:szCs w:val="16"/>
        </w:rPr>
        <w:t xml:space="preserve"> </w:t>
      </w:r>
      <w:r w:rsidRPr="00735AAD">
        <w:rPr>
          <w:i/>
          <w:szCs w:val="16"/>
        </w:rPr>
        <w:t xml:space="preserve">Caso Yarce y otras Vs. Colombia. </w:t>
      </w:r>
      <w:r w:rsidRPr="00735AAD">
        <w:rPr>
          <w:szCs w:val="16"/>
        </w:rPr>
        <w:t>Interpretación de la Sentencia de 21 de noviembre 2017. Serie C No. 343, párr. 32.</w:t>
      </w:r>
    </w:p>
  </w:footnote>
  <w:footnote w:id="25">
    <w:p w:rsidR="00027BF2" w:rsidRPr="00735AAD" w:rsidRDefault="00027BF2">
      <w:pPr>
        <w:pStyle w:val="FootnoteText"/>
        <w:rPr>
          <w:szCs w:val="16"/>
          <w:lang w:val="es-CR"/>
        </w:rPr>
      </w:pPr>
      <w:r w:rsidRPr="00735AAD">
        <w:rPr>
          <w:rStyle w:val="FootnoteReference"/>
          <w:szCs w:val="16"/>
        </w:rPr>
        <w:footnoteRef/>
      </w:r>
      <w:r w:rsidRPr="00735AAD">
        <w:rPr>
          <w:szCs w:val="16"/>
        </w:rPr>
        <w:t xml:space="preserve"> </w:t>
      </w:r>
      <w:r w:rsidRPr="00735AAD">
        <w:rPr>
          <w:szCs w:val="16"/>
        </w:rPr>
        <w:tab/>
      </w:r>
      <w:r w:rsidRPr="00735AAD">
        <w:rPr>
          <w:i/>
          <w:szCs w:val="16"/>
        </w:rPr>
        <w:t xml:space="preserve">Cfr. </w:t>
      </w:r>
      <w:r w:rsidRPr="00735AAD">
        <w:rPr>
          <w:i/>
          <w:szCs w:val="16"/>
          <w:lang w:val="es-ES"/>
        </w:rPr>
        <w:t xml:space="preserve">Caso Trabajadores de la Hacienda Brasil Verde Vs. Brasil. Interpretación de la Sentencia de Excepciones Preliminares, Fondo, Reparaciones y Costas. </w:t>
      </w:r>
      <w:r w:rsidRPr="00735AAD">
        <w:rPr>
          <w:szCs w:val="16"/>
          <w:lang w:val="pt-BR"/>
        </w:rPr>
        <w:t xml:space="preserve">Sentencia de 22 de agosto de 2017. Serie C No. 337, párrs. 31 a 33, y </w:t>
      </w:r>
      <w:r w:rsidRPr="00735AAD">
        <w:rPr>
          <w:i/>
          <w:szCs w:val="16"/>
          <w:lang w:val="pt-BR"/>
        </w:rPr>
        <w:t xml:space="preserve">Caso Favela Nova Brasília Vs. </w:t>
      </w:r>
      <w:r w:rsidRPr="00735AAD">
        <w:rPr>
          <w:i/>
          <w:szCs w:val="16"/>
          <w:lang w:val="es-ES"/>
        </w:rPr>
        <w:t xml:space="preserve">Brasil. Interpretación de la Sentencia de Excepciones Preliminares, Fondo, Reparaciones y Costas. </w:t>
      </w:r>
      <w:r w:rsidRPr="00735AAD">
        <w:rPr>
          <w:szCs w:val="16"/>
          <w:lang w:val="es-ES"/>
        </w:rPr>
        <w:t>Sentencia de 5 de febrero de 2018. Serie C No. 345, párr.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6A1"/>
    <w:multiLevelType w:val="hybridMultilevel"/>
    <w:tmpl w:val="A5AC3F3A"/>
    <w:lvl w:ilvl="0" w:tplc="84BEF9B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1661CFA"/>
    <w:multiLevelType w:val="hybridMultilevel"/>
    <w:tmpl w:val="A5BCBD62"/>
    <w:lvl w:ilvl="0" w:tplc="783ABA1C">
      <w:start w:val="1"/>
      <w:numFmt w:val="upperLetter"/>
      <w:lvlText w:val="%1."/>
      <w:lvlJc w:val="left"/>
      <w:pPr>
        <w:ind w:left="5400" w:hanging="360"/>
      </w:pPr>
      <w:rPr>
        <w:rFonts w:hint="default"/>
        <w:b/>
        <w:i/>
      </w:rPr>
    </w:lvl>
    <w:lvl w:ilvl="1" w:tplc="140A0019">
      <w:start w:val="1"/>
      <w:numFmt w:val="lowerLetter"/>
      <w:lvlText w:val="%2."/>
      <w:lvlJc w:val="left"/>
      <w:pPr>
        <w:ind w:left="6120" w:hanging="360"/>
      </w:pPr>
    </w:lvl>
    <w:lvl w:ilvl="2" w:tplc="140A001B" w:tentative="1">
      <w:start w:val="1"/>
      <w:numFmt w:val="lowerRoman"/>
      <w:lvlText w:val="%3."/>
      <w:lvlJc w:val="right"/>
      <w:pPr>
        <w:ind w:left="6840" w:hanging="180"/>
      </w:pPr>
    </w:lvl>
    <w:lvl w:ilvl="3" w:tplc="140A000F" w:tentative="1">
      <w:start w:val="1"/>
      <w:numFmt w:val="decimal"/>
      <w:lvlText w:val="%4."/>
      <w:lvlJc w:val="left"/>
      <w:pPr>
        <w:ind w:left="7560" w:hanging="360"/>
      </w:pPr>
    </w:lvl>
    <w:lvl w:ilvl="4" w:tplc="140A0019" w:tentative="1">
      <w:start w:val="1"/>
      <w:numFmt w:val="lowerLetter"/>
      <w:lvlText w:val="%5."/>
      <w:lvlJc w:val="left"/>
      <w:pPr>
        <w:ind w:left="8280" w:hanging="360"/>
      </w:pPr>
    </w:lvl>
    <w:lvl w:ilvl="5" w:tplc="140A001B" w:tentative="1">
      <w:start w:val="1"/>
      <w:numFmt w:val="lowerRoman"/>
      <w:lvlText w:val="%6."/>
      <w:lvlJc w:val="right"/>
      <w:pPr>
        <w:ind w:left="9000" w:hanging="180"/>
      </w:pPr>
    </w:lvl>
    <w:lvl w:ilvl="6" w:tplc="140A000F" w:tentative="1">
      <w:start w:val="1"/>
      <w:numFmt w:val="decimal"/>
      <w:lvlText w:val="%7."/>
      <w:lvlJc w:val="left"/>
      <w:pPr>
        <w:ind w:left="9720" w:hanging="360"/>
      </w:pPr>
    </w:lvl>
    <w:lvl w:ilvl="7" w:tplc="140A0019" w:tentative="1">
      <w:start w:val="1"/>
      <w:numFmt w:val="lowerLetter"/>
      <w:lvlText w:val="%8."/>
      <w:lvlJc w:val="left"/>
      <w:pPr>
        <w:ind w:left="10440" w:hanging="360"/>
      </w:pPr>
    </w:lvl>
    <w:lvl w:ilvl="8" w:tplc="140A001B" w:tentative="1">
      <w:start w:val="1"/>
      <w:numFmt w:val="lowerRoman"/>
      <w:lvlText w:val="%9."/>
      <w:lvlJc w:val="right"/>
      <w:pPr>
        <w:ind w:left="11160" w:hanging="180"/>
      </w:pPr>
    </w:lvl>
  </w:abstractNum>
  <w:abstractNum w:abstractNumId="2">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75D0A44"/>
    <w:multiLevelType w:val="hybridMultilevel"/>
    <w:tmpl w:val="2294D18E"/>
    <w:lvl w:ilvl="0" w:tplc="996A088A">
      <w:start w:val="1"/>
      <w:numFmt w:val="bullet"/>
      <w:lvlText w:val=""/>
      <w:lvlJc w:val="left"/>
      <w:pPr>
        <w:ind w:left="1077" w:hanging="360"/>
      </w:pPr>
      <w:rPr>
        <w:rFonts w:ascii="Symbol" w:hAnsi="Symbol" w:hint="default"/>
      </w:rPr>
    </w:lvl>
    <w:lvl w:ilvl="1" w:tplc="2C0A0019" w:tentative="1">
      <w:start w:val="1"/>
      <w:numFmt w:val="bullet"/>
      <w:lvlText w:val="o"/>
      <w:lvlJc w:val="left"/>
      <w:pPr>
        <w:ind w:left="1797" w:hanging="360"/>
      </w:pPr>
      <w:rPr>
        <w:rFonts w:ascii="Courier New" w:hAnsi="Courier New" w:cs="MS Mincho" w:hint="default"/>
      </w:rPr>
    </w:lvl>
    <w:lvl w:ilvl="2" w:tplc="4202A1AC" w:tentative="1">
      <w:start w:val="1"/>
      <w:numFmt w:val="bullet"/>
      <w:lvlText w:val=""/>
      <w:lvlJc w:val="left"/>
      <w:pPr>
        <w:ind w:left="2517" w:hanging="360"/>
      </w:pPr>
      <w:rPr>
        <w:rFonts w:ascii="Wingdings" w:hAnsi="Wingdings" w:hint="default"/>
      </w:rPr>
    </w:lvl>
    <w:lvl w:ilvl="3" w:tplc="3F0893E6" w:tentative="1">
      <w:start w:val="1"/>
      <w:numFmt w:val="bullet"/>
      <w:lvlText w:val=""/>
      <w:lvlJc w:val="left"/>
      <w:pPr>
        <w:ind w:left="3237" w:hanging="360"/>
      </w:pPr>
      <w:rPr>
        <w:rFonts w:ascii="Symbol" w:hAnsi="Symbol" w:hint="default"/>
      </w:rPr>
    </w:lvl>
    <w:lvl w:ilvl="4" w:tplc="E7BA4BB6" w:tentative="1">
      <w:start w:val="1"/>
      <w:numFmt w:val="bullet"/>
      <w:lvlText w:val="o"/>
      <w:lvlJc w:val="left"/>
      <w:pPr>
        <w:ind w:left="3957" w:hanging="360"/>
      </w:pPr>
      <w:rPr>
        <w:rFonts w:ascii="Courier New" w:hAnsi="Courier New" w:cs="MS Mincho" w:hint="default"/>
      </w:rPr>
    </w:lvl>
    <w:lvl w:ilvl="5" w:tplc="2C0A001B" w:tentative="1">
      <w:start w:val="1"/>
      <w:numFmt w:val="bullet"/>
      <w:lvlText w:val=""/>
      <w:lvlJc w:val="left"/>
      <w:pPr>
        <w:ind w:left="4677" w:hanging="360"/>
      </w:pPr>
      <w:rPr>
        <w:rFonts w:ascii="Wingdings" w:hAnsi="Wingdings" w:hint="default"/>
      </w:rPr>
    </w:lvl>
    <w:lvl w:ilvl="6" w:tplc="2C0A000F" w:tentative="1">
      <w:start w:val="1"/>
      <w:numFmt w:val="bullet"/>
      <w:lvlText w:val=""/>
      <w:lvlJc w:val="left"/>
      <w:pPr>
        <w:ind w:left="5397" w:hanging="360"/>
      </w:pPr>
      <w:rPr>
        <w:rFonts w:ascii="Symbol" w:hAnsi="Symbol" w:hint="default"/>
      </w:rPr>
    </w:lvl>
    <w:lvl w:ilvl="7" w:tplc="2C0A0019" w:tentative="1">
      <w:start w:val="1"/>
      <w:numFmt w:val="bullet"/>
      <w:lvlText w:val="o"/>
      <w:lvlJc w:val="left"/>
      <w:pPr>
        <w:ind w:left="6117" w:hanging="360"/>
      </w:pPr>
      <w:rPr>
        <w:rFonts w:ascii="Courier New" w:hAnsi="Courier New" w:cs="MS Mincho" w:hint="default"/>
      </w:rPr>
    </w:lvl>
    <w:lvl w:ilvl="8" w:tplc="2C0A001B" w:tentative="1">
      <w:start w:val="1"/>
      <w:numFmt w:val="bullet"/>
      <w:lvlText w:val=""/>
      <w:lvlJc w:val="left"/>
      <w:pPr>
        <w:ind w:left="6837" w:hanging="360"/>
      </w:pPr>
      <w:rPr>
        <w:rFonts w:ascii="Wingdings" w:hAnsi="Wingdings" w:hint="default"/>
      </w:rPr>
    </w:lvl>
  </w:abstractNum>
  <w:abstractNum w:abstractNumId="4">
    <w:nsid w:val="257D75E8"/>
    <w:multiLevelType w:val="hybridMultilevel"/>
    <w:tmpl w:val="45BE062C"/>
    <w:lvl w:ilvl="0" w:tplc="246A4DB8">
      <w:start w:val="1"/>
      <w:numFmt w:val="upperLetter"/>
      <w:lvlText w:val="%1."/>
      <w:lvlJc w:val="left"/>
      <w:pPr>
        <w:ind w:left="720" w:hanging="360"/>
      </w:pPr>
      <w:rPr>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4F0621"/>
    <w:multiLevelType w:val="hybridMultilevel"/>
    <w:tmpl w:val="C3DAFA46"/>
    <w:lvl w:ilvl="0" w:tplc="F5487994">
      <w:start w:val="1"/>
      <w:numFmt w:val="upperLetter"/>
      <w:pStyle w:val="Heading2"/>
      <w:lvlText w:val="%1."/>
      <w:lvlJc w:val="left"/>
      <w:pPr>
        <w:ind w:left="72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EA82306"/>
    <w:multiLevelType w:val="hybridMultilevel"/>
    <w:tmpl w:val="8A0A01E8"/>
    <w:lvl w:ilvl="0" w:tplc="CBACF920">
      <w:start w:val="1"/>
      <w:numFmt w:val="upperLetter"/>
      <w:lvlText w:val="%1."/>
      <w:lvlJc w:val="left"/>
      <w:pPr>
        <w:ind w:left="25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A25665F"/>
    <w:multiLevelType w:val="hybridMultilevel"/>
    <w:tmpl w:val="0D364172"/>
    <w:lvl w:ilvl="0" w:tplc="0C30C974">
      <w:start w:val="3"/>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F9B713D"/>
    <w:multiLevelType w:val="hybridMultilevel"/>
    <w:tmpl w:val="7EB800F4"/>
    <w:lvl w:ilvl="0" w:tplc="996A088A">
      <w:start w:val="1"/>
      <w:numFmt w:val="decimal"/>
      <w:lvlText w:val="%1."/>
      <w:lvlJc w:val="left"/>
      <w:pPr>
        <w:ind w:left="720" w:hanging="720"/>
      </w:pPr>
      <w:rPr>
        <w:rFonts w:ascii="Verdana" w:hAnsi="Verdana" w:cs="Times New Roman" w:hint="default"/>
        <w:b w:val="0"/>
        <w:i w:val="0"/>
        <w:strike w:val="0"/>
        <w:color w:val="auto"/>
        <w:sz w:val="20"/>
        <w:szCs w:val="20"/>
      </w:rPr>
    </w:lvl>
    <w:lvl w:ilvl="1" w:tplc="2C0A0019">
      <w:start w:val="1"/>
      <w:numFmt w:val="lowerLetter"/>
      <w:lvlText w:val="%2."/>
      <w:lvlJc w:val="left"/>
      <w:pPr>
        <w:ind w:left="1080" w:hanging="360"/>
      </w:pPr>
      <w:rPr>
        <w:rFonts w:cs="Times New Roman" w:hint="default"/>
      </w:rPr>
    </w:lvl>
    <w:lvl w:ilvl="2" w:tplc="4202A1AC">
      <w:start w:val="1"/>
      <w:numFmt w:val="lowerRoman"/>
      <w:lvlText w:val="%3."/>
      <w:lvlJc w:val="right"/>
      <w:pPr>
        <w:ind w:left="1800" w:hanging="180"/>
      </w:pPr>
      <w:rPr>
        <w:rFonts w:cs="Times New Roman"/>
      </w:rPr>
    </w:lvl>
    <w:lvl w:ilvl="3" w:tplc="CBACF920">
      <w:start w:val="1"/>
      <w:numFmt w:val="upperLetter"/>
      <w:lvlText w:val="%4."/>
      <w:lvlJc w:val="left"/>
      <w:pPr>
        <w:ind w:left="2520" w:hanging="360"/>
      </w:pPr>
      <w:rPr>
        <w:rFonts w:hint="default"/>
        <w:b/>
        <w:i/>
      </w:rPr>
    </w:lvl>
    <w:lvl w:ilvl="4" w:tplc="E7BA4BB6">
      <w:start w:val="1"/>
      <w:numFmt w:val="lowerLetter"/>
      <w:lvlText w:val="%5)"/>
      <w:lvlJc w:val="left"/>
      <w:pPr>
        <w:ind w:left="3240" w:hanging="360"/>
      </w:pPr>
      <w:rPr>
        <w:rFonts w:hint="default"/>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9">
    <w:nsid w:val="4B8028DA"/>
    <w:multiLevelType w:val="hybridMultilevel"/>
    <w:tmpl w:val="4EDCD158"/>
    <w:lvl w:ilvl="0" w:tplc="FF062386">
      <w:start w:val="1"/>
      <w:numFmt w:val="upperRoman"/>
      <w:lvlText w:val="%1."/>
      <w:lvlJc w:val="left"/>
      <w:pPr>
        <w:ind w:left="1080" w:hanging="720"/>
      </w:pPr>
      <w:rPr>
        <w:rFonts w:cs="Tahom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7C9712D"/>
    <w:multiLevelType w:val="hybridMultilevel"/>
    <w:tmpl w:val="E6B2D1E6"/>
    <w:lvl w:ilvl="0" w:tplc="E10AD118">
      <w:start w:val="1"/>
      <w:numFmt w:val="decimal"/>
      <w:lvlText w:val="%1."/>
      <w:lvlJc w:val="left"/>
      <w:pPr>
        <w:ind w:left="1065" w:hanging="705"/>
      </w:pPr>
      <w:rPr>
        <w:b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nsid w:val="69B101FB"/>
    <w:multiLevelType w:val="hybridMultilevel"/>
    <w:tmpl w:val="AD16C2DC"/>
    <w:lvl w:ilvl="0" w:tplc="C4F44876">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decimal"/>
      <w:pStyle w:val="PrrafodeSentencia"/>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85B8E"/>
    <w:multiLevelType w:val="hybridMultilevel"/>
    <w:tmpl w:val="6674EC9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756B6261"/>
    <w:multiLevelType w:val="hybridMultilevel"/>
    <w:tmpl w:val="03AC523C"/>
    <w:lvl w:ilvl="0" w:tplc="E6805944">
      <w:start w:val="1"/>
      <w:numFmt w:val="decimal"/>
      <w:lvlText w:val="%1."/>
      <w:lvlJc w:val="left"/>
      <w:pPr>
        <w:ind w:left="720" w:hanging="360"/>
      </w:pPr>
      <w:rPr>
        <w:rFonts w:eastAsia="Batang" w:cs="Verdana"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5981C09"/>
    <w:multiLevelType w:val="hybridMultilevel"/>
    <w:tmpl w:val="D758E48A"/>
    <w:lvl w:ilvl="0" w:tplc="3162009A">
      <w:start w:val="1"/>
      <w:numFmt w:val="decimal"/>
      <w:lvlText w:val="%1."/>
      <w:lvlJc w:val="left"/>
      <w:pPr>
        <w:ind w:left="360" w:hanging="360"/>
      </w:pPr>
      <w:rPr>
        <w:rFonts w:eastAsia="Batang" w:cs="Verdana" w:hint="default"/>
        <w:b w:val="0"/>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6753A80"/>
    <w:multiLevelType w:val="hybridMultilevel"/>
    <w:tmpl w:val="B9B8489E"/>
    <w:lvl w:ilvl="0" w:tplc="5126705A">
      <w:start w:val="1"/>
      <w:numFmt w:val="decimal"/>
      <w:pStyle w:val="PrrafodeSentencia0"/>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6">
    <w:nsid w:val="7CA0534C"/>
    <w:multiLevelType w:val="hybridMultilevel"/>
    <w:tmpl w:val="B3D2F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E64D32"/>
    <w:multiLevelType w:val="hybridMultilevel"/>
    <w:tmpl w:val="9F8AF72C"/>
    <w:lvl w:ilvl="0" w:tplc="96061334">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14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140A001B">
      <w:start w:val="1"/>
      <w:numFmt w:val="lowerRoman"/>
      <w:pStyle w:val="Estilo7"/>
      <w:lvlText w:val="%3."/>
      <w:lvlJc w:val="right"/>
      <w:pPr>
        <w:tabs>
          <w:tab w:val="num" w:pos="2160"/>
        </w:tabs>
        <w:ind w:left="2160" w:hanging="18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lowerLetter"/>
      <w:lvlText w:val="%5."/>
      <w:lvlJc w:val="left"/>
      <w:pPr>
        <w:tabs>
          <w:tab w:val="num" w:pos="3600"/>
        </w:tabs>
        <w:ind w:left="3600" w:hanging="360"/>
      </w:pPr>
      <w:rPr>
        <w:rFonts w:cs="Times New Roman"/>
      </w:rPr>
    </w:lvl>
    <w:lvl w:ilvl="5" w:tplc="140A001B">
      <w:start w:val="1"/>
      <w:numFmt w:val="lowerRoman"/>
      <w:lvlText w:val="%6."/>
      <w:lvlJc w:val="right"/>
      <w:pPr>
        <w:tabs>
          <w:tab w:val="num" w:pos="4320"/>
        </w:tabs>
        <w:ind w:left="4320" w:hanging="18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lowerLetter"/>
      <w:lvlText w:val="%8."/>
      <w:lvlJc w:val="left"/>
      <w:pPr>
        <w:tabs>
          <w:tab w:val="num" w:pos="5760"/>
        </w:tabs>
        <w:ind w:left="5760" w:hanging="360"/>
      </w:pPr>
      <w:rPr>
        <w:rFonts w:cs="Times New Roman"/>
      </w:rPr>
    </w:lvl>
    <w:lvl w:ilvl="8" w:tplc="140A001B">
      <w:start w:val="1"/>
      <w:numFmt w:val="lowerRoman"/>
      <w:lvlText w:val="%9."/>
      <w:lvlJc w:val="right"/>
      <w:pPr>
        <w:tabs>
          <w:tab w:val="num" w:pos="6480"/>
        </w:tabs>
        <w:ind w:left="6480" w:hanging="180"/>
      </w:pPr>
      <w:rPr>
        <w:rFonts w:cs="Times New Roman"/>
      </w:rPr>
    </w:lvl>
  </w:abstractNum>
  <w:num w:numId="1">
    <w:abstractNumId w:val="8"/>
  </w:num>
  <w:num w:numId="2">
    <w:abstractNumId w:val="15"/>
  </w:num>
  <w:num w:numId="3">
    <w:abstractNumId w:val="3"/>
  </w:num>
  <w:num w:numId="4">
    <w:abstractNumId w:val="17"/>
  </w:num>
  <w:num w:numId="5">
    <w:abstractNumId w:val="5"/>
  </w:num>
  <w:num w:numId="6">
    <w:abstractNumId w:val="11"/>
  </w:num>
  <w:num w:numId="7">
    <w:abstractNumId w:val="2"/>
  </w:num>
  <w:num w:numId="8">
    <w:abstractNumId w:val="1"/>
  </w:num>
  <w:num w:numId="9">
    <w:abstractNumId w:val="12"/>
  </w:num>
  <w:num w:numId="10">
    <w:abstractNumId w:val="6"/>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7"/>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0"/>
  </w:num>
  <w:num w:numId="22">
    <w:abstractNumId w:val="4"/>
  </w:num>
  <w:num w:numId="23">
    <w:abstractNumId w:val="16"/>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1"/>
  <w:activeWritingStyle w:appName="MSWord" w:lang="es-EC"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PA" w:vendorID="64" w:dllVersion="131078" w:nlCheck="1" w:checkStyle="1"/>
  <w:activeWritingStyle w:appName="MSWord" w:lang="es-GT" w:vendorID="64" w:dllVersion="131078" w:nlCheck="1" w:checkStyle="1"/>
  <w:activeWritingStyle w:appName="MSWord" w:lang="es-CO" w:vendorID="64" w:dllVersion="131078" w:nlCheck="1" w:checkStyle="1"/>
  <w:activeWritingStyle w:appName="MSWord" w:lang="es-CL" w:vendorID="64" w:dllVersion="131078" w:nlCheck="1" w:checkStyle="1"/>
  <w:activeWritingStyle w:appName="MSWord" w:lang="es-CR" w:vendorID="64" w:dllVersion="131078" w:nlCheck="1" w:checkStyle="1"/>
  <w:activeWritingStyle w:appName="MSWord" w:lang="es-AR" w:vendorID="64" w:dllVersion="131078" w:nlCheck="1" w:checkStyle="1"/>
  <w:activeWritingStyle w:appName="MSWord" w:lang="es-PR" w:vendorID="64" w:dllVersion="131078" w:nlCheck="1" w:checkStyle="1"/>
  <w:activeWritingStyle w:appName="MSWord" w:lang="es-VE" w:vendorID="64" w:dllVersion="131078" w:nlCheck="1" w:checkStyle="1"/>
  <w:activeWritingStyle w:appName="MSWord" w:lang="fr-FR"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48"/>
    <w:rsid w:val="0000157F"/>
    <w:rsid w:val="0000676C"/>
    <w:rsid w:val="0001175E"/>
    <w:rsid w:val="00013AD6"/>
    <w:rsid w:val="00013C61"/>
    <w:rsid w:val="00027BF2"/>
    <w:rsid w:val="00032D02"/>
    <w:rsid w:val="00045723"/>
    <w:rsid w:val="00055BA1"/>
    <w:rsid w:val="00061D97"/>
    <w:rsid w:val="0008039D"/>
    <w:rsid w:val="00094AFC"/>
    <w:rsid w:val="00094D98"/>
    <w:rsid w:val="00094EEB"/>
    <w:rsid w:val="000A2FF7"/>
    <w:rsid w:val="000A3743"/>
    <w:rsid w:val="000A3972"/>
    <w:rsid w:val="000A6AA0"/>
    <w:rsid w:val="000A7481"/>
    <w:rsid w:val="000B05D1"/>
    <w:rsid w:val="000B1C4D"/>
    <w:rsid w:val="000B73F3"/>
    <w:rsid w:val="000B7B44"/>
    <w:rsid w:val="000C17DE"/>
    <w:rsid w:val="000D3512"/>
    <w:rsid w:val="000D4F3B"/>
    <w:rsid w:val="000D7005"/>
    <w:rsid w:val="000D725D"/>
    <w:rsid w:val="000E44BE"/>
    <w:rsid w:val="000E680E"/>
    <w:rsid w:val="000F4E87"/>
    <w:rsid w:val="00100FB8"/>
    <w:rsid w:val="0012289A"/>
    <w:rsid w:val="001244A7"/>
    <w:rsid w:val="00130E4E"/>
    <w:rsid w:val="00141719"/>
    <w:rsid w:val="0014200D"/>
    <w:rsid w:val="00153E30"/>
    <w:rsid w:val="00172520"/>
    <w:rsid w:val="001845F3"/>
    <w:rsid w:val="0019639F"/>
    <w:rsid w:val="001D2AFC"/>
    <w:rsid w:val="00200086"/>
    <w:rsid w:val="00200285"/>
    <w:rsid w:val="0021715E"/>
    <w:rsid w:val="00220BD4"/>
    <w:rsid w:val="00222DBD"/>
    <w:rsid w:val="00225080"/>
    <w:rsid w:val="00226E2D"/>
    <w:rsid w:val="00232D55"/>
    <w:rsid w:val="00233BF4"/>
    <w:rsid w:val="00244BD7"/>
    <w:rsid w:val="00254BFB"/>
    <w:rsid w:val="002651BA"/>
    <w:rsid w:val="00265C94"/>
    <w:rsid w:val="00266D72"/>
    <w:rsid w:val="0027086A"/>
    <w:rsid w:val="00272244"/>
    <w:rsid w:val="0028078A"/>
    <w:rsid w:val="00283277"/>
    <w:rsid w:val="00297115"/>
    <w:rsid w:val="002A7D3A"/>
    <w:rsid w:val="002B1A6B"/>
    <w:rsid w:val="002B755D"/>
    <w:rsid w:val="002C2A4A"/>
    <w:rsid w:val="002D21AB"/>
    <w:rsid w:val="002D4B40"/>
    <w:rsid w:val="002E1C85"/>
    <w:rsid w:val="003005F8"/>
    <w:rsid w:val="0030470B"/>
    <w:rsid w:val="00311DDC"/>
    <w:rsid w:val="00314726"/>
    <w:rsid w:val="00324CD3"/>
    <w:rsid w:val="00326962"/>
    <w:rsid w:val="00331181"/>
    <w:rsid w:val="003318D8"/>
    <w:rsid w:val="00334D29"/>
    <w:rsid w:val="003458F1"/>
    <w:rsid w:val="00362CB3"/>
    <w:rsid w:val="0036418C"/>
    <w:rsid w:val="00367BBB"/>
    <w:rsid w:val="003769C9"/>
    <w:rsid w:val="00377D5D"/>
    <w:rsid w:val="00381E00"/>
    <w:rsid w:val="003862B4"/>
    <w:rsid w:val="0039289F"/>
    <w:rsid w:val="003A2686"/>
    <w:rsid w:val="003A5AE7"/>
    <w:rsid w:val="003B1830"/>
    <w:rsid w:val="003B7123"/>
    <w:rsid w:val="003C37D8"/>
    <w:rsid w:val="003C7A69"/>
    <w:rsid w:val="003C7C67"/>
    <w:rsid w:val="003D14E0"/>
    <w:rsid w:val="003D7E1C"/>
    <w:rsid w:val="003E578C"/>
    <w:rsid w:val="003E6F38"/>
    <w:rsid w:val="003F1A82"/>
    <w:rsid w:val="00400E73"/>
    <w:rsid w:val="00402D83"/>
    <w:rsid w:val="00403D72"/>
    <w:rsid w:val="0040799B"/>
    <w:rsid w:val="00414C66"/>
    <w:rsid w:val="00415E99"/>
    <w:rsid w:val="00415FB4"/>
    <w:rsid w:val="00416DE9"/>
    <w:rsid w:val="004200EB"/>
    <w:rsid w:val="00421339"/>
    <w:rsid w:val="00423267"/>
    <w:rsid w:val="00427BFB"/>
    <w:rsid w:val="00431B34"/>
    <w:rsid w:val="00433F02"/>
    <w:rsid w:val="00435377"/>
    <w:rsid w:val="00436DBD"/>
    <w:rsid w:val="00442077"/>
    <w:rsid w:val="00446D48"/>
    <w:rsid w:val="00447A19"/>
    <w:rsid w:val="00457BCD"/>
    <w:rsid w:val="00461D9E"/>
    <w:rsid w:val="004703F2"/>
    <w:rsid w:val="00475DB4"/>
    <w:rsid w:val="00476A84"/>
    <w:rsid w:val="0048261C"/>
    <w:rsid w:val="004C04B9"/>
    <w:rsid w:val="004C5533"/>
    <w:rsid w:val="004D17C8"/>
    <w:rsid w:val="004E264A"/>
    <w:rsid w:val="004E2B74"/>
    <w:rsid w:val="004E362A"/>
    <w:rsid w:val="004E3F7A"/>
    <w:rsid w:val="004E4BFF"/>
    <w:rsid w:val="004E6E26"/>
    <w:rsid w:val="004F322D"/>
    <w:rsid w:val="005203B9"/>
    <w:rsid w:val="00541E1F"/>
    <w:rsid w:val="00545723"/>
    <w:rsid w:val="005545C6"/>
    <w:rsid w:val="005627A2"/>
    <w:rsid w:val="005643BE"/>
    <w:rsid w:val="0057170A"/>
    <w:rsid w:val="005761FF"/>
    <w:rsid w:val="0057762D"/>
    <w:rsid w:val="00580D64"/>
    <w:rsid w:val="00584E4A"/>
    <w:rsid w:val="00593935"/>
    <w:rsid w:val="005A0FC8"/>
    <w:rsid w:val="005B18A2"/>
    <w:rsid w:val="005C06F4"/>
    <w:rsid w:val="005D3C5C"/>
    <w:rsid w:val="005D40E4"/>
    <w:rsid w:val="005E4733"/>
    <w:rsid w:val="005E63DD"/>
    <w:rsid w:val="005F3C7B"/>
    <w:rsid w:val="005F50D1"/>
    <w:rsid w:val="005F5E76"/>
    <w:rsid w:val="0062589B"/>
    <w:rsid w:val="00635CE3"/>
    <w:rsid w:val="00644E75"/>
    <w:rsid w:val="00645768"/>
    <w:rsid w:val="00647C67"/>
    <w:rsid w:val="00650522"/>
    <w:rsid w:val="00655407"/>
    <w:rsid w:val="0065559C"/>
    <w:rsid w:val="00657756"/>
    <w:rsid w:val="00661161"/>
    <w:rsid w:val="006630D6"/>
    <w:rsid w:val="00670307"/>
    <w:rsid w:val="00670A2C"/>
    <w:rsid w:val="00672D9D"/>
    <w:rsid w:val="00682F2C"/>
    <w:rsid w:val="00687220"/>
    <w:rsid w:val="00694974"/>
    <w:rsid w:val="006B0B1E"/>
    <w:rsid w:val="006D677C"/>
    <w:rsid w:val="006D77EE"/>
    <w:rsid w:val="006E010B"/>
    <w:rsid w:val="006E16A3"/>
    <w:rsid w:val="006E5167"/>
    <w:rsid w:val="006F41A4"/>
    <w:rsid w:val="00701509"/>
    <w:rsid w:val="00715468"/>
    <w:rsid w:val="0071587C"/>
    <w:rsid w:val="00720E1D"/>
    <w:rsid w:val="00725B22"/>
    <w:rsid w:val="007266DE"/>
    <w:rsid w:val="00735AAD"/>
    <w:rsid w:val="00736790"/>
    <w:rsid w:val="00736A73"/>
    <w:rsid w:val="00741E06"/>
    <w:rsid w:val="0075172D"/>
    <w:rsid w:val="00757468"/>
    <w:rsid w:val="00763B24"/>
    <w:rsid w:val="00771B41"/>
    <w:rsid w:val="0078170C"/>
    <w:rsid w:val="00781C53"/>
    <w:rsid w:val="00791234"/>
    <w:rsid w:val="007B1CF4"/>
    <w:rsid w:val="007B6FA8"/>
    <w:rsid w:val="007C0538"/>
    <w:rsid w:val="007C6662"/>
    <w:rsid w:val="007C681B"/>
    <w:rsid w:val="007C6E8C"/>
    <w:rsid w:val="007D6C13"/>
    <w:rsid w:val="007D7A08"/>
    <w:rsid w:val="007E5A41"/>
    <w:rsid w:val="007E75E1"/>
    <w:rsid w:val="007F0DE7"/>
    <w:rsid w:val="007F248C"/>
    <w:rsid w:val="00805165"/>
    <w:rsid w:val="00812E8E"/>
    <w:rsid w:val="00812F7A"/>
    <w:rsid w:val="00817161"/>
    <w:rsid w:val="0081750D"/>
    <w:rsid w:val="008202A5"/>
    <w:rsid w:val="00820784"/>
    <w:rsid w:val="00822BBC"/>
    <w:rsid w:val="00827C38"/>
    <w:rsid w:val="00830B92"/>
    <w:rsid w:val="00832BFC"/>
    <w:rsid w:val="008367E4"/>
    <w:rsid w:val="00845415"/>
    <w:rsid w:val="00847A53"/>
    <w:rsid w:val="00850B9A"/>
    <w:rsid w:val="008569CC"/>
    <w:rsid w:val="00857D5F"/>
    <w:rsid w:val="00857FBA"/>
    <w:rsid w:val="00863E24"/>
    <w:rsid w:val="008661ED"/>
    <w:rsid w:val="0086660F"/>
    <w:rsid w:val="00876254"/>
    <w:rsid w:val="008815D3"/>
    <w:rsid w:val="00882F84"/>
    <w:rsid w:val="008859F6"/>
    <w:rsid w:val="00890F55"/>
    <w:rsid w:val="00895B6B"/>
    <w:rsid w:val="008B3E01"/>
    <w:rsid w:val="008B485D"/>
    <w:rsid w:val="008B4A2B"/>
    <w:rsid w:val="008C051F"/>
    <w:rsid w:val="008C55F5"/>
    <w:rsid w:val="008C5CD5"/>
    <w:rsid w:val="008D7159"/>
    <w:rsid w:val="008E0159"/>
    <w:rsid w:val="008E1FED"/>
    <w:rsid w:val="008E548B"/>
    <w:rsid w:val="008E71C0"/>
    <w:rsid w:val="008E7978"/>
    <w:rsid w:val="008F2B34"/>
    <w:rsid w:val="00900CBC"/>
    <w:rsid w:val="009047CF"/>
    <w:rsid w:val="009127DF"/>
    <w:rsid w:val="00920A75"/>
    <w:rsid w:val="009310E4"/>
    <w:rsid w:val="00935FDA"/>
    <w:rsid w:val="009370FF"/>
    <w:rsid w:val="00940A09"/>
    <w:rsid w:val="009419BD"/>
    <w:rsid w:val="0095012D"/>
    <w:rsid w:val="009530F3"/>
    <w:rsid w:val="00953AFF"/>
    <w:rsid w:val="009562AC"/>
    <w:rsid w:val="00956B53"/>
    <w:rsid w:val="00957DE6"/>
    <w:rsid w:val="009623A8"/>
    <w:rsid w:val="00963B3D"/>
    <w:rsid w:val="00963C4E"/>
    <w:rsid w:val="00964662"/>
    <w:rsid w:val="00974CEF"/>
    <w:rsid w:val="00975C34"/>
    <w:rsid w:val="00983D88"/>
    <w:rsid w:val="00995924"/>
    <w:rsid w:val="009A2D24"/>
    <w:rsid w:val="009B3B75"/>
    <w:rsid w:val="009C3E0F"/>
    <w:rsid w:val="009C6C08"/>
    <w:rsid w:val="009C78CB"/>
    <w:rsid w:val="009D0314"/>
    <w:rsid w:val="009E14DF"/>
    <w:rsid w:val="009E2489"/>
    <w:rsid w:val="009E408F"/>
    <w:rsid w:val="009E5325"/>
    <w:rsid w:val="00A051D4"/>
    <w:rsid w:val="00A10F17"/>
    <w:rsid w:val="00A11D15"/>
    <w:rsid w:val="00A16514"/>
    <w:rsid w:val="00A22229"/>
    <w:rsid w:val="00A2357B"/>
    <w:rsid w:val="00A24CBC"/>
    <w:rsid w:val="00A274F7"/>
    <w:rsid w:val="00A32DEE"/>
    <w:rsid w:val="00A351FB"/>
    <w:rsid w:val="00A3655D"/>
    <w:rsid w:val="00A42CFF"/>
    <w:rsid w:val="00A441CD"/>
    <w:rsid w:val="00A45B23"/>
    <w:rsid w:val="00A5094D"/>
    <w:rsid w:val="00A51001"/>
    <w:rsid w:val="00A52855"/>
    <w:rsid w:val="00A74DAA"/>
    <w:rsid w:val="00A76A1D"/>
    <w:rsid w:val="00A83FBB"/>
    <w:rsid w:val="00A87DA9"/>
    <w:rsid w:val="00A95820"/>
    <w:rsid w:val="00AA55A3"/>
    <w:rsid w:val="00AA7B44"/>
    <w:rsid w:val="00AB015E"/>
    <w:rsid w:val="00AB1EE2"/>
    <w:rsid w:val="00AB76F1"/>
    <w:rsid w:val="00AC056B"/>
    <w:rsid w:val="00AC4484"/>
    <w:rsid w:val="00AC4A82"/>
    <w:rsid w:val="00AC4D2F"/>
    <w:rsid w:val="00AC5E07"/>
    <w:rsid w:val="00AD1FCE"/>
    <w:rsid w:val="00AE12C3"/>
    <w:rsid w:val="00AE60B5"/>
    <w:rsid w:val="00AE7F3E"/>
    <w:rsid w:val="00B01902"/>
    <w:rsid w:val="00B04B64"/>
    <w:rsid w:val="00B160DF"/>
    <w:rsid w:val="00B21199"/>
    <w:rsid w:val="00B21F61"/>
    <w:rsid w:val="00B24589"/>
    <w:rsid w:val="00B256E6"/>
    <w:rsid w:val="00B3633C"/>
    <w:rsid w:val="00B6223A"/>
    <w:rsid w:val="00B66C5B"/>
    <w:rsid w:val="00B70E76"/>
    <w:rsid w:val="00B8640F"/>
    <w:rsid w:val="00B91A45"/>
    <w:rsid w:val="00B925FC"/>
    <w:rsid w:val="00BA269D"/>
    <w:rsid w:val="00BB04C8"/>
    <w:rsid w:val="00BC56FA"/>
    <w:rsid w:val="00BC6D5F"/>
    <w:rsid w:val="00BD39DD"/>
    <w:rsid w:val="00BE2A09"/>
    <w:rsid w:val="00BF5407"/>
    <w:rsid w:val="00C1576D"/>
    <w:rsid w:val="00C17A5F"/>
    <w:rsid w:val="00C20E8D"/>
    <w:rsid w:val="00C221EA"/>
    <w:rsid w:val="00C229DC"/>
    <w:rsid w:val="00C22C5A"/>
    <w:rsid w:val="00C2323C"/>
    <w:rsid w:val="00C234DC"/>
    <w:rsid w:val="00C30536"/>
    <w:rsid w:val="00C428F4"/>
    <w:rsid w:val="00C560EC"/>
    <w:rsid w:val="00C62A41"/>
    <w:rsid w:val="00C65434"/>
    <w:rsid w:val="00C6773E"/>
    <w:rsid w:val="00C70407"/>
    <w:rsid w:val="00C707F4"/>
    <w:rsid w:val="00C74F63"/>
    <w:rsid w:val="00C80D09"/>
    <w:rsid w:val="00C81593"/>
    <w:rsid w:val="00C84394"/>
    <w:rsid w:val="00C85E9C"/>
    <w:rsid w:val="00C938AE"/>
    <w:rsid w:val="00C97D92"/>
    <w:rsid w:val="00CA16B1"/>
    <w:rsid w:val="00CA377D"/>
    <w:rsid w:val="00CA5111"/>
    <w:rsid w:val="00CC0000"/>
    <w:rsid w:val="00CC1171"/>
    <w:rsid w:val="00CC586A"/>
    <w:rsid w:val="00CE1114"/>
    <w:rsid w:val="00CE3AAE"/>
    <w:rsid w:val="00CF0EFF"/>
    <w:rsid w:val="00CF5675"/>
    <w:rsid w:val="00D012E4"/>
    <w:rsid w:val="00D01FEC"/>
    <w:rsid w:val="00D02A3B"/>
    <w:rsid w:val="00D05128"/>
    <w:rsid w:val="00D05162"/>
    <w:rsid w:val="00D10A0B"/>
    <w:rsid w:val="00D10FE8"/>
    <w:rsid w:val="00D15640"/>
    <w:rsid w:val="00D37269"/>
    <w:rsid w:val="00D41A6A"/>
    <w:rsid w:val="00D437F5"/>
    <w:rsid w:val="00D50732"/>
    <w:rsid w:val="00D50FC3"/>
    <w:rsid w:val="00D62335"/>
    <w:rsid w:val="00D6511C"/>
    <w:rsid w:val="00D70BE5"/>
    <w:rsid w:val="00D71745"/>
    <w:rsid w:val="00D72B1C"/>
    <w:rsid w:val="00D7495A"/>
    <w:rsid w:val="00D761D6"/>
    <w:rsid w:val="00D818EA"/>
    <w:rsid w:val="00D836C5"/>
    <w:rsid w:val="00D83AD1"/>
    <w:rsid w:val="00D84502"/>
    <w:rsid w:val="00D86EC6"/>
    <w:rsid w:val="00D93654"/>
    <w:rsid w:val="00DA2012"/>
    <w:rsid w:val="00DA507D"/>
    <w:rsid w:val="00DA5C86"/>
    <w:rsid w:val="00DA6AFA"/>
    <w:rsid w:val="00DB05FB"/>
    <w:rsid w:val="00DB34F2"/>
    <w:rsid w:val="00DB3F05"/>
    <w:rsid w:val="00DC4D22"/>
    <w:rsid w:val="00DC589E"/>
    <w:rsid w:val="00DC5DE5"/>
    <w:rsid w:val="00DC5DF3"/>
    <w:rsid w:val="00DC7CA2"/>
    <w:rsid w:val="00DD0BBE"/>
    <w:rsid w:val="00DD0F90"/>
    <w:rsid w:val="00DD2887"/>
    <w:rsid w:val="00DD727F"/>
    <w:rsid w:val="00DE66C4"/>
    <w:rsid w:val="00DF1F35"/>
    <w:rsid w:val="00DF4E58"/>
    <w:rsid w:val="00E0112B"/>
    <w:rsid w:val="00E10234"/>
    <w:rsid w:val="00E24FC5"/>
    <w:rsid w:val="00E3196D"/>
    <w:rsid w:val="00E31A98"/>
    <w:rsid w:val="00E3331A"/>
    <w:rsid w:val="00E511DB"/>
    <w:rsid w:val="00E639E3"/>
    <w:rsid w:val="00E65232"/>
    <w:rsid w:val="00E66330"/>
    <w:rsid w:val="00E66449"/>
    <w:rsid w:val="00E80643"/>
    <w:rsid w:val="00E90BED"/>
    <w:rsid w:val="00EA1974"/>
    <w:rsid w:val="00EA22D3"/>
    <w:rsid w:val="00EB07DC"/>
    <w:rsid w:val="00EB33F5"/>
    <w:rsid w:val="00EB4890"/>
    <w:rsid w:val="00EB66E2"/>
    <w:rsid w:val="00EC0D0C"/>
    <w:rsid w:val="00EC6903"/>
    <w:rsid w:val="00ED6833"/>
    <w:rsid w:val="00EE4E3C"/>
    <w:rsid w:val="00EF617E"/>
    <w:rsid w:val="00F060D0"/>
    <w:rsid w:val="00F06720"/>
    <w:rsid w:val="00F15344"/>
    <w:rsid w:val="00F207B5"/>
    <w:rsid w:val="00F244C3"/>
    <w:rsid w:val="00F250E4"/>
    <w:rsid w:val="00F33507"/>
    <w:rsid w:val="00F440F2"/>
    <w:rsid w:val="00F4507B"/>
    <w:rsid w:val="00F50991"/>
    <w:rsid w:val="00F52A2E"/>
    <w:rsid w:val="00F5671A"/>
    <w:rsid w:val="00F63BF4"/>
    <w:rsid w:val="00F651C2"/>
    <w:rsid w:val="00F67905"/>
    <w:rsid w:val="00F709A2"/>
    <w:rsid w:val="00F7381E"/>
    <w:rsid w:val="00F85E9D"/>
    <w:rsid w:val="00F87375"/>
    <w:rsid w:val="00F87593"/>
    <w:rsid w:val="00F9528F"/>
    <w:rsid w:val="00FA268A"/>
    <w:rsid w:val="00FA3D77"/>
    <w:rsid w:val="00FD004D"/>
    <w:rsid w:val="00FD3872"/>
    <w:rsid w:val="00FE5900"/>
    <w:rsid w:val="00FE6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6D48"/>
    <w:pPr>
      <w:jc w:val="both"/>
    </w:pPr>
    <w:rPr>
      <w:rFonts w:ascii="Verdana" w:eastAsia="Batang" w:hAnsi="Verdana" w:cs="Times"/>
      <w:szCs w:val="24"/>
      <w:lang w:val="es-ES"/>
    </w:rPr>
  </w:style>
  <w:style w:type="paragraph" w:styleId="Heading1">
    <w:name w:val="heading 1"/>
    <w:basedOn w:val="Normal"/>
    <w:next w:val="Normal"/>
    <w:link w:val="Heading1Char"/>
    <w:uiPriority w:val="9"/>
    <w:qFormat/>
    <w:rsid w:val="00446D48"/>
    <w:pPr>
      <w:keepNext/>
      <w:keepLines/>
      <w:spacing w:before="360" w:after="360"/>
      <w:jc w:val="center"/>
      <w:outlineLvl w:val="0"/>
    </w:pPr>
    <w:rPr>
      <w:rFonts w:eastAsia="Times New Roman" w:cs="Times New Roman"/>
      <w:b/>
      <w:bCs/>
      <w:caps/>
      <w:noProof/>
      <w:snapToGrid w:val="0"/>
      <w:szCs w:val="20"/>
      <w:lang w:val="es-CR" w:eastAsia="es-ES"/>
    </w:rPr>
  </w:style>
  <w:style w:type="paragraph" w:styleId="Heading2">
    <w:name w:val="heading 2"/>
    <w:basedOn w:val="Normal"/>
    <w:next w:val="Normal"/>
    <w:link w:val="Heading2Char"/>
    <w:uiPriority w:val="9"/>
    <w:qFormat/>
    <w:rsid w:val="00446D48"/>
    <w:pPr>
      <w:keepNext/>
      <w:keepLines/>
      <w:numPr>
        <w:numId w:val="5"/>
      </w:numPr>
      <w:spacing w:before="240" w:after="240"/>
      <w:outlineLvl w:val="1"/>
    </w:pPr>
    <w:rPr>
      <w:rFonts w:eastAsia="Times New Roman" w:cs="Times New Roman"/>
      <w:b/>
      <w:bCs/>
      <w:i/>
      <w:noProof/>
      <w:szCs w:val="20"/>
      <w:lang w:val="es-ES_tradnl" w:eastAsia="x-none"/>
    </w:rPr>
  </w:style>
  <w:style w:type="paragraph" w:styleId="Heading3">
    <w:name w:val="heading 3"/>
    <w:basedOn w:val="Normal"/>
    <w:next w:val="Normal"/>
    <w:link w:val="Heading3Char"/>
    <w:uiPriority w:val="9"/>
    <w:qFormat/>
    <w:rsid w:val="00446D48"/>
    <w:pPr>
      <w:keepNext/>
      <w:spacing w:before="240" w:after="240"/>
      <w:ind w:left="1068"/>
      <w:outlineLvl w:val="2"/>
    </w:pPr>
    <w:rPr>
      <w:rFonts w:eastAsia="Times New Roman" w:cs="Times New Roman"/>
      <w:bCs/>
      <w:i/>
      <w:noProof/>
      <w:szCs w:val="20"/>
      <w:lang w:val="es-ES_tradnl" w:eastAsia="x-none"/>
    </w:rPr>
  </w:style>
  <w:style w:type="paragraph" w:styleId="Heading4">
    <w:name w:val="heading 4"/>
    <w:basedOn w:val="Normal"/>
    <w:next w:val="Normal"/>
    <w:link w:val="Heading4Char"/>
    <w:uiPriority w:val="9"/>
    <w:qFormat/>
    <w:rsid w:val="00446D48"/>
    <w:pPr>
      <w:keepNext/>
      <w:keepLines/>
      <w:spacing w:before="240" w:after="240"/>
      <w:ind w:left="1418" w:firstLine="709"/>
      <w:outlineLvl w:val="3"/>
    </w:pPr>
    <w:rPr>
      <w:rFonts w:eastAsia="Times New Roman" w:cs="Times New Roman"/>
      <w:bCs/>
      <w:i/>
      <w:iCs/>
      <w:noProof/>
      <w:lang w:val="es-ES_tradnl" w:eastAsia="x-none"/>
    </w:rPr>
  </w:style>
  <w:style w:type="paragraph" w:styleId="Heading5">
    <w:name w:val="heading 5"/>
    <w:basedOn w:val="Normal"/>
    <w:next w:val="Normal"/>
    <w:link w:val="Heading5Char"/>
    <w:uiPriority w:val="9"/>
    <w:qFormat/>
    <w:rsid w:val="00446D48"/>
    <w:pPr>
      <w:keepNext/>
      <w:keepLines/>
      <w:numPr>
        <w:numId w:val="7"/>
      </w:numPr>
      <w:spacing w:before="240" w:after="240"/>
      <w:outlineLvl w:val="4"/>
    </w:pPr>
    <w:rPr>
      <w:rFonts w:eastAsia="Times New Roman" w:cs="Times New Roman"/>
      <w:i/>
      <w:noProof/>
      <w:lang w:val="es-ES_tradnl" w:eastAsia="x-none"/>
    </w:rPr>
  </w:style>
  <w:style w:type="paragraph" w:styleId="Heading7">
    <w:name w:val="heading 7"/>
    <w:basedOn w:val="Normal"/>
    <w:next w:val="Normal"/>
    <w:link w:val="Heading7Char"/>
    <w:uiPriority w:val="9"/>
    <w:qFormat/>
    <w:rsid w:val="00446D48"/>
    <w:pPr>
      <w:keepNext/>
      <w:keepLines/>
      <w:spacing w:before="200"/>
      <w:outlineLvl w:val="6"/>
    </w:pPr>
    <w:rPr>
      <w:rFonts w:ascii="Cambria" w:eastAsia="Times New Roman" w:hAnsi="Cambria" w:cs="Times New Roman"/>
      <w:i/>
      <w:iCs/>
      <w:noProof/>
      <w:color w:val="40404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6D48"/>
    <w:rPr>
      <w:rFonts w:ascii="Verdana" w:eastAsia="Times New Roman" w:hAnsi="Verdana" w:cs="Verdana"/>
      <w:b/>
      <w:bCs/>
      <w:caps/>
      <w:noProof/>
      <w:snapToGrid w:val="0"/>
      <w:sz w:val="20"/>
      <w:szCs w:val="20"/>
      <w:lang w:val="es-CR" w:eastAsia="es-ES"/>
    </w:rPr>
  </w:style>
  <w:style w:type="character" w:customStyle="1" w:styleId="Heading2Char">
    <w:name w:val="Heading 2 Char"/>
    <w:link w:val="Heading2"/>
    <w:uiPriority w:val="9"/>
    <w:rsid w:val="00446D48"/>
    <w:rPr>
      <w:rFonts w:ascii="Verdana" w:eastAsia="Times New Roman" w:hAnsi="Verdana"/>
      <w:b/>
      <w:bCs/>
      <w:i/>
      <w:noProof/>
      <w:lang w:val="es-ES_tradnl" w:eastAsia="x-none"/>
    </w:rPr>
  </w:style>
  <w:style w:type="character" w:customStyle="1" w:styleId="Heading3Char">
    <w:name w:val="Heading 3 Char"/>
    <w:link w:val="Heading3"/>
    <w:uiPriority w:val="9"/>
    <w:rsid w:val="00446D48"/>
    <w:rPr>
      <w:rFonts w:ascii="Verdana" w:eastAsia="Times New Roman" w:hAnsi="Verdana" w:cs="Times New Roman"/>
      <w:bCs/>
      <w:i/>
      <w:noProof/>
      <w:sz w:val="20"/>
      <w:szCs w:val="20"/>
      <w:lang w:val="es-ES_tradnl"/>
    </w:rPr>
  </w:style>
  <w:style w:type="character" w:customStyle="1" w:styleId="Heading4Char">
    <w:name w:val="Heading 4 Char"/>
    <w:link w:val="Heading4"/>
    <w:uiPriority w:val="9"/>
    <w:rsid w:val="00446D48"/>
    <w:rPr>
      <w:rFonts w:ascii="Verdana" w:eastAsia="Times New Roman" w:hAnsi="Verdana" w:cs="Times New Roman"/>
      <w:bCs/>
      <w:i/>
      <w:iCs/>
      <w:noProof/>
      <w:sz w:val="20"/>
      <w:szCs w:val="24"/>
      <w:lang w:val="es-ES_tradnl"/>
    </w:rPr>
  </w:style>
  <w:style w:type="character" w:customStyle="1" w:styleId="Heading5Char">
    <w:name w:val="Heading 5 Char"/>
    <w:link w:val="Heading5"/>
    <w:uiPriority w:val="9"/>
    <w:rsid w:val="00446D48"/>
    <w:rPr>
      <w:rFonts w:ascii="Verdana" w:eastAsia="Times New Roman" w:hAnsi="Verdana"/>
      <w:i/>
      <w:noProof/>
      <w:szCs w:val="24"/>
      <w:lang w:val="es-ES_tradnl" w:eastAsia="x-none"/>
    </w:rPr>
  </w:style>
  <w:style w:type="character" w:customStyle="1" w:styleId="Heading7Char">
    <w:name w:val="Heading 7 Char"/>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446D48"/>
    <w:rPr>
      <w:rFonts w:cs="Times New Roman"/>
      <w:szCs w:val="20"/>
      <w:vertAlign w:val="superscript"/>
    </w:rPr>
  </w:style>
  <w:style w:type="paragraph" w:styleId="Title">
    <w:name w:val="Title"/>
    <w:basedOn w:val="Normal"/>
    <w:link w:val="TitleChar"/>
    <w:uiPriority w:val="99"/>
    <w:qFormat/>
    <w:rsid w:val="00446D48"/>
    <w:pPr>
      <w:jc w:val="center"/>
    </w:pPr>
    <w:rPr>
      <w:rFonts w:eastAsia="Times New Roman" w:cs="Times New Roman"/>
      <w:b/>
      <w:noProof/>
      <w:szCs w:val="20"/>
      <w:lang w:val="es-ES_tradnl" w:eastAsia="x-none"/>
    </w:rPr>
  </w:style>
  <w:style w:type="character" w:customStyle="1" w:styleId="TitleChar">
    <w:name w:val="Title Char"/>
    <w:link w:val="Title"/>
    <w:uiPriority w:val="99"/>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noProof/>
      <w:spacing w:val="15"/>
      <w:lang w:val="es-ES_tradnl" w:eastAsia="x-none"/>
    </w:rPr>
  </w:style>
  <w:style w:type="character" w:customStyle="1" w:styleId="SubtitleChar">
    <w:name w:val="Subtitle Char"/>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customStyle="1" w:styleId="MediumGrid1-Accent21">
    <w:name w:val="Medium Grid 1 - Accent 21"/>
    <w:aliases w:val="Footnote,List Paragraph1,Colorful List - Accent 11,Párrafo de lista1"/>
    <w:basedOn w:val="Normal"/>
    <w:link w:val="MediumGrid1-Accent2Char"/>
    <w:qFormat/>
    <w:rsid w:val="00446D48"/>
    <w:pPr>
      <w:ind w:left="720"/>
      <w:contextualSpacing/>
    </w:pPr>
    <w:rPr>
      <w:rFonts w:cs="Times New Roman"/>
      <w:noProof/>
      <w:lang w:val="es-ES_tradnl" w:eastAsia="x-none"/>
    </w:rPr>
  </w:style>
  <w:style w:type="character" w:customStyle="1" w:styleId="MediumGrid1-Accent2Char">
    <w:name w:val="Medium Grid 1 - Accent 2 Char"/>
    <w:aliases w:val="Footnote Char,List Paragraph1 Char,Colorful List - Accent 11 Char,Párrafo de lista1 Char"/>
    <w:link w:val="MediumGrid1-Accent21"/>
    <w:uiPriority w:val="34"/>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5"/>
    <w:basedOn w:val="Normal"/>
    <w:link w:val="FootnoteTextChar1"/>
    <w:unhideWhenUsed/>
    <w:qFormat/>
    <w:rsid w:val="00446D48"/>
    <w:pPr>
      <w:spacing w:before="120" w:after="120"/>
    </w:pPr>
    <w:rPr>
      <w:rFonts w:cs="Times New Roman"/>
      <w:noProof/>
      <w:sz w:val="16"/>
      <w:szCs w:val="20"/>
      <w:lang w:val="es-ES_tradnl" w:eastAsia="x-none"/>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rFonts w:cs="Times New Roman"/>
      <w:i/>
      <w:noProof/>
      <w:lang w:val="es-ES_tradnl" w:eastAsia="x-none"/>
    </w:rPr>
  </w:style>
  <w:style w:type="character" w:customStyle="1" w:styleId="Estilo1Car">
    <w:name w:val="Estilo1 Car"/>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b w:val="0"/>
      <w:bCs w:val="0"/>
      <w:caps w:val="0"/>
      <w:lang w:val="es-ES"/>
    </w:rPr>
  </w:style>
  <w:style w:type="character" w:customStyle="1" w:styleId="Style1Char">
    <w:name w:val="Style1 Char"/>
    <w:link w:val="Style1"/>
    <w:rsid w:val="00446D48"/>
    <w:rPr>
      <w:rFonts w:ascii="Verdana" w:eastAsia="Times New Roman" w:hAnsi="Verdana" w:cs="Verdana"/>
      <w:b w:val="0"/>
      <w:bCs w:val="0"/>
      <w:caps w:val="0"/>
      <w:noProof/>
      <w:snapToGrid w:val="0"/>
      <w:sz w:val="20"/>
      <w:szCs w:val="20"/>
      <w:lang w:val="es-ES" w:eastAsia="es-ES"/>
    </w:rPr>
  </w:style>
  <w:style w:type="paragraph" w:customStyle="1" w:styleId="Estilo7">
    <w:name w:val="Estilo7"/>
    <w:basedOn w:val="Normal"/>
    <w:qFormat/>
    <w:rsid w:val="00446D48"/>
    <w:pPr>
      <w:numPr>
        <w:ilvl w:val="2"/>
        <w:numId w:val="4"/>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bCs/>
      <w:iCs/>
      <w:szCs w:val="16"/>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b w:val="0"/>
      <w:bCs w:val="0"/>
      <w:i w:val="0"/>
      <w:lang w:val="es-CR"/>
    </w:rPr>
  </w:style>
  <w:style w:type="paragraph" w:customStyle="1" w:styleId="Default">
    <w:name w:val="Default"/>
    <w:rsid w:val="00446D48"/>
    <w:pPr>
      <w:autoSpaceDE w:val="0"/>
      <w:autoSpaceDN w:val="0"/>
      <w:adjustRightInd w:val="0"/>
    </w:pPr>
    <w:rPr>
      <w:rFonts w:ascii="Verdana" w:hAnsi="Verdana" w:cs="Verdana"/>
      <w:color w:val="000000"/>
      <w:sz w:val="24"/>
      <w:szCs w:val="24"/>
    </w:rPr>
  </w:style>
  <w:style w:type="character" w:customStyle="1" w:styleId="Style2Char">
    <w:name w:val="Style2 Char"/>
    <w:link w:val="Style2"/>
    <w:rsid w:val="00446D48"/>
    <w:rPr>
      <w:rFonts w:ascii="Verdana" w:eastAsia="Times New Roman" w:hAnsi="Verdana" w:cs="Times New Roman"/>
      <w:b w:val="0"/>
      <w:bCs w:val="0"/>
      <w:i w:val="0"/>
      <w:noProof/>
      <w:sz w:val="20"/>
      <w:szCs w:val="20"/>
      <w:lang w:val="es-CR"/>
    </w:rPr>
  </w:style>
  <w:style w:type="paragraph" w:styleId="TOC1">
    <w:name w:val="toc 1"/>
    <w:basedOn w:val="Normal"/>
    <w:next w:val="Normal"/>
    <w:autoRedefine/>
    <w:uiPriority w:val="39"/>
    <w:unhideWhenUsed/>
    <w:rsid w:val="00446D48"/>
    <w:pPr>
      <w:tabs>
        <w:tab w:val="right" w:leader="dot" w:pos="9356"/>
      </w:tabs>
      <w:spacing w:before="60" w:after="60"/>
    </w:pPr>
    <w:rPr>
      <w:b/>
      <w:sz w:val="18"/>
    </w:rPr>
  </w:style>
  <w:style w:type="paragraph" w:styleId="TOC2">
    <w:name w:val="toc 2"/>
    <w:basedOn w:val="Normal"/>
    <w:next w:val="Normal"/>
    <w:autoRedefine/>
    <w:uiPriority w:val="39"/>
    <w:unhideWhenUsed/>
    <w:rsid w:val="00446D48"/>
    <w:pPr>
      <w:tabs>
        <w:tab w:val="left" w:pos="426"/>
        <w:tab w:val="right" w:leader="dot" w:pos="9356"/>
      </w:tabs>
      <w:spacing w:before="60" w:after="60"/>
      <w:ind w:left="142"/>
      <w:contextualSpacing/>
    </w:pPr>
    <w:rPr>
      <w:smallCaps/>
      <w:sz w:val="18"/>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customStyle="1" w:styleId="Encabezadodetabladecontenido">
    <w:name w:val="Encabezado de tabla de contenido"/>
    <w:basedOn w:val="Heading1"/>
    <w:next w:val="Normal"/>
    <w:uiPriority w:val="39"/>
    <w:semiHidden/>
    <w:unhideWhenUsed/>
    <w:qFormat/>
    <w:rsid w:val="00446D48"/>
    <w:pPr>
      <w:spacing w:before="480" w:after="0" w:line="276" w:lineRule="auto"/>
      <w:jc w:val="left"/>
      <w:outlineLvl w:val="9"/>
    </w:pPr>
    <w:rPr>
      <w:rFonts w:ascii="Cambria" w:hAnsi="Cambria"/>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imes New Roman"/>
      <w:noProof/>
      <w:sz w:val="16"/>
      <w:szCs w:val="16"/>
      <w:lang w:val="es-ES_tradnl" w:eastAsia="x-none"/>
    </w:rPr>
  </w:style>
  <w:style w:type="character" w:customStyle="1" w:styleId="BalloonTextChar">
    <w:name w:val="Balloon Text Char"/>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966F4"/>
    <w:pPr>
      <w:numPr>
        <w:numId w:val="2"/>
      </w:numPr>
      <w:tabs>
        <w:tab w:val="left" w:pos="720"/>
      </w:tabs>
    </w:pPr>
    <w:rPr>
      <w:rFonts w:eastAsia="Times New Roman"/>
      <w:bCs/>
      <w:sz w:val="20"/>
      <w:lang w:eastAsia="es-ES"/>
    </w:rPr>
  </w:style>
  <w:style w:type="paragraph" w:customStyle="1" w:styleId="Estilo2">
    <w:name w:val="Estilo2"/>
    <w:basedOn w:val="Normal"/>
    <w:qFormat/>
    <w:rsid w:val="00446D48"/>
    <w:pPr>
      <w:tabs>
        <w:tab w:val="left" w:pos="567"/>
        <w:tab w:val="left" w:pos="1134"/>
        <w:tab w:val="num" w:pos="4767"/>
      </w:tabs>
      <w:spacing w:after="120"/>
      <w:ind w:firstLine="357"/>
    </w:pPr>
    <w:rPr>
      <w:rFonts w:eastAsia="Calibri" w:cs="Times New Roman"/>
      <w:szCs w:val="20"/>
    </w:rPr>
  </w:style>
  <w:style w:type="table" w:styleId="LightGrid-Accent3">
    <w:name w:val="Light Grid Accent 3"/>
    <w:basedOn w:val="TableNormal"/>
    <w:uiPriority w:val="72"/>
    <w:rsid w:val="00446D4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noProof/>
      <w:szCs w:val="20"/>
      <w:lang w:val="es-ES_tradnl" w:eastAsia="x-none"/>
    </w:rPr>
  </w:style>
  <w:style w:type="character" w:customStyle="1" w:styleId="BodyTextChar">
    <w:name w:val="Body Text Char"/>
    <w:link w:val="BodyText"/>
    <w:rsid w:val="00446D48"/>
    <w:rPr>
      <w:rFonts w:ascii="Garamond" w:eastAsia="Times" w:hAnsi="Garamond" w:cs="Times New Roman"/>
      <w:noProof/>
      <w:szCs w:val="20"/>
      <w:lang w:val="es-ES_tradnl"/>
    </w:rPr>
  </w:style>
  <w:style w:type="paragraph" w:customStyle="1" w:styleId="MediumShading1-Accent11">
    <w:name w:val="Medium Shading 1 - Accent 11"/>
    <w:uiPriority w:val="1"/>
    <w:qFormat/>
    <w:rsid w:val="00446D48"/>
    <w:rPr>
      <w:sz w:val="22"/>
      <w:szCs w:val="22"/>
    </w:rPr>
  </w:style>
  <w:style w:type="paragraph" w:styleId="Header">
    <w:name w:val="header"/>
    <w:basedOn w:val="Normal"/>
    <w:link w:val="HeaderChar"/>
    <w:uiPriority w:val="99"/>
    <w:unhideWhenUsed/>
    <w:rsid w:val="00446D48"/>
    <w:pPr>
      <w:tabs>
        <w:tab w:val="center" w:pos="4419"/>
        <w:tab w:val="right" w:pos="8838"/>
      </w:tabs>
    </w:pPr>
    <w:rPr>
      <w:rFonts w:cs="Times New Roman"/>
      <w:noProof/>
      <w:lang w:val="es-ES_tradnl" w:eastAsia="x-none"/>
    </w:rPr>
  </w:style>
  <w:style w:type="character" w:customStyle="1" w:styleId="HeaderChar">
    <w:name w:val="Header Char"/>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rPr>
      <w:rFonts w:cs="Times New Roman"/>
      <w:noProof/>
      <w:lang w:val="es-ES_tradnl" w:eastAsia="x-none"/>
    </w:rPr>
  </w:style>
  <w:style w:type="character" w:customStyle="1" w:styleId="FooterChar">
    <w:name w:val="Footer Char"/>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noProof/>
      <w:szCs w:val="20"/>
      <w:lang w:val="es-ES_tradnl" w:eastAsia="es-ES"/>
    </w:rPr>
  </w:style>
  <w:style w:type="character" w:customStyle="1" w:styleId="NotasProyectosChar">
    <w:name w:val="Notas Proyectos Char"/>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nhideWhenUsed/>
    <w:rsid w:val="00446D48"/>
    <w:pPr>
      <w:jc w:val="left"/>
    </w:pPr>
    <w:rPr>
      <w:rFonts w:ascii="Times New Roman" w:eastAsia="Times New Roman" w:hAnsi="Times New Roman" w:cs="Times New Roman"/>
      <w:noProof/>
      <w:szCs w:val="20"/>
      <w:lang w:val="es-ES_tradnl" w:eastAsia="x-none"/>
    </w:rPr>
  </w:style>
  <w:style w:type="character" w:customStyle="1" w:styleId="CommentTextChar">
    <w:name w:val="Comment Text Char"/>
    <w:link w:val="CommentText"/>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Times New Roman"/>
      <w:i/>
      <w:noProof/>
      <w:szCs w:val="20"/>
      <w:lang w:val="es-ES_tradnl" w:eastAsia="x-none"/>
    </w:rPr>
  </w:style>
  <w:style w:type="character" w:customStyle="1" w:styleId="BodyTextIndentChar">
    <w:name w:val="Body Text Indent Char"/>
    <w:link w:val="BodyTextIndent"/>
    <w:uiPriority w:val="99"/>
    <w:rsid w:val="00446D48"/>
    <w:rPr>
      <w:rFonts w:ascii="Verdana" w:eastAsia="Batang" w:hAnsi="Verdana" w:cs="Arial"/>
      <w:i/>
      <w:noProof/>
      <w:sz w:val="20"/>
      <w:szCs w:val="20"/>
      <w:lang w:val="es-ES_tradnl"/>
    </w:rPr>
  </w:style>
  <w:style w:type="character" w:styleId="Emphasis">
    <w:name w:val="Emphasis"/>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iCs/>
      <w:szCs w:val="18"/>
    </w:rPr>
  </w:style>
  <w:style w:type="character" w:customStyle="1" w:styleId="2FootnotesChar">
    <w:name w:val="2. Footnotes Char"/>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imes New Roman"/>
      <w:noProof/>
      <w:sz w:val="16"/>
      <w:szCs w:val="16"/>
      <w:lang w:val="es-ES_tradnl" w:eastAsia="x-none"/>
    </w:rPr>
  </w:style>
  <w:style w:type="character" w:customStyle="1" w:styleId="DocumentMapChar">
    <w:name w:val="Document Map Char"/>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iPriority w:val="99"/>
    <w:semiHidden/>
    <w:unhideWhenUsed/>
    <w:rsid w:val="00446D48"/>
    <w:rPr>
      <w:rFonts w:cs="Times New Roman"/>
      <w:noProof/>
      <w:szCs w:val="20"/>
      <w:lang w:val="es-ES_tradnl" w:eastAsia="x-none"/>
    </w:rPr>
  </w:style>
  <w:style w:type="character" w:customStyle="1" w:styleId="EndnoteTextChar">
    <w:name w:val="Endnote Text Char"/>
    <w:link w:val="EndnoteText"/>
    <w:uiPriority w:val="99"/>
    <w:semiHidden/>
    <w:rsid w:val="00446D48"/>
    <w:rPr>
      <w:rFonts w:ascii="Verdana" w:eastAsia="Batang" w:hAnsi="Verdana" w:cs="Times"/>
      <w:noProof/>
      <w:sz w:val="20"/>
      <w:szCs w:val="20"/>
      <w:lang w:val="es-ES_tradnl"/>
    </w:rPr>
  </w:style>
  <w:style w:type="character" w:styleId="EndnoteReference">
    <w:name w:val="endnote reference"/>
    <w:uiPriority w:val="99"/>
    <w:semiHidden/>
    <w:unhideWhenUsed/>
    <w:rsid w:val="00446D48"/>
    <w:rPr>
      <w:vertAlign w:val="superscript"/>
    </w:rPr>
  </w:style>
  <w:style w:type="paragraph" w:customStyle="1" w:styleId="PrrafodeSentencia">
    <w:name w:val="Párrafo de Sentencia"/>
    <w:basedOn w:val="MediumGrid1-Accent21"/>
    <w:autoRedefine/>
    <w:qFormat/>
    <w:rsid w:val="00446D48"/>
    <w:pPr>
      <w:numPr>
        <w:ilvl w:val="4"/>
        <w:numId w:val="6"/>
      </w:numPr>
      <w:tabs>
        <w:tab w:val="num" w:pos="360"/>
      </w:tabs>
      <w:ind w:left="720" w:firstLine="0"/>
    </w:pPr>
    <w:rPr>
      <w:rFonts w:eastAsia="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basedOn w:val="Normal"/>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966F4"/>
    <w:rPr>
      <w:rFonts w:ascii="Verdana" w:eastAsia="Times New Roman" w:hAnsi="Verdana"/>
      <w:bCs/>
      <w:noProof/>
      <w:lang w:val="es-ES_tradnl" w:eastAsia="es-ES"/>
    </w:rPr>
  </w:style>
  <w:style w:type="character" w:customStyle="1" w:styleId="Caracteresdenotafinal">
    <w:name w:val="Caracteres de nota final"/>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Times New Roman"/>
      <w:noProof/>
      <w:sz w:val="21"/>
      <w:szCs w:val="21"/>
      <w:lang w:val="es-CR" w:eastAsia="es-CR"/>
    </w:rPr>
  </w:style>
  <w:style w:type="character" w:customStyle="1" w:styleId="PlainTextChar">
    <w:name w:val="Plain Text Char"/>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b/>
      <w:bCs/>
    </w:rPr>
  </w:style>
  <w:style w:type="character" w:customStyle="1" w:styleId="CommentSubjectChar">
    <w:name w:val="Comment Subject 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rsid w:val="00446D48"/>
    <w:rPr>
      <w:sz w:val="14"/>
      <w:szCs w:val="14"/>
    </w:rPr>
  </w:style>
  <w:style w:type="character" w:customStyle="1" w:styleId="ListParagraphChar1">
    <w:name w:val="List Paragraph Char1"/>
    <w:uiPriority w:val="99"/>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customStyle="1" w:styleId="MediumList2-Accent21">
    <w:name w:val="Medium List 2 - Accent 21"/>
    <w:hidden/>
    <w:uiPriority w:val="99"/>
    <w:semiHidden/>
    <w:rsid w:val="00446D48"/>
    <w:rPr>
      <w:rFonts w:ascii="Verdana" w:eastAsia="Batang" w:hAnsi="Verdana" w:cs="Times"/>
      <w:noProof/>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rPr>
      <w:rFonts w:cs="Times New Roman"/>
      <w:noProof/>
      <w:lang w:val="es-ES_tradnl" w:eastAsia="x-none"/>
    </w:rPr>
  </w:style>
  <w:style w:type="character" w:customStyle="1" w:styleId="BodyTextIndent2Char">
    <w:name w:val="Body Text Indent 2 Char"/>
    <w:link w:val="BodyTextIndent2"/>
    <w:uiPriority w:val="99"/>
    <w:semiHidden/>
    <w:rsid w:val="00DD2BA7"/>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4564D5"/>
    <w:pPr>
      <w:spacing w:before="120"/>
      <w:ind w:left="720"/>
    </w:pPr>
    <w:rPr>
      <w:rFonts w:eastAsia="Times New Roman" w:cs="Times New Roman"/>
      <w:szCs w:val="20"/>
      <w:lang w:val="es-ES_tradnl" w:eastAsia="es-ES"/>
    </w:rPr>
  </w:style>
  <w:style w:type="character" w:customStyle="1" w:styleId="NotasProyectosChar0">
    <w:name w:val="***. Notas Proyectos Char"/>
    <w:link w:val="NotasProyectos0"/>
    <w:rsid w:val="004564D5"/>
    <w:rPr>
      <w:rFonts w:ascii="Verdana" w:eastAsia="Times New Roman" w:hAnsi="Verdana" w:cs="Times New Roman"/>
      <w:sz w:val="20"/>
      <w:szCs w:val="20"/>
      <w:lang w:val="es-ES_tradnl" w:eastAsia="es-ES"/>
    </w:rPr>
  </w:style>
  <w:style w:type="character" w:styleId="Strong">
    <w:name w:val="Strong"/>
    <w:uiPriority w:val="22"/>
    <w:qFormat/>
    <w:rsid w:val="003E0E76"/>
    <w:rPr>
      <w:b/>
      <w:bCs/>
    </w:rPr>
  </w:style>
  <w:style w:type="character" w:customStyle="1" w:styleId="column01">
    <w:name w:val="column01"/>
    <w:basedOn w:val="DefaultParagraphFont"/>
    <w:rsid w:val="00EC583A"/>
  </w:style>
  <w:style w:type="paragraph" w:customStyle="1" w:styleId="NormalNumbered">
    <w:name w:val="Normal Numbered"/>
    <w:basedOn w:val="Normal"/>
    <w:qFormat/>
    <w:rsid w:val="00B427C0"/>
    <w:rPr>
      <w:rFonts w:eastAsia="Times New Roman" w:cs="Times New Roman"/>
      <w:szCs w:val="20"/>
      <w:lang w:val="x-none" w:eastAsia="x-none"/>
    </w:rPr>
  </w:style>
  <w:style w:type="character" w:customStyle="1" w:styleId="normal--char">
    <w:name w:val="normal--char"/>
    <w:basedOn w:val="DefaultParagraphFont"/>
    <w:uiPriority w:val="99"/>
    <w:rsid w:val="00B427C0"/>
  </w:style>
  <w:style w:type="paragraph" w:customStyle="1" w:styleId="ju-005fpara">
    <w:name w:val="ju-005fpara"/>
    <w:basedOn w:val="Normal"/>
    <w:rsid w:val="00EB2D66"/>
    <w:pPr>
      <w:spacing w:before="100" w:beforeAutospacing="1" w:after="100" w:afterAutospacing="1"/>
      <w:jc w:val="left"/>
    </w:pPr>
    <w:rPr>
      <w:rFonts w:ascii="Times New Roman" w:eastAsia="Times New Roman" w:hAnsi="Times New Roman" w:cs="Times New Roman"/>
      <w:sz w:val="24"/>
      <w:lang w:eastAsia="es-ES"/>
    </w:rPr>
  </w:style>
  <w:style w:type="character" w:customStyle="1" w:styleId="ju-005fpara--char">
    <w:name w:val="ju-005fpara--char"/>
    <w:basedOn w:val="DefaultParagraphFont"/>
    <w:rsid w:val="00EB2D66"/>
  </w:style>
  <w:style w:type="character" w:customStyle="1" w:styleId="sb8d990e2">
    <w:name w:val="sb8d990e2"/>
    <w:rsid w:val="009A759E"/>
  </w:style>
  <w:style w:type="character" w:customStyle="1" w:styleId="s7d2086b4">
    <w:name w:val="s7d2086b4"/>
    <w:rsid w:val="009A759E"/>
  </w:style>
  <w:style w:type="character" w:customStyle="1" w:styleId="s6b621b36">
    <w:name w:val="s6b621b36"/>
    <w:rsid w:val="009A759E"/>
  </w:style>
  <w:style w:type="paragraph" w:customStyle="1" w:styleId="ColorfulList-Accent12">
    <w:name w:val="Colorful List - Accent 12"/>
    <w:basedOn w:val="Normal"/>
    <w:uiPriority w:val="34"/>
    <w:qFormat/>
    <w:rsid w:val="00AB6DD0"/>
    <w:pPr>
      <w:ind w:left="708"/>
    </w:pPr>
  </w:style>
  <w:style w:type="paragraph" w:styleId="NoSpacing">
    <w:name w:val="No Spacing"/>
    <w:uiPriority w:val="1"/>
    <w:qFormat/>
    <w:rsid w:val="007D7A08"/>
    <w:rPr>
      <w:sz w:val="22"/>
      <w:szCs w:val="22"/>
      <w:lang w:val="es-CR"/>
    </w:rPr>
  </w:style>
  <w:style w:type="paragraph" w:styleId="ListParagraph">
    <w:name w:val="List Paragraph"/>
    <w:aliases w:val="List Paragraph2"/>
    <w:basedOn w:val="Normal"/>
    <w:uiPriority w:val="34"/>
    <w:qFormat/>
    <w:rsid w:val="00DC589E"/>
    <w:pPr>
      <w:spacing w:after="200" w:line="276" w:lineRule="auto"/>
      <w:ind w:left="720"/>
      <w:contextualSpacing/>
      <w:jc w:val="left"/>
    </w:pPr>
    <w:rPr>
      <w:rFonts w:eastAsia="Calibri" w:cs="Times New Roman"/>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6B0B1E"/>
    <w:rPr>
      <w:rFonts w:ascii="Calibri" w:eastAsia="Calibri" w:hAnsi="Calibri" w:cs="Times New Roman"/>
      <w:szCs w:val="20"/>
      <w:vertAlign w:val="superscript"/>
      <w:lang w:val="en-US"/>
    </w:rPr>
  </w:style>
  <w:style w:type="paragraph" w:styleId="Revision">
    <w:name w:val="Revision"/>
    <w:hidden/>
    <w:uiPriority w:val="71"/>
    <w:rsid w:val="00735AAD"/>
    <w:rPr>
      <w:rFonts w:ascii="Verdana" w:eastAsia="Batang" w:hAnsi="Verdana" w:cs="Times"/>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6D48"/>
    <w:pPr>
      <w:jc w:val="both"/>
    </w:pPr>
    <w:rPr>
      <w:rFonts w:ascii="Verdana" w:eastAsia="Batang" w:hAnsi="Verdana" w:cs="Times"/>
      <w:szCs w:val="24"/>
      <w:lang w:val="es-ES"/>
    </w:rPr>
  </w:style>
  <w:style w:type="paragraph" w:styleId="Heading1">
    <w:name w:val="heading 1"/>
    <w:basedOn w:val="Normal"/>
    <w:next w:val="Normal"/>
    <w:link w:val="Heading1Char"/>
    <w:uiPriority w:val="9"/>
    <w:qFormat/>
    <w:rsid w:val="00446D48"/>
    <w:pPr>
      <w:keepNext/>
      <w:keepLines/>
      <w:spacing w:before="360" w:after="360"/>
      <w:jc w:val="center"/>
      <w:outlineLvl w:val="0"/>
    </w:pPr>
    <w:rPr>
      <w:rFonts w:eastAsia="Times New Roman" w:cs="Times New Roman"/>
      <w:b/>
      <w:bCs/>
      <w:caps/>
      <w:noProof/>
      <w:snapToGrid w:val="0"/>
      <w:szCs w:val="20"/>
      <w:lang w:val="es-CR" w:eastAsia="es-ES"/>
    </w:rPr>
  </w:style>
  <w:style w:type="paragraph" w:styleId="Heading2">
    <w:name w:val="heading 2"/>
    <w:basedOn w:val="Normal"/>
    <w:next w:val="Normal"/>
    <w:link w:val="Heading2Char"/>
    <w:uiPriority w:val="9"/>
    <w:qFormat/>
    <w:rsid w:val="00446D48"/>
    <w:pPr>
      <w:keepNext/>
      <w:keepLines/>
      <w:numPr>
        <w:numId w:val="5"/>
      </w:numPr>
      <w:spacing w:before="240" w:after="240"/>
      <w:outlineLvl w:val="1"/>
    </w:pPr>
    <w:rPr>
      <w:rFonts w:eastAsia="Times New Roman" w:cs="Times New Roman"/>
      <w:b/>
      <w:bCs/>
      <w:i/>
      <w:noProof/>
      <w:szCs w:val="20"/>
      <w:lang w:val="es-ES_tradnl" w:eastAsia="x-none"/>
    </w:rPr>
  </w:style>
  <w:style w:type="paragraph" w:styleId="Heading3">
    <w:name w:val="heading 3"/>
    <w:basedOn w:val="Normal"/>
    <w:next w:val="Normal"/>
    <w:link w:val="Heading3Char"/>
    <w:uiPriority w:val="9"/>
    <w:qFormat/>
    <w:rsid w:val="00446D48"/>
    <w:pPr>
      <w:keepNext/>
      <w:spacing w:before="240" w:after="240"/>
      <w:ind w:left="1068"/>
      <w:outlineLvl w:val="2"/>
    </w:pPr>
    <w:rPr>
      <w:rFonts w:eastAsia="Times New Roman" w:cs="Times New Roman"/>
      <w:bCs/>
      <w:i/>
      <w:noProof/>
      <w:szCs w:val="20"/>
      <w:lang w:val="es-ES_tradnl" w:eastAsia="x-none"/>
    </w:rPr>
  </w:style>
  <w:style w:type="paragraph" w:styleId="Heading4">
    <w:name w:val="heading 4"/>
    <w:basedOn w:val="Normal"/>
    <w:next w:val="Normal"/>
    <w:link w:val="Heading4Char"/>
    <w:uiPriority w:val="9"/>
    <w:qFormat/>
    <w:rsid w:val="00446D48"/>
    <w:pPr>
      <w:keepNext/>
      <w:keepLines/>
      <w:spacing w:before="240" w:after="240"/>
      <w:ind w:left="1418" w:firstLine="709"/>
      <w:outlineLvl w:val="3"/>
    </w:pPr>
    <w:rPr>
      <w:rFonts w:eastAsia="Times New Roman" w:cs="Times New Roman"/>
      <w:bCs/>
      <w:i/>
      <w:iCs/>
      <w:noProof/>
      <w:lang w:val="es-ES_tradnl" w:eastAsia="x-none"/>
    </w:rPr>
  </w:style>
  <w:style w:type="paragraph" w:styleId="Heading5">
    <w:name w:val="heading 5"/>
    <w:basedOn w:val="Normal"/>
    <w:next w:val="Normal"/>
    <w:link w:val="Heading5Char"/>
    <w:uiPriority w:val="9"/>
    <w:qFormat/>
    <w:rsid w:val="00446D48"/>
    <w:pPr>
      <w:keepNext/>
      <w:keepLines/>
      <w:numPr>
        <w:numId w:val="7"/>
      </w:numPr>
      <w:spacing w:before="240" w:after="240"/>
      <w:outlineLvl w:val="4"/>
    </w:pPr>
    <w:rPr>
      <w:rFonts w:eastAsia="Times New Roman" w:cs="Times New Roman"/>
      <w:i/>
      <w:noProof/>
      <w:lang w:val="es-ES_tradnl" w:eastAsia="x-none"/>
    </w:rPr>
  </w:style>
  <w:style w:type="paragraph" w:styleId="Heading7">
    <w:name w:val="heading 7"/>
    <w:basedOn w:val="Normal"/>
    <w:next w:val="Normal"/>
    <w:link w:val="Heading7Char"/>
    <w:uiPriority w:val="9"/>
    <w:qFormat/>
    <w:rsid w:val="00446D48"/>
    <w:pPr>
      <w:keepNext/>
      <w:keepLines/>
      <w:spacing w:before="200"/>
      <w:outlineLvl w:val="6"/>
    </w:pPr>
    <w:rPr>
      <w:rFonts w:ascii="Cambria" w:eastAsia="Times New Roman" w:hAnsi="Cambria" w:cs="Times New Roman"/>
      <w:i/>
      <w:iCs/>
      <w:noProof/>
      <w:color w:val="404040"/>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6D48"/>
    <w:rPr>
      <w:rFonts w:ascii="Verdana" w:eastAsia="Times New Roman" w:hAnsi="Verdana" w:cs="Verdana"/>
      <w:b/>
      <w:bCs/>
      <w:caps/>
      <w:noProof/>
      <w:snapToGrid w:val="0"/>
      <w:sz w:val="20"/>
      <w:szCs w:val="20"/>
      <w:lang w:val="es-CR" w:eastAsia="es-ES"/>
    </w:rPr>
  </w:style>
  <w:style w:type="character" w:customStyle="1" w:styleId="Heading2Char">
    <w:name w:val="Heading 2 Char"/>
    <w:link w:val="Heading2"/>
    <w:uiPriority w:val="9"/>
    <w:rsid w:val="00446D48"/>
    <w:rPr>
      <w:rFonts w:ascii="Verdana" w:eastAsia="Times New Roman" w:hAnsi="Verdana"/>
      <w:b/>
      <w:bCs/>
      <w:i/>
      <w:noProof/>
      <w:lang w:val="es-ES_tradnl" w:eastAsia="x-none"/>
    </w:rPr>
  </w:style>
  <w:style w:type="character" w:customStyle="1" w:styleId="Heading3Char">
    <w:name w:val="Heading 3 Char"/>
    <w:link w:val="Heading3"/>
    <w:uiPriority w:val="9"/>
    <w:rsid w:val="00446D48"/>
    <w:rPr>
      <w:rFonts w:ascii="Verdana" w:eastAsia="Times New Roman" w:hAnsi="Verdana" w:cs="Times New Roman"/>
      <w:bCs/>
      <w:i/>
      <w:noProof/>
      <w:sz w:val="20"/>
      <w:szCs w:val="20"/>
      <w:lang w:val="es-ES_tradnl"/>
    </w:rPr>
  </w:style>
  <w:style w:type="character" w:customStyle="1" w:styleId="Heading4Char">
    <w:name w:val="Heading 4 Char"/>
    <w:link w:val="Heading4"/>
    <w:uiPriority w:val="9"/>
    <w:rsid w:val="00446D48"/>
    <w:rPr>
      <w:rFonts w:ascii="Verdana" w:eastAsia="Times New Roman" w:hAnsi="Verdana" w:cs="Times New Roman"/>
      <w:bCs/>
      <w:i/>
      <w:iCs/>
      <w:noProof/>
      <w:sz w:val="20"/>
      <w:szCs w:val="24"/>
      <w:lang w:val="es-ES_tradnl"/>
    </w:rPr>
  </w:style>
  <w:style w:type="character" w:customStyle="1" w:styleId="Heading5Char">
    <w:name w:val="Heading 5 Char"/>
    <w:link w:val="Heading5"/>
    <w:uiPriority w:val="9"/>
    <w:rsid w:val="00446D48"/>
    <w:rPr>
      <w:rFonts w:ascii="Verdana" w:eastAsia="Times New Roman" w:hAnsi="Verdana"/>
      <w:i/>
      <w:noProof/>
      <w:szCs w:val="24"/>
      <w:lang w:val="es-ES_tradnl" w:eastAsia="x-none"/>
    </w:rPr>
  </w:style>
  <w:style w:type="character" w:customStyle="1" w:styleId="Heading7Char">
    <w:name w:val="Heading 7 Char"/>
    <w:link w:val="Heading7"/>
    <w:uiPriority w:val="9"/>
    <w:semiHidden/>
    <w:rsid w:val="00446D48"/>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446D48"/>
    <w:rPr>
      <w:rFonts w:cs="Times New Roman"/>
      <w:szCs w:val="20"/>
      <w:vertAlign w:val="superscript"/>
    </w:rPr>
  </w:style>
  <w:style w:type="paragraph" w:styleId="Title">
    <w:name w:val="Title"/>
    <w:basedOn w:val="Normal"/>
    <w:link w:val="TitleChar"/>
    <w:uiPriority w:val="99"/>
    <w:qFormat/>
    <w:rsid w:val="00446D48"/>
    <w:pPr>
      <w:jc w:val="center"/>
    </w:pPr>
    <w:rPr>
      <w:rFonts w:eastAsia="Times New Roman" w:cs="Times New Roman"/>
      <w:b/>
      <w:noProof/>
      <w:szCs w:val="20"/>
      <w:lang w:val="es-ES_tradnl" w:eastAsia="x-none"/>
    </w:rPr>
  </w:style>
  <w:style w:type="character" w:customStyle="1" w:styleId="TitleChar">
    <w:name w:val="Title Char"/>
    <w:link w:val="Title"/>
    <w:uiPriority w:val="99"/>
    <w:rsid w:val="00446D48"/>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446D48"/>
    <w:pPr>
      <w:numPr>
        <w:ilvl w:val="1"/>
      </w:numPr>
      <w:jc w:val="center"/>
    </w:pPr>
    <w:rPr>
      <w:rFonts w:eastAsia="Times New Roman" w:cs="Times New Roman"/>
      <w:b/>
      <w:i/>
      <w:iCs/>
      <w:noProof/>
      <w:spacing w:val="15"/>
      <w:lang w:val="es-ES_tradnl" w:eastAsia="x-none"/>
    </w:rPr>
  </w:style>
  <w:style w:type="character" w:customStyle="1" w:styleId="SubtitleChar">
    <w:name w:val="Subtitle Char"/>
    <w:link w:val="Subtitle"/>
    <w:rsid w:val="00446D48"/>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446D48"/>
    <w:pPr>
      <w:ind w:left="708"/>
    </w:pPr>
    <w:rPr>
      <w:rFonts w:eastAsia="Times New Roman" w:cs="Times New Roman"/>
      <w:szCs w:val="20"/>
    </w:rPr>
  </w:style>
  <w:style w:type="paragraph" w:customStyle="1" w:styleId="MediumGrid1-Accent21">
    <w:name w:val="Medium Grid 1 - Accent 21"/>
    <w:aliases w:val="Footnote,List Paragraph1,Colorful List - Accent 11,Párrafo de lista1"/>
    <w:basedOn w:val="Normal"/>
    <w:link w:val="MediumGrid1-Accent2Char"/>
    <w:qFormat/>
    <w:rsid w:val="00446D48"/>
    <w:pPr>
      <w:ind w:left="720"/>
      <w:contextualSpacing/>
    </w:pPr>
    <w:rPr>
      <w:rFonts w:cs="Times New Roman"/>
      <w:noProof/>
      <w:lang w:val="es-ES_tradnl" w:eastAsia="x-none"/>
    </w:rPr>
  </w:style>
  <w:style w:type="character" w:customStyle="1" w:styleId="MediumGrid1-Accent2Char">
    <w:name w:val="Medium Grid 1 - Accent 2 Char"/>
    <w:aliases w:val="Footnote Char,List Paragraph1 Char,Colorful List - Accent 11 Char,Párrafo de lista1 Char"/>
    <w:link w:val="MediumGrid1-Accent21"/>
    <w:uiPriority w:val="34"/>
    <w:locked/>
    <w:rsid w:val="00446D48"/>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5"/>
    <w:basedOn w:val="Normal"/>
    <w:link w:val="FootnoteTextChar1"/>
    <w:unhideWhenUsed/>
    <w:qFormat/>
    <w:rsid w:val="00446D48"/>
    <w:pPr>
      <w:spacing w:before="120" w:after="120"/>
    </w:pPr>
    <w:rPr>
      <w:rFonts w:cs="Times New Roman"/>
      <w:noProof/>
      <w:sz w:val="16"/>
      <w:szCs w:val="20"/>
      <w:lang w:val="es-ES_tradnl" w:eastAsia="x-none"/>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rsid w:val="00446D48"/>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446D48"/>
    <w:rPr>
      <w:rFonts w:ascii="Verdana" w:eastAsia="Batang" w:hAnsi="Verdana" w:cs="Times"/>
      <w:noProof/>
      <w:sz w:val="16"/>
      <w:szCs w:val="20"/>
      <w:lang w:val="es-ES_tradnl"/>
    </w:rPr>
  </w:style>
  <w:style w:type="paragraph" w:customStyle="1" w:styleId="Estilo1">
    <w:name w:val="Estilo1"/>
    <w:basedOn w:val="Normal"/>
    <w:link w:val="Estilo1Car"/>
    <w:qFormat/>
    <w:rsid w:val="00446D48"/>
    <w:pPr>
      <w:spacing w:after="120"/>
      <w:ind w:left="2018" w:right="6" w:hanging="180"/>
    </w:pPr>
    <w:rPr>
      <w:rFonts w:cs="Times New Roman"/>
      <w:i/>
      <w:noProof/>
      <w:lang w:val="es-ES_tradnl" w:eastAsia="x-none"/>
    </w:rPr>
  </w:style>
  <w:style w:type="character" w:customStyle="1" w:styleId="Estilo1Car">
    <w:name w:val="Estilo1 Car"/>
    <w:link w:val="Estilo1"/>
    <w:rsid w:val="00446D48"/>
    <w:rPr>
      <w:rFonts w:ascii="Verdana" w:eastAsia="Batang" w:hAnsi="Verdana" w:cs="Times"/>
      <w:i/>
      <w:noProof/>
      <w:sz w:val="20"/>
      <w:szCs w:val="24"/>
      <w:lang w:val="es-ES_tradnl"/>
    </w:rPr>
  </w:style>
  <w:style w:type="paragraph" w:customStyle="1" w:styleId="Style1">
    <w:name w:val="Style1"/>
    <w:basedOn w:val="Heading1"/>
    <w:link w:val="Style1Char"/>
    <w:qFormat/>
    <w:rsid w:val="00446D48"/>
    <w:pPr>
      <w:spacing w:before="0"/>
    </w:pPr>
    <w:rPr>
      <w:b w:val="0"/>
      <w:bCs w:val="0"/>
      <w:caps w:val="0"/>
      <w:lang w:val="es-ES"/>
    </w:rPr>
  </w:style>
  <w:style w:type="character" w:customStyle="1" w:styleId="Style1Char">
    <w:name w:val="Style1 Char"/>
    <w:link w:val="Style1"/>
    <w:rsid w:val="00446D48"/>
    <w:rPr>
      <w:rFonts w:ascii="Verdana" w:eastAsia="Times New Roman" w:hAnsi="Verdana" w:cs="Verdana"/>
      <w:b w:val="0"/>
      <w:bCs w:val="0"/>
      <w:caps w:val="0"/>
      <w:noProof/>
      <w:snapToGrid w:val="0"/>
      <w:sz w:val="20"/>
      <w:szCs w:val="20"/>
      <w:lang w:val="es-ES" w:eastAsia="es-ES"/>
    </w:rPr>
  </w:style>
  <w:style w:type="paragraph" w:customStyle="1" w:styleId="Estilo7">
    <w:name w:val="Estilo7"/>
    <w:basedOn w:val="Normal"/>
    <w:qFormat/>
    <w:rsid w:val="00446D48"/>
    <w:pPr>
      <w:numPr>
        <w:ilvl w:val="2"/>
        <w:numId w:val="4"/>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446D48"/>
    <w:rPr>
      <w:rFonts w:eastAsia="Times New Roman"/>
      <w:bCs/>
      <w:iCs/>
      <w:szCs w:val="16"/>
    </w:rPr>
  </w:style>
  <w:style w:type="character" w:customStyle="1" w:styleId="FootnotesChar">
    <w:name w:val="**. Footnotes Char"/>
    <w:link w:val="Footnotes"/>
    <w:rsid w:val="00446D48"/>
    <w:rPr>
      <w:rFonts w:ascii="Verdana" w:eastAsia="Times New Roman" w:hAnsi="Verdana" w:cs="Times New Roman"/>
      <w:bCs/>
      <w:iCs/>
      <w:sz w:val="16"/>
      <w:szCs w:val="16"/>
      <w:lang w:val="es-ES"/>
    </w:rPr>
  </w:style>
  <w:style w:type="character" w:styleId="Hyperlink">
    <w:name w:val="Hyperlink"/>
    <w:uiPriority w:val="99"/>
    <w:unhideWhenUsed/>
    <w:rsid w:val="00446D48"/>
    <w:rPr>
      <w:color w:val="0000FF"/>
      <w:u w:val="single"/>
    </w:rPr>
  </w:style>
  <w:style w:type="paragraph" w:customStyle="1" w:styleId="Style2">
    <w:name w:val="Style2"/>
    <w:basedOn w:val="Heading2"/>
    <w:link w:val="Style2Char"/>
    <w:autoRedefine/>
    <w:qFormat/>
    <w:rsid w:val="00446D48"/>
    <w:pPr>
      <w:numPr>
        <w:numId w:val="0"/>
      </w:numPr>
      <w:spacing w:before="360"/>
    </w:pPr>
    <w:rPr>
      <w:b w:val="0"/>
      <w:bCs w:val="0"/>
      <w:i w:val="0"/>
      <w:lang w:val="es-CR"/>
    </w:rPr>
  </w:style>
  <w:style w:type="paragraph" w:customStyle="1" w:styleId="Default">
    <w:name w:val="Default"/>
    <w:rsid w:val="00446D48"/>
    <w:pPr>
      <w:autoSpaceDE w:val="0"/>
      <w:autoSpaceDN w:val="0"/>
      <w:adjustRightInd w:val="0"/>
    </w:pPr>
    <w:rPr>
      <w:rFonts w:ascii="Verdana" w:hAnsi="Verdana" w:cs="Verdana"/>
      <w:color w:val="000000"/>
      <w:sz w:val="24"/>
      <w:szCs w:val="24"/>
    </w:rPr>
  </w:style>
  <w:style w:type="character" w:customStyle="1" w:styleId="Style2Char">
    <w:name w:val="Style2 Char"/>
    <w:link w:val="Style2"/>
    <w:rsid w:val="00446D48"/>
    <w:rPr>
      <w:rFonts w:ascii="Verdana" w:eastAsia="Times New Roman" w:hAnsi="Verdana" w:cs="Times New Roman"/>
      <w:b w:val="0"/>
      <w:bCs w:val="0"/>
      <w:i w:val="0"/>
      <w:noProof/>
      <w:sz w:val="20"/>
      <w:szCs w:val="20"/>
      <w:lang w:val="es-CR"/>
    </w:rPr>
  </w:style>
  <w:style w:type="paragraph" w:styleId="TOC1">
    <w:name w:val="toc 1"/>
    <w:basedOn w:val="Normal"/>
    <w:next w:val="Normal"/>
    <w:autoRedefine/>
    <w:uiPriority w:val="39"/>
    <w:unhideWhenUsed/>
    <w:rsid w:val="00446D48"/>
    <w:pPr>
      <w:tabs>
        <w:tab w:val="right" w:leader="dot" w:pos="9356"/>
      </w:tabs>
      <w:spacing w:before="60" w:after="60"/>
    </w:pPr>
    <w:rPr>
      <w:b/>
      <w:sz w:val="18"/>
    </w:rPr>
  </w:style>
  <w:style w:type="paragraph" w:styleId="TOC2">
    <w:name w:val="toc 2"/>
    <w:basedOn w:val="Normal"/>
    <w:next w:val="Normal"/>
    <w:autoRedefine/>
    <w:uiPriority w:val="39"/>
    <w:unhideWhenUsed/>
    <w:rsid w:val="00446D48"/>
    <w:pPr>
      <w:tabs>
        <w:tab w:val="left" w:pos="426"/>
        <w:tab w:val="right" w:leader="dot" w:pos="9356"/>
      </w:tabs>
      <w:spacing w:before="60" w:after="60"/>
      <w:ind w:left="142"/>
      <w:contextualSpacing/>
    </w:pPr>
    <w:rPr>
      <w:smallCaps/>
      <w:sz w:val="18"/>
    </w:rPr>
  </w:style>
  <w:style w:type="paragraph" w:styleId="TOC3">
    <w:name w:val="toc 3"/>
    <w:basedOn w:val="Normal"/>
    <w:next w:val="Normal"/>
    <w:autoRedefine/>
    <w:uiPriority w:val="39"/>
    <w:unhideWhenUsed/>
    <w:rsid w:val="00446D48"/>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446D48"/>
    <w:pPr>
      <w:spacing w:before="60" w:after="60"/>
      <w:ind w:left="601"/>
      <w:contextualSpacing/>
    </w:pPr>
    <w:rPr>
      <w:sz w:val="18"/>
    </w:rPr>
  </w:style>
  <w:style w:type="paragraph" w:styleId="TOC5">
    <w:name w:val="toc 5"/>
    <w:basedOn w:val="Normal"/>
    <w:next w:val="Normal"/>
    <w:autoRedefine/>
    <w:uiPriority w:val="39"/>
    <w:unhideWhenUsed/>
    <w:rsid w:val="00446D48"/>
    <w:pPr>
      <w:spacing w:before="60" w:after="60"/>
      <w:ind w:left="799"/>
      <w:contextualSpacing/>
    </w:pPr>
    <w:rPr>
      <w:sz w:val="18"/>
    </w:rPr>
  </w:style>
  <w:style w:type="paragraph" w:customStyle="1" w:styleId="Encabezadodetabladecontenido">
    <w:name w:val="Encabezado de tabla de contenido"/>
    <w:basedOn w:val="Heading1"/>
    <w:next w:val="Normal"/>
    <w:uiPriority w:val="39"/>
    <w:semiHidden/>
    <w:unhideWhenUsed/>
    <w:qFormat/>
    <w:rsid w:val="00446D48"/>
    <w:pPr>
      <w:spacing w:before="480" w:after="0" w:line="276" w:lineRule="auto"/>
      <w:jc w:val="left"/>
      <w:outlineLvl w:val="9"/>
    </w:pPr>
    <w:rPr>
      <w:rFonts w:ascii="Cambria" w:hAnsi="Cambria"/>
      <w:caps w:val="0"/>
      <w:snapToGrid/>
      <w:color w:val="365F91"/>
      <w:sz w:val="28"/>
      <w:szCs w:val="28"/>
      <w:lang w:val="en-US" w:eastAsia="en-US"/>
    </w:rPr>
  </w:style>
  <w:style w:type="paragraph" w:styleId="BalloonText">
    <w:name w:val="Balloon Text"/>
    <w:basedOn w:val="Normal"/>
    <w:link w:val="BalloonTextChar"/>
    <w:uiPriority w:val="99"/>
    <w:semiHidden/>
    <w:unhideWhenUsed/>
    <w:rsid w:val="00446D48"/>
    <w:rPr>
      <w:rFonts w:ascii="Tahoma" w:hAnsi="Tahoma" w:cs="Times New Roman"/>
      <w:noProof/>
      <w:sz w:val="16"/>
      <w:szCs w:val="16"/>
      <w:lang w:val="es-ES_tradnl" w:eastAsia="x-none"/>
    </w:rPr>
  </w:style>
  <w:style w:type="character" w:customStyle="1" w:styleId="BalloonTextChar">
    <w:name w:val="Balloon Text Char"/>
    <w:link w:val="BalloonText"/>
    <w:uiPriority w:val="99"/>
    <w:semiHidden/>
    <w:rsid w:val="00446D48"/>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C966F4"/>
    <w:pPr>
      <w:numPr>
        <w:numId w:val="2"/>
      </w:numPr>
      <w:tabs>
        <w:tab w:val="left" w:pos="720"/>
      </w:tabs>
    </w:pPr>
    <w:rPr>
      <w:rFonts w:eastAsia="Times New Roman"/>
      <w:bCs/>
      <w:sz w:val="20"/>
      <w:lang w:eastAsia="es-ES"/>
    </w:rPr>
  </w:style>
  <w:style w:type="paragraph" w:customStyle="1" w:styleId="Estilo2">
    <w:name w:val="Estilo2"/>
    <w:basedOn w:val="Normal"/>
    <w:qFormat/>
    <w:rsid w:val="00446D48"/>
    <w:pPr>
      <w:tabs>
        <w:tab w:val="left" w:pos="567"/>
        <w:tab w:val="left" w:pos="1134"/>
        <w:tab w:val="num" w:pos="4767"/>
      </w:tabs>
      <w:spacing w:after="120"/>
      <w:ind w:firstLine="357"/>
    </w:pPr>
    <w:rPr>
      <w:rFonts w:eastAsia="Calibri" w:cs="Times New Roman"/>
      <w:szCs w:val="20"/>
    </w:rPr>
  </w:style>
  <w:style w:type="table" w:styleId="LightGrid-Accent3">
    <w:name w:val="Light Grid Accent 3"/>
    <w:basedOn w:val="TableNormal"/>
    <w:uiPriority w:val="72"/>
    <w:rsid w:val="00446D4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446D48"/>
    <w:rPr>
      <w:rFonts w:cs="Times New Roman"/>
    </w:rPr>
  </w:style>
  <w:style w:type="paragraph" w:styleId="BodyText">
    <w:name w:val="Body Text"/>
    <w:basedOn w:val="Normal"/>
    <w:link w:val="BodyTextChar"/>
    <w:unhideWhenUsed/>
    <w:rsid w:val="00446D48"/>
    <w:rPr>
      <w:rFonts w:ascii="Garamond" w:eastAsia="Times" w:hAnsi="Garamond" w:cs="Times New Roman"/>
      <w:noProof/>
      <w:szCs w:val="20"/>
      <w:lang w:val="es-ES_tradnl" w:eastAsia="x-none"/>
    </w:rPr>
  </w:style>
  <w:style w:type="character" w:customStyle="1" w:styleId="BodyTextChar">
    <w:name w:val="Body Text Char"/>
    <w:link w:val="BodyText"/>
    <w:rsid w:val="00446D48"/>
    <w:rPr>
      <w:rFonts w:ascii="Garamond" w:eastAsia="Times" w:hAnsi="Garamond" w:cs="Times New Roman"/>
      <w:noProof/>
      <w:szCs w:val="20"/>
      <w:lang w:val="es-ES_tradnl"/>
    </w:rPr>
  </w:style>
  <w:style w:type="paragraph" w:customStyle="1" w:styleId="MediumShading1-Accent11">
    <w:name w:val="Medium Shading 1 - Accent 11"/>
    <w:uiPriority w:val="1"/>
    <w:qFormat/>
    <w:rsid w:val="00446D48"/>
    <w:rPr>
      <w:sz w:val="22"/>
      <w:szCs w:val="22"/>
    </w:rPr>
  </w:style>
  <w:style w:type="paragraph" w:styleId="Header">
    <w:name w:val="header"/>
    <w:basedOn w:val="Normal"/>
    <w:link w:val="HeaderChar"/>
    <w:uiPriority w:val="99"/>
    <w:unhideWhenUsed/>
    <w:rsid w:val="00446D48"/>
    <w:pPr>
      <w:tabs>
        <w:tab w:val="center" w:pos="4419"/>
        <w:tab w:val="right" w:pos="8838"/>
      </w:tabs>
    </w:pPr>
    <w:rPr>
      <w:rFonts w:cs="Times New Roman"/>
      <w:noProof/>
      <w:lang w:val="es-ES_tradnl" w:eastAsia="x-none"/>
    </w:rPr>
  </w:style>
  <w:style w:type="character" w:customStyle="1" w:styleId="HeaderChar">
    <w:name w:val="Header Char"/>
    <w:link w:val="Header"/>
    <w:uiPriority w:val="99"/>
    <w:rsid w:val="00446D48"/>
    <w:rPr>
      <w:rFonts w:ascii="Verdana" w:eastAsia="Batang" w:hAnsi="Verdana" w:cs="Times"/>
      <w:noProof/>
      <w:sz w:val="20"/>
      <w:szCs w:val="24"/>
      <w:lang w:val="es-ES_tradnl"/>
    </w:rPr>
  </w:style>
  <w:style w:type="paragraph" w:styleId="Footer">
    <w:name w:val="footer"/>
    <w:basedOn w:val="Normal"/>
    <w:link w:val="FooterChar"/>
    <w:uiPriority w:val="99"/>
    <w:unhideWhenUsed/>
    <w:rsid w:val="00446D48"/>
    <w:pPr>
      <w:tabs>
        <w:tab w:val="center" w:pos="4419"/>
        <w:tab w:val="right" w:pos="8838"/>
      </w:tabs>
    </w:pPr>
    <w:rPr>
      <w:rFonts w:cs="Times New Roman"/>
      <w:noProof/>
      <w:lang w:val="es-ES_tradnl" w:eastAsia="x-none"/>
    </w:rPr>
  </w:style>
  <w:style w:type="character" w:customStyle="1" w:styleId="FooterChar">
    <w:name w:val="Footer Char"/>
    <w:link w:val="Footer"/>
    <w:uiPriority w:val="99"/>
    <w:rsid w:val="00446D48"/>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446D48"/>
    <w:pPr>
      <w:spacing w:before="120"/>
      <w:ind w:left="720"/>
    </w:pPr>
    <w:rPr>
      <w:rFonts w:eastAsia="Times New Roman" w:cs="Times New Roman"/>
      <w:noProof/>
      <w:szCs w:val="20"/>
      <w:lang w:val="es-ES_tradnl" w:eastAsia="es-ES"/>
    </w:rPr>
  </w:style>
  <w:style w:type="character" w:customStyle="1" w:styleId="NotasProyectosChar">
    <w:name w:val="Notas Proyectos Char"/>
    <w:link w:val="NotasProyectos"/>
    <w:rsid w:val="00446D48"/>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nhideWhenUsed/>
    <w:rsid w:val="00446D48"/>
    <w:pPr>
      <w:jc w:val="left"/>
    </w:pPr>
    <w:rPr>
      <w:rFonts w:ascii="Times New Roman" w:eastAsia="Times New Roman" w:hAnsi="Times New Roman" w:cs="Times New Roman"/>
      <w:noProof/>
      <w:szCs w:val="20"/>
      <w:lang w:val="es-ES_tradnl" w:eastAsia="x-none"/>
    </w:rPr>
  </w:style>
  <w:style w:type="character" w:customStyle="1" w:styleId="CommentTextChar">
    <w:name w:val="Comment Text Char"/>
    <w:link w:val="CommentText"/>
    <w:rsid w:val="00446D48"/>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446D48"/>
    <w:pPr>
      <w:spacing w:before="120" w:after="120"/>
      <w:ind w:left="1440" w:hanging="360"/>
      <w:contextualSpacing w:val="0"/>
    </w:pPr>
    <w:rPr>
      <w:rFonts w:eastAsia="Times New Roman" w:cs="Univers"/>
      <w:color w:val="000000"/>
      <w:sz w:val="24"/>
    </w:rPr>
  </w:style>
  <w:style w:type="character" w:styleId="CommentReference">
    <w:name w:val="annotation reference"/>
    <w:semiHidden/>
    <w:unhideWhenUsed/>
    <w:rsid w:val="00446D48"/>
    <w:rPr>
      <w:sz w:val="16"/>
      <w:szCs w:val="16"/>
    </w:rPr>
  </w:style>
  <w:style w:type="paragraph" w:styleId="BodyTextIndent">
    <w:name w:val="Body Text Indent"/>
    <w:basedOn w:val="Normal"/>
    <w:link w:val="BodyTextIndentChar"/>
    <w:uiPriority w:val="99"/>
    <w:unhideWhenUsed/>
    <w:rsid w:val="00446D48"/>
    <w:pPr>
      <w:tabs>
        <w:tab w:val="left" w:pos="1276"/>
      </w:tabs>
      <w:spacing w:before="120" w:after="120"/>
      <w:ind w:left="1996" w:firstLine="164"/>
    </w:pPr>
    <w:rPr>
      <w:rFonts w:cs="Times New Roman"/>
      <w:i/>
      <w:noProof/>
      <w:szCs w:val="20"/>
      <w:lang w:val="es-ES_tradnl" w:eastAsia="x-none"/>
    </w:rPr>
  </w:style>
  <w:style w:type="character" w:customStyle="1" w:styleId="BodyTextIndentChar">
    <w:name w:val="Body Text Indent Char"/>
    <w:link w:val="BodyTextIndent"/>
    <w:uiPriority w:val="99"/>
    <w:rsid w:val="00446D48"/>
    <w:rPr>
      <w:rFonts w:ascii="Verdana" w:eastAsia="Batang" w:hAnsi="Verdana" w:cs="Arial"/>
      <w:i/>
      <w:noProof/>
      <w:sz w:val="20"/>
      <w:szCs w:val="20"/>
      <w:lang w:val="es-ES_tradnl"/>
    </w:rPr>
  </w:style>
  <w:style w:type="character" w:styleId="Emphasis">
    <w:name w:val="Emphasis"/>
    <w:uiPriority w:val="20"/>
    <w:qFormat/>
    <w:rsid w:val="00446D48"/>
    <w:rPr>
      <w:i/>
      <w:iCs/>
    </w:rPr>
  </w:style>
  <w:style w:type="paragraph" w:customStyle="1" w:styleId="Prrafonumerado">
    <w:name w:val="Párrafo numerado"/>
    <w:basedOn w:val="Normal"/>
    <w:autoRedefine/>
    <w:rsid w:val="00446D48"/>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446D48"/>
    <w:rPr>
      <w:rFonts w:eastAsia="Times New Roman"/>
      <w:iCs/>
      <w:szCs w:val="18"/>
    </w:rPr>
  </w:style>
  <w:style w:type="character" w:customStyle="1" w:styleId="2FootnotesChar">
    <w:name w:val="2. Footnotes Char"/>
    <w:link w:val="2Footnotes"/>
    <w:rsid w:val="00446D48"/>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446D48"/>
    <w:rPr>
      <w:rFonts w:ascii="Tahoma" w:hAnsi="Tahoma" w:cs="Times New Roman"/>
      <w:noProof/>
      <w:sz w:val="16"/>
      <w:szCs w:val="16"/>
      <w:lang w:val="es-ES_tradnl" w:eastAsia="x-none"/>
    </w:rPr>
  </w:style>
  <w:style w:type="character" w:customStyle="1" w:styleId="DocumentMapChar">
    <w:name w:val="Document Map Char"/>
    <w:link w:val="DocumentMap"/>
    <w:uiPriority w:val="99"/>
    <w:semiHidden/>
    <w:rsid w:val="00446D48"/>
    <w:rPr>
      <w:rFonts w:ascii="Tahoma" w:eastAsia="Batang" w:hAnsi="Tahoma" w:cs="Tahoma"/>
      <w:noProof/>
      <w:sz w:val="16"/>
      <w:szCs w:val="16"/>
      <w:lang w:val="es-ES_tradnl"/>
    </w:rPr>
  </w:style>
  <w:style w:type="paragraph" w:styleId="EndnoteText">
    <w:name w:val="endnote text"/>
    <w:basedOn w:val="Normal"/>
    <w:link w:val="EndnoteTextChar"/>
    <w:uiPriority w:val="99"/>
    <w:semiHidden/>
    <w:unhideWhenUsed/>
    <w:rsid w:val="00446D48"/>
    <w:rPr>
      <w:rFonts w:cs="Times New Roman"/>
      <w:noProof/>
      <w:szCs w:val="20"/>
      <w:lang w:val="es-ES_tradnl" w:eastAsia="x-none"/>
    </w:rPr>
  </w:style>
  <w:style w:type="character" w:customStyle="1" w:styleId="EndnoteTextChar">
    <w:name w:val="Endnote Text Char"/>
    <w:link w:val="EndnoteText"/>
    <w:uiPriority w:val="99"/>
    <w:semiHidden/>
    <w:rsid w:val="00446D48"/>
    <w:rPr>
      <w:rFonts w:ascii="Verdana" w:eastAsia="Batang" w:hAnsi="Verdana" w:cs="Times"/>
      <w:noProof/>
      <w:sz w:val="20"/>
      <w:szCs w:val="20"/>
      <w:lang w:val="es-ES_tradnl"/>
    </w:rPr>
  </w:style>
  <w:style w:type="character" w:styleId="EndnoteReference">
    <w:name w:val="endnote reference"/>
    <w:uiPriority w:val="99"/>
    <w:semiHidden/>
    <w:unhideWhenUsed/>
    <w:rsid w:val="00446D48"/>
    <w:rPr>
      <w:vertAlign w:val="superscript"/>
    </w:rPr>
  </w:style>
  <w:style w:type="paragraph" w:customStyle="1" w:styleId="PrrafodeSentencia">
    <w:name w:val="Párrafo de Sentencia"/>
    <w:basedOn w:val="MediumGrid1-Accent21"/>
    <w:autoRedefine/>
    <w:qFormat/>
    <w:rsid w:val="00446D48"/>
    <w:pPr>
      <w:numPr>
        <w:ilvl w:val="4"/>
        <w:numId w:val="6"/>
      </w:numPr>
      <w:tabs>
        <w:tab w:val="num" w:pos="360"/>
      </w:tabs>
      <w:ind w:left="720" w:firstLine="0"/>
    </w:pPr>
    <w:rPr>
      <w:rFonts w:eastAsia="Times New Roman"/>
      <w:szCs w:val="20"/>
      <w:lang w:eastAsia="es-ES"/>
    </w:rPr>
  </w:style>
  <w:style w:type="paragraph" w:customStyle="1" w:styleId="Textonotapie1">
    <w:name w:val="Texto nota pie1"/>
    <w:basedOn w:val="Normal"/>
    <w:semiHidden/>
    <w:rsid w:val="00446D48"/>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446D48"/>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446D48"/>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446D48"/>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446D48"/>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446D48"/>
  </w:style>
  <w:style w:type="character" w:customStyle="1" w:styleId="apple-converted-space">
    <w:name w:val="apple-converted-space"/>
    <w:basedOn w:val="DefaultParagraphFont"/>
    <w:rsid w:val="00446D48"/>
  </w:style>
  <w:style w:type="paragraph" w:styleId="NormalWeb">
    <w:name w:val="Normal (Web)"/>
    <w:basedOn w:val="Normal"/>
    <w:unhideWhenUsed/>
    <w:rsid w:val="00446D48"/>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446D48"/>
  </w:style>
  <w:style w:type="character" w:customStyle="1" w:styleId="PrrafodeSentenciaChar">
    <w:name w:val="*. Párrafo de Sentencia Char"/>
    <w:link w:val="PrrafodeSentencia0"/>
    <w:rsid w:val="00C966F4"/>
    <w:rPr>
      <w:rFonts w:ascii="Verdana" w:eastAsia="Times New Roman" w:hAnsi="Verdana"/>
      <w:bCs/>
      <w:noProof/>
      <w:lang w:val="es-ES_tradnl" w:eastAsia="es-ES"/>
    </w:rPr>
  </w:style>
  <w:style w:type="character" w:customStyle="1" w:styleId="Caracteresdenotafinal">
    <w:name w:val="Caracteres de nota final"/>
    <w:rsid w:val="00446D48"/>
    <w:rPr>
      <w:vertAlign w:val="superscript"/>
    </w:rPr>
  </w:style>
  <w:style w:type="character" w:customStyle="1" w:styleId="FootnoteRef">
    <w:name w:val="Footnote Ref"/>
    <w:rsid w:val="00446D48"/>
    <w:rPr>
      <w:rFonts w:cs="Times New Roman"/>
      <w:vertAlign w:val="superscript"/>
    </w:rPr>
  </w:style>
  <w:style w:type="paragraph" w:styleId="PlainText">
    <w:name w:val="Plain Text"/>
    <w:basedOn w:val="Normal"/>
    <w:link w:val="PlainTextChar"/>
    <w:uiPriority w:val="99"/>
    <w:unhideWhenUsed/>
    <w:rsid w:val="00446D48"/>
    <w:pPr>
      <w:jc w:val="left"/>
    </w:pPr>
    <w:rPr>
      <w:rFonts w:ascii="Consolas" w:eastAsia="Calibri" w:hAnsi="Consolas" w:cs="Times New Roman"/>
      <w:noProof/>
      <w:sz w:val="21"/>
      <w:szCs w:val="21"/>
      <w:lang w:val="es-CR" w:eastAsia="es-CR"/>
    </w:rPr>
  </w:style>
  <w:style w:type="character" w:customStyle="1" w:styleId="PlainTextChar">
    <w:name w:val="Plain Text Char"/>
    <w:link w:val="PlainText"/>
    <w:uiPriority w:val="99"/>
    <w:rsid w:val="00446D48"/>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446D48"/>
    <w:pPr>
      <w:jc w:val="both"/>
    </w:pPr>
    <w:rPr>
      <w:rFonts w:ascii="Verdana" w:eastAsia="Batang" w:hAnsi="Verdana"/>
      <w:b/>
      <w:bCs/>
    </w:rPr>
  </w:style>
  <w:style w:type="character" w:customStyle="1" w:styleId="CommentSubjectChar">
    <w:name w:val="Comment Subject Char"/>
    <w:link w:val="CommentSubject"/>
    <w:uiPriority w:val="99"/>
    <w:semiHidden/>
    <w:rsid w:val="00446D48"/>
    <w:rPr>
      <w:rFonts w:ascii="Verdana" w:eastAsia="Batang" w:hAnsi="Verdana" w:cs="Times"/>
      <w:b/>
      <w:bCs/>
      <w:noProof/>
      <w:sz w:val="20"/>
      <w:szCs w:val="20"/>
      <w:lang w:val="es-ES_tradnl"/>
    </w:rPr>
  </w:style>
  <w:style w:type="character" w:styleId="FollowedHyperlink">
    <w:name w:val="FollowedHyperlink"/>
    <w:uiPriority w:val="99"/>
    <w:semiHidden/>
    <w:unhideWhenUsed/>
    <w:rsid w:val="00446D48"/>
    <w:rPr>
      <w:color w:val="800080"/>
      <w:u w:val="single"/>
    </w:rPr>
  </w:style>
  <w:style w:type="paragraph" w:customStyle="1" w:styleId="CM15">
    <w:name w:val="CM15"/>
    <w:basedOn w:val="Default"/>
    <w:next w:val="Default"/>
    <w:uiPriority w:val="99"/>
    <w:rsid w:val="00446D48"/>
    <w:pPr>
      <w:spacing w:line="276" w:lineRule="atLeast"/>
    </w:pPr>
    <w:rPr>
      <w:rFonts w:ascii="Arial" w:hAnsi="Arial" w:cs="Arial"/>
      <w:color w:val="auto"/>
    </w:rPr>
  </w:style>
  <w:style w:type="character" w:customStyle="1" w:styleId="longtext1">
    <w:name w:val="long_text1"/>
    <w:rsid w:val="00446D48"/>
    <w:rPr>
      <w:sz w:val="14"/>
      <w:szCs w:val="14"/>
    </w:rPr>
  </w:style>
  <w:style w:type="character" w:customStyle="1" w:styleId="ListParagraphChar1">
    <w:name w:val="List Paragraph Char1"/>
    <w:uiPriority w:val="99"/>
    <w:rsid w:val="00446D48"/>
    <w:rPr>
      <w:rFonts w:ascii="Verdana" w:eastAsia="Times New Roman" w:hAnsi="Verdana"/>
      <w:lang w:val="es-ES_tradnl" w:eastAsia="en-US"/>
    </w:rPr>
  </w:style>
  <w:style w:type="character" w:customStyle="1" w:styleId="apple-style-span">
    <w:name w:val="apple-style-span"/>
    <w:basedOn w:val="DefaultParagraphFont"/>
    <w:rsid w:val="00446D48"/>
  </w:style>
  <w:style w:type="character" w:customStyle="1" w:styleId="Refdenotaalpie2">
    <w:name w:val="Ref. de nota al pie2"/>
    <w:rsid w:val="00446D48"/>
    <w:rPr>
      <w:vertAlign w:val="superscript"/>
    </w:rPr>
  </w:style>
  <w:style w:type="paragraph" w:customStyle="1" w:styleId="MediumList2-Accent21">
    <w:name w:val="Medium List 2 - Accent 21"/>
    <w:hidden/>
    <w:uiPriority w:val="99"/>
    <w:semiHidden/>
    <w:rsid w:val="00446D48"/>
    <w:rPr>
      <w:rFonts w:ascii="Verdana" w:eastAsia="Batang" w:hAnsi="Verdana" w:cs="Times"/>
      <w:noProof/>
      <w:szCs w:val="24"/>
      <w:lang w:val="es-ES_tradnl"/>
    </w:rPr>
  </w:style>
  <w:style w:type="paragraph" w:customStyle="1" w:styleId="xl66">
    <w:name w:val="xl66"/>
    <w:basedOn w:val="Normal"/>
    <w:rsid w:val="00446D48"/>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7">
    <w:name w:val="xl67"/>
    <w:basedOn w:val="Normal"/>
    <w:rsid w:val="00446D48"/>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68">
    <w:name w:val="xl68"/>
    <w:basedOn w:val="Normal"/>
    <w:rsid w:val="00446D48"/>
    <w:pPr>
      <w:pBdr>
        <w:top w:val="single" w:sz="8"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0">
    <w:name w:val="xl70"/>
    <w:basedOn w:val="Normal"/>
    <w:rsid w:val="00446D48"/>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color w:val="000000"/>
      <w:sz w:val="24"/>
      <w:lang w:val="es-CR" w:eastAsia="es-CR"/>
    </w:rPr>
  </w:style>
  <w:style w:type="paragraph" w:customStyle="1" w:styleId="xl71">
    <w:name w:val="xl71"/>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2">
    <w:name w:val="xl72"/>
    <w:basedOn w:val="Normal"/>
    <w:rsid w:val="00446D48"/>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3">
    <w:name w:val="xl73"/>
    <w:basedOn w:val="Normal"/>
    <w:rsid w:val="00446D48"/>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4">
    <w:name w:val="xl74"/>
    <w:basedOn w:val="Normal"/>
    <w:rsid w:val="00446D48"/>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5">
    <w:name w:val="xl75"/>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6">
    <w:name w:val="xl76"/>
    <w:basedOn w:val="Normal"/>
    <w:rsid w:val="00446D48"/>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77">
    <w:name w:val="xl77"/>
    <w:basedOn w:val="Normal"/>
    <w:rsid w:val="00446D48"/>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color w:val="000000"/>
      <w:sz w:val="24"/>
      <w:lang w:val="es-CR" w:eastAsia="es-CR"/>
    </w:rPr>
  </w:style>
  <w:style w:type="paragraph" w:customStyle="1" w:styleId="xl69">
    <w:name w:val="xl69"/>
    <w:basedOn w:val="Normal"/>
    <w:rsid w:val="00446D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lang w:val="es-CR" w:eastAsia="es-CR"/>
    </w:rPr>
  </w:style>
  <w:style w:type="paragraph" w:styleId="BodyTextIndent2">
    <w:name w:val="Body Text Indent 2"/>
    <w:basedOn w:val="Normal"/>
    <w:link w:val="BodyTextIndent2Char"/>
    <w:uiPriority w:val="99"/>
    <w:semiHidden/>
    <w:unhideWhenUsed/>
    <w:rsid w:val="00DD2BA7"/>
    <w:pPr>
      <w:spacing w:after="120" w:line="480" w:lineRule="auto"/>
      <w:ind w:left="283"/>
    </w:pPr>
    <w:rPr>
      <w:rFonts w:cs="Times New Roman"/>
      <w:noProof/>
      <w:lang w:val="es-ES_tradnl" w:eastAsia="x-none"/>
    </w:rPr>
  </w:style>
  <w:style w:type="character" w:customStyle="1" w:styleId="BodyTextIndent2Char">
    <w:name w:val="Body Text Indent 2 Char"/>
    <w:link w:val="BodyTextIndent2"/>
    <w:uiPriority w:val="99"/>
    <w:semiHidden/>
    <w:rsid w:val="00DD2BA7"/>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4564D5"/>
    <w:pPr>
      <w:spacing w:before="120"/>
      <w:ind w:left="720"/>
    </w:pPr>
    <w:rPr>
      <w:rFonts w:eastAsia="Times New Roman" w:cs="Times New Roman"/>
      <w:szCs w:val="20"/>
      <w:lang w:val="es-ES_tradnl" w:eastAsia="es-ES"/>
    </w:rPr>
  </w:style>
  <w:style w:type="character" w:customStyle="1" w:styleId="NotasProyectosChar0">
    <w:name w:val="***. Notas Proyectos Char"/>
    <w:link w:val="NotasProyectos0"/>
    <w:rsid w:val="004564D5"/>
    <w:rPr>
      <w:rFonts w:ascii="Verdana" w:eastAsia="Times New Roman" w:hAnsi="Verdana" w:cs="Times New Roman"/>
      <w:sz w:val="20"/>
      <w:szCs w:val="20"/>
      <w:lang w:val="es-ES_tradnl" w:eastAsia="es-ES"/>
    </w:rPr>
  </w:style>
  <w:style w:type="character" w:styleId="Strong">
    <w:name w:val="Strong"/>
    <w:uiPriority w:val="22"/>
    <w:qFormat/>
    <w:rsid w:val="003E0E76"/>
    <w:rPr>
      <w:b/>
      <w:bCs/>
    </w:rPr>
  </w:style>
  <w:style w:type="character" w:customStyle="1" w:styleId="column01">
    <w:name w:val="column01"/>
    <w:basedOn w:val="DefaultParagraphFont"/>
    <w:rsid w:val="00EC583A"/>
  </w:style>
  <w:style w:type="paragraph" w:customStyle="1" w:styleId="NormalNumbered">
    <w:name w:val="Normal Numbered"/>
    <w:basedOn w:val="Normal"/>
    <w:qFormat/>
    <w:rsid w:val="00B427C0"/>
    <w:rPr>
      <w:rFonts w:eastAsia="Times New Roman" w:cs="Times New Roman"/>
      <w:szCs w:val="20"/>
      <w:lang w:val="x-none" w:eastAsia="x-none"/>
    </w:rPr>
  </w:style>
  <w:style w:type="character" w:customStyle="1" w:styleId="normal--char">
    <w:name w:val="normal--char"/>
    <w:basedOn w:val="DefaultParagraphFont"/>
    <w:uiPriority w:val="99"/>
    <w:rsid w:val="00B427C0"/>
  </w:style>
  <w:style w:type="paragraph" w:customStyle="1" w:styleId="ju-005fpara">
    <w:name w:val="ju-005fpara"/>
    <w:basedOn w:val="Normal"/>
    <w:rsid w:val="00EB2D66"/>
    <w:pPr>
      <w:spacing w:before="100" w:beforeAutospacing="1" w:after="100" w:afterAutospacing="1"/>
      <w:jc w:val="left"/>
    </w:pPr>
    <w:rPr>
      <w:rFonts w:ascii="Times New Roman" w:eastAsia="Times New Roman" w:hAnsi="Times New Roman" w:cs="Times New Roman"/>
      <w:sz w:val="24"/>
      <w:lang w:eastAsia="es-ES"/>
    </w:rPr>
  </w:style>
  <w:style w:type="character" w:customStyle="1" w:styleId="ju-005fpara--char">
    <w:name w:val="ju-005fpara--char"/>
    <w:basedOn w:val="DefaultParagraphFont"/>
    <w:rsid w:val="00EB2D66"/>
  </w:style>
  <w:style w:type="character" w:customStyle="1" w:styleId="sb8d990e2">
    <w:name w:val="sb8d990e2"/>
    <w:rsid w:val="009A759E"/>
  </w:style>
  <w:style w:type="character" w:customStyle="1" w:styleId="s7d2086b4">
    <w:name w:val="s7d2086b4"/>
    <w:rsid w:val="009A759E"/>
  </w:style>
  <w:style w:type="character" w:customStyle="1" w:styleId="s6b621b36">
    <w:name w:val="s6b621b36"/>
    <w:rsid w:val="009A759E"/>
  </w:style>
  <w:style w:type="paragraph" w:customStyle="1" w:styleId="ColorfulList-Accent12">
    <w:name w:val="Colorful List - Accent 12"/>
    <w:basedOn w:val="Normal"/>
    <w:uiPriority w:val="34"/>
    <w:qFormat/>
    <w:rsid w:val="00AB6DD0"/>
    <w:pPr>
      <w:ind w:left="708"/>
    </w:pPr>
  </w:style>
  <w:style w:type="paragraph" w:styleId="NoSpacing">
    <w:name w:val="No Spacing"/>
    <w:uiPriority w:val="1"/>
    <w:qFormat/>
    <w:rsid w:val="007D7A08"/>
    <w:rPr>
      <w:sz w:val="22"/>
      <w:szCs w:val="22"/>
      <w:lang w:val="es-CR"/>
    </w:rPr>
  </w:style>
  <w:style w:type="paragraph" w:styleId="ListParagraph">
    <w:name w:val="List Paragraph"/>
    <w:aliases w:val="List Paragraph2"/>
    <w:basedOn w:val="Normal"/>
    <w:uiPriority w:val="34"/>
    <w:qFormat/>
    <w:rsid w:val="00DC589E"/>
    <w:pPr>
      <w:spacing w:after="200" w:line="276" w:lineRule="auto"/>
      <w:ind w:left="720"/>
      <w:contextualSpacing/>
      <w:jc w:val="left"/>
    </w:pPr>
    <w:rPr>
      <w:rFonts w:eastAsia="Calibri" w:cs="Times New Roman"/>
      <w:szCs w:val="20"/>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6B0B1E"/>
    <w:rPr>
      <w:rFonts w:ascii="Calibri" w:eastAsia="Calibri" w:hAnsi="Calibri" w:cs="Times New Roman"/>
      <w:szCs w:val="20"/>
      <w:vertAlign w:val="superscript"/>
      <w:lang w:val="en-US"/>
    </w:rPr>
  </w:style>
  <w:style w:type="paragraph" w:styleId="Revision">
    <w:name w:val="Revision"/>
    <w:hidden/>
    <w:uiPriority w:val="71"/>
    <w:rsid w:val="00735AAD"/>
    <w:rPr>
      <w:rFonts w:ascii="Verdana" w:eastAsia="Batang" w:hAnsi="Verdana" w:cs="Times"/>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393">
      <w:bodyDiv w:val="1"/>
      <w:marLeft w:val="0"/>
      <w:marRight w:val="0"/>
      <w:marTop w:val="0"/>
      <w:marBottom w:val="0"/>
      <w:divBdr>
        <w:top w:val="none" w:sz="0" w:space="0" w:color="auto"/>
        <w:left w:val="none" w:sz="0" w:space="0" w:color="auto"/>
        <w:bottom w:val="none" w:sz="0" w:space="0" w:color="auto"/>
        <w:right w:val="none" w:sz="0" w:space="0" w:color="auto"/>
      </w:divBdr>
    </w:div>
    <w:div w:id="52900014">
      <w:bodyDiv w:val="1"/>
      <w:marLeft w:val="0"/>
      <w:marRight w:val="0"/>
      <w:marTop w:val="0"/>
      <w:marBottom w:val="0"/>
      <w:divBdr>
        <w:top w:val="none" w:sz="0" w:space="0" w:color="auto"/>
        <w:left w:val="none" w:sz="0" w:space="0" w:color="auto"/>
        <w:bottom w:val="none" w:sz="0" w:space="0" w:color="auto"/>
        <w:right w:val="none" w:sz="0" w:space="0" w:color="auto"/>
      </w:divBdr>
    </w:div>
    <w:div w:id="643433444">
      <w:bodyDiv w:val="1"/>
      <w:marLeft w:val="0"/>
      <w:marRight w:val="0"/>
      <w:marTop w:val="0"/>
      <w:marBottom w:val="0"/>
      <w:divBdr>
        <w:top w:val="none" w:sz="0" w:space="0" w:color="auto"/>
        <w:left w:val="none" w:sz="0" w:space="0" w:color="auto"/>
        <w:bottom w:val="none" w:sz="0" w:space="0" w:color="auto"/>
        <w:right w:val="none" w:sz="0" w:space="0" w:color="auto"/>
      </w:divBdr>
    </w:div>
    <w:div w:id="686444923">
      <w:bodyDiv w:val="1"/>
      <w:marLeft w:val="0"/>
      <w:marRight w:val="0"/>
      <w:marTop w:val="0"/>
      <w:marBottom w:val="0"/>
      <w:divBdr>
        <w:top w:val="none" w:sz="0" w:space="0" w:color="auto"/>
        <w:left w:val="none" w:sz="0" w:space="0" w:color="auto"/>
        <w:bottom w:val="none" w:sz="0" w:space="0" w:color="auto"/>
        <w:right w:val="none" w:sz="0" w:space="0" w:color="auto"/>
      </w:divBdr>
    </w:div>
    <w:div w:id="732970822">
      <w:bodyDiv w:val="1"/>
      <w:marLeft w:val="0"/>
      <w:marRight w:val="0"/>
      <w:marTop w:val="0"/>
      <w:marBottom w:val="0"/>
      <w:divBdr>
        <w:top w:val="none" w:sz="0" w:space="0" w:color="auto"/>
        <w:left w:val="none" w:sz="0" w:space="0" w:color="auto"/>
        <w:bottom w:val="none" w:sz="0" w:space="0" w:color="auto"/>
        <w:right w:val="none" w:sz="0" w:space="0" w:color="auto"/>
      </w:divBdr>
    </w:div>
    <w:div w:id="768739010">
      <w:bodyDiv w:val="1"/>
      <w:marLeft w:val="0"/>
      <w:marRight w:val="0"/>
      <w:marTop w:val="0"/>
      <w:marBottom w:val="0"/>
      <w:divBdr>
        <w:top w:val="none" w:sz="0" w:space="0" w:color="auto"/>
        <w:left w:val="none" w:sz="0" w:space="0" w:color="auto"/>
        <w:bottom w:val="none" w:sz="0" w:space="0" w:color="auto"/>
        <w:right w:val="none" w:sz="0" w:space="0" w:color="auto"/>
      </w:divBdr>
    </w:div>
    <w:div w:id="959996723">
      <w:bodyDiv w:val="1"/>
      <w:marLeft w:val="0"/>
      <w:marRight w:val="0"/>
      <w:marTop w:val="0"/>
      <w:marBottom w:val="0"/>
      <w:divBdr>
        <w:top w:val="none" w:sz="0" w:space="0" w:color="auto"/>
        <w:left w:val="none" w:sz="0" w:space="0" w:color="auto"/>
        <w:bottom w:val="none" w:sz="0" w:space="0" w:color="auto"/>
        <w:right w:val="none" w:sz="0" w:space="0" w:color="auto"/>
      </w:divBdr>
    </w:div>
    <w:div w:id="1020005690">
      <w:bodyDiv w:val="1"/>
      <w:marLeft w:val="0"/>
      <w:marRight w:val="0"/>
      <w:marTop w:val="0"/>
      <w:marBottom w:val="0"/>
      <w:divBdr>
        <w:top w:val="none" w:sz="0" w:space="0" w:color="auto"/>
        <w:left w:val="none" w:sz="0" w:space="0" w:color="auto"/>
        <w:bottom w:val="none" w:sz="0" w:space="0" w:color="auto"/>
        <w:right w:val="none" w:sz="0" w:space="0" w:color="auto"/>
      </w:divBdr>
    </w:div>
    <w:div w:id="1067605365">
      <w:bodyDiv w:val="1"/>
      <w:marLeft w:val="0"/>
      <w:marRight w:val="0"/>
      <w:marTop w:val="0"/>
      <w:marBottom w:val="0"/>
      <w:divBdr>
        <w:top w:val="none" w:sz="0" w:space="0" w:color="auto"/>
        <w:left w:val="none" w:sz="0" w:space="0" w:color="auto"/>
        <w:bottom w:val="none" w:sz="0" w:space="0" w:color="auto"/>
        <w:right w:val="none" w:sz="0" w:space="0" w:color="auto"/>
      </w:divBdr>
    </w:div>
    <w:div w:id="1209803921">
      <w:bodyDiv w:val="1"/>
      <w:marLeft w:val="0"/>
      <w:marRight w:val="0"/>
      <w:marTop w:val="0"/>
      <w:marBottom w:val="0"/>
      <w:divBdr>
        <w:top w:val="none" w:sz="0" w:space="0" w:color="auto"/>
        <w:left w:val="none" w:sz="0" w:space="0" w:color="auto"/>
        <w:bottom w:val="none" w:sz="0" w:space="0" w:color="auto"/>
        <w:right w:val="none" w:sz="0" w:space="0" w:color="auto"/>
      </w:divBdr>
    </w:div>
    <w:div w:id="1542207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E933-FD62-47AB-8A22-F9065F16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6987</Words>
  <Characters>35614</Characters>
  <Application>Microsoft Office Word</Application>
  <DocSecurity>4</DocSecurity>
  <Lines>296</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2016-04-15T22:49:00Z</cp:lastPrinted>
  <dcterms:created xsi:type="dcterms:W3CDTF">2018-12-05T23:12:00Z</dcterms:created>
  <dcterms:modified xsi:type="dcterms:W3CDTF">2018-12-05T23:12:00Z</dcterms:modified>
</cp:coreProperties>
</file>