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9F1FD4" w14:textId="036E361D" w:rsidR="00BD5BB5" w:rsidRDefault="00BD5BB5" w:rsidP="00C90B3F">
      <w:pPr>
        <w:pStyle w:val="TOCHeading"/>
        <w:spacing w:before="120" w:after="120" w:line="240" w:lineRule="auto"/>
        <w:jc w:val="left"/>
      </w:pPr>
      <w:bookmarkStart w:id="0" w:name="_GoBack"/>
      <w:bookmarkEnd w:id="0"/>
    </w:p>
    <w:p w14:paraId="7BF3158A" w14:textId="77777777" w:rsidR="00AD4D6A" w:rsidRDefault="00AD4D6A" w:rsidP="00AD4D6A">
      <w:pPr>
        <w:rPr>
          <w:lang w:val="en-US" w:eastAsia="ja-JP"/>
        </w:rPr>
      </w:pPr>
    </w:p>
    <w:p w14:paraId="378E4239" w14:textId="77777777" w:rsidR="00AD4D6A" w:rsidRDefault="00AD4D6A" w:rsidP="00AD4D6A">
      <w:pPr>
        <w:rPr>
          <w:lang w:val="en-US" w:eastAsia="ja-JP"/>
        </w:rPr>
      </w:pPr>
    </w:p>
    <w:p w14:paraId="678F5E8B" w14:textId="77777777" w:rsidR="00AD4D6A" w:rsidRPr="00AD4D6A" w:rsidRDefault="00AD4D6A" w:rsidP="00AD4D6A">
      <w:pPr>
        <w:rPr>
          <w:lang w:val="en-US" w:eastAsia="ja-JP"/>
        </w:rPr>
      </w:pPr>
    </w:p>
    <w:p w14:paraId="4D6A8EDC" w14:textId="77777777" w:rsidR="00291378" w:rsidRPr="00CA2568" w:rsidRDefault="00291378" w:rsidP="002E1C85">
      <w:pPr>
        <w:widowControl w:val="0"/>
        <w:adjustRightInd w:val="0"/>
        <w:spacing w:after="0" w:line="240" w:lineRule="auto"/>
        <w:jc w:val="center"/>
        <w:textAlignment w:val="baseline"/>
        <w:rPr>
          <w:rFonts w:ascii="Verdana" w:eastAsia="Calibri" w:hAnsi="Verdana" w:cs="Calibri"/>
          <w:b/>
          <w:sz w:val="20"/>
          <w:szCs w:val="20"/>
          <w:lang w:val="es-CR" w:eastAsia="es-CR"/>
        </w:rPr>
      </w:pPr>
    </w:p>
    <w:p w14:paraId="64AA5D4E" w14:textId="77777777" w:rsidR="002E1C85" w:rsidRPr="002E1C85" w:rsidRDefault="002E1C85" w:rsidP="002E1C85">
      <w:pPr>
        <w:widowControl w:val="0"/>
        <w:adjustRightInd w:val="0"/>
        <w:spacing w:after="0" w:line="240" w:lineRule="auto"/>
        <w:jc w:val="center"/>
        <w:textAlignment w:val="baseline"/>
        <w:rPr>
          <w:rFonts w:ascii="Verdana" w:eastAsia="Calibri" w:hAnsi="Verdana" w:cs="Calibri"/>
          <w:b/>
          <w:sz w:val="20"/>
          <w:szCs w:val="20"/>
          <w:lang w:val="es-ES" w:eastAsia="es-CR"/>
        </w:rPr>
      </w:pPr>
      <w:r w:rsidRPr="002E1C85">
        <w:rPr>
          <w:rFonts w:ascii="Verdana" w:eastAsia="Calibri" w:hAnsi="Verdana" w:cs="Calibri"/>
          <w:b/>
          <w:sz w:val="20"/>
          <w:szCs w:val="20"/>
          <w:lang w:val="es-ES" w:eastAsia="es-CR"/>
        </w:rPr>
        <w:t>CORTE INTERAMERICANA DE DERECHOS HUMANOS</w:t>
      </w:r>
    </w:p>
    <w:p w14:paraId="64AA5D4F" w14:textId="77777777" w:rsidR="002E1C85" w:rsidRPr="002E1C85" w:rsidRDefault="002E1C85" w:rsidP="002E1C85">
      <w:pPr>
        <w:widowControl w:val="0"/>
        <w:tabs>
          <w:tab w:val="left" w:pos="720"/>
        </w:tabs>
        <w:adjustRightInd w:val="0"/>
        <w:spacing w:after="0" w:line="240" w:lineRule="auto"/>
        <w:jc w:val="center"/>
        <w:textAlignment w:val="baseline"/>
        <w:rPr>
          <w:rFonts w:ascii="Verdana" w:eastAsia="Calibri" w:hAnsi="Verdana" w:cs="Verdana"/>
          <w:b/>
          <w:bCs/>
          <w:caps/>
          <w:snapToGrid w:val="0"/>
          <w:sz w:val="20"/>
          <w:szCs w:val="20"/>
          <w:lang w:val="es-ES" w:eastAsia="es-ES"/>
        </w:rPr>
      </w:pPr>
    </w:p>
    <w:p w14:paraId="64AA5D50" w14:textId="537B92C4" w:rsidR="002E1C85" w:rsidRPr="002E1C85" w:rsidRDefault="002E1C85" w:rsidP="002E1C85">
      <w:pPr>
        <w:spacing w:after="0" w:line="240" w:lineRule="auto"/>
        <w:jc w:val="center"/>
        <w:rPr>
          <w:rFonts w:ascii="Verdana" w:eastAsia="Calibri" w:hAnsi="Verdana" w:cs="Calibri"/>
          <w:b/>
          <w:sz w:val="20"/>
          <w:szCs w:val="20"/>
          <w:lang w:val="es-CR" w:eastAsia="es-CR"/>
        </w:rPr>
      </w:pPr>
      <w:r w:rsidRPr="002E1C85">
        <w:rPr>
          <w:rFonts w:ascii="Verdana" w:eastAsia="Calibri" w:hAnsi="Verdana" w:cs="Calibri"/>
          <w:b/>
          <w:sz w:val="20"/>
          <w:szCs w:val="20"/>
          <w:lang w:val="es-CR" w:eastAsia="es-CR"/>
        </w:rPr>
        <w:t xml:space="preserve">CASO ALVARADO ESPINOZA Y OTROS </w:t>
      </w:r>
      <w:r w:rsidRPr="0029469F">
        <w:rPr>
          <w:rFonts w:ascii="Verdana" w:eastAsia="Calibri" w:hAnsi="Verdana" w:cs="Calibri"/>
          <w:b/>
          <w:i/>
          <w:sz w:val="20"/>
          <w:szCs w:val="20"/>
          <w:lang w:val="es-CR" w:eastAsia="es-CR"/>
        </w:rPr>
        <w:t>VS</w:t>
      </w:r>
      <w:r w:rsidRPr="00AD4631">
        <w:rPr>
          <w:rFonts w:ascii="Verdana" w:eastAsia="Calibri" w:hAnsi="Verdana" w:cs="Calibri"/>
          <w:b/>
          <w:sz w:val="20"/>
          <w:szCs w:val="20"/>
          <w:lang w:val="es-CR" w:eastAsia="es-CR"/>
        </w:rPr>
        <w:t>.</w:t>
      </w:r>
      <w:r w:rsidRPr="00AD4631">
        <w:rPr>
          <w:rFonts w:ascii="Verdana" w:eastAsia="Calibri" w:hAnsi="Verdana" w:cs="Calibri"/>
          <w:b/>
          <w:i/>
          <w:sz w:val="20"/>
          <w:szCs w:val="20"/>
          <w:lang w:val="es-CR" w:eastAsia="es-CR"/>
        </w:rPr>
        <w:t xml:space="preserve"> </w:t>
      </w:r>
      <w:r w:rsidR="002E7B1B">
        <w:rPr>
          <w:rFonts w:ascii="Verdana" w:eastAsia="Calibri" w:hAnsi="Verdana" w:cs="Calibri"/>
          <w:b/>
          <w:sz w:val="20"/>
          <w:szCs w:val="20"/>
          <w:lang w:val="es-CR" w:eastAsia="es-CR"/>
        </w:rPr>
        <w:t>MÉ</w:t>
      </w:r>
      <w:r w:rsidR="008A3009" w:rsidRPr="008A3009">
        <w:rPr>
          <w:rFonts w:ascii="Verdana" w:eastAsia="Calibri" w:hAnsi="Verdana" w:cs="Calibri"/>
          <w:b/>
          <w:sz w:val="20"/>
          <w:szCs w:val="20"/>
          <w:lang w:val="es-CR" w:eastAsia="es-CR"/>
        </w:rPr>
        <w:t>XICO</w:t>
      </w:r>
    </w:p>
    <w:p w14:paraId="64AA5D51" w14:textId="77777777" w:rsidR="002E1C85" w:rsidRPr="002E1C85" w:rsidRDefault="002E1C85" w:rsidP="002E1C85">
      <w:pPr>
        <w:widowControl w:val="0"/>
        <w:tabs>
          <w:tab w:val="left" w:pos="720"/>
        </w:tabs>
        <w:adjustRightInd w:val="0"/>
        <w:spacing w:after="0" w:line="240" w:lineRule="auto"/>
        <w:jc w:val="center"/>
        <w:textAlignment w:val="baseline"/>
        <w:rPr>
          <w:rFonts w:ascii="Verdana" w:eastAsia="Calibri" w:hAnsi="Verdana" w:cs="Verdana"/>
          <w:b/>
          <w:bCs/>
          <w:caps/>
          <w:snapToGrid w:val="0"/>
          <w:sz w:val="20"/>
          <w:szCs w:val="20"/>
          <w:lang w:val="es-ES" w:eastAsia="es-ES"/>
        </w:rPr>
      </w:pPr>
    </w:p>
    <w:p w14:paraId="64AA5D52" w14:textId="017817BB" w:rsidR="002E1C85" w:rsidRPr="002E1C85" w:rsidRDefault="00E01110" w:rsidP="002E1C85">
      <w:pPr>
        <w:widowControl w:val="0"/>
        <w:tabs>
          <w:tab w:val="left" w:pos="720"/>
        </w:tabs>
        <w:adjustRightInd w:val="0"/>
        <w:spacing w:after="0" w:line="240" w:lineRule="auto"/>
        <w:jc w:val="center"/>
        <w:textAlignment w:val="baseline"/>
        <w:rPr>
          <w:rFonts w:ascii="Verdana" w:eastAsia="Calibri" w:hAnsi="Verdana" w:cs="Verdana"/>
          <w:b/>
          <w:bCs/>
          <w:snapToGrid w:val="0"/>
          <w:sz w:val="20"/>
          <w:szCs w:val="20"/>
          <w:lang w:val="es-ES" w:eastAsia="es-ES"/>
        </w:rPr>
      </w:pPr>
      <w:r>
        <w:rPr>
          <w:rFonts w:ascii="Verdana" w:eastAsia="Calibri" w:hAnsi="Verdana" w:cs="Verdana"/>
          <w:b/>
          <w:bCs/>
          <w:snapToGrid w:val="0"/>
          <w:sz w:val="20"/>
          <w:szCs w:val="20"/>
          <w:lang w:val="es-ES" w:eastAsia="es-ES"/>
        </w:rPr>
        <w:t xml:space="preserve">SENTENCIA DE </w:t>
      </w:r>
      <w:r w:rsidR="00334B7D">
        <w:rPr>
          <w:rFonts w:ascii="Verdana" w:eastAsia="Calibri" w:hAnsi="Verdana" w:cs="Verdana"/>
          <w:b/>
          <w:bCs/>
          <w:snapToGrid w:val="0"/>
          <w:sz w:val="20"/>
          <w:szCs w:val="20"/>
          <w:lang w:val="es-ES" w:eastAsia="es-ES"/>
        </w:rPr>
        <w:t>28</w:t>
      </w:r>
      <w:r>
        <w:rPr>
          <w:rFonts w:ascii="Verdana" w:eastAsia="Calibri" w:hAnsi="Verdana" w:cs="Verdana"/>
          <w:b/>
          <w:bCs/>
          <w:snapToGrid w:val="0"/>
          <w:sz w:val="20"/>
          <w:szCs w:val="20"/>
          <w:lang w:val="es-ES" w:eastAsia="es-ES"/>
        </w:rPr>
        <w:t xml:space="preserve"> DE NOVIEMBRE</w:t>
      </w:r>
      <w:r w:rsidR="002E1C85" w:rsidRPr="002E1C85">
        <w:rPr>
          <w:rFonts w:ascii="Verdana" w:eastAsia="Calibri" w:hAnsi="Verdana" w:cs="Verdana"/>
          <w:b/>
          <w:bCs/>
          <w:snapToGrid w:val="0"/>
          <w:sz w:val="20"/>
          <w:szCs w:val="20"/>
          <w:lang w:val="es-ES" w:eastAsia="es-ES"/>
        </w:rPr>
        <w:t xml:space="preserve"> DE 2018</w:t>
      </w:r>
    </w:p>
    <w:p w14:paraId="64AA5D53" w14:textId="77777777" w:rsidR="002E1C85" w:rsidRPr="002E1C85" w:rsidRDefault="002E1C85" w:rsidP="002E1C85">
      <w:pPr>
        <w:widowControl w:val="0"/>
        <w:tabs>
          <w:tab w:val="left" w:pos="720"/>
        </w:tabs>
        <w:adjustRightInd w:val="0"/>
        <w:spacing w:after="0" w:line="240" w:lineRule="auto"/>
        <w:jc w:val="center"/>
        <w:textAlignment w:val="baseline"/>
        <w:rPr>
          <w:rFonts w:ascii="Verdana" w:eastAsia="Calibri" w:hAnsi="Verdana" w:cs="Verdana"/>
          <w:b/>
          <w:bCs/>
          <w:caps/>
          <w:snapToGrid w:val="0"/>
          <w:sz w:val="20"/>
          <w:szCs w:val="20"/>
          <w:lang w:val="es-ES" w:eastAsia="es-ES"/>
        </w:rPr>
      </w:pPr>
    </w:p>
    <w:p w14:paraId="64AA5D54" w14:textId="77777777" w:rsidR="002E1C85" w:rsidRDefault="002E1C85" w:rsidP="002E1C85">
      <w:pPr>
        <w:widowControl w:val="0"/>
        <w:tabs>
          <w:tab w:val="left" w:pos="720"/>
        </w:tabs>
        <w:adjustRightInd w:val="0"/>
        <w:spacing w:after="0" w:line="240" w:lineRule="auto"/>
        <w:jc w:val="center"/>
        <w:textAlignment w:val="baseline"/>
        <w:rPr>
          <w:rFonts w:ascii="Verdana" w:eastAsia="Calibri" w:hAnsi="Verdana" w:cs="Verdana"/>
          <w:b/>
          <w:bCs/>
          <w:i/>
          <w:iCs/>
          <w:snapToGrid w:val="0"/>
          <w:sz w:val="20"/>
          <w:szCs w:val="20"/>
          <w:lang w:val="es-ES" w:eastAsia="es-ES"/>
        </w:rPr>
      </w:pPr>
      <w:r w:rsidRPr="002E1C85">
        <w:rPr>
          <w:rFonts w:ascii="Verdana" w:eastAsia="Calibri" w:hAnsi="Verdana" w:cs="Verdana"/>
          <w:b/>
          <w:bCs/>
          <w:i/>
          <w:iCs/>
          <w:snapToGrid w:val="0"/>
          <w:sz w:val="20"/>
          <w:szCs w:val="20"/>
          <w:lang w:val="es-ES" w:eastAsia="es-ES"/>
        </w:rPr>
        <w:t>(Fondo, Reparaciones y Costas)</w:t>
      </w:r>
    </w:p>
    <w:p w14:paraId="64AA5D55" w14:textId="77777777" w:rsidR="00DF112B" w:rsidRPr="002E1C85" w:rsidRDefault="00DF112B" w:rsidP="00C90B3F">
      <w:pPr>
        <w:widowControl w:val="0"/>
        <w:tabs>
          <w:tab w:val="left" w:pos="720"/>
        </w:tabs>
        <w:adjustRightInd w:val="0"/>
        <w:spacing w:before="120" w:after="120" w:line="240" w:lineRule="auto"/>
        <w:jc w:val="center"/>
        <w:textAlignment w:val="baseline"/>
        <w:rPr>
          <w:rFonts w:ascii="Verdana" w:eastAsia="Calibri" w:hAnsi="Verdana" w:cs="Verdana"/>
          <w:b/>
          <w:bCs/>
          <w:caps/>
          <w:snapToGrid w:val="0"/>
          <w:sz w:val="20"/>
          <w:szCs w:val="20"/>
          <w:lang w:val="es-ES" w:eastAsia="es-ES"/>
        </w:rPr>
      </w:pPr>
    </w:p>
    <w:p w14:paraId="64AA5D56" w14:textId="77777777" w:rsidR="002E1C85" w:rsidRPr="002E1C85" w:rsidRDefault="002E1C85" w:rsidP="00C90B3F">
      <w:pPr>
        <w:widowControl w:val="0"/>
        <w:adjustRightInd w:val="0"/>
        <w:spacing w:after="0" w:line="240" w:lineRule="auto"/>
        <w:jc w:val="both"/>
        <w:textAlignment w:val="baseline"/>
        <w:rPr>
          <w:rFonts w:ascii="Verdana" w:eastAsia="Calibri" w:hAnsi="Verdana" w:cs="Times New Roman"/>
          <w:sz w:val="20"/>
          <w:szCs w:val="20"/>
          <w:lang w:val="es-ES" w:eastAsia="es-CR"/>
        </w:rPr>
      </w:pPr>
    </w:p>
    <w:p w14:paraId="64AA5D57" w14:textId="77777777" w:rsidR="002E1C85" w:rsidRPr="002E1C85" w:rsidRDefault="002E1C85" w:rsidP="002E1C85">
      <w:pPr>
        <w:widowControl w:val="0"/>
        <w:tabs>
          <w:tab w:val="left" w:pos="720"/>
        </w:tabs>
        <w:adjustRightInd w:val="0"/>
        <w:spacing w:after="0" w:line="240" w:lineRule="auto"/>
        <w:jc w:val="both"/>
        <w:textAlignment w:val="baseline"/>
        <w:rPr>
          <w:rFonts w:ascii="Verdana" w:eastAsia="Verdana" w:hAnsi="Verdana" w:cs="Verdana"/>
          <w:sz w:val="20"/>
          <w:szCs w:val="20"/>
          <w:lang w:val="es-ES" w:eastAsia="es-CR"/>
        </w:rPr>
      </w:pPr>
      <w:r w:rsidRPr="002E1C85">
        <w:rPr>
          <w:rFonts w:ascii="Verdana" w:eastAsia="Verdana" w:hAnsi="Verdana" w:cs="Verdana"/>
          <w:sz w:val="20"/>
          <w:szCs w:val="20"/>
          <w:lang w:val="es-ES" w:eastAsia="es-CR"/>
        </w:rPr>
        <w:t xml:space="preserve">En el caso </w:t>
      </w:r>
      <w:r w:rsidRPr="002E1C85">
        <w:rPr>
          <w:rFonts w:ascii="Verdana" w:eastAsia="Verdana" w:hAnsi="Verdana" w:cs="Verdana"/>
          <w:i/>
          <w:sz w:val="20"/>
          <w:szCs w:val="20"/>
          <w:lang w:val="es-ES" w:eastAsia="es-CR"/>
        </w:rPr>
        <w:t>Alvarado Espinoza y otros</w:t>
      </w:r>
      <w:r w:rsidRPr="002E1C85">
        <w:rPr>
          <w:rFonts w:ascii="Verdana" w:eastAsia="Verdana" w:hAnsi="Verdana" w:cs="Verdana"/>
          <w:sz w:val="20"/>
          <w:szCs w:val="20"/>
          <w:lang w:val="es-ES" w:eastAsia="es-CR"/>
        </w:rPr>
        <w:t>,</w:t>
      </w:r>
    </w:p>
    <w:p w14:paraId="64AA5D58" w14:textId="77777777" w:rsidR="002E1C85" w:rsidRPr="002E1C85" w:rsidRDefault="002E1C85" w:rsidP="00C90B3F">
      <w:pPr>
        <w:widowControl w:val="0"/>
        <w:adjustRightInd w:val="0"/>
        <w:spacing w:after="0" w:line="240" w:lineRule="auto"/>
        <w:jc w:val="both"/>
        <w:textAlignment w:val="baseline"/>
        <w:rPr>
          <w:rFonts w:ascii="Verdana" w:eastAsia="Calibri" w:hAnsi="Verdana" w:cs="Times New Roman"/>
          <w:sz w:val="20"/>
          <w:szCs w:val="20"/>
          <w:lang w:val="es-ES" w:eastAsia="es-CR"/>
        </w:rPr>
      </w:pPr>
    </w:p>
    <w:p w14:paraId="0221FC57" w14:textId="4739486D" w:rsidR="00CB2BBC" w:rsidRPr="002E1C85" w:rsidRDefault="002E1C85" w:rsidP="00C90B3F">
      <w:pPr>
        <w:widowControl w:val="0"/>
        <w:adjustRightInd w:val="0"/>
        <w:spacing w:after="0" w:line="240" w:lineRule="auto"/>
        <w:textAlignment w:val="baseline"/>
        <w:rPr>
          <w:rFonts w:ascii="Verdana" w:eastAsiaTheme="minorHAnsi" w:hAnsi="Verdana" w:cs="Times New Roman"/>
          <w:sz w:val="20"/>
          <w:szCs w:val="20"/>
          <w:lang w:val="es-CR" w:eastAsia="es-CR"/>
        </w:rPr>
      </w:pPr>
      <w:r w:rsidRPr="002E1C85">
        <w:rPr>
          <w:rFonts w:ascii="Verdana" w:eastAsia="Calibri" w:hAnsi="Verdana" w:cs="Verdana"/>
          <w:sz w:val="20"/>
          <w:szCs w:val="20"/>
          <w:lang w:val="es-ES" w:eastAsia="es-CR"/>
        </w:rPr>
        <w:t>la Corte Interamericana de Derechos Humanos (en adelante “la Corte Interamericana”, “la Corte” o “este Tribunal”), integrada por los siguientes jueces</w:t>
      </w:r>
      <w:r w:rsidRPr="002E1C85">
        <w:rPr>
          <w:rFonts w:ascii="Verdana" w:eastAsia="Times New Roman" w:hAnsi="Verdana" w:cs="Times New Roman"/>
          <w:sz w:val="20"/>
          <w:szCs w:val="20"/>
          <w:lang w:val="es-CR" w:eastAsia="es-CR"/>
        </w:rPr>
        <w:footnoteReference w:customMarkFollows="1" w:id="2"/>
        <w:t>*</w:t>
      </w:r>
      <w:r w:rsidRPr="002E1C85">
        <w:rPr>
          <w:rFonts w:ascii="Verdana" w:eastAsia="Calibri" w:hAnsi="Verdana" w:cs="Verdana"/>
          <w:sz w:val="20"/>
          <w:szCs w:val="20"/>
          <w:lang w:val="es-ES" w:eastAsia="es-CR"/>
        </w:rPr>
        <w:t>:</w:t>
      </w:r>
    </w:p>
    <w:p w14:paraId="64AA5D5A" w14:textId="77777777" w:rsidR="002E1C85" w:rsidRPr="002E1C85" w:rsidRDefault="002E1C85" w:rsidP="00C90B3F">
      <w:pPr>
        <w:widowControl w:val="0"/>
        <w:adjustRightInd w:val="0"/>
        <w:spacing w:after="0" w:line="240" w:lineRule="auto"/>
        <w:textAlignment w:val="baseline"/>
        <w:rPr>
          <w:rFonts w:ascii="Verdana" w:eastAsia="Calibri" w:hAnsi="Verdana" w:cs="Verdana"/>
          <w:sz w:val="20"/>
          <w:szCs w:val="20"/>
          <w:lang w:val="es-ES" w:eastAsia="es-CR"/>
        </w:rPr>
      </w:pPr>
    </w:p>
    <w:p w14:paraId="64AA5D5B" w14:textId="77777777" w:rsidR="002E1C85" w:rsidRPr="002E1C85" w:rsidRDefault="002E1C85" w:rsidP="002E1C85">
      <w:pPr>
        <w:widowControl w:val="0"/>
        <w:tabs>
          <w:tab w:val="left" w:pos="720"/>
        </w:tabs>
        <w:adjustRightInd w:val="0"/>
        <w:spacing w:after="0" w:line="240" w:lineRule="auto"/>
        <w:jc w:val="both"/>
        <w:textAlignment w:val="baseline"/>
        <w:rPr>
          <w:rFonts w:ascii="Verdana" w:eastAsia="Calibri" w:hAnsi="Verdana" w:cs="Verdana"/>
          <w:sz w:val="20"/>
          <w:szCs w:val="20"/>
          <w:lang w:val="es-CR" w:eastAsia="es-CR"/>
        </w:rPr>
      </w:pPr>
      <w:r w:rsidRPr="002E1C85">
        <w:rPr>
          <w:rFonts w:ascii="Verdana" w:eastAsia="Calibri" w:hAnsi="Verdana" w:cs="Verdana"/>
          <w:sz w:val="20"/>
          <w:szCs w:val="20"/>
          <w:lang w:val="es-CR" w:eastAsia="es-CR"/>
        </w:rPr>
        <w:t>Eduardo Vio Grossi, Presidente en ejercicio;</w:t>
      </w:r>
    </w:p>
    <w:p w14:paraId="64AA5D5C" w14:textId="77331767" w:rsidR="002E1C85" w:rsidRPr="002E1C85" w:rsidRDefault="002E1C85" w:rsidP="002E1C85">
      <w:pPr>
        <w:widowControl w:val="0"/>
        <w:tabs>
          <w:tab w:val="left" w:pos="720"/>
        </w:tabs>
        <w:adjustRightInd w:val="0"/>
        <w:spacing w:after="0" w:line="240" w:lineRule="auto"/>
        <w:jc w:val="both"/>
        <w:textAlignment w:val="baseline"/>
        <w:rPr>
          <w:rFonts w:ascii="Verdana" w:eastAsia="Calibri" w:hAnsi="Verdana" w:cs="Verdana"/>
          <w:sz w:val="20"/>
          <w:szCs w:val="20"/>
          <w:lang w:val="es-ES" w:eastAsia="es-CR"/>
        </w:rPr>
      </w:pPr>
      <w:r w:rsidRPr="002E1C85">
        <w:rPr>
          <w:rFonts w:ascii="Verdana" w:eastAsia="Calibri" w:hAnsi="Verdana" w:cs="Verdana"/>
          <w:sz w:val="20"/>
          <w:szCs w:val="20"/>
          <w:lang w:val="es-ES" w:eastAsia="es-CR"/>
        </w:rPr>
        <w:t>Humberto Antonio Sierra Porto</w:t>
      </w:r>
      <w:r w:rsidR="00334B7D">
        <w:rPr>
          <w:rFonts w:ascii="Verdana" w:eastAsia="Calibri" w:hAnsi="Verdana" w:cs="Verdana"/>
          <w:sz w:val="20"/>
          <w:szCs w:val="20"/>
          <w:lang w:val="es-ES" w:eastAsia="es-CR"/>
        </w:rPr>
        <w:t>, Juez;</w:t>
      </w:r>
    </w:p>
    <w:p w14:paraId="64AA5D5D" w14:textId="77777777" w:rsidR="002E1C85" w:rsidRPr="002E1C85" w:rsidRDefault="002E1C85" w:rsidP="002E1C85">
      <w:pPr>
        <w:widowControl w:val="0"/>
        <w:tabs>
          <w:tab w:val="left" w:pos="720"/>
        </w:tabs>
        <w:adjustRightInd w:val="0"/>
        <w:spacing w:after="0" w:line="240" w:lineRule="auto"/>
        <w:jc w:val="both"/>
        <w:textAlignment w:val="baseline"/>
        <w:rPr>
          <w:rFonts w:ascii="Verdana" w:eastAsia="Calibri" w:hAnsi="Verdana" w:cs="Verdana"/>
          <w:sz w:val="20"/>
          <w:szCs w:val="20"/>
          <w:lang w:val="es-ES" w:eastAsia="es-CR"/>
        </w:rPr>
      </w:pPr>
      <w:r w:rsidRPr="002E1C85">
        <w:rPr>
          <w:rFonts w:ascii="Verdana" w:eastAsia="Calibri" w:hAnsi="Verdana" w:cs="Verdana"/>
          <w:sz w:val="20"/>
          <w:szCs w:val="20"/>
          <w:lang w:val="es-ES" w:eastAsia="es-CR"/>
        </w:rPr>
        <w:t>Elizabeth Odio Benito, Jueza;</w:t>
      </w:r>
    </w:p>
    <w:p w14:paraId="64AA5D5E" w14:textId="77777777" w:rsidR="002E1C85" w:rsidRPr="002E1C85" w:rsidRDefault="002E1C85" w:rsidP="002E1C85">
      <w:pPr>
        <w:widowControl w:val="0"/>
        <w:tabs>
          <w:tab w:val="left" w:pos="720"/>
        </w:tabs>
        <w:adjustRightInd w:val="0"/>
        <w:spacing w:after="0" w:line="240" w:lineRule="auto"/>
        <w:jc w:val="both"/>
        <w:textAlignment w:val="baseline"/>
        <w:rPr>
          <w:rFonts w:ascii="Verdana" w:eastAsia="Calibri" w:hAnsi="Verdana" w:cs="Verdana"/>
          <w:sz w:val="20"/>
          <w:szCs w:val="20"/>
          <w:lang w:val="es-ES" w:eastAsia="es-CR"/>
        </w:rPr>
      </w:pPr>
      <w:r w:rsidRPr="002E1C85">
        <w:rPr>
          <w:rFonts w:ascii="Verdana" w:eastAsia="Calibri" w:hAnsi="Verdana" w:cs="Verdana"/>
          <w:sz w:val="20"/>
          <w:szCs w:val="20"/>
          <w:lang w:val="es-ES" w:eastAsia="es-CR"/>
        </w:rPr>
        <w:t>Eugenio Raúl Zaffaroni, Juez, y</w:t>
      </w:r>
    </w:p>
    <w:p w14:paraId="64AA5D5F" w14:textId="77777777" w:rsidR="002E1C85" w:rsidRPr="002E1C85" w:rsidRDefault="002E1C85" w:rsidP="002E1C85">
      <w:pPr>
        <w:widowControl w:val="0"/>
        <w:tabs>
          <w:tab w:val="left" w:pos="720"/>
        </w:tabs>
        <w:adjustRightInd w:val="0"/>
        <w:spacing w:after="0" w:line="240" w:lineRule="auto"/>
        <w:jc w:val="both"/>
        <w:textAlignment w:val="baseline"/>
        <w:rPr>
          <w:rFonts w:ascii="Verdana" w:eastAsia="Calibri" w:hAnsi="Verdana" w:cs="Verdana"/>
          <w:sz w:val="20"/>
          <w:szCs w:val="20"/>
          <w:lang w:val="es-ES" w:eastAsia="es-CR"/>
        </w:rPr>
      </w:pPr>
      <w:r w:rsidRPr="002E1C85">
        <w:rPr>
          <w:rFonts w:ascii="Verdana" w:eastAsia="Calibri" w:hAnsi="Verdana" w:cs="Verdana"/>
          <w:sz w:val="20"/>
          <w:szCs w:val="20"/>
          <w:lang w:val="es-ES" w:eastAsia="es-CR"/>
        </w:rPr>
        <w:t>L. Patricio Pazmiño Freire, Juez;</w:t>
      </w:r>
    </w:p>
    <w:p w14:paraId="64AA5D60" w14:textId="77777777" w:rsidR="002E1C85" w:rsidRPr="002E1C85" w:rsidRDefault="002E1C85" w:rsidP="002E1C85">
      <w:pPr>
        <w:widowControl w:val="0"/>
        <w:tabs>
          <w:tab w:val="left" w:pos="720"/>
        </w:tabs>
        <w:adjustRightInd w:val="0"/>
        <w:spacing w:after="0" w:line="240" w:lineRule="auto"/>
        <w:jc w:val="both"/>
        <w:textAlignment w:val="baseline"/>
        <w:rPr>
          <w:rFonts w:ascii="Verdana" w:eastAsia="Calibri" w:hAnsi="Verdana" w:cs="Verdana"/>
          <w:sz w:val="20"/>
          <w:szCs w:val="20"/>
          <w:lang w:val="es-ES" w:eastAsia="es-CR"/>
        </w:rPr>
      </w:pPr>
    </w:p>
    <w:p w14:paraId="64AA5D61" w14:textId="25FFC9E5" w:rsidR="002E1C85" w:rsidRPr="002E1C85" w:rsidRDefault="006144B1" w:rsidP="002E1C85">
      <w:pPr>
        <w:widowControl w:val="0"/>
        <w:tabs>
          <w:tab w:val="left" w:pos="720"/>
        </w:tabs>
        <w:adjustRightInd w:val="0"/>
        <w:spacing w:after="0" w:line="240" w:lineRule="auto"/>
        <w:jc w:val="both"/>
        <w:textAlignment w:val="baseline"/>
        <w:rPr>
          <w:rFonts w:ascii="Verdana" w:eastAsia="Calibri" w:hAnsi="Verdana" w:cs="Verdana"/>
          <w:sz w:val="20"/>
          <w:szCs w:val="20"/>
          <w:lang w:val="es-ES" w:eastAsia="es-CR"/>
        </w:rPr>
      </w:pPr>
      <w:r>
        <w:rPr>
          <w:rFonts w:ascii="Verdana" w:eastAsia="Calibri" w:hAnsi="Verdana" w:cs="Verdana"/>
          <w:sz w:val="20"/>
          <w:szCs w:val="20"/>
          <w:lang w:val="es-ES" w:eastAsia="es-CR"/>
        </w:rPr>
        <w:t>presente</w:t>
      </w:r>
      <w:r w:rsidR="002E1C85" w:rsidRPr="002E1C85">
        <w:rPr>
          <w:rFonts w:ascii="Verdana" w:eastAsia="Calibri" w:hAnsi="Verdana" w:cs="Verdana"/>
          <w:sz w:val="20"/>
          <w:szCs w:val="20"/>
          <w:lang w:val="es-ES" w:eastAsia="es-CR"/>
        </w:rPr>
        <w:t xml:space="preserve"> además,</w:t>
      </w:r>
    </w:p>
    <w:p w14:paraId="64AA5D62" w14:textId="77777777" w:rsidR="002E1C85" w:rsidRPr="002E1C85" w:rsidRDefault="002E1C85" w:rsidP="002E1C85">
      <w:pPr>
        <w:widowControl w:val="0"/>
        <w:tabs>
          <w:tab w:val="left" w:pos="720"/>
        </w:tabs>
        <w:adjustRightInd w:val="0"/>
        <w:spacing w:after="0" w:line="240" w:lineRule="auto"/>
        <w:jc w:val="both"/>
        <w:textAlignment w:val="baseline"/>
        <w:rPr>
          <w:rFonts w:ascii="Verdana" w:eastAsia="Calibri" w:hAnsi="Verdana" w:cs="Verdana"/>
          <w:sz w:val="20"/>
          <w:szCs w:val="20"/>
          <w:lang w:val="es-ES" w:eastAsia="es-CR"/>
        </w:rPr>
      </w:pPr>
    </w:p>
    <w:p w14:paraId="64AA5D63" w14:textId="00F6407F" w:rsidR="002E1C85" w:rsidRPr="002E1C85" w:rsidRDefault="002E1C85" w:rsidP="002E1C85">
      <w:pPr>
        <w:widowControl w:val="0"/>
        <w:tabs>
          <w:tab w:val="left" w:pos="720"/>
        </w:tabs>
        <w:adjustRightInd w:val="0"/>
        <w:spacing w:after="0" w:line="240" w:lineRule="auto"/>
        <w:jc w:val="both"/>
        <w:textAlignment w:val="baseline"/>
        <w:rPr>
          <w:rFonts w:ascii="Verdana" w:eastAsia="Calibri" w:hAnsi="Verdana" w:cs="Verdana"/>
          <w:sz w:val="20"/>
          <w:szCs w:val="20"/>
          <w:lang w:val="es-ES" w:eastAsia="es-CR"/>
        </w:rPr>
      </w:pPr>
      <w:r w:rsidRPr="002E1C85">
        <w:rPr>
          <w:rFonts w:ascii="Verdana" w:eastAsia="Calibri" w:hAnsi="Verdana" w:cs="Verdana"/>
          <w:sz w:val="20"/>
          <w:szCs w:val="20"/>
          <w:lang w:val="es-ES" w:eastAsia="es-CR"/>
        </w:rPr>
        <w:t>Pablo Saa</w:t>
      </w:r>
      <w:r w:rsidR="000C553D">
        <w:rPr>
          <w:rFonts w:ascii="Verdana" w:eastAsia="Calibri" w:hAnsi="Verdana" w:cs="Verdana"/>
          <w:sz w:val="20"/>
          <w:szCs w:val="20"/>
          <w:lang w:val="es-ES" w:eastAsia="es-CR"/>
        </w:rPr>
        <w:t>vedra Alessandri, Secretario.</w:t>
      </w:r>
    </w:p>
    <w:p w14:paraId="64AA5D65" w14:textId="77777777" w:rsidR="002E1C85" w:rsidRPr="002E1C85" w:rsidRDefault="002E1C85" w:rsidP="00C90B3F">
      <w:pPr>
        <w:widowControl w:val="0"/>
        <w:tabs>
          <w:tab w:val="left" w:pos="720"/>
        </w:tabs>
        <w:adjustRightInd w:val="0"/>
        <w:spacing w:before="120" w:after="120" w:line="240" w:lineRule="auto"/>
        <w:jc w:val="both"/>
        <w:textAlignment w:val="baseline"/>
        <w:rPr>
          <w:rFonts w:ascii="Verdana" w:eastAsia="Calibri" w:hAnsi="Verdana" w:cs="Verdana"/>
          <w:sz w:val="20"/>
          <w:szCs w:val="20"/>
          <w:lang w:val="es-ES" w:eastAsia="es-CR"/>
        </w:rPr>
      </w:pPr>
    </w:p>
    <w:p w14:paraId="10996E0A" w14:textId="4161EBD3" w:rsidR="002E1C85" w:rsidRPr="002E1C85" w:rsidRDefault="002E1C85" w:rsidP="00C90B3F">
      <w:pPr>
        <w:widowControl w:val="0"/>
        <w:tabs>
          <w:tab w:val="left" w:pos="720"/>
        </w:tabs>
        <w:adjustRightInd w:val="0"/>
        <w:spacing w:before="120" w:after="120" w:line="240" w:lineRule="auto"/>
        <w:jc w:val="both"/>
        <w:textAlignment w:val="baseline"/>
        <w:rPr>
          <w:rFonts w:ascii="Verdana" w:eastAsia="Calibri" w:hAnsi="Verdana" w:cs="Verdana"/>
          <w:sz w:val="20"/>
          <w:szCs w:val="20"/>
          <w:lang w:val="es-ES" w:eastAsia="es-CR"/>
        </w:rPr>
      </w:pPr>
      <w:r w:rsidRPr="002E1C85">
        <w:rPr>
          <w:rFonts w:ascii="Verdana" w:eastAsia="Calibri" w:hAnsi="Verdana" w:cs="Verdana"/>
          <w:sz w:val="20"/>
          <w:szCs w:val="20"/>
          <w:lang w:val="es-ES" w:eastAsia="es-CR"/>
        </w:rPr>
        <w:t>de conformidad con los artículos 62.3 y 63.1 de la Convención Americana sobre Derechos Humanos (en adelante “la Convención Americana” o “la Convención”) y con los artículos 31, 32, 62, 65 y 67 del Reglamento de la Corte (en adelante “el Reglamento” o “Reglamento de la Corte”), dicta la presente Sentencia, que se estructura en el siguiente orden:</w:t>
      </w:r>
    </w:p>
    <w:p w14:paraId="64AA5D67" w14:textId="77777777" w:rsidR="002E1C85" w:rsidRPr="002E1C85" w:rsidRDefault="002E1C85" w:rsidP="00C90B3F">
      <w:pPr>
        <w:widowControl w:val="0"/>
        <w:adjustRightInd w:val="0"/>
        <w:spacing w:before="120" w:after="120" w:line="235" w:lineRule="exact"/>
        <w:ind w:left="100" w:right="-1085"/>
        <w:jc w:val="both"/>
        <w:textAlignment w:val="baseline"/>
        <w:rPr>
          <w:rFonts w:ascii="Verdana" w:eastAsia="Verdana" w:hAnsi="Verdana" w:cs="Verdana"/>
          <w:position w:val="-1"/>
          <w:sz w:val="20"/>
          <w:szCs w:val="20"/>
          <w:lang w:val="es-ES" w:eastAsia="es-CR"/>
        </w:rPr>
      </w:pPr>
    </w:p>
    <w:p w14:paraId="2C8A974F" w14:textId="7CE6389F" w:rsidR="00BE645F" w:rsidRDefault="00BE645F" w:rsidP="00C90B3F">
      <w:pPr>
        <w:widowControl w:val="0"/>
        <w:adjustRightInd w:val="0"/>
        <w:spacing w:before="120" w:after="120" w:line="240" w:lineRule="auto"/>
        <w:jc w:val="both"/>
        <w:textAlignment w:val="baseline"/>
        <w:rPr>
          <w:rFonts w:ascii="Verdana" w:eastAsia="Verdana" w:hAnsi="Verdana" w:cs="Verdana"/>
          <w:position w:val="-1"/>
          <w:sz w:val="20"/>
          <w:szCs w:val="20"/>
          <w:lang w:val="es-ES" w:eastAsia="es-CR"/>
        </w:rPr>
      </w:pPr>
      <w:bookmarkStart w:id="1" w:name="_Toc373093233"/>
      <w:bookmarkStart w:id="2" w:name="_Toc373350045"/>
      <w:bookmarkStart w:id="3" w:name="_Toc375560891"/>
      <w:bookmarkStart w:id="4" w:name="_Toc401931877"/>
      <w:bookmarkStart w:id="5" w:name="_Toc428369976"/>
      <w:bookmarkStart w:id="6" w:name="_Toc459158092"/>
      <w:bookmarkStart w:id="7" w:name="_Toc470180032"/>
      <w:bookmarkStart w:id="8" w:name="_Toc514172589"/>
      <w:bookmarkStart w:id="9" w:name="_Toc526774132"/>
      <w:r>
        <w:rPr>
          <w:rFonts w:ascii="Verdana" w:eastAsia="Verdana" w:hAnsi="Verdana" w:cs="Verdana"/>
          <w:position w:val="-1"/>
          <w:sz w:val="20"/>
          <w:szCs w:val="20"/>
          <w:lang w:val="es-ES" w:eastAsia="es-CR"/>
        </w:rPr>
        <w:br w:type="page"/>
      </w:r>
    </w:p>
    <w:p w14:paraId="4BC4F001" w14:textId="2B073D0D" w:rsidR="00CB2BBC" w:rsidRDefault="00CB2BBC" w:rsidP="0089411D">
      <w:pPr>
        <w:pStyle w:val="TOC1"/>
        <w:jc w:val="center"/>
      </w:pPr>
      <w:bookmarkStart w:id="10" w:name="_Toc526777464"/>
      <w:bookmarkStart w:id="11" w:name="_Toc526783743"/>
      <w:r w:rsidRPr="0089411D">
        <w:rPr>
          <w:rFonts w:ascii="Verdana" w:hAnsi="Verdana"/>
        </w:rPr>
        <w:lastRenderedPageBreak/>
        <w:t>TABLA DE CONTENIDOS</w:t>
      </w:r>
    </w:p>
    <w:p w14:paraId="5654B1E5" w14:textId="77777777" w:rsidR="00EE697E" w:rsidRPr="00E42B72" w:rsidRDefault="003A72F8" w:rsidP="00EE697E">
      <w:pPr>
        <w:pStyle w:val="TOC1"/>
        <w:tabs>
          <w:tab w:val="right" w:leader="dot" w:pos="9792"/>
        </w:tabs>
        <w:spacing w:before="0" w:after="0" w:line="240" w:lineRule="auto"/>
        <w:jc w:val="both"/>
        <w:rPr>
          <w:rFonts w:ascii="Verdana" w:eastAsiaTheme="minorEastAsia" w:hAnsi="Verdana"/>
          <w:b w:val="0"/>
          <w:bCs w:val="0"/>
          <w:caps w:val="0"/>
          <w:noProof/>
          <w:lang w:val="es-CR" w:eastAsia="es-CR"/>
        </w:rPr>
      </w:pPr>
      <w:r w:rsidRPr="00CA3ED5">
        <w:rPr>
          <w:rFonts w:ascii="Verdana" w:hAnsi="Verdana"/>
        </w:rPr>
        <w:fldChar w:fldCharType="begin"/>
      </w:r>
      <w:r w:rsidRPr="00CA3ED5">
        <w:rPr>
          <w:rFonts w:ascii="Verdana" w:hAnsi="Verdana"/>
        </w:rPr>
        <w:instrText xml:space="preserve"> TOC \o "1-5" \h \z \u </w:instrText>
      </w:r>
      <w:r w:rsidRPr="00CA3ED5">
        <w:rPr>
          <w:rFonts w:ascii="Verdana" w:hAnsi="Verdana"/>
        </w:rPr>
        <w:fldChar w:fldCharType="separate"/>
      </w:r>
      <w:hyperlink w:anchor="_Toc532995311" w:history="1">
        <w:r w:rsidR="00EE697E" w:rsidRPr="00E42B72">
          <w:rPr>
            <w:rStyle w:val="Hyperlink"/>
            <w:rFonts w:ascii="Verdana" w:hAnsi="Verdana"/>
            <w:noProof/>
          </w:rPr>
          <w:t>I INTRODUCCIÓN DE LA CAUSA y OBJETO DE LA CONTROVERSIA</w:t>
        </w:r>
        <w:r w:rsidR="00EE697E" w:rsidRPr="00E42B72">
          <w:rPr>
            <w:rFonts w:ascii="Verdana" w:hAnsi="Verdana"/>
            <w:noProof/>
            <w:webHidden/>
          </w:rPr>
          <w:tab/>
        </w:r>
        <w:r w:rsidR="00EE697E" w:rsidRPr="00E42B72">
          <w:rPr>
            <w:rFonts w:ascii="Verdana" w:hAnsi="Verdana"/>
            <w:noProof/>
            <w:webHidden/>
          </w:rPr>
          <w:fldChar w:fldCharType="begin"/>
        </w:r>
        <w:r w:rsidR="00EE697E" w:rsidRPr="00E42B72">
          <w:rPr>
            <w:rFonts w:ascii="Verdana" w:hAnsi="Verdana"/>
            <w:noProof/>
            <w:webHidden/>
          </w:rPr>
          <w:instrText xml:space="preserve"> PAGEREF _Toc532995311 \h </w:instrText>
        </w:r>
        <w:r w:rsidR="00EE697E" w:rsidRPr="00E42B72">
          <w:rPr>
            <w:rFonts w:ascii="Verdana" w:hAnsi="Verdana"/>
            <w:noProof/>
            <w:webHidden/>
          </w:rPr>
        </w:r>
        <w:r w:rsidR="00EE697E" w:rsidRPr="00E42B72">
          <w:rPr>
            <w:rFonts w:ascii="Verdana" w:hAnsi="Verdana"/>
            <w:noProof/>
            <w:webHidden/>
          </w:rPr>
          <w:fldChar w:fldCharType="separate"/>
        </w:r>
        <w:r w:rsidR="00380DD7">
          <w:rPr>
            <w:rFonts w:ascii="Verdana" w:hAnsi="Verdana"/>
            <w:noProof/>
            <w:webHidden/>
          </w:rPr>
          <w:t>5</w:t>
        </w:r>
        <w:r w:rsidR="00EE697E" w:rsidRPr="00E42B72">
          <w:rPr>
            <w:rFonts w:ascii="Verdana" w:hAnsi="Verdana"/>
            <w:noProof/>
            <w:webHidden/>
          </w:rPr>
          <w:fldChar w:fldCharType="end"/>
        </w:r>
      </w:hyperlink>
    </w:p>
    <w:p w14:paraId="0A398752" w14:textId="77777777" w:rsidR="00EE697E" w:rsidRPr="00E42B72" w:rsidRDefault="00380DD7" w:rsidP="00EE697E">
      <w:pPr>
        <w:pStyle w:val="TOC1"/>
        <w:tabs>
          <w:tab w:val="right" w:leader="dot" w:pos="9792"/>
        </w:tabs>
        <w:spacing w:before="0" w:after="0" w:line="240" w:lineRule="auto"/>
        <w:jc w:val="both"/>
        <w:rPr>
          <w:rFonts w:ascii="Verdana" w:eastAsiaTheme="minorEastAsia" w:hAnsi="Verdana"/>
          <w:b w:val="0"/>
          <w:bCs w:val="0"/>
          <w:caps w:val="0"/>
          <w:noProof/>
          <w:lang w:val="es-CR" w:eastAsia="es-CR"/>
        </w:rPr>
      </w:pPr>
      <w:hyperlink w:anchor="_Toc532995312" w:history="1">
        <w:r w:rsidR="00EE697E" w:rsidRPr="00E42B72">
          <w:rPr>
            <w:rStyle w:val="Hyperlink"/>
            <w:rFonts w:ascii="Verdana" w:hAnsi="Verdana"/>
            <w:noProof/>
            <w:snapToGrid w:val="0"/>
            <w:lang w:val="es-CR" w:eastAsia="es-CR"/>
          </w:rPr>
          <w:t>II PROCEDIMIENTO ANTE LA CORTE</w:t>
        </w:r>
        <w:r w:rsidR="00EE697E" w:rsidRPr="00E42B72">
          <w:rPr>
            <w:rFonts w:ascii="Verdana" w:hAnsi="Verdana"/>
            <w:noProof/>
            <w:webHidden/>
          </w:rPr>
          <w:tab/>
        </w:r>
        <w:r w:rsidR="00EE697E" w:rsidRPr="00E42B72">
          <w:rPr>
            <w:rFonts w:ascii="Verdana" w:hAnsi="Verdana"/>
            <w:noProof/>
            <w:webHidden/>
          </w:rPr>
          <w:fldChar w:fldCharType="begin"/>
        </w:r>
        <w:r w:rsidR="00EE697E" w:rsidRPr="00E42B72">
          <w:rPr>
            <w:rFonts w:ascii="Verdana" w:hAnsi="Verdana"/>
            <w:noProof/>
            <w:webHidden/>
          </w:rPr>
          <w:instrText xml:space="preserve"> PAGEREF _Toc532995312 \h </w:instrText>
        </w:r>
        <w:r w:rsidR="00EE697E" w:rsidRPr="00E42B72">
          <w:rPr>
            <w:rFonts w:ascii="Verdana" w:hAnsi="Verdana"/>
            <w:noProof/>
            <w:webHidden/>
          </w:rPr>
        </w:r>
        <w:r w:rsidR="00EE697E" w:rsidRPr="00E42B72">
          <w:rPr>
            <w:rFonts w:ascii="Verdana" w:hAnsi="Verdana"/>
            <w:noProof/>
            <w:webHidden/>
          </w:rPr>
          <w:fldChar w:fldCharType="separate"/>
        </w:r>
        <w:r>
          <w:rPr>
            <w:rFonts w:ascii="Verdana" w:hAnsi="Verdana"/>
            <w:noProof/>
            <w:webHidden/>
          </w:rPr>
          <w:t>7</w:t>
        </w:r>
        <w:r w:rsidR="00EE697E" w:rsidRPr="00E42B72">
          <w:rPr>
            <w:rFonts w:ascii="Verdana" w:hAnsi="Verdana"/>
            <w:noProof/>
            <w:webHidden/>
          </w:rPr>
          <w:fldChar w:fldCharType="end"/>
        </w:r>
      </w:hyperlink>
    </w:p>
    <w:p w14:paraId="5C090232" w14:textId="77777777" w:rsidR="00EE697E" w:rsidRPr="00E42B72" w:rsidRDefault="00380DD7" w:rsidP="00EE697E">
      <w:pPr>
        <w:pStyle w:val="TOC1"/>
        <w:tabs>
          <w:tab w:val="right" w:leader="dot" w:pos="9792"/>
        </w:tabs>
        <w:spacing w:before="0" w:after="0" w:line="240" w:lineRule="auto"/>
        <w:jc w:val="both"/>
        <w:rPr>
          <w:rFonts w:ascii="Verdana" w:eastAsiaTheme="minorEastAsia" w:hAnsi="Verdana"/>
          <w:b w:val="0"/>
          <w:bCs w:val="0"/>
          <w:caps w:val="0"/>
          <w:noProof/>
          <w:lang w:val="es-CR" w:eastAsia="es-CR"/>
        </w:rPr>
      </w:pPr>
      <w:hyperlink w:anchor="_Toc532995313" w:history="1">
        <w:r w:rsidR="00EE697E" w:rsidRPr="00E42B72">
          <w:rPr>
            <w:rStyle w:val="Hyperlink"/>
            <w:rFonts w:ascii="Verdana" w:hAnsi="Verdana"/>
            <w:noProof/>
            <w:snapToGrid w:val="0"/>
            <w:lang w:val="es-CR" w:eastAsia="es-CR"/>
          </w:rPr>
          <w:t>III COMPETENCIA</w:t>
        </w:r>
        <w:r w:rsidR="00EE697E" w:rsidRPr="00E42B72">
          <w:rPr>
            <w:rFonts w:ascii="Verdana" w:hAnsi="Verdana"/>
            <w:noProof/>
            <w:webHidden/>
          </w:rPr>
          <w:tab/>
        </w:r>
        <w:r w:rsidR="00EE697E" w:rsidRPr="00E42B72">
          <w:rPr>
            <w:rFonts w:ascii="Verdana" w:hAnsi="Verdana"/>
            <w:noProof/>
            <w:webHidden/>
          </w:rPr>
          <w:fldChar w:fldCharType="begin"/>
        </w:r>
        <w:r w:rsidR="00EE697E" w:rsidRPr="00E42B72">
          <w:rPr>
            <w:rFonts w:ascii="Verdana" w:hAnsi="Verdana"/>
            <w:noProof/>
            <w:webHidden/>
          </w:rPr>
          <w:instrText xml:space="preserve"> PAGEREF _Toc532995313 \h </w:instrText>
        </w:r>
        <w:r w:rsidR="00EE697E" w:rsidRPr="00E42B72">
          <w:rPr>
            <w:rFonts w:ascii="Verdana" w:hAnsi="Verdana"/>
            <w:noProof/>
            <w:webHidden/>
          </w:rPr>
        </w:r>
        <w:r w:rsidR="00EE697E" w:rsidRPr="00E42B72">
          <w:rPr>
            <w:rFonts w:ascii="Verdana" w:hAnsi="Verdana"/>
            <w:noProof/>
            <w:webHidden/>
          </w:rPr>
          <w:fldChar w:fldCharType="separate"/>
        </w:r>
        <w:r>
          <w:rPr>
            <w:rFonts w:ascii="Verdana" w:hAnsi="Verdana"/>
            <w:noProof/>
            <w:webHidden/>
          </w:rPr>
          <w:t>10</w:t>
        </w:r>
        <w:r w:rsidR="00EE697E" w:rsidRPr="00E42B72">
          <w:rPr>
            <w:rFonts w:ascii="Verdana" w:hAnsi="Verdana"/>
            <w:noProof/>
            <w:webHidden/>
          </w:rPr>
          <w:fldChar w:fldCharType="end"/>
        </w:r>
      </w:hyperlink>
    </w:p>
    <w:p w14:paraId="60A614D9" w14:textId="77777777" w:rsidR="00EE697E" w:rsidRPr="00E42B72" w:rsidRDefault="00380DD7" w:rsidP="00EE697E">
      <w:pPr>
        <w:pStyle w:val="TOC1"/>
        <w:tabs>
          <w:tab w:val="right" w:leader="dot" w:pos="9792"/>
        </w:tabs>
        <w:spacing w:before="0" w:after="0" w:line="240" w:lineRule="auto"/>
        <w:jc w:val="both"/>
        <w:rPr>
          <w:rFonts w:ascii="Verdana" w:eastAsiaTheme="minorEastAsia" w:hAnsi="Verdana"/>
          <w:b w:val="0"/>
          <w:bCs w:val="0"/>
          <w:caps w:val="0"/>
          <w:noProof/>
          <w:lang w:val="es-CR" w:eastAsia="es-CR"/>
        </w:rPr>
      </w:pPr>
      <w:hyperlink w:anchor="_Toc532995314" w:history="1">
        <w:r w:rsidR="00EE697E" w:rsidRPr="00E42B72">
          <w:rPr>
            <w:rStyle w:val="Hyperlink"/>
            <w:rFonts w:ascii="Verdana" w:hAnsi="Verdana"/>
            <w:noProof/>
            <w:snapToGrid w:val="0"/>
            <w:lang w:val="es-CR" w:eastAsia="es-CR"/>
          </w:rPr>
          <w:t>IV RECONOCIMIENTO PARCIAL DE RESPONSABILIDAD INTERNACIONAL DEL ESTADO</w:t>
        </w:r>
        <w:r w:rsidR="00EE697E" w:rsidRPr="00E42B72">
          <w:rPr>
            <w:rFonts w:ascii="Verdana" w:hAnsi="Verdana"/>
            <w:noProof/>
            <w:webHidden/>
          </w:rPr>
          <w:tab/>
        </w:r>
        <w:r w:rsidR="00EE697E" w:rsidRPr="00E42B72">
          <w:rPr>
            <w:rFonts w:ascii="Verdana" w:hAnsi="Verdana"/>
            <w:noProof/>
            <w:webHidden/>
          </w:rPr>
          <w:fldChar w:fldCharType="begin"/>
        </w:r>
        <w:r w:rsidR="00EE697E" w:rsidRPr="00E42B72">
          <w:rPr>
            <w:rFonts w:ascii="Verdana" w:hAnsi="Verdana"/>
            <w:noProof/>
            <w:webHidden/>
          </w:rPr>
          <w:instrText xml:space="preserve"> PAGEREF _Toc532995314 \h </w:instrText>
        </w:r>
        <w:r w:rsidR="00EE697E" w:rsidRPr="00E42B72">
          <w:rPr>
            <w:rFonts w:ascii="Verdana" w:hAnsi="Verdana"/>
            <w:noProof/>
            <w:webHidden/>
          </w:rPr>
        </w:r>
        <w:r w:rsidR="00EE697E" w:rsidRPr="00E42B72">
          <w:rPr>
            <w:rFonts w:ascii="Verdana" w:hAnsi="Verdana"/>
            <w:noProof/>
            <w:webHidden/>
          </w:rPr>
          <w:fldChar w:fldCharType="separate"/>
        </w:r>
        <w:r>
          <w:rPr>
            <w:rFonts w:ascii="Verdana" w:hAnsi="Verdana"/>
            <w:noProof/>
            <w:webHidden/>
          </w:rPr>
          <w:t>10</w:t>
        </w:r>
        <w:r w:rsidR="00EE697E" w:rsidRPr="00E42B72">
          <w:rPr>
            <w:rFonts w:ascii="Verdana" w:hAnsi="Verdana"/>
            <w:noProof/>
            <w:webHidden/>
          </w:rPr>
          <w:fldChar w:fldCharType="end"/>
        </w:r>
      </w:hyperlink>
    </w:p>
    <w:p w14:paraId="5E7ABD1F" w14:textId="77777777" w:rsidR="00EE697E" w:rsidRPr="00E42B72" w:rsidRDefault="00380DD7" w:rsidP="00EE697E">
      <w:pPr>
        <w:pStyle w:val="TOC2"/>
        <w:tabs>
          <w:tab w:val="left" w:pos="660"/>
          <w:tab w:val="right" w:leader="dot" w:pos="9792"/>
        </w:tabs>
        <w:spacing w:line="240" w:lineRule="auto"/>
        <w:jc w:val="both"/>
        <w:rPr>
          <w:rFonts w:ascii="Verdana" w:eastAsiaTheme="minorEastAsia" w:hAnsi="Verdana"/>
          <w:smallCaps w:val="0"/>
          <w:noProof/>
          <w:lang w:val="es-CR" w:eastAsia="es-CR"/>
        </w:rPr>
      </w:pPr>
      <w:hyperlink w:anchor="_Toc532995315" w:history="1">
        <w:r w:rsidR="00EE697E" w:rsidRPr="00E42B72">
          <w:rPr>
            <w:rStyle w:val="Hyperlink"/>
            <w:rFonts w:ascii="Verdana" w:hAnsi="Verdana"/>
            <w:noProof/>
          </w:rPr>
          <w:t>A.</w:t>
        </w:r>
        <w:r w:rsidR="00EE697E" w:rsidRPr="00E42B72">
          <w:rPr>
            <w:rFonts w:ascii="Verdana" w:eastAsiaTheme="minorEastAsia" w:hAnsi="Verdana"/>
            <w:smallCaps w:val="0"/>
            <w:noProof/>
            <w:lang w:val="es-CR" w:eastAsia="es-CR"/>
          </w:rPr>
          <w:tab/>
        </w:r>
        <w:r w:rsidR="00EE697E" w:rsidRPr="00E42B72">
          <w:rPr>
            <w:rStyle w:val="Hyperlink"/>
            <w:rFonts w:ascii="Verdana" w:hAnsi="Verdana"/>
            <w:noProof/>
          </w:rPr>
          <w:t>Posiciones respecto del Reconocimiento Parcial de Responsabilidad del Estado</w:t>
        </w:r>
        <w:r w:rsidR="00EE697E" w:rsidRPr="00E42B72">
          <w:rPr>
            <w:rFonts w:ascii="Verdana" w:hAnsi="Verdana"/>
            <w:noProof/>
            <w:webHidden/>
          </w:rPr>
          <w:tab/>
        </w:r>
        <w:r w:rsidR="00EE697E" w:rsidRPr="00E42B72">
          <w:rPr>
            <w:rFonts w:ascii="Verdana" w:hAnsi="Verdana"/>
            <w:noProof/>
            <w:webHidden/>
          </w:rPr>
          <w:fldChar w:fldCharType="begin"/>
        </w:r>
        <w:r w:rsidR="00EE697E" w:rsidRPr="00E42B72">
          <w:rPr>
            <w:rFonts w:ascii="Verdana" w:hAnsi="Verdana"/>
            <w:noProof/>
            <w:webHidden/>
          </w:rPr>
          <w:instrText xml:space="preserve"> PAGEREF _Toc532995315 \h </w:instrText>
        </w:r>
        <w:r w:rsidR="00EE697E" w:rsidRPr="00E42B72">
          <w:rPr>
            <w:rFonts w:ascii="Verdana" w:hAnsi="Verdana"/>
            <w:noProof/>
            <w:webHidden/>
          </w:rPr>
        </w:r>
        <w:r w:rsidR="00EE697E" w:rsidRPr="00E42B72">
          <w:rPr>
            <w:rFonts w:ascii="Verdana" w:hAnsi="Verdana"/>
            <w:noProof/>
            <w:webHidden/>
          </w:rPr>
          <w:fldChar w:fldCharType="separate"/>
        </w:r>
        <w:r>
          <w:rPr>
            <w:rFonts w:ascii="Verdana" w:hAnsi="Verdana"/>
            <w:noProof/>
            <w:webHidden/>
          </w:rPr>
          <w:t>10</w:t>
        </w:r>
        <w:r w:rsidR="00EE697E" w:rsidRPr="00E42B72">
          <w:rPr>
            <w:rFonts w:ascii="Verdana" w:hAnsi="Verdana"/>
            <w:noProof/>
            <w:webHidden/>
          </w:rPr>
          <w:fldChar w:fldCharType="end"/>
        </w:r>
      </w:hyperlink>
    </w:p>
    <w:p w14:paraId="25B62482" w14:textId="77777777" w:rsidR="00EE697E" w:rsidRPr="00E42B72" w:rsidRDefault="00380DD7" w:rsidP="00EE697E">
      <w:pPr>
        <w:pStyle w:val="TOC2"/>
        <w:tabs>
          <w:tab w:val="left" w:pos="660"/>
          <w:tab w:val="right" w:leader="dot" w:pos="9792"/>
        </w:tabs>
        <w:spacing w:line="240" w:lineRule="auto"/>
        <w:jc w:val="both"/>
        <w:rPr>
          <w:rFonts w:ascii="Verdana" w:eastAsiaTheme="minorEastAsia" w:hAnsi="Verdana"/>
          <w:smallCaps w:val="0"/>
          <w:noProof/>
          <w:lang w:val="es-CR" w:eastAsia="es-CR"/>
        </w:rPr>
      </w:pPr>
      <w:hyperlink w:anchor="_Toc532995316" w:history="1">
        <w:r w:rsidR="00EE697E" w:rsidRPr="00E42B72">
          <w:rPr>
            <w:rStyle w:val="Hyperlink"/>
            <w:rFonts w:ascii="Verdana" w:hAnsi="Verdana"/>
            <w:noProof/>
          </w:rPr>
          <w:t>B.</w:t>
        </w:r>
        <w:r w:rsidR="00EE697E" w:rsidRPr="00E42B72">
          <w:rPr>
            <w:rFonts w:ascii="Verdana" w:eastAsiaTheme="minorEastAsia" w:hAnsi="Verdana"/>
            <w:smallCaps w:val="0"/>
            <w:noProof/>
            <w:lang w:val="es-CR" w:eastAsia="es-CR"/>
          </w:rPr>
          <w:tab/>
        </w:r>
        <w:r w:rsidR="00EE697E" w:rsidRPr="00E42B72">
          <w:rPr>
            <w:rStyle w:val="Hyperlink"/>
            <w:rFonts w:ascii="Verdana" w:hAnsi="Verdana"/>
            <w:noProof/>
          </w:rPr>
          <w:t>Consideraciones de la Corte</w:t>
        </w:r>
        <w:r w:rsidR="00EE697E" w:rsidRPr="00E42B72">
          <w:rPr>
            <w:rFonts w:ascii="Verdana" w:hAnsi="Verdana"/>
            <w:noProof/>
            <w:webHidden/>
          </w:rPr>
          <w:tab/>
        </w:r>
        <w:r w:rsidR="00EE697E" w:rsidRPr="00E42B72">
          <w:rPr>
            <w:rFonts w:ascii="Verdana" w:hAnsi="Verdana"/>
            <w:noProof/>
            <w:webHidden/>
          </w:rPr>
          <w:fldChar w:fldCharType="begin"/>
        </w:r>
        <w:r w:rsidR="00EE697E" w:rsidRPr="00E42B72">
          <w:rPr>
            <w:rFonts w:ascii="Verdana" w:hAnsi="Verdana"/>
            <w:noProof/>
            <w:webHidden/>
          </w:rPr>
          <w:instrText xml:space="preserve"> PAGEREF _Toc532995316 \h </w:instrText>
        </w:r>
        <w:r w:rsidR="00EE697E" w:rsidRPr="00E42B72">
          <w:rPr>
            <w:rFonts w:ascii="Verdana" w:hAnsi="Verdana"/>
            <w:noProof/>
            <w:webHidden/>
          </w:rPr>
        </w:r>
        <w:r w:rsidR="00EE697E" w:rsidRPr="00E42B72">
          <w:rPr>
            <w:rFonts w:ascii="Verdana" w:hAnsi="Verdana"/>
            <w:noProof/>
            <w:webHidden/>
          </w:rPr>
          <w:fldChar w:fldCharType="separate"/>
        </w:r>
        <w:r>
          <w:rPr>
            <w:rFonts w:ascii="Verdana" w:hAnsi="Verdana"/>
            <w:noProof/>
            <w:webHidden/>
          </w:rPr>
          <w:t>12</w:t>
        </w:r>
        <w:r w:rsidR="00EE697E" w:rsidRPr="00E42B72">
          <w:rPr>
            <w:rFonts w:ascii="Verdana" w:hAnsi="Verdana"/>
            <w:noProof/>
            <w:webHidden/>
          </w:rPr>
          <w:fldChar w:fldCharType="end"/>
        </w:r>
      </w:hyperlink>
    </w:p>
    <w:p w14:paraId="57A34553" w14:textId="77777777" w:rsidR="00EE697E" w:rsidRPr="00E42B72" w:rsidRDefault="00380DD7" w:rsidP="00EE697E">
      <w:pPr>
        <w:pStyle w:val="TOC3"/>
        <w:tabs>
          <w:tab w:val="left" w:pos="1100"/>
          <w:tab w:val="right" w:leader="dot" w:pos="9792"/>
        </w:tabs>
        <w:spacing w:line="240" w:lineRule="auto"/>
        <w:jc w:val="both"/>
        <w:rPr>
          <w:rFonts w:ascii="Verdana" w:eastAsiaTheme="minorEastAsia" w:hAnsi="Verdana"/>
          <w:i w:val="0"/>
          <w:iCs w:val="0"/>
          <w:noProof/>
          <w:lang w:val="es-CR" w:eastAsia="es-CR"/>
        </w:rPr>
      </w:pPr>
      <w:hyperlink w:anchor="_Toc532995317" w:history="1">
        <w:r w:rsidR="00EE697E" w:rsidRPr="00E42B72">
          <w:rPr>
            <w:rStyle w:val="Hyperlink"/>
            <w:rFonts w:ascii="Verdana" w:eastAsia="Calibri" w:hAnsi="Verdana" w:cs="Times New Roman"/>
            <w:i w:val="0"/>
            <w:noProof/>
            <w:spacing w:val="-2"/>
            <w:lang w:val="es-ES" w:eastAsia="x-none"/>
          </w:rPr>
          <w:t>B.1.</w:t>
        </w:r>
        <w:r w:rsidR="00EE697E" w:rsidRPr="00E42B72">
          <w:rPr>
            <w:rFonts w:ascii="Verdana" w:eastAsiaTheme="minorEastAsia" w:hAnsi="Verdana"/>
            <w:i w:val="0"/>
            <w:iCs w:val="0"/>
            <w:noProof/>
            <w:lang w:val="es-CR" w:eastAsia="es-CR"/>
          </w:rPr>
          <w:tab/>
        </w:r>
        <w:r w:rsidR="00EE697E" w:rsidRPr="00E42B72">
          <w:rPr>
            <w:rStyle w:val="Hyperlink"/>
            <w:rFonts w:ascii="Verdana" w:eastAsia="Calibri" w:hAnsi="Verdana" w:cs="Times New Roman"/>
            <w:i w:val="0"/>
            <w:noProof/>
            <w:spacing w:val="-2"/>
            <w:lang w:val="es-ES" w:eastAsia="x-none"/>
          </w:rPr>
          <w:t>En cuanto a los hechos</w:t>
        </w:r>
        <w:r w:rsidR="00EE697E" w:rsidRPr="00E42B72">
          <w:rPr>
            <w:rFonts w:ascii="Verdana" w:hAnsi="Verdana"/>
            <w:i w:val="0"/>
            <w:noProof/>
            <w:webHidden/>
          </w:rPr>
          <w:tab/>
        </w:r>
        <w:r w:rsidR="00EE697E" w:rsidRPr="00E42B72">
          <w:rPr>
            <w:rFonts w:ascii="Verdana" w:hAnsi="Verdana"/>
            <w:i w:val="0"/>
            <w:noProof/>
            <w:webHidden/>
          </w:rPr>
          <w:fldChar w:fldCharType="begin"/>
        </w:r>
        <w:r w:rsidR="00EE697E" w:rsidRPr="00E42B72">
          <w:rPr>
            <w:rFonts w:ascii="Verdana" w:hAnsi="Verdana"/>
            <w:i w:val="0"/>
            <w:noProof/>
            <w:webHidden/>
          </w:rPr>
          <w:instrText xml:space="preserve"> PAGEREF _Toc532995317 \h </w:instrText>
        </w:r>
        <w:r w:rsidR="00EE697E" w:rsidRPr="00E42B72">
          <w:rPr>
            <w:rFonts w:ascii="Verdana" w:hAnsi="Verdana"/>
            <w:i w:val="0"/>
            <w:noProof/>
            <w:webHidden/>
          </w:rPr>
        </w:r>
        <w:r w:rsidR="00EE697E" w:rsidRPr="00E42B72">
          <w:rPr>
            <w:rFonts w:ascii="Verdana" w:hAnsi="Verdana"/>
            <w:i w:val="0"/>
            <w:noProof/>
            <w:webHidden/>
          </w:rPr>
          <w:fldChar w:fldCharType="separate"/>
        </w:r>
        <w:r>
          <w:rPr>
            <w:rFonts w:ascii="Verdana" w:hAnsi="Verdana"/>
            <w:i w:val="0"/>
            <w:noProof/>
            <w:webHidden/>
          </w:rPr>
          <w:t>13</w:t>
        </w:r>
        <w:r w:rsidR="00EE697E" w:rsidRPr="00E42B72">
          <w:rPr>
            <w:rFonts w:ascii="Verdana" w:hAnsi="Verdana"/>
            <w:i w:val="0"/>
            <w:noProof/>
            <w:webHidden/>
          </w:rPr>
          <w:fldChar w:fldCharType="end"/>
        </w:r>
      </w:hyperlink>
    </w:p>
    <w:p w14:paraId="2DA7608A" w14:textId="77777777" w:rsidR="00EE697E" w:rsidRPr="00E42B72" w:rsidRDefault="00380DD7" w:rsidP="00EE697E">
      <w:pPr>
        <w:pStyle w:val="TOC3"/>
        <w:tabs>
          <w:tab w:val="left" w:pos="1100"/>
          <w:tab w:val="right" w:leader="dot" w:pos="9792"/>
        </w:tabs>
        <w:spacing w:line="240" w:lineRule="auto"/>
        <w:jc w:val="both"/>
        <w:rPr>
          <w:rFonts w:ascii="Verdana" w:eastAsiaTheme="minorEastAsia" w:hAnsi="Verdana"/>
          <w:i w:val="0"/>
          <w:iCs w:val="0"/>
          <w:noProof/>
          <w:lang w:val="es-CR" w:eastAsia="es-CR"/>
        </w:rPr>
      </w:pPr>
      <w:hyperlink w:anchor="_Toc532995318" w:history="1">
        <w:r w:rsidR="00EE697E" w:rsidRPr="00E42B72">
          <w:rPr>
            <w:rStyle w:val="Hyperlink"/>
            <w:rFonts w:ascii="Verdana" w:eastAsia="Calibri" w:hAnsi="Verdana" w:cs="Times New Roman"/>
            <w:i w:val="0"/>
            <w:noProof/>
            <w:spacing w:val="-2"/>
            <w:lang w:val="es-ES" w:eastAsia="x-none"/>
          </w:rPr>
          <w:t>B.2.</w:t>
        </w:r>
        <w:r w:rsidR="00EE697E" w:rsidRPr="00E42B72">
          <w:rPr>
            <w:rFonts w:ascii="Verdana" w:eastAsiaTheme="minorEastAsia" w:hAnsi="Verdana"/>
            <w:i w:val="0"/>
            <w:iCs w:val="0"/>
            <w:noProof/>
            <w:lang w:val="es-CR" w:eastAsia="es-CR"/>
          </w:rPr>
          <w:tab/>
        </w:r>
        <w:r w:rsidR="00EE697E" w:rsidRPr="00E42B72">
          <w:rPr>
            <w:rStyle w:val="Hyperlink"/>
            <w:rFonts w:ascii="Verdana" w:eastAsia="Calibri" w:hAnsi="Verdana" w:cs="Times New Roman"/>
            <w:i w:val="0"/>
            <w:noProof/>
            <w:spacing w:val="-2"/>
            <w:lang w:val="es-ES" w:eastAsia="x-none"/>
          </w:rPr>
          <w:t>En cuanto a las pretensiones de derecho</w:t>
        </w:r>
        <w:r w:rsidR="00EE697E" w:rsidRPr="00E42B72">
          <w:rPr>
            <w:rFonts w:ascii="Verdana" w:hAnsi="Verdana"/>
            <w:i w:val="0"/>
            <w:noProof/>
            <w:webHidden/>
          </w:rPr>
          <w:tab/>
        </w:r>
        <w:r w:rsidR="00EE697E" w:rsidRPr="00E42B72">
          <w:rPr>
            <w:rFonts w:ascii="Verdana" w:hAnsi="Verdana"/>
            <w:i w:val="0"/>
            <w:noProof/>
            <w:webHidden/>
          </w:rPr>
          <w:fldChar w:fldCharType="begin"/>
        </w:r>
        <w:r w:rsidR="00EE697E" w:rsidRPr="00E42B72">
          <w:rPr>
            <w:rFonts w:ascii="Verdana" w:hAnsi="Verdana"/>
            <w:i w:val="0"/>
            <w:noProof/>
            <w:webHidden/>
          </w:rPr>
          <w:instrText xml:space="preserve"> PAGEREF _Toc532995318 \h </w:instrText>
        </w:r>
        <w:r w:rsidR="00EE697E" w:rsidRPr="00E42B72">
          <w:rPr>
            <w:rFonts w:ascii="Verdana" w:hAnsi="Verdana"/>
            <w:i w:val="0"/>
            <w:noProof/>
            <w:webHidden/>
          </w:rPr>
        </w:r>
        <w:r w:rsidR="00EE697E" w:rsidRPr="00E42B72">
          <w:rPr>
            <w:rFonts w:ascii="Verdana" w:hAnsi="Verdana"/>
            <w:i w:val="0"/>
            <w:noProof/>
            <w:webHidden/>
          </w:rPr>
          <w:fldChar w:fldCharType="separate"/>
        </w:r>
        <w:r>
          <w:rPr>
            <w:rFonts w:ascii="Verdana" w:hAnsi="Verdana"/>
            <w:i w:val="0"/>
            <w:noProof/>
            <w:webHidden/>
          </w:rPr>
          <w:t>13</w:t>
        </w:r>
        <w:r w:rsidR="00EE697E" w:rsidRPr="00E42B72">
          <w:rPr>
            <w:rFonts w:ascii="Verdana" w:hAnsi="Verdana"/>
            <w:i w:val="0"/>
            <w:noProof/>
            <w:webHidden/>
          </w:rPr>
          <w:fldChar w:fldCharType="end"/>
        </w:r>
      </w:hyperlink>
    </w:p>
    <w:p w14:paraId="092F4A61" w14:textId="77777777" w:rsidR="00EE697E" w:rsidRPr="00E42B72" w:rsidRDefault="00380DD7" w:rsidP="00EE697E">
      <w:pPr>
        <w:pStyle w:val="TOC3"/>
        <w:tabs>
          <w:tab w:val="left" w:pos="1100"/>
          <w:tab w:val="right" w:leader="dot" w:pos="9792"/>
        </w:tabs>
        <w:spacing w:line="240" w:lineRule="auto"/>
        <w:jc w:val="both"/>
        <w:rPr>
          <w:rFonts w:ascii="Verdana" w:eastAsiaTheme="minorEastAsia" w:hAnsi="Verdana"/>
          <w:i w:val="0"/>
          <w:iCs w:val="0"/>
          <w:noProof/>
          <w:lang w:val="es-CR" w:eastAsia="es-CR"/>
        </w:rPr>
      </w:pPr>
      <w:hyperlink w:anchor="_Toc532995319" w:history="1">
        <w:r w:rsidR="00EE697E" w:rsidRPr="00E42B72">
          <w:rPr>
            <w:rStyle w:val="Hyperlink"/>
            <w:rFonts w:ascii="Verdana" w:eastAsia="Calibri" w:hAnsi="Verdana" w:cs="Times New Roman"/>
            <w:i w:val="0"/>
            <w:noProof/>
            <w:spacing w:val="-2"/>
            <w:lang w:val="es-ES" w:eastAsia="x-none"/>
          </w:rPr>
          <w:t>B.3.</w:t>
        </w:r>
        <w:r w:rsidR="00EE697E" w:rsidRPr="00E42B72">
          <w:rPr>
            <w:rFonts w:ascii="Verdana" w:eastAsiaTheme="minorEastAsia" w:hAnsi="Verdana"/>
            <w:i w:val="0"/>
            <w:iCs w:val="0"/>
            <w:noProof/>
            <w:lang w:val="es-CR" w:eastAsia="es-CR"/>
          </w:rPr>
          <w:tab/>
        </w:r>
        <w:r w:rsidR="00EE697E" w:rsidRPr="00E42B72">
          <w:rPr>
            <w:rStyle w:val="Hyperlink"/>
            <w:rFonts w:ascii="Verdana" w:eastAsia="Calibri" w:hAnsi="Verdana" w:cs="Times New Roman"/>
            <w:i w:val="0"/>
            <w:noProof/>
            <w:spacing w:val="-2"/>
            <w:lang w:val="es-ES" w:eastAsia="x-none"/>
          </w:rPr>
          <w:t>En cuanto a las reparaciones</w:t>
        </w:r>
        <w:r w:rsidR="00EE697E" w:rsidRPr="00E42B72">
          <w:rPr>
            <w:rFonts w:ascii="Verdana" w:hAnsi="Verdana"/>
            <w:i w:val="0"/>
            <w:noProof/>
            <w:webHidden/>
          </w:rPr>
          <w:tab/>
        </w:r>
        <w:r w:rsidR="00EE697E" w:rsidRPr="00E42B72">
          <w:rPr>
            <w:rFonts w:ascii="Verdana" w:hAnsi="Verdana"/>
            <w:i w:val="0"/>
            <w:noProof/>
            <w:webHidden/>
          </w:rPr>
          <w:fldChar w:fldCharType="begin"/>
        </w:r>
        <w:r w:rsidR="00EE697E" w:rsidRPr="00E42B72">
          <w:rPr>
            <w:rFonts w:ascii="Verdana" w:hAnsi="Verdana"/>
            <w:i w:val="0"/>
            <w:noProof/>
            <w:webHidden/>
          </w:rPr>
          <w:instrText xml:space="preserve"> PAGEREF _Toc532995319 \h </w:instrText>
        </w:r>
        <w:r w:rsidR="00EE697E" w:rsidRPr="00E42B72">
          <w:rPr>
            <w:rFonts w:ascii="Verdana" w:hAnsi="Verdana"/>
            <w:i w:val="0"/>
            <w:noProof/>
            <w:webHidden/>
          </w:rPr>
        </w:r>
        <w:r w:rsidR="00EE697E" w:rsidRPr="00E42B72">
          <w:rPr>
            <w:rFonts w:ascii="Verdana" w:hAnsi="Verdana"/>
            <w:i w:val="0"/>
            <w:noProof/>
            <w:webHidden/>
          </w:rPr>
          <w:fldChar w:fldCharType="separate"/>
        </w:r>
        <w:r>
          <w:rPr>
            <w:rFonts w:ascii="Verdana" w:hAnsi="Verdana"/>
            <w:i w:val="0"/>
            <w:noProof/>
            <w:webHidden/>
          </w:rPr>
          <w:t>14</w:t>
        </w:r>
        <w:r w:rsidR="00EE697E" w:rsidRPr="00E42B72">
          <w:rPr>
            <w:rFonts w:ascii="Verdana" w:hAnsi="Verdana"/>
            <w:i w:val="0"/>
            <w:noProof/>
            <w:webHidden/>
          </w:rPr>
          <w:fldChar w:fldCharType="end"/>
        </w:r>
      </w:hyperlink>
    </w:p>
    <w:p w14:paraId="76452036" w14:textId="77777777" w:rsidR="00EE697E" w:rsidRPr="00E42B72" w:rsidRDefault="00380DD7" w:rsidP="00EE697E">
      <w:pPr>
        <w:pStyle w:val="TOC3"/>
        <w:tabs>
          <w:tab w:val="left" w:pos="1100"/>
          <w:tab w:val="right" w:leader="dot" w:pos="9792"/>
        </w:tabs>
        <w:spacing w:line="240" w:lineRule="auto"/>
        <w:jc w:val="both"/>
        <w:rPr>
          <w:rFonts w:ascii="Verdana" w:eastAsiaTheme="minorEastAsia" w:hAnsi="Verdana"/>
          <w:i w:val="0"/>
          <w:iCs w:val="0"/>
          <w:noProof/>
          <w:lang w:val="es-CR" w:eastAsia="es-CR"/>
        </w:rPr>
      </w:pPr>
      <w:hyperlink w:anchor="_Toc532995320" w:history="1">
        <w:r w:rsidR="00EE697E" w:rsidRPr="00E42B72">
          <w:rPr>
            <w:rStyle w:val="Hyperlink"/>
            <w:rFonts w:ascii="Verdana" w:eastAsia="Calibri" w:hAnsi="Verdana" w:cs="Times New Roman"/>
            <w:i w:val="0"/>
            <w:noProof/>
            <w:spacing w:val="-2"/>
            <w:lang w:val="es-ES" w:eastAsia="x-none"/>
          </w:rPr>
          <w:t>B.4.</w:t>
        </w:r>
        <w:r w:rsidR="00EE697E" w:rsidRPr="00E42B72">
          <w:rPr>
            <w:rFonts w:ascii="Verdana" w:eastAsiaTheme="minorEastAsia" w:hAnsi="Verdana"/>
            <w:i w:val="0"/>
            <w:iCs w:val="0"/>
            <w:noProof/>
            <w:lang w:val="es-CR" w:eastAsia="es-CR"/>
          </w:rPr>
          <w:tab/>
        </w:r>
        <w:r w:rsidR="00EE697E" w:rsidRPr="00E42B72">
          <w:rPr>
            <w:rStyle w:val="Hyperlink"/>
            <w:rFonts w:ascii="Verdana" w:eastAsia="Calibri" w:hAnsi="Verdana" w:cs="Times New Roman"/>
            <w:i w:val="0"/>
            <w:noProof/>
            <w:spacing w:val="-2"/>
            <w:lang w:val="es-ES" w:eastAsia="x-none"/>
          </w:rPr>
          <w:t>Valoración del alcance del reconocimiento parcial de responsabilidad</w:t>
        </w:r>
        <w:r w:rsidR="00EE697E" w:rsidRPr="00E42B72">
          <w:rPr>
            <w:rFonts w:ascii="Verdana" w:hAnsi="Verdana"/>
            <w:i w:val="0"/>
            <w:noProof/>
            <w:webHidden/>
          </w:rPr>
          <w:tab/>
        </w:r>
        <w:r w:rsidR="00EE697E" w:rsidRPr="00E42B72">
          <w:rPr>
            <w:rFonts w:ascii="Verdana" w:hAnsi="Verdana"/>
            <w:i w:val="0"/>
            <w:noProof/>
            <w:webHidden/>
          </w:rPr>
          <w:fldChar w:fldCharType="begin"/>
        </w:r>
        <w:r w:rsidR="00EE697E" w:rsidRPr="00E42B72">
          <w:rPr>
            <w:rFonts w:ascii="Verdana" w:hAnsi="Verdana"/>
            <w:i w:val="0"/>
            <w:noProof/>
            <w:webHidden/>
          </w:rPr>
          <w:instrText xml:space="preserve"> PAGEREF _Toc532995320 \h </w:instrText>
        </w:r>
        <w:r w:rsidR="00EE697E" w:rsidRPr="00E42B72">
          <w:rPr>
            <w:rFonts w:ascii="Verdana" w:hAnsi="Verdana"/>
            <w:i w:val="0"/>
            <w:noProof/>
            <w:webHidden/>
          </w:rPr>
        </w:r>
        <w:r w:rsidR="00EE697E" w:rsidRPr="00E42B72">
          <w:rPr>
            <w:rFonts w:ascii="Verdana" w:hAnsi="Verdana"/>
            <w:i w:val="0"/>
            <w:noProof/>
            <w:webHidden/>
          </w:rPr>
          <w:fldChar w:fldCharType="separate"/>
        </w:r>
        <w:r>
          <w:rPr>
            <w:rFonts w:ascii="Verdana" w:hAnsi="Verdana"/>
            <w:i w:val="0"/>
            <w:noProof/>
            <w:webHidden/>
          </w:rPr>
          <w:t>14</w:t>
        </w:r>
        <w:r w:rsidR="00EE697E" w:rsidRPr="00E42B72">
          <w:rPr>
            <w:rFonts w:ascii="Verdana" w:hAnsi="Verdana"/>
            <w:i w:val="0"/>
            <w:noProof/>
            <w:webHidden/>
          </w:rPr>
          <w:fldChar w:fldCharType="end"/>
        </w:r>
      </w:hyperlink>
    </w:p>
    <w:p w14:paraId="54F1A191" w14:textId="77777777" w:rsidR="00EE697E" w:rsidRPr="00E42B72" w:rsidRDefault="00380DD7" w:rsidP="00EE697E">
      <w:pPr>
        <w:pStyle w:val="TOC1"/>
        <w:tabs>
          <w:tab w:val="right" w:leader="dot" w:pos="9792"/>
        </w:tabs>
        <w:spacing w:before="0" w:after="0" w:line="240" w:lineRule="auto"/>
        <w:jc w:val="both"/>
        <w:rPr>
          <w:rFonts w:ascii="Verdana" w:eastAsiaTheme="minorEastAsia" w:hAnsi="Verdana"/>
          <w:b w:val="0"/>
          <w:bCs w:val="0"/>
          <w:caps w:val="0"/>
          <w:noProof/>
          <w:lang w:val="es-CR" w:eastAsia="es-CR"/>
        </w:rPr>
      </w:pPr>
      <w:hyperlink w:anchor="_Toc532995321" w:history="1">
        <w:r w:rsidR="00EE697E" w:rsidRPr="00E42B72">
          <w:rPr>
            <w:rStyle w:val="Hyperlink"/>
            <w:rFonts w:ascii="Verdana" w:hAnsi="Verdana"/>
            <w:noProof/>
          </w:rPr>
          <w:t xml:space="preserve">V </w:t>
        </w:r>
        <w:r w:rsidR="00EE697E" w:rsidRPr="00E42B72">
          <w:rPr>
            <w:rStyle w:val="Hyperlink"/>
            <w:rFonts w:ascii="Verdana" w:hAnsi="Verdana"/>
            <w:noProof/>
            <w:lang w:val="en-US"/>
          </w:rPr>
          <w:t>PRUEBA</w:t>
        </w:r>
        <w:r w:rsidR="00EE697E" w:rsidRPr="00E42B72">
          <w:rPr>
            <w:rFonts w:ascii="Verdana" w:hAnsi="Verdana"/>
            <w:noProof/>
            <w:webHidden/>
          </w:rPr>
          <w:tab/>
        </w:r>
        <w:r w:rsidR="00EE697E" w:rsidRPr="00E42B72">
          <w:rPr>
            <w:rFonts w:ascii="Verdana" w:hAnsi="Verdana"/>
            <w:noProof/>
            <w:webHidden/>
          </w:rPr>
          <w:fldChar w:fldCharType="begin"/>
        </w:r>
        <w:r w:rsidR="00EE697E" w:rsidRPr="00E42B72">
          <w:rPr>
            <w:rFonts w:ascii="Verdana" w:hAnsi="Verdana"/>
            <w:noProof/>
            <w:webHidden/>
          </w:rPr>
          <w:instrText xml:space="preserve"> PAGEREF _Toc532995321 \h </w:instrText>
        </w:r>
        <w:r w:rsidR="00EE697E" w:rsidRPr="00E42B72">
          <w:rPr>
            <w:rFonts w:ascii="Verdana" w:hAnsi="Verdana"/>
            <w:noProof/>
            <w:webHidden/>
          </w:rPr>
        </w:r>
        <w:r w:rsidR="00EE697E" w:rsidRPr="00E42B72">
          <w:rPr>
            <w:rFonts w:ascii="Verdana" w:hAnsi="Verdana"/>
            <w:noProof/>
            <w:webHidden/>
          </w:rPr>
          <w:fldChar w:fldCharType="separate"/>
        </w:r>
        <w:r>
          <w:rPr>
            <w:rFonts w:ascii="Verdana" w:hAnsi="Verdana"/>
            <w:noProof/>
            <w:webHidden/>
          </w:rPr>
          <w:t>15</w:t>
        </w:r>
        <w:r w:rsidR="00EE697E" w:rsidRPr="00E42B72">
          <w:rPr>
            <w:rFonts w:ascii="Verdana" w:hAnsi="Verdana"/>
            <w:noProof/>
            <w:webHidden/>
          </w:rPr>
          <w:fldChar w:fldCharType="end"/>
        </w:r>
      </w:hyperlink>
    </w:p>
    <w:p w14:paraId="54D00B5F" w14:textId="77777777" w:rsidR="00EE697E" w:rsidRPr="00E42B72" w:rsidRDefault="00380DD7" w:rsidP="00EE697E">
      <w:pPr>
        <w:pStyle w:val="TOC2"/>
        <w:tabs>
          <w:tab w:val="left" w:pos="880"/>
          <w:tab w:val="right" w:leader="dot" w:pos="9792"/>
        </w:tabs>
        <w:spacing w:line="240" w:lineRule="auto"/>
        <w:jc w:val="both"/>
        <w:rPr>
          <w:rFonts w:ascii="Verdana" w:eastAsiaTheme="minorEastAsia" w:hAnsi="Verdana"/>
          <w:smallCaps w:val="0"/>
          <w:noProof/>
          <w:lang w:val="es-CR" w:eastAsia="es-CR"/>
        </w:rPr>
      </w:pPr>
      <w:hyperlink w:anchor="_Toc532995322" w:history="1">
        <w:r w:rsidR="00EE697E" w:rsidRPr="00E42B72">
          <w:rPr>
            <w:rStyle w:val="Hyperlink"/>
            <w:rFonts w:ascii="Verdana" w:eastAsia="MS Mincho" w:hAnsi="Verdana" w:cs="Times New Roman"/>
            <w:noProof/>
            <w:lang w:val="es-CR" w:eastAsia="es-CR"/>
          </w:rPr>
          <w:t>A.</w:t>
        </w:r>
        <w:r w:rsidR="00EE697E" w:rsidRPr="00E42B72">
          <w:rPr>
            <w:rFonts w:ascii="Verdana" w:eastAsiaTheme="minorEastAsia" w:hAnsi="Verdana"/>
            <w:smallCaps w:val="0"/>
            <w:noProof/>
            <w:lang w:val="es-CR" w:eastAsia="es-CR"/>
          </w:rPr>
          <w:tab/>
        </w:r>
        <w:r w:rsidR="00EE697E" w:rsidRPr="00E42B72">
          <w:rPr>
            <w:rStyle w:val="Hyperlink"/>
            <w:rFonts w:ascii="Verdana" w:eastAsia="MS Mincho" w:hAnsi="Verdana" w:cs="Times New Roman"/>
            <w:noProof/>
            <w:lang w:val="es-CR" w:eastAsia="es-CR"/>
          </w:rPr>
          <w:t>Admisibilidad  de la prueba documental</w:t>
        </w:r>
        <w:r w:rsidR="00EE697E" w:rsidRPr="00E42B72">
          <w:rPr>
            <w:rFonts w:ascii="Verdana" w:hAnsi="Verdana"/>
            <w:noProof/>
            <w:webHidden/>
          </w:rPr>
          <w:tab/>
        </w:r>
        <w:r w:rsidR="00EE697E" w:rsidRPr="00E42B72">
          <w:rPr>
            <w:rFonts w:ascii="Verdana" w:hAnsi="Verdana"/>
            <w:noProof/>
            <w:webHidden/>
          </w:rPr>
          <w:fldChar w:fldCharType="begin"/>
        </w:r>
        <w:r w:rsidR="00EE697E" w:rsidRPr="00E42B72">
          <w:rPr>
            <w:rFonts w:ascii="Verdana" w:hAnsi="Verdana"/>
            <w:noProof/>
            <w:webHidden/>
          </w:rPr>
          <w:instrText xml:space="preserve"> PAGEREF _Toc532995322 \h </w:instrText>
        </w:r>
        <w:r w:rsidR="00EE697E" w:rsidRPr="00E42B72">
          <w:rPr>
            <w:rFonts w:ascii="Verdana" w:hAnsi="Verdana"/>
            <w:noProof/>
            <w:webHidden/>
          </w:rPr>
        </w:r>
        <w:r w:rsidR="00EE697E" w:rsidRPr="00E42B72">
          <w:rPr>
            <w:rFonts w:ascii="Verdana" w:hAnsi="Verdana"/>
            <w:noProof/>
            <w:webHidden/>
          </w:rPr>
          <w:fldChar w:fldCharType="separate"/>
        </w:r>
        <w:r>
          <w:rPr>
            <w:rFonts w:ascii="Verdana" w:hAnsi="Verdana"/>
            <w:noProof/>
            <w:webHidden/>
          </w:rPr>
          <w:t>15</w:t>
        </w:r>
        <w:r w:rsidR="00EE697E" w:rsidRPr="00E42B72">
          <w:rPr>
            <w:rFonts w:ascii="Verdana" w:hAnsi="Verdana"/>
            <w:noProof/>
            <w:webHidden/>
          </w:rPr>
          <w:fldChar w:fldCharType="end"/>
        </w:r>
      </w:hyperlink>
    </w:p>
    <w:p w14:paraId="4C51113B" w14:textId="77777777" w:rsidR="00EE697E" w:rsidRPr="00CA3ED5" w:rsidRDefault="00380DD7" w:rsidP="00EE697E">
      <w:pPr>
        <w:pStyle w:val="TOC3"/>
        <w:tabs>
          <w:tab w:val="left" w:pos="1100"/>
          <w:tab w:val="right" w:leader="dot" w:pos="9792"/>
        </w:tabs>
        <w:spacing w:line="240" w:lineRule="auto"/>
        <w:jc w:val="both"/>
        <w:rPr>
          <w:rFonts w:ascii="Verdana" w:eastAsiaTheme="minorEastAsia" w:hAnsi="Verdana"/>
          <w:i w:val="0"/>
          <w:iCs w:val="0"/>
          <w:noProof/>
          <w:lang w:val="es-CR" w:eastAsia="es-CR"/>
        </w:rPr>
      </w:pPr>
      <w:hyperlink w:anchor="_Toc532995323" w:history="1">
        <w:r w:rsidR="00EE697E" w:rsidRPr="00E42B72">
          <w:rPr>
            <w:rStyle w:val="Hyperlink"/>
            <w:rFonts w:ascii="Verdana" w:eastAsia="Calibri" w:hAnsi="Verdana" w:cs="Times New Roman"/>
            <w:i w:val="0"/>
            <w:noProof/>
            <w:spacing w:val="-2"/>
            <w:lang w:val="es-ES" w:eastAsia="x-none"/>
          </w:rPr>
          <w:t>A.1.</w:t>
        </w:r>
        <w:r w:rsidR="00EE697E" w:rsidRPr="00E42B72">
          <w:rPr>
            <w:rFonts w:ascii="Verdana" w:eastAsiaTheme="minorEastAsia" w:hAnsi="Verdana"/>
            <w:i w:val="0"/>
            <w:iCs w:val="0"/>
            <w:noProof/>
            <w:lang w:val="es-CR" w:eastAsia="es-CR"/>
          </w:rPr>
          <w:tab/>
        </w:r>
        <w:r w:rsidR="00EE697E" w:rsidRPr="00E42B72">
          <w:rPr>
            <w:rStyle w:val="Hyperlink"/>
            <w:rFonts w:ascii="Verdana" w:eastAsia="Calibri" w:hAnsi="Verdana" w:cs="Times New Roman"/>
            <w:i w:val="0"/>
            <w:noProof/>
            <w:spacing w:val="-2"/>
            <w:lang w:val="es-ES" w:eastAsia="x-none"/>
          </w:rPr>
          <w:t>Alegados hechos supervinientes</w:t>
        </w:r>
        <w:r w:rsidR="00EE697E" w:rsidRPr="00E42B72">
          <w:rPr>
            <w:rFonts w:ascii="Verdana" w:hAnsi="Verdana"/>
            <w:i w:val="0"/>
            <w:noProof/>
            <w:webHidden/>
          </w:rPr>
          <w:tab/>
        </w:r>
        <w:r w:rsidR="00EE697E" w:rsidRPr="00E42B72">
          <w:rPr>
            <w:rFonts w:ascii="Verdana" w:hAnsi="Verdana"/>
            <w:i w:val="0"/>
            <w:noProof/>
            <w:webHidden/>
          </w:rPr>
          <w:fldChar w:fldCharType="begin"/>
        </w:r>
        <w:r w:rsidR="00EE697E" w:rsidRPr="00E42B72">
          <w:rPr>
            <w:rFonts w:ascii="Verdana" w:hAnsi="Verdana"/>
            <w:i w:val="0"/>
            <w:noProof/>
            <w:webHidden/>
          </w:rPr>
          <w:instrText xml:space="preserve"> PAGEREF _Toc532995323 \h </w:instrText>
        </w:r>
        <w:r w:rsidR="00EE697E" w:rsidRPr="00E42B72">
          <w:rPr>
            <w:rFonts w:ascii="Verdana" w:hAnsi="Verdana"/>
            <w:i w:val="0"/>
            <w:noProof/>
            <w:webHidden/>
          </w:rPr>
        </w:r>
        <w:r w:rsidR="00EE697E" w:rsidRPr="00E42B72">
          <w:rPr>
            <w:rFonts w:ascii="Verdana" w:hAnsi="Verdana"/>
            <w:i w:val="0"/>
            <w:noProof/>
            <w:webHidden/>
          </w:rPr>
          <w:fldChar w:fldCharType="separate"/>
        </w:r>
        <w:r>
          <w:rPr>
            <w:rFonts w:ascii="Verdana" w:hAnsi="Verdana"/>
            <w:i w:val="0"/>
            <w:noProof/>
            <w:webHidden/>
          </w:rPr>
          <w:t>15</w:t>
        </w:r>
        <w:r w:rsidR="00EE697E" w:rsidRPr="00E42B72">
          <w:rPr>
            <w:rFonts w:ascii="Verdana" w:hAnsi="Verdana"/>
            <w:i w:val="0"/>
            <w:noProof/>
            <w:webHidden/>
          </w:rPr>
          <w:fldChar w:fldCharType="end"/>
        </w:r>
      </w:hyperlink>
    </w:p>
    <w:p w14:paraId="5D0ED67B" w14:textId="77777777" w:rsidR="00EE697E" w:rsidRPr="00CA3ED5" w:rsidRDefault="00380DD7" w:rsidP="00EE697E">
      <w:pPr>
        <w:pStyle w:val="TOC2"/>
        <w:tabs>
          <w:tab w:val="left" w:pos="880"/>
          <w:tab w:val="right" w:leader="dot" w:pos="9792"/>
        </w:tabs>
        <w:spacing w:line="240" w:lineRule="auto"/>
        <w:jc w:val="both"/>
        <w:rPr>
          <w:rFonts w:ascii="Verdana" w:eastAsiaTheme="minorEastAsia" w:hAnsi="Verdana"/>
          <w:smallCaps w:val="0"/>
          <w:noProof/>
          <w:lang w:val="es-CR" w:eastAsia="es-CR"/>
        </w:rPr>
      </w:pPr>
      <w:hyperlink w:anchor="_Toc532995324" w:history="1">
        <w:r w:rsidR="00EE697E" w:rsidRPr="00CA3ED5">
          <w:rPr>
            <w:rStyle w:val="Hyperlink"/>
            <w:rFonts w:ascii="Verdana" w:eastAsia="Calibri" w:hAnsi="Verdana" w:cs="Times New Roman"/>
            <w:noProof/>
            <w:spacing w:val="-2"/>
            <w:lang w:val="es-ES" w:eastAsia="x-none"/>
          </w:rPr>
          <w:t>B.</w:t>
        </w:r>
        <w:r w:rsidR="00EE697E" w:rsidRPr="00CA3ED5">
          <w:rPr>
            <w:rFonts w:ascii="Verdana" w:eastAsiaTheme="minorEastAsia" w:hAnsi="Verdana"/>
            <w:smallCaps w:val="0"/>
            <w:noProof/>
            <w:lang w:val="es-CR" w:eastAsia="es-CR"/>
          </w:rPr>
          <w:tab/>
        </w:r>
        <w:r w:rsidR="00EE697E" w:rsidRPr="00CA3ED5">
          <w:rPr>
            <w:rStyle w:val="Hyperlink"/>
            <w:rFonts w:ascii="Verdana" w:eastAsia="Calibri" w:hAnsi="Verdana" w:cs="Times New Roman"/>
            <w:noProof/>
            <w:spacing w:val="-2"/>
            <w:lang w:val="es-ES" w:eastAsia="x-none"/>
          </w:rPr>
          <w:t>Admisibilidad de la prueba testimonial y pericial</w:t>
        </w:r>
        <w:r w:rsidR="00EE697E" w:rsidRPr="00CA3ED5">
          <w:rPr>
            <w:rFonts w:ascii="Verdana" w:hAnsi="Verdana"/>
            <w:noProof/>
            <w:webHidden/>
          </w:rPr>
          <w:tab/>
        </w:r>
        <w:r w:rsidR="00EE697E" w:rsidRPr="00CA3ED5">
          <w:rPr>
            <w:rFonts w:ascii="Verdana" w:hAnsi="Verdana"/>
            <w:noProof/>
            <w:webHidden/>
          </w:rPr>
          <w:fldChar w:fldCharType="begin"/>
        </w:r>
        <w:r w:rsidR="00EE697E" w:rsidRPr="00CA3ED5">
          <w:rPr>
            <w:rFonts w:ascii="Verdana" w:hAnsi="Verdana"/>
            <w:noProof/>
            <w:webHidden/>
          </w:rPr>
          <w:instrText xml:space="preserve"> PAGEREF _Toc532995324 \h </w:instrText>
        </w:r>
        <w:r w:rsidR="00EE697E" w:rsidRPr="00CA3ED5">
          <w:rPr>
            <w:rFonts w:ascii="Verdana" w:hAnsi="Verdana"/>
            <w:noProof/>
            <w:webHidden/>
          </w:rPr>
        </w:r>
        <w:r w:rsidR="00EE697E" w:rsidRPr="00CA3ED5">
          <w:rPr>
            <w:rFonts w:ascii="Verdana" w:hAnsi="Verdana"/>
            <w:noProof/>
            <w:webHidden/>
          </w:rPr>
          <w:fldChar w:fldCharType="separate"/>
        </w:r>
        <w:r>
          <w:rPr>
            <w:rFonts w:ascii="Verdana" w:hAnsi="Verdana"/>
            <w:noProof/>
            <w:webHidden/>
          </w:rPr>
          <w:t>16</w:t>
        </w:r>
        <w:r w:rsidR="00EE697E" w:rsidRPr="00CA3ED5">
          <w:rPr>
            <w:rFonts w:ascii="Verdana" w:hAnsi="Verdana"/>
            <w:noProof/>
            <w:webHidden/>
          </w:rPr>
          <w:fldChar w:fldCharType="end"/>
        </w:r>
      </w:hyperlink>
    </w:p>
    <w:p w14:paraId="1D47028E" w14:textId="77777777" w:rsidR="00EE697E" w:rsidRPr="00CA3ED5" w:rsidRDefault="00380DD7" w:rsidP="00EE697E">
      <w:pPr>
        <w:pStyle w:val="TOC1"/>
        <w:tabs>
          <w:tab w:val="right" w:leader="dot" w:pos="9792"/>
        </w:tabs>
        <w:spacing w:before="0" w:after="0" w:line="240" w:lineRule="auto"/>
        <w:jc w:val="both"/>
        <w:rPr>
          <w:rFonts w:ascii="Verdana" w:eastAsiaTheme="minorEastAsia" w:hAnsi="Verdana"/>
          <w:b w:val="0"/>
          <w:bCs w:val="0"/>
          <w:caps w:val="0"/>
          <w:noProof/>
          <w:lang w:val="es-CR" w:eastAsia="es-CR"/>
        </w:rPr>
      </w:pPr>
      <w:hyperlink w:anchor="_Toc532995325" w:history="1">
        <w:r w:rsidR="00EE697E" w:rsidRPr="00CA3ED5">
          <w:rPr>
            <w:rStyle w:val="Hyperlink"/>
            <w:rFonts w:ascii="Verdana" w:hAnsi="Verdana"/>
            <w:noProof/>
          </w:rPr>
          <w:t>VI HECHOS</w:t>
        </w:r>
        <w:r w:rsidR="00EE697E" w:rsidRPr="00CA3ED5">
          <w:rPr>
            <w:rFonts w:ascii="Verdana" w:hAnsi="Verdana"/>
            <w:noProof/>
            <w:webHidden/>
          </w:rPr>
          <w:tab/>
        </w:r>
        <w:r w:rsidR="00EE697E" w:rsidRPr="00CA3ED5">
          <w:rPr>
            <w:rFonts w:ascii="Verdana" w:hAnsi="Verdana"/>
            <w:noProof/>
            <w:webHidden/>
          </w:rPr>
          <w:fldChar w:fldCharType="begin"/>
        </w:r>
        <w:r w:rsidR="00EE697E" w:rsidRPr="00CA3ED5">
          <w:rPr>
            <w:rFonts w:ascii="Verdana" w:hAnsi="Verdana"/>
            <w:noProof/>
            <w:webHidden/>
          </w:rPr>
          <w:instrText xml:space="preserve"> PAGEREF _Toc532995325 \h </w:instrText>
        </w:r>
        <w:r w:rsidR="00EE697E" w:rsidRPr="00CA3ED5">
          <w:rPr>
            <w:rFonts w:ascii="Verdana" w:hAnsi="Verdana"/>
            <w:noProof/>
            <w:webHidden/>
          </w:rPr>
        </w:r>
        <w:r w:rsidR="00EE697E" w:rsidRPr="00CA3ED5">
          <w:rPr>
            <w:rFonts w:ascii="Verdana" w:hAnsi="Verdana"/>
            <w:noProof/>
            <w:webHidden/>
          </w:rPr>
          <w:fldChar w:fldCharType="separate"/>
        </w:r>
        <w:r>
          <w:rPr>
            <w:rFonts w:ascii="Verdana" w:hAnsi="Verdana"/>
            <w:noProof/>
            <w:webHidden/>
          </w:rPr>
          <w:t>16</w:t>
        </w:r>
        <w:r w:rsidR="00EE697E" w:rsidRPr="00CA3ED5">
          <w:rPr>
            <w:rFonts w:ascii="Verdana" w:hAnsi="Verdana"/>
            <w:noProof/>
            <w:webHidden/>
          </w:rPr>
          <w:fldChar w:fldCharType="end"/>
        </w:r>
      </w:hyperlink>
    </w:p>
    <w:p w14:paraId="4839BB35" w14:textId="77777777" w:rsidR="00EE697E" w:rsidRPr="00CA3ED5" w:rsidRDefault="00380DD7" w:rsidP="00EE697E">
      <w:pPr>
        <w:pStyle w:val="TOC2"/>
        <w:tabs>
          <w:tab w:val="left" w:pos="880"/>
          <w:tab w:val="right" w:leader="dot" w:pos="9792"/>
        </w:tabs>
        <w:spacing w:line="240" w:lineRule="auto"/>
        <w:jc w:val="both"/>
        <w:rPr>
          <w:rFonts w:ascii="Verdana" w:eastAsiaTheme="minorEastAsia" w:hAnsi="Verdana"/>
          <w:smallCaps w:val="0"/>
          <w:noProof/>
          <w:lang w:val="es-CR" w:eastAsia="es-CR"/>
        </w:rPr>
      </w:pPr>
      <w:hyperlink w:anchor="_Toc532995326" w:history="1">
        <w:r w:rsidR="00EE697E" w:rsidRPr="00CA3ED5">
          <w:rPr>
            <w:rStyle w:val="Hyperlink"/>
            <w:rFonts w:ascii="Verdana" w:hAnsi="Verdana"/>
            <w:noProof/>
          </w:rPr>
          <w:t>A.</w:t>
        </w:r>
        <w:r w:rsidR="00EE697E" w:rsidRPr="00CA3ED5">
          <w:rPr>
            <w:rFonts w:ascii="Verdana" w:eastAsiaTheme="minorEastAsia" w:hAnsi="Verdana"/>
            <w:smallCaps w:val="0"/>
            <w:noProof/>
            <w:lang w:val="es-CR" w:eastAsia="es-CR"/>
          </w:rPr>
          <w:tab/>
        </w:r>
        <w:r w:rsidR="00EE697E" w:rsidRPr="00CA3ED5">
          <w:rPr>
            <w:rStyle w:val="Hyperlink"/>
            <w:rFonts w:ascii="Verdana" w:hAnsi="Verdana"/>
            <w:noProof/>
          </w:rPr>
          <w:t>Contexto</w:t>
        </w:r>
        <w:r w:rsidR="00EE697E" w:rsidRPr="00CA3ED5">
          <w:rPr>
            <w:rFonts w:ascii="Verdana" w:hAnsi="Verdana"/>
            <w:noProof/>
            <w:webHidden/>
          </w:rPr>
          <w:tab/>
        </w:r>
        <w:r w:rsidR="00EE697E" w:rsidRPr="00CA3ED5">
          <w:rPr>
            <w:rFonts w:ascii="Verdana" w:hAnsi="Verdana"/>
            <w:noProof/>
            <w:webHidden/>
          </w:rPr>
          <w:fldChar w:fldCharType="begin"/>
        </w:r>
        <w:r w:rsidR="00EE697E" w:rsidRPr="00CA3ED5">
          <w:rPr>
            <w:rFonts w:ascii="Verdana" w:hAnsi="Verdana"/>
            <w:noProof/>
            <w:webHidden/>
          </w:rPr>
          <w:instrText xml:space="preserve"> PAGEREF _Toc532995326 \h </w:instrText>
        </w:r>
        <w:r w:rsidR="00EE697E" w:rsidRPr="00CA3ED5">
          <w:rPr>
            <w:rFonts w:ascii="Verdana" w:hAnsi="Verdana"/>
            <w:noProof/>
            <w:webHidden/>
          </w:rPr>
        </w:r>
        <w:r w:rsidR="00EE697E" w:rsidRPr="00CA3ED5">
          <w:rPr>
            <w:rFonts w:ascii="Verdana" w:hAnsi="Verdana"/>
            <w:noProof/>
            <w:webHidden/>
          </w:rPr>
          <w:fldChar w:fldCharType="separate"/>
        </w:r>
        <w:r>
          <w:rPr>
            <w:rFonts w:ascii="Verdana" w:hAnsi="Verdana"/>
            <w:noProof/>
            <w:webHidden/>
          </w:rPr>
          <w:t>17</w:t>
        </w:r>
        <w:r w:rsidR="00EE697E" w:rsidRPr="00CA3ED5">
          <w:rPr>
            <w:rFonts w:ascii="Verdana" w:hAnsi="Verdana"/>
            <w:noProof/>
            <w:webHidden/>
          </w:rPr>
          <w:fldChar w:fldCharType="end"/>
        </w:r>
      </w:hyperlink>
    </w:p>
    <w:p w14:paraId="69CFADE1" w14:textId="77777777" w:rsidR="00EE697E" w:rsidRPr="00CA3ED5" w:rsidRDefault="00380DD7" w:rsidP="00EE697E">
      <w:pPr>
        <w:pStyle w:val="TOC3"/>
        <w:tabs>
          <w:tab w:val="left" w:pos="1100"/>
          <w:tab w:val="right" w:leader="dot" w:pos="9792"/>
        </w:tabs>
        <w:spacing w:line="240" w:lineRule="auto"/>
        <w:jc w:val="both"/>
        <w:rPr>
          <w:rFonts w:ascii="Verdana" w:eastAsiaTheme="minorEastAsia" w:hAnsi="Verdana"/>
          <w:i w:val="0"/>
          <w:iCs w:val="0"/>
          <w:noProof/>
          <w:lang w:val="es-CR" w:eastAsia="es-CR"/>
        </w:rPr>
      </w:pPr>
      <w:hyperlink w:anchor="_Toc532995327" w:history="1">
        <w:r w:rsidR="00EE697E" w:rsidRPr="00CA3ED5">
          <w:rPr>
            <w:rStyle w:val="Hyperlink"/>
            <w:rFonts w:ascii="Verdana" w:eastAsia="Calibri" w:hAnsi="Verdana" w:cs="Times New Roman"/>
            <w:i w:val="0"/>
            <w:noProof/>
            <w:spacing w:val="-2"/>
            <w:lang w:val="es-ES" w:eastAsia="x-none"/>
          </w:rPr>
          <w:t>A.1.</w:t>
        </w:r>
        <w:r w:rsidR="00EE697E" w:rsidRPr="00CA3ED5">
          <w:rPr>
            <w:rFonts w:ascii="Verdana" w:eastAsiaTheme="minorEastAsia" w:hAnsi="Verdana"/>
            <w:i w:val="0"/>
            <w:iCs w:val="0"/>
            <w:noProof/>
            <w:lang w:val="es-CR" w:eastAsia="es-CR"/>
          </w:rPr>
          <w:tab/>
        </w:r>
        <w:r w:rsidR="00EE697E" w:rsidRPr="00CA3ED5">
          <w:rPr>
            <w:rStyle w:val="Hyperlink"/>
            <w:rFonts w:ascii="Verdana" w:eastAsia="Calibri" w:hAnsi="Verdana" w:cs="Times New Roman"/>
            <w:i w:val="0"/>
            <w:noProof/>
            <w:spacing w:val="-2"/>
            <w:lang w:val="es-ES" w:eastAsia="x-none"/>
          </w:rPr>
          <w:t>Sobre las desapariciones y la existencia de un patrón de impunidad en México</w:t>
        </w:r>
        <w:r w:rsidR="00EE697E" w:rsidRPr="00CA3ED5">
          <w:rPr>
            <w:rFonts w:ascii="Verdana" w:hAnsi="Verdana"/>
            <w:i w:val="0"/>
            <w:noProof/>
            <w:webHidden/>
          </w:rPr>
          <w:tab/>
        </w:r>
        <w:r w:rsidR="00EE697E" w:rsidRPr="00CA3ED5">
          <w:rPr>
            <w:rFonts w:ascii="Verdana" w:hAnsi="Verdana"/>
            <w:i w:val="0"/>
            <w:noProof/>
            <w:webHidden/>
          </w:rPr>
          <w:fldChar w:fldCharType="begin"/>
        </w:r>
        <w:r w:rsidR="00EE697E" w:rsidRPr="00CA3ED5">
          <w:rPr>
            <w:rFonts w:ascii="Verdana" w:hAnsi="Verdana"/>
            <w:i w:val="0"/>
            <w:noProof/>
            <w:webHidden/>
          </w:rPr>
          <w:instrText xml:space="preserve"> PAGEREF _Toc532995327 \h </w:instrText>
        </w:r>
        <w:r w:rsidR="00EE697E" w:rsidRPr="00CA3ED5">
          <w:rPr>
            <w:rFonts w:ascii="Verdana" w:hAnsi="Verdana"/>
            <w:i w:val="0"/>
            <w:noProof/>
            <w:webHidden/>
          </w:rPr>
        </w:r>
        <w:r w:rsidR="00EE697E" w:rsidRPr="00CA3ED5">
          <w:rPr>
            <w:rFonts w:ascii="Verdana" w:hAnsi="Verdana"/>
            <w:i w:val="0"/>
            <w:noProof/>
            <w:webHidden/>
          </w:rPr>
          <w:fldChar w:fldCharType="separate"/>
        </w:r>
        <w:r>
          <w:rPr>
            <w:rFonts w:ascii="Verdana" w:hAnsi="Verdana"/>
            <w:i w:val="0"/>
            <w:noProof/>
            <w:webHidden/>
          </w:rPr>
          <w:t>17</w:t>
        </w:r>
        <w:r w:rsidR="00EE697E" w:rsidRPr="00CA3ED5">
          <w:rPr>
            <w:rFonts w:ascii="Verdana" w:hAnsi="Verdana"/>
            <w:i w:val="0"/>
            <w:noProof/>
            <w:webHidden/>
          </w:rPr>
          <w:fldChar w:fldCharType="end"/>
        </w:r>
      </w:hyperlink>
    </w:p>
    <w:p w14:paraId="5F4E7178" w14:textId="7CF84DC5" w:rsidR="00EE697E" w:rsidRPr="00CA3ED5" w:rsidRDefault="00380DD7" w:rsidP="00EE697E">
      <w:pPr>
        <w:pStyle w:val="TOC4"/>
        <w:rPr>
          <w:rFonts w:ascii="Verdana" w:eastAsiaTheme="minorEastAsia" w:hAnsi="Verdana"/>
          <w:noProof/>
          <w:sz w:val="20"/>
          <w:szCs w:val="20"/>
          <w:lang w:val="es-CR" w:eastAsia="es-CR"/>
        </w:rPr>
      </w:pPr>
      <w:hyperlink w:anchor="_Toc532995328" w:history="1">
        <w:r w:rsidR="00EE697E" w:rsidRPr="00CA3ED5">
          <w:rPr>
            <w:rStyle w:val="Hyperlink"/>
            <w:rFonts w:ascii="Verdana" w:hAnsi="Verdana"/>
            <w:noProof/>
            <w:sz w:val="20"/>
            <w:szCs w:val="20"/>
          </w:rPr>
          <w:t>A.1.1.</w:t>
        </w:r>
        <w:r w:rsidR="00EE697E" w:rsidRPr="00CA3ED5">
          <w:rPr>
            <w:rFonts w:ascii="Verdana" w:eastAsiaTheme="minorEastAsia" w:hAnsi="Verdana"/>
            <w:noProof/>
            <w:sz w:val="20"/>
            <w:szCs w:val="20"/>
            <w:lang w:val="es-CR" w:eastAsia="es-CR"/>
          </w:rPr>
          <w:tab/>
          <w:t xml:space="preserve">   </w:t>
        </w:r>
        <w:r w:rsidR="00EE697E" w:rsidRPr="00CA3ED5">
          <w:rPr>
            <w:rStyle w:val="Hyperlink"/>
            <w:rFonts w:ascii="Verdana" w:hAnsi="Verdana"/>
            <w:noProof/>
            <w:sz w:val="20"/>
            <w:szCs w:val="20"/>
          </w:rPr>
          <w:t>La militarización como estrategia de seguridad pública y la “guerra contra el narcotráfico”</w:t>
        </w:r>
        <w:r w:rsidR="00EE697E" w:rsidRPr="00CA3ED5">
          <w:rPr>
            <w:rFonts w:ascii="Verdana" w:hAnsi="Verdana"/>
            <w:noProof/>
            <w:webHidden/>
            <w:sz w:val="20"/>
            <w:szCs w:val="20"/>
          </w:rPr>
          <w:tab/>
        </w:r>
        <w:r w:rsidR="00EE697E" w:rsidRPr="00CA3ED5">
          <w:rPr>
            <w:rFonts w:ascii="Verdana" w:hAnsi="Verdana"/>
            <w:noProof/>
            <w:webHidden/>
            <w:sz w:val="20"/>
            <w:szCs w:val="20"/>
          </w:rPr>
          <w:fldChar w:fldCharType="begin"/>
        </w:r>
        <w:r w:rsidR="00EE697E" w:rsidRPr="00CA3ED5">
          <w:rPr>
            <w:rFonts w:ascii="Verdana" w:hAnsi="Verdana"/>
            <w:noProof/>
            <w:webHidden/>
            <w:sz w:val="20"/>
            <w:szCs w:val="20"/>
          </w:rPr>
          <w:instrText xml:space="preserve"> PAGEREF _Toc532995328 \h </w:instrText>
        </w:r>
        <w:r w:rsidR="00EE697E" w:rsidRPr="00CA3ED5">
          <w:rPr>
            <w:rFonts w:ascii="Verdana" w:hAnsi="Verdana"/>
            <w:noProof/>
            <w:webHidden/>
            <w:sz w:val="20"/>
            <w:szCs w:val="20"/>
          </w:rPr>
        </w:r>
        <w:r w:rsidR="00EE697E" w:rsidRPr="00CA3ED5">
          <w:rPr>
            <w:rFonts w:ascii="Verdana" w:hAnsi="Verdana"/>
            <w:noProof/>
            <w:webHidden/>
            <w:sz w:val="20"/>
            <w:szCs w:val="20"/>
          </w:rPr>
          <w:fldChar w:fldCharType="separate"/>
        </w:r>
        <w:r>
          <w:rPr>
            <w:rFonts w:ascii="Verdana" w:hAnsi="Verdana"/>
            <w:noProof/>
            <w:webHidden/>
            <w:sz w:val="20"/>
            <w:szCs w:val="20"/>
          </w:rPr>
          <w:t>17</w:t>
        </w:r>
        <w:r w:rsidR="00EE697E" w:rsidRPr="00CA3ED5">
          <w:rPr>
            <w:rFonts w:ascii="Verdana" w:hAnsi="Verdana"/>
            <w:noProof/>
            <w:webHidden/>
            <w:sz w:val="20"/>
            <w:szCs w:val="20"/>
          </w:rPr>
          <w:fldChar w:fldCharType="end"/>
        </w:r>
      </w:hyperlink>
    </w:p>
    <w:p w14:paraId="5F63F58A" w14:textId="5CCC75C7" w:rsidR="00EE697E" w:rsidRPr="00CA3ED5" w:rsidRDefault="00380DD7" w:rsidP="00EE697E">
      <w:pPr>
        <w:pStyle w:val="TOC4"/>
        <w:rPr>
          <w:rFonts w:ascii="Verdana" w:eastAsiaTheme="minorEastAsia" w:hAnsi="Verdana"/>
          <w:noProof/>
          <w:sz w:val="20"/>
          <w:szCs w:val="20"/>
          <w:lang w:val="es-CR" w:eastAsia="es-CR"/>
        </w:rPr>
      </w:pPr>
      <w:hyperlink w:anchor="_Toc532995329" w:history="1">
        <w:r w:rsidR="00EE697E" w:rsidRPr="00CA3ED5">
          <w:rPr>
            <w:rStyle w:val="Hyperlink"/>
            <w:rFonts w:ascii="Verdana" w:hAnsi="Verdana"/>
            <w:noProof/>
            <w:sz w:val="20"/>
            <w:szCs w:val="20"/>
          </w:rPr>
          <w:t>A.1.2.</w:t>
        </w:r>
        <w:r w:rsidR="00EE697E" w:rsidRPr="00CA3ED5">
          <w:rPr>
            <w:rFonts w:ascii="Verdana" w:eastAsiaTheme="minorEastAsia" w:hAnsi="Verdana"/>
            <w:noProof/>
            <w:sz w:val="20"/>
            <w:szCs w:val="20"/>
            <w:lang w:val="es-CR" w:eastAsia="es-CR"/>
          </w:rPr>
          <w:tab/>
          <w:t xml:space="preserve">   </w:t>
        </w:r>
        <w:r w:rsidR="00EE697E" w:rsidRPr="00CA3ED5">
          <w:rPr>
            <w:rStyle w:val="Hyperlink"/>
            <w:rFonts w:ascii="Verdana" w:hAnsi="Verdana"/>
            <w:noProof/>
            <w:sz w:val="20"/>
            <w:szCs w:val="20"/>
          </w:rPr>
          <w:t>El incremento de la violencia criminal y las violaciones a los derechos humanos asociadas a la implementación de los “Operativos Conjuntos”</w:t>
        </w:r>
        <w:r w:rsidR="00EE697E" w:rsidRPr="00CA3ED5">
          <w:rPr>
            <w:rFonts w:ascii="Verdana" w:hAnsi="Verdana"/>
            <w:noProof/>
            <w:webHidden/>
            <w:sz w:val="20"/>
            <w:szCs w:val="20"/>
          </w:rPr>
          <w:tab/>
        </w:r>
        <w:r w:rsidR="00EE697E" w:rsidRPr="00CA3ED5">
          <w:rPr>
            <w:rFonts w:ascii="Verdana" w:hAnsi="Verdana"/>
            <w:noProof/>
            <w:webHidden/>
            <w:sz w:val="20"/>
            <w:szCs w:val="20"/>
          </w:rPr>
          <w:fldChar w:fldCharType="begin"/>
        </w:r>
        <w:r w:rsidR="00EE697E" w:rsidRPr="00CA3ED5">
          <w:rPr>
            <w:rFonts w:ascii="Verdana" w:hAnsi="Verdana"/>
            <w:noProof/>
            <w:webHidden/>
            <w:sz w:val="20"/>
            <w:szCs w:val="20"/>
          </w:rPr>
          <w:instrText xml:space="preserve"> PAGEREF _Toc532995329 \h </w:instrText>
        </w:r>
        <w:r w:rsidR="00EE697E" w:rsidRPr="00CA3ED5">
          <w:rPr>
            <w:rFonts w:ascii="Verdana" w:hAnsi="Verdana"/>
            <w:noProof/>
            <w:webHidden/>
            <w:sz w:val="20"/>
            <w:szCs w:val="20"/>
          </w:rPr>
        </w:r>
        <w:r w:rsidR="00EE697E" w:rsidRPr="00CA3ED5">
          <w:rPr>
            <w:rFonts w:ascii="Verdana" w:hAnsi="Verdana"/>
            <w:noProof/>
            <w:webHidden/>
            <w:sz w:val="20"/>
            <w:szCs w:val="20"/>
          </w:rPr>
          <w:fldChar w:fldCharType="separate"/>
        </w:r>
        <w:r>
          <w:rPr>
            <w:rFonts w:ascii="Verdana" w:hAnsi="Verdana"/>
            <w:noProof/>
            <w:webHidden/>
            <w:sz w:val="20"/>
            <w:szCs w:val="20"/>
          </w:rPr>
          <w:t>20</w:t>
        </w:r>
        <w:r w:rsidR="00EE697E" w:rsidRPr="00CA3ED5">
          <w:rPr>
            <w:rFonts w:ascii="Verdana" w:hAnsi="Verdana"/>
            <w:noProof/>
            <w:webHidden/>
            <w:sz w:val="20"/>
            <w:szCs w:val="20"/>
          </w:rPr>
          <w:fldChar w:fldCharType="end"/>
        </w:r>
      </w:hyperlink>
    </w:p>
    <w:p w14:paraId="18CF8D05" w14:textId="2ACF2CD5" w:rsidR="00EE697E" w:rsidRPr="00CA3ED5" w:rsidRDefault="00380DD7" w:rsidP="00EE697E">
      <w:pPr>
        <w:pStyle w:val="TOC4"/>
        <w:rPr>
          <w:rFonts w:ascii="Verdana" w:eastAsiaTheme="minorEastAsia" w:hAnsi="Verdana"/>
          <w:noProof/>
          <w:sz w:val="20"/>
          <w:szCs w:val="20"/>
          <w:lang w:val="es-CR" w:eastAsia="es-CR"/>
        </w:rPr>
      </w:pPr>
      <w:hyperlink w:anchor="_Toc532995330" w:history="1">
        <w:r w:rsidR="00EE697E" w:rsidRPr="00CA3ED5">
          <w:rPr>
            <w:rStyle w:val="Hyperlink"/>
            <w:rFonts w:ascii="Verdana" w:hAnsi="Verdana"/>
            <w:noProof/>
            <w:sz w:val="20"/>
            <w:szCs w:val="20"/>
          </w:rPr>
          <w:t>A.1.3.</w:t>
        </w:r>
        <w:r w:rsidR="00EE697E" w:rsidRPr="00CA3ED5">
          <w:rPr>
            <w:rFonts w:ascii="Verdana" w:eastAsiaTheme="minorEastAsia" w:hAnsi="Verdana"/>
            <w:noProof/>
            <w:sz w:val="20"/>
            <w:szCs w:val="20"/>
            <w:lang w:val="es-CR" w:eastAsia="es-CR"/>
          </w:rPr>
          <w:tab/>
          <w:t xml:space="preserve">   </w:t>
        </w:r>
        <w:r w:rsidR="00EE697E" w:rsidRPr="00CA3ED5">
          <w:rPr>
            <w:rStyle w:val="Hyperlink"/>
            <w:rFonts w:ascii="Verdana" w:hAnsi="Verdana"/>
            <w:noProof/>
            <w:sz w:val="20"/>
            <w:szCs w:val="20"/>
          </w:rPr>
          <w:t>Sobre las desapariciones presuntamente atribuibles a agentes estatales en México</w:t>
        </w:r>
        <w:r w:rsidR="00EE697E" w:rsidRPr="00CA3ED5">
          <w:rPr>
            <w:rFonts w:ascii="Verdana" w:hAnsi="Verdana"/>
            <w:noProof/>
            <w:webHidden/>
            <w:sz w:val="20"/>
            <w:szCs w:val="20"/>
          </w:rPr>
          <w:tab/>
        </w:r>
        <w:r w:rsidR="00EE697E" w:rsidRPr="00CA3ED5">
          <w:rPr>
            <w:rFonts w:ascii="Verdana" w:hAnsi="Verdana"/>
            <w:noProof/>
            <w:webHidden/>
            <w:sz w:val="20"/>
            <w:szCs w:val="20"/>
          </w:rPr>
          <w:fldChar w:fldCharType="begin"/>
        </w:r>
        <w:r w:rsidR="00EE697E" w:rsidRPr="00CA3ED5">
          <w:rPr>
            <w:rFonts w:ascii="Verdana" w:hAnsi="Verdana"/>
            <w:noProof/>
            <w:webHidden/>
            <w:sz w:val="20"/>
            <w:szCs w:val="20"/>
          </w:rPr>
          <w:instrText xml:space="preserve"> PAGEREF _Toc532995330 \h </w:instrText>
        </w:r>
        <w:r w:rsidR="00EE697E" w:rsidRPr="00CA3ED5">
          <w:rPr>
            <w:rFonts w:ascii="Verdana" w:hAnsi="Verdana"/>
            <w:noProof/>
            <w:webHidden/>
            <w:sz w:val="20"/>
            <w:szCs w:val="20"/>
          </w:rPr>
        </w:r>
        <w:r w:rsidR="00EE697E" w:rsidRPr="00CA3ED5">
          <w:rPr>
            <w:rFonts w:ascii="Verdana" w:hAnsi="Verdana"/>
            <w:noProof/>
            <w:webHidden/>
            <w:sz w:val="20"/>
            <w:szCs w:val="20"/>
          </w:rPr>
          <w:fldChar w:fldCharType="separate"/>
        </w:r>
        <w:r>
          <w:rPr>
            <w:rFonts w:ascii="Verdana" w:hAnsi="Verdana"/>
            <w:noProof/>
            <w:webHidden/>
            <w:sz w:val="20"/>
            <w:szCs w:val="20"/>
          </w:rPr>
          <w:t>22</w:t>
        </w:r>
        <w:r w:rsidR="00EE697E" w:rsidRPr="00CA3ED5">
          <w:rPr>
            <w:rFonts w:ascii="Verdana" w:hAnsi="Verdana"/>
            <w:noProof/>
            <w:webHidden/>
            <w:sz w:val="20"/>
            <w:szCs w:val="20"/>
          </w:rPr>
          <w:fldChar w:fldCharType="end"/>
        </w:r>
      </w:hyperlink>
    </w:p>
    <w:p w14:paraId="6D61C325" w14:textId="68F7C38A" w:rsidR="00EE697E" w:rsidRPr="00CA3ED5" w:rsidRDefault="00380DD7" w:rsidP="00EE697E">
      <w:pPr>
        <w:pStyle w:val="TOC4"/>
        <w:rPr>
          <w:rFonts w:ascii="Verdana" w:eastAsiaTheme="minorEastAsia" w:hAnsi="Verdana"/>
          <w:noProof/>
          <w:sz w:val="20"/>
          <w:szCs w:val="20"/>
          <w:lang w:val="es-CR" w:eastAsia="es-CR"/>
        </w:rPr>
      </w:pPr>
      <w:hyperlink w:anchor="_Toc532995331" w:history="1">
        <w:r w:rsidR="00EE697E" w:rsidRPr="00CA3ED5">
          <w:rPr>
            <w:rStyle w:val="Hyperlink"/>
            <w:rFonts w:ascii="Verdana" w:hAnsi="Verdana"/>
            <w:noProof/>
            <w:sz w:val="20"/>
            <w:szCs w:val="20"/>
          </w:rPr>
          <w:t>A.1.4.</w:t>
        </w:r>
        <w:r w:rsidR="00EE697E" w:rsidRPr="00CA3ED5">
          <w:rPr>
            <w:rFonts w:ascii="Verdana" w:eastAsiaTheme="minorEastAsia" w:hAnsi="Verdana"/>
            <w:noProof/>
            <w:sz w:val="20"/>
            <w:szCs w:val="20"/>
            <w:lang w:val="es-CR" w:eastAsia="es-CR"/>
          </w:rPr>
          <w:tab/>
          <w:t xml:space="preserve">   </w:t>
        </w:r>
        <w:r w:rsidR="00EE697E" w:rsidRPr="00CA3ED5">
          <w:rPr>
            <w:rStyle w:val="Hyperlink"/>
            <w:rFonts w:ascii="Verdana" w:hAnsi="Verdana"/>
            <w:noProof/>
            <w:sz w:val="20"/>
            <w:szCs w:val="20"/>
          </w:rPr>
          <w:t>La respuesta judicial en los casos de desapariciones atribuibles a agentes estatales</w:t>
        </w:r>
        <w:r w:rsidR="00EE697E" w:rsidRPr="00CA3ED5">
          <w:rPr>
            <w:rFonts w:ascii="Verdana" w:hAnsi="Verdana"/>
            <w:noProof/>
            <w:webHidden/>
            <w:sz w:val="20"/>
            <w:szCs w:val="20"/>
          </w:rPr>
          <w:tab/>
        </w:r>
        <w:r w:rsidR="00EE697E" w:rsidRPr="00CA3ED5">
          <w:rPr>
            <w:rFonts w:ascii="Verdana" w:hAnsi="Verdana"/>
            <w:noProof/>
            <w:webHidden/>
            <w:sz w:val="20"/>
            <w:szCs w:val="20"/>
          </w:rPr>
          <w:fldChar w:fldCharType="begin"/>
        </w:r>
        <w:r w:rsidR="00EE697E" w:rsidRPr="00CA3ED5">
          <w:rPr>
            <w:rFonts w:ascii="Verdana" w:hAnsi="Verdana"/>
            <w:noProof/>
            <w:webHidden/>
            <w:sz w:val="20"/>
            <w:szCs w:val="20"/>
          </w:rPr>
          <w:instrText xml:space="preserve"> PAGEREF _Toc532995331 \h </w:instrText>
        </w:r>
        <w:r w:rsidR="00EE697E" w:rsidRPr="00CA3ED5">
          <w:rPr>
            <w:rFonts w:ascii="Verdana" w:hAnsi="Verdana"/>
            <w:noProof/>
            <w:webHidden/>
            <w:sz w:val="20"/>
            <w:szCs w:val="20"/>
          </w:rPr>
        </w:r>
        <w:r w:rsidR="00EE697E" w:rsidRPr="00CA3ED5">
          <w:rPr>
            <w:rFonts w:ascii="Verdana" w:hAnsi="Verdana"/>
            <w:noProof/>
            <w:webHidden/>
            <w:sz w:val="20"/>
            <w:szCs w:val="20"/>
          </w:rPr>
          <w:fldChar w:fldCharType="separate"/>
        </w:r>
        <w:r>
          <w:rPr>
            <w:rFonts w:ascii="Verdana" w:hAnsi="Verdana"/>
            <w:noProof/>
            <w:webHidden/>
            <w:sz w:val="20"/>
            <w:szCs w:val="20"/>
          </w:rPr>
          <w:t>24</w:t>
        </w:r>
        <w:r w:rsidR="00EE697E" w:rsidRPr="00CA3ED5">
          <w:rPr>
            <w:rFonts w:ascii="Verdana" w:hAnsi="Verdana"/>
            <w:noProof/>
            <w:webHidden/>
            <w:sz w:val="20"/>
            <w:szCs w:val="20"/>
          </w:rPr>
          <w:fldChar w:fldCharType="end"/>
        </w:r>
      </w:hyperlink>
    </w:p>
    <w:p w14:paraId="5A884379" w14:textId="04156F03" w:rsidR="00EE697E" w:rsidRPr="00CA3ED5" w:rsidRDefault="00380DD7" w:rsidP="00EE697E">
      <w:pPr>
        <w:pStyle w:val="TOC4"/>
        <w:rPr>
          <w:rFonts w:ascii="Verdana" w:eastAsiaTheme="minorEastAsia" w:hAnsi="Verdana"/>
          <w:noProof/>
          <w:sz w:val="20"/>
          <w:szCs w:val="20"/>
          <w:lang w:val="es-CR" w:eastAsia="es-CR"/>
        </w:rPr>
      </w:pPr>
      <w:hyperlink w:anchor="_Toc532995332" w:history="1">
        <w:r w:rsidR="00EE697E" w:rsidRPr="00CA3ED5">
          <w:rPr>
            <w:rStyle w:val="Hyperlink"/>
            <w:rFonts w:ascii="Verdana" w:hAnsi="Verdana"/>
            <w:noProof/>
            <w:sz w:val="20"/>
            <w:szCs w:val="20"/>
          </w:rPr>
          <w:t>A.1.5.</w:t>
        </w:r>
        <w:r w:rsidR="00EE697E" w:rsidRPr="00CA3ED5">
          <w:rPr>
            <w:rFonts w:ascii="Verdana" w:eastAsiaTheme="minorEastAsia" w:hAnsi="Verdana"/>
            <w:noProof/>
            <w:sz w:val="20"/>
            <w:szCs w:val="20"/>
            <w:lang w:val="es-CR" w:eastAsia="es-CR"/>
          </w:rPr>
          <w:tab/>
          <w:t xml:space="preserve">   </w:t>
        </w:r>
        <w:r w:rsidR="00EE697E" w:rsidRPr="00CA3ED5">
          <w:rPr>
            <w:rStyle w:val="Hyperlink"/>
            <w:rFonts w:ascii="Verdana" w:hAnsi="Verdana"/>
            <w:noProof/>
            <w:sz w:val="20"/>
            <w:szCs w:val="20"/>
          </w:rPr>
          <w:t>La situación de violencia e inseguridad en la región donde ocurrieron los hechos y la implementación del Operativo Conjunto Chihuahua</w:t>
        </w:r>
        <w:r w:rsidR="00EE697E" w:rsidRPr="00CA3ED5">
          <w:rPr>
            <w:rFonts w:ascii="Verdana" w:hAnsi="Verdana"/>
            <w:noProof/>
            <w:webHidden/>
            <w:sz w:val="20"/>
            <w:szCs w:val="20"/>
          </w:rPr>
          <w:tab/>
        </w:r>
        <w:r w:rsidR="00EE697E" w:rsidRPr="00CA3ED5">
          <w:rPr>
            <w:rFonts w:ascii="Verdana" w:hAnsi="Verdana"/>
            <w:noProof/>
            <w:webHidden/>
            <w:sz w:val="20"/>
            <w:szCs w:val="20"/>
          </w:rPr>
          <w:fldChar w:fldCharType="begin"/>
        </w:r>
        <w:r w:rsidR="00EE697E" w:rsidRPr="00CA3ED5">
          <w:rPr>
            <w:rFonts w:ascii="Verdana" w:hAnsi="Verdana"/>
            <w:noProof/>
            <w:webHidden/>
            <w:sz w:val="20"/>
            <w:szCs w:val="20"/>
          </w:rPr>
          <w:instrText xml:space="preserve"> PAGEREF _Toc532995332 \h </w:instrText>
        </w:r>
        <w:r w:rsidR="00EE697E" w:rsidRPr="00CA3ED5">
          <w:rPr>
            <w:rFonts w:ascii="Verdana" w:hAnsi="Verdana"/>
            <w:noProof/>
            <w:webHidden/>
            <w:sz w:val="20"/>
            <w:szCs w:val="20"/>
          </w:rPr>
        </w:r>
        <w:r w:rsidR="00EE697E" w:rsidRPr="00CA3ED5">
          <w:rPr>
            <w:rFonts w:ascii="Verdana" w:hAnsi="Verdana"/>
            <w:noProof/>
            <w:webHidden/>
            <w:sz w:val="20"/>
            <w:szCs w:val="20"/>
          </w:rPr>
          <w:fldChar w:fldCharType="separate"/>
        </w:r>
        <w:r>
          <w:rPr>
            <w:rFonts w:ascii="Verdana" w:hAnsi="Verdana"/>
            <w:noProof/>
            <w:webHidden/>
            <w:sz w:val="20"/>
            <w:szCs w:val="20"/>
          </w:rPr>
          <w:t>24</w:t>
        </w:r>
        <w:r w:rsidR="00EE697E" w:rsidRPr="00CA3ED5">
          <w:rPr>
            <w:rFonts w:ascii="Verdana" w:hAnsi="Verdana"/>
            <w:noProof/>
            <w:webHidden/>
            <w:sz w:val="20"/>
            <w:szCs w:val="20"/>
          </w:rPr>
          <w:fldChar w:fldCharType="end"/>
        </w:r>
      </w:hyperlink>
    </w:p>
    <w:p w14:paraId="38915B7D" w14:textId="77777777" w:rsidR="00EE697E" w:rsidRPr="00CA3ED5" w:rsidRDefault="00380DD7" w:rsidP="00EE697E">
      <w:pPr>
        <w:pStyle w:val="TOC2"/>
        <w:tabs>
          <w:tab w:val="left" w:pos="660"/>
          <w:tab w:val="right" w:leader="dot" w:pos="9792"/>
        </w:tabs>
        <w:spacing w:line="240" w:lineRule="auto"/>
        <w:jc w:val="both"/>
        <w:rPr>
          <w:rFonts w:ascii="Verdana" w:eastAsiaTheme="minorEastAsia" w:hAnsi="Verdana"/>
          <w:smallCaps w:val="0"/>
          <w:noProof/>
          <w:lang w:val="es-CR" w:eastAsia="es-CR"/>
        </w:rPr>
      </w:pPr>
      <w:hyperlink w:anchor="_Toc532995333" w:history="1">
        <w:r w:rsidR="00EE697E" w:rsidRPr="00CA3ED5">
          <w:rPr>
            <w:rStyle w:val="Hyperlink"/>
            <w:rFonts w:ascii="Verdana" w:hAnsi="Verdana"/>
            <w:noProof/>
          </w:rPr>
          <w:t>B.</w:t>
        </w:r>
        <w:r w:rsidR="00EE697E" w:rsidRPr="00CA3ED5">
          <w:rPr>
            <w:rFonts w:ascii="Verdana" w:eastAsiaTheme="minorEastAsia" w:hAnsi="Verdana"/>
            <w:smallCaps w:val="0"/>
            <w:noProof/>
            <w:lang w:val="es-CR" w:eastAsia="es-CR"/>
          </w:rPr>
          <w:tab/>
        </w:r>
        <w:r w:rsidR="00EE697E" w:rsidRPr="00CA3ED5">
          <w:rPr>
            <w:rStyle w:val="Hyperlink"/>
            <w:rFonts w:ascii="Verdana" w:hAnsi="Verdana"/>
            <w:noProof/>
          </w:rPr>
          <w:t>Sobre Nitza Paola Alvarado Espinoza, Rocío Irene Alvarado Reyes y José Ángel Alvarado Herrera</w:t>
        </w:r>
        <w:r w:rsidR="00EE697E" w:rsidRPr="00CA3ED5">
          <w:rPr>
            <w:rFonts w:ascii="Verdana" w:hAnsi="Verdana"/>
            <w:noProof/>
            <w:webHidden/>
          </w:rPr>
          <w:tab/>
        </w:r>
        <w:r w:rsidR="00EE697E" w:rsidRPr="00CA3ED5">
          <w:rPr>
            <w:rFonts w:ascii="Verdana" w:hAnsi="Verdana"/>
            <w:noProof/>
            <w:webHidden/>
          </w:rPr>
          <w:fldChar w:fldCharType="begin"/>
        </w:r>
        <w:r w:rsidR="00EE697E" w:rsidRPr="00CA3ED5">
          <w:rPr>
            <w:rFonts w:ascii="Verdana" w:hAnsi="Verdana"/>
            <w:noProof/>
            <w:webHidden/>
          </w:rPr>
          <w:instrText xml:space="preserve"> PAGEREF _Toc532995333 \h </w:instrText>
        </w:r>
        <w:r w:rsidR="00EE697E" w:rsidRPr="00CA3ED5">
          <w:rPr>
            <w:rFonts w:ascii="Verdana" w:hAnsi="Verdana"/>
            <w:noProof/>
            <w:webHidden/>
          </w:rPr>
        </w:r>
        <w:r w:rsidR="00EE697E" w:rsidRPr="00CA3ED5">
          <w:rPr>
            <w:rFonts w:ascii="Verdana" w:hAnsi="Verdana"/>
            <w:noProof/>
            <w:webHidden/>
          </w:rPr>
          <w:fldChar w:fldCharType="separate"/>
        </w:r>
        <w:r>
          <w:rPr>
            <w:rFonts w:ascii="Verdana" w:hAnsi="Verdana"/>
            <w:noProof/>
            <w:webHidden/>
          </w:rPr>
          <w:t>28</w:t>
        </w:r>
        <w:r w:rsidR="00EE697E" w:rsidRPr="00CA3ED5">
          <w:rPr>
            <w:rFonts w:ascii="Verdana" w:hAnsi="Verdana"/>
            <w:noProof/>
            <w:webHidden/>
          </w:rPr>
          <w:fldChar w:fldCharType="end"/>
        </w:r>
      </w:hyperlink>
    </w:p>
    <w:p w14:paraId="3B6F9EC8" w14:textId="77777777" w:rsidR="00EE697E" w:rsidRPr="00CA3ED5" w:rsidRDefault="00380DD7" w:rsidP="00EE697E">
      <w:pPr>
        <w:pStyle w:val="TOC2"/>
        <w:tabs>
          <w:tab w:val="left" w:pos="660"/>
          <w:tab w:val="right" w:leader="dot" w:pos="9792"/>
        </w:tabs>
        <w:spacing w:line="240" w:lineRule="auto"/>
        <w:jc w:val="both"/>
        <w:rPr>
          <w:rFonts w:ascii="Verdana" w:eastAsiaTheme="minorEastAsia" w:hAnsi="Verdana"/>
          <w:smallCaps w:val="0"/>
          <w:noProof/>
          <w:lang w:val="es-CR" w:eastAsia="es-CR"/>
        </w:rPr>
      </w:pPr>
      <w:hyperlink w:anchor="_Toc532995334" w:history="1">
        <w:r w:rsidR="00EE697E" w:rsidRPr="00CA3ED5">
          <w:rPr>
            <w:rStyle w:val="Hyperlink"/>
            <w:rFonts w:ascii="Verdana" w:hAnsi="Verdana"/>
            <w:noProof/>
            <w:lang w:val="es-CR"/>
          </w:rPr>
          <w:t>C.</w:t>
        </w:r>
        <w:r w:rsidR="00EE697E" w:rsidRPr="00CA3ED5">
          <w:rPr>
            <w:rFonts w:ascii="Verdana" w:eastAsiaTheme="minorEastAsia" w:hAnsi="Verdana"/>
            <w:smallCaps w:val="0"/>
            <w:noProof/>
            <w:lang w:val="es-CR" w:eastAsia="es-CR"/>
          </w:rPr>
          <w:tab/>
        </w:r>
        <w:r w:rsidR="00EE697E" w:rsidRPr="00CA3ED5">
          <w:rPr>
            <w:rStyle w:val="Hyperlink"/>
            <w:rFonts w:ascii="Verdana" w:hAnsi="Verdana"/>
            <w:noProof/>
          </w:rPr>
          <w:t xml:space="preserve">La desaparición de </w:t>
        </w:r>
        <w:r w:rsidR="00EE697E" w:rsidRPr="00CA3ED5">
          <w:rPr>
            <w:rStyle w:val="Hyperlink"/>
            <w:rFonts w:ascii="Verdana" w:hAnsi="Verdana"/>
            <w:noProof/>
            <w:lang w:val="es-CR"/>
          </w:rPr>
          <w:t>Nitza Paola Alvarado Espinoza, Rocío Irene Alvarado Reyes y José Ángel Alvarado Herrera el 29 de diciembre de 2009</w:t>
        </w:r>
        <w:r w:rsidR="00EE697E" w:rsidRPr="00CA3ED5">
          <w:rPr>
            <w:rFonts w:ascii="Verdana" w:hAnsi="Verdana"/>
            <w:noProof/>
            <w:webHidden/>
          </w:rPr>
          <w:tab/>
        </w:r>
        <w:r w:rsidR="00EE697E" w:rsidRPr="00CA3ED5">
          <w:rPr>
            <w:rFonts w:ascii="Verdana" w:hAnsi="Verdana"/>
            <w:noProof/>
            <w:webHidden/>
          </w:rPr>
          <w:fldChar w:fldCharType="begin"/>
        </w:r>
        <w:r w:rsidR="00EE697E" w:rsidRPr="00CA3ED5">
          <w:rPr>
            <w:rFonts w:ascii="Verdana" w:hAnsi="Verdana"/>
            <w:noProof/>
            <w:webHidden/>
          </w:rPr>
          <w:instrText xml:space="preserve"> PAGEREF _Toc532995334 \h </w:instrText>
        </w:r>
        <w:r w:rsidR="00EE697E" w:rsidRPr="00CA3ED5">
          <w:rPr>
            <w:rFonts w:ascii="Verdana" w:hAnsi="Verdana"/>
            <w:noProof/>
            <w:webHidden/>
          </w:rPr>
        </w:r>
        <w:r w:rsidR="00EE697E" w:rsidRPr="00CA3ED5">
          <w:rPr>
            <w:rFonts w:ascii="Verdana" w:hAnsi="Verdana"/>
            <w:noProof/>
            <w:webHidden/>
          </w:rPr>
          <w:fldChar w:fldCharType="separate"/>
        </w:r>
        <w:r>
          <w:rPr>
            <w:rFonts w:ascii="Verdana" w:hAnsi="Verdana"/>
            <w:noProof/>
            <w:webHidden/>
          </w:rPr>
          <w:t>29</w:t>
        </w:r>
        <w:r w:rsidR="00EE697E" w:rsidRPr="00CA3ED5">
          <w:rPr>
            <w:rFonts w:ascii="Verdana" w:hAnsi="Verdana"/>
            <w:noProof/>
            <w:webHidden/>
          </w:rPr>
          <w:fldChar w:fldCharType="end"/>
        </w:r>
      </w:hyperlink>
    </w:p>
    <w:p w14:paraId="442B265D" w14:textId="77777777" w:rsidR="00EE697E" w:rsidRPr="00CA3ED5" w:rsidRDefault="00380DD7" w:rsidP="00EE697E">
      <w:pPr>
        <w:pStyle w:val="TOC3"/>
        <w:tabs>
          <w:tab w:val="left" w:pos="1100"/>
          <w:tab w:val="right" w:leader="dot" w:pos="9792"/>
        </w:tabs>
        <w:spacing w:line="240" w:lineRule="auto"/>
        <w:jc w:val="both"/>
        <w:rPr>
          <w:rFonts w:ascii="Verdana" w:eastAsiaTheme="minorEastAsia" w:hAnsi="Verdana"/>
          <w:i w:val="0"/>
          <w:iCs w:val="0"/>
          <w:noProof/>
          <w:lang w:val="es-CR" w:eastAsia="es-CR"/>
        </w:rPr>
      </w:pPr>
      <w:hyperlink w:anchor="_Toc532995335" w:history="1">
        <w:r w:rsidR="00EE697E" w:rsidRPr="00CA3ED5">
          <w:rPr>
            <w:rStyle w:val="Hyperlink"/>
            <w:rFonts w:ascii="Verdana" w:hAnsi="Verdana"/>
            <w:i w:val="0"/>
            <w:noProof/>
          </w:rPr>
          <w:t>C.1.</w:t>
        </w:r>
        <w:r w:rsidR="00EE697E" w:rsidRPr="00CA3ED5">
          <w:rPr>
            <w:rFonts w:ascii="Verdana" w:eastAsiaTheme="minorEastAsia" w:hAnsi="Verdana"/>
            <w:i w:val="0"/>
            <w:iCs w:val="0"/>
            <w:noProof/>
            <w:lang w:val="es-CR" w:eastAsia="es-CR"/>
          </w:rPr>
          <w:tab/>
        </w:r>
        <w:r w:rsidR="00EE697E" w:rsidRPr="00CA3ED5">
          <w:rPr>
            <w:rStyle w:val="Hyperlink"/>
            <w:rFonts w:ascii="Verdana" w:hAnsi="Verdana"/>
            <w:i w:val="0"/>
            <w:noProof/>
            <w:lang w:val="es-CR"/>
          </w:rPr>
          <w:t>L</w:t>
        </w:r>
        <w:r w:rsidR="00EE697E" w:rsidRPr="00CA3ED5">
          <w:rPr>
            <w:rStyle w:val="Hyperlink"/>
            <w:rFonts w:ascii="Verdana" w:hAnsi="Verdana"/>
            <w:i w:val="0"/>
            <w:noProof/>
          </w:rPr>
          <w:t>a detención de Nitza Paola Alvarado Espinoza y José Ángel Alvarado Herrera</w:t>
        </w:r>
        <w:r w:rsidR="00EE697E" w:rsidRPr="00CA3ED5">
          <w:rPr>
            <w:rFonts w:ascii="Verdana" w:hAnsi="Verdana"/>
            <w:i w:val="0"/>
            <w:noProof/>
            <w:webHidden/>
          </w:rPr>
          <w:tab/>
        </w:r>
        <w:r w:rsidR="00EE697E" w:rsidRPr="00CA3ED5">
          <w:rPr>
            <w:rFonts w:ascii="Verdana" w:hAnsi="Verdana"/>
            <w:i w:val="0"/>
            <w:noProof/>
            <w:webHidden/>
          </w:rPr>
          <w:fldChar w:fldCharType="begin"/>
        </w:r>
        <w:r w:rsidR="00EE697E" w:rsidRPr="00CA3ED5">
          <w:rPr>
            <w:rFonts w:ascii="Verdana" w:hAnsi="Verdana"/>
            <w:i w:val="0"/>
            <w:noProof/>
            <w:webHidden/>
          </w:rPr>
          <w:instrText xml:space="preserve"> PAGEREF _Toc532995335 \h </w:instrText>
        </w:r>
        <w:r w:rsidR="00EE697E" w:rsidRPr="00CA3ED5">
          <w:rPr>
            <w:rFonts w:ascii="Verdana" w:hAnsi="Verdana"/>
            <w:i w:val="0"/>
            <w:noProof/>
            <w:webHidden/>
          </w:rPr>
        </w:r>
        <w:r w:rsidR="00EE697E" w:rsidRPr="00CA3ED5">
          <w:rPr>
            <w:rFonts w:ascii="Verdana" w:hAnsi="Verdana"/>
            <w:i w:val="0"/>
            <w:noProof/>
            <w:webHidden/>
          </w:rPr>
          <w:fldChar w:fldCharType="separate"/>
        </w:r>
        <w:r>
          <w:rPr>
            <w:rFonts w:ascii="Verdana" w:hAnsi="Verdana"/>
            <w:i w:val="0"/>
            <w:noProof/>
            <w:webHidden/>
          </w:rPr>
          <w:t>29</w:t>
        </w:r>
        <w:r w:rsidR="00EE697E" w:rsidRPr="00CA3ED5">
          <w:rPr>
            <w:rFonts w:ascii="Verdana" w:hAnsi="Verdana"/>
            <w:i w:val="0"/>
            <w:noProof/>
            <w:webHidden/>
          </w:rPr>
          <w:fldChar w:fldCharType="end"/>
        </w:r>
      </w:hyperlink>
    </w:p>
    <w:p w14:paraId="466B911B" w14:textId="77777777" w:rsidR="00EE697E" w:rsidRPr="00CA3ED5" w:rsidRDefault="00380DD7" w:rsidP="00EE697E">
      <w:pPr>
        <w:pStyle w:val="TOC3"/>
        <w:tabs>
          <w:tab w:val="left" w:pos="1100"/>
          <w:tab w:val="right" w:leader="dot" w:pos="9792"/>
        </w:tabs>
        <w:spacing w:line="240" w:lineRule="auto"/>
        <w:jc w:val="both"/>
        <w:rPr>
          <w:rFonts w:ascii="Verdana" w:eastAsiaTheme="minorEastAsia" w:hAnsi="Verdana"/>
          <w:i w:val="0"/>
          <w:iCs w:val="0"/>
          <w:noProof/>
          <w:lang w:val="es-CR" w:eastAsia="es-CR"/>
        </w:rPr>
      </w:pPr>
      <w:hyperlink w:anchor="_Toc532995336" w:history="1">
        <w:r w:rsidR="00EE697E" w:rsidRPr="00CA3ED5">
          <w:rPr>
            <w:rStyle w:val="Hyperlink"/>
            <w:rFonts w:ascii="Verdana" w:hAnsi="Verdana"/>
            <w:i w:val="0"/>
            <w:noProof/>
          </w:rPr>
          <w:t>C.2.</w:t>
        </w:r>
        <w:r w:rsidR="00EE697E" w:rsidRPr="00CA3ED5">
          <w:rPr>
            <w:rFonts w:ascii="Verdana" w:eastAsiaTheme="minorEastAsia" w:hAnsi="Verdana"/>
            <w:i w:val="0"/>
            <w:iCs w:val="0"/>
            <w:noProof/>
            <w:lang w:val="es-CR" w:eastAsia="es-CR"/>
          </w:rPr>
          <w:tab/>
        </w:r>
        <w:r w:rsidR="00EE697E" w:rsidRPr="00CA3ED5">
          <w:rPr>
            <w:rStyle w:val="Hyperlink"/>
            <w:rFonts w:ascii="Verdana" w:hAnsi="Verdana"/>
            <w:i w:val="0"/>
            <w:noProof/>
          </w:rPr>
          <w:t>La detención de Rocío Irene Alvarado Reyes</w:t>
        </w:r>
        <w:r w:rsidR="00EE697E" w:rsidRPr="00CA3ED5">
          <w:rPr>
            <w:rFonts w:ascii="Verdana" w:hAnsi="Verdana"/>
            <w:i w:val="0"/>
            <w:noProof/>
            <w:webHidden/>
          </w:rPr>
          <w:tab/>
        </w:r>
        <w:r w:rsidR="00EE697E" w:rsidRPr="00CA3ED5">
          <w:rPr>
            <w:rFonts w:ascii="Verdana" w:hAnsi="Verdana"/>
            <w:i w:val="0"/>
            <w:noProof/>
            <w:webHidden/>
          </w:rPr>
          <w:fldChar w:fldCharType="begin"/>
        </w:r>
        <w:r w:rsidR="00EE697E" w:rsidRPr="00CA3ED5">
          <w:rPr>
            <w:rFonts w:ascii="Verdana" w:hAnsi="Verdana"/>
            <w:i w:val="0"/>
            <w:noProof/>
            <w:webHidden/>
          </w:rPr>
          <w:instrText xml:space="preserve"> PAGEREF _Toc532995336 \h </w:instrText>
        </w:r>
        <w:r w:rsidR="00EE697E" w:rsidRPr="00CA3ED5">
          <w:rPr>
            <w:rFonts w:ascii="Verdana" w:hAnsi="Verdana"/>
            <w:i w:val="0"/>
            <w:noProof/>
            <w:webHidden/>
          </w:rPr>
        </w:r>
        <w:r w:rsidR="00EE697E" w:rsidRPr="00CA3ED5">
          <w:rPr>
            <w:rFonts w:ascii="Verdana" w:hAnsi="Verdana"/>
            <w:i w:val="0"/>
            <w:noProof/>
            <w:webHidden/>
          </w:rPr>
          <w:fldChar w:fldCharType="separate"/>
        </w:r>
        <w:r>
          <w:rPr>
            <w:rFonts w:ascii="Verdana" w:hAnsi="Verdana"/>
            <w:i w:val="0"/>
            <w:noProof/>
            <w:webHidden/>
          </w:rPr>
          <w:t>30</w:t>
        </w:r>
        <w:r w:rsidR="00EE697E" w:rsidRPr="00CA3ED5">
          <w:rPr>
            <w:rFonts w:ascii="Verdana" w:hAnsi="Verdana"/>
            <w:i w:val="0"/>
            <w:noProof/>
            <w:webHidden/>
          </w:rPr>
          <w:fldChar w:fldCharType="end"/>
        </w:r>
      </w:hyperlink>
    </w:p>
    <w:p w14:paraId="27AA920D" w14:textId="77777777" w:rsidR="00EE697E" w:rsidRPr="00CA3ED5" w:rsidRDefault="00380DD7" w:rsidP="00EE697E">
      <w:pPr>
        <w:pStyle w:val="TOC3"/>
        <w:tabs>
          <w:tab w:val="left" w:pos="1100"/>
          <w:tab w:val="right" w:leader="dot" w:pos="9792"/>
        </w:tabs>
        <w:spacing w:line="240" w:lineRule="auto"/>
        <w:jc w:val="both"/>
        <w:rPr>
          <w:rFonts w:ascii="Verdana" w:eastAsiaTheme="minorEastAsia" w:hAnsi="Verdana"/>
          <w:i w:val="0"/>
          <w:iCs w:val="0"/>
          <w:noProof/>
          <w:lang w:val="es-CR" w:eastAsia="es-CR"/>
        </w:rPr>
      </w:pPr>
      <w:hyperlink w:anchor="_Toc532995337" w:history="1">
        <w:r w:rsidR="00EE697E" w:rsidRPr="00CA3ED5">
          <w:rPr>
            <w:rStyle w:val="Hyperlink"/>
            <w:rFonts w:ascii="Verdana" w:hAnsi="Verdana"/>
            <w:i w:val="0"/>
            <w:noProof/>
          </w:rPr>
          <w:t>C.3.</w:t>
        </w:r>
        <w:r w:rsidR="00EE697E" w:rsidRPr="00CA3ED5">
          <w:rPr>
            <w:rFonts w:ascii="Verdana" w:eastAsiaTheme="minorEastAsia" w:hAnsi="Verdana"/>
            <w:i w:val="0"/>
            <w:iCs w:val="0"/>
            <w:noProof/>
            <w:lang w:val="es-CR" w:eastAsia="es-CR"/>
          </w:rPr>
          <w:tab/>
        </w:r>
        <w:r w:rsidR="00EE697E" w:rsidRPr="00CA3ED5">
          <w:rPr>
            <w:rStyle w:val="Hyperlink"/>
            <w:rFonts w:ascii="Verdana" w:hAnsi="Verdana"/>
            <w:i w:val="0"/>
            <w:noProof/>
          </w:rPr>
          <w:t>Acciones de búsqueda de las tres presuntas víctimas a partir de su detención</w:t>
        </w:r>
        <w:r w:rsidR="00EE697E" w:rsidRPr="00CA3ED5">
          <w:rPr>
            <w:rFonts w:ascii="Verdana" w:hAnsi="Verdana"/>
            <w:i w:val="0"/>
            <w:noProof/>
            <w:webHidden/>
          </w:rPr>
          <w:tab/>
        </w:r>
        <w:r w:rsidR="00EE697E" w:rsidRPr="00CA3ED5">
          <w:rPr>
            <w:rFonts w:ascii="Verdana" w:hAnsi="Verdana"/>
            <w:i w:val="0"/>
            <w:noProof/>
            <w:webHidden/>
          </w:rPr>
          <w:fldChar w:fldCharType="begin"/>
        </w:r>
        <w:r w:rsidR="00EE697E" w:rsidRPr="00CA3ED5">
          <w:rPr>
            <w:rFonts w:ascii="Verdana" w:hAnsi="Verdana"/>
            <w:i w:val="0"/>
            <w:noProof/>
            <w:webHidden/>
          </w:rPr>
          <w:instrText xml:space="preserve"> PAGEREF _Toc532995337 \h </w:instrText>
        </w:r>
        <w:r w:rsidR="00EE697E" w:rsidRPr="00CA3ED5">
          <w:rPr>
            <w:rFonts w:ascii="Verdana" w:hAnsi="Verdana"/>
            <w:i w:val="0"/>
            <w:noProof/>
            <w:webHidden/>
          </w:rPr>
        </w:r>
        <w:r w:rsidR="00EE697E" w:rsidRPr="00CA3ED5">
          <w:rPr>
            <w:rFonts w:ascii="Verdana" w:hAnsi="Verdana"/>
            <w:i w:val="0"/>
            <w:noProof/>
            <w:webHidden/>
          </w:rPr>
          <w:fldChar w:fldCharType="separate"/>
        </w:r>
        <w:r>
          <w:rPr>
            <w:rFonts w:ascii="Verdana" w:hAnsi="Verdana"/>
            <w:i w:val="0"/>
            <w:noProof/>
            <w:webHidden/>
          </w:rPr>
          <w:t>31</w:t>
        </w:r>
        <w:r w:rsidR="00EE697E" w:rsidRPr="00CA3ED5">
          <w:rPr>
            <w:rFonts w:ascii="Verdana" w:hAnsi="Verdana"/>
            <w:i w:val="0"/>
            <w:noProof/>
            <w:webHidden/>
          </w:rPr>
          <w:fldChar w:fldCharType="end"/>
        </w:r>
      </w:hyperlink>
    </w:p>
    <w:p w14:paraId="55B1BD03" w14:textId="4F40A67B" w:rsidR="00EE697E" w:rsidRPr="00CA3ED5" w:rsidRDefault="00380DD7" w:rsidP="00EE697E">
      <w:pPr>
        <w:pStyle w:val="TOC4"/>
        <w:rPr>
          <w:rFonts w:ascii="Verdana" w:eastAsiaTheme="minorEastAsia" w:hAnsi="Verdana"/>
          <w:noProof/>
          <w:sz w:val="20"/>
          <w:szCs w:val="20"/>
          <w:lang w:val="es-CR" w:eastAsia="es-CR"/>
        </w:rPr>
      </w:pPr>
      <w:hyperlink w:anchor="_Toc532995338" w:history="1">
        <w:r w:rsidR="00EE697E" w:rsidRPr="00CA3ED5">
          <w:rPr>
            <w:rStyle w:val="Hyperlink"/>
            <w:rFonts w:ascii="Verdana" w:hAnsi="Verdana" w:cs="Arial"/>
            <w:noProof/>
            <w:sz w:val="20"/>
            <w:szCs w:val="20"/>
          </w:rPr>
          <w:t>C.3.1.</w:t>
        </w:r>
        <w:r w:rsidR="00EE697E" w:rsidRPr="00CA3ED5">
          <w:rPr>
            <w:rFonts w:ascii="Verdana" w:eastAsiaTheme="minorEastAsia" w:hAnsi="Verdana"/>
            <w:noProof/>
            <w:sz w:val="20"/>
            <w:szCs w:val="20"/>
            <w:lang w:val="es-CR" w:eastAsia="es-CR"/>
          </w:rPr>
          <w:tab/>
          <w:t xml:space="preserve">  </w:t>
        </w:r>
        <w:r w:rsidR="00EE697E" w:rsidRPr="00CA3ED5">
          <w:rPr>
            <w:rStyle w:val="Hyperlink"/>
            <w:rFonts w:ascii="Verdana" w:hAnsi="Verdana"/>
            <w:noProof/>
            <w:sz w:val="20"/>
            <w:szCs w:val="20"/>
          </w:rPr>
          <w:t xml:space="preserve">Sobre la posible ubicación de los tres desaparecidos en poder de </w:t>
        </w:r>
        <w:r w:rsidR="00EE697E" w:rsidRPr="00CA3ED5">
          <w:rPr>
            <w:rStyle w:val="Hyperlink"/>
            <w:rFonts w:ascii="Verdana" w:hAnsi="Verdana" w:cs="Arial"/>
            <w:noProof/>
            <w:sz w:val="20"/>
            <w:szCs w:val="20"/>
          </w:rPr>
          <w:t>agentes estatales</w:t>
        </w:r>
        <w:r w:rsidR="00EE697E" w:rsidRPr="00CA3ED5">
          <w:rPr>
            <w:rFonts w:ascii="Verdana" w:hAnsi="Verdana"/>
            <w:noProof/>
            <w:webHidden/>
            <w:sz w:val="20"/>
            <w:szCs w:val="20"/>
          </w:rPr>
          <w:tab/>
        </w:r>
        <w:r w:rsidR="00EE697E" w:rsidRPr="00CA3ED5">
          <w:rPr>
            <w:rFonts w:ascii="Verdana" w:hAnsi="Verdana"/>
            <w:noProof/>
            <w:webHidden/>
            <w:sz w:val="20"/>
            <w:szCs w:val="20"/>
          </w:rPr>
          <w:fldChar w:fldCharType="begin"/>
        </w:r>
        <w:r w:rsidR="00EE697E" w:rsidRPr="00CA3ED5">
          <w:rPr>
            <w:rFonts w:ascii="Verdana" w:hAnsi="Verdana"/>
            <w:noProof/>
            <w:webHidden/>
            <w:sz w:val="20"/>
            <w:szCs w:val="20"/>
          </w:rPr>
          <w:instrText xml:space="preserve"> PAGEREF _Toc532995338 \h </w:instrText>
        </w:r>
        <w:r w:rsidR="00EE697E" w:rsidRPr="00CA3ED5">
          <w:rPr>
            <w:rFonts w:ascii="Verdana" w:hAnsi="Verdana"/>
            <w:noProof/>
            <w:webHidden/>
            <w:sz w:val="20"/>
            <w:szCs w:val="20"/>
          </w:rPr>
        </w:r>
        <w:r w:rsidR="00EE697E" w:rsidRPr="00CA3ED5">
          <w:rPr>
            <w:rFonts w:ascii="Verdana" w:hAnsi="Verdana"/>
            <w:noProof/>
            <w:webHidden/>
            <w:sz w:val="20"/>
            <w:szCs w:val="20"/>
          </w:rPr>
          <w:fldChar w:fldCharType="separate"/>
        </w:r>
        <w:r>
          <w:rPr>
            <w:rFonts w:ascii="Verdana" w:hAnsi="Verdana"/>
            <w:noProof/>
            <w:webHidden/>
            <w:sz w:val="20"/>
            <w:szCs w:val="20"/>
          </w:rPr>
          <w:t>35</w:t>
        </w:r>
        <w:r w:rsidR="00EE697E" w:rsidRPr="00CA3ED5">
          <w:rPr>
            <w:rFonts w:ascii="Verdana" w:hAnsi="Verdana"/>
            <w:noProof/>
            <w:webHidden/>
            <w:sz w:val="20"/>
            <w:szCs w:val="20"/>
          </w:rPr>
          <w:fldChar w:fldCharType="end"/>
        </w:r>
      </w:hyperlink>
    </w:p>
    <w:p w14:paraId="1EACF016" w14:textId="24143F00" w:rsidR="00EE697E" w:rsidRPr="00CA3ED5" w:rsidRDefault="00380DD7" w:rsidP="00EE697E">
      <w:pPr>
        <w:pStyle w:val="TOC4"/>
        <w:rPr>
          <w:rFonts w:ascii="Verdana" w:eastAsiaTheme="minorEastAsia" w:hAnsi="Verdana"/>
          <w:noProof/>
          <w:sz w:val="20"/>
          <w:szCs w:val="20"/>
          <w:lang w:val="es-CR" w:eastAsia="es-CR"/>
        </w:rPr>
      </w:pPr>
      <w:hyperlink w:anchor="_Toc532995339" w:history="1">
        <w:r w:rsidR="00EE697E" w:rsidRPr="00CA3ED5">
          <w:rPr>
            <w:rStyle w:val="Hyperlink"/>
            <w:rFonts w:ascii="Verdana" w:hAnsi="Verdana"/>
            <w:noProof/>
            <w:sz w:val="20"/>
            <w:szCs w:val="20"/>
          </w:rPr>
          <w:t>C.3.2.</w:t>
        </w:r>
        <w:r w:rsidR="00EE697E" w:rsidRPr="00CA3ED5">
          <w:rPr>
            <w:rFonts w:ascii="Verdana" w:eastAsiaTheme="minorEastAsia" w:hAnsi="Verdana"/>
            <w:noProof/>
            <w:sz w:val="20"/>
            <w:szCs w:val="20"/>
            <w:lang w:val="es-CR" w:eastAsia="es-CR"/>
          </w:rPr>
          <w:tab/>
          <w:t xml:space="preserve">  </w:t>
        </w:r>
        <w:r w:rsidR="00EE697E" w:rsidRPr="00CA3ED5">
          <w:rPr>
            <w:rStyle w:val="Hyperlink"/>
            <w:rFonts w:ascii="Verdana" w:hAnsi="Verdana"/>
            <w:noProof/>
            <w:sz w:val="20"/>
            <w:szCs w:val="20"/>
          </w:rPr>
          <w:t>Sobre la alegada llamada de auxilio realizada por Nitza Paola Alvarado</w:t>
        </w:r>
        <w:r w:rsidR="00EE697E" w:rsidRPr="00CA3ED5">
          <w:rPr>
            <w:rFonts w:ascii="Verdana" w:hAnsi="Verdana"/>
            <w:noProof/>
            <w:webHidden/>
            <w:sz w:val="20"/>
            <w:szCs w:val="20"/>
          </w:rPr>
          <w:tab/>
        </w:r>
        <w:r w:rsidR="00EE697E" w:rsidRPr="00CA3ED5">
          <w:rPr>
            <w:rFonts w:ascii="Verdana" w:hAnsi="Verdana"/>
            <w:noProof/>
            <w:webHidden/>
            <w:sz w:val="20"/>
            <w:szCs w:val="20"/>
          </w:rPr>
          <w:fldChar w:fldCharType="begin"/>
        </w:r>
        <w:r w:rsidR="00EE697E" w:rsidRPr="00CA3ED5">
          <w:rPr>
            <w:rFonts w:ascii="Verdana" w:hAnsi="Verdana"/>
            <w:noProof/>
            <w:webHidden/>
            <w:sz w:val="20"/>
            <w:szCs w:val="20"/>
          </w:rPr>
          <w:instrText xml:space="preserve"> PAGEREF _Toc532995339 \h </w:instrText>
        </w:r>
        <w:r w:rsidR="00EE697E" w:rsidRPr="00CA3ED5">
          <w:rPr>
            <w:rFonts w:ascii="Verdana" w:hAnsi="Verdana"/>
            <w:noProof/>
            <w:webHidden/>
            <w:sz w:val="20"/>
            <w:szCs w:val="20"/>
          </w:rPr>
        </w:r>
        <w:r w:rsidR="00EE697E" w:rsidRPr="00CA3ED5">
          <w:rPr>
            <w:rFonts w:ascii="Verdana" w:hAnsi="Verdana"/>
            <w:noProof/>
            <w:webHidden/>
            <w:sz w:val="20"/>
            <w:szCs w:val="20"/>
          </w:rPr>
          <w:fldChar w:fldCharType="separate"/>
        </w:r>
        <w:r>
          <w:rPr>
            <w:rFonts w:ascii="Verdana" w:hAnsi="Verdana"/>
            <w:noProof/>
            <w:webHidden/>
            <w:sz w:val="20"/>
            <w:szCs w:val="20"/>
          </w:rPr>
          <w:t>40</w:t>
        </w:r>
        <w:r w:rsidR="00EE697E" w:rsidRPr="00CA3ED5">
          <w:rPr>
            <w:rFonts w:ascii="Verdana" w:hAnsi="Verdana"/>
            <w:noProof/>
            <w:webHidden/>
            <w:sz w:val="20"/>
            <w:szCs w:val="20"/>
          </w:rPr>
          <w:fldChar w:fldCharType="end"/>
        </w:r>
      </w:hyperlink>
    </w:p>
    <w:p w14:paraId="6B834738" w14:textId="77777777" w:rsidR="00EE697E" w:rsidRPr="00CA3ED5" w:rsidRDefault="00380DD7" w:rsidP="00EE697E">
      <w:pPr>
        <w:pStyle w:val="TOC2"/>
        <w:tabs>
          <w:tab w:val="left" w:pos="880"/>
          <w:tab w:val="right" w:leader="dot" w:pos="9792"/>
        </w:tabs>
        <w:spacing w:line="240" w:lineRule="auto"/>
        <w:jc w:val="both"/>
        <w:rPr>
          <w:rFonts w:ascii="Verdana" w:eastAsiaTheme="minorEastAsia" w:hAnsi="Verdana"/>
          <w:smallCaps w:val="0"/>
          <w:noProof/>
          <w:lang w:val="es-CR" w:eastAsia="es-CR"/>
        </w:rPr>
      </w:pPr>
      <w:hyperlink w:anchor="_Toc532995340" w:history="1">
        <w:r w:rsidR="00EE697E" w:rsidRPr="00CA3ED5">
          <w:rPr>
            <w:rStyle w:val="Hyperlink"/>
            <w:rFonts w:ascii="Verdana" w:hAnsi="Verdana"/>
            <w:noProof/>
            <w:lang w:val="es-AR"/>
          </w:rPr>
          <w:t>D.</w:t>
        </w:r>
        <w:r w:rsidR="00EE697E" w:rsidRPr="00CA3ED5">
          <w:rPr>
            <w:rFonts w:ascii="Verdana" w:eastAsiaTheme="minorEastAsia" w:hAnsi="Verdana"/>
            <w:smallCaps w:val="0"/>
            <w:noProof/>
            <w:lang w:val="es-CR" w:eastAsia="es-CR"/>
          </w:rPr>
          <w:tab/>
        </w:r>
        <w:r w:rsidR="00EE697E" w:rsidRPr="00CA3ED5">
          <w:rPr>
            <w:rStyle w:val="Hyperlink"/>
            <w:rFonts w:ascii="Verdana" w:hAnsi="Verdana"/>
            <w:noProof/>
            <w:lang w:val="es-AR"/>
          </w:rPr>
          <w:t>Investigaciones</w:t>
        </w:r>
        <w:r w:rsidR="00EE697E" w:rsidRPr="00CA3ED5">
          <w:rPr>
            <w:rFonts w:ascii="Verdana" w:hAnsi="Verdana"/>
            <w:noProof/>
            <w:webHidden/>
          </w:rPr>
          <w:tab/>
        </w:r>
        <w:r w:rsidR="00EE697E" w:rsidRPr="00CA3ED5">
          <w:rPr>
            <w:rFonts w:ascii="Verdana" w:hAnsi="Verdana"/>
            <w:noProof/>
            <w:webHidden/>
          </w:rPr>
          <w:fldChar w:fldCharType="begin"/>
        </w:r>
        <w:r w:rsidR="00EE697E" w:rsidRPr="00CA3ED5">
          <w:rPr>
            <w:rFonts w:ascii="Verdana" w:hAnsi="Verdana"/>
            <w:noProof/>
            <w:webHidden/>
          </w:rPr>
          <w:instrText xml:space="preserve"> PAGEREF _Toc532995340 \h </w:instrText>
        </w:r>
        <w:r w:rsidR="00EE697E" w:rsidRPr="00CA3ED5">
          <w:rPr>
            <w:rFonts w:ascii="Verdana" w:hAnsi="Verdana"/>
            <w:noProof/>
            <w:webHidden/>
          </w:rPr>
        </w:r>
        <w:r w:rsidR="00EE697E" w:rsidRPr="00CA3ED5">
          <w:rPr>
            <w:rFonts w:ascii="Verdana" w:hAnsi="Verdana"/>
            <w:noProof/>
            <w:webHidden/>
          </w:rPr>
          <w:fldChar w:fldCharType="separate"/>
        </w:r>
        <w:r>
          <w:rPr>
            <w:rFonts w:ascii="Verdana" w:hAnsi="Verdana"/>
            <w:noProof/>
            <w:webHidden/>
          </w:rPr>
          <w:t>41</w:t>
        </w:r>
        <w:r w:rsidR="00EE697E" w:rsidRPr="00CA3ED5">
          <w:rPr>
            <w:rFonts w:ascii="Verdana" w:hAnsi="Verdana"/>
            <w:noProof/>
            <w:webHidden/>
          </w:rPr>
          <w:fldChar w:fldCharType="end"/>
        </w:r>
      </w:hyperlink>
    </w:p>
    <w:p w14:paraId="26501745" w14:textId="77777777" w:rsidR="00EE697E" w:rsidRPr="00CA3ED5" w:rsidRDefault="00380DD7" w:rsidP="00EE697E">
      <w:pPr>
        <w:pStyle w:val="TOC3"/>
        <w:tabs>
          <w:tab w:val="left" w:pos="1100"/>
          <w:tab w:val="right" w:leader="dot" w:pos="9792"/>
        </w:tabs>
        <w:spacing w:line="240" w:lineRule="auto"/>
        <w:jc w:val="both"/>
        <w:rPr>
          <w:rFonts w:ascii="Verdana" w:eastAsiaTheme="minorEastAsia" w:hAnsi="Verdana"/>
          <w:i w:val="0"/>
          <w:iCs w:val="0"/>
          <w:noProof/>
          <w:lang w:val="es-CR" w:eastAsia="es-CR"/>
        </w:rPr>
      </w:pPr>
      <w:hyperlink w:anchor="_Toc532995341" w:history="1">
        <w:r w:rsidR="00EE697E" w:rsidRPr="00CA3ED5">
          <w:rPr>
            <w:rStyle w:val="Hyperlink"/>
            <w:rFonts w:ascii="Verdana" w:hAnsi="Verdana"/>
            <w:i w:val="0"/>
            <w:noProof/>
          </w:rPr>
          <w:t>D.1.</w:t>
        </w:r>
        <w:r w:rsidR="00EE697E" w:rsidRPr="00CA3ED5">
          <w:rPr>
            <w:rFonts w:ascii="Verdana" w:eastAsiaTheme="minorEastAsia" w:hAnsi="Verdana"/>
            <w:i w:val="0"/>
            <w:iCs w:val="0"/>
            <w:noProof/>
            <w:lang w:val="es-CR" w:eastAsia="es-CR"/>
          </w:rPr>
          <w:tab/>
        </w:r>
        <w:r w:rsidR="00EE697E" w:rsidRPr="00CA3ED5">
          <w:rPr>
            <w:rStyle w:val="Hyperlink"/>
            <w:rFonts w:ascii="Verdana" w:hAnsi="Verdana"/>
            <w:i w:val="0"/>
            <w:noProof/>
          </w:rPr>
          <w:t>Procuraduría General de Justicia del Estado de Chihuahua [PGJE – Chihuahua]</w:t>
        </w:r>
        <w:r w:rsidR="00EE697E" w:rsidRPr="00CA3ED5">
          <w:rPr>
            <w:rFonts w:ascii="Verdana" w:hAnsi="Verdana"/>
            <w:i w:val="0"/>
            <w:noProof/>
            <w:webHidden/>
          </w:rPr>
          <w:tab/>
        </w:r>
        <w:r w:rsidR="00EE697E" w:rsidRPr="00CA3ED5">
          <w:rPr>
            <w:rFonts w:ascii="Verdana" w:hAnsi="Verdana"/>
            <w:i w:val="0"/>
            <w:noProof/>
            <w:webHidden/>
          </w:rPr>
          <w:fldChar w:fldCharType="begin"/>
        </w:r>
        <w:r w:rsidR="00EE697E" w:rsidRPr="00CA3ED5">
          <w:rPr>
            <w:rFonts w:ascii="Verdana" w:hAnsi="Verdana"/>
            <w:i w:val="0"/>
            <w:noProof/>
            <w:webHidden/>
          </w:rPr>
          <w:instrText xml:space="preserve"> PAGEREF _Toc532995341 \h </w:instrText>
        </w:r>
        <w:r w:rsidR="00EE697E" w:rsidRPr="00CA3ED5">
          <w:rPr>
            <w:rFonts w:ascii="Verdana" w:hAnsi="Verdana"/>
            <w:i w:val="0"/>
            <w:noProof/>
            <w:webHidden/>
          </w:rPr>
        </w:r>
        <w:r w:rsidR="00EE697E" w:rsidRPr="00CA3ED5">
          <w:rPr>
            <w:rFonts w:ascii="Verdana" w:hAnsi="Verdana"/>
            <w:i w:val="0"/>
            <w:noProof/>
            <w:webHidden/>
          </w:rPr>
          <w:fldChar w:fldCharType="separate"/>
        </w:r>
        <w:r>
          <w:rPr>
            <w:rFonts w:ascii="Verdana" w:hAnsi="Verdana"/>
            <w:i w:val="0"/>
            <w:noProof/>
            <w:webHidden/>
          </w:rPr>
          <w:t>41</w:t>
        </w:r>
        <w:r w:rsidR="00EE697E" w:rsidRPr="00CA3ED5">
          <w:rPr>
            <w:rFonts w:ascii="Verdana" w:hAnsi="Verdana"/>
            <w:i w:val="0"/>
            <w:noProof/>
            <w:webHidden/>
          </w:rPr>
          <w:fldChar w:fldCharType="end"/>
        </w:r>
      </w:hyperlink>
    </w:p>
    <w:p w14:paraId="69998981" w14:textId="77777777" w:rsidR="00EE697E" w:rsidRPr="00CA3ED5" w:rsidRDefault="00380DD7" w:rsidP="00EE697E">
      <w:pPr>
        <w:pStyle w:val="TOC3"/>
        <w:tabs>
          <w:tab w:val="left" w:pos="1100"/>
          <w:tab w:val="right" w:leader="dot" w:pos="9792"/>
        </w:tabs>
        <w:spacing w:line="240" w:lineRule="auto"/>
        <w:jc w:val="both"/>
        <w:rPr>
          <w:rFonts w:ascii="Verdana" w:eastAsiaTheme="minorEastAsia" w:hAnsi="Verdana"/>
          <w:i w:val="0"/>
          <w:iCs w:val="0"/>
          <w:noProof/>
          <w:lang w:val="es-CR" w:eastAsia="es-CR"/>
        </w:rPr>
      </w:pPr>
      <w:hyperlink w:anchor="_Toc532995342" w:history="1">
        <w:r w:rsidR="00EE697E" w:rsidRPr="00CA3ED5">
          <w:rPr>
            <w:rStyle w:val="Hyperlink"/>
            <w:rFonts w:ascii="Verdana" w:hAnsi="Verdana"/>
            <w:i w:val="0"/>
            <w:noProof/>
          </w:rPr>
          <w:t>D.2.</w:t>
        </w:r>
        <w:r w:rsidR="00EE697E" w:rsidRPr="00CA3ED5">
          <w:rPr>
            <w:rFonts w:ascii="Verdana" w:eastAsiaTheme="minorEastAsia" w:hAnsi="Verdana"/>
            <w:i w:val="0"/>
            <w:iCs w:val="0"/>
            <w:noProof/>
            <w:lang w:val="es-CR" w:eastAsia="es-CR"/>
          </w:rPr>
          <w:tab/>
        </w:r>
        <w:r w:rsidR="00EE697E" w:rsidRPr="00CA3ED5">
          <w:rPr>
            <w:rStyle w:val="Hyperlink"/>
            <w:rFonts w:ascii="Verdana" w:hAnsi="Verdana"/>
            <w:i w:val="0"/>
            <w:noProof/>
          </w:rPr>
          <w:t>Procuraduría General de la República, Delegación Chihuahua [PGR - Chihuahua]</w:t>
        </w:r>
        <w:r w:rsidR="00EE697E" w:rsidRPr="00CA3ED5">
          <w:rPr>
            <w:rFonts w:ascii="Verdana" w:hAnsi="Verdana"/>
            <w:i w:val="0"/>
            <w:noProof/>
            <w:webHidden/>
          </w:rPr>
          <w:tab/>
        </w:r>
        <w:r w:rsidR="00EE697E" w:rsidRPr="00CA3ED5">
          <w:rPr>
            <w:rFonts w:ascii="Verdana" w:hAnsi="Verdana"/>
            <w:i w:val="0"/>
            <w:noProof/>
            <w:webHidden/>
          </w:rPr>
          <w:fldChar w:fldCharType="begin"/>
        </w:r>
        <w:r w:rsidR="00EE697E" w:rsidRPr="00CA3ED5">
          <w:rPr>
            <w:rFonts w:ascii="Verdana" w:hAnsi="Verdana"/>
            <w:i w:val="0"/>
            <w:noProof/>
            <w:webHidden/>
          </w:rPr>
          <w:instrText xml:space="preserve"> PAGEREF _Toc532995342 \h </w:instrText>
        </w:r>
        <w:r w:rsidR="00EE697E" w:rsidRPr="00CA3ED5">
          <w:rPr>
            <w:rFonts w:ascii="Verdana" w:hAnsi="Verdana"/>
            <w:i w:val="0"/>
            <w:noProof/>
            <w:webHidden/>
          </w:rPr>
        </w:r>
        <w:r w:rsidR="00EE697E" w:rsidRPr="00CA3ED5">
          <w:rPr>
            <w:rFonts w:ascii="Verdana" w:hAnsi="Verdana"/>
            <w:i w:val="0"/>
            <w:noProof/>
            <w:webHidden/>
          </w:rPr>
          <w:fldChar w:fldCharType="separate"/>
        </w:r>
        <w:r>
          <w:rPr>
            <w:rFonts w:ascii="Verdana" w:hAnsi="Verdana"/>
            <w:i w:val="0"/>
            <w:noProof/>
            <w:webHidden/>
          </w:rPr>
          <w:t>43</w:t>
        </w:r>
        <w:r w:rsidR="00EE697E" w:rsidRPr="00CA3ED5">
          <w:rPr>
            <w:rFonts w:ascii="Verdana" w:hAnsi="Verdana"/>
            <w:i w:val="0"/>
            <w:noProof/>
            <w:webHidden/>
          </w:rPr>
          <w:fldChar w:fldCharType="end"/>
        </w:r>
      </w:hyperlink>
    </w:p>
    <w:p w14:paraId="423D1917" w14:textId="77777777" w:rsidR="00EE697E" w:rsidRPr="00CA3ED5" w:rsidRDefault="00380DD7" w:rsidP="00EE697E">
      <w:pPr>
        <w:pStyle w:val="TOC3"/>
        <w:tabs>
          <w:tab w:val="left" w:pos="1100"/>
          <w:tab w:val="right" w:leader="dot" w:pos="9792"/>
        </w:tabs>
        <w:spacing w:line="240" w:lineRule="auto"/>
        <w:jc w:val="both"/>
        <w:rPr>
          <w:rFonts w:ascii="Verdana" w:eastAsiaTheme="minorEastAsia" w:hAnsi="Verdana"/>
          <w:i w:val="0"/>
          <w:iCs w:val="0"/>
          <w:noProof/>
          <w:lang w:val="es-CR" w:eastAsia="es-CR"/>
        </w:rPr>
      </w:pPr>
      <w:hyperlink w:anchor="_Toc532995343" w:history="1">
        <w:r w:rsidR="00EE697E" w:rsidRPr="00CA3ED5">
          <w:rPr>
            <w:rStyle w:val="Hyperlink"/>
            <w:rFonts w:ascii="Verdana" w:hAnsi="Verdana"/>
            <w:i w:val="0"/>
            <w:noProof/>
          </w:rPr>
          <w:t>D.3.</w:t>
        </w:r>
        <w:r w:rsidR="00EE697E" w:rsidRPr="00CA3ED5">
          <w:rPr>
            <w:rFonts w:ascii="Verdana" w:eastAsiaTheme="minorEastAsia" w:hAnsi="Verdana"/>
            <w:i w:val="0"/>
            <w:iCs w:val="0"/>
            <w:noProof/>
            <w:lang w:val="es-CR" w:eastAsia="es-CR"/>
          </w:rPr>
          <w:tab/>
        </w:r>
        <w:r w:rsidR="00EE697E" w:rsidRPr="00CA3ED5">
          <w:rPr>
            <w:rStyle w:val="Hyperlink"/>
            <w:rFonts w:ascii="Verdana" w:hAnsi="Verdana"/>
            <w:i w:val="0"/>
            <w:noProof/>
          </w:rPr>
          <w:t>Procuraduría General de Justicia Militar [PGJM]</w:t>
        </w:r>
        <w:r w:rsidR="00EE697E" w:rsidRPr="00CA3ED5">
          <w:rPr>
            <w:rFonts w:ascii="Verdana" w:hAnsi="Verdana"/>
            <w:i w:val="0"/>
            <w:noProof/>
            <w:webHidden/>
          </w:rPr>
          <w:tab/>
        </w:r>
        <w:r w:rsidR="00EE697E" w:rsidRPr="00CA3ED5">
          <w:rPr>
            <w:rFonts w:ascii="Verdana" w:hAnsi="Verdana"/>
            <w:i w:val="0"/>
            <w:noProof/>
            <w:webHidden/>
          </w:rPr>
          <w:fldChar w:fldCharType="begin"/>
        </w:r>
        <w:r w:rsidR="00EE697E" w:rsidRPr="00CA3ED5">
          <w:rPr>
            <w:rFonts w:ascii="Verdana" w:hAnsi="Verdana"/>
            <w:i w:val="0"/>
            <w:noProof/>
            <w:webHidden/>
          </w:rPr>
          <w:instrText xml:space="preserve"> PAGEREF _Toc532995343 \h </w:instrText>
        </w:r>
        <w:r w:rsidR="00EE697E" w:rsidRPr="00CA3ED5">
          <w:rPr>
            <w:rFonts w:ascii="Verdana" w:hAnsi="Verdana"/>
            <w:i w:val="0"/>
            <w:noProof/>
            <w:webHidden/>
          </w:rPr>
        </w:r>
        <w:r w:rsidR="00EE697E" w:rsidRPr="00CA3ED5">
          <w:rPr>
            <w:rFonts w:ascii="Verdana" w:hAnsi="Verdana"/>
            <w:i w:val="0"/>
            <w:noProof/>
            <w:webHidden/>
          </w:rPr>
          <w:fldChar w:fldCharType="separate"/>
        </w:r>
        <w:r>
          <w:rPr>
            <w:rFonts w:ascii="Verdana" w:hAnsi="Verdana"/>
            <w:i w:val="0"/>
            <w:noProof/>
            <w:webHidden/>
          </w:rPr>
          <w:t>44</w:t>
        </w:r>
        <w:r w:rsidR="00EE697E" w:rsidRPr="00CA3ED5">
          <w:rPr>
            <w:rFonts w:ascii="Verdana" w:hAnsi="Verdana"/>
            <w:i w:val="0"/>
            <w:noProof/>
            <w:webHidden/>
          </w:rPr>
          <w:fldChar w:fldCharType="end"/>
        </w:r>
      </w:hyperlink>
    </w:p>
    <w:p w14:paraId="3CF87188" w14:textId="77777777" w:rsidR="00EE697E" w:rsidRPr="00CA3ED5" w:rsidRDefault="00380DD7" w:rsidP="00EE697E">
      <w:pPr>
        <w:pStyle w:val="TOC3"/>
        <w:tabs>
          <w:tab w:val="left" w:pos="1100"/>
          <w:tab w:val="right" w:leader="dot" w:pos="9792"/>
        </w:tabs>
        <w:spacing w:line="240" w:lineRule="auto"/>
        <w:jc w:val="both"/>
        <w:rPr>
          <w:rFonts w:ascii="Verdana" w:eastAsiaTheme="minorEastAsia" w:hAnsi="Verdana"/>
          <w:i w:val="0"/>
          <w:iCs w:val="0"/>
          <w:noProof/>
          <w:lang w:val="es-CR" w:eastAsia="es-CR"/>
        </w:rPr>
      </w:pPr>
      <w:hyperlink w:anchor="_Toc532995344" w:history="1">
        <w:r w:rsidR="00EE697E" w:rsidRPr="00CA3ED5">
          <w:rPr>
            <w:rStyle w:val="Hyperlink"/>
            <w:rFonts w:ascii="Verdana" w:hAnsi="Verdana"/>
            <w:i w:val="0"/>
            <w:noProof/>
          </w:rPr>
          <w:t>D.4.</w:t>
        </w:r>
        <w:r w:rsidR="00EE697E" w:rsidRPr="00CA3ED5">
          <w:rPr>
            <w:rFonts w:ascii="Verdana" w:eastAsiaTheme="minorEastAsia" w:hAnsi="Verdana"/>
            <w:i w:val="0"/>
            <w:iCs w:val="0"/>
            <w:noProof/>
            <w:lang w:val="es-CR" w:eastAsia="es-CR"/>
          </w:rPr>
          <w:tab/>
        </w:r>
        <w:r w:rsidR="00EE697E" w:rsidRPr="00CA3ED5">
          <w:rPr>
            <w:rStyle w:val="Hyperlink"/>
            <w:rFonts w:ascii="Verdana" w:hAnsi="Verdana"/>
            <w:i w:val="0"/>
            <w:noProof/>
          </w:rPr>
          <w:t>Procuraduría General de la República – Fiscalía Especial de Delitos de Violencia contra las Mujeres y Trata de Personas [FEVIMTRA - PGR]</w:t>
        </w:r>
        <w:r w:rsidR="00EE697E" w:rsidRPr="00CA3ED5">
          <w:rPr>
            <w:rFonts w:ascii="Verdana" w:hAnsi="Verdana"/>
            <w:i w:val="0"/>
            <w:noProof/>
            <w:webHidden/>
          </w:rPr>
          <w:tab/>
        </w:r>
        <w:r w:rsidR="00EE697E" w:rsidRPr="00CA3ED5">
          <w:rPr>
            <w:rFonts w:ascii="Verdana" w:hAnsi="Verdana"/>
            <w:i w:val="0"/>
            <w:noProof/>
            <w:webHidden/>
          </w:rPr>
          <w:fldChar w:fldCharType="begin"/>
        </w:r>
        <w:r w:rsidR="00EE697E" w:rsidRPr="00CA3ED5">
          <w:rPr>
            <w:rFonts w:ascii="Verdana" w:hAnsi="Verdana"/>
            <w:i w:val="0"/>
            <w:noProof/>
            <w:webHidden/>
          </w:rPr>
          <w:instrText xml:space="preserve"> PAGEREF _Toc532995344 \h </w:instrText>
        </w:r>
        <w:r w:rsidR="00EE697E" w:rsidRPr="00CA3ED5">
          <w:rPr>
            <w:rFonts w:ascii="Verdana" w:hAnsi="Verdana"/>
            <w:i w:val="0"/>
            <w:noProof/>
            <w:webHidden/>
          </w:rPr>
        </w:r>
        <w:r w:rsidR="00EE697E" w:rsidRPr="00CA3ED5">
          <w:rPr>
            <w:rFonts w:ascii="Verdana" w:hAnsi="Verdana"/>
            <w:i w:val="0"/>
            <w:noProof/>
            <w:webHidden/>
          </w:rPr>
          <w:fldChar w:fldCharType="separate"/>
        </w:r>
        <w:r>
          <w:rPr>
            <w:rFonts w:ascii="Verdana" w:hAnsi="Verdana"/>
            <w:i w:val="0"/>
            <w:noProof/>
            <w:webHidden/>
          </w:rPr>
          <w:t>47</w:t>
        </w:r>
        <w:r w:rsidR="00EE697E" w:rsidRPr="00CA3ED5">
          <w:rPr>
            <w:rFonts w:ascii="Verdana" w:hAnsi="Verdana"/>
            <w:i w:val="0"/>
            <w:noProof/>
            <w:webHidden/>
          </w:rPr>
          <w:fldChar w:fldCharType="end"/>
        </w:r>
      </w:hyperlink>
    </w:p>
    <w:p w14:paraId="222830A5" w14:textId="77777777" w:rsidR="00EE697E" w:rsidRPr="00CA3ED5" w:rsidRDefault="00380DD7" w:rsidP="00EE697E">
      <w:pPr>
        <w:pStyle w:val="TOC3"/>
        <w:tabs>
          <w:tab w:val="left" w:pos="1100"/>
          <w:tab w:val="right" w:leader="dot" w:pos="9792"/>
        </w:tabs>
        <w:spacing w:line="240" w:lineRule="auto"/>
        <w:jc w:val="both"/>
        <w:rPr>
          <w:rFonts w:ascii="Verdana" w:eastAsiaTheme="minorEastAsia" w:hAnsi="Verdana"/>
          <w:i w:val="0"/>
          <w:iCs w:val="0"/>
          <w:noProof/>
          <w:lang w:val="es-CR" w:eastAsia="es-CR"/>
        </w:rPr>
      </w:pPr>
      <w:hyperlink w:anchor="_Toc532995345" w:history="1">
        <w:r w:rsidR="00EE697E" w:rsidRPr="00CA3ED5">
          <w:rPr>
            <w:rStyle w:val="Hyperlink"/>
            <w:rFonts w:ascii="Verdana" w:hAnsi="Verdana"/>
            <w:i w:val="0"/>
            <w:noProof/>
          </w:rPr>
          <w:t>D.5.</w:t>
        </w:r>
        <w:r w:rsidR="00EE697E" w:rsidRPr="00CA3ED5">
          <w:rPr>
            <w:rFonts w:ascii="Verdana" w:eastAsiaTheme="minorEastAsia" w:hAnsi="Verdana"/>
            <w:i w:val="0"/>
            <w:iCs w:val="0"/>
            <w:noProof/>
            <w:lang w:val="es-CR" w:eastAsia="es-CR"/>
          </w:rPr>
          <w:tab/>
        </w:r>
        <w:r w:rsidR="00EE697E" w:rsidRPr="00CA3ED5">
          <w:rPr>
            <w:rStyle w:val="Hyperlink"/>
            <w:rFonts w:ascii="Verdana" w:hAnsi="Verdana"/>
            <w:i w:val="0"/>
            <w:noProof/>
          </w:rPr>
          <w:t>Subprocuraduría de Control Regional Procedimientos Penales y Amparo en Ciudad Juárez, PGR – Chihuahua</w:t>
        </w:r>
        <w:r w:rsidR="00EE697E" w:rsidRPr="00CA3ED5">
          <w:rPr>
            <w:rFonts w:ascii="Verdana" w:hAnsi="Verdana"/>
            <w:i w:val="0"/>
            <w:noProof/>
            <w:webHidden/>
          </w:rPr>
          <w:tab/>
        </w:r>
        <w:r w:rsidR="00EE697E" w:rsidRPr="00CA3ED5">
          <w:rPr>
            <w:rFonts w:ascii="Verdana" w:hAnsi="Verdana"/>
            <w:i w:val="0"/>
            <w:noProof/>
            <w:webHidden/>
          </w:rPr>
          <w:fldChar w:fldCharType="begin"/>
        </w:r>
        <w:r w:rsidR="00EE697E" w:rsidRPr="00CA3ED5">
          <w:rPr>
            <w:rFonts w:ascii="Verdana" w:hAnsi="Verdana"/>
            <w:i w:val="0"/>
            <w:noProof/>
            <w:webHidden/>
          </w:rPr>
          <w:instrText xml:space="preserve"> PAGEREF _Toc532995345 \h </w:instrText>
        </w:r>
        <w:r w:rsidR="00EE697E" w:rsidRPr="00CA3ED5">
          <w:rPr>
            <w:rFonts w:ascii="Verdana" w:hAnsi="Verdana"/>
            <w:i w:val="0"/>
            <w:noProof/>
            <w:webHidden/>
          </w:rPr>
        </w:r>
        <w:r w:rsidR="00EE697E" w:rsidRPr="00CA3ED5">
          <w:rPr>
            <w:rFonts w:ascii="Verdana" w:hAnsi="Verdana"/>
            <w:i w:val="0"/>
            <w:noProof/>
            <w:webHidden/>
          </w:rPr>
          <w:fldChar w:fldCharType="separate"/>
        </w:r>
        <w:r>
          <w:rPr>
            <w:rFonts w:ascii="Verdana" w:hAnsi="Verdana"/>
            <w:i w:val="0"/>
            <w:noProof/>
            <w:webHidden/>
          </w:rPr>
          <w:t>50</w:t>
        </w:r>
        <w:r w:rsidR="00EE697E" w:rsidRPr="00CA3ED5">
          <w:rPr>
            <w:rFonts w:ascii="Verdana" w:hAnsi="Verdana"/>
            <w:i w:val="0"/>
            <w:noProof/>
            <w:webHidden/>
          </w:rPr>
          <w:fldChar w:fldCharType="end"/>
        </w:r>
      </w:hyperlink>
    </w:p>
    <w:p w14:paraId="7ADEF34B" w14:textId="77777777" w:rsidR="00EE697E" w:rsidRPr="00CA3ED5" w:rsidRDefault="00380DD7" w:rsidP="00EE697E">
      <w:pPr>
        <w:pStyle w:val="TOC3"/>
        <w:tabs>
          <w:tab w:val="left" w:pos="1100"/>
          <w:tab w:val="right" w:leader="dot" w:pos="9792"/>
        </w:tabs>
        <w:spacing w:line="240" w:lineRule="auto"/>
        <w:jc w:val="both"/>
        <w:rPr>
          <w:rFonts w:ascii="Verdana" w:eastAsiaTheme="minorEastAsia" w:hAnsi="Verdana"/>
          <w:i w:val="0"/>
          <w:iCs w:val="0"/>
          <w:noProof/>
          <w:lang w:val="es-CR" w:eastAsia="es-CR"/>
        </w:rPr>
      </w:pPr>
      <w:hyperlink w:anchor="_Toc532995346" w:history="1">
        <w:r w:rsidR="00EE697E" w:rsidRPr="00CA3ED5">
          <w:rPr>
            <w:rStyle w:val="Hyperlink"/>
            <w:rFonts w:ascii="Verdana" w:hAnsi="Verdana"/>
            <w:i w:val="0"/>
            <w:noProof/>
          </w:rPr>
          <w:t>D.6.</w:t>
        </w:r>
        <w:r w:rsidR="00EE697E" w:rsidRPr="00CA3ED5">
          <w:rPr>
            <w:rFonts w:ascii="Verdana" w:eastAsiaTheme="minorEastAsia" w:hAnsi="Verdana"/>
            <w:i w:val="0"/>
            <w:iCs w:val="0"/>
            <w:noProof/>
            <w:lang w:val="es-CR" w:eastAsia="es-CR"/>
          </w:rPr>
          <w:tab/>
        </w:r>
        <w:r w:rsidR="00EE697E" w:rsidRPr="00CA3ED5">
          <w:rPr>
            <w:rStyle w:val="Hyperlink"/>
            <w:rFonts w:ascii="Verdana" w:hAnsi="Verdana"/>
            <w:i w:val="0"/>
            <w:noProof/>
          </w:rPr>
          <w:t>Subprocuraduría de Derechos Humanos, Prevención del Delito y Servicios a la Comunidad de la Procuraduría General de la República [PGR]</w:t>
        </w:r>
        <w:r w:rsidR="00EE697E" w:rsidRPr="00CA3ED5">
          <w:rPr>
            <w:rFonts w:ascii="Verdana" w:hAnsi="Verdana"/>
            <w:i w:val="0"/>
            <w:noProof/>
            <w:webHidden/>
          </w:rPr>
          <w:tab/>
        </w:r>
        <w:r w:rsidR="00EE697E" w:rsidRPr="00CA3ED5">
          <w:rPr>
            <w:rFonts w:ascii="Verdana" w:hAnsi="Verdana"/>
            <w:i w:val="0"/>
            <w:noProof/>
            <w:webHidden/>
          </w:rPr>
          <w:fldChar w:fldCharType="begin"/>
        </w:r>
        <w:r w:rsidR="00EE697E" w:rsidRPr="00CA3ED5">
          <w:rPr>
            <w:rFonts w:ascii="Verdana" w:hAnsi="Verdana"/>
            <w:i w:val="0"/>
            <w:noProof/>
            <w:webHidden/>
          </w:rPr>
          <w:instrText xml:space="preserve"> PAGEREF _Toc532995346 \h </w:instrText>
        </w:r>
        <w:r w:rsidR="00EE697E" w:rsidRPr="00CA3ED5">
          <w:rPr>
            <w:rFonts w:ascii="Verdana" w:hAnsi="Verdana"/>
            <w:i w:val="0"/>
            <w:noProof/>
            <w:webHidden/>
          </w:rPr>
        </w:r>
        <w:r w:rsidR="00EE697E" w:rsidRPr="00CA3ED5">
          <w:rPr>
            <w:rFonts w:ascii="Verdana" w:hAnsi="Verdana"/>
            <w:i w:val="0"/>
            <w:noProof/>
            <w:webHidden/>
          </w:rPr>
          <w:fldChar w:fldCharType="separate"/>
        </w:r>
        <w:r>
          <w:rPr>
            <w:rFonts w:ascii="Verdana" w:hAnsi="Verdana"/>
            <w:i w:val="0"/>
            <w:noProof/>
            <w:webHidden/>
          </w:rPr>
          <w:t>51</w:t>
        </w:r>
        <w:r w:rsidR="00EE697E" w:rsidRPr="00CA3ED5">
          <w:rPr>
            <w:rFonts w:ascii="Verdana" w:hAnsi="Verdana"/>
            <w:i w:val="0"/>
            <w:noProof/>
            <w:webHidden/>
          </w:rPr>
          <w:fldChar w:fldCharType="end"/>
        </w:r>
      </w:hyperlink>
    </w:p>
    <w:p w14:paraId="56287DC7" w14:textId="77777777" w:rsidR="00EE697E" w:rsidRPr="00CA3ED5" w:rsidRDefault="00380DD7" w:rsidP="00EE697E">
      <w:pPr>
        <w:pStyle w:val="TOC4"/>
        <w:rPr>
          <w:rFonts w:ascii="Verdana" w:eastAsiaTheme="minorEastAsia" w:hAnsi="Verdana"/>
          <w:noProof/>
          <w:sz w:val="20"/>
          <w:szCs w:val="20"/>
          <w:lang w:val="es-CR" w:eastAsia="es-CR"/>
        </w:rPr>
      </w:pPr>
      <w:hyperlink w:anchor="_Toc532995347" w:history="1">
        <w:r w:rsidR="00EE697E" w:rsidRPr="00CA3ED5">
          <w:rPr>
            <w:rStyle w:val="Hyperlink"/>
            <w:rFonts w:ascii="Verdana" w:hAnsi="Verdana"/>
            <w:noProof/>
            <w:sz w:val="20"/>
            <w:szCs w:val="20"/>
          </w:rPr>
          <w:t>D.6.1.</w:t>
        </w:r>
        <w:r w:rsidR="00EE697E" w:rsidRPr="00CA3ED5">
          <w:rPr>
            <w:rFonts w:ascii="Verdana" w:eastAsiaTheme="minorEastAsia" w:hAnsi="Verdana"/>
            <w:noProof/>
            <w:sz w:val="20"/>
            <w:szCs w:val="20"/>
            <w:lang w:val="es-CR" w:eastAsia="es-CR"/>
          </w:rPr>
          <w:tab/>
        </w:r>
        <w:r w:rsidR="00EE697E" w:rsidRPr="00CA3ED5">
          <w:rPr>
            <w:rStyle w:val="Hyperlink"/>
            <w:rFonts w:ascii="Verdana" w:hAnsi="Verdana"/>
            <w:noProof/>
            <w:sz w:val="20"/>
            <w:szCs w:val="20"/>
          </w:rPr>
          <w:t>Averiguación Previa AP/PGR/SDHAVSC/M5/66/2013</w:t>
        </w:r>
        <w:r w:rsidR="00EE697E" w:rsidRPr="00CA3ED5">
          <w:rPr>
            <w:rFonts w:ascii="Verdana" w:hAnsi="Verdana"/>
            <w:noProof/>
            <w:webHidden/>
            <w:sz w:val="20"/>
            <w:szCs w:val="20"/>
          </w:rPr>
          <w:tab/>
        </w:r>
        <w:r w:rsidR="00EE697E" w:rsidRPr="00CA3ED5">
          <w:rPr>
            <w:rFonts w:ascii="Verdana" w:hAnsi="Verdana"/>
            <w:noProof/>
            <w:webHidden/>
            <w:sz w:val="20"/>
            <w:szCs w:val="20"/>
          </w:rPr>
          <w:fldChar w:fldCharType="begin"/>
        </w:r>
        <w:r w:rsidR="00EE697E" w:rsidRPr="00CA3ED5">
          <w:rPr>
            <w:rFonts w:ascii="Verdana" w:hAnsi="Verdana"/>
            <w:noProof/>
            <w:webHidden/>
            <w:sz w:val="20"/>
            <w:szCs w:val="20"/>
          </w:rPr>
          <w:instrText xml:space="preserve"> PAGEREF _Toc532995347 \h </w:instrText>
        </w:r>
        <w:r w:rsidR="00EE697E" w:rsidRPr="00CA3ED5">
          <w:rPr>
            <w:rFonts w:ascii="Verdana" w:hAnsi="Verdana"/>
            <w:noProof/>
            <w:webHidden/>
            <w:sz w:val="20"/>
            <w:szCs w:val="20"/>
          </w:rPr>
        </w:r>
        <w:r w:rsidR="00EE697E" w:rsidRPr="00CA3ED5">
          <w:rPr>
            <w:rFonts w:ascii="Verdana" w:hAnsi="Verdana"/>
            <w:noProof/>
            <w:webHidden/>
            <w:sz w:val="20"/>
            <w:szCs w:val="20"/>
          </w:rPr>
          <w:fldChar w:fldCharType="separate"/>
        </w:r>
        <w:r>
          <w:rPr>
            <w:rFonts w:ascii="Verdana" w:hAnsi="Verdana"/>
            <w:noProof/>
            <w:webHidden/>
            <w:sz w:val="20"/>
            <w:szCs w:val="20"/>
          </w:rPr>
          <w:t>51</w:t>
        </w:r>
        <w:r w:rsidR="00EE697E" w:rsidRPr="00CA3ED5">
          <w:rPr>
            <w:rFonts w:ascii="Verdana" w:hAnsi="Verdana"/>
            <w:noProof/>
            <w:webHidden/>
            <w:sz w:val="20"/>
            <w:szCs w:val="20"/>
          </w:rPr>
          <w:fldChar w:fldCharType="end"/>
        </w:r>
      </w:hyperlink>
    </w:p>
    <w:p w14:paraId="6A6E2CF5" w14:textId="77777777" w:rsidR="00EE697E" w:rsidRPr="00CA3ED5" w:rsidRDefault="00380DD7" w:rsidP="00EE697E">
      <w:pPr>
        <w:pStyle w:val="TOC4"/>
        <w:rPr>
          <w:rFonts w:ascii="Verdana" w:eastAsiaTheme="minorEastAsia" w:hAnsi="Verdana"/>
          <w:noProof/>
          <w:sz w:val="20"/>
          <w:szCs w:val="20"/>
          <w:lang w:val="es-CR" w:eastAsia="es-CR"/>
        </w:rPr>
      </w:pPr>
      <w:hyperlink w:anchor="_Toc532995348" w:history="1">
        <w:r w:rsidR="00EE697E" w:rsidRPr="00CA3ED5">
          <w:rPr>
            <w:rStyle w:val="Hyperlink"/>
            <w:rFonts w:ascii="Verdana" w:hAnsi="Verdana"/>
            <w:noProof/>
            <w:sz w:val="20"/>
            <w:szCs w:val="20"/>
          </w:rPr>
          <w:t>D.6.2.</w:t>
        </w:r>
        <w:r w:rsidR="00EE697E" w:rsidRPr="00CA3ED5">
          <w:rPr>
            <w:rFonts w:ascii="Verdana" w:eastAsiaTheme="minorEastAsia" w:hAnsi="Verdana"/>
            <w:noProof/>
            <w:sz w:val="20"/>
            <w:szCs w:val="20"/>
            <w:lang w:val="es-CR" w:eastAsia="es-CR"/>
          </w:rPr>
          <w:tab/>
        </w:r>
        <w:r w:rsidR="00EE697E" w:rsidRPr="00CA3ED5">
          <w:rPr>
            <w:rStyle w:val="Hyperlink"/>
            <w:rFonts w:ascii="Verdana" w:hAnsi="Verdana"/>
            <w:noProof/>
            <w:sz w:val="20"/>
            <w:szCs w:val="20"/>
          </w:rPr>
          <w:t>Averiguación Previa AP/PGR/SDHPDSC/UEBPD/M5/50/2013</w:t>
        </w:r>
        <w:r w:rsidR="00EE697E" w:rsidRPr="00CA3ED5">
          <w:rPr>
            <w:rFonts w:ascii="Verdana" w:hAnsi="Verdana"/>
            <w:noProof/>
            <w:webHidden/>
            <w:sz w:val="20"/>
            <w:szCs w:val="20"/>
          </w:rPr>
          <w:tab/>
        </w:r>
        <w:r w:rsidR="00EE697E" w:rsidRPr="00CA3ED5">
          <w:rPr>
            <w:rFonts w:ascii="Verdana" w:hAnsi="Verdana"/>
            <w:noProof/>
            <w:webHidden/>
            <w:sz w:val="20"/>
            <w:szCs w:val="20"/>
          </w:rPr>
          <w:fldChar w:fldCharType="begin"/>
        </w:r>
        <w:r w:rsidR="00EE697E" w:rsidRPr="00CA3ED5">
          <w:rPr>
            <w:rFonts w:ascii="Verdana" w:hAnsi="Verdana"/>
            <w:noProof/>
            <w:webHidden/>
            <w:sz w:val="20"/>
            <w:szCs w:val="20"/>
          </w:rPr>
          <w:instrText xml:space="preserve"> PAGEREF _Toc532995348 \h </w:instrText>
        </w:r>
        <w:r w:rsidR="00EE697E" w:rsidRPr="00CA3ED5">
          <w:rPr>
            <w:rFonts w:ascii="Verdana" w:hAnsi="Verdana"/>
            <w:noProof/>
            <w:webHidden/>
            <w:sz w:val="20"/>
            <w:szCs w:val="20"/>
          </w:rPr>
        </w:r>
        <w:r w:rsidR="00EE697E" w:rsidRPr="00CA3ED5">
          <w:rPr>
            <w:rFonts w:ascii="Verdana" w:hAnsi="Verdana"/>
            <w:noProof/>
            <w:webHidden/>
            <w:sz w:val="20"/>
            <w:szCs w:val="20"/>
          </w:rPr>
          <w:fldChar w:fldCharType="separate"/>
        </w:r>
        <w:r>
          <w:rPr>
            <w:rFonts w:ascii="Verdana" w:hAnsi="Verdana"/>
            <w:noProof/>
            <w:webHidden/>
            <w:sz w:val="20"/>
            <w:szCs w:val="20"/>
          </w:rPr>
          <w:t>53</w:t>
        </w:r>
        <w:r w:rsidR="00EE697E" w:rsidRPr="00CA3ED5">
          <w:rPr>
            <w:rFonts w:ascii="Verdana" w:hAnsi="Verdana"/>
            <w:noProof/>
            <w:webHidden/>
            <w:sz w:val="20"/>
            <w:szCs w:val="20"/>
          </w:rPr>
          <w:fldChar w:fldCharType="end"/>
        </w:r>
      </w:hyperlink>
    </w:p>
    <w:p w14:paraId="1FBFA1E6" w14:textId="77777777" w:rsidR="00EE697E" w:rsidRPr="00CA3ED5" w:rsidRDefault="00380DD7" w:rsidP="00EE697E">
      <w:pPr>
        <w:pStyle w:val="TOC4"/>
        <w:rPr>
          <w:rFonts w:ascii="Verdana" w:eastAsiaTheme="minorEastAsia" w:hAnsi="Verdana"/>
          <w:noProof/>
          <w:sz w:val="20"/>
          <w:szCs w:val="20"/>
          <w:lang w:val="es-CR" w:eastAsia="es-CR"/>
        </w:rPr>
      </w:pPr>
      <w:hyperlink w:anchor="_Toc532995349" w:history="1">
        <w:r w:rsidR="00EE697E" w:rsidRPr="00CA3ED5">
          <w:rPr>
            <w:rStyle w:val="Hyperlink"/>
            <w:rFonts w:ascii="Verdana" w:hAnsi="Verdana"/>
            <w:noProof/>
            <w:sz w:val="20"/>
            <w:szCs w:val="20"/>
            <w:lang w:val="es-AR"/>
          </w:rPr>
          <w:t>D.6.3.</w:t>
        </w:r>
        <w:r w:rsidR="00EE697E" w:rsidRPr="00CA3ED5">
          <w:rPr>
            <w:rFonts w:ascii="Verdana" w:eastAsiaTheme="minorEastAsia" w:hAnsi="Verdana"/>
            <w:noProof/>
            <w:sz w:val="20"/>
            <w:szCs w:val="20"/>
            <w:lang w:val="es-CR" w:eastAsia="es-CR"/>
          </w:rPr>
          <w:tab/>
        </w:r>
        <w:r w:rsidR="00EE697E" w:rsidRPr="00CA3ED5">
          <w:rPr>
            <w:rStyle w:val="Hyperlink"/>
            <w:rFonts w:ascii="Verdana" w:hAnsi="Verdana"/>
            <w:noProof/>
            <w:sz w:val="20"/>
            <w:szCs w:val="20"/>
          </w:rPr>
          <w:t xml:space="preserve">Juzgado Sexto de Distrito de Amparo en Materia Penal en Ciudad Juárez </w:t>
        </w:r>
        <w:r w:rsidR="00EE697E" w:rsidRPr="00CA3ED5">
          <w:rPr>
            <w:rStyle w:val="Hyperlink"/>
            <w:rFonts w:ascii="Verdana" w:hAnsi="Verdana"/>
            <w:noProof/>
            <w:sz w:val="20"/>
            <w:szCs w:val="20"/>
            <w:lang w:val="es-AR"/>
          </w:rPr>
          <w:t xml:space="preserve">[Juicio de Amparo </w:t>
        </w:r>
        <w:r w:rsidR="00EE697E" w:rsidRPr="00CA3ED5">
          <w:rPr>
            <w:rStyle w:val="Hyperlink"/>
            <w:rFonts w:ascii="Verdana" w:hAnsi="Verdana"/>
            <w:noProof/>
            <w:sz w:val="20"/>
            <w:szCs w:val="20"/>
          </w:rPr>
          <w:t>09/2010-I]</w:t>
        </w:r>
        <w:r w:rsidR="00EE697E" w:rsidRPr="00CA3ED5">
          <w:rPr>
            <w:rFonts w:ascii="Verdana" w:hAnsi="Verdana"/>
            <w:noProof/>
            <w:webHidden/>
            <w:sz w:val="20"/>
            <w:szCs w:val="20"/>
          </w:rPr>
          <w:tab/>
        </w:r>
        <w:r w:rsidR="00EE697E" w:rsidRPr="00CA3ED5">
          <w:rPr>
            <w:rFonts w:ascii="Verdana" w:hAnsi="Verdana"/>
            <w:noProof/>
            <w:webHidden/>
            <w:sz w:val="20"/>
            <w:szCs w:val="20"/>
          </w:rPr>
          <w:fldChar w:fldCharType="begin"/>
        </w:r>
        <w:r w:rsidR="00EE697E" w:rsidRPr="00CA3ED5">
          <w:rPr>
            <w:rFonts w:ascii="Verdana" w:hAnsi="Verdana"/>
            <w:noProof/>
            <w:webHidden/>
            <w:sz w:val="20"/>
            <w:szCs w:val="20"/>
          </w:rPr>
          <w:instrText xml:space="preserve"> PAGEREF _Toc532995349 \h </w:instrText>
        </w:r>
        <w:r w:rsidR="00EE697E" w:rsidRPr="00CA3ED5">
          <w:rPr>
            <w:rFonts w:ascii="Verdana" w:hAnsi="Verdana"/>
            <w:noProof/>
            <w:webHidden/>
            <w:sz w:val="20"/>
            <w:szCs w:val="20"/>
          </w:rPr>
        </w:r>
        <w:r w:rsidR="00EE697E" w:rsidRPr="00CA3ED5">
          <w:rPr>
            <w:rFonts w:ascii="Verdana" w:hAnsi="Verdana"/>
            <w:noProof/>
            <w:webHidden/>
            <w:sz w:val="20"/>
            <w:szCs w:val="20"/>
          </w:rPr>
          <w:fldChar w:fldCharType="separate"/>
        </w:r>
        <w:r>
          <w:rPr>
            <w:rFonts w:ascii="Verdana" w:hAnsi="Verdana"/>
            <w:noProof/>
            <w:webHidden/>
            <w:sz w:val="20"/>
            <w:szCs w:val="20"/>
          </w:rPr>
          <w:t>55</w:t>
        </w:r>
        <w:r w:rsidR="00EE697E" w:rsidRPr="00CA3ED5">
          <w:rPr>
            <w:rFonts w:ascii="Verdana" w:hAnsi="Verdana"/>
            <w:noProof/>
            <w:webHidden/>
            <w:sz w:val="20"/>
            <w:szCs w:val="20"/>
          </w:rPr>
          <w:fldChar w:fldCharType="end"/>
        </w:r>
      </w:hyperlink>
    </w:p>
    <w:p w14:paraId="15B2C7CE" w14:textId="77777777" w:rsidR="00EE697E" w:rsidRPr="00CA3ED5" w:rsidRDefault="00380DD7" w:rsidP="00EE697E">
      <w:pPr>
        <w:pStyle w:val="TOC3"/>
        <w:tabs>
          <w:tab w:val="left" w:pos="1100"/>
          <w:tab w:val="right" w:leader="dot" w:pos="9792"/>
        </w:tabs>
        <w:spacing w:line="240" w:lineRule="auto"/>
        <w:jc w:val="both"/>
        <w:rPr>
          <w:rFonts w:ascii="Verdana" w:eastAsiaTheme="minorEastAsia" w:hAnsi="Verdana"/>
          <w:i w:val="0"/>
          <w:iCs w:val="0"/>
          <w:noProof/>
          <w:lang w:val="es-CR" w:eastAsia="es-CR"/>
        </w:rPr>
      </w:pPr>
      <w:hyperlink w:anchor="_Toc532995350" w:history="1">
        <w:r w:rsidR="00EE697E" w:rsidRPr="00CA3ED5">
          <w:rPr>
            <w:rStyle w:val="Hyperlink"/>
            <w:rFonts w:ascii="Verdana" w:hAnsi="Verdana"/>
            <w:i w:val="0"/>
            <w:noProof/>
          </w:rPr>
          <w:t>D.7.</w:t>
        </w:r>
        <w:r w:rsidR="00EE697E" w:rsidRPr="00CA3ED5">
          <w:rPr>
            <w:rFonts w:ascii="Verdana" w:eastAsiaTheme="minorEastAsia" w:hAnsi="Verdana"/>
            <w:i w:val="0"/>
            <w:iCs w:val="0"/>
            <w:noProof/>
            <w:lang w:val="es-CR" w:eastAsia="es-CR"/>
          </w:rPr>
          <w:tab/>
        </w:r>
        <w:r w:rsidR="00EE697E" w:rsidRPr="00CA3ED5">
          <w:rPr>
            <w:rStyle w:val="Hyperlink"/>
            <w:rFonts w:ascii="Verdana" w:hAnsi="Verdana"/>
            <w:i w:val="0"/>
            <w:noProof/>
          </w:rPr>
          <w:t>Otros procedimientos</w:t>
        </w:r>
        <w:r w:rsidR="00EE697E" w:rsidRPr="00CA3ED5">
          <w:rPr>
            <w:rFonts w:ascii="Verdana" w:hAnsi="Verdana"/>
            <w:i w:val="0"/>
            <w:noProof/>
            <w:webHidden/>
          </w:rPr>
          <w:tab/>
        </w:r>
        <w:r w:rsidR="00EE697E" w:rsidRPr="00CA3ED5">
          <w:rPr>
            <w:rFonts w:ascii="Verdana" w:hAnsi="Verdana"/>
            <w:i w:val="0"/>
            <w:noProof/>
            <w:webHidden/>
          </w:rPr>
          <w:fldChar w:fldCharType="begin"/>
        </w:r>
        <w:r w:rsidR="00EE697E" w:rsidRPr="00CA3ED5">
          <w:rPr>
            <w:rFonts w:ascii="Verdana" w:hAnsi="Verdana"/>
            <w:i w:val="0"/>
            <w:noProof/>
            <w:webHidden/>
          </w:rPr>
          <w:instrText xml:space="preserve"> PAGEREF _Toc532995350 \h </w:instrText>
        </w:r>
        <w:r w:rsidR="00EE697E" w:rsidRPr="00CA3ED5">
          <w:rPr>
            <w:rFonts w:ascii="Verdana" w:hAnsi="Verdana"/>
            <w:i w:val="0"/>
            <w:noProof/>
            <w:webHidden/>
          </w:rPr>
        </w:r>
        <w:r w:rsidR="00EE697E" w:rsidRPr="00CA3ED5">
          <w:rPr>
            <w:rFonts w:ascii="Verdana" w:hAnsi="Verdana"/>
            <w:i w:val="0"/>
            <w:noProof/>
            <w:webHidden/>
          </w:rPr>
          <w:fldChar w:fldCharType="separate"/>
        </w:r>
        <w:r>
          <w:rPr>
            <w:rFonts w:ascii="Verdana" w:hAnsi="Verdana"/>
            <w:i w:val="0"/>
            <w:noProof/>
            <w:webHidden/>
          </w:rPr>
          <w:t>55</w:t>
        </w:r>
        <w:r w:rsidR="00EE697E" w:rsidRPr="00CA3ED5">
          <w:rPr>
            <w:rFonts w:ascii="Verdana" w:hAnsi="Verdana"/>
            <w:i w:val="0"/>
            <w:noProof/>
            <w:webHidden/>
          </w:rPr>
          <w:fldChar w:fldCharType="end"/>
        </w:r>
      </w:hyperlink>
    </w:p>
    <w:p w14:paraId="06A7D5BF" w14:textId="77777777" w:rsidR="00EE697E" w:rsidRPr="00CA3ED5" w:rsidRDefault="00380DD7" w:rsidP="00EE697E">
      <w:pPr>
        <w:pStyle w:val="TOC4"/>
        <w:rPr>
          <w:rFonts w:ascii="Verdana" w:eastAsiaTheme="minorEastAsia" w:hAnsi="Verdana"/>
          <w:noProof/>
          <w:sz w:val="20"/>
          <w:szCs w:val="20"/>
          <w:lang w:val="es-CR" w:eastAsia="es-CR"/>
        </w:rPr>
      </w:pPr>
      <w:hyperlink w:anchor="_Toc532995351" w:history="1">
        <w:r w:rsidR="00EE697E" w:rsidRPr="00CA3ED5">
          <w:rPr>
            <w:rStyle w:val="Hyperlink"/>
            <w:rFonts w:ascii="Verdana" w:hAnsi="Verdana"/>
            <w:noProof/>
            <w:sz w:val="20"/>
            <w:szCs w:val="20"/>
          </w:rPr>
          <w:t>D.7.1.</w:t>
        </w:r>
        <w:r w:rsidR="00EE697E" w:rsidRPr="00CA3ED5">
          <w:rPr>
            <w:rFonts w:ascii="Verdana" w:eastAsiaTheme="minorEastAsia" w:hAnsi="Verdana"/>
            <w:noProof/>
            <w:sz w:val="20"/>
            <w:szCs w:val="20"/>
            <w:lang w:val="es-CR" w:eastAsia="es-CR"/>
          </w:rPr>
          <w:tab/>
        </w:r>
        <w:r w:rsidR="00EE697E" w:rsidRPr="00CA3ED5">
          <w:rPr>
            <w:rStyle w:val="Hyperlink"/>
            <w:rFonts w:ascii="Verdana" w:hAnsi="Verdana"/>
            <w:noProof/>
            <w:sz w:val="20"/>
            <w:szCs w:val="20"/>
          </w:rPr>
          <w:t>Comisión Nacional de los Derechos Humanos [CNDH]</w:t>
        </w:r>
        <w:r w:rsidR="00EE697E" w:rsidRPr="00CA3ED5">
          <w:rPr>
            <w:rFonts w:ascii="Verdana" w:hAnsi="Verdana"/>
            <w:noProof/>
            <w:webHidden/>
            <w:sz w:val="20"/>
            <w:szCs w:val="20"/>
          </w:rPr>
          <w:tab/>
        </w:r>
        <w:r w:rsidR="00EE697E" w:rsidRPr="00CA3ED5">
          <w:rPr>
            <w:rFonts w:ascii="Verdana" w:hAnsi="Verdana"/>
            <w:noProof/>
            <w:webHidden/>
            <w:sz w:val="20"/>
            <w:szCs w:val="20"/>
          </w:rPr>
          <w:fldChar w:fldCharType="begin"/>
        </w:r>
        <w:r w:rsidR="00EE697E" w:rsidRPr="00CA3ED5">
          <w:rPr>
            <w:rFonts w:ascii="Verdana" w:hAnsi="Verdana"/>
            <w:noProof/>
            <w:webHidden/>
            <w:sz w:val="20"/>
            <w:szCs w:val="20"/>
          </w:rPr>
          <w:instrText xml:space="preserve"> PAGEREF _Toc532995351 \h </w:instrText>
        </w:r>
        <w:r w:rsidR="00EE697E" w:rsidRPr="00CA3ED5">
          <w:rPr>
            <w:rFonts w:ascii="Verdana" w:hAnsi="Verdana"/>
            <w:noProof/>
            <w:webHidden/>
            <w:sz w:val="20"/>
            <w:szCs w:val="20"/>
          </w:rPr>
        </w:r>
        <w:r w:rsidR="00EE697E" w:rsidRPr="00CA3ED5">
          <w:rPr>
            <w:rFonts w:ascii="Verdana" w:hAnsi="Verdana"/>
            <w:noProof/>
            <w:webHidden/>
            <w:sz w:val="20"/>
            <w:szCs w:val="20"/>
          </w:rPr>
          <w:fldChar w:fldCharType="separate"/>
        </w:r>
        <w:r>
          <w:rPr>
            <w:rFonts w:ascii="Verdana" w:hAnsi="Verdana"/>
            <w:noProof/>
            <w:webHidden/>
            <w:sz w:val="20"/>
            <w:szCs w:val="20"/>
          </w:rPr>
          <w:t>55</w:t>
        </w:r>
        <w:r w:rsidR="00EE697E" w:rsidRPr="00CA3ED5">
          <w:rPr>
            <w:rFonts w:ascii="Verdana" w:hAnsi="Verdana"/>
            <w:noProof/>
            <w:webHidden/>
            <w:sz w:val="20"/>
            <w:szCs w:val="20"/>
          </w:rPr>
          <w:fldChar w:fldCharType="end"/>
        </w:r>
      </w:hyperlink>
    </w:p>
    <w:p w14:paraId="6FBFC4CB" w14:textId="77777777" w:rsidR="00EE697E" w:rsidRPr="00CA3ED5" w:rsidRDefault="00380DD7" w:rsidP="00EE697E">
      <w:pPr>
        <w:pStyle w:val="TOC4"/>
        <w:rPr>
          <w:rFonts w:ascii="Verdana" w:eastAsiaTheme="minorEastAsia" w:hAnsi="Verdana"/>
          <w:noProof/>
          <w:sz w:val="20"/>
          <w:szCs w:val="20"/>
          <w:lang w:val="es-CR" w:eastAsia="es-CR"/>
        </w:rPr>
      </w:pPr>
      <w:hyperlink w:anchor="_Toc532995352" w:history="1">
        <w:r w:rsidR="00EE697E" w:rsidRPr="00CA3ED5">
          <w:rPr>
            <w:rStyle w:val="Hyperlink"/>
            <w:rFonts w:ascii="Verdana" w:hAnsi="Verdana"/>
            <w:noProof/>
            <w:sz w:val="20"/>
            <w:szCs w:val="20"/>
            <w:lang w:val="es-AR"/>
          </w:rPr>
          <w:t>D.7.2.</w:t>
        </w:r>
        <w:r w:rsidR="00EE697E" w:rsidRPr="00CA3ED5">
          <w:rPr>
            <w:rFonts w:ascii="Verdana" w:eastAsiaTheme="minorEastAsia" w:hAnsi="Verdana"/>
            <w:noProof/>
            <w:sz w:val="20"/>
            <w:szCs w:val="20"/>
            <w:lang w:val="es-CR" w:eastAsia="es-CR"/>
          </w:rPr>
          <w:tab/>
        </w:r>
        <w:r w:rsidR="00EE697E" w:rsidRPr="00CA3ED5">
          <w:rPr>
            <w:rStyle w:val="Hyperlink"/>
            <w:rFonts w:ascii="Verdana" w:hAnsi="Verdana"/>
            <w:noProof/>
            <w:sz w:val="20"/>
            <w:szCs w:val="20"/>
            <w:lang w:val="es-AR"/>
          </w:rPr>
          <w:t>Programa para la Atención de Quejas y Denuncias sobre el Operativo Conjunto Juárez [Queja 886/09]</w:t>
        </w:r>
        <w:r w:rsidR="00EE697E" w:rsidRPr="00CA3ED5">
          <w:rPr>
            <w:rFonts w:ascii="Verdana" w:hAnsi="Verdana"/>
            <w:noProof/>
            <w:webHidden/>
            <w:sz w:val="20"/>
            <w:szCs w:val="20"/>
          </w:rPr>
          <w:tab/>
        </w:r>
        <w:r w:rsidR="00EE697E" w:rsidRPr="00CA3ED5">
          <w:rPr>
            <w:rFonts w:ascii="Verdana" w:hAnsi="Verdana"/>
            <w:noProof/>
            <w:webHidden/>
            <w:sz w:val="20"/>
            <w:szCs w:val="20"/>
          </w:rPr>
          <w:fldChar w:fldCharType="begin"/>
        </w:r>
        <w:r w:rsidR="00EE697E" w:rsidRPr="00CA3ED5">
          <w:rPr>
            <w:rFonts w:ascii="Verdana" w:hAnsi="Verdana"/>
            <w:noProof/>
            <w:webHidden/>
            <w:sz w:val="20"/>
            <w:szCs w:val="20"/>
          </w:rPr>
          <w:instrText xml:space="preserve"> PAGEREF _Toc532995352 \h </w:instrText>
        </w:r>
        <w:r w:rsidR="00EE697E" w:rsidRPr="00CA3ED5">
          <w:rPr>
            <w:rFonts w:ascii="Verdana" w:hAnsi="Verdana"/>
            <w:noProof/>
            <w:webHidden/>
            <w:sz w:val="20"/>
            <w:szCs w:val="20"/>
          </w:rPr>
        </w:r>
        <w:r w:rsidR="00EE697E" w:rsidRPr="00CA3ED5">
          <w:rPr>
            <w:rFonts w:ascii="Verdana" w:hAnsi="Verdana"/>
            <w:noProof/>
            <w:webHidden/>
            <w:sz w:val="20"/>
            <w:szCs w:val="20"/>
          </w:rPr>
          <w:fldChar w:fldCharType="separate"/>
        </w:r>
        <w:r>
          <w:rPr>
            <w:rFonts w:ascii="Verdana" w:hAnsi="Verdana"/>
            <w:noProof/>
            <w:webHidden/>
            <w:sz w:val="20"/>
            <w:szCs w:val="20"/>
          </w:rPr>
          <w:t>56</w:t>
        </w:r>
        <w:r w:rsidR="00EE697E" w:rsidRPr="00CA3ED5">
          <w:rPr>
            <w:rFonts w:ascii="Verdana" w:hAnsi="Verdana"/>
            <w:noProof/>
            <w:webHidden/>
            <w:sz w:val="20"/>
            <w:szCs w:val="20"/>
          </w:rPr>
          <w:fldChar w:fldCharType="end"/>
        </w:r>
      </w:hyperlink>
    </w:p>
    <w:p w14:paraId="2AED99BB" w14:textId="77777777" w:rsidR="00EE697E" w:rsidRPr="00CA3ED5" w:rsidRDefault="00380DD7" w:rsidP="00EE697E">
      <w:pPr>
        <w:pStyle w:val="TOC2"/>
        <w:tabs>
          <w:tab w:val="left" w:pos="660"/>
          <w:tab w:val="right" w:leader="dot" w:pos="9792"/>
        </w:tabs>
        <w:spacing w:line="240" w:lineRule="auto"/>
        <w:jc w:val="both"/>
        <w:rPr>
          <w:rFonts w:ascii="Verdana" w:eastAsiaTheme="minorEastAsia" w:hAnsi="Verdana"/>
          <w:smallCaps w:val="0"/>
          <w:noProof/>
          <w:lang w:val="es-CR" w:eastAsia="es-CR"/>
        </w:rPr>
      </w:pPr>
      <w:hyperlink w:anchor="_Toc532995353" w:history="1">
        <w:r w:rsidR="00EE697E" w:rsidRPr="00CA3ED5">
          <w:rPr>
            <w:rStyle w:val="Hyperlink"/>
            <w:rFonts w:ascii="Verdana" w:hAnsi="Verdana"/>
            <w:noProof/>
          </w:rPr>
          <w:t>E.</w:t>
        </w:r>
        <w:r w:rsidR="00EE697E" w:rsidRPr="00CA3ED5">
          <w:rPr>
            <w:rFonts w:ascii="Verdana" w:eastAsiaTheme="minorEastAsia" w:hAnsi="Verdana"/>
            <w:smallCaps w:val="0"/>
            <w:noProof/>
            <w:lang w:val="es-CR" w:eastAsia="es-CR"/>
          </w:rPr>
          <w:tab/>
        </w:r>
        <w:r w:rsidR="00EE697E" w:rsidRPr="00CA3ED5">
          <w:rPr>
            <w:rStyle w:val="Hyperlink"/>
            <w:rFonts w:ascii="Verdana" w:hAnsi="Verdana"/>
            <w:noProof/>
          </w:rPr>
          <w:t xml:space="preserve">Sobre </w:t>
        </w:r>
        <w:r w:rsidR="00EE697E" w:rsidRPr="00CA3ED5">
          <w:rPr>
            <w:rStyle w:val="Hyperlink"/>
            <w:rFonts w:ascii="Verdana" w:hAnsi="Verdana"/>
            <w:noProof/>
            <w:lang w:val="es-CR"/>
          </w:rPr>
          <w:t>las amenazas y hostigamientos recibidos por los familiares, los desplazamientos de éstos una vez ocurridas las tres desapariciones y las Medidas Provisionales</w:t>
        </w:r>
        <w:r w:rsidR="00EE697E" w:rsidRPr="00CA3ED5">
          <w:rPr>
            <w:rFonts w:ascii="Verdana" w:hAnsi="Verdana"/>
            <w:noProof/>
            <w:webHidden/>
          </w:rPr>
          <w:tab/>
        </w:r>
        <w:r w:rsidR="00EE697E" w:rsidRPr="00CA3ED5">
          <w:rPr>
            <w:rFonts w:ascii="Verdana" w:hAnsi="Verdana"/>
            <w:noProof/>
            <w:webHidden/>
          </w:rPr>
          <w:fldChar w:fldCharType="begin"/>
        </w:r>
        <w:r w:rsidR="00EE697E" w:rsidRPr="00CA3ED5">
          <w:rPr>
            <w:rFonts w:ascii="Verdana" w:hAnsi="Verdana"/>
            <w:noProof/>
            <w:webHidden/>
          </w:rPr>
          <w:instrText xml:space="preserve"> PAGEREF _Toc532995353 \h </w:instrText>
        </w:r>
        <w:r w:rsidR="00EE697E" w:rsidRPr="00CA3ED5">
          <w:rPr>
            <w:rFonts w:ascii="Verdana" w:hAnsi="Verdana"/>
            <w:noProof/>
            <w:webHidden/>
          </w:rPr>
        </w:r>
        <w:r w:rsidR="00EE697E" w:rsidRPr="00CA3ED5">
          <w:rPr>
            <w:rFonts w:ascii="Verdana" w:hAnsi="Verdana"/>
            <w:noProof/>
            <w:webHidden/>
          </w:rPr>
          <w:fldChar w:fldCharType="separate"/>
        </w:r>
        <w:r>
          <w:rPr>
            <w:rFonts w:ascii="Verdana" w:hAnsi="Verdana"/>
            <w:noProof/>
            <w:webHidden/>
          </w:rPr>
          <w:t>57</w:t>
        </w:r>
        <w:r w:rsidR="00EE697E" w:rsidRPr="00CA3ED5">
          <w:rPr>
            <w:rFonts w:ascii="Verdana" w:hAnsi="Verdana"/>
            <w:noProof/>
            <w:webHidden/>
          </w:rPr>
          <w:fldChar w:fldCharType="end"/>
        </w:r>
      </w:hyperlink>
    </w:p>
    <w:p w14:paraId="782F69AE" w14:textId="77777777" w:rsidR="00EE697E" w:rsidRPr="00CA3ED5" w:rsidRDefault="00380DD7" w:rsidP="00EE697E">
      <w:pPr>
        <w:pStyle w:val="TOC3"/>
        <w:tabs>
          <w:tab w:val="left" w:pos="1100"/>
          <w:tab w:val="right" w:leader="dot" w:pos="9792"/>
        </w:tabs>
        <w:spacing w:line="240" w:lineRule="auto"/>
        <w:jc w:val="both"/>
        <w:rPr>
          <w:rFonts w:ascii="Verdana" w:eastAsiaTheme="minorEastAsia" w:hAnsi="Verdana"/>
          <w:i w:val="0"/>
          <w:iCs w:val="0"/>
          <w:noProof/>
          <w:lang w:val="es-CR" w:eastAsia="es-CR"/>
        </w:rPr>
      </w:pPr>
      <w:hyperlink w:anchor="_Toc532995354" w:history="1">
        <w:r w:rsidR="00EE697E" w:rsidRPr="00CA3ED5">
          <w:rPr>
            <w:rStyle w:val="Hyperlink"/>
            <w:rFonts w:ascii="Verdana" w:hAnsi="Verdana"/>
            <w:i w:val="0"/>
            <w:noProof/>
            <w:lang w:val="es-AR"/>
          </w:rPr>
          <w:t>E.1.</w:t>
        </w:r>
        <w:r w:rsidR="00EE697E" w:rsidRPr="00CA3ED5">
          <w:rPr>
            <w:rFonts w:ascii="Verdana" w:eastAsiaTheme="minorEastAsia" w:hAnsi="Verdana"/>
            <w:i w:val="0"/>
            <w:iCs w:val="0"/>
            <w:noProof/>
            <w:lang w:val="es-CR" w:eastAsia="es-CR"/>
          </w:rPr>
          <w:tab/>
        </w:r>
        <w:r w:rsidR="00EE697E" w:rsidRPr="00CA3ED5">
          <w:rPr>
            <w:rStyle w:val="Hyperlink"/>
            <w:rFonts w:ascii="Verdana" w:hAnsi="Verdana"/>
            <w:i w:val="0"/>
            <w:noProof/>
            <w:lang w:val="es-CR"/>
          </w:rPr>
          <w:t xml:space="preserve">Las amenazas y hostigamientos recibidos por los </w:t>
        </w:r>
        <w:r w:rsidR="00EE697E" w:rsidRPr="00CA3ED5">
          <w:rPr>
            <w:rStyle w:val="Hyperlink"/>
            <w:rFonts w:ascii="Verdana" w:hAnsi="Verdana"/>
            <w:i w:val="0"/>
            <w:noProof/>
            <w:lang w:val="es-AR"/>
          </w:rPr>
          <w:t>familiares</w:t>
        </w:r>
        <w:r w:rsidR="00EE697E" w:rsidRPr="00CA3ED5">
          <w:rPr>
            <w:rFonts w:ascii="Verdana" w:hAnsi="Verdana"/>
            <w:i w:val="0"/>
            <w:noProof/>
            <w:webHidden/>
          </w:rPr>
          <w:tab/>
        </w:r>
        <w:r w:rsidR="00EE697E" w:rsidRPr="00CA3ED5">
          <w:rPr>
            <w:rFonts w:ascii="Verdana" w:hAnsi="Verdana"/>
            <w:i w:val="0"/>
            <w:noProof/>
            <w:webHidden/>
          </w:rPr>
          <w:fldChar w:fldCharType="begin"/>
        </w:r>
        <w:r w:rsidR="00EE697E" w:rsidRPr="00CA3ED5">
          <w:rPr>
            <w:rFonts w:ascii="Verdana" w:hAnsi="Verdana"/>
            <w:i w:val="0"/>
            <w:noProof/>
            <w:webHidden/>
          </w:rPr>
          <w:instrText xml:space="preserve"> PAGEREF _Toc532995354 \h </w:instrText>
        </w:r>
        <w:r w:rsidR="00EE697E" w:rsidRPr="00CA3ED5">
          <w:rPr>
            <w:rFonts w:ascii="Verdana" w:hAnsi="Verdana"/>
            <w:i w:val="0"/>
            <w:noProof/>
            <w:webHidden/>
          </w:rPr>
        </w:r>
        <w:r w:rsidR="00EE697E" w:rsidRPr="00CA3ED5">
          <w:rPr>
            <w:rFonts w:ascii="Verdana" w:hAnsi="Verdana"/>
            <w:i w:val="0"/>
            <w:noProof/>
            <w:webHidden/>
          </w:rPr>
          <w:fldChar w:fldCharType="separate"/>
        </w:r>
        <w:r>
          <w:rPr>
            <w:rFonts w:ascii="Verdana" w:hAnsi="Verdana"/>
            <w:i w:val="0"/>
            <w:noProof/>
            <w:webHidden/>
          </w:rPr>
          <w:t>57</w:t>
        </w:r>
        <w:r w:rsidR="00EE697E" w:rsidRPr="00CA3ED5">
          <w:rPr>
            <w:rFonts w:ascii="Verdana" w:hAnsi="Verdana"/>
            <w:i w:val="0"/>
            <w:noProof/>
            <w:webHidden/>
          </w:rPr>
          <w:fldChar w:fldCharType="end"/>
        </w:r>
      </w:hyperlink>
    </w:p>
    <w:p w14:paraId="4DF634BE" w14:textId="77777777" w:rsidR="00EE697E" w:rsidRPr="00CA3ED5" w:rsidRDefault="00380DD7" w:rsidP="00EE697E">
      <w:pPr>
        <w:pStyle w:val="TOC3"/>
        <w:tabs>
          <w:tab w:val="left" w:pos="1100"/>
          <w:tab w:val="right" w:leader="dot" w:pos="9792"/>
        </w:tabs>
        <w:spacing w:line="240" w:lineRule="auto"/>
        <w:jc w:val="both"/>
        <w:rPr>
          <w:rFonts w:ascii="Verdana" w:eastAsiaTheme="minorEastAsia" w:hAnsi="Verdana"/>
          <w:i w:val="0"/>
          <w:iCs w:val="0"/>
          <w:noProof/>
          <w:lang w:val="es-CR" w:eastAsia="es-CR"/>
        </w:rPr>
      </w:pPr>
      <w:hyperlink w:anchor="_Toc532995355" w:history="1">
        <w:r w:rsidR="00EE697E" w:rsidRPr="00CA3ED5">
          <w:rPr>
            <w:rStyle w:val="Hyperlink"/>
            <w:rFonts w:ascii="Verdana" w:eastAsiaTheme="minorHAnsi" w:hAnsi="Verdana" w:cs="Arial"/>
            <w:i w:val="0"/>
            <w:noProof/>
            <w:lang w:val="es-AR"/>
          </w:rPr>
          <w:t>E.2.</w:t>
        </w:r>
        <w:r w:rsidR="00EE697E" w:rsidRPr="00CA3ED5">
          <w:rPr>
            <w:rFonts w:ascii="Verdana" w:eastAsiaTheme="minorEastAsia" w:hAnsi="Verdana"/>
            <w:i w:val="0"/>
            <w:iCs w:val="0"/>
            <w:noProof/>
            <w:lang w:val="es-CR" w:eastAsia="es-CR"/>
          </w:rPr>
          <w:tab/>
        </w:r>
        <w:r w:rsidR="00EE697E" w:rsidRPr="00CA3ED5">
          <w:rPr>
            <w:rStyle w:val="Hyperlink"/>
            <w:rFonts w:ascii="Verdana" w:eastAsiaTheme="minorHAnsi" w:hAnsi="Verdana" w:cs="Cambria"/>
            <w:i w:val="0"/>
            <w:noProof/>
          </w:rPr>
          <w:t xml:space="preserve">Los desplazamientos de los familiares y </w:t>
        </w:r>
        <w:r w:rsidR="00EE697E" w:rsidRPr="00CA3ED5">
          <w:rPr>
            <w:rStyle w:val="Hyperlink"/>
            <w:rFonts w:ascii="Verdana" w:hAnsi="Verdana" w:cs="Cambria"/>
            <w:i w:val="0"/>
            <w:noProof/>
          </w:rPr>
          <w:t xml:space="preserve">las </w:t>
        </w:r>
        <w:r w:rsidR="00EE697E" w:rsidRPr="00CA3ED5">
          <w:rPr>
            <w:rStyle w:val="Hyperlink"/>
            <w:rFonts w:ascii="Verdana" w:eastAsiaTheme="minorHAnsi" w:hAnsi="Verdana" w:cs="Cambria"/>
            <w:i w:val="0"/>
            <w:noProof/>
          </w:rPr>
          <w:t>amenazas en su contra</w:t>
        </w:r>
        <w:r w:rsidR="00EE697E" w:rsidRPr="00CA3ED5">
          <w:rPr>
            <w:rFonts w:ascii="Verdana" w:hAnsi="Verdana"/>
            <w:i w:val="0"/>
            <w:noProof/>
            <w:webHidden/>
          </w:rPr>
          <w:tab/>
        </w:r>
        <w:r w:rsidR="00EE697E" w:rsidRPr="00CA3ED5">
          <w:rPr>
            <w:rFonts w:ascii="Verdana" w:hAnsi="Verdana"/>
            <w:i w:val="0"/>
            <w:noProof/>
            <w:webHidden/>
          </w:rPr>
          <w:fldChar w:fldCharType="begin"/>
        </w:r>
        <w:r w:rsidR="00EE697E" w:rsidRPr="00CA3ED5">
          <w:rPr>
            <w:rFonts w:ascii="Verdana" w:hAnsi="Verdana"/>
            <w:i w:val="0"/>
            <w:noProof/>
            <w:webHidden/>
          </w:rPr>
          <w:instrText xml:space="preserve"> PAGEREF _Toc532995355 \h </w:instrText>
        </w:r>
        <w:r w:rsidR="00EE697E" w:rsidRPr="00CA3ED5">
          <w:rPr>
            <w:rFonts w:ascii="Verdana" w:hAnsi="Verdana"/>
            <w:i w:val="0"/>
            <w:noProof/>
            <w:webHidden/>
          </w:rPr>
        </w:r>
        <w:r w:rsidR="00EE697E" w:rsidRPr="00CA3ED5">
          <w:rPr>
            <w:rFonts w:ascii="Verdana" w:hAnsi="Verdana"/>
            <w:i w:val="0"/>
            <w:noProof/>
            <w:webHidden/>
          </w:rPr>
          <w:fldChar w:fldCharType="separate"/>
        </w:r>
        <w:r>
          <w:rPr>
            <w:rFonts w:ascii="Verdana" w:hAnsi="Verdana"/>
            <w:i w:val="0"/>
            <w:noProof/>
            <w:webHidden/>
          </w:rPr>
          <w:t>58</w:t>
        </w:r>
        <w:r w:rsidR="00EE697E" w:rsidRPr="00CA3ED5">
          <w:rPr>
            <w:rFonts w:ascii="Verdana" w:hAnsi="Verdana"/>
            <w:i w:val="0"/>
            <w:noProof/>
            <w:webHidden/>
          </w:rPr>
          <w:fldChar w:fldCharType="end"/>
        </w:r>
      </w:hyperlink>
    </w:p>
    <w:p w14:paraId="79523283" w14:textId="77777777" w:rsidR="00EE697E" w:rsidRPr="00CA3ED5" w:rsidRDefault="00380DD7" w:rsidP="00EE697E">
      <w:pPr>
        <w:pStyle w:val="TOC4"/>
        <w:rPr>
          <w:rFonts w:ascii="Verdana" w:eastAsiaTheme="minorEastAsia" w:hAnsi="Verdana"/>
          <w:noProof/>
          <w:sz w:val="20"/>
          <w:szCs w:val="20"/>
          <w:lang w:val="es-CR" w:eastAsia="es-CR"/>
        </w:rPr>
      </w:pPr>
      <w:hyperlink w:anchor="_Toc532995356" w:history="1">
        <w:r w:rsidR="00EE697E" w:rsidRPr="00CA3ED5">
          <w:rPr>
            <w:rStyle w:val="Hyperlink"/>
            <w:rFonts w:ascii="Verdana" w:hAnsi="Verdana"/>
            <w:noProof/>
            <w:sz w:val="20"/>
            <w:szCs w:val="20"/>
            <w:lang w:val="es-AR"/>
          </w:rPr>
          <w:t>E.2.1.</w:t>
        </w:r>
        <w:r w:rsidR="00EE697E" w:rsidRPr="00CA3ED5">
          <w:rPr>
            <w:rFonts w:ascii="Verdana" w:eastAsiaTheme="minorEastAsia" w:hAnsi="Verdana"/>
            <w:noProof/>
            <w:sz w:val="20"/>
            <w:szCs w:val="20"/>
            <w:lang w:val="es-CR" w:eastAsia="es-CR"/>
          </w:rPr>
          <w:tab/>
        </w:r>
        <w:r w:rsidR="00EE697E" w:rsidRPr="00CA3ED5">
          <w:rPr>
            <w:rStyle w:val="Hyperlink"/>
            <w:rFonts w:ascii="Verdana" w:hAnsi="Verdana"/>
            <w:noProof/>
            <w:sz w:val="20"/>
            <w:szCs w:val="20"/>
            <w:lang w:val="es-AR"/>
          </w:rPr>
          <w:t>Grupo familiar de Nitza Paola Alvarado Espinoza</w:t>
        </w:r>
        <w:r w:rsidR="00EE697E" w:rsidRPr="00CA3ED5">
          <w:rPr>
            <w:rFonts w:ascii="Verdana" w:hAnsi="Verdana"/>
            <w:noProof/>
            <w:webHidden/>
            <w:sz w:val="20"/>
            <w:szCs w:val="20"/>
          </w:rPr>
          <w:tab/>
        </w:r>
        <w:r w:rsidR="00EE697E" w:rsidRPr="00CA3ED5">
          <w:rPr>
            <w:rFonts w:ascii="Verdana" w:hAnsi="Verdana"/>
            <w:noProof/>
            <w:webHidden/>
            <w:sz w:val="20"/>
            <w:szCs w:val="20"/>
          </w:rPr>
          <w:fldChar w:fldCharType="begin"/>
        </w:r>
        <w:r w:rsidR="00EE697E" w:rsidRPr="00CA3ED5">
          <w:rPr>
            <w:rFonts w:ascii="Verdana" w:hAnsi="Verdana"/>
            <w:noProof/>
            <w:webHidden/>
            <w:sz w:val="20"/>
            <w:szCs w:val="20"/>
          </w:rPr>
          <w:instrText xml:space="preserve"> PAGEREF _Toc532995356 \h </w:instrText>
        </w:r>
        <w:r w:rsidR="00EE697E" w:rsidRPr="00CA3ED5">
          <w:rPr>
            <w:rFonts w:ascii="Verdana" w:hAnsi="Verdana"/>
            <w:noProof/>
            <w:webHidden/>
            <w:sz w:val="20"/>
            <w:szCs w:val="20"/>
          </w:rPr>
        </w:r>
        <w:r w:rsidR="00EE697E" w:rsidRPr="00CA3ED5">
          <w:rPr>
            <w:rFonts w:ascii="Verdana" w:hAnsi="Verdana"/>
            <w:noProof/>
            <w:webHidden/>
            <w:sz w:val="20"/>
            <w:szCs w:val="20"/>
          </w:rPr>
          <w:fldChar w:fldCharType="separate"/>
        </w:r>
        <w:r>
          <w:rPr>
            <w:rFonts w:ascii="Verdana" w:hAnsi="Verdana"/>
            <w:noProof/>
            <w:webHidden/>
            <w:sz w:val="20"/>
            <w:szCs w:val="20"/>
          </w:rPr>
          <w:t>58</w:t>
        </w:r>
        <w:r w:rsidR="00EE697E" w:rsidRPr="00CA3ED5">
          <w:rPr>
            <w:rFonts w:ascii="Verdana" w:hAnsi="Verdana"/>
            <w:noProof/>
            <w:webHidden/>
            <w:sz w:val="20"/>
            <w:szCs w:val="20"/>
          </w:rPr>
          <w:fldChar w:fldCharType="end"/>
        </w:r>
      </w:hyperlink>
    </w:p>
    <w:p w14:paraId="6168D575" w14:textId="77777777" w:rsidR="00EE697E" w:rsidRPr="00CA3ED5" w:rsidRDefault="00380DD7" w:rsidP="00EE697E">
      <w:pPr>
        <w:pStyle w:val="TOC4"/>
        <w:rPr>
          <w:rFonts w:ascii="Verdana" w:eastAsiaTheme="minorEastAsia" w:hAnsi="Verdana"/>
          <w:noProof/>
          <w:sz w:val="20"/>
          <w:szCs w:val="20"/>
          <w:lang w:val="es-CR" w:eastAsia="es-CR"/>
        </w:rPr>
      </w:pPr>
      <w:hyperlink w:anchor="_Toc532995357" w:history="1">
        <w:r w:rsidR="00EE697E" w:rsidRPr="00CA3ED5">
          <w:rPr>
            <w:rStyle w:val="Hyperlink"/>
            <w:rFonts w:ascii="Verdana" w:eastAsiaTheme="minorHAnsi" w:hAnsi="Verdana" w:cs="Arial"/>
            <w:noProof/>
            <w:sz w:val="20"/>
            <w:szCs w:val="20"/>
            <w:lang w:val="es-AR"/>
          </w:rPr>
          <w:t>E.2.2.</w:t>
        </w:r>
        <w:r w:rsidR="00EE697E" w:rsidRPr="00CA3ED5">
          <w:rPr>
            <w:rFonts w:ascii="Verdana" w:eastAsiaTheme="minorEastAsia" w:hAnsi="Verdana"/>
            <w:noProof/>
            <w:sz w:val="20"/>
            <w:szCs w:val="20"/>
            <w:lang w:val="es-CR" w:eastAsia="es-CR"/>
          </w:rPr>
          <w:tab/>
        </w:r>
        <w:r w:rsidR="00EE697E" w:rsidRPr="00CA3ED5">
          <w:rPr>
            <w:rStyle w:val="Hyperlink"/>
            <w:rFonts w:ascii="Verdana" w:eastAsiaTheme="minorHAnsi" w:hAnsi="Verdana" w:cs="Arial"/>
            <w:noProof/>
            <w:sz w:val="20"/>
            <w:szCs w:val="20"/>
            <w:lang w:val="es-AR"/>
          </w:rPr>
          <w:t>Grupo familiar de Rocío Irene Alvarado Reyes</w:t>
        </w:r>
        <w:r w:rsidR="00EE697E" w:rsidRPr="00CA3ED5">
          <w:rPr>
            <w:rFonts w:ascii="Verdana" w:hAnsi="Verdana"/>
            <w:noProof/>
            <w:webHidden/>
            <w:sz w:val="20"/>
            <w:szCs w:val="20"/>
          </w:rPr>
          <w:tab/>
        </w:r>
        <w:r w:rsidR="00EE697E" w:rsidRPr="00CA3ED5">
          <w:rPr>
            <w:rFonts w:ascii="Verdana" w:hAnsi="Verdana"/>
            <w:noProof/>
            <w:webHidden/>
            <w:sz w:val="20"/>
            <w:szCs w:val="20"/>
          </w:rPr>
          <w:fldChar w:fldCharType="begin"/>
        </w:r>
        <w:r w:rsidR="00EE697E" w:rsidRPr="00CA3ED5">
          <w:rPr>
            <w:rFonts w:ascii="Verdana" w:hAnsi="Verdana"/>
            <w:noProof/>
            <w:webHidden/>
            <w:sz w:val="20"/>
            <w:szCs w:val="20"/>
          </w:rPr>
          <w:instrText xml:space="preserve"> PAGEREF _Toc532995357 \h </w:instrText>
        </w:r>
        <w:r w:rsidR="00EE697E" w:rsidRPr="00CA3ED5">
          <w:rPr>
            <w:rFonts w:ascii="Verdana" w:hAnsi="Verdana"/>
            <w:noProof/>
            <w:webHidden/>
            <w:sz w:val="20"/>
            <w:szCs w:val="20"/>
          </w:rPr>
        </w:r>
        <w:r w:rsidR="00EE697E" w:rsidRPr="00CA3ED5">
          <w:rPr>
            <w:rFonts w:ascii="Verdana" w:hAnsi="Verdana"/>
            <w:noProof/>
            <w:webHidden/>
            <w:sz w:val="20"/>
            <w:szCs w:val="20"/>
          </w:rPr>
          <w:fldChar w:fldCharType="separate"/>
        </w:r>
        <w:r>
          <w:rPr>
            <w:rFonts w:ascii="Verdana" w:hAnsi="Verdana"/>
            <w:noProof/>
            <w:webHidden/>
            <w:sz w:val="20"/>
            <w:szCs w:val="20"/>
          </w:rPr>
          <w:t>59</w:t>
        </w:r>
        <w:r w:rsidR="00EE697E" w:rsidRPr="00CA3ED5">
          <w:rPr>
            <w:rFonts w:ascii="Verdana" w:hAnsi="Verdana"/>
            <w:noProof/>
            <w:webHidden/>
            <w:sz w:val="20"/>
            <w:szCs w:val="20"/>
          </w:rPr>
          <w:fldChar w:fldCharType="end"/>
        </w:r>
      </w:hyperlink>
    </w:p>
    <w:p w14:paraId="0DD1CBBD" w14:textId="77777777" w:rsidR="00EE697E" w:rsidRPr="00CA3ED5" w:rsidRDefault="00380DD7" w:rsidP="00EE697E">
      <w:pPr>
        <w:pStyle w:val="TOC4"/>
        <w:rPr>
          <w:rFonts w:ascii="Verdana" w:eastAsiaTheme="minorEastAsia" w:hAnsi="Verdana"/>
          <w:noProof/>
          <w:sz w:val="20"/>
          <w:szCs w:val="20"/>
          <w:lang w:val="es-CR" w:eastAsia="es-CR"/>
        </w:rPr>
      </w:pPr>
      <w:hyperlink w:anchor="_Toc532995358" w:history="1">
        <w:r w:rsidR="00EE697E" w:rsidRPr="00CA3ED5">
          <w:rPr>
            <w:rStyle w:val="Hyperlink"/>
            <w:rFonts w:ascii="Verdana" w:hAnsi="Verdana"/>
            <w:noProof/>
            <w:sz w:val="20"/>
            <w:szCs w:val="20"/>
            <w:lang w:val="es-AR"/>
          </w:rPr>
          <w:t>E.2.3.</w:t>
        </w:r>
        <w:r w:rsidR="00EE697E" w:rsidRPr="00CA3ED5">
          <w:rPr>
            <w:rFonts w:ascii="Verdana" w:eastAsiaTheme="minorEastAsia" w:hAnsi="Verdana"/>
            <w:noProof/>
            <w:sz w:val="20"/>
            <w:szCs w:val="20"/>
            <w:lang w:val="es-CR" w:eastAsia="es-CR"/>
          </w:rPr>
          <w:tab/>
        </w:r>
        <w:r w:rsidR="00EE697E" w:rsidRPr="00CA3ED5">
          <w:rPr>
            <w:rStyle w:val="Hyperlink"/>
            <w:rFonts w:ascii="Verdana" w:hAnsi="Verdana"/>
            <w:noProof/>
            <w:sz w:val="20"/>
            <w:szCs w:val="20"/>
            <w:lang w:val="es-AR"/>
          </w:rPr>
          <w:t>Grupo familiar de José Ángel Alvarado Herrera</w:t>
        </w:r>
        <w:r w:rsidR="00EE697E" w:rsidRPr="00CA3ED5">
          <w:rPr>
            <w:rFonts w:ascii="Verdana" w:hAnsi="Verdana"/>
            <w:noProof/>
            <w:webHidden/>
            <w:sz w:val="20"/>
            <w:szCs w:val="20"/>
          </w:rPr>
          <w:tab/>
        </w:r>
        <w:r w:rsidR="00EE697E" w:rsidRPr="00CA3ED5">
          <w:rPr>
            <w:rFonts w:ascii="Verdana" w:hAnsi="Verdana"/>
            <w:noProof/>
            <w:webHidden/>
            <w:sz w:val="20"/>
            <w:szCs w:val="20"/>
          </w:rPr>
          <w:fldChar w:fldCharType="begin"/>
        </w:r>
        <w:r w:rsidR="00EE697E" w:rsidRPr="00CA3ED5">
          <w:rPr>
            <w:rFonts w:ascii="Verdana" w:hAnsi="Verdana"/>
            <w:noProof/>
            <w:webHidden/>
            <w:sz w:val="20"/>
            <w:szCs w:val="20"/>
          </w:rPr>
          <w:instrText xml:space="preserve"> PAGEREF _Toc532995358 \h </w:instrText>
        </w:r>
        <w:r w:rsidR="00EE697E" w:rsidRPr="00CA3ED5">
          <w:rPr>
            <w:rFonts w:ascii="Verdana" w:hAnsi="Verdana"/>
            <w:noProof/>
            <w:webHidden/>
            <w:sz w:val="20"/>
            <w:szCs w:val="20"/>
          </w:rPr>
        </w:r>
        <w:r w:rsidR="00EE697E" w:rsidRPr="00CA3ED5">
          <w:rPr>
            <w:rFonts w:ascii="Verdana" w:hAnsi="Verdana"/>
            <w:noProof/>
            <w:webHidden/>
            <w:sz w:val="20"/>
            <w:szCs w:val="20"/>
          </w:rPr>
          <w:fldChar w:fldCharType="separate"/>
        </w:r>
        <w:r>
          <w:rPr>
            <w:rFonts w:ascii="Verdana" w:hAnsi="Verdana"/>
            <w:noProof/>
            <w:webHidden/>
            <w:sz w:val="20"/>
            <w:szCs w:val="20"/>
          </w:rPr>
          <w:t>60</w:t>
        </w:r>
        <w:r w:rsidR="00EE697E" w:rsidRPr="00CA3ED5">
          <w:rPr>
            <w:rFonts w:ascii="Verdana" w:hAnsi="Verdana"/>
            <w:noProof/>
            <w:webHidden/>
            <w:sz w:val="20"/>
            <w:szCs w:val="20"/>
          </w:rPr>
          <w:fldChar w:fldCharType="end"/>
        </w:r>
      </w:hyperlink>
    </w:p>
    <w:p w14:paraId="4481CA28" w14:textId="77777777" w:rsidR="00EE697E" w:rsidRPr="00CA3ED5" w:rsidRDefault="00380DD7" w:rsidP="00EE697E">
      <w:pPr>
        <w:pStyle w:val="TOC1"/>
        <w:tabs>
          <w:tab w:val="right" w:leader="dot" w:pos="9792"/>
        </w:tabs>
        <w:spacing w:before="0" w:after="0" w:line="240" w:lineRule="auto"/>
        <w:jc w:val="both"/>
        <w:rPr>
          <w:rFonts w:ascii="Verdana" w:eastAsiaTheme="minorEastAsia" w:hAnsi="Verdana"/>
          <w:b w:val="0"/>
          <w:bCs w:val="0"/>
          <w:caps w:val="0"/>
          <w:noProof/>
          <w:lang w:val="es-CR" w:eastAsia="es-CR"/>
        </w:rPr>
      </w:pPr>
      <w:hyperlink w:anchor="_Toc532995359" w:history="1">
        <w:r w:rsidR="00EE697E" w:rsidRPr="00CA3ED5">
          <w:rPr>
            <w:rStyle w:val="Hyperlink"/>
            <w:rFonts w:ascii="Verdana" w:hAnsi="Verdana"/>
            <w:noProof/>
          </w:rPr>
          <w:t>VII FONDO</w:t>
        </w:r>
        <w:r w:rsidR="00EE697E" w:rsidRPr="00CA3ED5">
          <w:rPr>
            <w:rFonts w:ascii="Verdana" w:hAnsi="Verdana"/>
            <w:noProof/>
            <w:webHidden/>
          </w:rPr>
          <w:tab/>
        </w:r>
        <w:r w:rsidR="00EE697E" w:rsidRPr="00CA3ED5">
          <w:rPr>
            <w:rFonts w:ascii="Verdana" w:hAnsi="Verdana"/>
            <w:noProof/>
            <w:webHidden/>
          </w:rPr>
          <w:fldChar w:fldCharType="begin"/>
        </w:r>
        <w:r w:rsidR="00EE697E" w:rsidRPr="00CA3ED5">
          <w:rPr>
            <w:rFonts w:ascii="Verdana" w:hAnsi="Verdana"/>
            <w:noProof/>
            <w:webHidden/>
          </w:rPr>
          <w:instrText xml:space="preserve"> PAGEREF _Toc532995359 \h </w:instrText>
        </w:r>
        <w:r w:rsidR="00EE697E" w:rsidRPr="00CA3ED5">
          <w:rPr>
            <w:rFonts w:ascii="Verdana" w:hAnsi="Verdana"/>
            <w:noProof/>
            <w:webHidden/>
          </w:rPr>
        </w:r>
        <w:r w:rsidR="00EE697E" w:rsidRPr="00CA3ED5">
          <w:rPr>
            <w:rFonts w:ascii="Verdana" w:hAnsi="Verdana"/>
            <w:noProof/>
            <w:webHidden/>
          </w:rPr>
          <w:fldChar w:fldCharType="separate"/>
        </w:r>
        <w:r>
          <w:rPr>
            <w:rFonts w:ascii="Verdana" w:hAnsi="Verdana"/>
            <w:noProof/>
            <w:webHidden/>
          </w:rPr>
          <w:t>61</w:t>
        </w:r>
        <w:r w:rsidR="00EE697E" w:rsidRPr="00CA3ED5">
          <w:rPr>
            <w:rFonts w:ascii="Verdana" w:hAnsi="Verdana"/>
            <w:noProof/>
            <w:webHidden/>
          </w:rPr>
          <w:fldChar w:fldCharType="end"/>
        </w:r>
      </w:hyperlink>
    </w:p>
    <w:p w14:paraId="0ECDE308" w14:textId="7C22A6D9" w:rsidR="00EE697E" w:rsidRPr="00CA3ED5" w:rsidRDefault="00380DD7" w:rsidP="00EE697E">
      <w:pPr>
        <w:pStyle w:val="TOC1"/>
        <w:tabs>
          <w:tab w:val="right" w:leader="dot" w:pos="9792"/>
        </w:tabs>
        <w:spacing w:before="0" w:after="0" w:line="240" w:lineRule="auto"/>
        <w:jc w:val="both"/>
        <w:rPr>
          <w:rFonts w:ascii="Verdana" w:eastAsiaTheme="minorEastAsia" w:hAnsi="Verdana"/>
          <w:b w:val="0"/>
          <w:bCs w:val="0"/>
          <w:caps w:val="0"/>
          <w:noProof/>
          <w:lang w:val="es-CR" w:eastAsia="es-CR"/>
        </w:rPr>
      </w:pPr>
      <w:hyperlink w:anchor="_Toc532995360" w:history="1">
        <w:r w:rsidR="00EE697E" w:rsidRPr="00CA3ED5">
          <w:rPr>
            <w:rStyle w:val="Hyperlink"/>
            <w:rFonts w:ascii="Verdana" w:hAnsi="Verdana"/>
            <w:noProof/>
          </w:rPr>
          <w:t>VII.1</w:t>
        </w:r>
      </w:hyperlink>
      <w:r w:rsidR="00EE697E" w:rsidRPr="00CA3ED5">
        <w:rPr>
          <w:rFonts w:ascii="Verdana" w:eastAsiaTheme="minorEastAsia" w:hAnsi="Verdana"/>
          <w:b w:val="0"/>
          <w:bCs w:val="0"/>
          <w:caps w:val="0"/>
          <w:noProof/>
          <w:lang w:val="es-CR" w:eastAsia="es-CR"/>
        </w:rPr>
        <w:t xml:space="preserve"> </w:t>
      </w:r>
      <w:hyperlink w:anchor="_Toc532995361" w:history="1">
        <w:r w:rsidR="00EE697E" w:rsidRPr="00CA3ED5">
          <w:rPr>
            <w:rStyle w:val="Hyperlink"/>
            <w:rFonts w:ascii="Verdana" w:hAnsi="Verdana"/>
            <w:noProof/>
          </w:rPr>
          <w:t>DERECHOS AL RECONOCIMIENTO A LA PERSONALIDAD JURÍDICA, A LA VIDA, A LA INTEGRIDAD PERSONAL Y A LA LIBERTAD PERSONAL (ARTÍCULOS 3, 4, 5 Y 7 DE LA CONVENCIÓN AMERICANA, Y I.A DE LA CONVENCIÓN INTERAMERICANA SOBRE DESAPARICIÓN FORZADA DE PERSONAS)</w:t>
        </w:r>
        <w:r w:rsidR="00EE697E" w:rsidRPr="00CA3ED5">
          <w:rPr>
            <w:rFonts w:ascii="Verdana" w:hAnsi="Verdana"/>
            <w:noProof/>
            <w:webHidden/>
          </w:rPr>
          <w:tab/>
        </w:r>
        <w:r w:rsidR="00EE697E" w:rsidRPr="00CA3ED5">
          <w:rPr>
            <w:rFonts w:ascii="Verdana" w:hAnsi="Verdana"/>
            <w:noProof/>
            <w:webHidden/>
          </w:rPr>
          <w:fldChar w:fldCharType="begin"/>
        </w:r>
        <w:r w:rsidR="00EE697E" w:rsidRPr="00CA3ED5">
          <w:rPr>
            <w:rFonts w:ascii="Verdana" w:hAnsi="Verdana"/>
            <w:noProof/>
            <w:webHidden/>
          </w:rPr>
          <w:instrText xml:space="preserve"> PAGEREF _Toc532995361 \h </w:instrText>
        </w:r>
        <w:r w:rsidR="00EE697E" w:rsidRPr="00CA3ED5">
          <w:rPr>
            <w:rFonts w:ascii="Verdana" w:hAnsi="Verdana"/>
            <w:noProof/>
            <w:webHidden/>
          </w:rPr>
        </w:r>
        <w:r w:rsidR="00EE697E" w:rsidRPr="00CA3ED5">
          <w:rPr>
            <w:rFonts w:ascii="Verdana" w:hAnsi="Verdana"/>
            <w:noProof/>
            <w:webHidden/>
          </w:rPr>
          <w:fldChar w:fldCharType="separate"/>
        </w:r>
        <w:r>
          <w:rPr>
            <w:rFonts w:ascii="Verdana" w:hAnsi="Verdana"/>
            <w:noProof/>
            <w:webHidden/>
          </w:rPr>
          <w:t>62</w:t>
        </w:r>
        <w:r w:rsidR="00EE697E" w:rsidRPr="00CA3ED5">
          <w:rPr>
            <w:rFonts w:ascii="Verdana" w:hAnsi="Verdana"/>
            <w:noProof/>
            <w:webHidden/>
          </w:rPr>
          <w:fldChar w:fldCharType="end"/>
        </w:r>
      </w:hyperlink>
    </w:p>
    <w:p w14:paraId="0B8B6ADF" w14:textId="77777777" w:rsidR="00EE697E" w:rsidRPr="00CA3ED5" w:rsidRDefault="00380DD7" w:rsidP="00EE697E">
      <w:pPr>
        <w:pStyle w:val="TOC2"/>
        <w:tabs>
          <w:tab w:val="left" w:pos="660"/>
          <w:tab w:val="right" w:leader="dot" w:pos="9792"/>
        </w:tabs>
        <w:spacing w:line="240" w:lineRule="auto"/>
        <w:jc w:val="both"/>
        <w:rPr>
          <w:rFonts w:ascii="Verdana" w:eastAsiaTheme="minorEastAsia" w:hAnsi="Verdana"/>
          <w:smallCaps w:val="0"/>
          <w:noProof/>
          <w:lang w:val="es-CR" w:eastAsia="es-CR"/>
        </w:rPr>
      </w:pPr>
      <w:hyperlink w:anchor="_Toc532995362" w:history="1">
        <w:r w:rsidR="00EE697E" w:rsidRPr="00CA3ED5">
          <w:rPr>
            <w:rStyle w:val="Hyperlink"/>
            <w:rFonts w:ascii="Verdana" w:hAnsi="Verdana"/>
            <w:noProof/>
          </w:rPr>
          <w:t>A.</w:t>
        </w:r>
        <w:r w:rsidR="00EE697E" w:rsidRPr="00CA3ED5">
          <w:rPr>
            <w:rFonts w:ascii="Verdana" w:eastAsiaTheme="minorEastAsia" w:hAnsi="Verdana"/>
            <w:smallCaps w:val="0"/>
            <w:noProof/>
            <w:lang w:val="es-CR" w:eastAsia="es-CR"/>
          </w:rPr>
          <w:tab/>
        </w:r>
        <w:r w:rsidR="00EE697E" w:rsidRPr="00CA3ED5">
          <w:rPr>
            <w:rStyle w:val="Hyperlink"/>
            <w:rFonts w:ascii="Verdana" w:hAnsi="Verdana"/>
            <w:noProof/>
          </w:rPr>
          <w:t>Argumentos las partes y de la Comisión</w:t>
        </w:r>
        <w:r w:rsidR="00EE697E" w:rsidRPr="00CA3ED5">
          <w:rPr>
            <w:rFonts w:ascii="Verdana" w:hAnsi="Verdana"/>
            <w:noProof/>
            <w:webHidden/>
          </w:rPr>
          <w:tab/>
        </w:r>
        <w:r w:rsidR="00EE697E" w:rsidRPr="00CA3ED5">
          <w:rPr>
            <w:rFonts w:ascii="Verdana" w:hAnsi="Verdana"/>
            <w:noProof/>
            <w:webHidden/>
          </w:rPr>
          <w:fldChar w:fldCharType="begin"/>
        </w:r>
        <w:r w:rsidR="00EE697E" w:rsidRPr="00CA3ED5">
          <w:rPr>
            <w:rFonts w:ascii="Verdana" w:hAnsi="Verdana"/>
            <w:noProof/>
            <w:webHidden/>
          </w:rPr>
          <w:instrText xml:space="preserve"> PAGEREF _Toc532995362 \h </w:instrText>
        </w:r>
        <w:r w:rsidR="00EE697E" w:rsidRPr="00CA3ED5">
          <w:rPr>
            <w:rFonts w:ascii="Verdana" w:hAnsi="Verdana"/>
            <w:noProof/>
            <w:webHidden/>
          </w:rPr>
        </w:r>
        <w:r w:rsidR="00EE697E" w:rsidRPr="00CA3ED5">
          <w:rPr>
            <w:rFonts w:ascii="Verdana" w:hAnsi="Verdana"/>
            <w:noProof/>
            <w:webHidden/>
          </w:rPr>
          <w:fldChar w:fldCharType="separate"/>
        </w:r>
        <w:r>
          <w:rPr>
            <w:rFonts w:ascii="Verdana" w:hAnsi="Verdana"/>
            <w:noProof/>
            <w:webHidden/>
          </w:rPr>
          <w:t>62</w:t>
        </w:r>
        <w:r w:rsidR="00EE697E" w:rsidRPr="00CA3ED5">
          <w:rPr>
            <w:rFonts w:ascii="Verdana" w:hAnsi="Verdana"/>
            <w:noProof/>
            <w:webHidden/>
          </w:rPr>
          <w:fldChar w:fldCharType="end"/>
        </w:r>
      </w:hyperlink>
    </w:p>
    <w:p w14:paraId="7E8FB2FE" w14:textId="77777777" w:rsidR="00EE697E" w:rsidRPr="00CA3ED5" w:rsidRDefault="00380DD7" w:rsidP="00EE697E">
      <w:pPr>
        <w:pStyle w:val="TOC2"/>
        <w:tabs>
          <w:tab w:val="left" w:pos="660"/>
          <w:tab w:val="right" w:leader="dot" w:pos="9792"/>
        </w:tabs>
        <w:spacing w:line="240" w:lineRule="auto"/>
        <w:jc w:val="both"/>
        <w:rPr>
          <w:rFonts w:ascii="Verdana" w:eastAsiaTheme="minorEastAsia" w:hAnsi="Verdana"/>
          <w:smallCaps w:val="0"/>
          <w:noProof/>
          <w:lang w:val="es-CR" w:eastAsia="es-CR"/>
        </w:rPr>
      </w:pPr>
      <w:hyperlink w:anchor="_Toc532995363" w:history="1">
        <w:r w:rsidR="00EE697E" w:rsidRPr="00CA3ED5">
          <w:rPr>
            <w:rStyle w:val="Hyperlink"/>
            <w:rFonts w:ascii="Verdana" w:hAnsi="Verdana"/>
            <w:noProof/>
          </w:rPr>
          <w:t>B.</w:t>
        </w:r>
        <w:r w:rsidR="00EE697E" w:rsidRPr="00CA3ED5">
          <w:rPr>
            <w:rFonts w:ascii="Verdana" w:eastAsiaTheme="minorEastAsia" w:hAnsi="Verdana"/>
            <w:smallCaps w:val="0"/>
            <w:noProof/>
            <w:lang w:val="es-CR" w:eastAsia="es-CR"/>
          </w:rPr>
          <w:tab/>
        </w:r>
        <w:r w:rsidR="00EE697E" w:rsidRPr="00CA3ED5">
          <w:rPr>
            <w:rStyle w:val="Hyperlink"/>
            <w:rFonts w:ascii="Verdana" w:hAnsi="Verdana"/>
            <w:noProof/>
          </w:rPr>
          <w:t>Consideraciones de la Corte</w:t>
        </w:r>
        <w:r w:rsidR="00EE697E" w:rsidRPr="00CA3ED5">
          <w:rPr>
            <w:rFonts w:ascii="Verdana" w:hAnsi="Verdana"/>
            <w:noProof/>
            <w:webHidden/>
          </w:rPr>
          <w:tab/>
        </w:r>
        <w:r w:rsidR="00EE697E" w:rsidRPr="00CA3ED5">
          <w:rPr>
            <w:rFonts w:ascii="Verdana" w:hAnsi="Verdana"/>
            <w:noProof/>
            <w:webHidden/>
          </w:rPr>
          <w:fldChar w:fldCharType="begin"/>
        </w:r>
        <w:r w:rsidR="00EE697E" w:rsidRPr="00CA3ED5">
          <w:rPr>
            <w:rFonts w:ascii="Verdana" w:hAnsi="Verdana"/>
            <w:noProof/>
            <w:webHidden/>
          </w:rPr>
          <w:instrText xml:space="preserve"> PAGEREF _Toc532995363 \h </w:instrText>
        </w:r>
        <w:r w:rsidR="00EE697E" w:rsidRPr="00CA3ED5">
          <w:rPr>
            <w:rFonts w:ascii="Verdana" w:hAnsi="Verdana"/>
            <w:noProof/>
            <w:webHidden/>
          </w:rPr>
        </w:r>
        <w:r w:rsidR="00EE697E" w:rsidRPr="00CA3ED5">
          <w:rPr>
            <w:rFonts w:ascii="Verdana" w:hAnsi="Verdana"/>
            <w:noProof/>
            <w:webHidden/>
          </w:rPr>
          <w:fldChar w:fldCharType="separate"/>
        </w:r>
        <w:r>
          <w:rPr>
            <w:rFonts w:ascii="Verdana" w:hAnsi="Verdana"/>
            <w:noProof/>
            <w:webHidden/>
          </w:rPr>
          <w:t>64</w:t>
        </w:r>
        <w:r w:rsidR="00EE697E" w:rsidRPr="00CA3ED5">
          <w:rPr>
            <w:rFonts w:ascii="Verdana" w:hAnsi="Verdana"/>
            <w:noProof/>
            <w:webHidden/>
          </w:rPr>
          <w:fldChar w:fldCharType="end"/>
        </w:r>
      </w:hyperlink>
    </w:p>
    <w:p w14:paraId="69D2AD23" w14:textId="77777777" w:rsidR="00EE697E" w:rsidRPr="00CA3ED5" w:rsidRDefault="00380DD7" w:rsidP="00EE697E">
      <w:pPr>
        <w:pStyle w:val="TOC3"/>
        <w:tabs>
          <w:tab w:val="left" w:pos="1100"/>
          <w:tab w:val="right" w:leader="dot" w:pos="9792"/>
        </w:tabs>
        <w:spacing w:line="240" w:lineRule="auto"/>
        <w:jc w:val="both"/>
        <w:rPr>
          <w:rFonts w:ascii="Verdana" w:eastAsiaTheme="minorEastAsia" w:hAnsi="Verdana"/>
          <w:i w:val="0"/>
          <w:iCs w:val="0"/>
          <w:noProof/>
          <w:lang w:val="es-CR" w:eastAsia="es-CR"/>
        </w:rPr>
      </w:pPr>
      <w:hyperlink w:anchor="_Toc532995364" w:history="1">
        <w:r w:rsidR="00EE697E" w:rsidRPr="00CA3ED5">
          <w:rPr>
            <w:rStyle w:val="Hyperlink"/>
            <w:rFonts w:ascii="Verdana" w:hAnsi="Verdana"/>
            <w:i w:val="0"/>
            <w:noProof/>
          </w:rPr>
          <w:t>B.1.</w:t>
        </w:r>
        <w:r w:rsidR="00EE697E" w:rsidRPr="00CA3ED5">
          <w:rPr>
            <w:rFonts w:ascii="Verdana" w:eastAsiaTheme="minorEastAsia" w:hAnsi="Verdana"/>
            <w:i w:val="0"/>
            <w:iCs w:val="0"/>
            <w:noProof/>
            <w:lang w:val="es-CR" w:eastAsia="es-CR"/>
          </w:rPr>
          <w:tab/>
        </w:r>
        <w:r w:rsidR="00EE697E" w:rsidRPr="00CA3ED5">
          <w:rPr>
            <w:rStyle w:val="Hyperlink"/>
            <w:rFonts w:ascii="Verdana" w:hAnsi="Verdana"/>
            <w:i w:val="0"/>
            <w:noProof/>
          </w:rPr>
          <w:t>La desaparición forzada como violación pluriofensiva y continuada de derechos humanos y su determinación</w:t>
        </w:r>
        <w:r w:rsidR="00EE697E" w:rsidRPr="00CA3ED5">
          <w:rPr>
            <w:rFonts w:ascii="Verdana" w:hAnsi="Verdana"/>
            <w:i w:val="0"/>
            <w:noProof/>
            <w:webHidden/>
          </w:rPr>
          <w:tab/>
        </w:r>
        <w:r w:rsidR="00EE697E" w:rsidRPr="00CA3ED5">
          <w:rPr>
            <w:rFonts w:ascii="Verdana" w:hAnsi="Verdana"/>
            <w:i w:val="0"/>
            <w:noProof/>
            <w:webHidden/>
          </w:rPr>
          <w:fldChar w:fldCharType="begin"/>
        </w:r>
        <w:r w:rsidR="00EE697E" w:rsidRPr="00CA3ED5">
          <w:rPr>
            <w:rFonts w:ascii="Verdana" w:hAnsi="Verdana"/>
            <w:i w:val="0"/>
            <w:noProof/>
            <w:webHidden/>
          </w:rPr>
          <w:instrText xml:space="preserve"> PAGEREF _Toc532995364 \h </w:instrText>
        </w:r>
        <w:r w:rsidR="00EE697E" w:rsidRPr="00CA3ED5">
          <w:rPr>
            <w:rFonts w:ascii="Verdana" w:hAnsi="Verdana"/>
            <w:i w:val="0"/>
            <w:noProof/>
            <w:webHidden/>
          </w:rPr>
        </w:r>
        <w:r w:rsidR="00EE697E" w:rsidRPr="00CA3ED5">
          <w:rPr>
            <w:rFonts w:ascii="Verdana" w:hAnsi="Verdana"/>
            <w:i w:val="0"/>
            <w:noProof/>
            <w:webHidden/>
          </w:rPr>
          <w:fldChar w:fldCharType="separate"/>
        </w:r>
        <w:r>
          <w:rPr>
            <w:rFonts w:ascii="Verdana" w:hAnsi="Verdana"/>
            <w:i w:val="0"/>
            <w:noProof/>
            <w:webHidden/>
          </w:rPr>
          <w:t>64</w:t>
        </w:r>
        <w:r w:rsidR="00EE697E" w:rsidRPr="00CA3ED5">
          <w:rPr>
            <w:rFonts w:ascii="Verdana" w:hAnsi="Verdana"/>
            <w:i w:val="0"/>
            <w:noProof/>
            <w:webHidden/>
          </w:rPr>
          <w:fldChar w:fldCharType="end"/>
        </w:r>
      </w:hyperlink>
    </w:p>
    <w:p w14:paraId="52490316" w14:textId="77777777" w:rsidR="00EE697E" w:rsidRPr="00CA3ED5" w:rsidRDefault="00380DD7" w:rsidP="00EE697E">
      <w:pPr>
        <w:pStyle w:val="TOC3"/>
        <w:tabs>
          <w:tab w:val="left" w:pos="1100"/>
          <w:tab w:val="right" w:leader="dot" w:pos="9792"/>
        </w:tabs>
        <w:spacing w:line="240" w:lineRule="auto"/>
        <w:jc w:val="both"/>
        <w:rPr>
          <w:rFonts w:ascii="Verdana" w:eastAsiaTheme="minorEastAsia" w:hAnsi="Verdana"/>
          <w:i w:val="0"/>
          <w:iCs w:val="0"/>
          <w:noProof/>
          <w:lang w:val="es-CR" w:eastAsia="es-CR"/>
        </w:rPr>
      </w:pPr>
      <w:hyperlink w:anchor="_Toc532995365" w:history="1">
        <w:r w:rsidR="00EE697E" w:rsidRPr="00CA3ED5">
          <w:rPr>
            <w:rStyle w:val="Hyperlink"/>
            <w:rFonts w:ascii="Verdana" w:hAnsi="Verdana"/>
            <w:i w:val="0"/>
            <w:noProof/>
          </w:rPr>
          <w:t>B.2.</w:t>
        </w:r>
        <w:r w:rsidR="00EE697E" w:rsidRPr="00CA3ED5">
          <w:rPr>
            <w:rFonts w:ascii="Verdana" w:eastAsiaTheme="minorEastAsia" w:hAnsi="Verdana"/>
            <w:i w:val="0"/>
            <w:iCs w:val="0"/>
            <w:noProof/>
            <w:lang w:val="es-CR" w:eastAsia="es-CR"/>
          </w:rPr>
          <w:tab/>
        </w:r>
        <w:r w:rsidR="00EE697E" w:rsidRPr="00CA3ED5">
          <w:rPr>
            <w:rStyle w:val="Hyperlink"/>
            <w:rFonts w:ascii="Verdana" w:hAnsi="Verdana"/>
            <w:i w:val="0"/>
            <w:noProof/>
          </w:rPr>
          <w:t>Sobre las desapariciones forzadas en el presente caso</w:t>
        </w:r>
        <w:r w:rsidR="00EE697E" w:rsidRPr="00CA3ED5">
          <w:rPr>
            <w:rFonts w:ascii="Verdana" w:hAnsi="Verdana"/>
            <w:i w:val="0"/>
            <w:noProof/>
            <w:webHidden/>
          </w:rPr>
          <w:tab/>
        </w:r>
        <w:r w:rsidR="00EE697E" w:rsidRPr="00CA3ED5">
          <w:rPr>
            <w:rFonts w:ascii="Verdana" w:hAnsi="Verdana"/>
            <w:i w:val="0"/>
            <w:noProof/>
            <w:webHidden/>
          </w:rPr>
          <w:fldChar w:fldCharType="begin"/>
        </w:r>
        <w:r w:rsidR="00EE697E" w:rsidRPr="00CA3ED5">
          <w:rPr>
            <w:rFonts w:ascii="Verdana" w:hAnsi="Verdana"/>
            <w:i w:val="0"/>
            <w:noProof/>
            <w:webHidden/>
          </w:rPr>
          <w:instrText xml:space="preserve"> PAGEREF _Toc532995365 \h </w:instrText>
        </w:r>
        <w:r w:rsidR="00EE697E" w:rsidRPr="00CA3ED5">
          <w:rPr>
            <w:rFonts w:ascii="Verdana" w:hAnsi="Verdana"/>
            <w:i w:val="0"/>
            <w:noProof/>
            <w:webHidden/>
          </w:rPr>
        </w:r>
        <w:r w:rsidR="00EE697E" w:rsidRPr="00CA3ED5">
          <w:rPr>
            <w:rFonts w:ascii="Verdana" w:hAnsi="Verdana"/>
            <w:i w:val="0"/>
            <w:noProof/>
            <w:webHidden/>
          </w:rPr>
          <w:fldChar w:fldCharType="separate"/>
        </w:r>
        <w:r>
          <w:rPr>
            <w:rFonts w:ascii="Verdana" w:hAnsi="Verdana"/>
            <w:i w:val="0"/>
            <w:noProof/>
            <w:webHidden/>
          </w:rPr>
          <w:t>65</w:t>
        </w:r>
        <w:r w:rsidR="00EE697E" w:rsidRPr="00CA3ED5">
          <w:rPr>
            <w:rFonts w:ascii="Verdana" w:hAnsi="Verdana"/>
            <w:i w:val="0"/>
            <w:noProof/>
            <w:webHidden/>
          </w:rPr>
          <w:fldChar w:fldCharType="end"/>
        </w:r>
      </w:hyperlink>
    </w:p>
    <w:p w14:paraId="560847FF" w14:textId="77777777" w:rsidR="00EE697E" w:rsidRPr="00CA3ED5" w:rsidRDefault="00380DD7" w:rsidP="00EE697E">
      <w:pPr>
        <w:pStyle w:val="TOC4"/>
        <w:rPr>
          <w:rFonts w:ascii="Verdana" w:eastAsiaTheme="minorEastAsia" w:hAnsi="Verdana"/>
          <w:noProof/>
          <w:sz w:val="20"/>
          <w:szCs w:val="20"/>
          <w:lang w:val="es-CR" w:eastAsia="es-CR"/>
        </w:rPr>
      </w:pPr>
      <w:hyperlink w:anchor="_Toc532995366" w:history="1">
        <w:r w:rsidR="00EE697E" w:rsidRPr="00CA3ED5">
          <w:rPr>
            <w:rStyle w:val="Hyperlink"/>
            <w:rFonts w:ascii="Verdana" w:hAnsi="Verdana"/>
            <w:noProof/>
            <w:sz w:val="20"/>
            <w:szCs w:val="20"/>
          </w:rPr>
          <w:t>B.2.1.</w:t>
        </w:r>
        <w:r w:rsidR="00EE697E" w:rsidRPr="00CA3ED5">
          <w:rPr>
            <w:rFonts w:ascii="Verdana" w:eastAsiaTheme="minorEastAsia" w:hAnsi="Verdana"/>
            <w:noProof/>
            <w:sz w:val="20"/>
            <w:szCs w:val="20"/>
            <w:lang w:val="es-CR" w:eastAsia="es-CR"/>
          </w:rPr>
          <w:tab/>
        </w:r>
        <w:r w:rsidR="00EE697E" w:rsidRPr="00CA3ED5">
          <w:rPr>
            <w:rStyle w:val="Hyperlink"/>
            <w:rFonts w:ascii="Verdana" w:hAnsi="Verdana"/>
            <w:noProof/>
            <w:sz w:val="20"/>
            <w:szCs w:val="20"/>
          </w:rPr>
          <w:t>La privación de la libertad de las tres presuntas víctimas</w:t>
        </w:r>
        <w:r w:rsidR="00EE697E" w:rsidRPr="00CA3ED5">
          <w:rPr>
            <w:rFonts w:ascii="Verdana" w:hAnsi="Verdana"/>
            <w:noProof/>
            <w:webHidden/>
            <w:sz w:val="20"/>
            <w:szCs w:val="20"/>
          </w:rPr>
          <w:tab/>
        </w:r>
        <w:r w:rsidR="00EE697E" w:rsidRPr="00CA3ED5">
          <w:rPr>
            <w:rFonts w:ascii="Verdana" w:hAnsi="Verdana"/>
            <w:noProof/>
            <w:webHidden/>
            <w:sz w:val="20"/>
            <w:szCs w:val="20"/>
          </w:rPr>
          <w:fldChar w:fldCharType="begin"/>
        </w:r>
        <w:r w:rsidR="00EE697E" w:rsidRPr="00CA3ED5">
          <w:rPr>
            <w:rFonts w:ascii="Verdana" w:hAnsi="Verdana"/>
            <w:noProof/>
            <w:webHidden/>
            <w:sz w:val="20"/>
            <w:szCs w:val="20"/>
          </w:rPr>
          <w:instrText xml:space="preserve"> PAGEREF _Toc532995366 \h </w:instrText>
        </w:r>
        <w:r w:rsidR="00EE697E" w:rsidRPr="00CA3ED5">
          <w:rPr>
            <w:rFonts w:ascii="Verdana" w:hAnsi="Verdana"/>
            <w:noProof/>
            <w:webHidden/>
            <w:sz w:val="20"/>
            <w:szCs w:val="20"/>
          </w:rPr>
        </w:r>
        <w:r w:rsidR="00EE697E" w:rsidRPr="00CA3ED5">
          <w:rPr>
            <w:rFonts w:ascii="Verdana" w:hAnsi="Verdana"/>
            <w:noProof/>
            <w:webHidden/>
            <w:sz w:val="20"/>
            <w:szCs w:val="20"/>
          </w:rPr>
          <w:fldChar w:fldCharType="separate"/>
        </w:r>
        <w:r>
          <w:rPr>
            <w:rFonts w:ascii="Verdana" w:hAnsi="Verdana"/>
            <w:noProof/>
            <w:webHidden/>
            <w:sz w:val="20"/>
            <w:szCs w:val="20"/>
          </w:rPr>
          <w:t>65</w:t>
        </w:r>
        <w:r w:rsidR="00EE697E" w:rsidRPr="00CA3ED5">
          <w:rPr>
            <w:rFonts w:ascii="Verdana" w:hAnsi="Verdana"/>
            <w:noProof/>
            <w:webHidden/>
            <w:sz w:val="20"/>
            <w:szCs w:val="20"/>
          </w:rPr>
          <w:fldChar w:fldCharType="end"/>
        </w:r>
      </w:hyperlink>
    </w:p>
    <w:p w14:paraId="16BED5C9" w14:textId="77777777" w:rsidR="00EE697E" w:rsidRPr="00CA3ED5" w:rsidRDefault="00380DD7" w:rsidP="00EE697E">
      <w:pPr>
        <w:pStyle w:val="TOC4"/>
        <w:rPr>
          <w:rFonts w:ascii="Verdana" w:eastAsiaTheme="minorEastAsia" w:hAnsi="Verdana"/>
          <w:noProof/>
          <w:sz w:val="20"/>
          <w:szCs w:val="20"/>
          <w:lang w:val="es-CR" w:eastAsia="es-CR"/>
        </w:rPr>
      </w:pPr>
      <w:hyperlink w:anchor="_Toc532995367" w:history="1">
        <w:r w:rsidR="00EE697E" w:rsidRPr="00CA3ED5">
          <w:rPr>
            <w:rStyle w:val="Hyperlink"/>
            <w:rFonts w:ascii="Verdana" w:hAnsi="Verdana"/>
            <w:noProof/>
            <w:sz w:val="20"/>
            <w:szCs w:val="20"/>
          </w:rPr>
          <w:t>B.2.2.</w:t>
        </w:r>
        <w:r w:rsidR="00EE697E" w:rsidRPr="00CA3ED5">
          <w:rPr>
            <w:rFonts w:ascii="Verdana" w:eastAsiaTheme="minorEastAsia" w:hAnsi="Verdana"/>
            <w:noProof/>
            <w:sz w:val="20"/>
            <w:szCs w:val="20"/>
            <w:lang w:val="es-CR" w:eastAsia="es-CR"/>
          </w:rPr>
          <w:tab/>
        </w:r>
        <w:r w:rsidR="00EE697E" w:rsidRPr="00CA3ED5">
          <w:rPr>
            <w:rStyle w:val="Hyperlink"/>
            <w:rFonts w:ascii="Verdana" w:hAnsi="Verdana"/>
            <w:noProof/>
            <w:sz w:val="20"/>
            <w:szCs w:val="20"/>
          </w:rPr>
          <w:t>La intervención o aquiescencia de agentes estatales en los hechos</w:t>
        </w:r>
        <w:r w:rsidR="00EE697E" w:rsidRPr="00CA3ED5">
          <w:rPr>
            <w:rFonts w:ascii="Verdana" w:hAnsi="Verdana"/>
            <w:noProof/>
            <w:webHidden/>
            <w:sz w:val="20"/>
            <w:szCs w:val="20"/>
          </w:rPr>
          <w:tab/>
        </w:r>
        <w:r w:rsidR="00EE697E" w:rsidRPr="00CA3ED5">
          <w:rPr>
            <w:rFonts w:ascii="Verdana" w:hAnsi="Verdana"/>
            <w:noProof/>
            <w:webHidden/>
            <w:sz w:val="20"/>
            <w:szCs w:val="20"/>
          </w:rPr>
          <w:fldChar w:fldCharType="begin"/>
        </w:r>
        <w:r w:rsidR="00EE697E" w:rsidRPr="00CA3ED5">
          <w:rPr>
            <w:rFonts w:ascii="Verdana" w:hAnsi="Verdana"/>
            <w:noProof/>
            <w:webHidden/>
            <w:sz w:val="20"/>
            <w:szCs w:val="20"/>
          </w:rPr>
          <w:instrText xml:space="preserve"> PAGEREF _Toc532995367 \h </w:instrText>
        </w:r>
        <w:r w:rsidR="00EE697E" w:rsidRPr="00CA3ED5">
          <w:rPr>
            <w:rFonts w:ascii="Verdana" w:hAnsi="Verdana"/>
            <w:noProof/>
            <w:webHidden/>
            <w:sz w:val="20"/>
            <w:szCs w:val="20"/>
          </w:rPr>
        </w:r>
        <w:r w:rsidR="00EE697E" w:rsidRPr="00CA3ED5">
          <w:rPr>
            <w:rFonts w:ascii="Verdana" w:hAnsi="Verdana"/>
            <w:noProof/>
            <w:webHidden/>
            <w:sz w:val="20"/>
            <w:szCs w:val="20"/>
          </w:rPr>
          <w:fldChar w:fldCharType="separate"/>
        </w:r>
        <w:r>
          <w:rPr>
            <w:rFonts w:ascii="Verdana" w:hAnsi="Verdana"/>
            <w:noProof/>
            <w:webHidden/>
            <w:sz w:val="20"/>
            <w:szCs w:val="20"/>
          </w:rPr>
          <w:t>66</w:t>
        </w:r>
        <w:r w:rsidR="00EE697E" w:rsidRPr="00CA3ED5">
          <w:rPr>
            <w:rFonts w:ascii="Verdana" w:hAnsi="Verdana"/>
            <w:noProof/>
            <w:webHidden/>
            <w:sz w:val="20"/>
            <w:szCs w:val="20"/>
          </w:rPr>
          <w:fldChar w:fldCharType="end"/>
        </w:r>
      </w:hyperlink>
    </w:p>
    <w:p w14:paraId="321C32D2" w14:textId="6DBF3778" w:rsidR="00EE697E" w:rsidRPr="00CA3ED5" w:rsidRDefault="00380DD7" w:rsidP="00EE697E">
      <w:pPr>
        <w:pStyle w:val="TOC5"/>
        <w:tabs>
          <w:tab w:val="left" w:pos="1320"/>
          <w:tab w:val="right" w:leader="dot" w:pos="9792"/>
        </w:tabs>
        <w:spacing w:line="240" w:lineRule="auto"/>
        <w:jc w:val="both"/>
        <w:rPr>
          <w:rFonts w:ascii="Verdana" w:eastAsiaTheme="minorEastAsia" w:hAnsi="Verdana"/>
          <w:noProof/>
          <w:sz w:val="20"/>
          <w:szCs w:val="20"/>
          <w:lang w:val="es-CR" w:eastAsia="es-CR"/>
        </w:rPr>
      </w:pPr>
      <w:hyperlink w:anchor="_Toc532995368" w:history="1">
        <w:r w:rsidR="00EE697E" w:rsidRPr="00CA3ED5">
          <w:rPr>
            <w:rStyle w:val="Hyperlink"/>
            <w:rFonts w:ascii="Verdana" w:hAnsi="Verdana"/>
            <w:noProof/>
            <w:sz w:val="20"/>
            <w:szCs w:val="20"/>
          </w:rPr>
          <w:t>(i)</w:t>
        </w:r>
        <w:r w:rsidR="00EE697E" w:rsidRPr="00CA3ED5">
          <w:rPr>
            <w:rFonts w:ascii="Verdana" w:eastAsiaTheme="minorEastAsia" w:hAnsi="Verdana"/>
            <w:noProof/>
            <w:sz w:val="20"/>
            <w:szCs w:val="20"/>
            <w:lang w:val="es-CR" w:eastAsia="es-CR"/>
          </w:rPr>
          <w:tab/>
          <w:t xml:space="preserve">   </w:t>
        </w:r>
        <w:r w:rsidR="00EE697E" w:rsidRPr="00CA3ED5">
          <w:rPr>
            <w:rStyle w:val="Hyperlink"/>
            <w:rFonts w:ascii="Verdana" w:hAnsi="Verdana"/>
            <w:noProof/>
            <w:sz w:val="20"/>
            <w:szCs w:val="20"/>
          </w:rPr>
          <w:t>Sobre el contexto en que ocurrieron los hechos del caso</w:t>
        </w:r>
        <w:r w:rsidR="00EE697E" w:rsidRPr="00CA3ED5">
          <w:rPr>
            <w:rFonts w:ascii="Verdana" w:hAnsi="Verdana"/>
            <w:noProof/>
            <w:webHidden/>
            <w:sz w:val="20"/>
            <w:szCs w:val="20"/>
          </w:rPr>
          <w:tab/>
        </w:r>
        <w:r w:rsidR="00EE697E" w:rsidRPr="00CA3ED5">
          <w:rPr>
            <w:rFonts w:ascii="Verdana" w:hAnsi="Verdana"/>
            <w:noProof/>
            <w:webHidden/>
            <w:sz w:val="20"/>
            <w:szCs w:val="20"/>
          </w:rPr>
          <w:fldChar w:fldCharType="begin"/>
        </w:r>
        <w:r w:rsidR="00EE697E" w:rsidRPr="00CA3ED5">
          <w:rPr>
            <w:rFonts w:ascii="Verdana" w:hAnsi="Verdana"/>
            <w:noProof/>
            <w:webHidden/>
            <w:sz w:val="20"/>
            <w:szCs w:val="20"/>
          </w:rPr>
          <w:instrText xml:space="preserve"> PAGEREF _Toc532995368 \h </w:instrText>
        </w:r>
        <w:r w:rsidR="00EE697E" w:rsidRPr="00CA3ED5">
          <w:rPr>
            <w:rFonts w:ascii="Verdana" w:hAnsi="Verdana"/>
            <w:noProof/>
            <w:webHidden/>
            <w:sz w:val="20"/>
            <w:szCs w:val="20"/>
          </w:rPr>
        </w:r>
        <w:r w:rsidR="00EE697E" w:rsidRPr="00CA3ED5">
          <w:rPr>
            <w:rFonts w:ascii="Verdana" w:hAnsi="Verdana"/>
            <w:noProof/>
            <w:webHidden/>
            <w:sz w:val="20"/>
            <w:szCs w:val="20"/>
          </w:rPr>
          <w:fldChar w:fldCharType="separate"/>
        </w:r>
        <w:r>
          <w:rPr>
            <w:rFonts w:ascii="Verdana" w:hAnsi="Verdana"/>
            <w:noProof/>
            <w:webHidden/>
            <w:sz w:val="20"/>
            <w:szCs w:val="20"/>
          </w:rPr>
          <w:t>66</w:t>
        </w:r>
        <w:r w:rsidR="00EE697E" w:rsidRPr="00CA3ED5">
          <w:rPr>
            <w:rFonts w:ascii="Verdana" w:hAnsi="Verdana"/>
            <w:noProof/>
            <w:webHidden/>
            <w:sz w:val="20"/>
            <w:szCs w:val="20"/>
          </w:rPr>
          <w:fldChar w:fldCharType="end"/>
        </w:r>
      </w:hyperlink>
    </w:p>
    <w:p w14:paraId="7ED681F8" w14:textId="5BBFD680" w:rsidR="00EE697E" w:rsidRPr="00CA3ED5" w:rsidRDefault="00380DD7" w:rsidP="00EE697E">
      <w:pPr>
        <w:pStyle w:val="TOC5"/>
        <w:tabs>
          <w:tab w:val="left" w:pos="1320"/>
          <w:tab w:val="right" w:leader="dot" w:pos="9792"/>
        </w:tabs>
        <w:spacing w:line="240" w:lineRule="auto"/>
        <w:jc w:val="both"/>
        <w:rPr>
          <w:rFonts w:ascii="Verdana" w:eastAsiaTheme="minorEastAsia" w:hAnsi="Verdana"/>
          <w:noProof/>
          <w:sz w:val="20"/>
          <w:szCs w:val="20"/>
          <w:lang w:val="es-CR" w:eastAsia="es-CR"/>
        </w:rPr>
      </w:pPr>
      <w:hyperlink w:anchor="_Toc532995369" w:history="1">
        <w:r w:rsidR="00EE697E" w:rsidRPr="00CA3ED5">
          <w:rPr>
            <w:rStyle w:val="Hyperlink"/>
            <w:rFonts w:ascii="Verdana" w:hAnsi="Verdana"/>
            <w:noProof/>
            <w:sz w:val="20"/>
            <w:szCs w:val="20"/>
          </w:rPr>
          <w:t>(ii)</w:t>
        </w:r>
        <w:r w:rsidR="00EE697E" w:rsidRPr="00CA3ED5">
          <w:rPr>
            <w:rFonts w:ascii="Verdana" w:eastAsiaTheme="minorEastAsia" w:hAnsi="Verdana"/>
            <w:noProof/>
            <w:sz w:val="20"/>
            <w:szCs w:val="20"/>
            <w:lang w:val="es-CR" w:eastAsia="es-CR"/>
          </w:rPr>
          <w:tab/>
          <w:t xml:space="preserve">   </w:t>
        </w:r>
        <w:r w:rsidR="00EE697E" w:rsidRPr="00CA3ED5">
          <w:rPr>
            <w:rStyle w:val="Hyperlink"/>
            <w:rFonts w:ascii="Verdana" w:hAnsi="Verdana"/>
            <w:noProof/>
            <w:sz w:val="20"/>
            <w:szCs w:val="20"/>
          </w:rPr>
          <w:t>Sobre la participación de las Fuerzas Armadas en labores de Seguridad Ciudadana</w:t>
        </w:r>
        <w:r w:rsidR="00EE697E" w:rsidRPr="00CA3ED5">
          <w:rPr>
            <w:rFonts w:ascii="Verdana" w:hAnsi="Verdana"/>
            <w:noProof/>
            <w:webHidden/>
            <w:sz w:val="20"/>
            <w:szCs w:val="20"/>
          </w:rPr>
          <w:tab/>
        </w:r>
        <w:r w:rsidR="00EE697E" w:rsidRPr="00CA3ED5">
          <w:rPr>
            <w:rFonts w:ascii="Verdana" w:hAnsi="Verdana"/>
            <w:noProof/>
            <w:webHidden/>
            <w:sz w:val="20"/>
            <w:szCs w:val="20"/>
          </w:rPr>
          <w:fldChar w:fldCharType="begin"/>
        </w:r>
        <w:r w:rsidR="00EE697E" w:rsidRPr="00CA3ED5">
          <w:rPr>
            <w:rFonts w:ascii="Verdana" w:hAnsi="Verdana"/>
            <w:noProof/>
            <w:webHidden/>
            <w:sz w:val="20"/>
            <w:szCs w:val="20"/>
          </w:rPr>
          <w:instrText xml:space="preserve"> PAGEREF _Toc532995369 \h </w:instrText>
        </w:r>
        <w:r w:rsidR="00EE697E" w:rsidRPr="00CA3ED5">
          <w:rPr>
            <w:rFonts w:ascii="Verdana" w:hAnsi="Verdana"/>
            <w:noProof/>
            <w:webHidden/>
            <w:sz w:val="20"/>
            <w:szCs w:val="20"/>
          </w:rPr>
        </w:r>
        <w:r w:rsidR="00EE697E" w:rsidRPr="00CA3ED5">
          <w:rPr>
            <w:rFonts w:ascii="Verdana" w:hAnsi="Verdana"/>
            <w:noProof/>
            <w:webHidden/>
            <w:sz w:val="20"/>
            <w:szCs w:val="20"/>
          </w:rPr>
          <w:fldChar w:fldCharType="separate"/>
        </w:r>
        <w:r>
          <w:rPr>
            <w:rFonts w:ascii="Verdana" w:hAnsi="Verdana"/>
            <w:noProof/>
            <w:webHidden/>
            <w:sz w:val="20"/>
            <w:szCs w:val="20"/>
          </w:rPr>
          <w:t>67</w:t>
        </w:r>
        <w:r w:rsidR="00EE697E" w:rsidRPr="00CA3ED5">
          <w:rPr>
            <w:rFonts w:ascii="Verdana" w:hAnsi="Verdana"/>
            <w:noProof/>
            <w:webHidden/>
            <w:sz w:val="20"/>
            <w:szCs w:val="20"/>
          </w:rPr>
          <w:fldChar w:fldCharType="end"/>
        </w:r>
      </w:hyperlink>
    </w:p>
    <w:p w14:paraId="06450594" w14:textId="6994D985" w:rsidR="00EE697E" w:rsidRPr="00CA3ED5" w:rsidRDefault="00380DD7" w:rsidP="00EE697E">
      <w:pPr>
        <w:pStyle w:val="TOC5"/>
        <w:tabs>
          <w:tab w:val="left" w:pos="1540"/>
          <w:tab w:val="right" w:leader="dot" w:pos="9792"/>
        </w:tabs>
        <w:spacing w:line="240" w:lineRule="auto"/>
        <w:jc w:val="both"/>
        <w:rPr>
          <w:rFonts w:ascii="Verdana" w:eastAsiaTheme="minorEastAsia" w:hAnsi="Verdana"/>
          <w:noProof/>
          <w:sz w:val="20"/>
          <w:szCs w:val="20"/>
          <w:lang w:val="es-CR" w:eastAsia="es-CR"/>
        </w:rPr>
      </w:pPr>
      <w:hyperlink w:anchor="_Toc532995370" w:history="1">
        <w:r w:rsidR="00EE697E" w:rsidRPr="00CA3ED5">
          <w:rPr>
            <w:rStyle w:val="Hyperlink"/>
            <w:rFonts w:ascii="Verdana" w:hAnsi="Verdana"/>
            <w:noProof/>
            <w:sz w:val="20"/>
            <w:szCs w:val="20"/>
          </w:rPr>
          <w:t>(iii)</w:t>
        </w:r>
        <w:r w:rsidR="00EE697E" w:rsidRPr="00CA3ED5">
          <w:rPr>
            <w:rFonts w:ascii="Verdana" w:eastAsiaTheme="minorEastAsia" w:hAnsi="Verdana"/>
            <w:noProof/>
            <w:sz w:val="20"/>
            <w:szCs w:val="20"/>
            <w:lang w:val="es-CR" w:eastAsia="es-CR"/>
          </w:rPr>
          <w:tab/>
        </w:r>
        <w:r w:rsidR="00EE697E" w:rsidRPr="00CA3ED5">
          <w:rPr>
            <w:rStyle w:val="Hyperlink"/>
            <w:rFonts w:ascii="Verdana" w:hAnsi="Verdana"/>
            <w:noProof/>
            <w:sz w:val="20"/>
            <w:szCs w:val="20"/>
          </w:rPr>
          <w:t>Las declaraciones de los testigos presenciales y referenciales sobre los hechos</w:t>
        </w:r>
        <w:r w:rsidR="00EE697E" w:rsidRPr="00CA3ED5">
          <w:rPr>
            <w:rFonts w:ascii="Verdana" w:hAnsi="Verdana"/>
            <w:noProof/>
            <w:webHidden/>
            <w:sz w:val="20"/>
            <w:szCs w:val="20"/>
          </w:rPr>
          <w:tab/>
        </w:r>
        <w:r w:rsidR="00EE697E" w:rsidRPr="00CA3ED5">
          <w:rPr>
            <w:rFonts w:ascii="Verdana" w:hAnsi="Verdana"/>
            <w:noProof/>
            <w:webHidden/>
            <w:sz w:val="20"/>
            <w:szCs w:val="20"/>
          </w:rPr>
          <w:fldChar w:fldCharType="begin"/>
        </w:r>
        <w:r w:rsidR="00EE697E" w:rsidRPr="00CA3ED5">
          <w:rPr>
            <w:rFonts w:ascii="Verdana" w:hAnsi="Verdana"/>
            <w:noProof/>
            <w:webHidden/>
            <w:sz w:val="20"/>
            <w:szCs w:val="20"/>
          </w:rPr>
          <w:instrText xml:space="preserve"> PAGEREF _Toc532995370 \h </w:instrText>
        </w:r>
        <w:r w:rsidR="00EE697E" w:rsidRPr="00CA3ED5">
          <w:rPr>
            <w:rFonts w:ascii="Verdana" w:hAnsi="Verdana"/>
            <w:noProof/>
            <w:webHidden/>
            <w:sz w:val="20"/>
            <w:szCs w:val="20"/>
          </w:rPr>
        </w:r>
        <w:r w:rsidR="00EE697E" w:rsidRPr="00CA3ED5">
          <w:rPr>
            <w:rFonts w:ascii="Verdana" w:hAnsi="Verdana"/>
            <w:noProof/>
            <w:webHidden/>
            <w:sz w:val="20"/>
            <w:szCs w:val="20"/>
          </w:rPr>
          <w:fldChar w:fldCharType="separate"/>
        </w:r>
        <w:r>
          <w:rPr>
            <w:rFonts w:ascii="Verdana" w:hAnsi="Verdana"/>
            <w:noProof/>
            <w:webHidden/>
            <w:sz w:val="20"/>
            <w:szCs w:val="20"/>
          </w:rPr>
          <w:t>71</w:t>
        </w:r>
        <w:r w:rsidR="00EE697E" w:rsidRPr="00CA3ED5">
          <w:rPr>
            <w:rFonts w:ascii="Verdana" w:hAnsi="Verdana"/>
            <w:noProof/>
            <w:webHidden/>
            <w:sz w:val="20"/>
            <w:szCs w:val="20"/>
          </w:rPr>
          <w:fldChar w:fldCharType="end"/>
        </w:r>
      </w:hyperlink>
    </w:p>
    <w:p w14:paraId="20F3A342" w14:textId="0E69A82C" w:rsidR="00EE697E" w:rsidRPr="00CA3ED5" w:rsidRDefault="00380DD7" w:rsidP="00EE697E">
      <w:pPr>
        <w:pStyle w:val="TOC5"/>
        <w:tabs>
          <w:tab w:val="left" w:pos="1540"/>
          <w:tab w:val="right" w:leader="dot" w:pos="9792"/>
        </w:tabs>
        <w:spacing w:line="240" w:lineRule="auto"/>
        <w:jc w:val="both"/>
        <w:rPr>
          <w:rFonts w:ascii="Verdana" w:eastAsiaTheme="minorEastAsia" w:hAnsi="Verdana"/>
          <w:noProof/>
          <w:sz w:val="20"/>
          <w:szCs w:val="20"/>
          <w:lang w:val="es-CR" w:eastAsia="es-CR"/>
        </w:rPr>
      </w:pPr>
      <w:hyperlink w:anchor="_Toc532995371" w:history="1">
        <w:r w:rsidR="00EE697E" w:rsidRPr="00CA3ED5">
          <w:rPr>
            <w:rStyle w:val="Hyperlink"/>
            <w:rFonts w:ascii="Verdana" w:hAnsi="Verdana"/>
            <w:noProof/>
            <w:sz w:val="20"/>
            <w:szCs w:val="20"/>
          </w:rPr>
          <w:t>(iv)</w:t>
        </w:r>
        <w:r w:rsidR="00EE697E" w:rsidRPr="00CA3ED5">
          <w:rPr>
            <w:rFonts w:ascii="Verdana" w:eastAsiaTheme="minorEastAsia" w:hAnsi="Verdana"/>
            <w:noProof/>
            <w:sz w:val="20"/>
            <w:szCs w:val="20"/>
            <w:lang w:val="es-CR" w:eastAsia="es-CR"/>
          </w:rPr>
          <w:tab/>
        </w:r>
        <w:r w:rsidR="00EE697E" w:rsidRPr="00CA3ED5">
          <w:rPr>
            <w:rStyle w:val="Hyperlink"/>
            <w:rFonts w:ascii="Verdana" w:hAnsi="Verdana"/>
            <w:noProof/>
            <w:sz w:val="20"/>
            <w:szCs w:val="20"/>
          </w:rPr>
          <w:t>Las observaciones de distintos órganos a nivel interno</w:t>
        </w:r>
        <w:r w:rsidR="00EE697E" w:rsidRPr="00CA3ED5">
          <w:rPr>
            <w:rFonts w:ascii="Verdana" w:hAnsi="Verdana"/>
            <w:noProof/>
            <w:webHidden/>
            <w:sz w:val="20"/>
            <w:szCs w:val="20"/>
          </w:rPr>
          <w:tab/>
        </w:r>
        <w:r w:rsidR="00EE697E" w:rsidRPr="00CA3ED5">
          <w:rPr>
            <w:rFonts w:ascii="Verdana" w:hAnsi="Verdana"/>
            <w:noProof/>
            <w:webHidden/>
            <w:sz w:val="20"/>
            <w:szCs w:val="20"/>
          </w:rPr>
          <w:fldChar w:fldCharType="begin"/>
        </w:r>
        <w:r w:rsidR="00EE697E" w:rsidRPr="00CA3ED5">
          <w:rPr>
            <w:rFonts w:ascii="Verdana" w:hAnsi="Verdana"/>
            <w:noProof/>
            <w:webHidden/>
            <w:sz w:val="20"/>
            <w:szCs w:val="20"/>
          </w:rPr>
          <w:instrText xml:space="preserve"> PAGEREF _Toc532995371 \h </w:instrText>
        </w:r>
        <w:r w:rsidR="00EE697E" w:rsidRPr="00CA3ED5">
          <w:rPr>
            <w:rFonts w:ascii="Verdana" w:hAnsi="Verdana"/>
            <w:noProof/>
            <w:webHidden/>
            <w:sz w:val="20"/>
            <w:szCs w:val="20"/>
          </w:rPr>
        </w:r>
        <w:r w:rsidR="00EE697E" w:rsidRPr="00CA3ED5">
          <w:rPr>
            <w:rFonts w:ascii="Verdana" w:hAnsi="Verdana"/>
            <w:noProof/>
            <w:webHidden/>
            <w:sz w:val="20"/>
            <w:szCs w:val="20"/>
          </w:rPr>
          <w:fldChar w:fldCharType="separate"/>
        </w:r>
        <w:r>
          <w:rPr>
            <w:rFonts w:ascii="Verdana" w:hAnsi="Verdana"/>
            <w:noProof/>
            <w:webHidden/>
            <w:sz w:val="20"/>
            <w:szCs w:val="20"/>
          </w:rPr>
          <w:t>75</w:t>
        </w:r>
        <w:r w:rsidR="00EE697E" w:rsidRPr="00CA3ED5">
          <w:rPr>
            <w:rFonts w:ascii="Verdana" w:hAnsi="Verdana"/>
            <w:noProof/>
            <w:webHidden/>
            <w:sz w:val="20"/>
            <w:szCs w:val="20"/>
          </w:rPr>
          <w:fldChar w:fldCharType="end"/>
        </w:r>
      </w:hyperlink>
    </w:p>
    <w:p w14:paraId="3DCAE010" w14:textId="77777777" w:rsidR="00EE697E" w:rsidRPr="00CA3ED5" w:rsidRDefault="00380DD7" w:rsidP="00EE697E">
      <w:pPr>
        <w:pStyle w:val="TOC4"/>
        <w:rPr>
          <w:rFonts w:ascii="Verdana" w:eastAsiaTheme="minorEastAsia" w:hAnsi="Verdana"/>
          <w:noProof/>
          <w:sz w:val="20"/>
          <w:szCs w:val="20"/>
          <w:lang w:val="es-CR" w:eastAsia="es-CR"/>
        </w:rPr>
      </w:pPr>
      <w:hyperlink w:anchor="_Toc532995372" w:history="1">
        <w:r w:rsidR="00EE697E" w:rsidRPr="00CA3ED5">
          <w:rPr>
            <w:rStyle w:val="Hyperlink"/>
            <w:rFonts w:ascii="Verdana" w:hAnsi="Verdana"/>
            <w:noProof/>
            <w:sz w:val="20"/>
            <w:szCs w:val="20"/>
          </w:rPr>
          <w:t>B.2.3.</w:t>
        </w:r>
        <w:r w:rsidR="00EE697E" w:rsidRPr="00CA3ED5">
          <w:rPr>
            <w:rFonts w:ascii="Verdana" w:eastAsiaTheme="minorEastAsia" w:hAnsi="Verdana"/>
            <w:noProof/>
            <w:sz w:val="20"/>
            <w:szCs w:val="20"/>
            <w:lang w:val="es-CR" w:eastAsia="es-CR"/>
          </w:rPr>
          <w:tab/>
        </w:r>
        <w:r w:rsidR="00EE697E" w:rsidRPr="00CA3ED5">
          <w:rPr>
            <w:rStyle w:val="Hyperlink"/>
            <w:rFonts w:ascii="Verdana" w:hAnsi="Verdana"/>
            <w:noProof/>
            <w:sz w:val="20"/>
            <w:szCs w:val="20"/>
          </w:rPr>
          <w:t>La negativa de reconocer la detención o falta de proveer información y de revelar la suerte o el paradero de la persona interesada</w:t>
        </w:r>
        <w:r w:rsidR="00EE697E" w:rsidRPr="00CA3ED5">
          <w:rPr>
            <w:rFonts w:ascii="Verdana" w:hAnsi="Verdana"/>
            <w:noProof/>
            <w:webHidden/>
            <w:sz w:val="20"/>
            <w:szCs w:val="20"/>
          </w:rPr>
          <w:tab/>
        </w:r>
        <w:r w:rsidR="00EE697E" w:rsidRPr="00CA3ED5">
          <w:rPr>
            <w:rFonts w:ascii="Verdana" w:hAnsi="Verdana"/>
            <w:noProof/>
            <w:webHidden/>
            <w:sz w:val="20"/>
            <w:szCs w:val="20"/>
          </w:rPr>
          <w:fldChar w:fldCharType="begin"/>
        </w:r>
        <w:r w:rsidR="00EE697E" w:rsidRPr="00CA3ED5">
          <w:rPr>
            <w:rFonts w:ascii="Verdana" w:hAnsi="Verdana"/>
            <w:noProof/>
            <w:webHidden/>
            <w:sz w:val="20"/>
            <w:szCs w:val="20"/>
          </w:rPr>
          <w:instrText xml:space="preserve"> PAGEREF _Toc532995372 \h </w:instrText>
        </w:r>
        <w:r w:rsidR="00EE697E" w:rsidRPr="00CA3ED5">
          <w:rPr>
            <w:rFonts w:ascii="Verdana" w:hAnsi="Verdana"/>
            <w:noProof/>
            <w:webHidden/>
            <w:sz w:val="20"/>
            <w:szCs w:val="20"/>
          </w:rPr>
        </w:r>
        <w:r w:rsidR="00EE697E" w:rsidRPr="00CA3ED5">
          <w:rPr>
            <w:rFonts w:ascii="Verdana" w:hAnsi="Verdana"/>
            <w:noProof/>
            <w:webHidden/>
            <w:sz w:val="20"/>
            <w:szCs w:val="20"/>
          </w:rPr>
          <w:fldChar w:fldCharType="separate"/>
        </w:r>
        <w:r>
          <w:rPr>
            <w:rFonts w:ascii="Verdana" w:hAnsi="Verdana"/>
            <w:noProof/>
            <w:webHidden/>
            <w:sz w:val="20"/>
            <w:szCs w:val="20"/>
          </w:rPr>
          <w:t>77</w:t>
        </w:r>
        <w:r w:rsidR="00EE697E" w:rsidRPr="00CA3ED5">
          <w:rPr>
            <w:rFonts w:ascii="Verdana" w:hAnsi="Verdana"/>
            <w:noProof/>
            <w:webHidden/>
            <w:sz w:val="20"/>
            <w:szCs w:val="20"/>
          </w:rPr>
          <w:fldChar w:fldCharType="end"/>
        </w:r>
      </w:hyperlink>
    </w:p>
    <w:p w14:paraId="2B028B6C" w14:textId="77777777" w:rsidR="00EE697E" w:rsidRPr="00CA3ED5" w:rsidRDefault="00380DD7" w:rsidP="00EE697E">
      <w:pPr>
        <w:pStyle w:val="TOC3"/>
        <w:tabs>
          <w:tab w:val="left" w:pos="1100"/>
          <w:tab w:val="right" w:leader="dot" w:pos="9792"/>
        </w:tabs>
        <w:spacing w:line="240" w:lineRule="auto"/>
        <w:jc w:val="both"/>
        <w:rPr>
          <w:rFonts w:ascii="Verdana" w:eastAsiaTheme="minorEastAsia" w:hAnsi="Verdana"/>
          <w:i w:val="0"/>
          <w:iCs w:val="0"/>
          <w:noProof/>
          <w:lang w:val="es-CR" w:eastAsia="es-CR"/>
        </w:rPr>
      </w:pPr>
      <w:hyperlink w:anchor="_Toc532995373" w:history="1">
        <w:r w:rsidR="00EE697E" w:rsidRPr="00CA3ED5">
          <w:rPr>
            <w:rStyle w:val="Hyperlink"/>
            <w:rFonts w:ascii="Verdana" w:hAnsi="Verdana"/>
            <w:i w:val="0"/>
            <w:noProof/>
          </w:rPr>
          <w:t>B.3.</w:t>
        </w:r>
        <w:r w:rsidR="00EE697E" w:rsidRPr="00CA3ED5">
          <w:rPr>
            <w:rFonts w:ascii="Verdana" w:eastAsiaTheme="minorEastAsia" w:hAnsi="Verdana"/>
            <w:i w:val="0"/>
            <w:iCs w:val="0"/>
            <w:noProof/>
            <w:lang w:val="es-CR" w:eastAsia="es-CR"/>
          </w:rPr>
          <w:tab/>
        </w:r>
        <w:r w:rsidR="00EE697E" w:rsidRPr="00CA3ED5">
          <w:rPr>
            <w:rStyle w:val="Hyperlink"/>
            <w:rFonts w:ascii="Verdana" w:hAnsi="Verdana"/>
            <w:i w:val="0"/>
            <w:noProof/>
          </w:rPr>
          <w:t>Conclusión general</w:t>
        </w:r>
        <w:r w:rsidR="00EE697E" w:rsidRPr="00CA3ED5">
          <w:rPr>
            <w:rFonts w:ascii="Verdana" w:hAnsi="Verdana"/>
            <w:i w:val="0"/>
            <w:noProof/>
            <w:webHidden/>
          </w:rPr>
          <w:tab/>
        </w:r>
        <w:r w:rsidR="00EE697E" w:rsidRPr="00CA3ED5">
          <w:rPr>
            <w:rFonts w:ascii="Verdana" w:hAnsi="Verdana"/>
            <w:i w:val="0"/>
            <w:noProof/>
            <w:webHidden/>
          </w:rPr>
          <w:fldChar w:fldCharType="begin"/>
        </w:r>
        <w:r w:rsidR="00EE697E" w:rsidRPr="00CA3ED5">
          <w:rPr>
            <w:rFonts w:ascii="Verdana" w:hAnsi="Verdana"/>
            <w:i w:val="0"/>
            <w:noProof/>
            <w:webHidden/>
          </w:rPr>
          <w:instrText xml:space="preserve"> PAGEREF _Toc532995373 \h </w:instrText>
        </w:r>
        <w:r w:rsidR="00EE697E" w:rsidRPr="00CA3ED5">
          <w:rPr>
            <w:rFonts w:ascii="Verdana" w:hAnsi="Verdana"/>
            <w:i w:val="0"/>
            <w:noProof/>
            <w:webHidden/>
          </w:rPr>
        </w:r>
        <w:r w:rsidR="00EE697E" w:rsidRPr="00CA3ED5">
          <w:rPr>
            <w:rFonts w:ascii="Verdana" w:hAnsi="Verdana"/>
            <w:i w:val="0"/>
            <w:noProof/>
            <w:webHidden/>
          </w:rPr>
          <w:fldChar w:fldCharType="separate"/>
        </w:r>
        <w:r>
          <w:rPr>
            <w:rFonts w:ascii="Verdana" w:hAnsi="Verdana"/>
            <w:i w:val="0"/>
            <w:noProof/>
            <w:webHidden/>
          </w:rPr>
          <w:t>78</w:t>
        </w:r>
        <w:r w:rsidR="00EE697E" w:rsidRPr="00CA3ED5">
          <w:rPr>
            <w:rFonts w:ascii="Verdana" w:hAnsi="Verdana"/>
            <w:i w:val="0"/>
            <w:noProof/>
            <w:webHidden/>
          </w:rPr>
          <w:fldChar w:fldCharType="end"/>
        </w:r>
      </w:hyperlink>
    </w:p>
    <w:p w14:paraId="1D178385" w14:textId="50B9389D" w:rsidR="00EE697E" w:rsidRPr="00CA3ED5" w:rsidRDefault="00380DD7" w:rsidP="00EE697E">
      <w:pPr>
        <w:pStyle w:val="TOC1"/>
        <w:tabs>
          <w:tab w:val="right" w:leader="dot" w:pos="9792"/>
        </w:tabs>
        <w:spacing w:before="0" w:after="0" w:line="240" w:lineRule="auto"/>
        <w:jc w:val="both"/>
        <w:rPr>
          <w:rFonts w:ascii="Verdana" w:eastAsiaTheme="minorEastAsia" w:hAnsi="Verdana"/>
          <w:b w:val="0"/>
          <w:bCs w:val="0"/>
          <w:caps w:val="0"/>
          <w:noProof/>
          <w:lang w:val="es-CR" w:eastAsia="es-CR"/>
        </w:rPr>
      </w:pPr>
      <w:hyperlink w:anchor="_Toc532995374" w:history="1">
        <w:r w:rsidR="00EE697E" w:rsidRPr="00CA3ED5">
          <w:rPr>
            <w:rStyle w:val="Hyperlink"/>
            <w:rFonts w:ascii="Verdana" w:hAnsi="Verdana"/>
            <w:noProof/>
          </w:rPr>
          <w:t>VII.2</w:t>
        </w:r>
      </w:hyperlink>
      <w:r w:rsidR="00EE697E" w:rsidRPr="00CA3ED5">
        <w:rPr>
          <w:rFonts w:ascii="Verdana" w:eastAsiaTheme="minorEastAsia" w:hAnsi="Verdana"/>
          <w:b w:val="0"/>
          <w:bCs w:val="0"/>
          <w:caps w:val="0"/>
          <w:noProof/>
          <w:lang w:val="es-CR" w:eastAsia="es-CR"/>
        </w:rPr>
        <w:t xml:space="preserve"> </w:t>
      </w:r>
      <w:hyperlink w:anchor="_Toc532995375" w:history="1">
        <w:r w:rsidR="00EE697E" w:rsidRPr="00CA3ED5">
          <w:rPr>
            <w:rStyle w:val="Hyperlink"/>
            <w:rFonts w:ascii="Verdana" w:hAnsi="Verdana"/>
            <w:noProof/>
          </w:rPr>
          <w:t>DERECHOS A LAS GARANTÍAS JUDICIALES Y PROTECCIÓN JUDICIAL Y DEBER DE ADOPTAR MEDIDAS (ARTICULOS 8, 25 Y 2), ASÍ COMO I.b y IX DE LA CIDFP, Y 7.b DE LA CONVENCIÓN DE BELEM DO PARÁ</w:t>
        </w:r>
        <w:r w:rsidR="00EE697E" w:rsidRPr="00CA3ED5">
          <w:rPr>
            <w:rFonts w:ascii="Verdana" w:hAnsi="Verdana"/>
            <w:noProof/>
            <w:webHidden/>
          </w:rPr>
          <w:tab/>
        </w:r>
        <w:r w:rsidR="00EE697E" w:rsidRPr="00CA3ED5">
          <w:rPr>
            <w:rFonts w:ascii="Verdana" w:hAnsi="Verdana"/>
            <w:noProof/>
            <w:webHidden/>
          </w:rPr>
          <w:fldChar w:fldCharType="begin"/>
        </w:r>
        <w:r w:rsidR="00EE697E" w:rsidRPr="00CA3ED5">
          <w:rPr>
            <w:rFonts w:ascii="Verdana" w:hAnsi="Verdana"/>
            <w:noProof/>
            <w:webHidden/>
          </w:rPr>
          <w:instrText xml:space="preserve"> PAGEREF _Toc532995375 \h </w:instrText>
        </w:r>
        <w:r w:rsidR="00EE697E" w:rsidRPr="00CA3ED5">
          <w:rPr>
            <w:rFonts w:ascii="Verdana" w:hAnsi="Verdana"/>
            <w:noProof/>
            <w:webHidden/>
          </w:rPr>
        </w:r>
        <w:r w:rsidR="00EE697E" w:rsidRPr="00CA3ED5">
          <w:rPr>
            <w:rFonts w:ascii="Verdana" w:hAnsi="Verdana"/>
            <w:noProof/>
            <w:webHidden/>
          </w:rPr>
          <w:fldChar w:fldCharType="separate"/>
        </w:r>
        <w:r>
          <w:rPr>
            <w:rFonts w:ascii="Verdana" w:hAnsi="Verdana"/>
            <w:noProof/>
            <w:webHidden/>
          </w:rPr>
          <w:t>78</w:t>
        </w:r>
        <w:r w:rsidR="00EE697E" w:rsidRPr="00CA3ED5">
          <w:rPr>
            <w:rFonts w:ascii="Verdana" w:hAnsi="Verdana"/>
            <w:noProof/>
            <w:webHidden/>
          </w:rPr>
          <w:fldChar w:fldCharType="end"/>
        </w:r>
      </w:hyperlink>
    </w:p>
    <w:p w14:paraId="2A1D3B1E" w14:textId="5019259E" w:rsidR="00EE697E" w:rsidRPr="00CA3ED5" w:rsidRDefault="00380DD7" w:rsidP="00EE697E">
      <w:pPr>
        <w:pStyle w:val="TOC2"/>
        <w:tabs>
          <w:tab w:val="left" w:pos="660"/>
          <w:tab w:val="right" w:leader="dot" w:pos="9792"/>
        </w:tabs>
        <w:spacing w:line="240" w:lineRule="auto"/>
        <w:jc w:val="both"/>
        <w:rPr>
          <w:rFonts w:ascii="Verdana" w:eastAsiaTheme="minorEastAsia" w:hAnsi="Verdana"/>
          <w:smallCaps w:val="0"/>
          <w:noProof/>
          <w:lang w:val="es-CR" w:eastAsia="es-CR"/>
        </w:rPr>
      </w:pPr>
      <w:hyperlink w:anchor="_Toc532995376" w:history="1">
        <w:r w:rsidR="00EE697E" w:rsidRPr="00CA3ED5">
          <w:rPr>
            <w:rStyle w:val="Hyperlink"/>
            <w:rFonts w:ascii="Verdana" w:hAnsi="Verdana"/>
            <w:noProof/>
          </w:rPr>
          <w:t>A.</w:t>
        </w:r>
        <w:r w:rsidR="00EE697E" w:rsidRPr="00CA3ED5">
          <w:rPr>
            <w:rFonts w:ascii="Verdana" w:eastAsiaTheme="minorEastAsia" w:hAnsi="Verdana"/>
            <w:smallCaps w:val="0"/>
            <w:noProof/>
            <w:lang w:val="es-CR" w:eastAsia="es-CR"/>
          </w:rPr>
          <w:tab/>
        </w:r>
        <w:r w:rsidR="00EE697E" w:rsidRPr="00CA3ED5">
          <w:rPr>
            <w:rStyle w:val="Hyperlink"/>
            <w:rFonts w:ascii="Verdana" w:hAnsi="Verdana"/>
            <w:noProof/>
          </w:rPr>
          <w:t>Argumentos de las partes y de la Comisión</w:t>
        </w:r>
        <w:r w:rsidR="00EE697E" w:rsidRPr="00CA3ED5">
          <w:rPr>
            <w:rFonts w:ascii="Verdana" w:hAnsi="Verdana"/>
            <w:noProof/>
            <w:webHidden/>
          </w:rPr>
          <w:tab/>
        </w:r>
        <w:r w:rsidR="00EE697E" w:rsidRPr="00CA3ED5">
          <w:rPr>
            <w:rFonts w:ascii="Verdana" w:hAnsi="Verdana"/>
            <w:noProof/>
            <w:webHidden/>
          </w:rPr>
          <w:fldChar w:fldCharType="begin"/>
        </w:r>
        <w:r w:rsidR="00EE697E" w:rsidRPr="00CA3ED5">
          <w:rPr>
            <w:rFonts w:ascii="Verdana" w:hAnsi="Verdana"/>
            <w:noProof/>
            <w:webHidden/>
          </w:rPr>
          <w:instrText xml:space="preserve"> PAGEREF _Toc532995376 \h </w:instrText>
        </w:r>
        <w:r w:rsidR="00EE697E" w:rsidRPr="00CA3ED5">
          <w:rPr>
            <w:rFonts w:ascii="Verdana" w:hAnsi="Verdana"/>
            <w:noProof/>
            <w:webHidden/>
          </w:rPr>
        </w:r>
        <w:r w:rsidR="00EE697E" w:rsidRPr="00CA3ED5">
          <w:rPr>
            <w:rFonts w:ascii="Verdana" w:hAnsi="Verdana"/>
            <w:noProof/>
            <w:webHidden/>
          </w:rPr>
          <w:fldChar w:fldCharType="separate"/>
        </w:r>
        <w:r>
          <w:rPr>
            <w:rFonts w:ascii="Verdana" w:hAnsi="Verdana"/>
            <w:noProof/>
            <w:webHidden/>
          </w:rPr>
          <w:t>78</w:t>
        </w:r>
        <w:r w:rsidR="00EE697E" w:rsidRPr="00CA3ED5">
          <w:rPr>
            <w:rFonts w:ascii="Verdana" w:hAnsi="Verdana"/>
            <w:noProof/>
            <w:webHidden/>
          </w:rPr>
          <w:fldChar w:fldCharType="end"/>
        </w:r>
      </w:hyperlink>
    </w:p>
    <w:p w14:paraId="3E71B169" w14:textId="77777777" w:rsidR="00EE697E" w:rsidRPr="00CA3ED5" w:rsidRDefault="00380DD7" w:rsidP="00EE697E">
      <w:pPr>
        <w:pStyle w:val="TOC2"/>
        <w:tabs>
          <w:tab w:val="left" w:pos="660"/>
          <w:tab w:val="right" w:leader="dot" w:pos="9792"/>
        </w:tabs>
        <w:spacing w:line="240" w:lineRule="auto"/>
        <w:jc w:val="both"/>
        <w:rPr>
          <w:rFonts w:ascii="Verdana" w:eastAsiaTheme="minorEastAsia" w:hAnsi="Verdana"/>
          <w:smallCaps w:val="0"/>
          <w:noProof/>
          <w:lang w:val="es-CR" w:eastAsia="es-CR"/>
        </w:rPr>
      </w:pPr>
      <w:hyperlink w:anchor="_Toc532995377" w:history="1">
        <w:r w:rsidR="00EE697E" w:rsidRPr="00CA3ED5">
          <w:rPr>
            <w:rStyle w:val="Hyperlink"/>
            <w:rFonts w:ascii="Verdana" w:hAnsi="Verdana"/>
            <w:noProof/>
          </w:rPr>
          <w:t>B.</w:t>
        </w:r>
        <w:r w:rsidR="00EE697E" w:rsidRPr="00CA3ED5">
          <w:rPr>
            <w:rFonts w:ascii="Verdana" w:eastAsiaTheme="minorEastAsia" w:hAnsi="Verdana"/>
            <w:smallCaps w:val="0"/>
            <w:noProof/>
            <w:lang w:val="es-CR" w:eastAsia="es-CR"/>
          </w:rPr>
          <w:tab/>
        </w:r>
        <w:r w:rsidR="00EE697E" w:rsidRPr="00CA3ED5">
          <w:rPr>
            <w:rStyle w:val="Hyperlink"/>
            <w:rFonts w:ascii="Verdana" w:hAnsi="Verdana"/>
            <w:noProof/>
          </w:rPr>
          <w:t>Consideraciones de la Corte</w:t>
        </w:r>
        <w:r w:rsidR="00EE697E" w:rsidRPr="00CA3ED5">
          <w:rPr>
            <w:rFonts w:ascii="Verdana" w:hAnsi="Verdana"/>
            <w:noProof/>
            <w:webHidden/>
          </w:rPr>
          <w:tab/>
        </w:r>
        <w:r w:rsidR="00EE697E" w:rsidRPr="00CA3ED5">
          <w:rPr>
            <w:rFonts w:ascii="Verdana" w:hAnsi="Verdana"/>
            <w:noProof/>
            <w:webHidden/>
          </w:rPr>
          <w:fldChar w:fldCharType="begin"/>
        </w:r>
        <w:r w:rsidR="00EE697E" w:rsidRPr="00CA3ED5">
          <w:rPr>
            <w:rFonts w:ascii="Verdana" w:hAnsi="Verdana"/>
            <w:noProof/>
            <w:webHidden/>
          </w:rPr>
          <w:instrText xml:space="preserve"> PAGEREF _Toc532995377 \h </w:instrText>
        </w:r>
        <w:r w:rsidR="00EE697E" w:rsidRPr="00CA3ED5">
          <w:rPr>
            <w:rFonts w:ascii="Verdana" w:hAnsi="Verdana"/>
            <w:noProof/>
            <w:webHidden/>
          </w:rPr>
        </w:r>
        <w:r w:rsidR="00EE697E" w:rsidRPr="00CA3ED5">
          <w:rPr>
            <w:rFonts w:ascii="Verdana" w:hAnsi="Verdana"/>
            <w:noProof/>
            <w:webHidden/>
          </w:rPr>
          <w:fldChar w:fldCharType="separate"/>
        </w:r>
        <w:r>
          <w:rPr>
            <w:rFonts w:ascii="Verdana" w:hAnsi="Verdana"/>
            <w:noProof/>
            <w:webHidden/>
          </w:rPr>
          <w:t>80</w:t>
        </w:r>
        <w:r w:rsidR="00EE697E" w:rsidRPr="00CA3ED5">
          <w:rPr>
            <w:rFonts w:ascii="Verdana" w:hAnsi="Verdana"/>
            <w:noProof/>
            <w:webHidden/>
          </w:rPr>
          <w:fldChar w:fldCharType="end"/>
        </w:r>
      </w:hyperlink>
    </w:p>
    <w:p w14:paraId="2AAFD5DF" w14:textId="77777777" w:rsidR="00EE697E" w:rsidRPr="00CA3ED5" w:rsidRDefault="00380DD7" w:rsidP="00EE697E">
      <w:pPr>
        <w:pStyle w:val="TOC3"/>
        <w:tabs>
          <w:tab w:val="left" w:pos="1100"/>
          <w:tab w:val="right" w:leader="dot" w:pos="9792"/>
        </w:tabs>
        <w:spacing w:line="240" w:lineRule="auto"/>
        <w:jc w:val="both"/>
        <w:rPr>
          <w:rFonts w:ascii="Verdana" w:eastAsiaTheme="minorEastAsia" w:hAnsi="Verdana"/>
          <w:i w:val="0"/>
          <w:iCs w:val="0"/>
          <w:noProof/>
          <w:lang w:val="es-CR" w:eastAsia="es-CR"/>
        </w:rPr>
      </w:pPr>
      <w:hyperlink w:anchor="_Toc532995378" w:history="1">
        <w:r w:rsidR="00EE697E" w:rsidRPr="00CA3ED5">
          <w:rPr>
            <w:rStyle w:val="Hyperlink"/>
            <w:rFonts w:ascii="Verdana" w:hAnsi="Verdana"/>
            <w:i w:val="0"/>
            <w:noProof/>
          </w:rPr>
          <w:t>B.1.</w:t>
        </w:r>
        <w:r w:rsidR="00EE697E" w:rsidRPr="00CA3ED5">
          <w:rPr>
            <w:rFonts w:ascii="Verdana" w:eastAsiaTheme="minorEastAsia" w:hAnsi="Verdana"/>
            <w:i w:val="0"/>
            <w:iCs w:val="0"/>
            <w:noProof/>
            <w:lang w:val="es-CR" w:eastAsia="es-CR"/>
          </w:rPr>
          <w:tab/>
        </w:r>
        <w:r w:rsidR="00EE697E" w:rsidRPr="00CA3ED5">
          <w:rPr>
            <w:rStyle w:val="Hyperlink"/>
            <w:rFonts w:ascii="Verdana" w:hAnsi="Verdana"/>
            <w:i w:val="0"/>
            <w:noProof/>
          </w:rPr>
          <w:t>Sobre la debida diligencia</w:t>
        </w:r>
        <w:r w:rsidR="00EE697E" w:rsidRPr="00CA3ED5">
          <w:rPr>
            <w:rFonts w:ascii="Verdana" w:hAnsi="Verdana"/>
            <w:i w:val="0"/>
            <w:noProof/>
            <w:webHidden/>
          </w:rPr>
          <w:tab/>
        </w:r>
        <w:r w:rsidR="00EE697E" w:rsidRPr="00CA3ED5">
          <w:rPr>
            <w:rFonts w:ascii="Verdana" w:hAnsi="Verdana"/>
            <w:i w:val="0"/>
            <w:noProof/>
            <w:webHidden/>
          </w:rPr>
          <w:fldChar w:fldCharType="begin"/>
        </w:r>
        <w:r w:rsidR="00EE697E" w:rsidRPr="00CA3ED5">
          <w:rPr>
            <w:rFonts w:ascii="Verdana" w:hAnsi="Verdana"/>
            <w:i w:val="0"/>
            <w:noProof/>
            <w:webHidden/>
          </w:rPr>
          <w:instrText xml:space="preserve"> PAGEREF _Toc532995378 \h </w:instrText>
        </w:r>
        <w:r w:rsidR="00EE697E" w:rsidRPr="00CA3ED5">
          <w:rPr>
            <w:rFonts w:ascii="Verdana" w:hAnsi="Verdana"/>
            <w:i w:val="0"/>
            <w:noProof/>
            <w:webHidden/>
          </w:rPr>
        </w:r>
        <w:r w:rsidR="00EE697E" w:rsidRPr="00CA3ED5">
          <w:rPr>
            <w:rFonts w:ascii="Verdana" w:hAnsi="Verdana"/>
            <w:i w:val="0"/>
            <w:noProof/>
            <w:webHidden/>
          </w:rPr>
          <w:fldChar w:fldCharType="separate"/>
        </w:r>
        <w:r>
          <w:rPr>
            <w:rFonts w:ascii="Verdana" w:hAnsi="Verdana"/>
            <w:i w:val="0"/>
            <w:noProof/>
            <w:webHidden/>
          </w:rPr>
          <w:t>81</w:t>
        </w:r>
        <w:r w:rsidR="00EE697E" w:rsidRPr="00CA3ED5">
          <w:rPr>
            <w:rFonts w:ascii="Verdana" w:hAnsi="Verdana"/>
            <w:i w:val="0"/>
            <w:noProof/>
            <w:webHidden/>
          </w:rPr>
          <w:fldChar w:fldCharType="end"/>
        </w:r>
      </w:hyperlink>
    </w:p>
    <w:p w14:paraId="36ACA5DA" w14:textId="77777777" w:rsidR="00EE697E" w:rsidRPr="00CA3ED5" w:rsidRDefault="00380DD7" w:rsidP="00EE697E">
      <w:pPr>
        <w:pStyle w:val="TOC4"/>
        <w:rPr>
          <w:rFonts w:ascii="Verdana" w:eastAsiaTheme="minorEastAsia" w:hAnsi="Verdana"/>
          <w:noProof/>
          <w:sz w:val="20"/>
          <w:szCs w:val="20"/>
          <w:lang w:val="es-CR" w:eastAsia="es-CR"/>
        </w:rPr>
      </w:pPr>
      <w:hyperlink w:anchor="_Toc532995379" w:history="1">
        <w:r w:rsidR="00EE697E" w:rsidRPr="00CA3ED5">
          <w:rPr>
            <w:rStyle w:val="Hyperlink"/>
            <w:rFonts w:ascii="Verdana" w:hAnsi="Verdana"/>
            <w:noProof/>
            <w:sz w:val="20"/>
            <w:szCs w:val="20"/>
          </w:rPr>
          <w:t>B.1.1.</w:t>
        </w:r>
        <w:r w:rsidR="00EE697E" w:rsidRPr="00CA3ED5">
          <w:rPr>
            <w:rFonts w:ascii="Verdana" w:eastAsiaTheme="minorEastAsia" w:hAnsi="Verdana"/>
            <w:noProof/>
            <w:sz w:val="20"/>
            <w:szCs w:val="20"/>
            <w:lang w:val="es-CR" w:eastAsia="es-CR"/>
          </w:rPr>
          <w:tab/>
        </w:r>
        <w:r w:rsidR="00EE697E" w:rsidRPr="00CA3ED5">
          <w:rPr>
            <w:rStyle w:val="Hyperlink"/>
            <w:rFonts w:ascii="Verdana" w:hAnsi="Verdana"/>
            <w:noProof/>
            <w:sz w:val="20"/>
            <w:szCs w:val="20"/>
          </w:rPr>
          <w:t>Sobre la investigación de la desaparición</w:t>
        </w:r>
        <w:r w:rsidR="00EE697E" w:rsidRPr="00CA3ED5">
          <w:rPr>
            <w:rFonts w:ascii="Verdana" w:hAnsi="Verdana"/>
            <w:noProof/>
            <w:webHidden/>
            <w:sz w:val="20"/>
            <w:szCs w:val="20"/>
          </w:rPr>
          <w:tab/>
        </w:r>
        <w:r w:rsidR="00EE697E" w:rsidRPr="00CA3ED5">
          <w:rPr>
            <w:rFonts w:ascii="Verdana" w:hAnsi="Verdana"/>
            <w:noProof/>
            <w:webHidden/>
            <w:sz w:val="20"/>
            <w:szCs w:val="20"/>
          </w:rPr>
          <w:fldChar w:fldCharType="begin"/>
        </w:r>
        <w:r w:rsidR="00EE697E" w:rsidRPr="00CA3ED5">
          <w:rPr>
            <w:rFonts w:ascii="Verdana" w:hAnsi="Verdana"/>
            <w:noProof/>
            <w:webHidden/>
            <w:sz w:val="20"/>
            <w:szCs w:val="20"/>
          </w:rPr>
          <w:instrText xml:space="preserve"> PAGEREF _Toc532995379 \h </w:instrText>
        </w:r>
        <w:r w:rsidR="00EE697E" w:rsidRPr="00CA3ED5">
          <w:rPr>
            <w:rFonts w:ascii="Verdana" w:hAnsi="Verdana"/>
            <w:noProof/>
            <w:webHidden/>
            <w:sz w:val="20"/>
            <w:szCs w:val="20"/>
          </w:rPr>
        </w:r>
        <w:r w:rsidR="00EE697E" w:rsidRPr="00CA3ED5">
          <w:rPr>
            <w:rFonts w:ascii="Verdana" w:hAnsi="Verdana"/>
            <w:noProof/>
            <w:webHidden/>
            <w:sz w:val="20"/>
            <w:szCs w:val="20"/>
          </w:rPr>
          <w:fldChar w:fldCharType="separate"/>
        </w:r>
        <w:r>
          <w:rPr>
            <w:rFonts w:ascii="Verdana" w:hAnsi="Verdana"/>
            <w:noProof/>
            <w:webHidden/>
            <w:sz w:val="20"/>
            <w:szCs w:val="20"/>
          </w:rPr>
          <w:t>81</w:t>
        </w:r>
        <w:r w:rsidR="00EE697E" w:rsidRPr="00CA3ED5">
          <w:rPr>
            <w:rFonts w:ascii="Verdana" w:hAnsi="Verdana"/>
            <w:noProof/>
            <w:webHidden/>
            <w:sz w:val="20"/>
            <w:szCs w:val="20"/>
          </w:rPr>
          <w:fldChar w:fldCharType="end"/>
        </w:r>
      </w:hyperlink>
    </w:p>
    <w:p w14:paraId="18636DDF" w14:textId="3707F23C" w:rsidR="00EE697E" w:rsidRPr="00CA3ED5" w:rsidRDefault="00380DD7" w:rsidP="00EE697E">
      <w:pPr>
        <w:pStyle w:val="TOC5"/>
        <w:tabs>
          <w:tab w:val="left" w:pos="1320"/>
          <w:tab w:val="right" w:leader="dot" w:pos="9792"/>
        </w:tabs>
        <w:spacing w:line="240" w:lineRule="auto"/>
        <w:jc w:val="both"/>
        <w:rPr>
          <w:rFonts w:ascii="Verdana" w:eastAsiaTheme="minorEastAsia" w:hAnsi="Verdana"/>
          <w:noProof/>
          <w:sz w:val="20"/>
          <w:szCs w:val="20"/>
          <w:lang w:val="es-CR" w:eastAsia="es-CR"/>
        </w:rPr>
      </w:pPr>
      <w:hyperlink w:anchor="_Toc532995380" w:history="1">
        <w:r w:rsidR="00EE697E" w:rsidRPr="00CA3ED5">
          <w:rPr>
            <w:rStyle w:val="Hyperlink"/>
            <w:rFonts w:ascii="Verdana" w:hAnsi="Verdana"/>
            <w:noProof/>
            <w:sz w:val="20"/>
            <w:szCs w:val="20"/>
          </w:rPr>
          <w:t>(i)</w:t>
        </w:r>
        <w:r w:rsidR="00EE697E" w:rsidRPr="00CA3ED5">
          <w:rPr>
            <w:rFonts w:ascii="Verdana" w:eastAsiaTheme="minorEastAsia" w:hAnsi="Verdana"/>
            <w:noProof/>
            <w:sz w:val="20"/>
            <w:szCs w:val="20"/>
            <w:lang w:val="es-CR" w:eastAsia="es-CR"/>
          </w:rPr>
          <w:tab/>
        </w:r>
        <w:r w:rsidR="00D04D10" w:rsidRPr="00CA3ED5">
          <w:rPr>
            <w:rFonts w:ascii="Verdana" w:eastAsiaTheme="minorEastAsia" w:hAnsi="Verdana"/>
            <w:noProof/>
            <w:sz w:val="20"/>
            <w:szCs w:val="20"/>
            <w:lang w:val="es-CR" w:eastAsia="es-CR"/>
          </w:rPr>
          <w:t xml:space="preserve"> </w:t>
        </w:r>
        <w:r w:rsidR="00EE697E" w:rsidRPr="00CA3ED5">
          <w:rPr>
            <w:rStyle w:val="Hyperlink"/>
            <w:rFonts w:ascii="Verdana" w:hAnsi="Verdana"/>
            <w:noProof/>
            <w:sz w:val="20"/>
            <w:szCs w:val="20"/>
            <w:lang w:val="es-CR"/>
          </w:rPr>
          <w:t>Actuación inmediata (en los primeros momentos)</w:t>
        </w:r>
        <w:r w:rsidR="00EE697E" w:rsidRPr="00CA3ED5">
          <w:rPr>
            <w:rFonts w:ascii="Verdana" w:hAnsi="Verdana"/>
            <w:noProof/>
            <w:webHidden/>
            <w:sz w:val="20"/>
            <w:szCs w:val="20"/>
          </w:rPr>
          <w:tab/>
        </w:r>
        <w:r w:rsidR="00EE697E" w:rsidRPr="00CA3ED5">
          <w:rPr>
            <w:rFonts w:ascii="Verdana" w:hAnsi="Verdana"/>
            <w:noProof/>
            <w:webHidden/>
            <w:sz w:val="20"/>
            <w:szCs w:val="20"/>
          </w:rPr>
          <w:fldChar w:fldCharType="begin"/>
        </w:r>
        <w:r w:rsidR="00EE697E" w:rsidRPr="00CA3ED5">
          <w:rPr>
            <w:rFonts w:ascii="Verdana" w:hAnsi="Verdana"/>
            <w:noProof/>
            <w:webHidden/>
            <w:sz w:val="20"/>
            <w:szCs w:val="20"/>
          </w:rPr>
          <w:instrText xml:space="preserve"> PAGEREF _Toc532995380 \h </w:instrText>
        </w:r>
        <w:r w:rsidR="00EE697E" w:rsidRPr="00CA3ED5">
          <w:rPr>
            <w:rFonts w:ascii="Verdana" w:hAnsi="Verdana"/>
            <w:noProof/>
            <w:webHidden/>
            <w:sz w:val="20"/>
            <w:szCs w:val="20"/>
          </w:rPr>
        </w:r>
        <w:r w:rsidR="00EE697E" w:rsidRPr="00CA3ED5">
          <w:rPr>
            <w:rFonts w:ascii="Verdana" w:hAnsi="Verdana"/>
            <w:noProof/>
            <w:webHidden/>
            <w:sz w:val="20"/>
            <w:szCs w:val="20"/>
          </w:rPr>
          <w:fldChar w:fldCharType="separate"/>
        </w:r>
        <w:r>
          <w:rPr>
            <w:rFonts w:ascii="Verdana" w:hAnsi="Verdana"/>
            <w:noProof/>
            <w:webHidden/>
            <w:sz w:val="20"/>
            <w:szCs w:val="20"/>
          </w:rPr>
          <w:t>81</w:t>
        </w:r>
        <w:r w:rsidR="00EE697E" w:rsidRPr="00CA3ED5">
          <w:rPr>
            <w:rFonts w:ascii="Verdana" w:hAnsi="Verdana"/>
            <w:noProof/>
            <w:webHidden/>
            <w:sz w:val="20"/>
            <w:szCs w:val="20"/>
          </w:rPr>
          <w:fldChar w:fldCharType="end"/>
        </w:r>
      </w:hyperlink>
    </w:p>
    <w:p w14:paraId="397AB70A" w14:textId="7A520147" w:rsidR="00EE697E" w:rsidRPr="00CA3ED5" w:rsidRDefault="00380DD7" w:rsidP="00EE697E">
      <w:pPr>
        <w:pStyle w:val="TOC5"/>
        <w:tabs>
          <w:tab w:val="left" w:pos="1320"/>
          <w:tab w:val="right" w:leader="dot" w:pos="9792"/>
        </w:tabs>
        <w:spacing w:line="240" w:lineRule="auto"/>
        <w:jc w:val="both"/>
        <w:rPr>
          <w:rFonts w:ascii="Verdana" w:eastAsiaTheme="minorEastAsia" w:hAnsi="Verdana"/>
          <w:noProof/>
          <w:sz w:val="20"/>
          <w:szCs w:val="20"/>
          <w:lang w:val="es-CR" w:eastAsia="es-CR"/>
        </w:rPr>
      </w:pPr>
      <w:hyperlink w:anchor="_Toc532995381" w:history="1">
        <w:r w:rsidR="00EE697E" w:rsidRPr="00CA3ED5">
          <w:rPr>
            <w:rStyle w:val="Hyperlink"/>
            <w:rFonts w:ascii="Verdana" w:hAnsi="Verdana"/>
            <w:noProof/>
            <w:sz w:val="20"/>
            <w:szCs w:val="20"/>
            <w:lang w:val="es-CR"/>
          </w:rPr>
          <w:t>(ii)</w:t>
        </w:r>
        <w:r w:rsidR="00D04D10" w:rsidRPr="00CA3ED5">
          <w:rPr>
            <w:rFonts w:ascii="Verdana" w:eastAsiaTheme="minorEastAsia" w:hAnsi="Verdana"/>
            <w:noProof/>
            <w:sz w:val="20"/>
            <w:szCs w:val="20"/>
            <w:lang w:val="es-CR" w:eastAsia="es-CR"/>
          </w:rPr>
          <w:t xml:space="preserve">   </w:t>
        </w:r>
        <w:r w:rsidR="00EE697E" w:rsidRPr="00CA3ED5">
          <w:rPr>
            <w:rStyle w:val="Hyperlink"/>
            <w:rFonts w:ascii="Verdana" w:hAnsi="Verdana"/>
            <w:noProof/>
            <w:sz w:val="20"/>
            <w:szCs w:val="20"/>
            <w:lang w:val="es-CR"/>
          </w:rPr>
          <w:t>Sobre la supuesta llamada de Nitza Paola Alvarado Espinoza</w:t>
        </w:r>
        <w:r w:rsidR="00EE697E" w:rsidRPr="00CA3ED5">
          <w:rPr>
            <w:rFonts w:ascii="Verdana" w:hAnsi="Verdana"/>
            <w:noProof/>
            <w:webHidden/>
            <w:sz w:val="20"/>
            <w:szCs w:val="20"/>
          </w:rPr>
          <w:tab/>
        </w:r>
        <w:r w:rsidR="00EE697E" w:rsidRPr="00CA3ED5">
          <w:rPr>
            <w:rFonts w:ascii="Verdana" w:hAnsi="Verdana"/>
            <w:noProof/>
            <w:webHidden/>
            <w:sz w:val="20"/>
            <w:szCs w:val="20"/>
          </w:rPr>
          <w:fldChar w:fldCharType="begin"/>
        </w:r>
        <w:r w:rsidR="00EE697E" w:rsidRPr="00CA3ED5">
          <w:rPr>
            <w:rFonts w:ascii="Verdana" w:hAnsi="Verdana"/>
            <w:noProof/>
            <w:webHidden/>
            <w:sz w:val="20"/>
            <w:szCs w:val="20"/>
          </w:rPr>
          <w:instrText xml:space="preserve"> PAGEREF _Toc532995381 \h </w:instrText>
        </w:r>
        <w:r w:rsidR="00EE697E" w:rsidRPr="00CA3ED5">
          <w:rPr>
            <w:rFonts w:ascii="Verdana" w:hAnsi="Verdana"/>
            <w:noProof/>
            <w:webHidden/>
            <w:sz w:val="20"/>
            <w:szCs w:val="20"/>
          </w:rPr>
        </w:r>
        <w:r w:rsidR="00EE697E" w:rsidRPr="00CA3ED5">
          <w:rPr>
            <w:rFonts w:ascii="Verdana" w:hAnsi="Verdana"/>
            <w:noProof/>
            <w:webHidden/>
            <w:sz w:val="20"/>
            <w:szCs w:val="20"/>
          </w:rPr>
          <w:fldChar w:fldCharType="separate"/>
        </w:r>
        <w:r>
          <w:rPr>
            <w:rFonts w:ascii="Verdana" w:hAnsi="Verdana"/>
            <w:noProof/>
            <w:webHidden/>
            <w:sz w:val="20"/>
            <w:szCs w:val="20"/>
          </w:rPr>
          <w:t>83</w:t>
        </w:r>
        <w:r w:rsidR="00EE697E" w:rsidRPr="00CA3ED5">
          <w:rPr>
            <w:rFonts w:ascii="Verdana" w:hAnsi="Verdana"/>
            <w:noProof/>
            <w:webHidden/>
            <w:sz w:val="20"/>
            <w:szCs w:val="20"/>
          </w:rPr>
          <w:fldChar w:fldCharType="end"/>
        </w:r>
      </w:hyperlink>
    </w:p>
    <w:p w14:paraId="33CCC8DC" w14:textId="10D6AFC3" w:rsidR="00EE697E" w:rsidRPr="00CA3ED5" w:rsidRDefault="00380DD7" w:rsidP="00EE697E">
      <w:pPr>
        <w:pStyle w:val="TOC5"/>
        <w:tabs>
          <w:tab w:val="left" w:pos="1540"/>
          <w:tab w:val="right" w:leader="dot" w:pos="9792"/>
        </w:tabs>
        <w:spacing w:line="240" w:lineRule="auto"/>
        <w:jc w:val="both"/>
        <w:rPr>
          <w:rFonts w:ascii="Verdana" w:eastAsiaTheme="minorEastAsia" w:hAnsi="Verdana"/>
          <w:noProof/>
          <w:sz w:val="20"/>
          <w:szCs w:val="20"/>
          <w:lang w:val="es-CR" w:eastAsia="es-CR"/>
        </w:rPr>
      </w:pPr>
      <w:hyperlink w:anchor="_Toc532995382" w:history="1">
        <w:r w:rsidR="00EE697E" w:rsidRPr="00CA3ED5">
          <w:rPr>
            <w:rStyle w:val="Hyperlink"/>
            <w:rFonts w:ascii="Verdana" w:hAnsi="Verdana"/>
            <w:noProof/>
            <w:sz w:val="20"/>
            <w:szCs w:val="20"/>
            <w:lang w:val="es-CR"/>
          </w:rPr>
          <w:t>(iii)</w:t>
        </w:r>
        <w:r w:rsidR="00D04D10" w:rsidRPr="00CA3ED5">
          <w:rPr>
            <w:rFonts w:ascii="Verdana" w:eastAsiaTheme="minorEastAsia" w:hAnsi="Verdana"/>
            <w:noProof/>
            <w:sz w:val="20"/>
            <w:szCs w:val="20"/>
            <w:lang w:val="es-CR" w:eastAsia="es-CR"/>
          </w:rPr>
          <w:t xml:space="preserve">  </w:t>
        </w:r>
        <w:r w:rsidR="00EE697E" w:rsidRPr="00CA3ED5">
          <w:rPr>
            <w:rStyle w:val="Hyperlink"/>
            <w:rFonts w:ascii="Verdana" w:hAnsi="Verdana"/>
            <w:noProof/>
            <w:sz w:val="20"/>
            <w:szCs w:val="20"/>
            <w:lang w:val="es-CR"/>
          </w:rPr>
          <w:t>Sobre la investigación por la jurisdicción militar</w:t>
        </w:r>
        <w:r w:rsidR="00EE697E" w:rsidRPr="00CA3ED5">
          <w:rPr>
            <w:rFonts w:ascii="Verdana" w:hAnsi="Verdana"/>
            <w:noProof/>
            <w:webHidden/>
            <w:sz w:val="20"/>
            <w:szCs w:val="20"/>
          </w:rPr>
          <w:tab/>
        </w:r>
        <w:r w:rsidR="00EE697E" w:rsidRPr="00CA3ED5">
          <w:rPr>
            <w:rFonts w:ascii="Verdana" w:hAnsi="Verdana"/>
            <w:noProof/>
            <w:webHidden/>
            <w:sz w:val="20"/>
            <w:szCs w:val="20"/>
          </w:rPr>
          <w:fldChar w:fldCharType="begin"/>
        </w:r>
        <w:r w:rsidR="00EE697E" w:rsidRPr="00CA3ED5">
          <w:rPr>
            <w:rFonts w:ascii="Verdana" w:hAnsi="Verdana"/>
            <w:noProof/>
            <w:webHidden/>
            <w:sz w:val="20"/>
            <w:szCs w:val="20"/>
          </w:rPr>
          <w:instrText xml:space="preserve"> PAGEREF _Toc532995382 \h </w:instrText>
        </w:r>
        <w:r w:rsidR="00EE697E" w:rsidRPr="00CA3ED5">
          <w:rPr>
            <w:rFonts w:ascii="Verdana" w:hAnsi="Verdana"/>
            <w:noProof/>
            <w:webHidden/>
            <w:sz w:val="20"/>
            <w:szCs w:val="20"/>
          </w:rPr>
        </w:r>
        <w:r w:rsidR="00EE697E" w:rsidRPr="00CA3ED5">
          <w:rPr>
            <w:rFonts w:ascii="Verdana" w:hAnsi="Verdana"/>
            <w:noProof/>
            <w:webHidden/>
            <w:sz w:val="20"/>
            <w:szCs w:val="20"/>
          </w:rPr>
          <w:fldChar w:fldCharType="separate"/>
        </w:r>
        <w:r>
          <w:rPr>
            <w:rFonts w:ascii="Verdana" w:hAnsi="Verdana"/>
            <w:noProof/>
            <w:webHidden/>
            <w:sz w:val="20"/>
            <w:szCs w:val="20"/>
          </w:rPr>
          <w:t>84</w:t>
        </w:r>
        <w:r w:rsidR="00EE697E" w:rsidRPr="00CA3ED5">
          <w:rPr>
            <w:rFonts w:ascii="Verdana" w:hAnsi="Verdana"/>
            <w:noProof/>
            <w:webHidden/>
            <w:sz w:val="20"/>
            <w:szCs w:val="20"/>
          </w:rPr>
          <w:fldChar w:fldCharType="end"/>
        </w:r>
      </w:hyperlink>
    </w:p>
    <w:p w14:paraId="52426BAC" w14:textId="2E6E0D14" w:rsidR="00EE697E" w:rsidRPr="00CA3ED5" w:rsidRDefault="00380DD7" w:rsidP="00EE697E">
      <w:pPr>
        <w:pStyle w:val="TOC5"/>
        <w:tabs>
          <w:tab w:val="left" w:pos="1540"/>
          <w:tab w:val="right" w:leader="dot" w:pos="9792"/>
        </w:tabs>
        <w:spacing w:line="240" w:lineRule="auto"/>
        <w:jc w:val="both"/>
        <w:rPr>
          <w:rFonts w:ascii="Verdana" w:eastAsiaTheme="minorEastAsia" w:hAnsi="Verdana"/>
          <w:noProof/>
          <w:sz w:val="20"/>
          <w:szCs w:val="20"/>
          <w:lang w:val="es-CR" w:eastAsia="es-CR"/>
        </w:rPr>
      </w:pPr>
      <w:hyperlink w:anchor="_Toc532995383" w:history="1">
        <w:r w:rsidR="00EE697E" w:rsidRPr="00CA3ED5">
          <w:rPr>
            <w:rStyle w:val="Hyperlink"/>
            <w:rFonts w:ascii="Verdana" w:hAnsi="Verdana"/>
            <w:noProof/>
            <w:sz w:val="20"/>
            <w:szCs w:val="20"/>
            <w:lang w:val="es-CR"/>
          </w:rPr>
          <w:t>(iv)</w:t>
        </w:r>
        <w:r w:rsidR="00D04D10" w:rsidRPr="00CA3ED5">
          <w:rPr>
            <w:rFonts w:ascii="Verdana" w:eastAsiaTheme="minorEastAsia" w:hAnsi="Verdana"/>
            <w:noProof/>
            <w:sz w:val="20"/>
            <w:szCs w:val="20"/>
            <w:lang w:val="es-CR" w:eastAsia="es-CR"/>
          </w:rPr>
          <w:t xml:space="preserve">  </w:t>
        </w:r>
        <w:r w:rsidR="00EE697E" w:rsidRPr="00CA3ED5">
          <w:rPr>
            <w:rStyle w:val="Hyperlink"/>
            <w:rFonts w:ascii="Verdana" w:hAnsi="Verdana"/>
            <w:noProof/>
            <w:sz w:val="20"/>
            <w:szCs w:val="20"/>
            <w:lang w:val="es-CR"/>
          </w:rPr>
          <w:t>Sobre las investigaciones posteriores</w:t>
        </w:r>
        <w:r w:rsidR="00EE697E" w:rsidRPr="00CA3ED5">
          <w:rPr>
            <w:rFonts w:ascii="Verdana" w:hAnsi="Verdana"/>
            <w:noProof/>
            <w:webHidden/>
            <w:sz w:val="20"/>
            <w:szCs w:val="20"/>
          </w:rPr>
          <w:tab/>
        </w:r>
        <w:r w:rsidR="00EE697E" w:rsidRPr="00CA3ED5">
          <w:rPr>
            <w:rFonts w:ascii="Verdana" w:hAnsi="Verdana"/>
            <w:noProof/>
            <w:webHidden/>
            <w:sz w:val="20"/>
            <w:szCs w:val="20"/>
          </w:rPr>
          <w:fldChar w:fldCharType="begin"/>
        </w:r>
        <w:r w:rsidR="00EE697E" w:rsidRPr="00CA3ED5">
          <w:rPr>
            <w:rFonts w:ascii="Verdana" w:hAnsi="Verdana"/>
            <w:noProof/>
            <w:webHidden/>
            <w:sz w:val="20"/>
            <w:szCs w:val="20"/>
          </w:rPr>
          <w:instrText xml:space="preserve"> PAGEREF _Toc532995383 \h </w:instrText>
        </w:r>
        <w:r w:rsidR="00EE697E" w:rsidRPr="00CA3ED5">
          <w:rPr>
            <w:rFonts w:ascii="Verdana" w:hAnsi="Verdana"/>
            <w:noProof/>
            <w:webHidden/>
            <w:sz w:val="20"/>
            <w:szCs w:val="20"/>
          </w:rPr>
        </w:r>
        <w:r w:rsidR="00EE697E" w:rsidRPr="00CA3ED5">
          <w:rPr>
            <w:rFonts w:ascii="Verdana" w:hAnsi="Verdana"/>
            <w:noProof/>
            <w:webHidden/>
            <w:sz w:val="20"/>
            <w:szCs w:val="20"/>
          </w:rPr>
          <w:fldChar w:fldCharType="separate"/>
        </w:r>
        <w:r>
          <w:rPr>
            <w:rFonts w:ascii="Verdana" w:hAnsi="Verdana"/>
            <w:noProof/>
            <w:webHidden/>
            <w:sz w:val="20"/>
            <w:szCs w:val="20"/>
          </w:rPr>
          <w:t>86</w:t>
        </w:r>
        <w:r w:rsidR="00EE697E" w:rsidRPr="00CA3ED5">
          <w:rPr>
            <w:rFonts w:ascii="Verdana" w:hAnsi="Verdana"/>
            <w:noProof/>
            <w:webHidden/>
            <w:sz w:val="20"/>
            <w:szCs w:val="20"/>
          </w:rPr>
          <w:fldChar w:fldCharType="end"/>
        </w:r>
      </w:hyperlink>
    </w:p>
    <w:p w14:paraId="592997D3" w14:textId="4EF88537" w:rsidR="00EE697E" w:rsidRPr="00CA3ED5" w:rsidRDefault="00380DD7" w:rsidP="00EE697E">
      <w:pPr>
        <w:pStyle w:val="TOC5"/>
        <w:tabs>
          <w:tab w:val="left" w:pos="1320"/>
          <w:tab w:val="right" w:leader="dot" w:pos="9792"/>
        </w:tabs>
        <w:spacing w:line="240" w:lineRule="auto"/>
        <w:jc w:val="both"/>
        <w:rPr>
          <w:rFonts w:ascii="Verdana" w:eastAsiaTheme="minorEastAsia" w:hAnsi="Verdana"/>
          <w:noProof/>
          <w:sz w:val="20"/>
          <w:szCs w:val="20"/>
          <w:lang w:val="es-CR" w:eastAsia="es-CR"/>
        </w:rPr>
      </w:pPr>
      <w:hyperlink w:anchor="_Toc532995384" w:history="1">
        <w:r w:rsidR="00EE697E" w:rsidRPr="00CA3ED5">
          <w:rPr>
            <w:rStyle w:val="Hyperlink"/>
            <w:rFonts w:ascii="Verdana" w:hAnsi="Verdana"/>
            <w:noProof/>
            <w:sz w:val="20"/>
            <w:szCs w:val="20"/>
            <w:lang w:val="es-CR"/>
          </w:rPr>
          <w:t>(v)</w:t>
        </w:r>
        <w:r w:rsidR="00EE697E" w:rsidRPr="00CA3ED5">
          <w:rPr>
            <w:rFonts w:ascii="Verdana" w:eastAsiaTheme="minorEastAsia" w:hAnsi="Verdana"/>
            <w:noProof/>
            <w:sz w:val="20"/>
            <w:szCs w:val="20"/>
            <w:lang w:val="es-CR" w:eastAsia="es-CR"/>
          </w:rPr>
          <w:tab/>
        </w:r>
        <w:r w:rsidR="00D04D10" w:rsidRPr="00CA3ED5">
          <w:rPr>
            <w:rFonts w:ascii="Verdana" w:eastAsiaTheme="minorEastAsia" w:hAnsi="Verdana"/>
            <w:noProof/>
            <w:sz w:val="20"/>
            <w:szCs w:val="20"/>
            <w:lang w:val="es-CR" w:eastAsia="es-CR"/>
          </w:rPr>
          <w:t xml:space="preserve"> </w:t>
        </w:r>
        <w:r w:rsidR="00EE697E" w:rsidRPr="00CA3ED5">
          <w:rPr>
            <w:rStyle w:val="Hyperlink"/>
            <w:rFonts w:ascii="Verdana" w:hAnsi="Verdana"/>
            <w:noProof/>
            <w:sz w:val="20"/>
            <w:szCs w:val="20"/>
            <w:lang w:val="es-CR"/>
          </w:rPr>
          <w:t>Respecto del artículo 7 de la CPESVM</w:t>
        </w:r>
        <w:r w:rsidR="00EE697E" w:rsidRPr="00CA3ED5">
          <w:rPr>
            <w:rFonts w:ascii="Verdana" w:hAnsi="Verdana"/>
            <w:noProof/>
            <w:webHidden/>
            <w:sz w:val="20"/>
            <w:szCs w:val="20"/>
          </w:rPr>
          <w:tab/>
        </w:r>
        <w:r w:rsidR="00EE697E" w:rsidRPr="00CA3ED5">
          <w:rPr>
            <w:rFonts w:ascii="Verdana" w:hAnsi="Verdana"/>
            <w:noProof/>
            <w:webHidden/>
            <w:sz w:val="20"/>
            <w:szCs w:val="20"/>
          </w:rPr>
          <w:fldChar w:fldCharType="begin"/>
        </w:r>
        <w:r w:rsidR="00EE697E" w:rsidRPr="00CA3ED5">
          <w:rPr>
            <w:rFonts w:ascii="Verdana" w:hAnsi="Verdana"/>
            <w:noProof/>
            <w:webHidden/>
            <w:sz w:val="20"/>
            <w:szCs w:val="20"/>
          </w:rPr>
          <w:instrText xml:space="preserve"> PAGEREF _Toc532995384 \h </w:instrText>
        </w:r>
        <w:r w:rsidR="00EE697E" w:rsidRPr="00CA3ED5">
          <w:rPr>
            <w:rFonts w:ascii="Verdana" w:hAnsi="Verdana"/>
            <w:noProof/>
            <w:webHidden/>
            <w:sz w:val="20"/>
            <w:szCs w:val="20"/>
          </w:rPr>
        </w:r>
        <w:r w:rsidR="00EE697E" w:rsidRPr="00CA3ED5">
          <w:rPr>
            <w:rFonts w:ascii="Verdana" w:hAnsi="Verdana"/>
            <w:noProof/>
            <w:webHidden/>
            <w:sz w:val="20"/>
            <w:szCs w:val="20"/>
          </w:rPr>
          <w:fldChar w:fldCharType="separate"/>
        </w:r>
        <w:r>
          <w:rPr>
            <w:rFonts w:ascii="Verdana" w:hAnsi="Verdana"/>
            <w:noProof/>
            <w:webHidden/>
            <w:sz w:val="20"/>
            <w:szCs w:val="20"/>
          </w:rPr>
          <w:t>88</w:t>
        </w:r>
        <w:r w:rsidR="00EE697E" w:rsidRPr="00CA3ED5">
          <w:rPr>
            <w:rFonts w:ascii="Verdana" w:hAnsi="Verdana"/>
            <w:noProof/>
            <w:webHidden/>
            <w:sz w:val="20"/>
            <w:szCs w:val="20"/>
          </w:rPr>
          <w:fldChar w:fldCharType="end"/>
        </w:r>
      </w:hyperlink>
    </w:p>
    <w:p w14:paraId="2BB25A89" w14:textId="4CB30DE1" w:rsidR="00EE697E" w:rsidRPr="00CA3ED5" w:rsidRDefault="00380DD7" w:rsidP="00EE697E">
      <w:pPr>
        <w:pStyle w:val="TOC5"/>
        <w:tabs>
          <w:tab w:val="left" w:pos="1540"/>
          <w:tab w:val="right" w:leader="dot" w:pos="9792"/>
        </w:tabs>
        <w:spacing w:line="240" w:lineRule="auto"/>
        <w:jc w:val="both"/>
        <w:rPr>
          <w:rFonts w:ascii="Verdana" w:eastAsiaTheme="minorEastAsia" w:hAnsi="Verdana"/>
          <w:noProof/>
          <w:sz w:val="20"/>
          <w:szCs w:val="20"/>
          <w:lang w:val="es-CR" w:eastAsia="es-CR"/>
        </w:rPr>
      </w:pPr>
      <w:hyperlink w:anchor="_Toc532995385" w:history="1">
        <w:r w:rsidR="00EE697E" w:rsidRPr="00CA3ED5">
          <w:rPr>
            <w:rStyle w:val="Hyperlink"/>
            <w:rFonts w:ascii="Verdana" w:hAnsi="Verdana"/>
            <w:noProof/>
            <w:sz w:val="20"/>
            <w:szCs w:val="20"/>
            <w:lang w:val="es-CR"/>
          </w:rPr>
          <w:t>(vi)</w:t>
        </w:r>
        <w:r w:rsidR="00D04D10" w:rsidRPr="00CA3ED5">
          <w:rPr>
            <w:rFonts w:ascii="Verdana" w:eastAsiaTheme="minorEastAsia" w:hAnsi="Verdana"/>
            <w:noProof/>
            <w:sz w:val="20"/>
            <w:szCs w:val="20"/>
            <w:lang w:val="es-CR" w:eastAsia="es-CR"/>
          </w:rPr>
          <w:t xml:space="preserve">  </w:t>
        </w:r>
        <w:r w:rsidR="00EE697E" w:rsidRPr="00CA3ED5">
          <w:rPr>
            <w:rStyle w:val="Hyperlink"/>
            <w:rFonts w:ascii="Verdana" w:hAnsi="Verdana"/>
            <w:noProof/>
            <w:sz w:val="20"/>
            <w:szCs w:val="20"/>
            <w:lang w:val="es-CR"/>
          </w:rPr>
          <w:t>Sobre el plazo razonable</w:t>
        </w:r>
        <w:r w:rsidR="00EE697E" w:rsidRPr="00CA3ED5">
          <w:rPr>
            <w:rFonts w:ascii="Verdana" w:hAnsi="Verdana"/>
            <w:noProof/>
            <w:webHidden/>
            <w:sz w:val="20"/>
            <w:szCs w:val="20"/>
          </w:rPr>
          <w:tab/>
        </w:r>
        <w:r w:rsidR="00EE697E" w:rsidRPr="00CA3ED5">
          <w:rPr>
            <w:rFonts w:ascii="Verdana" w:hAnsi="Verdana"/>
            <w:noProof/>
            <w:webHidden/>
            <w:sz w:val="20"/>
            <w:szCs w:val="20"/>
          </w:rPr>
          <w:fldChar w:fldCharType="begin"/>
        </w:r>
        <w:r w:rsidR="00EE697E" w:rsidRPr="00CA3ED5">
          <w:rPr>
            <w:rFonts w:ascii="Verdana" w:hAnsi="Verdana"/>
            <w:noProof/>
            <w:webHidden/>
            <w:sz w:val="20"/>
            <w:szCs w:val="20"/>
          </w:rPr>
          <w:instrText xml:space="preserve"> PAGEREF _Toc532995385 \h </w:instrText>
        </w:r>
        <w:r w:rsidR="00EE697E" w:rsidRPr="00CA3ED5">
          <w:rPr>
            <w:rFonts w:ascii="Verdana" w:hAnsi="Verdana"/>
            <w:noProof/>
            <w:webHidden/>
            <w:sz w:val="20"/>
            <w:szCs w:val="20"/>
          </w:rPr>
        </w:r>
        <w:r w:rsidR="00EE697E" w:rsidRPr="00CA3ED5">
          <w:rPr>
            <w:rFonts w:ascii="Verdana" w:hAnsi="Verdana"/>
            <w:noProof/>
            <w:webHidden/>
            <w:sz w:val="20"/>
            <w:szCs w:val="20"/>
          </w:rPr>
          <w:fldChar w:fldCharType="separate"/>
        </w:r>
        <w:r>
          <w:rPr>
            <w:rFonts w:ascii="Verdana" w:hAnsi="Verdana"/>
            <w:noProof/>
            <w:webHidden/>
            <w:sz w:val="20"/>
            <w:szCs w:val="20"/>
          </w:rPr>
          <w:t>88</w:t>
        </w:r>
        <w:r w:rsidR="00EE697E" w:rsidRPr="00CA3ED5">
          <w:rPr>
            <w:rFonts w:ascii="Verdana" w:hAnsi="Verdana"/>
            <w:noProof/>
            <w:webHidden/>
            <w:sz w:val="20"/>
            <w:szCs w:val="20"/>
          </w:rPr>
          <w:fldChar w:fldCharType="end"/>
        </w:r>
      </w:hyperlink>
    </w:p>
    <w:p w14:paraId="74480E49" w14:textId="77777777" w:rsidR="00EE697E" w:rsidRPr="00CA3ED5" w:rsidRDefault="00380DD7" w:rsidP="00EE697E">
      <w:pPr>
        <w:pStyle w:val="TOC4"/>
        <w:rPr>
          <w:rFonts w:ascii="Verdana" w:eastAsiaTheme="minorEastAsia" w:hAnsi="Verdana"/>
          <w:noProof/>
          <w:sz w:val="20"/>
          <w:szCs w:val="20"/>
          <w:lang w:val="es-CR" w:eastAsia="es-CR"/>
        </w:rPr>
      </w:pPr>
      <w:hyperlink w:anchor="_Toc532995386" w:history="1">
        <w:r w:rsidR="00EE697E" w:rsidRPr="00CA3ED5">
          <w:rPr>
            <w:rStyle w:val="Hyperlink"/>
            <w:rFonts w:ascii="Verdana" w:hAnsi="Verdana"/>
            <w:noProof/>
            <w:sz w:val="20"/>
            <w:szCs w:val="20"/>
          </w:rPr>
          <w:t>B.1.2.</w:t>
        </w:r>
        <w:r w:rsidR="00EE697E" w:rsidRPr="00CA3ED5">
          <w:rPr>
            <w:rFonts w:ascii="Verdana" w:eastAsiaTheme="minorEastAsia" w:hAnsi="Verdana"/>
            <w:noProof/>
            <w:sz w:val="20"/>
            <w:szCs w:val="20"/>
            <w:lang w:val="es-CR" w:eastAsia="es-CR"/>
          </w:rPr>
          <w:tab/>
        </w:r>
        <w:r w:rsidR="00EE697E" w:rsidRPr="00CA3ED5">
          <w:rPr>
            <w:rStyle w:val="Hyperlink"/>
            <w:rFonts w:ascii="Verdana" w:hAnsi="Verdana"/>
            <w:noProof/>
            <w:sz w:val="20"/>
            <w:szCs w:val="20"/>
          </w:rPr>
          <w:t>Sobre la investigación de las amenazas y hostigamiento</w:t>
        </w:r>
        <w:r w:rsidR="00EE697E" w:rsidRPr="00CA3ED5">
          <w:rPr>
            <w:rFonts w:ascii="Verdana" w:hAnsi="Verdana"/>
            <w:noProof/>
            <w:webHidden/>
            <w:sz w:val="20"/>
            <w:szCs w:val="20"/>
          </w:rPr>
          <w:tab/>
        </w:r>
        <w:r w:rsidR="00EE697E" w:rsidRPr="00CA3ED5">
          <w:rPr>
            <w:rFonts w:ascii="Verdana" w:hAnsi="Verdana"/>
            <w:noProof/>
            <w:webHidden/>
            <w:sz w:val="20"/>
            <w:szCs w:val="20"/>
          </w:rPr>
          <w:fldChar w:fldCharType="begin"/>
        </w:r>
        <w:r w:rsidR="00EE697E" w:rsidRPr="00CA3ED5">
          <w:rPr>
            <w:rFonts w:ascii="Verdana" w:hAnsi="Verdana"/>
            <w:noProof/>
            <w:webHidden/>
            <w:sz w:val="20"/>
            <w:szCs w:val="20"/>
          </w:rPr>
          <w:instrText xml:space="preserve"> PAGEREF _Toc532995386 \h </w:instrText>
        </w:r>
        <w:r w:rsidR="00EE697E" w:rsidRPr="00CA3ED5">
          <w:rPr>
            <w:rFonts w:ascii="Verdana" w:hAnsi="Verdana"/>
            <w:noProof/>
            <w:webHidden/>
            <w:sz w:val="20"/>
            <w:szCs w:val="20"/>
          </w:rPr>
        </w:r>
        <w:r w:rsidR="00EE697E" w:rsidRPr="00CA3ED5">
          <w:rPr>
            <w:rFonts w:ascii="Verdana" w:hAnsi="Verdana"/>
            <w:noProof/>
            <w:webHidden/>
            <w:sz w:val="20"/>
            <w:szCs w:val="20"/>
          </w:rPr>
          <w:fldChar w:fldCharType="separate"/>
        </w:r>
        <w:r>
          <w:rPr>
            <w:rFonts w:ascii="Verdana" w:hAnsi="Verdana"/>
            <w:noProof/>
            <w:webHidden/>
            <w:sz w:val="20"/>
            <w:szCs w:val="20"/>
          </w:rPr>
          <w:t>89</w:t>
        </w:r>
        <w:r w:rsidR="00EE697E" w:rsidRPr="00CA3ED5">
          <w:rPr>
            <w:rFonts w:ascii="Verdana" w:hAnsi="Verdana"/>
            <w:noProof/>
            <w:webHidden/>
            <w:sz w:val="20"/>
            <w:szCs w:val="20"/>
          </w:rPr>
          <w:fldChar w:fldCharType="end"/>
        </w:r>
      </w:hyperlink>
    </w:p>
    <w:p w14:paraId="0B590288" w14:textId="6FC4F683" w:rsidR="00EE697E" w:rsidRPr="00CA3ED5" w:rsidRDefault="00380DD7" w:rsidP="00EE697E">
      <w:pPr>
        <w:pStyle w:val="TOC3"/>
        <w:tabs>
          <w:tab w:val="left" w:pos="1100"/>
          <w:tab w:val="right" w:leader="dot" w:pos="9792"/>
        </w:tabs>
        <w:spacing w:line="240" w:lineRule="auto"/>
        <w:jc w:val="both"/>
        <w:rPr>
          <w:rFonts w:ascii="Verdana" w:eastAsiaTheme="minorEastAsia" w:hAnsi="Verdana"/>
          <w:i w:val="0"/>
          <w:iCs w:val="0"/>
          <w:noProof/>
          <w:lang w:val="es-CR" w:eastAsia="es-CR"/>
        </w:rPr>
      </w:pPr>
      <w:hyperlink w:anchor="_Toc532995387" w:history="1">
        <w:r w:rsidR="00EE697E" w:rsidRPr="00CA3ED5">
          <w:rPr>
            <w:rStyle w:val="Hyperlink"/>
            <w:rFonts w:ascii="Verdana" w:hAnsi="Verdana"/>
            <w:i w:val="0"/>
            <w:noProof/>
          </w:rPr>
          <w:t>B.2.</w:t>
        </w:r>
        <w:r w:rsidR="00EE697E" w:rsidRPr="00CA3ED5">
          <w:rPr>
            <w:rFonts w:ascii="Verdana" w:eastAsiaTheme="minorEastAsia" w:hAnsi="Verdana"/>
            <w:i w:val="0"/>
            <w:iCs w:val="0"/>
            <w:noProof/>
            <w:lang w:val="es-CR" w:eastAsia="es-CR"/>
          </w:rPr>
          <w:tab/>
        </w:r>
        <w:r w:rsidR="00EE697E" w:rsidRPr="00CA3ED5">
          <w:rPr>
            <w:rStyle w:val="Hyperlink"/>
            <w:rFonts w:ascii="Verdana" w:hAnsi="Verdana"/>
            <w:i w:val="0"/>
            <w:noProof/>
          </w:rPr>
          <w:t>Sobre la falta de adopción de normas o implementación de medidas necesarias para ofrecer respuesta inmediata (artículo 2 de la Convención)</w:t>
        </w:r>
        <w:r w:rsidR="00EE697E" w:rsidRPr="00CA3ED5">
          <w:rPr>
            <w:rFonts w:ascii="Verdana" w:hAnsi="Verdana"/>
            <w:i w:val="0"/>
            <w:noProof/>
            <w:webHidden/>
          </w:rPr>
          <w:tab/>
        </w:r>
        <w:r w:rsidR="00EE697E" w:rsidRPr="00CA3ED5">
          <w:rPr>
            <w:rFonts w:ascii="Verdana" w:hAnsi="Verdana"/>
            <w:i w:val="0"/>
            <w:noProof/>
            <w:webHidden/>
          </w:rPr>
          <w:fldChar w:fldCharType="begin"/>
        </w:r>
        <w:r w:rsidR="00EE697E" w:rsidRPr="00CA3ED5">
          <w:rPr>
            <w:rFonts w:ascii="Verdana" w:hAnsi="Verdana"/>
            <w:i w:val="0"/>
            <w:noProof/>
            <w:webHidden/>
          </w:rPr>
          <w:instrText xml:space="preserve"> PAGEREF _Toc532995387 \h </w:instrText>
        </w:r>
        <w:r w:rsidR="00EE697E" w:rsidRPr="00CA3ED5">
          <w:rPr>
            <w:rFonts w:ascii="Verdana" w:hAnsi="Verdana"/>
            <w:i w:val="0"/>
            <w:noProof/>
            <w:webHidden/>
          </w:rPr>
        </w:r>
        <w:r w:rsidR="00EE697E" w:rsidRPr="00CA3ED5">
          <w:rPr>
            <w:rFonts w:ascii="Verdana" w:hAnsi="Verdana"/>
            <w:i w:val="0"/>
            <w:noProof/>
            <w:webHidden/>
          </w:rPr>
          <w:fldChar w:fldCharType="separate"/>
        </w:r>
        <w:r>
          <w:rPr>
            <w:rFonts w:ascii="Verdana" w:hAnsi="Verdana"/>
            <w:i w:val="0"/>
            <w:noProof/>
            <w:webHidden/>
          </w:rPr>
          <w:t>89</w:t>
        </w:r>
        <w:r w:rsidR="00EE697E" w:rsidRPr="00CA3ED5">
          <w:rPr>
            <w:rFonts w:ascii="Verdana" w:hAnsi="Verdana"/>
            <w:i w:val="0"/>
            <w:noProof/>
            <w:webHidden/>
          </w:rPr>
          <w:fldChar w:fldCharType="end"/>
        </w:r>
      </w:hyperlink>
    </w:p>
    <w:p w14:paraId="7A541F1E" w14:textId="7231F0CE" w:rsidR="00EE697E" w:rsidRPr="00CA3ED5" w:rsidRDefault="00380DD7" w:rsidP="00EE697E">
      <w:pPr>
        <w:pStyle w:val="TOC1"/>
        <w:tabs>
          <w:tab w:val="right" w:leader="dot" w:pos="9792"/>
        </w:tabs>
        <w:spacing w:before="0" w:after="0" w:line="240" w:lineRule="auto"/>
        <w:jc w:val="both"/>
        <w:rPr>
          <w:rFonts w:ascii="Verdana" w:eastAsiaTheme="minorEastAsia" w:hAnsi="Verdana"/>
          <w:b w:val="0"/>
          <w:bCs w:val="0"/>
          <w:caps w:val="0"/>
          <w:noProof/>
          <w:lang w:val="es-CR" w:eastAsia="es-CR"/>
        </w:rPr>
      </w:pPr>
      <w:hyperlink w:anchor="_Toc532995388" w:history="1">
        <w:r w:rsidR="00EE697E" w:rsidRPr="00CA3ED5">
          <w:rPr>
            <w:rStyle w:val="Hyperlink"/>
            <w:rFonts w:ascii="Verdana" w:hAnsi="Verdana"/>
            <w:noProof/>
          </w:rPr>
          <w:t>VII.3</w:t>
        </w:r>
      </w:hyperlink>
      <w:r w:rsidR="00EE697E" w:rsidRPr="00CA3ED5">
        <w:rPr>
          <w:rFonts w:ascii="Verdana" w:eastAsiaTheme="minorEastAsia" w:hAnsi="Verdana"/>
          <w:b w:val="0"/>
          <w:bCs w:val="0"/>
          <w:caps w:val="0"/>
          <w:noProof/>
          <w:lang w:val="es-CR" w:eastAsia="es-CR"/>
        </w:rPr>
        <w:t xml:space="preserve"> </w:t>
      </w:r>
      <w:hyperlink w:anchor="_Toc532995389" w:history="1">
        <w:r w:rsidR="00EE697E" w:rsidRPr="00CA3ED5">
          <w:rPr>
            <w:rStyle w:val="Hyperlink"/>
            <w:rFonts w:ascii="Verdana" w:hAnsi="Verdana"/>
            <w:noProof/>
          </w:rPr>
          <w:t>DERECHOS A LA INTEGRIDAD PERSONAL (ARTÍCULO 5), DE CIRCULACIÓN Y DE RESIDENCIA (ARTÍCULO 22), A LA PROTECCIÓN A LA FAMILIA, A LA PROTECCIÓN DE LA HONRA Y DE LA DIGNIDAD Y DEL NIÑO (ARTÍCULOS 17, 11 Y 19) RESPECTO DE LOS FAMILIARES, EN RELACIÓN CON LOS ARTÍCULOS 1.1 Y 63.2 DE LA CONVENCIÓN AMERICANA.</w:t>
        </w:r>
        <w:r w:rsidR="00EE697E" w:rsidRPr="00CA3ED5">
          <w:rPr>
            <w:rFonts w:ascii="Verdana" w:hAnsi="Verdana"/>
            <w:noProof/>
            <w:webHidden/>
          </w:rPr>
          <w:tab/>
        </w:r>
        <w:r w:rsidR="00EE697E" w:rsidRPr="00CA3ED5">
          <w:rPr>
            <w:rFonts w:ascii="Verdana" w:hAnsi="Verdana"/>
            <w:noProof/>
            <w:webHidden/>
          </w:rPr>
          <w:fldChar w:fldCharType="begin"/>
        </w:r>
        <w:r w:rsidR="00EE697E" w:rsidRPr="00CA3ED5">
          <w:rPr>
            <w:rFonts w:ascii="Verdana" w:hAnsi="Verdana"/>
            <w:noProof/>
            <w:webHidden/>
          </w:rPr>
          <w:instrText xml:space="preserve"> PAGEREF _Toc532995389 \h </w:instrText>
        </w:r>
        <w:r w:rsidR="00EE697E" w:rsidRPr="00CA3ED5">
          <w:rPr>
            <w:rFonts w:ascii="Verdana" w:hAnsi="Verdana"/>
            <w:noProof/>
            <w:webHidden/>
          </w:rPr>
        </w:r>
        <w:r w:rsidR="00EE697E" w:rsidRPr="00CA3ED5">
          <w:rPr>
            <w:rFonts w:ascii="Verdana" w:hAnsi="Verdana"/>
            <w:noProof/>
            <w:webHidden/>
          </w:rPr>
          <w:fldChar w:fldCharType="separate"/>
        </w:r>
        <w:r>
          <w:rPr>
            <w:rFonts w:ascii="Verdana" w:hAnsi="Verdana"/>
            <w:noProof/>
            <w:webHidden/>
          </w:rPr>
          <w:t>90</w:t>
        </w:r>
        <w:r w:rsidR="00EE697E" w:rsidRPr="00CA3ED5">
          <w:rPr>
            <w:rFonts w:ascii="Verdana" w:hAnsi="Verdana"/>
            <w:noProof/>
            <w:webHidden/>
          </w:rPr>
          <w:fldChar w:fldCharType="end"/>
        </w:r>
      </w:hyperlink>
    </w:p>
    <w:p w14:paraId="083AC3C1" w14:textId="77777777" w:rsidR="00EE697E" w:rsidRPr="00CA3ED5" w:rsidRDefault="00380DD7" w:rsidP="00EE697E">
      <w:pPr>
        <w:pStyle w:val="TOC2"/>
        <w:tabs>
          <w:tab w:val="left" w:pos="660"/>
          <w:tab w:val="right" w:leader="dot" w:pos="9792"/>
        </w:tabs>
        <w:spacing w:line="240" w:lineRule="auto"/>
        <w:jc w:val="both"/>
        <w:rPr>
          <w:rFonts w:ascii="Verdana" w:eastAsiaTheme="minorEastAsia" w:hAnsi="Verdana"/>
          <w:smallCaps w:val="0"/>
          <w:noProof/>
          <w:lang w:val="es-CR" w:eastAsia="es-CR"/>
        </w:rPr>
      </w:pPr>
      <w:hyperlink w:anchor="_Toc532995390" w:history="1">
        <w:r w:rsidR="00EE697E" w:rsidRPr="00CA3ED5">
          <w:rPr>
            <w:rStyle w:val="Hyperlink"/>
            <w:rFonts w:ascii="Verdana" w:hAnsi="Verdana"/>
            <w:noProof/>
          </w:rPr>
          <w:t>A.</w:t>
        </w:r>
        <w:r w:rsidR="00EE697E" w:rsidRPr="00CA3ED5">
          <w:rPr>
            <w:rFonts w:ascii="Verdana" w:eastAsiaTheme="minorEastAsia" w:hAnsi="Verdana"/>
            <w:smallCaps w:val="0"/>
            <w:noProof/>
            <w:lang w:val="es-CR" w:eastAsia="es-CR"/>
          </w:rPr>
          <w:tab/>
        </w:r>
        <w:r w:rsidR="00EE697E" w:rsidRPr="00CA3ED5">
          <w:rPr>
            <w:rStyle w:val="Hyperlink"/>
            <w:rFonts w:ascii="Verdana" w:hAnsi="Verdana"/>
            <w:noProof/>
          </w:rPr>
          <w:t>Argumentos de las partes y de la Comisión</w:t>
        </w:r>
        <w:r w:rsidR="00EE697E" w:rsidRPr="00CA3ED5">
          <w:rPr>
            <w:rFonts w:ascii="Verdana" w:hAnsi="Verdana"/>
            <w:noProof/>
            <w:webHidden/>
          </w:rPr>
          <w:tab/>
        </w:r>
        <w:r w:rsidR="00EE697E" w:rsidRPr="00CA3ED5">
          <w:rPr>
            <w:rFonts w:ascii="Verdana" w:hAnsi="Verdana"/>
            <w:noProof/>
            <w:webHidden/>
          </w:rPr>
          <w:fldChar w:fldCharType="begin"/>
        </w:r>
        <w:r w:rsidR="00EE697E" w:rsidRPr="00CA3ED5">
          <w:rPr>
            <w:rFonts w:ascii="Verdana" w:hAnsi="Verdana"/>
            <w:noProof/>
            <w:webHidden/>
          </w:rPr>
          <w:instrText xml:space="preserve"> PAGEREF _Toc532995390 \h </w:instrText>
        </w:r>
        <w:r w:rsidR="00EE697E" w:rsidRPr="00CA3ED5">
          <w:rPr>
            <w:rFonts w:ascii="Verdana" w:hAnsi="Verdana"/>
            <w:noProof/>
            <w:webHidden/>
          </w:rPr>
        </w:r>
        <w:r w:rsidR="00EE697E" w:rsidRPr="00CA3ED5">
          <w:rPr>
            <w:rFonts w:ascii="Verdana" w:hAnsi="Verdana"/>
            <w:noProof/>
            <w:webHidden/>
          </w:rPr>
          <w:fldChar w:fldCharType="separate"/>
        </w:r>
        <w:r>
          <w:rPr>
            <w:rFonts w:ascii="Verdana" w:hAnsi="Verdana"/>
            <w:noProof/>
            <w:webHidden/>
          </w:rPr>
          <w:t>91</w:t>
        </w:r>
        <w:r w:rsidR="00EE697E" w:rsidRPr="00CA3ED5">
          <w:rPr>
            <w:rFonts w:ascii="Verdana" w:hAnsi="Verdana"/>
            <w:noProof/>
            <w:webHidden/>
          </w:rPr>
          <w:fldChar w:fldCharType="end"/>
        </w:r>
      </w:hyperlink>
    </w:p>
    <w:p w14:paraId="51746E59" w14:textId="77777777" w:rsidR="00EE697E" w:rsidRPr="00CA3ED5" w:rsidRDefault="00380DD7" w:rsidP="00EE697E">
      <w:pPr>
        <w:pStyle w:val="TOC2"/>
        <w:tabs>
          <w:tab w:val="left" w:pos="660"/>
          <w:tab w:val="right" w:leader="dot" w:pos="9792"/>
        </w:tabs>
        <w:spacing w:line="240" w:lineRule="auto"/>
        <w:jc w:val="both"/>
        <w:rPr>
          <w:rFonts w:ascii="Verdana" w:eastAsiaTheme="minorEastAsia" w:hAnsi="Verdana"/>
          <w:smallCaps w:val="0"/>
          <w:noProof/>
          <w:lang w:val="es-CR" w:eastAsia="es-CR"/>
        </w:rPr>
      </w:pPr>
      <w:hyperlink w:anchor="_Toc532995391" w:history="1">
        <w:r w:rsidR="00EE697E" w:rsidRPr="00CA3ED5">
          <w:rPr>
            <w:rStyle w:val="Hyperlink"/>
            <w:rFonts w:ascii="Verdana" w:hAnsi="Verdana"/>
            <w:noProof/>
          </w:rPr>
          <w:t>B.</w:t>
        </w:r>
        <w:r w:rsidR="00EE697E" w:rsidRPr="00CA3ED5">
          <w:rPr>
            <w:rFonts w:ascii="Verdana" w:eastAsiaTheme="minorEastAsia" w:hAnsi="Verdana"/>
            <w:smallCaps w:val="0"/>
            <w:noProof/>
            <w:lang w:val="es-CR" w:eastAsia="es-CR"/>
          </w:rPr>
          <w:tab/>
        </w:r>
        <w:r w:rsidR="00EE697E" w:rsidRPr="00CA3ED5">
          <w:rPr>
            <w:rStyle w:val="Hyperlink"/>
            <w:rFonts w:ascii="Verdana" w:hAnsi="Verdana"/>
            <w:noProof/>
          </w:rPr>
          <w:t>Consideraciones de la Corte</w:t>
        </w:r>
        <w:r w:rsidR="00EE697E" w:rsidRPr="00CA3ED5">
          <w:rPr>
            <w:rFonts w:ascii="Verdana" w:hAnsi="Verdana"/>
            <w:noProof/>
            <w:webHidden/>
          </w:rPr>
          <w:tab/>
        </w:r>
        <w:r w:rsidR="00EE697E" w:rsidRPr="00CA3ED5">
          <w:rPr>
            <w:rFonts w:ascii="Verdana" w:hAnsi="Verdana"/>
            <w:noProof/>
            <w:webHidden/>
          </w:rPr>
          <w:fldChar w:fldCharType="begin"/>
        </w:r>
        <w:r w:rsidR="00EE697E" w:rsidRPr="00CA3ED5">
          <w:rPr>
            <w:rFonts w:ascii="Verdana" w:hAnsi="Verdana"/>
            <w:noProof/>
            <w:webHidden/>
          </w:rPr>
          <w:instrText xml:space="preserve"> PAGEREF _Toc532995391 \h </w:instrText>
        </w:r>
        <w:r w:rsidR="00EE697E" w:rsidRPr="00CA3ED5">
          <w:rPr>
            <w:rFonts w:ascii="Verdana" w:hAnsi="Verdana"/>
            <w:noProof/>
            <w:webHidden/>
          </w:rPr>
        </w:r>
        <w:r w:rsidR="00EE697E" w:rsidRPr="00CA3ED5">
          <w:rPr>
            <w:rFonts w:ascii="Verdana" w:hAnsi="Verdana"/>
            <w:noProof/>
            <w:webHidden/>
          </w:rPr>
          <w:fldChar w:fldCharType="separate"/>
        </w:r>
        <w:r>
          <w:rPr>
            <w:rFonts w:ascii="Verdana" w:hAnsi="Verdana"/>
            <w:noProof/>
            <w:webHidden/>
          </w:rPr>
          <w:t>92</w:t>
        </w:r>
        <w:r w:rsidR="00EE697E" w:rsidRPr="00CA3ED5">
          <w:rPr>
            <w:rFonts w:ascii="Verdana" w:hAnsi="Verdana"/>
            <w:noProof/>
            <w:webHidden/>
          </w:rPr>
          <w:fldChar w:fldCharType="end"/>
        </w:r>
      </w:hyperlink>
    </w:p>
    <w:p w14:paraId="7ABA1EC0" w14:textId="77777777" w:rsidR="00EE697E" w:rsidRPr="00CA3ED5" w:rsidRDefault="00380DD7" w:rsidP="00EE697E">
      <w:pPr>
        <w:pStyle w:val="TOC3"/>
        <w:tabs>
          <w:tab w:val="left" w:pos="1100"/>
          <w:tab w:val="right" w:leader="dot" w:pos="9792"/>
        </w:tabs>
        <w:spacing w:line="240" w:lineRule="auto"/>
        <w:jc w:val="both"/>
        <w:rPr>
          <w:rFonts w:ascii="Verdana" w:eastAsiaTheme="minorEastAsia" w:hAnsi="Verdana"/>
          <w:i w:val="0"/>
          <w:iCs w:val="0"/>
          <w:noProof/>
          <w:lang w:val="es-CR" w:eastAsia="es-CR"/>
        </w:rPr>
      </w:pPr>
      <w:hyperlink w:anchor="_Toc532995392" w:history="1">
        <w:r w:rsidR="00EE697E" w:rsidRPr="00CA3ED5">
          <w:rPr>
            <w:rStyle w:val="Hyperlink"/>
            <w:rFonts w:ascii="Verdana" w:hAnsi="Verdana"/>
            <w:i w:val="0"/>
            <w:noProof/>
          </w:rPr>
          <w:t>B.1.</w:t>
        </w:r>
        <w:r w:rsidR="00EE697E" w:rsidRPr="00CA3ED5">
          <w:rPr>
            <w:rFonts w:ascii="Verdana" w:eastAsiaTheme="minorEastAsia" w:hAnsi="Verdana"/>
            <w:i w:val="0"/>
            <w:iCs w:val="0"/>
            <w:noProof/>
            <w:lang w:val="es-CR" w:eastAsia="es-CR"/>
          </w:rPr>
          <w:tab/>
        </w:r>
        <w:r w:rsidR="00EE697E" w:rsidRPr="00CA3ED5">
          <w:rPr>
            <w:rStyle w:val="Hyperlink"/>
            <w:rFonts w:ascii="Verdana" w:hAnsi="Verdana"/>
            <w:i w:val="0"/>
            <w:noProof/>
          </w:rPr>
          <w:t>Respecto del Artículo 5, en relación con la desaparición forzada.</w:t>
        </w:r>
        <w:r w:rsidR="00EE697E" w:rsidRPr="00CA3ED5">
          <w:rPr>
            <w:rFonts w:ascii="Verdana" w:hAnsi="Verdana"/>
            <w:i w:val="0"/>
            <w:noProof/>
            <w:webHidden/>
          </w:rPr>
          <w:tab/>
        </w:r>
        <w:r w:rsidR="00EE697E" w:rsidRPr="00CA3ED5">
          <w:rPr>
            <w:rFonts w:ascii="Verdana" w:hAnsi="Verdana"/>
            <w:i w:val="0"/>
            <w:noProof/>
            <w:webHidden/>
          </w:rPr>
          <w:fldChar w:fldCharType="begin"/>
        </w:r>
        <w:r w:rsidR="00EE697E" w:rsidRPr="00CA3ED5">
          <w:rPr>
            <w:rFonts w:ascii="Verdana" w:hAnsi="Verdana"/>
            <w:i w:val="0"/>
            <w:noProof/>
            <w:webHidden/>
          </w:rPr>
          <w:instrText xml:space="preserve"> PAGEREF _Toc532995392 \h </w:instrText>
        </w:r>
        <w:r w:rsidR="00EE697E" w:rsidRPr="00CA3ED5">
          <w:rPr>
            <w:rFonts w:ascii="Verdana" w:hAnsi="Verdana"/>
            <w:i w:val="0"/>
            <w:noProof/>
            <w:webHidden/>
          </w:rPr>
        </w:r>
        <w:r w:rsidR="00EE697E" w:rsidRPr="00CA3ED5">
          <w:rPr>
            <w:rFonts w:ascii="Verdana" w:hAnsi="Verdana"/>
            <w:i w:val="0"/>
            <w:noProof/>
            <w:webHidden/>
          </w:rPr>
          <w:fldChar w:fldCharType="separate"/>
        </w:r>
        <w:r>
          <w:rPr>
            <w:rFonts w:ascii="Verdana" w:hAnsi="Verdana"/>
            <w:i w:val="0"/>
            <w:noProof/>
            <w:webHidden/>
          </w:rPr>
          <w:t>92</w:t>
        </w:r>
        <w:r w:rsidR="00EE697E" w:rsidRPr="00CA3ED5">
          <w:rPr>
            <w:rFonts w:ascii="Verdana" w:hAnsi="Verdana"/>
            <w:i w:val="0"/>
            <w:noProof/>
            <w:webHidden/>
          </w:rPr>
          <w:fldChar w:fldCharType="end"/>
        </w:r>
      </w:hyperlink>
    </w:p>
    <w:p w14:paraId="513AA475" w14:textId="77777777" w:rsidR="00EE697E" w:rsidRPr="00CA3ED5" w:rsidRDefault="00380DD7" w:rsidP="00EE697E">
      <w:pPr>
        <w:pStyle w:val="TOC3"/>
        <w:tabs>
          <w:tab w:val="left" w:pos="1100"/>
          <w:tab w:val="right" w:leader="dot" w:pos="9792"/>
        </w:tabs>
        <w:spacing w:line="240" w:lineRule="auto"/>
        <w:jc w:val="both"/>
        <w:rPr>
          <w:rFonts w:ascii="Verdana" w:eastAsiaTheme="minorEastAsia" w:hAnsi="Verdana"/>
          <w:i w:val="0"/>
          <w:iCs w:val="0"/>
          <w:noProof/>
          <w:lang w:val="es-CR" w:eastAsia="es-CR"/>
        </w:rPr>
      </w:pPr>
      <w:hyperlink w:anchor="_Toc532995393" w:history="1">
        <w:r w:rsidR="00EE697E" w:rsidRPr="00CA3ED5">
          <w:rPr>
            <w:rStyle w:val="Hyperlink"/>
            <w:rFonts w:ascii="Verdana" w:hAnsi="Verdana"/>
            <w:i w:val="0"/>
            <w:noProof/>
          </w:rPr>
          <w:t>B.2.</w:t>
        </w:r>
        <w:r w:rsidR="00EE697E" w:rsidRPr="00CA3ED5">
          <w:rPr>
            <w:rFonts w:ascii="Verdana" w:eastAsiaTheme="minorEastAsia" w:hAnsi="Verdana"/>
            <w:i w:val="0"/>
            <w:iCs w:val="0"/>
            <w:noProof/>
            <w:lang w:val="es-CR" w:eastAsia="es-CR"/>
          </w:rPr>
          <w:tab/>
        </w:r>
        <w:r w:rsidR="00EE697E" w:rsidRPr="00CA3ED5">
          <w:rPr>
            <w:rStyle w:val="Hyperlink"/>
            <w:rFonts w:ascii="Verdana" w:hAnsi="Verdana"/>
            <w:i w:val="0"/>
            <w:noProof/>
          </w:rPr>
          <w:t>Respecto a los Artículos 5, 22, 11, 17 y 19 en relación con los hechos de amenazas y hostigamientos.</w:t>
        </w:r>
        <w:r w:rsidR="00EE697E" w:rsidRPr="00CA3ED5">
          <w:rPr>
            <w:rFonts w:ascii="Verdana" w:hAnsi="Verdana"/>
            <w:i w:val="0"/>
            <w:noProof/>
            <w:webHidden/>
          </w:rPr>
          <w:tab/>
        </w:r>
        <w:r w:rsidR="00EE697E" w:rsidRPr="00CA3ED5">
          <w:rPr>
            <w:rFonts w:ascii="Verdana" w:hAnsi="Verdana"/>
            <w:i w:val="0"/>
            <w:noProof/>
            <w:webHidden/>
          </w:rPr>
          <w:fldChar w:fldCharType="begin"/>
        </w:r>
        <w:r w:rsidR="00EE697E" w:rsidRPr="00CA3ED5">
          <w:rPr>
            <w:rFonts w:ascii="Verdana" w:hAnsi="Verdana"/>
            <w:i w:val="0"/>
            <w:noProof/>
            <w:webHidden/>
          </w:rPr>
          <w:instrText xml:space="preserve"> PAGEREF _Toc532995393 \h </w:instrText>
        </w:r>
        <w:r w:rsidR="00EE697E" w:rsidRPr="00CA3ED5">
          <w:rPr>
            <w:rFonts w:ascii="Verdana" w:hAnsi="Verdana"/>
            <w:i w:val="0"/>
            <w:noProof/>
            <w:webHidden/>
          </w:rPr>
        </w:r>
        <w:r w:rsidR="00EE697E" w:rsidRPr="00CA3ED5">
          <w:rPr>
            <w:rFonts w:ascii="Verdana" w:hAnsi="Verdana"/>
            <w:i w:val="0"/>
            <w:noProof/>
            <w:webHidden/>
          </w:rPr>
          <w:fldChar w:fldCharType="separate"/>
        </w:r>
        <w:r>
          <w:rPr>
            <w:rFonts w:ascii="Verdana" w:hAnsi="Verdana"/>
            <w:i w:val="0"/>
            <w:noProof/>
            <w:webHidden/>
          </w:rPr>
          <w:t>93</w:t>
        </w:r>
        <w:r w:rsidR="00EE697E" w:rsidRPr="00CA3ED5">
          <w:rPr>
            <w:rFonts w:ascii="Verdana" w:hAnsi="Verdana"/>
            <w:i w:val="0"/>
            <w:noProof/>
            <w:webHidden/>
          </w:rPr>
          <w:fldChar w:fldCharType="end"/>
        </w:r>
      </w:hyperlink>
    </w:p>
    <w:p w14:paraId="51C40E52" w14:textId="77777777" w:rsidR="00EE697E" w:rsidRPr="00CA3ED5" w:rsidRDefault="00380DD7" w:rsidP="00EE697E">
      <w:pPr>
        <w:pStyle w:val="TOC4"/>
        <w:rPr>
          <w:rFonts w:ascii="Verdana" w:eastAsiaTheme="minorEastAsia" w:hAnsi="Verdana"/>
          <w:noProof/>
          <w:sz w:val="20"/>
          <w:szCs w:val="20"/>
          <w:lang w:val="es-CR" w:eastAsia="es-CR"/>
        </w:rPr>
      </w:pPr>
      <w:hyperlink w:anchor="_Toc532995394" w:history="1">
        <w:r w:rsidR="00EE697E" w:rsidRPr="00CA3ED5">
          <w:rPr>
            <w:rStyle w:val="Hyperlink"/>
            <w:rFonts w:ascii="Verdana" w:hAnsi="Verdana"/>
            <w:noProof/>
            <w:sz w:val="20"/>
            <w:szCs w:val="20"/>
          </w:rPr>
          <w:t>B.2.1.</w:t>
        </w:r>
        <w:r w:rsidR="00EE697E" w:rsidRPr="00CA3ED5">
          <w:rPr>
            <w:rFonts w:ascii="Verdana" w:eastAsiaTheme="minorEastAsia" w:hAnsi="Verdana"/>
            <w:noProof/>
            <w:sz w:val="20"/>
            <w:szCs w:val="20"/>
            <w:lang w:val="es-CR" w:eastAsia="es-CR"/>
          </w:rPr>
          <w:tab/>
        </w:r>
        <w:r w:rsidR="00EE697E" w:rsidRPr="00CA3ED5">
          <w:rPr>
            <w:rStyle w:val="Hyperlink"/>
            <w:rFonts w:ascii="Verdana" w:hAnsi="Verdana"/>
            <w:noProof/>
            <w:sz w:val="20"/>
            <w:szCs w:val="20"/>
          </w:rPr>
          <w:t>Respecto de las alegadas amenazas</w:t>
        </w:r>
        <w:r w:rsidR="00EE697E" w:rsidRPr="00CA3ED5">
          <w:rPr>
            <w:rFonts w:ascii="Verdana" w:hAnsi="Verdana"/>
            <w:noProof/>
            <w:webHidden/>
            <w:sz w:val="20"/>
            <w:szCs w:val="20"/>
          </w:rPr>
          <w:tab/>
        </w:r>
        <w:r w:rsidR="00EE697E" w:rsidRPr="00CA3ED5">
          <w:rPr>
            <w:rFonts w:ascii="Verdana" w:hAnsi="Verdana"/>
            <w:noProof/>
            <w:webHidden/>
            <w:sz w:val="20"/>
            <w:szCs w:val="20"/>
          </w:rPr>
          <w:fldChar w:fldCharType="begin"/>
        </w:r>
        <w:r w:rsidR="00EE697E" w:rsidRPr="00CA3ED5">
          <w:rPr>
            <w:rFonts w:ascii="Verdana" w:hAnsi="Verdana"/>
            <w:noProof/>
            <w:webHidden/>
            <w:sz w:val="20"/>
            <w:szCs w:val="20"/>
          </w:rPr>
          <w:instrText xml:space="preserve"> PAGEREF _Toc532995394 \h </w:instrText>
        </w:r>
        <w:r w:rsidR="00EE697E" w:rsidRPr="00CA3ED5">
          <w:rPr>
            <w:rFonts w:ascii="Verdana" w:hAnsi="Verdana"/>
            <w:noProof/>
            <w:webHidden/>
            <w:sz w:val="20"/>
            <w:szCs w:val="20"/>
          </w:rPr>
        </w:r>
        <w:r w:rsidR="00EE697E" w:rsidRPr="00CA3ED5">
          <w:rPr>
            <w:rFonts w:ascii="Verdana" w:hAnsi="Verdana"/>
            <w:noProof/>
            <w:webHidden/>
            <w:sz w:val="20"/>
            <w:szCs w:val="20"/>
          </w:rPr>
          <w:fldChar w:fldCharType="separate"/>
        </w:r>
        <w:r>
          <w:rPr>
            <w:rFonts w:ascii="Verdana" w:hAnsi="Verdana"/>
            <w:noProof/>
            <w:webHidden/>
            <w:sz w:val="20"/>
            <w:szCs w:val="20"/>
          </w:rPr>
          <w:t>93</w:t>
        </w:r>
        <w:r w:rsidR="00EE697E" w:rsidRPr="00CA3ED5">
          <w:rPr>
            <w:rFonts w:ascii="Verdana" w:hAnsi="Verdana"/>
            <w:noProof/>
            <w:webHidden/>
            <w:sz w:val="20"/>
            <w:szCs w:val="20"/>
          </w:rPr>
          <w:fldChar w:fldCharType="end"/>
        </w:r>
      </w:hyperlink>
    </w:p>
    <w:p w14:paraId="69663641" w14:textId="77777777" w:rsidR="00EE697E" w:rsidRPr="00CA3ED5" w:rsidRDefault="00380DD7" w:rsidP="00EE697E">
      <w:pPr>
        <w:pStyle w:val="TOC4"/>
        <w:rPr>
          <w:rFonts w:ascii="Verdana" w:eastAsiaTheme="minorEastAsia" w:hAnsi="Verdana"/>
          <w:noProof/>
          <w:sz w:val="20"/>
          <w:szCs w:val="20"/>
          <w:lang w:val="es-CR" w:eastAsia="es-CR"/>
        </w:rPr>
      </w:pPr>
      <w:hyperlink w:anchor="_Toc532995395" w:history="1">
        <w:r w:rsidR="00EE697E" w:rsidRPr="00CA3ED5">
          <w:rPr>
            <w:rStyle w:val="Hyperlink"/>
            <w:rFonts w:ascii="Verdana" w:hAnsi="Verdana"/>
            <w:noProof/>
            <w:sz w:val="20"/>
            <w:szCs w:val="20"/>
          </w:rPr>
          <w:t>B.2.2.</w:t>
        </w:r>
        <w:r w:rsidR="00EE697E" w:rsidRPr="00CA3ED5">
          <w:rPr>
            <w:rFonts w:ascii="Verdana" w:eastAsiaTheme="minorEastAsia" w:hAnsi="Verdana"/>
            <w:noProof/>
            <w:sz w:val="20"/>
            <w:szCs w:val="20"/>
            <w:lang w:val="es-CR" w:eastAsia="es-CR"/>
          </w:rPr>
          <w:tab/>
        </w:r>
        <w:r w:rsidR="00EE697E" w:rsidRPr="00CA3ED5">
          <w:rPr>
            <w:rStyle w:val="Hyperlink"/>
            <w:rFonts w:ascii="Verdana" w:hAnsi="Verdana"/>
            <w:noProof/>
            <w:sz w:val="20"/>
            <w:szCs w:val="20"/>
          </w:rPr>
          <w:t>Respecto del desplazamiento forzado y protección familiar</w:t>
        </w:r>
        <w:r w:rsidR="00EE697E" w:rsidRPr="00CA3ED5">
          <w:rPr>
            <w:rFonts w:ascii="Verdana" w:hAnsi="Verdana"/>
            <w:noProof/>
            <w:webHidden/>
            <w:sz w:val="20"/>
            <w:szCs w:val="20"/>
          </w:rPr>
          <w:tab/>
        </w:r>
        <w:r w:rsidR="00EE697E" w:rsidRPr="00CA3ED5">
          <w:rPr>
            <w:rFonts w:ascii="Verdana" w:hAnsi="Verdana"/>
            <w:noProof/>
            <w:webHidden/>
            <w:sz w:val="20"/>
            <w:szCs w:val="20"/>
          </w:rPr>
          <w:fldChar w:fldCharType="begin"/>
        </w:r>
        <w:r w:rsidR="00EE697E" w:rsidRPr="00CA3ED5">
          <w:rPr>
            <w:rFonts w:ascii="Verdana" w:hAnsi="Verdana"/>
            <w:noProof/>
            <w:webHidden/>
            <w:sz w:val="20"/>
            <w:szCs w:val="20"/>
          </w:rPr>
          <w:instrText xml:space="preserve"> PAGEREF _Toc532995395 \h </w:instrText>
        </w:r>
        <w:r w:rsidR="00EE697E" w:rsidRPr="00CA3ED5">
          <w:rPr>
            <w:rFonts w:ascii="Verdana" w:hAnsi="Verdana"/>
            <w:noProof/>
            <w:webHidden/>
            <w:sz w:val="20"/>
            <w:szCs w:val="20"/>
          </w:rPr>
        </w:r>
        <w:r w:rsidR="00EE697E" w:rsidRPr="00CA3ED5">
          <w:rPr>
            <w:rFonts w:ascii="Verdana" w:hAnsi="Verdana"/>
            <w:noProof/>
            <w:webHidden/>
            <w:sz w:val="20"/>
            <w:szCs w:val="20"/>
          </w:rPr>
          <w:fldChar w:fldCharType="separate"/>
        </w:r>
        <w:r>
          <w:rPr>
            <w:rFonts w:ascii="Verdana" w:hAnsi="Verdana"/>
            <w:noProof/>
            <w:webHidden/>
            <w:sz w:val="20"/>
            <w:szCs w:val="20"/>
          </w:rPr>
          <w:t>94</w:t>
        </w:r>
        <w:r w:rsidR="00EE697E" w:rsidRPr="00CA3ED5">
          <w:rPr>
            <w:rFonts w:ascii="Verdana" w:hAnsi="Verdana"/>
            <w:noProof/>
            <w:webHidden/>
            <w:sz w:val="20"/>
            <w:szCs w:val="20"/>
          </w:rPr>
          <w:fldChar w:fldCharType="end"/>
        </w:r>
      </w:hyperlink>
    </w:p>
    <w:p w14:paraId="397B0A9F" w14:textId="43248E37" w:rsidR="00EE697E" w:rsidRPr="00CA3ED5" w:rsidRDefault="00380DD7" w:rsidP="00EE697E">
      <w:pPr>
        <w:pStyle w:val="TOC1"/>
        <w:tabs>
          <w:tab w:val="right" w:leader="dot" w:pos="9792"/>
        </w:tabs>
        <w:spacing w:before="0" w:after="0" w:line="240" w:lineRule="auto"/>
        <w:jc w:val="both"/>
        <w:rPr>
          <w:rFonts w:ascii="Verdana" w:eastAsiaTheme="minorEastAsia" w:hAnsi="Verdana"/>
          <w:b w:val="0"/>
          <w:bCs w:val="0"/>
          <w:caps w:val="0"/>
          <w:noProof/>
          <w:lang w:val="es-CR" w:eastAsia="es-CR"/>
        </w:rPr>
      </w:pPr>
      <w:hyperlink w:anchor="_Toc532995396" w:history="1">
        <w:r w:rsidR="00EE697E" w:rsidRPr="00CA3ED5">
          <w:rPr>
            <w:rStyle w:val="Hyperlink"/>
            <w:rFonts w:ascii="Verdana" w:hAnsi="Verdana"/>
            <w:noProof/>
            <w:lang w:val="es-ES"/>
          </w:rPr>
          <w:t>VIII</w:t>
        </w:r>
      </w:hyperlink>
      <w:r w:rsidR="00EE697E" w:rsidRPr="00CA3ED5">
        <w:rPr>
          <w:rFonts w:ascii="Verdana" w:eastAsiaTheme="minorEastAsia" w:hAnsi="Verdana"/>
          <w:b w:val="0"/>
          <w:bCs w:val="0"/>
          <w:caps w:val="0"/>
          <w:noProof/>
          <w:lang w:val="es-CR" w:eastAsia="es-CR"/>
        </w:rPr>
        <w:t xml:space="preserve"> </w:t>
      </w:r>
      <w:hyperlink w:anchor="_Toc532995397" w:history="1">
        <w:r w:rsidR="00EE697E" w:rsidRPr="00CA3ED5">
          <w:rPr>
            <w:rStyle w:val="Hyperlink"/>
            <w:rFonts w:ascii="Verdana" w:hAnsi="Verdana"/>
            <w:noProof/>
            <w:lang w:val="es-ES"/>
          </w:rPr>
          <w:t>REPARACIONES</w:t>
        </w:r>
      </w:hyperlink>
      <w:r w:rsidR="00EE697E" w:rsidRPr="00CA3ED5">
        <w:rPr>
          <w:rFonts w:ascii="Verdana" w:eastAsiaTheme="minorEastAsia" w:hAnsi="Verdana"/>
          <w:b w:val="0"/>
          <w:bCs w:val="0"/>
          <w:caps w:val="0"/>
          <w:noProof/>
          <w:lang w:val="es-CR" w:eastAsia="es-CR"/>
        </w:rPr>
        <w:t xml:space="preserve"> </w:t>
      </w:r>
      <w:hyperlink w:anchor="_Toc532995398" w:history="1">
        <w:r w:rsidR="00EE697E" w:rsidRPr="00CA3ED5">
          <w:rPr>
            <w:rStyle w:val="Hyperlink"/>
            <w:rFonts w:ascii="Verdana" w:hAnsi="Verdana"/>
            <w:noProof/>
            <w:lang w:val="es-ES"/>
          </w:rPr>
          <w:t>(Aplicación del artículo 63.1 de la Convención Americana)</w:t>
        </w:r>
        <w:r w:rsidR="00EE697E" w:rsidRPr="00CA3ED5">
          <w:rPr>
            <w:rFonts w:ascii="Verdana" w:hAnsi="Verdana"/>
            <w:noProof/>
            <w:webHidden/>
          </w:rPr>
          <w:tab/>
        </w:r>
        <w:r w:rsidR="00EE697E" w:rsidRPr="00CA3ED5">
          <w:rPr>
            <w:rFonts w:ascii="Verdana" w:hAnsi="Verdana"/>
            <w:noProof/>
            <w:webHidden/>
          </w:rPr>
          <w:fldChar w:fldCharType="begin"/>
        </w:r>
        <w:r w:rsidR="00EE697E" w:rsidRPr="00CA3ED5">
          <w:rPr>
            <w:rFonts w:ascii="Verdana" w:hAnsi="Verdana"/>
            <w:noProof/>
            <w:webHidden/>
          </w:rPr>
          <w:instrText xml:space="preserve"> PAGEREF _Toc532995398 \h </w:instrText>
        </w:r>
        <w:r w:rsidR="00EE697E" w:rsidRPr="00CA3ED5">
          <w:rPr>
            <w:rFonts w:ascii="Verdana" w:hAnsi="Verdana"/>
            <w:noProof/>
            <w:webHidden/>
          </w:rPr>
        </w:r>
        <w:r w:rsidR="00EE697E" w:rsidRPr="00CA3ED5">
          <w:rPr>
            <w:rFonts w:ascii="Verdana" w:hAnsi="Verdana"/>
            <w:noProof/>
            <w:webHidden/>
          </w:rPr>
          <w:fldChar w:fldCharType="separate"/>
        </w:r>
        <w:r>
          <w:rPr>
            <w:rFonts w:ascii="Verdana" w:hAnsi="Verdana"/>
            <w:noProof/>
            <w:webHidden/>
          </w:rPr>
          <w:t>97</w:t>
        </w:r>
        <w:r w:rsidR="00EE697E" w:rsidRPr="00CA3ED5">
          <w:rPr>
            <w:rFonts w:ascii="Verdana" w:hAnsi="Verdana"/>
            <w:noProof/>
            <w:webHidden/>
          </w:rPr>
          <w:fldChar w:fldCharType="end"/>
        </w:r>
      </w:hyperlink>
    </w:p>
    <w:p w14:paraId="40534689" w14:textId="00EFFA5D" w:rsidR="00EE697E" w:rsidRPr="00CA3ED5" w:rsidRDefault="00380DD7" w:rsidP="00EE697E">
      <w:pPr>
        <w:pStyle w:val="TOC2"/>
        <w:tabs>
          <w:tab w:val="left" w:pos="880"/>
          <w:tab w:val="right" w:leader="dot" w:pos="9792"/>
        </w:tabs>
        <w:spacing w:line="240" w:lineRule="auto"/>
        <w:jc w:val="both"/>
        <w:rPr>
          <w:rFonts w:ascii="Verdana" w:eastAsiaTheme="minorEastAsia" w:hAnsi="Verdana"/>
          <w:smallCaps w:val="0"/>
          <w:noProof/>
          <w:lang w:val="es-CR" w:eastAsia="es-CR"/>
        </w:rPr>
      </w:pPr>
      <w:hyperlink w:anchor="_Toc532995399" w:history="1">
        <w:r w:rsidR="00EE697E" w:rsidRPr="00CA3ED5">
          <w:rPr>
            <w:rStyle w:val="Hyperlink"/>
            <w:rFonts w:ascii="Verdana" w:eastAsia="Times New Roman" w:hAnsi="Verdana" w:cs="Times New Roman"/>
            <w:bCs/>
            <w:noProof/>
            <w:lang w:val="es-ES"/>
          </w:rPr>
          <w:t>A.</w:t>
        </w:r>
        <w:r w:rsidR="00D04D10" w:rsidRPr="00CA3ED5">
          <w:rPr>
            <w:rFonts w:ascii="Verdana" w:eastAsiaTheme="minorEastAsia" w:hAnsi="Verdana"/>
            <w:smallCaps w:val="0"/>
            <w:noProof/>
            <w:lang w:val="es-CR" w:eastAsia="es-CR"/>
          </w:rPr>
          <w:t xml:space="preserve">    </w:t>
        </w:r>
        <w:r w:rsidR="00EE697E" w:rsidRPr="00CA3ED5">
          <w:rPr>
            <w:rStyle w:val="Hyperlink"/>
            <w:rFonts w:ascii="Verdana" w:eastAsia="Times New Roman" w:hAnsi="Verdana" w:cs="Times New Roman"/>
            <w:bCs/>
            <w:noProof/>
            <w:lang w:val="es-ES"/>
          </w:rPr>
          <w:t>Parte lesionada</w:t>
        </w:r>
        <w:r w:rsidR="00EE697E" w:rsidRPr="00CA3ED5">
          <w:rPr>
            <w:rFonts w:ascii="Verdana" w:hAnsi="Verdana"/>
            <w:noProof/>
            <w:webHidden/>
          </w:rPr>
          <w:tab/>
        </w:r>
        <w:r w:rsidR="00EE697E" w:rsidRPr="00CA3ED5">
          <w:rPr>
            <w:rFonts w:ascii="Verdana" w:hAnsi="Verdana"/>
            <w:noProof/>
            <w:webHidden/>
          </w:rPr>
          <w:fldChar w:fldCharType="begin"/>
        </w:r>
        <w:r w:rsidR="00EE697E" w:rsidRPr="00CA3ED5">
          <w:rPr>
            <w:rFonts w:ascii="Verdana" w:hAnsi="Verdana"/>
            <w:noProof/>
            <w:webHidden/>
          </w:rPr>
          <w:instrText xml:space="preserve"> PAGEREF _Toc532995399 \h </w:instrText>
        </w:r>
        <w:r w:rsidR="00EE697E" w:rsidRPr="00CA3ED5">
          <w:rPr>
            <w:rFonts w:ascii="Verdana" w:hAnsi="Verdana"/>
            <w:noProof/>
            <w:webHidden/>
          </w:rPr>
        </w:r>
        <w:r w:rsidR="00EE697E" w:rsidRPr="00CA3ED5">
          <w:rPr>
            <w:rFonts w:ascii="Verdana" w:hAnsi="Verdana"/>
            <w:noProof/>
            <w:webHidden/>
          </w:rPr>
          <w:fldChar w:fldCharType="separate"/>
        </w:r>
        <w:r>
          <w:rPr>
            <w:rFonts w:ascii="Verdana" w:hAnsi="Verdana"/>
            <w:noProof/>
            <w:webHidden/>
          </w:rPr>
          <w:t>98</w:t>
        </w:r>
        <w:r w:rsidR="00EE697E" w:rsidRPr="00CA3ED5">
          <w:rPr>
            <w:rFonts w:ascii="Verdana" w:hAnsi="Verdana"/>
            <w:noProof/>
            <w:webHidden/>
          </w:rPr>
          <w:fldChar w:fldCharType="end"/>
        </w:r>
      </w:hyperlink>
    </w:p>
    <w:p w14:paraId="55C5C844" w14:textId="11646814" w:rsidR="00EE697E" w:rsidRPr="00CA3ED5" w:rsidRDefault="00380DD7" w:rsidP="00EE697E">
      <w:pPr>
        <w:pStyle w:val="TOC2"/>
        <w:tabs>
          <w:tab w:val="left" w:pos="880"/>
          <w:tab w:val="right" w:leader="dot" w:pos="9792"/>
        </w:tabs>
        <w:spacing w:line="240" w:lineRule="auto"/>
        <w:jc w:val="both"/>
        <w:rPr>
          <w:rFonts w:ascii="Verdana" w:eastAsiaTheme="minorEastAsia" w:hAnsi="Verdana"/>
          <w:smallCaps w:val="0"/>
          <w:noProof/>
          <w:lang w:val="es-CR" w:eastAsia="es-CR"/>
        </w:rPr>
      </w:pPr>
      <w:hyperlink w:anchor="_Toc532995400" w:history="1">
        <w:r w:rsidR="00EE697E" w:rsidRPr="00CA3ED5">
          <w:rPr>
            <w:rStyle w:val="Hyperlink"/>
            <w:rFonts w:ascii="Verdana" w:eastAsia="Times New Roman" w:hAnsi="Verdana" w:cs="Times New Roman"/>
            <w:bCs/>
            <w:noProof/>
            <w:lang w:val="es-ES"/>
          </w:rPr>
          <w:t>B.</w:t>
        </w:r>
        <w:r w:rsidR="00D04D10" w:rsidRPr="00CA3ED5">
          <w:rPr>
            <w:rFonts w:ascii="Verdana" w:eastAsiaTheme="minorEastAsia" w:hAnsi="Verdana"/>
            <w:smallCaps w:val="0"/>
            <w:noProof/>
            <w:lang w:val="es-CR" w:eastAsia="es-CR"/>
          </w:rPr>
          <w:t xml:space="preserve">    </w:t>
        </w:r>
        <w:r w:rsidR="00EE697E" w:rsidRPr="00CA3ED5">
          <w:rPr>
            <w:rStyle w:val="Hyperlink"/>
            <w:rFonts w:ascii="Verdana" w:eastAsia="Times New Roman" w:hAnsi="Verdana" w:cs="Times New Roman"/>
            <w:bCs/>
            <w:noProof/>
            <w:lang w:val="es-ES"/>
          </w:rPr>
          <w:t>Obligación de investigar los hechos e identificar y, en su caso, juzgar y sancionar a todos los responsables</w:t>
        </w:r>
        <w:r w:rsidR="00EE697E" w:rsidRPr="00CA3ED5">
          <w:rPr>
            <w:rFonts w:ascii="Verdana" w:hAnsi="Verdana"/>
            <w:noProof/>
            <w:webHidden/>
          </w:rPr>
          <w:tab/>
        </w:r>
        <w:r w:rsidR="00EE697E" w:rsidRPr="00CA3ED5">
          <w:rPr>
            <w:rFonts w:ascii="Verdana" w:hAnsi="Verdana"/>
            <w:noProof/>
            <w:webHidden/>
          </w:rPr>
          <w:fldChar w:fldCharType="begin"/>
        </w:r>
        <w:r w:rsidR="00EE697E" w:rsidRPr="00CA3ED5">
          <w:rPr>
            <w:rFonts w:ascii="Verdana" w:hAnsi="Verdana"/>
            <w:noProof/>
            <w:webHidden/>
          </w:rPr>
          <w:instrText xml:space="preserve"> PAGEREF _Toc532995400 \h </w:instrText>
        </w:r>
        <w:r w:rsidR="00EE697E" w:rsidRPr="00CA3ED5">
          <w:rPr>
            <w:rFonts w:ascii="Verdana" w:hAnsi="Verdana"/>
            <w:noProof/>
            <w:webHidden/>
          </w:rPr>
        </w:r>
        <w:r w:rsidR="00EE697E" w:rsidRPr="00CA3ED5">
          <w:rPr>
            <w:rFonts w:ascii="Verdana" w:hAnsi="Verdana"/>
            <w:noProof/>
            <w:webHidden/>
          </w:rPr>
          <w:fldChar w:fldCharType="separate"/>
        </w:r>
        <w:r>
          <w:rPr>
            <w:rFonts w:ascii="Verdana" w:hAnsi="Verdana"/>
            <w:noProof/>
            <w:webHidden/>
          </w:rPr>
          <w:t>99</w:t>
        </w:r>
        <w:r w:rsidR="00EE697E" w:rsidRPr="00CA3ED5">
          <w:rPr>
            <w:rFonts w:ascii="Verdana" w:hAnsi="Verdana"/>
            <w:noProof/>
            <w:webHidden/>
          </w:rPr>
          <w:fldChar w:fldCharType="end"/>
        </w:r>
      </w:hyperlink>
    </w:p>
    <w:p w14:paraId="1FA0B205" w14:textId="77777777" w:rsidR="00EE697E" w:rsidRPr="00CA3ED5" w:rsidRDefault="00380DD7" w:rsidP="00EE697E">
      <w:pPr>
        <w:pStyle w:val="TOC3"/>
        <w:tabs>
          <w:tab w:val="left" w:pos="1100"/>
          <w:tab w:val="right" w:leader="dot" w:pos="9792"/>
        </w:tabs>
        <w:spacing w:line="240" w:lineRule="auto"/>
        <w:jc w:val="both"/>
        <w:rPr>
          <w:rFonts w:ascii="Verdana" w:eastAsiaTheme="minorEastAsia" w:hAnsi="Verdana"/>
          <w:i w:val="0"/>
          <w:iCs w:val="0"/>
          <w:noProof/>
          <w:lang w:val="es-CR" w:eastAsia="es-CR"/>
        </w:rPr>
      </w:pPr>
      <w:hyperlink w:anchor="_Toc532995401" w:history="1">
        <w:r w:rsidR="00EE697E" w:rsidRPr="00CA3ED5">
          <w:rPr>
            <w:rStyle w:val="Hyperlink"/>
            <w:rFonts w:ascii="Verdana" w:hAnsi="Verdana"/>
            <w:i w:val="0"/>
            <w:noProof/>
          </w:rPr>
          <w:t>B.1.</w:t>
        </w:r>
        <w:r w:rsidR="00EE697E" w:rsidRPr="00CA3ED5">
          <w:rPr>
            <w:rFonts w:ascii="Verdana" w:eastAsiaTheme="minorEastAsia" w:hAnsi="Verdana"/>
            <w:i w:val="0"/>
            <w:iCs w:val="0"/>
            <w:noProof/>
            <w:lang w:val="es-CR" w:eastAsia="es-CR"/>
          </w:rPr>
          <w:tab/>
        </w:r>
        <w:r w:rsidR="00EE697E" w:rsidRPr="00CA3ED5">
          <w:rPr>
            <w:rStyle w:val="Hyperlink"/>
            <w:rFonts w:ascii="Verdana" w:hAnsi="Verdana"/>
            <w:i w:val="0"/>
            <w:noProof/>
          </w:rPr>
          <w:t>Determinación del paradero de las víctimas</w:t>
        </w:r>
        <w:r w:rsidR="00EE697E" w:rsidRPr="00CA3ED5">
          <w:rPr>
            <w:rFonts w:ascii="Verdana" w:hAnsi="Verdana"/>
            <w:i w:val="0"/>
            <w:noProof/>
            <w:webHidden/>
          </w:rPr>
          <w:tab/>
        </w:r>
        <w:r w:rsidR="00EE697E" w:rsidRPr="00CA3ED5">
          <w:rPr>
            <w:rFonts w:ascii="Verdana" w:hAnsi="Verdana"/>
            <w:i w:val="0"/>
            <w:noProof/>
            <w:webHidden/>
          </w:rPr>
          <w:fldChar w:fldCharType="begin"/>
        </w:r>
        <w:r w:rsidR="00EE697E" w:rsidRPr="00CA3ED5">
          <w:rPr>
            <w:rFonts w:ascii="Verdana" w:hAnsi="Verdana"/>
            <w:i w:val="0"/>
            <w:noProof/>
            <w:webHidden/>
          </w:rPr>
          <w:instrText xml:space="preserve"> PAGEREF _Toc532995401 \h </w:instrText>
        </w:r>
        <w:r w:rsidR="00EE697E" w:rsidRPr="00CA3ED5">
          <w:rPr>
            <w:rFonts w:ascii="Verdana" w:hAnsi="Verdana"/>
            <w:i w:val="0"/>
            <w:noProof/>
            <w:webHidden/>
          </w:rPr>
        </w:r>
        <w:r w:rsidR="00EE697E" w:rsidRPr="00CA3ED5">
          <w:rPr>
            <w:rFonts w:ascii="Verdana" w:hAnsi="Verdana"/>
            <w:i w:val="0"/>
            <w:noProof/>
            <w:webHidden/>
          </w:rPr>
          <w:fldChar w:fldCharType="separate"/>
        </w:r>
        <w:r>
          <w:rPr>
            <w:rFonts w:ascii="Verdana" w:hAnsi="Verdana"/>
            <w:i w:val="0"/>
            <w:noProof/>
            <w:webHidden/>
          </w:rPr>
          <w:t>100</w:t>
        </w:r>
        <w:r w:rsidR="00EE697E" w:rsidRPr="00CA3ED5">
          <w:rPr>
            <w:rFonts w:ascii="Verdana" w:hAnsi="Verdana"/>
            <w:i w:val="0"/>
            <w:noProof/>
            <w:webHidden/>
          </w:rPr>
          <w:fldChar w:fldCharType="end"/>
        </w:r>
      </w:hyperlink>
    </w:p>
    <w:p w14:paraId="72DA3112" w14:textId="53F973C6" w:rsidR="00EE697E" w:rsidRPr="00CA3ED5" w:rsidRDefault="00380DD7" w:rsidP="00EE697E">
      <w:pPr>
        <w:pStyle w:val="TOC3"/>
        <w:tabs>
          <w:tab w:val="left" w:pos="1100"/>
          <w:tab w:val="right" w:leader="dot" w:pos="9792"/>
        </w:tabs>
        <w:spacing w:line="240" w:lineRule="auto"/>
        <w:jc w:val="both"/>
        <w:rPr>
          <w:rFonts w:ascii="Verdana" w:eastAsiaTheme="minorEastAsia" w:hAnsi="Verdana"/>
          <w:i w:val="0"/>
          <w:iCs w:val="0"/>
          <w:noProof/>
          <w:lang w:val="es-CR" w:eastAsia="es-CR"/>
        </w:rPr>
      </w:pPr>
      <w:hyperlink w:anchor="_Toc532995402" w:history="1">
        <w:r w:rsidR="00EE697E" w:rsidRPr="00CA3ED5">
          <w:rPr>
            <w:rStyle w:val="Hyperlink"/>
            <w:rFonts w:ascii="Verdana" w:hAnsi="Verdana"/>
            <w:i w:val="0"/>
            <w:noProof/>
          </w:rPr>
          <w:t>B.2.</w:t>
        </w:r>
        <w:r w:rsidR="00EE697E" w:rsidRPr="00CA3ED5">
          <w:rPr>
            <w:rFonts w:ascii="Verdana" w:eastAsiaTheme="minorEastAsia" w:hAnsi="Verdana"/>
            <w:i w:val="0"/>
            <w:iCs w:val="0"/>
            <w:noProof/>
            <w:lang w:val="es-CR" w:eastAsia="es-CR"/>
          </w:rPr>
          <w:tab/>
        </w:r>
        <w:r w:rsidR="00EE697E" w:rsidRPr="00CA3ED5">
          <w:rPr>
            <w:rStyle w:val="Hyperlink"/>
            <w:rFonts w:ascii="Verdana" w:hAnsi="Verdana"/>
            <w:i w:val="0"/>
            <w:noProof/>
          </w:rPr>
          <w:t>Investigaciones y determinación de responsabilidades</w:t>
        </w:r>
        <w:r w:rsidR="00EE697E" w:rsidRPr="00CA3ED5">
          <w:rPr>
            <w:rFonts w:ascii="Verdana" w:hAnsi="Verdana"/>
            <w:i w:val="0"/>
            <w:noProof/>
            <w:webHidden/>
          </w:rPr>
          <w:tab/>
        </w:r>
        <w:r w:rsidR="00EE697E" w:rsidRPr="00CA3ED5">
          <w:rPr>
            <w:rFonts w:ascii="Verdana" w:hAnsi="Verdana"/>
            <w:i w:val="0"/>
            <w:noProof/>
            <w:webHidden/>
          </w:rPr>
          <w:fldChar w:fldCharType="begin"/>
        </w:r>
        <w:r w:rsidR="00EE697E" w:rsidRPr="00CA3ED5">
          <w:rPr>
            <w:rFonts w:ascii="Verdana" w:hAnsi="Verdana"/>
            <w:i w:val="0"/>
            <w:noProof/>
            <w:webHidden/>
          </w:rPr>
          <w:instrText xml:space="preserve"> PAGEREF _Toc532995402 \h </w:instrText>
        </w:r>
        <w:r w:rsidR="00EE697E" w:rsidRPr="00CA3ED5">
          <w:rPr>
            <w:rFonts w:ascii="Verdana" w:hAnsi="Verdana"/>
            <w:i w:val="0"/>
            <w:noProof/>
            <w:webHidden/>
          </w:rPr>
        </w:r>
        <w:r w:rsidR="00EE697E" w:rsidRPr="00CA3ED5">
          <w:rPr>
            <w:rFonts w:ascii="Verdana" w:hAnsi="Verdana"/>
            <w:i w:val="0"/>
            <w:noProof/>
            <w:webHidden/>
          </w:rPr>
          <w:fldChar w:fldCharType="separate"/>
        </w:r>
        <w:r>
          <w:rPr>
            <w:rFonts w:ascii="Verdana" w:hAnsi="Verdana"/>
            <w:i w:val="0"/>
            <w:noProof/>
            <w:webHidden/>
          </w:rPr>
          <w:t>100</w:t>
        </w:r>
        <w:r w:rsidR="00EE697E" w:rsidRPr="00CA3ED5">
          <w:rPr>
            <w:rFonts w:ascii="Verdana" w:hAnsi="Verdana"/>
            <w:i w:val="0"/>
            <w:noProof/>
            <w:webHidden/>
          </w:rPr>
          <w:fldChar w:fldCharType="end"/>
        </w:r>
      </w:hyperlink>
    </w:p>
    <w:p w14:paraId="379975C7" w14:textId="22E37C77" w:rsidR="00EE697E" w:rsidRPr="00CA3ED5" w:rsidRDefault="00380DD7" w:rsidP="00EE697E">
      <w:pPr>
        <w:pStyle w:val="TOC2"/>
        <w:tabs>
          <w:tab w:val="left" w:pos="660"/>
          <w:tab w:val="right" w:leader="dot" w:pos="9792"/>
        </w:tabs>
        <w:spacing w:line="240" w:lineRule="auto"/>
        <w:jc w:val="both"/>
        <w:rPr>
          <w:rFonts w:ascii="Verdana" w:eastAsiaTheme="minorEastAsia" w:hAnsi="Verdana"/>
          <w:smallCaps w:val="0"/>
          <w:noProof/>
          <w:lang w:val="es-CR" w:eastAsia="es-CR"/>
        </w:rPr>
      </w:pPr>
      <w:hyperlink w:anchor="_Toc532995403" w:history="1">
        <w:r w:rsidR="00EE697E" w:rsidRPr="00CA3ED5">
          <w:rPr>
            <w:rStyle w:val="Hyperlink"/>
            <w:rFonts w:ascii="Verdana" w:eastAsia="Times New Roman" w:hAnsi="Verdana" w:cs="Times New Roman"/>
            <w:bCs/>
            <w:noProof/>
            <w:lang w:val="es-ES"/>
          </w:rPr>
          <w:t>C.</w:t>
        </w:r>
        <w:r w:rsidR="00EE697E" w:rsidRPr="00CA3ED5">
          <w:rPr>
            <w:rFonts w:ascii="Verdana" w:eastAsiaTheme="minorEastAsia" w:hAnsi="Verdana"/>
            <w:smallCaps w:val="0"/>
            <w:noProof/>
            <w:lang w:val="es-CR" w:eastAsia="es-CR"/>
          </w:rPr>
          <w:tab/>
        </w:r>
        <w:r w:rsidR="00D04D10" w:rsidRPr="00CA3ED5">
          <w:rPr>
            <w:rFonts w:ascii="Verdana" w:eastAsiaTheme="minorEastAsia" w:hAnsi="Verdana"/>
            <w:smallCaps w:val="0"/>
            <w:noProof/>
            <w:lang w:val="es-CR" w:eastAsia="es-CR"/>
          </w:rPr>
          <w:t xml:space="preserve"> </w:t>
        </w:r>
        <w:r w:rsidR="00EE697E" w:rsidRPr="00CA3ED5">
          <w:rPr>
            <w:rStyle w:val="Hyperlink"/>
            <w:rFonts w:ascii="Verdana" w:eastAsia="Times New Roman" w:hAnsi="Verdana" w:cs="Times New Roman"/>
            <w:bCs/>
            <w:noProof/>
            <w:lang w:val="es-ES"/>
          </w:rPr>
          <w:t>Rehabilitación</w:t>
        </w:r>
        <w:r w:rsidR="00EE697E" w:rsidRPr="00CA3ED5">
          <w:rPr>
            <w:rFonts w:ascii="Verdana" w:hAnsi="Verdana"/>
            <w:noProof/>
            <w:webHidden/>
          </w:rPr>
          <w:tab/>
        </w:r>
        <w:r w:rsidR="00EE697E" w:rsidRPr="00CA3ED5">
          <w:rPr>
            <w:rFonts w:ascii="Verdana" w:hAnsi="Verdana"/>
            <w:noProof/>
            <w:webHidden/>
          </w:rPr>
          <w:fldChar w:fldCharType="begin"/>
        </w:r>
        <w:r w:rsidR="00EE697E" w:rsidRPr="00CA3ED5">
          <w:rPr>
            <w:rFonts w:ascii="Verdana" w:hAnsi="Verdana"/>
            <w:noProof/>
            <w:webHidden/>
          </w:rPr>
          <w:instrText xml:space="preserve"> PAGEREF _Toc532995403 \h </w:instrText>
        </w:r>
        <w:r w:rsidR="00EE697E" w:rsidRPr="00CA3ED5">
          <w:rPr>
            <w:rFonts w:ascii="Verdana" w:hAnsi="Verdana"/>
            <w:noProof/>
            <w:webHidden/>
          </w:rPr>
        </w:r>
        <w:r w:rsidR="00EE697E" w:rsidRPr="00CA3ED5">
          <w:rPr>
            <w:rFonts w:ascii="Verdana" w:hAnsi="Verdana"/>
            <w:noProof/>
            <w:webHidden/>
          </w:rPr>
          <w:fldChar w:fldCharType="separate"/>
        </w:r>
        <w:r>
          <w:rPr>
            <w:rFonts w:ascii="Verdana" w:hAnsi="Verdana"/>
            <w:noProof/>
            <w:webHidden/>
          </w:rPr>
          <w:t>102</w:t>
        </w:r>
        <w:r w:rsidR="00EE697E" w:rsidRPr="00CA3ED5">
          <w:rPr>
            <w:rFonts w:ascii="Verdana" w:hAnsi="Verdana"/>
            <w:noProof/>
            <w:webHidden/>
          </w:rPr>
          <w:fldChar w:fldCharType="end"/>
        </w:r>
      </w:hyperlink>
    </w:p>
    <w:p w14:paraId="15481EE6" w14:textId="23DB543A" w:rsidR="00EE697E" w:rsidRPr="00CA3ED5" w:rsidRDefault="00380DD7" w:rsidP="00EE697E">
      <w:pPr>
        <w:pStyle w:val="TOC2"/>
        <w:tabs>
          <w:tab w:val="left" w:pos="880"/>
          <w:tab w:val="right" w:leader="dot" w:pos="9792"/>
        </w:tabs>
        <w:spacing w:line="240" w:lineRule="auto"/>
        <w:jc w:val="both"/>
        <w:rPr>
          <w:rFonts w:ascii="Verdana" w:eastAsiaTheme="minorEastAsia" w:hAnsi="Verdana"/>
          <w:smallCaps w:val="0"/>
          <w:noProof/>
          <w:lang w:val="es-CR" w:eastAsia="es-CR"/>
        </w:rPr>
      </w:pPr>
      <w:hyperlink w:anchor="_Toc532995404" w:history="1">
        <w:r w:rsidR="00EE697E" w:rsidRPr="00CA3ED5">
          <w:rPr>
            <w:rStyle w:val="Hyperlink"/>
            <w:rFonts w:ascii="Verdana" w:hAnsi="Verdana" w:cs="Times New Roman"/>
            <w:noProof/>
            <w:lang w:val="es-EC"/>
          </w:rPr>
          <w:t>D.</w:t>
        </w:r>
        <w:r w:rsidR="00D04D10" w:rsidRPr="00CA3ED5">
          <w:rPr>
            <w:rFonts w:ascii="Verdana" w:eastAsiaTheme="minorEastAsia" w:hAnsi="Verdana"/>
            <w:smallCaps w:val="0"/>
            <w:noProof/>
            <w:lang w:val="es-CR" w:eastAsia="es-CR"/>
          </w:rPr>
          <w:t xml:space="preserve">    </w:t>
        </w:r>
        <w:r w:rsidR="00EE697E" w:rsidRPr="00CA3ED5">
          <w:rPr>
            <w:rStyle w:val="Hyperlink"/>
            <w:rFonts w:ascii="Verdana" w:eastAsia="Times New Roman" w:hAnsi="Verdana" w:cs="Times New Roman"/>
            <w:bCs/>
            <w:noProof/>
            <w:lang w:val="es-ES"/>
          </w:rPr>
          <w:t>Medidas de satisfacción</w:t>
        </w:r>
        <w:r w:rsidR="00EE697E" w:rsidRPr="00CA3ED5">
          <w:rPr>
            <w:rFonts w:ascii="Verdana" w:hAnsi="Verdana"/>
            <w:noProof/>
            <w:webHidden/>
          </w:rPr>
          <w:tab/>
        </w:r>
        <w:r w:rsidR="00EE697E" w:rsidRPr="00CA3ED5">
          <w:rPr>
            <w:rFonts w:ascii="Verdana" w:hAnsi="Verdana"/>
            <w:noProof/>
            <w:webHidden/>
          </w:rPr>
          <w:fldChar w:fldCharType="begin"/>
        </w:r>
        <w:r w:rsidR="00EE697E" w:rsidRPr="00CA3ED5">
          <w:rPr>
            <w:rFonts w:ascii="Verdana" w:hAnsi="Verdana"/>
            <w:noProof/>
            <w:webHidden/>
          </w:rPr>
          <w:instrText xml:space="preserve"> PAGEREF _Toc532995404 \h </w:instrText>
        </w:r>
        <w:r w:rsidR="00EE697E" w:rsidRPr="00CA3ED5">
          <w:rPr>
            <w:rFonts w:ascii="Verdana" w:hAnsi="Verdana"/>
            <w:noProof/>
            <w:webHidden/>
          </w:rPr>
        </w:r>
        <w:r w:rsidR="00EE697E" w:rsidRPr="00CA3ED5">
          <w:rPr>
            <w:rFonts w:ascii="Verdana" w:hAnsi="Verdana"/>
            <w:noProof/>
            <w:webHidden/>
          </w:rPr>
          <w:fldChar w:fldCharType="separate"/>
        </w:r>
        <w:r>
          <w:rPr>
            <w:rFonts w:ascii="Verdana" w:hAnsi="Verdana"/>
            <w:noProof/>
            <w:webHidden/>
          </w:rPr>
          <w:t>102</w:t>
        </w:r>
        <w:r w:rsidR="00EE697E" w:rsidRPr="00CA3ED5">
          <w:rPr>
            <w:rFonts w:ascii="Verdana" w:hAnsi="Verdana"/>
            <w:noProof/>
            <w:webHidden/>
          </w:rPr>
          <w:fldChar w:fldCharType="end"/>
        </w:r>
      </w:hyperlink>
    </w:p>
    <w:p w14:paraId="0AD61B99" w14:textId="303AF669" w:rsidR="00EE697E" w:rsidRPr="00CA3ED5" w:rsidRDefault="00380DD7" w:rsidP="00EE697E">
      <w:pPr>
        <w:pStyle w:val="TOC3"/>
        <w:tabs>
          <w:tab w:val="left" w:pos="1100"/>
          <w:tab w:val="right" w:leader="dot" w:pos="9792"/>
        </w:tabs>
        <w:spacing w:line="240" w:lineRule="auto"/>
        <w:jc w:val="both"/>
        <w:rPr>
          <w:rFonts w:ascii="Verdana" w:eastAsiaTheme="minorEastAsia" w:hAnsi="Verdana"/>
          <w:i w:val="0"/>
          <w:iCs w:val="0"/>
          <w:noProof/>
          <w:lang w:val="es-CR" w:eastAsia="es-CR"/>
        </w:rPr>
      </w:pPr>
      <w:hyperlink w:anchor="_Toc532995405" w:history="1">
        <w:r w:rsidR="00EE697E" w:rsidRPr="00CA3ED5">
          <w:rPr>
            <w:rStyle w:val="Hyperlink"/>
            <w:rFonts w:ascii="Verdana" w:hAnsi="Verdana"/>
            <w:i w:val="0"/>
            <w:noProof/>
          </w:rPr>
          <w:t>D.1.</w:t>
        </w:r>
        <w:r w:rsidR="00EE697E" w:rsidRPr="00CA3ED5">
          <w:rPr>
            <w:rFonts w:ascii="Verdana" w:eastAsiaTheme="minorEastAsia" w:hAnsi="Verdana"/>
            <w:i w:val="0"/>
            <w:iCs w:val="0"/>
            <w:noProof/>
            <w:lang w:val="es-CR" w:eastAsia="es-CR"/>
          </w:rPr>
          <w:tab/>
        </w:r>
        <w:r w:rsidR="00EE697E" w:rsidRPr="00CA3ED5">
          <w:rPr>
            <w:rStyle w:val="Hyperlink"/>
            <w:rFonts w:ascii="Verdana" w:hAnsi="Verdana"/>
            <w:i w:val="0"/>
            <w:noProof/>
          </w:rPr>
          <w:t>Acto público de reconocimiento de responsabilidad internacional</w:t>
        </w:r>
        <w:r w:rsidR="00EE697E" w:rsidRPr="00CA3ED5">
          <w:rPr>
            <w:rFonts w:ascii="Verdana" w:hAnsi="Verdana"/>
            <w:i w:val="0"/>
            <w:noProof/>
            <w:webHidden/>
          </w:rPr>
          <w:tab/>
        </w:r>
        <w:r w:rsidR="00EE697E" w:rsidRPr="00CA3ED5">
          <w:rPr>
            <w:rFonts w:ascii="Verdana" w:hAnsi="Verdana"/>
            <w:i w:val="0"/>
            <w:noProof/>
            <w:webHidden/>
          </w:rPr>
          <w:fldChar w:fldCharType="begin"/>
        </w:r>
        <w:r w:rsidR="00EE697E" w:rsidRPr="00CA3ED5">
          <w:rPr>
            <w:rFonts w:ascii="Verdana" w:hAnsi="Verdana"/>
            <w:i w:val="0"/>
            <w:noProof/>
            <w:webHidden/>
          </w:rPr>
          <w:instrText xml:space="preserve"> PAGEREF _Toc532995405 \h </w:instrText>
        </w:r>
        <w:r w:rsidR="00EE697E" w:rsidRPr="00CA3ED5">
          <w:rPr>
            <w:rFonts w:ascii="Verdana" w:hAnsi="Verdana"/>
            <w:i w:val="0"/>
            <w:noProof/>
            <w:webHidden/>
          </w:rPr>
        </w:r>
        <w:r w:rsidR="00EE697E" w:rsidRPr="00CA3ED5">
          <w:rPr>
            <w:rFonts w:ascii="Verdana" w:hAnsi="Verdana"/>
            <w:i w:val="0"/>
            <w:noProof/>
            <w:webHidden/>
          </w:rPr>
          <w:fldChar w:fldCharType="separate"/>
        </w:r>
        <w:r>
          <w:rPr>
            <w:rFonts w:ascii="Verdana" w:hAnsi="Verdana"/>
            <w:i w:val="0"/>
            <w:noProof/>
            <w:webHidden/>
          </w:rPr>
          <w:t>103</w:t>
        </w:r>
        <w:r w:rsidR="00EE697E" w:rsidRPr="00CA3ED5">
          <w:rPr>
            <w:rFonts w:ascii="Verdana" w:hAnsi="Verdana"/>
            <w:i w:val="0"/>
            <w:noProof/>
            <w:webHidden/>
          </w:rPr>
          <w:fldChar w:fldCharType="end"/>
        </w:r>
      </w:hyperlink>
    </w:p>
    <w:p w14:paraId="52ED7F58" w14:textId="610BDC9B" w:rsidR="00EE697E" w:rsidRPr="00CA3ED5" w:rsidRDefault="00380DD7" w:rsidP="00EE697E">
      <w:pPr>
        <w:pStyle w:val="TOC3"/>
        <w:tabs>
          <w:tab w:val="left" w:pos="1100"/>
          <w:tab w:val="right" w:leader="dot" w:pos="9792"/>
        </w:tabs>
        <w:spacing w:line="240" w:lineRule="auto"/>
        <w:jc w:val="both"/>
        <w:rPr>
          <w:rFonts w:ascii="Verdana" w:eastAsiaTheme="minorEastAsia" w:hAnsi="Verdana"/>
          <w:i w:val="0"/>
          <w:iCs w:val="0"/>
          <w:noProof/>
          <w:lang w:val="es-CR" w:eastAsia="es-CR"/>
        </w:rPr>
      </w:pPr>
      <w:hyperlink w:anchor="_Toc532995406" w:history="1">
        <w:r w:rsidR="00EE697E" w:rsidRPr="00CA3ED5">
          <w:rPr>
            <w:rStyle w:val="Hyperlink"/>
            <w:rFonts w:ascii="Verdana" w:hAnsi="Verdana"/>
            <w:i w:val="0"/>
            <w:noProof/>
            <w:lang w:val="es-ES"/>
          </w:rPr>
          <w:t>D.2.</w:t>
        </w:r>
        <w:r w:rsidR="00EE697E" w:rsidRPr="00CA3ED5">
          <w:rPr>
            <w:rFonts w:ascii="Verdana" w:eastAsiaTheme="minorEastAsia" w:hAnsi="Verdana"/>
            <w:i w:val="0"/>
            <w:iCs w:val="0"/>
            <w:noProof/>
            <w:lang w:val="es-CR" w:eastAsia="es-CR"/>
          </w:rPr>
          <w:tab/>
        </w:r>
        <w:r w:rsidR="00EE697E" w:rsidRPr="00CA3ED5">
          <w:rPr>
            <w:rStyle w:val="Hyperlink"/>
            <w:rFonts w:ascii="Verdana" w:hAnsi="Verdana"/>
            <w:i w:val="0"/>
            <w:noProof/>
            <w:lang w:val="es-ES"/>
          </w:rPr>
          <w:t>Publicación y difusión de la Sentencia</w:t>
        </w:r>
        <w:r w:rsidR="00EE697E" w:rsidRPr="00CA3ED5">
          <w:rPr>
            <w:rFonts w:ascii="Verdana" w:hAnsi="Verdana"/>
            <w:i w:val="0"/>
            <w:noProof/>
            <w:webHidden/>
          </w:rPr>
          <w:tab/>
        </w:r>
        <w:r w:rsidR="00EE697E" w:rsidRPr="00CA3ED5">
          <w:rPr>
            <w:rFonts w:ascii="Verdana" w:hAnsi="Verdana"/>
            <w:i w:val="0"/>
            <w:noProof/>
            <w:webHidden/>
          </w:rPr>
          <w:fldChar w:fldCharType="begin"/>
        </w:r>
        <w:r w:rsidR="00EE697E" w:rsidRPr="00CA3ED5">
          <w:rPr>
            <w:rFonts w:ascii="Verdana" w:hAnsi="Verdana"/>
            <w:i w:val="0"/>
            <w:noProof/>
            <w:webHidden/>
          </w:rPr>
          <w:instrText xml:space="preserve"> PAGEREF _Toc532995406 \h </w:instrText>
        </w:r>
        <w:r w:rsidR="00EE697E" w:rsidRPr="00CA3ED5">
          <w:rPr>
            <w:rFonts w:ascii="Verdana" w:hAnsi="Verdana"/>
            <w:i w:val="0"/>
            <w:noProof/>
            <w:webHidden/>
          </w:rPr>
        </w:r>
        <w:r w:rsidR="00EE697E" w:rsidRPr="00CA3ED5">
          <w:rPr>
            <w:rFonts w:ascii="Verdana" w:hAnsi="Verdana"/>
            <w:i w:val="0"/>
            <w:noProof/>
            <w:webHidden/>
          </w:rPr>
          <w:fldChar w:fldCharType="separate"/>
        </w:r>
        <w:r>
          <w:rPr>
            <w:rFonts w:ascii="Verdana" w:hAnsi="Verdana"/>
            <w:i w:val="0"/>
            <w:noProof/>
            <w:webHidden/>
          </w:rPr>
          <w:t>103</w:t>
        </w:r>
        <w:r w:rsidR="00EE697E" w:rsidRPr="00CA3ED5">
          <w:rPr>
            <w:rFonts w:ascii="Verdana" w:hAnsi="Verdana"/>
            <w:i w:val="0"/>
            <w:noProof/>
            <w:webHidden/>
          </w:rPr>
          <w:fldChar w:fldCharType="end"/>
        </w:r>
      </w:hyperlink>
    </w:p>
    <w:p w14:paraId="7C3B26BC" w14:textId="77777777" w:rsidR="00EE697E" w:rsidRPr="00CA3ED5" w:rsidRDefault="00380DD7" w:rsidP="00EE697E">
      <w:pPr>
        <w:pStyle w:val="TOC3"/>
        <w:tabs>
          <w:tab w:val="left" w:pos="1100"/>
          <w:tab w:val="right" w:leader="dot" w:pos="9792"/>
        </w:tabs>
        <w:spacing w:line="240" w:lineRule="auto"/>
        <w:jc w:val="both"/>
        <w:rPr>
          <w:rFonts w:ascii="Verdana" w:eastAsiaTheme="minorEastAsia" w:hAnsi="Verdana"/>
          <w:i w:val="0"/>
          <w:iCs w:val="0"/>
          <w:noProof/>
          <w:lang w:val="es-CR" w:eastAsia="es-CR"/>
        </w:rPr>
      </w:pPr>
      <w:hyperlink w:anchor="_Toc532995407" w:history="1">
        <w:r w:rsidR="00EE697E" w:rsidRPr="00CA3ED5">
          <w:rPr>
            <w:rStyle w:val="Hyperlink"/>
            <w:rFonts w:ascii="Verdana" w:hAnsi="Verdana"/>
            <w:i w:val="0"/>
            <w:noProof/>
            <w:lang w:val="es-ES"/>
          </w:rPr>
          <w:t>D.3.</w:t>
        </w:r>
        <w:r w:rsidR="00EE697E" w:rsidRPr="00CA3ED5">
          <w:rPr>
            <w:rFonts w:ascii="Verdana" w:eastAsiaTheme="minorEastAsia" w:hAnsi="Verdana"/>
            <w:i w:val="0"/>
            <w:iCs w:val="0"/>
            <w:noProof/>
            <w:lang w:val="es-CR" w:eastAsia="es-CR"/>
          </w:rPr>
          <w:tab/>
        </w:r>
        <w:r w:rsidR="00EE697E" w:rsidRPr="00CA3ED5">
          <w:rPr>
            <w:rStyle w:val="Hyperlink"/>
            <w:rFonts w:ascii="Verdana" w:hAnsi="Verdana"/>
            <w:i w:val="0"/>
            <w:noProof/>
            <w:lang w:val="es-ES"/>
          </w:rPr>
          <w:t>Daño a los proyectos de vida</w:t>
        </w:r>
        <w:r w:rsidR="00EE697E" w:rsidRPr="00CA3ED5">
          <w:rPr>
            <w:rFonts w:ascii="Verdana" w:hAnsi="Verdana"/>
            <w:i w:val="0"/>
            <w:noProof/>
            <w:webHidden/>
          </w:rPr>
          <w:tab/>
        </w:r>
        <w:r w:rsidR="00EE697E" w:rsidRPr="00CA3ED5">
          <w:rPr>
            <w:rFonts w:ascii="Verdana" w:hAnsi="Verdana"/>
            <w:i w:val="0"/>
            <w:noProof/>
            <w:webHidden/>
          </w:rPr>
          <w:fldChar w:fldCharType="begin"/>
        </w:r>
        <w:r w:rsidR="00EE697E" w:rsidRPr="00CA3ED5">
          <w:rPr>
            <w:rFonts w:ascii="Verdana" w:hAnsi="Verdana"/>
            <w:i w:val="0"/>
            <w:noProof/>
            <w:webHidden/>
          </w:rPr>
          <w:instrText xml:space="preserve"> PAGEREF _Toc532995407 \h </w:instrText>
        </w:r>
        <w:r w:rsidR="00EE697E" w:rsidRPr="00CA3ED5">
          <w:rPr>
            <w:rFonts w:ascii="Verdana" w:hAnsi="Verdana"/>
            <w:i w:val="0"/>
            <w:noProof/>
            <w:webHidden/>
          </w:rPr>
        </w:r>
        <w:r w:rsidR="00EE697E" w:rsidRPr="00CA3ED5">
          <w:rPr>
            <w:rFonts w:ascii="Verdana" w:hAnsi="Verdana"/>
            <w:i w:val="0"/>
            <w:noProof/>
            <w:webHidden/>
          </w:rPr>
          <w:fldChar w:fldCharType="separate"/>
        </w:r>
        <w:r>
          <w:rPr>
            <w:rFonts w:ascii="Verdana" w:hAnsi="Verdana"/>
            <w:i w:val="0"/>
            <w:noProof/>
            <w:webHidden/>
          </w:rPr>
          <w:t>104</w:t>
        </w:r>
        <w:r w:rsidR="00EE697E" w:rsidRPr="00CA3ED5">
          <w:rPr>
            <w:rFonts w:ascii="Verdana" w:hAnsi="Verdana"/>
            <w:i w:val="0"/>
            <w:noProof/>
            <w:webHidden/>
          </w:rPr>
          <w:fldChar w:fldCharType="end"/>
        </w:r>
      </w:hyperlink>
    </w:p>
    <w:p w14:paraId="0449FD5A" w14:textId="12D4B48F" w:rsidR="00EE697E" w:rsidRPr="00CA3ED5" w:rsidRDefault="00380DD7" w:rsidP="00EE697E">
      <w:pPr>
        <w:pStyle w:val="TOC2"/>
        <w:tabs>
          <w:tab w:val="left" w:pos="660"/>
          <w:tab w:val="right" w:leader="dot" w:pos="9792"/>
        </w:tabs>
        <w:spacing w:line="240" w:lineRule="auto"/>
        <w:jc w:val="both"/>
        <w:rPr>
          <w:rFonts w:ascii="Verdana" w:eastAsiaTheme="minorEastAsia" w:hAnsi="Verdana"/>
          <w:smallCaps w:val="0"/>
          <w:noProof/>
          <w:lang w:val="es-CR" w:eastAsia="es-CR"/>
        </w:rPr>
      </w:pPr>
      <w:hyperlink w:anchor="_Toc532995408" w:history="1">
        <w:r w:rsidR="00EE697E" w:rsidRPr="00CA3ED5">
          <w:rPr>
            <w:rStyle w:val="Hyperlink"/>
            <w:rFonts w:ascii="Verdana" w:eastAsia="Times New Roman" w:hAnsi="Verdana" w:cs="Times New Roman"/>
            <w:bCs/>
            <w:noProof/>
            <w:lang w:val="es-ES"/>
          </w:rPr>
          <w:t>E.</w:t>
        </w:r>
        <w:r w:rsidR="00D04D10" w:rsidRPr="00CA3ED5">
          <w:rPr>
            <w:rFonts w:ascii="Verdana" w:eastAsiaTheme="minorEastAsia" w:hAnsi="Verdana"/>
            <w:smallCaps w:val="0"/>
            <w:noProof/>
            <w:lang w:val="es-CR" w:eastAsia="es-CR"/>
          </w:rPr>
          <w:t xml:space="preserve">    </w:t>
        </w:r>
        <w:r w:rsidR="00EE697E" w:rsidRPr="00CA3ED5">
          <w:rPr>
            <w:rStyle w:val="Hyperlink"/>
            <w:rFonts w:ascii="Verdana" w:eastAsia="Times New Roman" w:hAnsi="Verdana" w:cs="Times New Roman"/>
            <w:bCs/>
            <w:noProof/>
            <w:lang w:val="es-ES"/>
          </w:rPr>
          <w:t>Garantías de no repetición</w:t>
        </w:r>
        <w:r w:rsidR="00EE697E" w:rsidRPr="00CA3ED5">
          <w:rPr>
            <w:rFonts w:ascii="Verdana" w:hAnsi="Verdana"/>
            <w:noProof/>
            <w:webHidden/>
          </w:rPr>
          <w:tab/>
        </w:r>
        <w:r w:rsidR="00EE697E" w:rsidRPr="00CA3ED5">
          <w:rPr>
            <w:rFonts w:ascii="Verdana" w:hAnsi="Verdana"/>
            <w:noProof/>
            <w:webHidden/>
          </w:rPr>
          <w:fldChar w:fldCharType="begin"/>
        </w:r>
        <w:r w:rsidR="00EE697E" w:rsidRPr="00CA3ED5">
          <w:rPr>
            <w:rFonts w:ascii="Verdana" w:hAnsi="Verdana"/>
            <w:noProof/>
            <w:webHidden/>
          </w:rPr>
          <w:instrText xml:space="preserve"> PAGEREF _Toc532995408 \h </w:instrText>
        </w:r>
        <w:r w:rsidR="00EE697E" w:rsidRPr="00CA3ED5">
          <w:rPr>
            <w:rFonts w:ascii="Verdana" w:hAnsi="Verdana"/>
            <w:noProof/>
            <w:webHidden/>
          </w:rPr>
        </w:r>
        <w:r w:rsidR="00EE697E" w:rsidRPr="00CA3ED5">
          <w:rPr>
            <w:rFonts w:ascii="Verdana" w:hAnsi="Verdana"/>
            <w:noProof/>
            <w:webHidden/>
          </w:rPr>
          <w:fldChar w:fldCharType="separate"/>
        </w:r>
        <w:r>
          <w:rPr>
            <w:rFonts w:ascii="Verdana" w:hAnsi="Verdana"/>
            <w:noProof/>
            <w:webHidden/>
          </w:rPr>
          <w:t>105</w:t>
        </w:r>
        <w:r w:rsidR="00EE697E" w:rsidRPr="00CA3ED5">
          <w:rPr>
            <w:rFonts w:ascii="Verdana" w:hAnsi="Verdana"/>
            <w:noProof/>
            <w:webHidden/>
          </w:rPr>
          <w:fldChar w:fldCharType="end"/>
        </w:r>
      </w:hyperlink>
    </w:p>
    <w:p w14:paraId="25890D56" w14:textId="77777777" w:rsidR="00EE697E" w:rsidRPr="00CA3ED5" w:rsidRDefault="00380DD7" w:rsidP="00EE697E">
      <w:pPr>
        <w:pStyle w:val="TOC3"/>
        <w:tabs>
          <w:tab w:val="left" w:pos="1100"/>
          <w:tab w:val="right" w:leader="dot" w:pos="9792"/>
        </w:tabs>
        <w:spacing w:line="240" w:lineRule="auto"/>
        <w:jc w:val="both"/>
        <w:rPr>
          <w:rFonts w:ascii="Verdana" w:eastAsiaTheme="minorEastAsia" w:hAnsi="Verdana"/>
          <w:i w:val="0"/>
          <w:iCs w:val="0"/>
          <w:noProof/>
          <w:lang w:val="es-CR" w:eastAsia="es-CR"/>
        </w:rPr>
      </w:pPr>
      <w:hyperlink w:anchor="_Toc532995409" w:history="1">
        <w:r w:rsidR="00EE697E" w:rsidRPr="00CA3ED5">
          <w:rPr>
            <w:rStyle w:val="Hyperlink"/>
            <w:rFonts w:ascii="Verdana" w:hAnsi="Verdana"/>
            <w:i w:val="0"/>
            <w:noProof/>
            <w:lang w:val="es-ES"/>
          </w:rPr>
          <w:t>E.1.</w:t>
        </w:r>
        <w:r w:rsidR="00EE697E" w:rsidRPr="00CA3ED5">
          <w:rPr>
            <w:rFonts w:ascii="Verdana" w:eastAsiaTheme="minorEastAsia" w:hAnsi="Verdana"/>
            <w:i w:val="0"/>
            <w:iCs w:val="0"/>
            <w:noProof/>
            <w:lang w:val="es-CR" w:eastAsia="es-CR"/>
          </w:rPr>
          <w:tab/>
        </w:r>
        <w:r w:rsidR="00EE697E" w:rsidRPr="00CA3ED5">
          <w:rPr>
            <w:rStyle w:val="Hyperlink"/>
            <w:rFonts w:ascii="Verdana" w:hAnsi="Verdana"/>
            <w:i w:val="0"/>
            <w:noProof/>
            <w:lang w:val="es-ES"/>
          </w:rPr>
          <w:t>Sobre la Ley General sobre Desaparición Forzada de Personas</w:t>
        </w:r>
        <w:r w:rsidR="00EE697E" w:rsidRPr="00CA3ED5">
          <w:rPr>
            <w:rFonts w:ascii="Verdana" w:hAnsi="Verdana"/>
            <w:i w:val="0"/>
            <w:noProof/>
            <w:webHidden/>
          </w:rPr>
          <w:tab/>
        </w:r>
        <w:r w:rsidR="00EE697E" w:rsidRPr="00CA3ED5">
          <w:rPr>
            <w:rFonts w:ascii="Verdana" w:hAnsi="Verdana"/>
            <w:i w:val="0"/>
            <w:noProof/>
            <w:webHidden/>
          </w:rPr>
          <w:fldChar w:fldCharType="begin"/>
        </w:r>
        <w:r w:rsidR="00EE697E" w:rsidRPr="00CA3ED5">
          <w:rPr>
            <w:rFonts w:ascii="Verdana" w:hAnsi="Verdana"/>
            <w:i w:val="0"/>
            <w:noProof/>
            <w:webHidden/>
          </w:rPr>
          <w:instrText xml:space="preserve"> PAGEREF _Toc532995409 \h </w:instrText>
        </w:r>
        <w:r w:rsidR="00EE697E" w:rsidRPr="00CA3ED5">
          <w:rPr>
            <w:rFonts w:ascii="Verdana" w:hAnsi="Verdana"/>
            <w:i w:val="0"/>
            <w:noProof/>
            <w:webHidden/>
          </w:rPr>
        </w:r>
        <w:r w:rsidR="00EE697E" w:rsidRPr="00CA3ED5">
          <w:rPr>
            <w:rFonts w:ascii="Verdana" w:hAnsi="Verdana"/>
            <w:i w:val="0"/>
            <w:noProof/>
            <w:webHidden/>
          </w:rPr>
          <w:fldChar w:fldCharType="separate"/>
        </w:r>
        <w:r>
          <w:rPr>
            <w:rFonts w:ascii="Verdana" w:hAnsi="Verdana"/>
            <w:i w:val="0"/>
            <w:noProof/>
            <w:webHidden/>
          </w:rPr>
          <w:t>106</w:t>
        </w:r>
        <w:r w:rsidR="00EE697E" w:rsidRPr="00CA3ED5">
          <w:rPr>
            <w:rFonts w:ascii="Verdana" w:hAnsi="Verdana"/>
            <w:i w:val="0"/>
            <w:noProof/>
            <w:webHidden/>
          </w:rPr>
          <w:fldChar w:fldCharType="end"/>
        </w:r>
      </w:hyperlink>
    </w:p>
    <w:p w14:paraId="15D15318" w14:textId="1F1B0492" w:rsidR="00EE697E" w:rsidRPr="00CA3ED5" w:rsidRDefault="00380DD7" w:rsidP="00EE697E">
      <w:pPr>
        <w:pStyle w:val="TOC3"/>
        <w:tabs>
          <w:tab w:val="left" w:pos="1100"/>
          <w:tab w:val="right" w:leader="dot" w:pos="9792"/>
        </w:tabs>
        <w:spacing w:line="240" w:lineRule="auto"/>
        <w:jc w:val="both"/>
        <w:rPr>
          <w:rFonts w:ascii="Verdana" w:eastAsiaTheme="minorEastAsia" w:hAnsi="Verdana"/>
          <w:i w:val="0"/>
          <w:iCs w:val="0"/>
          <w:noProof/>
          <w:lang w:val="es-CR" w:eastAsia="es-CR"/>
        </w:rPr>
      </w:pPr>
      <w:hyperlink w:anchor="_Toc532995410" w:history="1">
        <w:r w:rsidR="00EE697E" w:rsidRPr="00CA3ED5">
          <w:rPr>
            <w:rStyle w:val="Hyperlink"/>
            <w:rFonts w:ascii="Verdana" w:hAnsi="Verdana"/>
            <w:i w:val="0"/>
            <w:noProof/>
            <w:lang w:val="es-ES"/>
          </w:rPr>
          <w:t>E.2.</w:t>
        </w:r>
        <w:r w:rsidR="00EE697E" w:rsidRPr="00CA3ED5">
          <w:rPr>
            <w:rFonts w:ascii="Verdana" w:eastAsiaTheme="minorEastAsia" w:hAnsi="Verdana"/>
            <w:i w:val="0"/>
            <w:iCs w:val="0"/>
            <w:noProof/>
            <w:lang w:val="es-CR" w:eastAsia="es-CR"/>
          </w:rPr>
          <w:tab/>
        </w:r>
        <w:r w:rsidR="00EE697E" w:rsidRPr="00CA3ED5">
          <w:rPr>
            <w:rStyle w:val="Hyperlink"/>
            <w:rFonts w:ascii="Verdana" w:hAnsi="Verdana"/>
            <w:i w:val="0"/>
            <w:noProof/>
            <w:lang w:val="es-ES"/>
          </w:rPr>
          <w:t>Ley de Amparo</w:t>
        </w:r>
        <w:r w:rsidR="00EE697E" w:rsidRPr="00CA3ED5">
          <w:rPr>
            <w:rFonts w:ascii="Verdana" w:hAnsi="Verdana"/>
            <w:i w:val="0"/>
            <w:noProof/>
            <w:webHidden/>
          </w:rPr>
          <w:tab/>
        </w:r>
        <w:r w:rsidR="00EE697E" w:rsidRPr="00CA3ED5">
          <w:rPr>
            <w:rFonts w:ascii="Verdana" w:hAnsi="Verdana"/>
            <w:i w:val="0"/>
            <w:noProof/>
            <w:webHidden/>
          </w:rPr>
          <w:fldChar w:fldCharType="begin"/>
        </w:r>
        <w:r w:rsidR="00EE697E" w:rsidRPr="00CA3ED5">
          <w:rPr>
            <w:rFonts w:ascii="Verdana" w:hAnsi="Verdana"/>
            <w:i w:val="0"/>
            <w:noProof/>
            <w:webHidden/>
          </w:rPr>
          <w:instrText xml:space="preserve"> PAGEREF _Toc532995410 \h </w:instrText>
        </w:r>
        <w:r w:rsidR="00EE697E" w:rsidRPr="00CA3ED5">
          <w:rPr>
            <w:rFonts w:ascii="Verdana" w:hAnsi="Verdana"/>
            <w:i w:val="0"/>
            <w:noProof/>
            <w:webHidden/>
          </w:rPr>
        </w:r>
        <w:r w:rsidR="00EE697E" w:rsidRPr="00CA3ED5">
          <w:rPr>
            <w:rFonts w:ascii="Verdana" w:hAnsi="Verdana"/>
            <w:i w:val="0"/>
            <w:noProof/>
            <w:webHidden/>
          </w:rPr>
          <w:fldChar w:fldCharType="separate"/>
        </w:r>
        <w:r>
          <w:rPr>
            <w:rFonts w:ascii="Verdana" w:hAnsi="Verdana"/>
            <w:i w:val="0"/>
            <w:noProof/>
            <w:webHidden/>
          </w:rPr>
          <w:t>106</w:t>
        </w:r>
        <w:r w:rsidR="00EE697E" w:rsidRPr="00CA3ED5">
          <w:rPr>
            <w:rFonts w:ascii="Verdana" w:hAnsi="Verdana"/>
            <w:i w:val="0"/>
            <w:noProof/>
            <w:webHidden/>
          </w:rPr>
          <w:fldChar w:fldCharType="end"/>
        </w:r>
      </w:hyperlink>
    </w:p>
    <w:p w14:paraId="1A6D71B3" w14:textId="77777777" w:rsidR="00EE697E" w:rsidRPr="00CA3ED5" w:rsidRDefault="00380DD7" w:rsidP="00EE697E">
      <w:pPr>
        <w:pStyle w:val="TOC3"/>
        <w:tabs>
          <w:tab w:val="left" w:pos="1100"/>
          <w:tab w:val="right" w:leader="dot" w:pos="9792"/>
        </w:tabs>
        <w:spacing w:line="240" w:lineRule="auto"/>
        <w:jc w:val="both"/>
        <w:rPr>
          <w:rFonts w:ascii="Verdana" w:eastAsiaTheme="minorEastAsia" w:hAnsi="Verdana"/>
          <w:i w:val="0"/>
          <w:iCs w:val="0"/>
          <w:noProof/>
          <w:lang w:val="es-CR" w:eastAsia="es-CR"/>
        </w:rPr>
      </w:pPr>
      <w:hyperlink w:anchor="_Toc532995411" w:history="1">
        <w:r w:rsidR="00EE697E" w:rsidRPr="00CA3ED5">
          <w:rPr>
            <w:rStyle w:val="Hyperlink"/>
            <w:rFonts w:ascii="Verdana" w:hAnsi="Verdana"/>
            <w:i w:val="0"/>
            <w:noProof/>
            <w:lang w:val="es-EC"/>
          </w:rPr>
          <w:t>E.3.</w:t>
        </w:r>
        <w:r w:rsidR="00EE697E" w:rsidRPr="00CA3ED5">
          <w:rPr>
            <w:rFonts w:ascii="Verdana" w:eastAsiaTheme="minorEastAsia" w:hAnsi="Verdana"/>
            <w:i w:val="0"/>
            <w:iCs w:val="0"/>
            <w:noProof/>
            <w:lang w:val="es-CR" w:eastAsia="es-CR"/>
          </w:rPr>
          <w:tab/>
        </w:r>
        <w:r w:rsidR="00EE697E" w:rsidRPr="00CA3ED5">
          <w:rPr>
            <w:rStyle w:val="Hyperlink"/>
            <w:rFonts w:ascii="Verdana" w:hAnsi="Verdana"/>
            <w:i w:val="0"/>
            <w:noProof/>
            <w:lang w:val="es-EC"/>
          </w:rPr>
          <w:t>Registro Nacional de Datos de Personas Extraviadas o Desaparecidas</w:t>
        </w:r>
        <w:r w:rsidR="00EE697E" w:rsidRPr="00CA3ED5">
          <w:rPr>
            <w:rFonts w:ascii="Verdana" w:hAnsi="Verdana"/>
            <w:i w:val="0"/>
            <w:noProof/>
            <w:webHidden/>
          </w:rPr>
          <w:tab/>
        </w:r>
        <w:r w:rsidR="00EE697E" w:rsidRPr="00CA3ED5">
          <w:rPr>
            <w:rFonts w:ascii="Verdana" w:hAnsi="Verdana"/>
            <w:i w:val="0"/>
            <w:noProof/>
            <w:webHidden/>
          </w:rPr>
          <w:fldChar w:fldCharType="begin"/>
        </w:r>
        <w:r w:rsidR="00EE697E" w:rsidRPr="00CA3ED5">
          <w:rPr>
            <w:rFonts w:ascii="Verdana" w:hAnsi="Verdana"/>
            <w:i w:val="0"/>
            <w:noProof/>
            <w:webHidden/>
          </w:rPr>
          <w:instrText xml:space="preserve"> PAGEREF _Toc532995411 \h </w:instrText>
        </w:r>
        <w:r w:rsidR="00EE697E" w:rsidRPr="00CA3ED5">
          <w:rPr>
            <w:rFonts w:ascii="Verdana" w:hAnsi="Verdana"/>
            <w:i w:val="0"/>
            <w:noProof/>
            <w:webHidden/>
          </w:rPr>
        </w:r>
        <w:r w:rsidR="00EE697E" w:rsidRPr="00CA3ED5">
          <w:rPr>
            <w:rFonts w:ascii="Verdana" w:hAnsi="Verdana"/>
            <w:i w:val="0"/>
            <w:noProof/>
            <w:webHidden/>
          </w:rPr>
          <w:fldChar w:fldCharType="separate"/>
        </w:r>
        <w:r>
          <w:rPr>
            <w:rFonts w:ascii="Verdana" w:hAnsi="Verdana"/>
            <w:i w:val="0"/>
            <w:noProof/>
            <w:webHidden/>
          </w:rPr>
          <w:t>107</w:t>
        </w:r>
        <w:r w:rsidR="00EE697E" w:rsidRPr="00CA3ED5">
          <w:rPr>
            <w:rFonts w:ascii="Verdana" w:hAnsi="Verdana"/>
            <w:i w:val="0"/>
            <w:noProof/>
            <w:webHidden/>
          </w:rPr>
          <w:fldChar w:fldCharType="end"/>
        </w:r>
      </w:hyperlink>
    </w:p>
    <w:p w14:paraId="73AF996B" w14:textId="6A8B1BD8" w:rsidR="00EE697E" w:rsidRPr="00CA3ED5" w:rsidRDefault="00380DD7" w:rsidP="00EE697E">
      <w:pPr>
        <w:pStyle w:val="TOC3"/>
        <w:tabs>
          <w:tab w:val="left" w:pos="1100"/>
          <w:tab w:val="right" w:leader="dot" w:pos="9792"/>
        </w:tabs>
        <w:spacing w:line="240" w:lineRule="auto"/>
        <w:jc w:val="both"/>
        <w:rPr>
          <w:rFonts w:ascii="Verdana" w:eastAsiaTheme="minorEastAsia" w:hAnsi="Verdana"/>
          <w:i w:val="0"/>
          <w:iCs w:val="0"/>
          <w:noProof/>
          <w:lang w:val="es-CR" w:eastAsia="es-CR"/>
        </w:rPr>
      </w:pPr>
      <w:hyperlink w:anchor="_Toc532995412" w:history="1">
        <w:r w:rsidR="00EE697E" w:rsidRPr="00CA3ED5">
          <w:rPr>
            <w:rStyle w:val="Hyperlink"/>
            <w:rFonts w:ascii="Verdana" w:hAnsi="Verdana"/>
            <w:i w:val="0"/>
            <w:noProof/>
            <w:lang w:val="es-ES"/>
          </w:rPr>
          <w:t>E.4.</w:t>
        </w:r>
        <w:r w:rsidR="00EE697E" w:rsidRPr="00CA3ED5">
          <w:rPr>
            <w:rFonts w:ascii="Verdana" w:eastAsiaTheme="minorEastAsia" w:hAnsi="Verdana"/>
            <w:i w:val="0"/>
            <w:iCs w:val="0"/>
            <w:noProof/>
            <w:lang w:val="es-CR" w:eastAsia="es-CR"/>
          </w:rPr>
          <w:tab/>
        </w:r>
        <w:r w:rsidR="00EE697E" w:rsidRPr="00CA3ED5">
          <w:rPr>
            <w:rStyle w:val="Hyperlink"/>
            <w:rFonts w:ascii="Verdana" w:hAnsi="Verdana"/>
            <w:i w:val="0"/>
            <w:noProof/>
            <w:lang w:val="es-ES"/>
          </w:rPr>
          <w:t>Capacitaciones</w:t>
        </w:r>
        <w:r w:rsidR="00EE697E" w:rsidRPr="00CA3ED5">
          <w:rPr>
            <w:rFonts w:ascii="Verdana" w:hAnsi="Verdana"/>
            <w:i w:val="0"/>
            <w:noProof/>
            <w:webHidden/>
          </w:rPr>
          <w:tab/>
        </w:r>
        <w:r w:rsidR="00EE697E" w:rsidRPr="00CA3ED5">
          <w:rPr>
            <w:rFonts w:ascii="Verdana" w:hAnsi="Verdana"/>
            <w:i w:val="0"/>
            <w:noProof/>
            <w:webHidden/>
          </w:rPr>
          <w:fldChar w:fldCharType="begin"/>
        </w:r>
        <w:r w:rsidR="00EE697E" w:rsidRPr="00CA3ED5">
          <w:rPr>
            <w:rFonts w:ascii="Verdana" w:hAnsi="Verdana"/>
            <w:i w:val="0"/>
            <w:noProof/>
            <w:webHidden/>
          </w:rPr>
          <w:instrText xml:space="preserve"> PAGEREF _Toc532995412 \h </w:instrText>
        </w:r>
        <w:r w:rsidR="00EE697E" w:rsidRPr="00CA3ED5">
          <w:rPr>
            <w:rFonts w:ascii="Verdana" w:hAnsi="Verdana"/>
            <w:i w:val="0"/>
            <w:noProof/>
            <w:webHidden/>
          </w:rPr>
        </w:r>
        <w:r w:rsidR="00EE697E" w:rsidRPr="00CA3ED5">
          <w:rPr>
            <w:rFonts w:ascii="Verdana" w:hAnsi="Verdana"/>
            <w:i w:val="0"/>
            <w:noProof/>
            <w:webHidden/>
          </w:rPr>
          <w:fldChar w:fldCharType="separate"/>
        </w:r>
        <w:r>
          <w:rPr>
            <w:rFonts w:ascii="Verdana" w:hAnsi="Verdana"/>
            <w:i w:val="0"/>
            <w:noProof/>
            <w:webHidden/>
          </w:rPr>
          <w:t>107</w:t>
        </w:r>
        <w:r w:rsidR="00EE697E" w:rsidRPr="00CA3ED5">
          <w:rPr>
            <w:rFonts w:ascii="Verdana" w:hAnsi="Verdana"/>
            <w:i w:val="0"/>
            <w:noProof/>
            <w:webHidden/>
          </w:rPr>
          <w:fldChar w:fldCharType="end"/>
        </w:r>
      </w:hyperlink>
    </w:p>
    <w:p w14:paraId="329DA352" w14:textId="77777777" w:rsidR="00EE697E" w:rsidRPr="00CA3ED5" w:rsidRDefault="00380DD7" w:rsidP="00EE697E">
      <w:pPr>
        <w:pStyle w:val="TOC3"/>
        <w:tabs>
          <w:tab w:val="left" w:pos="1100"/>
          <w:tab w:val="right" w:leader="dot" w:pos="9792"/>
        </w:tabs>
        <w:spacing w:line="240" w:lineRule="auto"/>
        <w:jc w:val="both"/>
        <w:rPr>
          <w:rFonts w:ascii="Verdana" w:eastAsiaTheme="minorEastAsia" w:hAnsi="Verdana"/>
          <w:i w:val="0"/>
          <w:iCs w:val="0"/>
          <w:noProof/>
          <w:lang w:val="es-CR" w:eastAsia="es-CR"/>
        </w:rPr>
      </w:pPr>
      <w:hyperlink w:anchor="_Toc532995413" w:history="1">
        <w:r w:rsidR="00EE697E" w:rsidRPr="00CA3ED5">
          <w:rPr>
            <w:rStyle w:val="Hyperlink"/>
            <w:rFonts w:ascii="Verdana" w:eastAsia="Times New Roman" w:hAnsi="Verdana"/>
            <w:i w:val="0"/>
            <w:noProof/>
            <w:lang w:val="es-CR"/>
          </w:rPr>
          <w:t>E.5.</w:t>
        </w:r>
        <w:r w:rsidR="00EE697E" w:rsidRPr="00CA3ED5">
          <w:rPr>
            <w:rFonts w:ascii="Verdana" w:eastAsiaTheme="minorEastAsia" w:hAnsi="Verdana"/>
            <w:i w:val="0"/>
            <w:iCs w:val="0"/>
            <w:noProof/>
            <w:lang w:val="es-CR" w:eastAsia="es-CR"/>
          </w:rPr>
          <w:tab/>
        </w:r>
        <w:r w:rsidR="00EE697E" w:rsidRPr="00CA3ED5">
          <w:rPr>
            <w:rStyle w:val="Hyperlink"/>
            <w:rFonts w:ascii="Verdana" w:hAnsi="Verdana"/>
            <w:i w:val="0"/>
            <w:noProof/>
            <w:lang w:val="es-ES"/>
          </w:rPr>
          <w:t>Adopción de medidas de prevención y garantías de retorno.</w:t>
        </w:r>
        <w:r w:rsidR="00EE697E" w:rsidRPr="00CA3ED5">
          <w:rPr>
            <w:rFonts w:ascii="Verdana" w:hAnsi="Verdana"/>
            <w:i w:val="0"/>
            <w:noProof/>
            <w:webHidden/>
          </w:rPr>
          <w:tab/>
        </w:r>
        <w:r w:rsidR="00EE697E" w:rsidRPr="00CA3ED5">
          <w:rPr>
            <w:rFonts w:ascii="Verdana" w:hAnsi="Verdana"/>
            <w:i w:val="0"/>
            <w:noProof/>
            <w:webHidden/>
          </w:rPr>
          <w:fldChar w:fldCharType="begin"/>
        </w:r>
        <w:r w:rsidR="00EE697E" w:rsidRPr="00CA3ED5">
          <w:rPr>
            <w:rFonts w:ascii="Verdana" w:hAnsi="Verdana"/>
            <w:i w:val="0"/>
            <w:noProof/>
            <w:webHidden/>
          </w:rPr>
          <w:instrText xml:space="preserve"> PAGEREF _Toc532995413 \h </w:instrText>
        </w:r>
        <w:r w:rsidR="00EE697E" w:rsidRPr="00CA3ED5">
          <w:rPr>
            <w:rFonts w:ascii="Verdana" w:hAnsi="Verdana"/>
            <w:i w:val="0"/>
            <w:noProof/>
            <w:webHidden/>
          </w:rPr>
        </w:r>
        <w:r w:rsidR="00EE697E" w:rsidRPr="00CA3ED5">
          <w:rPr>
            <w:rFonts w:ascii="Verdana" w:hAnsi="Verdana"/>
            <w:i w:val="0"/>
            <w:noProof/>
            <w:webHidden/>
          </w:rPr>
          <w:fldChar w:fldCharType="separate"/>
        </w:r>
        <w:r>
          <w:rPr>
            <w:rFonts w:ascii="Verdana" w:hAnsi="Verdana"/>
            <w:i w:val="0"/>
            <w:noProof/>
            <w:webHidden/>
          </w:rPr>
          <w:t>108</w:t>
        </w:r>
        <w:r w:rsidR="00EE697E" w:rsidRPr="00CA3ED5">
          <w:rPr>
            <w:rFonts w:ascii="Verdana" w:hAnsi="Verdana"/>
            <w:i w:val="0"/>
            <w:noProof/>
            <w:webHidden/>
          </w:rPr>
          <w:fldChar w:fldCharType="end"/>
        </w:r>
      </w:hyperlink>
    </w:p>
    <w:p w14:paraId="648F4798" w14:textId="75B82042" w:rsidR="00EE697E" w:rsidRPr="00CA3ED5" w:rsidRDefault="00380DD7" w:rsidP="00EE697E">
      <w:pPr>
        <w:pStyle w:val="TOC2"/>
        <w:tabs>
          <w:tab w:val="left" w:pos="660"/>
          <w:tab w:val="right" w:leader="dot" w:pos="9792"/>
        </w:tabs>
        <w:spacing w:line="240" w:lineRule="auto"/>
        <w:jc w:val="both"/>
        <w:rPr>
          <w:rFonts w:ascii="Verdana" w:eastAsiaTheme="minorEastAsia" w:hAnsi="Verdana"/>
          <w:smallCaps w:val="0"/>
          <w:noProof/>
          <w:lang w:val="es-CR" w:eastAsia="es-CR"/>
        </w:rPr>
      </w:pPr>
      <w:hyperlink w:anchor="_Toc532995414" w:history="1">
        <w:r w:rsidR="00EE697E" w:rsidRPr="00CA3ED5">
          <w:rPr>
            <w:rStyle w:val="Hyperlink"/>
            <w:rFonts w:ascii="Verdana" w:eastAsia="Times New Roman" w:hAnsi="Verdana" w:cs="Times New Roman"/>
            <w:noProof/>
            <w:lang w:val="es-ES"/>
          </w:rPr>
          <w:t>F.</w:t>
        </w:r>
        <w:r w:rsidR="00EE697E" w:rsidRPr="00CA3ED5">
          <w:rPr>
            <w:rFonts w:ascii="Verdana" w:eastAsiaTheme="minorEastAsia" w:hAnsi="Verdana"/>
            <w:smallCaps w:val="0"/>
            <w:noProof/>
            <w:lang w:val="es-CR" w:eastAsia="es-CR"/>
          </w:rPr>
          <w:tab/>
        </w:r>
        <w:r w:rsidR="00EE697E" w:rsidRPr="00CA3ED5">
          <w:rPr>
            <w:rStyle w:val="Hyperlink"/>
            <w:rFonts w:ascii="Verdana" w:eastAsia="Times New Roman" w:hAnsi="Verdana" w:cs="Times New Roman"/>
            <w:noProof/>
            <w:lang w:val="es-ES"/>
          </w:rPr>
          <w:t>Otras medidas de solicitadas</w:t>
        </w:r>
        <w:r w:rsidR="00EE697E" w:rsidRPr="00CA3ED5">
          <w:rPr>
            <w:rFonts w:ascii="Verdana" w:hAnsi="Verdana"/>
            <w:noProof/>
            <w:webHidden/>
          </w:rPr>
          <w:tab/>
        </w:r>
        <w:r w:rsidR="00EE697E" w:rsidRPr="00CA3ED5">
          <w:rPr>
            <w:rFonts w:ascii="Verdana" w:hAnsi="Verdana"/>
            <w:noProof/>
            <w:webHidden/>
          </w:rPr>
          <w:fldChar w:fldCharType="begin"/>
        </w:r>
        <w:r w:rsidR="00EE697E" w:rsidRPr="00CA3ED5">
          <w:rPr>
            <w:rFonts w:ascii="Verdana" w:hAnsi="Verdana"/>
            <w:noProof/>
            <w:webHidden/>
          </w:rPr>
          <w:instrText xml:space="preserve"> PAGEREF _Toc532995414 \h </w:instrText>
        </w:r>
        <w:r w:rsidR="00EE697E" w:rsidRPr="00CA3ED5">
          <w:rPr>
            <w:rFonts w:ascii="Verdana" w:hAnsi="Verdana"/>
            <w:noProof/>
            <w:webHidden/>
          </w:rPr>
        </w:r>
        <w:r w:rsidR="00EE697E" w:rsidRPr="00CA3ED5">
          <w:rPr>
            <w:rFonts w:ascii="Verdana" w:hAnsi="Verdana"/>
            <w:noProof/>
            <w:webHidden/>
          </w:rPr>
          <w:fldChar w:fldCharType="separate"/>
        </w:r>
        <w:r>
          <w:rPr>
            <w:rFonts w:ascii="Verdana" w:hAnsi="Verdana"/>
            <w:noProof/>
            <w:webHidden/>
          </w:rPr>
          <w:t>108</w:t>
        </w:r>
        <w:r w:rsidR="00EE697E" w:rsidRPr="00CA3ED5">
          <w:rPr>
            <w:rFonts w:ascii="Verdana" w:hAnsi="Verdana"/>
            <w:noProof/>
            <w:webHidden/>
          </w:rPr>
          <w:fldChar w:fldCharType="end"/>
        </w:r>
      </w:hyperlink>
    </w:p>
    <w:p w14:paraId="67BA8502" w14:textId="262BCE50" w:rsidR="00EE697E" w:rsidRPr="00CA3ED5" w:rsidRDefault="00380DD7" w:rsidP="00EE697E">
      <w:pPr>
        <w:pStyle w:val="TOC2"/>
        <w:tabs>
          <w:tab w:val="left" w:pos="880"/>
          <w:tab w:val="right" w:leader="dot" w:pos="9792"/>
        </w:tabs>
        <w:spacing w:line="240" w:lineRule="auto"/>
        <w:jc w:val="both"/>
        <w:rPr>
          <w:rFonts w:ascii="Verdana" w:eastAsiaTheme="minorEastAsia" w:hAnsi="Verdana"/>
          <w:smallCaps w:val="0"/>
          <w:noProof/>
          <w:lang w:val="es-CR" w:eastAsia="es-CR"/>
        </w:rPr>
      </w:pPr>
      <w:hyperlink w:anchor="_Toc532995415" w:history="1">
        <w:r w:rsidR="00EE697E" w:rsidRPr="00CA3ED5">
          <w:rPr>
            <w:rStyle w:val="Hyperlink"/>
            <w:rFonts w:ascii="Verdana" w:eastAsia="Times New Roman" w:hAnsi="Verdana" w:cs="Times New Roman"/>
            <w:bCs/>
            <w:noProof/>
            <w:lang w:val="es-ES"/>
          </w:rPr>
          <w:t>G.</w:t>
        </w:r>
        <w:r w:rsidR="00D04D10" w:rsidRPr="00CA3ED5">
          <w:rPr>
            <w:rFonts w:ascii="Verdana" w:eastAsiaTheme="minorEastAsia" w:hAnsi="Verdana"/>
            <w:smallCaps w:val="0"/>
            <w:noProof/>
            <w:lang w:val="es-CR" w:eastAsia="es-CR"/>
          </w:rPr>
          <w:t xml:space="preserve">   </w:t>
        </w:r>
        <w:r w:rsidR="00EE697E" w:rsidRPr="00CA3ED5">
          <w:rPr>
            <w:rStyle w:val="Hyperlink"/>
            <w:rFonts w:ascii="Verdana" w:eastAsia="Times New Roman" w:hAnsi="Verdana" w:cs="Times New Roman"/>
            <w:bCs/>
            <w:noProof/>
            <w:lang w:val="es-ES"/>
          </w:rPr>
          <w:t>Indemnización Compensatoria</w:t>
        </w:r>
        <w:r w:rsidR="00EE697E" w:rsidRPr="00CA3ED5">
          <w:rPr>
            <w:rFonts w:ascii="Verdana" w:hAnsi="Verdana"/>
            <w:noProof/>
            <w:webHidden/>
          </w:rPr>
          <w:tab/>
        </w:r>
        <w:r w:rsidR="00EE697E" w:rsidRPr="00CA3ED5">
          <w:rPr>
            <w:rFonts w:ascii="Verdana" w:hAnsi="Verdana"/>
            <w:noProof/>
            <w:webHidden/>
          </w:rPr>
          <w:fldChar w:fldCharType="begin"/>
        </w:r>
        <w:r w:rsidR="00EE697E" w:rsidRPr="00CA3ED5">
          <w:rPr>
            <w:rFonts w:ascii="Verdana" w:hAnsi="Verdana"/>
            <w:noProof/>
            <w:webHidden/>
          </w:rPr>
          <w:instrText xml:space="preserve"> PAGEREF _Toc532995415 \h </w:instrText>
        </w:r>
        <w:r w:rsidR="00EE697E" w:rsidRPr="00CA3ED5">
          <w:rPr>
            <w:rFonts w:ascii="Verdana" w:hAnsi="Verdana"/>
            <w:noProof/>
            <w:webHidden/>
          </w:rPr>
        </w:r>
        <w:r w:rsidR="00EE697E" w:rsidRPr="00CA3ED5">
          <w:rPr>
            <w:rFonts w:ascii="Verdana" w:hAnsi="Verdana"/>
            <w:noProof/>
            <w:webHidden/>
          </w:rPr>
          <w:fldChar w:fldCharType="separate"/>
        </w:r>
        <w:r>
          <w:rPr>
            <w:rFonts w:ascii="Verdana" w:hAnsi="Verdana"/>
            <w:noProof/>
            <w:webHidden/>
          </w:rPr>
          <w:t>109</w:t>
        </w:r>
        <w:r w:rsidR="00EE697E" w:rsidRPr="00CA3ED5">
          <w:rPr>
            <w:rFonts w:ascii="Verdana" w:hAnsi="Verdana"/>
            <w:noProof/>
            <w:webHidden/>
          </w:rPr>
          <w:fldChar w:fldCharType="end"/>
        </w:r>
      </w:hyperlink>
    </w:p>
    <w:p w14:paraId="798D820D" w14:textId="77777777" w:rsidR="00EE697E" w:rsidRPr="00CA3ED5" w:rsidRDefault="00380DD7" w:rsidP="00EE697E">
      <w:pPr>
        <w:pStyle w:val="TOC3"/>
        <w:tabs>
          <w:tab w:val="left" w:pos="1100"/>
          <w:tab w:val="right" w:leader="dot" w:pos="9792"/>
        </w:tabs>
        <w:spacing w:line="240" w:lineRule="auto"/>
        <w:jc w:val="both"/>
        <w:rPr>
          <w:rFonts w:ascii="Verdana" w:eastAsiaTheme="minorEastAsia" w:hAnsi="Verdana"/>
          <w:i w:val="0"/>
          <w:iCs w:val="0"/>
          <w:noProof/>
          <w:lang w:val="es-CR" w:eastAsia="es-CR"/>
        </w:rPr>
      </w:pPr>
      <w:hyperlink w:anchor="_Toc532995416" w:history="1">
        <w:r w:rsidR="00EE697E" w:rsidRPr="00CA3ED5">
          <w:rPr>
            <w:rStyle w:val="Hyperlink"/>
            <w:rFonts w:ascii="Verdana" w:hAnsi="Verdana"/>
            <w:i w:val="0"/>
            <w:noProof/>
            <w:lang w:val="es-ES"/>
          </w:rPr>
          <w:t>G.1.</w:t>
        </w:r>
        <w:r w:rsidR="00EE697E" w:rsidRPr="00CA3ED5">
          <w:rPr>
            <w:rFonts w:ascii="Verdana" w:eastAsiaTheme="minorEastAsia" w:hAnsi="Verdana"/>
            <w:i w:val="0"/>
            <w:iCs w:val="0"/>
            <w:noProof/>
            <w:lang w:val="es-CR" w:eastAsia="es-CR"/>
          </w:rPr>
          <w:tab/>
        </w:r>
        <w:r w:rsidR="00EE697E" w:rsidRPr="00CA3ED5">
          <w:rPr>
            <w:rStyle w:val="Hyperlink"/>
            <w:rFonts w:ascii="Verdana" w:hAnsi="Verdana"/>
            <w:i w:val="0"/>
            <w:noProof/>
            <w:lang w:val="es-ES"/>
          </w:rPr>
          <w:t>Daño Material</w:t>
        </w:r>
        <w:r w:rsidR="00EE697E" w:rsidRPr="00CA3ED5">
          <w:rPr>
            <w:rFonts w:ascii="Verdana" w:hAnsi="Verdana"/>
            <w:i w:val="0"/>
            <w:noProof/>
            <w:webHidden/>
          </w:rPr>
          <w:tab/>
        </w:r>
        <w:r w:rsidR="00EE697E" w:rsidRPr="00CA3ED5">
          <w:rPr>
            <w:rFonts w:ascii="Verdana" w:hAnsi="Verdana"/>
            <w:i w:val="0"/>
            <w:noProof/>
            <w:webHidden/>
          </w:rPr>
          <w:fldChar w:fldCharType="begin"/>
        </w:r>
        <w:r w:rsidR="00EE697E" w:rsidRPr="00CA3ED5">
          <w:rPr>
            <w:rFonts w:ascii="Verdana" w:hAnsi="Verdana"/>
            <w:i w:val="0"/>
            <w:noProof/>
            <w:webHidden/>
          </w:rPr>
          <w:instrText xml:space="preserve"> PAGEREF _Toc532995416 \h </w:instrText>
        </w:r>
        <w:r w:rsidR="00EE697E" w:rsidRPr="00CA3ED5">
          <w:rPr>
            <w:rFonts w:ascii="Verdana" w:hAnsi="Verdana"/>
            <w:i w:val="0"/>
            <w:noProof/>
            <w:webHidden/>
          </w:rPr>
        </w:r>
        <w:r w:rsidR="00EE697E" w:rsidRPr="00CA3ED5">
          <w:rPr>
            <w:rFonts w:ascii="Verdana" w:hAnsi="Verdana"/>
            <w:i w:val="0"/>
            <w:noProof/>
            <w:webHidden/>
          </w:rPr>
          <w:fldChar w:fldCharType="separate"/>
        </w:r>
        <w:r>
          <w:rPr>
            <w:rFonts w:ascii="Verdana" w:hAnsi="Verdana"/>
            <w:i w:val="0"/>
            <w:noProof/>
            <w:webHidden/>
          </w:rPr>
          <w:t>110</w:t>
        </w:r>
        <w:r w:rsidR="00EE697E" w:rsidRPr="00CA3ED5">
          <w:rPr>
            <w:rFonts w:ascii="Verdana" w:hAnsi="Verdana"/>
            <w:i w:val="0"/>
            <w:noProof/>
            <w:webHidden/>
          </w:rPr>
          <w:fldChar w:fldCharType="end"/>
        </w:r>
      </w:hyperlink>
    </w:p>
    <w:p w14:paraId="44C3353E" w14:textId="33BA684E" w:rsidR="00EE697E" w:rsidRPr="00CA3ED5" w:rsidRDefault="00380DD7" w:rsidP="00EE697E">
      <w:pPr>
        <w:pStyle w:val="TOC3"/>
        <w:tabs>
          <w:tab w:val="left" w:pos="1100"/>
          <w:tab w:val="right" w:leader="dot" w:pos="9792"/>
        </w:tabs>
        <w:spacing w:line="240" w:lineRule="auto"/>
        <w:jc w:val="both"/>
        <w:rPr>
          <w:rFonts w:ascii="Verdana" w:eastAsiaTheme="minorEastAsia" w:hAnsi="Verdana"/>
          <w:i w:val="0"/>
          <w:iCs w:val="0"/>
          <w:noProof/>
          <w:lang w:val="es-CR" w:eastAsia="es-CR"/>
        </w:rPr>
      </w:pPr>
      <w:hyperlink w:anchor="_Toc532995417" w:history="1">
        <w:r w:rsidR="00EE697E" w:rsidRPr="00CA3ED5">
          <w:rPr>
            <w:rStyle w:val="Hyperlink"/>
            <w:rFonts w:ascii="Verdana" w:eastAsia="Times New Roman" w:hAnsi="Verdana" w:cs="Times New Roman"/>
            <w:i w:val="0"/>
            <w:noProof/>
            <w:lang w:val="es-ES"/>
          </w:rPr>
          <w:t>G.2.</w:t>
        </w:r>
        <w:r w:rsidR="00EE697E" w:rsidRPr="00CA3ED5">
          <w:rPr>
            <w:rFonts w:ascii="Verdana" w:eastAsiaTheme="minorEastAsia" w:hAnsi="Verdana"/>
            <w:i w:val="0"/>
            <w:iCs w:val="0"/>
            <w:noProof/>
            <w:lang w:val="es-CR" w:eastAsia="es-CR"/>
          </w:rPr>
          <w:tab/>
        </w:r>
        <w:r w:rsidR="00EE697E" w:rsidRPr="00CA3ED5">
          <w:rPr>
            <w:rStyle w:val="Hyperlink"/>
            <w:rFonts w:ascii="Verdana" w:eastAsia="Times New Roman" w:hAnsi="Verdana" w:cs="Times New Roman"/>
            <w:i w:val="0"/>
            <w:noProof/>
            <w:lang w:val="es-ES"/>
          </w:rPr>
          <w:t>Daño inmaterial</w:t>
        </w:r>
        <w:r w:rsidR="00EE697E" w:rsidRPr="00CA3ED5">
          <w:rPr>
            <w:rFonts w:ascii="Verdana" w:hAnsi="Verdana"/>
            <w:i w:val="0"/>
            <w:noProof/>
            <w:webHidden/>
          </w:rPr>
          <w:tab/>
        </w:r>
        <w:r w:rsidR="00EE697E" w:rsidRPr="00CA3ED5">
          <w:rPr>
            <w:rFonts w:ascii="Verdana" w:hAnsi="Verdana"/>
            <w:i w:val="0"/>
            <w:noProof/>
            <w:webHidden/>
          </w:rPr>
          <w:fldChar w:fldCharType="begin"/>
        </w:r>
        <w:r w:rsidR="00EE697E" w:rsidRPr="00CA3ED5">
          <w:rPr>
            <w:rFonts w:ascii="Verdana" w:hAnsi="Verdana"/>
            <w:i w:val="0"/>
            <w:noProof/>
            <w:webHidden/>
          </w:rPr>
          <w:instrText xml:space="preserve"> PAGEREF _Toc532995417 \h </w:instrText>
        </w:r>
        <w:r w:rsidR="00EE697E" w:rsidRPr="00CA3ED5">
          <w:rPr>
            <w:rFonts w:ascii="Verdana" w:hAnsi="Verdana"/>
            <w:i w:val="0"/>
            <w:noProof/>
            <w:webHidden/>
          </w:rPr>
        </w:r>
        <w:r w:rsidR="00EE697E" w:rsidRPr="00CA3ED5">
          <w:rPr>
            <w:rFonts w:ascii="Verdana" w:hAnsi="Verdana"/>
            <w:i w:val="0"/>
            <w:noProof/>
            <w:webHidden/>
          </w:rPr>
          <w:fldChar w:fldCharType="separate"/>
        </w:r>
        <w:r>
          <w:rPr>
            <w:rFonts w:ascii="Verdana" w:hAnsi="Verdana"/>
            <w:i w:val="0"/>
            <w:noProof/>
            <w:webHidden/>
          </w:rPr>
          <w:t>111</w:t>
        </w:r>
        <w:r w:rsidR="00EE697E" w:rsidRPr="00CA3ED5">
          <w:rPr>
            <w:rFonts w:ascii="Verdana" w:hAnsi="Verdana"/>
            <w:i w:val="0"/>
            <w:noProof/>
            <w:webHidden/>
          </w:rPr>
          <w:fldChar w:fldCharType="end"/>
        </w:r>
      </w:hyperlink>
    </w:p>
    <w:p w14:paraId="0FDE636B" w14:textId="11405A92" w:rsidR="00EE697E" w:rsidRPr="00CA3ED5" w:rsidRDefault="00380DD7" w:rsidP="00EE697E">
      <w:pPr>
        <w:pStyle w:val="TOC2"/>
        <w:tabs>
          <w:tab w:val="left" w:pos="660"/>
          <w:tab w:val="right" w:leader="dot" w:pos="9792"/>
        </w:tabs>
        <w:spacing w:line="240" w:lineRule="auto"/>
        <w:jc w:val="both"/>
        <w:rPr>
          <w:rFonts w:ascii="Verdana" w:eastAsiaTheme="minorEastAsia" w:hAnsi="Verdana"/>
          <w:smallCaps w:val="0"/>
          <w:noProof/>
          <w:lang w:val="es-CR" w:eastAsia="es-CR"/>
        </w:rPr>
      </w:pPr>
      <w:hyperlink w:anchor="_Toc532995418" w:history="1">
        <w:r w:rsidR="00EE697E" w:rsidRPr="00CA3ED5">
          <w:rPr>
            <w:rStyle w:val="Hyperlink"/>
            <w:rFonts w:ascii="Verdana" w:hAnsi="Verdana" w:cs="Times New Roman"/>
            <w:noProof/>
            <w:lang w:val="es-CR" w:bidi="en-US"/>
          </w:rPr>
          <w:t>I.</w:t>
        </w:r>
        <w:r w:rsidR="00EE697E" w:rsidRPr="00CA3ED5">
          <w:rPr>
            <w:rFonts w:ascii="Verdana" w:eastAsiaTheme="minorEastAsia" w:hAnsi="Verdana"/>
            <w:smallCaps w:val="0"/>
            <w:noProof/>
            <w:lang w:val="es-CR" w:eastAsia="es-CR"/>
          </w:rPr>
          <w:tab/>
        </w:r>
        <w:r w:rsidR="00EE697E" w:rsidRPr="00CA3ED5">
          <w:rPr>
            <w:rStyle w:val="Hyperlink"/>
            <w:rFonts w:ascii="Verdana" w:hAnsi="Verdana" w:cs="Times New Roman"/>
            <w:iCs/>
            <w:noProof/>
            <w:lang w:val="es-CR" w:bidi="en-US"/>
          </w:rPr>
          <w:t>Reintegro de los gastos al Fondo de Asistencia Legal de Víctimas</w:t>
        </w:r>
        <w:r w:rsidR="00EE697E" w:rsidRPr="00CA3ED5">
          <w:rPr>
            <w:rFonts w:ascii="Verdana" w:hAnsi="Verdana"/>
            <w:noProof/>
            <w:webHidden/>
          </w:rPr>
          <w:tab/>
        </w:r>
        <w:r w:rsidR="00EE697E" w:rsidRPr="00CA3ED5">
          <w:rPr>
            <w:rFonts w:ascii="Verdana" w:hAnsi="Verdana"/>
            <w:noProof/>
            <w:webHidden/>
          </w:rPr>
          <w:fldChar w:fldCharType="begin"/>
        </w:r>
        <w:r w:rsidR="00EE697E" w:rsidRPr="00CA3ED5">
          <w:rPr>
            <w:rFonts w:ascii="Verdana" w:hAnsi="Verdana"/>
            <w:noProof/>
            <w:webHidden/>
          </w:rPr>
          <w:instrText xml:space="preserve"> PAGEREF _Toc532995418 \h </w:instrText>
        </w:r>
        <w:r w:rsidR="00EE697E" w:rsidRPr="00CA3ED5">
          <w:rPr>
            <w:rFonts w:ascii="Verdana" w:hAnsi="Verdana"/>
            <w:noProof/>
            <w:webHidden/>
          </w:rPr>
        </w:r>
        <w:r w:rsidR="00EE697E" w:rsidRPr="00CA3ED5">
          <w:rPr>
            <w:rFonts w:ascii="Verdana" w:hAnsi="Verdana"/>
            <w:noProof/>
            <w:webHidden/>
          </w:rPr>
          <w:fldChar w:fldCharType="separate"/>
        </w:r>
        <w:r>
          <w:rPr>
            <w:rFonts w:ascii="Verdana" w:hAnsi="Verdana"/>
            <w:noProof/>
            <w:webHidden/>
          </w:rPr>
          <w:t>115</w:t>
        </w:r>
        <w:r w:rsidR="00EE697E" w:rsidRPr="00CA3ED5">
          <w:rPr>
            <w:rFonts w:ascii="Verdana" w:hAnsi="Verdana"/>
            <w:noProof/>
            <w:webHidden/>
          </w:rPr>
          <w:fldChar w:fldCharType="end"/>
        </w:r>
      </w:hyperlink>
    </w:p>
    <w:p w14:paraId="6198B5D1" w14:textId="77777777" w:rsidR="00EE697E" w:rsidRPr="00CA3ED5" w:rsidRDefault="00380DD7" w:rsidP="00EE697E">
      <w:pPr>
        <w:pStyle w:val="TOC2"/>
        <w:tabs>
          <w:tab w:val="left" w:pos="660"/>
          <w:tab w:val="right" w:leader="dot" w:pos="9792"/>
        </w:tabs>
        <w:spacing w:line="240" w:lineRule="auto"/>
        <w:jc w:val="both"/>
        <w:rPr>
          <w:rFonts w:ascii="Verdana" w:eastAsiaTheme="minorEastAsia" w:hAnsi="Verdana"/>
          <w:smallCaps w:val="0"/>
          <w:noProof/>
          <w:lang w:val="es-CR" w:eastAsia="es-CR"/>
        </w:rPr>
      </w:pPr>
      <w:hyperlink w:anchor="_Toc532995419" w:history="1">
        <w:r w:rsidR="00EE697E" w:rsidRPr="00CA3ED5">
          <w:rPr>
            <w:rStyle w:val="Hyperlink"/>
            <w:rFonts w:ascii="Verdana" w:hAnsi="Verdana" w:cs="Times New Roman"/>
            <w:noProof/>
            <w:lang w:val="es-CR"/>
          </w:rPr>
          <w:t>J.</w:t>
        </w:r>
        <w:r w:rsidR="00EE697E" w:rsidRPr="00CA3ED5">
          <w:rPr>
            <w:rFonts w:ascii="Verdana" w:eastAsiaTheme="minorEastAsia" w:hAnsi="Verdana"/>
            <w:smallCaps w:val="0"/>
            <w:noProof/>
            <w:lang w:val="es-CR" w:eastAsia="es-CR"/>
          </w:rPr>
          <w:tab/>
        </w:r>
        <w:r w:rsidR="00EE697E" w:rsidRPr="00CA3ED5">
          <w:rPr>
            <w:rStyle w:val="Hyperlink"/>
            <w:rFonts w:ascii="Verdana" w:hAnsi="Verdana" w:cs="Times New Roman"/>
            <w:noProof/>
            <w:lang w:val="es-CR"/>
          </w:rPr>
          <w:t>Modalidad de cumplimiento de los pagos ordenados</w:t>
        </w:r>
        <w:r w:rsidR="00EE697E" w:rsidRPr="00CA3ED5">
          <w:rPr>
            <w:rFonts w:ascii="Verdana" w:hAnsi="Verdana"/>
            <w:noProof/>
            <w:webHidden/>
          </w:rPr>
          <w:tab/>
        </w:r>
        <w:r w:rsidR="00EE697E" w:rsidRPr="00CA3ED5">
          <w:rPr>
            <w:rFonts w:ascii="Verdana" w:hAnsi="Verdana"/>
            <w:noProof/>
            <w:webHidden/>
          </w:rPr>
          <w:fldChar w:fldCharType="begin"/>
        </w:r>
        <w:r w:rsidR="00EE697E" w:rsidRPr="00CA3ED5">
          <w:rPr>
            <w:rFonts w:ascii="Verdana" w:hAnsi="Verdana"/>
            <w:noProof/>
            <w:webHidden/>
          </w:rPr>
          <w:instrText xml:space="preserve"> PAGEREF _Toc532995419 \h </w:instrText>
        </w:r>
        <w:r w:rsidR="00EE697E" w:rsidRPr="00CA3ED5">
          <w:rPr>
            <w:rFonts w:ascii="Verdana" w:hAnsi="Verdana"/>
            <w:noProof/>
            <w:webHidden/>
          </w:rPr>
        </w:r>
        <w:r w:rsidR="00EE697E" w:rsidRPr="00CA3ED5">
          <w:rPr>
            <w:rFonts w:ascii="Verdana" w:hAnsi="Verdana"/>
            <w:noProof/>
            <w:webHidden/>
          </w:rPr>
          <w:fldChar w:fldCharType="separate"/>
        </w:r>
        <w:r>
          <w:rPr>
            <w:rFonts w:ascii="Verdana" w:hAnsi="Verdana"/>
            <w:noProof/>
            <w:webHidden/>
          </w:rPr>
          <w:t>116</w:t>
        </w:r>
        <w:r w:rsidR="00EE697E" w:rsidRPr="00CA3ED5">
          <w:rPr>
            <w:rFonts w:ascii="Verdana" w:hAnsi="Verdana"/>
            <w:noProof/>
            <w:webHidden/>
          </w:rPr>
          <w:fldChar w:fldCharType="end"/>
        </w:r>
      </w:hyperlink>
    </w:p>
    <w:p w14:paraId="769CB924" w14:textId="6CDF4B88" w:rsidR="00EE697E" w:rsidRPr="00CA3ED5" w:rsidRDefault="00380DD7" w:rsidP="00EE697E">
      <w:pPr>
        <w:pStyle w:val="TOC1"/>
        <w:tabs>
          <w:tab w:val="right" w:leader="dot" w:pos="9792"/>
        </w:tabs>
        <w:spacing w:before="0" w:after="0" w:line="240" w:lineRule="auto"/>
        <w:jc w:val="both"/>
        <w:rPr>
          <w:rFonts w:ascii="Verdana" w:eastAsiaTheme="minorEastAsia" w:hAnsi="Verdana"/>
          <w:b w:val="0"/>
          <w:bCs w:val="0"/>
          <w:caps w:val="0"/>
          <w:noProof/>
          <w:lang w:val="es-CR" w:eastAsia="es-CR"/>
        </w:rPr>
      </w:pPr>
      <w:hyperlink w:anchor="_Toc532995420" w:history="1">
        <w:r w:rsidR="00EE697E" w:rsidRPr="00CA3ED5">
          <w:rPr>
            <w:rStyle w:val="Hyperlink"/>
            <w:rFonts w:ascii="Verdana" w:hAnsi="Verdana"/>
            <w:noProof/>
          </w:rPr>
          <w:t>IX</w:t>
        </w:r>
      </w:hyperlink>
      <w:r w:rsidR="00EE697E" w:rsidRPr="00CA3ED5">
        <w:rPr>
          <w:rFonts w:ascii="Verdana" w:eastAsiaTheme="minorEastAsia" w:hAnsi="Verdana"/>
          <w:b w:val="0"/>
          <w:bCs w:val="0"/>
          <w:caps w:val="0"/>
          <w:noProof/>
          <w:lang w:val="es-CR" w:eastAsia="es-CR"/>
        </w:rPr>
        <w:t xml:space="preserve"> </w:t>
      </w:r>
      <w:hyperlink w:anchor="_Toc532995421" w:history="1">
        <w:r w:rsidR="00EE697E" w:rsidRPr="00CA3ED5">
          <w:rPr>
            <w:rStyle w:val="Hyperlink"/>
            <w:rFonts w:ascii="Verdana" w:hAnsi="Verdana"/>
            <w:noProof/>
          </w:rPr>
          <w:t>PUNTOS RESOLUTIVOS</w:t>
        </w:r>
        <w:r w:rsidR="00EE697E" w:rsidRPr="00CA3ED5">
          <w:rPr>
            <w:rFonts w:ascii="Verdana" w:hAnsi="Verdana"/>
            <w:noProof/>
            <w:webHidden/>
          </w:rPr>
          <w:tab/>
        </w:r>
        <w:r w:rsidR="00EE697E" w:rsidRPr="00CA3ED5">
          <w:rPr>
            <w:rFonts w:ascii="Verdana" w:hAnsi="Verdana"/>
            <w:noProof/>
            <w:webHidden/>
          </w:rPr>
          <w:fldChar w:fldCharType="begin"/>
        </w:r>
        <w:r w:rsidR="00EE697E" w:rsidRPr="00CA3ED5">
          <w:rPr>
            <w:rFonts w:ascii="Verdana" w:hAnsi="Verdana"/>
            <w:noProof/>
            <w:webHidden/>
          </w:rPr>
          <w:instrText xml:space="preserve"> PAGEREF _Toc532995421 \h </w:instrText>
        </w:r>
        <w:r w:rsidR="00EE697E" w:rsidRPr="00CA3ED5">
          <w:rPr>
            <w:rFonts w:ascii="Verdana" w:hAnsi="Verdana"/>
            <w:noProof/>
            <w:webHidden/>
          </w:rPr>
        </w:r>
        <w:r w:rsidR="00EE697E" w:rsidRPr="00CA3ED5">
          <w:rPr>
            <w:rFonts w:ascii="Verdana" w:hAnsi="Verdana"/>
            <w:noProof/>
            <w:webHidden/>
          </w:rPr>
          <w:fldChar w:fldCharType="separate"/>
        </w:r>
        <w:r>
          <w:rPr>
            <w:rFonts w:ascii="Verdana" w:hAnsi="Verdana"/>
            <w:noProof/>
            <w:webHidden/>
          </w:rPr>
          <w:t>116</w:t>
        </w:r>
        <w:r w:rsidR="00EE697E" w:rsidRPr="00CA3ED5">
          <w:rPr>
            <w:rFonts w:ascii="Verdana" w:hAnsi="Verdana"/>
            <w:noProof/>
            <w:webHidden/>
          </w:rPr>
          <w:fldChar w:fldCharType="end"/>
        </w:r>
      </w:hyperlink>
    </w:p>
    <w:p w14:paraId="037CB663" w14:textId="01AB9011" w:rsidR="00F51DBA" w:rsidRPr="00CA3ED5" w:rsidRDefault="003A72F8" w:rsidP="00EE697E">
      <w:pPr>
        <w:spacing w:after="0" w:line="240" w:lineRule="auto"/>
        <w:jc w:val="both"/>
        <w:rPr>
          <w:rFonts w:ascii="Verdana" w:hAnsi="Verdana"/>
          <w:sz w:val="20"/>
          <w:szCs w:val="20"/>
        </w:rPr>
      </w:pPr>
      <w:r w:rsidRPr="00CA3ED5">
        <w:rPr>
          <w:rFonts w:ascii="Verdana" w:hAnsi="Verdana"/>
          <w:sz w:val="20"/>
          <w:szCs w:val="20"/>
        </w:rPr>
        <w:fldChar w:fldCharType="end"/>
      </w:r>
    </w:p>
    <w:p w14:paraId="587FCB7C" w14:textId="77777777" w:rsidR="00CB2BBC" w:rsidRPr="00CA3ED5" w:rsidRDefault="00CB2BBC" w:rsidP="003A72F8">
      <w:pPr>
        <w:spacing w:after="0" w:line="240" w:lineRule="auto"/>
        <w:jc w:val="both"/>
        <w:rPr>
          <w:rFonts w:ascii="Verdana" w:hAnsi="Verdana"/>
          <w:sz w:val="20"/>
          <w:szCs w:val="20"/>
        </w:rPr>
      </w:pPr>
    </w:p>
    <w:p w14:paraId="02127231" w14:textId="77777777" w:rsidR="00E76A77" w:rsidRPr="003A72F8" w:rsidRDefault="00E76A77" w:rsidP="003A72F8">
      <w:pPr>
        <w:spacing w:after="0" w:line="240" w:lineRule="auto"/>
        <w:jc w:val="both"/>
        <w:rPr>
          <w:rFonts w:ascii="Verdana" w:hAnsi="Verdana"/>
          <w:sz w:val="20"/>
          <w:szCs w:val="20"/>
        </w:rPr>
      </w:pPr>
    </w:p>
    <w:p w14:paraId="0C4CF46F" w14:textId="77777777" w:rsidR="00E76A77" w:rsidRPr="003A72F8" w:rsidRDefault="00E76A77" w:rsidP="003A72F8">
      <w:pPr>
        <w:spacing w:after="0" w:line="240" w:lineRule="auto"/>
        <w:jc w:val="both"/>
        <w:rPr>
          <w:rFonts w:ascii="Verdana" w:hAnsi="Verdana"/>
          <w:sz w:val="20"/>
          <w:szCs w:val="20"/>
        </w:rPr>
      </w:pPr>
    </w:p>
    <w:p w14:paraId="00AE67D0" w14:textId="77777777" w:rsidR="00E76A77" w:rsidRPr="003A72F8" w:rsidRDefault="00E76A77" w:rsidP="003A72F8">
      <w:pPr>
        <w:spacing w:after="0" w:line="240" w:lineRule="auto"/>
        <w:jc w:val="both"/>
        <w:rPr>
          <w:rFonts w:ascii="Verdana" w:hAnsi="Verdana"/>
          <w:sz w:val="20"/>
          <w:szCs w:val="20"/>
        </w:rPr>
      </w:pPr>
    </w:p>
    <w:p w14:paraId="3B66E4A2" w14:textId="77777777" w:rsidR="00E76A77" w:rsidRPr="003A72F8" w:rsidRDefault="00E76A77" w:rsidP="003A72F8">
      <w:pPr>
        <w:spacing w:after="0" w:line="240" w:lineRule="auto"/>
        <w:rPr>
          <w:rFonts w:ascii="Verdana" w:hAnsi="Verdana"/>
          <w:sz w:val="20"/>
          <w:szCs w:val="20"/>
        </w:rPr>
      </w:pPr>
    </w:p>
    <w:p w14:paraId="54EDEBD3" w14:textId="77777777" w:rsidR="00E76A77" w:rsidRDefault="00E76A77" w:rsidP="00C90B3F"/>
    <w:p w14:paraId="05A69E0E" w14:textId="77777777" w:rsidR="00E76A77" w:rsidRDefault="00E76A77" w:rsidP="00C90B3F"/>
    <w:p w14:paraId="1794EFDB" w14:textId="77777777" w:rsidR="00E76A77" w:rsidRDefault="00E76A77" w:rsidP="00C90B3F"/>
    <w:p w14:paraId="0AE85A08" w14:textId="77777777" w:rsidR="00E76A77" w:rsidRDefault="00E76A77" w:rsidP="00C90B3F"/>
    <w:p w14:paraId="0E724FAD" w14:textId="77777777" w:rsidR="00E76A77" w:rsidRDefault="00E76A77" w:rsidP="00C90B3F"/>
    <w:p w14:paraId="160ADE21" w14:textId="77777777" w:rsidR="00E76A77" w:rsidRDefault="00E76A77" w:rsidP="00C90B3F"/>
    <w:p w14:paraId="46D715E1" w14:textId="77777777" w:rsidR="00E76A77" w:rsidRDefault="00E76A77" w:rsidP="00C90B3F"/>
    <w:p w14:paraId="4E1C8F37" w14:textId="6E5FD616" w:rsidR="00FD6ED9" w:rsidRDefault="00FD6ED9">
      <w:r>
        <w:br w:type="page"/>
      </w:r>
    </w:p>
    <w:p w14:paraId="64AA5D6B" w14:textId="004861D2" w:rsidR="002E1C85" w:rsidRPr="00BC673B" w:rsidRDefault="002E1C85" w:rsidP="00DB378B">
      <w:pPr>
        <w:pStyle w:val="Heading1"/>
      </w:pPr>
      <w:bookmarkStart w:id="12" w:name="_Toc532995311"/>
      <w:r w:rsidRPr="00CA2568">
        <w:lastRenderedPageBreak/>
        <w:t>I</w:t>
      </w:r>
      <w:bookmarkStart w:id="13" w:name="_Toc375062709"/>
      <w:bookmarkStart w:id="14" w:name="_Toc375140859"/>
      <w:bookmarkStart w:id="15" w:name="_Toc375504818"/>
      <w:bookmarkStart w:id="16" w:name="_Toc375560892"/>
      <w:bookmarkEnd w:id="1"/>
      <w:bookmarkEnd w:id="2"/>
      <w:bookmarkEnd w:id="3"/>
      <w:r w:rsidRPr="00CA2568">
        <w:br/>
        <w:t>INTRODUCCIÓN DE LA CAUSA y OBJETO DE LA CONTROVERSI</w:t>
      </w:r>
      <w:bookmarkEnd w:id="4"/>
      <w:bookmarkEnd w:id="5"/>
      <w:bookmarkEnd w:id="6"/>
      <w:bookmarkEnd w:id="7"/>
      <w:bookmarkEnd w:id="8"/>
      <w:bookmarkEnd w:id="9"/>
      <w:bookmarkEnd w:id="10"/>
      <w:bookmarkEnd w:id="13"/>
      <w:bookmarkEnd w:id="14"/>
      <w:bookmarkEnd w:id="15"/>
      <w:bookmarkEnd w:id="16"/>
      <w:r w:rsidR="00BC673B">
        <w:t>A</w:t>
      </w:r>
      <w:bookmarkEnd w:id="11"/>
      <w:bookmarkEnd w:id="12"/>
    </w:p>
    <w:p w14:paraId="64AA5D6D" w14:textId="6CA66B6D" w:rsidR="002E1C85" w:rsidRPr="00BC673B" w:rsidRDefault="002E1C85" w:rsidP="00E67720">
      <w:pPr>
        <w:widowControl w:val="0"/>
        <w:numPr>
          <w:ilvl w:val="0"/>
          <w:numId w:val="4"/>
        </w:numPr>
        <w:tabs>
          <w:tab w:val="left" w:pos="567"/>
          <w:tab w:val="num" w:pos="12305"/>
        </w:tabs>
        <w:adjustRightInd w:val="0"/>
        <w:spacing w:before="120" w:after="120" w:line="240" w:lineRule="auto"/>
        <w:ind w:left="0" w:firstLine="0"/>
        <w:jc w:val="both"/>
        <w:textAlignment w:val="baseline"/>
        <w:rPr>
          <w:rFonts w:ascii="Verdana" w:eastAsia="Calibri" w:hAnsi="Verdana" w:cs="Arial"/>
          <w:sz w:val="20"/>
          <w:szCs w:val="20"/>
          <w:lang w:val="es-ES" w:eastAsia="es-CR"/>
        </w:rPr>
      </w:pPr>
      <w:r w:rsidRPr="002E1C85">
        <w:rPr>
          <w:rFonts w:ascii="Verdana" w:eastAsia="Verdana" w:hAnsi="Verdana" w:cs="Verdana"/>
          <w:i/>
          <w:sz w:val="20"/>
          <w:szCs w:val="20"/>
          <w:lang w:val="es-ES" w:eastAsia="es-CR"/>
        </w:rPr>
        <w:t xml:space="preserve">El caso sometido a la Corte. – </w:t>
      </w:r>
      <w:r w:rsidRPr="002E1C85">
        <w:rPr>
          <w:rFonts w:ascii="Verdana" w:eastAsia="Verdana" w:hAnsi="Verdana" w:cs="Verdana"/>
          <w:sz w:val="20"/>
          <w:szCs w:val="20"/>
          <w:lang w:val="es-ES" w:eastAsia="es-CR"/>
        </w:rPr>
        <w:t>El 9 de noviembre de 2016 la Comisión Interamericana de Derechos Humanos (en adelante “la Comisión Interamericana” o “la Comisión”)</w:t>
      </w:r>
      <w:r w:rsidR="00CE5CFA">
        <w:rPr>
          <w:rFonts w:ascii="Verdana" w:eastAsia="Verdana" w:hAnsi="Verdana" w:cs="Verdana"/>
          <w:sz w:val="20"/>
          <w:szCs w:val="20"/>
          <w:lang w:val="es-ES" w:eastAsia="es-CR"/>
        </w:rPr>
        <w:t>,</w:t>
      </w:r>
      <w:r w:rsidRPr="002E1C85">
        <w:rPr>
          <w:rFonts w:ascii="Verdana" w:eastAsia="Verdana" w:hAnsi="Verdana" w:cs="Verdana"/>
          <w:sz w:val="20"/>
          <w:szCs w:val="20"/>
          <w:lang w:val="es-ES" w:eastAsia="es-CR"/>
        </w:rPr>
        <w:t xml:space="preserve"> sometió a la jurisdicción de la Corte el caso </w:t>
      </w:r>
      <w:r w:rsidRPr="002E1C85">
        <w:rPr>
          <w:rFonts w:ascii="Verdana" w:eastAsia="Verdana" w:hAnsi="Verdana" w:cs="Verdana"/>
          <w:i/>
          <w:sz w:val="20"/>
          <w:szCs w:val="20"/>
          <w:lang w:val="es-ES" w:eastAsia="es-CR"/>
        </w:rPr>
        <w:t>“Alvarado Espinoza y otros”</w:t>
      </w:r>
      <w:r w:rsidRPr="002E1C85">
        <w:rPr>
          <w:rFonts w:ascii="Verdana" w:eastAsia="Verdana" w:hAnsi="Verdana" w:cs="Verdana"/>
          <w:sz w:val="20"/>
          <w:szCs w:val="20"/>
          <w:lang w:val="es-ES" w:eastAsia="es-CR"/>
        </w:rPr>
        <w:t xml:space="preserve"> contra los Estados Unidos Mexicanos (en adelante “el Estado </w:t>
      </w:r>
      <w:r w:rsidR="002F1A1F">
        <w:rPr>
          <w:rFonts w:ascii="Verdana" w:eastAsia="Verdana" w:hAnsi="Verdana" w:cs="Verdana"/>
          <w:sz w:val="20"/>
          <w:szCs w:val="20"/>
          <w:lang w:val="es-ES" w:eastAsia="es-CR"/>
        </w:rPr>
        <w:t>mexicano</w:t>
      </w:r>
      <w:r w:rsidRPr="002E1C85">
        <w:rPr>
          <w:rFonts w:ascii="Verdana" w:eastAsia="Verdana" w:hAnsi="Verdana" w:cs="Verdana"/>
          <w:sz w:val="20"/>
          <w:szCs w:val="20"/>
          <w:lang w:val="es-ES" w:eastAsia="es-CR"/>
        </w:rPr>
        <w:t xml:space="preserve">”, “el Estado” o “México”). De acuerdo con lo indicado por la Comisión, el caso se refiere a </w:t>
      </w:r>
      <w:r w:rsidRPr="002E1C85">
        <w:rPr>
          <w:rFonts w:ascii="Verdana" w:eastAsia="Calibri" w:hAnsi="Verdana" w:cs="Arial"/>
          <w:sz w:val="20"/>
          <w:szCs w:val="20"/>
          <w:lang w:val="es-CR" w:eastAsia="es-CR"/>
        </w:rPr>
        <w:t xml:space="preserve">la alegada desaparición forzada de Nitza Paola Alvarado Espinoza, José Ángel Alvarado y Rocío Irene Alvarado Reyes, por parte de agentes estatales en el Ejido Benito Juárez, Estado de Chihuahua, México, </w:t>
      </w:r>
      <w:r w:rsidR="002F1A1F">
        <w:rPr>
          <w:rFonts w:ascii="Verdana" w:eastAsia="Calibri" w:hAnsi="Verdana" w:cs="Arial"/>
          <w:sz w:val="20"/>
          <w:szCs w:val="20"/>
          <w:lang w:val="es-CR" w:eastAsia="es-CR"/>
        </w:rPr>
        <w:t>a partir d</w:t>
      </w:r>
      <w:r w:rsidRPr="002E1C85">
        <w:rPr>
          <w:rFonts w:ascii="Verdana" w:eastAsia="Calibri" w:hAnsi="Verdana" w:cs="Arial"/>
          <w:sz w:val="20"/>
          <w:szCs w:val="20"/>
          <w:lang w:val="es-CR" w:eastAsia="es-CR"/>
        </w:rPr>
        <w:t xml:space="preserve">el 29 de diciembre de 2009. A la fecha, se desconoce el destino o paradero de las tres </w:t>
      </w:r>
      <w:r w:rsidR="001E7094">
        <w:rPr>
          <w:rFonts w:ascii="Verdana" w:eastAsia="Calibri" w:hAnsi="Verdana" w:cs="Arial"/>
          <w:sz w:val="20"/>
          <w:szCs w:val="20"/>
          <w:lang w:val="es-CR" w:eastAsia="es-CR"/>
        </w:rPr>
        <w:t xml:space="preserve">presuntas </w:t>
      </w:r>
      <w:r w:rsidRPr="002E1C85">
        <w:rPr>
          <w:rFonts w:ascii="Verdana" w:eastAsia="Calibri" w:hAnsi="Verdana" w:cs="Arial"/>
          <w:sz w:val="20"/>
          <w:szCs w:val="20"/>
          <w:lang w:val="es-CR" w:eastAsia="es-CR"/>
        </w:rPr>
        <w:t xml:space="preserve">víctimas desaparecidas. El caso también se relaciona con la alegada situación de impunidad en que se encuentran las tres desapariciones, por lo que se habría determinado que la aplicación de </w:t>
      </w:r>
      <w:r w:rsidR="00B7622A">
        <w:rPr>
          <w:rFonts w:ascii="Verdana" w:eastAsia="Calibri" w:hAnsi="Verdana" w:cs="Arial"/>
          <w:sz w:val="20"/>
          <w:szCs w:val="20"/>
          <w:lang w:val="es-CR" w:eastAsia="es-CR"/>
        </w:rPr>
        <w:t xml:space="preserve">la </w:t>
      </w:r>
      <w:r w:rsidRPr="002E1C85">
        <w:rPr>
          <w:rFonts w:ascii="Verdana" w:eastAsia="Calibri" w:hAnsi="Verdana" w:cs="Arial"/>
          <w:sz w:val="20"/>
          <w:szCs w:val="20"/>
          <w:lang w:val="es-CR" w:eastAsia="es-CR"/>
        </w:rPr>
        <w:t xml:space="preserve">justicia militar al caso concreto podría resultar violatoria del derecho de contar con una autoridad competente, independiente e imparcial para la obtención de justicia. Finalmente, se alegaron una serie de violaciones conexas derivadas de las </w:t>
      </w:r>
      <w:r w:rsidR="001E7094">
        <w:rPr>
          <w:rFonts w:ascii="Verdana" w:eastAsia="Calibri" w:hAnsi="Verdana" w:cs="Arial"/>
          <w:sz w:val="20"/>
          <w:szCs w:val="20"/>
          <w:lang w:val="es-CR" w:eastAsia="es-CR"/>
        </w:rPr>
        <w:t xml:space="preserve">alegadas </w:t>
      </w:r>
      <w:r w:rsidRPr="002E1C85">
        <w:rPr>
          <w:rFonts w:ascii="Verdana" w:eastAsia="Calibri" w:hAnsi="Verdana" w:cs="Arial"/>
          <w:sz w:val="20"/>
          <w:szCs w:val="20"/>
          <w:lang w:val="es-CR" w:eastAsia="es-CR"/>
        </w:rPr>
        <w:t xml:space="preserve">amenazas y hostigamientos que habrían tenido que enfrentar los grupos familiares, incluido </w:t>
      </w:r>
      <w:r w:rsidR="001E7094">
        <w:rPr>
          <w:rFonts w:ascii="Verdana" w:eastAsia="Calibri" w:hAnsi="Verdana" w:cs="Arial"/>
          <w:sz w:val="20"/>
          <w:szCs w:val="20"/>
          <w:lang w:val="es-CR" w:eastAsia="es-CR"/>
        </w:rPr>
        <w:t>su</w:t>
      </w:r>
      <w:r w:rsidRPr="002E1C85">
        <w:rPr>
          <w:rFonts w:ascii="Verdana" w:eastAsia="Calibri" w:hAnsi="Verdana" w:cs="Arial"/>
          <w:sz w:val="20"/>
          <w:szCs w:val="20"/>
          <w:lang w:val="es-CR" w:eastAsia="es-CR"/>
        </w:rPr>
        <w:t xml:space="preserve"> desplazamiento forzado. Por </w:t>
      </w:r>
      <w:r w:rsidR="001E7094">
        <w:rPr>
          <w:rFonts w:ascii="Verdana" w:eastAsia="Calibri" w:hAnsi="Verdana" w:cs="Arial"/>
          <w:sz w:val="20"/>
          <w:szCs w:val="20"/>
          <w:lang w:val="es-CR" w:eastAsia="es-CR"/>
        </w:rPr>
        <w:t>tanto</w:t>
      </w:r>
      <w:r w:rsidRPr="002E1C85">
        <w:rPr>
          <w:rFonts w:ascii="Verdana" w:eastAsia="Calibri" w:hAnsi="Verdana" w:cs="Arial"/>
          <w:sz w:val="20"/>
          <w:szCs w:val="20"/>
          <w:lang w:val="es-CR" w:eastAsia="es-CR"/>
        </w:rPr>
        <w:t>, la Comisión concluyó que el Estado mexicano es responsable por la violación de los derechos a la personalidad jurídica, a la vida, a la integridad personal</w:t>
      </w:r>
      <w:r w:rsidR="00841FEB">
        <w:rPr>
          <w:rFonts w:ascii="Verdana" w:eastAsia="Calibri" w:hAnsi="Verdana" w:cs="Arial"/>
          <w:sz w:val="20"/>
          <w:szCs w:val="20"/>
          <w:lang w:val="es-CR" w:eastAsia="es-CR"/>
        </w:rPr>
        <w:t xml:space="preserve"> y</w:t>
      </w:r>
      <w:r w:rsidRPr="002E1C85">
        <w:rPr>
          <w:rFonts w:ascii="Verdana" w:eastAsia="Calibri" w:hAnsi="Verdana" w:cs="Arial"/>
          <w:sz w:val="20"/>
          <w:szCs w:val="20"/>
          <w:lang w:val="es-CR" w:eastAsia="es-CR"/>
        </w:rPr>
        <w:t xml:space="preserve"> a la libertad personal, </w:t>
      </w:r>
      <w:r w:rsidR="00841FEB">
        <w:rPr>
          <w:rFonts w:ascii="Verdana" w:eastAsia="Calibri" w:hAnsi="Verdana" w:cs="Arial"/>
          <w:sz w:val="20"/>
          <w:szCs w:val="20"/>
          <w:lang w:val="es-CR" w:eastAsia="es-CR"/>
        </w:rPr>
        <w:t xml:space="preserve">en perjuicio de las presuntas víctimas desaparecidas, </w:t>
      </w:r>
      <w:r w:rsidR="00841FEB" w:rsidRPr="002E1C85">
        <w:rPr>
          <w:rFonts w:ascii="Verdana" w:eastAsia="Calibri" w:hAnsi="Verdana" w:cs="Arial"/>
          <w:sz w:val="20"/>
          <w:szCs w:val="20"/>
          <w:lang w:val="es-CR" w:eastAsia="es-CR"/>
        </w:rPr>
        <w:t>de conformidad con los artículos 3, 4, 5</w:t>
      </w:r>
      <w:r w:rsidR="001E7094">
        <w:rPr>
          <w:rFonts w:ascii="Verdana" w:eastAsia="Calibri" w:hAnsi="Verdana" w:cs="Arial"/>
          <w:sz w:val="20"/>
          <w:szCs w:val="20"/>
          <w:lang w:val="es-CR" w:eastAsia="es-CR"/>
        </w:rPr>
        <w:t xml:space="preserve"> y</w:t>
      </w:r>
      <w:r w:rsidR="00841FEB" w:rsidRPr="002E1C85">
        <w:rPr>
          <w:rFonts w:ascii="Verdana" w:eastAsia="Calibri" w:hAnsi="Verdana" w:cs="Arial"/>
          <w:sz w:val="20"/>
          <w:szCs w:val="20"/>
          <w:lang w:val="es-CR" w:eastAsia="es-CR"/>
        </w:rPr>
        <w:t xml:space="preserve"> 7</w:t>
      </w:r>
      <w:r w:rsidR="00841FEB">
        <w:rPr>
          <w:rFonts w:ascii="Verdana" w:eastAsia="Calibri" w:hAnsi="Verdana" w:cs="Arial"/>
          <w:sz w:val="20"/>
          <w:szCs w:val="20"/>
          <w:lang w:val="es-CR" w:eastAsia="es-CR"/>
        </w:rPr>
        <w:t xml:space="preserve"> de la Convención Americana sobre Derechos Humanos (en adelante “la Convención</w:t>
      </w:r>
      <w:r w:rsidR="001E7094">
        <w:rPr>
          <w:rFonts w:ascii="Verdana" w:hAnsi="Verdana"/>
          <w:sz w:val="20"/>
        </w:rPr>
        <w:t>”</w:t>
      </w:r>
      <w:r w:rsidR="00841FEB">
        <w:rPr>
          <w:rFonts w:ascii="Verdana" w:eastAsia="Calibri" w:hAnsi="Verdana" w:cs="Arial"/>
          <w:sz w:val="20"/>
          <w:szCs w:val="20"/>
          <w:lang w:val="es-CR" w:eastAsia="es-CR"/>
        </w:rPr>
        <w:t xml:space="preserve">); </w:t>
      </w:r>
      <w:r w:rsidR="00EA422A">
        <w:rPr>
          <w:rFonts w:ascii="Verdana" w:eastAsia="Calibri" w:hAnsi="Verdana" w:cs="Arial"/>
          <w:sz w:val="20"/>
          <w:szCs w:val="20"/>
          <w:lang w:val="es-CR" w:eastAsia="es-CR"/>
        </w:rPr>
        <w:t>así como</w:t>
      </w:r>
      <w:r w:rsidR="00841FEB">
        <w:rPr>
          <w:rFonts w:ascii="Verdana" w:eastAsia="Calibri" w:hAnsi="Verdana" w:cs="Arial"/>
          <w:sz w:val="20"/>
          <w:szCs w:val="20"/>
          <w:lang w:val="es-CR" w:eastAsia="es-CR"/>
        </w:rPr>
        <w:t xml:space="preserve"> de los derechos</w:t>
      </w:r>
      <w:r w:rsidR="00841FEB" w:rsidRPr="002E1C85">
        <w:rPr>
          <w:rFonts w:ascii="Verdana" w:eastAsia="Calibri" w:hAnsi="Verdana" w:cs="Arial"/>
          <w:sz w:val="20"/>
          <w:szCs w:val="20"/>
          <w:lang w:val="es-CR" w:eastAsia="es-CR"/>
        </w:rPr>
        <w:t xml:space="preserve"> </w:t>
      </w:r>
      <w:r w:rsidRPr="002E1C85">
        <w:rPr>
          <w:rFonts w:ascii="Verdana" w:eastAsia="Calibri" w:hAnsi="Verdana" w:cs="Arial"/>
          <w:sz w:val="20"/>
          <w:szCs w:val="20"/>
          <w:lang w:val="es-CR" w:eastAsia="es-CR"/>
        </w:rPr>
        <w:t>a las garantías judiciales y a la protección judicial</w:t>
      </w:r>
      <w:r w:rsidR="00841FEB">
        <w:rPr>
          <w:rFonts w:ascii="Verdana" w:eastAsia="Calibri" w:hAnsi="Verdana" w:cs="Arial"/>
          <w:sz w:val="20"/>
          <w:szCs w:val="20"/>
          <w:lang w:val="es-CR" w:eastAsia="es-CR"/>
        </w:rPr>
        <w:t xml:space="preserve"> en perjuicio de los familiares de las presuntas víctimas</w:t>
      </w:r>
      <w:r w:rsidR="001E7094">
        <w:rPr>
          <w:rFonts w:ascii="Verdana" w:eastAsia="Calibri" w:hAnsi="Verdana" w:cs="Arial"/>
          <w:sz w:val="20"/>
          <w:szCs w:val="20"/>
          <w:lang w:val="es-CR" w:eastAsia="es-CR"/>
        </w:rPr>
        <w:t xml:space="preserve"> directas</w:t>
      </w:r>
      <w:r w:rsidR="00841FEB">
        <w:rPr>
          <w:rFonts w:ascii="Verdana" w:eastAsia="Calibri" w:hAnsi="Verdana" w:cs="Arial"/>
          <w:sz w:val="20"/>
          <w:szCs w:val="20"/>
          <w:lang w:val="es-CR" w:eastAsia="es-CR"/>
        </w:rPr>
        <w:t>,</w:t>
      </w:r>
      <w:r w:rsidRPr="002E1C85">
        <w:rPr>
          <w:rFonts w:ascii="Verdana" w:eastAsia="Calibri" w:hAnsi="Verdana" w:cs="Arial"/>
          <w:sz w:val="20"/>
          <w:szCs w:val="20"/>
          <w:lang w:val="es-CR" w:eastAsia="es-CR"/>
        </w:rPr>
        <w:t xml:space="preserve"> de conformidad con los artículos</w:t>
      </w:r>
      <w:r w:rsidRPr="00841FEB">
        <w:rPr>
          <w:rFonts w:ascii="Verdana" w:eastAsia="Calibri" w:hAnsi="Verdana" w:cs="Arial"/>
          <w:sz w:val="20"/>
          <w:szCs w:val="20"/>
          <w:lang w:val="es-CR" w:eastAsia="es-CR"/>
        </w:rPr>
        <w:t xml:space="preserve"> 8, 11, 19, 22 y 2</w:t>
      </w:r>
      <w:r w:rsidR="00841FEB">
        <w:rPr>
          <w:rFonts w:ascii="Verdana" w:eastAsia="Calibri" w:hAnsi="Verdana" w:cs="Arial"/>
          <w:sz w:val="20"/>
          <w:szCs w:val="20"/>
          <w:lang w:val="es-CR" w:eastAsia="es-CR"/>
        </w:rPr>
        <w:t>5</w:t>
      </w:r>
      <w:r w:rsidRPr="00841FEB">
        <w:rPr>
          <w:rFonts w:ascii="Verdana" w:eastAsia="Calibri" w:hAnsi="Verdana" w:cs="Arial"/>
          <w:sz w:val="20"/>
          <w:szCs w:val="20"/>
          <w:lang w:val="es-CR" w:eastAsia="es-CR"/>
        </w:rPr>
        <w:t xml:space="preserve">, </w:t>
      </w:r>
      <w:r w:rsidR="00841FEB">
        <w:rPr>
          <w:rFonts w:ascii="Verdana" w:eastAsia="Calibri" w:hAnsi="Verdana" w:cs="Arial"/>
          <w:sz w:val="20"/>
          <w:szCs w:val="20"/>
          <w:lang w:val="es-CR" w:eastAsia="es-CR"/>
        </w:rPr>
        <w:t>de la Convención. Todos</w:t>
      </w:r>
      <w:r w:rsidR="00841FEB" w:rsidRPr="002E1C85">
        <w:rPr>
          <w:rFonts w:ascii="Verdana" w:eastAsia="Calibri" w:hAnsi="Verdana" w:cs="Arial"/>
          <w:sz w:val="20"/>
          <w:szCs w:val="20"/>
          <w:lang w:val="es-CR" w:eastAsia="es-CR"/>
        </w:rPr>
        <w:t xml:space="preserve"> </w:t>
      </w:r>
      <w:r w:rsidRPr="00841FEB">
        <w:rPr>
          <w:rFonts w:ascii="Verdana" w:eastAsia="Calibri" w:hAnsi="Verdana" w:cs="Arial"/>
          <w:sz w:val="20"/>
          <w:szCs w:val="20"/>
          <w:lang w:val="es-CR" w:eastAsia="es-CR"/>
        </w:rPr>
        <w:t>en relación con los artículos 1.1 y 2 del mismo instrumento en perjuicio de las presuntas víctimas desaparecidas y de sus familiares.</w:t>
      </w:r>
      <w:r w:rsidRPr="002E1C85">
        <w:rPr>
          <w:rFonts w:ascii="Verdana" w:eastAsia="Calibri" w:hAnsi="Verdana" w:cs="Arial"/>
          <w:sz w:val="20"/>
          <w:szCs w:val="20"/>
          <w:lang w:val="es-CR" w:eastAsia="es-CR"/>
        </w:rPr>
        <w:t xml:space="preserve"> Asimismo, la Comisión concluyó que el Estado es responsable por la violación de los artículos I incisos a) y b), así como IX de la Convención Interamericana sobre Desaparición Forzada de Personas. </w:t>
      </w:r>
      <w:r w:rsidRPr="002E1C85">
        <w:rPr>
          <w:rFonts w:ascii="Verdana" w:eastAsia="Calibri" w:hAnsi="Verdana" w:cs="Arial"/>
          <w:sz w:val="20"/>
          <w:szCs w:val="20"/>
          <w:lang w:val="es-ES" w:eastAsia="es-CR"/>
        </w:rPr>
        <w:t xml:space="preserve">Las presuntas víctimas en este caso son </w:t>
      </w:r>
      <w:r w:rsidRPr="002E1C85">
        <w:rPr>
          <w:rFonts w:ascii="Verdana" w:eastAsia="Times New Roman" w:hAnsi="Verdana" w:cs="Times New Roman"/>
          <w:sz w:val="20"/>
          <w:szCs w:val="20"/>
          <w:lang w:val="es-ES"/>
        </w:rPr>
        <w:t>Nitza Paola Alvarado Espinoza, Rocío Irene Alvarado Reyes y José Ángel Alvarado Herrera, así como sus familiares</w:t>
      </w:r>
      <w:r w:rsidR="00077133" w:rsidRPr="008D0846">
        <w:rPr>
          <w:rFonts w:ascii="Verdana" w:eastAsia="Times New Roman" w:hAnsi="Verdana" w:cs="Times New Roman"/>
          <w:sz w:val="20"/>
          <w:szCs w:val="20"/>
          <w:lang w:val="es-ES"/>
        </w:rPr>
        <w:t xml:space="preserve">, </w:t>
      </w:r>
      <w:r w:rsidR="00077133" w:rsidRPr="008D0846">
        <w:rPr>
          <w:rFonts w:ascii="Verdana" w:eastAsia="Times New Roman" w:hAnsi="Verdana"/>
          <w:sz w:val="20"/>
          <w:szCs w:val="20"/>
          <w:lang w:val="es-ES"/>
        </w:rPr>
        <w:t xml:space="preserve">contemplados en los párrafos </w:t>
      </w:r>
      <w:r w:rsidR="00C61AAA" w:rsidRPr="008D0846">
        <w:rPr>
          <w:rFonts w:ascii="Verdana" w:eastAsia="Times New Roman" w:hAnsi="Verdana"/>
          <w:sz w:val="20"/>
          <w:szCs w:val="20"/>
          <w:lang w:val="es-ES"/>
        </w:rPr>
        <w:t>76</w:t>
      </w:r>
      <w:r w:rsidR="00077133" w:rsidRPr="008D0846">
        <w:rPr>
          <w:rFonts w:ascii="Verdana" w:eastAsia="Times New Roman" w:hAnsi="Verdana"/>
          <w:sz w:val="20"/>
          <w:szCs w:val="20"/>
          <w:lang w:val="es-ES"/>
        </w:rPr>
        <w:t xml:space="preserve"> a </w:t>
      </w:r>
      <w:r w:rsidR="00C61AAA" w:rsidRPr="008D0846">
        <w:rPr>
          <w:rFonts w:ascii="Verdana" w:eastAsia="Times New Roman" w:hAnsi="Verdana"/>
          <w:sz w:val="20"/>
          <w:szCs w:val="20"/>
          <w:lang w:val="es-ES"/>
        </w:rPr>
        <w:t>78</w:t>
      </w:r>
      <w:r w:rsidR="00077133" w:rsidRPr="008D0846">
        <w:rPr>
          <w:rFonts w:ascii="Verdana" w:eastAsia="Times New Roman" w:hAnsi="Verdana"/>
          <w:sz w:val="20"/>
          <w:szCs w:val="20"/>
          <w:lang w:val="es-ES"/>
        </w:rPr>
        <w:t xml:space="preserve"> de la presente Sentencia</w:t>
      </w:r>
      <w:r w:rsidR="00077133" w:rsidRPr="008D4CB0">
        <w:rPr>
          <w:rFonts w:ascii="Verdana" w:eastAsia="Times New Roman" w:hAnsi="Verdana"/>
          <w:sz w:val="20"/>
          <w:szCs w:val="20"/>
          <w:vertAlign w:val="superscript"/>
          <w:lang w:val="es-ES"/>
        </w:rPr>
        <w:footnoteReference w:id="3"/>
      </w:r>
      <w:r w:rsidRPr="002E1C85">
        <w:rPr>
          <w:rFonts w:ascii="Verdana" w:eastAsia="Verdana" w:hAnsi="Verdana" w:cs="Verdana"/>
          <w:sz w:val="20"/>
          <w:szCs w:val="20"/>
          <w:lang w:val="es-ES" w:eastAsia="es-CR"/>
        </w:rPr>
        <w:t xml:space="preserve"> (en adelante “las presuntas víctimas”)</w:t>
      </w:r>
      <w:r w:rsidRPr="002E1C85">
        <w:rPr>
          <w:rFonts w:ascii="Verdana" w:eastAsia="Times New Roman" w:hAnsi="Verdana" w:cs="Times New Roman"/>
          <w:sz w:val="20"/>
          <w:szCs w:val="20"/>
          <w:lang w:val="es-ES"/>
        </w:rPr>
        <w:t xml:space="preserve">, de acuerdo a las consideraciones vertidas </w:t>
      </w:r>
      <w:r w:rsidR="00205AF7" w:rsidRPr="00205AF7">
        <w:rPr>
          <w:rFonts w:ascii="Verdana" w:eastAsia="Times New Roman" w:hAnsi="Verdana" w:cs="Times New Roman"/>
          <w:i/>
          <w:sz w:val="20"/>
          <w:szCs w:val="20"/>
          <w:lang w:val="es-ES"/>
        </w:rPr>
        <w:t xml:space="preserve">infra </w:t>
      </w:r>
      <w:r w:rsidRPr="002E1C85">
        <w:rPr>
          <w:rFonts w:ascii="Verdana" w:eastAsia="Times New Roman" w:hAnsi="Verdana" w:cs="Times New Roman"/>
          <w:sz w:val="20"/>
          <w:szCs w:val="20"/>
          <w:lang w:val="es-ES"/>
        </w:rPr>
        <w:t xml:space="preserve">en el capítulo </w:t>
      </w:r>
      <w:r w:rsidR="00C61AAA">
        <w:rPr>
          <w:rFonts w:ascii="Verdana" w:eastAsia="Times New Roman" w:hAnsi="Verdana" w:cs="Times New Roman"/>
          <w:sz w:val="20"/>
          <w:szCs w:val="20"/>
          <w:lang w:val="es-ES"/>
        </w:rPr>
        <w:t xml:space="preserve">VI </w:t>
      </w:r>
      <w:r w:rsidRPr="002E1C85">
        <w:rPr>
          <w:rFonts w:ascii="Verdana" w:eastAsia="Times New Roman" w:hAnsi="Verdana" w:cs="Times New Roman"/>
          <w:sz w:val="20"/>
          <w:szCs w:val="20"/>
          <w:lang w:val="es-ES"/>
        </w:rPr>
        <w:t xml:space="preserve">relativo a </w:t>
      </w:r>
      <w:r w:rsidR="00C61AAA">
        <w:rPr>
          <w:rFonts w:ascii="Verdana" w:eastAsia="Times New Roman" w:hAnsi="Verdana" w:cs="Times New Roman"/>
          <w:sz w:val="20"/>
          <w:szCs w:val="20"/>
          <w:lang w:val="es-ES"/>
        </w:rPr>
        <w:t>Hechos</w:t>
      </w:r>
      <w:r w:rsidR="00CE5CFA" w:rsidRPr="008D0846">
        <w:rPr>
          <w:rFonts w:ascii="Verdana" w:eastAsia="Times New Roman" w:hAnsi="Verdana" w:cs="Times New Roman"/>
          <w:sz w:val="20"/>
          <w:szCs w:val="20"/>
          <w:lang w:val="es-ES"/>
        </w:rPr>
        <w:t>.</w:t>
      </w:r>
    </w:p>
    <w:p w14:paraId="64AA5D6F" w14:textId="39603815" w:rsidR="002E1C85" w:rsidRPr="00BC673B" w:rsidRDefault="002E1C85" w:rsidP="00E67720">
      <w:pPr>
        <w:widowControl w:val="0"/>
        <w:numPr>
          <w:ilvl w:val="0"/>
          <w:numId w:val="4"/>
        </w:numPr>
        <w:tabs>
          <w:tab w:val="left" w:pos="567"/>
          <w:tab w:val="num" w:pos="12305"/>
        </w:tabs>
        <w:adjustRightInd w:val="0"/>
        <w:spacing w:before="120" w:after="120" w:line="240" w:lineRule="auto"/>
        <w:ind w:left="0" w:firstLine="0"/>
        <w:jc w:val="both"/>
        <w:textAlignment w:val="baseline"/>
        <w:rPr>
          <w:rFonts w:ascii="Verdana" w:eastAsia="Calibri" w:hAnsi="Verdana" w:cs="Arial"/>
          <w:sz w:val="20"/>
          <w:szCs w:val="20"/>
          <w:lang w:val="es-ES" w:eastAsia="es-CR"/>
        </w:rPr>
      </w:pPr>
      <w:r w:rsidRPr="002E1C85">
        <w:rPr>
          <w:rFonts w:ascii="Verdana" w:eastAsia="Verdana" w:hAnsi="Verdana" w:cs="Verdana"/>
          <w:i/>
          <w:sz w:val="20"/>
          <w:szCs w:val="20"/>
          <w:lang w:val="es-ES" w:eastAsia="es-CR"/>
        </w:rPr>
        <w:t xml:space="preserve">Trámite ante la Comisión. – </w:t>
      </w:r>
      <w:r w:rsidRPr="002E1C85">
        <w:rPr>
          <w:rFonts w:ascii="Verdana" w:eastAsia="Verdana" w:hAnsi="Verdana" w:cs="Verdana"/>
          <w:sz w:val="20"/>
          <w:szCs w:val="20"/>
          <w:lang w:val="es-ES" w:eastAsia="es-CR"/>
        </w:rPr>
        <w:t>El trámite ante la Comisión fue el siguiente:</w:t>
      </w:r>
    </w:p>
    <w:p w14:paraId="64AA5D71" w14:textId="5C7A4F3C" w:rsidR="002E1C85" w:rsidRPr="00D57E6C" w:rsidRDefault="002E1C85" w:rsidP="00C90B3F">
      <w:pPr>
        <w:widowControl w:val="0"/>
        <w:numPr>
          <w:ilvl w:val="0"/>
          <w:numId w:val="5"/>
        </w:numPr>
        <w:adjustRightInd w:val="0"/>
        <w:spacing w:before="120" w:after="120" w:line="240" w:lineRule="auto"/>
        <w:ind w:left="816" w:right="142" w:hanging="357"/>
        <w:jc w:val="both"/>
        <w:textAlignment w:val="baseline"/>
        <w:rPr>
          <w:rFonts w:ascii="Verdana" w:eastAsia="Verdana" w:hAnsi="Verdana" w:cs="Verdana"/>
          <w:sz w:val="18"/>
          <w:szCs w:val="20"/>
          <w:lang w:val="es-ES" w:eastAsia="es-CR"/>
        </w:rPr>
      </w:pPr>
      <w:r w:rsidRPr="00D57E6C">
        <w:rPr>
          <w:rFonts w:ascii="Verdana" w:eastAsia="Verdana" w:hAnsi="Verdana" w:cs="Verdana"/>
          <w:i/>
          <w:sz w:val="18"/>
          <w:szCs w:val="20"/>
          <w:lang w:val="es-ES" w:eastAsia="es-CR"/>
        </w:rPr>
        <w:t xml:space="preserve">Petición. – </w:t>
      </w:r>
      <w:r w:rsidRPr="00D57E6C">
        <w:rPr>
          <w:rFonts w:ascii="Verdana" w:eastAsia="Verdana" w:hAnsi="Verdana" w:cs="Verdana"/>
          <w:sz w:val="18"/>
          <w:szCs w:val="20"/>
          <w:lang w:val="es-ES" w:eastAsia="es-CR"/>
        </w:rPr>
        <w:t xml:space="preserve">El 26 de junio de 2011 el Centro de Derechos Humanos de las Mujeres (CEDEHM); la Comisión de Solidaridad y Defensa de los Derechos Humanos (COSYDDHAC); la Justicia para Nuestras Hijas (JPNH), y el Centro de Derechos Humanos Paso del Norte (CDHPN), (en adelante “los peticionarios”) presentaron la petición inicial ante la Comisión, por </w:t>
      </w:r>
      <w:r w:rsidRPr="00D57E6C">
        <w:rPr>
          <w:rFonts w:ascii="Verdana" w:eastAsia="Calibri" w:hAnsi="Verdana" w:cs="Arial"/>
          <w:sz w:val="18"/>
          <w:szCs w:val="20"/>
          <w:lang w:val="es-CR" w:eastAsia="es-CR"/>
        </w:rPr>
        <w:t>la mencionada alegada desaparición forzada (</w:t>
      </w:r>
      <w:r w:rsidR="00205AF7" w:rsidRPr="00D57E6C">
        <w:rPr>
          <w:rFonts w:ascii="Verdana" w:eastAsia="Calibri" w:hAnsi="Verdana" w:cs="Arial"/>
          <w:i/>
          <w:sz w:val="18"/>
          <w:szCs w:val="20"/>
          <w:lang w:val="es-CR" w:eastAsia="es-CR"/>
        </w:rPr>
        <w:t xml:space="preserve">supra </w:t>
      </w:r>
      <w:r w:rsidRPr="00D57E6C">
        <w:rPr>
          <w:rFonts w:ascii="Verdana" w:eastAsia="Calibri" w:hAnsi="Verdana" w:cs="Arial"/>
          <w:sz w:val="18"/>
          <w:szCs w:val="20"/>
          <w:lang w:val="es-CR" w:eastAsia="es-CR"/>
        </w:rPr>
        <w:t xml:space="preserve">párr. </w:t>
      </w:r>
      <w:r w:rsidR="00AF128A">
        <w:rPr>
          <w:rFonts w:ascii="Verdana" w:eastAsia="Calibri" w:hAnsi="Verdana" w:cs="Arial"/>
          <w:sz w:val="18"/>
          <w:szCs w:val="20"/>
          <w:lang w:val="es-CR" w:eastAsia="es-CR"/>
        </w:rPr>
        <w:t>1</w:t>
      </w:r>
      <w:r w:rsidRPr="00D57E6C">
        <w:rPr>
          <w:rFonts w:ascii="Verdana" w:eastAsia="Calibri" w:hAnsi="Verdana" w:cs="Arial"/>
          <w:sz w:val="18"/>
          <w:szCs w:val="20"/>
          <w:lang w:val="es-CR" w:eastAsia="es-CR"/>
        </w:rPr>
        <w:t>)</w:t>
      </w:r>
      <w:r w:rsidR="006B072A" w:rsidRPr="008D0846">
        <w:rPr>
          <w:rFonts w:ascii="Verdana" w:eastAsia="Times New Roman" w:hAnsi="Verdana" w:cs="Times New Roman"/>
          <w:sz w:val="18"/>
          <w:szCs w:val="20"/>
          <w:lang w:val="es-ES"/>
        </w:rPr>
        <w:t>.</w:t>
      </w:r>
    </w:p>
    <w:p w14:paraId="64AA5D73" w14:textId="6B8790E9" w:rsidR="002E1C85" w:rsidRPr="00D57E6C" w:rsidRDefault="002E1C85" w:rsidP="00C90B3F">
      <w:pPr>
        <w:widowControl w:val="0"/>
        <w:numPr>
          <w:ilvl w:val="0"/>
          <w:numId w:val="5"/>
        </w:numPr>
        <w:adjustRightInd w:val="0"/>
        <w:spacing w:before="120" w:after="120" w:line="240" w:lineRule="auto"/>
        <w:ind w:left="816" w:right="142" w:hanging="357"/>
        <w:jc w:val="both"/>
        <w:textAlignment w:val="baseline"/>
        <w:rPr>
          <w:rFonts w:ascii="Verdana" w:eastAsia="Verdana" w:hAnsi="Verdana" w:cs="Verdana"/>
          <w:sz w:val="18"/>
          <w:szCs w:val="20"/>
          <w:lang w:val="es-ES" w:eastAsia="es-CR"/>
        </w:rPr>
      </w:pPr>
      <w:r w:rsidRPr="00D57E6C">
        <w:rPr>
          <w:rFonts w:ascii="Verdana" w:eastAsia="Verdana" w:hAnsi="Verdana" w:cs="Verdana"/>
          <w:i/>
          <w:sz w:val="18"/>
          <w:szCs w:val="20"/>
          <w:lang w:val="es-ES" w:eastAsia="es-CR"/>
        </w:rPr>
        <w:lastRenderedPageBreak/>
        <w:t xml:space="preserve">Informe de Admisibilidad. – </w:t>
      </w:r>
      <w:r w:rsidRPr="00D57E6C">
        <w:rPr>
          <w:rFonts w:ascii="Verdana" w:eastAsia="Verdana" w:hAnsi="Verdana" w:cs="Verdana"/>
          <w:sz w:val="18"/>
          <w:szCs w:val="20"/>
          <w:lang w:val="es-ES" w:eastAsia="es-CR"/>
        </w:rPr>
        <w:t xml:space="preserve">El 12 de julio de 2013 la Comisión aprobó el Informe de </w:t>
      </w:r>
      <w:r w:rsidRPr="00D57E6C">
        <w:rPr>
          <w:rFonts w:ascii="Verdana" w:eastAsia="Verdana" w:hAnsi="Verdana" w:cs="Verdana"/>
          <w:position w:val="-1"/>
          <w:sz w:val="18"/>
          <w:szCs w:val="20"/>
          <w:lang w:val="es-ES" w:eastAsia="es-CR"/>
        </w:rPr>
        <w:t xml:space="preserve">Admisibilidad No. 48/13, </w:t>
      </w:r>
      <w:r w:rsidRPr="00D57E6C">
        <w:rPr>
          <w:rFonts w:ascii="Verdana" w:eastAsia="Times New Roman" w:hAnsi="Verdana" w:cs="Verdana"/>
          <w:sz w:val="18"/>
          <w:szCs w:val="20"/>
          <w:lang w:val="es-ES" w:eastAsia="es-CR"/>
        </w:rPr>
        <w:t>en el que concluyó que la petición 880-11 era admisible</w:t>
      </w:r>
      <w:r w:rsidRPr="00D57E6C">
        <w:rPr>
          <w:rFonts w:ascii="Verdana" w:eastAsia="Verdana" w:hAnsi="Verdana" w:cs="Verdana"/>
          <w:position w:val="-1"/>
          <w:sz w:val="18"/>
          <w:szCs w:val="20"/>
          <w:vertAlign w:val="superscript"/>
          <w:lang w:val="es-ES" w:eastAsia="es-CR"/>
        </w:rPr>
        <w:footnoteReference w:id="4"/>
      </w:r>
      <w:r w:rsidR="00B7622A">
        <w:rPr>
          <w:rFonts w:ascii="Verdana" w:eastAsia="Verdana" w:hAnsi="Verdana" w:cs="Verdana"/>
          <w:position w:val="-1"/>
          <w:sz w:val="18"/>
          <w:szCs w:val="20"/>
          <w:lang w:val="es-ES" w:eastAsia="es-CR"/>
        </w:rPr>
        <w:t>.</w:t>
      </w:r>
    </w:p>
    <w:p w14:paraId="64AA5D76" w14:textId="06E7548C" w:rsidR="002E1C85" w:rsidRPr="00D57E6C" w:rsidRDefault="002E1C85" w:rsidP="00C90B3F">
      <w:pPr>
        <w:widowControl w:val="0"/>
        <w:numPr>
          <w:ilvl w:val="0"/>
          <w:numId w:val="5"/>
        </w:numPr>
        <w:adjustRightInd w:val="0"/>
        <w:spacing w:before="120" w:after="120" w:line="240" w:lineRule="auto"/>
        <w:ind w:left="816" w:right="142" w:hanging="357"/>
        <w:jc w:val="both"/>
        <w:textAlignment w:val="baseline"/>
        <w:rPr>
          <w:rFonts w:ascii="Verdana" w:eastAsia="Verdana" w:hAnsi="Verdana" w:cs="Verdana"/>
          <w:sz w:val="18"/>
          <w:szCs w:val="20"/>
          <w:lang w:val="es-ES" w:eastAsia="es-CR"/>
        </w:rPr>
      </w:pPr>
      <w:r w:rsidRPr="00D57E6C">
        <w:rPr>
          <w:rFonts w:ascii="Verdana" w:eastAsia="Verdana" w:hAnsi="Verdana" w:cs="Verdana"/>
          <w:i/>
          <w:sz w:val="18"/>
          <w:szCs w:val="20"/>
          <w:lang w:val="es-ES" w:eastAsia="es-CR"/>
        </w:rPr>
        <w:t xml:space="preserve">Informe de Fondo. – </w:t>
      </w:r>
      <w:r w:rsidRPr="00D57E6C">
        <w:rPr>
          <w:rFonts w:ascii="Verdana" w:eastAsia="Verdana" w:hAnsi="Verdana" w:cs="Verdana"/>
          <w:sz w:val="18"/>
          <w:szCs w:val="20"/>
          <w:lang w:val="es-ES" w:eastAsia="es-CR"/>
        </w:rPr>
        <w:t>El 13 de abril de 2016 la Comisión aprobó el Informe de Fondo No. 3/16, de conformidad con el artículo 50 de la Convención (en adelante también “el Informe de Fondo” o “el Informe No. 3/16”), en el cual llegó a una serie de conclusiones y formuló varias recomendaciones al Estado</w:t>
      </w:r>
      <w:r w:rsidRPr="00D57E6C">
        <w:rPr>
          <w:rStyle w:val="FootnoteReference"/>
          <w:rFonts w:ascii="Verdana" w:eastAsia="Verdana" w:hAnsi="Verdana" w:cs="Verdana"/>
          <w:sz w:val="18"/>
          <w:szCs w:val="20"/>
          <w:lang w:val="es-ES" w:eastAsia="es-CR"/>
        </w:rPr>
        <w:footnoteReference w:id="5"/>
      </w:r>
      <w:r w:rsidR="009C041B" w:rsidRPr="008D0846">
        <w:rPr>
          <w:rFonts w:ascii="Verdana" w:eastAsia="Times New Roman" w:hAnsi="Verdana" w:cs="Times New Roman"/>
          <w:sz w:val="18"/>
          <w:szCs w:val="20"/>
          <w:lang w:val="es-ES"/>
        </w:rPr>
        <w:t>.</w:t>
      </w:r>
    </w:p>
    <w:p w14:paraId="64AA5D78" w14:textId="4365DAD7" w:rsidR="002E1C85" w:rsidRPr="00D57E6C" w:rsidRDefault="002E1C85" w:rsidP="00C90B3F">
      <w:pPr>
        <w:widowControl w:val="0"/>
        <w:numPr>
          <w:ilvl w:val="0"/>
          <w:numId w:val="5"/>
        </w:numPr>
        <w:adjustRightInd w:val="0"/>
        <w:spacing w:before="120" w:after="120" w:line="240" w:lineRule="auto"/>
        <w:ind w:left="816" w:right="142" w:hanging="357"/>
        <w:jc w:val="both"/>
        <w:textAlignment w:val="baseline"/>
        <w:rPr>
          <w:rFonts w:ascii="Verdana" w:eastAsia="Verdana" w:hAnsi="Verdana" w:cs="Verdana"/>
          <w:sz w:val="18"/>
          <w:szCs w:val="20"/>
          <w:lang w:val="es-ES" w:eastAsia="es-CR"/>
        </w:rPr>
      </w:pPr>
      <w:r w:rsidRPr="00D57E6C">
        <w:rPr>
          <w:rFonts w:ascii="Verdana" w:eastAsia="Verdana" w:hAnsi="Verdana" w:cs="Verdana"/>
          <w:i/>
          <w:sz w:val="18"/>
          <w:szCs w:val="20"/>
          <w:lang w:val="es-ES" w:eastAsia="es-CR"/>
        </w:rPr>
        <w:t xml:space="preserve">Notificación al Estado. – </w:t>
      </w:r>
      <w:r w:rsidRPr="00D57E6C">
        <w:rPr>
          <w:rFonts w:ascii="Verdana" w:eastAsia="Verdana" w:hAnsi="Verdana" w:cs="Verdana"/>
          <w:sz w:val="18"/>
          <w:szCs w:val="20"/>
          <w:lang w:val="es-ES" w:eastAsia="es-CR"/>
        </w:rPr>
        <w:t>El Informe No. 3/16 fue notificado al Estado mediante comunicación de 9 de mayo de 2016, otorgándole un plazo de dos meses para informar sobre el cumplimiento de las recomendaciones</w:t>
      </w:r>
      <w:r w:rsidR="00370F40" w:rsidRPr="008D0846">
        <w:rPr>
          <w:rFonts w:ascii="Verdana" w:eastAsia="Times New Roman" w:hAnsi="Verdana" w:cs="Times New Roman"/>
          <w:sz w:val="18"/>
          <w:szCs w:val="20"/>
          <w:lang w:val="es-ES"/>
        </w:rPr>
        <w:t>.</w:t>
      </w:r>
    </w:p>
    <w:p w14:paraId="64AA5D7A" w14:textId="5C63E5CC" w:rsidR="002E1C85" w:rsidRPr="00D57E6C" w:rsidRDefault="002E1C85" w:rsidP="00C90B3F">
      <w:pPr>
        <w:widowControl w:val="0"/>
        <w:numPr>
          <w:ilvl w:val="0"/>
          <w:numId w:val="5"/>
        </w:numPr>
        <w:adjustRightInd w:val="0"/>
        <w:spacing w:before="120" w:after="120" w:line="240" w:lineRule="auto"/>
        <w:ind w:left="816" w:right="142" w:hanging="357"/>
        <w:jc w:val="both"/>
        <w:textAlignment w:val="baseline"/>
        <w:rPr>
          <w:rFonts w:ascii="Verdana" w:eastAsia="Verdana" w:hAnsi="Verdana" w:cs="Verdana"/>
          <w:sz w:val="18"/>
          <w:szCs w:val="20"/>
          <w:lang w:val="es-ES" w:eastAsia="es-CR"/>
        </w:rPr>
      </w:pPr>
      <w:r w:rsidRPr="00D57E6C">
        <w:rPr>
          <w:rFonts w:ascii="Verdana" w:eastAsia="Verdana" w:hAnsi="Verdana" w:cs="Verdana"/>
          <w:i/>
          <w:sz w:val="18"/>
          <w:szCs w:val="20"/>
          <w:lang w:val="es-ES" w:eastAsia="es-CR"/>
        </w:rPr>
        <w:t xml:space="preserve">Informes sobre las recomendaciones de la Comisión. – </w:t>
      </w:r>
      <w:r w:rsidRPr="00D57E6C">
        <w:rPr>
          <w:rFonts w:ascii="Verdana" w:eastAsia="Verdana" w:hAnsi="Verdana" w:cs="Verdana"/>
          <w:sz w:val="18"/>
          <w:szCs w:val="20"/>
          <w:lang w:val="es-ES" w:eastAsia="es-CR"/>
        </w:rPr>
        <w:t>El 12 de julio y 25 de octubre de 2016 el Estado mexicano presentó informes sobre las medidas adoptadas para dar cumplimiento a las recomendaciones formuladas en el Informe No. 3/16 de la Comisión. Tras el otorgamiento de una prórroga para el cumplimiento de las recomendaciones, la Comisión consideró que el Estado “no ha</w:t>
      </w:r>
      <w:r w:rsidR="006B072A" w:rsidRPr="00366BF2">
        <w:rPr>
          <w:rFonts w:ascii="Verdana" w:eastAsia="Times New Roman" w:hAnsi="Verdana" w:cs="Times New Roman"/>
          <w:sz w:val="18"/>
          <w:szCs w:val="20"/>
          <w:lang w:val="es-ES"/>
        </w:rPr>
        <w:t>[</w:t>
      </w:r>
      <w:r w:rsidR="006B072A">
        <w:rPr>
          <w:rFonts w:ascii="Verdana" w:eastAsia="Times New Roman" w:hAnsi="Verdana" w:cs="Times New Roman"/>
          <w:sz w:val="18"/>
          <w:szCs w:val="20"/>
          <w:lang w:val="es-ES"/>
        </w:rPr>
        <w:t>bía</w:t>
      </w:r>
      <w:r w:rsidR="006B072A" w:rsidRPr="00366BF2">
        <w:rPr>
          <w:rFonts w:ascii="Verdana" w:eastAsia="Times New Roman" w:hAnsi="Verdana" w:cs="Times New Roman"/>
          <w:sz w:val="18"/>
          <w:szCs w:val="20"/>
          <w:lang w:val="es-ES"/>
        </w:rPr>
        <w:t>]</w:t>
      </w:r>
      <w:r w:rsidRPr="00D57E6C">
        <w:rPr>
          <w:rFonts w:ascii="Verdana" w:eastAsia="Verdana" w:hAnsi="Verdana" w:cs="Verdana"/>
          <w:sz w:val="18"/>
          <w:szCs w:val="20"/>
          <w:lang w:val="es-ES" w:eastAsia="es-CR"/>
        </w:rPr>
        <w:t xml:space="preserve"> avanzado integral y sustantivamente en el cumplimiento de las [mismas]” y específicamente “no se ha</w:t>
      </w:r>
      <w:r w:rsidR="006B072A" w:rsidRPr="00366BF2">
        <w:rPr>
          <w:rFonts w:ascii="Verdana" w:eastAsia="Times New Roman" w:hAnsi="Verdana" w:cs="Times New Roman"/>
          <w:sz w:val="18"/>
          <w:szCs w:val="20"/>
          <w:lang w:val="es-ES"/>
        </w:rPr>
        <w:t>[</w:t>
      </w:r>
      <w:r w:rsidR="006B072A">
        <w:rPr>
          <w:rFonts w:ascii="Verdana" w:eastAsia="Times New Roman" w:hAnsi="Verdana" w:cs="Times New Roman"/>
          <w:sz w:val="18"/>
          <w:szCs w:val="20"/>
          <w:lang w:val="es-ES"/>
        </w:rPr>
        <w:t>bía</w:t>
      </w:r>
      <w:r w:rsidR="006B072A" w:rsidRPr="00366BF2">
        <w:rPr>
          <w:rFonts w:ascii="Verdana" w:eastAsia="Times New Roman" w:hAnsi="Verdana" w:cs="Times New Roman"/>
          <w:sz w:val="18"/>
          <w:szCs w:val="20"/>
          <w:lang w:val="es-ES"/>
        </w:rPr>
        <w:t>]</w:t>
      </w:r>
      <w:r w:rsidRPr="00D57E6C">
        <w:rPr>
          <w:rFonts w:ascii="Verdana" w:eastAsia="Verdana" w:hAnsi="Verdana" w:cs="Verdana"/>
          <w:sz w:val="18"/>
          <w:szCs w:val="20"/>
          <w:lang w:val="es-ES" w:eastAsia="es-CR"/>
        </w:rPr>
        <w:t xml:space="preserve">n dado progresos relevantes en la búsqueda de las tres personas desaparecidas, los avances en las investigaciones </w:t>
      </w:r>
      <w:r w:rsidR="006B072A" w:rsidRPr="00366BF2">
        <w:rPr>
          <w:rFonts w:ascii="Verdana" w:eastAsia="Times New Roman" w:hAnsi="Verdana" w:cs="Times New Roman"/>
          <w:sz w:val="18"/>
          <w:szCs w:val="20"/>
          <w:lang w:val="es-ES"/>
        </w:rPr>
        <w:t>[</w:t>
      </w:r>
      <w:r w:rsidR="006B072A">
        <w:rPr>
          <w:rFonts w:ascii="Verdana" w:eastAsia="Times New Roman" w:hAnsi="Verdana" w:cs="Times New Roman"/>
          <w:sz w:val="18"/>
          <w:szCs w:val="20"/>
          <w:lang w:val="es-ES"/>
        </w:rPr>
        <w:t>fueron</w:t>
      </w:r>
      <w:r w:rsidR="006B072A" w:rsidRPr="00366BF2">
        <w:rPr>
          <w:rFonts w:ascii="Verdana" w:eastAsia="Times New Roman" w:hAnsi="Verdana" w:cs="Times New Roman"/>
          <w:sz w:val="18"/>
          <w:szCs w:val="20"/>
          <w:lang w:val="es-ES"/>
        </w:rPr>
        <w:t>]</w:t>
      </w:r>
      <w:r w:rsidRPr="00D57E6C">
        <w:rPr>
          <w:rFonts w:ascii="Verdana" w:eastAsia="Verdana" w:hAnsi="Verdana" w:cs="Verdana"/>
          <w:sz w:val="18"/>
          <w:szCs w:val="20"/>
          <w:lang w:val="es-ES" w:eastAsia="es-CR"/>
        </w:rPr>
        <w:t xml:space="preserve"> mínimos y el Estado no ha</w:t>
      </w:r>
      <w:r w:rsidR="006B072A" w:rsidRPr="00366BF2">
        <w:rPr>
          <w:rFonts w:ascii="Verdana" w:eastAsia="Times New Roman" w:hAnsi="Verdana" w:cs="Times New Roman"/>
          <w:sz w:val="18"/>
          <w:szCs w:val="20"/>
          <w:lang w:val="es-ES"/>
        </w:rPr>
        <w:t>[</w:t>
      </w:r>
      <w:r w:rsidR="006B072A">
        <w:rPr>
          <w:rFonts w:ascii="Verdana" w:eastAsia="Times New Roman" w:hAnsi="Verdana" w:cs="Times New Roman"/>
          <w:sz w:val="18"/>
          <w:szCs w:val="20"/>
          <w:lang w:val="es-ES"/>
        </w:rPr>
        <w:t>bía</w:t>
      </w:r>
      <w:r w:rsidR="006B072A" w:rsidRPr="00366BF2">
        <w:rPr>
          <w:rFonts w:ascii="Verdana" w:eastAsia="Times New Roman" w:hAnsi="Verdana" w:cs="Times New Roman"/>
          <w:sz w:val="18"/>
          <w:szCs w:val="20"/>
          <w:lang w:val="es-ES"/>
        </w:rPr>
        <w:t>]</w:t>
      </w:r>
      <w:r w:rsidRPr="00D57E6C">
        <w:rPr>
          <w:rFonts w:ascii="Verdana" w:eastAsia="Verdana" w:hAnsi="Verdana" w:cs="Verdana"/>
          <w:sz w:val="18"/>
          <w:szCs w:val="20"/>
          <w:lang w:val="es-ES" w:eastAsia="es-CR"/>
        </w:rPr>
        <w:t xml:space="preserve"> efectuado una propuesta concreta de reparación a favor de las víctimas”</w:t>
      </w:r>
      <w:r w:rsidR="00370F40" w:rsidRPr="008D0846">
        <w:rPr>
          <w:rFonts w:ascii="Verdana" w:eastAsia="Times New Roman" w:hAnsi="Verdana" w:cs="Times New Roman"/>
          <w:sz w:val="18"/>
          <w:szCs w:val="20"/>
          <w:lang w:val="es-ES"/>
        </w:rPr>
        <w:t>.</w:t>
      </w:r>
    </w:p>
    <w:p w14:paraId="387DBBC5" w14:textId="795A03B1" w:rsidR="00350979" w:rsidRPr="00BC673B" w:rsidRDefault="002E1C85" w:rsidP="00C90B3F">
      <w:pPr>
        <w:widowControl w:val="0"/>
        <w:numPr>
          <w:ilvl w:val="0"/>
          <w:numId w:val="5"/>
        </w:numPr>
        <w:adjustRightInd w:val="0"/>
        <w:spacing w:before="120" w:after="120" w:line="240" w:lineRule="auto"/>
        <w:ind w:left="816" w:right="142" w:hanging="357"/>
        <w:jc w:val="both"/>
        <w:textAlignment w:val="baseline"/>
        <w:rPr>
          <w:rFonts w:ascii="Verdana" w:eastAsia="Times New Roman" w:hAnsi="Verdana" w:cs="Arial"/>
          <w:sz w:val="20"/>
          <w:szCs w:val="20"/>
          <w:lang w:val="es-ES" w:eastAsia="es-CR"/>
        </w:rPr>
      </w:pPr>
      <w:r w:rsidRPr="00D57E6C">
        <w:rPr>
          <w:rFonts w:ascii="Verdana" w:eastAsia="Verdana" w:hAnsi="Verdana" w:cs="Verdana"/>
          <w:i/>
          <w:sz w:val="18"/>
          <w:szCs w:val="20"/>
          <w:lang w:val="es-ES" w:eastAsia="es-CR"/>
        </w:rPr>
        <w:t xml:space="preserve">Sometimiento a la Corte. </w:t>
      </w:r>
      <w:r w:rsidRPr="00D57E6C">
        <w:rPr>
          <w:rFonts w:ascii="Verdana" w:eastAsia="Verdana" w:hAnsi="Verdana" w:cs="Verdana"/>
          <w:sz w:val="18"/>
          <w:szCs w:val="20"/>
          <w:lang w:val="es-ES" w:eastAsia="es-CR"/>
        </w:rPr>
        <w:t>– El 9 de noviembre de 2016 la Comisión sometió a la jurisdicción de la Corte Interamericana la totalidad de los hechos y violaciones de derechos humanos descritos en el Informe de Fondo “por la necesidad de obtención de justicia para las víctimas”</w:t>
      </w:r>
      <w:r w:rsidRPr="00D57E6C">
        <w:rPr>
          <w:rFonts w:ascii="Verdana" w:eastAsia="Verdana" w:hAnsi="Verdana" w:cs="Verdana"/>
          <w:sz w:val="18"/>
          <w:szCs w:val="20"/>
          <w:vertAlign w:val="superscript"/>
          <w:lang w:val="es-ES" w:eastAsia="es-CR"/>
        </w:rPr>
        <w:footnoteReference w:id="6"/>
      </w:r>
      <w:r w:rsidR="00370F40" w:rsidRPr="008D0846">
        <w:rPr>
          <w:rFonts w:ascii="Verdana" w:eastAsia="Times New Roman" w:hAnsi="Verdana" w:cs="Times New Roman"/>
          <w:sz w:val="18"/>
          <w:szCs w:val="20"/>
          <w:lang w:val="es-ES"/>
        </w:rPr>
        <w:t>.</w:t>
      </w:r>
    </w:p>
    <w:p w14:paraId="64AA5D7E" w14:textId="0353F7B4" w:rsidR="002E1C85" w:rsidRDefault="002E1C85" w:rsidP="00E67720">
      <w:pPr>
        <w:widowControl w:val="0"/>
        <w:numPr>
          <w:ilvl w:val="0"/>
          <w:numId w:val="4"/>
        </w:numPr>
        <w:tabs>
          <w:tab w:val="left" w:pos="567"/>
          <w:tab w:val="num" w:pos="12305"/>
        </w:tabs>
        <w:adjustRightInd w:val="0"/>
        <w:spacing w:before="120" w:after="120" w:line="240" w:lineRule="auto"/>
        <w:ind w:left="0" w:firstLine="0"/>
        <w:jc w:val="both"/>
        <w:textAlignment w:val="baseline"/>
        <w:rPr>
          <w:rFonts w:ascii="Verdana" w:eastAsia="Verdana" w:hAnsi="Verdana" w:cs="Verdana"/>
          <w:sz w:val="20"/>
          <w:szCs w:val="20"/>
          <w:lang w:val="es-ES" w:eastAsia="es-CR"/>
        </w:rPr>
      </w:pPr>
      <w:r w:rsidRPr="002E1C85">
        <w:rPr>
          <w:rFonts w:ascii="Verdana" w:eastAsia="Verdana" w:hAnsi="Verdana" w:cs="Verdana"/>
          <w:i/>
          <w:sz w:val="20"/>
          <w:szCs w:val="20"/>
          <w:lang w:val="es-ES" w:eastAsia="es-CR"/>
        </w:rPr>
        <w:t xml:space="preserve">Solicitudes de la Comisión Interamericana. – </w:t>
      </w:r>
      <w:r w:rsidRPr="002E1C85">
        <w:rPr>
          <w:rFonts w:ascii="Verdana" w:eastAsia="Verdana" w:hAnsi="Verdana" w:cs="Verdana"/>
          <w:sz w:val="20"/>
          <w:szCs w:val="20"/>
          <w:lang w:val="es-ES" w:eastAsia="es-CR"/>
        </w:rPr>
        <w:t xml:space="preserve">Con base en lo anterior, la Comisión solicitó a la Corte que declarara la responsabilidad internacional del Estado por las mismas violaciones </w:t>
      </w:r>
      <w:r w:rsidRPr="002E1C85">
        <w:rPr>
          <w:rFonts w:ascii="Verdana" w:eastAsia="Verdana" w:hAnsi="Verdana" w:cs="Verdana"/>
          <w:sz w:val="20"/>
          <w:szCs w:val="20"/>
          <w:lang w:val="es-ES" w:eastAsia="es-CR"/>
        </w:rPr>
        <w:lastRenderedPageBreak/>
        <w:t xml:space="preserve">señaladas en su Informe de Fondo </w:t>
      </w:r>
      <w:r w:rsidRPr="002E1C85">
        <w:rPr>
          <w:rFonts w:ascii="Verdana" w:eastAsia="Times New Roman" w:hAnsi="Verdana" w:cs="Verdana"/>
          <w:sz w:val="20"/>
          <w:szCs w:val="20"/>
          <w:lang w:val="es-ES" w:eastAsia="es-CR"/>
        </w:rPr>
        <w:t>(</w:t>
      </w:r>
      <w:r w:rsidR="00205AF7" w:rsidRPr="00205AF7">
        <w:rPr>
          <w:rFonts w:ascii="Verdana" w:eastAsia="Times New Roman" w:hAnsi="Verdana" w:cs="Verdana"/>
          <w:i/>
          <w:iCs/>
          <w:sz w:val="20"/>
          <w:szCs w:val="20"/>
          <w:lang w:val="es-ES" w:eastAsia="es-CR"/>
        </w:rPr>
        <w:t xml:space="preserve">supra </w:t>
      </w:r>
      <w:r w:rsidRPr="002E1C85">
        <w:rPr>
          <w:rFonts w:ascii="Verdana" w:eastAsia="Times New Roman" w:hAnsi="Verdana" w:cs="Verdana"/>
          <w:sz w:val="20"/>
          <w:szCs w:val="20"/>
          <w:lang w:val="es-ES" w:eastAsia="es-CR"/>
        </w:rPr>
        <w:t>párr. 2.</w:t>
      </w:r>
      <w:r w:rsidR="00B7622A">
        <w:rPr>
          <w:rFonts w:ascii="Verdana" w:eastAsia="Times New Roman" w:hAnsi="Verdana" w:cs="Verdana"/>
          <w:sz w:val="20"/>
          <w:szCs w:val="20"/>
          <w:lang w:val="es-ES" w:eastAsia="es-CR"/>
        </w:rPr>
        <w:t>c</w:t>
      </w:r>
      <w:r w:rsidRPr="002E1C85">
        <w:rPr>
          <w:rFonts w:ascii="Verdana" w:eastAsia="Times New Roman" w:hAnsi="Verdana" w:cs="Verdana"/>
          <w:sz w:val="20"/>
          <w:szCs w:val="20"/>
          <w:lang w:val="es-ES" w:eastAsia="es-CR"/>
        </w:rPr>
        <w:t>)</w:t>
      </w:r>
      <w:r w:rsidRPr="002E1C85">
        <w:rPr>
          <w:rFonts w:ascii="Verdana" w:eastAsia="Verdana" w:hAnsi="Verdana" w:cs="Verdana"/>
          <w:sz w:val="20"/>
          <w:szCs w:val="20"/>
          <w:lang w:val="es-ES" w:eastAsia="es-CR"/>
        </w:rPr>
        <w:t xml:space="preserve">. Asimismo, la Comisión solicitó a la </w:t>
      </w:r>
      <w:r w:rsidRPr="002E1C85">
        <w:rPr>
          <w:rFonts w:ascii="Verdana" w:eastAsia="Calibri" w:hAnsi="Verdana" w:cs="Arial"/>
          <w:sz w:val="20"/>
          <w:szCs w:val="20"/>
          <w:lang w:val="es-ES" w:eastAsia="es-CR"/>
        </w:rPr>
        <w:t>Corte</w:t>
      </w:r>
      <w:r w:rsidRPr="002E1C85">
        <w:rPr>
          <w:rFonts w:ascii="Verdana" w:eastAsia="Verdana" w:hAnsi="Verdana" w:cs="Verdana"/>
          <w:sz w:val="20"/>
          <w:szCs w:val="20"/>
          <w:lang w:val="es-ES" w:eastAsia="es-CR"/>
        </w:rPr>
        <w:t xml:space="preserve"> que ordenara al Estado determinadas medidas de reparación, las cuales se detallan y analizan en el Capítulo </w:t>
      </w:r>
      <w:r w:rsidR="00C74A61">
        <w:rPr>
          <w:rFonts w:ascii="Verdana" w:eastAsia="Verdana" w:hAnsi="Verdana" w:cs="Verdana"/>
          <w:sz w:val="20"/>
          <w:szCs w:val="20"/>
          <w:lang w:val="es-ES" w:eastAsia="es-CR"/>
        </w:rPr>
        <w:t>VIII</w:t>
      </w:r>
      <w:r w:rsidRPr="002E1C85">
        <w:rPr>
          <w:rFonts w:ascii="Verdana" w:eastAsia="Verdana" w:hAnsi="Verdana" w:cs="Verdana"/>
          <w:sz w:val="20"/>
          <w:szCs w:val="20"/>
          <w:lang w:val="es-ES" w:eastAsia="es-CR"/>
        </w:rPr>
        <w:t xml:space="preserve"> de la presente Sentencia.</w:t>
      </w:r>
    </w:p>
    <w:p w14:paraId="64AA5D80" w14:textId="52DC2119" w:rsidR="002E1C85" w:rsidRPr="00E67720" w:rsidRDefault="002E1C85" w:rsidP="0057411A">
      <w:pPr>
        <w:pStyle w:val="Heading1"/>
        <w:rPr>
          <w:snapToGrid w:val="0"/>
          <w:lang w:val="es-CR" w:eastAsia="es-CR"/>
        </w:rPr>
      </w:pPr>
      <w:bookmarkStart w:id="17" w:name="_Toc372568229"/>
      <w:bookmarkStart w:id="18" w:name="_Toc373093235"/>
      <w:bookmarkStart w:id="19" w:name="_Toc373350047"/>
      <w:bookmarkStart w:id="20" w:name="_Toc375560893"/>
      <w:bookmarkStart w:id="21" w:name="_Toc401931878"/>
      <w:bookmarkStart w:id="22" w:name="_Toc428369977"/>
      <w:bookmarkStart w:id="23" w:name="_Toc459158093"/>
      <w:bookmarkStart w:id="24" w:name="_Toc470180033"/>
      <w:bookmarkStart w:id="25" w:name="_Toc514172590"/>
      <w:bookmarkStart w:id="26" w:name="_Toc526774133"/>
      <w:bookmarkStart w:id="27" w:name="_Toc526777465"/>
      <w:bookmarkStart w:id="28" w:name="_Toc526783744"/>
      <w:bookmarkStart w:id="29" w:name="_Toc532995312"/>
      <w:r w:rsidRPr="002E1C85">
        <w:rPr>
          <w:snapToGrid w:val="0"/>
          <w:lang w:val="es-CR" w:eastAsia="es-CR"/>
        </w:rPr>
        <w:t>II</w:t>
      </w:r>
      <w:bookmarkStart w:id="30" w:name="_Toc375062711"/>
      <w:bookmarkStart w:id="31" w:name="_Toc375140861"/>
      <w:bookmarkStart w:id="32" w:name="_Toc375504820"/>
      <w:bookmarkStart w:id="33" w:name="_Toc375560894"/>
      <w:bookmarkEnd w:id="17"/>
      <w:bookmarkEnd w:id="18"/>
      <w:bookmarkEnd w:id="19"/>
      <w:bookmarkEnd w:id="20"/>
      <w:r w:rsidRPr="002E1C85">
        <w:rPr>
          <w:snapToGrid w:val="0"/>
          <w:lang w:val="es-CR" w:eastAsia="es-CR"/>
        </w:rPr>
        <w:br/>
        <w:t>PROCEDIMIENTO ANTE LA CORTE</w:t>
      </w:r>
      <w:bookmarkEnd w:id="21"/>
      <w:bookmarkEnd w:id="22"/>
      <w:bookmarkEnd w:id="23"/>
      <w:bookmarkEnd w:id="24"/>
      <w:bookmarkEnd w:id="25"/>
      <w:bookmarkEnd w:id="26"/>
      <w:bookmarkEnd w:id="27"/>
      <w:bookmarkEnd w:id="28"/>
      <w:bookmarkEnd w:id="30"/>
      <w:bookmarkEnd w:id="31"/>
      <w:bookmarkEnd w:id="32"/>
      <w:bookmarkEnd w:id="33"/>
      <w:bookmarkEnd w:id="29"/>
    </w:p>
    <w:p w14:paraId="64AA5D82" w14:textId="08F11BDE" w:rsidR="002E1C85" w:rsidRPr="00BC673B" w:rsidRDefault="002E1C85" w:rsidP="00E67720">
      <w:pPr>
        <w:widowControl w:val="0"/>
        <w:numPr>
          <w:ilvl w:val="0"/>
          <w:numId w:val="4"/>
        </w:numPr>
        <w:tabs>
          <w:tab w:val="left" w:pos="567"/>
          <w:tab w:val="num" w:pos="12305"/>
        </w:tabs>
        <w:adjustRightInd w:val="0"/>
        <w:spacing w:before="120" w:after="120" w:line="240" w:lineRule="auto"/>
        <w:ind w:left="0" w:firstLine="0"/>
        <w:jc w:val="both"/>
        <w:textAlignment w:val="baseline"/>
        <w:rPr>
          <w:rFonts w:ascii="Verdana" w:eastAsia="Verdana" w:hAnsi="Verdana" w:cs="Verdana"/>
          <w:sz w:val="20"/>
          <w:szCs w:val="20"/>
          <w:lang w:val="es-ES" w:eastAsia="es-CR"/>
        </w:rPr>
      </w:pPr>
      <w:r w:rsidRPr="002E1C85">
        <w:rPr>
          <w:rFonts w:ascii="Verdana" w:eastAsia="Verdana" w:hAnsi="Verdana" w:cs="Verdana"/>
          <w:i/>
          <w:sz w:val="20"/>
          <w:szCs w:val="20"/>
          <w:lang w:val="es-ES" w:eastAsia="es-CR"/>
        </w:rPr>
        <w:t xml:space="preserve">Notificación a las representantes y al Estado. – </w:t>
      </w:r>
      <w:r w:rsidRPr="002E1C85">
        <w:rPr>
          <w:rFonts w:ascii="Verdana" w:eastAsia="Verdana" w:hAnsi="Verdana" w:cs="Verdana"/>
          <w:sz w:val="20"/>
          <w:szCs w:val="20"/>
          <w:lang w:val="es-ES" w:eastAsia="es-CR"/>
        </w:rPr>
        <w:t>El sometimiento del caso por parte de la Comisión fue notificado por la Corte a las representantes de las presuntas víctimas (en adelante “las representantes”)</w:t>
      </w:r>
      <w:r w:rsidR="005023E0">
        <w:rPr>
          <w:rFonts w:ascii="Verdana" w:eastAsia="Verdana" w:hAnsi="Verdana" w:cs="Verdana"/>
          <w:sz w:val="20"/>
          <w:szCs w:val="20"/>
          <w:lang w:val="es-ES" w:eastAsia="es-CR"/>
        </w:rPr>
        <w:t>,</w:t>
      </w:r>
      <w:r w:rsidRPr="002E1C85">
        <w:rPr>
          <w:rFonts w:ascii="Verdana" w:eastAsia="Verdana" w:hAnsi="Verdana" w:cs="Verdana"/>
          <w:sz w:val="20"/>
          <w:szCs w:val="20"/>
          <w:lang w:val="es-ES" w:eastAsia="es-CR"/>
        </w:rPr>
        <w:t xml:space="preserve"> el 17 de abril de 2016</w:t>
      </w:r>
      <w:r w:rsidRPr="002E1C85">
        <w:rPr>
          <w:rFonts w:ascii="Verdana" w:eastAsia="Verdana" w:hAnsi="Verdana" w:cs="Verdana"/>
          <w:sz w:val="20"/>
          <w:szCs w:val="20"/>
          <w:vertAlign w:val="superscript"/>
          <w:lang w:val="es-ES" w:eastAsia="es-CR"/>
        </w:rPr>
        <w:footnoteReference w:id="7"/>
      </w:r>
      <w:r w:rsidRPr="002E1C85">
        <w:rPr>
          <w:rFonts w:ascii="Verdana" w:eastAsia="Verdana" w:hAnsi="Verdana" w:cs="Verdana"/>
          <w:sz w:val="20"/>
          <w:szCs w:val="20"/>
          <w:lang w:val="es-ES" w:eastAsia="es-CR"/>
        </w:rPr>
        <w:t xml:space="preserve"> y al Estado mexicano el 10 de abril de 2016</w:t>
      </w:r>
      <w:r w:rsidR="0078142B" w:rsidRPr="008D0846">
        <w:rPr>
          <w:rFonts w:ascii="Verdana" w:eastAsia="Times New Roman" w:hAnsi="Verdana" w:cs="Times New Roman"/>
          <w:sz w:val="20"/>
          <w:szCs w:val="20"/>
          <w:lang w:val="es-ES"/>
        </w:rPr>
        <w:t>.</w:t>
      </w:r>
    </w:p>
    <w:p w14:paraId="64AA5D84" w14:textId="05FF02A2" w:rsidR="002E1C85" w:rsidRPr="00BC673B" w:rsidRDefault="002E1C85" w:rsidP="00E67720">
      <w:pPr>
        <w:widowControl w:val="0"/>
        <w:numPr>
          <w:ilvl w:val="0"/>
          <w:numId w:val="4"/>
        </w:numPr>
        <w:tabs>
          <w:tab w:val="left" w:pos="567"/>
          <w:tab w:val="num" w:pos="12305"/>
        </w:tabs>
        <w:adjustRightInd w:val="0"/>
        <w:spacing w:before="120" w:after="120" w:line="240" w:lineRule="auto"/>
        <w:ind w:left="0" w:firstLine="0"/>
        <w:jc w:val="both"/>
        <w:textAlignment w:val="baseline"/>
        <w:rPr>
          <w:rFonts w:ascii="Verdana" w:eastAsia="Verdana" w:hAnsi="Verdana" w:cs="Verdana"/>
          <w:sz w:val="20"/>
          <w:szCs w:val="20"/>
          <w:u w:val="single"/>
          <w:lang w:val="es-ES" w:eastAsia="es-CR"/>
        </w:rPr>
      </w:pPr>
      <w:r w:rsidRPr="002E1C85">
        <w:rPr>
          <w:rFonts w:ascii="Verdana" w:eastAsia="Verdana" w:hAnsi="Verdana" w:cs="Verdana"/>
          <w:i/>
          <w:sz w:val="20"/>
          <w:szCs w:val="20"/>
          <w:lang w:val="es-ES" w:eastAsia="es-CR"/>
        </w:rPr>
        <w:t xml:space="preserve">Escrito de solicitudes, argumentos y pruebas. – </w:t>
      </w:r>
      <w:r w:rsidRPr="002E1C85">
        <w:rPr>
          <w:rFonts w:ascii="Verdana" w:eastAsia="Verdana" w:hAnsi="Verdana" w:cs="Verdana"/>
          <w:sz w:val="20"/>
          <w:szCs w:val="20"/>
          <w:lang w:val="es-ES" w:eastAsia="es-CR"/>
        </w:rPr>
        <w:t xml:space="preserve">El 18 de junio de 2017 las </w:t>
      </w:r>
      <w:r w:rsidRPr="002E1C85">
        <w:rPr>
          <w:rFonts w:ascii="Verdana" w:eastAsia="Calibri" w:hAnsi="Verdana" w:cs="Arial"/>
          <w:sz w:val="20"/>
          <w:szCs w:val="20"/>
          <w:lang w:val="es-ES" w:eastAsia="es-CR"/>
        </w:rPr>
        <w:t>representantes</w:t>
      </w:r>
      <w:r w:rsidRPr="002E1C85">
        <w:rPr>
          <w:rFonts w:ascii="Verdana" w:eastAsia="Verdana" w:hAnsi="Verdana" w:cs="Verdana"/>
          <w:sz w:val="20"/>
          <w:szCs w:val="20"/>
          <w:lang w:val="es-ES" w:eastAsia="es-CR"/>
        </w:rPr>
        <w:t xml:space="preserve"> presentaron ante la Corte su escrito de solicitudes, argumentos y pruebas (en adelante “escrito de solicitudes y argumentos” </w:t>
      </w:r>
      <w:r w:rsidR="00766CCA">
        <w:rPr>
          <w:rFonts w:ascii="Verdana" w:eastAsia="Verdana" w:hAnsi="Verdana" w:cs="Verdana"/>
          <w:sz w:val="20"/>
          <w:szCs w:val="20"/>
          <w:lang w:val="es-ES" w:eastAsia="es-CR"/>
        </w:rPr>
        <w:t>o</w:t>
      </w:r>
      <w:r w:rsidRPr="002E1C85">
        <w:rPr>
          <w:rFonts w:ascii="Verdana" w:eastAsia="Verdana" w:hAnsi="Verdana" w:cs="Verdana"/>
          <w:sz w:val="20"/>
          <w:szCs w:val="20"/>
          <w:lang w:val="es-ES" w:eastAsia="es-CR"/>
        </w:rPr>
        <w:t xml:space="preserve"> ESAP). Las representantes coincidieron sustancialmente con los alegatos de la Comisión. </w:t>
      </w:r>
      <w:r w:rsidRPr="002E1C85">
        <w:rPr>
          <w:rFonts w:ascii="Verdana" w:eastAsia="Times New Roman" w:hAnsi="Verdana" w:cs="Times New Roman"/>
          <w:sz w:val="20"/>
          <w:szCs w:val="20"/>
          <w:lang w:val="es-ES" w:eastAsia="es-CR"/>
        </w:rPr>
        <w:t xml:space="preserve">Además de los derechos alegados por la Comisión, presentaron argumentos sobre la alegada violación de los artículos 17 de la Convención Americana y 7 de la Convención </w:t>
      </w:r>
      <w:r w:rsidR="005023E0">
        <w:rPr>
          <w:rFonts w:ascii="Verdana" w:eastAsia="Times New Roman" w:hAnsi="Verdana" w:cs="Times New Roman"/>
          <w:sz w:val="20"/>
          <w:szCs w:val="20"/>
          <w:lang w:val="es-ES" w:eastAsia="es-CR"/>
        </w:rPr>
        <w:t xml:space="preserve">Interamericana para Prevenir, Sancionar y Erradicar la Violencia contra la Mujer </w:t>
      </w:r>
      <w:r w:rsidR="005023E0" w:rsidRPr="002E1C85">
        <w:rPr>
          <w:rFonts w:ascii="Verdana" w:eastAsia="Verdana" w:hAnsi="Verdana" w:cs="Verdana"/>
          <w:sz w:val="20"/>
          <w:szCs w:val="20"/>
          <w:lang w:val="es-ES" w:eastAsia="es-CR"/>
        </w:rPr>
        <w:t>(</w:t>
      </w:r>
      <w:r w:rsidR="005023E0">
        <w:rPr>
          <w:rFonts w:ascii="Verdana" w:eastAsia="Times New Roman" w:hAnsi="Verdana" w:cs="Times New Roman"/>
          <w:sz w:val="20"/>
          <w:szCs w:val="20"/>
          <w:lang w:val="es-ES" w:eastAsia="es-CR"/>
        </w:rPr>
        <w:t xml:space="preserve">en adelante </w:t>
      </w:r>
      <w:r w:rsidR="005023E0" w:rsidRPr="002E1C85">
        <w:rPr>
          <w:rFonts w:ascii="Verdana" w:eastAsia="Verdana" w:hAnsi="Verdana" w:cs="Verdana"/>
          <w:sz w:val="20"/>
          <w:szCs w:val="20"/>
          <w:lang w:val="es-ES" w:eastAsia="es-CR"/>
        </w:rPr>
        <w:t>“</w:t>
      </w:r>
      <w:r w:rsidR="005023E0">
        <w:rPr>
          <w:rFonts w:ascii="Verdana" w:eastAsia="Times New Roman" w:hAnsi="Verdana" w:cs="Times New Roman"/>
          <w:sz w:val="20"/>
          <w:szCs w:val="20"/>
          <w:lang w:val="es-ES" w:eastAsia="es-CR"/>
        </w:rPr>
        <w:t xml:space="preserve">Convención </w:t>
      </w:r>
      <w:r w:rsidRPr="002E1C85">
        <w:rPr>
          <w:rFonts w:ascii="Verdana" w:eastAsia="Times New Roman" w:hAnsi="Verdana" w:cs="Times New Roman"/>
          <w:sz w:val="20"/>
          <w:szCs w:val="20"/>
          <w:lang w:val="es-ES" w:eastAsia="es-CR"/>
        </w:rPr>
        <w:t>de Belém do Pará</w:t>
      </w:r>
      <w:r w:rsidR="005023E0" w:rsidRPr="002E1C85">
        <w:rPr>
          <w:rFonts w:ascii="Verdana" w:eastAsia="Verdana" w:hAnsi="Verdana" w:cs="Verdana"/>
          <w:sz w:val="20"/>
          <w:szCs w:val="20"/>
          <w:lang w:val="es-ES" w:eastAsia="es-CR"/>
        </w:rPr>
        <w:t>”)</w:t>
      </w:r>
      <w:r w:rsidRPr="002E1C85">
        <w:rPr>
          <w:rFonts w:ascii="Verdana" w:eastAsia="Times New Roman" w:hAnsi="Verdana" w:cs="Times New Roman"/>
          <w:sz w:val="20"/>
          <w:szCs w:val="20"/>
          <w:lang w:val="es-ES" w:eastAsia="es-CR"/>
        </w:rPr>
        <w:t>.</w:t>
      </w:r>
      <w:r w:rsidRPr="002E1C85">
        <w:rPr>
          <w:rFonts w:ascii="Verdana" w:eastAsia="Verdana" w:hAnsi="Verdana" w:cs="Verdana"/>
          <w:sz w:val="20"/>
          <w:szCs w:val="20"/>
          <w:lang w:val="es-ES" w:eastAsia="es-CR"/>
        </w:rPr>
        <w:t xml:space="preserve"> Asimismo, </w:t>
      </w:r>
      <w:r w:rsidRPr="002E1C85">
        <w:rPr>
          <w:rFonts w:ascii="Verdana" w:eastAsia="Times New Roman" w:hAnsi="Verdana" w:cs="Times New Roman"/>
          <w:sz w:val="20"/>
          <w:szCs w:val="20"/>
          <w:lang w:val="es-ES" w:eastAsia="es-CR"/>
        </w:rPr>
        <w:t xml:space="preserve">las representantes hicieron solicitudes respecto a la utilización del </w:t>
      </w:r>
      <w:r w:rsidRPr="002E1C85">
        <w:rPr>
          <w:rFonts w:ascii="Verdana" w:eastAsia="Verdana" w:hAnsi="Verdana" w:cs="Verdana"/>
          <w:sz w:val="20"/>
          <w:szCs w:val="20"/>
          <w:lang w:val="es-ES" w:eastAsia="es-CR"/>
        </w:rPr>
        <w:t>Fondo de Asistencia Legal de Víctimas de la Corte Interamericana (en adelante el “Fondo de Asistencia de la Corte” o el “Fondo”). Finalmente, solicitaron a la Corte que ordenara al Estado la adopción de diversas medidas de reparación y el reintegro de determinadas costas y gastos</w:t>
      </w:r>
      <w:r w:rsidR="0078142B">
        <w:rPr>
          <w:rFonts w:ascii="Verdana" w:eastAsia="Verdana" w:hAnsi="Verdana" w:cs="Verdana"/>
          <w:sz w:val="20"/>
          <w:szCs w:val="20"/>
          <w:lang w:val="es-ES" w:eastAsia="es-CR"/>
        </w:rPr>
        <w:t>.</w:t>
      </w:r>
    </w:p>
    <w:p w14:paraId="64AA5D86" w14:textId="0190E49A" w:rsidR="002E1C85" w:rsidRPr="00E67720" w:rsidRDefault="002E1C85" w:rsidP="00C90B3F">
      <w:pPr>
        <w:widowControl w:val="0"/>
        <w:numPr>
          <w:ilvl w:val="0"/>
          <w:numId w:val="4"/>
        </w:numPr>
        <w:tabs>
          <w:tab w:val="left" w:pos="567"/>
          <w:tab w:val="num" w:pos="12305"/>
        </w:tabs>
        <w:adjustRightInd w:val="0"/>
        <w:spacing w:before="120" w:after="120" w:line="240" w:lineRule="auto"/>
        <w:ind w:left="0" w:firstLine="0"/>
        <w:jc w:val="both"/>
        <w:textAlignment w:val="baseline"/>
        <w:rPr>
          <w:rFonts w:ascii="Verdana" w:eastAsia="Verdana" w:hAnsi="Verdana" w:cs="Verdana"/>
          <w:sz w:val="20"/>
          <w:szCs w:val="20"/>
          <w:lang w:val="es-ES" w:eastAsia="es-CR"/>
        </w:rPr>
      </w:pPr>
      <w:r w:rsidRPr="002E1C85">
        <w:rPr>
          <w:rFonts w:ascii="Verdana" w:eastAsia="Verdana" w:hAnsi="Verdana" w:cs="Verdana"/>
          <w:i/>
          <w:sz w:val="20"/>
          <w:szCs w:val="20"/>
          <w:lang w:val="es-ES" w:eastAsia="es-CR"/>
        </w:rPr>
        <w:t xml:space="preserve">Fondo de Asistencia Legal.- </w:t>
      </w:r>
      <w:r w:rsidRPr="002E1C85">
        <w:rPr>
          <w:rFonts w:ascii="Verdana" w:eastAsia="Verdana" w:hAnsi="Verdana" w:cs="Verdana"/>
          <w:sz w:val="20"/>
          <w:szCs w:val="20"/>
          <w:lang w:val="es-ES" w:eastAsia="es-CR"/>
        </w:rPr>
        <w:t xml:space="preserve">Mediante Resolución de 14 de diciembre de 2017 el Presidente </w:t>
      </w:r>
      <w:r w:rsidR="00F66526">
        <w:rPr>
          <w:rFonts w:ascii="Verdana" w:eastAsia="Verdana" w:hAnsi="Verdana" w:cs="Verdana"/>
          <w:sz w:val="20"/>
          <w:szCs w:val="20"/>
          <w:lang w:val="es-ES" w:eastAsia="es-CR"/>
        </w:rPr>
        <w:t xml:space="preserve">en ejercicio </w:t>
      </w:r>
      <w:r w:rsidRPr="002E1C85">
        <w:rPr>
          <w:rFonts w:ascii="Verdana" w:eastAsia="Verdana" w:hAnsi="Verdana" w:cs="Verdana"/>
          <w:sz w:val="20"/>
          <w:szCs w:val="20"/>
          <w:lang w:val="es-ES" w:eastAsia="es-CR"/>
        </w:rPr>
        <w:t>de la Corte declaró procedente la solicitud presentada por las presuntas víctimas, a través de sus representantes, para acogerse al Fondo de Asistencia Legal de la Corte</w:t>
      </w:r>
      <w:r w:rsidRPr="0078142B">
        <w:rPr>
          <w:rFonts w:ascii="Verdana" w:eastAsia="Verdana" w:hAnsi="Verdana" w:cs="Verdana"/>
          <w:sz w:val="20"/>
          <w:szCs w:val="20"/>
          <w:vertAlign w:val="superscript"/>
          <w:lang w:val="es-ES" w:eastAsia="es-CR"/>
        </w:rPr>
        <w:footnoteReference w:id="8"/>
      </w:r>
      <w:r w:rsidR="0078142B" w:rsidRPr="008D0846">
        <w:rPr>
          <w:rFonts w:ascii="Verdana" w:eastAsia="Times New Roman" w:hAnsi="Verdana" w:cs="Times New Roman"/>
          <w:sz w:val="20"/>
          <w:szCs w:val="20"/>
          <w:lang w:val="es-ES"/>
        </w:rPr>
        <w:t>.</w:t>
      </w:r>
    </w:p>
    <w:p w14:paraId="64AA5D88" w14:textId="4A2DFF3C" w:rsidR="002E1C85" w:rsidRPr="00350979" w:rsidRDefault="002E1C85" w:rsidP="00E67720">
      <w:pPr>
        <w:widowControl w:val="0"/>
        <w:numPr>
          <w:ilvl w:val="0"/>
          <w:numId w:val="4"/>
        </w:numPr>
        <w:tabs>
          <w:tab w:val="left" w:pos="567"/>
          <w:tab w:val="num" w:pos="12305"/>
        </w:tabs>
        <w:adjustRightInd w:val="0"/>
        <w:spacing w:before="120" w:after="120" w:line="240" w:lineRule="auto"/>
        <w:ind w:left="0" w:firstLine="0"/>
        <w:jc w:val="both"/>
        <w:textAlignment w:val="baseline"/>
        <w:rPr>
          <w:rFonts w:ascii="Verdana" w:eastAsia="Verdana" w:hAnsi="Verdana" w:cs="Verdana"/>
          <w:i/>
          <w:sz w:val="20"/>
          <w:szCs w:val="20"/>
          <w:lang w:val="es-ES" w:eastAsia="es-CR"/>
        </w:rPr>
      </w:pPr>
      <w:r w:rsidRPr="002E1C85">
        <w:rPr>
          <w:rFonts w:ascii="Verdana" w:eastAsia="Verdana" w:hAnsi="Verdana" w:cs="Verdana"/>
          <w:i/>
          <w:sz w:val="20"/>
          <w:szCs w:val="20"/>
          <w:lang w:val="es-ES" w:eastAsia="es-CR"/>
        </w:rPr>
        <w:t xml:space="preserve">Escrito de contestación. – </w:t>
      </w:r>
      <w:r w:rsidRPr="002E1C85">
        <w:rPr>
          <w:rFonts w:ascii="Verdana" w:eastAsia="Verdana" w:hAnsi="Verdana" w:cs="Verdana"/>
          <w:sz w:val="20"/>
          <w:szCs w:val="20"/>
          <w:lang w:val="es-ES" w:eastAsia="es-CR"/>
        </w:rPr>
        <w:t>El 23 de noviembre de 2017 el Estado</w:t>
      </w:r>
      <w:r w:rsidRPr="002E1C85">
        <w:rPr>
          <w:rFonts w:ascii="Verdana" w:eastAsia="Verdana" w:hAnsi="Verdana" w:cs="Verdana"/>
          <w:sz w:val="20"/>
          <w:szCs w:val="20"/>
          <w:vertAlign w:val="superscript"/>
          <w:lang w:val="es-ES" w:eastAsia="es-CR"/>
        </w:rPr>
        <w:footnoteReference w:id="9"/>
      </w:r>
      <w:r w:rsidRPr="002E1C85">
        <w:rPr>
          <w:rFonts w:ascii="Verdana" w:eastAsia="Verdana" w:hAnsi="Verdana" w:cs="Verdana"/>
          <w:sz w:val="20"/>
          <w:szCs w:val="20"/>
          <w:lang w:val="es-ES" w:eastAsia="es-CR"/>
        </w:rPr>
        <w:t xml:space="preserve"> presentó ante la Corte su </w:t>
      </w:r>
      <w:r w:rsidRPr="002E1C85">
        <w:rPr>
          <w:rFonts w:ascii="Verdana" w:eastAsia="Calibri" w:hAnsi="Verdana" w:cs="Arial"/>
          <w:sz w:val="20"/>
          <w:szCs w:val="20"/>
          <w:lang w:val="es-ES" w:eastAsia="es-CR"/>
        </w:rPr>
        <w:t>escrito</w:t>
      </w:r>
      <w:r w:rsidRPr="002E1C85">
        <w:rPr>
          <w:rFonts w:ascii="Verdana" w:eastAsia="Verdana" w:hAnsi="Verdana" w:cs="Verdana"/>
          <w:sz w:val="20"/>
          <w:szCs w:val="20"/>
          <w:lang w:val="es-ES" w:eastAsia="es-CR"/>
        </w:rPr>
        <w:t xml:space="preserve"> de contestación al sometimiento e </w:t>
      </w:r>
      <w:r w:rsidR="00B7622A">
        <w:rPr>
          <w:rFonts w:ascii="Verdana" w:eastAsia="Verdana" w:hAnsi="Verdana" w:cs="Verdana"/>
          <w:sz w:val="20"/>
          <w:szCs w:val="20"/>
          <w:lang w:val="es-ES" w:eastAsia="es-CR"/>
        </w:rPr>
        <w:t>I</w:t>
      </w:r>
      <w:r w:rsidRPr="002E1C85">
        <w:rPr>
          <w:rFonts w:ascii="Verdana" w:eastAsia="Verdana" w:hAnsi="Verdana" w:cs="Verdana"/>
          <w:sz w:val="20"/>
          <w:szCs w:val="20"/>
          <w:lang w:val="es-ES" w:eastAsia="es-CR"/>
        </w:rPr>
        <w:t xml:space="preserve">nforme de </w:t>
      </w:r>
      <w:r w:rsidR="00B7622A">
        <w:rPr>
          <w:rFonts w:ascii="Verdana" w:eastAsia="Verdana" w:hAnsi="Verdana" w:cs="Verdana"/>
          <w:sz w:val="20"/>
          <w:szCs w:val="20"/>
          <w:lang w:val="es-ES" w:eastAsia="es-CR"/>
        </w:rPr>
        <w:t>F</w:t>
      </w:r>
      <w:r w:rsidRPr="002E1C85">
        <w:rPr>
          <w:rFonts w:ascii="Verdana" w:eastAsia="Verdana" w:hAnsi="Verdana" w:cs="Verdana"/>
          <w:sz w:val="20"/>
          <w:szCs w:val="20"/>
          <w:lang w:val="es-ES" w:eastAsia="es-CR"/>
        </w:rPr>
        <w:t xml:space="preserve">ondo de la Comisión Interamericana y al escrito de solicitudes y argumentos de las representantes (en adelante “escrito de contestación”). </w:t>
      </w:r>
      <w:r w:rsidRPr="002E1C85">
        <w:rPr>
          <w:rFonts w:ascii="Verdana" w:eastAsia="Verdana" w:hAnsi="Verdana" w:cs="Verdana"/>
          <w:sz w:val="20"/>
          <w:szCs w:val="20"/>
          <w:lang w:val="es-CR" w:eastAsia="es-CR"/>
        </w:rPr>
        <w:t xml:space="preserve">En dicho escrito el Estado realizó un reconocimiento parcial de responsabilidad internacional. El Estado no presentó excepciones preliminares, </w:t>
      </w:r>
      <w:r w:rsidRPr="00350979">
        <w:rPr>
          <w:rFonts w:ascii="Verdana" w:eastAsia="Verdana" w:hAnsi="Verdana" w:cs="Verdana"/>
          <w:sz w:val="20"/>
          <w:szCs w:val="20"/>
          <w:lang w:val="es-CR" w:eastAsia="es-CR"/>
        </w:rPr>
        <w:t xml:space="preserve">el cual fue notificado a la partes el </w:t>
      </w:r>
      <w:r w:rsidR="00D71879" w:rsidRPr="00350979">
        <w:rPr>
          <w:rFonts w:ascii="Verdana" w:eastAsia="Verdana" w:hAnsi="Verdana" w:cs="Verdana"/>
          <w:sz w:val="20"/>
          <w:szCs w:val="20"/>
          <w:lang w:val="es-CR" w:eastAsia="es-CR"/>
        </w:rPr>
        <w:t>7 de diciembre de 2017</w:t>
      </w:r>
      <w:r w:rsidRPr="00350979">
        <w:rPr>
          <w:rFonts w:ascii="Verdana" w:eastAsia="Verdana" w:hAnsi="Verdana" w:cs="Verdana"/>
          <w:sz w:val="20"/>
          <w:szCs w:val="20"/>
          <w:lang w:val="es-CR" w:eastAsia="es-CR"/>
        </w:rPr>
        <w:t xml:space="preserve">. </w:t>
      </w:r>
    </w:p>
    <w:p w14:paraId="64AA5D8A" w14:textId="4A56911E" w:rsidR="002E1C85" w:rsidRPr="00E67720" w:rsidRDefault="002E1C85" w:rsidP="00E67720">
      <w:pPr>
        <w:widowControl w:val="0"/>
        <w:numPr>
          <w:ilvl w:val="0"/>
          <w:numId w:val="4"/>
        </w:numPr>
        <w:tabs>
          <w:tab w:val="left" w:pos="567"/>
          <w:tab w:val="num" w:pos="12305"/>
        </w:tabs>
        <w:adjustRightInd w:val="0"/>
        <w:spacing w:before="120" w:after="120" w:line="240" w:lineRule="auto"/>
        <w:ind w:left="0" w:firstLine="0"/>
        <w:jc w:val="both"/>
        <w:textAlignment w:val="baseline"/>
        <w:rPr>
          <w:rFonts w:ascii="Verdana" w:eastAsia="Verdana" w:hAnsi="Verdana" w:cs="Verdana"/>
          <w:i/>
          <w:sz w:val="20"/>
          <w:szCs w:val="20"/>
          <w:lang w:val="es-CR" w:eastAsia="es-CR"/>
        </w:rPr>
      </w:pPr>
      <w:r w:rsidRPr="002E1C85">
        <w:rPr>
          <w:rFonts w:ascii="Verdana" w:eastAsia="Verdana" w:hAnsi="Verdana" w:cs="Verdana"/>
          <w:i/>
          <w:sz w:val="20"/>
          <w:szCs w:val="20"/>
          <w:lang w:val="es-ES" w:eastAsia="es-CR"/>
        </w:rPr>
        <w:t xml:space="preserve">Observaciones al </w:t>
      </w:r>
      <w:r w:rsidRPr="002E1C85">
        <w:rPr>
          <w:rFonts w:ascii="Verdana" w:eastAsia="Verdana" w:hAnsi="Verdana" w:cs="Verdana"/>
          <w:i/>
          <w:sz w:val="20"/>
          <w:szCs w:val="20"/>
          <w:lang w:val="es-CR" w:eastAsia="es-CR"/>
        </w:rPr>
        <w:t>Reconocimiento Parcial de Responsabilidad Internacional del Estado</w:t>
      </w:r>
      <w:r w:rsidRPr="002E1C85">
        <w:rPr>
          <w:rFonts w:ascii="Verdana" w:eastAsia="Verdana" w:hAnsi="Verdana" w:cs="Verdana"/>
          <w:i/>
          <w:sz w:val="20"/>
          <w:szCs w:val="20"/>
          <w:lang w:val="es-ES" w:eastAsia="es-CR"/>
        </w:rPr>
        <w:t xml:space="preserve">. – </w:t>
      </w:r>
      <w:r w:rsidR="008B3C46">
        <w:rPr>
          <w:rFonts w:ascii="Verdana" w:eastAsia="Verdana" w:hAnsi="Verdana" w:cs="Verdana"/>
          <w:sz w:val="20"/>
          <w:szCs w:val="20"/>
          <w:lang w:val="es-CR" w:eastAsia="es-CR"/>
        </w:rPr>
        <w:t>Los días</w:t>
      </w:r>
      <w:r w:rsidRPr="002E1C85">
        <w:rPr>
          <w:rFonts w:ascii="Verdana" w:eastAsia="Verdana" w:hAnsi="Verdana" w:cs="Verdana"/>
          <w:sz w:val="20"/>
          <w:szCs w:val="20"/>
          <w:lang w:val="es-CR" w:eastAsia="es-CR"/>
        </w:rPr>
        <w:t xml:space="preserve"> 11 y 12 de enero de 2018 la Comisión Interamericana y las representantes, respectivamente, presentaron sus observaciones al reconocimiento parcial de responsabilidad internacional presentado por el Estado mexicano</w:t>
      </w:r>
      <w:r w:rsidR="008B3C46" w:rsidRPr="008D0846">
        <w:rPr>
          <w:rFonts w:ascii="Verdana" w:eastAsia="Times New Roman" w:hAnsi="Verdana" w:cs="Times New Roman"/>
          <w:sz w:val="20"/>
          <w:szCs w:val="20"/>
          <w:lang w:val="es-ES"/>
        </w:rPr>
        <w:t>.</w:t>
      </w:r>
    </w:p>
    <w:p w14:paraId="64AA5D8C" w14:textId="41D0049F" w:rsidR="002E1C85" w:rsidRPr="00E67720" w:rsidRDefault="002E1C85" w:rsidP="00E67720">
      <w:pPr>
        <w:widowControl w:val="0"/>
        <w:numPr>
          <w:ilvl w:val="0"/>
          <w:numId w:val="4"/>
        </w:numPr>
        <w:tabs>
          <w:tab w:val="left" w:pos="567"/>
          <w:tab w:val="num" w:pos="12305"/>
        </w:tabs>
        <w:adjustRightInd w:val="0"/>
        <w:spacing w:before="120" w:after="120" w:line="240" w:lineRule="auto"/>
        <w:ind w:left="0" w:firstLine="0"/>
        <w:jc w:val="both"/>
        <w:textAlignment w:val="baseline"/>
        <w:rPr>
          <w:rFonts w:ascii="Verdana" w:eastAsia="Verdana" w:hAnsi="Verdana" w:cs="Verdana"/>
          <w:sz w:val="20"/>
          <w:szCs w:val="20"/>
          <w:lang w:val="es-ES" w:eastAsia="es-CR"/>
        </w:rPr>
      </w:pPr>
      <w:r w:rsidRPr="002E1C85">
        <w:rPr>
          <w:rFonts w:ascii="Verdana" w:eastAsia="Verdana" w:hAnsi="Verdana" w:cs="Verdana"/>
          <w:i/>
          <w:position w:val="-1"/>
          <w:sz w:val="20"/>
          <w:szCs w:val="20"/>
          <w:lang w:val="es-ES" w:eastAsia="es-CR"/>
        </w:rPr>
        <w:t xml:space="preserve">Audiencia Pública - </w:t>
      </w:r>
      <w:r w:rsidRPr="002E1C85">
        <w:rPr>
          <w:rFonts w:ascii="Verdana" w:eastAsia="Verdana" w:hAnsi="Verdana" w:cs="Verdana"/>
          <w:position w:val="-1"/>
          <w:sz w:val="20"/>
          <w:szCs w:val="20"/>
          <w:lang w:val="es-ES" w:eastAsia="es-CR"/>
        </w:rPr>
        <w:t>Mediante Resoluciones de 23 de marzo de 2018</w:t>
      </w:r>
      <w:r w:rsidRPr="002E1C85">
        <w:rPr>
          <w:rFonts w:ascii="Verdana" w:eastAsia="Verdana" w:hAnsi="Verdana" w:cs="Verdana"/>
          <w:position w:val="-1"/>
          <w:sz w:val="20"/>
          <w:szCs w:val="20"/>
          <w:vertAlign w:val="superscript"/>
          <w:lang w:val="es-ES" w:eastAsia="es-CR"/>
        </w:rPr>
        <w:footnoteReference w:id="10"/>
      </w:r>
      <w:r w:rsidRPr="002E1C85">
        <w:rPr>
          <w:rFonts w:ascii="Verdana" w:eastAsia="Verdana" w:hAnsi="Verdana" w:cs="Verdana"/>
          <w:position w:val="-1"/>
          <w:sz w:val="20"/>
          <w:szCs w:val="20"/>
          <w:lang w:val="es-ES" w:eastAsia="es-CR"/>
        </w:rPr>
        <w:t xml:space="preserve"> del Presidente en ejercicio y de 23 de abril de 2018 de la Corte</w:t>
      </w:r>
      <w:r w:rsidRPr="002E1C85">
        <w:rPr>
          <w:rFonts w:ascii="Verdana" w:eastAsia="Verdana" w:hAnsi="Verdana" w:cs="Verdana"/>
          <w:position w:val="-1"/>
          <w:sz w:val="20"/>
          <w:szCs w:val="20"/>
          <w:vertAlign w:val="superscript"/>
          <w:lang w:val="es-ES" w:eastAsia="es-CR"/>
        </w:rPr>
        <w:footnoteReference w:id="11"/>
      </w:r>
      <w:r w:rsidRPr="002E1C85">
        <w:rPr>
          <w:rFonts w:ascii="Verdana" w:eastAsia="Verdana" w:hAnsi="Verdana" w:cs="Verdana"/>
          <w:position w:val="-1"/>
          <w:sz w:val="20"/>
          <w:szCs w:val="20"/>
          <w:lang w:val="es-ES" w:eastAsia="es-CR"/>
        </w:rPr>
        <w:t xml:space="preserve">, se convocó a las partes y a la Comisión Interamericana a una audiencia pública para recibir sus alegatos y observaciones finales orales sobre el fondo y eventuales reparaciones y costas, así como para recibir las declaraciones </w:t>
      </w:r>
      <w:r w:rsidRPr="002E1C85">
        <w:rPr>
          <w:rFonts w:ascii="Verdana" w:eastAsia="Verdana" w:hAnsi="Verdana" w:cs="Verdana"/>
          <w:sz w:val="20"/>
          <w:szCs w:val="20"/>
          <w:lang w:val="es-ES" w:eastAsia="es-CR"/>
        </w:rPr>
        <w:t xml:space="preserve">de dos presuntas víctimas, de </w:t>
      </w:r>
      <w:r w:rsidRPr="002E1C85">
        <w:rPr>
          <w:rFonts w:ascii="Verdana" w:eastAsia="Verdana" w:hAnsi="Verdana" w:cs="Verdana"/>
          <w:position w:val="-1"/>
          <w:sz w:val="20"/>
          <w:szCs w:val="20"/>
          <w:lang w:val="es-ES" w:eastAsia="es-CR"/>
        </w:rPr>
        <w:t xml:space="preserve">una testigo propuesta por el Estado y de tres peritos ofrecidos por la Comisión, las representantes y el Estado. </w:t>
      </w:r>
      <w:r w:rsidRPr="002E1C85">
        <w:rPr>
          <w:rFonts w:ascii="Verdana" w:eastAsia="Verdana" w:hAnsi="Verdana" w:cs="Verdana"/>
          <w:position w:val="-1"/>
          <w:sz w:val="20"/>
          <w:szCs w:val="20"/>
          <w:lang w:val="es-CR" w:eastAsia="es-CR"/>
        </w:rPr>
        <w:t xml:space="preserve">Asimismo, mediante la Resolución de 23 de marzo de </w:t>
      </w:r>
      <w:r w:rsidRPr="002E1C85">
        <w:rPr>
          <w:rFonts w:ascii="Verdana" w:eastAsia="Verdana" w:hAnsi="Verdana" w:cs="Verdana"/>
          <w:position w:val="-1"/>
          <w:sz w:val="20"/>
          <w:szCs w:val="20"/>
          <w:lang w:val="es-CR" w:eastAsia="es-CR"/>
        </w:rPr>
        <w:lastRenderedPageBreak/>
        <w:t>2018 se ordenó recibir las declaraciones ante fedatario público (</w:t>
      </w:r>
      <w:r w:rsidR="002E2B86" w:rsidRPr="002E2B86">
        <w:rPr>
          <w:rFonts w:ascii="Verdana" w:eastAsia="Verdana" w:hAnsi="Verdana"/>
          <w:i/>
          <w:position w:val="-1"/>
          <w:sz w:val="20"/>
          <w:lang w:val="es-CR" w:eastAsia="es-CR"/>
        </w:rPr>
        <w:t>affidávits</w:t>
      </w:r>
      <w:r w:rsidRPr="002E1C85">
        <w:rPr>
          <w:rFonts w:ascii="Verdana" w:eastAsia="Verdana" w:hAnsi="Verdana" w:cs="Verdana"/>
          <w:position w:val="-1"/>
          <w:sz w:val="20"/>
          <w:szCs w:val="20"/>
          <w:lang w:val="es-CR" w:eastAsia="es-CR"/>
        </w:rPr>
        <w:t>)</w:t>
      </w:r>
      <w:r w:rsidR="008B4B36">
        <w:rPr>
          <w:rFonts w:ascii="Verdana" w:eastAsia="Verdana" w:hAnsi="Verdana" w:cs="Verdana"/>
          <w:position w:val="-1"/>
          <w:sz w:val="20"/>
          <w:szCs w:val="20"/>
          <w:lang w:val="es-CR" w:eastAsia="es-CR"/>
        </w:rPr>
        <w:t>,</w:t>
      </w:r>
      <w:r w:rsidRPr="002E1C85">
        <w:rPr>
          <w:rFonts w:ascii="Verdana" w:eastAsia="Verdana" w:hAnsi="Verdana" w:cs="Verdana"/>
          <w:position w:val="-1"/>
          <w:sz w:val="20"/>
          <w:szCs w:val="20"/>
          <w:lang w:val="es-CR" w:eastAsia="es-CR"/>
        </w:rPr>
        <w:t xml:space="preserve"> de nueve presuntas víctimas; 9 testigos (un testigo propuesto por las representantes y 8 testigos propuestos por el Estado), y 4 peritajes (3 propuestos por las representantes y uno por el Estado). Por otra parte, mediante Resolución de 23 de abril de 2018, a raíz de una solicitud de las representantes, la Corte ordenó la sustitución de un perito. En dicha Resolución, ante la solicitud del Estado, también se ordenó recibir la declaración de otro perito en audiencia pública. Los </w:t>
      </w:r>
      <w:r w:rsidR="002E2B86" w:rsidRPr="002E2B86">
        <w:rPr>
          <w:rFonts w:ascii="Verdana" w:eastAsia="Verdana" w:hAnsi="Verdana"/>
          <w:i/>
          <w:position w:val="-1"/>
          <w:sz w:val="20"/>
          <w:lang w:val="es-CR" w:eastAsia="es-CR"/>
        </w:rPr>
        <w:t>affidávits</w:t>
      </w:r>
      <w:r w:rsidRPr="002E1C85">
        <w:rPr>
          <w:rFonts w:ascii="Verdana" w:eastAsia="Verdana" w:hAnsi="Verdana" w:cs="Verdana"/>
          <w:position w:val="-1"/>
          <w:sz w:val="20"/>
          <w:szCs w:val="20"/>
          <w:lang w:val="es-CR" w:eastAsia="es-CR"/>
        </w:rPr>
        <w:t xml:space="preserve"> fueron presentados por las representantes y el Estado el 19 de abril de 2018. </w:t>
      </w:r>
      <w:r w:rsidRPr="002E1C85">
        <w:rPr>
          <w:rFonts w:ascii="Verdana" w:eastAsia="Verdana" w:hAnsi="Verdana" w:cs="Verdana"/>
          <w:sz w:val="20"/>
          <w:szCs w:val="20"/>
          <w:lang w:val="es-ES" w:eastAsia="es-CR"/>
        </w:rPr>
        <w:t>La audiencia pública fue celebrada el 26 y 27 de abril de 2018 durante el 123° Período Ordinario de Sesiones de la Corte, llevado a cabo en su sede</w:t>
      </w:r>
      <w:r w:rsidRPr="002E1C85">
        <w:rPr>
          <w:rFonts w:ascii="Verdana" w:eastAsia="Verdana" w:hAnsi="Verdana" w:cs="Verdana"/>
          <w:sz w:val="20"/>
          <w:szCs w:val="20"/>
          <w:vertAlign w:val="superscript"/>
          <w:lang w:val="es-ES" w:eastAsia="es-CR"/>
        </w:rPr>
        <w:footnoteReference w:id="12"/>
      </w:r>
      <w:r w:rsidRPr="002E1C85">
        <w:rPr>
          <w:rFonts w:ascii="Verdana" w:eastAsia="Verdana" w:hAnsi="Verdana" w:cs="Verdana"/>
          <w:sz w:val="20"/>
          <w:szCs w:val="20"/>
          <w:lang w:val="es-ES" w:eastAsia="es-CR"/>
        </w:rPr>
        <w:t xml:space="preserve">. </w:t>
      </w:r>
      <w:r w:rsidRPr="002E1C85">
        <w:rPr>
          <w:rFonts w:ascii="Verdana" w:eastAsia="Times New Roman" w:hAnsi="Verdana" w:cs="Times New Roman"/>
          <w:sz w:val="20"/>
          <w:szCs w:val="20"/>
          <w:lang w:val="es-ES" w:eastAsia="es-ES"/>
        </w:rPr>
        <w:t>Asimismo, la Corte requirió a las partes que presentaran determinada información y documentación</w:t>
      </w:r>
      <w:r w:rsidRPr="002E1C85">
        <w:rPr>
          <w:rFonts w:ascii="Verdana" w:hAnsi="Verdana" w:cs="Times New Roman"/>
          <w:sz w:val="20"/>
          <w:szCs w:val="20"/>
          <w:lang w:val="es-ES" w:eastAsia="es-CR"/>
        </w:rPr>
        <w:t>.</w:t>
      </w:r>
      <w:r w:rsidRPr="002E1C85">
        <w:rPr>
          <w:rFonts w:ascii="Verdana" w:eastAsia="Times New Roman" w:hAnsi="Verdana" w:cs="Times New Roman"/>
          <w:sz w:val="20"/>
          <w:szCs w:val="20"/>
          <w:lang w:val="es-ES" w:eastAsia="es-ES"/>
        </w:rPr>
        <w:t xml:space="preserve"> </w:t>
      </w:r>
      <w:r w:rsidRPr="002E1C85">
        <w:rPr>
          <w:rFonts w:ascii="Verdana" w:eastAsia="Verdana" w:hAnsi="Verdana" w:cs="Verdana"/>
          <w:position w:val="-1"/>
          <w:sz w:val="20"/>
          <w:szCs w:val="20"/>
          <w:lang w:val="es-ES" w:eastAsia="es-CR"/>
        </w:rPr>
        <w:t xml:space="preserve">El 24 de abril de 2018 el </w:t>
      </w:r>
      <w:r w:rsidR="00A55083">
        <w:rPr>
          <w:rFonts w:ascii="Verdana" w:eastAsia="Verdana" w:hAnsi="Verdana" w:cs="Verdana"/>
          <w:position w:val="-1"/>
          <w:sz w:val="20"/>
          <w:szCs w:val="20"/>
          <w:lang w:val="es-ES" w:eastAsia="es-CR"/>
        </w:rPr>
        <w:t>e</w:t>
      </w:r>
      <w:r w:rsidRPr="002E1C85">
        <w:rPr>
          <w:rFonts w:ascii="Verdana" w:eastAsia="Verdana" w:hAnsi="Verdana" w:cs="Verdana"/>
          <w:position w:val="-1"/>
          <w:sz w:val="20"/>
          <w:szCs w:val="20"/>
          <w:lang w:val="es-ES" w:eastAsia="es-CR"/>
        </w:rPr>
        <w:t xml:space="preserve">stado remitió el peritaje </w:t>
      </w:r>
      <w:r w:rsidR="00A55083">
        <w:rPr>
          <w:rFonts w:ascii="Verdana" w:eastAsia="Verdana" w:hAnsi="Verdana" w:cs="Verdana"/>
          <w:position w:val="-1"/>
          <w:sz w:val="20"/>
          <w:szCs w:val="20"/>
          <w:lang w:val="es-ES" w:eastAsia="es-CR"/>
        </w:rPr>
        <w:t xml:space="preserve">escrito </w:t>
      </w:r>
      <w:r w:rsidRPr="002E1C85">
        <w:rPr>
          <w:rFonts w:ascii="Verdana" w:eastAsia="Verdana" w:hAnsi="Verdana" w:cs="Verdana"/>
          <w:position w:val="-1"/>
          <w:sz w:val="20"/>
          <w:szCs w:val="20"/>
          <w:lang w:val="es-ES" w:eastAsia="es-CR"/>
        </w:rPr>
        <w:t xml:space="preserve">de Carlos Rodríguez Ulloa, </w:t>
      </w:r>
      <w:r w:rsidR="00232A84">
        <w:rPr>
          <w:rFonts w:ascii="Verdana" w:eastAsia="Verdana" w:hAnsi="Verdana" w:cs="Verdana"/>
          <w:position w:val="-1"/>
          <w:sz w:val="20"/>
          <w:szCs w:val="20"/>
          <w:lang w:val="es-ES" w:eastAsia="es-CR"/>
        </w:rPr>
        <w:t>el cual</w:t>
      </w:r>
      <w:r w:rsidRPr="002E1C85">
        <w:rPr>
          <w:rFonts w:ascii="Verdana" w:eastAsia="Verdana" w:hAnsi="Verdana" w:cs="Verdana"/>
          <w:position w:val="-1"/>
          <w:sz w:val="20"/>
          <w:szCs w:val="20"/>
          <w:lang w:val="es-ES" w:eastAsia="es-CR"/>
        </w:rPr>
        <w:t xml:space="preserve"> fue rendido en audiencia.</w:t>
      </w:r>
    </w:p>
    <w:p w14:paraId="64AA5D8E" w14:textId="0192B317" w:rsidR="002E1C85" w:rsidRPr="00E67720" w:rsidRDefault="002E1C85" w:rsidP="00E67720">
      <w:pPr>
        <w:widowControl w:val="0"/>
        <w:numPr>
          <w:ilvl w:val="0"/>
          <w:numId w:val="4"/>
        </w:numPr>
        <w:tabs>
          <w:tab w:val="left" w:pos="567"/>
          <w:tab w:val="num" w:pos="12305"/>
        </w:tabs>
        <w:adjustRightInd w:val="0"/>
        <w:spacing w:before="120" w:after="120" w:line="240" w:lineRule="auto"/>
        <w:ind w:left="0" w:firstLine="0"/>
        <w:jc w:val="both"/>
        <w:textAlignment w:val="baseline"/>
        <w:rPr>
          <w:rFonts w:ascii="Verdana" w:eastAsia="Verdana" w:hAnsi="Verdana" w:cs="Verdana"/>
          <w:sz w:val="20"/>
          <w:szCs w:val="20"/>
          <w:lang w:val="es-ES" w:eastAsia="es-CR"/>
        </w:rPr>
      </w:pPr>
      <w:r w:rsidRPr="002E1C85">
        <w:rPr>
          <w:rFonts w:ascii="Verdana" w:eastAsia="Verdana" w:hAnsi="Verdana" w:cs="Verdana"/>
          <w:i/>
          <w:sz w:val="20"/>
          <w:szCs w:val="20"/>
          <w:lang w:val="es-ES" w:eastAsia="es-CR"/>
        </w:rPr>
        <w:t xml:space="preserve">Amicus curiae. </w:t>
      </w:r>
      <w:r w:rsidRPr="002E1C85">
        <w:rPr>
          <w:rFonts w:ascii="Verdana" w:eastAsia="Verdana" w:hAnsi="Verdana" w:cs="Verdana"/>
          <w:sz w:val="20"/>
          <w:szCs w:val="20"/>
          <w:lang w:val="es-ES" w:eastAsia="es-CR"/>
        </w:rPr>
        <w:t xml:space="preserve">–Se recibieron escritos en calidad de </w:t>
      </w:r>
      <w:r w:rsidRPr="005F54F6">
        <w:rPr>
          <w:rFonts w:ascii="Verdana" w:eastAsia="Verdana" w:hAnsi="Verdana" w:cs="Verdana"/>
          <w:i/>
          <w:sz w:val="20"/>
          <w:szCs w:val="20"/>
          <w:lang w:val="es-ES" w:eastAsia="es-CR"/>
        </w:rPr>
        <w:t>amicus curiae</w:t>
      </w:r>
      <w:r w:rsidRPr="002E1C85">
        <w:rPr>
          <w:rFonts w:ascii="Verdana" w:eastAsia="Verdana" w:hAnsi="Verdana" w:cs="Verdana"/>
          <w:sz w:val="20"/>
          <w:szCs w:val="20"/>
          <w:lang w:val="es-ES" w:eastAsia="es-CR"/>
        </w:rPr>
        <w:t xml:space="preserve"> por parte del: (1) Grupo de Acciones Públicas, Clínica Jurídica de la Universidad del Rosario el 30 de abril de 2018</w:t>
      </w:r>
      <w:r w:rsidRPr="002E1C85">
        <w:rPr>
          <w:rFonts w:ascii="Verdana" w:eastAsia="Verdana" w:hAnsi="Verdana" w:cs="Verdana"/>
          <w:sz w:val="20"/>
          <w:szCs w:val="20"/>
          <w:vertAlign w:val="superscript"/>
          <w:lang w:val="es-ES" w:eastAsia="es-CR"/>
        </w:rPr>
        <w:footnoteReference w:id="13"/>
      </w:r>
      <w:r w:rsidR="00C47BA8" w:rsidRPr="002E1C85">
        <w:rPr>
          <w:rFonts w:ascii="Verdana" w:eastAsia="Times New Roman" w:hAnsi="Verdana" w:cs="Times New Roman"/>
          <w:sz w:val="20"/>
          <w:szCs w:val="20"/>
          <w:lang w:val="es-ES"/>
        </w:rPr>
        <w:t>;</w:t>
      </w:r>
      <w:r w:rsidRPr="002E1C85">
        <w:rPr>
          <w:rFonts w:ascii="Verdana" w:eastAsia="Verdana" w:hAnsi="Verdana" w:cs="Verdana"/>
          <w:sz w:val="20"/>
          <w:szCs w:val="20"/>
          <w:lang w:val="es-ES" w:eastAsia="es-CR"/>
        </w:rPr>
        <w:t xml:space="preserve"> (2) Oficina en Washington para Asuntos </w:t>
      </w:r>
      <w:r w:rsidR="00C47BA8">
        <w:rPr>
          <w:rFonts w:ascii="Verdana" w:eastAsia="Verdana" w:hAnsi="Verdana" w:cs="Verdana"/>
          <w:sz w:val="20"/>
          <w:szCs w:val="20"/>
          <w:lang w:val="es-ES" w:eastAsia="es-CR"/>
        </w:rPr>
        <w:t>L</w:t>
      </w:r>
      <w:r w:rsidRPr="002E1C85">
        <w:rPr>
          <w:rFonts w:ascii="Verdana" w:eastAsia="Verdana" w:hAnsi="Verdana" w:cs="Verdana"/>
          <w:sz w:val="20"/>
          <w:szCs w:val="20"/>
          <w:lang w:val="es-ES" w:eastAsia="es-CR"/>
        </w:rPr>
        <w:t>atinoamericanos (Washington Office on Latin America) el 25 de abril de 2018</w:t>
      </w:r>
      <w:r w:rsidRPr="002E1C85">
        <w:rPr>
          <w:rFonts w:ascii="Verdana" w:eastAsia="Verdana" w:hAnsi="Verdana" w:cs="Verdana"/>
          <w:sz w:val="20"/>
          <w:szCs w:val="20"/>
          <w:vertAlign w:val="superscript"/>
          <w:lang w:val="es-ES" w:eastAsia="es-CR"/>
        </w:rPr>
        <w:footnoteReference w:id="14"/>
      </w:r>
      <w:r w:rsidR="00C47BA8" w:rsidRPr="002E1C85">
        <w:rPr>
          <w:rFonts w:ascii="Verdana" w:eastAsia="Times New Roman" w:hAnsi="Verdana" w:cs="Times New Roman"/>
          <w:sz w:val="20"/>
          <w:szCs w:val="20"/>
          <w:lang w:val="es-ES"/>
        </w:rPr>
        <w:t>;</w:t>
      </w:r>
      <w:r w:rsidRPr="002E1C85">
        <w:rPr>
          <w:rFonts w:ascii="Verdana" w:eastAsia="Verdana" w:hAnsi="Verdana" w:cs="Verdana"/>
          <w:sz w:val="20"/>
          <w:szCs w:val="20"/>
          <w:lang w:val="es-ES" w:eastAsia="es-CR"/>
        </w:rPr>
        <w:t xml:space="preserve"> (3) ELEMENTA, Consultoría en Derechos el 25 de abril de 2018</w:t>
      </w:r>
      <w:r w:rsidRPr="002E1C85">
        <w:rPr>
          <w:rFonts w:ascii="Verdana" w:eastAsia="Verdana" w:hAnsi="Verdana" w:cs="Verdana"/>
          <w:sz w:val="20"/>
          <w:szCs w:val="20"/>
          <w:vertAlign w:val="superscript"/>
          <w:lang w:val="es-ES" w:eastAsia="es-CR"/>
        </w:rPr>
        <w:footnoteReference w:id="15"/>
      </w:r>
      <w:r w:rsidR="00C47BA8" w:rsidRPr="002E1C85">
        <w:rPr>
          <w:rFonts w:ascii="Verdana" w:eastAsia="Times New Roman" w:hAnsi="Verdana" w:cs="Times New Roman"/>
          <w:sz w:val="20"/>
          <w:szCs w:val="20"/>
          <w:lang w:val="es-ES"/>
        </w:rPr>
        <w:t>;</w:t>
      </w:r>
      <w:r w:rsidRPr="002E1C85">
        <w:rPr>
          <w:rFonts w:ascii="Verdana" w:eastAsia="Verdana" w:hAnsi="Verdana" w:cs="Verdana"/>
          <w:sz w:val="20"/>
          <w:szCs w:val="20"/>
          <w:lang w:val="es-ES" w:eastAsia="es-CR"/>
        </w:rPr>
        <w:t xml:space="preserve"> (4) Amn</w:t>
      </w:r>
      <w:r w:rsidR="00C47BA8">
        <w:rPr>
          <w:rFonts w:ascii="Verdana" w:eastAsia="Verdana" w:hAnsi="Verdana" w:cs="Verdana"/>
          <w:sz w:val="20"/>
          <w:szCs w:val="20"/>
          <w:lang w:val="es-ES" w:eastAsia="es-CR"/>
        </w:rPr>
        <w:t xml:space="preserve">istía Internacional </w:t>
      </w:r>
      <w:r w:rsidRPr="002E1C85">
        <w:rPr>
          <w:rFonts w:ascii="Verdana" w:eastAsia="Verdana" w:hAnsi="Verdana" w:cs="Verdana"/>
          <w:sz w:val="20"/>
          <w:szCs w:val="20"/>
          <w:lang w:val="es-ES" w:eastAsia="es-CR"/>
        </w:rPr>
        <w:t>el 10 de mayo de 2018</w:t>
      </w:r>
      <w:r w:rsidRPr="002E1C85">
        <w:rPr>
          <w:rFonts w:ascii="Verdana" w:eastAsia="Verdana" w:hAnsi="Verdana" w:cs="Verdana"/>
          <w:sz w:val="20"/>
          <w:szCs w:val="20"/>
          <w:vertAlign w:val="superscript"/>
          <w:lang w:val="es-ES" w:eastAsia="es-CR"/>
        </w:rPr>
        <w:footnoteReference w:id="16"/>
      </w:r>
      <w:r w:rsidR="00C47BA8" w:rsidRPr="002E1C85">
        <w:rPr>
          <w:rFonts w:ascii="Verdana" w:eastAsia="Times New Roman" w:hAnsi="Verdana" w:cs="Times New Roman"/>
          <w:sz w:val="20"/>
          <w:szCs w:val="20"/>
          <w:lang w:val="es-ES"/>
        </w:rPr>
        <w:t>;</w:t>
      </w:r>
      <w:r w:rsidRPr="002E1C85">
        <w:rPr>
          <w:rFonts w:ascii="Verdana" w:eastAsia="Verdana" w:hAnsi="Verdana" w:cs="Verdana"/>
          <w:sz w:val="20"/>
          <w:szCs w:val="20"/>
          <w:lang w:val="es-ES" w:eastAsia="es-CR"/>
        </w:rPr>
        <w:t xml:space="preserve"> (5) Clinic on Policy Advocacy in Latin America de New York University School of Law (NYU) en Buenos Aires el 13 de junio de 2018</w:t>
      </w:r>
      <w:r w:rsidRPr="002E1C85">
        <w:rPr>
          <w:rFonts w:ascii="Verdana" w:eastAsia="Verdana" w:hAnsi="Verdana" w:cs="Verdana"/>
          <w:sz w:val="20"/>
          <w:szCs w:val="20"/>
          <w:vertAlign w:val="superscript"/>
          <w:lang w:val="es-ES" w:eastAsia="es-CR"/>
        </w:rPr>
        <w:footnoteReference w:id="17"/>
      </w:r>
      <w:r w:rsidR="00C47BA8" w:rsidRPr="002E1C85">
        <w:rPr>
          <w:rFonts w:ascii="Verdana" w:eastAsia="Times New Roman" w:hAnsi="Verdana" w:cs="Times New Roman"/>
          <w:sz w:val="20"/>
          <w:szCs w:val="20"/>
          <w:lang w:val="es-ES"/>
        </w:rPr>
        <w:t>;</w:t>
      </w:r>
      <w:r w:rsidRPr="002E1C85">
        <w:rPr>
          <w:rFonts w:ascii="Verdana" w:eastAsia="Verdana" w:hAnsi="Verdana" w:cs="Verdana"/>
          <w:sz w:val="20"/>
          <w:szCs w:val="20"/>
          <w:lang w:val="es-ES" w:eastAsia="es-CR"/>
        </w:rPr>
        <w:t xml:space="preserve"> (6)</w:t>
      </w:r>
      <w:r w:rsidR="00A55083">
        <w:rPr>
          <w:rFonts w:ascii="Verdana" w:eastAsia="Verdana" w:hAnsi="Verdana" w:cs="Verdana"/>
          <w:sz w:val="20"/>
          <w:szCs w:val="20"/>
          <w:lang w:val="es-ES" w:eastAsia="es-CR"/>
        </w:rPr>
        <w:t xml:space="preserve"> </w:t>
      </w:r>
      <w:r w:rsidRPr="002E1C85">
        <w:rPr>
          <w:rFonts w:ascii="Verdana" w:eastAsia="Verdana" w:hAnsi="Verdana" w:cs="Verdana"/>
          <w:sz w:val="20"/>
          <w:szCs w:val="20"/>
          <w:lang w:val="es-ES" w:eastAsia="es-CR"/>
        </w:rPr>
        <w:t>Hermilo de Jesús Lares Contreras, Abogado y Asesor Jurídico el 10 de mayo de 2018</w:t>
      </w:r>
      <w:r w:rsidRPr="002E1C85">
        <w:rPr>
          <w:rFonts w:ascii="Verdana" w:eastAsia="Verdana" w:hAnsi="Verdana" w:cs="Verdana"/>
          <w:sz w:val="20"/>
          <w:szCs w:val="20"/>
          <w:vertAlign w:val="superscript"/>
          <w:lang w:val="es-ES" w:eastAsia="es-CR"/>
        </w:rPr>
        <w:footnoteReference w:id="18"/>
      </w:r>
      <w:r w:rsidR="00C47BA8" w:rsidRPr="002E1C85">
        <w:rPr>
          <w:rFonts w:ascii="Verdana" w:eastAsia="Times New Roman" w:hAnsi="Verdana" w:cs="Times New Roman"/>
          <w:sz w:val="20"/>
          <w:szCs w:val="20"/>
          <w:lang w:val="es-ES"/>
        </w:rPr>
        <w:t>;</w:t>
      </w:r>
      <w:r w:rsidRPr="002E1C85">
        <w:rPr>
          <w:rFonts w:ascii="Verdana" w:eastAsia="Verdana" w:hAnsi="Verdana" w:cs="Verdana"/>
          <w:sz w:val="20"/>
          <w:szCs w:val="20"/>
          <w:lang w:val="es-ES" w:eastAsia="es-CR"/>
        </w:rPr>
        <w:t xml:space="preserve"> (7) </w:t>
      </w:r>
      <w:r w:rsidRPr="002E1C85">
        <w:rPr>
          <w:rFonts w:ascii="Verdana" w:eastAsia="Verdana" w:hAnsi="Verdana" w:cs="Verdana"/>
          <w:sz w:val="20"/>
          <w:szCs w:val="20"/>
          <w:lang w:val="es-ES" w:eastAsia="es-CR"/>
        </w:rPr>
        <w:lastRenderedPageBreak/>
        <w:t>Comisión de Derechos Humanos del Distrito Federal de México el 11 de mayo de 2018</w:t>
      </w:r>
      <w:r w:rsidRPr="002E1C85">
        <w:rPr>
          <w:rFonts w:ascii="Verdana" w:eastAsia="Verdana" w:hAnsi="Verdana" w:cs="Verdana"/>
          <w:sz w:val="20"/>
          <w:szCs w:val="20"/>
          <w:vertAlign w:val="superscript"/>
          <w:lang w:val="es-ES" w:eastAsia="es-CR"/>
        </w:rPr>
        <w:footnoteReference w:id="19"/>
      </w:r>
      <w:r w:rsidR="00C47BA8" w:rsidRPr="002E1C85">
        <w:rPr>
          <w:rFonts w:ascii="Verdana" w:eastAsia="Times New Roman" w:hAnsi="Verdana" w:cs="Times New Roman"/>
          <w:sz w:val="20"/>
          <w:szCs w:val="20"/>
          <w:lang w:val="es-ES"/>
        </w:rPr>
        <w:t>;</w:t>
      </w:r>
      <w:r w:rsidRPr="002E1C85">
        <w:rPr>
          <w:rFonts w:ascii="Verdana" w:eastAsia="Verdana" w:hAnsi="Verdana" w:cs="Verdana"/>
          <w:sz w:val="20"/>
          <w:szCs w:val="20"/>
          <w:lang w:val="es-ES" w:eastAsia="es-CR"/>
        </w:rPr>
        <w:t xml:space="preserve"> (8) Centro PRODEH el 11 de mayo de 2018</w:t>
      </w:r>
      <w:r w:rsidRPr="002E1C85">
        <w:rPr>
          <w:rFonts w:ascii="Verdana" w:eastAsia="Verdana" w:hAnsi="Verdana" w:cs="Verdana"/>
          <w:sz w:val="20"/>
          <w:szCs w:val="20"/>
          <w:vertAlign w:val="superscript"/>
          <w:lang w:val="es-ES" w:eastAsia="es-CR"/>
        </w:rPr>
        <w:footnoteReference w:id="20"/>
      </w:r>
      <w:r w:rsidR="00C47BA8" w:rsidRPr="002E1C85">
        <w:rPr>
          <w:rFonts w:ascii="Verdana" w:eastAsia="Times New Roman" w:hAnsi="Verdana" w:cs="Times New Roman"/>
          <w:sz w:val="20"/>
          <w:szCs w:val="20"/>
          <w:lang w:val="es-ES"/>
        </w:rPr>
        <w:t>;</w:t>
      </w:r>
      <w:r w:rsidRPr="002E1C85">
        <w:rPr>
          <w:rFonts w:ascii="Verdana" w:eastAsia="Verdana" w:hAnsi="Verdana" w:cs="Verdana"/>
          <w:sz w:val="20"/>
          <w:szCs w:val="20"/>
          <w:lang w:val="es-ES" w:eastAsia="es-CR"/>
        </w:rPr>
        <w:t xml:space="preserve"> (9) Movimiento por Nuestros Desaparecidos en México el 13 de mayo de 2018</w:t>
      </w:r>
      <w:r w:rsidRPr="002E1C85">
        <w:rPr>
          <w:rFonts w:ascii="Verdana" w:eastAsia="Verdana" w:hAnsi="Verdana" w:cs="Verdana"/>
          <w:sz w:val="20"/>
          <w:szCs w:val="20"/>
          <w:vertAlign w:val="superscript"/>
          <w:lang w:val="es-ES" w:eastAsia="es-CR"/>
        </w:rPr>
        <w:footnoteReference w:id="21"/>
      </w:r>
      <w:r w:rsidR="00C47BA8" w:rsidRPr="002E1C85">
        <w:rPr>
          <w:rFonts w:ascii="Verdana" w:eastAsia="Times New Roman" w:hAnsi="Verdana" w:cs="Times New Roman"/>
          <w:sz w:val="20"/>
          <w:szCs w:val="20"/>
          <w:lang w:val="es-ES"/>
        </w:rPr>
        <w:t>;</w:t>
      </w:r>
      <w:r w:rsidRPr="002E1C85">
        <w:rPr>
          <w:rFonts w:ascii="Verdana" w:eastAsia="Verdana" w:hAnsi="Verdana" w:cs="Verdana"/>
          <w:sz w:val="20"/>
          <w:szCs w:val="20"/>
          <w:lang w:val="es-ES" w:eastAsia="es-CR"/>
        </w:rPr>
        <w:t xml:space="preserve"> (10) Grupo de Trabajo sobre Desapariciones Forzadas o Involuntarias de la ONU (GTDFI) el 14 de mayo de 2018</w:t>
      </w:r>
      <w:r w:rsidRPr="002E1C85">
        <w:rPr>
          <w:rFonts w:ascii="Verdana" w:eastAsia="Verdana" w:hAnsi="Verdana" w:cs="Verdana"/>
          <w:sz w:val="20"/>
          <w:szCs w:val="20"/>
          <w:vertAlign w:val="superscript"/>
          <w:lang w:val="es-ES" w:eastAsia="es-CR"/>
        </w:rPr>
        <w:footnoteReference w:id="22"/>
      </w:r>
      <w:r w:rsidR="00C47BA8" w:rsidRPr="002E1C85">
        <w:rPr>
          <w:rFonts w:ascii="Verdana" w:eastAsia="Times New Roman" w:hAnsi="Verdana" w:cs="Times New Roman"/>
          <w:sz w:val="20"/>
          <w:szCs w:val="20"/>
          <w:lang w:val="es-ES"/>
        </w:rPr>
        <w:t>;</w:t>
      </w:r>
      <w:r w:rsidRPr="002E1C85">
        <w:rPr>
          <w:rFonts w:ascii="Verdana" w:eastAsia="Verdana" w:hAnsi="Verdana" w:cs="Verdana"/>
          <w:sz w:val="20"/>
          <w:szCs w:val="20"/>
          <w:lang w:val="es-ES" w:eastAsia="es-CR"/>
        </w:rPr>
        <w:t xml:space="preserve"> (11) Carlos María Pelayo Moller el 14 de mayo de 2018</w:t>
      </w:r>
      <w:r w:rsidRPr="002E1C85">
        <w:rPr>
          <w:rFonts w:ascii="Verdana" w:eastAsia="Verdana" w:hAnsi="Verdana" w:cs="Verdana"/>
          <w:sz w:val="20"/>
          <w:szCs w:val="20"/>
          <w:vertAlign w:val="superscript"/>
          <w:lang w:val="es-ES" w:eastAsia="es-CR"/>
        </w:rPr>
        <w:footnoteReference w:id="23"/>
      </w:r>
      <w:r w:rsidR="00C47BA8" w:rsidRPr="002E1C85">
        <w:rPr>
          <w:rFonts w:ascii="Verdana" w:eastAsia="Times New Roman" w:hAnsi="Verdana" w:cs="Times New Roman"/>
          <w:sz w:val="20"/>
          <w:szCs w:val="20"/>
          <w:lang w:val="es-ES"/>
        </w:rPr>
        <w:t>;</w:t>
      </w:r>
      <w:r w:rsidRPr="002E1C85">
        <w:rPr>
          <w:rFonts w:ascii="Verdana" w:eastAsia="Verdana" w:hAnsi="Verdana" w:cs="Verdana"/>
          <w:sz w:val="20"/>
          <w:szCs w:val="20"/>
          <w:lang w:val="es-ES" w:eastAsia="es-CR"/>
        </w:rPr>
        <w:t xml:space="preserve"> (12) </w:t>
      </w:r>
      <w:r w:rsidR="00C47BA8">
        <w:rPr>
          <w:rFonts w:ascii="Verdana" w:eastAsia="Verdana" w:hAnsi="Verdana" w:cs="Verdana"/>
          <w:sz w:val="20"/>
          <w:szCs w:val="20"/>
          <w:lang w:val="es-ES" w:eastAsia="es-CR"/>
        </w:rPr>
        <w:t>Asociación Nuestramericana de Estudios Interdisciplinarios de la Crítica Jurídica</w:t>
      </w:r>
      <w:r w:rsidRPr="002E1C85">
        <w:rPr>
          <w:rFonts w:ascii="Verdana" w:eastAsia="Verdana" w:hAnsi="Verdana" w:cs="Verdana"/>
          <w:sz w:val="20"/>
          <w:szCs w:val="20"/>
          <w:lang w:val="es-ES" w:eastAsia="es-CR"/>
        </w:rPr>
        <w:t xml:space="preserve"> el 14 de mayo de 2018</w:t>
      </w:r>
      <w:r w:rsidRPr="002E1C85">
        <w:rPr>
          <w:rFonts w:ascii="Verdana" w:eastAsia="Verdana" w:hAnsi="Verdana" w:cs="Verdana"/>
          <w:sz w:val="20"/>
          <w:szCs w:val="20"/>
          <w:vertAlign w:val="superscript"/>
          <w:lang w:val="es-ES" w:eastAsia="es-CR"/>
        </w:rPr>
        <w:footnoteReference w:id="24"/>
      </w:r>
      <w:r w:rsidRPr="002E1C85">
        <w:rPr>
          <w:rFonts w:ascii="Verdana" w:eastAsia="Verdana" w:hAnsi="Verdana" w:cs="Verdana"/>
          <w:sz w:val="20"/>
          <w:szCs w:val="20"/>
          <w:lang w:val="es-ES" w:eastAsia="es-CR"/>
        </w:rPr>
        <w:t xml:space="preserve">, </w:t>
      </w:r>
      <w:r w:rsidR="00C47BA8">
        <w:rPr>
          <w:rFonts w:ascii="Verdana" w:eastAsia="Verdana" w:hAnsi="Verdana" w:cs="Verdana"/>
          <w:sz w:val="20"/>
          <w:szCs w:val="20"/>
          <w:lang w:val="es-ES" w:eastAsia="es-CR"/>
        </w:rPr>
        <w:t xml:space="preserve">y </w:t>
      </w:r>
      <w:r w:rsidRPr="002E1C85">
        <w:rPr>
          <w:rFonts w:ascii="Verdana" w:eastAsia="Verdana" w:hAnsi="Verdana" w:cs="Verdana"/>
          <w:sz w:val="20"/>
          <w:szCs w:val="20"/>
          <w:lang w:val="es-ES" w:eastAsia="es-CR"/>
        </w:rPr>
        <w:t>(13) Facultad de Derecho, Ciencias Políticas y Criminología de la Universidad Autónoma de Tlaxcala, México el 15 de mayo de 2018</w:t>
      </w:r>
      <w:r w:rsidRPr="002E1C85">
        <w:rPr>
          <w:rFonts w:ascii="Verdana" w:eastAsia="Verdana" w:hAnsi="Verdana" w:cs="Verdana"/>
          <w:sz w:val="20"/>
          <w:szCs w:val="20"/>
          <w:vertAlign w:val="superscript"/>
          <w:lang w:val="es-ES" w:eastAsia="es-CR"/>
        </w:rPr>
        <w:footnoteReference w:id="25"/>
      </w:r>
      <w:r w:rsidRPr="002E1C85">
        <w:rPr>
          <w:rFonts w:ascii="Verdana" w:eastAsia="Verdana" w:hAnsi="Verdana" w:cs="Verdana"/>
          <w:sz w:val="20"/>
          <w:szCs w:val="20"/>
          <w:lang w:val="es-ES" w:eastAsia="es-CR"/>
        </w:rPr>
        <w:t>. Asimismo, se recibieron otros escritos extemporánea</w:t>
      </w:r>
      <w:r w:rsidR="00AB5C6D">
        <w:rPr>
          <w:rFonts w:ascii="Verdana" w:eastAsia="Verdana" w:hAnsi="Verdana" w:cs="Verdana"/>
          <w:sz w:val="20"/>
          <w:szCs w:val="20"/>
          <w:lang w:val="es-ES" w:eastAsia="es-CR"/>
        </w:rPr>
        <w:t>mente</w:t>
      </w:r>
      <w:r w:rsidRPr="002E1C85">
        <w:rPr>
          <w:rFonts w:ascii="Verdana" w:eastAsia="Verdana" w:hAnsi="Verdana" w:cs="Verdana"/>
          <w:sz w:val="20"/>
          <w:szCs w:val="20"/>
          <w:lang w:val="es-ES" w:eastAsia="es-CR"/>
        </w:rPr>
        <w:t>, por lo que no se les dio trámite</w:t>
      </w:r>
      <w:r w:rsidRPr="002E1C85">
        <w:rPr>
          <w:rFonts w:ascii="Verdana" w:eastAsia="Verdana" w:hAnsi="Verdana" w:cs="Verdana"/>
          <w:sz w:val="20"/>
          <w:szCs w:val="20"/>
          <w:vertAlign w:val="superscript"/>
          <w:lang w:val="es-ES" w:eastAsia="es-CR"/>
        </w:rPr>
        <w:footnoteReference w:id="26"/>
      </w:r>
      <w:r w:rsidRPr="002E1C85">
        <w:rPr>
          <w:rFonts w:ascii="Verdana" w:eastAsia="Verdana" w:hAnsi="Verdana" w:cs="Verdana"/>
          <w:sz w:val="20"/>
          <w:szCs w:val="20"/>
          <w:lang w:val="es-ES" w:eastAsia="es-CR"/>
        </w:rPr>
        <w:t xml:space="preserve">. </w:t>
      </w:r>
    </w:p>
    <w:p w14:paraId="64AA5D90" w14:textId="26AEFD27" w:rsidR="002E1C85" w:rsidRPr="00E67720" w:rsidRDefault="002E1C85" w:rsidP="00E67720">
      <w:pPr>
        <w:widowControl w:val="0"/>
        <w:numPr>
          <w:ilvl w:val="0"/>
          <w:numId w:val="4"/>
        </w:numPr>
        <w:tabs>
          <w:tab w:val="left" w:pos="567"/>
          <w:tab w:val="num" w:pos="12305"/>
        </w:tabs>
        <w:adjustRightInd w:val="0"/>
        <w:spacing w:before="120" w:after="120" w:line="240" w:lineRule="auto"/>
        <w:ind w:left="0" w:firstLine="0"/>
        <w:jc w:val="both"/>
        <w:textAlignment w:val="baseline"/>
        <w:rPr>
          <w:rFonts w:ascii="Verdana" w:eastAsia="Times New Roman" w:hAnsi="Verdana" w:cs="Verdana"/>
          <w:snapToGrid w:val="0"/>
          <w:sz w:val="20"/>
          <w:szCs w:val="20"/>
          <w:lang w:val="es-ES" w:eastAsia="es-ES"/>
        </w:rPr>
      </w:pPr>
      <w:bookmarkStart w:id="34" w:name="_Ref354147731"/>
      <w:r w:rsidRPr="002E1C85">
        <w:rPr>
          <w:rFonts w:ascii="Verdana" w:eastAsia="Times New Roman" w:hAnsi="Verdana" w:cs="Verdana"/>
          <w:i/>
          <w:sz w:val="20"/>
          <w:szCs w:val="20"/>
          <w:lang w:val="es-ES" w:eastAsia="es-CR"/>
        </w:rPr>
        <w:t xml:space="preserve">Alegatos y observaciones finales escritas. </w:t>
      </w:r>
      <w:bookmarkEnd w:id="34"/>
      <w:r w:rsidRPr="002E1C85">
        <w:rPr>
          <w:rFonts w:ascii="Verdana" w:eastAsia="Times New Roman" w:hAnsi="Verdana" w:cs="Verdana"/>
          <w:i/>
          <w:sz w:val="20"/>
          <w:szCs w:val="20"/>
          <w:lang w:val="es-ES" w:eastAsia="es-CR"/>
        </w:rPr>
        <w:t xml:space="preserve">- </w:t>
      </w:r>
      <w:r w:rsidRPr="002E1C85">
        <w:rPr>
          <w:rFonts w:ascii="Verdana" w:eastAsia="Times New Roman" w:hAnsi="Verdana" w:cs="Verdana"/>
          <w:sz w:val="20"/>
          <w:szCs w:val="20"/>
          <w:lang w:val="es-ES" w:eastAsia="es-CR"/>
        </w:rPr>
        <w:t>El 28 de mayo de 2018 las representantes y el Estado remitieron sus respectivos alegatos finales escritos, junto con sus anexos. El 25 de mayo de 2018 la Comisión presentó sus observaciones finales escritas.</w:t>
      </w:r>
    </w:p>
    <w:p w14:paraId="64AA5D92" w14:textId="73ED3405" w:rsidR="002E1C85" w:rsidRPr="00855B75" w:rsidRDefault="002E1C85" w:rsidP="00E67720">
      <w:pPr>
        <w:widowControl w:val="0"/>
        <w:numPr>
          <w:ilvl w:val="0"/>
          <w:numId w:val="4"/>
        </w:numPr>
        <w:tabs>
          <w:tab w:val="left" w:pos="567"/>
          <w:tab w:val="num" w:pos="12305"/>
        </w:tabs>
        <w:adjustRightInd w:val="0"/>
        <w:spacing w:before="120" w:after="120" w:line="240" w:lineRule="auto"/>
        <w:ind w:left="0" w:firstLine="0"/>
        <w:jc w:val="both"/>
        <w:textAlignment w:val="baseline"/>
        <w:rPr>
          <w:rFonts w:ascii="Verdana" w:eastAsia="Times New Roman" w:hAnsi="Verdana" w:cs="Verdana"/>
          <w:snapToGrid w:val="0"/>
          <w:sz w:val="20"/>
          <w:szCs w:val="20"/>
          <w:lang w:val="es-ES" w:eastAsia="es-ES"/>
        </w:rPr>
      </w:pPr>
      <w:r w:rsidRPr="002E1C85">
        <w:rPr>
          <w:rFonts w:ascii="Verdana" w:eastAsia="Times New Roman" w:hAnsi="Verdana" w:cs="Verdana"/>
          <w:snapToGrid w:val="0"/>
          <w:sz w:val="20"/>
          <w:szCs w:val="20"/>
          <w:lang w:val="es-ES" w:eastAsia="es-ES"/>
        </w:rPr>
        <w:t xml:space="preserve">Observaciones de los anexos a los alegatos finales y </w:t>
      </w:r>
      <w:r w:rsidRPr="00CD555B">
        <w:rPr>
          <w:rFonts w:ascii="Verdana" w:eastAsia="Times New Roman" w:hAnsi="Verdana" w:cs="Verdana"/>
          <w:i/>
          <w:snapToGrid w:val="0"/>
          <w:sz w:val="20"/>
          <w:szCs w:val="20"/>
          <w:lang w:val="es-ES" w:eastAsia="es-ES"/>
        </w:rPr>
        <w:t>amicus curiae</w:t>
      </w:r>
      <w:r w:rsidRPr="002E1C85">
        <w:rPr>
          <w:rFonts w:ascii="Verdana" w:eastAsia="Times New Roman" w:hAnsi="Verdana" w:cs="Verdana"/>
          <w:snapToGrid w:val="0"/>
          <w:sz w:val="20"/>
          <w:szCs w:val="20"/>
          <w:lang w:val="es-ES" w:eastAsia="es-ES"/>
        </w:rPr>
        <w:t xml:space="preserve">.- El 15 de junio de 2018 las representantes y el Estado remitieron sus observaciones a los anexos remitidos </w:t>
      </w:r>
      <w:r w:rsidR="004D0F33">
        <w:rPr>
          <w:rFonts w:ascii="Verdana" w:eastAsia="Times New Roman" w:hAnsi="Verdana" w:cs="Verdana"/>
          <w:snapToGrid w:val="0"/>
          <w:sz w:val="20"/>
          <w:szCs w:val="20"/>
          <w:lang w:val="es-ES" w:eastAsia="es-ES"/>
        </w:rPr>
        <w:t>con</w:t>
      </w:r>
      <w:r w:rsidRPr="002E1C85">
        <w:rPr>
          <w:rFonts w:ascii="Verdana" w:eastAsia="Times New Roman" w:hAnsi="Verdana" w:cs="Verdana"/>
          <w:snapToGrid w:val="0"/>
          <w:sz w:val="20"/>
          <w:szCs w:val="20"/>
          <w:lang w:val="es-ES" w:eastAsia="es-ES"/>
        </w:rPr>
        <w:t xml:space="preserve"> los </w:t>
      </w:r>
      <w:r w:rsidRPr="00855B75">
        <w:rPr>
          <w:rFonts w:ascii="Verdana" w:eastAsia="Times New Roman" w:hAnsi="Verdana" w:cs="Verdana"/>
          <w:snapToGrid w:val="0"/>
          <w:sz w:val="20"/>
          <w:szCs w:val="20"/>
          <w:lang w:val="es-ES" w:eastAsia="es-ES"/>
        </w:rPr>
        <w:t xml:space="preserve">alegatos finales escritos y </w:t>
      </w:r>
      <w:r w:rsidRPr="00CD555B">
        <w:rPr>
          <w:rFonts w:ascii="Verdana" w:eastAsia="Times New Roman" w:hAnsi="Verdana" w:cs="Verdana"/>
          <w:i/>
          <w:snapToGrid w:val="0"/>
          <w:sz w:val="20"/>
          <w:szCs w:val="20"/>
          <w:lang w:val="es-ES" w:eastAsia="es-ES"/>
        </w:rPr>
        <w:t>amicus curiae</w:t>
      </w:r>
      <w:r w:rsidRPr="00855B75">
        <w:rPr>
          <w:rFonts w:ascii="Verdana" w:eastAsia="Times New Roman" w:hAnsi="Verdana" w:cs="Verdana"/>
          <w:snapToGrid w:val="0"/>
          <w:sz w:val="20"/>
          <w:szCs w:val="20"/>
          <w:lang w:val="es-ES" w:eastAsia="es-ES"/>
        </w:rPr>
        <w:t xml:space="preserve"> presentados.</w:t>
      </w:r>
    </w:p>
    <w:p w14:paraId="64AA5D94" w14:textId="01CEF221" w:rsidR="002E1C85" w:rsidRPr="00C90B3F" w:rsidRDefault="002E1C85" w:rsidP="00E67720">
      <w:pPr>
        <w:widowControl w:val="0"/>
        <w:numPr>
          <w:ilvl w:val="0"/>
          <w:numId w:val="4"/>
        </w:numPr>
        <w:tabs>
          <w:tab w:val="left" w:pos="567"/>
          <w:tab w:val="num" w:pos="12305"/>
        </w:tabs>
        <w:adjustRightInd w:val="0"/>
        <w:spacing w:before="120" w:after="120" w:line="240" w:lineRule="auto"/>
        <w:ind w:left="0" w:firstLine="0"/>
        <w:jc w:val="both"/>
        <w:textAlignment w:val="baseline"/>
        <w:rPr>
          <w:rFonts w:ascii="Verdana" w:hAnsi="Verdana" w:cs="Times New Roman"/>
          <w:sz w:val="20"/>
          <w:szCs w:val="20"/>
          <w:lang w:val="es-ES" w:eastAsia="es-CR"/>
        </w:rPr>
      </w:pPr>
      <w:r w:rsidRPr="00C90B3F">
        <w:rPr>
          <w:rFonts w:ascii="Verdana" w:hAnsi="Verdana" w:cs="Times New Roman"/>
          <w:i/>
          <w:sz w:val="20"/>
          <w:szCs w:val="20"/>
          <w:lang w:val="es-ES" w:eastAsia="es-CR"/>
        </w:rPr>
        <w:t xml:space="preserve">Prueba para mejor resolver. – </w:t>
      </w:r>
      <w:r w:rsidRPr="00855B75">
        <w:rPr>
          <w:rFonts w:ascii="Verdana" w:hAnsi="Verdana"/>
          <w:sz w:val="20"/>
          <w:szCs w:val="20"/>
        </w:rPr>
        <w:t>El 29 de agosto de 2017 el Tribunal requirió al Estado, la presentación de determinada prueba para mejor resolver. La informa</w:t>
      </w:r>
      <w:r w:rsidRPr="00C57FCB">
        <w:rPr>
          <w:rFonts w:ascii="Verdana" w:hAnsi="Verdana"/>
          <w:sz w:val="20"/>
          <w:szCs w:val="20"/>
        </w:rPr>
        <w:t>ción solicitada fue remitida los días 14 y 28 de septiembre de 2018</w:t>
      </w:r>
      <w:r w:rsidR="00666C55" w:rsidRPr="009417B1">
        <w:rPr>
          <w:rFonts w:ascii="Verdana" w:hAnsi="Verdana"/>
          <w:sz w:val="20"/>
          <w:szCs w:val="20"/>
        </w:rPr>
        <w:t xml:space="preserve"> y el 16 de octubre de 201</w:t>
      </w:r>
      <w:r w:rsidR="00666C55" w:rsidRPr="0078142B">
        <w:rPr>
          <w:rFonts w:ascii="Verdana" w:hAnsi="Verdana"/>
          <w:sz w:val="20"/>
          <w:szCs w:val="20"/>
        </w:rPr>
        <w:t>8</w:t>
      </w:r>
      <w:r w:rsidRPr="0078142B">
        <w:rPr>
          <w:rFonts w:ascii="Verdana" w:hAnsi="Verdana"/>
          <w:sz w:val="20"/>
        </w:rPr>
        <w:t>.</w:t>
      </w:r>
      <w:r w:rsidRPr="00855B75">
        <w:rPr>
          <w:rFonts w:ascii="Verdana" w:hAnsi="Verdana"/>
          <w:sz w:val="20"/>
          <w:szCs w:val="20"/>
        </w:rPr>
        <w:t xml:space="preserve"> </w:t>
      </w:r>
    </w:p>
    <w:p w14:paraId="64AA5D96" w14:textId="30830A79" w:rsidR="002E1C85" w:rsidRPr="00C90B3F" w:rsidRDefault="002E1C85" w:rsidP="00E67720">
      <w:pPr>
        <w:widowControl w:val="0"/>
        <w:numPr>
          <w:ilvl w:val="0"/>
          <w:numId w:val="4"/>
        </w:numPr>
        <w:tabs>
          <w:tab w:val="left" w:pos="567"/>
          <w:tab w:val="num" w:pos="12305"/>
        </w:tabs>
        <w:adjustRightInd w:val="0"/>
        <w:spacing w:before="120" w:after="120" w:line="240" w:lineRule="auto"/>
        <w:ind w:left="0" w:firstLine="0"/>
        <w:jc w:val="both"/>
        <w:textAlignment w:val="baseline"/>
        <w:rPr>
          <w:rFonts w:ascii="Verdana" w:eastAsia="Times New Roman" w:hAnsi="Verdana" w:cs="Verdana"/>
          <w:snapToGrid w:val="0"/>
          <w:sz w:val="20"/>
          <w:szCs w:val="20"/>
          <w:lang w:val="es-ES" w:eastAsia="es-ES"/>
        </w:rPr>
      </w:pPr>
      <w:bookmarkStart w:id="35" w:name="_Ref313990861"/>
      <w:r w:rsidRPr="00C90B3F">
        <w:rPr>
          <w:rFonts w:ascii="Verdana" w:hAnsi="Verdana" w:cs="Times New Roman"/>
          <w:i/>
          <w:sz w:val="20"/>
          <w:szCs w:val="20"/>
          <w:lang w:val="es-ES" w:eastAsia="es-CR"/>
        </w:rPr>
        <w:t>Observaciones</w:t>
      </w:r>
      <w:r w:rsidRPr="00C90B3F">
        <w:rPr>
          <w:rFonts w:ascii="Verdana" w:eastAsia="Times New Roman" w:hAnsi="Verdana" w:cs="Verdana"/>
          <w:i/>
          <w:snapToGrid w:val="0"/>
          <w:sz w:val="20"/>
          <w:szCs w:val="20"/>
          <w:lang w:val="es-ES" w:eastAsia="es-ES"/>
        </w:rPr>
        <w:t xml:space="preserve"> de las representantes y la Comisión. – </w:t>
      </w:r>
      <w:bookmarkEnd w:id="35"/>
      <w:r w:rsidR="003C00B3" w:rsidRPr="00C90B3F">
        <w:rPr>
          <w:rFonts w:ascii="Verdana" w:eastAsia="Times New Roman" w:hAnsi="Verdana" w:cs="Verdana"/>
          <w:snapToGrid w:val="0"/>
          <w:sz w:val="20"/>
          <w:szCs w:val="20"/>
          <w:lang w:val="es-ES" w:eastAsia="es-ES"/>
        </w:rPr>
        <w:t>El 15</w:t>
      </w:r>
      <w:r w:rsidR="0090251D">
        <w:rPr>
          <w:rFonts w:ascii="Verdana" w:eastAsia="Times New Roman" w:hAnsi="Verdana" w:cs="Verdana"/>
          <w:snapToGrid w:val="0"/>
          <w:sz w:val="20"/>
          <w:szCs w:val="20"/>
          <w:lang w:val="es-ES" w:eastAsia="es-ES"/>
        </w:rPr>
        <w:t xml:space="preserve"> y 23</w:t>
      </w:r>
      <w:r w:rsidR="003C00B3" w:rsidRPr="00C90B3F">
        <w:rPr>
          <w:rFonts w:ascii="Verdana" w:eastAsia="Times New Roman" w:hAnsi="Verdana" w:cs="Verdana"/>
          <w:snapToGrid w:val="0"/>
          <w:sz w:val="20"/>
          <w:szCs w:val="20"/>
          <w:lang w:val="es-ES" w:eastAsia="es-ES"/>
        </w:rPr>
        <w:t xml:space="preserve"> de </w:t>
      </w:r>
      <w:r w:rsidR="003C00B3">
        <w:rPr>
          <w:rFonts w:ascii="Verdana" w:eastAsia="Times New Roman" w:hAnsi="Verdana"/>
          <w:snapToGrid w:val="0"/>
          <w:sz w:val="20"/>
          <w:lang w:val="es-ES" w:eastAsia="es-ES"/>
        </w:rPr>
        <w:t xml:space="preserve">octubre </w:t>
      </w:r>
      <w:r w:rsidR="003C00B3" w:rsidDel="00855B75">
        <w:rPr>
          <w:rFonts w:ascii="Verdana" w:eastAsia="Times New Roman" w:hAnsi="Verdana"/>
          <w:snapToGrid w:val="0"/>
          <w:sz w:val="20"/>
          <w:lang w:val="es-ES" w:eastAsia="es-ES"/>
        </w:rPr>
        <w:t xml:space="preserve">de </w:t>
      </w:r>
      <w:r w:rsidR="00855B75" w:rsidRPr="009F1A54">
        <w:rPr>
          <w:rFonts w:ascii="Verdana" w:eastAsia="Times New Roman" w:hAnsi="Verdana" w:cs="Verdana"/>
          <w:snapToGrid w:val="0"/>
          <w:sz w:val="20"/>
          <w:szCs w:val="20"/>
          <w:lang w:val="es-ES" w:eastAsia="es-ES"/>
        </w:rPr>
        <w:t xml:space="preserve">2018 </w:t>
      </w:r>
      <w:r w:rsidR="003C00B3" w:rsidRPr="00C90B3F">
        <w:rPr>
          <w:rFonts w:ascii="Verdana" w:eastAsia="Times New Roman" w:hAnsi="Verdana" w:cs="Verdana"/>
          <w:snapToGrid w:val="0"/>
          <w:sz w:val="20"/>
          <w:szCs w:val="20"/>
          <w:lang w:val="es-ES" w:eastAsia="es-ES"/>
        </w:rPr>
        <w:t xml:space="preserve">las representantes y la Comisión remitieron sus observaciones a la prueba para mejor resolver aportada por el </w:t>
      </w:r>
      <w:r w:rsidR="003C00B3" w:rsidRPr="0078142B">
        <w:rPr>
          <w:rFonts w:ascii="Verdana" w:eastAsia="Times New Roman" w:hAnsi="Verdana" w:cs="Verdana"/>
          <w:snapToGrid w:val="0"/>
          <w:sz w:val="20"/>
          <w:szCs w:val="20"/>
          <w:lang w:val="es-ES" w:eastAsia="es-ES"/>
        </w:rPr>
        <w:t>Estado</w:t>
      </w:r>
      <w:r w:rsidR="004D0F33" w:rsidRPr="0078142B">
        <w:rPr>
          <w:rFonts w:ascii="Verdana" w:eastAsia="Times New Roman" w:hAnsi="Verdana" w:cs="Verdana"/>
          <w:snapToGrid w:val="0"/>
          <w:sz w:val="20"/>
          <w:szCs w:val="20"/>
          <w:lang w:val="es-ES" w:eastAsia="es-ES"/>
        </w:rPr>
        <w:t>.</w:t>
      </w:r>
      <w:r w:rsidR="003C00B3" w:rsidRPr="00C90B3F">
        <w:rPr>
          <w:rFonts w:ascii="Verdana" w:eastAsia="Times New Roman" w:hAnsi="Verdana" w:cs="Verdana"/>
          <w:snapToGrid w:val="0"/>
          <w:sz w:val="20"/>
          <w:szCs w:val="20"/>
          <w:lang w:val="es-ES" w:eastAsia="es-ES"/>
        </w:rPr>
        <w:t xml:space="preserve"> </w:t>
      </w:r>
    </w:p>
    <w:p w14:paraId="06EAA3F9" w14:textId="3A1BDF98" w:rsidR="00BE0E64" w:rsidRPr="003564A3" w:rsidRDefault="002E1C85" w:rsidP="003564A3">
      <w:pPr>
        <w:widowControl w:val="0"/>
        <w:numPr>
          <w:ilvl w:val="0"/>
          <w:numId w:val="4"/>
        </w:numPr>
        <w:tabs>
          <w:tab w:val="left" w:pos="567"/>
          <w:tab w:val="num" w:pos="12305"/>
        </w:tabs>
        <w:adjustRightInd w:val="0"/>
        <w:spacing w:before="120" w:after="120" w:line="240" w:lineRule="auto"/>
        <w:ind w:left="0" w:firstLine="0"/>
        <w:jc w:val="both"/>
        <w:textAlignment w:val="baseline"/>
        <w:rPr>
          <w:rFonts w:ascii="Verdana" w:eastAsia="Calibri" w:hAnsi="Verdana" w:cs="Verdana"/>
          <w:snapToGrid w:val="0"/>
          <w:sz w:val="20"/>
          <w:szCs w:val="20"/>
          <w:lang w:val="es-ES" w:eastAsia="es-ES"/>
        </w:rPr>
      </w:pPr>
      <w:r w:rsidRPr="00855B75">
        <w:rPr>
          <w:rFonts w:ascii="Verdana" w:eastAsia="Times New Roman" w:hAnsi="Verdana" w:cs="Verdana"/>
          <w:i/>
          <w:snapToGrid w:val="0"/>
          <w:sz w:val="20"/>
          <w:szCs w:val="20"/>
          <w:lang w:val="es-ES" w:eastAsia="es-ES"/>
        </w:rPr>
        <w:lastRenderedPageBreak/>
        <w:t>Erogaciones en aplicación del Fondo de Asistencia.</w:t>
      </w:r>
      <w:r w:rsidRPr="00855B75">
        <w:rPr>
          <w:rFonts w:ascii="Verdana" w:eastAsia="Times New Roman" w:hAnsi="Verdana" w:cs="Verdana"/>
          <w:snapToGrid w:val="0"/>
          <w:sz w:val="20"/>
          <w:szCs w:val="20"/>
          <w:lang w:val="es-ES" w:eastAsia="es-ES"/>
        </w:rPr>
        <w:t xml:space="preserve"> </w:t>
      </w:r>
      <w:r w:rsidRPr="00855B75">
        <w:rPr>
          <w:rFonts w:ascii="Verdana" w:eastAsia="Times New Roman" w:hAnsi="Verdana" w:cs="Verdana"/>
          <w:iCs/>
          <w:snapToGrid w:val="0"/>
          <w:sz w:val="20"/>
          <w:szCs w:val="20"/>
          <w:lang w:val="es-ES" w:eastAsia="es-ES"/>
        </w:rPr>
        <w:t>–</w:t>
      </w:r>
      <w:r w:rsidRPr="00855B75">
        <w:rPr>
          <w:rFonts w:ascii="Verdana" w:eastAsia="Times New Roman" w:hAnsi="Verdana" w:cs="Verdana"/>
          <w:snapToGrid w:val="0"/>
          <w:sz w:val="20"/>
          <w:szCs w:val="20"/>
          <w:lang w:val="es-ES" w:eastAsia="es-ES"/>
        </w:rPr>
        <w:t xml:space="preserve"> El 29 de agosto</w:t>
      </w:r>
      <w:r w:rsidRPr="00E01110">
        <w:rPr>
          <w:rFonts w:ascii="Verdana" w:eastAsia="Times New Roman" w:hAnsi="Verdana" w:cs="Verdana"/>
          <w:snapToGrid w:val="0"/>
          <w:sz w:val="20"/>
          <w:szCs w:val="20"/>
          <w:lang w:val="es-ES" w:eastAsia="es-ES"/>
        </w:rPr>
        <w:t xml:space="preserve"> de 2018 fue transmitida a las partes copia del informe sobre el Fondo de Asistencia Legal de Víctimas. El 14 de septiembre</w:t>
      </w:r>
      <w:r w:rsidR="00FB5A65">
        <w:rPr>
          <w:rFonts w:ascii="Verdana" w:eastAsia="Times New Roman" w:hAnsi="Verdana" w:cs="Verdana"/>
          <w:snapToGrid w:val="0"/>
          <w:sz w:val="20"/>
          <w:szCs w:val="20"/>
          <w:lang w:val="es-ES" w:eastAsia="es-ES"/>
        </w:rPr>
        <w:t xml:space="preserve"> de 2018</w:t>
      </w:r>
      <w:r w:rsidRPr="00E01110">
        <w:rPr>
          <w:rFonts w:ascii="Verdana" w:eastAsia="Times New Roman" w:hAnsi="Verdana" w:cs="Verdana"/>
          <w:snapToGrid w:val="0"/>
          <w:sz w:val="20"/>
          <w:szCs w:val="20"/>
          <w:lang w:val="es-ES" w:eastAsia="es-ES"/>
        </w:rPr>
        <w:t xml:space="preserve"> el Estado informó que no tenía observaciones a dicho informe.</w:t>
      </w:r>
    </w:p>
    <w:p w14:paraId="64AA5D98" w14:textId="232032D2" w:rsidR="002E1C85" w:rsidRPr="008D0846" w:rsidRDefault="00BE0E64" w:rsidP="005F54F6">
      <w:pPr>
        <w:widowControl w:val="0"/>
        <w:numPr>
          <w:ilvl w:val="0"/>
          <w:numId w:val="4"/>
        </w:numPr>
        <w:tabs>
          <w:tab w:val="left" w:pos="567"/>
          <w:tab w:val="num" w:pos="12305"/>
        </w:tabs>
        <w:adjustRightInd w:val="0"/>
        <w:spacing w:before="120" w:after="120" w:line="240" w:lineRule="auto"/>
        <w:ind w:left="0" w:firstLine="0"/>
        <w:jc w:val="both"/>
        <w:textAlignment w:val="baseline"/>
        <w:rPr>
          <w:rFonts w:ascii="Verdana" w:hAnsi="Verdana"/>
          <w:sz w:val="20"/>
          <w:szCs w:val="20"/>
          <w:lang w:val="es-ES"/>
        </w:rPr>
      </w:pPr>
      <w:r w:rsidRPr="008D0846">
        <w:rPr>
          <w:rFonts w:ascii="Verdana" w:hAnsi="Verdana"/>
          <w:i/>
          <w:iCs/>
          <w:sz w:val="20"/>
          <w:szCs w:val="20"/>
          <w:lang w:val="es-ES"/>
        </w:rPr>
        <w:t xml:space="preserve">Prueba superviniente.- </w:t>
      </w:r>
      <w:r w:rsidRPr="008D0846">
        <w:rPr>
          <w:rFonts w:ascii="Verdana" w:hAnsi="Verdana"/>
          <w:sz w:val="20"/>
          <w:szCs w:val="20"/>
          <w:lang w:val="es-ES"/>
        </w:rPr>
        <w:t xml:space="preserve"> El </w:t>
      </w:r>
      <w:r w:rsidR="00DF19FE" w:rsidRPr="008D0846">
        <w:rPr>
          <w:rFonts w:ascii="Verdana" w:hAnsi="Verdana"/>
          <w:sz w:val="20"/>
          <w:szCs w:val="20"/>
          <w:lang w:val="es-ES"/>
        </w:rPr>
        <w:t>12 de enero de 2018</w:t>
      </w:r>
      <w:r w:rsidRPr="008D0846">
        <w:rPr>
          <w:rFonts w:ascii="Verdana" w:hAnsi="Verdana"/>
          <w:sz w:val="20"/>
          <w:szCs w:val="20"/>
          <w:lang w:val="es-ES"/>
        </w:rPr>
        <w:t xml:space="preserve"> las representante</w:t>
      </w:r>
      <w:r w:rsidR="00DF19FE" w:rsidRPr="008D0846">
        <w:rPr>
          <w:rFonts w:ascii="Verdana" w:hAnsi="Verdana"/>
          <w:sz w:val="20"/>
          <w:szCs w:val="20"/>
          <w:lang w:val="es-ES"/>
        </w:rPr>
        <w:t>s</w:t>
      </w:r>
      <w:r w:rsidRPr="008D0846">
        <w:rPr>
          <w:rFonts w:ascii="Verdana" w:hAnsi="Verdana"/>
          <w:sz w:val="20"/>
          <w:szCs w:val="20"/>
          <w:lang w:val="es-ES"/>
        </w:rPr>
        <w:t xml:space="preserve"> remitieron a la Corte la </w:t>
      </w:r>
      <w:r w:rsidR="00C67126" w:rsidRPr="008D0846">
        <w:rPr>
          <w:rFonts w:ascii="Verdana" w:hAnsi="Verdana"/>
          <w:sz w:val="20"/>
          <w:szCs w:val="20"/>
          <w:lang w:val="es-ES"/>
        </w:rPr>
        <w:t>L</w:t>
      </w:r>
      <w:r w:rsidRPr="008D0846">
        <w:rPr>
          <w:rFonts w:ascii="Verdana" w:hAnsi="Verdana"/>
          <w:sz w:val="20"/>
          <w:szCs w:val="20"/>
          <w:lang w:val="es-ES"/>
        </w:rPr>
        <w:t xml:space="preserve">ey de </w:t>
      </w:r>
      <w:r w:rsidR="00C67126" w:rsidRPr="008D0846">
        <w:rPr>
          <w:rFonts w:ascii="Verdana" w:hAnsi="Verdana"/>
          <w:sz w:val="20"/>
          <w:szCs w:val="20"/>
          <w:lang w:val="es-ES"/>
        </w:rPr>
        <w:t>S</w:t>
      </w:r>
      <w:r w:rsidRPr="008D0846">
        <w:rPr>
          <w:rFonts w:ascii="Verdana" w:hAnsi="Verdana"/>
          <w:sz w:val="20"/>
          <w:szCs w:val="20"/>
          <w:lang w:val="es-ES"/>
        </w:rPr>
        <w:t xml:space="preserve">eguridad </w:t>
      </w:r>
      <w:r w:rsidR="00C67126" w:rsidRPr="008D0846">
        <w:rPr>
          <w:rFonts w:ascii="Verdana" w:hAnsi="Verdana"/>
          <w:sz w:val="20"/>
          <w:szCs w:val="20"/>
          <w:lang w:val="es-ES"/>
        </w:rPr>
        <w:t>I</w:t>
      </w:r>
      <w:r w:rsidRPr="008D0846">
        <w:rPr>
          <w:rFonts w:ascii="Verdana" w:hAnsi="Verdana"/>
          <w:sz w:val="20"/>
          <w:szCs w:val="20"/>
          <w:lang w:val="es-ES"/>
        </w:rPr>
        <w:t xml:space="preserve">nterior como prueba </w:t>
      </w:r>
      <w:r w:rsidR="00DF19FE" w:rsidRPr="008D0846">
        <w:rPr>
          <w:rFonts w:ascii="Verdana" w:hAnsi="Verdana"/>
          <w:sz w:val="20"/>
          <w:szCs w:val="20"/>
          <w:lang w:val="es-ES"/>
        </w:rPr>
        <w:t>superviniente</w:t>
      </w:r>
      <w:r w:rsidRPr="008D0846">
        <w:rPr>
          <w:rFonts w:ascii="Verdana" w:hAnsi="Verdana"/>
          <w:sz w:val="20"/>
          <w:szCs w:val="20"/>
          <w:lang w:val="es-ES"/>
        </w:rPr>
        <w:t xml:space="preserve">. Dicha información fue transmitida al Estado y a la Comisión el </w:t>
      </w:r>
      <w:r w:rsidR="003B4EBE" w:rsidRPr="009E2F96">
        <w:rPr>
          <w:rFonts w:ascii="Verdana" w:hAnsi="Verdana"/>
          <w:sz w:val="20"/>
          <w:szCs w:val="20"/>
          <w:lang w:val="es-ES"/>
        </w:rPr>
        <w:t xml:space="preserve">25 </w:t>
      </w:r>
      <w:r w:rsidRPr="008D0846">
        <w:rPr>
          <w:rFonts w:ascii="Verdana" w:hAnsi="Verdana"/>
          <w:sz w:val="20"/>
          <w:szCs w:val="20"/>
          <w:lang w:val="es-ES"/>
        </w:rPr>
        <w:t xml:space="preserve">de </w:t>
      </w:r>
      <w:r w:rsidR="003B4EBE" w:rsidRPr="008D0846">
        <w:rPr>
          <w:rFonts w:ascii="Verdana" w:hAnsi="Verdana"/>
          <w:sz w:val="20"/>
          <w:szCs w:val="20"/>
          <w:lang w:val="es-ES"/>
        </w:rPr>
        <w:t>enero</w:t>
      </w:r>
      <w:r w:rsidRPr="008D0846">
        <w:rPr>
          <w:rFonts w:ascii="Verdana" w:hAnsi="Verdana"/>
          <w:sz w:val="20"/>
          <w:szCs w:val="20"/>
          <w:lang w:val="es-ES"/>
        </w:rPr>
        <w:t xml:space="preserve"> de </w:t>
      </w:r>
      <w:r w:rsidR="003B4EBE" w:rsidRPr="008D0846">
        <w:rPr>
          <w:rFonts w:ascii="Verdana" w:hAnsi="Verdana"/>
          <w:sz w:val="20"/>
          <w:szCs w:val="20"/>
          <w:lang w:val="es-ES"/>
        </w:rPr>
        <w:t>2018</w:t>
      </w:r>
      <w:r w:rsidR="0078142B" w:rsidRPr="008D0846">
        <w:rPr>
          <w:rFonts w:ascii="Verdana" w:hAnsi="Verdana"/>
          <w:sz w:val="20"/>
          <w:szCs w:val="20"/>
          <w:lang w:val="es-ES"/>
        </w:rPr>
        <w:t>.</w:t>
      </w:r>
      <w:r w:rsidR="003B4EBE" w:rsidRPr="008D0846">
        <w:rPr>
          <w:rFonts w:ascii="Verdana" w:hAnsi="Verdana"/>
          <w:sz w:val="20"/>
          <w:szCs w:val="20"/>
          <w:lang w:val="es-ES"/>
        </w:rPr>
        <w:t xml:space="preserve"> </w:t>
      </w:r>
      <w:r w:rsidRPr="008D0846">
        <w:rPr>
          <w:rFonts w:ascii="Verdana" w:hAnsi="Verdana"/>
          <w:sz w:val="20"/>
          <w:szCs w:val="20"/>
          <w:lang w:val="es-ES"/>
        </w:rPr>
        <w:t>La Comisión y el Estado</w:t>
      </w:r>
      <w:r w:rsidR="009E2F96" w:rsidRPr="008D0846">
        <w:rPr>
          <w:rFonts w:ascii="Verdana" w:hAnsi="Verdana"/>
          <w:sz w:val="20"/>
          <w:szCs w:val="20"/>
          <w:lang w:val="es-ES"/>
        </w:rPr>
        <w:t xml:space="preserve"> </w:t>
      </w:r>
      <w:r w:rsidRPr="008D0846">
        <w:rPr>
          <w:rFonts w:ascii="Verdana" w:hAnsi="Verdana"/>
          <w:sz w:val="20"/>
          <w:szCs w:val="20"/>
          <w:lang w:val="es-ES"/>
        </w:rPr>
        <w:t>remitieron sus respectiv</w:t>
      </w:r>
      <w:r w:rsidR="009E2F96" w:rsidRPr="008D0846">
        <w:rPr>
          <w:rFonts w:ascii="Verdana" w:hAnsi="Verdana"/>
          <w:sz w:val="20"/>
          <w:szCs w:val="20"/>
          <w:lang w:val="es-ES"/>
        </w:rPr>
        <w:t>a</w:t>
      </w:r>
      <w:r w:rsidRPr="008D0846">
        <w:rPr>
          <w:rFonts w:ascii="Verdana" w:hAnsi="Verdana"/>
          <w:sz w:val="20"/>
          <w:szCs w:val="20"/>
          <w:lang w:val="es-ES"/>
        </w:rPr>
        <w:t xml:space="preserve">s </w:t>
      </w:r>
      <w:r w:rsidR="009E2F96" w:rsidRPr="008D0846">
        <w:rPr>
          <w:rFonts w:ascii="Verdana" w:hAnsi="Verdana"/>
          <w:sz w:val="20"/>
          <w:szCs w:val="20"/>
          <w:lang w:val="es-ES"/>
        </w:rPr>
        <w:t>comunicaciones</w:t>
      </w:r>
      <w:r w:rsidR="000462CF" w:rsidRPr="008D0846">
        <w:rPr>
          <w:rFonts w:ascii="Verdana" w:hAnsi="Verdana"/>
          <w:sz w:val="20"/>
          <w:szCs w:val="20"/>
          <w:lang w:val="es-ES"/>
        </w:rPr>
        <w:t>, en las</w:t>
      </w:r>
      <w:r w:rsidR="009E2F96" w:rsidRPr="008D0846">
        <w:rPr>
          <w:rFonts w:ascii="Verdana" w:hAnsi="Verdana"/>
          <w:sz w:val="20"/>
          <w:szCs w:val="20"/>
          <w:lang w:val="es-ES"/>
        </w:rPr>
        <w:t xml:space="preserve"> cual</w:t>
      </w:r>
      <w:r w:rsidR="000462CF" w:rsidRPr="008D0846">
        <w:rPr>
          <w:rFonts w:ascii="Verdana" w:hAnsi="Verdana"/>
          <w:sz w:val="20"/>
          <w:szCs w:val="20"/>
          <w:lang w:val="es-ES"/>
        </w:rPr>
        <w:t>es</w:t>
      </w:r>
      <w:r w:rsidR="009E2F96" w:rsidRPr="008D0846">
        <w:rPr>
          <w:rFonts w:ascii="Verdana" w:hAnsi="Verdana"/>
          <w:sz w:val="20"/>
          <w:szCs w:val="20"/>
          <w:lang w:val="es-ES"/>
        </w:rPr>
        <w:t xml:space="preserve"> no formularon </w:t>
      </w:r>
      <w:r w:rsidRPr="008D0846">
        <w:rPr>
          <w:rFonts w:ascii="Verdana" w:hAnsi="Verdana"/>
          <w:sz w:val="20"/>
          <w:szCs w:val="20"/>
          <w:lang w:val="es-ES"/>
        </w:rPr>
        <w:t xml:space="preserve">observaciones </w:t>
      </w:r>
      <w:r w:rsidR="009E2F96" w:rsidRPr="008D0846">
        <w:rPr>
          <w:rFonts w:ascii="Verdana" w:hAnsi="Verdana"/>
          <w:sz w:val="20"/>
          <w:szCs w:val="20"/>
          <w:lang w:val="es-ES"/>
        </w:rPr>
        <w:t>particulares sobre la prueba superviniente presentada por las representantes</w:t>
      </w:r>
      <w:r w:rsidRPr="008D0846">
        <w:rPr>
          <w:rFonts w:ascii="Verdana" w:hAnsi="Verdana"/>
          <w:sz w:val="20"/>
          <w:szCs w:val="20"/>
          <w:lang w:val="es-ES"/>
        </w:rPr>
        <w:t>. Asimismo, el 20 de noviembre de 2018 las representantes remitieron al Tribunal diversa documentación como alegada prueba superviniente. Dicha información fue transmitida al Estado y a la Comisión el 21 de noviembre de 2018</w:t>
      </w:r>
      <w:r w:rsidR="0078142B">
        <w:rPr>
          <w:rFonts w:ascii="Verdana" w:hAnsi="Verdana"/>
          <w:sz w:val="20"/>
          <w:szCs w:val="20"/>
          <w:lang w:val="es-ES"/>
        </w:rPr>
        <w:t xml:space="preserve">. </w:t>
      </w:r>
      <w:r w:rsidRPr="008D0846">
        <w:rPr>
          <w:rFonts w:ascii="Verdana" w:hAnsi="Verdana"/>
          <w:sz w:val="20"/>
          <w:szCs w:val="20"/>
          <w:lang w:val="es-ES"/>
        </w:rPr>
        <w:t xml:space="preserve">La Comisión y el Estado remitieron sus respectivas observaciones el 26 de noviembre de 2018. </w:t>
      </w:r>
    </w:p>
    <w:p w14:paraId="64AA5D9A" w14:textId="2EC0AAA9" w:rsidR="002E1C85" w:rsidRPr="00CA2568" w:rsidRDefault="002E1C85" w:rsidP="003564A3">
      <w:pPr>
        <w:widowControl w:val="0"/>
        <w:numPr>
          <w:ilvl w:val="0"/>
          <w:numId w:val="4"/>
        </w:numPr>
        <w:tabs>
          <w:tab w:val="left" w:pos="567"/>
          <w:tab w:val="num" w:pos="12305"/>
        </w:tabs>
        <w:adjustRightInd w:val="0"/>
        <w:spacing w:before="120" w:after="120" w:line="240" w:lineRule="auto"/>
        <w:ind w:left="0" w:firstLine="0"/>
        <w:jc w:val="both"/>
        <w:textAlignment w:val="baseline"/>
        <w:rPr>
          <w:rFonts w:ascii="Verdana" w:eastAsia="Times New Roman" w:hAnsi="Verdana" w:cs="Verdana"/>
          <w:snapToGrid w:val="0"/>
          <w:sz w:val="20"/>
          <w:szCs w:val="20"/>
          <w:lang w:val="es-ES" w:eastAsia="es-ES"/>
        </w:rPr>
      </w:pPr>
      <w:r w:rsidRPr="002E1C85">
        <w:rPr>
          <w:rFonts w:ascii="Verdana" w:eastAsia="Times New Roman" w:hAnsi="Verdana" w:cs="Verdana"/>
          <w:i/>
          <w:snapToGrid w:val="0"/>
          <w:sz w:val="20"/>
          <w:szCs w:val="20"/>
          <w:lang w:val="es-ES" w:eastAsia="es-ES"/>
        </w:rPr>
        <w:t>Deliberación</w:t>
      </w:r>
      <w:r w:rsidRPr="002E1C85">
        <w:rPr>
          <w:rFonts w:ascii="Verdana" w:eastAsia="Times New Roman" w:hAnsi="Verdana" w:cs="Verdana"/>
          <w:i/>
          <w:iCs/>
          <w:snapToGrid w:val="0"/>
          <w:sz w:val="20"/>
          <w:szCs w:val="20"/>
          <w:lang w:val="es-ES" w:eastAsia="es-ES"/>
        </w:rPr>
        <w:t xml:space="preserve"> del presente caso. - </w:t>
      </w:r>
      <w:r w:rsidRPr="002E1C85">
        <w:rPr>
          <w:rFonts w:ascii="Verdana" w:eastAsia="Times New Roman" w:hAnsi="Verdana" w:cs="Verdana"/>
          <w:snapToGrid w:val="0"/>
          <w:sz w:val="20"/>
          <w:szCs w:val="20"/>
          <w:lang w:val="es-ES" w:eastAsia="es-ES"/>
        </w:rPr>
        <w:t xml:space="preserve">La Corte inició la deliberación de la presente Sentencia el </w:t>
      </w:r>
      <w:r w:rsidR="008222A9" w:rsidRPr="008D0846">
        <w:rPr>
          <w:rFonts w:ascii="Verdana" w:eastAsia="Times New Roman" w:hAnsi="Verdana" w:cs="Verdana"/>
          <w:snapToGrid w:val="0"/>
          <w:sz w:val="20"/>
          <w:szCs w:val="20"/>
          <w:lang w:val="es-ES" w:eastAsia="es-ES"/>
        </w:rPr>
        <w:t>27 de</w:t>
      </w:r>
      <w:r w:rsidR="008222A9">
        <w:rPr>
          <w:rFonts w:ascii="Verdana" w:eastAsia="Times New Roman" w:hAnsi="Verdana" w:cs="Verdana"/>
          <w:snapToGrid w:val="0"/>
          <w:sz w:val="20"/>
          <w:szCs w:val="20"/>
          <w:lang w:val="es-ES" w:eastAsia="es-ES"/>
        </w:rPr>
        <w:t xml:space="preserve"> </w:t>
      </w:r>
      <w:r w:rsidRPr="002E1C85">
        <w:rPr>
          <w:rFonts w:ascii="Verdana" w:eastAsia="Times New Roman" w:hAnsi="Verdana" w:cs="Verdana"/>
          <w:snapToGrid w:val="0"/>
          <w:sz w:val="20"/>
          <w:szCs w:val="20"/>
          <w:lang w:val="es-ES" w:eastAsia="es-ES"/>
        </w:rPr>
        <w:t>noviembre de 2018.</w:t>
      </w:r>
    </w:p>
    <w:p w14:paraId="64AA5D9C" w14:textId="46BB5DC3" w:rsidR="002E1C85" w:rsidRPr="00E67720" w:rsidRDefault="002E1C85" w:rsidP="0057411A">
      <w:pPr>
        <w:pStyle w:val="Heading1"/>
        <w:rPr>
          <w:snapToGrid w:val="0"/>
          <w:lang w:val="es-CR" w:eastAsia="es-CR"/>
        </w:rPr>
      </w:pPr>
      <w:bookmarkStart w:id="36" w:name="_Toc470180034"/>
      <w:bookmarkStart w:id="37" w:name="_Toc514172591"/>
      <w:bookmarkStart w:id="38" w:name="_Toc526774134"/>
      <w:bookmarkStart w:id="39" w:name="_Toc526777466"/>
      <w:bookmarkStart w:id="40" w:name="_Toc526783745"/>
      <w:bookmarkStart w:id="41" w:name="_Toc532995313"/>
      <w:r w:rsidRPr="002E1C85">
        <w:rPr>
          <w:snapToGrid w:val="0"/>
          <w:lang w:val="es-CR" w:eastAsia="es-CR"/>
        </w:rPr>
        <w:t>III</w:t>
      </w:r>
      <w:r w:rsidRPr="002E1C85">
        <w:rPr>
          <w:snapToGrid w:val="0"/>
          <w:lang w:val="es-CR" w:eastAsia="es-CR"/>
        </w:rPr>
        <w:br/>
        <w:t>COMPETENCIA</w:t>
      </w:r>
      <w:bookmarkEnd w:id="36"/>
      <w:bookmarkEnd w:id="37"/>
      <w:bookmarkEnd w:id="38"/>
      <w:bookmarkEnd w:id="39"/>
      <w:bookmarkEnd w:id="40"/>
      <w:bookmarkEnd w:id="41"/>
    </w:p>
    <w:p w14:paraId="64AA5D9E" w14:textId="579FD221" w:rsidR="002E1C85" w:rsidRPr="00CA2568" w:rsidRDefault="002E1C85" w:rsidP="00E67720">
      <w:pPr>
        <w:widowControl w:val="0"/>
        <w:numPr>
          <w:ilvl w:val="0"/>
          <w:numId w:val="4"/>
        </w:numPr>
        <w:tabs>
          <w:tab w:val="left" w:pos="567"/>
          <w:tab w:val="num" w:pos="12305"/>
        </w:tabs>
        <w:adjustRightInd w:val="0"/>
        <w:spacing w:before="120" w:after="120" w:line="240" w:lineRule="auto"/>
        <w:ind w:left="0" w:firstLine="0"/>
        <w:jc w:val="both"/>
        <w:textAlignment w:val="baseline"/>
        <w:rPr>
          <w:rFonts w:ascii="Verdana" w:eastAsia="Times New Roman" w:hAnsi="Verdana" w:cs="Times New Roman"/>
          <w:sz w:val="20"/>
          <w:szCs w:val="20"/>
          <w:lang w:val="es-ES" w:eastAsia="es-CR"/>
        </w:rPr>
      </w:pPr>
      <w:r w:rsidRPr="002E1C85">
        <w:rPr>
          <w:rFonts w:ascii="Verdana" w:eastAsia="Times New Roman" w:hAnsi="Verdana" w:cs="Times New Roman"/>
          <w:sz w:val="20"/>
          <w:szCs w:val="20"/>
          <w:lang w:val="es-ES" w:eastAsia="es-CR"/>
        </w:rPr>
        <w:t>La Corte Interamericana es competente para conocer del presente caso, en los términos del artículo 62.3 de la Convención Americana, en razón de que México es Estado Parte de la Convención desde el 24 de marzo de 1981 y reconoció la competencia contenciosa de este Tribunal el 16 de diciembre de 1998.</w:t>
      </w:r>
      <w:r w:rsidRPr="00852715">
        <w:rPr>
          <w:rFonts w:ascii="Verdana" w:eastAsia="Times New Roman" w:hAnsi="Verdana" w:cs="Times New Roman"/>
          <w:sz w:val="20"/>
          <w:szCs w:val="20"/>
          <w:lang w:val="es-ES" w:eastAsia="es-CR"/>
        </w:rPr>
        <w:t xml:space="preserve"> </w:t>
      </w:r>
      <w:r w:rsidR="00852715" w:rsidRPr="00F179A2">
        <w:rPr>
          <w:rFonts w:ascii="Verdana" w:eastAsia="Times New Roman" w:hAnsi="Verdana" w:cs="Times New Roman"/>
          <w:sz w:val="20"/>
          <w:szCs w:val="20"/>
          <w:lang w:val="es-ES" w:eastAsia="es-CR"/>
        </w:rPr>
        <w:t>Asimismo, e</w:t>
      </w:r>
      <w:r w:rsidR="00852715" w:rsidRPr="000C6D8F">
        <w:rPr>
          <w:rFonts w:ascii="Verdana" w:hAnsi="Verdana"/>
          <w:sz w:val="20"/>
          <w:szCs w:val="20"/>
        </w:rPr>
        <w:t xml:space="preserve">l Estado mexicano ratificó la Convención Interamericana sobre Desaparición Forzada de Personas el 9 de abril de 2002. </w:t>
      </w:r>
    </w:p>
    <w:p w14:paraId="7ED90FB9" w14:textId="683D193A" w:rsidR="00EC08E0" w:rsidRPr="00EC08E0" w:rsidRDefault="002E1C85" w:rsidP="00DB378B">
      <w:pPr>
        <w:pStyle w:val="Heading1"/>
        <w:rPr>
          <w:snapToGrid w:val="0"/>
          <w:lang w:val="es-CR" w:eastAsia="es-CR"/>
        </w:rPr>
      </w:pPr>
      <w:bookmarkStart w:id="42" w:name="_Toc513644443"/>
      <w:bookmarkStart w:id="43" w:name="_Toc526774135"/>
      <w:bookmarkStart w:id="44" w:name="_Toc526777467"/>
      <w:bookmarkStart w:id="45" w:name="_Toc526783746"/>
      <w:bookmarkStart w:id="46" w:name="_Toc532995314"/>
      <w:r w:rsidRPr="002E1C85">
        <w:rPr>
          <w:snapToGrid w:val="0"/>
          <w:lang w:val="es-CR" w:eastAsia="es-CR"/>
        </w:rPr>
        <w:t>IV</w:t>
      </w:r>
      <w:r w:rsidRPr="002E1C85">
        <w:rPr>
          <w:snapToGrid w:val="0"/>
          <w:lang w:val="es-CR" w:eastAsia="es-CR"/>
        </w:rPr>
        <w:br/>
        <w:t>RECONOCIMIENTO PARCIAL DE RESPONSABILIDAD INTERNACIONAL DEL ESTADO</w:t>
      </w:r>
      <w:bookmarkEnd w:id="42"/>
      <w:bookmarkEnd w:id="43"/>
      <w:bookmarkEnd w:id="44"/>
      <w:bookmarkEnd w:id="45"/>
      <w:bookmarkEnd w:id="46"/>
    </w:p>
    <w:p w14:paraId="64AA5DA2" w14:textId="5A22691E" w:rsidR="002E1C85" w:rsidRPr="00FE4568" w:rsidRDefault="0020172F" w:rsidP="00EC08E0">
      <w:pPr>
        <w:pStyle w:val="Heading2"/>
        <w:spacing w:before="120" w:after="120"/>
      </w:pPr>
      <w:bookmarkStart w:id="47" w:name="_Toc526774136"/>
      <w:bookmarkStart w:id="48" w:name="_Toc526777468"/>
      <w:bookmarkStart w:id="49" w:name="_Toc526783747"/>
      <w:r>
        <w:t xml:space="preserve"> </w:t>
      </w:r>
      <w:bookmarkStart w:id="50" w:name="_Toc532995315"/>
      <w:r w:rsidR="002E1C85" w:rsidRPr="00BD5BB5">
        <w:t>Posiciones respecto del Reconocimiento Parcial de Responsabilidad del Estado</w:t>
      </w:r>
      <w:bookmarkEnd w:id="47"/>
      <w:bookmarkEnd w:id="48"/>
      <w:bookmarkEnd w:id="49"/>
      <w:bookmarkEnd w:id="50"/>
    </w:p>
    <w:p w14:paraId="64AA5DA4" w14:textId="0FA893CF" w:rsidR="002E1C85" w:rsidRPr="00E67720" w:rsidRDefault="002E1C85" w:rsidP="00EC08E0">
      <w:pPr>
        <w:widowControl w:val="0"/>
        <w:numPr>
          <w:ilvl w:val="0"/>
          <w:numId w:val="4"/>
        </w:numPr>
        <w:tabs>
          <w:tab w:val="left" w:pos="567"/>
          <w:tab w:val="num" w:pos="12305"/>
        </w:tabs>
        <w:adjustRightInd w:val="0"/>
        <w:spacing w:before="120" w:after="120" w:line="240" w:lineRule="auto"/>
        <w:ind w:left="0" w:firstLine="0"/>
        <w:jc w:val="both"/>
        <w:textAlignment w:val="baseline"/>
        <w:rPr>
          <w:rFonts w:ascii="Verdana" w:eastAsia="Times New Roman" w:hAnsi="Verdana" w:cs="Times New Roman"/>
          <w:sz w:val="20"/>
          <w:szCs w:val="20"/>
          <w:lang w:val="es-ES"/>
        </w:rPr>
      </w:pPr>
      <w:r w:rsidRPr="002E1C85">
        <w:rPr>
          <w:rFonts w:ascii="Verdana" w:eastAsia="Times New Roman" w:hAnsi="Verdana" w:cs="Times New Roman"/>
          <w:sz w:val="20"/>
          <w:szCs w:val="20"/>
          <w:lang w:val="es-ES"/>
        </w:rPr>
        <w:t xml:space="preserve">El </w:t>
      </w:r>
      <w:r w:rsidRPr="002E1C85">
        <w:rPr>
          <w:rFonts w:ascii="Verdana" w:eastAsia="Times New Roman" w:hAnsi="Verdana" w:cs="Times New Roman"/>
          <w:b/>
          <w:i/>
          <w:sz w:val="20"/>
          <w:szCs w:val="20"/>
          <w:lang w:val="es-ES"/>
        </w:rPr>
        <w:t>Estado</w:t>
      </w:r>
      <w:r w:rsidRPr="002E1C85">
        <w:rPr>
          <w:rFonts w:ascii="Verdana" w:eastAsia="Times New Roman" w:hAnsi="Verdana" w:cs="Times New Roman"/>
          <w:sz w:val="20"/>
          <w:szCs w:val="20"/>
          <w:lang w:val="es-ES"/>
        </w:rPr>
        <w:t xml:space="preserve"> reconoció, en primer lugar, su responsabilidad internacional en los siguientes términos:</w:t>
      </w:r>
    </w:p>
    <w:p w14:paraId="64AA5DA6" w14:textId="35628A6F" w:rsidR="002E1C85" w:rsidRPr="00EC08E0" w:rsidRDefault="002E1C85" w:rsidP="00EC08E0">
      <w:pPr>
        <w:spacing w:before="120" w:after="120" w:line="240" w:lineRule="auto"/>
        <w:ind w:left="720"/>
        <w:jc w:val="both"/>
        <w:rPr>
          <w:rFonts w:ascii="Verdana" w:eastAsia="Times New Roman" w:hAnsi="Verdana" w:cs="Times New Roman"/>
          <w:b/>
          <w:sz w:val="18"/>
          <w:szCs w:val="20"/>
          <w:lang w:val="es-ES"/>
        </w:rPr>
      </w:pPr>
      <w:r w:rsidRPr="00EC08E0">
        <w:rPr>
          <w:rFonts w:ascii="Verdana" w:eastAsia="Times New Roman" w:hAnsi="Verdana" w:cs="Times New Roman"/>
          <w:sz w:val="18"/>
          <w:szCs w:val="20"/>
          <w:lang w:val="es-ES"/>
        </w:rPr>
        <w:t>“El Estado mexicano reconoce su responsabilidad internacional por la violación del artículo 2 de la Convención Americana sobre Derechos Humanos [ya que] al momento de los hechos no existía una legislación en materia de desaparición forzada que fuera compatible con los estándares interamericanos, por lo que no se contaba con un tipo penal en el ordenamiento interno que fuera adecuado”</w:t>
      </w:r>
      <w:r w:rsidRPr="008D0846">
        <w:rPr>
          <w:rFonts w:ascii="Verdana" w:eastAsia="Times New Roman" w:hAnsi="Verdana" w:cs="Times New Roman"/>
          <w:sz w:val="18"/>
          <w:szCs w:val="20"/>
          <w:lang w:val="es-ES"/>
        </w:rPr>
        <w:t>.</w:t>
      </w:r>
    </w:p>
    <w:p w14:paraId="64AA5DA8" w14:textId="01B5084F" w:rsidR="002E1C85" w:rsidRPr="00E67720" w:rsidRDefault="002E1C85" w:rsidP="00EC08E0">
      <w:pPr>
        <w:widowControl w:val="0"/>
        <w:numPr>
          <w:ilvl w:val="0"/>
          <w:numId w:val="4"/>
        </w:numPr>
        <w:tabs>
          <w:tab w:val="left" w:pos="567"/>
          <w:tab w:val="num" w:pos="12305"/>
        </w:tabs>
        <w:adjustRightInd w:val="0"/>
        <w:spacing w:before="120" w:after="120" w:line="240" w:lineRule="auto"/>
        <w:ind w:left="0" w:firstLine="0"/>
        <w:jc w:val="both"/>
        <w:textAlignment w:val="baseline"/>
        <w:rPr>
          <w:rFonts w:ascii="Verdana" w:eastAsia="Times New Roman" w:hAnsi="Verdana" w:cs="Times New Roman"/>
          <w:sz w:val="20"/>
          <w:szCs w:val="20"/>
          <w:lang w:val="es-ES"/>
        </w:rPr>
      </w:pPr>
      <w:r w:rsidRPr="002E1C85">
        <w:rPr>
          <w:rFonts w:ascii="Verdana" w:eastAsia="Times New Roman" w:hAnsi="Verdana" w:cs="Times New Roman"/>
          <w:sz w:val="20"/>
          <w:szCs w:val="20"/>
          <w:lang w:val="es-ES"/>
        </w:rPr>
        <w:t xml:space="preserve">Sin embargo, el Estado hizo notar que “si bien no contaba con un marco legislativo </w:t>
      </w:r>
      <w:r w:rsidR="00C05735">
        <w:rPr>
          <w:rFonts w:ascii="Verdana" w:eastAsia="Times New Roman" w:hAnsi="Verdana" w:cs="Times New Roman"/>
          <w:sz w:val="20"/>
          <w:szCs w:val="20"/>
          <w:lang w:val="es-ES"/>
        </w:rPr>
        <w:t xml:space="preserve">[…] </w:t>
      </w:r>
      <w:r w:rsidRPr="002E1C85">
        <w:rPr>
          <w:rFonts w:ascii="Verdana" w:eastAsia="Times New Roman" w:hAnsi="Verdana" w:cs="Times New Roman"/>
          <w:sz w:val="20"/>
          <w:szCs w:val="20"/>
          <w:lang w:val="es-ES"/>
        </w:rPr>
        <w:t xml:space="preserve">adecuado al momento de los hechos, actualmente ya se ha adoptado una nueva ley en la materia [que es] compatible con [los] estándares interamericanos”. Por tanto, </w:t>
      </w:r>
      <w:r w:rsidR="0073760B">
        <w:rPr>
          <w:rFonts w:ascii="Verdana" w:eastAsia="Times New Roman" w:hAnsi="Verdana" w:cs="Times New Roman"/>
          <w:sz w:val="20"/>
          <w:szCs w:val="20"/>
          <w:lang w:val="es-ES"/>
        </w:rPr>
        <w:t>alegó que ya había</w:t>
      </w:r>
      <w:r w:rsidR="0073760B" w:rsidRPr="002E1C85">
        <w:rPr>
          <w:rFonts w:ascii="Verdana" w:eastAsia="Times New Roman" w:hAnsi="Verdana" w:cs="Times New Roman"/>
          <w:sz w:val="20"/>
          <w:szCs w:val="20"/>
          <w:lang w:val="es-ES"/>
        </w:rPr>
        <w:t xml:space="preserve"> </w:t>
      </w:r>
      <w:r w:rsidRPr="002E1C85">
        <w:rPr>
          <w:rFonts w:ascii="Verdana" w:eastAsia="Times New Roman" w:hAnsi="Verdana" w:cs="Times New Roman"/>
          <w:sz w:val="20"/>
          <w:szCs w:val="20"/>
          <w:lang w:val="es-ES"/>
        </w:rPr>
        <w:t xml:space="preserve">reparado su violación al artículo 2, </w:t>
      </w:r>
      <w:r w:rsidR="00C05735">
        <w:rPr>
          <w:rFonts w:ascii="Verdana" w:eastAsia="Times New Roman" w:hAnsi="Verdana" w:cs="Times New Roman"/>
          <w:sz w:val="20"/>
          <w:szCs w:val="20"/>
          <w:lang w:val="es-ES"/>
        </w:rPr>
        <w:t xml:space="preserve">por lo que </w:t>
      </w:r>
      <w:r w:rsidRPr="002E1C85">
        <w:rPr>
          <w:rFonts w:ascii="Verdana" w:eastAsia="Times New Roman" w:hAnsi="Verdana" w:cs="Times New Roman"/>
          <w:sz w:val="20"/>
          <w:szCs w:val="20"/>
          <w:lang w:val="es-ES"/>
        </w:rPr>
        <w:t>consider</w:t>
      </w:r>
      <w:r w:rsidR="0073760B">
        <w:rPr>
          <w:rFonts w:ascii="Verdana" w:eastAsia="Times New Roman" w:hAnsi="Verdana" w:cs="Times New Roman"/>
          <w:sz w:val="20"/>
          <w:szCs w:val="20"/>
          <w:lang w:val="es-ES"/>
        </w:rPr>
        <w:t>aba</w:t>
      </w:r>
      <w:r w:rsidRPr="002E1C85">
        <w:rPr>
          <w:rFonts w:ascii="Verdana" w:eastAsia="Times New Roman" w:hAnsi="Verdana" w:cs="Times New Roman"/>
          <w:sz w:val="20"/>
          <w:szCs w:val="20"/>
          <w:lang w:val="es-ES"/>
        </w:rPr>
        <w:t xml:space="preserve"> que no e</w:t>
      </w:r>
      <w:r w:rsidR="0073760B">
        <w:rPr>
          <w:rFonts w:ascii="Verdana" w:eastAsia="Times New Roman" w:hAnsi="Verdana" w:cs="Times New Roman"/>
          <w:sz w:val="20"/>
          <w:szCs w:val="20"/>
          <w:lang w:val="es-ES"/>
        </w:rPr>
        <w:t>ra</w:t>
      </w:r>
      <w:r w:rsidRPr="002E1C85">
        <w:rPr>
          <w:rFonts w:ascii="Verdana" w:eastAsia="Times New Roman" w:hAnsi="Verdana" w:cs="Times New Roman"/>
          <w:sz w:val="20"/>
          <w:szCs w:val="20"/>
          <w:lang w:val="es-ES"/>
        </w:rPr>
        <w:t xml:space="preserve"> necesario que la Corte se pronunci</w:t>
      </w:r>
      <w:r w:rsidR="0073760B">
        <w:rPr>
          <w:rFonts w:ascii="Verdana" w:eastAsia="Times New Roman" w:hAnsi="Verdana" w:cs="Times New Roman"/>
          <w:sz w:val="20"/>
          <w:szCs w:val="20"/>
          <w:lang w:val="es-ES"/>
        </w:rPr>
        <w:t>ara</w:t>
      </w:r>
      <w:r w:rsidRPr="002E1C85">
        <w:rPr>
          <w:rFonts w:ascii="Verdana" w:eastAsia="Times New Roman" w:hAnsi="Verdana" w:cs="Times New Roman"/>
          <w:sz w:val="20"/>
          <w:szCs w:val="20"/>
          <w:lang w:val="es-ES"/>
        </w:rPr>
        <w:t xml:space="preserve"> al respecto.</w:t>
      </w:r>
    </w:p>
    <w:p w14:paraId="64AA5DAA" w14:textId="65A9D2C8" w:rsidR="002E1C85" w:rsidRPr="00E67720" w:rsidRDefault="002E1C85" w:rsidP="00EC08E0">
      <w:pPr>
        <w:widowControl w:val="0"/>
        <w:numPr>
          <w:ilvl w:val="0"/>
          <w:numId w:val="4"/>
        </w:numPr>
        <w:tabs>
          <w:tab w:val="left" w:pos="567"/>
          <w:tab w:val="num" w:pos="12305"/>
        </w:tabs>
        <w:adjustRightInd w:val="0"/>
        <w:spacing w:before="120" w:after="120" w:line="240" w:lineRule="auto"/>
        <w:ind w:left="0" w:firstLine="0"/>
        <w:jc w:val="both"/>
        <w:textAlignment w:val="baseline"/>
        <w:rPr>
          <w:rFonts w:ascii="Verdana" w:eastAsia="Times New Roman" w:hAnsi="Verdana" w:cs="Times New Roman"/>
          <w:sz w:val="20"/>
          <w:szCs w:val="20"/>
          <w:lang w:val="es-ES"/>
        </w:rPr>
      </w:pPr>
      <w:r w:rsidRPr="002E1C85">
        <w:rPr>
          <w:rFonts w:ascii="Verdana" w:eastAsia="Times New Roman" w:hAnsi="Verdana" w:cs="Times New Roman"/>
          <w:sz w:val="20"/>
          <w:szCs w:val="20"/>
          <w:lang w:val="es-ES"/>
        </w:rPr>
        <w:t>Asimismo, reconoció que:</w:t>
      </w:r>
    </w:p>
    <w:p w14:paraId="64AA5DAC" w14:textId="7B781AC6" w:rsidR="002E1C85" w:rsidRPr="00EC08E0" w:rsidRDefault="002E1C85" w:rsidP="00EC08E0">
      <w:pPr>
        <w:widowControl w:val="0"/>
        <w:tabs>
          <w:tab w:val="left" w:pos="567"/>
        </w:tabs>
        <w:adjustRightInd w:val="0"/>
        <w:spacing w:before="120" w:after="120" w:line="240" w:lineRule="auto"/>
        <w:ind w:left="567"/>
        <w:jc w:val="both"/>
        <w:textAlignment w:val="baseline"/>
        <w:rPr>
          <w:rFonts w:ascii="Verdana" w:eastAsia="Times New Roman" w:hAnsi="Verdana" w:cs="Times New Roman"/>
          <w:sz w:val="18"/>
          <w:szCs w:val="20"/>
          <w:lang w:val="es-ES"/>
        </w:rPr>
      </w:pPr>
      <w:r w:rsidRPr="00EC08E0">
        <w:rPr>
          <w:rFonts w:ascii="Verdana" w:eastAsia="Times New Roman" w:hAnsi="Verdana" w:cs="Times New Roman"/>
          <w:sz w:val="18"/>
          <w:szCs w:val="20"/>
          <w:lang w:val="es-ES"/>
        </w:rPr>
        <w:t xml:space="preserve">“El Estado mexicano reconoce que las investigaciones en el presente caso fueron atraídas en cierto momento por la jurisdicción militar, con lo cual se contravinieron los artículos 8 y 25 de la Convención Americana </w:t>
      </w:r>
      <w:r w:rsidR="00E80D56">
        <w:rPr>
          <w:rFonts w:ascii="Verdana" w:eastAsia="Times New Roman" w:hAnsi="Verdana" w:cs="Times New Roman"/>
          <w:sz w:val="18"/>
          <w:szCs w:val="20"/>
          <w:lang w:val="es-ES"/>
        </w:rPr>
        <w:t>[…]</w:t>
      </w:r>
      <w:r w:rsidRPr="00EC08E0">
        <w:rPr>
          <w:rFonts w:ascii="Verdana" w:eastAsia="Times New Roman" w:hAnsi="Verdana" w:cs="Times New Roman"/>
          <w:sz w:val="18"/>
          <w:szCs w:val="20"/>
          <w:lang w:val="es-ES"/>
        </w:rPr>
        <w:t>, así como el artículo 2 del mismo instrumento, […] en razón de que la legislación de ese entonces permitía el conocimiento de los hechos por parte del fuero militar”</w:t>
      </w:r>
      <w:r w:rsidR="00E67720" w:rsidRPr="00C61AAA">
        <w:rPr>
          <w:rFonts w:ascii="Verdana" w:eastAsia="Times New Roman" w:hAnsi="Verdana" w:cs="Times New Roman"/>
          <w:sz w:val="18"/>
          <w:szCs w:val="20"/>
          <w:lang w:val="es-ES"/>
        </w:rPr>
        <w:t>.</w:t>
      </w:r>
    </w:p>
    <w:p w14:paraId="64AA5DAE" w14:textId="4F262C4A" w:rsidR="002E1C85" w:rsidRPr="00E67720" w:rsidRDefault="002E1C85" w:rsidP="00EC08E0">
      <w:pPr>
        <w:widowControl w:val="0"/>
        <w:numPr>
          <w:ilvl w:val="0"/>
          <w:numId w:val="4"/>
        </w:numPr>
        <w:tabs>
          <w:tab w:val="left" w:pos="567"/>
          <w:tab w:val="num" w:pos="12305"/>
        </w:tabs>
        <w:adjustRightInd w:val="0"/>
        <w:spacing w:before="120" w:after="120" w:line="240" w:lineRule="auto"/>
        <w:ind w:left="0" w:firstLine="0"/>
        <w:jc w:val="both"/>
        <w:textAlignment w:val="baseline"/>
        <w:rPr>
          <w:rFonts w:ascii="Verdana" w:eastAsia="Times New Roman" w:hAnsi="Verdana" w:cs="Times New Roman"/>
          <w:sz w:val="20"/>
          <w:szCs w:val="20"/>
          <w:lang w:val="es-ES"/>
        </w:rPr>
      </w:pPr>
      <w:r w:rsidRPr="002E1C85">
        <w:rPr>
          <w:rFonts w:ascii="Verdana" w:eastAsia="Times New Roman" w:hAnsi="Verdana" w:cs="Times New Roman"/>
          <w:sz w:val="20"/>
          <w:szCs w:val="20"/>
          <w:lang w:val="es-ES"/>
        </w:rPr>
        <w:t xml:space="preserve">Al respecto, </w:t>
      </w:r>
      <w:r w:rsidR="00E353BA">
        <w:rPr>
          <w:rFonts w:ascii="Verdana" w:eastAsia="Times New Roman" w:hAnsi="Verdana" w:cs="Times New Roman"/>
          <w:sz w:val="20"/>
          <w:szCs w:val="20"/>
          <w:lang w:val="es-ES"/>
        </w:rPr>
        <w:t xml:space="preserve">el Estado </w:t>
      </w:r>
      <w:r w:rsidRPr="002E1C85">
        <w:rPr>
          <w:rFonts w:ascii="Verdana" w:eastAsia="Times New Roman" w:hAnsi="Verdana" w:cs="Times New Roman"/>
          <w:sz w:val="20"/>
          <w:szCs w:val="20"/>
          <w:lang w:val="es-ES"/>
        </w:rPr>
        <w:t>destacó que con la reforma de 13 de junio de 2014 al Código de Justicia Militar, “hoy en día está garantizado que […] las denuncias de violaciones a derechos humanos cometidas por el personal de las fuerzas armadas sea</w:t>
      </w:r>
      <w:r w:rsidR="00E353BA">
        <w:rPr>
          <w:rFonts w:ascii="Verdana" w:eastAsia="Times New Roman" w:hAnsi="Verdana" w:cs="Times New Roman"/>
          <w:sz w:val="20"/>
          <w:szCs w:val="20"/>
          <w:lang w:val="es-ES"/>
        </w:rPr>
        <w:t>n</w:t>
      </w:r>
      <w:r w:rsidRPr="002E1C85">
        <w:rPr>
          <w:rFonts w:ascii="Verdana" w:eastAsia="Times New Roman" w:hAnsi="Verdana" w:cs="Times New Roman"/>
          <w:sz w:val="20"/>
          <w:szCs w:val="20"/>
          <w:lang w:val="es-ES"/>
        </w:rPr>
        <w:t xml:space="preserve"> investigadas en el fuero civil”. Por lo que, consideró “que no resulta necesario que la Corte se pronunci</w:t>
      </w:r>
      <w:r w:rsidR="004656ED">
        <w:rPr>
          <w:rFonts w:ascii="Verdana" w:eastAsia="Times New Roman" w:hAnsi="Verdana" w:cs="Times New Roman"/>
          <w:sz w:val="20"/>
          <w:szCs w:val="20"/>
          <w:lang w:val="es-ES"/>
        </w:rPr>
        <w:t>e</w:t>
      </w:r>
      <w:r w:rsidR="00E353BA" w:rsidRPr="00D57E6C">
        <w:rPr>
          <w:rFonts w:ascii="Verdana" w:eastAsia="Verdana" w:hAnsi="Verdana" w:cs="Verdana"/>
          <w:sz w:val="18"/>
          <w:szCs w:val="20"/>
          <w:lang w:val="es-ES" w:eastAsia="es-CR"/>
        </w:rPr>
        <w:t xml:space="preserve"> </w:t>
      </w:r>
      <w:r w:rsidRPr="002E1C85">
        <w:rPr>
          <w:rFonts w:ascii="Verdana" w:eastAsia="Times New Roman" w:hAnsi="Verdana" w:cs="Times New Roman"/>
          <w:sz w:val="20"/>
          <w:szCs w:val="20"/>
          <w:lang w:val="es-ES"/>
        </w:rPr>
        <w:t xml:space="preserve">sobre dicha incompatibilidad en el presente caso, al haberse ya subsanado por el Estado”. </w:t>
      </w:r>
    </w:p>
    <w:p w14:paraId="64AA5DB0" w14:textId="2B507FF4" w:rsidR="002E1C85" w:rsidRPr="00E67720" w:rsidRDefault="002E1C85" w:rsidP="00EC08E0">
      <w:pPr>
        <w:widowControl w:val="0"/>
        <w:numPr>
          <w:ilvl w:val="0"/>
          <w:numId w:val="4"/>
        </w:numPr>
        <w:tabs>
          <w:tab w:val="left" w:pos="567"/>
          <w:tab w:val="num" w:pos="12305"/>
        </w:tabs>
        <w:adjustRightInd w:val="0"/>
        <w:spacing w:before="120" w:after="120" w:line="240" w:lineRule="auto"/>
        <w:ind w:left="0" w:firstLine="0"/>
        <w:jc w:val="both"/>
        <w:textAlignment w:val="baseline"/>
        <w:rPr>
          <w:rFonts w:ascii="Verdana" w:eastAsia="Times New Roman" w:hAnsi="Verdana" w:cs="Times New Roman"/>
          <w:sz w:val="20"/>
          <w:szCs w:val="20"/>
          <w:lang w:val="es-ES"/>
        </w:rPr>
      </w:pPr>
      <w:r w:rsidRPr="002E1C85">
        <w:rPr>
          <w:rFonts w:ascii="Verdana" w:eastAsia="Times New Roman" w:hAnsi="Verdana" w:cs="Times New Roman"/>
          <w:sz w:val="20"/>
          <w:szCs w:val="20"/>
          <w:lang w:val="es-ES"/>
        </w:rPr>
        <w:t xml:space="preserve">También, el Estado señaló no controvertir los siguientes hechos: i) que las presuntas víctimas desaparecidas hayan sido privadas de su libertad el 29 de diciembre de 2009 en el </w:t>
      </w:r>
      <w:r w:rsidRPr="002E1C85">
        <w:rPr>
          <w:rFonts w:ascii="Verdana" w:eastAsia="Times New Roman" w:hAnsi="Verdana" w:cs="Times New Roman"/>
          <w:sz w:val="20"/>
          <w:szCs w:val="20"/>
          <w:lang w:val="es-ES"/>
        </w:rPr>
        <w:lastRenderedPageBreak/>
        <w:t>Ejido Benito Juárez, Chihuahua, y que desde ese día no se tenga conocimiento de su suerte</w:t>
      </w:r>
      <w:r w:rsidR="00E353BA">
        <w:rPr>
          <w:rFonts w:ascii="Verdana" w:eastAsia="Times New Roman" w:hAnsi="Verdana" w:cs="Times New Roman"/>
          <w:sz w:val="20"/>
          <w:szCs w:val="20"/>
          <w:lang w:val="es-ES"/>
        </w:rPr>
        <w:t xml:space="preserve"> y/o paradero</w:t>
      </w:r>
      <w:r w:rsidRPr="002E1C85">
        <w:rPr>
          <w:rFonts w:ascii="Verdana" w:eastAsia="Times New Roman" w:hAnsi="Verdana" w:cs="Times New Roman"/>
          <w:sz w:val="20"/>
          <w:szCs w:val="20"/>
          <w:lang w:val="es-ES"/>
        </w:rPr>
        <w:t xml:space="preserve">; ii) que algunos familiares de las presuntas víctimas </w:t>
      </w:r>
      <w:r w:rsidR="00E353BA">
        <w:rPr>
          <w:rFonts w:ascii="Verdana" w:eastAsia="Times New Roman" w:hAnsi="Verdana" w:cs="Times New Roman"/>
          <w:sz w:val="20"/>
          <w:szCs w:val="20"/>
          <w:lang w:val="es-ES"/>
        </w:rPr>
        <w:t xml:space="preserve">desaparecidas </w:t>
      </w:r>
      <w:r w:rsidRPr="002E1C85">
        <w:rPr>
          <w:rFonts w:ascii="Verdana" w:eastAsia="Times New Roman" w:hAnsi="Verdana" w:cs="Times New Roman"/>
          <w:sz w:val="20"/>
          <w:szCs w:val="20"/>
          <w:lang w:val="es-ES"/>
        </w:rPr>
        <w:t xml:space="preserve">fuesen testigos presenciales de que el grupo que privó de </w:t>
      </w:r>
      <w:r w:rsidR="00AE4CF2">
        <w:rPr>
          <w:rFonts w:ascii="Verdana" w:eastAsia="Times New Roman" w:hAnsi="Verdana" w:cs="Times New Roman"/>
          <w:sz w:val="20"/>
          <w:szCs w:val="20"/>
          <w:lang w:val="es-ES"/>
        </w:rPr>
        <w:t xml:space="preserve">la </w:t>
      </w:r>
      <w:r w:rsidRPr="002E1C85">
        <w:rPr>
          <w:rFonts w:ascii="Verdana" w:eastAsia="Times New Roman" w:hAnsi="Verdana" w:cs="Times New Roman"/>
          <w:sz w:val="20"/>
          <w:szCs w:val="20"/>
          <w:lang w:val="es-ES"/>
        </w:rPr>
        <w:t>libertad a Nitza Paola, José Ángel y Rocío Irene Alvarado portara uniformes “con características de tipo militar”; iii) que José Ángel Alvarado Fabela y Jaime Alvarado Herrera y su</w:t>
      </w:r>
      <w:r w:rsidR="00AE4CF2">
        <w:rPr>
          <w:rFonts w:ascii="Verdana" w:eastAsia="Times New Roman" w:hAnsi="Verdana" w:cs="Times New Roman"/>
          <w:sz w:val="20"/>
          <w:szCs w:val="20"/>
          <w:lang w:val="es-ES"/>
        </w:rPr>
        <w:t>s</w:t>
      </w:r>
      <w:r w:rsidRPr="002E1C85">
        <w:rPr>
          <w:rFonts w:ascii="Verdana" w:eastAsia="Times New Roman" w:hAnsi="Verdana" w:cs="Times New Roman"/>
          <w:sz w:val="20"/>
          <w:szCs w:val="20"/>
          <w:lang w:val="es-ES"/>
        </w:rPr>
        <w:t xml:space="preserve"> núcleo</w:t>
      </w:r>
      <w:r w:rsidR="00AE4CF2">
        <w:rPr>
          <w:rFonts w:ascii="Verdana" w:eastAsia="Times New Roman" w:hAnsi="Verdana" w:cs="Times New Roman"/>
          <w:sz w:val="20"/>
          <w:szCs w:val="20"/>
          <w:lang w:val="es-ES"/>
        </w:rPr>
        <w:t>s</w:t>
      </w:r>
      <w:r w:rsidRPr="002E1C85">
        <w:rPr>
          <w:rFonts w:ascii="Verdana" w:eastAsia="Times New Roman" w:hAnsi="Verdana" w:cs="Times New Roman"/>
          <w:sz w:val="20"/>
          <w:szCs w:val="20"/>
          <w:lang w:val="es-ES"/>
        </w:rPr>
        <w:t xml:space="preserve"> familiar</w:t>
      </w:r>
      <w:r w:rsidR="00AE4CF2">
        <w:rPr>
          <w:rFonts w:ascii="Verdana" w:eastAsia="Times New Roman" w:hAnsi="Verdana" w:cs="Times New Roman"/>
          <w:sz w:val="20"/>
          <w:szCs w:val="20"/>
          <w:lang w:val="es-ES"/>
        </w:rPr>
        <w:t>es</w:t>
      </w:r>
      <w:r w:rsidRPr="002E1C85">
        <w:rPr>
          <w:rFonts w:ascii="Verdana" w:eastAsia="Times New Roman" w:hAnsi="Verdana" w:cs="Times New Roman"/>
          <w:sz w:val="20"/>
          <w:szCs w:val="20"/>
          <w:lang w:val="es-ES"/>
        </w:rPr>
        <w:t xml:space="preserve"> </w:t>
      </w:r>
      <w:r w:rsidR="00AE4CF2">
        <w:rPr>
          <w:rFonts w:ascii="Verdana" w:eastAsia="Times New Roman" w:hAnsi="Verdana" w:cs="Times New Roman"/>
          <w:sz w:val="20"/>
          <w:szCs w:val="20"/>
          <w:lang w:val="es-ES"/>
        </w:rPr>
        <w:t>fueron</w:t>
      </w:r>
      <w:r w:rsidRPr="002E1C85">
        <w:rPr>
          <w:rFonts w:ascii="Verdana" w:eastAsia="Times New Roman" w:hAnsi="Verdana" w:cs="Times New Roman"/>
          <w:sz w:val="20"/>
          <w:szCs w:val="20"/>
          <w:lang w:val="es-ES"/>
        </w:rPr>
        <w:t xml:space="preserve"> víctimas de determinadas amenazas y actos de hostigamiento; y iv) que “al momento de los hechos la normatividad en materia de amparo solicitaba la ratificación de la demanda”</w:t>
      </w:r>
      <w:r w:rsidR="00A425E7">
        <w:rPr>
          <w:rFonts w:ascii="Verdana" w:eastAsia="Times New Roman" w:hAnsi="Verdana" w:cs="Times New Roman"/>
          <w:sz w:val="20"/>
          <w:szCs w:val="20"/>
          <w:lang w:val="es-ES"/>
        </w:rPr>
        <w:t>.</w:t>
      </w:r>
      <w:r w:rsidRPr="002E1C85">
        <w:rPr>
          <w:rFonts w:ascii="Verdana" w:eastAsia="Times New Roman" w:hAnsi="Verdana" w:cs="Times New Roman"/>
          <w:sz w:val="20"/>
          <w:szCs w:val="20"/>
          <w:lang w:val="es-ES"/>
        </w:rPr>
        <w:t xml:space="preserve"> </w:t>
      </w:r>
    </w:p>
    <w:p w14:paraId="64AA5DB1" w14:textId="00C8B040" w:rsidR="002E1C85" w:rsidRPr="002E1C85" w:rsidRDefault="002E1C85" w:rsidP="00EC08E0">
      <w:pPr>
        <w:widowControl w:val="0"/>
        <w:numPr>
          <w:ilvl w:val="0"/>
          <w:numId w:val="4"/>
        </w:numPr>
        <w:tabs>
          <w:tab w:val="left" w:pos="567"/>
          <w:tab w:val="num" w:pos="12305"/>
        </w:tabs>
        <w:adjustRightInd w:val="0"/>
        <w:spacing w:before="120" w:after="120" w:line="240" w:lineRule="auto"/>
        <w:ind w:left="0" w:firstLine="0"/>
        <w:jc w:val="both"/>
        <w:textAlignment w:val="baseline"/>
        <w:rPr>
          <w:rFonts w:ascii="Verdana" w:eastAsia="Times New Roman" w:hAnsi="Verdana" w:cs="Times New Roman"/>
          <w:sz w:val="20"/>
          <w:szCs w:val="20"/>
          <w:lang w:val="es-ES"/>
        </w:rPr>
      </w:pPr>
      <w:r w:rsidRPr="002E1C85">
        <w:rPr>
          <w:rFonts w:ascii="Verdana" w:eastAsia="Times New Roman" w:hAnsi="Verdana" w:cs="Times New Roman"/>
          <w:sz w:val="20"/>
          <w:szCs w:val="20"/>
          <w:lang w:val="es-ES"/>
        </w:rPr>
        <w:t xml:space="preserve">La </w:t>
      </w:r>
      <w:r w:rsidRPr="002E1C85">
        <w:rPr>
          <w:rFonts w:ascii="Verdana" w:eastAsia="Times New Roman" w:hAnsi="Verdana" w:cs="Times New Roman"/>
          <w:b/>
          <w:i/>
          <w:sz w:val="20"/>
          <w:szCs w:val="20"/>
          <w:lang w:val="es-ES"/>
        </w:rPr>
        <w:t>Comisión</w:t>
      </w:r>
      <w:r w:rsidRPr="002E1C85">
        <w:rPr>
          <w:rFonts w:ascii="Verdana" w:eastAsia="Times New Roman" w:hAnsi="Verdana" w:cs="Times New Roman"/>
          <w:sz w:val="20"/>
          <w:szCs w:val="20"/>
          <w:lang w:val="es-ES"/>
        </w:rPr>
        <w:t xml:space="preserve"> valoró positivamente el reconocimiento de responsabilidad estatal respecto de la</w:t>
      </w:r>
      <w:r w:rsidR="00AE4CF2">
        <w:rPr>
          <w:rFonts w:ascii="Verdana" w:eastAsia="Times New Roman" w:hAnsi="Verdana" w:cs="Times New Roman"/>
          <w:sz w:val="20"/>
          <w:szCs w:val="20"/>
          <w:lang w:val="es-ES"/>
        </w:rPr>
        <w:t xml:space="preserve"> alegada</w:t>
      </w:r>
      <w:r w:rsidRPr="002E1C85">
        <w:rPr>
          <w:rFonts w:ascii="Verdana" w:eastAsia="Times New Roman" w:hAnsi="Verdana" w:cs="Times New Roman"/>
          <w:sz w:val="20"/>
          <w:szCs w:val="20"/>
          <w:lang w:val="es-ES"/>
        </w:rPr>
        <w:t xml:space="preserve"> falta de normativa en materia de desaparición forzada al momento de los hechos y observó que “ha cesado la controversia sobre la violación del artículo 2 de la Convención Americana alegada por los representantes”</w:t>
      </w:r>
      <w:r w:rsidRPr="00C61AAA">
        <w:rPr>
          <w:rFonts w:ascii="Verdana" w:eastAsia="Times New Roman" w:hAnsi="Verdana" w:cs="Times New Roman"/>
          <w:sz w:val="20"/>
          <w:szCs w:val="20"/>
          <w:lang w:val="es-ES"/>
        </w:rPr>
        <w:t>.</w:t>
      </w:r>
    </w:p>
    <w:p w14:paraId="64AA5DB4" w14:textId="20B07A2E" w:rsidR="002E1C85" w:rsidRPr="00E67720" w:rsidRDefault="002E1C85" w:rsidP="00EC08E0">
      <w:pPr>
        <w:widowControl w:val="0"/>
        <w:numPr>
          <w:ilvl w:val="0"/>
          <w:numId w:val="4"/>
        </w:numPr>
        <w:tabs>
          <w:tab w:val="left" w:pos="567"/>
          <w:tab w:val="num" w:pos="12305"/>
        </w:tabs>
        <w:adjustRightInd w:val="0"/>
        <w:spacing w:before="120" w:after="120" w:line="240" w:lineRule="auto"/>
        <w:ind w:left="0" w:firstLine="0"/>
        <w:jc w:val="both"/>
        <w:textAlignment w:val="baseline"/>
        <w:rPr>
          <w:rFonts w:ascii="Verdana" w:eastAsia="Times New Roman" w:hAnsi="Verdana" w:cs="Times New Roman"/>
          <w:sz w:val="20"/>
          <w:szCs w:val="20"/>
          <w:lang w:val="es-ES"/>
        </w:rPr>
      </w:pPr>
      <w:r w:rsidRPr="002E1C85">
        <w:rPr>
          <w:rFonts w:ascii="Verdana" w:eastAsia="Times New Roman" w:hAnsi="Verdana" w:cs="Times New Roman"/>
          <w:sz w:val="20"/>
          <w:szCs w:val="20"/>
          <w:lang w:val="es-ES"/>
        </w:rPr>
        <w:t xml:space="preserve">En cuanto a la declaración del Estado </w:t>
      </w:r>
      <w:r w:rsidR="00782636">
        <w:rPr>
          <w:rFonts w:ascii="Verdana" w:eastAsia="Times New Roman" w:hAnsi="Verdana" w:cs="Times New Roman"/>
          <w:sz w:val="20"/>
          <w:szCs w:val="20"/>
          <w:lang w:val="es-ES"/>
        </w:rPr>
        <w:t xml:space="preserve">respecto de </w:t>
      </w:r>
      <w:r w:rsidRPr="002E1C85">
        <w:rPr>
          <w:rFonts w:ascii="Verdana" w:eastAsia="Times New Roman" w:hAnsi="Verdana" w:cs="Times New Roman"/>
          <w:sz w:val="20"/>
          <w:szCs w:val="20"/>
          <w:lang w:val="es-ES"/>
        </w:rPr>
        <w:t xml:space="preserve">que la normativa actual </w:t>
      </w:r>
      <w:r w:rsidR="00A8450A">
        <w:rPr>
          <w:rFonts w:ascii="Verdana" w:eastAsia="Times New Roman" w:hAnsi="Verdana" w:cs="Times New Roman"/>
          <w:sz w:val="20"/>
          <w:szCs w:val="20"/>
          <w:lang w:val="es-ES"/>
        </w:rPr>
        <w:t>es compatibl</w:t>
      </w:r>
      <w:r w:rsidRPr="002E1C85">
        <w:rPr>
          <w:rFonts w:ascii="Verdana" w:eastAsia="Times New Roman" w:hAnsi="Verdana" w:cs="Times New Roman"/>
          <w:sz w:val="20"/>
          <w:szCs w:val="20"/>
          <w:lang w:val="es-ES"/>
        </w:rPr>
        <w:t>e con la Convención Americana, la Comisión presentó dos observaciones: a) respecto al “análisis de si la tipificación actual satisface los estándares interamericanos”</w:t>
      </w:r>
      <w:r w:rsidR="00EF4FE7">
        <w:rPr>
          <w:rFonts w:ascii="Verdana" w:eastAsia="Times New Roman" w:hAnsi="Verdana" w:cs="Times New Roman"/>
          <w:sz w:val="20"/>
          <w:szCs w:val="20"/>
          <w:lang w:val="es-ES"/>
        </w:rPr>
        <w:t>,</w:t>
      </w:r>
      <w:r w:rsidRPr="002E1C85">
        <w:rPr>
          <w:rFonts w:ascii="Verdana" w:eastAsia="Times New Roman" w:hAnsi="Verdana" w:cs="Times New Roman"/>
          <w:sz w:val="20"/>
          <w:szCs w:val="20"/>
          <w:lang w:val="es-ES"/>
        </w:rPr>
        <w:t xml:space="preserve"> señal</w:t>
      </w:r>
      <w:r w:rsidR="00E80D56">
        <w:rPr>
          <w:rFonts w:ascii="Verdana" w:eastAsia="Times New Roman" w:hAnsi="Verdana" w:cs="Times New Roman"/>
          <w:sz w:val="20"/>
          <w:szCs w:val="20"/>
          <w:lang w:val="es-ES"/>
        </w:rPr>
        <w:t>ó</w:t>
      </w:r>
      <w:r w:rsidRPr="002E1C85">
        <w:rPr>
          <w:rFonts w:ascii="Verdana" w:eastAsia="Times New Roman" w:hAnsi="Verdana" w:cs="Times New Roman"/>
          <w:sz w:val="20"/>
          <w:szCs w:val="20"/>
          <w:lang w:val="es-ES"/>
        </w:rPr>
        <w:t xml:space="preserve"> que éste no debería hacerse “en el marco del reconocimiento, pues se trata de una situación superviniente relevante en el análisis de fondo y reparaciones”; y b) que “la referencia del Estado en esta sección tiene un alcance más amplio que apunta a que México ya contaría con un marco normativo general adecuado para enfrentar la problemática de la desaparición forzada”, lo que consideró que tampoco debe ser analizado en el marco del reconocimiento de responsabilidad “pues se relaciona con el eventual pronunciamiento de la Corte sobre aspectos más generales que se mantienen en controversia, tanto en fondo como de reparaciones”. </w:t>
      </w:r>
    </w:p>
    <w:p w14:paraId="64AA5DB6" w14:textId="553B9B69" w:rsidR="002E1C85" w:rsidRPr="00E67720" w:rsidRDefault="002E1C85" w:rsidP="00EC08E0">
      <w:pPr>
        <w:widowControl w:val="0"/>
        <w:numPr>
          <w:ilvl w:val="0"/>
          <w:numId w:val="4"/>
        </w:numPr>
        <w:tabs>
          <w:tab w:val="left" w:pos="567"/>
          <w:tab w:val="num" w:pos="12305"/>
        </w:tabs>
        <w:adjustRightInd w:val="0"/>
        <w:spacing w:before="120" w:after="120" w:line="240" w:lineRule="auto"/>
        <w:ind w:left="0" w:firstLine="0"/>
        <w:jc w:val="both"/>
        <w:textAlignment w:val="baseline"/>
        <w:rPr>
          <w:rFonts w:ascii="Verdana" w:eastAsia="Times New Roman" w:hAnsi="Verdana" w:cs="Times New Roman"/>
          <w:sz w:val="20"/>
          <w:szCs w:val="20"/>
          <w:lang w:val="es-ES"/>
        </w:rPr>
      </w:pPr>
      <w:r w:rsidRPr="002E1C85">
        <w:rPr>
          <w:rFonts w:ascii="Verdana" w:eastAsia="Times New Roman" w:hAnsi="Verdana" w:cs="Times New Roman"/>
          <w:sz w:val="20"/>
          <w:szCs w:val="20"/>
          <w:lang w:val="es-ES"/>
        </w:rPr>
        <w:t>La Comisión también consideró que el marco normativo para enfrentar la problemática de la desaparición forzada, forma “parte de la controversia sobre las [garantías] de no repetición, [en el] contexto más amplio de desapariciones forzadas en el marco de la lucha contra el narcotráfico”; materia que fue identificada como uno de los aspectos de orden público interamericano que plantea este caso. La Comisión consideró “de la mayor relevancia que la Corte resguarde la posibilidad de analizar y pronunciarse en el presente caso sobre la convencionalidad o no de las medidas generales adoptadas por el aparato estatal -incluidas las legislativas- para enfrentar esta grave problemática”.</w:t>
      </w:r>
    </w:p>
    <w:p w14:paraId="64AA5DB8" w14:textId="2ECE9C69" w:rsidR="002E1C85" w:rsidRPr="00E67720" w:rsidRDefault="002E1C85" w:rsidP="00EC08E0">
      <w:pPr>
        <w:widowControl w:val="0"/>
        <w:numPr>
          <w:ilvl w:val="0"/>
          <w:numId w:val="4"/>
        </w:numPr>
        <w:tabs>
          <w:tab w:val="left" w:pos="567"/>
          <w:tab w:val="num" w:pos="12305"/>
        </w:tabs>
        <w:adjustRightInd w:val="0"/>
        <w:spacing w:before="120" w:after="120" w:line="240" w:lineRule="auto"/>
        <w:ind w:left="0" w:firstLine="0"/>
        <w:jc w:val="both"/>
        <w:textAlignment w:val="baseline"/>
        <w:rPr>
          <w:rFonts w:ascii="Verdana" w:eastAsia="Times New Roman" w:hAnsi="Verdana" w:cs="Times New Roman"/>
          <w:sz w:val="20"/>
          <w:szCs w:val="20"/>
          <w:lang w:val="es-ES"/>
        </w:rPr>
      </w:pPr>
      <w:r w:rsidRPr="002E1C85">
        <w:rPr>
          <w:rFonts w:ascii="Verdana" w:eastAsia="Times New Roman" w:hAnsi="Verdana" w:cs="Times New Roman"/>
          <w:sz w:val="20"/>
          <w:szCs w:val="20"/>
          <w:lang w:val="es-ES"/>
        </w:rPr>
        <w:t>En lo relativo al conocimiento del caso por la justicia penal militar, la Comisión también valoró positivamente el reconocimiento de responsabilidad, pero “[hizo] notar que la aplicación de la justicia militar es solamente una de las fuentes de responsabilidad del Estado por la falta de investigación adecuada de denuncias de desaparición, a través de autoridades competentes, independientes e imparciales”. Además, observó que el Estado no investigó los hechos del caso en cuestión con la debida diligencia, razón por la cual la Comisión consideró que “es de fundamental relevancia que la Corte efectúe un pronunciamiento completo sobre esta violación”. Finalmente, la Comisión enfatizó que persiste un componente inconvencional en las reformas al Código de Justicia Militar, lo que tendrá que analizar la Corte en la etapa de reparaciones,</w:t>
      </w:r>
      <w:r w:rsidR="00E80D56">
        <w:rPr>
          <w:rFonts w:ascii="Verdana" w:eastAsia="Times New Roman" w:hAnsi="Verdana" w:cs="Times New Roman"/>
          <w:sz w:val="20"/>
          <w:szCs w:val="20"/>
          <w:lang w:val="es-ES"/>
        </w:rPr>
        <w:t xml:space="preserve"> -c</w:t>
      </w:r>
      <w:r w:rsidRPr="002E1C85">
        <w:rPr>
          <w:rFonts w:ascii="Verdana" w:eastAsia="Times New Roman" w:hAnsi="Verdana" w:cs="Times New Roman"/>
          <w:sz w:val="20"/>
          <w:szCs w:val="20"/>
          <w:lang w:val="es-ES"/>
        </w:rPr>
        <w:t>oncretamente- dentro de las medidas de reparación.</w:t>
      </w:r>
    </w:p>
    <w:p w14:paraId="64AA5DBA" w14:textId="00BF991E" w:rsidR="002E1C85" w:rsidRPr="00E67720" w:rsidRDefault="002E1C85" w:rsidP="00EC08E0">
      <w:pPr>
        <w:widowControl w:val="0"/>
        <w:numPr>
          <w:ilvl w:val="0"/>
          <w:numId w:val="4"/>
        </w:numPr>
        <w:tabs>
          <w:tab w:val="left" w:pos="567"/>
          <w:tab w:val="num" w:pos="12305"/>
        </w:tabs>
        <w:adjustRightInd w:val="0"/>
        <w:spacing w:before="120" w:after="120" w:line="240" w:lineRule="auto"/>
        <w:ind w:left="0" w:firstLine="0"/>
        <w:jc w:val="both"/>
        <w:textAlignment w:val="baseline"/>
        <w:rPr>
          <w:rFonts w:ascii="Verdana" w:eastAsia="Times New Roman" w:hAnsi="Verdana" w:cs="Times New Roman"/>
          <w:sz w:val="20"/>
          <w:szCs w:val="20"/>
          <w:lang w:val="es-ES"/>
        </w:rPr>
      </w:pPr>
      <w:r w:rsidRPr="002E1C85">
        <w:rPr>
          <w:rFonts w:ascii="Verdana" w:eastAsia="Times New Roman" w:hAnsi="Verdana" w:cs="Times New Roman"/>
          <w:sz w:val="20"/>
          <w:szCs w:val="20"/>
          <w:lang w:val="es-ES"/>
        </w:rPr>
        <w:t>L</w:t>
      </w:r>
      <w:r w:rsidR="00667458">
        <w:rPr>
          <w:rFonts w:ascii="Verdana" w:eastAsia="Times New Roman" w:hAnsi="Verdana" w:cs="Times New Roman"/>
          <w:sz w:val="20"/>
          <w:szCs w:val="20"/>
          <w:lang w:val="es-ES"/>
        </w:rPr>
        <w:t>a</w:t>
      </w:r>
      <w:r w:rsidRPr="002E1C85">
        <w:rPr>
          <w:rFonts w:ascii="Verdana" w:eastAsia="Times New Roman" w:hAnsi="Verdana" w:cs="Times New Roman"/>
          <w:sz w:val="20"/>
          <w:szCs w:val="20"/>
          <w:lang w:val="es-ES"/>
        </w:rPr>
        <w:t xml:space="preserve">s </w:t>
      </w:r>
      <w:r w:rsidR="00C96C12">
        <w:rPr>
          <w:rFonts w:ascii="Verdana" w:eastAsia="Times New Roman" w:hAnsi="Verdana" w:cs="Times New Roman"/>
          <w:b/>
          <w:i/>
          <w:sz w:val="20"/>
          <w:szCs w:val="20"/>
          <w:lang w:val="es-ES"/>
        </w:rPr>
        <w:t>R</w:t>
      </w:r>
      <w:r w:rsidRPr="002E1C85">
        <w:rPr>
          <w:rFonts w:ascii="Verdana" w:eastAsia="Times New Roman" w:hAnsi="Verdana" w:cs="Times New Roman"/>
          <w:b/>
          <w:i/>
          <w:sz w:val="20"/>
          <w:szCs w:val="20"/>
          <w:lang w:val="es-ES"/>
        </w:rPr>
        <w:t>epresentantes</w:t>
      </w:r>
      <w:r w:rsidRPr="002E1C85">
        <w:rPr>
          <w:rFonts w:ascii="Verdana" w:eastAsia="Times New Roman" w:hAnsi="Verdana" w:cs="Times New Roman"/>
          <w:sz w:val="20"/>
          <w:szCs w:val="20"/>
          <w:lang w:val="es-ES"/>
        </w:rPr>
        <w:t xml:space="preserve"> señalaron que en lo concerniente a la normatividad en materia de desaparición forzada, coincid</w:t>
      </w:r>
      <w:r w:rsidR="00DE6427">
        <w:rPr>
          <w:rFonts w:ascii="Verdana" w:eastAsia="Times New Roman" w:hAnsi="Verdana" w:cs="Times New Roman"/>
          <w:sz w:val="20"/>
          <w:szCs w:val="20"/>
          <w:lang w:val="es-ES"/>
        </w:rPr>
        <w:t>ían</w:t>
      </w:r>
      <w:r w:rsidRPr="002E1C85">
        <w:rPr>
          <w:rFonts w:ascii="Verdana" w:eastAsia="Times New Roman" w:hAnsi="Verdana" w:cs="Times New Roman"/>
          <w:sz w:val="20"/>
          <w:szCs w:val="20"/>
          <w:lang w:val="es-ES"/>
        </w:rPr>
        <w:t xml:space="preserve"> con el Estado en el sentido de que México cuenta con un marco normativo general que se encuentra en proceso de implementación</w:t>
      </w:r>
      <w:r w:rsidRPr="002E1C85">
        <w:rPr>
          <w:rFonts w:ascii="Verdana" w:eastAsia="Times New Roman" w:hAnsi="Verdana" w:cs="Times New Roman"/>
          <w:sz w:val="20"/>
          <w:szCs w:val="20"/>
          <w:vertAlign w:val="superscript"/>
          <w:lang w:val="es-ES"/>
        </w:rPr>
        <w:footnoteReference w:id="27"/>
      </w:r>
      <w:r w:rsidRPr="002E1C85">
        <w:rPr>
          <w:rFonts w:ascii="Verdana" w:eastAsia="Times New Roman" w:hAnsi="Verdana" w:cs="Times New Roman"/>
          <w:sz w:val="20"/>
          <w:szCs w:val="20"/>
          <w:lang w:val="es-ES"/>
        </w:rPr>
        <w:t xml:space="preserve">; sin embargo, </w:t>
      </w:r>
      <w:r w:rsidR="00DE6427">
        <w:rPr>
          <w:rFonts w:ascii="Verdana" w:eastAsia="Times New Roman" w:hAnsi="Verdana" w:cs="Times New Roman"/>
          <w:sz w:val="20"/>
          <w:szCs w:val="20"/>
          <w:lang w:val="es-ES"/>
        </w:rPr>
        <w:t xml:space="preserve">manifestaron </w:t>
      </w:r>
      <w:r w:rsidRPr="002E1C85">
        <w:rPr>
          <w:rFonts w:ascii="Verdana" w:eastAsia="Times New Roman" w:hAnsi="Verdana" w:cs="Times New Roman"/>
          <w:sz w:val="20"/>
          <w:szCs w:val="20"/>
          <w:lang w:val="es-ES"/>
        </w:rPr>
        <w:t>est</w:t>
      </w:r>
      <w:r w:rsidR="00DE6427">
        <w:rPr>
          <w:rFonts w:ascii="Verdana" w:eastAsia="Times New Roman" w:hAnsi="Verdana" w:cs="Times New Roman"/>
          <w:sz w:val="20"/>
          <w:szCs w:val="20"/>
          <w:lang w:val="es-ES"/>
        </w:rPr>
        <w:t>ar</w:t>
      </w:r>
      <w:r w:rsidRPr="002E1C85">
        <w:rPr>
          <w:rFonts w:ascii="Verdana" w:eastAsia="Times New Roman" w:hAnsi="Verdana" w:cs="Times New Roman"/>
          <w:sz w:val="20"/>
          <w:szCs w:val="20"/>
          <w:lang w:val="es-ES"/>
        </w:rPr>
        <w:t xml:space="preserve"> en completa discordancia con la afirmación del Estado en cuanto a que la violación al artículo 2 de la Convención ya ha sido reparada, y que “no resulta necesario que la Corte Interamericana se pronunci</w:t>
      </w:r>
      <w:r w:rsidR="00DE6427">
        <w:rPr>
          <w:rFonts w:ascii="Verdana" w:eastAsia="Times New Roman" w:hAnsi="Verdana" w:cs="Times New Roman"/>
          <w:sz w:val="20"/>
          <w:szCs w:val="20"/>
          <w:lang w:val="es-ES"/>
        </w:rPr>
        <w:t>[ara]</w:t>
      </w:r>
      <w:r w:rsidRPr="002E1C85">
        <w:rPr>
          <w:rFonts w:ascii="Verdana" w:eastAsia="Times New Roman" w:hAnsi="Verdana" w:cs="Times New Roman"/>
          <w:sz w:val="20"/>
          <w:szCs w:val="20"/>
          <w:lang w:val="es-ES"/>
        </w:rPr>
        <w:t xml:space="preserve"> al respecto”. </w:t>
      </w:r>
    </w:p>
    <w:p w14:paraId="64AA5DBC" w14:textId="5A549ABD" w:rsidR="002E1C85" w:rsidRPr="007A3899" w:rsidRDefault="002E1C85" w:rsidP="007A3899">
      <w:pPr>
        <w:widowControl w:val="0"/>
        <w:numPr>
          <w:ilvl w:val="0"/>
          <w:numId w:val="4"/>
        </w:numPr>
        <w:tabs>
          <w:tab w:val="left" w:pos="567"/>
          <w:tab w:val="num" w:pos="12305"/>
        </w:tabs>
        <w:adjustRightInd w:val="0"/>
        <w:spacing w:before="120" w:after="120" w:line="240" w:lineRule="auto"/>
        <w:ind w:left="0" w:firstLine="0"/>
        <w:jc w:val="both"/>
        <w:textAlignment w:val="baseline"/>
        <w:rPr>
          <w:rFonts w:ascii="Verdana" w:eastAsia="Times New Roman" w:hAnsi="Verdana" w:cs="Times New Roman"/>
          <w:sz w:val="20"/>
          <w:szCs w:val="20"/>
          <w:lang w:val="es-ES"/>
        </w:rPr>
      </w:pPr>
      <w:r w:rsidRPr="007A3899">
        <w:rPr>
          <w:rFonts w:ascii="Verdana" w:eastAsia="Times New Roman" w:hAnsi="Verdana" w:cs="Times New Roman"/>
          <w:sz w:val="20"/>
          <w:szCs w:val="20"/>
          <w:lang w:val="es-ES"/>
        </w:rPr>
        <w:lastRenderedPageBreak/>
        <w:t>L</w:t>
      </w:r>
      <w:r w:rsidR="00667458" w:rsidRPr="007A3899">
        <w:rPr>
          <w:rFonts w:ascii="Verdana" w:eastAsia="Times New Roman" w:hAnsi="Verdana" w:cs="Times New Roman"/>
          <w:sz w:val="20"/>
          <w:szCs w:val="20"/>
          <w:lang w:val="es-ES"/>
        </w:rPr>
        <w:t>a</w:t>
      </w:r>
      <w:r w:rsidRPr="007A3899">
        <w:rPr>
          <w:rFonts w:ascii="Verdana" w:eastAsia="Times New Roman" w:hAnsi="Verdana" w:cs="Times New Roman"/>
          <w:sz w:val="20"/>
          <w:szCs w:val="20"/>
          <w:lang w:val="es-ES"/>
        </w:rPr>
        <w:t xml:space="preserve">s representantes tomaron como antecedente jurisprudencial el caso </w:t>
      </w:r>
      <w:r w:rsidRPr="007A3899">
        <w:rPr>
          <w:rFonts w:ascii="Verdana" w:eastAsia="Times New Roman" w:hAnsi="Verdana" w:cs="Times New Roman"/>
          <w:i/>
          <w:sz w:val="20"/>
          <w:szCs w:val="20"/>
          <w:lang w:val="es-ES"/>
        </w:rPr>
        <w:t>Radilla Pacheco</w:t>
      </w:r>
      <w:r w:rsidRPr="002E1C85">
        <w:rPr>
          <w:rFonts w:ascii="Verdana" w:eastAsia="Times New Roman" w:hAnsi="Verdana" w:cs="Times New Roman"/>
          <w:sz w:val="20"/>
          <w:szCs w:val="20"/>
          <w:vertAlign w:val="superscript"/>
          <w:lang w:val="es-ES"/>
        </w:rPr>
        <w:footnoteReference w:id="28"/>
      </w:r>
      <w:r w:rsidRPr="007A3899">
        <w:rPr>
          <w:rFonts w:ascii="Verdana" w:eastAsia="Times New Roman" w:hAnsi="Verdana" w:cs="Times New Roman"/>
          <w:sz w:val="20"/>
          <w:szCs w:val="20"/>
          <w:lang w:val="es-ES"/>
        </w:rPr>
        <w:t>, en el cual la Corte señaló que “la falta de tipificación adecuada del delito de desaparición forzada de personas, no sol</w:t>
      </w:r>
      <w:r w:rsidR="00242D94" w:rsidRPr="007A3899">
        <w:rPr>
          <w:rFonts w:ascii="Verdana" w:eastAsia="Times New Roman" w:hAnsi="Verdana" w:cs="Times New Roman"/>
          <w:sz w:val="20"/>
          <w:szCs w:val="20"/>
          <w:lang w:val="es-ES"/>
        </w:rPr>
        <w:t>o</w:t>
      </w:r>
      <w:r w:rsidRPr="007A3899">
        <w:rPr>
          <w:rFonts w:ascii="Verdana" w:eastAsia="Times New Roman" w:hAnsi="Verdana" w:cs="Times New Roman"/>
          <w:sz w:val="20"/>
          <w:szCs w:val="20"/>
          <w:lang w:val="es-ES"/>
        </w:rPr>
        <w:t xml:space="preserve"> v</w:t>
      </w:r>
      <w:r w:rsidR="00242D94" w:rsidRPr="007A3899">
        <w:rPr>
          <w:rFonts w:ascii="Verdana" w:eastAsia="Times New Roman" w:hAnsi="Verdana" w:cs="Times New Roman"/>
          <w:sz w:val="20"/>
          <w:szCs w:val="20"/>
          <w:lang w:val="es-ES"/>
        </w:rPr>
        <w:t>iola</w:t>
      </w:r>
      <w:r w:rsidRPr="007A3899">
        <w:rPr>
          <w:rFonts w:ascii="Verdana" w:eastAsia="Times New Roman" w:hAnsi="Verdana" w:cs="Times New Roman"/>
          <w:sz w:val="20"/>
          <w:szCs w:val="20"/>
          <w:lang w:val="es-ES"/>
        </w:rPr>
        <w:t xml:space="preserve"> el artículo 2 de la Convención</w:t>
      </w:r>
      <w:r w:rsidR="00237F3A">
        <w:rPr>
          <w:rFonts w:ascii="Verdana" w:eastAsia="Times New Roman" w:hAnsi="Verdana" w:cs="Times New Roman"/>
          <w:sz w:val="20"/>
          <w:szCs w:val="20"/>
          <w:lang w:val="es-ES"/>
        </w:rPr>
        <w:t xml:space="preserve"> </w:t>
      </w:r>
      <w:r w:rsidRPr="007A3899">
        <w:rPr>
          <w:rFonts w:ascii="Verdana" w:eastAsia="Times New Roman" w:hAnsi="Verdana" w:cs="Times New Roman"/>
          <w:sz w:val="20"/>
          <w:szCs w:val="20"/>
          <w:lang w:val="es-ES"/>
        </w:rPr>
        <w:t xml:space="preserve">[,] sino que </w:t>
      </w:r>
      <w:r w:rsidR="00242D94" w:rsidRPr="007A3899">
        <w:rPr>
          <w:rFonts w:ascii="Verdana" w:eastAsia="Times New Roman" w:hAnsi="Verdana" w:cs="Times New Roman"/>
          <w:sz w:val="20"/>
          <w:szCs w:val="20"/>
          <w:lang w:val="es-ES"/>
        </w:rPr>
        <w:t>es</w:t>
      </w:r>
      <w:r w:rsidRPr="00FF641A">
        <w:rPr>
          <w:rFonts w:ascii="Verdana" w:eastAsia="Times New Roman" w:hAnsi="Verdana" w:cs="Times New Roman"/>
          <w:sz w:val="20"/>
          <w:szCs w:val="20"/>
          <w:lang w:val="es-ES"/>
        </w:rPr>
        <w:t xml:space="preserve"> una </w:t>
      </w:r>
      <w:r w:rsidR="00205AF7" w:rsidRPr="008D0846">
        <w:rPr>
          <w:rFonts w:ascii="Verdana" w:eastAsia="Times New Roman" w:hAnsi="Verdana" w:cs="Times New Roman"/>
          <w:sz w:val="20"/>
          <w:szCs w:val="20"/>
          <w:lang w:val="es-ES"/>
        </w:rPr>
        <w:t>infra</w:t>
      </w:r>
      <w:r w:rsidRPr="007A3899">
        <w:rPr>
          <w:rFonts w:ascii="Verdana" w:eastAsia="Times New Roman" w:hAnsi="Verdana" w:cs="Times New Roman"/>
          <w:sz w:val="20"/>
          <w:szCs w:val="20"/>
          <w:lang w:val="es-ES"/>
        </w:rPr>
        <w:t>cción directa a los artículos l y lll de la Convención Interamericana sobre Desaparición Forzada de Personas”. Por lo anterior, solicitaron a la Corte que determin</w:t>
      </w:r>
      <w:r w:rsidR="00667458" w:rsidRPr="007A3899">
        <w:rPr>
          <w:rFonts w:ascii="Verdana" w:eastAsia="Times New Roman" w:hAnsi="Verdana" w:cs="Times New Roman"/>
          <w:sz w:val="20"/>
          <w:szCs w:val="20"/>
          <w:lang w:val="es-ES"/>
        </w:rPr>
        <w:t>ara</w:t>
      </w:r>
      <w:r w:rsidRPr="007A3899">
        <w:rPr>
          <w:rFonts w:ascii="Verdana" w:eastAsia="Times New Roman" w:hAnsi="Verdana" w:cs="Times New Roman"/>
          <w:sz w:val="20"/>
          <w:szCs w:val="20"/>
          <w:lang w:val="es-ES"/>
        </w:rPr>
        <w:t xml:space="preserve"> que, al no estar tipificado adecuadamente el delito de desaparición forzada de personas, el Estado “violó el artículo 2 de la Convención Americana </w:t>
      </w:r>
      <w:r w:rsidR="00E80D56">
        <w:rPr>
          <w:rFonts w:ascii="Verdana" w:eastAsia="Times New Roman" w:hAnsi="Verdana" w:cs="Times New Roman"/>
          <w:sz w:val="20"/>
          <w:szCs w:val="20"/>
          <w:lang w:val="es-ES"/>
        </w:rPr>
        <w:t>[…]</w:t>
      </w:r>
      <w:r w:rsidRPr="007A3899">
        <w:rPr>
          <w:rFonts w:ascii="Verdana" w:eastAsia="Times New Roman" w:hAnsi="Verdana" w:cs="Times New Roman"/>
          <w:sz w:val="20"/>
          <w:szCs w:val="20"/>
          <w:lang w:val="es-ES"/>
        </w:rPr>
        <w:t xml:space="preserve">, en relación con el 1.1 del mismo instrumento internacional y, adicionalmente, […] los artículos l y lll de la Convención Interamericana sobre Desaparición Forzada de Personas”. Consideraron que, si bien la aceptación de responsabilidad es un paso positivo en materia de derechos humanos, la Corte debe establecer que esa aceptación “no es válida ni aceptable para los fines del Sistema Interamericano en tanto contraviene jurisprudencia […] que este Tribunal ha establecido al incluir varias disposiciones de la Convención Interamericana sobre Desaparición Forzada de </w:t>
      </w:r>
      <w:r w:rsidR="00242D94" w:rsidRPr="007A3899">
        <w:rPr>
          <w:rFonts w:ascii="Verdana" w:eastAsia="Times New Roman" w:hAnsi="Verdana" w:cs="Times New Roman"/>
          <w:sz w:val="20"/>
          <w:szCs w:val="20"/>
          <w:lang w:val="es-ES"/>
        </w:rPr>
        <w:t>P</w:t>
      </w:r>
      <w:r w:rsidRPr="007A3899">
        <w:rPr>
          <w:rFonts w:ascii="Verdana" w:eastAsia="Times New Roman" w:hAnsi="Verdana" w:cs="Times New Roman"/>
          <w:sz w:val="20"/>
          <w:szCs w:val="20"/>
          <w:lang w:val="es-ES"/>
        </w:rPr>
        <w:t xml:space="preserve">ersonas”. </w:t>
      </w:r>
    </w:p>
    <w:p w14:paraId="64AA5DBE" w14:textId="1970AAC9" w:rsidR="002E1C85" w:rsidRPr="00E67720" w:rsidRDefault="002E1C85" w:rsidP="00EC08E0">
      <w:pPr>
        <w:widowControl w:val="0"/>
        <w:numPr>
          <w:ilvl w:val="0"/>
          <w:numId w:val="4"/>
        </w:numPr>
        <w:tabs>
          <w:tab w:val="left" w:pos="567"/>
          <w:tab w:val="num" w:pos="12305"/>
        </w:tabs>
        <w:adjustRightInd w:val="0"/>
        <w:spacing w:before="120" w:after="120" w:line="240" w:lineRule="auto"/>
        <w:ind w:left="0" w:firstLine="0"/>
        <w:jc w:val="both"/>
        <w:textAlignment w:val="baseline"/>
        <w:rPr>
          <w:rFonts w:ascii="Verdana" w:eastAsia="Times New Roman" w:hAnsi="Verdana" w:cs="Times New Roman"/>
          <w:sz w:val="20"/>
          <w:szCs w:val="20"/>
          <w:lang w:val="es-ES"/>
        </w:rPr>
      </w:pPr>
      <w:r w:rsidRPr="002E1C85">
        <w:rPr>
          <w:rFonts w:ascii="Verdana" w:eastAsia="Times New Roman" w:hAnsi="Verdana" w:cs="Times New Roman"/>
          <w:sz w:val="20"/>
          <w:szCs w:val="20"/>
          <w:lang w:val="es-ES"/>
        </w:rPr>
        <w:t>En relación con la incompatibilidad de las investigaciones en el fuero militar con varias disposiciones de la Convención Americana, l</w:t>
      </w:r>
      <w:r w:rsidR="0020483A">
        <w:rPr>
          <w:rFonts w:ascii="Verdana" w:eastAsia="Times New Roman" w:hAnsi="Verdana" w:cs="Times New Roman"/>
          <w:sz w:val="20"/>
          <w:szCs w:val="20"/>
          <w:lang w:val="es-ES"/>
        </w:rPr>
        <w:t>a</w:t>
      </w:r>
      <w:r w:rsidRPr="002E1C85">
        <w:rPr>
          <w:rFonts w:ascii="Verdana" w:eastAsia="Times New Roman" w:hAnsi="Verdana" w:cs="Times New Roman"/>
          <w:sz w:val="20"/>
          <w:szCs w:val="20"/>
          <w:lang w:val="es-ES"/>
        </w:rPr>
        <w:t xml:space="preserve">s representantes “considera[ron] innecesario hacer una amplia argumentación sobre lo vertido por el Estado”; </w:t>
      </w:r>
      <w:r w:rsidR="00286809">
        <w:rPr>
          <w:rFonts w:ascii="Verdana" w:eastAsia="Times New Roman" w:hAnsi="Verdana" w:cs="Times New Roman"/>
          <w:sz w:val="20"/>
          <w:szCs w:val="20"/>
          <w:lang w:val="es-ES"/>
        </w:rPr>
        <w:t>basta</w:t>
      </w:r>
      <w:r w:rsidRPr="002E1C85">
        <w:rPr>
          <w:rFonts w:ascii="Verdana" w:eastAsia="Times New Roman" w:hAnsi="Verdana" w:cs="Times New Roman"/>
          <w:sz w:val="20"/>
          <w:szCs w:val="20"/>
          <w:lang w:val="es-ES"/>
        </w:rPr>
        <w:t xml:space="preserve"> con señalar que la Corte ha establecido que la reforma mencionada, no es suficiente para cumplir con sus obligaciones internacionales en la materia; por lo cual, solicitaron a este Tribunal que no se acepte el reconocimiento de responsabilidad estatal “en tanto que ello sigue siendo una violación a los artículos 8, 25 y 2 de la Convención Americana en relación con el 1.1 del mismo instrumento” pues consideraron que a la fecha las modificaciones normativas no han sido suficientes, tal y como señaló esta Corte en la Resolución de Supervisión de </w:t>
      </w:r>
      <w:r w:rsidR="0020483A">
        <w:rPr>
          <w:rFonts w:ascii="Verdana" w:eastAsia="Times New Roman" w:hAnsi="Verdana" w:cs="Times New Roman"/>
          <w:sz w:val="20"/>
          <w:szCs w:val="20"/>
          <w:lang w:val="es-ES"/>
        </w:rPr>
        <w:t>C</w:t>
      </w:r>
      <w:r w:rsidRPr="002E1C85">
        <w:rPr>
          <w:rFonts w:ascii="Verdana" w:eastAsia="Times New Roman" w:hAnsi="Verdana" w:cs="Times New Roman"/>
          <w:sz w:val="20"/>
          <w:szCs w:val="20"/>
          <w:lang w:val="es-ES"/>
        </w:rPr>
        <w:t xml:space="preserve">umplimiento de los </w:t>
      </w:r>
      <w:r w:rsidR="0020483A">
        <w:rPr>
          <w:rFonts w:ascii="Verdana" w:eastAsia="Times New Roman" w:hAnsi="Verdana" w:cs="Times New Roman"/>
          <w:sz w:val="20"/>
          <w:szCs w:val="20"/>
          <w:lang w:val="es-ES"/>
        </w:rPr>
        <w:t>c</w:t>
      </w:r>
      <w:r w:rsidRPr="002E1C85">
        <w:rPr>
          <w:rFonts w:ascii="Verdana" w:eastAsia="Times New Roman" w:hAnsi="Verdana" w:cs="Times New Roman"/>
          <w:sz w:val="20"/>
          <w:szCs w:val="20"/>
          <w:lang w:val="es-ES"/>
        </w:rPr>
        <w:t xml:space="preserve">asos </w:t>
      </w:r>
      <w:r w:rsidRPr="002E1C85">
        <w:rPr>
          <w:rFonts w:ascii="Verdana" w:eastAsia="Times New Roman" w:hAnsi="Verdana" w:cs="Times New Roman"/>
          <w:i/>
          <w:sz w:val="20"/>
          <w:szCs w:val="20"/>
          <w:lang w:val="es-ES"/>
        </w:rPr>
        <w:t>Radilla Pacheco, Fernández Ortega y Otros</w:t>
      </w:r>
      <w:r w:rsidRPr="002E1C85">
        <w:rPr>
          <w:rFonts w:ascii="Verdana" w:eastAsia="Times New Roman" w:hAnsi="Verdana" w:cs="Times New Roman"/>
          <w:sz w:val="20"/>
          <w:szCs w:val="20"/>
          <w:lang w:val="es-ES"/>
        </w:rPr>
        <w:t xml:space="preserve">, y </w:t>
      </w:r>
      <w:r w:rsidRPr="002E1C85">
        <w:rPr>
          <w:rFonts w:ascii="Verdana" w:eastAsia="Times New Roman" w:hAnsi="Verdana" w:cs="Times New Roman"/>
          <w:i/>
          <w:sz w:val="20"/>
          <w:szCs w:val="20"/>
          <w:lang w:val="es-ES"/>
        </w:rPr>
        <w:t>Rosendo Cantú y Otra</w:t>
      </w:r>
      <w:r w:rsidR="0020483A">
        <w:rPr>
          <w:rFonts w:ascii="Verdana" w:eastAsia="Times New Roman" w:hAnsi="Verdana" w:cs="Times New Roman"/>
          <w:i/>
          <w:sz w:val="20"/>
          <w:szCs w:val="20"/>
          <w:lang w:val="es-ES"/>
        </w:rPr>
        <w:t xml:space="preserve">, </w:t>
      </w:r>
      <w:r w:rsidR="0020483A" w:rsidRPr="008D0846">
        <w:rPr>
          <w:rFonts w:ascii="Verdana" w:eastAsia="Times New Roman" w:hAnsi="Verdana" w:cs="Times New Roman"/>
          <w:sz w:val="20"/>
          <w:szCs w:val="20"/>
          <w:lang w:val="es-ES"/>
        </w:rPr>
        <w:t>todos contra</w:t>
      </w:r>
      <w:r w:rsidRPr="002E1C85">
        <w:rPr>
          <w:rFonts w:ascii="Verdana" w:eastAsia="Times New Roman" w:hAnsi="Verdana" w:cs="Times New Roman"/>
          <w:i/>
          <w:sz w:val="20"/>
          <w:szCs w:val="20"/>
          <w:lang w:val="es-ES"/>
        </w:rPr>
        <w:t xml:space="preserve"> México</w:t>
      </w:r>
      <w:r w:rsidRPr="002E1C85">
        <w:rPr>
          <w:rFonts w:ascii="Verdana" w:eastAsia="Times New Roman" w:hAnsi="Verdana" w:cs="Times New Roman"/>
          <w:sz w:val="20"/>
          <w:szCs w:val="20"/>
          <w:lang w:val="es-ES"/>
        </w:rPr>
        <w:t xml:space="preserve">. </w:t>
      </w:r>
    </w:p>
    <w:p w14:paraId="64AA5DC0" w14:textId="17E5D435" w:rsidR="002E1C85" w:rsidRPr="00E67720" w:rsidRDefault="0020172F" w:rsidP="00EC08E0">
      <w:pPr>
        <w:pStyle w:val="Heading2"/>
        <w:spacing w:before="120" w:after="120"/>
        <w:ind w:left="993" w:hanging="426"/>
      </w:pPr>
      <w:bookmarkStart w:id="51" w:name="_Toc526774137"/>
      <w:bookmarkStart w:id="52" w:name="_Toc526777469"/>
      <w:bookmarkStart w:id="53" w:name="_Toc526783748"/>
      <w:r>
        <w:t xml:space="preserve"> </w:t>
      </w:r>
      <w:bookmarkStart w:id="54" w:name="_Toc532995316"/>
      <w:r w:rsidR="002E1C85" w:rsidRPr="002E1C85">
        <w:t>Consideraciones de la Corte</w:t>
      </w:r>
      <w:bookmarkEnd w:id="51"/>
      <w:bookmarkEnd w:id="52"/>
      <w:bookmarkEnd w:id="53"/>
      <w:bookmarkEnd w:id="54"/>
    </w:p>
    <w:p w14:paraId="64AA5DC2" w14:textId="54A03D7A" w:rsidR="002E1C85" w:rsidRPr="00E67720" w:rsidRDefault="002E1C85" w:rsidP="00EC08E0">
      <w:pPr>
        <w:widowControl w:val="0"/>
        <w:numPr>
          <w:ilvl w:val="0"/>
          <w:numId w:val="4"/>
        </w:numPr>
        <w:tabs>
          <w:tab w:val="left" w:pos="567"/>
          <w:tab w:val="num" w:pos="12305"/>
        </w:tabs>
        <w:adjustRightInd w:val="0"/>
        <w:spacing w:before="120" w:after="120" w:line="240" w:lineRule="auto"/>
        <w:ind w:left="0" w:firstLine="0"/>
        <w:jc w:val="both"/>
        <w:textAlignment w:val="baseline"/>
        <w:rPr>
          <w:rFonts w:ascii="Verdana" w:eastAsia="Times New Roman" w:hAnsi="Verdana" w:cs="Times New Roman"/>
          <w:sz w:val="20"/>
          <w:szCs w:val="20"/>
          <w:lang w:val="es-ES"/>
        </w:rPr>
      </w:pPr>
      <w:r w:rsidRPr="002E1C85">
        <w:rPr>
          <w:rFonts w:ascii="Verdana" w:eastAsia="Times New Roman" w:hAnsi="Verdana" w:cs="Times New Roman"/>
          <w:sz w:val="20"/>
          <w:szCs w:val="20"/>
          <w:lang w:val="es-ES"/>
        </w:rPr>
        <w:t>En este sentido, el Tribunal estima que el reconocimiento parcial de responsabilidad efectuado por el Estado constituye una contribución positiva al desarrollo de este proceso y a la vigencia de los principios que inspiran la Convención Americana</w:t>
      </w:r>
      <w:r w:rsidRPr="002E1C85">
        <w:rPr>
          <w:rFonts w:ascii="Verdana" w:eastAsia="Times New Roman" w:hAnsi="Verdana" w:cs="Times New Roman"/>
          <w:sz w:val="20"/>
          <w:szCs w:val="20"/>
          <w:vertAlign w:val="superscript"/>
          <w:lang w:val="es-ES"/>
        </w:rPr>
        <w:footnoteReference w:id="29"/>
      </w:r>
      <w:r w:rsidRPr="002E1C85">
        <w:rPr>
          <w:rFonts w:ascii="Verdana" w:eastAsia="Times New Roman" w:hAnsi="Verdana" w:cs="Times New Roman"/>
          <w:sz w:val="20"/>
          <w:szCs w:val="20"/>
          <w:lang w:val="es-ES"/>
        </w:rPr>
        <w:t>. Asimismo, la Corte considera, como en otros casos</w:t>
      </w:r>
      <w:r w:rsidRPr="002E1C85">
        <w:rPr>
          <w:rFonts w:ascii="Verdana" w:eastAsia="Times New Roman" w:hAnsi="Verdana" w:cs="Times New Roman"/>
          <w:sz w:val="20"/>
          <w:szCs w:val="20"/>
          <w:vertAlign w:val="superscript"/>
          <w:lang w:val="es-ES"/>
        </w:rPr>
        <w:footnoteReference w:id="30"/>
      </w:r>
      <w:r w:rsidRPr="002E1C85">
        <w:rPr>
          <w:rFonts w:ascii="Verdana" w:eastAsia="Times New Roman" w:hAnsi="Verdana" w:cs="Times New Roman"/>
          <w:sz w:val="20"/>
          <w:szCs w:val="20"/>
          <w:lang w:val="es-ES"/>
        </w:rPr>
        <w:t>, que tal reconocimiento produce efectos jurídicos en el presente caso.</w:t>
      </w:r>
    </w:p>
    <w:p w14:paraId="64AA5DC4" w14:textId="4F92F5A1" w:rsidR="002E1C85" w:rsidRPr="00E67720" w:rsidRDefault="002E1C85" w:rsidP="00EC08E0">
      <w:pPr>
        <w:widowControl w:val="0"/>
        <w:numPr>
          <w:ilvl w:val="0"/>
          <w:numId w:val="4"/>
        </w:numPr>
        <w:tabs>
          <w:tab w:val="left" w:pos="567"/>
          <w:tab w:val="num" w:pos="12305"/>
        </w:tabs>
        <w:adjustRightInd w:val="0"/>
        <w:spacing w:before="120" w:after="120" w:line="240" w:lineRule="auto"/>
        <w:ind w:left="0" w:firstLine="0"/>
        <w:jc w:val="both"/>
        <w:textAlignment w:val="baseline"/>
        <w:rPr>
          <w:rFonts w:ascii="Verdana" w:eastAsia="Times New Roman" w:hAnsi="Verdana" w:cs="Times New Roman"/>
          <w:sz w:val="20"/>
          <w:szCs w:val="20"/>
          <w:lang w:val="es-ES"/>
        </w:rPr>
      </w:pPr>
      <w:r w:rsidRPr="002E1C85">
        <w:rPr>
          <w:rFonts w:ascii="Verdana" w:eastAsia="Times New Roman" w:hAnsi="Verdana" w:cs="Times New Roman"/>
          <w:sz w:val="20"/>
          <w:szCs w:val="20"/>
          <w:lang w:val="es-ES"/>
        </w:rPr>
        <w:t>Sin perjuicio de lo anterior, de conformidad con los artículos 62</w:t>
      </w:r>
      <w:r w:rsidRPr="002E1C85">
        <w:rPr>
          <w:rFonts w:ascii="Verdana" w:eastAsia="Times New Roman" w:hAnsi="Verdana" w:cs="Times New Roman"/>
          <w:sz w:val="20"/>
          <w:szCs w:val="20"/>
          <w:vertAlign w:val="superscript"/>
          <w:lang w:val="es-ES"/>
        </w:rPr>
        <w:footnoteReference w:id="31"/>
      </w:r>
      <w:r w:rsidRPr="002E1C85">
        <w:rPr>
          <w:rFonts w:ascii="Verdana" w:eastAsia="Times New Roman" w:hAnsi="Verdana" w:cs="Times New Roman"/>
          <w:sz w:val="20"/>
          <w:szCs w:val="20"/>
          <w:vertAlign w:val="superscript"/>
          <w:lang w:val="es-ES"/>
        </w:rPr>
        <w:t xml:space="preserve"> </w:t>
      </w:r>
      <w:r w:rsidRPr="002E1C85">
        <w:rPr>
          <w:rFonts w:ascii="Verdana" w:eastAsia="Times New Roman" w:hAnsi="Verdana" w:cs="Times New Roman"/>
          <w:sz w:val="20"/>
          <w:szCs w:val="20"/>
          <w:lang w:val="es-ES"/>
        </w:rPr>
        <w:t>y 64</w:t>
      </w:r>
      <w:r w:rsidRPr="002E1C85">
        <w:rPr>
          <w:rFonts w:ascii="Verdana" w:eastAsia="Times New Roman" w:hAnsi="Verdana" w:cs="Times New Roman"/>
          <w:sz w:val="20"/>
          <w:szCs w:val="20"/>
          <w:vertAlign w:val="superscript"/>
          <w:lang w:val="es-ES"/>
        </w:rPr>
        <w:footnoteReference w:id="32"/>
      </w:r>
      <w:r w:rsidRPr="002E1C85">
        <w:rPr>
          <w:rFonts w:ascii="Verdana" w:eastAsia="Times New Roman" w:hAnsi="Verdana" w:cs="Times New Roman"/>
          <w:sz w:val="20"/>
          <w:szCs w:val="20"/>
          <w:lang w:val="es-ES"/>
        </w:rPr>
        <w:t xml:space="preserve"> del Reglamento</w:t>
      </w:r>
      <w:r w:rsidR="004E6186">
        <w:rPr>
          <w:rFonts w:ascii="Verdana" w:eastAsia="Times New Roman" w:hAnsi="Verdana" w:cs="Times New Roman"/>
          <w:sz w:val="20"/>
          <w:szCs w:val="20"/>
          <w:lang w:val="es-ES"/>
        </w:rPr>
        <w:t xml:space="preserve"> de la Corte Interamericana</w:t>
      </w:r>
      <w:r w:rsidR="00286809">
        <w:rPr>
          <w:rFonts w:ascii="Verdana" w:eastAsia="Times New Roman" w:hAnsi="Verdana" w:cs="Times New Roman"/>
          <w:sz w:val="20"/>
          <w:szCs w:val="20"/>
          <w:lang w:val="es-ES"/>
        </w:rPr>
        <w:t xml:space="preserve"> </w:t>
      </w:r>
      <w:r w:rsidR="004E6186">
        <w:rPr>
          <w:rFonts w:ascii="Verdana" w:eastAsia="Verdana" w:hAnsi="Verdana" w:cs="Verdana"/>
          <w:sz w:val="20"/>
          <w:szCs w:val="20"/>
          <w:lang w:val="es-ES" w:eastAsia="es-CR"/>
        </w:rPr>
        <w:t xml:space="preserve">(en lo sucesivo </w:t>
      </w:r>
      <w:r w:rsidR="004E6186">
        <w:rPr>
          <w:rFonts w:ascii="Verdana" w:hAnsi="Verdana"/>
          <w:sz w:val="20"/>
        </w:rPr>
        <w:t>“el Reglamento de la Corte”, “el Reglamento del Tribunal” o “el Reglamento”</w:t>
      </w:r>
      <w:r w:rsidR="004E6186" w:rsidRPr="002E1C85">
        <w:rPr>
          <w:rFonts w:ascii="Verdana" w:eastAsia="Verdana" w:hAnsi="Verdana" w:cs="Verdana"/>
          <w:sz w:val="20"/>
          <w:szCs w:val="20"/>
          <w:lang w:val="es-ES" w:eastAsia="es-CR"/>
        </w:rPr>
        <w:t>)</w:t>
      </w:r>
      <w:r w:rsidRPr="002E1C85">
        <w:rPr>
          <w:rFonts w:ascii="Verdana" w:eastAsia="Times New Roman" w:hAnsi="Verdana" w:cs="Times New Roman"/>
          <w:sz w:val="20"/>
          <w:szCs w:val="20"/>
          <w:lang w:val="es-ES"/>
        </w:rPr>
        <w:t xml:space="preserve">, así como en ejercicio de sus poderes de tutela judicial internacional de derechos humanos, cuestión de orden público internacional que trasciende la voluntad de las partes, incumbe al Tribunal velar porque los actos de allanamiento resulten aceptables para los fines que busca cumplir el </w:t>
      </w:r>
      <w:r w:rsidR="004E6186">
        <w:rPr>
          <w:rFonts w:ascii="Verdana" w:eastAsia="Times New Roman" w:hAnsi="Verdana" w:cs="Times New Roman"/>
          <w:sz w:val="20"/>
          <w:szCs w:val="20"/>
          <w:lang w:val="es-ES"/>
        </w:rPr>
        <w:t>S</w:t>
      </w:r>
      <w:r w:rsidRPr="002E1C85">
        <w:rPr>
          <w:rFonts w:ascii="Verdana" w:eastAsia="Times New Roman" w:hAnsi="Verdana" w:cs="Times New Roman"/>
          <w:sz w:val="20"/>
          <w:szCs w:val="20"/>
          <w:lang w:val="es-ES"/>
        </w:rPr>
        <w:t xml:space="preserve">istema </w:t>
      </w:r>
      <w:r w:rsidR="004E6186">
        <w:rPr>
          <w:rFonts w:ascii="Verdana" w:eastAsia="Times New Roman" w:hAnsi="Verdana" w:cs="Times New Roman"/>
          <w:sz w:val="20"/>
          <w:szCs w:val="20"/>
          <w:lang w:val="es-ES"/>
        </w:rPr>
        <w:t>I</w:t>
      </w:r>
      <w:r w:rsidRPr="002E1C85">
        <w:rPr>
          <w:rFonts w:ascii="Verdana" w:eastAsia="Times New Roman" w:hAnsi="Verdana" w:cs="Times New Roman"/>
          <w:sz w:val="20"/>
          <w:szCs w:val="20"/>
          <w:lang w:val="es-ES"/>
        </w:rPr>
        <w:t xml:space="preserve">nteramericano. En esta tarea no se limita únicamente a tomar nota del reconocimiento efectuado por el Estado, o a verificar las condiciones formales de los mencionados actos, sino que los debe confrontar con la naturaleza y gravedad de las violaciones alegadas, las exigencias e interés de la justicia, las circunstancias </w:t>
      </w:r>
      <w:r w:rsidRPr="002E1C85">
        <w:rPr>
          <w:rFonts w:ascii="Verdana" w:eastAsia="Times New Roman" w:hAnsi="Verdana" w:cs="Times New Roman"/>
          <w:sz w:val="20"/>
          <w:szCs w:val="20"/>
          <w:lang w:val="es-ES"/>
        </w:rPr>
        <w:lastRenderedPageBreak/>
        <w:t>particulares del caso concreto y la actitud y posición de las partes</w:t>
      </w:r>
      <w:r w:rsidRPr="002E1C85">
        <w:rPr>
          <w:rFonts w:ascii="Verdana" w:eastAsia="Times New Roman" w:hAnsi="Verdana" w:cs="Times New Roman"/>
          <w:sz w:val="20"/>
          <w:szCs w:val="20"/>
          <w:vertAlign w:val="superscript"/>
          <w:lang w:val="es-ES"/>
        </w:rPr>
        <w:footnoteReference w:id="33"/>
      </w:r>
      <w:r w:rsidRPr="002E1C85">
        <w:rPr>
          <w:rFonts w:ascii="Verdana" w:eastAsia="Times New Roman" w:hAnsi="Verdana" w:cs="Times New Roman"/>
          <w:sz w:val="20"/>
          <w:szCs w:val="20"/>
          <w:lang w:val="es-ES"/>
        </w:rPr>
        <w:t>, de manera tal que pueda precisar, en cuanto sea posible y en el ejercicio de su competencia, la verdad de lo acontecido</w:t>
      </w:r>
      <w:r w:rsidRPr="002E1C85">
        <w:rPr>
          <w:rFonts w:ascii="Verdana" w:eastAsia="Times New Roman" w:hAnsi="Verdana" w:cs="Times New Roman"/>
          <w:sz w:val="20"/>
          <w:szCs w:val="20"/>
          <w:vertAlign w:val="superscript"/>
          <w:lang w:val="es-ES"/>
        </w:rPr>
        <w:footnoteReference w:id="34"/>
      </w:r>
      <w:r w:rsidRPr="002E1C85">
        <w:rPr>
          <w:rFonts w:ascii="Verdana" w:eastAsia="Times New Roman" w:hAnsi="Verdana" w:cs="Times New Roman"/>
          <w:sz w:val="20"/>
          <w:szCs w:val="20"/>
          <w:lang w:val="es-ES"/>
        </w:rPr>
        <w:t>. En tal sentido, el reconocimiento no puede tener por consecuencia limitar, directa o indirectamente, el ejercicio de las facultades de la Corte de conocer el caso que le ha sido sometido</w:t>
      </w:r>
      <w:r w:rsidRPr="002E1C85">
        <w:rPr>
          <w:rFonts w:ascii="Verdana" w:eastAsia="Times New Roman" w:hAnsi="Verdana" w:cs="Times New Roman"/>
          <w:sz w:val="20"/>
          <w:szCs w:val="20"/>
          <w:vertAlign w:val="superscript"/>
          <w:lang w:val="es-ES"/>
        </w:rPr>
        <w:footnoteReference w:id="35"/>
      </w:r>
      <w:r w:rsidRPr="002E1C85">
        <w:rPr>
          <w:rFonts w:ascii="Verdana" w:eastAsia="Times New Roman" w:hAnsi="Verdana" w:cs="Times New Roman"/>
          <w:sz w:val="20"/>
          <w:szCs w:val="20"/>
          <w:lang w:val="es-ES"/>
        </w:rPr>
        <w:t xml:space="preserve"> y decidir si, al respecto, hubo violación de un derecho o libertad protegidos en la Convención</w:t>
      </w:r>
      <w:r w:rsidRPr="002E1C85">
        <w:rPr>
          <w:rFonts w:ascii="Verdana" w:eastAsia="Times New Roman" w:hAnsi="Verdana" w:cs="Times New Roman"/>
          <w:sz w:val="20"/>
          <w:szCs w:val="20"/>
          <w:vertAlign w:val="superscript"/>
          <w:lang w:val="es-ES"/>
        </w:rPr>
        <w:footnoteReference w:id="36"/>
      </w:r>
      <w:r w:rsidRPr="002E1C85">
        <w:rPr>
          <w:rFonts w:ascii="Verdana" w:eastAsia="Times New Roman" w:hAnsi="Verdana" w:cs="Times New Roman"/>
          <w:sz w:val="20"/>
          <w:szCs w:val="20"/>
          <w:lang w:val="es-ES"/>
        </w:rPr>
        <w:t>. Para estos efectos, el Tribunal analiza la situación planteada en cada caso concreto</w:t>
      </w:r>
      <w:r w:rsidRPr="002E1C85">
        <w:rPr>
          <w:rFonts w:ascii="Verdana" w:eastAsia="Times New Roman" w:hAnsi="Verdana" w:cs="Times New Roman"/>
          <w:sz w:val="20"/>
          <w:szCs w:val="20"/>
          <w:vertAlign w:val="superscript"/>
          <w:lang w:val="es-ES"/>
        </w:rPr>
        <w:footnoteReference w:id="37"/>
      </w:r>
      <w:r w:rsidRPr="002E1C85">
        <w:rPr>
          <w:rFonts w:ascii="Verdana" w:eastAsia="Times New Roman" w:hAnsi="Verdana" w:cs="Times New Roman"/>
          <w:sz w:val="20"/>
          <w:szCs w:val="20"/>
          <w:lang w:val="es-ES"/>
        </w:rPr>
        <w:t>.</w:t>
      </w:r>
    </w:p>
    <w:p w14:paraId="64AA5DC6" w14:textId="244A4A27" w:rsidR="002E1C85" w:rsidRDefault="00E34BFF" w:rsidP="00660FDA">
      <w:pPr>
        <w:widowControl w:val="0"/>
        <w:numPr>
          <w:ilvl w:val="0"/>
          <w:numId w:val="7"/>
        </w:numPr>
        <w:tabs>
          <w:tab w:val="left" w:pos="567"/>
        </w:tabs>
        <w:autoSpaceDE w:val="0"/>
        <w:autoSpaceDN w:val="0"/>
        <w:adjustRightInd w:val="0"/>
        <w:spacing w:before="120" w:after="120" w:line="240" w:lineRule="auto"/>
        <w:ind w:left="1560" w:hanging="426"/>
        <w:jc w:val="both"/>
        <w:textAlignment w:val="baseline"/>
        <w:outlineLvl w:val="2"/>
        <w:rPr>
          <w:rFonts w:ascii="Verdana" w:eastAsia="Calibri" w:hAnsi="Verdana" w:cs="Times New Roman"/>
          <w:i/>
          <w:spacing w:val="-2"/>
          <w:sz w:val="20"/>
          <w:szCs w:val="20"/>
          <w:lang w:val="es-ES" w:eastAsia="x-none"/>
        </w:rPr>
      </w:pPr>
      <w:bookmarkStart w:id="55" w:name="_Toc513644446"/>
      <w:bookmarkStart w:id="56" w:name="_Toc526774138"/>
      <w:bookmarkStart w:id="57" w:name="_Toc526777470"/>
      <w:bookmarkStart w:id="58" w:name="_Toc526783749"/>
      <w:r>
        <w:rPr>
          <w:rFonts w:ascii="Verdana" w:eastAsia="Calibri" w:hAnsi="Verdana" w:cs="Times New Roman"/>
          <w:i/>
          <w:spacing w:val="-2"/>
          <w:sz w:val="20"/>
          <w:szCs w:val="20"/>
          <w:lang w:val="es-ES" w:eastAsia="x-none"/>
        </w:rPr>
        <w:t xml:space="preserve"> </w:t>
      </w:r>
      <w:bookmarkStart w:id="59" w:name="_Toc532995317"/>
      <w:r w:rsidR="002E1C85" w:rsidRPr="00EC08E0">
        <w:rPr>
          <w:rFonts w:ascii="Verdana" w:eastAsia="Calibri" w:hAnsi="Verdana" w:cs="Times New Roman"/>
          <w:i/>
          <w:spacing w:val="-2"/>
          <w:sz w:val="20"/>
          <w:szCs w:val="20"/>
          <w:lang w:val="es-ES" w:eastAsia="x-none"/>
        </w:rPr>
        <w:t>En cuanto a los hechos</w:t>
      </w:r>
      <w:bookmarkEnd w:id="55"/>
      <w:bookmarkEnd w:id="56"/>
      <w:bookmarkEnd w:id="57"/>
      <w:bookmarkEnd w:id="58"/>
      <w:bookmarkEnd w:id="59"/>
    </w:p>
    <w:p w14:paraId="64AA5DC8" w14:textId="229BCFA5" w:rsidR="002E1C85" w:rsidRPr="00E67720" w:rsidRDefault="002E1C85" w:rsidP="00EC08E0">
      <w:pPr>
        <w:widowControl w:val="0"/>
        <w:numPr>
          <w:ilvl w:val="0"/>
          <w:numId w:val="4"/>
        </w:numPr>
        <w:tabs>
          <w:tab w:val="left" w:pos="567"/>
          <w:tab w:val="num" w:pos="12305"/>
        </w:tabs>
        <w:adjustRightInd w:val="0"/>
        <w:spacing w:before="120" w:after="120" w:line="240" w:lineRule="auto"/>
        <w:ind w:left="0" w:firstLine="0"/>
        <w:jc w:val="both"/>
        <w:textAlignment w:val="baseline"/>
        <w:rPr>
          <w:rFonts w:ascii="Verdana" w:eastAsia="Times New Roman" w:hAnsi="Verdana" w:cs="Times New Roman"/>
          <w:sz w:val="20"/>
          <w:szCs w:val="20"/>
          <w:lang w:val="es-ES"/>
        </w:rPr>
      </w:pPr>
      <w:r w:rsidRPr="002E1C85">
        <w:rPr>
          <w:rFonts w:ascii="Verdana" w:eastAsia="Times New Roman" w:hAnsi="Verdana" w:cs="Times New Roman"/>
          <w:sz w:val="20"/>
          <w:szCs w:val="20"/>
          <w:lang w:val="es-ES"/>
        </w:rPr>
        <w:t>El Estado señaló no controvertir los siguientes hechos:</w:t>
      </w:r>
    </w:p>
    <w:p w14:paraId="64AA5DC9" w14:textId="53E60930" w:rsidR="002E1C85" w:rsidRPr="002E1C85" w:rsidRDefault="002D5ADA" w:rsidP="00EC08E0">
      <w:pPr>
        <w:widowControl w:val="0"/>
        <w:numPr>
          <w:ilvl w:val="0"/>
          <w:numId w:val="8"/>
        </w:numPr>
        <w:autoSpaceDE w:val="0"/>
        <w:autoSpaceDN w:val="0"/>
        <w:adjustRightInd w:val="0"/>
        <w:spacing w:before="120" w:after="120" w:line="240" w:lineRule="auto"/>
        <w:jc w:val="both"/>
        <w:textAlignment w:val="baseline"/>
        <w:rPr>
          <w:rFonts w:ascii="Verdana" w:eastAsia="SimSun" w:hAnsi="Verdana" w:cs="Arial"/>
          <w:color w:val="000000"/>
          <w:sz w:val="20"/>
          <w:szCs w:val="20"/>
          <w:lang w:eastAsia="es-CR"/>
        </w:rPr>
      </w:pPr>
      <w:r>
        <w:rPr>
          <w:rFonts w:ascii="Verdana" w:eastAsia="SimSun" w:hAnsi="Verdana" w:cs="Arial"/>
          <w:color w:val="000000"/>
          <w:sz w:val="20"/>
          <w:szCs w:val="20"/>
          <w:lang w:val="es-CR" w:eastAsia="es-CR"/>
        </w:rPr>
        <w:t>q</w:t>
      </w:r>
      <w:r w:rsidR="002E1C85" w:rsidRPr="002E1C85">
        <w:rPr>
          <w:rFonts w:ascii="Verdana" w:eastAsia="SimSun" w:hAnsi="Verdana" w:cs="Arial"/>
          <w:color w:val="000000"/>
          <w:sz w:val="20"/>
          <w:szCs w:val="20"/>
          <w:lang w:val="es-CR" w:eastAsia="es-CR"/>
        </w:rPr>
        <w:t>ue</w:t>
      </w:r>
      <w:r w:rsidR="002E1C85" w:rsidRPr="002E1C85">
        <w:rPr>
          <w:rFonts w:ascii="Verdana" w:eastAsia="SimSun" w:hAnsi="Verdana" w:cs="Arial"/>
          <w:color w:val="000000"/>
          <w:sz w:val="20"/>
          <w:szCs w:val="20"/>
          <w:lang w:eastAsia="es-CR"/>
        </w:rPr>
        <w:t xml:space="preserve"> las presuntas víctimas desaparecidas </w:t>
      </w:r>
      <w:r w:rsidR="00232DD6">
        <w:rPr>
          <w:rFonts w:ascii="Verdana" w:eastAsia="SimSun" w:hAnsi="Verdana" w:cs="Arial"/>
          <w:color w:val="000000"/>
          <w:sz w:val="20"/>
          <w:szCs w:val="20"/>
          <w:lang w:eastAsia="es-CR"/>
        </w:rPr>
        <w:t>fueron</w:t>
      </w:r>
      <w:r w:rsidR="002E1C85" w:rsidRPr="002E1C85">
        <w:rPr>
          <w:rFonts w:ascii="Verdana" w:eastAsia="SimSun" w:hAnsi="Verdana" w:cs="Arial"/>
          <w:color w:val="000000"/>
          <w:sz w:val="20"/>
          <w:szCs w:val="20"/>
          <w:lang w:eastAsia="es-CR"/>
        </w:rPr>
        <w:t xml:space="preserve"> privadas de su libertad el 29 de diciembre de 2009 en el Ejido Benito Juárez, Chihuahua, y que desde ese día no se tenga conocimiento de su suerte;</w:t>
      </w:r>
    </w:p>
    <w:p w14:paraId="64AA5DCA" w14:textId="79445EC2" w:rsidR="002E1C85" w:rsidRPr="002E1C85" w:rsidRDefault="00EF035F" w:rsidP="00EC08E0">
      <w:pPr>
        <w:widowControl w:val="0"/>
        <w:numPr>
          <w:ilvl w:val="0"/>
          <w:numId w:val="8"/>
        </w:numPr>
        <w:autoSpaceDE w:val="0"/>
        <w:autoSpaceDN w:val="0"/>
        <w:adjustRightInd w:val="0"/>
        <w:spacing w:before="120" w:after="120" w:line="240" w:lineRule="auto"/>
        <w:jc w:val="both"/>
        <w:textAlignment w:val="baseline"/>
        <w:rPr>
          <w:rFonts w:ascii="Verdana" w:eastAsia="SimSun" w:hAnsi="Verdana" w:cs="Arial"/>
          <w:color w:val="000000"/>
          <w:sz w:val="20"/>
          <w:szCs w:val="20"/>
          <w:lang w:val="es-CR" w:eastAsia="es-CR"/>
        </w:rPr>
      </w:pPr>
      <w:r>
        <w:rPr>
          <w:rFonts w:ascii="Verdana" w:eastAsia="SimSun" w:hAnsi="Verdana" w:cs="Arial"/>
          <w:color w:val="000000"/>
          <w:sz w:val="20"/>
          <w:szCs w:val="20"/>
          <w:lang w:val="es-CR" w:eastAsia="es-CR"/>
        </w:rPr>
        <w:t>q</w:t>
      </w:r>
      <w:r w:rsidR="002E1C85" w:rsidRPr="002E1C85">
        <w:rPr>
          <w:rFonts w:ascii="Verdana" w:eastAsia="SimSun" w:hAnsi="Verdana" w:cs="Arial"/>
          <w:color w:val="000000"/>
          <w:sz w:val="20"/>
          <w:szCs w:val="20"/>
          <w:lang w:val="es-CR" w:eastAsia="es-CR"/>
        </w:rPr>
        <w:t>ue algunos familiares de las presuntas víctimas fuesen testigos presenciales de que el grupo que privó de libertad a Nitza Paola, José Ángel y Rocío Irene Alvarado portara uniformes “con características de tipo militar”;</w:t>
      </w:r>
    </w:p>
    <w:p w14:paraId="64AA5DCB" w14:textId="3AFB5F43" w:rsidR="002E1C85" w:rsidRPr="002E1C85" w:rsidRDefault="00EF035F" w:rsidP="00EC08E0">
      <w:pPr>
        <w:widowControl w:val="0"/>
        <w:numPr>
          <w:ilvl w:val="0"/>
          <w:numId w:val="8"/>
        </w:numPr>
        <w:autoSpaceDE w:val="0"/>
        <w:autoSpaceDN w:val="0"/>
        <w:adjustRightInd w:val="0"/>
        <w:spacing w:before="120" w:after="120" w:line="240" w:lineRule="auto"/>
        <w:jc w:val="both"/>
        <w:textAlignment w:val="baseline"/>
        <w:rPr>
          <w:rFonts w:ascii="Verdana" w:eastAsia="SimSun" w:hAnsi="Verdana" w:cs="Arial"/>
          <w:color w:val="000000"/>
          <w:sz w:val="20"/>
          <w:szCs w:val="20"/>
          <w:lang w:val="es-CR" w:eastAsia="es-CR"/>
        </w:rPr>
      </w:pPr>
      <w:r>
        <w:rPr>
          <w:rFonts w:ascii="Verdana" w:eastAsia="SimSun" w:hAnsi="Verdana" w:cs="Arial"/>
          <w:color w:val="000000"/>
          <w:sz w:val="20"/>
          <w:szCs w:val="20"/>
          <w:lang w:eastAsia="es-CR"/>
        </w:rPr>
        <w:t>q</w:t>
      </w:r>
      <w:r w:rsidR="002E1C85" w:rsidRPr="002E1C85">
        <w:rPr>
          <w:rFonts w:ascii="Verdana" w:eastAsia="SimSun" w:hAnsi="Verdana" w:cs="Arial"/>
          <w:color w:val="000000"/>
          <w:sz w:val="20"/>
          <w:szCs w:val="20"/>
          <w:lang w:eastAsia="es-CR"/>
        </w:rPr>
        <w:t xml:space="preserve">ue José Ángel Alvarado Fabela y Jaime Alvarado Herrera y su núcleo familiar </w:t>
      </w:r>
      <w:r w:rsidR="00232DD6">
        <w:rPr>
          <w:rFonts w:ascii="Verdana" w:eastAsia="SimSun" w:hAnsi="Verdana" w:cs="Arial"/>
          <w:color w:val="000000"/>
          <w:sz w:val="20"/>
          <w:szCs w:val="20"/>
          <w:lang w:eastAsia="es-CR"/>
        </w:rPr>
        <w:t>fueron</w:t>
      </w:r>
      <w:r w:rsidR="002E1C85" w:rsidRPr="002E1C85">
        <w:rPr>
          <w:rFonts w:ascii="Verdana" w:eastAsia="SimSun" w:hAnsi="Verdana" w:cs="Arial"/>
          <w:color w:val="000000"/>
          <w:sz w:val="20"/>
          <w:szCs w:val="20"/>
          <w:lang w:eastAsia="es-CR"/>
        </w:rPr>
        <w:t xml:space="preserve"> víctimas de determinadas amenazas y actos de hostigamiento</w:t>
      </w:r>
      <w:r>
        <w:rPr>
          <w:rFonts w:ascii="Verdana" w:eastAsia="SimSun" w:hAnsi="Verdana" w:cs="Arial"/>
          <w:color w:val="000000"/>
          <w:sz w:val="20"/>
          <w:szCs w:val="20"/>
          <w:lang w:eastAsia="es-CR"/>
        </w:rPr>
        <w:t>,</w:t>
      </w:r>
      <w:r w:rsidR="002E1C85" w:rsidRPr="002E1C85">
        <w:rPr>
          <w:rFonts w:ascii="Verdana" w:eastAsia="SimSun" w:hAnsi="Verdana" w:cs="Arial"/>
          <w:color w:val="000000"/>
          <w:sz w:val="20"/>
          <w:szCs w:val="20"/>
          <w:lang w:eastAsia="es-CR"/>
        </w:rPr>
        <w:t xml:space="preserve"> y</w:t>
      </w:r>
    </w:p>
    <w:p w14:paraId="64AA5DCD" w14:textId="75320401" w:rsidR="002E1C85" w:rsidRPr="00EC08E0" w:rsidRDefault="00EF035F" w:rsidP="00EC08E0">
      <w:pPr>
        <w:widowControl w:val="0"/>
        <w:numPr>
          <w:ilvl w:val="0"/>
          <w:numId w:val="8"/>
        </w:numPr>
        <w:autoSpaceDE w:val="0"/>
        <w:autoSpaceDN w:val="0"/>
        <w:adjustRightInd w:val="0"/>
        <w:spacing w:before="120" w:after="120" w:line="240" w:lineRule="auto"/>
        <w:jc w:val="both"/>
        <w:textAlignment w:val="baseline"/>
        <w:rPr>
          <w:rFonts w:ascii="Verdana" w:eastAsia="SimSun" w:hAnsi="Verdana" w:cs="Arial"/>
          <w:color w:val="000000"/>
          <w:sz w:val="20"/>
          <w:szCs w:val="20"/>
          <w:lang w:val="es-CR" w:eastAsia="es-CR"/>
        </w:rPr>
      </w:pPr>
      <w:r>
        <w:rPr>
          <w:rFonts w:ascii="Verdana" w:eastAsia="SimSun" w:hAnsi="Verdana" w:cs="Arial"/>
          <w:color w:val="000000"/>
          <w:sz w:val="20"/>
          <w:szCs w:val="20"/>
          <w:lang w:val="es-CR" w:eastAsia="es-CR"/>
        </w:rPr>
        <w:t>q</w:t>
      </w:r>
      <w:r w:rsidR="002E1C85" w:rsidRPr="002E1C85">
        <w:rPr>
          <w:rFonts w:ascii="Verdana" w:eastAsia="SimSun" w:hAnsi="Verdana" w:cs="Arial"/>
          <w:color w:val="000000"/>
          <w:sz w:val="20"/>
          <w:szCs w:val="20"/>
          <w:lang w:val="es-CR" w:eastAsia="es-CR"/>
        </w:rPr>
        <w:t>ue “al momento de los hechos la normatividad en materia de amparo solicitaba la ratificación de la demanda de amparo”</w:t>
      </w:r>
      <w:r w:rsidR="002E1C85" w:rsidRPr="002E1C85">
        <w:rPr>
          <w:rFonts w:ascii="Verdana" w:eastAsia="MS Mincho" w:hAnsi="Verdana" w:cs="Times New Roman"/>
          <w:sz w:val="20"/>
          <w:szCs w:val="20"/>
          <w:lang w:val="es-EC"/>
        </w:rPr>
        <w:t>.</w:t>
      </w:r>
    </w:p>
    <w:p w14:paraId="64AA5DCF" w14:textId="58826B99" w:rsidR="002E1C85" w:rsidRPr="00E67720" w:rsidRDefault="002E1C85" w:rsidP="00EC08E0">
      <w:pPr>
        <w:widowControl w:val="0"/>
        <w:numPr>
          <w:ilvl w:val="0"/>
          <w:numId w:val="4"/>
        </w:numPr>
        <w:tabs>
          <w:tab w:val="left" w:pos="567"/>
          <w:tab w:val="num" w:pos="12305"/>
        </w:tabs>
        <w:adjustRightInd w:val="0"/>
        <w:spacing w:before="120" w:after="120" w:line="240" w:lineRule="auto"/>
        <w:ind w:left="0" w:firstLine="0"/>
        <w:jc w:val="both"/>
        <w:textAlignment w:val="baseline"/>
        <w:rPr>
          <w:rFonts w:ascii="Verdana" w:eastAsia="Times New Roman" w:hAnsi="Verdana" w:cs="Times New Roman"/>
          <w:sz w:val="20"/>
          <w:szCs w:val="20"/>
          <w:lang w:val="es-ES"/>
        </w:rPr>
      </w:pPr>
      <w:r w:rsidRPr="002E1C85">
        <w:rPr>
          <w:rFonts w:ascii="Verdana" w:eastAsia="Times New Roman" w:hAnsi="Verdana" w:cs="Times New Roman"/>
          <w:sz w:val="20"/>
          <w:szCs w:val="20"/>
          <w:lang w:val="es-ES"/>
        </w:rPr>
        <w:t>Asimismo, el Estado confirmó que actualmente ha</w:t>
      </w:r>
      <w:r w:rsidR="00286809">
        <w:rPr>
          <w:rFonts w:ascii="Verdana" w:eastAsia="Times New Roman" w:hAnsi="Verdana" w:cs="Times New Roman"/>
          <w:sz w:val="20"/>
          <w:szCs w:val="20"/>
          <w:lang w:val="es-ES"/>
        </w:rPr>
        <w:t>bía</w:t>
      </w:r>
      <w:r w:rsidRPr="002E1C85">
        <w:rPr>
          <w:rFonts w:ascii="Verdana" w:eastAsia="Times New Roman" w:hAnsi="Verdana" w:cs="Times New Roman"/>
          <w:sz w:val="20"/>
          <w:szCs w:val="20"/>
          <w:lang w:val="es-ES"/>
        </w:rPr>
        <w:t xml:space="preserve"> sido aprobada y promulgada la Ley </w:t>
      </w:r>
      <w:r w:rsidR="00232DD6">
        <w:rPr>
          <w:rFonts w:ascii="Verdana" w:eastAsia="Times New Roman" w:hAnsi="Verdana" w:cs="Times New Roman"/>
          <w:sz w:val="20"/>
          <w:szCs w:val="20"/>
          <w:lang w:val="es-ES"/>
        </w:rPr>
        <w:t>de</w:t>
      </w:r>
      <w:r w:rsidR="00232DD6" w:rsidRPr="002E1C85">
        <w:rPr>
          <w:rFonts w:ascii="Verdana" w:eastAsia="Times New Roman" w:hAnsi="Verdana" w:cs="Times New Roman"/>
          <w:sz w:val="20"/>
          <w:szCs w:val="20"/>
          <w:lang w:val="es-ES"/>
        </w:rPr>
        <w:t xml:space="preserve"> </w:t>
      </w:r>
      <w:r w:rsidRPr="002E1C85">
        <w:rPr>
          <w:rFonts w:ascii="Verdana" w:eastAsia="Times New Roman" w:hAnsi="Verdana" w:cs="Times New Roman"/>
          <w:sz w:val="20"/>
          <w:szCs w:val="20"/>
          <w:lang w:val="es-ES"/>
        </w:rPr>
        <w:t>Seguridad Interior.</w:t>
      </w:r>
    </w:p>
    <w:p w14:paraId="29580B48" w14:textId="677B8FBB" w:rsidR="00E33422" w:rsidRDefault="002E1C85" w:rsidP="00EC08E0">
      <w:pPr>
        <w:widowControl w:val="0"/>
        <w:numPr>
          <w:ilvl w:val="0"/>
          <w:numId w:val="4"/>
        </w:numPr>
        <w:tabs>
          <w:tab w:val="left" w:pos="567"/>
          <w:tab w:val="num" w:pos="12305"/>
        </w:tabs>
        <w:adjustRightInd w:val="0"/>
        <w:spacing w:before="120" w:after="120" w:line="240" w:lineRule="auto"/>
        <w:ind w:left="0" w:firstLine="0"/>
        <w:jc w:val="both"/>
        <w:textAlignment w:val="baseline"/>
        <w:rPr>
          <w:rFonts w:ascii="Verdana" w:eastAsia="Times New Roman" w:hAnsi="Verdana" w:cs="Times New Roman"/>
          <w:sz w:val="20"/>
          <w:szCs w:val="20"/>
          <w:lang w:val="es-ES"/>
        </w:rPr>
      </w:pPr>
      <w:r w:rsidRPr="002E1C85">
        <w:rPr>
          <w:rFonts w:ascii="Verdana" w:eastAsia="Times New Roman" w:hAnsi="Verdana" w:cs="Times New Roman"/>
          <w:sz w:val="20"/>
          <w:szCs w:val="20"/>
          <w:lang w:val="es-ES"/>
        </w:rPr>
        <w:t xml:space="preserve">Este </w:t>
      </w:r>
      <w:r w:rsidRPr="00E33422">
        <w:rPr>
          <w:rFonts w:ascii="Verdana" w:eastAsia="Times New Roman" w:hAnsi="Verdana" w:cs="Times New Roman"/>
          <w:sz w:val="20"/>
          <w:szCs w:val="20"/>
          <w:lang w:val="es-ES"/>
        </w:rPr>
        <w:t>Tribunal considera que ha cesado la controversia respecto de los anteriores hechos, dada la expresión del Estado y las manifestaciones de la Comisión y los representantes</w:t>
      </w:r>
      <w:r w:rsidR="00E33422" w:rsidRPr="003564A3">
        <w:rPr>
          <w:rFonts w:ascii="Verdana" w:eastAsia="Times New Roman" w:hAnsi="Verdana" w:cs="Times New Roman"/>
          <w:b/>
          <w:sz w:val="20"/>
          <w:szCs w:val="20"/>
          <w:lang w:val="es-ES"/>
        </w:rPr>
        <w:t>.</w:t>
      </w:r>
      <w:r w:rsidRPr="00E33422">
        <w:rPr>
          <w:rFonts w:ascii="Verdana" w:eastAsia="Times New Roman" w:hAnsi="Verdana" w:cs="Times New Roman"/>
          <w:sz w:val="20"/>
          <w:szCs w:val="20"/>
          <w:lang w:val="es-ES"/>
        </w:rPr>
        <w:t xml:space="preserve"> </w:t>
      </w:r>
    </w:p>
    <w:p w14:paraId="3DF05A28" w14:textId="46BA4477" w:rsidR="00EC08E0" w:rsidRPr="00EC08E0" w:rsidRDefault="00E33422" w:rsidP="005F54F6">
      <w:pPr>
        <w:widowControl w:val="0"/>
        <w:numPr>
          <w:ilvl w:val="0"/>
          <w:numId w:val="4"/>
        </w:numPr>
        <w:tabs>
          <w:tab w:val="left" w:pos="567"/>
          <w:tab w:val="num" w:pos="12305"/>
        </w:tabs>
        <w:adjustRightInd w:val="0"/>
        <w:spacing w:before="120" w:after="120" w:line="240" w:lineRule="auto"/>
        <w:ind w:left="0" w:firstLine="0"/>
        <w:jc w:val="both"/>
        <w:textAlignment w:val="baseline"/>
        <w:rPr>
          <w:rFonts w:ascii="Verdana" w:eastAsia="Times New Roman" w:hAnsi="Verdana" w:cs="Times New Roman"/>
          <w:sz w:val="20"/>
          <w:szCs w:val="20"/>
          <w:lang w:val="es-ES"/>
        </w:rPr>
      </w:pPr>
      <w:r w:rsidRPr="0012282C">
        <w:rPr>
          <w:rFonts w:ascii="Verdana" w:eastAsia="Times New Roman" w:hAnsi="Verdana" w:cs="Times New Roman"/>
          <w:sz w:val="20"/>
          <w:szCs w:val="20"/>
          <w:lang w:val="es-ES"/>
        </w:rPr>
        <w:t>S</w:t>
      </w:r>
      <w:r w:rsidR="002E1C85" w:rsidRPr="00E33422">
        <w:rPr>
          <w:rFonts w:ascii="Verdana" w:eastAsia="Times New Roman" w:hAnsi="Verdana" w:cs="Times New Roman"/>
          <w:sz w:val="20"/>
          <w:szCs w:val="20"/>
          <w:lang w:val="es-ES"/>
        </w:rPr>
        <w:t>in embargo,</w:t>
      </w:r>
      <w:r w:rsidR="002E1C85" w:rsidRPr="002E1C85">
        <w:rPr>
          <w:rFonts w:ascii="Verdana" w:eastAsia="Times New Roman" w:hAnsi="Verdana" w:cs="Times New Roman"/>
          <w:sz w:val="20"/>
          <w:szCs w:val="20"/>
          <w:lang w:val="es-ES"/>
        </w:rPr>
        <w:t xml:space="preserve"> nota que subsisten algunas controversias respecto de algunos hechos no reconocidos por el Estado, específicamente los hechos relacionados con el alegado contexto de desapariciones forzadas en México, la participación de elementos del ejército en la desaparición de las víctimas y las alegadas deficiencias en la investigación de los hechos</w:t>
      </w:r>
      <w:r w:rsidR="0032524E">
        <w:rPr>
          <w:rFonts w:ascii="Verdana" w:eastAsia="Times New Roman" w:hAnsi="Verdana" w:cs="Times New Roman"/>
          <w:sz w:val="20"/>
          <w:szCs w:val="20"/>
          <w:lang w:val="es-ES"/>
        </w:rPr>
        <w:t>, p</w:t>
      </w:r>
      <w:r w:rsidR="002E1C85" w:rsidRPr="002E1C85">
        <w:rPr>
          <w:rFonts w:ascii="Verdana" w:eastAsia="Times New Roman" w:hAnsi="Verdana" w:cs="Times New Roman"/>
          <w:sz w:val="20"/>
          <w:szCs w:val="20"/>
          <w:lang w:val="es-ES"/>
        </w:rPr>
        <w:t xml:space="preserve">or lo que la Corte considera oportuno realizar un análisis de los hechos controvertidos en el Capítulo </w:t>
      </w:r>
      <w:r w:rsidR="00232DD6">
        <w:rPr>
          <w:rFonts w:ascii="Verdana" w:eastAsia="Times New Roman" w:hAnsi="Verdana" w:cs="Times New Roman"/>
          <w:sz w:val="20"/>
          <w:szCs w:val="20"/>
          <w:lang w:val="es-ES"/>
        </w:rPr>
        <w:t>VI</w:t>
      </w:r>
      <w:r w:rsidR="002A632F">
        <w:rPr>
          <w:rFonts w:ascii="Verdana" w:eastAsia="Times New Roman" w:hAnsi="Verdana" w:cs="Times New Roman"/>
          <w:sz w:val="20"/>
          <w:szCs w:val="20"/>
          <w:lang w:val="es-ES"/>
        </w:rPr>
        <w:t xml:space="preserve"> de la presente Sentencia</w:t>
      </w:r>
      <w:r w:rsidR="002E1C85" w:rsidRPr="002E1C85">
        <w:rPr>
          <w:rFonts w:ascii="Verdana" w:eastAsia="Times New Roman" w:hAnsi="Verdana" w:cs="Times New Roman"/>
          <w:sz w:val="20"/>
          <w:szCs w:val="20"/>
          <w:lang w:val="es-ES"/>
        </w:rPr>
        <w:t>.</w:t>
      </w:r>
    </w:p>
    <w:p w14:paraId="64AA5DD3" w14:textId="7BEDCCE2" w:rsidR="002E1C85" w:rsidRDefault="00E34BFF" w:rsidP="00660FDA">
      <w:pPr>
        <w:widowControl w:val="0"/>
        <w:numPr>
          <w:ilvl w:val="0"/>
          <w:numId w:val="7"/>
        </w:numPr>
        <w:tabs>
          <w:tab w:val="left" w:pos="567"/>
        </w:tabs>
        <w:autoSpaceDE w:val="0"/>
        <w:autoSpaceDN w:val="0"/>
        <w:adjustRightInd w:val="0"/>
        <w:spacing w:before="120" w:after="120" w:line="240" w:lineRule="auto"/>
        <w:ind w:left="1560" w:hanging="426"/>
        <w:jc w:val="both"/>
        <w:textAlignment w:val="baseline"/>
        <w:outlineLvl w:val="2"/>
        <w:rPr>
          <w:rFonts w:ascii="Verdana" w:eastAsia="Calibri" w:hAnsi="Verdana" w:cs="Times New Roman"/>
          <w:i/>
          <w:spacing w:val="-2"/>
          <w:sz w:val="20"/>
          <w:szCs w:val="20"/>
          <w:lang w:val="es-ES" w:eastAsia="x-none"/>
        </w:rPr>
      </w:pPr>
      <w:bookmarkStart w:id="60" w:name="_Toc513644447"/>
      <w:bookmarkStart w:id="61" w:name="_Toc526774139"/>
      <w:bookmarkStart w:id="62" w:name="_Toc526777471"/>
      <w:bookmarkStart w:id="63" w:name="_Toc526783750"/>
      <w:r>
        <w:rPr>
          <w:rFonts w:ascii="Verdana" w:eastAsia="Calibri" w:hAnsi="Verdana" w:cs="Times New Roman"/>
          <w:i/>
          <w:spacing w:val="-2"/>
          <w:sz w:val="20"/>
          <w:szCs w:val="20"/>
          <w:lang w:val="es-ES" w:eastAsia="x-none"/>
        </w:rPr>
        <w:t xml:space="preserve"> </w:t>
      </w:r>
      <w:bookmarkStart w:id="64" w:name="_Toc532995318"/>
      <w:r w:rsidR="002E1C85" w:rsidRPr="00EC08E0">
        <w:rPr>
          <w:rFonts w:ascii="Verdana" w:eastAsia="Calibri" w:hAnsi="Verdana" w:cs="Times New Roman"/>
          <w:i/>
          <w:spacing w:val="-2"/>
          <w:sz w:val="20"/>
          <w:szCs w:val="20"/>
          <w:lang w:val="es-ES" w:eastAsia="x-none"/>
        </w:rPr>
        <w:t>En cuanto a las pretensiones de derecho</w:t>
      </w:r>
      <w:bookmarkEnd w:id="60"/>
      <w:bookmarkEnd w:id="61"/>
      <w:bookmarkEnd w:id="62"/>
      <w:bookmarkEnd w:id="63"/>
      <w:bookmarkEnd w:id="64"/>
    </w:p>
    <w:p w14:paraId="64AA5DD5" w14:textId="66D5AB76" w:rsidR="002E1C85" w:rsidRPr="00E67720" w:rsidRDefault="002E1C85" w:rsidP="00EC08E0">
      <w:pPr>
        <w:widowControl w:val="0"/>
        <w:numPr>
          <w:ilvl w:val="0"/>
          <w:numId w:val="4"/>
        </w:numPr>
        <w:tabs>
          <w:tab w:val="left" w:pos="567"/>
          <w:tab w:val="num" w:pos="12305"/>
        </w:tabs>
        <w:adjustRightInd w:val="0"/>
        <w:spacing w:before="120" w:after="120" w:line="240" w:lineRule="auto"/>
        <w:ind w:left="0" w:firstLine="0"/>
        <w:jc w:val="both"/>
        <w:textAlignment w:val="baseline"/>
        <w:rPr>
          <w:rFonts w:ascii="Verdana" w:eastAsia="Times New Roman" w:hAnsi="Verdana" w:cs="Times New Roman"/>
          <w:sz w:val="20"/>
          <w:szCs w:val="20"/>
          <w:lang w:val="es-ES"/>
        </w:rPr>
      </w:pPr>
      <w:r w:rsidRPr="002E1C85">
        <w:rPr>
          <w:rFonts w:ascii="Verdana" w:eastAsia="Times New Roman" w:hAnsi="Verdana" w:cs="Times New Roman"/>
          <w:sz w:val="20"/>
          <w:szCs w:val="20"/>
          <w:lang w:val="es-ES"/>
        </w:rPr>
        <w:t xml:space="preserve">La Corte constata que el Estado reconoció su responsabilidad internacional por la violación a los artículos 2, 8 y 25 de la Convención Americana, solamente en cuanto a la falta de legislación en materia de desapariciones forzadas al momento de los hechos y </w:t>
      </w:r>
      <w:r w:rsidR="00232DD6">
        <w:rPr>
          <w:rFonts w:ascii="Verdana" w:eastAsia="Times New Roman" w:hAnsi="Verdana" w:cs="Times New Roman"/>
          <w:sz w:val="20"/>
          <w:szCs w:val="20"/>
          <w:lang w:val="es-ES"/>
        </w:rPr>
        <w:t>el sometimiento al fuero militar de las investigaciones</w:t>
      </w:r>
      <w:r w:rsidRPr="002E1C85">
        <w:rPr>
          <w:rFonts w:ascii="Verdana" w:eastAsia="Times New Roman" w:hAnsi="Verdana" w:cs="Times New Roman"/>
          <w:sz w:val="20"/>
          <w:szCs w:val="20"/>
          <w:lang w:val="es-ES"/>
        </w:rPr>
        <w:t xml:space="preserve"> de los mismos durante un periodo</w:t>
      </w:r>
      <w:r w:rsidR="00826973">
        <w:rPr>
          <w:rFonts w:ascii="Verdana" w:eastAsia="Times New Roman" w:hAnsi="Verdana" w:cs="Times New Roman"/>
          <w:sz w:val="20"/>
          <w:szCs w:val="20"/>
          <w:lang w:val="es-ES"/>
        </w:rPr>
        <w:t xml:space="preserve"> de tiempo</w:t>
      </w:r>
      <w:r w:rsidRPr="002E1C85">
        <w:rPr>
          <w:rFonts w:ascii="Verdana" w:eastAsia="Times New Roman" w:hAnsi="Verdana" w:cs="Times New Roman"/>
          <w:sz w:val="20"/>
          <w:szCs w:val="20"/>
          <w:lang w:val="es-ES"/>
        </w:rPr>
        <w:t xml:space="preserve">, por así preverlo el marco normativo vigente en la época. En cuanto a la violación al artículo 2 de la Convención, el Estado consideró que ya ha reparado o subsanado la misma. En cuanto al conocimiento de los hechos por parte del fuero militar, el Estado afirmó que la incompatibilidad </w:t>
      </w:r>
      <w:r w:rsidRPr="002E1C85">
        <w:rPr>
          <w:rFonts w:ascii="Verdana" w:eastAsia="Times New Roman" w:hAnsi="Verdana" w:cs="Times New Roman"/>
          <w:sz w:val="20"/>
          <w:szCs w:val="20"/>
          <w:lang w:val="es-ES"/>
        </w:rPr>
        <w:lastRenderedPageBreak/>
        <w:t>que existía entre la legislación mexicana y los estándares internacionales ha sido atendida, por lo que no es necesario que este Tribunal se pronuncia al respecto.</w:t>
      </w:r>
    </w:p>
    <w:p w14:paraId="64AA5DD7" w14:textId="2E1FB006" w:rsidR="002E1C85" w:rsidRPr="00E67720" w:rsidRDefault="002E1C85" w:rsidP="00EC08E0">
      <w:pPr>
        <w:widowControl w:val="0"/>
        <w:numPr>
          <w:ilvl w:val="0"/>
          <w:numId w:val="4"/>
        </w:numPr>
        <w:tabs>
          <w:tab w:val="left" w:pos="567"/>
          <w:tab w:val="num" w:pos="12305"/>
        </w:tabs>
        <w:adjustRightInd w:val="0"/>
        <w:spacing w:before="120" w:after="120" w:line="240" w:lineRule="auto"/>
        <w:ind w:left="0" w:firstLine="0"/>
        <w:jc w:val="both"/>
        <w:textAlignment w:val="baseline"/>
        <w:rPr>
          <w:rFonts w:ascii="Verdana" w:eastAsia="Times New Roman" w:hAnsi="Verdana" w:cs="Times New Roman"/>
          <w:sz w:val="20"/>
          <w:szCs w:val="20"/>
          <w:lang w:val="es-ES"/>
        </w:rPr>
      </w:pPr>
      <w:r w:rsidRPr="002E1C85">
        <w:rPr>
          <w:rFonts w:ascii="Verdana" w:eastAsia="Times New Roman" w:hAnsi="Verdana" w:cs="Times New Roman"/>
          <w:sz w:val="20"/>
          <w:szCs w:val="20"/>
          <w:lang w:val="es-ES"/>
        </w:rPr>
        <w:t>Respecto de la in</w:t>
      </w:r>
      <w:r w:rsidR="005132AB">
        <w:rPr>
          <w:rFonts w:ascii="Verdana" w:eastAsia="Times New Roman" w:hAnsi="Verdana" w:cs="Times New Roman"/>
          <w:sz w:val="20"/>
          <w:szCs w:val="20"/>
          <w:lang w:val="es-ES"/>
        </w:rPr>
        <w:t>efectividad</w:t>
      </w:r>
      <w:r w:rsidRPr="002E1C85">
        <w:rPr>
          <w:rFonts w:ascii="Verdana" w:eastAsia="Times New Roman" w:hAnsi="Verdana" w:cs="Times New Roman"/>
          <w:sz w:val="20"/>
          <w:szCs w:val="20"/>
          <w:lang w:val="es-ES"/>
        </w:rPr>
        <w:t xml:space="preserve"> de la Ley de Amparo </w:t>
      </w:r>
      <w:r w:rsidR="005132AB">
        <w:rPr>
          <w:rFonts w:ascii="Verdana" w:eastAsia="Times New Roman" w:hAnsi="Verdana" w:cs="Times New Roman"/>
          <w:sz w:val="20"/>
          <w:szCs w:val="20"/>
          <w:lang w:val="es-ES"/>
        </w:rPr>
        <w:t xml:space="preserve">en cuanto a la desaparición forzada </w:t>
      </w:r>
      <w:r w:rsidRPr="002E1C85">
        <w:rPr>
          <w:rFonts w:ascii="Verdana" w:eastAsia="Times New Roman" w:hAnsi="Verdana" w:cs="Times New Roman"/>
          <w:sz w:val="20"/>
          <w:szCs w:val="20"/>
          <w:lang w:val="es-ES"/>
        </w:rPr>
        <w:t>al momento de los hechos, el Estado lo admitió pero refirió que con la nueva Ley de Amparo</w:t>
      </w:r>
      <w:r w:rsidRPr="002E1C85">
        <w:rPr>
          <w:rFonts w:ascii="Verdana" w:eastAsia="Calibri" w:hAnsi="Verdana" w:cs="Times New Roman"/>
          <w:sz w:val="20"/>
          <w:szCs w:val="20"/>
          <w:vertAlign w:val="superscript"/>
          <w:lang w:val="es-ES" w:eastAsia="es-ES"/>
        </w:rPr>
        <w:footnoteReference w:id="38"/>
      </w:r>
      <w:r w:rsidRPr="002E1C85">
        <w:rPr>
          <w:rFonts w:ascii="Verdana" w:eastAsia="Times New Roman" w:hAnsi="Verdana" w:cs="Times New Roman"/>
          <w:sz w:val="20"/>
          <w:szCs w:val="20"/>
          <w:lang w:val="es-ES"/>
        </w:rPr>
        <w:t xml:space="preserve"> “si se presenta una demanda de amparo indirecto contra actos de autoridad por desaparición de personas, en un primer momento se harán las diligencias necesarias para lograr la comparecencia de dichas personas […] [e]n caso de no lograrlo, se dará vista al Ministerio Público Federal para que investigue los hechos”, por lo que –a juicio del Estado-, éste “ha realizado los cambios necesarios en materia de amparo” que se relacionan con el supuesto de desaparición de personas.</w:t>
      </w:r>
    </w:p>
    <w:p w14:paraId="64AA5DD9" w14:textId="10B0AE13" w:rsidR="002E1C85" w:rsidRPr="00E67720" w:rsidRDefault="002E1C85" w:rsidP="00EC08E0">
      <w:pPr>
        <w:widowControl w:val="0"/>
        <w:numPr>
          <w:ilvl w:val="0"/>
          <w:numId w:val="4"/>
        </w:numPr>
        <w:tabs>
          <w:tab w:val="left" w:pos="567"/>
          <w:tab w:val="num" w:pos="12305"/>
        </w:tabs>
        <w:adjustRightInd w:val="0"/>
        <w:spacing w:before="120" w:after="120" w:line="240" w:lineRule="auto"/>
        <w:ind w:left="0" w:firstLine="0"/>
        <w:jc w:val="both"/>
        <w:textAlignment w:val="baseline"/>
        <w:rPr>
          <w:rFonts w:ascii="Verdana" w:eastAsia="Times New Roman" w:hAnsi="Verdana" w:cs="Times New Roman"/>
          <w:sz w:val="20"/>
          <w:szCs w:val="20"/>
          <w:lang w:val="es-ES"/>
        </w:rPr>
      </w:pPr>
      <w:r w:rsidRPr="002E1C85">
        <w:rPr>
          <w:rFonts w:ascii="Verdana" w:eastAsia="Times New Roman" w:hAnsi="Verdana" w:cs="Times New Roman"/>
          <w:sz w:val="20"/>
          <w:szCs w:val="20"/>
          <w:lang w:val="es-ES"/>
        </w:rPr>
        <w:t xml:space="preserve">Respecto de la Ley </w:t>
      </w:r>
      <w:r w:rsidR="005132AB">
        <w:rPr>
          <w:rFonts w:ascii="Verdana" w:eastAsia="Times New Roman" w:hAnsi="Verdana" w:cs="Times New Roman"/>
          <w:sz w:val="20"/>
          <w:szCs w:val="20"/>
          <w:lang w:val="es-ES"/>
        </w:rPr>
        <w:t>de</w:t>
      </w:r>
      <w:r w:rsidRPr="002E1C85">
        <w:rPr>
          <w:rFonts w:ascii="Verdana" w:eastAsia="Times New Roman" w:hAnsi="Verdana" w:cs="Times New Roman"/>
          <w:sz w:val="20"/>
          <w:szCs w:val="20"/>
          <w:lang w:val="es-ES"/>
        </w:rPr>
        <w:t xml:space="preserve"> Seguridad Interior, el Estado confirmó que actualmente </w:t>
      </w:r>
      <w:r w:rsidR="005132AB">
        <w:rPr>
          <w:rFonts w:ascii="Verdana" w:eastAsia="Times New Roman" w:hAnsi="Verdana" w:cs="Times New Roman"/>
          <w:sz w:val="20"/>
          <w:szCs w:val="20"/>
          <w:lang w:val="es-ES"/>
        </w:rPr>
        <w:t xml:space="preserve">dicha legislación </w:t>
      </w:r>
      <w:r w:rsidRPr="002E1C85">
        <w:rPr>
          <w:rFonts w:ascii="Verdana" w:eastAsia="Times New Roman" w:hAnsi="Verdana" w:cs="Times New Roman"/>
          <w:sz w:val="20"/>
          <w:szCs w:val="20"/>
          <w:lang w:val="es-ES"/>
        </w:rPr>
        <w:t>ha sido aprobada y promulgada; sin embargo, refi</w:t>
      </w:r>
      <w:r w:rsidR="00826973">
        <w:rPr>
          <w:rFonts w:ascii="Verdana" w:eastAsia="Times New Roman" w:hAnsi="Verdana" w:cs="Times New Roman"/>
          <w:sz w:val="20"/>
          <w:szCs w:val="20"/>
          <w:lang w:val="es-ES"/>
        </w:rPr>
        <w:t>rió</w:t>
      </w:r>
      <w:r w:rsidRPr="002E1C85">
        <w:rPr>
          <w:rFonts w:ascii="Verdana" w:eastAsia="Times New Roman" w:hAnsi="Verdana" w:cs="Times New Roman"/>
          <w:sz w:val="20"/>
          <w:szCs w:val="20"/>
          <w:lang w:val="es-ES"/>
        </w:rPr>
        <w:t xml:space="preserve"> que la Corte está imposibilitada para analizar su convencionalidad pues “</w:t>
      </w:r>
      <w:r w:rsidRPr="002E1C85">
        <w:rPr>
          <w:rFonts w:ascii="Verdana" w:eastAsiaTheme="minorHAnsi" w:hAnsi="Verdana" w:cs="Times New Roman"/>
          <w:sz w:val="20"/>
          <w:szCs w:val="20"/>
        </w:rPr>
        <w:t>no se encontraba vigente al momento de los hechos y no fue aplicado a los mismos”.</w:t>
      </w:r>
    </w:p>
    <w:p w14:paraId="4D95B568" w14:textId="4A95C4B8" w:rsidR="00EC08E0" w:rsidRDefault="002E1C85" w:rsidP="00EC08E0">
      <w:pPr>
        <w:widowControl w:val="0"/>
        <w:numPr>
          <w:ilvl w:val="0"/>
          <w:numId w:val="4"/>
        </w:numPr>
        <w:tabs>
          <w:tab w:val="left" w:pos="567"/>
          <w:tab w:val="num" w:pos="12305"/>
        </w:tabs>
        <w:adjustRightInd w:val="0"/>
        <w:spacing w:before="120" w:after="120" w:line="240" w:lineRule="auto"/>
        <w:ind w:left="0" w:firstLine="0"/>
        <w:jc w:val="both"/>
        <w:textAlignment w:val="baseline"/>
        <w:rPr>
          <w:rFonts w:ascii="Verdana" w:eastAsia="Times New Roman" w:hAnsi="Verdana" w:cs="Times New Roman"/>
          <w:sz w:val="20"/>
          <w:szCs w:val="20"/>
          <w:lang w:val="es-ES"/>
        </w:rPr>
      </w:pPr>
      <w:r w:rsidRPr="002E1C85">
        <w:rPr>
          <w:rFonts w:ascii="Verdana" w:eastAsia="Times New Roman" w:hAnsi="Verdana" w:cs="Times New Roman"/>
          <w:sz w:val="20"/>
          <w:szCs w:val="20"/>
          <w:lang w:val="es-ES"/>
        </w:rPr>
        <w:t>En cuanto al resto de las violaciones alegadas por la Comisión y los representantes, el Estado negó su responsabilidad</w:t>
      </w:r>
      <w:r w:rsidR="00826973">
        <w:rPr>
          <w:rFonts w:ascii="Verdana" w:eastAsia="Times New Roman" w:hAnsi="Verdana" w:cs="Times New Roman"/>
          <w:sz w:val="20"/>
          <w:szCs w:val="20"/>
          <w:lang w:val="es-ES"/>
        </w:rPr>
        <w:t>, por lo que la</w:t>
      </w:r>
      <w:r w:rsidR="00F15F19">
        <w:rPr>
          <w:rFonts w:ascii="Verdana" w:eastAsia="Times New Roman" w:hAnsi="Verdana" w:cs="Times New Roman"/>
          <w:sz w:val="20"/>
          <w:szCs w:val="20"/>
          <w:lang w:val="es-ES"/>
        </w:rPr>
        <w:t xml:space="preserve"> controversia</w:t>
      </w:r>
      <w:r w:rsidR="00826973">
        <w:rPr>
          <w:rFonts w:ascii="Verdana" w:eastAsia="Times New Roman" w:hAnsi="Verdana" w:cs="Times New Roman"/>
          <w:sz w:val="20"/>
          <w:szCs w:val="20"/>
          <w:lang w:val="es-ES"/>
        </w:rPr>
        <w:t xml:space="preserve"> persiste en cuanto a diversos derechos establecidos en el </w:t>
      </w:r>
      <w:r w:rsidR="00286809">
        <w:rPr>
          <w:rFonts w:ascii="Verdana" w:eastAsia="Times New Roman" w:hAnsi="Verdana" w:cs="Times New Roman"/>
          <w:sz w:val="20"/>
          <w:szCs w:val="20"/>
          <w:lang w:val="es-ES"/>
        </w:rPr>
        <w:t>C</w:t>
      </w:r>
      <w:r w:rsidR="00826973">
        <w:rPr>
          <w:rFonts w:ascii="Verdana" w:eastAsia="Times New Roman" w:hAnsi="Verdana" w:cs="Times New Roman"/>
          <w:sz w:val="20"/>
          <w:szCs w:val="20"/>
          <w:lang w:val="es-ES"/>
        </w:rPr>
        <w:t>apítulo VII</w:t>
      </w:r>
      <w:r w:rsidR="00286809">
        <w:rPr>
          <w:rFonts w:ascii="Verdana" w:eastAsia="Times New Roman" w:hAnsi="Verdana" w:cs="Times New Roman"/>
          <w:sz w:val="20"/>
          <w:szCs w:val="20"/>
          <w:lang w:val="es-ES"/>
        </w:rPr>
        <w:t xml:space="preserve">. </w:t>
      </w:r>
      <w:r w:rsidR="00414684">
        <w:rPr>
          <w:rFonts w:ascii="Verdana" w:eastAsia="Times New Roman" w:hAnsi="Verdana" w:cs="Times New Roman"/>
          <w:sz w:val="20"/>
          <w:szCs w:val="20"/>
          <w:lang w:val="es-ES"/>
        </w:rPr>
        <w:t xml:space="preserve">Por consiguiente, </w:t>
      </w:r>
      <w:r w:rsidRPr="002E1C85">
        <w:rPr>
          <w:rFonts w:ascii="Verdana" w:eastAsia="Times New Roman" w:hAnsi="Verdana" w:cs="Times New Roman"/>
          <w:sz w:val="20"/>
          <w:szCs w:val="20"/>
          <w:lang w:val="es-ES"/>
        </w:rPr>
        <w:t>teniendo en cuenta las violaciones reconocidas por el Estado, así como las observaciones de las representantes y de la Comisión, la Corte considera que este reconocimiento del Estado constituye un allanamiento parcial a las pretensiones de derecho de la Comisión y de las representantes. Sin perjuicio de lo anterior,</w:t>
      </w:r>
      <w:r w:rsidRPr="002E1C85" w:rsidDel="00794639">
        <w:rPr>
          <w:rFonts w:ascii="Verdana" w:eastAsia="Times New Roman" w:hAnsi="Verdana" w:cs="Times New Roman"/>
          <w:sz w:val="20"/>
          <w:szCs w:val="20"/>
          <w:lang w:val="es-ES"/>
        </w:rPr>
        <w:t xml:space="preserve"> </w:t>
      </w:r>
      <w:r w:rsidRPr="002E1C85">
        <w:rPr>
          <w:rFonts w:ascii="Verdana" w:eastAsia="Times New Roman" w:hAnsi="Verdana" w:cs="Times New Roman"/>
          <w:sz w:val="20"/>
          <w:szCs w:val="20"/>
          <w:lang w:val="es-ES"/>
        </w:rPr>
        <w:t xml:space="preserve">el Tribunal considera oportuno </w:t>
      </w:r>
      <w:r w:rsidR="006E207C">
        <w:rPr>
          <w:rFonts w:ascii="Verdana" w:eastAsia="Times New Roman" w:hAnsi="Verdana" w:cs="Times New Roman"/>
          <w:sz w:val="20"/>
          <w:szCs w:val="20"/>
          <w:lang w:val="es-ES"/>
        </w:rPr>
        <w:t xml:space="preserve">y necesario </w:t>
      </w:r>
      <w:r w:rsidRPr="002E1C85">
        <w:rPr>
          <w:rFonts w:ascii="Verdana" w:eastAsia="Times New Roman" w:hAnsi="Verdana" w:cs="Times New Roman"/>
          <w:sz w:val="20"/>
          <w:szCs w:val="20"/>
          <w:lang w:val="es-ES"/>
        </w:rPr>
        <w:t xml:space="preserve">hacer algunas consideraciones respecto del alcance de las violaciones y la afectación de tales derechos en </w:t>
      </w:r>
      <w:r w:rsidR="00EC08E0">
        <w:rPr>
          <w:rFonts w:ascii="Verdana" w:eastAsia="Times New Roman" w:hAnsi="Verdana" w:cs="Times New Roman"/>
          <w:sz w:val="20"/>
          <w:szCs w:val="20"/>
          <w:lang w:val="es-ES"/>
        </w:rPr>
        <w:t xml:space="preserve">el Capítulo </w:t>
      </w:r>
      <w:r w:rsidR="00826973">
        <w:rPr>
          <w:rFonts w:ascii="Verdana" w:eastAsia="Times New Roman" w:hAnsi="Verdana" w:cs="Times New Roman"/>
          <w:sz w:val="20"/>
          <w:szCs w:val="20"/>
          <w:lang w:val="es-ES"/>
        </w:rPr>
        <w:t>VII</w:t>
      </w:r>
      <w:r w:rsidR="00EC08E0">
        <w:rPr>
          <w:rFonts w:ascii="Verdana" w:eastAsia="Times New Roman" w:hAnsi="Verdana" w:cs="Times New Roman"/>
          <w:sz w:val="20"/>
          <w:szCs w:val="20"/>
          <w:lang w:val="es-ES"/>
        </w:rPr>
        <w:t xml:space="preserve"> de la Sentencia.</w:t>
      </w:r>
    </w:p>
    <w:p w14:paraId="64AA5DDD" w14:textId="40EC16AB" w:rsidR="002E1C85" w:rsidRDefault="002E1C85" w:rsidP="00EC08E0">
      <w:pPr>
        <w:widowControl w:val="0"/>
        <w:numPr>
          <w:ilvl w:val="0"/>
          <w:numId w:val="4"/>
        </w:numPr>
        <w:tabs>
          <w:tab w:val="left" w:pos="567"/>
          <w:tab w:val="num" w:pos="12305"/>
        </w:tabs>
        <w:adjustRightInd w:val="0"/>
        <w:spacing w:before="120" w:after="120" w:line="240" w:lineRule="auto"/>
        <w:ind w:left="0" w:firstLine="0"/>
        <w:jc w:val="both"/>
        <w:textAlignment w:val="baseline"/>
        <w:rPr>
          <w:rFonts w:ascii="Verdana" w:eastAsia="Times New Roman" w:hAnsi="Verdana" w:cs="Times New Roman"/>
          <w:sz w:val="20"/>
          <w:szCs w:val="20"/>
          <w:lang w:val="es-ES"/>
        </w:rPr>
      </w:pPr>
      <w:r w:rsidRPr="002E1C85">
        <w:rPr>
          <w:rFonts w:ascii="Verdana" w:eastAsia="Times New Roman" w:hAnsi="Verdana" w:cs="Times New Roman"/>
          <w:sz w:val="20"/>
          <w:szCs w:val="20"/>
          <w:lang w:val="es-ES"/>
        </w:rPr>
        <w:t>Con respecto a los planteamientos en torno a la convencionalidad de las Leyes sobre Desaparición Forzada de Personas</w:t>
      </w:r>
      <w:r w:rsidR="00722863">
        <w:rPr>
          <w:rStyle w:val="FootnoteReference"/>
          <w:rFonts w:ascii="Verdana" w:eastAsia="Times New Roman" w:hAnsi="Verdana" w:cs="Times New Roman"/>
          <w:sz w:val="20"/>
          <w:szCs w:val="20"/>
          <w:lang w:val="es-ES"/>
        </w:rPr>
        <w:footnoteReference w:id="39"/>
      </w:r>
      <w:r w:rsidR="006D530E">
        <w:rPr>
          <w:rFonts w:ascii="Verdana" w:eastAsia="Times New Roman" w:hAnsi="Verdana" w:cs="Times New Roman"/>
          <w:sz w:val="20"/>
          <w:szCs w:val="20"/>
          <w:lang w:val="es-ES"/>
        </w:rPr>
        <w:t xml:space="preserve"> </w:t>
      </w:r>
      <w:r w:rsidR="00C80344" w:rsidRPr="002E1C85">
        <w:rPr>
          <w:rFonts w:ascii="Verdana" w:eastAsia="Times New Roman" w:hAnsi="Verdana" w:cs="Times New Roman"/>
          <w:sz w:val="20"/>
          <w:szCs w:val="20"/>
          <w:lang w:val="es-ES"/>
        </w:rPr>
        <w:t>(</w:t>
      </w:r>
      <w:r w:rsidR="00C80344">
        <w:rPr>
          <w:rFonts w:ascii="Verdana" w:eastAsia="Times New Roman" w:hAnsi="Verdana" w:cs="Times New Roman"/>
          <w:sz w:val="20"/>
          <w:szCs w:val="20"/>
          <w:lang w:val="es-ES"/>
        </w:rPr>
        <w:t>en adelante la “Ley General en Materia de Desapariciones”</w:t>
      </w:r>
      <w:r w:rsidR="00C80344" w:rsidRPr="002E1C85">
        <w:rPr>
          <w:rFonts w:ascii="Verdana" w:eastAsia="Times New Roman" w:hAnsi="Verdana" w:cs="Times New Roman"/>
          <w:sz w:val="20"/>
          <w:szCs w:val="20"/>
          <w:lang w:val="es-ES"/>
        </w:rPr>
        <w:t>)</w:t>
      </w:r>
      <w:r w:rsidRPr="002E1C85">
        <w:rPr>
          <w:rFonts w:ascii="Verdana" w:eastAsia="Times New Roman" w:hAnsi="Verdana" w:cs="Times New Roman"/>
          <w:sz w:val="20"/>
          <w:szCs w:val="20"/>
          <w:lang w:val="es-ES"/>
        </w:rPr>
        <w:t>, de Amparo</w:t>
      </w:r>
      <w:r w:rsidR="00F15F19" w:rsidRPr="00F15F19">
        <w:rPr>
          <w:rFonts w:ascii="Verdana" w:eastAsia="Times New Roman" w:hAnsi="Verdana" w:cs="Times New Roman"/>
          <w:sz w:val="20"/>
          <w:szCs w:val="20"/>
          <w:lang w:val="es-ES"/>
        </w:rPr>
        <w:t xml:space="preserve"> </w:t>
      </w:r>
      <w:r w:rsidR="00F15F19">
        <w:rPr>
          <w:rFonts w:ascii="Verdana" w:eastAsia="Times New Roman" w:hAnsi="Verdana" w:cs="Times New Roman"/>
          <w:sz w:val="20"/>
          <w:szCs w:val="20"/>
          <w:lang w:val="es-ES"/>
        </w:rPr>
        <w:t xml:space="preserve">y </w:t>
      </w:r>
      <w:r w:rsidR="00F15F19" w:rsidRPr="002E1C85">
        <w:rPr>
          <w:rFonts w:ascii="Verdana" w:eastAsia="Times New Roman" w:hAnsi="Verdana" w:cs="Times New Roman"/>
          <w:sz w:val="20"/>
          <w:szCs w:val="20"/>
          <w:lang w:val="es-ES"/>
        </w:rPr>
        <w:t>de Seguridad Interior</w:t>
      </w:r>
      <w:r w:rsidRPr="002E1C85">
        <w:rPr>
          <w:rFonts w:ascii="Verdana" w:eastAsia="Times New Roman" w:hAnsi="Verdana" w:cs="Times New Roman"/>
          <w:sz w:val="20"/>
          <w:szCs w:val="20"/>
          <w:lang w:val="es-ES"/>
        </w:rPr>
        <w:t>, así como el Código de Justicia Militar, esta Corte considera que</w:t>
      </w:r>
      <w:r w:rsidR="00826973">
        <w:rPr>
          <w:rFonts w:ascii="Verdana" w:eastAsia="Times New Roman" w:hAnsi="Verdana" w:cs="Times New Roman"/>
          <w:sz w:val="20"/>
          <w:szCs w:val="20"/>
          <w:lang w:val="es-ES"/>
        </w:rPr>
        <w:t>, en su caso,</w:t>
      </w:r>
      <w:r w:rsidR="00286809">
        <w:rPr>
          <w:rFonts w:ascii="Verdana" w:eastAsia="Times New Roman" w:hAnsi="Verdana" w:cs="Times New Roman"/>
          <w:sz w:val="20"/>
          <w:szCs w:val="20"/>
          <w:lang w:val="es-ES"/>
        </w:rPr>
        <w:t xml:space="preserve"> de ser pertinente,</w:t>
      </w:r>
      <w:r w:rsidRPr="002E1C85">
        <w:rPr>
          <w:rFonts w:ascii="Verdana" w:eastAsia="Times New Roman" w:hAnsi="Verdana" w:cs="Times New Roman"/>
          <w:sz w:val="20"/>
          <w:szCs w:val="20"/>
          <w:lang w:val="es-ES"/>
        </w:rPr>
        <w:t xml:space="preserve"> </w:t>
      </w:r>
      <w:r w:rsidR="002A632F">
        <w:rPr>
          <w:rFonts w:ascii="Verdana" w:eastAsia="Times New Roman" w:hAnsi="Verdana" w:cs="Times New Roman"/>
          <w:sz w:val="20"/>
          <w:szCs w:val="20"/>
          <w:lang w:val="es-ES"/>
        </w:rPr>
        <w:t xml:space="preserve">se pronunciará </w:t>
      </w:r>
      <w:r w:rsidRPr="002E1C85">
        <w:rPr>
          <w:rFonts w:ascii="Verdana" w:eastAsia="Times New Roman" w:hAnsi="Verdana" w:cs="Times New Roman"/>
          <w:sz w:val="20"/>
          <w:szCs w:val="20"/>
          <w:lang w:val="es-ES"/>
        </w:rPr>
        <w:t>en el estudio de fondo y/o reparaciones.</w:t>
      </w:r>
    </w:p>
    <w:p w14:paraId="64AA5DDF" w14:textId="14F9A2EE" w:rsidR="002E1C85" w:rsidRDefault="00E34BFF" w:rsidP="00660FDA">
      <w:pPr>
        <w:widowControl w:val="0"/>
        <w:numPr>
          <w:ilvl w:val="0"/>
          <w:numId w:val="7"/>
        </w:numPr>
        <w:tabs>
          <w:tab w:val="left" w:pos="567"/>
        </w:tabs>
        <w:autoSpaceDE w:val="0"/>
        <w:autoSpaceDN w:val="0"/>
        <w:adjustRightInd w:val="0"/>
        <w:spacing w:before="120" w:after="120" w:line="240" w:lineRule="auto"/>
        <w:ind w:left="1560" w:hanging="426"/>
        <w:jc w:val="both"/>
        <w:textAlignment w:val="baseline"/>
        <w:outlineLvl w:val="2"/>
        <w:rPr>
          <w:rFonts w:ascii="Verdana" w:eastAsia="Calibri" w:hAnsi="Verdana" w:cs="Times New Roman"/>
          <w:i/>
          <w:spacing w:val="-2"/>
          <w:sz w:val="20"/>
          <w:szCs w:val="20"/>
          <w:lang w:val="es-ES" w:eastAsia="x-none"/>
        </w:rPr>
      </w:pPr>
      <w:bookmarkStart w:id="65" w:name="_Toc513644448"/>
      <w:bookmarkStart w:id="66" w:name="_Toc526774140"/>
      <w:bookmarkStart w:id="67" w:name="_Toc526777472"/>
      <w:bookmarkStart w:id="68" w:name="_Toc526783751"/>
      <w:r>
        <w:rPr>
          <w:rFonts w:ascii="Verdana" w:eastAsia="Calibri" w:hAnsi="Verdana" w:cs="Times New Roman"/>
          <w:i/>
          <w:spacing w:val="-2"/>
          <w:sz w:val="20"/>
          <w:szCs w:val="20"/>
          <w:lang w:val="es-ES" w:eastAsia="x-none"/>
        </w:rPr>
        <w:t xml:space="preserve"> </w:t>
      </w:r>
      <w:bookmarkStart w:id="69" w:name="_Toc532995319"/>
      <w:r w:rsidR="002E1C85" w:rsidRPr="00EC08E0">
        <w:rPr>
          <w:rFonts w:ascii="Verdana" w:eastAsia="Calibri" w:hAnsi="Verdana" w:cs="Times New Roman"/>
          <w:i/>
          <w:spacing w:val="-2"/>
          <w:sz w:val="20"/>
          <w:szCs w:val="20"/>
          <w:lang w:val="es-ES" w:eastAsia="x-none"/>
        </w:rPr>
        <w:t>En cuanto a las reparaciones</w:t>
      </w:r>
      <w:bookmarkStart w:id="70" w:name="_Toc513644449"/>
      <w:bookmarkEnd w:id="65"/>
      <w:bookmarkEnd w:id="66"/>
      <w:bookmarkEnd w:id="67"/>
      <w:bookmarkEnd w:id="68"/>
      <w:bookmarkEnd w:id="69"/>
    </w:p>
    <w:p w14:paraId="64AA5DE1" w14:textId="5C53FAB7" w:rsidR="002E1C85" w:rsidRPr="00E67720" w:rsidRDefault="002E1C85" w:rsidP="00EC08E0">
      <w:pPr>
        <w:widowControl w:val="0"/>
        <w:numPr>
          <w:ilvl w:val="0"/>
          <w:numId w:val="4"/>
        </w:numPr>
        <w:tabs>
          <w:tab w:val="left" w:pos="567"/>
          <w:tab w:val="num" w:pos="12305"/>
        </w:tabs>
        <w:adjustRightInd w:val="0"/>
        <w:spacing w:before="120" w:after="120" w:line="240" w:lineRule="auto"/>
        <w:ind w:left="0" w:firstLine="0"/>
        <w:jc w:val="both"/>
        <w:textAlignment w:val="baseline"/>
        <w:rPr>
          <w:rFonts w:ascii="Verdana" w:eastAsia="Times New Roman" w:hAnsi="Verdana" w:cs="Times New Roman"/>
          <w:sz w:val="20"/>
          <w:szCs w:val="20"/>
          <w:lang w:val="es-ES"/>
        </w:rPr>
      </w:pPr>
      <w:r w:rsidRPr="002E1C85">
        <w:rPr>
          <w:rFonts w:ascii="Verdana" w:eastAsia="Times New Roman" w:hAnsi="Verdana" w:cs="Times New Roman"/>
          <w:sz w:val="20"/>
          <w:szCs w:val="20"/>
          <w:lang w:val="es-ES"/>
        </w:rPr>
        <w:t>En lo que se refiere a las medidas de reparación (2, 8 y 25 de la Convención Americana), la Corte constata que el Estado consideró que las violaciones reconocidas ya han sido reparadas a través de: la Ley de Desaparición Forzada de Personas, la Ley de Amparo y las reformas al Código de Justicia Militar, así como el hecho de que el caso ya se encuentra siendo investigado por autoridades civiles. Respecto de l</w:t>
      </w:r>
      <w:r w:rsidR="00755A61">
        <w:rPr>
          <w:rFonts w:ascii="Verdana" w:eastAsia="Times New Roman" w:hAnsi="Verdana" w:cs="Times New Roman"/>
          <w:sz w:val="20"/>
          <w:szCs w:val="20"/>
          <w:lang w:val="es-ES"/>
        </w:rPr>
        <w:t>o</w:t>
      </w:r>
      <w:r w:rsidRPr="002E1C85">
        <w:rPr>
          <w:rFonts w:ascii="Verdana" w:eastAsia="Times New Roman" w:hAnsi="Verdana" w:cs="Times New Roman"/>
          <w:sz w:val="20"/>
          <w:szCs w:val="20"/>
          <w:lang w:val="es-ES"/>
        </w:rPr>
        <w:t xml:space="preserve">s demás </w:t>
      </w:r>
      <w:r w:rsidR="00755A61">
        <w:rPr>
          <w:rFonts w:ascii="Verdana" w:eastAsia="Times New Roman" w:hAnsi="Verdana" w:cs="Times New Roman"/>
          <w:sz w:val="20"/>
          <w:szCs w:val="20"/>
          <w:lang w:val="es-ES"/>
        </w:rPr>
        <w:t xml:space="preserve">alegados hechos y </w:t>
      </w:r>
      <w:r w:rsidRPr="002E1C85">
        <w:rPr>
          <w:rFonts w:ascii="Verdana" w:eastAsia="Times New Roman" w:hAnsi="Verdana" w:cs="Times New Roman"/>
          <w:sz w:val="20"/>
          <w:szCs w:val="20"/>
          <w:lang w:val="es-ES"/>
        </w:rPr>
        <w:t>violaciones, no reconoció las medidas solicitadas por l</w:t>
      </w:r>
      <w:r w:rsidR="007B53CC">
        <w:rPr>
          <w:rFonts w:ascii="Verdana" w:eastAsia="Times New Roman" w:hAnsi="Verdana" w:cs="Times New Roman"/>
          <w:sz w:val="20"/>
          <w:szCs w:val="20"/>
          <w:lang w:val="es-ES"/>
        </w:rPr>
        <w:t>a</w:t>
      </w:r>
      <w:r w:rsidRPr="002E1C85">
        <w:rPr>
          <w:rFonts w:ascii="Verdana" w:eastAsia="Times New Roman" w:hAnsi="Verdana" w:cs="Times New Roman"/>
          <w:sz w:val="20"/>
          <w:szCs w:val="20"/>
          <w:lang w:val="es-ES"/>
        </w:rPr>
        <w:t xml:space="preserve">s representantes, incluso ha informado sobre una serie de propuestas y medidas a favor de algunos miembros de la familia Alvarado, que incluyen apoyos humanitarios y diversas formas de asistencia social en materia de salud, educación y proyectos productivos, entre otras. </w:t>
      </w:r>
    </w:p>
    <w:p w14:paraId="64AA5DE3" w14:textId="76E1F07C" w:rsidR="002E1C85" w:rsidRPr="00E67720" w:rsidRDefault="002E1C85" w:rsidP="00EC08E0">
      <w:pPr>
        <w:widowControl w:val="0"/>
        <w:numPr>
          <w:ilvl w:val="0"/>
          <w:numId w:val="4"/>
        </w:numPr>
        <w:tabs>
          <w:tab w:val="left" w:pos="567"/>
          <w:tab w:val="num" w:pos="12305"/>
        </w:tabs>
        <w:adjustRightInd w:val="0"/>
        <w:spacing w:before="120" w:after="120" w:line="240" w:lineRule="auto"/>
        <w:ind w:left="0" w:firstLine="0"/>
        <w:jc w:val="both"/>
        <w:textAlignment w:val="baseline"/>
        <w:rPr>
          <w:rFonts w:ascii="Verdana" w:eastAsia="Times New Roman" w:hAnsi="Verdana" w:cs="Times New Roman"/>
          <w:sz w:val="20"/>
          <w:szCs w:val="20"/>
          <w:lang w:val="es-ES"/>
        </w:rPr>
      </w:pPr>
      <w:r w:rsidRPr="002E1C85">
        <w:rPr>
          <w:rFonts w:ascii="Verdana" w:eastAsia="Times New Roman" w:hAnsi="Verdana" w:cs="Times New Roman"/>
          <w:sz w:val="20"/>
          <w:szCs w:val="20"/>
          <w:lang w:val="es-ES"/>
        </w:rPr>
        <w:t xml:space="preserve">Por lo tanto, en el </w:t>
      </w:r>
      <w:r w:rsidR="00AA5522">
        <w:rPr>
          <w:rFonts w:ascii="Verdana" w:eastAsia="Times New Roman" w:hAnsi="Verdana" w:cs="Times New Roman"/>
          <w:sz w:val="20"/>
          <w:szCs w:val="20"/>
          <w:lang w:val="es-ES"/>
        </w:rPr>
        <w:t>C</w:t>
      </w:r>
      <w:r w:rsidRPr="002E1C85">
        <w:rPr>
          <w:rFonts w:ascii="Verdana" w:eastAsia="Times New Roman" w:hAnsi="Verdana" w:cs="Times New Roman"/>
          <w:sz w:val="20"/>
          <w:szCs w:val="20"/>
          <w:lang w:val="es-ES"/>
        </w:rPr>
        <w:t xml:space="preserve">apítulo </w:t>
      </w:r>
      <w:r w:rsidR="00AA5522">
        <w:rPr>
          <w:rFonts w:ascii="Verdana" w:eastAsia="Times New Roman" w:hAnsi="Verdana" w:cs="Times New Roman"/>
          <w:sz w:val="20"/>
          <w:szCs w:val="20"/>
          <w:lang w:val="es-ES"/>
        </w:rPr>
        <w:t>VIII</w:t>
      </w:r>
      <w:r w:rsidRPr="002E1C85">
        <w:rPr>
          <w:rFonts w:ascii="Verdana" w:eastAsia="Times New Roman" w:hAnsi="Verdana" w:cs="Times New Roman"/>
          <w:sz w:val="20"/>
          <w:szCs w:val="20"/>
          <w:lang w:val="es-ES"/>
        </w:rPr>
        <w:t xml:space="preserve">, el Tribunal resolverá lo conducente en torno a las reparaciones solicitadas por la Comisión y las representantes y analizará la existencia del nexo causal entre las </w:t>
      </w:r>
      <w:r w:rsidR="00AA5522">
        <w:rPr>
          <w:rFonts w:ascii="Verdana" w:eastAsia="Times New Roman" w:hAnsi="Verdana" w:cs="Times New Roman"/>
          <w:sz w:val="20"/>
          <w:szCs w:val="20"/>
          <w:lang w:val="es-ES"/>
        </w:rPr>
        <w:t xml:space="preserve">eventuales </w:t>
      </w:r>
      <w:r w:rsidRPr="002E1C85">
        <w:rPr>
          <w:rFonts w:ascii="Verdana" w:eastAsia="Times New Roman" w:hAnsi="Verdana" w:cs="Times New Roman"/>
          <w:sz w:val="20"/>
          <w:szCs w:val="20"/>
          <w:lang w:val="es-ES"/>
        </w:rPr>
        <w:t xml:space="preserve">violaciones declaradas y los daños y </w:t>
      </w:r>
      <w:r w:rsidR="00E67720">
        <w:rPr>
          <w:rFonts w:ascii="Verdana" w:eastAsia="Times New Roman" w:hAnsi="Verdana" w:cs="Times New Roman"/>
          <w:sz w:val="20"/>
          <w:szCs w:val="20"/>
          <w:lang w:val="es-ES"/>
        </w:rPr>
        <w:t>medidas alegadas por las partes</w:t>
      </w:r>
      <w:r w:rsidR="007B53CC">
        <w:rPr>
          <w:rFonts w:ascii="Verdana" w:eastAsia="Times New Roman" w:hAnsi="Verdana" w:cs="Times New Roman"/>
          <w:sz w:val="20"/>
          <w:szCs w:val="20"/>
          <w:lang w:val="es-ES"/>
        </w:rPr>
        <w:t>.</w:t>
      </w:r>
    </w:p>
    <w:p w14:paraId="64AA5DE5" w14:textId="02E6F800" w:rsidR="002E1C85" w:rsidRDefault="00E34BFF" w:rsidP="00660FDA">
      <w:pPr>
        <w:widowControl w:val="0"/>
        <w:numPr>
          <w:ilvl w:val="0"/>
          <w:numId w:val="7"/>
        </w:numPr>
        <w:tabs>
          <w:tab w:val="left" w:pos="567"/>
        </w:tabs>
        <w:autoSpaceDE w:val="0"/>
        <w:autoSpaceDN w:val="0"/>
        <w:adjustRightInd w:val="0"/>
        <w:spacing w:before="120" w:after="120" w:line="240" w:lineRule="auto"/>
        <w:ind w:left="1560" w:hanging="426"/>
        <w:jc w:val="both"/>
        <w:textAlignment w:val="baseline"/>
        <w:outlineLvl w:val="2"/>
        <w:rPr>
          <w:rFonts w:ascii="Verdana" w:eastAsia="Calibri" w:hAnsi="Verdana" w:cs="Times New Roman"/>
          <w:i/>
          <w:spacing w:val="-2"/>
          <w:sz w:val="20"/>
          <w:szCs w:val="20"/>
          <w:lang w:val="es-ES" w:eastAsia="x-none"/>
        </w:rPr>
      </w:pPr>
      <w:bookmarkStart w:id="71" w:name="_Toc526774141"/>
      <w:bookmarkStart w:id="72" w:name="_Toc526777473"/>
      <w:bookmarkStart w:id="73" w:name="_Toc526783752"/>
      <w:r>
        <w:rPr>
          <w:rFonts w:ascii="Verdana" w:eastAsia="Calibri" w:hAnsi="Verdana" w:cs="Times New Roman"/>
          <w:i/>
          <w:spacing w:val="-2"/>
          <w:sz w:val="20"/>
          <w:szCs w:val="20"/>
          <w:lang w:val="es-ES" w:eastAsia="x-none"/>
        </w:rPr>
        <w:t xml:space="preserve"> </w:t>
      </w:r>
      <w:bookmarkStart w:id="74" w:name="_Toc532995320"/>
      <w:r w:rsidR="002E1C85" w:rsidRPr="00EC08E0">
        <w:rPr>
          <w:rFonts w:ascii="Verdana" w:eastAsia="Calibri" w:hAnsi="Verdana" w:cs="Times New Roman"/>
          <w:i/>
          <w:spacing w:val="-2"/>
          <w:sz w:val="20"/>
          <w:szCs w:val="20"/>
          <w:lang w:val="es-ES" w:eastAsia="x-none"/>
        </w:rPr>
        <w:t>Valoración del alcance del reconocimiento parcial de responsabilidad</w:t>
      </w:r>
      <w:bookmarkEnd w:id="70"/>
      <w:bookmarkEnd w:id="71"/>
      <w:bookmarkEnd w:id="72"/>
      <w:bookmarkEnd w:id="73"/>
      <w:bookmarkEnd w:id="74"/>
    </w:p>
    <w:p w14:paraId="64AA5DE7" w14:textId="42203838" w:rsidR="002E1C85" w:rsidRPr="00CA2568" w:rsidRDefault="002E1C85" w:rsidP="00EC08E0">
      <w:pPr>
        <w:widowControl w:val="0"/>
        <w:numPr>
          <w:ilvl w:val="0"/>
          <w:numId w:val="4"/>
        </w:numPr>
        <w:tabs>
          <w:tab w:val="left" w:pos="567"/>
          <w:tab w:val="num" w:pos="12305"/>
        </w:tabs>
        <w:adjustRightInd w:val="0"/>
        <w:spacing w:before="120" w:after="120" w:line="240" w:lineRule="auto"/>
        <w:ind w:left="0" w:firstLine="0"/>
        <w:jc w:val="both"/>
        <w:textAlignment w:val="baseline"/>
        <w:rPr>
          <w:rFonts w:ascii="Verdana" w:eastAsia="Times New Roman" w:hAnsi="Verdana" w:cs="Times New Roman"/>
          <w:sz w:val="20"/>
          <w:szCs w:val="20"/>
          <w:lang w:val="es-ES"/>
        </w:rPr>
      </w:pPr>
      <w:r w:rsidRPr="002E1C85">
        <w:rPr>
          <w:rFonts w:ascii="Verdana" w:eastAsia="Times New Roman" w:hAnsi="Verdana" w:cs="Times New Roman"/>
          <w:sz w:val="20"/>
          <w:szCs w:val="20"/>
          <w:lang w:val="es-ES"/>
        </w:rPr>
        <w:t xml:space="preserve">En virtud de lo anterior, la Corte estima necesario dictar una Sentencia en la cual se determinen los hechos ocurridos de acuerdo a la prueba recabada en el proceso ante este Tribunal, </w:t>
      </w:r>
      <w:r w:rsidR="003A62FD">
        <w:rPr>
          <w:rFonts w:ascii="Verdana" w:eastAsia="Times New Roman" w:hAnsi="Verdana" w:cs="Times New Roman"/>
          <w:sz w:val="20"/>
          <w:szCs w:val="20"/>
          <w:lang w:val="es-ES"/>
        </w:rPr>
        <w:t xml:space="preserve">a fin de </w:t>
      </w:r>
      <w:r w:rsidRPr="002E1C85">
        <w:rPr>
          <w:rFonts w:ascii="Verdana" w:eastAsia="Times New Roman" w:hAnsi="Verdana" w:cs="Times New Roman"/>
          <w:sz w:val="20"/>
          <w:szCs w:val="20"/>
          <w:lang w:val="es-ES"/>
        </w:rPr>
        <w:t xml:space="preserve">que no se repitan hechos similares y a satisfacer, en suma, los fines de la </w:t>
      </w:r>
      <w:r w:rsidRPr="002E1C85">
        <w:rPr>
          <w:rFonts w:ascii="Verdana" w:eastAsia="Times New Roman" w:hAnsi="Verdana" w:cs="Times New Roman"/>
          <w:sz w:val="20"/>
          <w:szCs w:val="20"/>
          <w:lang w:val="es-ES"/>
        </w:rPr>
        <w:lastRenderedPageBreak/>
        <w:t>jurisdicción</w:t>
      </w:r>
      <w:r w:rsidR="003A4569">
        <w:rPr>
          <w:rFonts w:ascii="Verdana" w:eastAsia="Times New Roman" w:hAnsi="Verdana" w:cs="Times New Roman"/>
          <w:sz w:val="20"/>
          <w:szCs w:val="20"/>
          <w:lang w:val="es-ES"/>
        </w:rPr>
        <w:t>,</w:t>
      </w:r>
      <w:r w:rsidRPr="002E1C85">
        <w:rPr>
          <w:rFonts w:ascii="Verdana" w:eastAsia="Times New Roman" w:hAnsi="Verdana" w:cs="Times New Roman"/>
          <w:sz w:val="20"/>
          <w:szCs w:val="20"/>
          <w:lang w:val="es-ES"/>
        </w:rPr>
        <w:t xml:space="preserve"> toda vez que ello contribuye a la reparación de las presuntas víctimas</w:t>
      </w:r>
      <w:r w:rsidRPr="002E1C85">
        <w:rPr>
          <w:rFonts w:ascii="Verdana" w:eastAsia="Times New Roman" w:hAnsi="Verdana" w:cs="Times New Roman"/>
          <w:sz w:val="20"/>
          <w:szCs w:val="20"/>
          <w:vertAlign w:val="superscript"/>
          <w:lang w:val="es-ES"/>
        </w:rPr>
        <w:footnoteReference w:id="40"/>
      </w:r>
      <w:r w:rsidR="00826973">
        <w:rPr>
          <w:rFonts w:ascii="Verdana" w:eastAsia="Times New Roman" w:hAnsi="Verdana" w:cs="Times New Roman"/>
          <w:sz w:val="20"/>
          <w:szCs w:val="20"/>
          <w:lang w:val="es-ES"/>
        </w:rPr>
        <w:t>.</w:t>
      </w:r>
      <w:r w:rsidRPr="002E1C85">
        <w:rPr>
          <w:rFonts w:ascii="Verdana" w:eastAsia="Times New Roman" w:hAnsi="Verdana" w:cs="Times New Roman"/>
          <w:sz w:val="20"/>
          <w:szCs w:val="20"/>
          <w:lang w:val="es-ES"/>
        </w:rPr>
        <w:t xml:space="preserve"> De igual forma y en aras de asegurar una mejor comprensión de la responsabilidad internacional estatal en el presente caso y del nexo causal entre las violaciones establecidas y las reparaciones que se ordenarán, la Corte estima pertinente precisar el alcance y clasificación de las violaciones a los derechos humanos que acontecieron en el presente caso</w:t>
      </w:r>
      <w:r w:rsidRPr="002E1C85">
        <w:rPr>
          <w:rFonts w:ascii="Verdana" w:eastAsia="Times New Roman" w:hAnsi="Verdana" w:cs="Times New Roman"/>
          <w:sz w:val="20"/>
          <w:szCs w:val="20"/>
          <w:vertAlign w:val="superscript"/>
          <w:lang w:val="es-ES"/>
        </w:rPr>
        <w:footnoteReference w:id="41"/>
      </w:r>
      <w:r w:rsidRPr="002E1C85">
        <w:rPr>
          <w:rFonts w:ascii="Verdana" w:eastAsia="Times New Roman" w:hAnsi="Verdana" w:cs="Times New Roman"/>
          <w:sz w:val="20"/>
          <w:szCs w:val="20"/>
          <w:lang w:val="es-ES"/>
        </w:rPr>
        <w:t>.</w:t>
      </w:r>
    </w:p>
    <w:p w14:paraId="64AA5DE9" w14:textId="57A01FA9" w:rsidR="002E1C85" w:rsidRPr="00C57FCB" w:rsidRDefault="002E1C85" w:rsidP="0057411A">
      <w:pPr>
        <w:pStyle w:val="Heading1"/>
        <w:rPr>
          <w:lang w:val="en-US"/>
        </w:rPr>
      </w:pPr>
      <w:bookmarkStart w:id="75" w:name="_Toc375517114"/>
      <w:bookmarkStart w:id="76" w:name="_Toc459158102"/>
      <w:bookmarkStart w:id="77" w:name="_Toc470180046"/>
      <w:bookmarkStart w:id="78" w:name="_Toc514172609"/>
      <w:bookmarkStart w:id="79" w:name="_Toc526774142"/>
      <w:bookmarkStart w:id="80" w:name="_Toc526777474"/>
      <w:bookmarkStart w:id="81" w:name="_Toc526783753"/>
      <w:bookmarkStart w:id="82" w:name="_Toc532995321"/>
      <w:r w:rsidRPr="00855B75">
        <w:t>V</w:t>
      </w:r>
      <w:r w:rsidRPr="00855B75">
        <w:br/>
      </w:r>
      <w:r w:rsidRPr="00C57FCB">
        <w:rPr>
          <w:lang w:val="en-US"/>
        </w:rPr>
        <w:t>PRUEBA</w:t>
      </w:r>
      <w:bookmarkEnd w:id="75"/>
      <w:bookmarkEnd w:id="76"/>
      <w:bookmarkEnd w:id="77"/>
      <w:bookmarkEnd w:id="78"/>
      <w:bookmarkEnd w:id="79"/>
      <w:bookmarkEnd w:id="80"/>
      <w:bookmarkEnd w:id="81"/>
      <w:bookmarkEnd w:id="82"/>
    </w:p>
    <w:p w14:paraId="64AA5DEF" w14:textId="54D3B2BE" w:rsidR="002E1C85" w:rsidRPr="00855B75" w:rsidRDefault="0020172F" w:rsidP="00891997">
      <w:pPr>
        <w:keepNext/>
        <w:keepLines/>
        <w:widowControl w:val="0"/>
        <w:numPr>
          <w:ilvl w:val="0"/>
          <w:numId w:val="9"/>
        </w:numPr>
        <w:adjustRightInd w:val="0"/>
        <w:spacing w:before="120" w:after="120" w:line="240" w:lineRule="auto"/>
        <w:jc w:val="both"/>
        <w:textAlignment w:val="baseline"/>
        <w:outlineLvl w:val="1"/>
        <w:rPr>
          <w:rFonts w:ascii="Verdana" w:eastAsia="MS Mincho" w:hAnsi="Verdana" w:cs="Times New Roman"/>
          <w:b/>
          <w:i/>
          <w:sz w:val="20"/>
          <w:szCs w:val="20"/>
          <w:lang w:val="es-CR" w:eastAsia="es-CR"/>
        </w:rPr>
      </w:pPr>
      <w:bookmarkStart w:id="83" w:name="_Toc527560759"/>
      <w:bookmarkStart w:id="84" w:name="_Toc527561030"/>
      <w:bookmarkStart w:id="85" w:name="_Toc527560760"/>
      <w:bookmarkStart w:id="86" w:name="_Toc527561031"/>
      <w:bookmarkStart w:id="87" w:name="_Toc375517116"/>
      <w:bookmarkStart w:id="88" w:name="_Toc459158104"/>
      <w:bookmarkStart w:id="89" w:name="_Toc470180048"/>
      <w:bookmarkStart w:id="90" w:name="_Toc514172611"/>
      <w:bookmarkEnd w:id="83"/>
      <w:bookmarkEnd w:id="84"/>
      <w:bookmarkEnd w:id="85"/>
      <w:bookmarkEnd w:id="86"/>
      <w:r>
        <w:rPr>
          <w:rFonts w:ascii="Verdana" w:eastAsia="MS Mincho" w:hAnsi="Verdana" w:cs="Times New Roman"/>
          <w:b/>
          <w:i/>
          <w:sz w:val="20"/>
          <w:szCs w:val="20"/>
          <w:lang w:val="es-CR" w:eastAsia="es-CR"/>
        </w:rPr>
        <w:t xml:space="preserve"> </w:t>
      </w:r>
      <w:bookmarkStart w:id="91" w:name="_Toc526774144"/>
      <w:bookmarkStart w:id="92" w:name="_Toc526777476"/>
      <w:bookmarkStart w:id="93" w:name="_Toc526783755"/>
      <w:bookmarkStart w:id="94" w:name="_Toc532995322"/>
      <w:r w:rsidR="002E1C85" w:rsidRPr="00855B75">
        <w:rPr>
          <w:rFonts w:ascii="Verdana" w:eastAsia="MS Mincho" w:hAnsi="Verdana" w:cs="Times New Roman"/>
          <w:b/>
          <w:i/>
          <w:sz w:val="20"/>
          <w:szCs w:val="20"/>
          <w:lang w:val="es-CR" w:eastAsia="es-CR"/>
        </w:rPr>
        <w:t>Admis</w:t>
      </w:r>
      <w:r w:rsidR="00891997" w:rsidRPr="00C90B3F">
        <w:rPr>
          <w:rFonts w:ascii="Verdana" w:eastAsia="MS Mincho" w:hAnsi="Verdana" w:cs="Times New Roman"/>
          <w:b/>
          <w:i/>
          <w:sz w:val="20"/>
          <w:szCs w:val="20"/>
          <w:lang w:val="es-CR" w:eastAsia="es-CR"/>
        </w:rPr>
        <w:t xml:space="preserve">ibilidad </w:t>
      </w:r>
      <w:r w:rsidR="002E1C85" w:rsidRPr="00C57FCB">
        <w:rPr>
          <w:rFonts w:ascii="Verdana" w:eastAsia="MS Mincho" w:hAnsi="Verdana" w:cs="Times New Roman"/>
          <w:b/>
          <w:i/>
          <w:sz w:val="20"/>
          <w:szCs w:val="20"/>
          <w:lang w:val="es-CR" w:eastAsia="es-CR"/>
        </w:rPr>
        <w:t xml:space="preserve"> de la prueba</w:t>
      </w:r>
      <w:bookmarkEnd w:id="87"/>
      <w:bookmarkEnd w:id="88"/>
      <w:bookmarkEnd w:id="89"/>
      <w:bookmarkEnd w:id="90"/>
      <w:bookmarkEnd w:id="91"/>
      <w:bookmarkEnd w:id="92"/>
      <w:bookmarkEnd w:id="93"/>
      <w:r w:rsidR="00891997" w:rsidRPr="00C90B3F">
        <w:rPr>
          <w:rFonts w:ascii="Verdana" w:eastAsia="MS Mincho" w:hAnsi="Verdana" w:cs="Times New Roman"/>
          <w:b/>
          <w:i/>
          <w:sz w:val="20"/>
          <w:szCs w:val="20"/>
          <w:lang w:val="es-CR" w:eastAsia="es-CR"/>
        </w:rPr>
        <w:t xml:space="preserve"> documental</w:t>
      </w:r>
      <w:bookmarkEnd w:id="94"/>
      <w:r w:rsidR="00891997" w:rsidRPr="00C90B3F">
        <w:rPr>
          <w:rFonts w:ascii="Verdana" w:eastAsia="MS Mincho" w:hAnsi="Verdana" w:cs="Times New Roman"/>
          <w:b/>
          <w:i/>
          <w:sz w:val="20"/>
          <w:szCs w:val="20"/>
          <w:lang w:val="es-CR" w:eastAsia="es-CR"/>
        </w:rPr>
        <w:t xml:space="preserve"> </w:t>
      </w:r>
    </w:p>
    <w:p w14:paraId="64AA5DF3" w14:textId="7D82D1F1" w:rsidR="002E1C85" w:rsidRPr="00E67720" w:rsidRDefault="002E1C85" w:rsidP="00EC08E0">
      <w:pPr>
        <w:widowControl w:val="0"/>
        <w:numPr>
          <w:ilvl w:val="0"/>
          <w:numId w:val="4"/>
        </w:numPr>
        <w:tabs>
          <w:tab w:val="left" w:pos="567"/>
          <w:tab w:val="num" w:pos="12305"/>
        </w:tabs>
        <w:adjustRightInd w:val="0"/>
        <w:spacing w:before="120" w:after="120" w:line="240" w:lineRule="auto"/>
        <w:ind w:left="0" w:firstLine="0"/>
        <w:jc w:val="both"/>
        <w:textAlignment w:val="baseline"/>
        <w:rPr>
          <w:rFonts w:ascii="Verdana" w:eastAsia="Times New Roman" w:hAnsi="Verdana" w:cs="Times New Roman"/>
          <w:sz w:val="20"/>
          <w:szCs w:val="20"/>
          <w:lang w:val="es-ES" w:eastAsia="es-CR"/>
        </w:rPr>
      </w:pPr>
      <w:r w:rsidRPr="002E1C85">
        <w:rPr>
          <w:rFonts w:ascii="Verdana" w:eastAsia="Times New Roman" w:hAnsi="Verdana" w:cs="Times New Roman"/>
          <w:sz w:val="20"/>
          <w:szCs w:val="20"/>
          <w:lang w:val="es-ES" w:eastAsia="es-CR"/>
        </w:rPr>
        <w:t>En el presente caso, como en otros, el Tribunal admite el valor probatorio de aquellos documentos presentados por las partes y por la Comisión en la debida oportunidad procesal, que no fueron controvertidos ni objetados, y cuya autenticidad no fue puesta en duda</w:t>
      </w:r>
      <w:r w:rsidRPr="002E1C85">
        <w:rPr>
          <w:rFonts w:ascii="Verdana" w:eastAsia="Times New Roman" w:hAnsi="Verdana" w:cs="Times New Roman"/>
          <w:sz w:val="20"/>
          <w:szCs w:val="20"/>
          <w:vertAlign w:val="superscript"/>
          <w:lang w:val="es-ES" w:eastAsia="es-CR"/>
        </w:rPr>
        <w:footnoteReference w:id="42"/>
      </w:r>
      <w:r w:rsidRPr="002E1C85">
        <w:rPr>
          <w:rFonts w:ascii="Verdana" w:eastAsia="Times New Roman" w:hAnsi="Verdana" w:cs="Times New Roman"/>
          <w:sz w:val="20"/>
          <w:szCs w:val="20"/>
          <w:lang w:val="es-ES" w:eastAsia="es-CR"/>
        </w:rPr>
        <w:t xml:space="preserve">. </w:t>
      </w:r>
      <w:r w:rsidRPr="002E1C85">
        <w:rPr>
          <w:rFonts w:ascii="Verdana" w:eastAsia="Times New Roman" w:hAnsi="Verdana" w:cs="Times New Roman"/>
          <w:sz w:val="20"/>
          <w:szCs w:val="20"/>
          <w:lang w:val="es-CR" w:eastAsia="es-CR"/>
        </w:rPr>
        <w:t>Asimismo, la Corte estima pertinente admitir las declaraciones rendidas en audiencia pública y ante fedatario público, en cuanto se ajusten al objeto definido por la Resolución que ordenó recibirlas</w:t>
      </w:r>
      <w:r w:rsidRPr="002E1C85">
        <w:rPr>
          <w:rFonts w:ascii="Verdana" w:eastAsia="Times New Roman" w:hAnsi="Verdana" w:cs="Times New Roman"/>
          <w:sz w:val="20"/>
          <w:szCs w:val="20"/>
          <w:vertAlign w:val="superscript"/>
          <w:lang w:val="es-CR" w:eastAsia="es-CR"/>
        </w:rPr>
        <w:footnoteReference w:id="43"/>
      </w:r>
      <w:r w:rsidRPr="002E1C85">
        <w:rPr>
          <w:rFonts w:ascii="Verdana" w:eastAsia="Times New Roman" w:hAnsi="Verdana" w:cs="Times New Roman"/>
          <w:sz w:val="20"/>
          <w:szCs w:val="20"/>
          <w:lang w:val="es-CR" w:eastAsia="es-CR"/>
        </w:rPr>
        <w:t>.</w:t>
      </w:r>
    </w:p>
    <w:p w14:paraId="64AA5DF5" w14:textId="78654BCE" w:rsidR="002E1C85" w:rsidRPr="00E67720" w:rsidRDefault="002E1C85" w:rsidP="00C90B3F">
      <w:pPr>
        <w:widowControl w:val="0"/>
        <w:numPr>
          <w:ilvl w:val="0"/>
          <w:numId w:val="4"/>
        </w:numPr>
        <w:tabs>
          <w:tab w:val="left" w:pos="567"/>
          <w:tab w:val="num" w:pos="12305"/>
        </w:tabs>
        <w:adjustRightInd w:val="0"/>
        <w:spacing w:before="120" w:after="120" w:line="240" w:lineRule="auto"/>
        <w:ind w:left="0" w:firstLine="0"/>
        <w:jc w:val="both"/>
        <w:textAlignment w:val="baseline"/>
        <w:rPr>
          <w:rFonts w:ascii="Verdana" w:eastAsia="Times New Roman" w:hAnsi="Verdana" w:cs="Times New Roman"/>
          <w:sz w:val="20"/>
          <w:szCs w:val="20"/>
          <w:lang w:val="es-ES" w:eastAsia="es-CR"/>
        </w:rPr>
      </w:pPr>
      <w:r w:rsidRPr="002E1C85">
        <w:rPr>
          <w:rFonts w:ascii="Verdana" w:eastAsia="Times New Roman" w:hAnsi="Verdana" w:cs="Times New Roman"/>
          <w:sz w:val="20"/>
          <w:szCs w:val="20"/>
          <w:lang w:val="es-ES" w:eastAsia="es-CR"/>
        </w:rPr>
        <w:t>Sobre los documentos presentados por el Estado junto con sus alegatos finales</w:t>
      </w:r>
      <w:r w:rsidRPr="002E1C85">
        <w:rPr>
          <w:rFonts w:ascii="Verdana" w:eastAsia="Times New Roman" w:hAnsi="Verdana" w:cs="Times New Roman"/>
          <w:sz w:val="20"/>
          <w:szCs w:val="20"/>
          <w:vertAlign w:val="superscript"/>
          <w:lang w:val="es-ES" w:eastAsia="es-CR"/>
        </w:rPr>
        <w:footnoteReference w:id="44"/>
      </w:r>
      <w:r w:rsidRPr="002E1C85">
        <w:rPr>
          <w:rFonts w:ascii="Verdana" w:eastAsia="Times New Roman" w:hAnsi="Verdana" w:cs="Times New Roman"/>
          <w:sz w:val="20"/>
          <w:szCs w:val="20"/>
          <w:lang w:val="es-ES" w:eastAsia="es-CR"/>
        </w:rPr>
        <w:t xml:space="preserve">, así como la prueba para mejor resolver y sus observaciones, la Corte nota que responden </w:t>
      </w:r>
      <w:r w:rsidR="00AA5522">
        <w:rPr>
          <w:rFonts w:ascii="Verdana" w:eastAsia="Times New Roman" w:hAnsi="Verdana" w:cs="Times New Roman"/>
          <w:sz w:val="20"/>
          <w:szCs w:val="20"/>
          <w:lang w:val="es-ES" w:eastAsia="es-CR"/>
        </w:rPr>
        <w:t xml:space="preserve">a </w:t>
      </w:r>
      <w:r w:rsidRPr="002E1C85">
        <w:rPr>
          <w:rFonts w:ascii="Verdana" w:eastAsia="Times New Roman" w:hAnsi="Verdana" w:cs="Times New Roman"/>
          <w:sz w:val="20"/>
          <w:szCs w:val="20"/>
          <w:lang w:val="es-ES" w:eastAsia="es-CR"/>
        </w:rPr>
        <w:t>lo solicitado por la Corte en virtud del artículo 58.b) del Reglamento en el transcurso de la audiencia pública y con posterioridad, por lo que la Corte considera oportuno admitirlos</w:t>
      </w:r>
      <w:r w:rsidR="00C61AAA" w:rsidRPr="008D0846">
        <w:rPr>
          <w:rFonts w:ascii="Verdana" w:eastAsia="Times New Roman" w:hAnsi="Verdana" w:cs="Times New Roman"/>
          <w:sz w:val="20"/>
          <w:szCs w:val="20"/>
          <w:lang w:val="es-ES" w:eastAsia="es-CR"/>
        </w:rPr>
        <w:t>.</w:t>
      </w:r>
    </w:p>
    <w:p w14:paraId="64AA5DF7" w14:textId="007F4332" w:rsidR="002E1C85" w:rsidRPr="00EC08E0" w:rsidRDefault="00E34BFF" w:rsidP="00660FDA">
      <w:pPr>
        <w:widowControl w:val="0"/>
        <w:numPr>
          <w:ilvl w:val="0"/>
          <w:numId w:val="10"/>
        </w:numPr>
        <w:tabs>
          <w:tab w:val="left" w:pos="567"/>
        </w:tabs>
        <w:autoSpaceDE w:val="0"/>
        <w:autoSpaceDN w:val="0"/>
        <w:adjustRightInd w:val="0"/>
        <w:spacing w:before="120" w:after="120" w:line="240" w:lineRule="auto"/>
        <w:ind w:left="1560" w:hanging="426"/>
        <w:jc w:val="both"/>
        <w:textAlignment w:val="baseline"/>
        <w:outlineLvl w:val="2"/>
        <w:rPr>
          <w:rFonts w:ascii="Verdana" w:eastAsia="Calibri" w:hAnsi="Verdana" w:cs="Times New Roman"/>
          <w:i/>
          <w:spacing w:val="-2"/>
          <w:sz w:val="20"/>
          <w:szCs w:val="20"/>
          <w:lang w:val="es-ES" w:eastAsia="x-none"/>
        </w:rPr>
      </w:pPr>
      <w:bookmarkStart w:id="95" w:name="_Toc526774146"/>
      <w:bookmarkStart w:id="96" w:name="_Toc526777478"/>
      <w:bookmarkStart w:id="97" w:name="_Toc526783757"/>
      <w:r>
        <w:rPr>
          <w:rFonts w:ascii="Verdana" w:eastAsia="Calibri" w:hAnsi="Verdana" w:cs="Times New Roman"/>
          <w:i/>
          <w:spacing w:val="-2"/>
          <w:sz w:val="20"/>
          <w:szCs w:val="20"/>
          <w:lang w:val="es-ES" w:eastAsia="x-none"/>
        </w:rPr>
        <w:t xml:space="preserve"> </w:t>
      </w:r>
      <w:bookmarkStart w:id="98" w:name="_Toc532995323"/>
      <w:r w:rsidR="002E1C85" w:rsidRPr="00EC08E0">
        <w:rPr>
          <w:rFonts w:ascii="Verdana" w:eastAsia="Calibri" w:hAnsi="Verdana" w:cs="Times New Roman"/>
          <w:i/>
          <w:spacing w:val="-2"/>
          <w:sz w:val="20"/>
          <w:szCs w:val="20"/>
          <w:lang w:val="es-ES" w:eastAsia="x-none"/>
        </w:rPr>
        <w:t>Alegados hechos supervinientes</w:t>
      </w:r>
      <w:bookmarkEnd w:id="95"/>
      <w:bookmarkEnd w:id="96"/>
      <w:bookmarkEnd w:id="97"/>
      <w:bookmarkEnd w:id="98"/>
    </w:p>
    <w:p w14:paraId="42BDEB41" w14:textId="38A48CDB" w:rsidR="00474CC9" w:rsidRPr="0012282C" w:rsidRDefault="00244830" w:rsidP="003564A3">
      <w:pPr>
        <w:widowControl w:val="0"/>
        <w:numPr>
          <w:ilvl w:val="0"/>
          <w:numId w:val="4"/>
        </w:numPr>
        <w:tabs>
          <w:tab w:val="left" w:pos="567"/>
          <w:tab w:val="num" w:pos="12305"/>
        </w:tabs>
        <w:adjustRightInd w:val="0"/>
        <w:spacing w:before="120" w:after="120" w:line="240" w:lineRule="auto"/>
        <w:ind w:left="0" w:firstLine="0"/>
        <w:jc w:val="both"/>
        <w:textAlignment w:val="baseline"/>
        <w:rPr>
          <w:rFonts w:ascii="Verdana" w:hAnsi="Verdana"/>
          <w:b/>
          <w:sz w:val="20"/>
          <w:szCs w:val="20"/>
        </w:rPr>
      </w:pPr>
      <w:r w:rsidRPr="003564A3">
        <w:rPr>
          <w:rFonts w:ascii="Verdana" w:hAnsi="Verdana"/>
          <w:sz w:val="20"/>
          <w:szCs w:val="20"/>
        </w:rPr>
        <w:t>Las representantes presentaron documentos junto con las observaciones al reconocimiento parcial de responsabilidad internacional del Estado, referentes a la Ley de Seguridad Interior</w:t>
      </w:r>
      <w:r w:rsidR="005E5714">
        <w:rPr>
          <w:rStyle w:val="FootnoteReference"/>
          <w:rFonts w:ascii="Verdana" w:hAnsi="Verdana"/>
          <w:sz w:val="20"/>
          <w:szCs w:val="20"/>
        </w:rPr>
        <w:footnoteReference w:id="45"/>
      </w:r>
      <w:r w:rsidRPr="003564A3">
        <w:rPr>
          <w:rFonts w:ascii="Verdana" w:hAnsi="Verdana"/>
          <w:sz w:val="20"/>
          <w:szCs w:val="20"/>
        </w:rPr>
        <w:t>, en la medida que se trata de una normativa superviniente cuya fecha de publicación es posterior a la fecha de presentación de los escritos</w:t>
      </w:r>
      <w:r w:rsidR="007A3899">
        <w:rPr>
          <w:rFonts w:ascii="Verdana" w:hAnsi="Verdana"/>
          <w:sz w:val="20"/>
          <w:szCs w:val="20"/>
        </w:rPr>
        <w:t>.</w:t>
      </w:r>
      <w:r w:rsidRPr="003564A3">
        <w:rPr>
          <w:rFonts w:ascii="Verdana" w:hAnsi="Verdana"/>
          <w:sz w:val="20"/>
          <w:szCs w:val="20"/>
        </w:rPr>
        <w:t xml:space="preserve"> El Estado, en sus alegatos finales, objetó la inclusión de esta documentación al considerar que la Corte no tiene competencia para pronunciarse sobre la implementación de la Ley de Seguridad Interior en virtud de que dicho ordenamiento jurídico no se encontraba vigente al momento de los hechos y no fue aplicado a los mismos</w:t>
      </w:r>
      <w:r w:rsidR="007A3899">
        <w:rPr>
          <w:rFonts w:ascii="Verdana" w:hAnsi="Verdana"/>
          <w:sz w:val="20"/>
          <w:szCs w:val="20"/>
        </w:rPr>
        <w:t>.</w:t>
      </w:r>
      <w:r w:rsidRPr="003564A3">
        <w:rPr>
          <w:rFonts w:ascii="Verdana" w:hAnsi="Verdana"/>
          <w:sz w:val="20"/>
          <w:szCs w:val="20"/>
        </w:rPr>
        <w:t xml:space="preserve"> En este mismo sentido, el Estado solicitó a la Corte desestimar las referencias realizadas por los </w:t>
      </w:r>
      <w:r w:rsidRPr="003564A3">
        <w:rPr>
          <w:rFonts w:ascii="Verdana" w:hAnsi="Verdana"/>
          <w:i/>
          <w:sz w:val="20"/>
          <w:szCs w:val="20"/>
        </w:rPr>
        <w:t>amicus curiae</w:t>
      </w:r>
      <w:r w:rsidRPr="003564A3">
        <w:rPr>
          <w:rFonts w:ascii="Verdana" w:hAnsi="Verdana"/>
          <w:sz w:val="20"/>
          <w:szCs w:val="20"/>
        </w:rPr>
        <w:t xml:space="preserve"> sobre la Ley de Seguridad Interior y el contexto de violencia y violación de derechos humanos</w:t>
      </w:r>
      <w:r w:rsidRPr="008D0846">
        <w:rPr>
          <w:rFonts w:ascii="Verdana" w:hAnsi="Verdana"/>
          <w:sz w:val="20"/>
          <w:szCs w:val="20"/>
        </w:rPr>
        <w:t>.</w:t>
      </w:r>
      <w:r w:rsidRPr="003564A3">
        <w:rPr>
          <w:rFonts w:ascii="Verdana" w:hAnsi="Verdana"/>
          <w:sz w:val="20"/>
          <w:szCs w:val="20"/>
        </w:rPr>
        <w:t xml:space="preserve"> </w:t>
      </w:r>
    </w:p>
    <w:p w14:paraId="67C8BA02" w14:textId="1F25149E" w:rsidR="00244830" w:rsidRPr="008D0846" w:rsidRDefault="00244830" w:rsidP="005F54F6">
      <w:pPr>
        <w:widowControl w:val="0"/>
        <w:numPr>
          <w:ilvl w:val="0"/>
          <w:numId w:val="4"/>
        </w:numPr>
        <w:tabs>
          <w:tab w:val="left" w:pos="567"/>
          <w:tab w:val="num" w:pos="12305"/>
        </w:tabs>
        <w:adjustRightInd w:val="0"/>
        <w:spacing w:before="120" w:after="120" w:line="240" w:lineRule="auto"/>
        <w:ind w:left="0" w:firstLine="0"/>
        <w:jc w:val="both"/>
        <w:textAlignment w:val="baseline"/>
        <w:rPr>
          <w:rFonts w:ascii="Verdana" w:hAnsi="Verdana"/>
          <w:sz w:val="20"/>
          <w:szCs w:val="20"/>
        </w:rPr>
      </w:pPr>
      <w:r w:rsidRPr="008D0846">
        <w:rPr>
          <w:rFonts w:ascii="Verdana" w:hAnsi="Verdana"/>
          <w:sz w:val="20"/>
          <w:szCs w:val="20"/>
        </w:rPr>
        <w:t xml:space="preserve">Asimismo, el 20 de noviembre de 2018 las representantes remitieron a la Corte distintos documentos alegados como prueba superviniente referentes a la </w:t>
      </w:r>
      <w:r w:rsidR="006764AB" w:rsidRPr="006764AB">
        <w:rPr>
          <w:rFonts w:ascii="Verdana" w:hAnsi="Verdana"/>
          <w:sz w:val="20"/>
          <w:szCs w:val="20"/>
        </w:rPr>
        <w:t>declaratoria de inconstitucionalidad</w:t>
      </w:r>
      <w:r w:rsidR="006764AB">
        <w:rPr>
          <w:rFonts w:ascii="Verdana" w:hAnsi="Verdana"/>
          <w:sz w:val="20"/>
          <w:szCs w:val="20"/>
        </w:rPr>
        <w:t xml:space="preserve"> </w:t>
      </w:r>
      <w:r w:rsidRPr="008D0846">
        <w:rPr>
          <w:rFonts w:ascii="Verdana" w:hAnsi="Verdana"/>
          <w:sz w:val="20"/>
          <w:szCs w:val="20"/>
        </w:rPr>
        <w:t xml:space="preserve">emitida por la Suprema Corte de Justicia de la Nación </w:t>
      </w:r>
      <w:r w:rsidR="006764AB">
        <w:rPr>
          <w:rFonts w:ascii="Verdana" w:hAnsi="Verdana"/>
          <w:sz w:val="20"/>
          <w:szCs w:val="20"/>
        </w:rPr>
        <w:t>respecto de</w:t>
      </w:r>
      <w:r w:rsidR="006764AB" w:rsidRPr="008D0846">
        <w:rPr>
          <w:rFonts w:ascii="Verdana" w:hAnsi="Verdana"/>
          <w:sz w:val="20"/>
          <w:szCs w:val="20"/>
        </w:rPr>
        <w:t xml:space="preserve"> </w:t>
      </w:r>
      <w:r w:rsidRPr="008D0846">
        <w:rPr>
          <w:rFonts w:ascii="Verdana" w:hAnsi="Verdana"/>
          <w:sz w:val="20"/>
          <w:szCs w:val="20"/>
        </w:rPr>
        <w:t>la Ley de Seguridad Interior</w:t>
      </w:r>
      <w:r w:rsidR="00061E19">
        <w:rPr>
          <w:rStyle w:val="FootnoteReference"/>
          <w:rFonts w:ascii="Verdana" w:hAnsi="Verdana"/>
          <w:sz w:val="20"/>
          <w:szCs w:val="20"/>
        </w:rPr>
        <w:footnoteReference w:id="46"/>
      </w:r>
      <w:r w:rsidR="00570B7B" w:rsidRPr="002E1C85">
        <w:rPr>
          <w:rFonts w:ascii="Verdana" w:eastAsia="SimSun" w:hAnsi="Verdana" w:cs="Arial"/>
          <w:color w:val="000000"/>
          <w:sz w:val="20"/>
          <w:szCs w:val="20"/>
          <w:lang w:val="es-CR" w:eastAsia="es-CR"/>
        </w:rPr>
        <w:t>;</w:t>
      </w:r>
      <w:r w:rsidRPr="008D0846">
        <w:rPr>
          <w:rFonts w:ascii="Verdana" w:hAnsi="Verdana"/>
          <w:sz w:val="20"/>
          <w:szCs w:val="20"/>
        </w:rPr>
        <w:t xml:space="preserve"> el </w:t>
      </w:r>
      <w:r w:rsidR="00AA5522" w:rsidRPr="008D0846">
        <w:rPr>
          <w:rFonts w:ascii="Verdana" w:hAnsi="Verdana"/>
          <w:sz w:val="20"/>
          <w:szCs w:val="20"/>
        </w:rPr>
        <w:t>“</w:t>
      </w:r>
      <w:r w:rsidRPr="008D0846">
        <w:rPr>
          <w:rFonts w:ascii="Verdana" w:hAnsi="Verdana"/>
          <w:sz w:val="20"/>
          <w:szCs w:val="20"/>
        </w:rPr>
        <w:t xml:space="preserve">Plan Nacional de </w:t>
      </w:r>
      <w:r w:rsidR="00AA5522" w:rsidRPr="008D0846">
        <w:rPr>
          <w:rFonts w:ascii="Verdana" w:hAnsi="Verdana"/>
          <w:sz w:val="20"/>
          <w:szCs w:val="20"/>
        </w:rPr>
        <w:t xml:space="preserve">Paz y </w:t>
      </w:r>
      <w:r w:rsidRPr="008D0846">
        <w:rPr>
          <w:rFonts w:ascii="Verdana" w:hAnsi="Verdana"/>
          <w:sz w:val="20"/>
          <w:szCs w:val="20"/>
        </w:rPr>
        <w:t>Seguridad</w:t>
      </w:r>
      <w:r w:rsidR="00D86D40">
        <w:rPr>
          <w:rFonts w:ascii="Verdana" w:hAnsi="Verdana"/>
          <w:sz w:val="20"/>
          <w:szCs w:val="20"/>
        </w:rPr>
        <w:t xml:space="preserve"> 2018-2024</w:t>
      </w:r>
      <w:r w:rsidR="00AA5522" w:rsidRPr="008D0846">
        <w:rPr>
          <w:rFonts w:ascii="Verdana" w:hAnsi="Verdana"/>
          <w:sz w:val="20"/>
          <w:szCs w:val="20"/>
        </w:rPr>
        <w:t>”</w:t>
      </w:r>
      <w:r w:rsidR="00061E19">
        <w:rPr>
          <w:rStyle w:val="FootnoteReference"/>
          <w:rFonts w:ascii="Verdana" w:hAnsi="Verdana"/>
          <w:sz w:val="20"/>
          <w:szCs w:val="20"/>
        </w:rPr>
        <w:footnoteReference w:id="47"/>
      </w:r>
      <w:r w:rsidRPr="008D0846">
        <w:rPr>
          <w:rFonts w:ascii="Verdana" w:hAnsi="Verdana"/>
          <w:sz w:val="20"/>
          <w:szCs w:val="20"/>
        </w:rPr>
        <w:t xml:space="preserve">, y </w:t>
      </w:r>
      <w:r w:rsidR="00474CC9" w:rsidRPr="008D0846">
        <w:rPr>
          <w:rFonts w:ascii="Verdana" w:hAnsi="Verdana"/>
          <w:sz w:val="20"/>
          <w:szCs w:val="20"/>
        </w:rPr>
        <w:t>la iniciativa</w:t>
      </w:r>
      <w:r w:rsidRPr="008D0846">
        <w:rPr>
          <w:rFonts w:ascii="Verdana" w:hAnsi="Verdana"/>
          <w:sz w:val="20"/>
          <w:szCs w:val="20"/>
        </w:rPr>
        <w:t xml:space="preserve"> de reforma constitucional presentada por un grupo parlamentario </w:t>
      </w:r>
      <w:r w:rsidR="00AB290A">
        <w:rPr>
          <w:rFonts w:ascii="Verdana" w:hAnsi="Verdana"/>
          <w:sz w:val="20"/>
          <w:szCs w:val="20"/>
        </w:rPr>
        <w:t>en el Congreso Federal</w:t>
      </w:r>
      <w:r w:rsidR="000C7423" w:rsidRPr="008D0846">
        <w:rPr>
          <w:rFonts w:ascii="Verdana" w:hAnsi="Verdana"/>
          <w:sz w:val="20"/>
          <w:szCs w:val="20"/>
          <w:vertAlign w:val="superscript"/>
        </w:rPr>
        <w:footnoteReference w:id="48"/>
      </w:r>
      <w:r w:rsidRPr="008D0846">
        <w:rPr>
          <w:rFonts w:ascii="Verdana" w:hAnsi="Verdana"/>
          <w:sz w:val="20"/>
          <w:szCs w:val="20"/>
        </w:rPr>
        <w:t xml:space="preserve">. En sus </w:t>
      </w:r>
      <w:r w:rsidRPr="008D0846">
        <w:rPr>
          <w:rFonts w:ascii="Verdana" w:hAnsi="Verdana"/>
          <w:sz w:val="20"/>
          <w:szCs w:val="20"/>
        </w:rPr>
        <w:lastRenderedPageBreak/>
        <w:t>observaciones, la Comisión señaló que dicha información resultaba pertinente para el análisis de las garantías de no repetición “que resultan necesarias tomando en cuenta el contexto en que sucedieron los hechos y la vigencia de muchos factores que</w:t>
      </w:r>
      <w:r w:rsidRPr="003564A3">
        <w:rPr>
          <w:rFonts w:ascii="Verdana" w:hAnsi="Verdana"/>
          <w:b/>
          <w:sz w:val="20"/>
          <w:szCs w:val="20"/>
        </w:rPr>
        <w:t xml:space="preserve"> </w:t>
      </w:r>
      <w:r w:rsidRPr="008D0846">
        <w:rPr>
          <w:rFonts w:ascii="Verdana" w:hAnsi="Verdana"/>
          <w:sz w:val="20"/>
          <w:szCs w:val="20"/>
        </w:rPr>
        <w:t>incidieron en [su] consolidación”</w:t>
      </w:r>
      <w:r w:rsidR="000C7423" w:rsidRPr="008D0846">
        <w:rPr>
          <w:rFonts w:ascii="Verdana" w:hAnsi="Verdana"/>
          <w:sz w:val="20"/>
          <w:szCs w:val="20"/>
        </w:rPr>
        <w:t>.</w:t>
      </w:r>
      <w:r w:rsidRPr="008D0846">
        <w:rPr>
          <w:rFonts w:ascii="Verdana" w:hAnsi="Verdana"/>
          <w:sz w:val="20"/>
          <w:szCs w:val="20"/>
        </w:rPr>
        <w:t xml:space="preserve"> Por su parte, el Estado solicitó a la Corte que </w:t>
      </w:r>
      <w:r w:rsidR="00AA0D56">
        <w:rPr>
          <w:rFonts w:ascii="Verdana" w:hAnsi="Verdana"/>
          <w:sz w:val="20"/>
          <w:szCs w:val="20"/>
        </w:rPr>
        <w:t>dichas documentales</w:t>
      </w:r>
      <w:r w:rsidRPr="008D0846">
        <w:rPr>
          <w:rFonts w:ascii="Verdana" w:hAnsi="Verdana"/>
          <w:sz w:val="20"/>
          <w:szCs w:val="20"/>
        </w:rPr>
        <w:t xml:space="preserve"> fueran desestimad</w:t>
      </w:r>
      <w:r w:rsidR="00AA0D56">
        <w:rPr>
          <w:rFonts w:ascii="Verdana" w:hAnsi="Verdana"/>
          <w:sz w:val="20"/>
          <w:szCs w:val="20"/>
        </w:rPr>
        <w:t>a</w:t>
      </w:r>
      <w:r w:rsidRPr="008D0846">
        <w:rPr>
          <w:rFonts w:ascii="Verdana" w:hAnsi="Verdana"/>
          <w:sz w:val="20"/>
          <w:szCs w:val="20"/>
        </w:rPr>
        <w:t>s toda vez que no versan sobre hechos contemplados en el marco fáctico sometido al conocimiento del Tribunal.</w:t>
      </w:r>
    </w:p>
    <w:p w14:paraId="61B5EF7F" w14:textId="14E8C615" w:rsidR="00244830" w:rsidRPr="00244830" w:rsidRDefault="002E1C85" w:rsidP="00244830">
      <w:pPr>
        <w:widowControl w:val="0"/>
        <w:numPr>
          <w:ilvl w:val="0"/>
          <w:numId w:val="4"/>
        </w:numPr>
        <w:tabs>
          <w:tab w:val="left" w:pos="567"/>
          <w:tab w:val="num" w:pos="12305"/>
        </w:tabs>
        <w:adjustRightInd w:val="0"/>
        <w:spacing w:before="120" w:after="120" w:line="240" w:lineRule="auto"/>
        <w:ind w:left="0" w:firstLine="0"/>
        <w:jc w:val="both"/>
        <w:textAlignment w:val="baseline"/>
        <w:rPr>
          <w:rFonts w:ascii="Verdana" w:eastAsia="Times New Roman" w:hAnsi="Verdana" w:cs="Times New Roman"/>
          <w:sz w:val="20"/>
          <w:szCs w:val="20"/>
          <w:lang w:val="es-ES" w:eastAsia="es-CR"/>
        </w:rPr>
      </w:pPr>
      <w:r w:rsidRPr="002E1C85">
        <w:rPr>
          <w:rFonts w:ascii="Verdana" w:eastAsia="Times New Roman" w:hAnsi="Verdana" w:cs="Times New Roman"/>
          <w:sz w:val="20"/>
          <w:szCs w:val="20"/>
          <w:lang w:val="es-ES" w:eastAsia="es-CR"/>
        </w:rPr>
        <w:t xml:space="preserve">La </w:t>
      </w:r>
      <w:r w:rsidR="00244830">
        <w:rPr>
          <w:rFonts w:ascii="Verdana" w:hAnsi="Verdana"/>
          <w:sz w:val="20"/>
          <w:szCs w:val="20"/>
          <w:lang w:val="es-ES"/>
        </w:rPr>
        <w:t>Corte constata que</w:t>
      </w:r>
      <w:r w:rsidR="00D60F31">
        <w:rPr>
          <w:rFonts w:ascii="Verdana" w:hAnsi="Verdana"/>
          <w:sz w:val="20"/>
          <w:szCs w:val="20"/>
          <w:lang w:val="es-ES"/>
        </w:rPr>
        <w:t>, de</w:t>
      </w:r>
      <w:r w:rsidR="00D60F31">
        <w:rPr>
          <w:rFonts w:ascii="Verdana" w:hAnsi="Verdana"/>
          <w:b/>
          <w:sz w:val="20"/>
          <w:szCs w:val="20"/>
          <w:lang w:val="es-ES"/>
        </w:rPr>
        <w:t xml:space="preserve"> </w:t>
      </w:r>
      <w:r w:rsidR="00D60F31" w:rsidRPr="008D0846">
        <w:rPr>
          <w:rFonts w:ascii="Verdana" w:hAnsi="Verdana"/>
          <w:sz w:val="20"/>
          <w:szCs w:val="20"/>
          <w:lang w:val="es-ES"/>
        </w:rPr>
        <w:t>los documentos anteriormente señalados</w:t>
      </w:r>
      <w:r w:rsidR="00244830" w:rsidRPr="008D0846">
        <w:rPr>
          <w:rFonts w:ascii="Verdana" w:hAnsi="Verdana"/>
          <w:sz w:val="20"/>
          <w:szCs w:val="20"/>
          <w:lang w:val="es-ES"/>
        </w:rPr>
        <w:t xml:space="preserve">, </w:t>
      </w:r>
      <w:r w:rsidR="00D60F31" w:rsidRPr="008D0846">
        <w:rPr>
          <w:rFonts w:ascii="Verdana" w:hAnsi="Verdana"/>
          <w:sz w:val="20"/>
          <w:szCs w:val="20"/>
          <w:lang w:val="es-ES"/>
        </w:rPr>
        <w:t xml:space="preserve">se desprende que mientras la </w:t>
      </w:r>
      <w:r w:rsidR="00AE5800" w:rsidRPr="008D0846">
        <w:rPr>
          <w:rFonts w:ascii="Verdana" w:hAnsi="Verdana"/>
          <w:sz w:val="20"/>
          <w:szCs w:val="20"/>
          <w:lang w:val="es-ES"/>
        </w:rPr>
        <w:t xml:space="preserve">Ley de Seguridad Interior y la correspondiente </w:t>
      </w:r>
      <w:r w:rsidR="00D60F31" w:rsidRPr="008D0846">
        <w:rPr>
          <w:rFonts w:ascii="Verdana" w:hAnsi="Verdana"/>
          <w:sz w:val="20"/>
          <w:szCs w:val="20"/>
          <w:lang w:val="es-ES"/>
        </w:rPr>
        <w:t>decisión de la SCJN tiene</w:t>
      </w:r>
      <w:r w:rsidR="00AE5800" w:rsidRPr="008D0846">
        <w:rPr>
          <w:rFonts w:ascii="Verdana" w:hAnsi="Verdana"/>
          <w:sz w:val="20"/>
          <w:szCs w:val="20"/>
          <w:lang w:val="es-ES"/>
        </w:rPr>
        <w:t>n</w:t>
      </w:r>
      <w:r w:rsidR="00D60F31" w:rsidRPr="008D0846">
        <w:rPr>
          <w:rFonts w:ascii="Verdana" w:hAnsi="Verdana"/>
          <w:sz w:val="20"/>
          <w:szCs w:val="20"/>
          <w:lang w:val="es-ES"/>
        </w:rPr>
        <w:t xml:space="preserve"> efectos jurídicos, l</w:t>
      </w:r>
      <w:r w:rsidR="00286809">
        <w:rPr>
          <w:rFonts w:ascii="Verdana" w:hAnsi="Verdana"/>
          <w:sz w:val="20"/>
          <w:szCs w:val="20"/>
          <w:lang w:val="es-ES"/>
        </w:rPr>
        <w:t>a</w:t>
      </w:r>
      <w:r w:rsidR="00D60F31" w:rsidRPr="008D0846">
        <w:rPr>
          <w:rFonts w:ascii="Verdana" w:hAnsi="Verdana"/>
          <w:sz w:val="20"/>
          <w:szCs w:val="20"/>
          <w:lang w:val="es-ES"/>
        </w:rPr>
        <w:t>s otr</w:t>
      </w:r>
      <w:r w:rsidR="00286809">
        <w:rPr>
          <w:rFonts w:ascii="Verdana" w:hAnsi="Verdana"/>
          <w:sz w:val="20"/>
          <w:szCs w:val="20"/>
          <w:lang w:val="es-ES"/>
        </w:rPr>
        <w:t>a</w:t>
      </w:r>
      <w:r w:rsidR="00D60F31" w:rsidRPr="008D0846">
        <w:rPr>
          <w:rFonts w:ascii="Verdana" w:hAnsi="Verdana"/>
          <w:sz w:val="20"/>
          <w:szCs w:val="20"/>
          <w:lang w:val="es-ES"/>
        </w:rPr>
        <w:t>s son propuestas no asumidas</w:t>
      </w:r>
      <w:r w:rsidR="00244830" w:rsidRPr="008D0846">
        <w:rPr>
          <w:rFonts w:ascii="Verdana" w:hAnsi="Verdana"/>
          <w:sz w:val="20"/>
          <w:szCs w:val="20"/>
          <w:lang w:val="es-ES"/>
        </w:rPr>
        <w:t xml:space="preserve"> por </w:t>
      </w:r>
      <w:r w:rsidR="00D60F31" w:rsidRPr="008D0846">
        <w:rPr>
          <w:rFonts w:ascii="Verdana" w:hAnsi="Verdana"/>
          <w:sz w:val="20"/>
          <w:szCs w:val="20"/>
          <w:lang w:val="es-ES"/>
        </w:rPr>
        <w:t>un órgano del Estado y carentes por ahora de efectos jurídicos. Por tanto</w:t>
      </w:r>
      <w:r w:rsidR="00AE5800" w:rsidRPr="008D0846">
        <w:rPr>
          <w:rFonts w:ascii="Verdana" w:hAnsi="Verdana"/>
          <w:sz w:val="20"/>
          <w:szCs w:val="20"/>
          <w:lang w:val="es-ES"/>
        </w:rPr>
        <w:t>,</w:t>
      </w:r>
      <w:r w:rsidR="00D60F31" w:rsidRPr="008D0846">
        <w:rPr>
          <w:rFonts w:ascii="Verdana" w:hAnsi="Verdana"/>
          <w:sz w:val="20"/>
          <w:szCs w:val="20"/>
          <w:lang w:val="es-ES"/>
        </w:rPr>
        <w:t xml:space="preserve"> sólo la</w:t>
      </w:r>
      <w:r w:rsidR="00BA46BA">
        <w:rPr>
          <w:rFonts w:ascii="Verdana" w:hAnsi="Verdana"/>
          <w:sz w:val="20"/>
          <w:szCs w:val="20"/>
          <w:lang w:val="es-ES"/>
        </w:rPr>
        <w:t>s</w:t>
      </w:r>
      <w:r w:rsidR="00D60F31" w:rsidRPr="008D0846">
        <w:rPr>
          <w:rFonts w:ascii="Verdana" w:hAnsi="Verdana"/>
          <w:sz w:val="20"/>
          <w:szCs w:val="20"/>
          <w:lang w:val="es-ES"/>
        </w:rPr>
        <w:t xml:space="preserve"> primera</w:t>
      </w:r>
      <w:r w:rsidR="00BA46BA">
        <w:rPr>
          <w:rFonts w:ascii="Verdana" w:hAnsi="Verdana"/>
          <w:sz w:val="20"/>
          <w:szCs w:val="20"/>
          <w:lang w:val="es-ES"/>
        </w:rPr>
        <w:t>s</w:t>
      </w:r>
      <w:r w:rsidR="00D60F31" w:rsidRPr="008D0846">
        <w:rPr>
          <w:rFonts w:ascii="Verdana" w:hAnsi="Verdana"/>
          <w:sz w:val="20"/>
          <w:szCs w:val="20"/>
          <w:lang w:val="es-ES"/>
        </w:rPr>
        <w:t xml:space="preserve"> será estimada como parte del contexto</w:t>
      </w:r>
      <w:r w:rsidR="00D60F31" w:rsidRPr="00D60F31">
        <w:rPr>
          <w:rFonts w:ascii="Verdana" w:hAnsi="Verdana"/>
          <w:b/>
          <w:sz w:val="20"/>
          <w:szCs w:val="20"/>
          <w:lang w:val="es-ES"/>
        </w:rPr>
        <w:t xml:space="preserve"> </w:t>
      </w:r>
      <w:r w:rsidR="00244830">
        <w:rPr>
          <w:rFonts w:ascii="Verdana" w:hAnsi="Verdana"/>
          <w:sz w:val="20"/>
          <w:szCs w:val="20"/>
          <w:lang w:val="es-ES"/>
        </w:rPr>
        <w:t>(</w:t>
      </w:r>
      <w:r w:rsidR="00244830">
        <w:rPr>
          <w:rFonts w:ascii="Verdana" w:hAnsi="Verdana"/>
          <w:i/>
          <w:iCs/>
          <w:sz w:val="20"/>
          <w:szCs w:val="20"/>
          <w:lang w:val="es-ES"/>
        </w:rPr>
        <w:t xml:space="preserve">infra </w:t>
      </w:r>
      <w:r w:rsidR="00244830" w:rsidRPr="008D0846">
        <w:rPr>
          <w:rFonts w:ascii="Verdana" w:hAnsi="Verdana"/>
          <w:iCs/>
          <w:sz w:val="20"/>
          <w:szCs w:val="20"/>
          <w:lang w:val="es-ES"/>
        </w:rPr>
        <w:t>párr</w:t>
      </w:r>
      <w:r w:rsidR="00244830">
        <w:rPr>
          <w:rFonts w:ascii="Verdana" w:hAnsi="Verdana"/>
          <w:i/>
          <w:iCs/>
          <w:sz w:val="20"/>
          <w:szCs w:val="20"/>
          <w:lang w:val="es-ES"/>
        </w:rPr>
        <w:t xml:space="preserve">. </w:t>
      </w:r>
      <w:r w:rsidR="00244830" w:rsidRPr="008D0846">
        <w:rPr>
          <w:rFonts w:ascii="Verdana" w:hAnsi="Verdana"/>
          <w:iCs/>
          <w:sz w:val="20"/>
          <w:szCs w:val="20"/>
          <w:lang w:val="es-ES"/>
        </w:rPr>
        <w:t>5</w:t>
      </w:r>
      <w:r w:rsidR="00286809" w:rsidRPr="008D0846">
        <w:rPr>
          <w:rFonts w:ascii="Verdana" w:hAnsi="Verdana"/>
          <w:iCs/>
          <w:sz w:val="20"/>
          <w:szCs w:val="20"/>
          <w:lang w:val="es-ES"/>
        </w:rPr>
        <w:t>8</w:t>
      </w:r>
      <w:r w:rsidR="00244830">
        <w:rPr>
          <w:rFonts w:ascii="Verdana" w:hAnsi="Verdana"/>
          <w:sz w:val="20"/>
          <w:szCs w:val="20"/>
          <w:lang w:val="es-ES"/>
        </w:rPr>
        <w:t xml:space="preserve">). </w:t>
      </w:r>
    </w:p>
    <w:p w14:paraId="64AA5DFD" w14:textId="41D29D57" w:rsidR="002E1C85" w:rsidRPr="00C90B3F" w:rsidRDefault="0020172F" w:rsidP="00C90B3F">
      <w:pPr>
        <w:keepNext/>
        <w:keepLines/>
        <w:widowControl w:val="0"/>
        <w:numPr>
          <w:ilvl w:val="0"/>
          <w:numId w:val="9"/>
        </w:numPr>
        <w:adjustRightInd w:val="0"/>
        <w:spacing w:before="120" w:after="120" w:line="240" w:lineRule="auto"/>
        <w:jc w:val="both"/>
        <w:textAlignment w:val="baseline"/>
        <w:outlineLvl w:val="1"/>
        <w:rPr>
          <w:rFonts w:ascii="Verdana" w:eastAsia="Calibri" w:hAnsi="Verdana" w:cs="Times New Roman"/>
          <w:b/>
          <w:i/>
          <w:spacing w:val="-2"/>
          <w:sz w:val="20"/>
          <w:szCs w:val="20"/>
          <w:lang w:val="es-ES" w:eastAsia="x-none"/>
        </w:rPr>
      </w:pPr>
      <w:r>
        <w:rPr>
          <w:rFonts w:ascii="Verdana" w:eastAsia="Calibri" w:hAnsi="Verdana" w:cs="Times New Roman"/>
          <w:b/>
          <w:i/>
          <w:spacing w:val="-2"/>
          <w:sz w:val="20"/>
          <w:szCs w:val="20"/>
          <w:lang w:val="es-ES" w:eastAsia="x-none"/>
        </w:rPr>
        <w:t xml:space="preserve"> </w:t>
      </w:r>
      <w:bookmarkStart w:id="99" w:name="_Toc532995324"/>
      <w:r w:rsidR="00891997" w:rsidRPr="00C90B3F">
        <w:rPr>
          <w:rFonts w:ascii="Verdana" w:eastAsia="Calibri" w:hAnsi="Verdana" w:cs="Times New Roman"/>
          <w:b/>
          <w:i/>
          <w:spacing w:val="-2"/>
          <w:sz w:val="20"/>
          <w:szCs w:val="20"/>
          <w:lang w:val="es-ES" w:eastAsia="x-none"/>
        </w:rPr>
        <w:t>Admisibilidad de la prueba testimonial y pericial</w:t>
      </w:r>
      <w:bookmarkEnd w:id="99"/>
      <w:r w:rsidR="00891997" w:rsidRPr="00C90B3F">
        <w:rPr>
          <w:rFonts w:ascii="Verdana" w:eastAsia="Calibri" w:hAnsi="Verdana" w:cs="Times New Roman"/>
          <w:b/>
          <w:i/>
          <w:spacing w:val="-2"/>
          <w:sz w:val="20"/>
          <w:szCs w:val="20"/>
          <w:lang w:val="es-ES" w:eastAsia="x-none"/>
        </w:rPr>
        <w:t xml:space="preserve"> </w:t>
      </w:r>
    </w:p>
    <w:p w14:paraId="64AA5DFF" w14:textId="2D82645C" w:rsidR="002E1C85" w:rsidRPr="00E67720" w:rsidRDefault="002E1C85" w:rsidP="00EC08E0">
      <w:pPr>
        <w:widowControl w:val="0"/>
        <w:numPr>
          <w:ilvl w:val="0"/>
          <w:numId w:val="4"/>
        </w:numPr>
        <w:tabs>
          <w:tab w:val="left" w:pos="567"/>
          <w:tab w:val="num" w:pos="12305"/>
        </w:tabs>
        <w:adjustRightInd w:val="0"/>
        <w:spacing w:before="120" w:after="120" w:line="240" w:lineRule="auto"/>
        <w:ind w:left="0" w:firstLine="0"/>
        <w:jc w:val="both"/>
        <w:textAlignment w:val="baseline"/>
        <w:rPr>
          <w:rFonts w:ascii="Verdana" w:eastAsia="Times New Roman" w:hAnsi="Verdana" w:cs="Times New Roman"/>
          <w:sz w:val="20"/>
          <w:szCs w:val="20"/>
          <w:lang w:val="es-ES" w:eastAsia="es-CR"/>
        </w:rPr>
      </w:pPr>
      <w:r w:rsidRPr="002E1C85">
        <w:rPr>
          <w:rFonts w:ascii="Verdana" w:eastAsia="Times New Roman" w:hAnsi="Verdana" w:cs="Times New Roman"/>
          <w:sz w:val="20"/>
          <w:szCs w:val="20"/>
          <w:lang w:val="es-ES" w:eastAsia="es-CR"/>
        </w:rPr>
        <w:t>La Corte estima pertinente admitir las declaraciones y dictámenes rendidos en audiencia pública</w:t>
      </w:r>
      <w:r w:rsidR="00414684">
        <w:rPr>
          <w:rStyle w:val="FootnoteReference"/>
          <w:rFonts w:ascii="Verdana" w:eastAsia="Times New Roman" w:hAnsi="Verdana" w:cs="Times New Roman"/>
          <w:sz w:val="20"/>
          <w:szCs w:val="20"/>
          <w:lang w:val="es-ES" w:eastAsia="es-CR"/>
        </w:rPr>
        <w:footnoteReference w:id="49"/>
      </w:r>
      <w:r w:rsidRPr="002E1C85">
        <w:rPr>
          <w:rFonts w:ascii="Verdana" w:eastAsia="Times New Roman" w:hAnsi="Verdana" w:cs="Times New Roman"/>
          <w:sz w:val="20"/>
          <w:szCs w:val="20"/>
          <w:lang w:val="es-ES" w:eastAsia="es-CR"/>
        </w:rPr>
        <w:t xml:space="preserve"> y mediante declaraciones ante fedatario público</w:t>
      </w:r>
      <w:r w:rsidR="00414684" w:rsidRPr="008D0846">
        <w:rPr>
          <w:rStyle w:val="FootnoteReference"/>
          <w:rFonts w:ascii="Verdana" w:eastAsia="Calibri" w:hAnsi="Verdana" w:cs="Times New Roman"/>
          <w:spacing w:val="-2"/>
          <w:sz w:val="20"/>
          <w:szCs w:val="20"/>
          <w:lang w:val="es-ES" w:eastAsia="x-none"/>
        </w:rPr>
        <w:footnoteReference w:id="50"/>
      </w:r>
      <w:r w:rsidRPr="006764AB">
        <w:rPr>
          <w:rFonts w:ascii="Verdana" w:eastAsia="Times New Roman" w:hAnsi="Verdana" w:cs="Times New Roman"/>
          <w:sz w:val="20"/>
          <w:szCs w:val="20"/>
          <w:lang w:val="es-ES" w:eastAsia="es-CR"/>
        </w:rPr>
        <w:t>,</w:t>
      </w:r>
      <w:r w:rsidRPr="002E1C85">
        <w:rPr>
          <w:rFonts w:ascii="Verdana" w:eastAsia="Times New Roman" w:hAnsi="Verdana" w:cs="Times New Roman"/>
          <w:sz w:val="20"/>
          <w:szCs w:val="20"/>
          <w:lang w:val="es-ES" w:eastAsia="es-CR"/>
        </w:rPr>
        <w:t xml:space="preserve"> en cuanto se ajusten al objeto definido por el Presidente en la Resolución que ordenó recibirlos</w:t>
      </w:r>
      <w:r w:rsidRPr="002E1C85">
        <w:rPr>
          <w:rFonts w:ascii="Verdana" w:eastAsia="Times New Roman" w:hAnsi="Verdana" w:cs="Times New Roman"/>
          <w:sz w:val="20"/>
          <w:szCs w:val="20"/>
          <w:vertAlign w:val="superscript"/>
          <w:lang w:val="es-ES" w:eastAsia="es-CR"/>
        </w:rPr>
        <w:footnoteReference w:id="51"/>
      </w:r>
      <w:r w:rsidRPr="002E1C85">
        <w:rPr>
          <w:rFonts w:ascii="Verdana" w:eastAsia="Times New Roman" w:hAnsi="Verdana" w:cs="Times New Roman"/>
          <w:sz w:val="20"/>
          <w:szCs w:val="20"/>
          <w:lang w:val="es-ES" w:eastAsia="es-CR"/>
        </w:rPr>
        <w:t xml:space="preserve"> y al objeto del presente caso.</w:t>
      </w:r>
    </w:p>
    <w:p w14:paraId="64AA5E01" w14:textId="0ACEDA32" w:rsidR="002E1C85" w:rsidRPr="00E67720" w:rsidRDefault="002E1C85" w:rsidP="00EC08E0">
      <w:pPr>
        <w:widowControl w:val="0"/>
        <w:numPr>
          <w:ilvl w:val="0"/>
          <w:numId w:val="4"/>
        </w:numPr>
        <w:tabs>
          <w:tab w:val="left" w:pos="567"/>
          <w:tab w:val="num" w:pos="12305"/>
        </w:tabs>
        <w:adjustRightInd w:val="0"/>
        <w:spacing w:before="120" w:after="120" w:line="240" w:lineRule="auto"/>
        <w:ind w:left="0" w:firstLine="0"/>
        <w:jc w:val="both"/>
        <w:textAlignment w:val="baseline"/>
        <w:rPr>
          <w:rFonts w:ascii="Verdana" w:eastAsia="Times New Roman" w:hAnsi="Verdana" w:cs="Times New Roman"/>
          <w:sz w:val="20"/>
          <w:szCs w:val="20"/>
          <w:lang w:val="es-ES" w:eastAsia="es-CR"/>
        </w:rPr>
      </w:pPr>
      <w:r w:rsidRPr="002E1C85">
        <w:rPr>
          <w:rFonts w:ascii="Verdana" w:eastAsia="Times New Roman" w:hAnsi="Verdana" w:cs="Times New Roman"/>
          <w:sz w:val="20"/>
          <w:szCs w:val="20"/>
          <w:lang w:val="es-ES" w:eastAsia="es-CR"/>
        </w:rPr>
        <w:t>El Estado objetó la admisibilidad de las declaraciones ofrecidas por las representantes y presentadas tanto en audiencia como ante fedatario público. Respecto de las declaraciones de María de Jesús Alvarado Espinoza, Jaime Alvarado Herrera, Sandra Luz Rueda Quezada, Deisy Alvarado Espinoza, Mitzy Paola Alvarado Espinoza, Nitza Sitlaly Alvarado Espinoza, José Ángel Alvarado Fabela, Salomón Baltazar Samayoa, Rosa Olivia Alvarado Herrera, Adrián Alvarado Reyes, Alan Rafael Alvarado Reyes y Obdulia Espinoza Beltrán</w:t>
      </w:r>
      <w:r w:rsidR="00286809">
        <w:rPr>
          <w:rFonts w:ascii="Verdana" w:eastAsia="Times New Roman" w:hAnsi="Verdana" w:cs="Times New Roman"/>
          <w:sz w:val="20"/>
          <w:szCs w:val="20"/>
          <w:lang w:val="es-ES" w:eastAsia="es-CR"/>
        </w:rPr>
        <w:t>,</w:t>
      </w:r>
      <w:r w:rsidRPr="002E1C85">
        <w:rPr>
          <w:rFonts w:ascii="Verdana" w:eastAsia="Times New Roman" w:hAnsi="Verdana" w:cs="Times New Roman"/>
          <w:sz w:val="20"/>
          <w:szCs w:val="20"/>
          <w:lang w:val="es-ES" w:eastAsia="es-CR"/>
        </w:rPr>
        <w:t xml:space="preserve"> </w:t>
      </w:r>
      <w:r w:rsidRPr="002E1C85">
        <w:rPr>
          <w:rFonts w:ascii="Verdana" w:eastAsia="Times New Roman" w:hAnsi="Verdana" w:cs="Times New Roman"/>
          <w:sz w:val="20"/>
          <w:szCs w:val="20"/>
          <w:lang w:val="es-CR" w:eastAsia="es-CR"/>
        </w:rPr>
        <w:t>el Tribunal nota que las observaciones del Estado versan sobre el contenido de l</w:t>
      </w:r>
      <w:r w:rsidR="00286809">
        <w:rPr>
          <w:rFonts w:ascii="Verdana" w:eastAsia="Times New Roman" w:hAnsi="Verdana" w:cs="Times New Roman"/>
          <w:sz w:val="20"/>
          <w:szCs w:val="20"/>
          <w:lang w:val="es-CR" w:eastAsia="es-CR"/>
        </w:rPr>
        <w:t>a</w:t>
      </w:r>
      <w:r w:rsidRPr="002E1C85">
        <w:rPr>
          <w:rFonts w:ascii="Verdana" w:eastAsia="Times New Roman" w:hAnsi="Verdana" w:cs="Times New Roman"/>
          <w:sz w:val="20"/>
          <w:szCs w:val="20"/>
          <w:lang w:val="es-CR" w:eastAsia="es-CR"/>
        </w:rPr>
        <w:t>s mism</w:t>
      </w:r>
      <w:r w:rsidR="00286809">
        <w:rPr>
          <w:rFonts w:ascii="Verdana" w:eastAsia="Times New Roman" w:hAnsi="Verdana" w:cs="Times New Roman"/>
          <w:sz w:val="20"/>
          <w:szCs w:val="20"/>
          <w:lang w:val="es-CR" w:eastAsia="es-CR"/>
        </w:rPr>
        <w:t>a</w:t>
      </w:r>
      <w:r w:rsidRPr="002E1C85">
        <w:rPr>
          <w:rFonts w:ascii="Verdana" w:eastAsia="Times New Roman" w:hAnsi="Verdana" w:cs="Times New Roman"/>
          <w:sz w:val="20"/>
          <w:szCs w:val="20"/>
          <w:lang w:val="es-CR" w:eastAsia="es-CR"/>
        </w:rPr>
        <w:t>s y, por ende, podrían impactar en la valoración de su peso probatorio, pero no afectan su admisibilidad</w:t>
      </w:r>
      <w:r w:rsidRPr="002E1C85">
        <w:rPr>
          <w:rFonts w:ascii="Verdana" w:eastAsia="Times New Roman" w:hAnsi="Verdana" w:cs="Times New Roman"/>
          <w:sz w:val="20"/>
          <w:szCs w:val="20"/>
          <w:vertAlign w:val="superscript"/>
          <w:lang w:val="es-CR" w:eastAsia="es-CR"/>
        </w:rPr>
        <w:footnoteReference w:id="52"/>
      </w:r>
      <w:r w:rsidR="003733EF" w:rsidRPr="008D0846">
        <w:rPr>
          <w:rFonts w:ascii="Verdana" w:eastAsia="Times New Roman" w:hAnsi="Verdana" w:cs="Times New Roman"/>
          <w:sz w:val="20"/>
          <w:szCs w:val="20"/>
          <w:lang w:val="es-CR" w:eastAsia="es-CR"/>
        </w:rPr>
        <w:t>.</w:t>
      </w:r>
    </w:p>
    <w:p w14:paraId="31BC6844" w14:textId="3D73CDFC" w:rsidR="00CA2568" w:rsidRPr="00E67720" w:rsidRDefault="00CA2568" w:rsidP="0057411A">
      <w:pPr>
        <w:pStyle w:val="Heading1"/>
      </w:pPr>
      <w:bookmarkStart w:id="100" w:name="_Toc526774148"/>
      <w:bookmarkStart w:id="101" w:name="_Toc526777480"/>
      <w:bookmarkStart w:id="102" w:name="_Toc526783759"/>
      <w:bookmarkStart w:id="103" w:name="_Toc532995325"/>
      <w:r w:rsidRPr="00CA2568">
        <w:t>VI</w:t>
      </w:r>
      <w:r w:rsidRPr="00CA2568">
        <w:br/>
        <w:t>HECHOS</w:t>
      </w:r>
      <w:bookmarkEnd w:id="100"/>
      <w:bookmarkEnd w:id="101"/>
      <w:bookmarkEnd w:id="102"/>
      <w:bookmarkEnd w:id="103"/>
    </w:p>
    <w:p w14:paraId="64AA5E06" w14:textId="3036C366" w:rsidR="002E1C85" w:rsidRPr="00744CE4" w:rsidRDefault="002E1C85" w:rsidP="00744CE4">
      <w:pPr>
        <w:widowControl w:val="0"/>
        <w:numPr>
          <w:ilvl w:val="0"/>
          <w:numId w:val="4"/>
        </w:numPr>
        <w:tabs>
          <w:tab w:val="left" w:pos="567"/>
          <w:tab w:val="num" w:pos="12305"/>
        </w:tabs>
        <w:adjustRightInd w:val="0"/>
        <w:spacing w:before="120" w:after="120" w:line="240" w:lineRule="auto"/>
        <w:ind w:left="0" w:firstLine="0"/>
        <w:jc w:val="both"/>
        <w:textAlignment w:val="baseline"/>
        <w:rPr>
          <w:rFonts w:ascii="Verdana" w:eastAsia="Times New Roman" w:hAnsi="Verdana" w:cs="Verdana"/>
          <w:sz w:val="20"/>
          <w:szCs w:val="20"/>
          <w:lang w:val="es-ES" w:eastAsia="es-MX"/>
        </w:rPr>
      </w:pPr>
      <w:r w:rsidRPr="00744CE4">
        <w:rPr>
          <w:rFonts w:ascii="Verdana" w:hAnsi="Verdana"/>
          <w:sz w:val="20"/>
          <w:szCs w:val="20"/>
        </w:rPr>
        <w:t xml:space="preserve">En el presente capítulo se establecerán los hechos del presente caso con base en </w:t>
      </w:r>
      <w:r w:rsidRPr="00744CE4">
        <w:rPr>
          <w:rFonts w:ascii="Verdana" w:hAnsi="Verdana"/>
          <w:sz w:val="20"/>
          <w:szCs w:val="20"/>
          <w:lang w:val="es-CR"/>
        </w:rPr>
        <w:t>el marco fáctico sometido al conocimiento de la Corte por la Comisión, tomando en consideración el acervo probatorio en vista del Tribunal, lo alegado por las representantes y el Estado, así como el reconocimiento parcial de re</w:t>
      </w:r>
      <w:r w:rsidRPr="00432ABC">
        <w:rPr>
          <w:rFonts w:ascii="Verdana" w:hAnsi="Verdana"/>
          <w:sz w:val="20"/>
          <w:szCs w:val="20"/>
          <w:lang w:val="es-CR"/>
        </w:rPr>
        <w:t>sponsabilidad realizado por este último y demás puntos que no han sido controvertidos por las partes (</w:t>
      </w:r>
      <w:r w:rsidR="00205AF7" w:rsidRPr="00432ABC">
        <w:rPr>
          <w:rFonts w:ascii="Verdana" w:hAnsi="Verdana"/>
          <w:i/>
          <w:sz w:val="20"/>
          <w:szCs w:val="20"/>
          <w:lang w:val="es-CR"/>
        </w:rPr>
        <w:t xml:space="preserve">supra </w:t>
      </w:r>
      <w:r w:rsidRPr="00432ABC">
        <w:rPr>
          <w:rFonts w:ascii="Verdana" w:hAnsi="Verdana"/>
          <w:sz w:val="20"/>
          <w:szCs w:val="20"/>
          <w:lang w:val="es-CR"/>
        </w:rPr>
        <w:t xml:space="preserve">párrs. </w:t>
      </w:r>
      <w:r w:rsidR="00804081">
        <w:rPr>
          <w:rFonts w:ascii="Verdana" w:hAnsi="Verdana"/>
          <w:sz w:val="20"/>
          <w:szCs w:val="20"/>
          <w:lang w:val="es-CR"/>
        </w:rPr>
        <w:t>33 a 35</w:t>
      </w:r>
      <w:r w:rsidRPr="00432ABC">
        <w:rPr>
          <w:rFonts w:ascii="Verdana" w:hAnsi="Verdana"/>
          <w:sz w:val="20"/>
          <w:szCs w:val="20"/>
          <w:lang w:val="es-CR"/>
        </w:rPr>
        <w:t>). Por consiguiente, los mismos serán expuestos conforme a los apartados siguientes: a) Contexto de desapariciones y la existencia de un pa</w:t>
      </w:r>
      <w:r w:rsidRPr="002C462C">
        <w:rPr>
          <w:rFonts w:ascii="Verdana" w:hAnsi="Verdana"/>
          <w:sz w:val="20"/>
          <w:szCs w:val="20"/>
          <w:lang w:val="es-CR"/>
        </w:rPr>
        <w:t>trón de impunidad en México; b) Sobre Nitza Paola Alvarado Espinoza, José Ángel Alvarado Herrera y Rocío Irene Alvarado Reyes; c) La</w:t>
      </w:r>
      <w:r w:rsidR="00B824CB">
        <w:rPr>
          <w:rFonts w:ascii="Verdana" w:hAnsi="Verdana"/>
          <w:sz w:val="20"/>
          <w:szCs w:val="20"/>
          <w:lang w:val="es-CR"/>
        </w:rPr>
        <w:t>s</w:t>
      </w:r>
      <w:r w:rsidRPr="002C462C">
        <w:rPr>
          <w:rFonts w:ascii="Verdana" w:hAnsi="Verdana"/>
          <w:sz w:val="20"/>
          <w:szCs w:val="20"/>
          <w:lang w:val="es-CR"/>
        </w:rPr>
        <w:t xml:space="preserve"> desaparici</w:t>
      </w:r>
      <w:r w:rsidR="00B824CB">
        <w:rPr>
          <w:rFonts w:ascii="Verdana" w:hAnsi="Verdana"/>
          <w:sz w:val="20"/>
          <w:szCs w:val="20"/>
          <w:lang w:val="es-CR"/>
        </w:rPr>
        <w:t>ones</w:t>
      </w:r>
      <w:r w:rsidRPr="002C462C">
        <w:rPr>
          <w:rFonts w:ascii="Verdana" w:hAnsi="Verdana"/>
          <w:sz w:val="20"/>
          <w:szCs w:val="20"/>
          <w:lang w:val="es-CR"/>
        </w:rPr>
        <w:t xml:space="preserve"> de</w:t>
      </w:r>
      <w:r w:rsidR="00B824CB">
        <w:rPr>
          <w:rFonts w:ascii="Verdana" w:hAnsi="Verdana"/>
          <w:sz w:val="20"/>
          <w:szCs w:val="20"/>
          <w:lang w:val="es-CR"/>
        </w:rPr>
        <w:t>l</w:t>
      </w:r>
      <w:r w:rsidRPr="002C462C">
        <w:rPr>
          <w:rFonts w:ascii="Verdana" w:hAnsi="Verdana"/>
          <w:sz w:val="20"/>
          <w:szCs w:val="20"/>
          <w:lang w:val="es-CR"/>
        </w:rPr>
        <w:t xml:space="preserve"> 29 de diciembre de 2009; d) Los procesos internos llevados a cabo en relación con los hechos, y e) Las </w:t>
      </w:r>
      <w:r w:rsidRPr="002C462C">
        <w:rPr>
          <w:rFonts w:ascii="Verdana" w:hAnsi="Verdana"/>
          <w:sz w:val="20"/>
          <w:szCs w:val="20"/>
          <w:lang w:val="es-CR"/>
        </w:rPr>
        <w:lastRenderedPageBreak/>
        <w:t>amenazas y hostigamientos recibidos por los familiares una vez ocurridas las desapariciones</w:t>
      </w:r>
      <w:r w:rsidRPr="00744CE4">
        <w:rPr>
          <w:rFonts w:ascii="Verdana" w:hAnsi="Verdana"/>
          <w:sz w:val="20"/>
          <w:szCs w:val="20"/>
          <w:lang w:val="es-CR"/>
        </w:rPr>
        <w:t>.</w:t>
      </w:r>
    </w:p>
    <w:p w14:paraId="1EA356AE" w14:textId="0D0883E8" w:rsidR="00762AD6" w:rsidRDefault="0020172F" w:rsidP="00432ABC">
      <w:pPr>
        <w:pStyle w:val="ListParagraph"/>
        <w:keepNext/>
        <w:keepLines/>
        <w:widowControl w:val="0"/>
        <w:numPr>
          <w:ilvl w:val="0"/>
          <w:numId w:val="42"/>
        </w:numPr>
        <w:adjustRightInd w:val="0"/>
        <w:spacing w:before="120" w:after="120" w:line="240" w:lineRule="auto"/>
        <w:contextualSpacing w:val="0"/>
        <w:jc w:val="both"/>
        <w:textAlignment w:val="baseline"/>
        <w:outlineLvl w:val="1"/>
        <w:rPr>
          <w:rFonts w:ascii="Verdana" w:hAnsi="Verdana"/>
          <w:b/>
          <w:i/>
          <w:sz w:val="20"/>
        </w:rPr>
      </w:pPr>
      <w:bookmarkStart w:id="104" w:name="_Toc526774149"/>
      <w:bookmarkStart w:id="105" w:name="_Toc526777481"/>
      <w:bookmarkStart w:id="106" w:name="_Toc526783760"/>
      <w:r>
        <w:rPr>
          <w:rFonts w:ascii="Verdana" w:hAnsi="Verdana"/>
          <w:b/>
          <w:i/>
          <w:sz w:val="20"/>
        </w:rPr>
        <w:t xml:space="preserve"> </w:t>
      </w:r>
      <w:bookmarkStart w:id="107" w:name="_Toc532995326"/>
      <w:r w:rsidR="002E1C85" w:rsidRPr="00432ABC">
        <w:rPr>
          <w:rFonts w:ascii="Verdana" w:hAnsi="Verdana"/>
          <w:b/>
          <w:i/>
          <w:sz w:val="20"/>
        </w:rPr>
        <w:t>Contexto</w:t>
      </w:r>
      <w:bookmarkEnd w:id="104"/>
      <w:bookmarkEnd w:id="105"/>
      <w:bookmarkEnd w:id="106"/>
      <w:bookmarkEnd w:id="107"/>
      <w:r w:rsidR="002E1C85" w:rsidRPr="00432ABC">
        <w:rPr>
          <w:rFonts w:ascii="Verdana" w:hAnsi="Verdana"/>
          <w:b/>
          <w:i/>
          <w:sz w:val="20"/>
        </w:rPr>
        <w:t xml:space="preserve"> </w:t>
      </w:r>
    </w:p>
    <w:p w14:paraId="40F754E3" w14:textId="4B476DF8" w:rsidR="00474CC9" w:rsidRPr="008D0846" w:rsidRDefault="00474CC9" w:rsidP="005F54F6">
      <w:pPr>
        <w:widowControl w:val="0"/>
        <w:numPr>
          <w:ilvl w:val="0"/>
          <w:numId w:val="4"/>
        </w:numPr>
        <w:tabs>
          <w:tab w:val="left" w:pos="567"/>
          <w:tab w:val="num" w:pos="12305"/>
        </w:tabs>
        <w:adjustRightInd w:val="0"/>
        <w:spacing w:before="120" w:after="120" w:line="240" w:lineRule="auto"/>
        <w:ind w:left="0" w:firstLine="0"/>
        <w:jc w:val="both"/>
        <w:textAlignment w:val="baseline"/>
        <w:rPr>
          <w:rFonts w:ascii="Verdana" w:hAnsi="Verdana"/>
          <w:i/>
          <w:sz w:val="20"/>
        </w:rPr>
      </w:pPr>
      <w:r w:rsidRPr="008D0846">
        <w:rPr>
          <w:rFonts w:ascii="Verdana" w:hAnsi="Verdana"/>
          <w:sz w:val="20"/>
        </w:rPr>
        <w:t xml:space="preserve">Tomando en cuenta </w:t>
      </w:r>
      <w:r w:rsidR="006D2CA5" w:rsidRPr="008D0846">
        <w:rPr>
          <w:rFonts w:ascii="Verdana" w:hAnsi="Verdana"/>
          <w:sz w:val="20"/>
        </w:rPr>
        <w:t xml:space="preserve">que </w:t>
      </w:r>
      <w:r w:rsidRPr="008D0846">
        <w:rPr>
          <w:rFonts w:ascii="Verdana" w:hAnsi="Verdana"/>
          <w:sz w:val="20"/>
        </w:rPr>
        <w:t>la violencia derivada del crimen organizado y su combate por parte de agentes estatal</w:t>
      </w:r>
      <w:r w:rsidR="006D2CA5" w:rsidRPr="008D0846">
        <w:rPr>
          <w:rFonts w:ascii="Verdana" w:hAnsi="Verdana"/>
          <w:sz w:val="20"/>
        </w:rPr>
        <w:t>es tiene</w:t>
      </w:r>
      <w:r w:rsidR="009263E9" w:rsidRPr="008D0846">
        <w:rPr>
          <w:rFonts w:ascii="Verdana" w:hAnsi="Verdana"/>
          <w:sz w:val="20"/>
        </w:rPr>
        <w:t xml:space="preserve"> origen en distintas causas</w:t>
      </w:r>
      <w:r w:rsidRPr="008D0846">
        <w:rPr>
          <w:rFonts w:ascii="Verdana" w:hAnsi="Verdana"/>
          <w:sz w:val="20"/>
        </w:rPr>
        <w:t xml:space="preserve">, esta Corte es consciente de los impactos que </w:t>
      </w:r>
      <w:r w:rsidR="006D2CA5" w:rsidRPr="008D0846">
        <w:rPr>
          <w:rFonts w:ascii="Verdana" w:hAnsi="Verdana"/>
          <w:sz w:val="20"/>
        </w:rPr>
        <w:t>el</w:t>
      </w:r>
      <w:r w:rsidRPr="008D0846">
        <w:rPr>
          <w:rFonts w:ascii="Verdana" w:hAnsi="Verdana"/>
          <w:sz w:val="20"/>
        </w:rPr>
        <w:t>la ha generado en Méxi</w:t>
      </w:r>
      <w:r w:rsidR="006D2CA5" w:rsidRPr="008D0846">
        <w:rPr>
          <w:rFonts w:ascii="Verdana" w:hAnsi="Verdana"/>
          <w:sz w:val="20"/>
        </w:rPr>
        <w:t>co, así como en otros países</w:t>
      </w:r>
      <w:r w:rsidR="009263E9" w:rsidRPr="008D0846">
        <w:rPr>
          <w:rFonts w:ascii="Verdana" w:hAnsi="Verdana"/>
          <w:sz w:val="20"/>
        </w:rPr>
        <w:t xml:space="preserve">, siendo </w:t>
      </w:r>
      <w:r w:rsidR="008A3009">
        <w:rPr>
          <w:rFonts w:ascii="Verdana" w:hAnsi="Verdana"/>
          <w:sz w:val="20"/>
        </w:rPr>
        <w:t>la violencia</w:t>
      </w:r>
      <w:r w:rsidR="008A3009" w:rsidRPr="008D0846">
        <w:rPr>
          <w:rFonts w:ascii="Verdana" w:hAnsi="Verdana"/>
          <w:sz w:val="20"/>
        </w:rPr>
        <w:t xml:space="preserve"> </w:t>
      </w:r>
      <w:r w:rsidRPr="008D0846">
        <w:rPr>
          <w:rFonts w:ascii="Verdana" w:hAnsi="Verdana"/>
          <w:sz w:val="20"/>
        </w:rPr>
        <w:t>multifactorial</w:t>
      </w:r>
      <w:r w:rsidR="009263E9" w:rsidRPr="008D0846">
        <w:rPr>
          <w:rFonts w:ascii="Verdana" w:hAnsi="Verdana"/>
          <w:sz w:val="20"/>
        </w:rPr>
        <w:t>,</w:t>
      </w:r>
      <w:r w:rsidRPr="008D0846">
        <w:rPr>
          <w:rFonts w:ascii="Verdana" w:hAnsi="Verdana"/>
          <w:sz w:val="20"/>
        </w:rPr>
        <w:t xml:space="preserve"> por lo que no compete a este Tribunal aludir a </w:t>
      </w:r>
      <w:r w:rsidR="009263E9" w:rsidRPr="008D0846">
        <w:rPr>
          <w:rFonts w:ascii="Verdana" w:hAnsi="Verdana"/>
          <w:sz w:val="20"/>
        </w:rPr>
        <w:t>todos sus aspectos</w:t>
      </w:r>
      <w:r w:rsidRPr="008D0846">
        <w:rPr>
          <w:rFonts w:ascii="Verdana" w:hAnsi="Verdana"/>
          <w:sz w:val="20"/>
        </w:rPr>
        <w:t>, sino particularmente a l</w:t>
      </w:r>
      <w:r w:rsidR="008B1154">
        <w:rPr>
          <w:rFonts w:ascii="Verdana" w:hAnsi="Verdana"/>
          <w:sz w:val="20"/>
        </w:rPr>
        <w:t>o</w:t>
      </w:r>
      <w:r w:rsidRPr="008D0846">
        <w:rPr>
          <w:rFonts w:ascii="Verdana" w:hAnsi="Verdana"/>
          <w:sz w:val="20"/>
        </w:rPr>
        <w:t xml:space="preserve">s atinentes al </w:t>
      </w:r>
      <w:r w:rsidR="006D2CA5" w:rsidRPr="008D0846">
        <w:rPr>
          <w:rFonts w:ascii="Verdana" w:hAnsi="Verdana"/>
          <w:sz w:val="20"/>
        </w:rPr>
        <w:t>presente caso y en especial</w:t>
      </w:r>
      <w:r w:rsidRPr="008D0846">
        <w:rPr>
          <w:rFonts w:ascii="Verdana" w:hAnsi="Verdana"/>
          <w:sz w:val="20"/>
        </w:rPr>
        <w:t xml:space="preserve"> </w:t>
      </w:r>
      <w:r w:rsidR="006D2CA5" w:rsidRPr="008D0846">
        <w:rPr>
          <w:rFonts w:ascii="Verdana" w:hAnsi="Verdana"/>
          <w:sz w:val="20"/>
        </w:rPr>
        <w:t xml:space="preserve">a </w:t>
      </w:r>
      <w:r w:rsidRPr="008D0846">
        <w:rPr>
          <w:rFonts w:ascii="Verdana" w:hAnsi="Verdana"/>
          <w:sz w:val="20"/>
        </w:rPr>
        <w:t xml:space="preserve">los aspectos jurídicos relacionados con el actuar del Estado </w:t>
      </w:r>
      <w:r w:rsidR="008B1154">
        <w:rPr>
          <w:rFonts w:ascii="Verdana" w:hAnsi="Verdana"/>
          <w:sz w:val="20"/>
        </w:rPr>
        <w:t>en</w:t>
      </w:r>
      <w:r w:rsidR="006D2CA5" w:rsidRPr="008D0846">
        <w:rPr>
          <w:rFonts w:ascii="Verdana" w:hAnsi="Verdana"/>
          <w:sz w:val="20"/>
        </w:rPr>
        <w:t xml:space="preserve"> </w:t>
      </w:r>
      <w:r w:rsidRPr="008D0846">
        <w:rPr>
          <w:rFonts w:ascii="Verdana" w:hAnsi="Verdana"/>
          <w:sz w:val="20"/>
        </w:rPr>
        <w:t>este respecto.</w:t>
      </w:r>
      <w:r w:rsidR="006D2CA5" w:rsidRPr="008D0846">
        <w:rPr>
          <w:rFonts w:ascii="Verdana" w:hAnsi="Verdana"/>
          <w:sz w:val="20"/>
        </w:rPr>
        <w:t xml:space="preserve"> </w:t>
      </w:r>
    </w:p>
    <w:p w14:paraId="64AA5E08" w14:textId="47F4EB35" w:rsidR="00DF112B" w:rsidRPr="00432ABC" w:rsidRDefault="00556FDB" w:rsidP="00432ABC">
      <w:pPr>
        <w:pStyle w:val="ListParagraph"/>
        <w:widowControl w:val="0"/>
        <w:numPr>
          <w:ilvl w:val="0"/>
          <w:numId w:val="43"/>
        </w:numPr>
        <w:tabs>
          <w:tab w:val="left" w:pos="567"/>
        </w:tabs>
        <w:autoSpaceDE w:val="0"/>
        <w:autoSpaceDN w:val="0"/>
        <w:adjustRightInd w:val="0"/>
        <w:spacing w:before="120" w:after="120" w:line="240" w:lineRule="auto"/>
        <w:ind w:left="1560" w:hanging="426"/>
        <w:contextualSpacing w:val="0"/>
        <w:jc w:val="both"/>
        <w:textAlignment w:val="baseline"/>
        <w:outlineLvl w:val="2"/>
        <w:rPr>
          <w:rFonts w:ascii="Verdana" w:eastAsia="Calibri" w:hAnsi="Verdana" w:cs="Times New Roman"/>
          <w:i/>
          <w:spacing w:val="-2"/>
          <w:sz w:val="20"/>
          <w:lang w:val="es-ES" w:eastAsia="x-none"/>
        </w:rPr>
      </w:pPr>
      <w:bookmarkStart w:id="108" w:name="_Toc526774150"/>
      <w:bookmarkStart w:id="109" w:name="_Toc526777482"/>
      <w:bookmarkStart w:id="110" w:name="_Toc526783761"/>
      <w:r>
        <w:rPr>
          <w:rFonts w:ascii="Verdana" w:eastAsia="Calibri" w:hAnsi="Verdana" w:cs="Times New Roman"/>
          <w:i/>
          <w:spacing w:val="-2"/>
          <w:sz w:val="20"/>
          <w:lang w:val="es-ES" w:eastAsia="x-none"/>
        </w:rPr>
        <w:t xml:space="preserve"> </w:t>
      </w:r>
      <w:bookmarkStart w:id="111" w:name="_Toc532995327"/>
      <w:r w:rsidR="00C27C14" w:rsidRPr="00432ABC">
        <w:rPr>
          <w:rFonts w:ascii="Verdana" w:eastAsia="Calibri" w:hAnsi="Verdana" w:cs="Times New Roman"/>
          <w:i/>
          <w:spacing w:val="-2"/>
          <w:sz w:val="20"/>
          <w:lang w:val="es-ES" w:eastAsia="x-none"/>
        </w:rPr>
        <w:t>Sobre las</w:t>
      </w:r>
      <w:r w:rsidR="002E1C85" w:rsidRPr="00432ABC">
        <w:rPr>
          <w:rFonts w:ascii="Verdana" w:eastAsia="Calibri" w:hAnsi="Verdana" w:cs="Times New Roman"/>
          <w:i/>
          <w:spacing w:val="-2"/>
          <w:sz w:val="20"/>
          <w:lang w:val="es-ES" w:eastAsia="x-none"/>
        </w:rPr>
        <w:t xml:space="preserve"> desapariciones y la existencia de un patrón de impunidad en México</w:t>
      </w:r>
      <w:bookmarkEnd w:id="108"/>
      <w:bookmarkEnd w:id="109"/>
      <w:bookmarkEnd w:id="110"/>
      <w:bookmarkEnd w:id="111"/>
    </w:p>
    <w:p w14:paraId="0B3FDFA9" w14:textId="4068032A" w:rsidR="005D65BA" w:rsidRDefault="002E1C85" w:rsidP="002C462C">
      <w:pPr>
        <w:pStyle w:val="Heading4"/>
        <w:numPr>
          <w:ilvl w:val="0"/>
          <w:numId w:val="27"/>
        </w:numPr>
        <w:spacing w:before="120" w:after="120"/>
        <w:contextualSpacing w:val="0"/>
        <w:rPr>
          <w:rStyle w:val="SubtleEmphasis"/>
          <w:u w:val="none"/>
        </w:rPr>
      </w:pPr>
      <w:bookmarkStart w:id="112" w:name="_Toc532995328"/>
      <w:r w:rsidRPr="002C462C">
        <w:rPr>
          <w:rStyle w:val="SubtleEmphasis"/>
          <w:u w:val="none"/>
        </w:rPr>
        <w:t>La militarización como estrategia de seguridad pública y la “guerra contra el narcotráfico”</w:t>
      </w:r>
      <w:bookmarkEnd w:id="112"/>
    </w:p>
    <w:p w14:paraId="64AA5E0B" w14:textId="1F088387" w:rsidR="002E1C85" w:rsidRPr="00244830" w:rsidRDefault="002E1C85" w:rsidP="003564A3">
      <w:pPr>
        <w:widowControl w:val="0"/>
        <w:numPr>
          <w:ilvl w:val="0"/>
          <w:numId w:val="4"/>
        </w:numPr>
        <w:tabs>
          <w:tab w:val="left" w:pos="567"/>
          <w:tab w:val="num" w:pos="12305"/>
        </w:tabs>
        <w:adjustRightInd w:val="0"/>
        <w:spacing w:after="0" w:line="240" w:lineRule="auto"/>
        <w:ind w:left="0" w:firstLine="0"/>
        <w:jc w:val="both"/>
        <w:textAlignment w:val="baseline"/>
        <w:rPr>
          <w:rFonts w:ascii="Verdana" w:eastAsiaTheme="minorHAnsi" w:hAnsi="Verdana" w:cs="Times New Roman"/>
          <w:sz w:val="20"/>
          <w:szCs w:val="20"/>
        </w:rPr>
      </w:pPr>
      <w:r w:rsidRPr="00744CE4">
        <w:rPr>
          <w:rFonts w:ascii="Verdana" w:eastAsiaTheme="minorHAnsi" w:hAnsi="Verdana"/>
          <w:sz w:val="20"/>
          <w:szCs w:val="20"/>
        </w:rPr>
        <w:t>El 11 de diciembre de 2006</w:t>
      </w:r>
      <w:r w:rsidRPr="00744CE4">
        <w:rPr>
          <w:rStyle w:val="FootnoteReference"/>
          <w:rFonts w:ascii="Verdana" w:eastAsiaTheme="minorHAnsi" w:hAnsi="Verdana"/>
          <w:sz w:val="20"/>
          <w:szCs w:val="20"/>
        </w:rPr>
        <w:footnoteReference w:id="53"/>
      </w:r>
      <w:r w:rsidRPr="00744CE4">
        <w:rPr>
          <w:rFonts w:ascii="Verdana" w:eastAsiaTheme="minorHAnsi" w:hAnsi="Verdana"/>
          <w:sz w:val="20"/>
          <w:szCs w:val="20"/>
        </w:rPr>
        <w:t xml:space="preserve">, unos días después del </w:t>
      </w:r>
      <w:r w:rsidR="003A4569" w:rsidRPr="00744CE4">
        <w:rPr>
          <w:rFonts w:ascii="Verdana" w:eastAsiaTheme="minorHAnsi" w:hAnsi="Verdana"/>
          <w:sz w:val="20"/>
          <w:szCs w:val="20"/>
        </w:rPr>
        <w:t xml:space="preserve">comienzo </w:t>
      </w:r>
      <w:r w:rsidRPr="00744CE4">
        <w:rPr>
          <w:rFonts w:ascii="Verdana" w:eastAsiaTheme="minorHAnsi" w:hAnsi="Verdana"/>
          <w:sz w:val="20"/>
          <w:szCs w:val="20"/>
        </w:rPr>
        <w:t>de la administración del entonces Presidente Felipe Calderón Hinojosa,</w:t>
      </w:r>
      <w:r w:rsidR="009B1BDF" w:rsidRPr="00432ABC">
        <w:rPr>
          <w:rFonts w:ascii="Verdana" w:eastAsiaTheme="minorHAnsi" w:hAnsi="Verdana"/>
          <w:sz w:val="20"/>
          <w:szCs w:val="20"/>
        </w:rPr>
        <w:t xml:space="preserve"> </w:t>
      </w:r>
      <w:r w:rsidRPr="00432ABC">
        <w:rPr>
          <w:rFonts w:ascii="Verdana" w:eastAsiaTheme="minorHAnsi" w:hAnsi="Verdana"/>
          <w:sz w:val="20"/>
          <w:szCs w:val="20"/>
        </w:rPr>
        <w:t>dio inicio la</w:t>
      </w:r>
      <w:r w:rsidRPr="00432ABC" w:rsidDel="0051744B">
        <w:rPr>
          <w:rFonts w:ascii="Verdana" w:eastAsiaTheme="minorHAnsi" w:hAnsi="Verdana"/>
          <w:sz w:val="20"/>
          <w:szCs w:val="20"/>
        </w:rPr>
        <w:t xml:space="preserve"> </w:t>
      </w:r>
      <w:r w:rsidRPr="00432ABC">
        <w:rPr>
          <w:rFonts w:ascii="Verdana" w:eastAsiaTheme="minorHAnsi" w:hAnsi="Verdana"/>
          <w:sz w:val="20"/>
          <w:szCs w:val="20"/>
        </w:rPr>
        <w:t>estrategia de seguridad pública</w:t>
      </w:r>
      <w:r w:rsidR="0025229E" w:rsidRPr="00432ABC">
        <w:rPr>
          <w:rFonts w:ascii="Verdana" w:eastAsiaTheme="minorHAnsi" w:hAnsi="Verdana"/>
          <w:sz w:val="20"/>
          <w:szCs w:val="20"/>
        </w:rPr>
        <w:t xml:space="preserve">, </w:t>
      </w:r>
      <w:r w:rsidRPr="002C462C">
        <w:rPr>
          <w:rFonts w:ascii="Verdana" w:eastAsiaTheme="minorHAnsi" w:hAnsi="Verdana"/>
          <w:sz w:val="20"/>
          <w:szCs w:val="20"/>
        </w:rPr>
        <w:t xml:space="preserve">también conocida como “guerra contra el narcotráfico” o “militarización de la seguridad pública”, diseñada e implementada como respuesta estatal para </w:t>
      </w:r>
      <w:r w:rsidR="00DE10BE" w:rsidRPr="002C462C">
        <w:rPr>
          <w:rFonts w:ascii="Verdana" w:eastAsiaTheme="minorHAnsi" w:hAnsi="Verdana"/>
          <w:sz w:val="20"/>
          <w:szCs w:val="20"/>
        </w:rPr>
        <w:t>restablecer</w:t>
      </w:r>
      <w:r w:rsidRPr="00744CE4">
        <w:rPr>
          <w:rFonts w:ascii="Verdana" w:eastAsiaTheme="minorHAnsi" w:hAnsi="Verdana"/>
          <w:sz w:val="20"/>
          <w:szCs w:val="20"/>
        </w:rPr>
        <w:t xml:space="preserve"> el orden público frente a la violencia vinculada a la delincuencia organizada y el narcotráfico imperante en distintas zonas del territorio mexicano</w:t>
      </w:r>
      <w:r w:rsidRPr="00744CE4">
        <w:rPr>
          <w:rFonts w:ascii="Verdana" w:hAnsi="Verdana"/>
          <w:sz w:val="20"/>
          <w:szCs w:val="20"/>
          <w:vertAlign w:val="superscript"/>
        </w:rPr>
        <w:footnoteReference w:id="54"/>
      </w:r>
      <w:r w:rsidRPr="00744CE4">
        <w:rPr>
          <w:rFonts w:ascii="Verdana" w:eastAsiaTheme="minorHAnsi" w:hAnsi="Verdana"/>
          <w:sz w:val="20"/>
          <w:szCs w:val="20"/>
        </w:rPr>
        <w:t xml:space="preserve">. Esta “estrategia de seguridad” comenzó con la puesta en marcha del “Operativo Conjunto Michoacán”, </w:t>
      </w:r>
      <w:r w:rsidR="00B824CB">
        <w:rPr>
          <w:rFonts w:ascii="Verdana" w:eastAsiaTheme="minorHAnsi" w:hAnsi="Verdana"/>
          <w:sz w:val="20"/>
          <w:szCs w:val="20"/>
        </w:rPr>
        <w:t>la</w:t>
      </w:r>
      <w:r w:rsidRPr="00744CE4">
        <w:rPr>
          <w:rFonts w:ascii="Verdana" w:eastAsiaTheme="minorHAnsi" w:hAnsi="Verdana"/>
          <w:sz w:val="20"/>
          <w:szCs w:val="20"/>
        </w:rPr>
        <w:t xml:space="preserve"> cual fue seguid</w:t>
      </w:r>
      <w:r w:rsidR="00B824CB">
        <w:rPr>
          <w:rFonts w:ascii="Verdana" w:eastAsiaTheme="minorHAnsi" w:hAnsi="Verdana"/>
          <w:sz w:val="20"/>
          <w:szCs w:val="20"/>
        </w:rPr>
        <w:t>a</w:t>
      </w:r>
      <w:r w:rsidRPr="00744CE4">
        <w:rPr>
          <w:rFonts w:ascii="Verdana" w:eastAsiaTheme="minorHAnsi" w:hAnsi="Verdana"/>
          <w:sz w:val="20"/>
          <w:szCs w:val="20"/>
        </w:rPr>
        <w:t xml:space="preserve"> de la </w:t>
      </w:r>
      <w:r w:rsidR="000E25B3" w:rsidRPr="00744CE4">
        <w:rPr>
          <w:rFonts w:ascii="Verdana" w:eastAsiaTheme="minorHAnsi" w:hAnsi="Verdana"/>
          <w:sz w:val="20"/>
          <w:szCs w:val="20"/>
        </w:rPr>
        <w:t>ejecución</w:t>
      </w:r>
      <w:r w:rsidR="00F41A43" w:rsidRPr="00744CE4">
        <w:rPr>
          <w:rFonts w:ascii="Verdana" w:eastAsiaTheme="minorHAnsi" w:hAnsi="Verdana"/>
          <w:sz w:val="20"/>
          <w:szCs w:val="20"/>
        </w:rPr>
        <w:t>,</w:t>
      </w:r>
      <w:r w:rsidRPr="00432ABC">
        <w:rPr>
          <w:rFonts w:ascii="Verdana" w:eastAsiaTheme="minorHAnsi" w:hAnsi="Verdana"/>
          <w:sz w:val="20"/>
          <w:szCs w:val="20"/>
        </w:rPr>
        <w:t xml:space="preserve"> </w:t>
      </w:r>
      <w:r w:rsidR="00F41A43" w:rsidRPr="00432ABC">
        <w:rPr>
          <w:rFonts w:ascii="Verdana" w:eastAsiaTheme="minorHAnsi" w:hAnsi="Verdana"/>
          <w:sz w:val="20"/>
          <w:szCs w:val="20"/>
        </w:rPr>
        <w:t xml:space="preserve">a partir del año 2007, </w:t>
      </w:r>
      <w:r w:rsidRPr="00432ABC">
        <w:rPr>
          <w:rFonts w:ascii="Verdana" w:eastAsiaTheme="minorHAnsi" w:hAnsi="Verdana"/>
          <w:sz w:val="20"/>
          <w:szCs w:val="20"/>
        </w:rPr>
        <w:t xml:space="preserve">de “Operativos Conjuntos” </w:t>
      </w:r>
      <w:r w:rsidR="00825CE0" w:rsidRPr="00432ABC">
        <w:rPr>
          <w:rFonts w:ascii="Verdana" w:eastAsiaTheme="minorHAnsi" w:hAnsi="Verdana"/>
          <w:sz w:val="20"/>
          <w:szCs w:val="20"/>
        </w:rPr>
        <w:t>en los estados de Baja California, Guerrero, Chihuahua, Durango, Sinaloa, Nuevo León, Tamaulipas y Veracruz</w:t>
      </w:r>
      <w:r w:rsidR="00F15F19" w:rsidRPr="002C462C">
        <w:rPr>
          <w:rFonts w:ascii="Verdana" w:eastAsiaTheme="minorHAnsi" w:hAnsi="Verdana"/>
          <w:sz w:val="20"/>
          <w:szCs w:val="20"/>
        </w:rPr>
        <w:t>,</w:t>
      </w:r>
      <w:r w:rsidRPr="002C462C">
        <w:rPr>
          <w:rFonts w:ascii="Verdana" w:eastAsiaTheme="minorHAnsi" w:hAnsi="Verdana"/>
          <w:sz w:val="20"/>
          <w:szCs w:val="20"/>
        </w:rPr>
        <w:t xml:space="preserve"> </w:t>
      </w:r>
      <w:r w:rsidR="00F15F19" w:rsidRPr="00744CE4">
        <w:rPr>
          <w:rFonts w:ascii="Verdana" w:eastAsiaTheme="minorHAnsi" w:hAnsi="Verdana"/>
          <w:sz w:val="20"/>
          <w:szCs w:val="20"/>
        </w:rPr>
        <w:t xml:space="preserve">hasta llegar a su implementación en 16 estados del territorio nacional </w:t>
      </w:r>
      <w:r w:rsidR="00DE10BE" w:rsidRPr="00744CE4">
        <w:rPr>
          <w:rFonts w:ascii="Verdana" w:eastAsiaTheme="minorHAnsi" w:hAnsi="Verdana"/>
          <w:sz w:val="20"/>
          <w:szCs w:val="20"/>
        </w:rPr>
        <w:t xml:space="preserve">en </w:t>
      </w:r>
      <w:r w:rsidR="00262B04" w:rsidRPr="00744CE4">
        <w:rPr>
          <w:rFonts w:ascii="Verdana" w:eastAsiaTheme="minorHAnsi" w:hAnsi="Verdana"/>
          <w:sz w:val="20"/>
          <w:szCs w:val="20"/>
        </w:rPr>
        <w:t xml:space="preserve">el año </w:t>
      </w:r>
      <w:r w:rsidR="00F15F19" w:rsidRPr="00744CE4">
        <w:rPr>
          <w:rFonts w:ascii="Verdana" w:eastAsiaTheme="minorHAnsi" w:hAnsi="Verdana"/>
          <w:sz w:val="20"/>
          <w:szCs w:val="20"/>
        </w:rPr>
        <w:t>2012</w:t>
      </w:r>
      <w:r w:rsidR="00F15F19" w:rsidRPr="00744CE4">
        <w:rPr>
          <w:rFonts w:ascii="Verdana" w:eastAsiaTheme="minorHAnsi" w:hAnsi="Verdana"/>
          <w:sz w:val="20"/>
          <w:szCs w:val="20"/>
          <w:vertAlign w:val="superscript"/>
        </w:rPr>
        <w:footnoteReference w:id="55"/>
      </w:r>
      <w:r w:rsidR="00F15F19" w:rsidRPr="00744CE4">
        <w:rPr>
          <w:rFonts w:ascii="Verdana" w:eastAsiaTheme="minorHAnsi" w:hAnsi="Verdana"/>
          <w:sz w:val="20"/>
          <w:szCs w:val="20"/>
        </w:rPr>
        <w:t xml:space="preserve">. </w:t>
      </w:r>
      <w:r w:rsidRPr="00744CE4">
        <w:rPr>
          <w:rFonts w:ascii="Verdana" w:eastAsiaTheme="minorHAnsi" w:hAnsi="Verdana"/>
          <w:sz w:val="20"/>
          <w:szCs w:val="20"/>
        </w:rPr>
        <w:t>En el marco de la “guerra contra el narcotráfico” se ordenó el despliegue de elementos de las corporaciones de seguridad federal, estatales y municipales y de las Fuerzas Armadas a través de “operativos conjuntos” para hacer frente a dichos escenarios de violencia y criminalidad mediante el uso de</w:t>
      </w:r>
      <w:r w:rsidRPr="00432ABC">
        <w:rPr>
          <w:rFonts w:ascii="Verdana" w:eastAsiaTheme="minorHAnsi" w:hAnsi="Verdana"/>
          <w:sz w:val="20"/>
          <w:szCs w:val="20"/>
        </w:rPr>
        <w:t xml:space="preserve"> la fuerza</w:t>
      </w:r>
      <w:r w:rsidR="00A3654D" w:rsidRPr="00744CE4">
        <w:rPr>
          <w:rFonts w:ascii="Verdana" w:hAnsi="Verdana"/>
          <w:sz w:val="20"/>
          <w:szCs w:val="20"/>
          <w:vertAlign w:val="superscript"/>
        </w:rPr>
        <w:footnoteReference w:id="56"/>
      </w:r>
      <w:r w:rsidRPr="00744CE4">
        <w:rPr>
          <w:rFonts w:ascii="Verdana" w:eastAsiaTheme="minorHAnsi" w:hAnsi="Verdana"/>
          <w:sz w:val="20"/>
          <w:szCs w:val="20"/>
        </w:rPr>
        <w:t xml:space="preserve">. </w:t>
      </w:r>
      <w:r w:rsidR="0025229E" w:rsidRPr="00744CE4">
        <w:rPr>
          <w:rFonts w:ascii="Verdana" w:eastAsiaTheme="minorHAnsi" w:hAnsi="Verdana"/>
          <w:sz w:val="20"/>
          <w:szCs w:val="20"/>
        </w:rPr>
        <w:t xml:space="preserve">Se estima que hacia el año 2012 habían alrededor de 50,000 efectivos de las Fuerzas Armadas desempeñando </w:t>
      </w:r>
      <w:r w:rsidR="0025229E" w:rsidRPr="00744CE4">
        <w:rPr>
          <w:rFonts w:ascii="Verdana" w:eastAsiaTheme="minorHAnsi" w:hAnsi="Verdana"/>
          <w:sz w:val="20"/>
          <w:szCs w:val="20"/>
        </w:rPr>
        <w:lastRenderedPageBreak/>
        <w:t>labores relacionadas con la seguridad pública distintas zonas del país</w:t>
      </w:r>
      <w:r w:rsidR="0025229E" w:rsidRPr="00744CE4">
        <w:rPr>
          <w:rFonts w:ascii="Verdana" w:eastAsiaTheme="minorHAnsi" w:hAnsi="Verdana"/>
          <w:sz w:val="20"/>
          <w:szCs w:val="20"/>
          <w:vertAlign w:val="superscript"/>
        </w:rPr>
        <w:footnoteReference w:id="57"/>
      </w:r>
      <w:r w:rsidR="00244830">
        <w:rPr>
          <w:rFonts w:ascii="Verdana" w:eastAsiaTheme="minorHAnsi" w:hAnsi="Verdana"/>
          <w:sz w:val="20"/>
          <w:szCs w:val="20"/>
        </w:rPr>
        <w:t>.</w:t>
      </w:r>
    </w:p>
    <w:p w14:paraId="64AA5E0D" w14:textId="153C82B1" w:rsidR="002E1C85" w:rsidRPr="00744CE4" w:rsidRDefault="002E1C85" w:rsidP="00DB378B">
      <w:pPr>
        <w:widowControl w:val="0"/>
        <w:numPr>
          <w:ilvl w:val="0"/>
          <w:numId w:val="4"/>
        </w:numPr>
        <w:tabs>
          <w:tab w:val="left" w:pos="567"/>
          <w:tab w:val="num" w:pos="12305"/>
        </w:tabs>
        <w:adjustRightInd w:val="0"/>
        <w:spacing w:before="120" w:after="120" w:line="240" w:lineRule="auto"/>
        <w:ind w:left="0" w:firstLine="0"/>
        <w:jc w:val="both"/>
        <w:textAlignment w:val="baseline"/>
        <w:rPr>
          <w:rFonts w:ascii="Verdana" w:eastAsiaTheme="minorHAnsi" w:hAnsi="Verdana" w:cs="Times New Roman"/>
          <w:sz w:val="20"/>
          <w:szCs w:val="20"/>
        </w:rPr>
      </w:pPr>
      <w:r w:rsidRPr="00744CE4">
        <w:rPr>
          <w:rFonts w:ascii="Verdana" w:hAnsi="Verdana"/>
          <w:sz w:val="20"/>
          <w:szCs w:val="20"/>
        </w:rPr>
        <w:t>No obstante</w:t>
      </w:r>
      <w:r w:rsidR="008B1154">
        <w:rPr>
          <w:rFonts w:ascii="Verdana" w:hAnsi="Verdana"/>
          <w:sz w:val="20"/>
          <w:szCs w:val="20"/>
        </w:rPr>
        <w:t>, con</w:t>
      </w:r>
      <w:r w:rsidRPr="00744CE4">
        <w:rPr>
          <w:rFonts w:ascii="Verdana" w:hAnsi="Verdana"/>
          <w:sz w:val="20"/>
          <w:szCs w:val="20"/>
        </w:rPr>
        <w:t xml:space="preserve"> el cambio de administración federal en México </w:t>
      </w:r>
      <w:r w:rsidR="001957CE" w:rsidRPr="00744CE4">
        <w:rPr>
          <w:rFonts w:ascii="Verdana" w:hAnsi="Verdana"/>
          <w:sz w:val="20"/>
          <w:szCs w:val="20"/>
        </w:rPr>
        <w:t>que tuvo</w:t>
      </w:r>
      <w:r w:rsidR="001957CE" w:rsidRPr="00432ABC">
        <w:rPr>
          <w:rFonts w:ascii="Verdana" w:hAnsi="Verdana"/>
          <w:sz w:val="20"/>
          <w:szCs w:val="20"/>
        </w:rPr>
        <w:t xml:space="preserve"> lugar </w:t>
      </w:r>
      <w:r w:rsidRPr="00432ABC">
        <w:rPr>
          <w:rFonts w:ascii="Verdana" w:hAnsi="Verdana"/>
          <w:sz w:val="20"/>
          <w:szCs w:val="20"/>
        </w:rPr>
        <w:t>el 1 de diciembre de 2012, la política de seguridad del Estado mexicano basada en el despliegue de efectivos militares se mantuvo</w:t>
      </w:r>
      <w:r w:rsidR="00F41D19" w:rsidRPr="00744CE4">
        <w:rPr>
          <w:rFonts w:ascii="Verdana" w:hAnsi="Verdana"/>
          <w:sz w:val="20"/>
          <w:szCs w:val="20"/>
          <w:vertAlign w:val="superscript"/>
        </w:rPr>
        <w:footnoteReference w:id="58"/>
      </w:r>
      <w:r w:rsidRPr="00744CE4">
        <w:rPr>
          <w:rFonts w:ascii="Verdana" w:hAnsi="Verdana"/>
          <w:sz w:val="20"/>
          <w:szCs w:val="20"/>
        </w:rPr>
        <w:t xml:space="preserve"> y ha perdurado hasta la actualidad -2018- sin cambios sustanciales</w:t>
      </w:r>
      <w:r w:rsidR="00DC066E" w:rsidRPr="00744CE4">
        <w:rPr>
          <w:rStyle w:val="FootnoteReference"/>
          <w:rFonts w:ascii="Verdana" w:hAnsi="Verdana"/>
          <w:sz w:val="20"/>
          <w:szCs w:val="20"/>
        </w:rPr>
        <w:footnoteReference w:id="59"/>
      </w:r>
      <w:r w:rsidRPr="00744CE4">
        <w:rPr>
          <w:rFonts w:ascii="Verdana" w:hAnsi="Verdana"/>
          <w:sz w:val="20"/>
          <w:szCs w:val="20"/>
        </w:rPr>
        <w:t>.</w:t>
      </w:r>
    </w:p>
    <w:p w14:paraId="64AA5E0F" w14:textId="24AA951B" w:rsidR="002E1C85" w:rsidRPr="00744CE4" w:rsidRDefault="002E1C85" w:rsidP="00DB378B">
      <w:pPr>
        <w:widowControl w:val="0"/>
        <w:numPr>
          <w:ilvl w:val="0"/>
          <w:numId w:val="4"/>
        </w:numPr>
        <w:tabs>
          <w:tab w:val="left" w:pos="567"/>
          <w:tab w:val="num" w:pos="12305"/>
        </w:tabs>
        <w:adjustRightInd w:val="0"/>
        <w:spacing w:before="120" w:after="120" w:line="240" w:lineRule="auto"/>
        <w:ind w:left="0" w:firstLine="0"/>
        <w:jc w:val="both"/>
        <w:textAlignment w:val="baseline"/>
        <w:rPr>
          <w:rFonts w:ascii="Verdana" w:hAnsi="Verdana"/>
          <w:sz w:val="20"/>
          <w:szCs w:val="20"/>
        </w:rPr>
      </w:pPr>
      <w:r w:rsidRPr="00432ABC">
        <w:rPr>
          <w:rFonts w:ascii="Verdana" w:hAnsi="Verdana"/>
          <w:sz w:val="20"/>
          <w:szCs w:val="20"/>
        </w:rPr>
        <w:t>En el marco de dicha estrategia, la participación de las Fuerzas Armadas habría implicado el despliegue operativo en distintas partes del territorio nacional “de miles de militares en zonas urbanas o en puntos estratégicos como carreteras y puestos de control”, los cuales “no se limita[ba]n a actuar como auxiliares de las autoridades civiles y aceptar sus órdenes […] sino que realiza[ba]n tareas que correspond[ía]n exclusivamente a las autoridades civiles”</w:t>
      </w:r>
      <w:r w:rsidR="00B263A0" w:rsidRPr="00744CE4">
        <w:rPr>
          <w:rFonts w:ascii="Verdana" w:hAnsi="Verdana"/>
          <w:sz w:val="20"/>
          <w:szCs w:val="20"/>
          <w:vertAlign w:val="superscript"/>
        </w:rPr>
        <w:footnoteReference w:id="60"/>
      </w:r>
      <w:r w:rsidRPr="00744CE4">
        <w:rPr>
          <w:rFonts w:ascii="Verdana" w:hAnsi="Verdana"/>
          <w:sz w:val="20"/>
          <w:szCs w:val="20"/>
        </w:rPr>
        <w:t xml:space="preserve">. En ese contexto, elementos castrenses </w:t>
      </w:r>
      <w:r w:rsidR="000D415B" w:rsidRPr="00744CE4">
        <w:rPr>
          <w:rFonts w:ascii="Verdana" w:hAnsi="Verdana"/>
          <w:sz w:val="20"/>
          <w:szCs w:val="20"/>
        </w:rPr>
        <w:t>realizaban</w:t>
      </w:r>
      <w:r w:rsidRPr="00744CE4">
        <w:rPr>
          <w:rFonts w:ascii="Verdana" w:hAnsi="Verdana"/>
          <w:sz w:val="20"/>
          <w:szCs w:val="20"/>
        </w:rPr>
        <w:t>, entre otras actividades, numerosos retenes y revisiones en carreteras y caminos, detenciones y retenciones</w:t>
      </w:r>
      <w:r w:rsidR="000D415B" w:rsidRPr="00432ABC">
        <w:rPr>
          <w:rFonts w:ascii="Verdana" w:hAnsi="Verdana"/>
          <w:sz w:val="20"/>
          <w:szCs w:val="20"/>
        </w:rPr>
        <w:t>,</w:t>
      </w:r>
      <w:r w:rsidR="00AC4D36">
        <w:rPr>
          <w:rFonts w:ascii="Verdana" w:hAnsi="Verdana"/>
          <w:sz w:val="20"/>
          <w:szCs w:val="20"/>
        </w:rPr>
        <w:t xml:space="preserve"> </w:t>
      </w:r>
      <w:r w:rsidRPr="00432ABC">
        <w:rPr>
          <w:rFonts w:ascii="Verdana" w:hAnsi="Verdana"/>
          <w:sz w:val="20"/>
          <w:szCs w:val="20"/>
        </w:rPr>
        <w:t>registro de casas, individuos y automóviles, en muchas ocasiones sin contar con una orden judicial dictada por una autoridad civil competente</w:t>
      </w:r>
      <w:r w:rsidR="002F2754" w:rsidRPr="00432ABC">
        <w:rPr>
          <w:rFonts w:ascii="Verdana" w:hAnsi="Verdana"/>
          <w:sz w:val="20"/>
          <w:szCs w:val="20"/>
        </w:rPr>
        <w:t xml:space="preserve">, y “la presencia de las fuerzas militares se ha[bía] extendido más allá de las operaciones de seguridad” en los lugares en que </w:t>
      </w:r>
      <w:r w:rsidR="00F41A43" w:rsidRPr="002C462C">
        <w:rPr>
          <w:rFonts w:ascii="Verdana" w:hAnsi="Verdana"/>
          <w:sz w:val="20"/>
          <w:szCs w:val="20"/>
        </w:rPr>
        <w:t xml:space="preserve">se </w:t>
      </w:r>
      <w:r w:rsidR="002F2754" w:rsidRPr="002C462C">
        <w:rPr>
          <w:rFonts w:ascii="Verdana" w:hAnsi="Verdana"/>
          <w:sz w:val="20"/>
          <w:szCs w:val="20"/>
        </w:rPr>
        <w:t>hallaban des</w:t>
      </w:r>
      <w:r w:rsidR="00F41A43" w:rsidRPr="00744CE4">
        <w:rPr>
          <w:rFonts w:ascii="Verdana" w:hAnsi="Verdana"/>
          <w:sz w:val="20"/>
          <w:szCs w:val="20"/>
        </w:rPr>
        <w:t>plegadas</w:t>
      </w:r>
      <w:r w:rsidR="002F2754" w:rsidRPr="00744CE4">
        <w:rPr>
          <w:rFonts w:ascii="Verdana" w:hAnsi="Verdana"/>
          <w:sz w:val="20"/>
          <w:szCs w:val="20"/>
          <w:vertAlign w:val="superscript"/>
        </w:rPr>
        <w:footnoteReference w:id="61"/>
      </w:r>
      <w:r w:rsidRPr="00744CE4">
        <w:rPr>
          <w:rFonts w:ascii="Verdana" w:hAnsi="Verdana"/>
          <w:sz w:val="20"/>
          <w:szCs w:val="20"/>
        </w:rPr>
        <w:t xml:space="preserve">. </w:t>
      </w:r>
    </w:p>
    <w:p w14:paraId="64AA5E11" w14:textId="7912D007" w:rsidR="002E1C85" w:rsidRPr="00744CE4" w:rsidRDefault="002E1C85" w:rsidP="00DB378B">
      <w:pPr>
        <w:widowControl w:val="0"/>
        <w:numPr>
          <w:ilvl w:val="0"/>
          <w:numId w:val="4"/>
        </w:numPr>
        <w:tabs>
          <w:tab w:val="left" w:pos="567"/>
          <w:tab w:val="num" w:pos="12305"/>
        </w:tabs>
        <w:autoSpaceDE w:val="0"/>
        <w:autoSpaceDN w:val="0"/>
        <w:adjustRightInd w:val="0"/>
        <w:spacing w:before="120" w:after="120" w:line="240" w:lineRule="auto"/>
        <w:ind w:left="0" w:firstLine="0"/>
        <w:jc w:val="both"/>
        <w:textAlignment w:val="baseline"/>
        <w:rPr>
          <w:rFonts w:ascii="Verdana" w:hAnsi="Verdana"/>
          <w:sz w:val="20"/>
          <w:szCs w:val="20"/>
        </w:rPr>
      </w:pPr>
      <w:r w:rsidRPr="00744CE4">
        <w:rPr>
          <w:rFonts w:ascii="Verdana" w:hAnsi="Verdana"/>
          <w:sz w:val="20"/>
          <w:szCs w:val="20"/>
        </w:rPr>
        <w:t xml:space="preserve">El </w:t>
      </w:r>
      <w:r w:rsidR="008D13D5">
        <w:rPr>
          <w:rFonts w:ascii="Verdana" w:hAnsi="Verdana"/>
          <w:sz w:val="20"/>
          <w:szCs w:val="20"/>
        </w:rPr>
        <w:t>Grupo de Trabajo sobre Desapariciones Forzadas o involuntarias [</w:t>
      </w:r>
      <w:r w:rsidRPr="00744CE4">
        <w:rPr>
          <w:rFonts w:ascii="Verdana" w:hAnsi="Verdana"/>
          <w:sz w:val="20"/>
          <w:szCs w:val="20"/>
        </w:rPr>
        <w:t>GTDFI</w:t>
      </w:r>
      <w:r w:rsidR="008D13D5">
        <w:rPr>
          <w:rFonts w:ascii="Verdana" w:hAnsi="Verdana"/>
          <w:sz w:val="20"/>
          <w:szCs w:val="20"/>
        </w:rPr>
        <w:t>]</w:t>
      </w:r>
      <w:r w:rsidRPr="00744CE4">
        <w:rPr>
          <w:rFonts w:ascii="Verdana" w:hAnsi="Verdana"/>
          <w:sz w:val="20"/>
          <w:szCs w:val="20"/>
        </w:rPr>
        <w:t xml:space="preserve"> destacó que, como parte de dicha estrategia, se incluyó una elevada presencia de </w:t>
      </w:r>
      <w:r w:rsidR="00E50A07" w:rsidRPr="00432ABC">
        <w:rPr>
          <w:rFonts w:ascii="Verdana" w:hAnsi="Verdana"/>
          <w:sz w:val="20"/>
          <w:szCs w:val="20"/>
        </w:rPr>
        <w:t xml:space="preserve">elementos </w:t>
      </w:r>
      <w:r w:rsidRPr="00432ABC">
        <w:rPr>
          <w:rFonts w:ascii="Verdana" w:hAnsi="Verdana"/>
          <w:sz w:val="20"/>
          <w:szCs w:val="20"/>
        </w:rPr>
        <w:t>militares al frente de las policías civiles o de las Secretarías de Seguridad Pública estatales</w:t>
      </w:r>
      <w:r w:rsidR="00E50A07" w:rsidRPr="00744CE4">
        <w:rPr>
          <w:rFonts w:ascii="Verdana" w:hAnsi="Verdana"/>
          <w:sz w:val="20"/>
          <w:szCs w:val="20"/>
          <w:vertAlign w:val="superscript"/>
        </w:rPr>
        <w:footnoteReference w:id="62"/>
      </w:r>
      <w:r w:rsidR="00E50A07" w:rsidRPr="00744CE4">
        <w:rPr>
          <w:rFonts w:ascii="Verdana" w:hAnsi="Verdana"/>
          <w:sz w:val="20"/>
          <w:szCs w:val="20"/>
        </w:rPr>
        <w:t>,</w:t>
      </w:r>
      <w:r w:rsidRPr="00744CE4">
        <w:rPr>
          <w:rFonts w:ascii="Verdana" w:hAnsi="Verdana"/>
          <w:sz w:val="20"/>
          <w:szCs w:val="20"/>
        </w:rPr>
        <w:t xml:space="preserve"> señalamiento </w:t>
      </w:r>
      <w:r w:rsidRPr="00744CE4">
        <w:rPr>
          <w:rFonts w:ascii="Verdana" w:hAnsi="Verdana"/>
          <w:sz w:val="20"/>
          <w:szCs w:val="20"/>
        </w:rPr>
        <w:lastRenderedPageBreak/>
        <w:t xml:space="preserve">con el que coincidieron los Relatores Especiales de la ONU </w:t>
      </w:r>
      <w:r w:rsidR="00E50A07" w:rsidRPr="00744CE4">
        <w:rPr>
          <w:rFonts w:ascii="Verdana" w:hAnsi="Verdana"/>
          <w:sz w:val="20"/>
          <w:szCs w:val="20"/>
        </w:rPr>
        <w:t>sobre la tortura y otros tratos o penas crueles, inhumanos o degradantes</w:t>
      </w:r>
      <w:r w:rsidR="00F41A43" w:rsidRPr="00432ABC">
        <w:rPr>
          <w:rFonts w:ascii="Verdana" w:hAnsi="Verdana"/>
          <w:sz w:val="20"/>
          <w:szCs w:val="20"/>
        </w:rPr>
        <w:t xml:space="preserve"> </w:t>
      </w:r>
      <w:r w:rsidR="000453B1">
        <w:rPr>
          <w:rFonts w:ascii="Verdana" w:hAnsi="Verdana"/>
          <w:sz w:val="20"/>
          <w:szCs w:val="20"/>
        </w:rPr>
        <w:t>(</w:t>
      </w:r>
      <w:r w:rsidR="00465BFB" w:rsidRPr="00432ABC">
        <w:rPr>
          <w:rFonts w:ascii="Verdana" w:hAnsi="Verdana"/>
          <w:sz w:val="20"/>
          <w:szCs w:val="20"/>
        </w:rPr>
        <w:t xml:space="preserve">en lo sucesivo, “el </w:t>
      </w:r>
      <w:r w:rsidR="00F41A43" w:rsidRPr="00432ABC">
        <w:rPr>
          <w:rFonts w:ascii="Verdana" w:hAnsi="Verdana"/>
          <w:sz w:val="20"/>
          <w:szCs w:val="20"/>
        </w:rPr>
        <w:t>Relator</w:t>
      </w:r>
      <w:r w:rsidR="00465BFB" w:rsidRPr="00432ABC">
        <w:rPr>
          <w:rFonts w:ascii="Verdana" w:hAnsi="Verdana"/>
          <w:sz w:val="20"/>
          <w:szCs w:val="20"/>
        </w:rPr>
        <w:t xml:space="preserve"> sobre la </w:t>
      </w:r>
      <w:r w:rsidR="00F41A43" w:rsidRPr="00432ABC">
        <w:rPr>
          <w:rFonts w:ascii="Verdana" w:hAnsi="Verdana"/>
          <w:sz w:val="20"/>
          <w:szCs w:val="20"/>
        </w:rPr>
        <w:t>tortura</w:t>
      </w:r>
      <w:r w:rsidR="00465BFB" w:rsidRPr="00432ABC">
        <w:rPr>
          <w:rFonts w:ascii="Verdana" w:hAnsi="Verdana"/>
          <w:sz w:val="20"/>
          <w:szCs w:val="20"/>
        </w:rPr>
        <w:t>”</w:t>
      </w:r>
      <w:r w:rsidR="000453B1">
        <w:rPr>
          <w:rFonts w:ascii="Verdana" w:hAnsi="Verdana"/>
          <w:sz w:val="20"/>
          <w:szCs w:val="20"/>
        </w:rPr>
        <w:t>)</w:t>
      </w:r>
      <w:r w:rsidR="00E50A07" w:rsidRPr="00432ABC">
        <w:rPr>
          <w:rFonts w:ascii="Verdana" w:hAnsi="Verdana"/>
          <w:sz w:val="20"/>
          <w:szCs w:val="20"/>
        </w:rPr>
        <w:t>, por una parte,</w:t>
      </w:r>
      <w:r w:rsidR="00E50A07" w:rsidRPr="00432ABC">
        <w:rPr>
          <w:rFonts w:ascii="Verdana" w:hAnsi="Verdana"/>
          <w:i/>
          <w:sz w:val="20"/>
          <w:szCs w:val="20"/>
        </w:rPr>
        <w:t xml:space="preserve"> </w:t>
      </w:r>
      <w:r w:rsidR="00E50A07" w:rsidRPr="00432ABC">
        <w:rPr>
          <w:rFonts w:ascii="Verdana" w:hAnsi="Verdana"/>
          <w:sz w:val="20"/>
          <w:szCs w:val="20"/>
        </w:rPr>
        <w:t>y sobre las ejecuciones extrajudiciales, sumarias o arbitrarias</w:t>
      </w:r>
      <w:r w:rsidR="00F41A43" w:rsidRPr="00432ABC">
        <w:rPr>
          <w:rFonts w:ascii="Verdana" w:hAnsi="Verdana"/>
          <w:sz w:val="20"/>
          <w:szCs w:val="20"/>
        </w:rPr>
        <w:t xml:space="preserve"> </w:t>
      </w:r>
      <w:r w:rsidR="000453B1">
        <w:rPr>
          <w:rFonts w:ascii="Verdana" w:hAnsi="Verdana"/>
          <w:sz w:val="20"/>
          <w:szCs w:val="20"/>
        </w:rPr>
        <w:t>(</w:t>
      </w:r>
      <w:r w:rsidR="00465BFB" w:rsidRPr="002C462C">
        <w:rPr>
          <w:rFonts w:ascii="Verdana" w:hAnsi="Verdana"/>
          <w:sz w:val="20"/>
          <w:szCs w:val="20"/>
        </w:rPr>
        <w:t>en adelante, “</w:t>
      </w:r>
      <w:r w:rsidR="00F41A43" w:rsidRPr="00744CE4">
        <w:rPr>
          <w:rFonts w:ascii="Verdana" w:hAnsi="Verdana"/>
          <w:sz w:val="20"/>
          <w:szCs w:val="20"/>
        </w:rPr>
        <w:t>Relator sobre ejecuciones</w:t>
      </w:r>
      <w:r w:rsidR="00756607" w:rsidRPr="00744CE4">
        <w:rPr>
          <w:rFonts w:ascii="Verdana" w:hAnsi="Verdana"/>
          <w:sz w:val="20"/>
          <w:szCs w:val="20"/>
        </w:rPr>
        <w:t xml:space="preserve"> extrajudiciales</w:t>
      </w:r>
      <w:r w:rsidR="000453B1">
        <w:rPr>
          <w:rFonts w:ascii="Verdana" w:hAnsi="Verdana"/>
          <w:sz w:val="20"/>
          <w:szCs w:val="20"/>
        </w:rPr>
        <w:t>)</w:t>
      </w:r>
      <w:r w:rsidR="00E50A07" w:rsidRPr="00744CE4">
        <w:rPr>
          <w:rFonts w:ascii="Verdana" w:hAnsi="Verdana"/>
          <w:sz w:val="20"/>
          <w:szCs w:val="20"/>
        </w:rPr>
        <w:t>, por la otra</w:t>
      </w:r>
      <w:r w:rsidR="00E50A07" w:rsidRPr="00744CE4">
        <w:rPr>
          <w:rStyle w:val="FootnoteReference"/>
          <w:rFonts w:ascii="Verdana" w:hAnsi="Verdana"/>
          <w:sz w:val="20"/>
          <w:szCs w:val="20"/>
        </w:rPr>
        <w:footnoteReference w:id="63"/>
      </w:r>
      <w:r w:rsidR="00E50A07" w:rsidRPr="00744CE4">
        <w:rPr>
          <w:rFonts w:ascii="Verdana" w:hAnsi="Verdana"/>
          <w:sz w:val="20"/>
          <w:szCs w:val="20"/>
        </w:rPr>
        <w:t>.</w:t>
      </w:r>
    </w:p>
    <w:p w14:paraId="0434EFE9" w14:textId="09EDA5B2" w:rsidR="006F1B8E" w:rsidRPr="0046034D" w:rsidRDefault="00DE734F" w:rsidP="003564A3">
      <w:pPr>
        <w:widowControl w:val="0"/>
        <w:numPr>
          <w:ilvl w:val="0"/>
          <w:numId w:val="4"/>
        </w:numPr>
        <w:tabs>
          <w:tab w:val="left" w:pos="567"/>
        </w:tabs>
        <w:autoSpaceDE w:val="0"/>
        <w:autoSpaceDN w:val="0"/>
        <w:adjustRightInd w:val="0"/>
        <w:spacing w:before="120" w:after="120" w:line="240" w:lineRule="auto"/>
        <w:ind w:left="0" w:firstLine="0"/>
        <w:jc w:val="both"/>
        <w:textAlignment w:val="baseline"/>
        <w:rPr>
          <w:rStyle w:val="Hyperlink"/>
          <w:rFonts w:ascii="Verdana" w:hAnsi="Verdana"/>
          <w:color w:val="auto"/>
          <w:sz w:val="20"/>
          <w:szCs w:val="20"/>
          <w:u w:val="none"/>
        </w:rPr>
      </w:pPr>
      <w:r w:rsidRPr="00744CE4">
        <w:rPr>
          <w:rFonts w:ascii="Verdana" w:hAnsi="Verdana"/>
          <w:sz w:val="20"/>
          <w:szCs w:val="20"/>
        </w:rPr>
        <w:t>El 21 de diciembre de 2017 se aprobó y promulgó en México la Ley de Seguridad Interior</w:t>
      </w:r>
      <w:r w:rsidR="003E54AA" w:rsidRPr="00744CE4">
        <w:rPr>
          <w:rStyle w:val="FootnoteReference"/>
          <w:rFonts w:ascii="Verdana" w:hAnsi="Verdana"/>
          <w:sz w:val="20"/>
          <w:szCs w:val="20"/>
        </w:rPr>
        <w:footnoteReference w:id="64"/>
      </w:r>
      <w:r w:rsidRPr="00744CE4">
        <w:rPr>
          <w:rFonts w:ascii="Verdana" w:hAnsi="Verdana"/>
          <w:sz w:val="20"/>
          <w:szCs w:val="20"/>
        </w:rPr>
        <w:t>, la cual no</w:t>
      </w:r>
      <w:r w:rsidR="006F1B8E" w:rsidRPr="00744CE4">
        <w:rPr>
          <w:rFonts w:ascii="Verdana" w:hAnsi="Verdana"/>
          <w:sz w:val="20"/>
          <w:szCs w:val="20"/>
        </w:rPr>
        <w:t xml:space="preserve"> </w:t>
      </w:r>
      <w:r w:rsidR="006F1B8E" w:rsidRPr="0012282C">
        <w:rPr>
          <w:rFonts w:ascii="Verdana" w:hAnsi="Verdana"/>
          <w:sz w:val="20"/>
          <w:szCs w:val="20"/>
        </w:rPr>
        <w:t>fue</w:t>
      </w:r>
      <w:r w:rsidRPr="00432ABC">
        <w:rPr>
          <w:rFonts w:ascii="Verdana" w:hAnsi="Verdana"/>
          <w:sz w:val="20"/>
          <w:szCs w:val="20"/>
        </w:rPr>
        <w:t xml:space="preserve"> </w:t>
      </w:r>
      <w:r w:rsidR="0078125D" w:rsidRPr="00432ABC">
        <w:rPr>
          <w:rFonts w:ascii="Verdana" w:hAnsi="Verdana"/>
          <w:sz w:val="20"/>
          <w:szCs w:val="20"/>
        </w:rPr>
        <w:t xml:space="preserve">implementada a través de su figura principal (la Declaratoria de </w:t>
      </w:r>
      <w:r w:rsidR="0078125D" w:rsidRPr="00432ABC">
        <w:rPr>
          <w:rFonts w:ascii="Verdana" w:hAnsi="Verdana"/>
          <w:sz w:val="20"/>
          <w:szCs w:val="20"/>
        </w:rPr>
        <w:lastRenderedPageBreak/>
        <w:t>Protección a la Seguridad Interior)</w:t>
      </w:r>
      <w:r w:rsidRPr="00432ABC">
        <w:rPr>
          <w:rFonts w:ascii="Verdana" w:hAnsi="Verdana"/>
          <w:sz w:val="20"/>
          <w:szCs w:val="20"/>
        </w:rPr>
        <w:t xml:space="preserve">, </w:t>
      </w:r>
      <w:r w:rsidR="00624DE5" w:rsidRPr="00432ABC">
        <w:rPr>
          <w:rFonts w:ascii="Verdana" w:hAnsi="Verdana"/>
          <w:sz w:val="20"/>
          <w:szCs w:val="20"/>
        </w:rPr>
        <w:t>toda vez q</w:t>
      </w:r>
      <w:r w:rsidRPr="00432ABC">
        <w:rPr>
          <w:rFonts w:ascii="Verdana" w:hAnsi="Verdana"/>
          <w:sz w:val="20"/>
          <w:szCs w:val="20"/>
        </w:rPr>
        <w:t>u</w:t>
      </w:r>
      <w:r w:rsidR="003E54AA" w:rsidRPr="00432ABC">
        <w:rPr>
          <w:rFonts w:ascii="Verdana" w:hAnsi="Verdana"/>
          <w:sz w:val="20"/>
          <w:szCs w:val="20"/>
        </w:rPr>
        <w:t xml:space="preserve">e </w:t>
      </w:r>
      <w:r w:rsidR="003E54AA" w:rsidRPr="008D0846">
        <w:rPr>
          <w:rFonts w:ascii="Verdana" w:hAnsi="Verdana"/>
          <w:sz w:val="20"/>
          <w:szCs w:val="20"/>
        </w:rPr>
        <w:t>se</w:t>
      </w:r>
      <w:r w:rsidR="003E54AA" w:rsidRPr="0046034D">
        <w:rPr>
          <w:rFonts w:ascii="Verdana" w:hAnsi="Verdana"/>
          <w:sz w:val="20"/>
          <w:szCs w:val="20"/>
        </w:rPr>
        <w:t xml:space="preserve"> </w:t>
      </w:r>
      <w:r w:rsidR="006F1B8E" w:rsidRPr="008D0846">
        <w:rPr>
          <w:rFonts w:ascii="Verdana" w:hAnsi="Verdana"/>
          <w:sz w:val="20"/>
          <w:szCs w:val="20"/>
        </w:rPr>
        <w:t>encontraban</w:t>
      </w:r>
      <w:r w:rsidRPr="00432ABC">
        <w:rPr>
          <w:rFonts w:ascii="Verdana" w:hAnsi="Verdana"/>
          <w:sz w:val="20"/>
          <w:szCs w:val="20"/>
        </w:rPr>
        <w:t xml:space="preserve"> pendiente</w:t>
      </w:r>
      <w:r w:rsidR="006F1B8E" w:rsidRPr="00432ABC">
        <w:rPr>
          <w:rFonts w:ascii="Verdana" w:hAnsi="Verdana"/>
          <w:sz w:val="20"/>
          <w:szCs w:val="20"/>
        </w:rPr>
        <w:t>s</w:t>
      </w:r>
      <w:r w:rsidRPr="00432ABC">
        <w:rPr>
          <w:rFonts w:ascii="Verdana" w:hAnsi="Verdana"/>
          <w:sz w:val="20"/>
          <w:szCs w:val="20"/>
        </w:rPr>
        <w:t xml:space="preserve"> </w:t>
      </w:r>
      <w:r w:rsidR="00624DE5" w:rsidRPr="00432ABC">
        <w:rPr>
          <w:rFonts w:ascii="Verdana" w:hAnsi="Verdana"/>
          <w:sz w:val="20"/>
          <w:szCs w:val="20"/>
        </w:rPr>
        <w:t xml:space="preserve">de resolución </w:t>
      </w:r>
      <w:r w:rsidRPr="002C462C">
        <w:rPr>
          <w:rFonts w:ascii="Verdana" w:hAnsi="Verdana"/>
          <w:sz w:val="20"/>
          <w:szCs w:val="20"/>
        </w:rPr>
        <w:t>divers</w:t>
      </w:r>
      <w:r w:rsidR="00624DE5" w:rsidRPr="002C462C">
        <w:rPr>
          <w:rFonts w:ascii="Verdana" w:hAnsi="Verdana"/>
          <w:sz w:val="20"/>
          <w:szCs w:val="20"/>
        </w:rPr>
        <w:t>o</w:t>
      </w:r>
      <w:r w:rsidRPr="00744CE4">
        <w:rPr>
          <w:rFonts w:ascii="Verdana" w:hAnsi="Verdana"/>
          <w:sz w:val="20"/>
          <w:szCs w:val="20"/>
        </w:rPr>
        <w:t xml:space="preserve">s </w:t>
      </w:r>
      <w:r w:rsidR="00624DE5" w:rsidRPr="00744CE4">
        <w:rPr>
          <w:rFonts w:ascii="Verdana" w:hAnsi="Verdana"/>
          <w:sz w:val="20"/>
          <w:szCs w:val="20"/>
        </w:rPr>
        <w:t>medios de impugnación constitucional promovidos contra sus disposiciones ante la Suprema Corte de Justicia de la Nación</w:t>
      </w:r>
      <w:r w:rsidR="00624DE5" w:rsidRPr="00744CE4">
        <w:rPr>
          <w:rStyle w:val="FootnoteReference"/>
          <w:rFonts w:ascii="Verdana" w:hAnsi="Verdana"/>
          <w:sz w:val="20"/>
          <w:szCs w:val="20"/>
        </w:rPr>
        <w:footnoteReference w:id="65"/>
      </w:r>
      <w:r w:rsidRPr="00744CE4">
        <w:rPr>
          <w:rFonts w:ascii="Verdana" w:hAnsi="Verdana"/>
          <w:sz w:val="20"/>
          <w:szCs w:val="20"/>
        </w:rPr>
        <w:t xml:space="preserve">. </w:t>
      </w:r>
      <w:r w:rsidR="006F1B8E" w:rsidRPr="008D0846">
        <w:rPr>
          <w:rStyle w:val="Hyperlink"/>
          <w:rFonts w:ascii="Verdana" w:hAnsi="Verdana"/>
          <w:color w:val="auto"/>
          <w:sz w:val="20"/>
          <w:szCs w:val="20"/>
          <w:u w:val="none"/>
        </w:rPr>
        <w:t>El 15 de noviembre de 2018 el Pleno de la SCJN resolvió por mayoría, la inconstitucionalidad general de la Ley de Seguridad Interior</w:t>
      </w:r>
      <w:r w:rsidR="009B18E2" w:rsidRPr="008D0846">
        <w:rPr>
          <w:rStyle w:val="Hyperlink"/>
          <w:rFonts w:ascii="Verdana" w:hAnsi="Verdana"/>
          <w:color w:val="auto"/>
          <w:sz w:val="20"/>
          <w:szCs w:val="20"/>
          <w:u w:val="none"/>
        </w:rPr>
        <w:t>, al concluir, entre otras, que “[…] en esencia, […] dicha Ley resultaba inconstitucional al contener disposiciones que pretendían normalizar la utilización de las Fuerzas Armadas en temas de seguridad pública, lo que es contrario al orden constitucional y convencional […]”</w:t>
      </w:r>
      <w:r w:rsidR="009B18E2" w:rsidRPr="008D0846">
        <w:rPr>
          <w:rStyle w:val="FootnoteReference"/>
          <w:rFonts w:ascii="Verdana" w:hAnsi="Verdana"/>
          <w:sz w:val="20"/>
          <w:szCs w:val="20"/>
        </w:rPr>
        <w:footnoteReference w:id="66"/>
      </w:r>
      <w:r w:rsidR="009B18E2" w:rsidRPr="008D0846">
        <w:rPr>
          <w:rStyle w:val="Hyperlink"/>
          <w:rFonts w:ascii="Verdana" w:hAnsi="Verdana"/>
          <w:color w:val="auto"/>
          <w:sz w:val="20"/>
          <w:szCs w:val="20"/>
          <w:u w:val="none"/>
        </w:rPr>
        <w:t>.</w:t>
      </w:r>
    </w:p>
    <w:p w14:paraId="4CAF54AA" w14:textId="7CFA4632" w:rsidR="00AB1FA1" w:rsidRPr="00432ABC" w:rsidRDefault="002E1C85" w:rsidP="00BE0E64">
      <w:pPr>
        <w:pStyle w:val="Heading4"/>
        <w:numPr>
          <w:ilvl w:val="0"/>
          <w:numId w:val="27"/>
        </w:numPr>
        <w:spacing w:before="120" w:after="120"/>
        <w:contextualSpacing w:val="0"/>
        <w:rPr>
          <w:rStyle w:val="SubtleEmphasis"/>
        </w:rPr>
      </w:pPr>
      <w:bookmarkStart w:id="113" w:name="_Toc532995329"/>
      <w:r w:rsidRPr="00BE0E64">
        <w:rPr>
          <w:rStyle w:val="SubtleEmphasis"/>
          <w:u w:val="none"/>
        </w:rPr>
        <w:t>El incremento</w:t>
      </w:r>
      <w:r w:rsidRPr="00DB378B">
        <w:rPr>
          <w:rStyle w:val="SubtleEmphasis"/>
          <w:u w:val="none"/>
        </w:rPr>
        <w:t xml:space="preserve"> de la violencia criminal y las violaciones a los derechos humanos asociadas a la implementación de los “Operativos Conjuntos”</w:t>
      </w:r>
      <w:bookmarkEnd w:id="113"/>
      <w:r w:rsidRPr="00432ABC">
        <w:rPr>
          <w:rStyle w:val="SubtleEmphasis"/>
          <w:u w:val="none"/>
        </w:rPr>
        <w:t xml:space="preserve"> </w:t>
      </w:r>
    </w:p>
    <w:p w14:paraId="0681EE7C" w14:textId="7D4FE5D4" w:rsidR="00BF1258" w:rsidRPr="00744CE4" w:rsidRDefault="002E1C85" w:rsidP="00432ABC">
      <w:pPr>
        <w:widowControl w:val="0"/>
        <w:numPr>
          <w:ilvl w:val="0"/>
          <w:numId w:val="4"/>
        </w:numPr>
        <w:tabs>
          <w:tab w:val="left" w:pos="567"/>
        </w:tabs>
        <w:autoSpaceDE w:val="0"/>
        <w:autoSpaceDN w:val="0"/>
        <w:adjustRightInd w:val="0"/>
        <w:spacing w:before="120" w:after="120" w:line="240" w:lineRule="auto"/>
        <w:ind w:left="0" w:firstLine="0"/>
        <w:jc w:val="both"/>
        <w:textAlignment w:val="baseline"/>
        <w:rPr>
          <w:rFonts w:ascii="Verdana" w:eastAsiaTheme="minorHAnsi" w:hAnsi="Verdana" w:cs="Times New Roman"/>
          <w:sz w:val="20"/>
          <w:szCs w:val="20"/>
        </w:rPr>
      </w:pPr>
      <w:r w:rsidRPr="00744CE4">
        <w:rPr>
          <w:rFonts w:ascii="Verdana" w:hAnsi="Verdana"/>
          <w:sz w:val="20"/>
          <w:szCs w:val="20"/>
        </w:rPr>
        <w:t xml:space="preserve">La Corte observa que en el contexto de la implementación de dichas estrategias de </w:t>
      </w:r>
      <w:r w:rsidRPr="00432ABC">
        <w:rPr>
          <w:rFonts w:ascii="Verdana" w:eastAsiaTheme="minorHAnsi" w:hAnsi="Verdana" w:cs="Times New Roman"/>
          <w:sz w:val="20"/>
          <w:szCs w:val="20"/>
        </w:rPr>
        <w:t>seguridad</w:t>
      </w:r>
      <w:r w:rsidRPr="00432ABC">
        <w:rPr>
          <w:rFonts w:ascii="Verdana" w:hAnsi="Verdana"/>
          <w:sz w:val="20"/>
          <w:szCs w:val="20"/>
        </w:rPr>
        <w:t xml:space="preserve"> de combate al narcotráfico y al crimen organizado en México, desde 2010 el </w:t>
      </w:r>
      <w:r w:rsidRPr="00432ABC">
        <w:rPr>
          <w:rFonts w:ascii="Verdana" w:hAnsi="Verdana" w:cs="Cambria"/>
          <w:sz w:val="20"/>
          <w:szCs w:val="20"/>
        </w:rPr>
        <w:t xml:space="preserve">Comité de Derechos Humanos de la ONU manifestó su preocupación por el creciente número de denuncias de violaciones de derechos humanos a manos de elementos castrenses en los lugares en que se encontraban </w:t>
      </w:r>
      <w:r w:rsidR="00AF445C" w:rsidRPr="00432ABC">
        <w:rPr>
          <w:rFonts w:ascii="Verdana" w:hAnsi="Verdana" w:cs="Cambria"/>
          <w:sz w:val="20"/>
          <w:szCs w:val="20"/>
        </w:rPr>
        <w:t xml:space="preserve">desplegados </w:t>
      </w:r>
      <w:r w:rsidRPr="00432ABC">
        <w:rPr>
          <w:rFonts w:ascii="Verdana" w:hAnsi="Verdana" w:cs="Cambria"/>
          <w:sz w:val="20"/>
          <w:szCs w:val="20"/>
        </w:rPr>
        <w:t>para garantizar el orden público, y recomendó que las tareas relacionadas con la segurid</w:t>
      </w:r>
      <w:r w:rsidRPr="002C462C">
        <w:rPr>
          <w:rFonts w:ascii="Verdana" w:hAnsi="Verdana" w:cs="Cambria"/>
          <w:sz w:val="20"/>
          <w:szCs w:val="20"/>
        </w:rPr>
        <w:t>ad pública y las investigaciones de denuncias de violaciones a los derechos humanos fuesen de competencia exclusiva de las autoridades civiles</w:t>
      </w:r>
      <w:r w:rsidR="00DC71C4" w:rsidRPr="00744CE4">
        <w:rPr>
          <w:rFonts w:ascii="Verdana" w:hAnsi="Verdana" w:cs="Cambria"/>
          <w:sz w:val="20"/>
          <w:szCs w:val="20"/>
          <w:vertAlign w:val="superscript"/>
        </w:rPr>
        <w:footnoteReference w:id="67"/>
      </w:r>
      <w:r w:rsidRPr="00744CE4">
        <w:rPr>
          <w:rFonts w:ascii="Verdana" w:hAnsi="Verdana" w:cs="Cambria"/>
          <w:sz w:val="20"/>
          <w:szCs w:val="20"/>
        </w:rPr>
        <w:t xml:space="preserve">. </w:t>
      </w:r>
    </w:p>
    <w:p w14:paraId="64AA5E17" w14:textId="742BE5F2" w:rsidR="002E1C85" w:rsidRPr="00744CE4" w:rsidRDefault="00BF1258" w:rsidP="00432ABC">
      <w:pPr>
        <w:widowControl w:val="0"/>
        <w:numPr>
          <w:ilvl w:val="0"/>
          <w:numId w:val="4"/>
        </w:numPr>
        <w:tabs>
          <w:tab w:val="left" w:pos="567"/>
        </w:tabs>
        <w:autoSpaceDE w:val="0"/>
        <w:autoSpaceDN w:val="0"/>
        <w:adjustRightInd w:val="0"/>
        <w:spacing w:before="120" w:after="120" w:line="240" w:lineRule="auto"/>
        <w:ind w:left="0" w:firstLine="0"/>
        <w:jc w:val="both"/>
        <w:textAlignment w:val="baseline"/>
        <w:rPr>
          <w:rFonts w:ascii="Verdana" w:hAnsi="Verdana"/>
          <w:sz w:val="20"/>
          <w:szCs w:val="20"/>
        </w:rPr>
      </w:pPr>
      <w:r w:rsidRPr="00432ABC">
        <w:rPr>
          <w:rFonts w:ascii="Verdana" w:eastAsiaTheme="minorHAnsi" w:hAnsi="Verdana" w:cs="Times New Roman"/>
          <w:sz w:val="20"/>
          <w:szCs w:val="20"/>
        </w:rPr>
        <w:t xml:space="preserve">Tras su visita a México en 2013 el Relator Especial sobre las Ejecuciones Extrajudiciales, Sumarias o Arbitrarias de la ONU expresó su preocupación por la persistencia de “niveles alarmantes de violencia” así como el uso excesivo de la fuerza y una falta de rendición de </w:t>
      </w:r>
      <w:r w:rsidRPr="00432ABC">
        <w:rPr>
          <w:rFonts w:ascii="Verdana" w:eastAsiaTheme="minorHAnsi" w:hAnsi="Verdana" w:cs="Times New Roman"/>
          <w:sz w:val="20"/>
          <w:szCs w:val="20"/>
        </w:rPr>
        <w:lastRenderedPageBreak/>
        <w:t>cuentas en México tras el despliegue del Ejército en 2007 para enfrentar a los cárteles del narcotráfico. En este sentido, ciudades de los Estados de Chihuahua y Guerrero habrían sido clasificadas como las más peligrosas del mundo. El Relator Especial señaló que de diciembre de 2006 a noviembre de 2012 se cometieron 102,696 homicidios intencionales,</w:t>
      </w:r>
      <w:r w:rsidRPr="002C462C">
        <w:rPr>
          <w:rFonts w:ascii="Verdana" w:eastAsiaTheme="minorHAnsi" w:hAnsi="Verdana" w:cs="Times New Roman"/>
          <w:sz w:val="20"/>
          <w:szCs w:val="20"/>
        </w:rPr>
        <w:t xml:space="preserve"> de los cuales cerca de 70,000 se encontraban relacionados con el tráfico de drogas, en un escenario de “impunidad sistémica y endémica”</w:t>
      </w:r>
      <w:r w:rsidRPr="00744CE4">
        <w:rPr>
          <w:rStyle w:val="FootnoteReference"/>
          <w:rFonts w:ascii="Verdana" w:eastAsiaTheme="minorHAnsi" w:hAnsi="Verdana" w:cs="Times New Roman"/>
          <w:sz w:val="20"/>
          <w:szCs w:val="20"/>
        </w:rPr>
        <w:footnoteReference w:id="68"/>
      </w:r>
      <w:r w:rsidRPr="00744CE4">
        <w:rPr>
          <w:rFonts w:ascii="Verdana" w:eastAsiaTheme="minorHAnsi" w:hAnsi="Verdana" w:cs="Times New Roman"/>
          <w:sz w:val="20"/>
          <w:szCs w:val="20"/>
        </w:rPr>
        <w:t xml:space="preserve">. De acuerdo con el Alto Comisionado de las Naciones Unidas para los Derechos Humanos, hacia el año 2015 esta cifra se </w:t>
      </w:r>
      <w:r w:rsidRPr="00432ABC">
        <w:rPr>
          <w:rFonts w:ascii="Verdana" w:eastAsiaTheme="minorHAnsi" w:hAnsi="Verdana" w:cs="Times New Roman"/>
          <w:sz w:val="20"/>
          <w:szCs w:val="20"/>
        </w:rPr>
        <w:t xml:space="preserve">habría incrementado a </w:t>
      </w:r>
      <w:r w:rsidRPr="00432ABC">
        <w:rPr>
          <w:rFonts w:ascii="Verdana" w:eastAsiaTheme="minorHAnsi" w:hAnsi="Verdana"/>
          <w:color w:val="000000"/>
          <w:sz w:val="20"/>
          <w:szCs w:val="20"/>
          <w:shd w:val="clear" w:color="auto" w:fill="FFFFFF"/>
        </w:rPr>
        <w:t>151,233 personas asesinadas</w:t>
      </w:r>
      <w:r w:rsidRPr="00744CE4">
        <w:rPr>
          <w:rStyle w:val="FootnoteReference"/>
          <w:rFonts w:ascii="Verdana" w:eastAsiaTheme="minorHAnsi" w:hAnsi="Verdana"/>
          <w:color w:val="000000"/>
          <w:sz w:val="20"/>
          <w:szCs w:val="20"/>
          <w:shd w:val="clear" w:color="auto" w:fill="FFFFFF"/>
        </w:rPr>
        <w:footnoteReference w:id="69"/>
      </w:r>
      <w:r w:rsidRPr="00744CE4">
        <w:rPr>
          <w:rFonts w:ascii="Verdana" w:eastAsiaTheme="minorHAnsi" w:hAnsi="Verdana"/>
          <w:color w:val="000000"/>
          <w:sz w:val="20"/>
          <w:szCs w:val="20"/>
          <w:shd w:val="clear" w:color="auto" w:fill="FFFFFF"/>
        </w:rPr>
        <w:t>.</w:t>
      </w:r>
    </w:p>
    <w:p w14:paraId="22F041BD" w14:textId="27EB425D" w:rsidR="00DE7633" w:rsidRPr="00744CE4" w:rsidRDefault="002E1C85" w:rsidP="002C462C">
      <w:pPr>
        <w:widowControl w:val="0"/>
        <w:numPr>
          <w:ilvl w:val="0"/>
          <w:numId w:val="4"/>
        </w:numPr>
        <w:tabs>
          <w:tab w:val="left" w:pos="567"/>
        </w:tabs>
        <w:autoSpaceDE w:val="0"/>
        <w:autoSpaceDN w:val="0"/>
        <w:adjustRightInd w:val="0"/>
        <w:spacing w:before="120" w:after="120" w:line="240" w:lineRule="auto"/>
        <w:ind w:left="0" w:firstLine="0"/>
        <w:jc w:val="both"/>
        <w:textAlignment w:val="baseline"/>
        <w:rPr>
          <w:rFonts w:ascii="Verdana" w:eastAsiaTheme="minorHAnsi" w:hAnsi="Verdana" w:cs="Cambria"/>
          <w:sz w:val="20"/>
          <w:szCs w:val="20"/>
        </w:rPr>
      </w:pPr>
      <w:r w:rsidRPr="00432ABC">
        <w:rPr>
          <w:rFonts w:ascii="Verdana" w:eastAsiaTheme="minorHAnsi" w:hAnsi="Verdana" w:cs="Cambria"/>
          <w:sz w:val="20"/>
          <w:szCs w:val="20"/>
        </w:rPr>
        <w:t>Del mismo modo, tras su visita a México en el año 2011, el Grupo de Trabajo sobre Desapariciones Forzadas o Involuntarias de la ONU [GTDFI] constató que la estrategia de militarización para el mantenimiento del orden público llevó aparejado, entre los años 2006 a 2010, el aumento paulatino en el número de quejas recibidas por la Comisión Nacional de los Derechos Humanos [CNDH] relacionadas con la Secretaría de la Defensa Nacional [SEDENA], en particular por detenciones arbitrarias, tortura, tratos crueles inhumanos y degradantes, ejecuciones extrajudiciales y desapariciones forzadas</w:t>
      </w:r>
      <w:r w:rsidR="00DC71C4" w:rsidRPr="00744CE4">
        <w:rPr>
          <w:rFonts w:ascii="Verdana" w:hAnsi="Verdana"/>
          <w:sz w:val="20"/>
          <w:szCs w:val="20"/>
          <w:vertAlign w:val="superscript"/>
        </w:rPr>
        <w:footnoteReference w:id="70"/>
      </w:r>
      <w:r w:rsidR="00DC71C4" w:rsidRPr="00744CE4">
        <w:rPr>
          <w:rFonts w:ascii="Verdana" w:eastAsiaTheme="minorHAnsi" w:hAnsi="Verdana" w:cs="Cambria"/>
          <w:sz w:val="20"/>
          <w:szCs w:val="20"/>
        </w:rPr>
        <w:t>. En este sentido, de acuerdo con los informes anuales de actividades de la CNDH,</w:t>
      </w:r>
      <w:r w:rsidR="00DC71C4" w:rsidRPr="00432ABC">
        <w:rPr>
          <w:rFonts w:ascii="Verdana" w:eastAsiaTheme="minorHAnsi" w:hAnsi="Verdana" w:cs="Cambria"/>
          <w:sz w:val="20"/>
          <w:szCs w:val="20"/>
        </w:rPr>
        <w:t xml:space="preserve"> entre 2007 y 2017 fueron registradas 10,930 quejas contra la SEDENA</w:t>
      </w:r>
      <w:r w:rsidR="00DC71C4" w:rsidRPr="00744CE4">
        <w:rPr>
          <w:rStyle w:val="FootnoteReference"/>
          <w:rFonts w:ascii="Verdana" w:eastAsiaTheme="minorHAnsi" w:hAnsi="Verdana" w:cs="Cambria"/>
          <w:sz w:val="20"/>
          <w:szCs w:val="20"/>
        </w:rPr>
        <w:footnoteReference w:id="71"/>
      </w:r>
      <w:r w:rsidR="00DC71C4" w:rsidRPr="00744CE4">
        <w:rPr>
          <w:rFonts w:ascii="Verdana" w:eastAsiaTheme="minorHAnsi" w:hAnsi="Verdana" w:cs="Cambria"/>
          <w:sz w:val="20"/>
          <w:szCs w:val="20"/>
        </w:rPr>
        <w:t xml:space="preserve">, así como </w:t>
      </w:r>
      <w:r w:rsidR="00BF5B41">
        <w:rPr>
          <w:rFonts w:ascii="Verdana" w:eastAsiaTheme="minorHAnsi" w:hAnsi="Verdana" w:cs="Cambria"/>
          <w:sz w:val="20"/>
          <w:szCs w:val="20"/>
        </w:rPr>
        <w:t>2</w:t>
      </w:r>
      <w:r w:rsidR="006A53BB">
        <w:rPr>
          <w:rFonts w:ascii="Verdana" w:eastAsiaTheme="minorHAnsi" w:hAnsi="Verdana" w:cs="Cambria"/>
          <w:sz w:val="20"/>
          <w:szCs w:val="20"/>
        </w:rPr>
        <w:t>,</w:t>
      </w:r>
      <w:r w:rsidR="00BF5B41">
        <w:rPr>
          <w:rFonts w:ascii="Verdana" w:eastAsiaTheme="minorHAnsi" w:hAnsi="Verdana" w:cs="Cambria"/>
          <w:sz w:val="20"/>
          <w:szCs w:val="20"/>
        </w:rPr>
        <w:t xml:space="preserve">881 </w:t>
      </w:r>
      <w:r w:rsidR="00DC71C4" w:rsidRPr="00744CE4">
        <w:rPr>
          <w:rFonts w:ascii="Verdana" w:eastAsiaTheme="minorHAnsi" w:hAnsi="Verdana" w:cs="Cambria"/>
          <w:sz w:val="20"/>
          <w:szCs w:val="20"/>
        </w:rPr>
        <w:t>contra la Secretaría de Marina [SEMAR]</w:t>
      </w:r>
      <w:r w:rsidR="00DC71C4" w:rsidRPr="00744CE4">
        <w:rPr>
          <w:rStyle w:val="FootnoteReference"/>
          <w:rFonts w:ascii="Verdana" w:eastAsiaTheme="minorHAnsi" w:hAnsi="Verdana" w:cs="Cambria"/>
          <w:sz w:val="20"/>
          <w:szCs w:val="20"/>
        </w:rPr>
        <w:footnoteReference w:id="72"/>
      </w:r>
      <w:r w:rsidR="00DC71C4" w:rsidRPr="00744CE4">
        <w:rPr>
          <w:rFonts w:ascii="Verdana" w:eastAsiaTheme="minorHAnsi" w:hAnsi="Verdana" w:cs="Cambria"/>
          <w:sz w:val="20"/>
          <w:szCs w:val="20"/>
        </w:rPr>
        <w:t>. De igual forma</w:t>
      </w:r>
      <w:r w:rsidR="00DC71C4" w:rsidRPr="00432ABC">
        <w:rPr>
          <w:rFonts w:ascii="Verdana" w:eastAsiaTheme="minorHAnsi" w:hAnsi="Verdana" w:cs="Cambria"/>
          <w:sz w:val="20"/>
          <w:szCs w:val="20"/>
        </w:rPr>
        <w:t xml:space="preserve">, durante dicho período la CNDH emitió 121 recomendaciones dirigidas a la SEDENA y 37 a la SEMAR al constatarse violaciones de derechos humanos atribuibles a miembros de las Fuerzas </w:t>
      </w:r>
      <w:r w:rsidR="00DC71C4" w:rsidRPr="00432ABC">
        <w:rPr>
          <w:rFonts w:ascii="Verdana" w:eastAsiaTheme="minorHAnsi" w:hAnsi="Verdana" w:cs="Cambria"/>
          <w:sz w:val="20"/>
          <w:szCs w:val="20"/>
        </w:rPr>
        <w:lastRenderedPageBreak/>
        <w:t>Armadas</w:t>
      </w:r>
      <w:r w:rsidR="00DC71C4" w:rsidRPr="00744CE4">
        <w:rPr>
          <w:rStyle w:val="FootnoteReference"/>
          <w:rFonts w:ascii="Verdana" w:eastAsiaTheme="minorHAnsi" w:hAnsi="Verdana" w:cs="Cambria"/>
          <w:sz w:val="20"/>
          <w:szCs w:val="20"/>
        </w:rPr>
        <w:footnoteReference w:id="73"/>
      </w:r>
      <w:r w:rsidR="00DC71C4" w:rsidRPr="00744CE4">
        <w:rPr>
          <w:rFonts w:ascii="Verdana" w:eastAsiaTheme="minorHAnsi" w:hAnsi="Verdana" w:cs="Cambria"/>
          <w:sz w:val="20"/>
          <w:szCs w:val="20"/>
        </w:rPr>
        <w:t>.</w:t>
      </w:r>
    </w:p>
    <w:p w14:paraId="32BDACC8" w14:textId="74B5A180" w:rsidR="00DE7633" w:rsidRPr="00744CE4" w:rsidRDefault="00F80E78" w:rsidP="00DB378B">
      <w:pPr>
        <w:pStyle w:val="ListParagraph"/>
        <w:numPr>
          <w:ilvl w:val="0"/>
          <w:numId w:val="4"/>
        </w:numPr>
        <w:spacing w:before="120" w:after="120" w:line="240" w:lineRule="auto"/>
        <w:ind w:left="0" w:firstLine="0"/>
        <w:jc w:val="both"/>
        <w:rPr>
          <w:rFonts w:ascii="Verdana" w:hAnsi="Verdana"/>
          <w:sz w:val="20"/>
          <w:szCs w:val="20"/>
        </w:rPr>
      </w:pPr>
      <w:r w:rsidRPr="00744CE4">
        <w:rPr>
          <w:rFonts w:ascii="Verdana" w:hAnsi="Verdana"/>
          <w:sz w:val="20"/>
          <w:szCs w:val="20"/>
        </w:rPr>
        <w:t>Por su parte</w:t>
      </w:r>
      <w:r w:rsidR="00DE7633" w:rsidRPr="00432ABC">
        <w:rPr>
          <w:rFonts w:ascii="Verdana" w:hAnsi="Verdana"/>
          <w:sz w:val="20"/>
          <w:szCs w:val="20"/>
        </w:rPr>
        <w:t xml:space="preserve">, el Comité para la Eliminación de la Discriminación contra la Mujer de la ONU [CEDAW] </w:t>
      </w:r>
      <w:r w:rsidRPr="00432ABC">
        <w:rPr>
          <w:rFonts w:ascii="Verdana" w:hAnsi="Verdana"/>
          <w:sz w:val="20"/>
          <w:szCs w:val="20"/>
        </w:rPr>
        <w:t xml:space="preserve">en 2012 y 2018 informó </w:t>
      </w:r>
      <w:r w:rsidR="00DE7633" w:rsidRPr="00432ABC">
        <w:rPr>
          <w:rFonts w:ascii="Verdana" w:hAnsi="Verdana"/>
          <w:sz w:val="20"/>
          <w:szCs w:val="20"/>
        </w:rPr>
        <w:t>que “la estrategia de seguridad pública para luchar contra la delincuencia organizada, combinada con l</w:t>
      </w:r>
      <w:r w:rsidR="00DE7633" w:rsidRPr="002C462C">
        <w:rPr>
          <w:rFonts w:ascii="Verdana" w:hAnsi="Verdana"/>
          <w:sz w:val="20"/>
          <w:szCs w:val="20"/>
        </w:rPr>
        <w:t>a impunidad y corrupción persistentes</w:t>
      </w:r>
      <w:r w:rsidR="0031586F" w:rsidRPr="00744CE4">
        <w:rPr>
          <w:rFonts w:ascii="Verdana" w:hAnsi="Verdana"/>
          <w:sz w:val="20"/>
          <w:szCs w:val="20"/>
        </w:rPr>
        <w:t xml:space="preserve"> [en México]</w:t>
      </w:r>
      <w:r w:rsidR="00DE7633" w:rsidRPr="00744CE4">
        <w:rPr>
          <w:rFonts w:ascii="Verdana" w:hAnsi="Verdana"/>
          <w:sz w:val="20"/>
          <w:szCs w:val="20"/>
        </w:rPr>
        <w:t xml:space="preserve">, [ha] contribuido a la intensificación de </w:t>
      </w:r>
      <w:r w:rsidRPr="00744CE4">
        <w:rPr>
          <w:rFonts w:ascii="Verdana" w:hAnsi="Verdana"/>
          <w:sz w:val="20"/>
          <w:szCs w:val="20"/>
        </w:rPr>
        <w:t xml:space="preserve">[…] </w:t>
      </w:r>
      <w:r w:rsidR="00DE7633" w:rsidRPr="00744CE4">
        <w:rPr>
          <w:rFonts w:ascii="Verdana" w:hAnsi="Verdana"/>
          <w:sz w:val="20"/>
          <w:szCs w:val="20"/>
        </w:rPr>
        <w:t xml:space="preserve">pautas ya existentes de discriminación y violencia generalizadas contra las mujeres”, así como </w:t>
      </w:r>
      <w:r w:rsidRPr="00744CE4">
        <w:rPr>
          <w:rFonts w:ascii="Verdana" w:hAnsi="Verdana"/>
          <w:sz w:val="20"/>
          <w:szCs w:val="20"/>
        </w:rPr>
        <w:t xml:space="preserve">de </w:t>
      </w:r>
      <w:r w:rsidR="008F2CCF" w:rsidRPr="00744CE4">
        <w:rPr>
          <w:rFonts w:ascii="Verdana" w:hAnsi="Verdana"/>
          <w:sz w:val="20"/>
          <w:szCs w:val="20"/>
        </w:rPr>
        <w:t>“</w:t>
      </w:r>
      <w:r w:rsidR="0016671F" w:rsidRPr="00744CE4">
        <w:rPr>
          <w:rFonts w:ascii="Verdana" w:hAnsi="Verdana"/>
          <w:sz w:val="20"/>
          <w:szCs w:val="20"/>
        </w:rPr>
        <w:t xml:space="preserve">[…] unos niveles cada vez mayores y a </w:t>
      </w:r>
      <w:r w:rsidR="00DE7633" w:rsidRPr="00744CE4">
        <w:rPr>
          <w:rFonts w:ascii="Verdana" w:hAnsi="Verdana"/>
          <w:sz w:val="20"/>
          <w:szCs w:val="20"/>
        </w:rPr>
        <w:t xml:space="preserve">diferentes tipos de violencia por motivos de género como </w:t>
      </w:r>
      <w:r w:rsidRPr="00744CE4">
        <w:rPr>
          <w:rFonts w:ascii="Verdana" w:hAnsi="Verdana"/>
          <w:sz w:val="20"/>
          <w:szCs w:val="20"/>
        </w:rPr>
        <w:t>[…]</w:t>
      </w:r>
      <w:r w:rsidR="00DE7633" w:rsidRPr="00744CE4">
        <w:rPr>
          <w:rFonts w:ascii="Verdana" w:hAnsi="Verdana"/>
          <w:sz w:val="20"/>
          <w:szCs w:val="20"/>
        </w:rPr>
        <w:t xml:space="preserve"> desapariciones forzosas, torturas</w:t>
      </w:r>
      <w:r w:rsidRPr="00744CE4">
        <w:rPr>
          <w:rFonts w:ascii="Verdana" w:hAnsi="Verdana"/>
          <w:sz w:val="20"/>
          <w:szCs w:val="20"/>
        </w:rPr>
        <w:t xml:space="preserve">, </w:t>
      </w:r>
      <w:r w:rsidR="00DE7633" w:rsidRPr="00744CE4">
        <w:rPr>
          <w:rFonts w:ascii="Verdana" w:hAnsi="Verdana"/>
          <w:sz w:val="20"/>
          <w:szCs w:val="20"/>
        </w:rPr>
        <w:t xml:space="preserve">asesinatos, </w:t>
      </w:r>
      <w:r w:rsidRPr="00744CE4">
        <w:rPr>
          <w:rFonts w:ascii="Verdana" w:hAnsi="Verdana"/>
          <w:sz w:val="20"/>
          <w:szCs w:val="20"/>
        </w:rPr>
        <w:t xml:space="preserve">[y] </w:t>
      </w:r>
      <w:r w:rsidR="00DE7633" w:rsidRPr="00744CE4">
        <w:rPr>
          <w:rFonts w:ascii="Verdana" w:hAnsi="Verdana"/>
          <w:sz w:val="20"/>
          <w:szCs w:val="20"/>
        </w:rPr>
        <w:t>en particular</w:t>
      </w:r>
      <w:r w:rsidRPr="00744CE4">
        <w:rPr>
          <w:rFonts w:ascii="Verdana" w:hAnsi="Verdana"/>
          <w:sz w:val="20"/>
          <w:szCs w:val="20"/>
        </w:rPr>
        <w:t>,</w:t>
      </w:r>
      <w:r w:rsidR="00DE7633" w:rsidRPr="00744CE4">
        <w:rPr>
          <w:rFonts w:ascii="Verdana" w:hAnsi="Verdana"/>
          <w:sz w:val="20"/>
          <w:szCs w:val="20"/>
        </w:rPr>
        <w:t xml:space="preserve"> el feminicidio, por </w:t>
      </w:r>
      <w:r w:rsidR="00717A95" w:rsidRPr="00744CE4">
        <w:rPr>
          <w:rFonts w:ascii="Verdana" w:hAnsi="Verdana"/>
          <w:sz w:val="20"/>
          <w:szCs w:val="20"/>
        </w:rPr>
        <w:t xml:space="preserve">parte de </w:t>
      </w:r>
      <w:r w:rsidR="00DE7633" w:rsidRPr="00744CE4">
        <w:rPr>
          <w:rFonts w:ascii="Verdana" w:hAnsi="Verdana"/>
          <w:sz w:val="20"/>
          <w:szCs w:val="20"/>
        </w:rPr>
        <w:t>agentes estatales, incluidos funcionarios encargados de hacer cumplir la ley y fuerzas de seguridad</w:t>
      </w:r>
      <w:r w:rsidR="005203D7" w:rsidRPr="00744CE4">
        <w:rPr>
          <w:rFonts w:ascii="Verdana" w:hAnsi="Verdana"/>
          <w:sz w:val="20"/>
          <w:szCs w:val="20"/>
        </w:rPr>
        <w:t xml:space="preserve"> […]</w:t>
      </w:r>
      <w:r w:rsidR="00DE7633" w:rsidRPr="00744CE4">
        <w:rPr>
          <w:rFonts w:ascii="Verdana" w:hAnsi="Verdana"/>
          <w:sz w:val="20"/>
          <w:szCs w:val="20"/>
        </w:rPr>
        <w:t>”</w:t>
      </w:r>
      <w:r w:rsidR="00DE7633" w:rsidRPr="00744CE4">
        <w:rPr>
          <w:rStyle w:val="FootnoteReference"/>
          <w:rFonts w:ascii="Verdana" w:hAnsi="Verdana"/>
          <w:sz w:val="20"/>
          <w:szCs w:val="20"/>
        </w:rPr>
        <w:footnoteReference w:id="74"/>
      </w:r>
      <w:r w:rsidR="00DE7633" w:rsidRPr="00744CE4">
        <w:rPr>
          <w:rFonts w:ascii="Verdana" w:hAnsi="Verdana"/>
          <w:sz w:val="20"/>
          <w:szCs w:val="20"/>
        </w:rPr>
        <w:t>.</w:t>
      </w:r>
      <w:r w:rsidRPr="00744CE4">
        <w:rPr>
          <w:rFonts w:ascii="Verdana" w:hAnsi="Verdana"/>
          <w:sz w:val="20"/>
          <w:szCs w:val="20"/>
        </w:rPr>
        <w:t xml:space="preserve"> </w:t>
      </w:r>
      <w:r w:rsidR="00014477" w:rsidRPr="00432ABC">
        <w:rPr>
          <w:rFonts w:ascii="Verdana" w:hAnsi="Verdana"/>
          <w:sz w:val="20"/>
          <w:szCs w:val="20"/>
        </w:rPr>
        <w:t xml:space="preserve">Por su parte, la CNDH </w:t>
      </w:r>
      <w:r w:rsidRPr="00432ABC">
        <w:rPr>
          <w:rFonts w:ascii="Verdana" w:hAnsi="Verdana"/>
          <w:sz w:val="20"/>
          <w:szCs w:val="20"/>
        </w:rPr>
        <w:t xml:space="preserve">ha dado </w:t>
      </w:r>
      <w:r w:rsidR="00014477" w:rsidRPr="00432ABC">
        <w:rPr>
          <w:rFonts w:ascii="Verdana" w:hAnsi="Verdana"/>
          <w:sz w:val="20"/>
          <w:szCs w:val="20"/>
        </w:rPr>
        <w:t>cuenta de un total de 35,433 personas víctimas de desplazamiento forzado interno [DFI] en México</w:t>
      </w:r>
      <w:r w:rsidRPr="002C462C">
        <w:rPr>
          <w:rFonts w:ascii="Verdana" w:hAnsi="Verdana"/>
          <w:sz w:val="20"/>
          <w:szCs w:val="20"/>
        </w:rPr>
        <w:t xml:space="preserve"> </w:t>
      </w:r>
      <w:r w:rsidR="00E60F03">
        <w:rPr>
          <w:rFonts w:ascii="Verdana" w:hAnsi="Verdana"/>
          <w:sz w:val="20"/>
          <w:szCs w:val="20"/>
        </w:rPr>
        <w:t xml:space="preserve">hacia el </w:t>
      </w:r>
      <w:r w:rsidRPr="002C462C">
        <w:rPr>
          <w:rFonts w:ascii="Verdana" w:hAnsi="Verdana"/>
          <w:sz w:val="20"/>
          <w:szCs w:val="20"/>
        </w:rPr>
        <w:t>año 2016</w:t>
      </w:r>
      <w:r w:rsidR="00014477" w:rsidRPr="002C462C">
        <w:rPr>
          <w:rFonts w:ascii="Verdana" w:hAnsi="Verdana"/>
          <w:sz w:val="20"/>
          <w:szCs w:val="20"/>
        </w:rPr>
        <w:t>, de los cuales 31,798 fueron consecuencia de la violencia criminal y la actuación de las fuerzas de seguridad del Estad</w:t>
      </w:r>
      <w:r w:rsidR="00014477" w:rsidRPr="00744CE4">
        <w:rPr>
          <w:rFonts w:ascii="Verdana" w:hAnsi="Verdana"/>
          <w:sz w:val="20"/>
          <w:szCs w:val="20"/>
        </w:rPr>
        <w:t xml:space="preserve">o. </w:t>
      </w:r>
      <w:r w:rsidR="009D76E7" w:rsidRPr="00744CE4">
        <w:rPr>
          <w:rFonts w:ascii="Verdana" w:hAnsi="Verdana"/>
          <w:sz w:val="20"/>
          <w:szCs w:val="20"/>
        </w:rPr>
        <w:t>E</w:t>
      </w:r>
      <w:r w:rsidR="00014477" w:rsidRPr="00744CE4">
        <w:rPr>
          <w:rFonts w:ascii="Verdana" w:hAnsi="Verdana"/>
          <w:sz w:val="20"/>
          <w:szCs w:val="20"/>
        </w:rPr>
        <w:t xml:space="preserve">l Estado de Chihuahua ocupó el tercer lugar nacional de desplazamientos forzados internos de origen, con un total de 2,008 víctimas, y destacó </w:t>
      </w:r>
      <w:r w:rsidRPr="00744CE4">
        <w:rPr>
          <w:rFonts w:ascii="Verdana" w:hAnsi="Verdana"/>
          <w:sz w:val="20"/>
          <w:szCs w:val="20"/>
        </w:rPr>
        <w:t xml:space="preserve">que este fenómeno </w:t>
      </w:r>
      <w:r w:rsidR="00014477" w:rsidRPr="00744CE4">
        <w:rPr>
          <w:rFonts w:ascii="Verdana" w:hAnsi="Verdana"/>
          <w:sz w:val="20"/>
          <w:szCs w:val="20"/>
        </w:rPr>
        <w:t>“no se ha podido frenar por parte de las autoridades, lo que ha provocado desprotección de las víctimas”</w:t>
      </w:r>
      <w:r w:rsidR="00014477" w:rsidRPr="00744CE4">
        <w:rPr>
          <w:rFonts w:ascii="Verdana" w:hAnsi="Verdana"/>
          <w:sz w:val="20"/>
          <w:szCs w:val="20"/>
          <w:vertAlign w:val="superscript"/>
        </w:rPr>
        <w:footnoteReference w:id="75"/>
      </w:r>
      <w:r w:rsidR="00014477" w:rsidRPr="00744CE4">
        <w:rPr>
          <w:rFonts w:ascii="Verdana" w:hAnsi="Verdana"/>
          <w:sz w:val="20"/>
          <w:szCs w:val="20"/>
        </w:rPr>
        <w:t>.</w:t>
      </w:r>
    </w:p>
    <w:p w14:paraId="64AA5E1B" w14:textId="5BCCA663" w:rsidR="002E1C85" w:rsidRPr="00DB378B" w:rsidRDefault="00B6434F" w:rsidP="00744CE4">
      <w:pPr>
        <w:pStyle w:val="Heading4"/>
        <w:numPr>
          <w:ilvl w:val="0"/>
          <w:numId w:val="27"/>
        </w:numPr>
        <w:spacing w:before="120" w:after="120"/>
        <w:contextualSpacing w:val="0"/>
        <w:rPr>
          <w:rStyle w:val="SubtleEmphasis"/>
          <w:sz w:val="22"/>
          <w:szCs w:val="22"/>
          <w:u w:val="none"/>
        </w:rPr>
      </w:pPr>
      <w:bookmarkStart w:id="114" w:name="_Toc532995330"/>
      <w:r w:rsidRPr="00432ABC">
        <w:rPr>
          <w:rStyle w:val="SubtleEmphasis"/>
          <w:u w:val="none"/>
        </w:rPr>
        <w:t>Sobre l</w:t>
      </w:r>
      <w:r w:rsidR="002E1C85" w:rsidRPr="00432ABC">
        <w:rPr>
          <w:rStyle w:val="SubtleEmphasis"/>
          <w:u w:val="none"/>
        </w:rPr>
        <w:t xml:space="preserve">as desapariciones </w:t>
      </w:r>
      <w:r w:rsidRPr="00432ABC">
        <w:rPr>
          <w:rStyle w:val="SubtleEmphasis"/>
          <w:u w:val="none"/>
        </w:rPr>
        <w:t xml:space="preserve">presuntamente </w:t>
      </w:r>
      <w:r w:rsidR="002E1C85" w:rsidRPr="00432ABC">
        <w:rPr>
          <w:rStyle w:val="SubtleEmphasis"/>
          <w:u w:val="none"/>
        </w:rPr>
        <w:t>atribuibles a agentes estatales</w:t>
      </w:r>
      <w:r w:rsidRPr="00432ABC">
        <w:rPr>
          <w:rStyle w:val="SubtleEmphasis"/>
          <w:u w:val="none"/>
        </w:rPr>
        <w:t xml:space="preserve"> en México</w:t>
      </w:r>
      <w:bookmarkEnd w:id="114"/>
    </w:p>
    <w:p w14:paraId="64AA5E1D" w14:textId="642F22A2" w:rsidR="002E1C85" w:rsidRPr="00744CE4" w:rsidRDefault="002E1C85" w:rsidP="00432ABC">
      <w:pPr>
        <w:widowControl w:val="0"/>
        <w:numPr>
          <w:ilvl w:val="0"/>
          <w:numId w:val="4"/>
        </w:numPr>
        <w:tabs>
          <w:tab w:val="left" w:pos="567"/>
        </w:tabs>
        <w:autoSpaceDE w:val="0"/>
        <w:autoSpaceDN w:val="0"/>
        <w:adjustRightInd w:val="0"/>
        <w:spacing w:before="120" w:after="120" w:line="240" w:lineRule="auto"/>
        <w:ind w:left="0" w:firstLine="0"/>
        <w:jc w:val="both"/>
        <w:textAlignment w:val="baseline"/>
        <w:rPr>
          <w:rFonts w:ascii="Verdana" w:hAnsi="Verdana"/>
          <w:sz w:val="20"/>
          <w:szCs w:val="20"/>
        </w:rPr>
      </w:pPr>
      <w:r w:rsidRPr="00744CE4">
        <w:rPr>
          <w:rFonts w:ascii="Verdana" w:hAnsi="Verdana"/>
          <w:sz w:val="20"/>
          <w:szCs w:val="20"/>
        </w:rPr>
        <w:t>En 2011</w:t>
      </w:r>
      <w:r w:rsidR="00E62DC2" w:rsidRPr="00744CE4">
        <w:rPr>
          <w:rFonts w:ascii="Verdana" w:hAnsi="Verdana"/>
          <w:sz w:val="20"/>
          <w:szCs w:val="20"/>
        </w:rPr>
        <w:t xml:space="preserve"> </w:t>
      </w:r>
      <w:r w:rsidRPr="00432ABC">
        <w:rPr>
          <w:rFonts w:ascii="Verdana" w:hAnsi="Verdana"/>
          <w:sz w:val="20"/>
          <w:szCs w:val="20"/>
        </w:rPr>
        <w:t>GTDFI señaló que muchas de las desapariciones en México podrían calificarse como forzadas al haberse constatado la participación directa o indirecta de agentes estatales en su perpetración, entre ellos elementos castrenses</w:t>
      </w:r>
      <w:r w:rsidRPr="00744CE4">
        <w:rPr>
          <w:rFonts w:ascii="Verdana" w:hAnsi="Verdana"/>
          <w:sz w:val="20"/>
          <w:szCs w:val="20"/>
          <w:vertAlign w:val="superscript"/>
        </w:rPr>
        <w:footnoteReference w:id="76"/>
      </w:r>
      <w:r w:rsidRPr="00744CE4">
        <w:rPr>
          <w:rFonts w:ascii="Verdana" w:hAnsi="Verdana"/>
          <w:sz w:val="20"/>
          <w:szCs w:val="20"/>
        </w:rPr>
        <w:t xml:space="preserve">. </w:t>
      </w:r>
      <w:r w:rsidR="002E6AD1" w:rsidRPr="00744CE4">
        <w:rPr>
          <w:rFonts w:ascii="Verdana" w:hAnsi="Verdana"/>
          <w:sz w:val="20"/>
          <w:szCs w:val="20"/>
        </w:rPr>
        <w:t>Por su parte</w:t>
      </w:r>
      <w:r w:rsidRPr="00432ABC">
        <w:rPr>
          <w:rFonts w:ascii="Verdana" w:hAnsi="Verdana"/>
          <w:sz w:val="20"/>
          <w:szCs w:val="20"/>
        </w:rPr>
        <w:t>,</w:t>
      </w:r>
      <w:r w:rsidR="00653878" w:rsidRPr="00432ABC">
        <w:rPr>
          <w:rFonts w:ascii="Verdana" w:hAnsi="Verdana"/>
          <w:sz w:val="20"/>
          <w:szCs w:val="20"/>
        </w:rPr>
        <w:t xml:space="preserve"> </w:t>
      </w:r>
      <w:r w:rsidRPr="00432ABC">
        <w:rPr>
          <w:rFonts w:ascii="Verdana" w:hAnsi="Verdana"/>
          <w:sz w:val="20"/>
          <w:szCs w:val="20"/>
        </w:rPr>
        <w:t>en 2012 el Comité contra la Tortura de la ONU refrendó expresamente dichas conclusiones del GTDFI y de igual forma mostró su preocupación por “el aumento progresivo de</w:t>
      </w:r>
      <w:r w:rsidRPr="002C462C">
        <w:rPr>
          <w:rFonts w:ascii="Verdana" w:hAnsi="Verdana"/>
          <w:sz w:val="20"/>
          <w:szCs w:val="20"/>
        </w:rPr>
        <w:t>l número de desapariciones forzadas presuntamente cometidas por autoridades públicas o grupos criminales o particulares que actuarían con el apoyo directo o indirecto de agentes del Estado, en estados como Coahuila, Guerrero, Chihuahua, Nuevo León y Tamauli</w:t>
      </w:r>
      <w:r w:rsidRPr="00744CE4">
        <w:rPr>
          <w:rFonts w:ascii="Verdana" w:hAnsi="Verdana"/>
          <w:sz w:val="20"/>
          <w:szCs w:val="20"/>
        </w:rPr>
        <w:t>pas”</w:t>
      </w:r>
      <w:r w:rsidRPr="00744CE4">
        <w:rPr>
          <w:rFonts w:ascii="Verdana" w:hAnsi="Verdana"/>
          <w:sz w:val="20"/>
          <w:szCs w:val="20"/>
          <w:vertAlign w:val="superscript"/>
        </w:rPr>
        <w:footnoteReference w:id="77"/>
      </w:r>
      <w:r w:rsidRPr="00744CE4">
        <w:rPr>
          <w:rFonts w:ascii="Verdana" w:hAnsi="Verdana"/>
          <w:sz w:val="20"/>
          <w:szCs w:val="20"/>
        </w:rPr>
        <w:t>.</w:t>
      </w:r>
      <w:r w:rsidR="002E6AD1" w:rsidRPr="00744CE4">
        <w:rPr>
          <w:rFonts w:ascii="Verdana" w:hAnsi="Verdana"/>
          <w:sz w:val="20"/>
          <w:szCs w:val="20"/>
        </w:rPr>
        <w:t xml:space="preserve"> </w:t>
      </w:r>
      <w:r w:rsidR="002E6AD1" w:rsidRPr="00432ABC">
        <w:rPr>
          <w:rFonts w:ascii="Verdana" w:hAnsi="Verdana"/>
          <w:sz w:val="20"/>
          <w:szCs w:val="20"/>
        </w:rPr>
        <w:t xml:space="preserve">En este sentido, </w:t>
      </w:r>
      <w:r w:rsidR="00E9724A" w:rsidRPr="00432ABC">
        <w:rPr>
          <w:rFonts w:ascii="Verdana" w:hAnsi="Verdana"/>
          <w:sz w:val="20"/>
          <w:szCs w:val="20"/>
        </w:rPr>
        <w:t xml:space="preserve">en 2015 el Alto Comisionado de la ONU señaló que </w:t>
      </w:r>
      <w:r w:rsidR="002E6AD1" w:rsidRPr="00432ABC">
        <w:rPr>
          <w:rFonts w:ascii="Verdana" w:hAnsi="Verdana"/>
          <w:sz w:val="20"/>
          <w:szCs w:val="20"/>
        </w:rPr>
        <w:t>en dicho contexto “[…] [p]arte de la violencia puede ser atribuida a los poderosos y despiadados grupos del crimen organizado […]</w:t>
      </w:r>
      <w:r w:rsidR="00220312">
        <w:rPr>
          <w:rFonts w:ascii="Verdana" w:hAnsi="Verdana"/>
          <w:sz w:val="20"/>
          <w:szCs w:val="20"/>
        </w:rPr>
        <w:t>.</w:t>
      </w:r>
      <w:r w:rsidR="002E6AD1" w:rsidRPr="00432ABC">
        <w:rPr>
          <w:rFonts w:ascii="Verdana" w:hAnsi="Verdana"/>
          <w:sz w:val="20"/>
          <w:szCs w:val="20"/>
        </w:rPr>
        <w:t xml:space="preserve"> Sin embargo, muchas desapariciones forzadas, actos d</w:t>
      </w:r>
      <w:r w:rsidR="002E6AD1" w:rsidRPr="002C462C">
        <w:rPr>
          <w:rFonts w:ascii="Verdana" w:hAnsi="Verdana"/>
          <w:sz w:val="20"/>
          <w:szCs w:val="20"/>
        </w:rPr>
        <w:t xml:space="preserve">e tortura y ejecuciones extrajudiciales presuntamente han sido llevadas a cabo por autoridades federales, estatales y municipales, incluyendo la policía y algunas partes del Ejército, ya sea actuando por sus propios intereses o en colusión con </w:t>
      </w:r>
      <w:r w:rsidR="002E6AD1" w:rsidRPr="002C462C">
        <w:rPr>
          <w:rFonts w:ascii="Verdana" w:hAnsi="Verdana"/>
          <w:sz w:val="20"/>
          <w:szCs w:val="20"/>
        </w:rPr>
        <w:lastRenderedPageBreak/>
        <w:t>grupos del cr</w:t>
      </w:r>
      <w:r w:rsidR="002E6AD1" w:rsidRPr="00744CE4">
        <w:rPr>
          <w:rFonts w:ascii="Verdana" w:hAnsi="Verdana"/>
          <w:sz w:val="20"/>
          <w:szCs w:val="20"/>
        </w:rPr>
        <w:t>imen organizado […]”</w:t>
      </w:r>
      <w:r w:rsidR="002E6AD1" w:rsidRPr="00744CE4">
        <w:rPr>
          <w:rStyle w:val="FootnoteReference"/>
          <w:rFonts w:ascii="Verdana" w:hAnsi="Verdana"/>
          <w:sz w:val="20"/>
          <w:szCs w:val="20"/>
        </w:rPr>
        <w:footnoteReference w:id="78"/>
      </w:r>
      <w:r w:rsidR="002E6AD1" w:rsidRPr="00744CE4">
        <w:rPr>
          <w:rFonts w:ascii="Verdana" w:hAnsi="Verdana"/>
          <w:sz w:val="20"/>
          <w:szCs w:val="20"/>
        </w:rPr>
        <w:t>.</w:t>
      </w:r>
    </w:p>
    <w:p w14:paraId="64AA5E1F" w14:textId="45AB768B" w:rsidR="002E1C85" w:rsidRPr="00432ABC" w:rsidRDefault="002E1C85" w:rsidP="00432ABC">
      <w:pPr>
        <w:widowControl w:val="0"/>
        <w:numPr>
          <w:ilvl w:val="0"/>
          <w:numId w:val="4"/>
        </w:numPr>
        <w:tabs>
          <w:tab w:val="left" w:pos="567"/>
        </w:tabs>
        <w:autoSpaceDE w:val="0"/>
        <w:autoSpaceDN w:val="0"/>
        <w:adjustRightInd w:val="0"/>
        <w:spacing w:before="120" w:after="120" w:line="240" w:lineRule="auto"/>
        <w:ind w:left="0" w:firstLine="0"/>
        <w:jc w:val="both"/>
        <w:textAlignment w:val="baseline"/>
        <w:rPr>
          <w:rFonts w:ascii="Verdana" w:hAnsi="Verdana"/>
          <w:sz w:val="20"/>
          <w:szCs w:val="20"/>
        </w:rPr>
      </w:pPr>
      <w:r w:rsidRPr="00432ABC">
        <w:rPr>
          <w:rFonts w:ascii="Verdana" w:hAnsi="Verdana"/>
          <w:sz w:val="20"/>
          <w:szCs w:val="20"/>
        </w:rPr>
        <w:t>Por su parte, a nivel interno la CNDH ha dado cuenta, en múltiples informes anuales</w:t>
      </w:r>
      <w:r w:rsidR="007A0804" w:rsidRPr="00744CE4">
        <w:rPr>
          <w:rFonts w:ascii="Verdana" w:hAnsi="Verdana"/>
          <w:sz w:val="20"/>
          <w:szCs w:val="20"/>
          <w:vertAlign w:val="superscript"/>
        </w:rPr>
        <w:footnoteReference w:id="79"/>
      </w:r>
      <w:r w:rsidR="007A0804" w:rsidRPr="00744CE4">
        <w:rPr>
          <w:rFonts w:ascii="Verdana" w:hAnsi="Verdana"/>
          <w:sz w:val="20"/>
          <w:szCs w:val="20"/>
        </w:rPr>
        <w:t>,</w:t>
      </w:r>
      <w:r w:rsidR="00E9724A" w:rsidRPr="00744CE4">
        <w:rPr>
          <w:rFonts w:ascii="Verdana" w:hAnsi="Verdana"/>
          <w:sz w:val="20"/>
          <w:szCs w:val="20"/>
        </w:rPr>
        <w:t xml:space="preserve"> en un informe especial</w:t>
      </w:r>
      <w:r w:rsidR="00E9724A" w:rsidRPr="00744CE4">
        <w:rPr>
          <w:rFonts w:ascii="Verdana" w:hAnsi="Verdana"/>
          <w:sz w:val="20"/>
          <w:szCs w:val="20"/>
          <w:vertAlign w:val="superscript"/>
        </w:rPr>
        <w:footnoteReference w:id="80"/>
      </w:r>
      <w:r w:rsidR="00E9724A" w:rsidRPr="00744CE4">
        <w:rPr>
          <w:rFonts w:ascii="Verdana" w:hAnsi="Verdana"/>
          <w:sz w:val="20"/>
          <w:szCs w:val="20"/>
        </w:rPr>
        <w:t xml:space="preserve">, así como en </w:t>
      </w:r>
      <w:r w:rsidR="007A0804" w:rsidRPr="00744CE4">
        <w:rPr>
          <w:rFonts w:ascii="Verdana" w:hAnsi="Verdana"/>
          <w:sz w:val="20"/>
          <w:szCs w:val="20"/>
        </w:rPr>
        <w:t xml:space="preserve">un informe </w:t>
      </w:r>
      <w:r w:rsidR="00E9724A" w:rsidRPr="00432ABC">
        <w:rPr>
          <w:rFonts w:ascii="Verdana" w:hAnsi="Verdana"/>
          <w:sz w:val="20"/>
          <w:szCs w:val="20"/>
        </w:rPr>
        <w:t>dirigido</w:t>
      </w:r>
      <w:r w:rsidR="007A0804" w:rsidRPr="00432ABC">
        <w:rPr>
          <w:rFonts w:ascii="Verdana" w:hAnsi="Verdana"/>
          <w:sz w:val="20"/>
          <w:szCs w:val="20"/>
        </w:rPr>
        <w:t xml:space="preserve"> </w:t>
      </w:r>
      <w:r w:rsidR="00E9724A" w:rsidRPr="00432ABC">
        <w:rPr>
          <w:rFonts w:ascii="Verdana" w:hAnsi="Verdana"/>
          <w:sz w:val="20"/>
          <w:szCs w:val="20"/>
        </w:rPr>
        <w:t>a</w:t>
      </w:r>
      <w:r w:rsidR="007A0804" w:rsidRPr="00432ABC">
        <w:rPr>
          <w:rFonts w:ascii="Verdana" w:hAnsi="Verdana"/>
          <w:sz w:val="20"/>
          <w:szCs w:val="20"/>
        </w:rPr>
        <w:t>l Comité contra las Desapariciones Forzadas de la ONU</w:t>
      </w:r>
      <w:r w:rsidR="007A0804" w:rsidRPr="00744CE4">
        <w:rPr>
          <w:rStyle w:val="FootnoteReference"/>
          <w:rFonts w:ascii="Verdana" w:hAnsi="Verdana"/>
          <w:sz w:val="20"/>
          <w:szCs w:val="20"/>
        </w:rPr>
        <w:footnoteReference w:id="81"/>
      </w:r>
      <w:r w:rsidRPr="00744CE4">
        <w:rPr>
          <w:rFonts w:ascii="Verdana" w:hAnsi="Verdana"/>
          <w:sz w:val="20"/>
          <w:szCs w:val="20"/>
        </w:rPr>
        <w:t xml:space="preserve">, de la existencia de dicho contexto generalizado de desapariciones de personas y de la gravedad de </w:t>
      </w:r>
      <w:r w:rsidRPr="00432ABC">
        <w:rPr>
          <w:rFonts w:ascii="Verdana" w:hAnsi="Verdana"/>
          <w:sz w:val="20"/>
          <w:szCs w:val="20"/>
        </w:rPr>
        <w:t>esta problemática asociada al escenario de violencia que enfrenta México, particularmente desde el año 2007 hasta la actualidad. En este sentido, en 2017 la CNDH concluyó la existencia de 29,903 casos de desapariciones registrados desde 2007 hasta octubre de 2016 en las bases de datos oficiales, de los cuales el 82.71% se concentraron en 11 entidades del país, ocupando el estado de Chihuahua el sexto lugar por el mayor número de ellos</w:t>
      </w:r>
      <w:r w:rsidR="00AD0039" w:rsidRPr="00432ABC">
        <w:rPr>
          <w:rFonts w:ascii="Verdana" w:hAnsi="Verdana"/>
          <w:sz w:val="20"/>
          <w:szCs w:val="20"/>
        </w:rPr>
        <w:t>,</w:t>
      </w:r>
      <w:r w:rsidR="00AD0039" w:rsidRPr="00432ABC">
        <w:rPr>
          <w:rFonts w:ascii="Verdana" w:hAnsi="Verdana" w:cs="Cambria"/>
          <w:sz w:val="20"/>
          <w:szCs w:val="20"/>
        </w:rPr>
        <w:t xml:space="preserve"> con 1,933 personas desaparecidas</w:t>
      </w:r>
      <w:r w:rsidRPr="00744CE4">
        <w:rPr>
          <w:rFonts w:ascii="Verdana" w:hAnsi="Verdana"/>
          <w:sz w:val="20"/>
          <w:szCs w:val="20"/>
          <w:vertAlign w:val="superscript"/>
        </w:rPr>
        <w:footnoteReference w:id="82"/>
      </w:r>
      <w:r w:rsidRPr="00744CE4">
        <w:rPr>
          <w:rFonts w:ascii="Verdana" w:hAnsi="Verdana"/>
          <w:sz w:val="20"/>
          <w:szCs w:val="20"/>
        </w:rPr>
        <w:t xml:space="preserve">. </w:t>
      </w:r>
    </w:p>
    <w:p w14:paraId="64AA5E21" w14:textId="789B02CB" w:rsidR="002E1C85" w:rsidRPr="00744CE4" w:rsidRDefault="002E1C85" w:rsidP="00432ABC">
      <w:pPr>
        <w:widowControl w:val="0"/>
        <w:numPr>
          <w:ilvl w:val="0"/>
          <w:numId w:val="4"/>
        </w:numPr>
        <w:tabs>
          <w:tab w:val="left" w:pos="567"/>
        </w:tabs>
        <w:autoSpaceDE w:val="0"/>
        <w:autoSpaceDN w:val="0"/>
        <w:adjustRightInd w:val="0"/>
        <w:spacing w:before="120" w:after="120" w:line="240" w:lineRule="auto"/>
        <w:ind w:left="0" w:firstLine="0"/>
        <w:jc w:val="both"/>
        <w:textAlignment w:val="baseline"/>
        <w:rPr>
          <w:rFonts w:ascii="Verdana" w:hAnsi="Verdana"/>
          <w:sz w:val="20"/>
          <w:szCs w:val="20"/>
        </w:rPr>
      </w:pPr>
      <w:r w:rsidRPr="00432ABC">
        <w:rPr>
          <w:rFonts w:ascii="Verdana" w:hAnsi="Verdana"/>
          <w:sz w:val="20"/>
          <w:szCs w:val="20"/>
        </w:rPr>
        <w:t>La CNDH también señaló que hasta 2015 habría recibido información sobre 260 denuncias por el delito de desaparición forzada de personas</w:t>
      </w:r>
      <w:r w:rsidRPr="00744CE4">
        <w:rPr>
          <w:rFonts w:ascii="Verdana" w:hAnsi="Verdana"/>
          <w:sz w:val="20"/>
          <w:szCs w:val="20"/>
          <w:vertAlign w:val="superscript"/>
        </w:rPr>
        <w:footnoteReference w:id="83"/>
      </w:r>
      <w:r w:rsidRPr="00744CE4">
        <w:rPr>
          <w:rFonts w:ascii="Verdana" w:hAnsi="Verdana"/>
          <w:sz w:val="20"/>
          <w:szCs w:val="20"/>
        </w:rPr>
        <w:t>. No obstante, reiteró su preocupación por el desconocimiento del paradero de las miles de personas desaparecidas en México y destacó que las inconsistencias y deficiencias de la información oficial disponible al respecto han sido un impedimento para dimensionar adecuadamente la magnitud de este problema y determinar con precisión “cuántos de e</w:t>
      </w:r>
      <w:r w:rsidRPr="00432ABC">
        <w:rPr>
          <w:rFonts w:ascii="Verdana" w:hAnsi="Verdana"/>
          <w:sz w:val="20"/>
          <w:szCs w:val="20"/>
        </w:rPr>
        <w:t>sos casos corresponden a desaparición forzada de personas, cuáles son imputables a sujetos vinculados con la delincuencia organizada y el número de víctimas cuyos hechos que propiciaron su ausencia responden a otras causas diferentes a las señaladas”</w:t>
      </w:r>
      <w:r w:rsidRPr="00744CE4">
        <w:rPr>
          <w:rStyle w:val="FootnoteReference"/>
          <w:rFonts w:ascii="Verdana" w:hAnsi="Verdana"/>
          <w:sz w:val="20"/>
          <w:szCs w:val="20"/>
        </w:rPr>
        <w:footnoteReference w:id="84"/>
      </w:r>
      <w:r w:rsidRPr="00744CE4">
        <w:rPr>
          <w:rFonts w:ascii="Verdana" w:hAnsi="Verdana"/>
          <w:sz w:val="20"/>
          <w:szCs w:val="20"/>
        </w:rPr>
        <w:t xml:space="preserve">. </w:t>
      </w:r>
    </w:p>
    <w:p w14:paraId="64AA5E23" w14:textId="7C5D8A33" w:rsidR="002E1C85" w:rsidRPr="00DB378B" w:rsidRDefault="002E1C85" w:rsidP="00432ABC">
      <w:pPr>
        <w:pStyle w:val="Heading4"/>
        <w:numPr>
          <w:ilvl w:val="0"/>
          <w:numId w:val="27"/>
        </w:numPr>
        <w:spacing w:before="120" w:after="120"/>
        <w:contextualSpacing w:val="0"/>
        <w:rPr>
          <w:rStyle w:val="SubtleEmphasis"/>
          <w:sz w:val="22"/>
          <w:szCs w:val="22"/>
          <w:u w:val="none"/>
        </w:rPr>
      </w:pPr>
      <w:bookmarkStart w:id="115" w:name="_Toc532995331"/>
      <w:r w:rsidRPr="00432ABC">
        <w:rPr>
          <w:rStyle w:val="SubtleEmphasis"/>
          <w:u w:val="none"/>
        </w:rPr>
        <w:lastRenderedPageBreak/>
        <w:t>La respuesta judicial en los casos de desapariciones atribuibles a agentes estatales</w:t>
      </w:r>
      <w:bookmarkEnd w:id="115"/>
      <w:r w:rsidRPr="00432ABC">
        <w:rPr>
          <w:rStyle w:val="SubtleEmphasis"/>
          <w:u w:val="none"/>
        </w:rPr>
        <w:t xml:space="preserve"> </w:t>
      </w:r>
    </w:p>
    <w:p w14:paraId="657ED584" w14:textId="5EC31FA1" w:rsidR="00AD0039" w:rsidRPr="003564A3" w:rsidRDefault="00AD0039" w:rsidP="00432ABC">
      <w:pPr>
        <w:widowControl w:val="0"/>
        <w:numPr>
          <w:ilvl w:val="0"/>
          <w:numId w:val="4"/>
        </w:numPr>
        <w:tabs>
          <w:tab w:val="left" w:pos="567"/>
        </w:tabs>
        <w:autoSpaceDE w:val="0"/>
        <w:autoSpaceDN w:val="0"/>
        <w:adjustRightInd w:val="0"/>
        <w:spacing w:before="120" w:after="120" w:line="240" w:lineRule="auto"/>
        <w:ind w:left="0" w:firstLine="0"/>
        <w:jc w:val="both"/>
        <w:textAlignment w:val="baseline"/>
        <w:rPr>
          <w:rFonts w:ascii="Verdana" w:eastAsiaTheme="minorHAnsi" w:hAnsi="Verdana" w:cs="Cambria"/>
          <w:strike/>
          <w:sz w:val="20"/>
          <w:szCs w:val="20"/>
        </w:rPr>
      </w:pPr>
      <w:r w:rsidRPr="00744CE4">
        <w:rPr>
          <w:rFonts w:ascii="Verdana" w:eastAsiaTheme="minorHAnsi" w:hAnsi="Verdana" w:cs="Cambria"/>
          <w:sz w:val="20"/>
          <w:szCs w:val="20"/>
        </w:rPr>
        <w:t>La Corte nota que la Oficina del Alto Comisionado para los Derechos Humanos</w:t>
      </w:r>
      <w:r w:rsidRPr="00744CE4">
        <w:rPr>
          <w:rStyle w:val="FootnoteReference"/>
          <w:rFonts w:ascii="Verdana" w:eastAsiaTheme="minorHAnsi" w:hAnsi="Verdana" w:cs="Cambria"/>
          <w:sz w:val="20"/>
          <w:szCs w:val="20"/>
        </w:rPr>
        <w:footnoteReference w:id="85"/>
      </w:r>
      <w:r w:rsidRPr="00744CE4">
        <w:rPr>
          <w:rFonts w:ascii="Verdana" w:eastAsiaTheme="minorHAnsi" w:hAnsi="Verdana" w:cs="Cambria"/>
          <w:sz w:val="20"/>
          <w:szCs w:val="20"/>
        </w:rPr>
        <w:t xml:space="preserve"> y diversos Comités</w:t>
      </w:r>
      <w:r w:rsidRPr="00744CE4">
        <w:rPr>
          <w:rStyle w:val="FootnoteReference"/>
          <w:rFonts w:ascii="Verdana" w:eastAsiaTheme="minorHAnsi" w:hAnsi="Verdana" w:cs="Cambria"/>
          <w:sz w:val="20"/>
          <w:szCs w:val="20"/>
        </w:rPr>
        <w:footnoteReference w:id="86"/>
      </w:r>
      <w:r w:rsidRPr="00744CE4">
        <w:rPr>
          <w:rFonts w:ascii="Verdana" w:eastAsiaTheme="minorHAnsi" w:hAnsi="Verdana" w:cs="Cambria"/>
          <w:sz w:val="20"/>
          <w:szCs w:val="20"/>
        </w:rPr>
        <w:t xml:space="preserve"> y procedimientos especiales de la ONU</w:t>
      </w:r>
      <w:r w:rsidRPr="00744CE4">
        <w:rPr>
          <w:rStyle w:val="FootnoteReference"/>
          <w:rFonts w:ascii="Verdana" w:eastAsiaTheme="minorHAnsi" w:hAnsi="Verdana" w:cs="Cambria"/>
          <w:sz w:val="20"/>
          <w:szCs w:val="20"/>
        </w:rPr>
        <w:footnoteReference w:id="87"/>
      </w:r>
      <w:r w:rsidRPr="00744CE4">
        <w:rPr>
          <w:rFonts w:ascii="Verdana" w:eastAsiaTheme="minorHAnsi" w:hAnsi="Verdana" w:cs="Cambria"/>
          <w:sz w:val="20"/>
          <w:szCs w:val="20"/>
        </w:rPr>
        <w:t>, han se</w:t>
      </w:r>
      <w:r w:rsidRPr="00432ABC">
        <w:rPr>
          <w:rFonts w:ascii="Verdana" w:eastAsiaTheme="minorHAnsi" w:hAnsi="Verdana" w:cs="Cambria"/>
          <w:sz w:val="20"/>
          <w:szCs w:val="20"/>
        </w:rPr>
        <w:t>ñalado la existencia en México de un patrón estructural y generalizado de impunidad y la falta de acceso a la justicia y reparación para las víctimas de delitos en general, y en particular en los casos de graves violaciones en</w:t>
      </w:r>
      <w:r w:rsidR="008B428C">
        <w:rPr>
          <w:rFonts w:ascii="Verdana" w:eastAsiaTheme="minorHAnsi" w:hAnsi="Verdana" w:cs="Cambria"/>
          <w:sz w:val="20"/>
          <w:szCs w:val="20"/>
        </w:rPr>
        <w:t xml:space="preserve"> las</w:t>
      </w:r>
      <w:r w:rsidRPr="00432ABC">
        <w:rPr>
          <w:rFonts w:ascii="Verdana" w:eastAsiaTheme="minorHAnsi" w:hAnsi="Verdana" w:cs="Cambria"/>
          <w:sz w:val="20"/>
          <w:szCs w:val="20"/>
        </w:rPr>
        <w:t xml:space="preserve"> cuales se presume la participación de agentes estatales a nivel federal y local. </w:t>
      </w:r>
    </w:p>
    <w:p w14:paraId="64AA5E27" w14:textId="1430C0A5" w:rsidR="002E1C85" w:rsidRPr="00432ABC" w:rsidRDefault="00AD0039" w:rsidP="00432ABC">
      <w:pPr>
        <w:widowControl w:val="0"/>
        <w:numPr>
          <w:ilvl w:val="0"/>
          <w:numId w:val="4"/>
        </w:numPr>
        <w:tabs>
          <w:tab w:val="left" w:pos="567"/>
          <w:tab w:val="num" w:pos="12305"/>
        </w:tabs>
        <w:adjustRightInd w:val="0"/>
        <w:spacing w:before="120" w:after="120" w:line="240" w:lineRule="auto"/>
        <w:ind w:left="0" w:firstLine="0"/>
        <w:jc w:val="both"/>
        <w:textAlignment w:val="baseline"/>
        <w:rPr>
          <w:rFonts w:ascii="Verdana" w:eastAsiaTheme="minorHAnsi" w:hAnsi="Verdana" w:cs="Cambria"/>
          <w:sz w:val="20"/>
          <w:szCs w:val="20"/>
        </w:rPr>
      </w:pPr>
      <w:r w:rsidRPr="00432ABC">
        <w:rPr>
          <w:rFonts w:ascii="Verdana" w:eastAsiaTheme="minorHAnsi" w:hAnsi="Verdana" w:cs="Cambria"/>
          <w:sz w:val="20"/>
          <w:szCs w:val="20"/>
        </w:rPr>
        <w:t>En cuanto a las falencias en las investigaciones y ausencia de respuesta judicial y reparación en los casos de desapariciones forzadas, el GTDFI</w:t>
      </w:r>
      <w:r w:rsidR="008B428C">
        <w:rPr>
          <w:rFonts w:ascii="Verdana" w:eastAsiaTheme="minorHAnsi" w:hAnsi="Verdana" w:cs="Cambria"/>
          <w:sz w:val="20"/>
          <w:szCs w:val="20"/>
        </w:rPr>
        <w:t>,</w:t>
      </w:r>
      <w:r w:rsidRPr="00432ABC">
        <w:rPr>
          <w:rFonts w:ascii="Verdana" w:eastAsiaTheme="minorHAnsi" w:hAnsi="Verdana" w:cs="Cambria"/>
          <w:sz w:val="20"/>
          <w:szCs w:val="20"/>
        </w:rPr>
        <w:t xml:space="preserve"> </w:t>
      </w:r>
      <w:r w:rsidRPr="002C462C">
        <w:rPr>
          <w:rFonts w:ascii="Verdana" w:eastAsiaTheme="minorHAnsi" w:hAnsi="Verdana" w:cs="Cambria"/>
          <w:bCs/>
          <w:sz w:val="20"/>
          <w:szCs w:val="20"/>
        </w:rPr>
        <w:t>tras su misión a México en 2011</w:t>
      </w:r>
      <w:r w:rsidR="008B428C">
        <w:rPr>
          <w:rFonts w:ascii="Verdana" w:eastAsiaTheme="minorHAnsi" w:hAnsi="Verdana" w:cs="Cambria"/>
          <w:bCs/>
          <w:sz w:val="20"/>
          <w:szCs w:val="20"/>
        </w:rPr>
        <w:t>,</w:t>
      </w:r>
      <w:r w:rsidRPr="002C462C">
        <w:rPr>
          <w:rFonts w:ascii="Verdana" w:eastAsiaTheme="minorHAnsi" w:hAnsi="Verdana" w:cs="Cambria"/>
          <w:bCs/>
          <w:sz w:val="20"/>
          <w:szCs w:val="20"/>
        </w:rPr>
        <w:t xml:space="preserve"> señaló la existencia de un patrón crónico de impunidad y la falta de confianza de las víctimas </w:t>
      </w:r>
      <w:r w:rsidRPr="00744CE4">
        <w:rPr>
          <w:rFonts w:ascii="Verdana" w:eastAsiaTheme="minorHAnsi" w:hAnsi="Verdana" w:cs="Cambria"/>
          <w:sz w:val="20"/>
          <w:szCs w:val="20"/>
        </w:rPr>
        <w:t xml:space="preserve">de desaparición forzada en el sistema de justicia y </w:t>
      </w:r>
      <w:r w:rsidRPr="00744CE4">
        <w:rPr>
          <w:rFonts w:ascii="Verdana" w:eastAsiaTheme="minorHAnsi" w:hAnsi="Verdana" w:cs="Cambria"/>
          <w:bCs/>
          <w:sz w:val="20"/>
          <w:szCs w:val="20"/>
        </w:rPr>
        <w:t>en las autoridades, incluyendo las Fuerzas Armadas</w:t>
      </w:r>
      <w:r w:rsidR="00504CF1">
        <w:rPr>
          <w:rFonts w:ascii="Verdana" w:eastAsiaTheme="minorHAnsi" w:hAnsi="Verdana" w:cs="Cambria"/>
          <w:bCs/>
          <w:sz w:val="20"/>
          <w:szCs w:val="20"/>
        </w:rPr>
        <w:t>,</w:t>
      </w:r>
      <w:r w:rsidRPr="00744CE4">
        <w:rPr>
          <w:rFonts w:ascii="Verdana" w:eastAsiaTheme="minorHAnsi" w:hAnsi="Verdana" w:cs="Cambria"/>
          <w:bCs/>
          <w:sz w:val="20"/>
          <w:szCs w:val="20"/>
        </w:rPr>
        <w:t xml:space="preserve"> donde no se estarían realizando los esfuerzos suficientes para determinar la suerte o el paradero de las personas desaparecidas, sancionar a los responsables y garantizar el derecho a la verdad y la reparación</w:t>
      </w:r>
      <w:r w:rsidR="00504CF1">
        <w:rPr>
          <w:rFonts w:ascii="Verdana" w:eastAsiaTheme="minorHAnsi" w:hAnsi="Verdana" w:cs="Cambria"/>
          <w:bCs/>
          <w:sz w:val="20"/>
          <w:szCs w:val="20"/>
        </w:rPr>
        <w:t>;</w:t>
      </w:r>
      <w:r w:rsidRPr="00744CE4">
        <w:rPr>
          <w:rFonts w:ascii="Verdana" w:eastAsiaTheme="minorHAnsi" w:hAnsi="Verdana" w:cs="Cambria"/>
          <w:bCs/>
          <w:sz w:val="20"/>
          <w:szCs w:val="20"/>
        </w:rPr>
        <w:t xml:space="preserve"> lo cual, a su parecer, era manifestación de la falta de voluntad o incapacidad estatal para realizar </w:t>
      </w:r>
      <w:r w:rsidRPr="00744CE4">
        <w:rPr>
          <w:rFonts w:ascii="Verdana" w:eastAsiaTheme="minorHAnsi" w:hAnsi="Verdana" w:cs="Cambria"/>
          <w:sz w:val="20"/>
          <w:szCs w:val="20"/>
        </w:rPr>
        <w:t>investigaciones efectivas en tales casos</w:t>
      </w:r>
      <w:r w:rsidRPr="00744CE4">
        <w:rPr>
          <w:rFonts w:ascii="Verdana" w:hAnsi="Verdana"/>
          <w:sz w:val="20"/>
          <w:szCs w:val="20"/>
          <w:vertAlign w:val="superscript"/>
        </w:rPr>
        <w:footnoteReference w:id="88"/>
      </w:r>
      <w:r w:rsidRPr="00744CE4">
        <w:rPr>
          <w:rFonts w:ascii="Verdana" w:eastAsiaTheme="minorHAnsi" w:hAnsi="Verdana" w:cs="Cambria"/>
          <w:sz w:val="20"/>
          <w:szCs w:val="20"/>
        </w:rPr>
        <w:t>.</w:t>
      </w:r>
      <w:r w:rsidRPr="00744CE4">
        <w:rPr>
          <w:rFonts w:ascii="Verdana" w:eastAsiaTheme="minorHAnsi" w:hAnsi="Verdana" w:cs="Times New Roman"/>
          <w:sz w:val="20"/>
          <w:szCs w:val="20"/>
        </w:rPr>
        <w:t xml:space="preserve"> </w:t>
      </w:r>
      <w:r w:rsidRPr="00432ABC">
        <w:rPr>
          <w:rFonts w:ascii="Verdana" w:eastAsiaTheme="minorHAnsi" w:hAnsi="Verdana" w:cs="Times New Roman"/>
          <w:sz w:val="20"/>
          <w:szCs w:val="20"/>
        </w:rPr>
        <w:t>E</w:t>
      </w:r>
      <w:r w:rsidRPr="00432ABC">
        <w:rPr>
          <w:rFonts w:ascii="Verdana" w:eastAsiaTheme="minorHAnsi" w:hAnsi="Verdana" w:cs="Cambria"/>
          <w:sz w:val="20"/>
          <w:szCs w:val="20"/>
        </w:rPr>
        <w:t xml:space="preserve">n 2015 el GTDFI </w:t>
      </w:r>
      <w:r w:rsidRPr="00432ABC">
        <w:rPr>
          <w:rFonts w:ascii="Verdana" w:eastAsiaTheme="minorHAnsi" w:hAnsi="Verdana" w:cs="Times New Roman"/>
          <w:sz w:val="20"/>
          <w:szCs w:val="20"/>
        </w:rPr>
        <w:t>reiteró sus conclusiones en cuanto a que la impunidad generalizada en México perduraba como patrón crónico y era un factor que propiciaba la reiterada perpetración de las desapariciones forzadas”</w:t>
      </w:r>
      <w:r w:rsidRPr="00744CE4">
        <w:rPr>
          <w:rFonts w:ascii="Verdana" w:hAnsi="Verdana" w:cs="Times New Roman"/>
          <w:sz w:val="20"/>
          <w:szCs w:val="20"/>
          <w:vertAlign w:val="superscript"/>
        </w:rPr>
        <w:footnoteReference w:id="89"/>
      </w:r>
      <w:r w:rsidRPr="00744CE4">
        <w:rPr>
          <w:rFonts w:ascii="Verdana" w:eastAsiaTheme="minorHAnsi" w:hAnsi="Verdana" w:cs="Times New Roman"/>
          <w:sz w:val="20"/>
          <w:szCs w:val="20"/>
        </w:rPr>
        <w:t xml:space="preserve">, mientras que el </w:t>
      </w:r>
      <w:r w:rsidRPr="00744CE4">
        <w:rPr>
          <w:rFonts w:ascii="Verdana" w:eastAsiaTheme="minorHAnsi" w:hAnsi="Verdana" w:cs="Cambria"/>
          <w:sz w:val="20"/>
          <w:szCs w:val="20"/>
        </w:rPr>
        <w:t>Comité contra la De</w:t>
      </w:r>
      <w:r w:rsidRPr="00432ABC">
        <w:rPr>
          <w:rFonts w:ascii="Verdana" w:eastAsiaTheme="minorHAnsi" w:hAnsi="Verdana" w:cs="Cambria"/>
          <w:sz w:val="20"/>
          <w:szCs w:val="20"/>
        </w:rPr>
        <w:t>saparición Forzada de la ONU manifestó su preocupación por la impunidad respecto de los casos denunciados por desaparición forzada, “que se expres[ó] en la casi inexistencia de condenas por este delito”</w:t>
      </w:r>
      <w:r w:rsidRPr="00744CE4">
        <w:rPr>
          <w:rStyle w:val="FootnoteReference"/>
          <w:rFonts w:ascii="Verdana" w:eastAsiaTheme="minorHAnsi" w:hAnsi="Verdana" w:cs="Cambria"/>
          <w:sz w:val="20"/>
          <w:szCs w:val="20"/>
        </w:rPr>
        <w:footnoteReference w:id="90"/>
      </w:r>
      <w:r w:rsidRPr="00744CE4">
        <w:rPr>
          <w:rFonts w:ascii="Verdana" w:eastAsiaTheme="minorHAnsi" w:hAnsi="Verdana"/>
          <w:sz w:val="20"/>
          <w:szCs w:val="20"/>
        </w:rPr>
        <w:t>.</w:t>
      </w:r>
      <w:r w:rsidR="002E1C85" w:rsidRPr="00744CE4">
        <w:rPr>
          <w:rFonts w:ascii="Verdana" w:eastAsiaTheme="minorHAnsi" w:hAnsi="Verdana"/>
          <w:sz w:val="20"/>
          <w:szCs w:val="20"/>
        </w:rPr>
        <w:t xml:space="preserve"> </w:t>
      </w:r>
    </w:p>
    <w:p w14:paraId="64AA5E29" w14:textId="613194AE" w:rsidR="002E1C85" w:rsidRPr="00DB378B" w:rsidRDefault="00C27C14" w:rsidP="00432ABC">
      <w:pPr>
        <w:pStyle w:val="Heading4"/>
        <w:numPr>
          <w:ilvl w:val="0"/>
          <w:numId w:val="27"/>
        </w:numPr>
        <w:spacing w:before="120" w:after="120"/>
        <w:contextualSpacing w:val="0"/>
        <w:rPr>
          <w:rStyle w:val="SubtleEmphasis"/>
          <w:sz w:val="22"/>
          <w:szCs w:val="22"/>
          <w:u w:val="none"/>
        </w:rPr>
      </w:pPr>
      <w:r w:rsidRPr="00432ABC">
        <w:rPr>
          <w:rStyle w:val="SubtleEmphasis"/>
          <w:u w:val="none"/>
        </w:rPr>
        <w:t xml:space="preserve"> </w:t>
      </w:r>
      <w:bookmarkStart w:id="116" w:name="_Toc532995332"/>
      <w:r w:rsidR="002E1C85" w:rsidRPr="00432ABC">
        <w:rPr>
          <w:rStyle w:val="SubtleEmphasis"/>
          <w:u w:val="none"/>
        </w:rPr>
        <w:t>La situación de violencia e inseguridad en la región donde ocurrieron los hechos y la implementación del Operativo Conjunto Chihuahua</w:t>
      </w:r>
      <w:bookmarkEnd w:id="116"/>
      <w:r w:rsidR="002E1C85" w:rsidRPr="00432ABC">
        <w:rPr>
          <w:rStyle w:val="SubtleEmphasis"/>
          <w:u w:val="none"/>
        </w:rPr>
        <w:t xml:space="preserve"> </w:t>
      </w:r>
    </w:p>
    <w:p w14:paraId="64AA5E2B" w14:textId="66A9EF3A" w:rsidR="002E1C85" w:rsidRPr="00744CE4" w:rsidRDefault="002E1C85" w:rsidP="002C462C">
      <w:pPr>
        <w:widowControl w:val="0"/>
        <w:numPr>
          <w:ilvl w:val="0"/>
          <w:numId w:val="4"/>
        </w:numPr>
        <w:tabs>
          <w:tab w:val="left" w:pos="567"/>
          <w:tab w:val="num" w:pos="12305"/>
        </w:tabs>
        <w:adjustRightInd w:val="0"/>
        <w:spacing w:before="120" w:after="120" w:line="240" w:lineRule="auto"/>
        <w:ind w:left="0" w:firstLine="0"/>
        <w:jc w:val="both"/>
        <w:textAlignment w:val="baseline"/>
        <w:rPr>
          <w:rFonts w:ascii="Verdana" w:hAnsi="Verdana"/>
          <w:sz w:val="20"/>
          <w:szCs w:val="20"/>
        </w:rPr>
      </w:pPr>
      <w:r w:rsidRPr="00744CE4">
        <w:rPr>
          <w:rFonts w:ascii="Verdana" w:hAnsi="Verdana"/>
          <w:sz w:val="20"/>
          <w:szCs w:val="20"/>
        </w:rPr>
        <w:t xml:space="preserve">Los hechos del presente caso tuvieron lugar en el Ejido Benito Juárez, el cual pertenece al municipio de Buenaventura y se localiza en la zona noroeste del Estado de Chihuahua, a su vez </w:t>
      </w:r>
      <w:r w:rsidRPr="00744CE4">
        <w:rPr>
          <w:rFonts w:ascii="Verdana" w:hAnsi="Verdana"/>
          <w:sz w:val="20"/>
          <w:szCs w:val="20"/>
        </w:rPr>
        <w:lastRenderedPageBreak/>
        <w:t>fronterizo con los Estados de Texas y Nuevo México en los Estados Unidos de América</w:t>
      </w:r>
      <w:r w:rsidRPr="00744CE4">
        <w:rPr>
          <w:rStyle w:val="FootnoteReference"/>
          <w:rFonts w:ascii="Verdana" w:hAnsi="Verdana"/>
          <w:sz w:val="20"/>
          <w:szCs w:val="20"/>
        </w:rPr>
        <w:footnoteReference w:id="91"/>
      </w:r>
      <w:r w:rsidRPr="00744CE4">
        <w:rPr>
          <w:rFonts w:ascii="Verdana" w:hAnsi="Verdana"/>
          <w:sz w:val="20"/>
          <w:szCs w:val="20"/>
        </w:rPr>
        <w:t>. El Ejido Benito Juárez surgió en 1936 a una distancia de 80 kilómetros de la cabecera municipal, Buenaventura, y a 200 kilómetros de la capital estatal, la ciudad de Chihuahua</w:t>
      </w:r>
      <w:r w:rsidRPr="00744CE4">
        <w:rPr>
          <w:rFonts w:ascii="Verdana" w:hAnsi="Verdana"/>
          <w:sz w:val="20"/>
          <w:szCs w:val="20"/>
          <w:vertAlign w:val="superscript"/>
        </w:rPr>
        <w:footnoteReference w:id="92"/>
      </w:r>
      <w:r w:rsidRPr="00744CE4">
        <w:rPr>
          <w:rFonts w:ascii="Verdana" w:hAnsi="Verdana"/>
          <w:sz w:val="20"/>
          <w:szCs w:val="20"/>
        </w:rPr>
        <w:t>. Como parte de dicha entidad, el Ejido Benito Juárez forma parte de una de las principales rutas para el trasiego de drogas, armas y objetos de contrabando, así como para el tránsito de personas migrantes que buscan ingresar de manera irregular desde México hacia dicho país</w:t>
      </w:r>
      <w:r w:rsidRPr="00744CE4">
        <w:rPr>
          <w:rFonts w:ascii="Verdana" w:hAnsi="Verdana"/>
          <w:sz w:val="20"/>
          <w:szCs w:val="20"/>
          <w:vertAlign w:val="superscript"/>
        </w:rPr>
        <w:footnoteReference w:id="93"/>
      </w:r>
      <w:r w:rsidRPr="00744CE4">
        <w:rPr>
          <w:rFonts w:ascii="Verdana" w:hAnsi="Verdana"/>
          <w:sz w:val="20"/>
          <w:szCs w:val="20"/>
        </w:rPr>
        <w:t>. La ubicación del Ejido Benito Juárez es paralela a la carretera Panamericana y se sitúa en los puntos de partida de las brechas hacia distintas poblaciones de la sierra para la recepción y reenvío de estupefacientes hacia los Estados Unidos, tales como Villa Ahumada y la propia cabecera municipal de Buenaventura, lo cual le permite constituir con estas localidades, entre otras, el corredor de drogas del noroeste chihuahuense</w:t>
      </w:r>
      <w:r w:rsidRPr="00744CE4">
        <w:rPr>
          <w:rFonts w:ascii="Verdana" w:hAnsi="Verdana"/>
          <w:sz w:val="20"/>
          <w:szCs w:val="20"/>
          <w:vertAlign w:val="superscript"/>
        </w:rPr>
        <w:footnoteReference w:id="94"/>
      </w:r>
      <w:r w:rsidRPr="00744CE4">
        <w:rPr>
          <w:rFonts w:ascii="Verdana" w:hAnsi="Verdana"/>
          <w:sz w:val="20"/>
          <w:szCs w:val="20"/>
        </w:rPr>
        <w:t>.</w:t>
      </w:r>
    </w:p>
    <w:p w14:paraId="64AA5E2D" w14:textId="2863F6A2" w:rsidR="002E1C85" w:rsidRPr="00744CE4" w:rsidRDefault="002E1C85" w:rsidP="002C462C">
      <w:pPr>
        <w:widowControl w:val="0"/>
        <w:numPr>
          <w:ilvl w:val="0"/>
          <w:numId w:val="4"/>
        </w:numPr>
        <w:tabs>
          <w:tab w:val="left" w:pos="567"/>
          <w:tab w:val="num" w:pos="12305"/>
        </w:tabs>
        <w:adjustRightInd w:val="0"/>
        <w:spacing w:before="120" w:after="120" w:line="240" w:lineRule="auto"/>
        <w:ind w:left="0" w:firstLine="0"/>
        <w:jc w:val="both"/>
        <w:textAlignment w:val="baseline"/>
        <w:rPr>
          <w:rFonts w:ascii="Verdana" w:hAnsi="Verdana"/>
          <w:sz w:val="20"/>
          <w:szCs w:val="20"/>
        </w:rPr>
      </w:pPr>
      <w:r w:rsidRPr="00432ABC">
        <w:rPr>
          <w:rFonts w:ascii="Verdana" w:hAnsi="Verdana"/>
          <w:sz w:val="20"/>
          <w:szCs w:val="20"/>
        </w:rPr>
        <w:t>Asimismo, dentro de la demarcación territorial asignada para el desarrollo de las operaciones militares del Ejército mexicano, el Ejido Benito Juárez se encuentra localizado en la delimitación correspondiente a la XI Región Militar “que abarca los [E]stados de Coahuila y Chihuahua y, dentro de ella, [se ubica] en el área correspondiente a la [Quinta] Zona Militar”, situada al norte del Estado de Chihuahua. En relación con dicha delimitación jurisdiccional castrense, la guarnición militar más cercana al Ejido Benito Juárez se sitúa en el munici</w:t>
      </w:r>
      <w:r w:rsidRPr="002C462C">
        <w:rPr>
          <w:rFonts w:ascii="Verdana" w:hAnsi="Verdana"/>
          <w:sz w:val="20"/>
          <w:szCs w:val="20"/>
        </w:rPr>
        <w:t xml:space="preserve">pio de Nuevo Casas Grandes, al noroeste de Buenaventura, en donde radica de manera permanente el 35 Batallón de Infantería del Ejército [en adelante, “el 35 Batallón de Infantería </w:t>
      </w:r>
      <w:r w:rsidR="007748CD" w:rsidRPr="00744CE4">
        <w:rPr>
          <w:rFonts w:ascii="Verdana" w:hAnsi="Verdana"/>
          <w:sz w:val="20"/>
          <w:szCs w:val="20"/>
        </w:rPr>
        <w:t>o</w:t>
      </w:r>
      <w:r w:rsidRPr="00744CE4">
        <w:rPr>
          <w:rFonts w:ascii="Verdana" w:hAnsi="Verdana"/>
          <w:sz w:val="20"/>
          <w:szCs w:val="20"/>
        </w:rPr>
        <w:t xml:space="preserve"> el 35 Batallón”]</w:t>
      </w:r>
      <w:r w:rsidRPr="00744CE4">
        <w:rPr>
          <w:rFonts w:ascii="Verdana" w:hAnsi="Verdana"/>
          <w:sz w:val="20"/>
          <w:szCs w:val="20"/>
          <w:vertAlign w:val="superscript"/>
        </w:rPr>
        <w:footnoteReference w:id="95"/>
      </w:r>
      <w:r w:rsidR="00E67720" w:rsidRPr="00744CE4">
        <w:rPr>
          <w:rFonts w:ascii="Verdana" w:hAnsi="Verdana"/>
          <w:sz w:val="20"/>
          <w:szCs w:val="20"/>
        </w:rPr>
        <w:t>.</w:t>
      </w:r>
    </w:p>
    <w:p w14:paraId="64AA5E2F" w14:textId="1DA5439A" w:rsidR="002E1C85" w:rsidRPr="00744CE4" w:rsidRDefault="002E1C85" w:rsidP="00DB378B">
      <w:pPr>
        <w:widowControl w:val="0"/>
        <w:numPr>
          <w:ilvl w:val="0"/>
          <w:numId w:val="4"/>
        </w:numPr>
        <w:tabs>
          <w:tab w:val="left" w:pos="567"/>
          <w:tab w:val="num" w:pos="12305"/>
        </w:tabs>
        <w:adjustRightInd w:val="0"/>
        <w:spacing w:before="120" w:after="120" w:line="240" w:lineRule="auto"/>
        <w:ind w:left="0" w:firstLine="0"/>
        <w:jc w:val="both"/>
        <w:textAlignment w:val="baseline"/>
        <w:rPr>
          <w:rFonts w:ascii="Verdana" w:hAnsi="Verdana"/>
          <w:sz w:val="20"/>
          <w:szCs w:val="20"/>
        </w:rPr>
      </w:pPr>
      <w:r w:rsidRPr="00432ABC">
        <w:rPr>
          <w:rFonts w:ascii="Verdana" w:hAnsi="Verdana"/>
          <w:sz w:val="20"/>
          <w:szCs w:val="20"/>
        </w:rPr>
        <w:t>En este contexto, la estratégica ubicación geográfica del Ejido Benito Juárez se encuentra inserta en “un corredor natural para el tráfico de drogas” en el que también convergen una serie de factores geográficos</w:t>
      </w:r>
      <w:r w:rsidRPr="00744CE4">
        <w:rPr>
          <w:rStyle w:val="FootnoteReference"/>
          <w:rFonts w:ascii="Verdana" w:hAnsi="Verdana"/>
          <w:sz w:val="20"/>
          <w:szCs w:val="20"/>
        </w:rPr>
        <w:footnoteReference w:id="96"/>
      </w:r>
      <w:r w:rsidRPr="00744CE4">
        <w:rPr>
          <w:rFonts w:ascii="Verdana" w:hAnsi="Verdana"/>
          <w:sz w:val="20"/>
          <w:szCs w:val="20"/>
        </w:rPr>
        <w:t>, sociales, económicos y culturales</w:t>
      </w:r>
      <w:r w:rsidRPr="00744CE4">
        <w:rPr>
          <w:rFonts w:ascii="Verdana" w:hAnsi="Verdana"/>
          <w:sz w:val="20"/>
          <w:szCs w:val="20"/>
          <w:vertAlign w:val="superscript"/>
        </w:rPr>
        <w:footnoteReference w:id="97"/>
      </w:r>
      <w:r w:rsidRPr="00744CE4">
        <w:rPr>
          <w:rFonts w:ascii="Verdana" w:hAnsi="Verdana"/>
          <w:sz w:val="20"/>
          <w:szCs w:val="20"/>
        </w:rPr>
        <w:t>, que han convertido a dicha zona, desde la época de los hechos bajo examen hasta la actualidad, en el escenario propicio en el que desarrollan sus actividades ilícitas distintos cárteles del narcotráfico, rivales entre sí, principalmente las denominadas organizaciones “Carrillo Fuentes” y “Pacífico”. Estas organizac</w:t>
      </w:r>
      <w:r w:rsidRPr="00432ABC">
        <w:rPr>
          <w:rFonts w:ascii="Verdana" w:hAnsi="Verdana"/>
          <w:sz w:val="20"/>
          <w:szCs w:val="20"/>
        </w:rPr>
        <w:t>iones criminales se disputan su control territorial a través de grupos antagónicos de la delincuencia organizada que operan como “brazos armados” de los mismos</w:t>
      </w:r>
      <w:r w:rsidRPr="00744CE4">
        <w:rPr>
          <w:rStyle w:val="FootnoteReference"/>
          <w:rFonts w:ascii="Verdana" w:hAnsi="Verdana"/>
          <w:sz w:val="20"/>
          <w:szCs w:val="20"/>
        </w:rPr>
        <w:footnoteReference w:id="98"/>
      </w:r>
      <w:r w:rsidRPr="00744CE4">
        <w:rPr>
          <w:rFonts w:ascii="Verdana" w:hAnsi="Verdana"/>
          <w:sz w:val="20"/>
          <w:szCs w:val="20"/>
        </w:rPr>
        <w:t xml:space="preserve">. Dentro de este </w:t>
      </w:r>
      <w:r w:rsidRPr="00744CE4">
        <w:rPr>
          <w:rFonts w:ascii="Verdana" w:hAnsi="Verdana"/>
          <w:sz w:val="20"/>
          <w:szCs w:val="20"/>
        </w:rPr>
        <w:lastRenderedPageBreak/>
        <w:t>contexto, el Ejido Benito Juárez “se ha caracterizado por ser un bastión de ‘La Línea’, el cual es un brazo armado de la organización [criminal] Carrillo Fuentes”</w:t>
      </w:r>
      <w:r w:rsidRPr="00744CE4">
        <w:rPr>
          <w:rFonts w:ascii="Verdana" w:hAnsi="Verdana"/>
          <w:sz w:val="20"/>
          <w:szCs w:val="20"/>
          <w:vertAlign w:val="superscript"/>
        </w:rPr>
        <w:footnoteReference w:id="99"/>
      </w:r>
      <w:r w:rsidRPr="00744CE4">
        <w:rPr>
          <w:rFonts w:ascii="Verdana" w:hAnsi="Verdana"/>
          <w:sz w:val="20"/>
          <w:szCs w:val="20"/>
        </w:rPr>
        <w:t xml:space="preserve">. </w:t>
      </w:r>
    </w:p>
    <w:p w14:paraId="64AA5E31" w14:textId="4916FA93" w:rsidR="002E1C85" w:rsidRPr="00744CE4" w:rsidRDefault="002E1C85" w:rsidP="00DB378B">
      <w:pPr>
        <w:widowControl w:val="0"/>
        <w:numPr>
          <w:ilvl w:val="0"/>
          <w:numId w:val="4"/>
        </w:numPr>
        <w:tabs>
          <w:tab w:val="left" w:pos="567"/>
          <w:tab w:val="num" w:pos="12305"/>
        </w:tabs>
        <w:adjustRightInd w:val="0"/>
        <w:spacing w:before="120" w:after="120" w:line="240" w:lineRule="auto"/>
        <w:ind w:left="0" w:firstLine="0"/>
        <w:jc w:val="both"/>
        <w:textAlignment w:val="baseline"/>
        <w:rPr>
          <w:rFonts w:ascii="Verdana" w:hAnsi="Verdana"/>
          <w:sz w:val="20"/>
          <w:szCs w:val="20"/>
        </w:rPr>
      </w:pPr>
      <w:r w:rsidRPr="00432ABC">
        <w:rPr>
          <w:rFonts w:ascii="Verdana" w:hAnsi="Verdana"/>
          <w:sz w:val="20"/>
          <w:szCs w:val="20"/>
        </w:rPr>
        <w:t>Dentro del marco temporal en que ocurrieron los hechos del caso concreto y hasta el presente, la lucha por el control de estos territorios por parte de las organizaciones criminales ha desencadenado períodos de intensificación de la violencia tales como enfrentamientos armados, homicidios múltiples, agresiones en contra de las autoridades locales y, en general, un incremento paulatino en la incidencia delictiva atribuible a dichas organizaciones</w:t>
      </w:r>
      <w:r w:rsidRPr="00744CE4">
        <w:rPr>
          <w:rFonts w:ascii="Verdana" w:hAnsi="Verdana"/>
          <w:sz w:val="20"/>
          <w:szCs w:val="20"/>
          <w:vertAlign w:val="superscript"/>
        </w:rPr>
        <w:footnoteReference w:id="100"/>
      </w:r>
      <w:r w:rsidRPr="00744CE4">
        <w:rPr>
          <w:rFonts w:ascii="Verdana" w:hAnsi="Verdana"/>
          <w:sz w:val="20"/>
          <w:szCs w:val="20"/>
        </w:rPr>
        <w:t>, lo cual ha motivado operaciones militares a gran escala por parte de las autoridades de seguridad pública del Estado mexicano, incluyendo la zona noroeste de Chihuahua en donde se sitúa el Ejido Benito Juárez</w:t>
      </w:r>
      <w:r w:rsidRPr="00744CE4">
        <w:rPr>
          <w:rStyle w:val="FootnoteReference"/>
          <w:rFonts w:ascii="Verdana" w:hAnsi="Verdana"/>
          <w:sz w:val="20"/>
          <w:szCs w:val="20"/>
        </w:rPr>
        <w:footnoteReference w:id="101"/>
      </w:r>
      <w:r w:rsidRPr="00744CE4">
        <w:rPr>
          <w:rFonts w:ascii="Verdana" w:hAnsi="Verdana"/>
          <w:sz w:val="20"/>
          <w:szCs w:val="20"/>
        </w:rPr>
        <w:t>.</w:t>
      </w:r>
    </w:p>
    <w:p w14:paraId="64AA5E33" w14:textId="457FDFB1" w:rsidR="002E1C85" w:rsidRPr="00744CE4" w:rsidRDefault="00C246DF" w:rsidP="00DB378B">
      <w:pPr>
        <w:widowControl w:val="0"/>
        <w:numPr>
          <w:ilvl w:val="0"/>
          <w:numId w:val="4"/>
        </w:numPr>
        <w:tabs>
          <w:tab w:val="left" w:pos="567"/>
          <w:tab w:val="num" w:pos="12305"/>
        </w:tabs>
        <w:adjustRightInd w:val="0"/>
        <w:spacing w:before="120" w:after="120" w:line="240" w:lineRule="auto"/>
        <w:ind w:left="0" w:firstLine="0"/>
        <w:jc w:val="both"/>
        <w:textAlignment w:val="baseline"/>
        <w:rPr>
          <w:rFonts w:ascii="Verdana" w:hAnsi="Verdana"/>
          <w:sz w:val="20"/>
          <w:szCs w:val="20"/>
        </w:rPr>
      </w:pPr>
      <w:r w:rsidRPr="00432ABC">
        <w:rPr>
          <w:rFonts w:ascii="Verdana" w:hAnsi="Verdana"/>
          <w:sz w:val="20"/>
          <w:szCs w:val="20"/>
        </w:rPr>
        <w:t>En particular, e</w:t>
      </w:r>
      <w:r w:rsidR="004A14E0" w:rsidRPr="00432ABC">
        <w:rPr>
          <w:rFonts w:ascii="Verdana" w:hAnsi="Verdana"/>
          <w:sz w:val="20"/>
          <w:szCs w:val="20"/>
        </w:rPr>
        <w:t>l 28 de marzo de 2008 dio inicio en México el “Operativo Conjunto Chihuahua” como estrategia estatal de seguridad basada en el despliegue de efectivos militares para enfrentar dicho escenario</w:t>
      </w:r>
      <w:r w:rsidR="004A14E0" w:rsidRPr="00744CE4">
        <w:rPr>
          <w:rStyle w:val="FootnoteReference"/>
          <w:rFonts w:ascii="Verdana" w:hAnsi="Verdana"/>
          <w:sz w:val="20"/>
          <w:szCs w:val="20"/>
        </w:rPr>
        <w:footnoteReference w:id="102"/>
      </w:r>
      <w:r w:rsidR="004A14E0" w:rsidRPr="00744CE4">
        <w:rPr>
          <w:rFonts w:ascii="Verdana" w:hAnsi="Verdana"/>
          <w:sz w:val="20"/>
          <w:szCs w:val="20"/>
        </w:rPr>
        <w:t>. Su objetivo</w:t>
      </w:r>
      <w:r w:rsidR="002E1C85" w:rsidRPr="00744CE4">
        <w:rPr>
          <w:rFonts w:ascii="Verdana" w:hAnsi="Verdana"/>
          <w:sz w:val="20"/>
          <w:szCs w:val="20"/>
        </w:rPr>
        <w:t xml:space="preserve"> declarado “[fue] el de combatir la inseguridad públi</w:t>
      </w:r>
      <w:r w:rsidR="002E1C85" w:rsidRPr="00432ABC">
        <w:rPr>
          <w:rFonts w:ascii="Verdana" w:hAnsi="Verdana"/>
          <w:sz w:val="20"/>
          <w:szCs w:val="20"/>
        </w:rPr>
        <w:t>ca, así como el elevado número de homicidios vinculados a la delincuencia organizada, derivado principalmente de la disputa que mantenían por el control de la zona las organizaciones Carrillo Fuentes y Pacífico, además de la presencia de algunas células de Los Zetas, especialmente en Ciudad Juárez”</w:t>
      </w:r>
      <w:r w:rsidR="002E1C85" w:rsidRPr="00744CE4">
        <w:rPr>
          <w:rFonts w:ascii="Verdana" w:hAnsi="Verdana"/>
          <w:sz w:val="20"/>
          <w:szCs w:val="20"/>
          <w:vertAlign w:val="superscript"/>
        </w:rPr>
        <w:footnoteReference w:id="103"/>
      </w:r>
      <w:r w:rsidR="002E1C85" w:rsidRPr="00744CE4">
        <w:rPr>
          <w:rFonts w:ascii="Verdana" w:hAnsi="Verdana"/>
          <w:sz w:val="20"/>
          <w:szCs w:val="20"/>
        </w:rPr>
        <w:t>. Dicho “Operativo” tuvo su sede en la Quinta Zona Militar, que abarca la zona norte de Chihuahua, y fue puesto bajo la coordinación del comandante de dicha jurisdicción castrense, cuyo centro de mando se encontraba ubicado en Ciudad Juárez</w:t>
      </w:r>
      <w:r w:rsidR="004A14E0" w:rsidRPr="00744CE4">
        <w:rPr>
          <w:rFonts w:ascii="Verdana" w:hAnsi="Verdana"/>
          <w:sz w:val="20"/>
          <w:szCs w:val="20"/>
          <w:vertAlign w:val="superscript"/>
        </w:rPr>
        <w:footnoteReference w:id="104"/>
      </w:r>
      <w:r w:rsidR="002E1C85" w:rsidRPr="00744CE4">
        <w:rPr>
          <w:rFonts w:ascii="Verdana" w:hAnsi="Verdana"/>
          <w:sz w:val="20"/>
          <w:szCs w:val="20"/>
        </w:rPr>
        <w:t xml:space="preserve"> En su fase inicial contó con la participación de 2,500 efectivos federales, de los cuales 2,026 eran elementos militares y “425 agentes federales y ministerios públicos del fuero federal […]”. Paulatinamente, la presencia de elementos del Ejército en el marco del Operativo Conjunto Chihuahua se incrementó hasta alcanzar en el año 2009 la cifra aproximada de 8,500 soldados y 2,300 agentes federales, tan solo en Ciudad Juárez</w:t>
      </w:r>
      <w:r w:rsidR="002E1C85" w:rsidRPr="00744CE4">
        <w:rPr>
          <w:rFonts w:ascii="Verdana" w:hAnsi="Verdana"/>
          <w:sz w:val="20"/>
          <w:szCs w:val="20"/>
          <w:vertAlign w:val="superscript"/>
        </w:rPr>
        <w:footnoteReference w:id="105"/>
      </w:r>
      <w:r w:rsidR="002E1C85" w:rsidRPr="00744CE4">
        <w:rPr>
          <w:rFonts w:ascii="Verdana" w:hAnsi="Verdana"/>
          <w:sz w:val="20"/>
          <w:szCs w:val="20"/>
        </w:rPr>
        <w:t>. Antes de su cambio de denominación en el año 2010, el “Operativo Conjunto Chihuahua” alcanzó la participación 10,000 efectivos de las Fuerzas Armadas en tareas de seguridad en la región</w:t>
      </w:r>
      <w:r w:rsidR="002E1C85" w:rsidRPr="00744CE4">
        <w:rPr>
          <w:rFonts w:ascii="Verdana" w:hAnsi="Verdana"/>
          <w:sz w:val="20"/>
          <w:szCs w:val="20"/>
          <w:vertAlign w:val="superscript"/>
        </w:rPr>
        <w:footnoteReference w:id="106"/>
      </w:r>
      <w:r w:rsidR="002E1C85" w:rsidRPr="00744CE4">
        <w:rPr>
          <w:rFonts w:ascii="Verdana" w:hAnsi="Verdana"/>
          <w:sz w:val="20"/>
          <w:szCs w:val="20"/>
        </w:rPr>
        <w:t>.</w:t>
      </w:r>
    </w:p>
    <w:p w14:paraId="64AA5E35" w14:textId="5F1C1D94" w:rsidR="002E1C85" w:rsidRPr="00744CE4" w:rsidRDefault="002E1C85" w:rsidP="00DB378B">
      <w:pPr>
        <w:widowControl w:val="0"/>
        <w:numPr>
          <w:ilvl w:val="0"/>
          <w:numId w:val="4"/>
        </w:numPr>
        <w:tabs>
          <w:tab w:val="left" w:pos="567"/>
          <w:tab w:val="num" w:pos="12305"/>
        </w:tabs>
        <w:adjustRightInd w:val="0"/>
        <w:spacing w:before="120" w:after="120" w:line="240" w:lineRule="auto"/>
        <w:ind w:left="0" w:firstLine="0"/>
        <w:jc w:val="both"/>
        <w:textAlignment w:val="baseline"/>
        <w:rPr>
          <w:rFonts w:ascii="Verdana" w:hAnsi="Verdana" w:cs="Cambria"/>
          <w:sz w:val="20"/>
          <w:szCs w:val="20"/>
        </w:rPr>
      </w:pPr>
      <w:r w:rsidRPr="00432ABC">
        <w:rPr>
          <w:rFonts w:ascii="Verdana" w:hAnsi="Verdana" w:cs="Cambria"/>
          <w:sz w:val="20"/>
          <w:szCs w:val="20"/>
        </w:rPr>
        <w:t>El 20 de octubre de 2009, en las inmediaciones del municipio de Buenaventura, Chihuahua, tuvo lugar el secuestro y posterior homicidio del Comandante de la Policía Federal José Alfredo Zilli Peña y dos agentes de su corporación que le acompañaban</w:t>
      </w:r>
      <w:r w:rsidRPr="00744CE4">
        <w:rPr>
          <w:rStyle w:val="FootnoteReference"/>
          <w:rFonts w:ascii="Verdana" w:hAnsi="Verdana" w:cs="Cambria"/>
          <w:sz w:val="20"/>
          <w:szCs w:val="20"/>
        </w:rPr>
        <w:footnoteReference w:id="107"/>
      </w:r>
      <w:r w:rsidRPr="00744CE4">
        <w:rPr>
          <w:rFonts w:ascii="Verdana" w:hAnsi="Verdana" w:cs="Cambria"/>
          <w:sz w:val="20"/>
          <w:szCs w:val="20"/>
        </w:rPr>
        <w:t xml:space="preserve">. Tras ello, </w:t>
      </w:r>
      <w:r w:rsidRPr="00744CE4">
        <w:rPr>
          <w:rFonts w:ascii="Verdana" w:hAnsi="Verdana" w:cs="Cambria"/>
          <w:sz w:val="20"/>
          <w:szCs w:val="20"/>
        </w:rPr>
        <w:lastRenderedPageBreak/>
        <w:t>alrededor de 3 mil efectivos de la Policía Federal y el Ejército que formaban parte del personal del “Operativo Conjunto Chihuahua” fue desplegados en su búsqueda en diversas localidades, tales como Villa Ahumada y el Ejido Benito Juárez</w:t>
      </w:r>
      <w:r w:rsidRPr="00744CE4">
        <w:rPr>
          <w:rFonts w:ascii="Verdana" w:hAnsi="Verdana"/>
          <w:sz w:val="20"/>
          <w:szCs w:val="20"/>
          <w:vertAlign w:val="superscript"/>
        </w:rPr>
        <w:footnoteReference w:id="108"/>
      </w:r>
      <w:r w:rsidRPr="00744CE4">
        <w:rPr>
          <w:rFonts w:ascii="Verdana" w:hAnsi="Verdana" w:cs="Cambria"/>
          <w:sz w:val="20"/>
          <w:szCs w:val="20"/>
        </w:rPr>
        <w:t>. Como parte de sus operaciones, dichos elementos recorrían ranchos, instalaban retenes en carreteras, brechas, arroyos, vigilaban la entrada de los poblados y detenían a varias personas en la comunidad de Benito Juárez por su presunta relación con dichos homicidios. En ese contexto, se denunciaron excesos cometidos por parte de dichos elementos en contra de sus pobladores</w:t>
      </w:r>
      <w:r w:rsidRPr="00744CE4">
        <w:rPr>
          <w:rStyle w:val="FootnoteReference"/>
          <w:rFonts w:ascii="Verdana" w:hAnsi="Verdana" w:cs="Cambria"/>
          <w:sz w:val="20"/>
          <w:szCs w:val="20"/>
        </w:rPr>
        <w:footnoteReference w:id="109"/>
      </w:r>
      <w:r w:rsidRPr="00744CE4">
        <w:rPr>
          <w:rFonts w:ascii="Verdana" w:hAnsi="Verdana" w:cs="Cambria"/>
          <w:sz w:val="20"/>
          <w:szCs w:val="20"/>
        </w:rPr>
        <w:t xml:space="preserve">.  </w:t>
      </w:r>
    </w:p>
    <w:p w14:paraId="00D0D65F" w14:textId="745AC4A1" w:rsidR="00350979" w:rsidRPr="00744CE4" w:rsidRDefault="002E1C85" w:rsidP="00DB378B">
      <w:pPr>
        <w:pStyle w:val="ListParagraph"/>
        <w:widowControl w:val="0"/>
        <w:numPr>
          <w:ilvl w:val="0"/>
          <w:numId w:val="4"/>
        </w:numPr>
        <w:tabs>
          <w:tab w:val="left" w:pos="567"/>
        </w:tabs>
        <w:autoSpaceDE w:val="0"/>
        <w:autoSpaceDN w:val="0"/>
        <w:adjustRightInd w:val="0"/>
        <w:spacing w:before="120" w:after="120" w:line="240" w:lineRule="auto"/>
        <w:ind w:left="0" w:firstLine="0"/>
        <w:contextualSpacing w:val="0"/>
        <w:jc w:val="both"/>
        <w:textAlignment w:val="baseline"/>
        <w:rPr>
          <w:rFonts w:ascii="Verdana" w:hAnsi="Verdana"/>
          <w:i/>
          <w:sz w:val="20"/>
          <w:szCs w:val="20"/>
        </w:rPr>
      </w:pPr>
      <w:r w:rsidRPr="00432ABC">
        <w:rPr>
          <w:rFonts w:ascii="Verdana" w:hAnsi="Verdana"/>
          <w:sz w:val="20"/>
          <w:szCs w:val="20"/>
        </w:rPr>
        <w:t>En enero de 2010, el “Operativo Conjunto Chihuahua” cambió su denominación a “Operación Coordinada Chihuahua”,</w:t>
      </w:r>
      <w:r w:rsidRPr="00432ABC">
        <w:rPr>
          <w:rFonts w:ascii="Verdana" w:hAnsi="Verdana"/>
          <w:sz w:val="20"/>
          <w:szCs w:val="20"/>
          <w:vertAlign w:val="superscript"/>
        </w:rPr>
        <w:t xml:space="preserve"> </w:t>
      </w:r>
      <w:r w:rsidRPr="00432ABC">
        <w:rPr>
          <w:rFonts w:ascii="Verdana" w:hAnsi="Verdana"/>
          <w:sz w:val="20"/>
          <w:szCs w:val="20"/>
        </w:rPr>
        <w:t>“a partir del replanteamiento de la estrategia de intervención de las fuerzas federales en el marco de la [e]strategia [i]ntegral contra la delincuencia or</w:t>
      </w:r>
      <w:r w:rsidRPr="002C462C">
        <w:rPr>
          <w:rFonts w:ascii="Verdana" w:hAnsi="Verdana"/>
          <w:sz w:val="20"/>
          <w:szCs w:val="20"/>
        </w:rPr>
        <w:t>ganizada”</w:t>
      </w:r>
      <w:r w:rsidRPr="00744CE4">
        <w:rPr>
          <w:rFonts w:ascii="Verdana" w:hAnsi="Verdana"/>
          <w:sz w:val="20"/>
          <w:szCs w:val="20"/>
          <w:vertAlign w:val="superscript"/>
        </w:rPr>
        <w:footnoteReference w:id="110"/>
      </w:r>
      <w:r w:rsidRPr="00744CE4">
        <w:rPr>
          <w:rFonts w:ascii="Verdana" w:hAnsi="Verdana"/>
          <w:sz w:val="20"/>
          <w:szCs w:val="20"/>
        </w:rPr>
        <w:t xml:space="preserve"> y fueron destacados adicionalmente 1,300 elementos policiales de la Secretaría de Seguridad Pública Federal a Ciudad Juárez</w:t>
      </w:r>
      <w:r w:rsidRPr="00744CE4">
        <w:rPr>
          <w:rFonts w:ascii="Verdana" w:hAnsi="Verdana"/>
          <w:sz w:val="20"/>
          <w:szCs w:val="20"/>
          <w:vertAlign w:val="superscript"/>
        </w:rPr>
        <w:footnoteReference w:id="111"/>
      </w:r>
      <w:r w:rsidRPr="00744CE4">
        <w:rPr>
          <w:rFonts w:ascii="Verdana" w:hAnsi="Verdana"/>
          <w:sz w:val="20"/>
          <w:szCs w:val="20"/>
        </w:rPr>
        <w:t>.</w:t>
      </w:r>
      <w:r w:rsidRPr="00744CE4">
        <w:rPr>
          <w:rFonts w:ascii="Verdana" w:hAnsi="Verdana"/>
          <w:color w:val="000000" w:themeColor="text1"/>
          <w:sz w:val="20"/>
          <w:szCs w:val="20"/>
        </w:rPr>
        <w:t xml:space="preserve"> Finalmente, e</w:t>
      </w:r>
      <w:r w:rsidRPr="00432ABC">
        <w:rPr>
          <w:rFonts w:ascii="Verdana" w:hAnsi="Verdana"/>
          <w:sz w:val="20"/>
          <w:szCs w:val="20"/>
        </w:rPr>
        <w:t>l 9 de abril de 2010 el mando único de la “Operación Coordinada Chihuahua” fue transferido a la Secretaría de Seguridad Pública Federal, en tanto que los elementos del Ejército mexicano fueron destinados a la frontera con los Estados Unidos de América para desarrollar labores de vigilancia</w:t>
      </w:r>
      <w:r w:rsidRPr="00744CE4">
        <w:rPr>
          <w:rFonts w:ascii="Verdana" w:hAnsi="Verdana"/>
          <w:sz w:val="20"/>
          <w:szCs w:val="20"/>
          <w:vertAlign w:val="superscript"/>
        </w:rPr>
        <w:footnoteReference w:id="112"/>
      </w:r>
      <w:r w:rsidRPr="00744CE4">
        <w:rPr>
          <w:rFonts w:ascii="Verdana" w:hAnsi="Verdana"/>
          <w:sz w:val="20"/>
          <w:szCs w:val="20"/>
        </w:rPr>
        <w:t>. Este cambio de paradigma</w:t>
      </w:r>
      <w:r w:rsidRPr="00744CE4">
        <w:rPr>
          <w:rFonts w:ascii="Verdana" w:hAnsi="Verdana"/>
          <w:bCs/>
          <w:sz w:val="20"/>
          <w:szCs w:val="20"/>
        </w:rPr>
        <w:t xml:space="preserve"> se debió en gran medida a la crítica reproba</w:t>
      </w:r>
      <w:r w:rsidRPr="00432ABC">
        <w:rPr>
          <w:rFonts w:ascii="Verdana" w:hAnsi="Verdana"/>
          <w:bCs/>
          <w:sz w:val="20"/>
          <w:szCs w:val="20"/>
        </w:rPr>
        <w:t>toria de la sociedad civil por la presencia del Ejército en actividades de seguridad pública en los municipios cercanos a Ciudad Juárez y</w:t>
      </w:r>
      <w:r w:rsidR="00A62086" w:rsidRPr="00432ABC">
        <w:rPr>
          <w:rFonts w:ascii="Verdana" w:hAnsi="Verdana"/>
          <w:bCs/>
          <w:sz w:val="20"/>
          <w:szCs w:val="20"/>
        </w:rPr>
        <w:t>, según peritos,</w:t>
      </w:r>
      <w:r w:rsidRPr="00432ABC">
        <w:rPr>
          <w:rFonts w:ascii="Verdana" w:hAnsi="Verdana"/>
          <w:bCs/>
          <w:sz w:val="20"/>
          <w:szCs w:val="20"/>
        </w:rPr>
        <w:t xml:space="preserve"> a las </w:t>
      </w:r>
      <w:r w:rsidR="00A62086" w:rsidRPr="00432ABC">
        <w:rPr>
          <w:rFonts w:ascii="Verdana" w:hAnsi="Verdana"/>
          <w:bCs/>
          <w:sz w:val="20"/>
          <w:szCs w:val="20"/>
        </w:rPr>
        <w:t xml:space="preserve">alegadas </w:t>
      </w:r>
      <w:r w:rsidRPr="00432ABC">
        <w:rPr>
          <w:rFonts w:ascii="Verdana" w:hAnsi="Verdana"/>
          <w:bCs/>
          <w:sz w:val="20"/>
          <w:szCs w:val="20"/>
        </w:rPr>
        <w:t>graves violaciones a los derechos humanos relacionadas con elementos castrenses</w:t>
      </w:r>
      <w:r w:rsidRPr="00744CE4">
        <w:rPr>
          <w:rFonts w:ascii="Verdana" w:hAnsi="Verdana"/>
          <w:bCs/>
          <w:sz w:val="20"/>
          <w:szCs w:val="20"/>
          <w:vertAlign w:val="superscript"/>
        </w:rPr>
        <w:footnoteReference w:id="113"/>
      </w:r>
      <w:r w:rsidRPr="00744CE4">
        <w:rPr>
          <w:rFonts w:ascii="Verdana" w:hAnsi="Verdana"/>
          <w:bCs/>
          <w:sz w:val="20"/>
          <w:szCs w:val="20"/>
        </w:rPr>
        <w:t>.</w:t>
      </w:r>
    </w:p>
    <w:p w14:paraId="64AA5E39" w14:textId="5E2597AD" w:rsidR="002E1C85" w:rsidRPr="00744CE4" w:rsidRDefault="002E1C85" w:rsidP="00DB378B">
      <w:pPr>
        <w:pStyle w:val="ListParagraph"/>
        <w:numPr>
          <w:ilvl w:val="0"/>
          <w:numId w:val="4"/>
        </w:numPr>
        <w:tabs>
          <w:tab w:val="left" w:pos="567"/>
        </w:tabs>
        <w:spacing w:before="120" w:after="120" w:line="240" w:lineRule="auto"/>
        <w:ind w:left="0" w:firstLine="0"/>
        <w:contextualSpacing w:val="0"/>
        <w:jc w:val="both"/>
        <w:rPr>
          <w:rFonts w:ascii="Verdana" w:hAnsi="Verdana"/>
          <w:sz w:val="20"/>
          <w:szCs w:val="20"/>
        </w:rPr>
      </w:pPr>
      <w:r w:rsidRPr="00432ABC">
        <w:rPr>
          <w:rFonts w:ascii="Verdana" w:hAnsi="Verdana"/>
          <w:sz w:val="20"/>
          <w:szCs w:val="20"/>
        </w:rPr>
        <w:t xml:space="preserve">En suma, durante el período de ejecución del “Operativo Conjunto Chihuahua” la Comisión Estatal de Derechos Humanos de </w:t>
      </w:r>
      <w:r w:rsidRPr="00B71DDF">
        <w:rPr>
          <w:rFonts w:ascii="Verdana" w:hAnsi="Verdana"/>
          <w:sz w:val="20"/>
          <w:szCs w:val="20"/>
        </w:rPr>
        <w:t>Chihuahua</w:t>
      </w:r>
      <w:r w:rsidR="00B71DDF" w:rsidRPr="001D1E2A">
        <w:rPr>
          <w:rFonts w:ascii="Verdana" w:hAnsi="Verdana"/>
          <w:sz w:val="20"/>
          <w:szCs w:val="20"/>
        </w:rPr>
        <w:t xml:space="preserve"> </w:t>
      </w:r>
      <w:r w:rsidR="00B71DDF" w:rsidRPr="008D0846">
        <w:rPr>
          <w:rFonts w:ascii="Verdana" w:hAnsi="Verdana"/>
          <w:sz w:val="20"/>
          <w:szCs w:val="20"/>
        </w:rPr>
        <w:t>[CEDH-Ch]</w:t>
      </w:r>
      <w:r w:rsidRPr="00432ABC">
        <w:rPr>
          <w:rFonts w:ascii="Verdana" w:hAnsi="Verdana"/>
          <w:sz w:val="20"/>
          <w:szCs w:val="20"/>
        </w:rPr>
        <w:t>, entre 2008 y 2011, registró 457 quejas contra elementos de la SEDENA</w:t>
      </w:r>
      <w:r w:rsidRPr="00744CE4">
        <w:rPr>
          <w:rFonts w:ascii="Verdana" w:hAnsi="Verdana"/>
          <w:sz w:val="20"/>
          <w:szCs w:val="20"/>
          <w:vertAlign w:val="superscript"/>
        </w:rPr>
        <w:footnoteReference w:id="114"/>
      </w:r>
      <w:r w:rsidRPr="00744CE4">
        <w:rPr>
          <w:rFonts w:ascii="Verdana" w:hAnsi="Verdana"/>
          <w:sz w:val="20"/>
          <w:szCs w:val="20"/>
        </w:rPr>
        <w:t xml:space="preserve">, </w:t>
      </w:r>
      <w:r w:rsidR="00D70D38" w:rsidRPr="00744CE4">
        <w:rPr>
          <w:rFonts w:ascii="Verdana" w:hAnsi="Verdana"/>
          <w:sz w:val="20"/>
          <w:szCs w:val="20"/>
        </w:rPr>
        <w:t>mismas que fueron remitidas para su resolución a la CNDH por</w:t>
      </w:r>
      <w:r w:rsidR="00D70D38" w:rsidRPr="00432ABC">
        <w:rPr>
          <w:rFonts w:ascii="Verdana" w:hAnsi="Verdana"/>
          <w:sz w:val="20"/>
          <w:szCs w:val="20"/>
        </w:rPr>
        <w:t xml:space="preserve"> tratarse de una autoridad federal, </w:t>
      </w:r>
      <w:r w:rsidRPr="00432ABC">
        <w:rPr>
          <w:rFonts w:ascii="Verdana" w:hAnsi="Verdana"/>
          <w:sz w:val="20"/>
          <w:szCs w:val="20"/>
        </w:rPr>
        <w:t>la mayoría denunciando allanamientos de morada, detenciones arbitrarias, tortura</w:t>
      </w:r>
      <w:r w:rsidR="00206E30" w:rsidRPr="00432ABC">
        <w:rPr>
          <w:rFonts w:ascii="Verdana" w:hAnsi="Verdana"/>
          <w:sz w:val="20"/>
          <w:szCs w:val="20"/>
        </w:rPr>
        <w:t>s</w:t>
      </w:r>
      <w:r w:rsidRPr="00432ABC">
        <w:rPr>
          <w:rFonts w:ascii="Verdana" w:hAnsi="Verdana"/>
          <w:sz w:val="20"/>
          <w:szCs w:val="20"/>
        </w:rPr>
        <w:t>, desapariciones y ejecuciones extrajudiciales</w:t>
      </w:r>
      <w:r w:rsidRPr="00744CE4">
        <w:rPr>
          <w:rFonts w:ascii="Verdana" w:hAnsi="Verdana"/>
          <w:sz w:val="20"/>
          <w:szCs w:val="20"/>
          <w:vertAlign w:val="superscript"/>
        </w:rPr>
        <w:footnoteReference w:id="115"/>
      </w:r>
      <w:r w:rsidRPr="00744CE4">
        <w:rPr>
          <w:rFonts w:ascii="Verdana" w:hAnsi="Verdana"/>
          <w:sz w:val="20"/>
          <w:szCs w:val="20"/>
        </w:rPr>
        <w:t xml:space="preserve">. Dichas quejas “revelaban patrones de actuación de elementos castrenses, entre los cuales se encontraba la </w:t>
      </w:r>
      <w:r w:rsidRPr="00744CE4">
        <w:rPr>
          <w:rFonts w:ascii="Verdana" w:hAnsi="Verdana"/>
          <w:sz w:val="20"/>
          <w:szCs w:val="20"/>
        </w:rPr>
        <w:lastRenderedPageBreak/>
        <w:t>utilización de vehículos asegurados a miembros de la delincuencia organizada en sus operaciones”</w:t>
      </w:r>
      <w:r w:rsidRPr="00744CE4">
        <w:rPr>
          <w:rFonts w:ascii="Verdana" w:hAnsi="Verdana"/>
          <w:sz w:val="20"/>
          <w:szCs w:val="20"/>
          <w:vertAlign w:val="superscript"/>
        </w:rPr>
        <w:footnoteReference w:id="116"/>
      </w:r>
      <w:r w:rsidR="00350979" w:rsidRPr="00744CE4">
        <w:rPr>
          <w:rFonts w:ascii="Verdana" w:hAnsi="Verdana"/>
          <w:sz w:val="20"/>
          <w:szCs w:val="20"/>
        </w:rPr>
        <w:t>.</w:t>
      </w:r>
    </w:p>
    <w:p w14:paraId="64AA5E3B" w14:textId="72ABC9E6" w:rsidR="002E1C85" w:rsidRPr="00744CE4" w:rsidRDefault="0020172F">
      <w:pPr>
        <w:pStyle w:val="Title"/>
        <w:contextualSpacing w:val="0"/>
      </w:pPr>
      <w:bookmarkStart w:id="117" w:name="_Toc526774151"/>
      <w:bookmarkStart w:id="118" w:name="_Toc526777483"/>
      <w:bookmarkStart w:id="119" w:name="_Toc526783762"/>
      <w:r>
        <w:t xml:space="preserve"> </w:t>
      </w:r>
      <w:bookmarkStart w:id="120" w:name="_Toc532995333"/>
      <w:r w:rsidR="00E67720" w:rsidRPr="00432ABC">
        <w:t>Sobre</w:t>
      </w:r>
      <w:r w:rsidR="002E1C85" w:rsidRPr="00432ABC">
        <w:t xml:space="preserve"> Nitza Paola Alvarado Espinoza, Rocío Irene Alvarado Reyes y José Ángel Alvarado Herrera</w:t>
      </w:r>
      <w:r w:rsidR="002E1C85" w:rsidRPr="00744CE4">
        <w:rPr>
          <w:rStyle w:val="FootnoteReference"/>
        </w:rPr>
        <w:footnoteReference w:id="117"/>
      </w:r>
      <w:bookmarkEnd w:id="117"/>
      <w:bookmarkEnd w:id="118"/>
      <w:bookmarkEnd w:id="119"/>
      <w:bookmarkEnd w:id="120"/>
    </w:p>
    <w:p w14:paraId="64AA5E3D" w14:textId="62703A26" w:rsidR="002E1C85" w:rsidRPr="00432ABC" w:rsidRDefault="002E1C85" w:rsidP="00DB378B">
      <w:pPr>
        <w:widowControl w:val="0"/>
        <w:numPr>
          <w:ilvl w:val="0"/>
          <w:numId w:val="4"/>
        </w:numPr>
        <w:tabs>
          <w:tab w:val="left" w:pos="567"/>
          <w:tab w:val="num" w:pos="12305"/>
        </w:tabs>
        <w:adjustRightInd w:val="0"/>
        <w:spacing w:before="120" w:after="120" w:line="240" w:lineRule="auto"/>
        <w:ind w:left="0" w:firstLine="0"/>
        <w:jc w:val="both"/>
        <w:textAlignment w:val="baseline"/>
        <w:rPr>
          <w:rFonts w:ascii="Verdana" w:hAnsi="Verdana"/>
          <w:sz w:val="20"/>
          <w:szCs w:val="20"/>
        </w:rPr>
      </w:pPr>
      <w:r w:rsidRPr="00744CE4">
        <w:rPr>
          <w:rFonts w:ascii="Verdana" w:hAnsi="Verdana"/>
          <w:sz w:val="20"/>
          <w:szCs w:val="20"/>
        </w:rPr>
        <w:t>Nitza Paola Alvarado Espinoza nació el 2 de no</w:t>
      </w:r>
      <w:r w:rsidRPr="00432ABC">
        <w:rPr>
          <w:rFonts w:ascii="Verdana" w:hAnsi="Verdana"/>
          <w:sz w:val="20"/>
          <w:szCs w:val="20"/>
        </w:rPr>
        <w:t>viembre de 1978</w:t>
      </w:r>
      <w:r w:rsidRPr="00744CE4">
        <w:rPr>
          <w:rFonts w:ascii="Verdana" w:hAnsi="Verdana"/>
          <w:sz w:val="20"/>
          <w:szCs w:val="20"/>
          <w:vertAlign w:val="superscript"/>
        </w:rPr>
        <w:footnoteReference w:id="118"/>
      </w:r>
      <w:r w:rsidRPr="00744CE4">
        <w:rPr>
          <w:rFonts w:ascii="Verdana" w:hAnsi="Verdana"/>
          <w:sz w:val="20"/>
          <w:szCs w:val="20"/>
        </w:rPr>
        <w:t xml:space="preserve">. Al momento de su desaparición tenía 31 años de edad y presentaba incapacidad permanente consistente en una hemiplejia generada por un infarto cerebral, por lo que </w:t>
      </w:r>
      <w:r w:rsidR="00B1617A">
        <w:rPr>
          <w:rFonts w:ascii="Verdana" w:hAnsi="Verdana"/>
          <w:sz w:val="20"/>
          <w:szCs w:val="20"/>
        </w:rPr>
        <w:t xml:space="preserve">se </w:t>
      </w:r>
      <w:r w:rsidRPr="00744CE4">
        <w:rPr>
          <w:rFonts w:ascii="Verdana" w:hAnsi="Verdana"/>
          <w:sz w:val="20"/>
          <w:szCs w:val="20"/>
        </w:rPr>
        <w:t>encontraba pensionada por el Instituto Mexicano del Seguro Social</w:t>
      </w:r>
      <w:r w:rsidRPr="00744CE4">
        <w:rPr>
          <w:rFonts w:ascii="Verdana" w:hAnsi="Verdana"/>
          <w:sz w:val="20"/>
          <w:szCs w:val="20"/>
          <w:vertAlign w:val="superscript"/>
        </w:rPr>
        <w:footnoteReference w:id="119"/>
      </w:r>
      <w:r w:rsidRPr="00744CE4">
        <w:rPr>
          <w:rFonts w:ascii="Verdana" w:hAnsi="Verdana"/>
          <w:sz w:val="20"/>
          <w:szCs w:val="20"/>
        </w:rPr>
        <w:t>. Los familiares de Nitza Paola Alvarado Espinoza son: i) su madre María de Jesús Espinoza Peinado; ii) su padre Ascensión Alvarado Fabela; iii) sus tres hijas N.S.A.E., M.P.A.E. y D.A.E.; iv) su hermana María de Jesús Alvarado Espinoza, v) su cuñado Rigoberto Ambr</w:t>
      </w:r>
      <w:r w:rsidRPr="00432ABC">
        <w:rPr>
          <w:rFonts w:ascii="Verdana" w:hAnsi="Verdana"/>
          <w:sz w:val="20"/>
          <w:szCs w:val="20"/>
        </w:rPr>
        <w:t xml:space="preserve">iz Marrufo, y vi) sus 4 sobrinos R.A.A., I.A.A.A., J.E.A.A. </w:t>
      </w:r>
      <w:r w:rsidR="00052024" w:rsidRPr="00432ABC">
        <w:rPr>
          <w:rFonts w:ascii="Verdana" w:hAnsi="Verdana"/>
          <w:sz w:val="20"/>
          <w:szCs w:val="20"/>
        </w:rPr>
        <w:t>y</w:t>
      </w:r>
      <w:r w:rsidRPr="00432ABC">
        <w:rPr>
          <w:rFonts w:ascii="Verdana" w:hAnsi="Verdana"/>
          <w:sz w:val="20"/>
          <w:szCs w:val="20"/>
        </w:rPr>
        <w:t xml:space="preserve"> A.Y.A.A.</w:t>
      </w:r>
    </w:p>
    <w:p w14:paraId="64AA5E3F" w14:textId="1587408B" w:rsidR="002E1C85" w:rsidRPr="00432ABC" w:rsidRDefault="002E1C85" w:rsidP="00DB378B">
      <w:pPr>
        <w:widowControl w:val="0"/>
        <w:numPr>
          <w:ilvl w:val="0"/>
          <w:numId w:val="4"/>
        </w:numPr>
        <w:tabs>
          <w:tab w:val="left" w:pos="567"/>
          <w:tab w:val="num" w:pos="12305"/>
        </w:tabs>
        <w:adjustRightInd w:val="0"/>
        <w:spacing w:before="120" w:after="120" w:line="240" w:lineRule="auto"/>
        <w:ind w:left="0" w:firstLine="0"/>
        <w:jc w:val="both"/>
        <w:textAlignment w:val="baseline"/>
        <w:rPr>
          <w:rFonts w:ascii="Verdana" w:hAnsi="Verdana"/>
          <w:sz w:val="20"/>
          <w:szCs w:val="20"/>
        </w:rPr>
      </w:pPr>
      <w:r w:rsidRPr="002C462C">
        <w:rPr>
          <w:rFonts w:ascii="Verdana" w:hAnsi="Verdana"/>
          <w:sz w:val="20"/>
          <w:szCs w:val="20"/>
        </w:rPr>
        <w:t>Rocío Irene Alvarado Reyes nació el 26 de agosto de 199</w:t>
      </w:r>
      <w:r w:rsidR="00B1617A">
        <w:rPr>
          <w:rFonts w:ascii="Verdana" w:hAnsi="Verdana"/>
          <w:sz w:val="20"/>
          <w:szCs w:val="20"/>
        </w:rPr>
        <w:t>1</w:t>
      </w:r>
      <w:r w:rsidRPr="00744CE4">
        <w:rPr>
          <w:rStyle w:val="FootnoteReference"/>
          <w:rFonts w:ascii="Verdana" w:hAnsi="Verdana"/>
          <w:sz w:val="20"/>
          <w:szCs w:val="20"/>
        </w:rPr>
        <w:footnoteReference w:id="120"/>
      </w:r>
      <w:r w:rsidRPr="00744CE4">
        <w:rPr>
          <w:rFonts w:ascii="Verdana" w:hAnsi="Verdana"/>
          <w:sz w:val="20"/>
          <w:szCs w:val="20"/>
        </w:rPr>
        <w:t>. Al momento de los hechos tenía 18 años de edad y trabajaba en una tienda de abarrotes</w:t>
      </w:r>
      <w:r w:rsidR="00D16B59">
        <w:rPr>
          <w:rStyle w:val="FootnoteReference"/>
          <w:rFonts w:ascii="Verdana" w:hAnsi="Verdana"/>
          <w:sz w:val="20"/>
          <w:szCs w:val="20"/>
        </w:rPr>
        <w:footnoteReference w:id="121"/>
      </w:r>
      <w:r w:rsidRPr="00744CE4">
        <w:rPr>
          <w:rFonts w:ascii="Verdana" w:hAnsi="Verdana"/>
          <w:sz w:val="20"/>
          <w:szCs w:val="20"/>
        </w:rPr>
        <w:t>. Sus familiares son: i) su madre Patricia Reyes Rueda; ii) su hija A.M.U.A; iii) sus dos hermanos A.A.R. y A.R.A.R., y iv) su abuelo Manuel Reyes Lira</w:t>
      </w:r>
      <w:r w:rsidRPr="00432ABC">
        <w:rPr>
          <w:rFonts w:ascii="Verdana" w:hAnsi="Verdana"/>
          <w:sz w:val="20"/>
          <w:szCs w:val="20"/>
        </w:rPr>
        <w:t>.</w:t>
      </w:r>
    </w:p>
    <w:p w14:paraId="64AA5E41" w14:textId="0C7B3835" w:rsidR="002E1C85" w:rsidRPr="00744CE4" w:rsidRDefault="002E1C85" w:rsidP="00DB378B">
      <w:pPr>
        <w:widowControl w:val="0"/>
        <w:numPr>
          <w:ilvl w:val="0"/>
          <w:numId w:val="4"/>
        </w:numPr>
        <w:tabs>
          <w:tab w:val="left" w:pos="567"/>
          <w:tab w:val="num" w:pos="12305"/>
        </w:tabs>
        <w:adjustRightInd w:val="0"/>
        <w:spacing w:before="120" w:after="120" w:line="240" w:lineRule="auto"/>
        <w:ind w:left="0" w:firstLine="0"/>
        <w:jc w:val="both"/>
        <w:textAlignment w:val="baseline"/>
        <w:rPr>
          <w:rFonts w:ascii="Verdana" w:hAnsi="Verdana"/>
          <w:sz w:val="20"/>
          <w:szCs w:val="20"/>
        </w:rPr>
      </w:pPr>
      <w:r w:rsidRPr="00432ABC">
        <w:rPr>
          <w:rFonts w:ascii="Verdana" w:hAnsi="Verdana"/>
          <w:sz w:val="20"/>
          <w:szCs w:val="20"/>
        </w:rPr>
        <w:t>José Ángel Alvarado Herrera nació el 24 de marzo de 1979</w:t>
      </w:r>
      <w:r w:rsidRPr="00744CE4">
        <w:rPr>
          <w:rFonts w:ascii="Verdana" w:hAnsi="Verdana"/>
          <w:sz w:val="20"/>
          <w:szCs w:val="20"/>
          <w:vertAlign w:val="superscript"/>
        </w:rPr>
        <w:footnoteReference w:id="122"/>
      </w:r>
      <w:r w:rsidRPr="00744CE4">
        <w:rPr>
          <w:rFonts w:ascii="Verdana" w:hAnsi="Verdana"/>
          <w:sz w:val="20"/>
          <w:szCs w:val="20"/>
        </w:rPr>
        <w:t>. Al momento de los hechos tenía 31 años de edad y trabajaba como supervisor para una empresa de repuestos</w:t>
      </w:r>
      <w:r w:rsidRPr="00744CE4">
        <w:rPr>
          <w:rFonts w:ascii="Verdana" w:hAnsi="Verdana"/>
          <w:sz w:val="20"/>
          <w:szCs w:val="20"/>
          <w:vertAlign w:val="superscript"/>
        </w:rPr>
        <w:footnoteReference w:id="123"/>
      </w:r>
      <w:r w:rsidRPr="00744CE4">
        <w:rPr>
          <w:rFonts w:ascii="Verdana" w:hAnsi="Verdana"/>
          <w:sz w:val="20"/>
          <w:szCs w:val="20"/>
        </w:rPr>
        <w:t>. Sus familiares son: i) su esposa Obdulia Espinoza Beltrán; ii) su madre Concepción Herrera Hernández; ii) su padre José Ángel Alvarado Fa</w:t>
      </w:r>
      <w:r w:rsidR="00B82930" w:rsidRPr="00744CE4">
        <w:rPr>
          <w:rFonts w:ascii="Verdana" w:hAnsi="Verdana"/>
          <w:sz w:val="20"/>
          <w:szCs w:val="20"/>
        </w:rPr>
        <w:t>b</w:t>
      </w:r>
      <w:r w:rsidRPr="00432ABC">
        <w:rPr>
          <w:rFonts w:ascii="Verdana" w:hAnsi="Verdana"/>
          <w:sz w:val="20"/>
          <w:szCs w:val="20"/>
        </w:rPr>
        <w:t>ela; iii)</w:t>
      </w:r>
      <w:r w:rsidR="00493ADB" w:rsidRPr="00432ABC">
        <w:rPr>
          <w:rFonts w:ascii="Verdana" w:hAnsi="Verdana"/>
          <w:sz w:val="20"/>
          <w:szCs w:val="20"/>
        </w:rPr>
        <w:t xml:space="preserve"> </w:t>
      </w:r>
      <w:r w:rsidRPr="00432ABC">
        <w:rPr>
          <w:rFonts w:ascii="Verdana" w:hAnsi="Verdana"/>
          <w:sz w:val="20"/>
          <w:szCs w:val="20"/>
        </w:rPr>
        <w:t>sus tres hijos J.A.E., J.A.A.E. y A.E.B.</w:t>
      </w:r>
      <w:r w:rsidR="00493ADB" w:rsidRPr="00432ABC">
        <w:rPr>
          <w:rFonts w:ascii="Verdana" w:hAnsi="Verdana"/>
          <w:sz w:val="20"/>
          <w:szCs w:val="20"/>
        </w:rPr>
        <w:t xml:space="preserve"> </w:t>
      </w:r>
      <w:r w:rsidR="006D60B9" w:rsidRPr="002C462C">
        <w:rPr>
          <w:rFonts w:ascii="Verdana" w:hAnsi="Verdana"/>
          <w:sz w:val="20"/>
          <w:szCs w:val="20"/>
        </w:rPr>
        <w:t>(A.A.E.)</w:t>
      </w:r>
      <w:r w:rsidR="001C5F0B" w:rsidRPr="00744CE4">
        <w:rPr>
          <w:rStyle w:val="FootnoteReference"/>
          <w:rFonts w:ascii="Verdana" w:hAnsi="Verdana"/>
          <w:sz w:val="20"/>
          <w:szCs w:val="20"/>
        </w:rPr>
        <w:footnoteReference w:id="124"/>
      </w:r>
      <w:r w:rsidRPr="00744CE4">
        <w:rPr>
          <w:rFonts w:ascii="Verdana" w:hAnsi="Verdana"/>
          <w:sz w:val="20"/>
          <w:szCs w:val="20"/>
        </w:rPr>
        <w:t>; iv) su hermano Jaime Alvarado Herrera; v) su cuñada Sandra Luz Rueda Quezada; vi) sus cuatro sobrinos J.O.A.R., R.G.A.R., C.N.A.R. y J.E.A.R.; vii) su hermana Rosa Olivia Alvarado Herrera; viii) su cuñado Félix Garcia García; ix) sus cuatro sobrinos Karina Paola Alvarado Espinoza, F.A.H., J.G.A. y A.G.A</w:t>
      </w:r>
      <w:r w:rsidRPr="00744CE4">
        <w:rPr>
          <w:rFonts w:ascii="Verdana" w:hAnsi="Verdana"/>
          <w:sz w:val="20"/>
          <w:szCs w:val="20"/>
          <w:vertAlign w:val="superscript"/>
        </w:rPr>
        <w:footnoteReference w:id="125"/>
      </w:r>
      <w:r w:rsidRPr="00744CE4">
        <w:rPr>
          <w:rFonts w:ascii="Verdana" w:hAnsi="Verdana"/>
          <w:sz w:val="20"/>
          <w:szCs w:val="20"/>
        </w:rPr>
        <w:t>.</w:t>
      </w:r>
    </w:p>
    <w:p w14:paraId="64AA5E43" w14:textId="461AA188" w:rsidR="002E1C85" w:rsidRPr="00744CE4" w:rsidRDefault="002E1C85" w:rsidP="00DB378B">
      <w:pPr>
        <w:widowControl w:val="0"/>
        <w:numPr>
          <w:ilvl w:val="0"/>
          <w:numId w:val="4"/>
        </w:numPr>
        <w:tabs>
          <w:tab w:val="left" w:pos="567"/>
          <w:tab w:val="num" w:pos="12305"/>
        </w:tabs>
        <w:adjustRightInd w:val="0"/>
        <w:spacing w:before="120" w:after="120" w:line="240" w:lineRule="auto"/>
        <w:ind w:left="0" w:firstLine="0"/>
        <w:jc w:val="both"/>
        <w:textAlignment w:val="baseline"/>
        <w:rPr>
          <w:rFonts w:ascii="Verdana" w:hAnsi="Verdana"/>
          <w:sz w:val="20"/>
          <w:szCs w:val="20"/>
        </w:rPr>
      </w:pPr>
      <w:r w:rsidRPr="00432ABC">
        <w:rPr>
          <w:rFonts w:ascii="Verdana" w:hAnsi="Verdana"/>
          <w:sz w:val="20"/>
          <w:szCs w:val="20"/>
        </w:rPr>
        <w:t xml:space="preserve">De acuerdo con las constancias que obran en el Tribunal, Nitza Paola Alvarado Espinoza y José Ángel Alvarado Herrera eran primos en razón de que los padres de ambos, </w:t>
      </w:r>
      <w:r w:rsidR="00EC08E0" w:rsidRPr="00432ABC">
        <w:rPr>
          <w:rFonts w:ascii="Verdana" w:hAnsi="Verdana"/>
          <w:sz w:val="20"/>
          <w:szCs w:val="20"/>
        </w:rPr>
        <w:t>Ascensión</w:t>
      </w:r>
      <w:r w:rsidRPr="00432ABC">
        <w:rPr>
          <w:rFonts w:ascii="Verdana" w:hAnsi="Verdana"/>
          <w:sz w:val="20"/>
          <w:szCs w:val="20"/>
        </w:rPr>
        <w:t xml:space="preserve"> </w:t>
      </w:r>
      <w:r w:rsidRPr="00432ABC">
        <w:rPr>
          <w:rFonts w:ascii="Verdana" w:hAnsi="Verdana"/>
          <w:sz w:val="20"/>
          <w:szCs w:val="20"/>
        </w:rPr>
        <w:lastRenderedPageBreak/>
        <w:t>Alvarado Fa</w:t>
      </w:r>
      <w:r w:rsidR="00B82930" w:rsidRPr="002C462C">
        <w:rPr>
          <w:rFonts w:ascii="Verdana" w:hAnsi="Verdana"/>
          <w:sz w:val="20"/>
          <w:szCs w:val="20"/>
        </w:rPr>
        <w:t>b</w:t>
      </w:r>
      <w:r w:rsidRPr="002C462C">
        <w:rPr>
          <w:rFonts w:ascii="Verdana" w:hAnsi="Verdana"/>
          <w:sz w:val="20"/>
          <w:szCs w:val="20"/>
        </w:rPr>
        <w:t>ela y José Ángel Alvarado Fa</w:t>
      </w:r>
      <w:r w:rsidR="00B82930" w:rsidRPr="00744CE4">
        <w:rPr>
          <w:rFonts w:ascii="Verdana" w:hAnsi="Verdana"/>
          <w:sz w:val="20"/>
          <w:szCs w:val="20"/>
        </w:rPr>
        <w:t>b</w:t>
      </w:r>
      <w:r w:rsidRPr="00744CE4">
        <w:rPr>
          <w:rFonts w:ascii="Verdana" w:hAnsi="Verdana"/>
          <w:sz w:val="20"/>
          <w:szCs w:val="20"/>
        </w:rPr>
        <w:t>ela, respectivamente, son hermanos entre sí</w:t>
      </w:r>
      <w:r w:rsidRPr="00744CE4">
        <w:rPr>
          <w:rStyle w:val="FootnoteReference"/>
          <w:rFonts w:ascii="Verdana" w:hAnsi="Verdana"/>
          <w:sz w:val="20"/>
          <w:szCs w:val="20"/>
        </w:rPr>
        <w:footnoteReference w:id="126"/>
      </w:r>
      <w:r w:rsidRPr="00744CE4">
        <w:rPr>
          <w:rFonts w:ascii="Verdana" w:hAnsi="Verdana"/>
          <w:sz w:val="20"/>
          <w:szCs w:val="20"/>
        </w:rPr>
        <w:t xml:space="preserve">. Por su parte, Rocío Irene Alvarado Reyes era </w:t>
      </w:r>
      <w:r w:rsidRPr="008A3009">
        <w:rPr>
          <w:rFonts w:ascii="Verdana" w:hAnsi="Verdana"/>
          <w:sz w:val="20"/>
          <w:szCs w:val="20"/>
        </w:rPr>
        <w:t>sobrina</w:t>
      </w:r>
      <w:r w:rsidR="008A3009" w:rsidRPr="00605079">
        <w:rPr>
          <w:rFonts w:ascii="Verdana" w:hAnsi="Verdana"/>
          <w:sz w:val="20"/>
          <w:szCs w:val="20"/>
        </w:rPr>
        <w:t xml:space="preserve"> segunda</w:t>
      </w:r>
      <w:r w:rsidRPr="00744CE4">
        <w:rPr>
          <w:rFonts w:ascii="Verdana" w:hAnsi="Verdana"/>
          <w:sz w:val="20"/>
          <w:szCs w:val="20"/>
        </w:rPr>
        <w:t xml:space="preserve"> de Nitza Paola y de José Ángel Alvarado en razón de que su padre, Rafael Alvarado Sáenz, era primo de estos dos últimos</w:t>
      </w:r>
      <w:r w:rsidRPr="00744CE4">
        <w:rPr>
          <w:rStyle w:val="FootnoteReference"/>
          <w:rFonts w:ascii="Verdana" w:hAnsi="Verdana"/>
          <w:sz w:val="20"/>
          <w:szCs w:val="20"/>
        </w:rPr>
        <w:footnoteReference w:id="127"/>
      </w:r>
      <w:r w:rsidRPr="00744CE4">
        <w:rPr>
          <w:rFonts w:ascii="Verdana" w:hAnsi="Verdana"/>
          <w:sz w:val="20"/>
          <w:szCs w:val="20"/>
        </w:rPr>
        <w:t>.</w:t>
      </w:r>
    </w:p>
    <w:p w14:paraId="64AA5E45" w14:textId="3D883A5B" w:rsidR="002E1C85" w:rsidRPr="00432ABC" w:rsidRDefault="002E1C85">
      <w:pPr>
        <w:pStyle w:val="Title"/>
        <w:contextualSpacing w:val="0"/>
        <w:rPr>
          <w:lang w:val="es-CR"/>
        </w:rPr>
      </w:pPr>
      <w:bookmarkStart w:id="121" w:name="_Toc527561044"/>
      <w:bookmarkStart w:id="122" w:name="_Toc526774152"/>
      <w:bookmarkStart w:id="123" w:name="_Toc526777484"/>
      <w:bookmarkStart w:id="124" w:name="_Toc526783763"/>
      <w:bookmarkStart w:id="125" w:name="_Toc532995334"/>
      <w:r w:rsidRPr="00432ABC">
        <w:t xml:space="preserve">La desaparición de </w:t>
      </w:r>
      <w:r w:rsidRPr="00432ABC">
        <w:rPr>
          <w:lang w:val="es-CR"/>
        </w:rPr>
        <w:t>Nitza Paola Alvarado Espinoza, Rocío Irene Alvarado Reyes y José Ángel Alvarado Herrera el 29 de diciembre de 2009</w:t>
      </w:r>
      <w:bookmarkEnd w:id="121"/>
      <w:bookmarkEnd w:id="122"/>
      <w:bookmarkEnd w:id="123"/>
      <w:bookmarkEnd w:id="124"/>
      <w:bookmarkEnd w:id="125"/>
      <w:r w:rsidRPr="00432ABC">
        <w:rPr>
          <w:lang w:val="es-CR"/>
        </w:rPr>
        <w:t xml:space="preserve"> </w:t>
      </w:r>
    </w:p>
    <w:p w14:paraId="450C3B6A" w14:textId="00C3C880" w:rsidR="00CD559C" w:rsidRPr="00432ABC" w:rsidRDefault="00E34BFF">
      <w:pPr>
        <w:pStyle w:val="ListParagraph"/>
        <w:widowControl w:val="0"/>
        <w:numPr>
          <w:ilvl w:val="0"/>
          <w:numId w:val="44"/>
        </w:numPr>
        <w:tabs>
          <w:tab w:val="left" w:pos="567"/>
        </w:tabs>
        <w:autoSpaceDE w:val="0"/>
        <w:autoSpaceDN w:val="0"/>
        <w:adjustRightInd w:val="0"/>
        <w:spacing w:before="120" w:after="120" w:line="240" w:lineRule="auto"/>
        <w:ind w:left="1560" w:hanging="426"/>
        <w:contextualSpacing w:val="0"/>
        <w:jc w:val="both"/>
        <w:textAlignment w:val="baseline"/>
        <w:outlineLvl w:val="2"/>
        <w:rPr>
          <w:rFonts w:ascii="Verdana" w:hAnsi="Verdana"/>
          <w:i/>
          <w:sz w:val="20"/>
          <w:szCs w:val="20"/>
        </w:rPr>
      </w:pPr>
      <w:bookmarkStart w:id="126" w:name="_Toc526783764"/>
      <w:r>
        <w:rPr>
          <w:rFonts w:ascii="Verdana" w:hAnsi="Verdana"/>
          <w:i/>
          <w:sz w:val="20"/>
          <w:szCs w:val="20"/>
          <w:lang w:val="es-CR"/>
        </w:rPr>
        <w:t xml:space="preserve"> </w:t>
      </w:r>
      <w:bookmarkStart w:id="127" w:name="_Toc532995335"/>
      <w:r w:rsidR="00B6434F" w:rsidRPr="00432ABC">
        <w:rPr>
          <w:rFonts w:ascii="Verdana" w:hAnsi="Verdana"/>
          <w:i/>
          <w:sz w:val="20"/>
          <w:szCs w:val="20"/>
          <w:lang w:val="es-CR"/>
        </w:rPr>
        <w:t>L</w:t>
      </w:r>
      <w:r w:rsidR="002E1C85" w:rsidRPr="00432ABC">
        <w:rPr>
          <w:rFonts w:ascii="Verdana" w:hAnsi="Verdana"/>
          <w:i/>
          <w:sz w:val="20"/>
          <w:szCs w:val="20"/>
        </w:rPr>
        <w:t>a detención de Nitza Paola Alvarado Espinoza y José Ángel Alvarado Herrera</w:t>
      </w:r>
      <w:bookmarkEnd w:id="126"/>
      <w:bookmarkEnd w:id="127"/>
    </w:p>
    <w:p w14:paraId="64AA5E4A" w14:textId="03097252" w:rsidR="002E1C85" w:rsidRPr="00744CE4" w:rsidRDefault="002E1C85" w:rsidP="00DB378B">
      <w:pPr>
        <w:widowControl w:val="0"/>
        <w:numPr>
          <w:ilvl w:val="0"/>
          <w:numId w:val="4"/>
        </w:numPr>
        <w:tabs>
          <w:tab w:val="left" w:pos="567"/>
          <w:tab w:val="num" w:pos="12305"/>
        </w:tabs>
        <w:adjustRightInd w:val="0"/>
        <w:spacing w:before="120" w:after="120" w:line="240" w:lineRule="auto"/>
        <w:ind w:left="0" w:firstLine="0"/>
        <w:jc w:val="both"/>
        <w:textAlignment w:val="baseline"/>
        <w:rPr>
          <w:rFonts w:ascii="Verdana" w:hAnsi="Verdana"/>
          <w:sz w:val="20"/>
          <w:szCs w:val="20"/>
        </w:rPr>
      </w:pPr>
      <w:r w:rsidRPr="002C462C">
        <w:rPr>
          <w:rFonts w:ascii="Verdana" w:hAnsi="Verdana"/>
          <w:sz w:val="20"/>
          <w:szCs w:val="20"/>
        </w:rPr>
        <w:t>El 29 de diciembre de 2009, entre las 8:00 y 9:00 de la noche</w:t>
      </w:r>
      <w:r w:rsidRPr="002C462C">
        <w:rPr>
          <w:rFonts w:ascii="Verdana" w:hAnsi="Verdana" w:cs="Arial"/>
          <w:sz w:val="20"/>
          <w:szCs w:val="20"/>
        </w:rPr>
        <w:t xml:space="preserve">, </w:t>
      </w:r>
      <w:r w:rsidRPr="00744CE4">
        <w:rPr>
          <w:rFonts w:ascii="Verdana" w:hAnsi="Verdana"/>
          <w:sz w:val="20"/>
          <w:szCs w:val="20"/>
        </w:rPr>
        <w:t>José Ángel Alvarado Herrera y Nitza Paola Alvarado Espinoza se encontraban a bordo de una camioneta azul marino, doble cabina, estacionada en las afueras de la casa de la madre de Obdulia Espinoza Beltrán, esposa de José Ángel, en el Ejido Benito Juárez. En ese momento, arribaron al lugar dos camionetas particulares</w:t>
      </w:r>
      <w:r w:rsidRPr="00744CE4">
        <w:rPr>
          <w:rStyle w:val="FootnoteReference"/>
          <w:rFonts w:ascii="Verdana" w:hAnsi="Verdana"/>
          <w:sz w:val="20"/>
          <w:szCs w:val="20"/>
        </w:rPr>
        <w:footnoteReference w:id="128"/>
      </w:r>
      <w:r w:rsidRPr="00744CE4">
        <w:rPr>
          <w:rFonts w:ascii="Verdana" w:hAnsi="Verdana"/>
          <w:sz w:val="20"/>
          <w:szCs w:val="20"/>
        </w:rPr>
        <w:t>, una de ellas marca Chevrolet, doble cabina, color gris, diésel</w:t>
      </w:r>
      <w:r w:rsidRPr="00744CE4">
        <w:rPr>
          <w:rFonts w:ascii="Verdana" w:hAnsi="Verdana"/>
          <w:sz w:val="20"/>
          <w:szCs w:val="20"/>
          <w:vertAlign w:val="superscript"/>
        </w:rPr>
        <w:footnoteReference w:id="129"/>
      </w:r>
      <w:r w:rsidRPr="00744CE4">
        <w:rPr>
          <w:rFonts w:ascii="Verdana" w:hAnsi="Verdana"/>
          <w:sz w:val="20"/>
          <w:szCs w:val="20"/>
        </w:rPr>
        <w:t>, y la otra marca Hummer, color blanco</w:t>
      </w:r>
      <w:r w:rsidRPr="00744CE4">
        <w:rPr>
          <w:rFonts w:ascii="Verdana" w:hAnsi="Verdana"/>
          <w:sz w:val="20"/>
          <w:szCs w:val="20"/>
          <w:vertAlign w:val="superscript"/>
        </w:rPr>
        <w:footnoteReference w:id="130"/>
      </w:r>
      <w:r w:rsidRPr="00744CE4">
        <w:rPr>
          <w:rFonts w:ascii="Verdana" w:hAnsi="Verdana"/>
          <w:sz w:val="20"/>
          <w:szCs w:val="20"/>
        </w:rPr>
        <w:t>, “caqui o cafe[c]ita”</w:t>
      </w:r>
      <w:r w:rsidRPr="00744CE4">
        <w:rPr>
          <w:rFonts w:ascii="Verdana" w:hAnsi="Verdana"/>
          <w:sz w:val="20"/>
          <w:szCs w:val="20"/>
          <w:vertAlign w:val="superscript"/>
        </w:rPr>
        <w:footnoteReference w:id="131"/>
      </w:r>
      <w:r w:rsidRPr="00744CE4">
        <w:rPr>
          <w:rFonts w:ascii="Verdana" w:hAnsi="Verdana"/>
          <w:sz w:val="20"/>
          <w:szCs w:val="20"/>
        </w:rPr>
        <w:t xml:space="preserve"> [sic], de las cuales descendieron entre ocho y diez personas portando armas largas, cascos y gorras, sin pasamontañas</w:t>
      </w:r>
      <w:r w:rsidRPr="00744CE4">
        <w:rPr>
          <w:rFonts w:ascii="Verdana" w:hAnsi="Verdana"/>
          <w:sz w:val="20"/>
          <w:szCs w:val="20"/>
          <w:vertAlign w:val="superscript"/>
        </w:rPr>
        <w:footnoteReference w:id="132"/>
      </w:r>
      <w:r w:rsidRPr="00744CE4">
        <w:rPr>
          <w:rFonts w:ascii="Verdana" w:hAnsi="Verdana"/>
          <w:sz w:val="20"/>
          <w:szCs w:val="20"/>
        </w:rPr>
        <w:t>, así como uniformes de tipo militar, algunos de color arena camuflado</w:t>
      </w:r>
      <w:r w:rsidRPr="00744CE4">
        <w:rPr>
          <w:rFonts w:ascii="Verdana" w:hAnsi="Verdana"/>
          <w:sz w:val="20"/>
          <w:szCs w:val="20"/>
          <w:vertAlign w:val="superscript"/>
        </w:rPr>
        <w:footnoteReference w:id="133"/>
      </w:r>
      <w:r w:rsidRPr="00744CE4">
        <w:rPr>
          <w:rFonts w:ascii="Verdana" w:hAnsi="Verdana"/>
          <w:sz w:val="20"/>
          <w:szCs w:val="20"/>
        </w:rPr>
        <w:t>, “caqui como “cafe[c]ito”</w:t>
      </w:r>
      <w:r w:rsidRPr="00744CE4">
        <w:rPr>
          <w:rStyle w:val="FootnoteReference"/>
          <w:rFonts w:ascii="Verdana" w:hAnsi="Verdana"/>
          <w:sz w:val="20"/>
          <w:szCs w:val="20"/>
        </w:rPr>
        <w:footnoteReference w:id="134"/>
      </w:r>
      <w:r w:rsidRPr="00744CE4">
        <w:rPr>
          <w:rFonts w:ascii="Verdana" w:hAnsi="Verdana"/>
          <w:sz w:val="20"/>
          <w:szCs w:val="20"/>
        </w:rPr>
        <w:t xml:space="preserve"> “de tipo desierto” y botas del mismo color</w:t>
      </w:r>
      <w:r w:rsidRPr="00744CE4">
        <w:rPr>
          <w:rStyle w:val="FootnoteReference"/>
          <w:rFonts w:ascii="Verdana" w:hAnsi="Verdana"/>
          <w:sz w:val="20"/>
          <w:szCs w:val="20"/>
        </w:rPr>
        <w:footnoteReference w:id="135"/>
      </w:r>
      <w:r w:rsidRPr="00744CE4">
        <w:rPr>
          <w:rFonts w:ascii="Verdana" w:hAnsi="Verdana"/>
          <w:sz w:val="20"/>
          <w:szCs w:val="20"/>
        </w:rPr>
        <w:t>, y otros de color verde</w:t>
      </w:r>
      <w:r w:rsidRPr="00744CE4">
        <w:rPr>
          <w:rStyle w:val="FootnoteReference"/>
          <w:rFonts w:ascii="Verdana" w:hAnsi="Verdana"/>
          <w:sz w:val="20"/>
          <w:szCs w:val="20"/>
        </w:rPr>
        <w:footnoteReference w:id="136"/>
      </w:r>
      <w:r w:rsidRPr="00744CE4">
        <w:rPr>
          <w:rFonts w:ascii="Verdana" w:hAnsi="Verdana"/>
          <w:sz w:val="20"/>
          <w:szCs w:val="20"/>
        </w:rPr>
        <w:t xml:space="preserve"> y quienes los portaban tenían un acento de voz distinto al de los habitantes de la zona</w:t>
      </w:r>
      <w:r w:rsidRPr="00744CE4">
        <w:rPr>
          <w:rStyle w:val="FootnoteReference"/>
          <w:rFonts w:ascii="Verdana" w:hAnsi="Verdana"/>
          <w:sz w:val="20"/>
          <w:szCs w:val="20"/>
        </w:rPr>
        <w:footnoteReference w:id="137"/>
      </w:r>
      <w:r w:rsidRPr="00744CE4">
        <w:rPr>
          <w:rFonts w:ascii="Verdana" w:hAnsi="Verdana"/>
          <w:sz w:val="20"/>
          <w:szCs w:val="20"/>
        </w:rPr>
        <w:t xml:space="preserve">. </w:t>
      </w:r>
    </w:p>
    <w:p w14:paraId="64AA5E4C" w14:textId="2696E306" w:rsidR="002E1C85" w:rsidRPr="00744CE4" w:rsidRDefault="002E1C85" w:rsidP="00DB378B">
      <w:pPr>
        <w:widowControl w:val="0"/>
        <w:numPr>
          <w:ilvl w:val="0"/>
          <w:numId w:val="4"/>
        </w:numPr>
        <w:tabs>
          <w:tab w:val="left" w:pos="567"/>
          <w:tab w:val="num" w:pos="12305"/>
        </w:tabs>
        <w:adjustRightInd w:val="0"/>
        <w:spacing w:before="120" w:after="120" w:line="240" w:lineRule="auto"/>
        <w:ind w:left="0" w:firstLine="0"/>
        <w:jc w:val="both"/>
        <w:textAlignment w:val="baseline"/>
        <w:rPr>
          <w:rFonts w:ascii="Verdana" w:hAnsi="Verdana"/>
          <w:sz w:val="20"/>
          <w:szCs w:val="20"/>
        </w:rPr>
      </w:pPr>
      <w:r w:rsidRPr="00432ABC">
        <w:rPr>
          <w:rFonts w:ascii="Verdana" w:hAnsi="Verdana"/>
          <w:sz w:val="20"/>
          <w:szCs w:val="20"/>
        </w:rPr>
        <w:t>Dichos sujetos se dirigieron en su mayoría hacia el lado del conductor, en donde se encontraba Nitza Paola, mientras otro de ellos se dirigió hacia José Ángel, quien había descendido de la camioneta y se encontraba de pie junto a la cabina. Los elementos procedieron a revisar el vehículo y luego de un intercambio de palabras tomaron a Nitza Paola de los cabellos para obligarla a bajar del mismo y cuando José Ángel intentó defenderla, el sujeto que se encontraba a su lado lo golpeó en la cara con el arma que portaba, tras lo cual subieron a ambos familiares a la parte po</w:t>
      </w:r>
      <w:r w:rsidRPr="002C462C">
        <w:rPr>
          <w:rFonts w:ascii="Verdana" w:hAnsi="Verdana"/>
          <w:sz w:val="20"/>
          <w:szCs w:val="20"/>
        </w:rPr>
        <w:t>sterior de la camioneta doble cabina en que los captores arribaron al lugar de los hechos, retirándose con rumbo desconocido</w:t>
      </w:r>
      <w:r w:rsidRPr="00744CE4">
        <w:rPr>
          <w:rFonts w:ascii="Verdana" w:hAnsi="Verdana"/>
          <w:sz w:val="20"/>
          <w:szCs w:val="20"/>
          <w:vertAlign w:val="superscript"/>
        </w:rPr>
        <w:footnoteReference w:id="138"/>
      </w:r>
      <w:r w:rsidRPr="00744CE4">
        <w:rPr>
          <w:rFonts w:ascii="Verdana" w:hAnsi="Verdana"/>
          <w:sz w:val="20"/>
          <w:szCs w:val="20"/>
        </w:rPr>
        <w:t>.</w:t>
      </w:r>
    </w:p>
    <w:p w14:paraId="64AA5E4E" w14:textId="439E2F88" w:rsidR="00F50ACE" w:rsidRPr="00744CE4" w:rsidRDefault="002E1C85" w:rsidP="00DB378B">
      <w:pPr>
        <w:widowControl w:val="0"/>
        <w:numPr>
          <w:ilvl w:val="0"/>
          <w:numId w:val="4"/>
        </w:numPr>
        <w:tabs>
          <w:tab w:val="left" w:pos="567"/>
          <w:tab w:val="num" w:pos="12305"/>
        </w:tabs>
        <w:adjustRightInd w:val="0"/>
        <w:spacing w:before="120" w:after="120" w:line="240" w:lineRule="auto"/>
        <w:ind w:left="0" w:firstLine="0"/>
        <w:jc w:val="both"/>
        <w:textAlignment w:val="baseline"/>
        <w:rPr>
          <w:rFonts w:ascii="Verdana" w:hAnsi="Verdana"/>
          <w:sz w:val="20"/>
          <w:szCs w:val="20"/>
        </w:rPr>
      </w:pPr>
      <w:r w:rsidRPr="00432ABC">
        <w:rPr>
          <w:rFonts w:ascii="Verdana" w:hAnsi="Verdana"/>
          <w:sz w:val="20"/>
          <w:szCs w:val="20"/>
        </w:rPr>
        <w:lastRenderedPageBreak/>
        <w:t>El 29 de diciembre de 2009, una vez que Obdulia Beltrán, testigo presencial de los hechos, se trasladó a los domicilios de los padres de su esposo José Ángel y de los padres de Nitza Paola para dar cuenta de los hechos a sus familiares, María de Jesús Alvarado Espinoza (hermana de Nitza Paola), su esposo Rigoberto Ambriz y M.P.A.E. (hija de Nitza Paola), arribaron al lugar de los hechos</w:t>
      </w:r>
      <w:r w:rsidRPr="00744CE4">
        <w:rPr>
          <w:rStyle w:val="FootnoteReference"/>
          <w:rFonts w:ascii="Verdana" w:hAnsi="Verdana"/>
          <w:sz w:val="20"/>
          <w:szCs w:val="20"/>
        </w:rPr>
        <w:footnoteReference w:id="139"/>
      </w:r>
      <w:r w:rsidRPr="00744CE4">
        <w:rPr>
          <w:rFonts w:ascii="Verdana" w:hAnsi="Verdana"/>
          <w:sz w:val="20"/>
          <w:szCs w:val="20"/>
        </w:rPr>
        <w:t xml:space="preserve"> y observaron que la camioneta de la cual habían sido sustraídos se encontraba con las puertas abiertas, sin llaves, con el estéreo “arrancado” y que en el piso había sangre, junto a la llanta</w:t>
      </w:r>
      <w:r w:rsidRPr="00744CE4">
        <w:rPr>
          <w:rStyle w:val="FootnoteReference"/>
          <w:rFonts w:ascii="Verdana" w:hAnsi="Verdana"/>
          <w:sz w:val="20"/>
          <w:szCs w:val="20"/>
        </w:rPr>
        <w:footnoteReference w:id="140"/>
      </w:r>
      <w:r w:rsidRPr="00744CE4">
        <w:rPr>
          <w:rFonts w:ascii="Verdana" w:hAnsi="Verdana"/>
          <w:sz w:val="20"/>
          <w:szCs w:val="20"/>
        </w:rPr>
        <w:t>. Posteriormente, dichos familiares regresaron a la casa de los padres de Nitza Paola y comenzaron su búsqueda por las brechas y calles del Ejido en compañía de un amigo, sin tener éxito</w:t>
      </w:r>
      <w:r w:rsidRPr="00744CE4">
        <w:rPr>
          <w:rStyle w:val="FootnoteReference"/>
          <w:rFonts w:ascii="Verdana" w:hAnsi="Verdana"/>
          <w:sz w:val="20"/>
          <w:szCs w:val="20"/>
        </w:rPr>
        <w:footnoteReference w:id="141"/>
      </w:r>
      <w:r w:rsidRPr="00744CE4">
        <w:rPr>
          <w:rFonts w:ascii="Verdana" w:hAnsi="Verdana"/>
          <w:sz w:val="20"/>
          <w:szCs w:val="20"/>
        </w:rPr>
        <w:t xml:space="preserve">. </w:t>
      </w:r>
    </w:p>
    <w:p w14:paraId="69DF396A" w14:textId="05C66399" w:rsidR="00BC673B" w:rsidRPr="00432ABC" w:rsidRDefault="00E34BFF">
      <w:pPr>
        <w:pStyle w:val="ListParagraph"/>
        <w:widowControl w:val="0"/>
        <w:numPr>
          <w:ilvl w:val="0"/>
          <w:numId w:val="44"/>
        </w:numPr>
        <w:tabs>
          <w:tab w:val="left" w:pos="567"/>
        </w:tabs>
        <w:autoSpaceDE w:val="0"/>
        <w:autoSpaceDN w:val="0"/>
        <w:adjustRightInd w:val="0"/>
        <w:spacing w:before="120" w:after="120" w:line="240" w:lineRule="auto"/>
        <w:ind w:left="1560" w:hanging="426"/>
        <w:contextualSpacing w:val="0"/>
        <w:jc w:val="both"/>
        <w:textAlignment w:val="baseline"/>
        <w:outlineLvl w:val="2"/>
        <w:rPr>
          <w:rFonts w:ascii="Verdana" w:hAnsi="Verdana"/>
          <w:i/>
          <w:sz w:val="20"/>
          <w:szCs w:val="20"/>
        </w:rPr>
      </w:pPr>
      <w:bookmarkStart w:id="128" w:name="_Toc526783765"/>
      <w:r>
        <w:rPr>
          <w:rFonts w:ascii="Verdana" w:hAnsi="Verdana"/>
          <w:i/>
          <w:sz w:val="20"/>
          <w:szCs w:val="20"/>
        </w:rPr>
        <w:t xml:space="preserve"> </w:t>
      </w:r>
      <w:bookmarkStart w:id="129" w:name="_Toc532995336"/>
      <w:r w:rsidR="00B6434F" w:rsidRPr="00432ABC">
        <w:rPr>
          <w:rFonts w:ascii="Verdana" w:hAnsi="Verdana"/>
          <w:i/>
          <w:sz w:val="20"/>
          <w:szCs w:val="20"/>
        </w:rPr>
        <w:t>L</w:t>
      </w:r>
      <w:r w:rsidR="002E1C85" w:rsidRPr="00432ABC">
        <w:rPr>
          <w:rFonts w:ascii="Verdana" w:hAnsi="Verdana"/>
          <w:i/>
          <w:sz w:val="20"/>
          <w:szCs w:val="20"/>
        </w:rPr>
        <w:t>a detención de Rocío Irene Alvarado Reyes</w:t>
      </w:r>
      <w:bookmarkEnd w:id="128"/>
      <w:bookmarkEnd w:id="129"/>
    </w:p>
    <w:p w14:paraId="64AA5E53" w14:textId="13BA32CC" w:rsidR="002E1C85" w:rsidRPr="00744CE4" w:rsidRDefault="002E1C85" w:rsidP="00DB378B">
      <w:pPr>
        <w:widowControl w:val="0"/>
        <w:numPr>
          <w:ilvl w:val="0"/>
          <w:numId w:val="4"/>
        </w:numPr>
        <w:tabs>
          <w:tab w:val="left" w:pos="567"/>
          <w:tab w:val="num" w:pos="12305"/>
        </w:tabs>
        <w:adjustRightInd w:val="0"/>
        <w:spacing w:before="120" w:after="120" w:line="240" w:lineRule="auto"/>
        <w:ind w:left="0" w:firstLine="0"/>
        <w:jc w:val="both"/>
        <w:textAlignment w:val="baseline"/>
        <w:rPr>
          <w:rFonts w:ascii="Verdana" w:hAnsi="Verdana"/>
          <w:sz w:val="20"/>
          <w:szCs w:val="20"/>
        </w:rPr>
      </w:pPr>
      <w:r w:rsidRPr="002C462C">
        <w:rPr>
          <w:rFonts w:ascii="Verdana" w:hAnsi="Verdana"/>
          <w:sz w:val="20"/>
          <w:szCs w:val="20"/>
        </w:rPr>
        <w:t>El 29 de diciembre de 2009, alrededor de una hora después de la detención de Nitza Paola y José Ángel Alvarado, siendo aproximadamente las 9:00</w:t>
      </w:r>
      <w:r w:rsidRPr="00744CE4">
        <w:rPr>
          <w:rFonts w:ascii="Verdana" w:hAnsi="Verdana"/>
          <w:sz w:val="20"/>
          <w:szCs w:val="20"/>
          <w:vertAlign w:val="superscript"/>
        </w:rPr>
        <w:footnoteReference w:id="142"/>
      </w:r>
      <w:r w:rsidRPr="00744CE4">
        <w:rPr>
          <w:rFonts w:ascii="Verdana" w:hAnsi="Verdana"/>
          <w:sz w:val="20"/>
          <w:szCs w:val="20"/>
        </w:rPr>
        <w:t xml:space="preserve"> o 10:00 de la noche</w:t>
      </w:r>
      <w:r w:rsidRPr="00744CE4">
        <w:rPr>
          <w:rFonts w:ascii="Verdana" w:hAnsi="Verdana"/>
          <w:sz w:val="20"/>
          <w:szCs w:val="20"/>
          <w:vertAlign w:val="superscript"/>
        </w:rPr>
        <w:footnoteReference w:id="143"/>
      </w:r>
      <w:r w:rsidRPr="00744CE4">
        <w:rPr>
          <w:rFonts w:ascii="Verdana" w:hAnsi="Verdana"/>
          <w:sz w:val="20"/>
          <w:szCs w:val="20"/>
        </w:rPr>
        <w:t>, Rocío Irene Alvarado Reyes se encontraba descansando en compañía de sus dos hermanos A.A.R. y A.R.A.R., entonces de 13 y 11 años de edad, respectivamente; de su hija A.M.U.A, de 2 años de edad, y de su madre Patricia Reyes Rueda en su domicilio en el Ejido Benito Juárez. En ese momento, la señora Reyes Rueda escuchó que unas personas arribaron a su domicilio, por lo que procedió a asomarse por la puerta de la cocina en com</w:t>
      </w:r>
      <w:r w:rsidRPr="00432ABC">
        <w:rPr>
          <w:rFonts w:ascii="Verdana" w:hAnsi="Verdana"/>
          <w:sz w:val="20"/>
          <w:szCs w:val="20"/>
        </w:rPr>
        <w:t>pañía de su hija Rocío Irene</w:t>
      </w:r>
      <w:r w:rsidRPr="00744CE4">
        <w:rPr>
          <w:rFonts w:ascii="Verdana" w:hAnsi="Verdana"/>
          <w:sz w:val="20"/>
          <w:szCs w:val="20"/>
          <w:vertAlign w:val="superscript"/>
        </w:rPr>
        <w:footnoteReference w:id="144"/>
      </w:r>
      <w:r w:rsidRPr="00744CE4">
        <w:rPr>
          <w:rFonts w:ascii="Verdana" w:hAnsi="Verdana"/>
          <w:sz w:val="20"/>
          <w:szCs w:val="20"/>
        </w:rPr>
        <w:t xml:space="preserve"> y observó que se trataba de individuos que vestían uniformes con características militares quienes golpearon la puerta de la entrada de la vivienda, y gritaron que ésta les fuera abierta o de lo contrario “la iban a tirar”</w:t>
      </w:r>
      <w:r w:rsidRPr="00744CE4">
        <w:rPr>
          <w:rFonts w:ascii="Verdana" w:hAnsi="Verdana"/>
          <w:sz w:val="20"/>
          <w:szCs w:val="20"/>
          <w:vertAlign w:val="superscript"/>
        </w:rPr>
        <w:footnoteReference w:id="145"/>
      </w:r>
      <w:r w:rsidRPr="00744CE4">
        <w:rPr>
          <w:rFonts w:ascii="Verdana" w:hAnsi="Verdana"/>
          <w:sz w:val="20"/>
          <w:szCs w:val="20"/>
        </w:rPr>
        <w:t>.</w:t>
      </w:r>
    </w:p>
    <w:p w14:paraId="64AA5E55" w14:textId="44E7B3B5" w:rsidR="002E1C85" w:rsidRPr="00744CE4" w:rsidRDefault="002E1C85" w:rsidP="00DB378B">
      <w:pPr>
        <w:widowControl w:val="0"/>
        <w:numPr>
          <w:ilvl w:val="0"/>
          <w:numId w:val="4"/>
        </w:numPr>
        <w:tabs>
          <w:tab w:val="left" w:pos="567"/>
          <w:tab w:val="num" w:pos="12305"/>
        </w:tabs>
        <w:adjustRightInd w:val="0"/>
        <w:spacing w:before="120" w:after="120" w:line="240" w:lineRule="auto"/>
        <w:ind w:left="0" w:firstLine="0"/>
        <w:jc w:val="both"/>
        <w:textAlignment w:val="baseline"/>
        <w:rPr>
          <w:rFonts w:ascii="Verdana" w:hAnsi="Verdana"/>
          <w:sz w:val="20"/>
          <w:szCs w:val="20"/>
        </w:rPr>
      </w:pPr>
      <w:r w:rsidRPr="00432ABC">
        <w:rPr>
          <w:rFonts w:ascii="Verdana" w:hAnsi="Verdana"/>
          <w:sz w:val="20"/>
          <w:szCs w:val="20"/>
        </w:rPr>
        <w:t>Ante dicha exigencia, Rocío Irene y su madre abrieron la puerta de la vivienda y acto seguido uno de ellos empujó a la señora Reyes Rueda, ingresando entre 8 y 9 personas encapuchadas cuyo acento de voz era “chilang[o]”, distinto del de los lugareños</w:t>
      </w:r>
      <w:r w:rsidRPr="00744CE4">
        <w:rPr>
          <w:rFonts w:ascii="Verdana" w:hAnsi="Verdana"/>
          <w:sz w:val="20"/>
          <w:szCs w:val="20"/>
          <w:vertAlign w:val="superscript"/>
        </w:rPr>
        <w:footnoteReference w:id="146"/>
      </w:r>
      <w:r w:rsidRPr="00744CE4">
        <w:rPr>
          <w:rFonts w:ascii="Verdana" w:hAnsi="Verdana"/>
          <w:sz w:val="20"/>
          <w:szCs w:val="20"/>
        </w:rPr>
        <w:t>, portando vestimenta militar, algunos de ellos de color beige</w:t>
      </w:r>
      <w:r w:rsidRPr="00744CE4">
        <w:rPr>
          <w:rFonts w:ascii="Verdana" w:hAnsi="Verdana"/>
          <w:sz w:val="20"/>
          <w:szCs w:val="20"/>
          <w:vertAlign w:val="superscript"/>
        </w:rPr>
        <w:footnoteReference w:id="147"/>
      </w:r>
      <w:r w:rsidRPr="00744CE4">
        <w:rPr>
          <w:rFonts w:ascii="Verdana" w:hAnsi="Verdana"/>
          <w:sz w:val="20"/>
          <w:szCs w:val="20"/>
        </w:rPr>
        <w:t xml:space="preserve"> o arena del desierto</w:t>
      </w:r>
      <w:r w:rsidRPr="00744CE4">
        <w:rPr>
          <w:rFonts w:ascii="Verdana" w:hAnsi="Verdana"/>
          <w:sz w:val="20"/>
          <w:szCs w:val="20"/>
          <w:vertAlign w:val="superscript"/>
        </w:rPr>
        <w:footnoteReference w:id="148"/>
      </w:r>
      <w:r w:rsidRPr="00744CE4">
        <w:rPr>
          <w:rFonts w:ascii="Verdana" w:hAnsi="Verdana"/>
          <w:sz w:val="20"/>
          <w:szCs w:val="20"/>
        </w:rPr>
        <w:t xml:space="preserve"> y otros con </w:t>
      </w:r>
      <w:r w:rsidRPr="00744CE4">
        <w:rPr>
          <w:rFonts w:ascii="Verdana" w:hAnsi="Verdana"/>
          <w:sz w:val="20"/>
          <w:szCs w:val="20"/>
        </w:rPr>
        <w:lastRenderedPageBreak/>
        <w:t>uniformes de color verde y “uniforme verde más oscuro”</w:t>
      </w:r>
      <w:r w:rsidRPr="00744CE4">
        <w:rPr>
          <w:rFonts w:ascii="Verdana" w:hAnsi="Verdana"/>
          <w:sz w:val="20"/>
          <w:szCs w:val="20"/>
          <w:vertAlign w:val="superscript"/>
        </w:rPr>
        <w:footnoteReference w:id="149"/>
      </w:r>
      <w:r w:rsidRPr="00744CE4">
        <w:rPr>
          <w:rFonts w:ascii="Verdana" w:hAnsi="Verdana"/>
          <w:sz w:val="20"/>
          <w:szCs w:val="20"/>
        </w:rPr>
        <w:t>, cascos y armas largas con lámpara</w:t>
      </w:r>
      <w:r w:rsidRPr="00744CE4">
        <w:rPr>
          <w:rFonts w:ascii="Verdana" w:hAnsi="Verdana"/>
          <w:sz w:val="20"/>
          <w:szCs w:val="20"/>
          <w:vertAlign w:val="superscript"/>
        </w:rPr>
        <w:footnoteReference w:id="150"/>
      </w:r>
      <w:r w:rsidRPr="00744CE4">
        <w:rPr>
          <w:rFonts w:ascii="Verdana" w:hAnsi="Verdana"/>
          <w:sz w:val="20"/>
          <w:szCs w:val="20"/>
        </w:rPr>
        <w:t xml:space="preserve"> que tenían inscripta numeración seriada</w:t>
      </w:r>
      <w:r w:rsidRPr="00744CE4">
        <w:rPr>
          <w:rFonts w:ascii="Verdana" w:hAnsi="Verdana"/>
          <w:sz w:val="20"/>
          <w:szCs w:val="20"/>
          <w:vertAlign w:val="superscript"/>
        </w:rPr>
        <w:footnoteReference w:id="151"/>
      </w:r>
      <w:r w:rsidRPr="00744CE4">
        <w:rPr>
          <w:rFonts w:ascii="Verdana" w:hAnsi="Verdana"/>
          <w:sz w:val="20"/>
          <w:szCs w:val="20"/>
        </w:rPr>
        <w:t>, mismos que tras detener a su familiar se retiraron en una camioneta Pick up, diésel, de cabina y media</w:t>
      </w:r>
      <w:r w:rsidRPr="00744CE4">
        <w:rPr>
          <w:rStyle w:val="FootnoteReference"/>
          <w:rFonts w:ascii="Verdana" w:hAnsi="Verdana"/>
          <w:sz w:val="20"/>
          <w:szCs w:val="20"/>
        </w:rPr>
        <w:footnoteReference w:id="152"/>
      </w:r>
      <w:r w:rsidRPr="00744CE4">
        <w:rPr>
          <w:rFonts w:ascii="Verdana" w:hAnsi="Verdana"/>
          <w:sz w:val="20"/>
          <w:szCs w:val="20"/>
        </w:rPr>
        <w:t xml:space="preserve"> o doble cabina, color arena</w:t>
      </w:r>
      <w:r w:rsidRPr="00744CE4">
        <w:rPr>
          <w:rStyle w:val="FootnoteReference"/>
          <w:rFonts w:ascii="Verdana" w:hAnsi="Verdana"/>
          <w:sz w:val="20"/>
          <w:szCs w:val="20"/>
        </w:rPr>
        <w:footnoteReference w:id="153"/>
      </w:r>
      <w:r w:rsidRPr="00744CE4">
        <w:rPr>
          <w:rFonts w:ascii="Verdana" w:hAnsi="Verdana"/>
          <w:sz w:val="20"/>
          <w:szCs w:val="20"/>
        </w:rPr>
        <w:t>, gris o negra y sin focos</w:t>
      </w:r>
      <w:r w:rsidRPr="00744CE4">
        <w:rPr>
          <w:rStyle w:val="FootnoteReference"/>
          <w:rFonts w:ascii="Verdana" w:hAnsi="Verdana"/>
          <w:sz w:val="20"/>
          <w:szCs w:val="20"/>
        </w:rPr>
        <w:footnoteReference w:id="154"/>
      </w:r>
      <w:r w:rsidRPr="00744CE4">
        <w:rPr>
          <w:rFonts w:ascii="Verdana" w:hAnsi="Verdana"/>
          <w:sz w:val="20"/>
          <w:szCs w:val="20"/>
        </w:rPr>
        <w:t>.</w:t>
      </w:r>
    </w:p>
    <w:p w14:paraId="64AA5E57" w14:textId="62307005" w:rsidR="002E1C85" w:rsidRPr="00744CE4" w:rsidRDefault="002E1C85" w:rsidP="00DB378B">
      <w:pPr>
        <w:widowControl w:val="0"/>
        <w:numPr>
          <w:ilvl w:val="0"/>
          <w:numId w:val="4"/>
        </w:numPr>
        <w:tabs>
          <w:tab w:val="left" w:pos="567"/>
          <w:tab w:val="num" w:pos="12305"/>
        </w:tabs>
        <w:adjustRightInd w:val="0"/>
        <w:spacing w:before="120" w:after="120" w:line="240" w:lineRule="auto"/>
        <w:ind w:left="0" w:firstLine="0"/>
        <w:jc w:val="both"/>
        <w:textAlignment w:val="baseline"/>
        <w:rPr>
          <w:rFonts w:ascii="Verdana" w:hAnsi="Verdana"/>
          <w:sz w:val="20"/>
          <w:szCs w:val="20"/>
        </w:rPr>
      </w:pPr>
      <w:r w:rsidRPr="00432ABC">
        <w:rPr>
          <w:rFonts w:ascii="Verdana" w:hAnsi="Verdana"/>
          <w:sz w:val="20"/>
          <w:szCs w:val="20"/>
        </w:rPr>
        <w:t>Una vez que Patricia Reyes Rueda les abrió la puerta, dichos elementos entraron al domicilio, se ubicaron en la cocina y las habitaciones</w:t>
      </w:r>
      <w:r w:rsidRPr="00744CE4">
        <w:rPr>
          <w:rFonts w:ascii="Verdana" w:hAnsi="Verdana"/>
          <w:sz w:val="20"/>
          <w:szCs w:val="20"/>
          <w:vertAlign w:val="superscript"/>
        </w:rPr>
        <w:footnoteReference w:id="155"/>
      </w:r>
      <w:r w:rsidRPr="00744CE4">
        <w:rPr>
          <w:rFonts w:ascii="Verdana" w:hAnsi="Verdana"/>
          <w:sz w:val="20"/>
          <w:szCs w:val="20"/>
        </w:rPr>
        <w:t xml:space="preserve"> y comenzaron a revisar los muebles, causando diversos destrozos</w:t>
      </w:r>
      <w:r w:rsidRPr="00744CE4">
        <w:rPr>
          <w:rFonts w:ascii="Verdana" w:hAnsi="Verdana"/>
          <w:sz w:val="20"/>
          <w:szCs w:val="20"/>
          <w:vertAlign w:val="superscript"/>
        </w:rPr>
        <w:footnoteReference w:id="156"/>
      </w:r>
      <w:r w:rsidRPr="00744CE4">
        <w:rPr>
          <w:rFonts w:ascii="Verdana" w:hAnsi="Verdana"/>
          <w:sz w:val="20"/>
          <w:szCs w:val="20"/>
        </w:rPr>
        <w:t>. Le dijeron a Rocío Irene Alvarado que se encontraba detenida</w:t>
      </w:r>
      <w:r w:rsidRPr="00744CE4">
        <w:rPr>
          <w:rFonts w:ascii="Verdana" w:hAnsi="Verdana"/>
          <w:sz w:val="20"/>
          <w:szCs w:val="20"/>
          <w:vertAlign w:val="superscript"/>
        </w:rPr>
        <w:footnoteReference w:id="157"/>
      </w:r>
      <w:r w:rsidRPr="00744CE4">
        <w:rPr>
          <w:rFonts w:ascii="Verdana" w:hAnsi="Verdana"/>
          <w:sz w:val="20"/>
          <w:szCs w:val="20"/>
        </w:rPr>
        <w:t>, le indicaron que se pusiera tenis</w:t>
      </w:r>
      <w:r w:rsidRPr="00744CE4">
        <w:rPr>
          <w:rFonts w:ascii="Verdana" w:hAnsi="Verdana"/>
          <w:sz w:val="20"/>
          <w:szCs w:val="20"/>
          <w:vertAlign w:val="superscript"/>
        </w:rPr>
        <w:footnoteReference w:id="158"/>
      </w:r>
      <w:r w:rsidRPr="00744CE4">
        <w:rPr>
          <w:rFonts w:ascii="Verdana" w:hAnsi="Verdana"/>
          <w:sz w:val="20"/>
          <w:szCs w:val="20"/>
        </w:rPr>
        <w:t>, mientras que a Patricia Reyes y los tres menores de edad les ordenaron que se encerraran en el baño. La señora Reyes Rueda preguntó a los elementos el motivo por el cuál su hija Rocío Irene estaba siendo arrestada, a lo que contestaron ordenándole que guardara silencio</w:t>
      </w:r>
      <w:r w:rsidRPr="00744CE4">
        <w:rPr>
          <w:rStyle w:val="FootnoteReference"/>
          <w:rFonts w:ascii="Verdana" w:hAnsi="Verdana"/>
          <w:sz w:val="20"/>
          <w:szCs w:val="20"/>
        </w:rPr>
        <w:footnoteReference w:id="159"/>
      </w:r>
      <w:r w:rsidRPr="00744CE4">
        <w:rPr>
          <w:rFonts w:ascii="Verdana" w:hAnsi="Verdana"/>
          <w:sz w:val="20"/>
          <w:szCs w:val="20"/>
        </w:rPr>
        <w:t>. Antes de su partida, Rocío Irene manifestó a sus familiares “que no se preocuparan”, “que todo iba a estar bien”, y “que enseguida volvería”</w:t>
      </w:r>
      <w:r w:rsidRPr="00744CE4">
        <w:rPr>
          <w:rFonts w:ascii="Verdana" w:hAnsi="Verdana"/>
          <w:sz w:val="20"/>
          <w:szCs w:val="20"/>
          <w:vertAlign w:val="superscript"/>
        </w:rPr>
        <w:footnoteReference w:id="160"/>
      </w:r>
      <w:r w:rsidRPr="00744CE4">
        <w:rPr>
          <w:rFonts w:ascii="Verdana" w:hAnsi="Verdana"/>
          <w:sz w:val="20"/>
          <w:szCs w:val="20"/>
        </w:rPr>
        <w:t>, tras lo cual salió del domicilio a manos de sus captores. A la fecha, el paradero de Rocío Irene Alvarado ha sido desconocido.</w:t>
      </w:r>
    </w:p>
    <w:p w14:paraId="64AA5E59" w14:textId="71EF8C39" w:rsidR="002E1C85" w:rsidRPr="00432ABC" w:rsidRDefault="00F50ACE">
      <w:pPr>
        <w:pStyle w:val="ListParagraph"/>
        <w:widowControl w:val="0"/>
        <w:numPr>
          <w:ilvl w:val="0"/>
          <w:numId w:val="44"/>
        </w:numPr>
        <w:tabs>
          <w:tab w:val="left" w:pos="567"/>
        </w:tabs>
        <w:autoSpaceDE w:val="0"/>
        <w:autoSpaceDN w:val="0"/>
        <w:adjustRightInd w:val="0"/>
        <w:spacing w:before="120" w:after="120" w:line="240" w:lineRule="auto"/>
        <w:ind w:left="1560" w:hanging="426"/>
        <w:contextualSpacing w:val="0"/>
        <w:jc w:val="both"/>
        <w:textAlignment w:val="baseline"/>
        <w:outlineLvl w:val="2"/>
        <w:rPr>
          <w:rFonts w:ascii="Verdana" w:hAnsi="Verdana"/>
          <w:i/>
          <w:sz w:val="20"/>
          <w:szCs w:val="20"/>
        </w:rPr>
      </w:pPr>
      <w:r w:rsidRPr="00432ABC">
        <w:rPr>
          <w:rFonts w:ascii="Verdana" w:hAnsi="Verdana"/>
          <w:i/>
          <w:sz w:val="20"/>
          <w:szCs w:val="20"/>
        </w:rPr>
        <w:t xml:space="preserve"> </w:t>
      </w:r>
      <w:bookmarkStart w:id="130" w:name="_Toc526783766"/>
      <w:bookmarkStart w:id="131" w:name="_Toc532995337"/>
      <w:r w:rsidR="002E1C85" w:rsidRPr="00432ABC">
        <w:rPr>
          <w:rFonts w:ascii="Verdana" w:hAnsi="Verdana"/>
          <w:i/>
          <w:sz w:val="20"/>
          <w:szCs w:val="20"/>
        </w:rPr>
        <w:t>Acciones de búsqueda de las tres presuntas víctimas a partir de su detención</w:t>
      </w:r>
      <w:bookmarkEnd w:id="130"/>
      <w:bookmarkEnd w:id="131"/>
    </w:p>
    <w:p w14:paraId="64AA5E5B" w14:textId="618F8720" w:rsidR="002E1C85" w:rsidRPr="002C462C" w:rsidRDefault="002E1C85" w:rsidP="00DB378B">
      <w:pPr>
        <w:widowControl w:val="0"/>
        <w:numPr>
          <w:ilvl w:val="0"/>
          <w:numId w:val="4"/>
        </w:numPr>
        <w:tabs>
          <w:tab w:val="left" w:pos="567"/>
          <w:tab w:val="num" w:pos="12305"/>
        </w:tabs>
        <w:adjustRightInd w:val="0"/>
        <w:spacing w:before="120" w:after="120" w:line="240" w:lineRule="auto"/>
        <w:ind w:left="0" w:firstLine="0"/>
        <w:jc w:val="both"/>
        <w:textAlignment w:val="baseline"/>
        <w:rPr>
          <w:rFonts w:ascii="Verdana" w:hAnsi="Verdana"/>
          <w:sz w:val="20"/>
          <w:szCs w:val="20"/>
        </w:rPr>
      </w:pPr>
      <w:r w:rsidRPr="002C462C">
        <w:rPr>
          <w:rFonts w:ascii="Verdana" w:hAnsi="Verdana"/>
          <w:sz w:val="20"/>
          <w:szCs w:val="20"/>
        </w:rPr>
        <w:lastRenderedPageBreak/>
        <w:t>Una vez ocurridas las desapariciones de las tres víctimas, los familiares promovieron diversas denuncias y emprendieron actividades de búsqueda para ubicar su paradero.</w:t>
      </w:r>
    </w:p>
    <w:p w14:paraId="64AA5E5D" w14:textId="20DCC93D" w:rsidR="002E1C85" w:rsidRPr="00744CE4" w:rsidRDefault="002E1C85" w:rsidP="00DB378B">
      <w:pPr>
        <w:widowControl w:val="0"/>
        <w:numPr>
          <w:ilvl w:val="0"/>
          <w:numId w:val="4"/>
        </w:numPr>
        <w:tabs>
          <w:tab w:val="left" w:pos="567"/>
          <w:tab w:val="num" w:pos="12305"/>
        </w:tabs>
        <w:adjustRightInd w:val="0"/>
        <w:spacing w:before="120" w:after="120" w:line="240" w:lineRule="auto"/>
        <w:ind w:left="0" w:firstLine="0"/>
        <w:jc w:val="both"/>
        <w:textAlignment w:val="baseline"/>
        <w:rPr>
          <w:rFonts w:ascii="Verdana" w:hAnsi="Verdana"/>
          <w:sz w:val="20"/>
          <w:szCs w:val="20"/>
        </w:rPr>
      </w:pPr>
      <w:r w:rsidRPr="002C462C">
        <w:rPr>
          <w:rFonts w:ascii="Verdana" w:hAnsi="Verdana"/>
          <w:sz w:val="20"/>
          <w:szCs w:val="20"/>
        </w:rPr>
        <w:t>En particular, el 29 de diciembre de 2009 luego de la de</w:t>
      </w:r>
      <w:r w:rsidRPr="00744CE4">
        <w:rPr>
          <w:rFonts w:ascii="Verdana" w:hAnsi="Verdana"/>
          <w:sz w:val="20"/>
          <w:szCs w:val="20"/>
        </w:rPr>
        <w:t>tención de Nitza Paola y José Ángel Alvarado, Obdulia Espinoza se dirigió a la casa de sus suegros, en donde dio cuenta de lo sucedido a su cuñado Jaime Alvarado</w:t>
      </w:r>
      <w:r w:rsidRPr="00744CE4">
        <w:rPr>
          <w:rStyle w:val="FootnoteReference"/>
          <w:rFonts w:ascii="Verdana" w:hAnsi="Verdana"/>
          <w:sz w:val="20"/>
          <w:szCs w:val="20"/>
        </w:rPr>
        <w:footnoteReference w:id="161"/>
      </w:r>
      <w:r w:rsidRPr="00744CE4">
        <w:rPr>
          <w:rFonts w:ascii="Verdana" w:hAnsi="Verdana"/>
          <w:sz w:val="20"/>
          <w:szCs w:val="20"/>
        </w:rPr>
        <w:t>, quien en compa</w:t>
      </w:r>
      <w:r w:rsidRPr="00744CE4">
        <w:rPr>
          <w:rFonts w:ascii="Verdana" w:hAnsi="Verdana" w:cs="Arial"/>
          <w:sz w:val="20"/>
          <w:szCs w:val="20"/>
        </w:rPr>
        <w:t>ñí</w:t>
      </w:r>
      <w:r w:rsidRPr="00432ABC">
        <w:rPr>
          <w:rFonts w:ascii="Verdana" w:hAnsi="Verdana"/>
          <w:sz w:val="20"/>
          <w:szCs w:val="20"/>
        </w:rPr>
        <w:t>a de su padre José Ángel Alvarado Fa</w:t>
      </w:r>
      <w:r w:rsidR="00B82930" w:rsidRPr="00432ABC">
        <w:rPr>
          <w:rFonts w:ascii="Verdana" w:hAnsi="Verdana"/>
          <w:sz w:val="20"/>
          <w:szCs w:val="20"/>
        </w:rPr>
        <w:t>b</w:t>
      </w:r>
      <w:r w:rsidRPr="00432ABC">
        <w:rPr>
          <w:rFonts w:ascii="Verdana" w:hAnsi="Verdana"/>
          <w:sz w:val="20"/>
          <w:szCs w:val="20"/>
        </w:rPr>
        <w:t xml:space="preserve">ela, salió en su búsqueda y siguieron a un convoy de dos camionetas, una de ellas con las luces apagadas cuyas características no distinguieron y la otra </w:t>
      </w:r>
      <w:r w:rsidR="008C0086" w:rsidRPr="002C462C">
        <w:rPr>
          <w:rFonts w:ascii="Verdana" w:hAnsi="Verdana"/>
          <w:sz w:val="20"/>
          <w:szCs w:val="20"/>
        </w:rPr>
        <w:t xml:space="preserve">marca </w:t>
      </w:r>
      <w:r w:rsidRPr="002C462C">
        <w:rPr>
          <w:rFonts w:ascii="Verdana" w:hAnsi="Verdana"/>
          <w:sz w:val="20"/>
          <w:szCs w:val="20"/>
        </w:rPr>
        <w:t>Hummer</w:t>
      </w:r>
      <w:r w:rsidRPr="00744CE4">
        <w:rPr>
          <w:rStyle w:val="FootnoteReference"/>
          <w:rFonts w:ascii="Verdana" w:hAnsi="Verdana"/>
          <w:sz w:val="20"/>
          <w:szCs w:val="20"/>
        </w:rPr>
        <w:footnoteReference w:id="162"/>
      </w:r>
      <w:r w:rsidRPr="00744CE4">
        <w:rPr>
          <w:rFonts w:ascii="Verdana" w:hAnsi="Verdana"/>
          <w:sz w:val="20"/>
          <w:szCs w:val="20"/>
        </w:rPr>
        <w:t>, en el que supusieron que llevaban detenidos a sus familiares, pero al no darles alcance decidieron volver por temor a sufrir una agresión</w:t>
      </w:r>
      <w:r w:rsidRPr="00744CE4">
        <w:rPr>
          <w:rStyle w:val="FootnoteReference"/>
          <w:rFonts w:ascii="Verdana" w:hAnsi="Verdana"/>
          <w:sz w:val="20"/>
          <w:szCs w:val="20"/>
        </w:rPr>
        <w:footnoteReference w:id="163"/>
      </w:r>
      <w:r w:rsidRPr="00744CE4">
        <w:rPr>
          <w:rFonts w:ascii="Verdana" w:hAnsi="Verdana"/>
          <w:sz w:val="20"/>
          <w:szCs w:val="20"/>
        </w:rPr>
        <w:t>. Posteriormente, cerca de las 9:30 de la noche, Jorge Loya (amigo de Nitza Paola), Manuel Reyes Lira y Patricia Reyes Rueda</w:t>
      </w:r>
      <w:r w:rsidRPr="00744CE4">
        <w:rPr>
          <w:rStyle w:val="FootnoteReference"/>
          <w:rFonts w:ascii="Verdana" w:hAnsi="Verdana"/>
          <w:sz w:val="20"/>
          <w:szCs w:val="20"/>
        </w:rPr>
        <w:footnoteReference w:id="164"/>
      </w:r>
      <w:r w:rsidRPr="00744CE4">
        <w:rPr>
          <w:rFonts w:ascii="Verdana" w:hAnsi="Verdana"/>
          <w:sz w:val="20"/>
          <w:szCs w:val="20"/>
        </w:rPr>
        <w:t xml:space="preserve"> acudieron ante el  Comandante de Seguridad y Vialidad Pública del Ejido Benito Juárez (Policía Seccional), Mario Castro García, para ponerle en conocimiento de los hechos, tras lo cual los elementos de su corporación procedieron a buscar a las tres presuntas víctimas en el poblado sin lograr localizarlos</w:t>
      </w:r>
      <w:r w:rsidRPr="00744CE4">
        <w:rPr>
          <w:rStyle w:val="FootnoteReference"/>
          <w:rFonts w:ascii="Verdana" w:hAnsi="Verdana"/>
          <w:sz w:val="20"/>
          <w:szCs w:val="20"/>
        </w:rPr>
        <w:footnoteReference w:id="165"/>
      </w:r>
      <w:r w:rsidRPr="00744CE4">
        <w:rPr>
          <w:rFonts w:ascii="Verdana" w:hAnsi="Verdana"/>
          <w:sz w:val="20"/>
          <w:szCs w:val="20"/>
        </w:rPr>
        <w:t xml:space="preserve">. </w:t>
      </w:r>
    </w:p>
    <w:p w14:paraId="64AA5E5F" w14:textId="23EEC704" w:rsidR="002E1C85" w:rsidRPr="00744CE4" w:rsidRDefault="002E1C85" w:rsidP="00DB378B">
      <w:pPr>
        <w:widowControl w:val="0"/>
        <w:numPr>
          <w:ilvl w:val="0"/>
          <w:numId w:val="4"/>
        </w:numPr>
        <w:tabs>
          <w:tab w:val="left" w:pos="567"/>
          <w:tab w:val="num" w:pos="12305"/>
        </w:tabs>
        <w:adjustRightInd w:val="0"/>
        <w:spacing w:before="120" w:after="120" w:line="240" w:lineRule="auto"/>
        <w:ind w:left="0" w:firstLine="0"/>
        <w:jc w:val="both"/>
        <w:textAlignment w:val="baseline"/>
        <w:rPr>
          <w:rFonts w:ascii="Verdana" w:hAnsi="Verdana"/>
          <w:sz w:val="20"/>
          <w:szCs w:val="20"/>
        </w:rPr>
      </w:pPr>
      <w:r w:rsidRPr="00432ABC">
        <w:rPr>
          <w:rFonts w:ascii="Verdana" w:hAnsi="Verdana"/>
          <w:sz w:val="20"/>
          <w:szCs w:val="20"/>
        </w:rPr>
        <w:t>El 29 de diciembre de 2009, luego de poner en conocimiento de sus familiares la detención de Nitza Paola y José Ángel Alvarado, aproximadamente las 10:30 de la noche</w:t>
      </w:r>
      <w:r w:rsidR="005A0D70">
        <w:rPr>
          <w:rFonts w:ascii="Verdana" w:hAnsi="Verdana"/>
          <w:sz w:val="20"/>
          <w:szCs w:val="20"/>
        </w:rPr>
        <w:t>,</w:t>
      </w:r>
      <w:r w:rsidRPr="00432ABC">
        <w:rPr>
          <w:rFonts w:ascii="Verdana" w:hAnsi="Verdana"/>
          <w:sz w:val="20"/>
          <w:szCs w:val="20"/>
        </w:rPr>
        <w:t xml:space="preserve"> la señora Obdulia Espinoza regresó a pernoctar a la casa de su madre, lugar en donde en la vía pública permanecía abandonada la camioneta de Nitza Paola Alvarado de la cual fueron sustraídos sus familiares. Aproximadamente a las 3:00</w:t>
      </w:r>
      <w:r w:rsidRPr="00744CE4">
        <w:rPr>
          <w:rFonts w:ascii="Verdana" w:hAnsi="Verdana"/>
          <w:sz w:val="20"/>
          <w:szCs w:val="20"/>
          <w:vertAlign w:val="superscript"/>
        </w:rPr>
        <w:footnoteReference w:id="166"/>
      </w:r>
      <w:r w:rsidRPr="00744CE4">
        <w:rPr>
          <w:rFonts w:ascii="Verdana" w:hAnsi="Verdana"/>
          <w:sz w:val="20"/>
          <w:szCs w:val="20"/>
        </w:rPr>
        <w:t xml:space="preserve"> o 4:00</w:t>
      </w:r>
      <w:r w:rsidRPr="00744CE4">
        <w:rPr>
          <w:rFonts w:ascii="Verdana" w:hAnsi="Verdana"/>
          <w:sz w:val="20"/>
          <w:szCs w:val="20"/>
          <w:vertAlign w:val="superscript"/>
        </w:rPr>
        <w:footnoteReference w:id="167"/>
      </w:r>
      <w:r w:rsidRPr="00744CE4">
        <w:rPr>
          <w:rFonts w:ascii="Verdana" w:hAnsi="Verdana"/>
          <w:sz w:val="20"/>
          <w:szCs w:val="20"/>
        </w:rPr>
        <w:t xml:space="preserve"> de la mañana del 30 de diciembre siguiente escuchó ruidos, por lo que se asomó a la ventana y se percató de que en la calle se encontraban alrededor de seis camionetas de la policía ministerial y una grúa y que los elementos que arribaron en las mismas se encontraban tomando fotografías a dicho vehículo, tras lo cual lo “engancharon” para remolcarlo y se lo llevaron del lugar</w:t>
      </w:r>
      <w:r w:rsidRPr="00744CE4">
        <w:rPr>
          <w:rFonts w:ascii="Verdana" w:hAnsi="Verdana"/>
          <w:sz w:val="20"/>
          <w:szCs w:val="20"/>
          <w:vertAlign w:val="superscript"/>
        </w:rPr>
        <w:footnoteReference w:id="168"/>
      </w:r>
      <w:r w:rsidRPr="00744CE4">
        <w:rPr>
          <w:rFonts w:ascii="Verdana" w:hAnsi="Verdana"/>
          <w:sz w:val="20"/>
          <w:szCs w:val="20"/>
        </w:rPr>
        <w:t>.</w:t>
      </w:r>
    </w:p>
    <w:p w14:paraId="64AA5E61" w14:textId="03D004DB" w:rsidR="002E1C85" w:rsidRPr="00744CE4" w:rsidRDefault="002E1C85" w:rsidP="00DB378B">
      <w:pPr>
        <w:widowControl w:val="0"/>
        <w:numPr>
          <w:ilvl w:val="0"/>
          <w:numId w:val="4"/>
        </w:numPr>
        <w:tabs>
          <w:tab w:val="left" w:pos="567"/>
          <w:tab w:val="num" w:pos="12305"/>
        </w:tabs>
        <w:adjustRightInd w:val="0"/>
        <w:spacing w:before="120" w:after="120" w:line="240" w:lineRule="auto"/>
        <w:ind w:left="0" w:firstLine="0"/>
        <w:jc w:val="both"/>
        <w:textAlignment w:val="baseline"/>
        <w:rPr>
          <w:rFonts w:ascii="Verdana" w:hAnsi="Verdana"/>
          <w:sz w:val="20"/>
          <w:szCs w:val="20"/>
        </w:rPr>
      </w:pPr>
      <w:r w:rsidRPr="00432ABC">
        <w:rPr>
          <w:rFonts w:ascii="Verdana" w:hAnsi="Verdana"/>
          <w:sz w:val="20"/>
          <w:szCs w:val="20"/>
        </w:rPr>
        <w:t xml:space="preserve">El 30 de diciembre de 2009 los familiares realizaron una búsqueda de las tres personas desaparecidas en los municipios de Villa Ahumada y en Nuevo Casas Grandes, </w:t>
      </w:r>
      <w:r w:rsidRPr="00432ABC">
        <w:rPr>
          <w:rFonts w:ascii="Verdana" w:hAnsi="Verdana" w:cs="Arial"/>
          <w:sz w:val="20"/>
          <w:szCs w:val="20"/>
        </w:rPr>
        <w:t>Chihuahua,</w:t>
      </w:r>
      <w:r w:rsidRPr="00432ABC">
        <w:rPr>
          <w:rFonts w:ascii="Verdana" w:hAnsi="Verdana"/>
          <w:sz w:val="20"/>
          <w:szCs w:val="20"/>
        </w:rPr>
        <w:t xml:space="preserve"> específicamente en el 35 Batallón de Infantería y la Agencia Federal de Investigación [AFI], </w:t>
      </w:r>
      <w:r w:rsidRPr="00432ABC">
        <w:rPr>
          <w:rFonts w:ascii="Verdana" w:hAnsi="Verdana"/>
          <w:sz w:val="20"/>
          <w:szCs w:val="20"/>
        </w:rPr>
        <w:lastRenderedPageBreak/>
        <w:t>ubicados en esta última localida</w:t>
      </w:r>
      <w:r w:rsidRPr="002C462C">
        <w:rPr>
          <w:rFonts w:ascii="Verdana" w:hAnsi="Verdana"/>
          <w:sz w:val="20"/>
          <w:szCs w:val="20"/>
        </w:rPr>
        <w:t>d</w:t>
      </w:r>
      <w:r w:rsidRPr="00744CE4">
        <w:rPr>
          <w:rStyle w:val="FootnoteReference"/>
          <w:rFonts w:ascii="Verdana" w:hAnsi="Verdana"/>
          <w:sz w:val="20"/>
          <w:szCs w:val="20"/>
        </w:rPr>
        <w:footnoteReference w:id="169"/>
      </w:r>
      <w:r w:rsidRPr="00744CE4">
        <w:rPr>
          <w:rFonts w:ascii="Verdana" w:hAnsi="Verdana"/>
          <w:sz w:val="20"/>
          <w:szCs w:val="20"/>
        </w:rPr>
        <w:t xml:space="preserve">. En la sede del 35 Batallón un soldado manifestó a los familiares que allí no se encontraban las personas detenidas y que iban a preguntarle a “un jefe de apellido Luján”, por lo que en caso de que este último tuviese alguna </w:t>
      </w:r>
      <w:r w:rsidRPr="00744CE4">
        <w:rPr>
          <w:rFonts w:ascii="Verdana" w:hAnsi="Verdana" w:cs="Arial"/>
          <w:sz w:val="20"/>
          <w:szCs w:val="20"/>
        </w:rPr>
        <w:t>información con relación a l</w:t>
      </w:r>
      <w:r w:rsidRPr="00432ABC">
        <w:rPr>
          <w:rFonts w:ascii="Verdana" w:hAnsi="Verdana" w:cs="Arial"/>
          <w:sz w:val="20"/>
          <w:szCs w:val="20"/>
        </w:rPr>
        <w:t>os desaparecidos les sería proporcionada</w:t>
      </w:r>
      <w:r w:rsidRPr="00744CE4">
        <w:rPr>
          <w:rStyle w:val="FootnoteReference"/>
          <w:rFonts w:ascii="Verdana" w:hAnsi="Verdana" w:cs="Arial"/>
          <w:sz w:val="20"/>
          <w:szCs w:val="20"/>
        </w:rPr>
        <w:footnoteReference w:id="170"/>
      </w:r>
      <w:r w:rsidRPr="00744CE4">
        <w:rPr>
          <w:rFonts w:ascii="Verdana" w:hAnsi="Verdana" w:cs="Arial"/>
          <w:sz w:val="20"/>
          <w:szCs w:val="20"/>
        </w:rPr>
        <w:t>.</w:t>
      </w:r>
      <w:r w:rsidR="005A0D70">
        <w:rPr>
          <w:rFonts w:ascii="Verdana" w:hAnsi="Verdana" w:cs="Arial"/>
          <w:sz w:val="20"/>
          <w:szCs w:val="20"/>
        </w:rPr>
        <w:t xml:space="preserve"> </w:t>
      </w:r>
      <w:r w:rsidRPr="00744CE4">
        <w:rPr>
          <w:rFonts w:ascii="Verdana" w:hAnsi="Verdana" w:cs="Arial"/>
          <w:sz w:val="20"/>
          <w:szCs w:val="20"/>
        </w:rPr>
        <w:t>Posteriormente, los familiares se trasladaron las instalaciones de la AFI, en donde el personal les indicó que los tres desaparecidos no se encontraban allí y que en caso de que se tratase de soldados quienes los hubiesen detenido, serían “puestos a disposición” ante las autoridades dentro de un plazo de 72 horas</w:t>
      </w:r>
      <w:r w:rsidRPr="00744CE4">
        <w:rPr>
          <w:rStyle w:val="FootnoteReference"/>
          <w:rFonts w:ascii="Verdana" w:hAnsi="Verdana" w:cs="Arial"/>
          <w:sz w:val="20"/>
          <w:szCs w:val="20"/>
        </w:rPr>
        <w:footnoteReference w:id="171"/>
      </w:r>
      <w:r w:rsidRPr="00744CE4">
        <w:rPr>
          <w:rFonts w:ascii="Verdana" w:hAnsi="Verdana" w:cs="Arial"/>
          <w:sz w:val="20"/>
          <w:szCs w:val="20"/>
        </w:rPr>
        <w:t xml:space="preserve">. </w:t>
      </w:r>
    </w:p>
    <w:p w14:paraId="64AA5E62" w14:textId="638BE86B" w:rsidR="002E1C85" w:rsidRPr="00744CE4" w:rsidRDefault="002E1C85" w:rsidP="00DB378B">
      <w:pPr>
        <w:widowControl w:val="0"/>
        <w:numPr>
          <w:ilvl w:val="0"/>
          <w:numId w:val="4"/>
        </w:numPr>
        <w:tabs>
          <w:tab w:val="left" w:pos="567"/>
          <w:tab w:val="num" w:pos="12305"/>
        </w:tabs>
        <w:adjustRightInd w:val="0"/>
        <w:spacing w:before="120" w:after="120" w:line="240" w:lineRule="auto"/>
        <w:ind w:left="0" w:firstLine="0"/>
        <w:jc w:val="both"/>
        <w:textAlignment w:val="baseline"/>
        <w:rPr>
          <w:rFonts w:ascii="Verdana" w:hAnsi="Verdana"/>
          <w:sz w:val="20"/>
          <w:szCs w:val="20"/>
        </w:rPr>
      </w:pPr>
      <w:r w:rsidRPr="00432ABC">
        <w:rPr>
          <w:rFonts w:ascii="Verdana" w:hAnsi="Verdana"/>
          <w:sz w:val="20"/>
          <w:szCs w:val="20"/>
        </w:rPr>
        <w:t>El 31 de diciembre de 2009 María de Jesús Alvarado Espinoza acudió a la Agencia Estatal de Investigación de la PGJE - Chihuahua [AEI - Chihuahua] en Nuevo Casas Grandes, y se percat</w:t>
      </w:r>
      <w:r w:rsidRPr="00432ABC">
        <w:rPr>
          <w:rFonts w:ascii="Verdana" w:hAnsi="Verdana" w:cs="Arial"/>
          <w:sz w:val="20"/>
          <w:szCs w:val="20"/>
        </w:rPr>
        <w:t>ó</w:t>
      </w:r>
      <w:r w:rsidRPr="00432ABC">
        <w:rPr>
          <w:rFonts w:ascii="Verdana" w:hAnsi="Verdana"/>
          <w:sz w:val="20"/>
          <w:szCs w:val="20"/>
        </w:rPr>
        <w:t xml:space="preserve"> de que en el patio de dichas instalaciones se encontraba la camioneta de la cual fueron sustraídos sus familiares el día de los hechos. María de Jesús Alvarado preguntó al personal la razón por la cual dicho vehículo se enco</w:t>
      </w:r>
      <w:r w:rsidRPr="002C462C">
        <w:rPr>
          <w:rFonts w:ascii="Verdana" w:hAnsi="Verdana"/>
          <w:sz w:val="20"/>
          <w:szCs w:val="20"/>
        </w:rPr>
        <w:t>ntraba en tal dependencia y el personal le informó que dicho vehículo “era de los militares” y que no podía serle devuelto. En razón de lo anterior, dicha familiar decidió tomarle fotografías con su teléfono celular a la referida camioneta, por lo que un gu</w:t>
      </w:r>
      <w:r w:rsidRPr="00744CE4">
        <w:rPr>
          <w:rFonts w:ascii="Verdana" w:hAnsi="Verdana"/>
          <w:sz w:val="20"/>
          <w:szCs w:val="20"/>
        </w:rPr>
        <w:t>ardia le pidió que borrara las mismas “si no quería tener problemas con los militares”, que “la iba a meter presa” y pusieron un guardia en la entrada para prohibirle el paso</w:t>
      </w:r>
      <w:r w:rsidRPr="00744CE4">
        <w:rPr>
          <w:rStyle w:val="FootnoteReference"/>
          <w:rFonts w:ascii="Verdana" w:hAnsi="Verdana"/>
          <w:sz w:val="20"/>
          <w:szCs w:val="20"/>
        </w:rPr>
        <w:footnoteReference w:id="172"/>
      </w:r>
      <w:r w:rsidRPr="00744CE4">
        <w:rPr>
          <w:rFonts w:ascii="Verdana" w:hAnsi="Verdana"/>
          <w:sz w:val="20"/>
          <w:szCs w:val="20"/>
        </w:rPr>
        <w:t>. Ese mismo día se entrevistó con el Agente de la Policía Ministerial adscrito a la PGJE – Chihuahua, Hora</w:t>
      </w:r>
      <w:r w:rsidR="000A2F6A">
        <w:rPr>
          <w:rFonts w:ascii="Verdana" w:hAnsi="Verdana"/>
          <w:sz w:val="20"/>
          <w:szCs w:val="20"/>
        </w:rPr>
        <w:t>s</w:t>
      </w:r>
      <w:r w:rsidRPr="00744CE4">
        <w:rPr>
          <w:rFonts w:ascii="Verdana" w:hAnsi="Verdana"/>
          <w:sz w:val="20"/>
          <w:szCs w:val="20"/>
        </w:rPr>
        <w:t>io Flores Martínez, quien negó que las tres personas desaparecidas hubieran estado detenidas en dicha corporación</w:t>
      </w:r>
      <w:r w:rsidRPr="00744CE4">
        <w:rPr>
          <w:rStyle w:val="FootnoteReference"/>
          <w:rFonts w:ascii="Verdana" w:hAnsi="Verdana"/>
          <w:sz w:val="20"/>
          <w:szCs w:val="20"/>
        </w:rPr>
        <w:footnoteReference w:id="173"/>
      </w:r>
      <w:r w:rsidRPr="00744CE4">
        <w:rPr>
          <w:rFonts w:ascii="Verdana" w:hAnsi="Verdana"/>
          <w:sz w:val="20"/>
          <w:szCs w:val="20"/>
        </w:rPr>
        <w:t xml:space="preserve">. </w:t>
      </w:r>
    </w:p>
    <w:p w14:paraId="64AA5E65" w14:textId="6CA6B9AA" w:rsidR="002E1C85" w:rsidRPr="00432ABC" w:rsidRDefault="002E1C85" w:rsidP="00DB378B">
      <w:pPr>
        <w:widowControl w:val="0"/>
        <w:numPr>
          <w:ilvl w:val="0"/>
          <w:numId w:val="4"/>
        </w:numPr>
        <w:tabs>
          <w:tab w:val="left" w:pos="567"/>
          <w:tab w:val="num" w:pos="12305"/>
        </w:tabs>
        <w:adjustRightInd w:val="0"/>
        <w:spacing w:before="120" w:after="120" w:line="240" w:lineRule="auto"/>
        <w:ind w:left="0" w:firstLine="0"/>
        <w:jc w:val="both"/>
        <w:textAlignment w:val="baseline"/>
        <w:rPr>
          <w:rFonts w:ascii="Verdana" w:hAnsi="Verdana"/>
          <w:sz w:val="20"/>
          <w:szCs w:val="20"/>
        </w:rPr>
      </w:pPr>
      <w:r w:rsidRPr="00744CE4">
        <w:rPr>
          <w:rFonts w:ascii="Verdana" w:hAnsi="Verdana"/>
          <w:sz w:val="20"/>
          <w:szCs w:val="20"/>
        </w:rPr>
        <w:t>Entre los días 31 de diciembre de 2009 y 6 de enero de 2010, los familiares promovieron diversas denuncias, a sa</w:t>
      </w:r>
      <w:r w:rsidRPr="00432ABC">
        <w:rPr>
          <w:rFonts w:ascii="Verdana" w:hAnsi="Verdana"/>
          <w:sz w:val="20"/>
          <w:szCs w:val="20"/>
        </w:rPr>
        <w:t>ber: i) denuncias por el delito de privación ilegal de la libertad, ante la AMP de Buenaventura, dependiente de la PGJE – Chihuahua</w:t>
      </w:r>
      <w:r w:rsidRPr="00744CE4">
        <w:rPr>
          <w:rStyle w:val="FootnoteReference"/>
          <w:rFonts w:ascii="Verdana" w:hAnsi="Verdana"/>
          <w:sz w:val="20"/>
          <w:szCs w:val="20"/>
        </w:rPr>
        <w:footnoteReference w:id="174"/>
      </w:r>
      <w:r w:rsidRPr="00744CE4">
        <w:rPr>
          <w:rFonts w:ascii="Verdana" w:hAnsi="Verdana"/>
          <w:sz w:val="20"/>
          <w:szCs w:val="20"/>
        </w:rPr>
        <w:t xml:space="preserve"> (</w:t>
      </w:r>
      <w:r w:rsidR="00205AF7" w:rsidRPr="00744CE4">
        <w:rPr>
          <w:rFonts w:ascii="Verdana" w:hAnsi="Verdana"/>
          <w:i/>
          <w:sz w:val="20"/>
          <w:szCs w:val="20"/>
        </w:rPr>
        <w:t>infra</w:t>
      </w:r>
      <w:r w:rsidRPr="00432ABC">
        <w:rPr>
          <w:rFonts w:ascii="Verdana" w:hAnsi="Verdana"/>
          <w:i/>
          <w:sz w:val="20"/>
          <w:szCs w:val="20"/>
        </w:rPr>
        <w:t xml:space="preserve"> </w:t>
      </w:r>
      <w:r w:rsidRPr="00432ABC">
        <w:rPr>
          <w:rFonts w:ascii="Verdana" w:hAnsi="Verdana"/>
          <w:sz w:val="20"/>
          <w:szCs w:val="20"/>
        </w:rPr>
        <w:t xml:space="preserve">párr. </w:t>
      </w:r>
      <w:r w:rsidR="00AB26DE">
        <w:rPr>
          <w:rFonts w:ascii="Verdana" w:hAnsi="Verdana"/>
          <w:sz w:val="20"/>
          <w:szCs w:val="20"/>
        </w:rPr>
        <w:t>103</w:t>
      </w:r>
      <w:r w:rsidRPr="00432ABC">
        <w:rPr>
          <w:rFonts w:ascii="Verdana" w:hAnsi="Verdana"/>
          <w:sz w:val="20"/>
          <w:szCs w:val="20"/>
        </w:rPr>
        <w:t>); ii) queja ante la CNDH en Ciudad Juárez, Chihuahua, en contra de la SEDENA por la desaparición de sus familiares</w:t>
      </w:r>
      <w:r w:rsidRPr="00744CE4">
        <w:rPr>
          <w:rStyle w:val="FootnoteReference"/>
          <w:rFonts w:ascii="Verdana" w:hAnsi="Verdana"/>
          <w:sz w:val="20"/>
          <w:szCs w:val="20"/>
        </w:rPr>
        <w:footnoteReference w:id="175"/>
      </w:r>
      <w:r w:rsidRPr="00744CE4">
        <w:rPr>
          <w:rFonts w:ascii="Verdana" w:hAnsi="Verdana"/>
          <w:sz w:val="20"/>
          <w:szCs w:val="20"/>
        </w:rPr>
        <w:t xml:space="preserve"> (</w:t>
      </w:r>
      <w:r w:rsidR="00205AF7" w:rsidRPr="00744CE4">
        <w:rPr>
          <w:rFonts w:ascii="Verdana" w:hAnsi="Verdana"/>
          <w:i/>
          <w:sz w:val="20"/>
          <w:szCs w:val="20"/>
        </w:rPr>
        <w:t>infra</w:t>
      </w:r>
      <w:r w:rsidRPr="00432ABC">
        <w:rPr>
          <w:rFonts w:ascii="Verdana" w:hAnsi="Verdana"/>
          <w:i/>
          <w:sz w:val="20"/>
          <w:szCs w:val="20"/>
        </w:rPr>
        <w:t xml:space="preserve"> </w:t>
      </w:r>
      <w:r w:rsidRPr="00432ABC">
        <w:rPr>
          <w:rFonts w:ascii="Verdana" w:hAnsi="Verdana"/>
          <w:sz w:val="20"/>
          <w:szCs w:val="20"/>
        </w:rPr>
        <w:t xml:space="preserve">párr. </w:t>
      </w:r>
      <w:r w:rsidR="00AB26DE">
        <w:rPr>
          <w:rFonts w:ascii="Verdana" w:hAnsi="Verdana"/>
          <w:sz w:val="20"/>
          <w:szCs w:val="20"/>
        </w:rPr>
        <w:t>139</w:t>
      </w:r>
      <w:r w:rsidRPr="00432ABC">
        <w:rPr>
          <w:rFonts w:ascii="Verdana" w:hAnsi="Verdana"/>
          <w:sz w:val="20"/>
          <w:szCs w:val="20"/>
        </w:rPr>
        <w:t xml:space="preserve">); iii) denuncia por la desaparición ante el Programa para la Atención de Quejas y Denuncias sobre el Operativo Conjunto Juárez en Ciudad Juárez, en donde </w:t>
      </w:r>
      <w:r w:rsidRPr="00432ABC">
        <w:rPr>
          <w:rFonts w:ascii="Verdana" w:hAnsi="Verdana"/>
          <w:sz w:val="20"/>
          <w:szCs w:val="20"/>
        </w:rPr>
        <w:lastRenderedPageBreak/>
        <w:t>señaló como responsable de la detención de sus familiares al Coronel Élfego José Luján Ruiz, Comandante del 35 Batallón de Infantería del Ejército</w:t>
      </w:r>
      <w:r w:rsidRPr="00744CE4">
        <w:rPr>
          <w:rStyle w:val="FootnoteReference"/>
          <w:rFonts w:ascii="Verdana" w:hAnsi="Verdana"/>
          <w:sz w:val="20"/>
          <w:szCs w:val="20"/>
        </w:rPr>
        <w:footnoteReference w:id="176"/>
      </w:r>
      <w:r w:rsidRPr="00744CE4">
        <w:rPr>
          <w:rFonts w:ascii="Verdana" w:hAnsi="Verdana"/>
          <w:sz w:val="20"/>
          <w:szCs w:val="20"/>
        </w:rPr>
        <w:t xml:space="preserve"> (</w:t>
      </w:r>
      <w:r w:rsidR="00205AF7" w:rsidRPr="00744CE4">
        <w:rPr>
          <w:rFonts w:ascii="Verdana" w:hAnsi="Verdana"/>
          <w:i/>
          <w:sz w:val="20"/>
          <w:szCs w:val="20"/>
        </w:rPr>
        <w:t>infra</w:t>
      </w:r>
      <w:r w:rsidRPr="00432ABC">
        <w:rPr>
          <w:rFonts w:ascii="Verdana" w:hAnsi="Verdana"/>
          <w:i/>
          <w:sz w:val="20"/>
          <w:szCs w:val="20"/>
        </w:rPr>
        <w:t xml:space="preserve"> </w:t>
      </w:r>
      <w:r w:rsidRPr="00432ABC">
        <w:rPr>
          <w:rFonts w:ascii="Verdana" w:hAnsi="Verdana"/>
          <w:sz w:val="20"/>
          <w:szCs w:val="20"/>
        </w:rPr>
        <w:t xml:space="preserve">párr. </w:t>
      </w:r>
      <w:r w:rsidR="00AB26DE">
        <w:rPr>
          <w:rFonts w:ascii="Verdana" w:hAnsi="Verdana"/>
          <w:sz w:val="20"/>
          <w:szCs w:val="20"/>
        </w:rPr>
        <w:t>142</w:t>
      </w:r>
      <w:r w:rsidRPr="00432ABC">
        <w:rPr>
          <w:rFonts w:ascii="Verdana" w:hAnsi="Verdana"/>
          <w:sz w:val="20"/>
          <w:szCs w:val="20"/>
        </w:rPr>
        <w:t>); iv) denuncia por las desapariciones ante el AMPF en Ciudad Juárez, Jesús Durazo Hoyos</w:t>
      </w:r>
      <w:r w:rsidRPr="00744CE4">
        <w:rPr>
          <w:rStyle w:val="FootnoteReference"/>
          <w:rFonts w:ascii="Verdana" w:hAnsi="Verdana"/>
          <w:sz w:val="20"/>
          <w:szCs w:val="20"/>
        </w:rPr>
        <w:footnoteReference w:id="177"/>
      </w:r>
      <w:r w:rsidRPr="00744CE4">
        <w:rPr>
          <w:rFonts w:ascii="Verdana" w:hAnsi="Verdana"/>
          <w:sz w:val="20"/>
          <w:szCs w:val="20"/>
        </w:rPr>
        <w:t xml:space="preserve"> (</w:t>
      </w:r>
      <w:r w:rsidR="00205AF7" w:rsidRPr="00744CE4">
        <w:rPr>
          <w:rFonts w:ascii="Verdana" w:hAnsi="Verdana"/>
          <w:i/>
          <w:sz w:val="20"/>
          <w:szCs w:val="20"/>
        </w:rPr>
        <w:t>infra</w:t>
      </w:r>
      <w:r w:rsidRPr="00432ABC">
        <w:rPr>
          <w:rFonts w:ascii="Verdana" w:hAnsi="Verdana"/>
          <w:i/>
          <w:sz w:val="20"/>
          <w:szCs w:val="20"/>
        </w:rPr>
        <w:t xml:space="preserve"> </w:t>
      </w:r>
      <w:r w:rsidRPr="00432ABC">
        <w:rPr>
          <w:rFonts w:ascii="Verdana" w:hAnsi="Verdana"/>
          <w:sz w:val="20"/>
          <w:szCs w:val="20"/>
        </w:rPr>
        <w:t xml:space="preserve">párr. </w:t>
      </w:r>
      <w:r w:rsidR="00AB26DE">
        <w:rPr>
          <w:rFonts w:ascii="Verdana" w:hAnsi="Verdana"/>
          <w:sz w:val="20"/>
          <w:szCs w:val="20"/>
        </w:rPr>
        <w:t>107</w:t>
      </w:r>
      <w:r w:rsidRPr="00432ABC">
        <w:rPr>
          <w:rFonts w:ascii="Verdana" w:hAnsi="Verdana"/>
          <w:sz w:val="20"/>
          <w:szCs w:val="20"/>
        </w:rPr>
        <w:t>); v) demanda de amparo indirecto ante el Juez de Distrito de Amparo en Materia Penal en Ciudad Juárez, Chihuahua, por las detenciones ilegales y en contra de diversas autoridades, entre las cuales se encontraba el entonces Comandante del 35 Batallón</w:t>
      </w:r>
      <w:r w:rsidRPr="00432ABC">
        <w:rPr>
          <w:rFonts w:ascii="Verdana" w:hAnsi="Verdana" w:cs="Arial"/>
          <w:sz w:val="20"/>
          <w:szCs w:val="20"/>
        </w:rPr>
        <w:t>, el Coronel Élfego José Luján Ruiz</w:t>
      </w:r>
      <w:r w:rsidRPr="00744CE4">
        <w:rPr>
          <w:rStyle w:val="FootnoteReference"/>
          <w:rFonts w:ascii="Verdana" w:hAnsi="Verdana"/>
          <w:sz w:val="20"/>
          <w:szCs w:val="20"/>
        </w:rPr>
        <w:footnoteReference w:id="178"/>
      </w:r>
      <w:r w:rsidRPr="00744CE4">
        <w:rPr>
          <w:rFonts w:ascii="Verdana" w:hAnsi="Verdana"/>
          <w:sz w:val="20"/>
          <w:szCs w:val="20"/>
        </w:rPr>
        <w:t xml:space="preserve"> (</w:t>
      </w:r>
      <w:r w:rsidR="00205AF7" w:rsidRPr="00744CE4">
        <w:rPr>
          <w:rFonts w:ascii="Verdana" w:hAnsi="Verdana"/>
          <w:i/>
          <w:sz w:val="20"/>
          <w:szCs w:val="20"/>
        </w:rPr>
        <w:t xml:space="preserve">infra </w:t>
      </w:r>
      <w:r w:rsidRPr="00432ABC">
        <w:rPr>
          <w:rFonts w:ascii="Verdana" w:hAnsi="Verdana"/>
          <w:sz w:val="20"/>
          <w:szCs w:val="20"/>
        </w:rPr>
        <w:t xml:space="preserve">párr. </w:t>
      </w:r>
      <w:r w:rsidR="00AB26DE">
        <w:rPr>
          <w:rFonts w:ascii="Verdana" w:hAnsi="Verdana"/>
          <w:sz w:val="20"/>
          <w:szCs w:val="20"/>
        </w:rPr>
        <w:t>137</w:t>
      </w:r>
      <w:r w:rsidRPr="00432ABC">
        <w:rPr>
          <w:rFonts w:ascii="Verdana" w:hAnsi="Verdana"/>
          <w:sz w:val="20"/>
          <w:szCs w:val="20"/>
        </w:rPr>
        <w:t>)</w:t>
      </w:r>
      <w:r w:rsidRPr="00432ABC">
        <w:rPr>
          <w:rFonts w:ascii="Verdana" w:hAnsi="Verdana" w:cs="Arial"/>
          <w:sz w:val="20"/>
          <w:szCs w:val="20"/>
        </w:rPr>
        <w:t xml:space="preserve">. </w:t>
      </w:r>
    </w:p>
    <w:p w14:paraId="64AA5E67" w14:textId="3C177707" w:rsidR="002E1C85" w:rsidRPr="00744CE4" w:rsidRDefault="002E1C85" w:rsidP="00DB378B">
      <w:pPr>
        <w:widowControl w:val="0"/>
        <w:numPr>
          <w:ilvl w:val="0"/>
          <w:numId w:val="4"/>
        </w:numPr>
        <w:tabs>
          <w:tab w:val="left" w:pos="567"/>
          <w:tab w:val="num" w:pos="12305"/>
        </w:tabs>
        <w:adjustRightInd w:val="0"/>
        <w:spacing w:before="120" w:after="120" w:line="240" w:lineRule="auto"/>
        <w:ind w:left="0" w:firstLine="0"/>
        <w:jc w:val="both"/>
        <w:textAlignment w:val="baseline"/>
        <w:rPr>
          <w:rFonts w:ascii="Verdana" w:hAnsi="Verdana"/>
          <w:sz w:val="20"/>
          <w:szCs w:val="20"/>
        </w:rPr>
      </w:pPr>
      <w:r w:rsidRPr="002C462C">
        <w:rPr>
          <w:rFonts w:ascii="Verdana" w:hAnsi="Verdana"/>
          <w:sz w:val="20"/>
          <w:szCs w:val="20"/>
        </w:rPr>
        <w:t>El 7 de enero de 2010 el General de Brigada Diplomado de Estado Mayor Felipe de Jesús Espitia Hernández, Comandante de la Quinta Zona Militar [5ªZM] a la cual se encontraba jurisdiccionado el 35 Batallón de Infantería, ordenó una exhaustiva investigación de los hechos al Comandante de la Guarnición Militar de Palomas, Chihuahua, el General Jens Pedro Lohmann Iturburu</w:t>
      </w:r>
      <w:r w:rsidRPr="00744CE4">
        <w:rPr>
          <w:rStyle w:val="FootnoteReference"/>
          <w:rFonts w:ascii="Verdana" w:hAnsi="Verdana"/>
          <w:sz w:val="20"/>
          <w:szCs w:val="20"/>
        </w:rPr>
        <w:footnoteReference w:id="179"/>
      </w:r>
      <w:r w:rsidRPr="00744CE4">
        <w:rPr>
          <w:rFonts w:ascii="Verdana" w:hAnsi="Verdana"/>
          <w:sz w:val="20"/>
          <w:szCs w:val="20"/>
        </w:rPr>
        <w:t>, quien remitió su informe el 15 de enero siguiente concluyendo que: “[…] no exist[iero]n elementos de juicio para asegurar o suponer la presencia de personal militar en el levantón [sic] ocurrido el 29 de diciembre de 2009 en el Ejido Benito Juárez, M[unici]pio de Buenaventura, Chih[huahua]”</w:t>
      </w:r>
      <w:r w:rsidRPr="00744CE4">
        <w:rPr>
          <w:rStyle w:val="FootnoteReference"/>
          <w:rFonts w:ascii="Verdana" w:hAnsi="Verdana"/>
          <w:sz w:val="20"/>
          <w:szCs w:val="20"/>
        </w:rPr>
        <w:footnoteReference w:id="180"/>
      </w:r>
      <w:r w:rsidRPr="00744CE4">
        <w:rPr>
          <w:rFonts w:ascii="Verdana" w:hAnsi="Verdana"/>
          <w:sz w:val="20"/>
          <w:szCs w:val="20"/>
        </w:rPr>
        <w:t xml:space="preserve">. </w:t>
      </w:r>
    </w:p>
    <w:p w14:paraId="64AA5E69" w14:textId="44302630" w:rsidR="002E1C85" w:rsidRPr="00744CE4" w:rsidRDefault="002E1C85" w:rsidP="00DB378B">
      <w:pPr>
        <w:widowControl w:val="0"/>
        <w:numPr>
          <w:ilvl w:val="0"/>
          <w:numId w:val="4"/>
        </w:numPr>
        <w:tabs>
          <w:tab w:val="left" w:pos="567"/>
          <w:tab w:val="num" w:pos="12305"/>
        </w:tabs>
        <w:adjustRightInd w:val="0"/>
        <w:spacing w:before="120" w:after="120" w:line="240" w:lineRule="auto"/>
        <w:ind w:left="0" w:firstLine="0"/>
        <w:jc w:val="both"/>
        <w:textAlignment w:val="baseline"/>
        <w:rPr>
          <w:rFonts w:ascii="Verdana" w:hAnsi="Verdana"/>
          <w:sz w:val="20"/>
          <w:szCs w:val="20"/>
        </w:rPr>
      </w:pPr>
      <w:r w:rsidRPr="00432ABC">
        <w:rPr>
          <w:rFonts w:ascii="Verdana" w:hAnsi="Verdana"/>
          <w:sz w:val="20"/>
          <w:szCs w:val="20"/>
        </w:rPr>
        <w:t>El 8 de enero de 2010</w:t>
      </w:r>
      <w:r w:rsidRPr="00744CE4">
        <w:rPr>
          <w:rStyle w:val="FootnoteReference"/>
          <w:rFonts w:ascii="Verdana" w:hAnsi="Verdana"/>
          <w:sz w:val="20"/>
          <w:szCs w:val="20"/>
        </w:rPr>
        <w:footnoteReference w:id="181"/>
      </w:r>
      <w:r w:rsidRPr="00744CE4">
        <w:rPr>
          <w:rFonts w:ascii="Verdana" w:hAnsi="Verdana"/>
          <w:sz w:val="20"/>
          <w:szCs w:val="20"/>
        </w:rPr>
        <w:t xml:space="preserve"> María de Jes</w:t>
      </w:r>
      <w:r w:rsidRPr="00744CE4">
        <w:rPr>
          <w:rFonts w:ascii="Verdana" w:hAnsi="Verdana" w:cs="Arial"/>
          <w:sz w:val="20"/>
          <w:szCs w:val="20"/>
        </w:rPr>
        <w:t>ús Alvarado Espino</w:t>
      </w:r>
      <w:r w:rsidRPr="00432ABC">
        <w:rPr>
          <w:rFonts w:ascii="Verdana" w:hAnsi="Verdana" w:cs="Arial"/>
          <w:sz w:val="20"/>
          <w:szCs w:val="20"/>
        </w:rPr>
        <w:t>za, Rosa Olivia Alvarado Herrera, Obdulia Espinoza Beltrán, así como sus representantes Emilia González Tercero, Luz Estela Castro Rodríguez y Gabino Gómez, acompañados del General Lohmann</w:t>
      </w:r>
      <w:r w:rsidRPr="00744CE4">
        <w:rPr>
          <w:rStyle w:val="FootnoteReference"/>
          <w:rFonts w:ascii="Verdana" w:hAnsi="Verdana" w:cs="Arial"/>
          <w:sz w:val="20"/>
          <w:szCs w:val="20"/>
        </w:rPr>
        <w:footnoteReference w:id="182"/>
      </w:r>
      <w:r w:rsidRPr="00744CE4">
        <w:rPr>
          <w:rFonts w:ascii="Verdana" w:hAnsi="Verdana" w:cs="Arial"/>
          <w:sz w:val="20"/>
          <w:szCs w:val="20"/>
        </w:rPr>
        <w:t xml:space="preserve"> ingresaron a las instalaciones del 35 Batallón, sin localizar a los desaparecidos. Posteriormente, el General Lohmann y los familiares y representantes acudieron al depósito de vehículos de la AEI - Chihuahua en Nuevo Casas Grandes, en donde se encontraba bajo resguardo la camioneta de Nitza Paola Alvarado. Tras volver n</w:t>
      </w:r>
      <w:r w:rsidRPr="00432ABC">
        <w:rPr>
          <w:rFonts w:ascii="Verdana" w:hAnsi="Verdana" w:cs="Arial"/>
          <w:sz w:val="20"/>
          <w:szCs w:val="20"/>
        </w:rPr>
        <w:t>uevamente al 35 Batallón, el General Lohmann preguntó al Mayor Manuel Gutiérrez, Jefe de la Sección de Personal, Abastecimientos y Ayudantía del 35 Batallón</w:t>
      </w:r>
      <w:r w:rsidRPr="00744CE4">
        <w:rPr>
          <w:rStyle w:val="FootnoteReference"/>
          <w:rFonts w:ascii="Verdana" w:hAnsi="Verdana" w:cs="Arial"/>
          <w:sz w:val="20"/>
          <w:szCs w:val="20"/>
        </w:rPr>
        <w:footnoteReference w:id="183"/>
      </w:r>
      <w:r w:rsidRPr="00744CE4">
        <w:rPr>
          <w:rFonts w:ascii="Verdana" w:hAnsi="Verdana" w:cs="Arial"/>
          <w:sz w:val="20"/>
          <w:szCs w:val="20"/>
        </w:rPr>
        <w:t>, si tenía conocimiento del aseguramiento de dicho vehículo, a lo que contestó que el personal de dicha unidad militar no intervino en el mismo</w:t>
      </w:r>
      <w:r w:rsidRPr="00744CE4">
        <w:rPr>
          <w:rStyle w:val="FootnoteReference"/>
          <w:rFonts w:ascii="Verdana" w:hAnsi="Verdana" w:cs="Arial"/>
          <w:sz w:val="20"/>
          <w:szCs w:val="20"/>
        </w:rPr>
        <w:footnoteReference w:id="184"/>
      </w:r>
      <w:r w:rsidRPr="00744CE4">
        <w:rPr>
          <w:rFonts w:ascii="Verdana" w:hAnsi="Verdana" w:cs="Arial"/>
          <w:sz w:val="20"/>
          <w:szCs w:val="20"/>
        </w:rPr>
        <w:t xml:space="preserve">. </w:t>
      </w:r>
    </w:p>
    <w:p w14:paraId="64AA5E6B" w14:textId="6B56E237" w:rsidR="002E1C85" w:rsidRPr="00744CE4" w:rsidRDefault="002E1C85" w:rsidP="00DB378B">
      <w:pPr>
        <w:widowControl w:val="0"/>
        <w:numPr>
          <w:ilvl w:val="0"/>
          <w:numId w:val="4"/>
        </w:numPr>
        <w:tabs>
          <w:tab w:val="left" w:pos="567"/>
          <w:tab w:val="num" w:pos="12305"/>
        </w:tabs>
        <w:adjustRightInd w:val="0"/>
        <w:spacing w:before="120" w:after="120" w:line="240" w:lineRule="auto"/>
        <w:ind w:left="0" w:firstLine="0"/>
        <w:jc w:val="both"/>
        <w:textAlignment w:val="baseline"/>
        <w:rPr>
          <w:rFonts w:ascii="Verdana" w:hAnsi="Verdana"/>
          <w:sz w:val="20"/>
          <w:szCs w:val="20"/>
        </w:rPr>
      </w:pPr>
      <w:r w:rsidRPr="00432ABC">
        <w:rPr>
          <w:rFonts w:ascii="Verdana" w:hAnsi="Verdana" w:cs="Arial"/>
          <w:sz w:val="20"/>
          <w:szCs w:val="20"/>
        </w:rPr>
        <w:lastRenderedPageBreak/>
        <w:t xml:space="preserve">Con motivo de la queja interpuesta por Jaime Alvarado Herrera el 4 de enero de 2010 ante la CNDH, el 9 de enero de 2010 los familiares se trasladaron a la sede de la </w:t>
      </w:r>
      <w:r w:rsidRPr="002C462C">
        <w:rPr>
          <w:rFonts w:ascii="Verdana" w:hAnsi="Verdana"/>
          <w:sz w:val="20"/>
          <w:szCs w:val="20"/>
        </w:rPr>
        <w:t>5ªZM</w:t>
      </w:r>
      <w:r w:rsidRPr="002C462C">
        <w:rPr>
          <w:rFonts w:ascii="Verdana" w:hAnsi="Verdana" w:cs="Arial"/>
          <w:sz w:val="20"/>
          <w:szCs w:val="20"/>
        </w:rPr>
        <w:t xml:space="preserve"> en la Ciudad de Chih</w:t>
      </w:r>
      <w:r w:rsidRPr="00744CE4">
        <w:rPr>
          <w:rFonts w:ascii="Verdana" w:hAnsi="Verdana" w:cs="Arial"/>
          <w:sz w:val="20"/>
          <w:szCs w:val="20"/>
        </w:rPr>
        <w:t>uahua, en donde se reunieron con el General Felipe de Jesús Espitia Hernández, Comandante de dicha jurisdicción castrense y responsable del Operativo Conjunto Chihuahua, así como el Mayor Carlos Sergio López Ruvalcaba, adscrito a la Dirección de Derechos Humanos de la SEDENA, y el Coronel Élfego José Luján Ruiz, Comandante del 35 Batallón de Infantería del Ejército</w:t>
      </w:r>
      <w:r w:rsidRPr="00744CE4">
        <w:rPr>
          <w:rStyle w:val="FootnoteReference"/>
          <w:rFonts w:ascii="Verdana" w:hAnsi="Verdana" w:cs="Arial"/>
          <w:sz w:val="20"/>
          <w:szCs w:val="20"/>
        </w:rPr>
        <w:footnoteReference w:id="185"/>
      </w:r>
      <w:r w:rsidRPr="00744CE4">
        <w:rPr>
          <w:rFonts w:ascii="Verdana" w:hAnsi="Verdana" w:cs="Arial"/>
          <w:sz w:val="20"/>
          <w:szCs w:val="20"/>
        </w:rPr>
        <w:t xml:space="preserve">. En dicha reunión, el Coronel Luján y el General Espitia negaron la participación de elementos castrenses bajo su mando en la desaparición de las tres presuntas víctimas y, en cambio, acusaron a </w:t>
      </w:r>
      <w:r w:rsidRPr="00432ABC">
        <w:rPr>
          <w:rFonts w:ascii="Verdana" w:hAnsi="Verdana" w:cs="Times New Roman"/>
          <w:sz w:val="20"/>
          <w:szCs w:val="20"/>
        </w:rPr>
        <w:t xml:space="preserve">María de Jesús Alvarado de </w:t>
      </w:r>
      <w:r w:rsidRPr="00432ABC">
        <w:rPr>
          <w:rFonts w:ascii="Verdana" w:hAnsi="Verdana" w:cs="Arial"/>
          <w:sz w:val="20"/>
          <w:szCs w:val="20"/>
        </w:rPr>
        <w:t xml:space="preserve">dedicarse al </w:t>
      </w:r>
      <w:r w:rsidRPr="00432ABC">
        <w:rPr>
          <w:rFonts w:ascii="Verdana" w:hAnsi="Verdana" w:cs="Times New Roman"/>
          <w:sz w:val="20"/>
          <w:szCs w:val="20"/>
        </w:rPr>
        <w:t>robo a casas habitación</w:t>
      </w:r>
      <w:r w:rsidRPr="002C462C">
        <w:rPr>
          <w:rFonts w:ascii="Verdana" w:hAnsi="Verdana" w:cs="Arial"/>
          <w:sz w:val="20"/>
          <w:szCs w:val="20"/>
        </w:rPr>
        <w:t>, señalando también que José Ángel Alvarado Herrera se dedicaba al robo de vehículos</w:t>
      </w:r>
      <w:r w:rsidRPr="00744CE4">
        <w:rPr>
          <w:rStyle w:val="FootnoteReference"/>
          <w:rFonts w:ascii="Verdana" w:hAnsi="Verdana"/>
          <w:sz w:val="20"/>
          <w:szCs w:val="20"/>
        </w:rPr>
        <w:footnoteReference w:id="186"/>
      </w:r>
      <w:r w:rsidRPr="00744CE4">
        <w:rPr>
          <w:rFonts w:ascii="Verdana" w:hAnsi="Verdana" w:cs="Times New Roman"/>
          <w:sz w:val="20"/>
          <w:szCs w:val="20"/>
        </w:rPr>
        <w:t xml:space="preserve">. </w:t>
      </w:r>
    </w:p>
    <w:p w14:paraId="64AA5E6D" w14:textId="7F314872" w:rsidR="002E1C85" w:rsidRPr="00432ABC" w:rsidRDefault="00556FDB">
      <w:pPr>
        <w:pStyle w:val="Heading4"/>
        <w:numPr>
          <w:ilvl w:val="0"/>
          <w:numId w:val="74"/>
        </w:numPr>
        <w:spacing w:before="120" w:after="120"/>
        <w:contextualSpacing w:val="0"/>
        <w:rPr>
          <w:rFonts w:cs="Arial"/>
          <w:u w:val="none"/>
        </w:rPr>
      </w:pPr>
      <w:bookmarkStart w:id="132" w:name="_Toc526783767"/>
      <w:r>
        <w:rPr>
          <w:u w:val="none"/>
        </w:rPr>
        <w:t xml:space="preserve"> </w:t>
      </w:r>
      <w:bookmarkStart w:id="133" w:name="_Toc532995338"/>
      <w:r w:rsidR="002E1C85" w:rsidRPr="00744CE4">
        <w:rPr>
          <w:u w:val="none"/>
        </w:rPr>
        <w:t>Sobre la posible ubicación de los tres desaparecidos</w:t>
      </w:r>
      <w:r w:rsidR="002E1C85" w:rsidRPr="00432ABC">
        <w:rPr>
          <w:u w:val="none"/>
        </w:rPr>
        <w:t xml:space="preserve"> en poder de </w:t>
      </w:r>
      <w:r w:rsidR="002E1C85" w:rsidRPr="00432ABC">
        <w:rPr>
          <w:rFonts w:cs="Arial"/>
          <w:u w:val="none"/>
        </w:rPr>
        <w:t>agentes estatales</w:t>
      </w:r>
      <w:bookmarkEnd w:id="132"/>
      <w:bookmarkEnd w:id="133"/>
    </w:p>
    <w:p w14:paraId="64AA5E6F" w14:textId="06C3BE2A" w:rsidR="002E1C85" w:rsidRPr="002C462C" w:rsidRDefault="002E1C85" w:rsidP="00DB378B">
      <w:pPr>
        <w:widowControl w:val="0"/>
        <w:numPr>
          <w:ilvl w:val="0"/>
          <w:numId w:val="4"/>
        </w:numPr>
        <w:tabs>
          <w:tab w:val="left" w:pos="567"/>
          <w:tab w:val="num" w:pos="12305"/>
        </w:tabs>
        <w:adjustRightInd w:val="0"/>
        <w:spacing w:before="120" w:after="120" w:line="240" w:lineRule="auto"/>
        <w:ind w:left="0" w:firstLine="0"/>
        <w:jc w:val="both"/>
        <w:textAlignment w:val="baseline"/>
        <w:rPr>
          <w:rFonts w:ascii="Verdana" w:hAnsi="Verdana" w:cs="Arial"/>
          <w:sz w:val="20"/>
          <w:szCs w:val="20"/>
          <w:lang w:eastAsia="ja-JP"/>
        </w:rPr>
      </w:pPr>
      <w:r w:rsidRPr="002C462C">
        <w:rPr>
          <w:rFonts w:ascii="Verdana" w:hAnsi="Verdana"/>
          <w:sz w:val="20"/>
          <w:szCs w:val="20"/>
        </w:rPr>
        <w:t>El 14 de enero de 2010 María de Jesús Alvarado Espinoza declaró ante la CNDH y manifestó que:</w:t>
      </w:r>
    </w:p>
    <w:p w14:paraId="64AA5E71" w14:textId="591A44AC" w:rsidR="002E1C85" w:rsidRPr="008D0846" w:rsidRDefault="00B4529B">
      <w:pPr>
        <w:pStyle w:val="ListParagraph"/>
        <w:widowControl w:val="0"/>
        <w:numPr>
          <w:ilvl w:val="2"/>
          <w:numId w:val="4"/>
        </w:numPr>
        <w:tabs>
          <w:tab w:val="left" w:pos="567"/>
          <w:tab w:val="num" w:pos="12305"/>
        </w:tabs>
        <w:adjustRightInd w:val="0"/>
        <w:spacing w:before="120" w:after="120" w:line="240" w:lineRule="auto"/>
        <w:ind w:left="567"/>
        <w:contextualSpacing w:val="0"/>
        <w:jc w:val="both"/>
        <w:textAlignment w:val="baseline"/>
        <w:rPr>
          <w:rFonts w:ascii="Verdana" w:hAnsi="Verdana" w:cs="Arial"/>
          <w:sz w:val="18"/>
          <w:szCs w:val="20"/>
          <w:lang w:eastAsia="ja-JP"/>
        </w:rPr>
      </w:pPr>
      <w:r w:rsidRPr="008D0846">
        <w:rPr>
          <w:rFonts w:ascii="Verdana" w:hAnsi="Verdana"/>
          <w:sz w:val="18"/>
          <w:szCs w:val="20"/>
        </w:rPr>
        <w:t>c</w:t>
      </w:r>
      <w:r w:rsidR="002E1C85" w:rsidRPr="008D0846">
        <w:rPr>
          <w:rFonts w:ascii="Verdana" w:hAnsi="Verdana"/>
          <w:sz w:val="18"/>
          <w:szCs w:val="20"/>
        </w:rPr>
        <w:t>uando acudi</w:t>
      </w:r>
      <w:r w:rsidR="002E1C85" w:rsidRPr="008D0846">
        <w:rPr>
          <w:rFonts w:ascii="Verdana" w:hAnsi="Verdana" w:cs="Arial"/>
          <w:sz w:val="18"/>
          <w:szCs w:val="20"/>
        </w:rPr>
        <w:t>ó el 31 de diciembre de 2009 a promover su denuncia ante el Agente Auxiliar del Ministerio Público de Buenaventura adscrito a la PGJE – Chihuahua [AAMP – Buenaventura] por la desaparición de sus familiares, el titular de dicha dependencia, Aarón Enríquez Duarte le manifestó tener conocimiento de que estos se encontraban en el 35 Batallón de Infantería, le pidió “que guardara discreción” [sic] al respecto</w:t>
      </w:r>
      <w:r w:rsidR="002E1C85" w:rsidRPr="008D0846">
        <w:rPr>
          <w:rStyle w:val="FootnoteReference"/>
          <w:rFonts w:ascii="Verdana" w:hAnsi="Verdana" w:cs="Arial"/>
          <w:sz w:val="18"/>
          <w:szCs w:val="20"/>
        </w:rPr>
        <w:footnoteReference w:id="187"/>
      </w:r>
      <w:r w:rsidR="002E1C85" w:rsidRPr="008D0846">
        <w:rPr>
          <w:rFonts w:ascii="Verdana" w:hAnsi="Verdana" w:cs="Arial"/>
          <w:sz w:val="18"/>
          <w:szCs w:val="20"/>
        </w:rPr>
        <w:t>, y que enviaría un oficio para solicitar información a dicha unidad militar</w:t>
      </w:r>
      <w:r w:rsidR="002E1C85" w:rsidRPr="008D0846">
        <w:rPr>
          <w:rStyle w:val="FootnoteReference"/>
          <w:rFonts w:ascii="Verdana" w:hAnsi="Verdana" w:cs="Arial"/>
          <w:sz w:val="18"/>
          <w:szCs w:val="20"/>
        </w:rPr>
        <w:footnoteReference w:id="188"/>
      </w:r>
      <w:r w:rsidR="002E1C85" w:rsidRPr="008D0846">
        <w:rPr>
          <w:rFonts w:ascii="Verdana" w:hAnsi="Verdana" w:cs="Arial"/>
          <w:sz w:val="18"/>
          <w:szCs w:val="20"/>
        </w:rPr>
        <w:t>, y</w:t>
      </w:r>
    </w:p>
    <w:p w14:paraId="64AA5E73" w14:textId="40987D5D" w:rsidR="002E1C85" w:rsidRPr="008D0846" w:rsidRDefault="00D50E04">
      <w:pPr>
        <w:pStyle w:val="ListParagraph"/>
        <w:widowControl w:val="0"/>
        <w:numPr>
          <w:ilvl w:val="2"/>
          <w:numId w:val="4"/>
        </w:numPr>
        <w:tabs>
          <w:tab w:val="left" w:pos="567"/>
          <w:tab w:val="num" w:pos="12305"/>
        </w:tabs>
        <w:adjustRightInd w:val="0"/>
        <w:spacing w:before="120" w:after="120" w:line="240" w:lineRule="auto"/>
        <w:ind w:left="567"/>
        <w:contextualSpacing w:val="0"/>
        <w:jc w:val="both"/>
        <w:textAlignment w:val="baseline"/>
        <w:rPr>
          <w:rFonts w:ascii="Verdana" w:hAnsi="Verdana" w:cs="Arial"/>
          <w:sz w:val="18"/>
          <w:szCs w:val="20"/>
          <w:lang w:eastAsia="ja-JP"/>
        </w:rPr>
      </w:pPr>
      <w:r w:rsidRPr="008D0846">
        <w:rPr>
          <w:rFonts w:ascii="Verdana" w:hAnsi="Verdana" w:cs="Arial"/>
          <w:sz w:val="18"/>
          <w:szCs w:val="20"/>
        </w:rPr>
        <w:t>t</w:t>
      </w:r>
      <w:r w:rsidR="002E1C85" w:rsidRPr="008D0846">
        <w:rPr>
          <w:rFonts w:ascii="Verdana" w:hAnsi="Verdana" w:cs="Arial"/>
          <w:sz w:val="18"/>
          <w:szCs w:val="20"/>
        </w:rPr>
        <w:t>ambién señaló que cuando acudió el 6 de enero de 2010 ante el AMPF en Ciudad Juárez para presentar su denuncia por la desaparición de sus familiares, escuch</w:t>
      </w:r>
      <w:r w:rsidR="002E1C85" w:rsidRPr="008D0846">
        <w:rPr>
          <w:rFonts w:ascii="Verdana" w:hAnsi="Verdana" w:cs="Arial"/>
          <w:sz w:val="18"/>
          <w:szCs w:val="20"/>
          <w:lang w:eastAsia="ja-JP"/>
        </w:rPr>
        <w:t xml:space="preserve">ó una conversación entre el titular de dicha dependencia, Jesús Durazo Hoyos, y su secretaria, en donde ésta afirmaba que las tres personas desaparecidas se encontraban detenidas en las instalaciones de la “guarnición” y la camioneta de la cual fueron sustraídos se hallaba resguardada en la Agencia Estatal de </w:t>
      </w:r>
      <w:r w:rsidR="002E1C85" w:rsidRPr="008D0846">
        <w:rPr>
          <w:rFonts w:ascii="Verdana" w:hAnsi="Verdana" w:cs="Arial"/>
          <w:sz w:val="18"/>
          <w:szCs w:val="20"/>
          <w:lang w:eastAsia="ja-JP"/>
        </w:rPr>
        <w:lastRenderedPageBreak/>
        <w:t>Investigaciones en Nuevo Casas Grandes, dependiente de la PGJE - Chihuahua</w:t>
      </w:r>
      <w:r w:rsidR="002E1C85" w:rsidRPr="008D0846">
        <w:rPr>
          <w:rStyle w:val="FootnoteReference"/>
          <w:rFonts w:ascii="Verdana" w:hAnsi="Verdana" w:cs="Arial"/>
          <w:sz w:val="18"/>
          <w:szCs w:val="20"/>
          <w:lang w:eastAsia="ja-JP"/>
        </w:rPr>
        <w:footnoteReference w:id="189"/>
      </w:r>
      <w:r w:rsidR="002E1C85" w:rsidRPr="008D0846">
        <w:rPr>
          <w:rFonts w:ascii="Verdana" w:hAnsi="Verdana" w:cs="Arial"/>
          <w:sz w:val="18"/>
          <w:szCs w:val="20"/>
          <w:lang w:eastAsia="ja-JP"/>
        </w:rPr>
        <w:t>.</w:t>
      </w:r>
      <w:r w:rsidR="002E1C85" w:rsidRPr="008D0846">
        <w:rPr>
          <w:rStyle w:val="FootnoteReference"/>
          <w:rFonts w:ascii="Verdana" w:hAnsi="Verdana" w:cs="Arial"/>
          <w:sz w:val="18"/>
          <w:szCs w:val="20"/>
          <w:lang w:eastAsia="ja-JP"/>
        </w:rPr>
        <w:t xml:space="preserve"> </w:t>
      </w:r>
      <w:r w:rsidR="002E1C85" w:rsidRPr="008D0846">
        <w:rPr>
          <w:rFonts w:ascii="Verdana" w:hAnsi="Verdana" w:cs="Arial"/>
          <w:sz w:val="18"/>
          <w:szCs w:val="20"/>
          <w:lang w:eastAsia="ja-JP"/>
        </w:rPr>
        <w:t>En este contexto, afirmó que una vez que dichos funcionarios se percataron de que se encontraba escuchando su conversación, cerraron la puerta del lugar en el que esta se estaba llevando a cabo</w:t>
      </w:r>
      <w:r w:rsidR="002E1C85" w:rsidRPr="008D0846">
        <w:rPr>
          <w:rStyle w:val="FootnoteReference"/>
          <w:rFonts w:ascii="Verdana" w:hAnsi="Verdana" w:cs="Arial"/>
          <w:sz w:val="18"/>
          <w:szCs w:val="20"/>
          <w:lang w:eastAsia="ja-JP"/>
        </w:rPr>
        <w:footnoteReference w:id="190"/>
      </w:r>
      <w:r w:rsidR="002E1C85" w:rsidRPr="008D0846">
        <w:rPr>
          <w:rFonts w:ascii="Verdana" w:hAnsi="Verdana" w:cs="Arial"/>
          <w:sz w:val="18"/>
          <w:szCs w:val="20"/>
          <w:lang w:eastAsia="ja-JP"/>
        </w:rPr>
        <w:t xml:space="preserve">. </w:t>
      </w:r>
    </w:p>
    <w:p w14:paraId="64AA5E75" w14:textId="64DCDE9B" w:rsidR="002E1C85" w:rsidRPr="00744CE4" w:rsidRDefault="002E1C85" w:rsidP="00DB378B">
      <w:pPr>
        <w:widowControl w:val="0"/>
        <w:numPr>
          <w:ilvl w:val="0"/>
          <w:numId w:val="4"/>
        </w:numPr>
        <w:tabs>
          <w:tab w:val="left" w:pos="567"/>
          <w:tab w:val="num" w:pos="12305"/>
        </w:tabs>
        <w:adjustRightInd w:val="0"/>
        <w:spacing w:before="120" w:after="120" w:line="240" w:lineRule="auto"/>
        <w:ind w:left="0" w:firstLine="0"/>
        <w:jc w:val="both"/>
        <w:textAlignment w:val="baseline"/>
        <w:rPr>
          <w:rFonts w:ascii="Verdana" w:hAnsi="Verdana" w:cs="Arial"/>
          <w:sz w:val="20"/>
          <w:szCs w:val="20"/>
          <w:lang w:eastAsia="ja-JP"/>
        </w:rPr>
      </w:pPr>
      <w:r w:rsidRPr="00744CE4">
        <w:rPr>
          <w:rFonts w:ascii="Verdana" w:hAnsi="Verdana" w:cs="Arial"/>
          <w:sz w:val="20"/>
          <w:szCs w:val="20"/>
          <w:lang w:eastAsia="ja-JP"/>
        </w:rPr>
        <w:t>El 4 de enero de 2010 Jaime Alvarado Herrera declaró ante la CNDH que cuando acudió a las oficinas de la Policía Ministerial de Nue</w:t>
      </w:r>
      <w:r w:rsidRPr="00432ABC">
        <w:rPr>
          <w:rFonts w:ascii="Verdana" w:hAnsi="Verdana" w:cs="Arial"/>
          <w:sz w:val="20"/>
          <w:szCs w:val="20"/>
          <w:lang w:eastAsia="ja-JP"/>
        </w:rPr>
        <w:t xml:space="preserve">vo Casas Grandes se entrevistó con un funcionario de dicha dependencia apellidado “Leyva”, a quien le fueron puestos en conocimiento los hechos. Dicho funcionario, a su vez, se comunicó vía telefónica con el </w:t>
      </w:r>
      <w:r w:rsidRPr="00432ABC">
        <w:rPr>
          <w:rFonts w:ascii="Verdana" w:hAnsi="Verdana" w:cs="Arial"/>
          <w:sz w:val="20"/>
          <w:szCs w:val="20"/>
        </w:rPr>
        <w:t>AAMP – Buenaventura,</w:t>
      </w:r>
      <w:r w:rsidRPr="00432ABC">
        <w:rPr>
          <w:rFonts w:ascii="Verdana" w:hAnsi="Verdana" w:cs="Arial"/>
          <w:sz w:val="20"/>
          <w:szCs w:val="20"/>
          <w:lang w:eastAsia="ja-JP"/>
        </w:rPr>
        <w:t xml:space="preserve"> Aarón Enríquez Duarte, mome</w:t>
      </w:r>
      <w:r w:rsidRPr="002C462C">
        <w:rPr>
          <w:rFonts w:ascii="Verdana" w:hAnsi="Verdana" w:cs="Arial"/>
          <w:sz w:val="20"/>
          <w:szCs w:val="20"/>
          <w:lang w:eastAsia="ja-JP"/>
        </w:rPr>
        <w:t>nto en el que este le manifestó que sus tres familiares se encontraban detenidos en las instalaciones del 35 Batallón</w:t>
      </w:r>
      <w:r w:rsidRPr="00744CE4">
        <w:rPr>
          <w:rStyle w:val="FootnoteReference"/>
          <w:rFonts w:ascii="Verdana" w:hAnsi="Verdana" w:cs="Arial"/>
          <w:sz w:val="20"/>
          <w:szCs w:val="20"/>
          <w:lang w:eastAsia="ja-JP"/>
        </w:rPr>
        <w:footnoteReference w:id="191"/>
      </w:r>
      <w:r w:rsidRPr="00744CE4">
        <w:rPr>
          <w:rFonts w:ascii="Verdana" w:hAnsi="Verdana" w:cs="Arial"/>
          <w:sz w:val="20"/>
          <w:szCs w:val="20"/>
          <w:lang w:eastAsia="ja-JP"/>
        </w:rPr>
        <w:t>.</w:t>
      </w:r>
    </w:p>
    <w:p w14:paraId="64AA5E77" w14:textId="176E499B" w:rsidR="002E1C85" w:rsidRPr="002C462C" w:rsidRDefault="002E1C85" w:rsidP="00DB378B">
      <w:pPr>
        <w:widowControl w:val="0"/>
        <w:numPr>
          <w:ilvl w:val="0"/>
          <w:numId w:val="4"/>
        </w:numPr>
        <w:tabs>
          <w:tab w:val="left" w:pos="567"/>
          <w:tab w:val="num" w:pos="12305"/>
        </w:tabs>
        <w:adjustRightInd w:val="0"/>
        <w:spacing w:before="120" w:after="120" w:line="240" w:lineRule="auto"/>
        <w:ind w:left="0" w:firstLine="0"/>
        <w:jc w:val="both"/>
        <w:textAlignment w:val="baseline"/>
        <w:rPr>
          <w:rFonts w:ascii="Verdana" w:hAnsi="Verdana"/>
          <w:sz w:val="20"/>
          <w:szCs w:val="20"/>
        </w:rPr>
      </w:pPr>
      <w:r w:rsidRPr="00744CE4">
        <w:rPr>
          <w:rFonts w:ascii="Verdana" w:hAnsi="Verdana" w:cs="Arial"/>
          <w:sz w:val="20"/>
          <w:szCs w:val="20"/>
          <w:lang w:eastAsia="ja-JP"/>
        </w:rPr>
        <w:t xml:space="preserve">Asimismo, el Sargento Primero Conductor del Ejército, Alberto Hernández de la Cruz, quien entre agosto de 2008 y el 16 de enero de 2010 </w:t>
      </w:r>
      <w:r w:rsidRPr="00432ABC">
        <w:rPr>
          <w:rFonts w:ascii="Verdana" w:hAnsi="Verdana" w:cs="Arial"/>
          <w:sz w:val="20"/>
          <w:szCs w:val="20"/>
          <w:lang w:eastAsia="ja-JP"/>
        </w:rPr>
        <w:t>se desempeñó como chofer del Coronel Élfego Luján</w:t>
      </w:r>
      <w:r w:rsidRPr="00432ABC">
        <w:rPr>
          <w:rFonts w:ascii="Verdana" w:hAnsi="Verdana" w:cs="Arial"/>
          <w:sz w:val="20"/>
          <w:szCs w:val="20"/>
        </w:rPr>
        <w:t xml:space="preserve"> </w:t>
      </w:r>
      <w:r w:rsidRPr="00432ABC">
        <w:rPr>
          <w:rFonts w:ascii="Verdana" w:hAnsi="Verdana" w:cs="Arial"/>
          <w:sz w:val="20"/>
          <w:szCs w:val="20"/>
          <w:lang w:eastAsia="ja-JP"/>
        </w:rPr>
        <w:t xml:space="preserve">Ruiz, </w:t>
      </w:r>
      <w:r w:rsidRPr="00432ABC">
        <w:rPr>
          <w:rFonts w:ascii="Verdana" w:hAnsi="Verdana" w:cs="Arial"/>
          <w:sz w:val="20"/>
          <w:szCs w:val="20"/>
        </w:rPr>
        <w:t>Comandante del 35 Batallón</w:t>
      </w:r>
      <w:r w:rsidRPr="00432ABC">
        <w:rPr>
          <w:rFonts w:ascii="Verdana" w:hAnsi="Verdana" w:cs="Arial"/>
          <w:sz w:val="20"/>
          <w:szCs w:val="20"/>
          <w:lang w:eastAsia="ja-JP"/>
        </w:rPr>
        <w:t xml:space="preserve">, rindió su testimonio ante distintas autoridades con relación a las tres desapariciones, a saber: </w:t>
      </w:r>
    </w:p>
    <w:p w14:paraId="3CFCDBF5" w14:textId="2FFD0501" w:rsidR="004562AE" w:rsidRPr="008D0846" w:rsidRDefault="00B4529B">
      <w:pPr>
        <w:pStyle w:val="ListParagraph"/>
        <w:widowControl w:val="0"/>
        <w:numPr>
          <w:ilvl w:val="2"/>
          <w:numId w:val="4"/>
        </w:numPr>
        <w:tabs>
          <w:tab w:val="left" w:pos="567"/>
          <w:tab w:val="num" w:pos="12305"/>
        </w:tabs>
        <w:adjustRightInd w:val="0"/>
        <w:spacing w:before="120" w:after="120" w:line="240" w:lineRule="auto"/>
        <w:ind w:left="567"/>
        <w:contextualSpacing w:val="0"/>
        <w:jc w:val="both"/>
        <w:textAlignment w:val="baseline"/>
        <w:rPr>
          <w:rFonts w:ascii="Verdana" w:hAnsi="Verdana"/>
          <w:sz w:val="18"/>
          <w:szCs w:val="20"/>
        </w:rPr>
      </w:pPr>
      <w:r w:rsidRPr="008D0846">
        <w:rPr>
          <w:rFonts w:ascii="Verdana" w:hAnsi="Verdana" w:cs="Arial"/>
          <w:sz w:val="18"/>
          <w:szCs w:val="20"/>
          <w:lang w:eastAsia="ja-JP"/>
        </w:rPr>
        <w:t>e</w:t>
      </w:r>
      <w:r w:rsidR="002E1C85" w:rsidRPr="008D0846">
        <w:rPr>
          <w:rFonts w:ascii="Verdana" w:hAnsi="Verdana" w:cs="Arial"/>
          <w:sz w:val="18"/>
          <w:szCs w:val="20"/>
          <w:lang w:eastAsia="ja-JP"/>
        </w:rPr>
        <w:t xml:space="preserve">l 5 de febrero de 2010 declaró ante el Agente del Ministerio Público Militar “haberse enterado” de </w:t>
      </w:r>
      <w:r w:rsidR="002E1C85" w:rsidRPr="008D0846">
        <w:rPr>
          <w:rFonts w:ascii="Verdana" w:hAnsi="Verdana" w:cs="Arial"/>
          <w:sz w:val="18"/>
          <w:szCs w:val="20"/>
        </w:rPr>
        <w:t>que el Coronel Luján Ruiz con elementos militares que portaban uniformes de desierto y de selva “levantó” en el Ejido Benito Juárez “a una mujer inválida y a un hombre”, características que corresponderían a Nitza Paola y José Ángel Alvarado. Asimismo, señaló en su declaración que tras la desaparición de las tres personas el 35 Batallón fue “intervenido” por el Comandante de la Guarnición Militar de Puerto Palomas, Chihuahua, el General Jens Pedro Lohmann Iturburu, a efecto de indagar el posible paradero de las tres personas desaparecidas, sin lograr localizarlos en sus instalaciones</w:t>
      </w:r>
      <w:r w:rsidR="002E1C85" w:rsidRPr="008D0846">
        <w:rPr>
          <w:rStyle w:val="FootnoteReference"/>
          <w:rFonts w:ascii="Verdana" w:hAnsi="Verdana" w:cs="Arial"/>
          <w:sz w:val="18"/>
          <w:szCs w:val="20"/>
        </w:rPr>
        <w:footnoteReference w:id="192"/>
      </w:r>
      <w:r w:rsidR="002E1C85" w:rsidRPr="008D0846">
        <w:rPr>
          <w:rFonts w:ascii="Verdana" w:hAnsi="Verdana" w:cs="Arial"/>
          <w:sz w:val="18"/>
          <w:szCs w:val="20"/>
        </w:rPr>
        <w:t xml:space="preserve">. El Sargento Primero Hernández de la Cruz también señaló que el 13 de enero de 2010, mientras viajaba de regreso al 35 Batallón en compañía del Coronel Luján Ruiz tras realizar una supervisión en Parral, Chihuahua: </w:t>
      </w:r>
    </w:p>
    <w:p w14:paraId="64AA5E7B" w14:textId="17E7CB71" w:rsidR="002E1C85" w:rsidRPr="00744CE4" w:rsidRDefault="002E1C85">
      <w:pPr>
        <w:pStyle w:val="ListParagraph"/>
        <w:spacing w:before="120" w:after="120" w:line="240" w:lineRule="auto"/>
        <w:contextualSpacing w:val="0"/>
        <w:jc w:val="both"/>
        <w:rPr>
          <w:rFonts w:ascii="Verdana" w:hAnsi="Verdana"/>
          <w:sz w:val="18"/>
          <w:szCs w:val="20"/>
        </w:rPr>
      </w:pPr>
      <w:r w:rsidRPr="00432ABC">
        <w:rPr>
          <w:rFonts w:ascii="Verdana" w:hAnsi="Verdana"/>
          <w:sz w:val="18"/>
          <w:szCs w:val="20"/>
        </w:rPr>
        <w:t>“[…] [E]l [C]oronel Luján Ruiz recibió una llamada telefónica en uno de los cuatro teléfonos celulares que él portaba, escuchando que lo alertaban sobre la presencia del Comandante de la Guarnición de Palomas, [Jens Pedro Lohmann], percatándome que el Coronel Luján Ruiz con notoria preocupación preguntó: ‘</w:t>
      </w:r>
      <w:r w:rsidRPr="002C462C">
        <w:rPr>
          <w:rFonts w:ascii="Verdana" w:hAnsi="Verdana"/>
          <w:i/>
          <w:sz w:val="18"/>
          <w:szCs w:val="20"/>
        </w:rPr>
        <w:t>y que sabes de la basura que les ordene que sacaran, ya la tiraron?</w:t>
      </w:r>
      <w:r w:rsidRPr="002C462C">
        <w:rPr>
          <w:rFonts w:ascii="Verdana" w:hAnsi="Verdana"/>
          <w:sz w:val="18"/>
          <w:szCs w:val="20"/>
        </w:rPr>
        <w:t>’, escuchando que le decían que sí, desconociendo a qu</w:t>
      </w:r>
      <w:r w:rsidRPr="00744CE4">
        <w:rPr>
          <w:rFonts w:ascii="Verdana" w:hAnsi="Verdana"/>
          <w:sz w:val="18"/>
          <w:szCs w:val="20"/>
        </w:rPr>
        <w:t>é se referían con esa pregunta pero me llamó mucho la atención […]”</w:t>
      </w:r>
      <w:r w:rsidRPr="00744CE4">
        <w:rPr>
          <w:rStyle w:val="FootnoteReference"/>
          <w:rFonts w:ascii="Verdana" w:hAnsi="Verdana"/>
          <w:sz w:val="18"/>
          <w:szCs w:val="20"/>
        </w:rPr>
        <w:footnoteReference w:id="193"/>
      </w:r>
      <w:r w:rsidR="00D50E04" w:rsidRPr="00744CE4">
        <w:rPr>
          <w:rFonts w:ascii="Verdana" w:hAnsi="Verdana"/>
          <w:sz w:val="18"/>
          <w:szCs w:val="20"/>
        </w:rPr>
        <w:t>;</w:t>
      </w:r>
    </w:p>
    <w:p w14:paraId="64AA5E7D" w14:textId="3649E428" w:rsidR="002E1C85" w:rsidRPr="008D0846" w:rsidRDefault="00D50E04">
      <w:pPr>
        <w:pStyle w:val="ListParagraph"/>
        <w:widowControl w:val="0"/>
        <w:numPr>
          <w:ilvl w:val="2"/>
          <w:numId w:val="4"/>
        </w:numPr>
        <w:tabs>
          <w:tab w:val="left" w:pos="567"/>
          <w:tab w:val="num" w:pos="12305"/>
        </w:tabs>
        <w:adjustRightInd w:val="0"/>
        <w:spacing w:before="120" w:after="120" w:line="240" w:lineRule="auto"/>
        <w:ind w:left="567"/>
        <w:contextualSpacing w:val="0"/>
        <w:jc w:val="both"/>
        <w:textAlignment w:val="baseline"/>
        <w:rPr>
          <w:rFonts w:ascii="Verdana" w:hAnsi="Verdana"/>
          <w:sz w:val="18"/>
          <w:szCs w:val="20"/>
        </w:rPr>
      </w:pPr>
      <w:r w:rsidRPr="008D0846">
        <w:rPr>
          <w:rFonts w:ascii="Verdana" w:hAnsi="Verdana" w:cs="Arial"/>
          <w:sz w:val="18"/>
          <w:szCs w:val="20"/>
        </w:rPr>
        <w:t>c</w:t>
      </w:r>
      <w:r w:rsidR="002E1C85" w:rsidRPr="008D0846">
        <w:rPr>
          <w:rFonts w:ascii="Verdana" w:hAnsi="Verdana" w:cs="Arial"/>
          <w:sz w:val="18"/>
          <w:szCs w:val="20"/>
        </w:rPr>
        <w:t xml:space="preserve">on relación a dicha información, el 20 de diciembre de 2010 el Supremo Tribunal Militar, dentro del </w:t>
      </w:r>
      <w:r w:rsidR="002E1C85" w:rsidRPr="008D0846">
        <w:rPr>
          <w:rFonts w:ascii="Verdana" w:hAnsi="Verdana" w:cs="Arial"/>
          <w:sz w:val="18"/>
          <w:szCs w:val="20"/>
        </w:rPr>
        <w:lastRenderedPageBreak/>
        <w:t>recurso de apelación 61/2010 promovido en otros hechos en los que también supuestamente habría participado personal del 35 Batallón al mando del Coronel Luján Ruiz</w:t>
      </w:r>
      <w:r w:rsidR="002E1C85" w:rsidRPr="008D0846">
        <w:rPr>
          <w:rStyle w:val="FootnoteReference"/>
          <w:rFonts w:ascii="Verdana" w:hAnsi="Verdana" w:cs="Arial"/>
          <w:sz w:val="18"/>
          <w:szCs w:val="20"/>
        </w:rPr>
        <w:footnoteReference w:id="194"/>
      </w:r>
      <w:r w:rsidR="002E1C85" w:rsidRPr="008D0846">
        <w:rPr>
          <w:rFonts w:ascii="Verdana" w:hAnsi="Verdana" w:cs="Arial"/>
          <w:sz w:val="18"/>
          <w:szCs w:val="20"/>
        </w:rPr>
        <w:t>, valoró el testimonio del Sargento Primero Hernández de la Cruz como “ineficaz en lo que respecta al asunto que nos ocupa [la desaparición de los tres familiares Alvarado] […] ya que trata de asuntos diversos […] hechos que si bien a todas luces son delictivos, no tienen relación con los hechos que nos ocupan” [sic]</w:t>
      </w:r>
      <w:r w:rsidR="002E1C85" w:rsidRPr="008D0846">
        <w:rPr>
          <w:rStyle w:val="FootnoteReference"/>
          <w:rFonts w:ascii="Verdana" w:hAnsi="Verdana" w:cs="Arial"/>
          <w:sz w:val="18"/>
          <w:szCs w:val="20"/>
        </w:rPr>
        <w:footnoteReference w:id="195"/>
      </w:r>
      <w:r w:rsidRPr="008D0846">
        <w:rPr>
          <w:rFonts w:ascii="Verdana" w:hAnsi="Verdana" w:cs="Arial"/>
          <w:sz w:val="18"/>
          <w:szCs w:val="20"/>
        </w:rPr>
        <w:t>;</w:t>
      </w:r>
    </w:p>
    <w:p w14:paraId="64AA5E7F" w14:textId="02BB13F6" w:rsidR="002E1C85" w:rsidRPr="008D0846" w:rsidRDefault="00D50E04">
      <w:pPr>
        <w:pStyle w:val="ListParagraph"/>
        <w:widowControl w:val="0"/>
        <w:numPr>
          <w:ilvl w:val="2"/>
          <w:numId w:val="4"/>
        </w:numPr>
        <w:tabs>
          <w:tab w:val="left" w:pos="567"/>
          <w:tab w:val="num" w:pos="12305"/>
        </w:tabs>
        <w:adjustRightInd w:val="0"/>
        <w:spacing w:before="120" w:after="120" w:line="240" w:lineRule="auto"/>
        <w:ind w:left="567"/>
        <w:contextualSpacing w:val="0"/>
        <w:jc w:val="both"/>
        <w:textAlignment w:val="baseline"/>
        <w:rPr>
          <w:rFonts w:ascii="Verdana" w:hAnsi="Verdana"/>
          <w:sz w:val="18"/>
          <w:szCs w:val="20"/>
        </w:rPr>
      </w:pPr>
      <w:r w:rsidRPr="008D0846">
        <w:rPr>
          <w:rFonts w:ascii="Verdana" w:hAnsi="Verdana"/>
          <w:sz w:val="18"/>
          <w:szCs w:val="20"/>
        </w:rPr>
        <w:t>e</w:t>
      </w:r>
      <w:r w:rsidR="002E1C85" w:rsidRPr="008D0846">
        <w:rPr>
          <w:rFonts w:ascii="Verdana" w:hAnsi="Verdana"/>
          <w:sz w:val="18"/>
          <w:szCs w:val="20"/>
        </w:rPr>
        <w:t xml:space="preserve">l 13 de abril de 2011 compareció ante el Agente del Ministerio Público Militar Especial en Ciudad Juárez, Chihuahua y se retractó de su declaración rendida el </w:t>
      </w:r>
      <w:r w:rsidR="002E1C85" w:rsidRPr="008D0846">
        <w:rPr>
          <w:rFonts w:ascii="Verdana" w:hAnsi="Verdana" w:cs="Arial"/>
          <w:sz w:val="18"/>
          <w:szCs w:val="20"/>
          <w:lang w:eastAsia="ja-JP"/>
        </w:rPr>
        <w:t>5 de febrero de 2010 ante el Agente del Ministerio Público Militar (</w:t>
      </w:r>
      <w:r w:rsidR="002E1C85" w:rsidRPr="008D0846">
        <w:rPr>
          <w:rFonts w:ascii="Verdana" w:hAnsi="Verdana" w:cs="Arial"/>
          <w:i/>
          <w:sz w:val="18"/>
          <w:szCs w:val="20"/>
          <w:lang w:eastAsia="ja-JP"/>
        </w:rPr>
        <w:t xml:space="preserve">supra, </w:t>
      </w:r>
      <w:r w:rsidR="002E1C85" w:rsidRPr="008D0846">
        <w:rPr>
          <w:rFonts w:ascii="Verdana" w:hAnsi="Verdana" w:cs="Arial"/>
          <w:sz w:val="18"/>
          <w:szCs w:val="20"/>
          <w:lang w:eastAsia="ja-JP"/>
        </w:rPr>
        <w:t>numeral i). C</w:t>
      </w:r>
      <w:r w:rsidR="002E1C85" w:rsidRPr="008D0846">
        <w:rPr>
          <w:rFonts w:ascii="Verdana" w:hAnsi="Verdana"/>
          <w:sz w:val="18"/>
          <w:szCs w:val="20"/>
        </w:rPr>
        <w:t>on relación a las tres desapariciones manifestó no recordar si salió a algún lugar en compañía del Coronel Luján el día de los hechos; que se enteró por la radio comercial –estación 104.9- cerca de las 7:00 de la mañana de que “levantaron a un hombre inválido y a una mujer en el poblado Benito Juárez”, pero que no recordaba en qué día esto sucedió. Agregó “que no estuvo ahí”; no haberse dado cuenta “de la detención”; “que no supo de eso”; “que no se enteró de eso, ya que él solo se dedicaba a manejar”; “que no tuvo conocimiento del hecho”; que solo lo escuchó por la radio comercial, pero que no vio que hubieran detenido “a un hombre inválido y a una mujer”, “que él nunca manejaba en terracería” y que “nunca” trasladó al Coronel Luján al Ejido Benito Juárez</w:t>
      </w:r>
      <w:r w:rsidR="002E1C85" w:rsidRPr="008D0846">
        <w:rPr>
          <w:rStyle w:val="FootnoteReference"/>
          <w:rFonts w:ascii="Verdana" w:hAnsi="Verdana"/>
          <w:sz w:val="18"/>
          <w:szCs w:val="20"/>
        </w:rPr>
        <w:footnoteReference w:id="196"/>
      </w:r>
      <w:r w:rsidRPr="008D0846">
        <w:rPr>
          <w:rFonts w:ascii="Verdana" w:hAnsi="Verdana"/>
          <w:sz w:val="18"/>
          <w:szCs w:val="20"/>
        </w:rPr>
        <w:t>;</w:t>
      </w:r>
    </w:p>
    <w:p w14:paraId="64AA5E81" w14:textId="44A89FF7" w:rsidR="002E1C85" w:rsidRPr="008D0846" w:rsidRDefault="00D50E04">
      <w:pPr>
        <w:pStyle w:val="ListParagraph"/>
        <w:widowControl w:val="0"/>
        <w:numPr>
          <w:ilvl w:val="2"/>
          <w:numId w:val="4"/>
        </w:numPr>
        <w:tabs>
          <w:tab w:val="left" w:pos="567"/>
          <w:tab w:val="num" w:pos="12305"/>
        </w:tabs>
        <w:adjustRightInd w:val="0"/>
        <w:spacing w:before="120" w:after="120" w:line="240" w:lineRule="auto"/>
        <w:ind w:left="567"/>
        <w:contextualSpacing w:val="0"/>
        <w:jc w:val="both"/>
        <w:textAlignment w:val="baseline"/>
        <w:rPr>
          <w:rFonts w:ascii="Verdana" w:hAnsi="Verdana"/>
          <w:sz w:val="18"/>
          <w:szCs w:val="20"/>
        </w:rPr>
      </w:pPr>
      <w:r w:rsidRPr="008D0846">
        <w:rPr>
          <w:rFonts w:ascii="Verdana" w:hAnsi="Verdana" w:cs="Arial"/>
          <w:sz w:val="18"/>
          <w:szCs w:val="20"/>
        </w:rPr>
        <w:t>e</w:t>
      </w:r>
      <w:r w:rsidR="002E1C85" w:rsidRPr="008D0846">
        <w:rPr>
          <w:rFonts w:ascii="Verdana" w:hAnsi="Verdana" w:cs="Arial"/>
          <w:sz w:val="18"/>
          <w:szCs w:val="20"/>
        </w:rPr>
        <w:t xml:space="preserve">l 30 de junio de 2014 testificó ante la Unidad Especializada </w:t>
      </w:r>
      <w:r w:rsidR="002E1C85" w:rsidRPr="008D0846">
        <w:rPr>
          <w:rFonts w:ascii="Verdana" w:hAnsi="Verdana"/>
          <w:sz w:val="18"/>
          <w:szCs w:val="20"/>
        </w:rPr>
        <w:t xml:space="preserve">UEBPD – PGR </w:t>
      </w:r>
      <w:r w:rsidR="002E1C85" w:rsidRPr="008D0846">
        <w:rPr>
          <w:rFonts w:ascii="Verdana" w:hAnsi="Verdana" w:cs="Arial"/>
          <w:sz w:val="18"/>
          <w:szCs w:val="20"/>
        </w:rPr>
        <w:t>y se retractó nuevamente de su declaración inicial rendida el 5 de febrero de 2010 ante el Agente del Ministerio Público Militar, mencionando que se había enterado de dicho “levantón” [detención ilegal] a través de la radio comercial sin recordar la fecha en que éste ocurrió y que no refirió anteriormente cómo se había enterado de los hechos porque no se le preguntó expresamente; que desconocía el tipo de invalidez que padecía la mujer que mencionó en dicha declaración; que el Coronel Luján “en ningún momento” le comentó sobre dicho “levantón” y tampoco algún otro miembro del 35 Batallón; que no recibió amenaza, presión o promesa de beneficio económico a cambio de abstenerse de dar detalles de tal “levantón”, y, finalmente, que la conducta de nerviosismo que había observado en el Coronel Luján se debía “[al] estrés que había en el [35] Batallón dada la carga de trabajo que tenía”</w:t>
      </w:r>
      <w:r w:rsidR="002E1C85" w:rsidRPr="008D0846">
        <w:rPr>
          <w:rStyle w:val="FootnoteReference"/>
          <w:rFonts w:ascii="Verdana" w:hAnsi="Verdana" w:cs="Arial"/>
          <w:sz w:val="18"/>
          <w:szCs w:val="20"/>
        </w:rPr>
        <w:footnoteReference w:id="197"/>
      </w:r>
      <w:r w:rsidRPr="008D0846">
        <w:rPr>
          <w:rFonts w:ascii="Verdana" w:hAnsi="Verdana" w:cs="Arial"/>
          <w:sz w:val="18"/>
          <w:szCs w:val="20"/>
        </w:rPr>
        <w:t>, y</w:t>
      </w:r>
    </w:p>
    <w:p w14:paraId="64AA5E83" w14:textId="09FB683C" w:rsidR="002E1C85" w:rsidRPr="008D0846" w:rsidRDefault="00D50E04">
      <w:pPr>
        <w:pStyle w:val="ListParagraph"/>
        <w:widowControl w:val="0"/>
        <w:numPr>
          <w:ilvl w:val="2"/>
          <w:numId w:val="4"/>
        </w:numPr>
        <w:tabs>
          <w:tab w:val="left" w:pos="567"/>
          <w:tab w:val="num" w:pos="12305"/>
        </w:tabs>
        <w:adjustRightInd w:val="0"/>
        <w:spacing w:before="120" w:after="120" w:line="240" w:lineRule="auto"/>
        <w:ind w:left="567"/>
        <w:contextualSpacing w:val="0"/>
        <w:jc w:val="both"/>
        <w:textAlignment w:val="baseline"/>
        <w:rPr>
          <w:rFonts w:ascii="Verdana" w:hAnsi="Verdana"/>
          <w:sz w:val="18"/>
          <w:szCs w:val="20"/>
        </w:rPr>
      </w:pPr>
      <w:r w:rsidRPr="008D0846">
        <w:rPr>
          <w:rFonts w:ascii="Verdana" w:hAnsi="Verdana"/>
          <w:sz w:val="18"/>
          <w:szCs w:val="20"/>
        </w:rPr>
        <w:t>r</w:t>
      </w:r>
      <w:r w:rsidR="002E1C85" w:rsidRPr="008D0846">
        <w:rPr>
          <w:rFonts w:ascii="Verdana" w:hAnsi="Verdana"/>
          <w:sz w:val="18"/>
          <w:szCs w:val="20"/>
        </w:rPr>
        <w:t>especto de ésta última declaración, el Agente del Ministerio Público de la Federación adscrito a la Unidad Especializada de Búsqueda de Personas Desaparecidas de la Procuraduría general de la República [UEBPD – PGR], al ejercer acción penal el 31 de marzo de 2014 en contra del Coronel Élfego José Luján por su presunta responsabilidad en la desaparición de las tres presuntas víctimas (</w:t>
      </w:r>
      <w:r w:rsidR="00205AF7" w:rsidRPr="008D0846">
        <w:rPr>
          <w:rFonts w:ascii="Verdana" w:hAnsi="Verdana"/>
          <w:i/>
          <w:sz w:val="18"/>
          <w:szCs w:val="20"/>
        </w:rPr>
        <w:t>infra</w:t>
      </w:r>
      <w:r w:rsidR="002E1C85" w:rsidRPr="008D0846">
        <w:rPr>
          <w:rFonts w:ascii="Verdana" w:hAnsi="Verdana"/>
          <w:i/>
          <w:sz w:val="18"/>
          <w:szCs w:val="20"/>
        </w:rPr>
        <w:t xml:space="preserve"> </w:t>
      </w:r>
      <w:r w:rsidR="002E1C85" w:rsidRPr="008D0846">
        <w:rPr>
          <w:rFonts w:ascii="Verdana" w:hAnsi="Verdana"/>
          <w:sz w:val="18"/>
          <w:szCs w:val="20"/>
        </w:rPr>
        <w:t xml:space="preserve">párr. </w:t>
      </w:r>
      <w:r w:rsidR="00693236" w:rsidRPr="008D0846">
        <w:rPr>
          <w:rFonts w:ascii="Verdana" w:hAnsi="Verdana"/>
          <w:sz w:val="18"/>
          <w:szCs w:val="20"/>
        </w:rPr>
        <w:t>124</w:t>
      </w:r>
      <w:r w:rsidR="002E1C85" w:rsidRPr="008D0846">
        <w:rPr>
          <w:rFonts w:ascii="Verdana" w:hAnsi="Verdana"/>
          <w:sz w:val="18"/>
          <w:szCs w:val="20"/>
        </w:rPr>
        <w:t>) consideró que:</w:t>
      </w:r>
    </w:p>
    <w:p w14:paraId="64AA5E85" w14:textId="147D7C0E" w:rsidR="002E1C85" w:rsidRPr="00744CE4" w:rsidRDefault="002E1C85">
      <w:pPr>
        <w:autoSpaceDE w:val="0"/>
        <w:autoSpaceDN w:val="0"/>
        <w:adjustRightInd w:val="0"/>
        <w:spacing w:before="120" w:after="120" w:line="240" w:lineRule="auto"/>
        <w:ind w:left="720"/>
        <w:jc w:val="both"/>
        <w:rPr>
          <w:rFonts w:ascii="Verdana" w:eastAsiaTheme="minorHAnsi" w:hAnsi="Verdana" w:cs="Cambria"/>
          <w:sz w:val="18"/>
          <w:szCs w:val="20"/>
        </w:rPr>
      </w:pPr>
      <w:r w:rsidRPr="00744CE4">
        <w:rPr>
          <w:rFonts w:ascii="Verdana" w:eastAsiaTheme="minorHAnsi" w:hAnsi="Verdana" w:cs="Cambria"/>
          <w:sz w:val="18"/>
          <w:szCs w:val="20"/>
        </w:rPr>
        <w:t>“[…] [D]ebe desestimarse la pretendida retractación del conductor [</w:t>
      </w:r>
      <w:r w:rsidRPr="00744CE4">
        <w:rPr>
          <w:rFonts w:ascii="Verdana" w:hAnsi="Verdana" w:cs="Arial"/>
          <w:sz w:val="18"/>
          <w:szCs w:val="20"/>
        </w:rPr>
        <w:t>Alberto Hernández de la Cruz</w:t>
      </w:r>
      <w:r w:rsidRPr="00744CE4">
        <w:rPr>
          <w:rFonts w:ascii="Verdana" w:eastAsiaTheme="minorHAnsi" w:hAnsi="Verdana" w:cs="Cambria"/>
          <w:sz w:val="18"/>
          <w:szCs w:val="20"/>
        </w:rPr>
        <w:t>] porque no está fortalecida con ningún medio de prueba, además resulta contradictoria con las circunstancias que introduce en su primer declaración y, fundamentalmente, porque la declaración primaria adquiere un valor preponderante cuando es rendida con cercanía a los hechos, de manera libre y espontánea y desprovista de elementos que afecten su veracidad […]”</w:t>
      </w:r>
      <w:r w:rsidRPr="00744CE4">
        <w:rPr>
          <w:rStyle w:val="FootnoteReference"/>
          <w:rFonts w:ascii="Verdana" w:eastAsiaTheme="minorHAnsi" w:hAnsi="Verdana" w:cs="Cambria"/>
          <w:sz w:val="18"/>
          <w:szCs w:val="20"/>
        </w:rPr>
        <w:footnoteReference w:id="198"/>
      </w:r>
      <w:r w:rsidR="00E01110" w:rsidRPr="00744CE4">
        <w:rPr>
          <w:rFonts w:ascii="Verdana" w:eastAsiaTheme="minorHAnsi" w:hAnsi="Verdana" w:cs="Cambria"/>
          <w:sz w:val="18"/>
          <w:szCs w:val="20"/>
        </w:rPr>
        <w:t>.</w:t>
      </w:r>
    </w:p>
    <w:p w14:paraId="64AA5E87" w14:textId="32D1CCC5" w:rsidR="002E1C85" w:rsidRPr="00432ABC" w:rsidRDefault="002E1C85" w:rsidP="00DB378B">
      <w:pPr>
        <w:widowControl w:val="0"/>
        <w:numPr>
          <w:ilvl w:val="0"/>
          <w:numId w:val="4"/>
        </w:numPr>
        <w:tabs>
          <w:tab w:val="left" w:pos="567"/>
          <w:tab w:val="num" w:pos="12305"/>
        </w:tabs>
        <w:adjustRightInd w:val="0"/>
        <w:spacing w:before="120" w:after="120" w:line="240" w:lineRule="auto"/>
        <w:ind w:left="0" w:firstLine="0"/>
        <w:jc w:val="both"/>
        <w:textAlignment w:val="baseline"/>
        <w:rPr>
          <w:rFonts w:ascii="Verdana" w:hAnsi="Verdana"/>
          <w:sz w:val="20"/>
          <w:szCs w:val="20"/>
        </w:rPr>
      </w:pPr>
      <w:r w:rsidRPr="00432ABC">
        <w:rPr>
          <w:rFonts w:ascii="Verdana" w:hAnsi="Verdana"/>
          <w:sz w:val="20"/>
          <w:szCs w:val="20"/>
        </w:rPr>
        <w:t xml:space="preserve">En relación con la presunta detención y puesta a disposición de las tres personas desaparecidas por parte de personal militar ante autoridades ministeriales del Estado de Chihuahua, constan en el acervo probatorio diversos testimonios de agentes estatales; a saber: </w:t>
      </w:r>
    </w:p>
    <w:p w14:paraId="64AA5E89" w14:textId="5F608D4D" w:rsidR="002E1C85" w:rsidRPr="008D0846" w:rsidRDefault="00B4529B">
      <w:pPr>
        <w:pStyle w:val="ListParagraph"/>
        <w:numPr>
          <w:ilvl w:val="2"/>
          <w:numId w:val="4"/>
        </w:numPr>
        <w:spacing w:before="120" w:after="120" w:line="240" w:lineRule="auto"/>
        <w:ind w:left="567"/>
        <w:contextualSpacing w:val="0"/>
        <w:jc w:val="both"/>
        <w:rPr>
          <w:rFonts w:ascii="Verdana" w:hAnsi="Verdana"/>
          <w:sz w:val="18"/>
          <w:szCs w:val="20"/>
        </w:rPr>
      </w:pPr>
      <w:r w:rsidRPr="008D0846">
        <w:rPr>
          <w:rFonts w:ascii="Verdana" w:hAnsi="Verdana"/>
          <w:sz w:val="18"/>
          <w:szCs w:val="20"/>
        </w:rPr>
        <w:lastRenderedPageBreak/>
        <w:t>e</w:t>
      </w:r>
      <w:r w:rsidR="002E1C85" w:rsidRPr="008D0846">
        <w:rPr>
          <w:rFonts w:ascii="Verdana" w:hAnsi="Verdana"/>
          <w:sz w:val="18"/>
          <w:szCs w:val="20"/>
        </w:rPr>
        <w:t>l 30 de diciembre de 2009 Argene Blásquez Morales, encargada de Política Criminal en la PGR - Chihuahua, recibió una llamada telefónica de alguien que se identificó  como “Comandante de la Policía Federal”, quien le indicó que tenía conocimiento de una detención que había realizado personal militar y le solicitó su intervención para poder entrevistar a unas personas que supuestamente estaban detenidas por personal militar, quienes se encontrarían relacionados con la desaparición de unos agentes de su corporación. Ante dicha petición, la señora Blásquez Morales le indicó que acudiera con el AMPF de Nuevo Casas Grandes, dado que en razón de competencia correspondía conocer del asunto a este último. Tras concluir dicha llamada, Argene Blásquez se comunicó con el titular de dicha dependencia, Ramón Iván Sotomayor Siller, para informarle que los supuestos elementos de la Policía Federal “irían con él para plantearle alguna situación institucional respecto a una puesta a disposición que, según ellos, realizaría personal militar”</w:t>
      </w:r>
      <w:r w:rsidR="002E1C85" w:rsidRPr="008D0846">
        <w:rPr>
          <w:rStyle w:val="FootnoteReference"/>
          <w:rFonts w:ascii="Verdana" w:hAnsi="Verdana"/>
          <w:sz w:val="18"/>
          <w:szCs w:val="20"/>
        </w:rPr>
        <w:footnoteReference w:id="199"/>
      </w:r>
      <w:r w:rsidR="00D50E04" w:rsidRPr="008D0846">
        <w:rPr>
          <w:rFonts w:ascii="Verdana" w:hAnsi="Verdana"/>
          <w:sz w:val="18"/>
          <w:szCs w:val="20"/>
        </w:rPr>
        <w:t>;</w:t>
      </w:r>
      <w:r w:rsidR="002E1C85" w:rsidRPr="008D0846">
        <w:rPr>
          <w:rFonts w:ascii="Verdana" w:hAnsi="Verdana"/>
          <w:sz w:val="18"/>
          <w:szCs w:val="20"/>
        </w:rPr>
        <w:t xml:space="preserve"> </w:t>
      </w:r>
    </w:p>
    <w:p w14:paraId="64AA5E8B" w14:textId="72809810" w:rsidR="002E1C85" w:rsidRPr="008D0846" w:rsidRDefault="00D50E04">
      <w:pPr>
        <w:pStyle w:val="ListParagraph"/>
        <w:widowControl w:val="0"/>
        <w:numPr>
          <w:ilvl w:val="2"/>
          <w:numId w:val="4"/>
        </w:numPr>
        <w:tabs>
          <w:tab w:val="left" w:pos="567"/>
        </w:tabs>
        <w:adjustRightInd w:val="0"/>
        <w:spacing w:before="120" w:after="120" w:line="240" w:lineRule="auto"/>
        <w:ind w:left="567"/>
        <w:contextualSpacing w:val="0"/>
        <w:jc w:val="both"/>
        <w:textAlignment w:val="baseline"/>
        <w:rPr>
          <w:rFonts w:ascii="Verdana" w:hAnsi="Verdana"/>
          <w:sz w:val="18"/>
          <w:szCs w:val="20"/>
        </w:rPr>
      </w:pPr>
      <w:r w:rsidRPr="008D0846">
        <w:rPr>
          <w:rFonts w:ascii="Verdana" w:hAnsi="Verdana"/>
          <w:sz w:val="18"/>
          <w:szCs w:val="20"/>
        </w:rPr>
        <w:t>a</w:t>
      </w:r>
      <w:r w:rsidR="002E1C85" w:rsidRPr="008D0846">
        <w:rPr>
          <w:rFonts w:ascii="Verdana" w:hAnsi="Verdana"/>
          <w:sz w:val="18"/>
          <w:szCs w:val="20"/>
        </w:rPr>
        <w:t xml:space="preserve">l respecto, Ramón Iván Sotomayor Siller, AMPF en Nuevo Casas Grandes al momento de las 3 desapariciones declaró: </w:t>
      </w:r>
    </w:p>
    <w:p w14:paraId="0F4BFE4A" w14:textId="4A56A249" w:rsidR="00EC08E0" w:rsidRPr="00744CE4" w:rsidRDefault="002E1C85">
      <w:pPr>
        <w:pStyle w:val="ListParagraph"/>
        <w:autoSpaceDE w:val="0"/>
        <w:autoSpaceDN w:val="0"/>
        <w:adjustRightInd w:val="0"/>
        <w:spacing w:before="120" w:after="120" w:line="240" w:lineRule="auto"/>
        <w:contextualSpacing w:val="0"/>
        <w:jc w:val="both"/>
        <w:rPr>
          <w:rFonts w:ascii="Verdana" w:hAnsi="Verdana"/>
          <w:sz w:val="18"/>
          <w:szCs w:val="20"/>
        </w:rPr>
      </w:pPr>
      <w:r w:rsidRPr="002C462C">
        <w:rPr>
          <w:rFonts w:ascii="Verdana" w:hAnsi="Verdana"/>
          <w:sz w:val="18"/>
          <w:szCs w:val="20"/>
        </w:rPr>
        <w:t>“[…] Me enteré de [la desaparición de las tres presuntas víctimas] hasta el día treinta de [diciembre de 2009], al recibir una llamada del guardia Eduardo Rentería quien me manifestó que la licenciada Argene [Blásquez Morales] me estaba buscando de urgencia […] por lo que de inmediato le marqué de mi celular […] [Argene Blásquez] me manifestó que en el transcurso del día iría un comandante de la Policía Federal de apell</w:t>
      </w:r>
      <w:r w:rsidRPr="00744CE4">
        <w:rPr>
          <w:rFonts w:ascii="Verdana" w:hAnsi="Verdana"/>
          <w:sz w:val="18"/>
          <w:szCs w:val="20"/>
        </w:rPr>
        <w:t>ido “Meza”, para interrogar a tres personas que yo ten[dr]ía a mi disposición, mismas que estaban relacionadas con la desaparición de dos o tres agentes de la [P]olicía [F]ederal, por lo que le manifesté […] que no tenía a nadie detenido, ni a los tres que mencionó ni a ningún otro, y menos puesto a disposición [sic], diciéndome la licenciada Blásquez que entonces en el transcurso los soldados pondrían a disposición a estas personas, reiterándome [su petición] la licenciada Blásquez [para] que le brindara todo el apoyo a los policías federales que irían a entrevistarlos […]”</w:t>
      </w:r>
      <w:r w:rsidRPr="00744CE4">
        <w:rPr>
          <w:rStyle w:val="FootnoteReference"/>
          <w:rFonts w:ascii="Verdana" w:hAnsi="Verdana"/>
          <w:sz w:val="18"/>
          <w:szCs w:val="20"/>
        </w:rPr>
        <w:footnoteReference w:id="200"/>
      </w:r>
      <w:r w:rsidR="00D50E04" w:rsidRPr="00744CE4">
        <w:rPr>
          <w:rFonts w:ascii="Verdana" w:hAnsi="Verdana"/>
          <w:sz w:val="18"/>
          <w:szCs w:val="20"/>
        </w:rPr>
        <w:t>;</w:t>
      </w:r>
    </w:p>
    <w:p w14:paraId="64AA5E8F" w14:textId="2D2925C9" w:rsidR="002E1C85" w:rsidRPr="008D0846" w:rsidRDefault="00D50E04">
      <w:pPr>
        <w:pStyle w:val="ListParagraph"/>
        <w:widowControl w:val="0"/>
        <w:numPr>
          <w:ilvl w:val="2"/>
          <w:numId w:val="4"/>
        </w:numPr>
        <w:tabs>
          <w:tab w:val="left" w:pos="567"/>
        </w:tabs>
        <w:adjustRightInd w:val="0"/>
        <w:spacing w:before="120" w:after="120" w:line="240" w:lineRule="auto"/>
        <w:ind w:left="567"/>
        <w:contextualSpacing w:val="0"/>
        <w:jc w:val="both"/>
        <w:textAlignment w:val="baseline"/>
        <w:rPr>
          <w:rFonts w:ascii="Verdana" w:hAnsi="Verdana"/>
          <w:sz w:val="18"/>
          <w:szCs w:val="20"/>
        </w:rPr>
      </w:pPr>
      <w:r w:rsidRPr="008D0846">
        <w:rPr>
          <w:rFonts w:ascii="Verdana" w:hAnsi="Verdana"/>
          <w:sz w:val="18"/>
          <w:szCs w:val="20"/>
        </w:rPr>
        <w:t>e</w:t>
      </w:r>
      <w:r w:rsidR="002E1C85" w:rsidRPr="008D0846">
        <w:rPr>
          <w:rFonts w:ascii="Verdana" w:hAnsi="Verdana"/>
          <w:sz w:val="18"/>
          <w:szCs w:val="20"/>
        </w:rPr>
        <w:t>l 30 de diciembre de 2009 Damaris Baglietto Hernández, Subdelegada de la PGR - Chihuahua se enteró de la desaparición de las presuntas víctimas por una llamada telefónica que recibió de Ramón Iván Sotomayor Siller, AMPF en Nuevo Casas Grandes. En dicha llamada, el agente Sotomayor le informó de la llamada de Argene Blásquez Morales preguntando por las tres personas desaparecidas y que el agente Sotomayor le contestó que ninguno de ellos se encontraba detenido bajo su custodia. También fue informada de que la señora Blásquez indicó al agente Sotomayor que, “entonces”, durante el transcurso de ese día “los soldados” pondrían a su disposición a los detenidos y le pidió que facilitara al “Comandante Meza” el acceso a tales personas para que éste los entrevistara con relación a la desaparición de dos o tres agentes de su corporación</w:t>
      </w:r>
      <w:r w:rsidR="002E1C85" w:rsidRPr="008D0846">
        <w:rPr>
          <w:rStyle w:val="FootnoteReference"/>
          <w:rFonts w:ascii="Verdana" w:hAnsi="Verdana"/>
          <w:sz w:val="18"/>
          <w:szCs w:val="20"/>
        </w:rPr>
        <w:footnoteReference w:id="201"/>
      </w:r>
      <w:r w:rsidRPr="008D0846">
        <w:rPr>
          <w:rFonts w:ascii="Verdana" w:hAnsi="Verdana"/>
          <w:sz w:val="18"/>
          <w:szCs w:val="20"/>
        </w:rPr>
        <w:t>;</w:t>
      </w:r>
    </w:p>
    <w:p w14:paraId="64AA5E91" w14:textId="46EEDFFF" w:rsidR="002E1C85" w:rsidRPr="008D0846" w:rsidRDefault="00D50E04">
      <w:pPr>
        <w:pStyle w:val="ListParagraph"/>
        <w:widowControl w:val="0"/>
        <w:numPr>
          <w:ilvl w:val="2"/>
          <w:numId w:val="4"/>
        </w:numPr>
        <w:tabs>
          <w:tab w:val="left" w:pos="567"/>
        </w:tabs>
        <w:adjustRightInd w:val="0"/>
        <w:spacing w:before="120" w:after="120" w:line="240" w:lineRule="auto"/>
        <w:ind w:left="567"/>
        <w:contextualSpacing w:val="0"/>
        <w:jc w:val="both"/>
        <w:textAlignment w:val="baseline"/>
        <w:rPr>
          <w:rFonts w:ascii="Verdana" w:hAnsi="Verdana"/>
          <w:sz w:val="18"/>
          <w:szCs w:val="20"/>
        </w:rPr>
      </w:pPr>
      <w:r w:rsidRPr="008D0846">
        <w:rPr>
          <w:rFonts w:ascii="Verdana" w:hAnsi="Verdana"/>
          <w:sz w:val="18"/>
          <w:szCs w:val="20"/>
        </w:rPr>
        <w:t>e</w:t>
      </w:r>
      <w:r w:rsidR="002E1C85" w:rsidRPr="008D0846">
        <w:rPr>
          <w:rFonts w:ascii="Verdana" w:hAnsi="Verdana"/>
          <w:sz w:val="18"/>
          <w:szCs w:val="20"/>
        </w:rPr>
        <w:t>n la misma comunicación telefónica, tras ser puesta en conocimiento de los hechos, Damaris Baglietto indicó al agente Sotomayor que en caso de presentarse el supuesto “Comandante Meza” para entrevistar a los detenidos le solicitara previamente su oficio de investigación. Tras concluir dicha llamada, Damaris Baglietto se comunicó vía telefónica entre las 15:00 y 17:00 horas</w:t>
      </w:r>
      <w:r w:rsidR="002E1C85" w:rsidRPr="008D0846">
        <w:rPr>
          <w:rStyle w:val="FootnoteReference"/>
          <w:rFonts w:ascii="Verdana" w:hAnsi="Verdana"/>
          <w:sz w:val="18"/>
          <w:szCs w:val="20"/>
        </w:rPr>
        <w:footnoteReference w:id="202"/>
      </w:r>
      <w:r w:rsidR="002E1C85" w:rsidRPr="008D0846">
        <w:rPr>
          <w:rFonts w:ascii="Verdana" w:hAnsi="Verdana"/>
          <w:sz w:val="18"/>
          <w:szCs w:val="20"/>
        </w:rPr>
        <w:t xml:space="preserve"> con el Coronel Élfego Luj</w:t>
      </w:r>
      <w:r w:rsidR="002E1C85" w:rsidRPr="008D0846">
        <w:rPr>
          <w:rFonts w:ascii="Verdana" w:hAnsi="Verdana" w:cs="Arial"/>
          <w:sz w:val="18"/>
          <w:szCs w:val="20"/>
        </w:rPr>
        <w:t>án, Comandante del 35 Batallón, para solicitarle que “los detenidos” no fuesen remitidos a las instalaciones de la AMPF de Nuevo Casas Grandes dado que “podía [sic] tratarse de gente peligrosa […] y las instalaciones no cuentan con las medidas de seguridad”, y para que en caso de que las tuviera detenidas y las pusiera a disposición del Ministerio Público de la Federación enviara custodia militar o le apoyara custodiándolas en las instalaciones del 35 Batallón. Sin embargo, el  Coronel Luján le manifestó que no tenía detenido a ninguno de ellos y que los elementos a su mando no habían participado en los hechos</w:t>
      </w:r>
      <w:r w:rsidR="002E1C85" w:rsidRPr="008D0846">
        <w:rPr>
          <w:rStyle w:val="FootnoteReference"/>
          <w:rFonts w:ascii="Verdana" w:hAnsi="Verdana" w:cs="Arial"/>
          <w:sz w:val="18"/>
          <w:szCs w:val="20"/>
        </w:rPr>
        <w:footnoteReference w:id="203"/>
      </w:r>
      <w:r w:rsidRPr="008D0846">
        <w:rPr>
          <w:rFonts w:ascii="Verdana" w:hAnsi="Verdana" w:cs="Arial"/>
          <w:sz w:val="18"/>
          <w:szCs w:val="20"/>
        </w:rPr>
        <w:t>;</w:t>
      </w:r>
    </w:p>
    <w:p w14:paraId="64AA5E93" w14:textId="7E5E7F70" w:rsidR="002E1C85" w:rsidRPr="008D0846" w:rsidRDefault="00D50E04">
      <w:pPr>
        <w:pStyle w:val="ListParagraph"/>
        <w:widowControl w:val="0"/>
        <w:numPr>
          <w:ilvl w:val="2"/>
          <w:numId w:val="4"/>
        </w:numPr>
        <w:tabs>
          <w:tab w:val="left" w:pos="567"/>
        </w:tabs>
        <w:adjustRightInd w:val="0"/>
        <w:spacing w:before="120" w:after="120" w:line="240" w:lineRule="auto"/>
        <w:ind w:left="567"/>
        <w:contextualSpacing w:val="0"/>
        <w:jc w:val="both"/>
        <w:textAlignment w:val="baseline"/>
        <w:rPr>
          <w:rFonts w:ascii="Verdana" w:hAnsi="Verdana"/>
          <w:sz w:val="18"/>
          <w:szCs w:val="20"/>
        </w:rPr>
      </w:pPr>
      <w:r w:rsidRPr="008D0846">
        <w:rPr>
          <w:rFonts w:ascii="Verdana" w:hAnsi="Verdana"/>
          <w:sz w:val="18"/>
          <w:szCs w:val="20"/>
        </w:rPr>
        <w:lastRenderedPageBreak/>
        <w:t>c</w:t>
      </w:r>
      <w:r w:rsidR="002E1C85" w:rsidRPr="008D0846">
        <w:rPr>
          <w:rFonts w:ascii="Verdana" w:hAnsi="Verdana"/>
          <w:sz w:val="18"/>
          <w:szCs w:val="20"/>
        </w:rPr>
        <w:t>erca de las 10:30 de la noche de</w:t>
      </w:r>
      <w:r w:rsidR="002E1C85" w:rsidRPr="008D0846">
        <w:rPr>
          <w:rFonts w:ascii="Verdana" w:hAnsi="Verdana" w:cs="Arial"/>
          <w:sz w:val="18"/>
          <w:szCs w:val="20"/>
        </w:rPr>
        <w:t xml:space="preserve">l </w:t>
      </w:r>
      <w:r w:rsidR="002E1C85" w:rsidRPr="008D0846">
        <w:rPr>
          <w:rFonts w:ascii="Verdana" w:hAnsi="Verdana"/>
          <w:sz w:val="18"/>
          <w:szCs w:val="20"/>
        </w:rPr>
        <w:t>30 de diciembre de 2009, se presentaron ante Ramón Iván Sotomayor Siller, AMPF en Nuevo Casas Grandes, tres personas vestidas de civil en dos vehículos compactos, uno marca Chevrolet Aveo y otro tipo Monza, armados con carabinas AR-15, con botas y pantalón táctico color azul, chamarra de civil y gorra, no portando consigo gafete alguno de identificación, aunque reconoció a uno de ellos como un elemento de la Policía Federal porque en una fecha previa había acudido a “poner a disposición” en dicha agencia investigadora un vehículo con reporte de robo relacionado con otros hechos</w:t>
      </w:r>
      <w:r w:rsidR="002E1C85" w:rsidRPr="008D0846">
        <w:rPr>
          <w:rStyle w:val="FootnoteReference"/>
          <w:rFonts w:ascii="Verdana" w:hAnsi="Verdana"/>
          <w:sz w:val="18"/>
          <w:szCs w:val="20"/>
        </w:rPr>
        <w:footnoteReference w:id="204"/>
      </w:r>
      <w:r w:rsidR="002E1C85" w:rsidRPr="008D0846">
        <w:rPr>
          <w:rFonts w:ascii="Verdana" w:hAnsi="Verdana"/>
          <w:sz w:val="18"/>
          <w:szCs w:val="20"/>
        </w:rPr>
        <w:t>. Uno de los elementos se identificó como el “Comandante Meza” de la Policía Federal, presuntamente de la Unidad de Inteligencia, y solicitó al agente Sotomayor Siller entrevistar a las tres personas supuestamente detenidas con relación a la desaparición de tres elementos de dicha corporación, mencionando los nombres de Nitza Paola, José Ángel y Rocío Irene Alvarado</w:t>
      </w:r>
      <w:r w:rsidR="002E1C85" w:rsidRPr="008D0846">
        <w:rPr>
          <w:rStyle w:val="FootnoteReference"/>
          <w:rFonts w:ascii="Verdana" w:hAnsi="Verdana"/>
          <w:sz w:val="18"/>
          <w:szCs w:val="20"/>
        </w:rPr>
        <w:footnoteReference w:id="205"/>
      </w:r>
      <w:r w:rsidR="002E1C85" w:rsidRPr="008D0846">
        <w:rPr>
          <w:rFonts w:ascii="Verdana" w:hAnsi="Verdana"/>
          <w:sz w:val="18"/>
          <w:szCs w:val="20"/>
        </w:rPr>
        <w:t>. El agente Sotomayor le respondi</w:t>
      </w:r>
      <w:r w:rsidR="002E1C85" w:rsidRPr="008D0846">
        <w:rPr>
          <w:rFonts w:ascii="Verdana" w:hAnsi="Verdana" w:cs="Arial"/>
          <w:sz w:val="18"/>
          <w:szCs w:val="20"/>
        </w:rPr>
        <w:t>ó</w:t>
      </w:r>
      <w:r w:rsidR="002E1C85" w:rsidRPr="008D0846">
        <w:rPr>
          <w:rFonts w:ascii="Verdana" w:hAnsi="Verdana"/>
          <w:sz w:val="18"/>
          <w:szCs w:val="20"/>
        </w:rPr>
        <w:t xml:space="preserve"> que ninguna de las tres personas se encontraba bajo su custodia, por lo que dicho “comandante” le solicitó que se comunicara a la “guarnición militar” para saber en qué momento serían “puestos a disposición”, a lo cual el agente Sotomayor se negó argumentando que no podía acceder a su petición hasta en tanto le fuesen eventualmente entregados para su custodia por las autoridades correspondientes. Enseguida, los supuestos elementos de la Policía Federal se retiraron de dichas instalaciones</w:t>
      </w:r>
      <w:r w:rsidR="002E1C85" w:rsidRPr="008D0846">
        <w:rPr>
          <w:rStyle w:val="FootnoteReference"/>
          <w:rFonts w:ascii="Verdana" w:hAnsi="Verdana"/>
          <w:sz w:val="18"/>
          <w:szCs w:val="20"/>
        </w:rPr>
        <w:footnoteReference w:id="206"/>
      </w:r>
      <w:r w:rsidRPr="008D0846">
        <w:rPr>
          <w:rFonts w:ascii="Verdana" w:hAnsi="Verdana"/>
          <w:sz w:val="18"/>
          <w:szCs w:val="20"/>
        </w:rPr>
        <w:t xml:space="preserve">, y </w:t>
      </w:r>
    </w:p>
    <w:p w14:paraId="64AA5E95" w14:textId="0A4BE05B" w:rsidR="002E1C85" w:rsidRPr="008D0846" w:rsidRDefault="00D50E04">
      <w:pPr>
        <w:pStyle w:val="ListParagraph"/>
        <w:widowControl w:val="0"/>
        <w:numPr>
          <w:ilvl w:val="2"/>
          <w:numId w:val="4"/>
        </w:numPr>
        <w:tabs>
          <w:tab w:val="left" w:pos="567"/>
        </w:tabs>
        <w:adjustRightInd w:val="0"/>
        <w:spacing w:before="120" w:after="120" w:line="240" w:lineRule="auto"/>
        <w:ind w:left="567"/>
        <w:contextualSpacing w:val="0"/>
        <w:jc w:val="both"/>
        <w:textAlignment w:val="baseline"/>
        <w:rPr>
          <w:rFonts w:ascii="Verdana" w:hAnsi="Verdana"/>
          <w:sz w:val="18"/>
          <w:szCs w:val="20"/>
        </w:rPr>
      </w:pPr>
      <w:r w:rsidRPr="008D0846">
        <w:rPr>
          <w:rFonts w:ascii="Verdana" w:hAnsi="Verdana"/>
          <w:sz w:val="18"/>
          <w:szCs w:val="20"/>
        </w:rPr>
        <w:t>a</w:t>
      </w:r>
      <w:r w:rsidR="002E1C85" w:rsidRPr="008D0846">
        <w:rPr>
          <w:rFonts w:ascii="Verdana" w:hAnsi="Verdana"/>
          <w:sz w:val="18"/>
          <w:szCs w:val="20"/>
        </w:rPr>
        <w:t>proximadamente a las 12:45 horas del 2 de enero de 2010, los tres supuestos elementos de la Policía Federal acudieron nuevamente a la AMPF en Nuevo Casas Grandes preguntando una vez más por los tres detenidos presuntamente por el Ejército. Dichas personas fueron atendidas por Juan Ciro Valiente, agente federal de investigación, quien informó de su presencia al agente Sotomayor Siller, y este le ordenó informar a los supuestos elementos de la Policía Federal que no tenía a nadie detenido, por lo que no podía ayudarles. Acto seguido, las tres personas se retiraron de dicha dependencia</w:t>
      </w:r>
      <w:r w:rsidR="002E1C85" w:rsidRPr="008D0846">
        <w:rPr>
          <w:rStyle w:val="FootnoteReference"/>
          <w:rFonts w:ascii="Verdana" w:hAnsi="Verdana"/>
          <w:sz w:val="18"/>
          <w:szCs w:val="20"/>
        </w:rPr>
        <w:footnoteReference w:id="207"/>
      </w:r>
      <w:r w:rsidR="002E1C85" w:rsidRPr="008D0846">
        <w:rPr>
          <w:rFonts w:ascii="Verdana" w:hAnsi="Verdana"/>
          <w:sz w:val="18"/>
          <w:szCs w:val="20"/>
        </w:rPr>
        <w:t>.</w:t>
      </w:r>
    </w:p>
    <w:p w14:paraId="64AA5E97" w14:textId="3A3BF530" w:rsidR="002E1C85" w:rsidRPr="00432ABC" w:rsidRDefault="002E1C85" w:rsidP="00DB378B">
      <w:pPr>
        <w:widowControl w:val="0"/>
        <w:numPr>
          <w:ilvl w:val="0"/>
          <w:numId w:val="4"/>
        </w:numPr>
        <w:tabs>
          <w:tab w:val="left" w:pos="567"/>
          <w:tab w:val="num" w:pos="12305"/>
        </w:tabs>
        <w:adjustRightInd w:val="0"/>
        <w:spacing w:before="120" w:after="120" w:line="240" w:lineRule="auto"/>
        <w:ind w:left="0" w:firstLine="0"/>
        <w:jc w:val="both"/>
        <w:textAlignment w:val="baseline"/>
        <w:rPr>
          <w:rFonts w:ascii="Verdana" w:hAnsi="Verdana"/>
          <w:sz w:val="20"/>
          <w:szCs w:val="20"/>
        </w:rPr>
      </w:pPr>
      <w:r w:rsidRPr="00744CE4">
        <w:rPr>
          <w:rFonts w:ascii="Verdana" w:hAnsi="Verdana"/>
          <w:sz w:val="20"/>
          <w:szCs w:val="20"/>
        </w:rPr>
        <w:t>Con relación a la identificación y ubicac</w:t>
      </w:r>
      <w:r w:rsidRPr="00432ABC">
        <w:rPr>
          <w:rFonts w:ascii="Verdana" w:hAnsi="Verdana"/>
          <w:sz w:val="20"/>
          <w:szCs w:val="20"/>
        </w:rPr>
        <w:t xml:space="preserve">ión del supuesto “Comandante Meza” de la Policía Federal: </w:t>
      </w:r>
    </w:p>
    <w:p w14:paraId="64AA5E99" w14:textId="37A43EFC" w:rsidR="002E1C85" w:rsidRPr="008D0846" w:rsidRDefault="00AC6FFB">
      <w:pPr>
        <w:pStyle w:val="ListParagraph"/>
        <w:widowControl w:val="0"/>
        <w:numPr>
          <w:ilvl w:val="2"/>
          <w:numId w:val="4"/>
        </w:numPr>
        <w:tabs>
          <w:tab w:val="left" w:pos="567"/>
          <w:tab w:val="num" w:pos="12305"/>
        </w:tabs>
        <w:adjustRightInd w:val="0"/>
        <w:spacing w:before="120" w:after="120" w:line="240" w:lineRule="auto"/>
        <w:ind w:left="567"/>
        <w:contextualSpacing w:val="0"/>
        <w:jc w:val="both"/>
        <w:textAlignment w:val="baseline"/>
        <w:rPr>
          <w:rFonts w:ascii="Verdana" w:hAnsi="Verdana"/>
          <w:sz w:val="18"/>
          <w:szCs w:val="20"/>
        </w:rPr>
      </w:pPr>
      <w:r w:rsidRPr="008D0846">
        <w:rPr>
          <w:rFonts w:ascii="Verdana" w:hAnsi="Verdana"/>
          <w:sz w:val="18"/>
          <w:szCs w:val="20"/>
        </w:rPr>
        <w:t>e</w:t>
      </w:r>
      <w:r w:rsidR="002E1C85" w:rsidRPr="008D0846">
        <w:rPr>
          <w:rFonts w:ascii="Verdana" w:hAnsi="Verdana"/>
          <w:sz w:val="18"/>
          <w:szCs w:val="20"/>
        </w:rPr>
        <w:t>l 22 de enero de 2010 el Comandante de la 5ªZM solicitó al Comisario de la Policía Federal en el Estado de Chihuahua sobre</w:t>
      </w:r>
      <w:r w:rsidR="00AB26DE" w:rsidRPr="008D0846">
        <w:rPr>
          <w:rFonts w:ascii="Verdana" w:hAnsi="Verdana"/>
          <w:sz w:val="18"/>
          <w:szCs w:val="20"/>
        </w:rPr>
        <w:t>:</w:t>
      </w:r>
      <w:r w:rsidR="002E1C85" w:rsidRPr="008D0846">
        <w:rPr>
          <w:rFonts w:ascii="Verdana" w:hAnsi="Verdana"/>
          <w:sz w:val="18"/>
          <w:szCs w:val="20"/>
        </w:rPr>
        <w:t xml:space="preserve"> los elementos cargo del supuesto “Comandante Meza”</w:t>
      </w:r>
      <w:r w:rsidR="00AB26DE" w:rsidRPr="008D0846">
        <w:rPr>
          <w:rFonts w:ascii="Verdana" w:hAnsi="Verdana"/>
          <w:sz w:val="18"/>
          <w:szCs w:val="20"/>
        </w:rPr>
        <w:t>;</w:t>
      </w:r>
      <w:r w:rsidR="002E1C85" w:rsidRPr="008D0846">
        <w:rPr>
          <w:rFonts w:ascii="Verdana" w:hAnsi="Verdana"/>
          <w:sz w:val="18"/>
          <w:szCs w:val="20"/>
        </w:rPr>
        <w:t xml:space="preserve"> la comisión que dichos elementos desempeñaban el 30 de diciembre de 2009 en Nuevo Casas Grandes</w:t>
      </w:r>
      <w:r w:rsidR="00AB26DE" w:rsidRPr="008D0846">
        <w:rPr>
          <w:rFonts w:ascii="Verdana" w:hAnsi="Verdana"/>
          <w:sz w:val="18"/>
          <w:szCs w:val="20"/>
        </w:rPr>
        <w:t>;</w:t>
      </w:r>
      <w:r w:rsidR="002E1C85" w:rsidRPr="008D0846">
        <w:rPr>
          <w:rFonts w:ascii="Verdana" w:hAnsi="Verdana"/>
          <w:sz w:val="18"/>
          <w:szCs w:val="20"/>
        </w:rPr>
        <w:t xml:space="preserve"> qué información tenían respecto de la detención de los tres desaparecidos</w:t>
      </w:r>
      <w:r w:rsidR="00AB26DE" w:rsidRPr="008D0846">
        <w:rPr>
          <w:rFonts w:ascii="Verdana" w:hAnsi="Verdana"/>
          <w:sz w:val="18"/>
          <w:szCs w:val="20"/>
        </w:rPr>
        <w:t>,</w:t>
      </w:r>
      <w:r w:rsidR="002E1C85" w:rsidRPr="008D0846">
        <w:rPr>
          <w:rFonts w:ascii="Verdana" w:hAnsi="Verdana"/>
          <w:sz w:val="18"/>
          <w:szCs w:val="20"/>
        </w:rPr>
        <w:t xml:space="preserve"> y porqué deseaban entrevistarlos. El 27 de enero de 2010 el Comisario de la Policía Federal respondió que no existía ningún elemento con nivel de mando de apellido “Meza” en dicha corporación</w:t>
      </w:r>
      <w:r w:rsidR="002E1C85" w:rsidRPr="008D0846">
        <w:rPr>
          <w:rStyle w:val="FootnoteReference"/>
          <w:rFonts w:ascii="Verdana" w:hAnsi="Verdana"/>
          <w:sz w:val="18"/>
          <w:szCs w:val="20"/>
        </w:rPr>
        <w:footnoteReference w:id="208"/>
      </w:r>
      <w:r w:rsidR="002E1C85" w:rsidRPr="008D0846">
        <w:rPr>
          <w:rFonts w:ascii="Verdana" w:hAnsi="Verdana"/>
          <w:sz w:val="18"/>
          <w:szCs w:val="20"/>
        </w:rPr>
        <w:t>. Tras recibir dicha respuesta, el Comandante de la 5ªZM informó a las autoridades militares radicadas en la Ciudad de México que la Policía Federal se encontraba ocultando información sobre la existencia del supuesto “Comandante Meza”, en vista de la información proporcionada por Argene Blásquez Morales con relación a la conversación telefónica que sostuvo con tal “elemento”</w:t>
      </w:r>
      <w:r w:rsidR="002E1C85" w:rsidRPr="008D0846">
        <w:rPr>
          <w:rStyle w:val="FootnoteReference"/>
          <w:rFonts w:ascii="Verdana" w:hAnsi="Verdana"/>
          <w:sz w:val="18"/>
          <w:szCs w:val="20"/>
        </w:rPr>
        <w:footnoteReference w:id="209"/>
      </w:r>
      <w:r w:rsidR="00D50E04" w:rsidRPr="008D0846">
        <w:rPr>
          <w:rFonts w:ascii="Verdana" w:hAnsi="Verdana"/>
          <w:sz w:val="18"/>
          <w:szCs w:val="20"/>
        </w:rPr>
        <w:t>;</w:t>
      </w:r>
    </w:p>
    <w:p w14:paraId="64AA5E9B" w14:textId="33112975" w:rsidR="002E1C85" w:rsidRPr="008D0846" w:rsidRDefault="00D50E04">
      <w:pPr>
        <w:pStyle w:val="ListParagraph"/>
        <w:widowControl w:val="0"/>
        <w:numPr>
          <w:ilvl w:val="2"/>
          <w:numId w:val="4"/>
        </w:numPr>
        <w:tabs>
          <w:tab w:val="left" w:pos="567"/>
        </w:tabs>
        <w:adjustRightInd w:val="0"/>
        <w:spacing w:before="120" w:after="120" w:line="240" w:lineRule="auto"/>
        <w:ind w:left="567"/>
        <w:contextualSpacing w:val="0"/>
        <w:jc w:val="both"/>
        <w:textAlignment w:val="baseline"/>
        <w:rPr>
          <w:rFonts w:ascii="Verdana" w:hAnsi="Verdana"/>
          <w:sz w:val="18"/>
          <w:szCs w:val="20"/>
        </w:rPr>
      </w:pPr>
      <w:r w:rsidRPr="008D0846">
        <w:rPr>
          <w:rFonts w:ascii="Verdana" w:hAnsi="Verdana"/>
          <w:sz w:val="18"/>
          <w:szCs w:val="20"/>
        </w:rPr>
        <w:t>m</w:t>
      </w:r>
      <w:r w:rsidR="002E1C85" w:rsidRPr="008D0846">
        <w:rPr>
          <w:rFonts w:ascii="Verdana" w:hAnsi="Verdana"/>
          <w:sz w:val="18"/>
          <w:szCs w:val="20"/>
        </w:rPr>
        <w:t xml:space="preserve">ediante declaraciones de 30 de marzo de 2011 ante el Agente del Ministerio Público Militar Auxiliar en Hermosillo y de 17 de abril de 2018 por </w:t>
      </w:r>
      <w:r w:rsidR="002E2B86" w:rsidRPr="008D0846">
        <w:rPr>
          <w:rFonts w:ascii="Verdana" w:hAnsi="Verdana"/>
          <w:i/>
          <w:sz w:val="18"/>
        </w:rPr>
        <w:t>affidávit</w:t>
      </w:r>
      <w:r w:rsidR="002E1C85" w:rsidRPr="008D0846">
        <w:rPr>
          <w:rFonts w:ascii="Verdana" w:hAnsi="Verdana"/>
          <w:sz w:val="18"/>
          <w:szCs w:val="20"/>
        </w:rPr>
        <w:t xml:space="preserve"> ante la Corte, </w:t>
      </w:r>
      <w:r w:rsidR="002E1C85" w:rsidRPr="008D0846">
        <w:rPr>
          <w:rFonts w:ascii="Verdana" w:eastAsiaTheme="minorHAnsi" w:hAnsi="Verdana" w:cs="Times New Roman"/>
          <w:sz w:val="18"/>
          <w:szCs w:val="20"/>
        </w:rPr>
        <w:t>Argene Blásquez Morales testificó</w:t>
      </w:r>
      <w:r w:rsidR="002E1C85" w:rsidRPr="008D0846">
        <w:rPr>
          <w:rFonts w:ascii="Verdana" w:hAnsi="Verdana"/>
          <w:sz w:val="18"/>
          <w:szCs w:val="20"/>
        </w:rPr>
        <w:t xml:space="preserve"> que no le constaba que elementos castrenses hubiesen realizado las detenciones de los tres desaparecidos </w:t>
      </w:r>
      <w:r w:rsidR="002E1C85" w:rsidRPr="008D0846">
        <w:rPr>
          <w:rFonts w:ascii="Verdana" w:hAnsi="Verdana" w:cs="Arial"/>
          <w:sz w:val="18"/>
          <w:szCs w:val="20"/>
        </w:rPr>
        <w:t xml:space="preserve">dado que al momento de los hechos ella se encontraba físicamente en Ciudad Juárez y solamente se enteró de los mismos por la propia información que el supuesto “Comandante Meza” le manifestó por teléfono. Agregó que no cuestionó que la persona que se comunicó con ella telefónicamente y se identificó como el “Comandante Meza” efectivamente fuese elemento de la </w:t>
      </w:r>
      <w:r w:rsidR="002E1C85" w:rsidRPr="008D0846">
        <w:rPr>
          <w:rFonts w:ascii="Verdana" w:hAnsi="Verdana" w:cs="Arial"/>
          <w:sz w:val="18"/>
          <w:szCs w:val="20"/>
        </w:rPr>
        <w:lastRenderedPageBreak/>
        <w:t>Policía Federal en virtud de que el número telefónico en el cual recibió dicha llamada “lo tenían varias autoridades, entre ellos muchos de la Policía Federal” y que dicho número se encontraba relacionado con sus funciones institucionales</w:t>
      </w:r>
      <w:r w:rsidR="002E1C85" w:rsidRPr="008D0846">
        <w:rPr>
          <w:rStyle w:val="FootnoteReference"/>
          <w:rFonts w:ascii="Verdana" w:hAnsi="Verdana" w:cs="Arial"/>
          <w:sz w:val="18"/>
          <w:szCs w:val="20"/>
        </w:rPr>
        <w:footnoteReference w:id="210"/>
      </w:r>
      <w:r w:rsidRPr="008D0846">
        <w:rPr>
          <w:rFonts w:ascii="Verdana" w:hAnsi="Verdana" w:cs="Arial"/>
          <w:sz w:val="18"/>
          <w:szCs w:val="20"/>
        </w:rPr>
        <w:t>, y</w:t>
      </w:r>
    </w:p>
    <w:p w14:paraId="64AA5E9C" w14:textId="58F55EDC" w:rsidR="002E1C85" w:rsidRPr="008D0846" w:rsidRDefault="00D50E04">
      <w:pPr>
        <w:pStyle w:val="ListParagraph"/>
        <w:numPr>
          <w:ilvl w:val="2"/>
          <w:numId w:val="4"/>
        </w:numPr>
        <w:spacing w:before="120" w:after="120" w:line="240" w:lineRule="auto"/>
        <w:ind w:left="567"/>
        <w:contextualSpacing w:val="0"/>
        <w:jc w:val="both"/>
        <w:rPr>
          <w:rFonts w:ascii="Verdana" w:hAnsi="Verdana"/>
          <w:i/>
          <w:sz w:val="18"/>
          <w:szCs w:val="20"/>
        </w:rPr>
      </w:pPr>
      <w:r w:rsidRPr="008D0846">
        <w:rPr>
          <w:rFonts w:ascii="Verdana" w:hAnsi="Verdana"/>
          <w:sz w:val="18"/>
          <w:szCs w:val="20"/>
        </w:rPr>
        <w:t>f</w:t>
      </w:r>
      <w:r w:rsidR="002E1C85" w:rsidRPr="008D0846">
        <w:rPr>
          <w:rFonts w:ascii="Verdana" w:hAnsi="Verdana"/>
          <w:sz w:val="18"/>
          <w:szCs w:val="20"/>
        </w:rPr>
        <w:t>inalmente, de acuerdo con las constancias que obran en el expediente, no obstante una serie de diligencias llevadas a cabo por distintas autoridades en los procesos internos, no se desprende la identificación y ubicación del supuesto “Comandante Meza de la Policía Federal” y de los dos sujetos que lo acompañaban, por lo que no existe constancia de su testimonio con relación a las tres desapariciones</w:t>
      </w:r>
      <w:r w:rsidR="002E1C85" w:rsidRPr="008D0846">
        <w:rPr>
          <w:rStyle w:val="FootnoteReference"/>
          <w:rFonts w:ascii="Verdana" w:hAnsi="Verdana"/>
          <w:sz w:val="18"/>
          <w:szCs w:val="20"/>
        </w:rPr>
        <w:footnoteReference w:id="211"/>
      </w:r>
      <w:r w:rsidR="002E1C85" w:rsidRPr="008D0846">
        <w:rPr>
          <w:rFonts w:ascii="Verdana" w:hAnsi="Verdana"/>
          <w:sz w:val="18"/>
          <w:szCs w:val="20"/>
        </w:rPr>
        <w:t xml:space="preserve">. </w:t>
      </w:r>
    </w:p>
    <w:p w14:paraId="64AA5E9F" w14:textId="3470342A" w:rsidR="002E1C85" w:rsidRPr="00432ABC" w:rsidRDefault="00556FDB">
      <w:pPr>
        <w:pStyle w:val="Heading4"/>
        <w:numPr>
          <w:ilvl w:val="0"/>
          <w:numId w:val="74"/>
        </w:numPr>
        <w:spacing w:before="120" w:after="120"/>
        <w:contextualSpacing w:val="0"/>
        <w:rPr>
          <w:u w:val="none"/>
        </w:rPr>
      </w:pPr>
      <w:r>
        <w:rPr>
          <w:u w:val="none"/>
        </w:rPr>
        <w:t xml:space="preserve"> </w:t>
      </w:r>
      <w:bookmarkStart w:id="134" w:name="_Toc532995339"/>
      <w:r w:rsidR="002E1C85" w:rsidRPr="00432ABC">
        <w:rPr>
          <w:u w:val="none"/>
        </w:rPr>
        <w:t>Sobre la alegada llamada de auxilio realizada por Nitza Paola Alvarado</w:t>
      </w:r>
      <w:bookmarkEnd w:id="134"/>
      <w:r w:rsidR="002E1C85" w:rsidRPr="00432ABC">
        <w:rPr>
          <w:u w:val="none"/>
        </w:rPr>
        <w:t xml:space="preserve">      </w:t>
      </w:r>
    </w:p>
    <w:p w14:paraId="64AA5EA1" w14:textId="12E6A4F6" w:rsidR="002E1C85" w:rsidRPr="00744CE4" w:rsidRDefault="002E1C85" w:rsidP="00DB378B">
      <w:pPr>
        <w:widowControl w:val="0"/>
        <w:numPr>
          <w:ilvl w:val="0"/>
          <w:numId w:val="4"/>
        </w:numPr>
        <w:tabs>
          <w:tab w:val="left" w:pos="567"/>
          <w:tab w:val="num" w:pos="12305"/>
        </w:tabs>
        <w:adjustRightInd w:val="0"/>
        <w:spacing w:before="120" w:after="120" w:line="240" w:lineRule="auto"/>
        <w:ind w:left="0" w:firstLine="0"/>
        <w:jc w:val="both"/>
        <w:textAlignment w:val="baseline"/>
        <w:rPr>
          <w:rFonts w:ascii="Verdana" w:hAnsi="Verdana" w:cs="Arial"/>
          <w:sz w:val="20"/>
          <w:szCs w:val="20"/>
          <w:lang w:eastAsia="ja-JP"/>
        </w:rPr>
      </w:pPr>
      <w:r w:rsidRPr="002C462C">
        <w:rPr>
          <w:rFonts w:ascii="Verdana" w:hAnsi="Verdana" w:cs="Arial"/>
          <w:sz w:val="20"/>
          <w:szCs w:val="20"/>
          <w:lang w:eastAsia="ja-JP"/>
        </w:rPr>
        <w:t xml:space="preserve">Aproximadamente a las </w:t>
      </w:r>
      <w:r w:rsidR="00AB26DE">
        <w:rPr>
          <w:rFonts w:ascii="Verdana" w:hAnsi="Verdana" w:cs="Arial"/>
          <w:sz w:val="20"/>
          <w:szCs w:val="20"/>
          <w:lang w:eastAsia="ja-JP"/>
        </w:rPr>
        <w:t>17</w:t>
      </w:r>
      <w:r w:rsidRPr="002C462C">
        <w:rPr>
          <w:rFonts w:ascii="Verdana" w:hAnsi="Verdana" w:cs="Arial"/>
          <w:sz w:val="20"/>
          <w:szCs w:val="20"/>
          <w:lang w:eastAsia="ja-JP"/>
        </w:rPr>
        <w:t>:30 del 3 de febrero de 2010 una vecina del Ejido Benito Juárez de nombre Juana Bustamante Ramos recibió una llamada telefónica en la cual escuchó a una mujer llorando a quien reconoció como Nitza Paola Alvarado que le decía: “ayúdame, ayúdame, no me dejes aquí por favor”; luego escuchó por el auricular la voz de un hombre “con tono chilango” quien aparentemente le dijo a otra persona que se encontraba</w:t>
      </w:r>
      <w:r w:rsidRPr="00744CE4">
        <w:rPr>
          <w:rFonts w:ascii="Verdana" w:hAnsi="Verdana" w:cs="Arial"/>
          <w:sz w:val="20"/>
          <w:szCs w:val="20"/>
          <w:lang w:eastAsia="ja-JP"/>
        </w:rPr>
        <w:t xml:space="preserve"> en dicho lugar: “</w:t>
      </w:r>
      <w:r w:rsidRPr="00744CE4">
        <w:rPr>
          <w:rFonts w:ascii="Verdana" w:hAnsi="Verdana" w:cs="Arial"/>
          <w:i/>
          <w:sz w:val="20"/>
          <w:szCs w:val="20"/>
          <w:lang w:eastAsia="ja-JP"/>
        </w:rPr>
        <w:t xml:space="preserve">para qué la dejastes a la verga” </w:t>
      </w:r>
      <w:r w:rsidRPr="00744CE4">
        <w:rPr>
          <w:rFonts w:ascii="Verdana" w:hAnsi="Verdana" w:cs="Arial"/>
          <w:sz w:val="20"/>
          <w:szCs w:val="20"/>
          <w:lang w:eastAsia="ja-JP"/>
        </w:rPr>
        <w:t>[sic], tras lo cual colgaron el teléfono</w:t>
      </w:r>
      <w:r w:rsidRPr="00744CE4">
        <w:rPr>
          <w:rFonts w:ascii="Verdana" w:hAnsi="Verdana" w:cs="Arial"/>
          <w:sz w:val="20"/>
          <w:szCs w:val="20"/>
          <w:vertAlign w:val="superscript"/>
          <w:lang w:eastAsia="ja-JP"/>
        </w:rPr>
        <w:footnoteReference w:id="212"/>
      </w:r>
      <w:r w:rsidRPr="00744CE4">
        <w:rPr>
          <w:rFonts w:ascii="Verdana" w:hAnsi="Verdana" w:cs="Arial"/>
          <w:sz w:val="20"/>
          <w:szCs w:val="20"/>
          <w:lang w:eastAsia="ja-JP"/>
        </w:rPr>
        <w:t xml:space="preserve">. </w:t>
      </w:r>
    </w:p>
    <w:p w14:paraId="64AA5EA3" w14:textId="35532C69" w:rsidR="002E1C85" w:rsidRPr="00744CE4" w:rsidRDefault="002E1C85" w:rsidP="00DB378B">
      <w:pPr>
        <w:widowControl w:val="0"/>
        <w:numPr>
          <w:ilvl w:val="0"/>
          <w:numId w:val="4"/>
        </w:numPr>
        <w:tabs>
          <w:tab w:val="left" w:pos="567"/>
          <w:tab w:val="num" w:pos="12305"/>
        </w:tabs>
        <w:adjustRightInd w:val="0"/>
        <w:spacing w:before="120" w:after="120" w:line="240" w:lineRule="auto"/>
        <w:ind w:left="0" w:firstLine="0"/>
        <w:jc w:val="both"/>
        <w:textAlignment w:val="baseline"/>
        <w:rPr>
          <w:rFonts w:ascii="Verdana" w:hAnsi="Verdana" w:cs="Arial"/>
          <w:sz w:val="20"/>
          <w:szCs w:val="20"/>
          <w:lang w:eastAsia="ja-JP"/>
        </w:rPr>
      </w:pPr>
      <w:r w:rsidRPr="00432ABC">
        <w:rPr>
          <w:rFonts w:ascii="Verdana" w:hAnsi="Verdana" w:cs="Arial"/>
          <w:sz w:val="20"/>
          <w:szCs w:val="20"/>
          <w:lang w:eastAsia="ja-JP"/>
        </w:rPr>
        <w:t>Los días 12 y 22 de febrero de 2010 María de Jesús Alvarado compareció ante los agentes del Ministerio Público de la PGJE - Chihuahua y de la Federación en Ciudad Juárez, respectivamente, a efecto de hacer de su conocimiento dicha llamada</w:t>
      </w:r>
      <w:r w:rsidRPr="00744CE4">
        <w:rPr>
          <w:rStyle w:val="FootnoteReference"/>
          <w:rFonts w:ascii="Verdana" w:hAnsi="Verdana" w:cs="Arial"/>
          <w:sz w:val="20"/>
          <w:szCs w:val="20"/>
          <w:lang w:eastAsia="ja-JP"/>
        </w:rPr>
        <w:footnoteReference w:id="213"/>
      </w:r>
      <w:r w:rsidRPr="00744CE4">
        <w:rPr>
          <w:rFonts w:ascii="Verdana" w:hAnsi="Verdana" w:cs="Arial"/>
          <w:sz w:val="20"/>
          <w:szCs w:val="20"/>
          <w:lang w:eastAsia="ja-JP"/>
        </w:rPr>
        <w:t xml:space="preserve">. Asimismo, el 13 de febrero de 2010 Juana Bustamente testificó ante </w:t>
      </w:r>
      <w:r w:rsidRPr="00744CE4">
        <w:rPr>
          <w:rFonts w:ascii="Verdana" w:hAnsi="Verdana"/>
          <w:sz w:val="20"/>
          <w:szCs w:val="20"/>
        </w:rPr>
        <w:t>el primero de ellos</w:t>
      </w:r>
      <w:r w:rsidRPr="00744CE4">
        <w:rPr>
          <w:rStyle w:val="FootnoteReference"/>
          <w:rFonts w:ascii="Verdana" w:hAnsi="Verdana"/>
          <w:sz w:val="20"/>
          <w:szCs w:val="20"/>
        </w:rPr>
        <w:footnoteReference w:id="214"/>
      </w:r>
      <w:r w:rsidRPr="00744CE4">
        <w:rPr>
          <w:rFonts w:ascii="Verdana" w:hAnsi="Verdana" w:cs="Arial"/>
          <w:sz w:val="20"/>
          <w:szCs w:val="20"/>
          <w:lang w:eastAsia="ja-JP"/>
        </w:rPr>
        <w:t>.</w:t>
      </w:r>
    </w:p>
    <w:p w14:paraId="61787C26" w14:textId="55BB3AFD" w:rsidR="00EC08E0" w:rsidRPr="00432ABC" w:rsidRDefault="002E1C85" w:rsidP="00DB378B">
      <w:pPr>
        <w:pStyle w:val="ListParagraph"/>
        <w:widowControl w:val="0"/>
        <w:numPr>
          <w:ilvl w:val="0"/>
          <w:numId w:val="4"/>
        </w:numPr>
        <w:tabs>
          <w:tab w:val="left" w:pos="567"/>
        </w:tabs>
        <w:adjustRightInd w:val="0"/>
        <w:spacing w:before="120" w:after="120" w:line="240" w:lineRule="auto"/>
        <w:ind w:left="0" w:firstLine="0"/>
        <w:contextualSpacing w:val="0"/>
        <w:jc w:val="both"/>
        <w:textAlignment w:val="baseline"/>
        <w:rPr>
          <w:rFonts w:ascii="Verdana" w:hAnsi="Verdana"/>
          <w:sz w:val="20"/>
          <w:szCs w:val="20"/>
          <w:lang w:val="es-AR"/>
        </w:rPr>
      </w:pPr>
      <w:r w:rsidRPr="00432ABC">
        <w:rPr>
          <w:rFonts w:ascii="Verdana" w:hAnsi="Verdana" w:cs="Arial"/>
          <w:sz w:val="20"/>
          <w:szCs w:val="20"/>
          <w:lang w:eastAsia="ja-JP"/>
        </w:rPr>
        <w:t>En el marco de las investigaciones internas se practicaron una serie de diligencias para la ubicación del número telefónico y lugar desde el cual fue realizada dicha llamada</w:t>
      </w:r>
      <w:r w:rsidRPr="00744CE4">
        <w:rPr>
          <w:rStyle w:val="FootnoteReference"/>
          <w:rFonts w:ascii="Verdana" w:hAnsi="Verdana" w:cs="Arial"/>
          <w:sz w:val="20"/>
          <w:szCs w:val="20"/>
          <w:lang w:eastAsia="ja-JP"/>
        </w:rPr>
        <w:footnoteReference w:id="215"/>
      </w:r>
      <w:r w:rsidRPr="00744CE4">
        <w:rPr>
          <w:rFonts w:ascii="Verdana" w:hAnsi="Verdana" w:cs="Arial"/>
          <w:sz w:val="20"/>
          <w:szCs w:val="20"/>
          <w:lang w:eastAsia="ja-JP"/>
        </w:rPr>
        <w:t xml:space="preserve">, con base en </w:t>
      </w:r>
      <w:r w:rsidRPr="00744CE4">
        <w:rPr>
          <w:rFonts w:ascii="Verdana" w:hAnsi="Verdana" w:cs="Arial"/>
          <w:sz w:val="20"/>
          <w:szCs w:val="20"/>
          <w:lang w:eastAsia="ja-JP"/>
        </w:rPr>
        <w:lastRenderedPageBreak/>
        <w:t xml:space="preserve">las cuales la Policía Federal Ministerial realizó un informe el </w:t>
      </w:r>
      <w:r w:rsidRPr="00744CE4">
        <w:rPr>
          <w:rFonts w:ascii="Verdana" w:hAnsi="Verdana"/>
          <w:sz w:val="20"/>
          <w:szCs w:val="20"/>
        </w:rPr>
        <w:t xml:space="preserve">28 de junio de 2010 </w:t>
      </w:r>
      <w:r w:rsidRPr="00744CE4">
        <w:rPr>
          <w:rFonts w:ascii="Verdana" w:hAnsi="Verdana" w:cs="Arial"/>
          <w:sz w:val="20"/>
          <w:szCs w:val="20"/>
          <w:lang w:eastAsia="ja-JP"/>
        </w:rPr>
        <w:t xml:space="preserve">en el que concluyó que se trató de una llamada “extorsiva” </w:t>
      </w:r>
      <w:r w:rsidRPr="00432ABC">
        <w:rPr>
          <w:rFonts w:ascii="Verdana" w:hAnsi="Verdana" w:cs="Arial"/>
          <w:sz w:val="20"/>
          <w:szCs w:val="20"/>
          <w:lang w:eastAsia="ja-JP"/>
        </w:rPr>
        <w:t>realizada desde un número telefónico empleado previamente en otros eventos de extorsión desde las cercanías del Centro de Readaptación Social Femenil de Santa Martha Acatitla ubicado en la Ciudad de México</w:t>
      </w:r>
      <w:r w:rsidRPr="00744CE4">
        <w:rPr>
          <w:rStyle w:val="FootnoteReference"/>
          <w:rFonts w:ascii="Verdana" w:hAnsi="Verdana" w:cs="Arial"/>
          <w:sz w:val="20"/>
          <w:szCs w:val="20"/>
          <w:lang w:eastAsia="ja-JP"/>
        </w:rPr>
        <w:footnoteReference w:id="216"/>
      </w:r>
      <w:r w:rsidRPr="00744CE4">
        <w:rPr>
          <w:rFonts w:ascii="Verdana" w:hAnsi="Verdana" w:cs="Arial"/>
          <w:sz w:val="20"/>
          <w:szCs w:val="20"/>
          <w:lang w:eastAsia="ja-JP"/>
        </w:rPr>
        <w:t xml:space="preserve">. Finalmente, en vista de dicha información la </w:t>
      </w:r>
      <w:r w:rsidRPr="00744CE4">
        <w:rPr>
          <w:rFonts w:ascii="Verdana" w:hAnsi="Verdana"/>
          <w:sz w:val="20"/>
          <w:szCs w:val="20"/>
          <w:lang w:val="es-AR"/>
        </w:rPr>
        <w:t>FEV</w:t>
      </w:r>
      <w:r w:rsidRPr="00432ABC">
        <w:rPr>
          <w:rFonts w:ascii="Verdana" w:hAnsi="Verdana"/>
          <w:sz w:val="20"/>
          <w:szCs w:val="20"/>
          <w:lang w:val="es-AR"/>
        </w:rPr>
        <w:t>IMTRA - PGR determinó que:</w:t>
      </w:r>
    </w:p>
    <w:p w14:paraId="64AA5EA7" w14:textId="6C455B53" w:rsidR="002E1C85" w:rsidRPr="00744CE4" w:rsidRDefault="002E1C85">
      <w:pPr>
        <w:pStyle w:val="ListParagraph"/>
        <w:spacing w:before="120" w:after="120" w:line="240" w:lineRule="auto"/>
        <w:ind w:left="567"/>
        <w:contextualSpacing w:val="0"/>
        <w:jc w:val="both"/>
        <w:rPr>
          <w:rFonts w:ascii="Verdana" w:hAnsi="Verdana"/>
          <w:sz w:val="18"/>
          <w:szCs w:val="20"/>
          <w:lang w:val="es-AR"/>
        </w:rPr>
      </w:pPr>
      <w:r w:rsidRPr="00432ABC">
        <w:rPr>
          <w:rFonts w:ascii="Verdana" w:hAnsi="Verdana"/>
          <w:sz w:val="18"/>
          <w:szCs w:val="20"/>
          <w:lang w:val="es-AR"/>
        </w:rPr>
        <w:t xml:space="preserve">“[…] [L]a llamada telefónica en [la] que al parecer la joven Nitza Paola Alvarado Espinoza se comunicó pidiendo auxilio [ha] quedado descartada una vez efectuado el rastreo de esta llamada, se confirmó que la misma [se trató] de </w:t>
      </w:r>
      <w:r w:rsidRPr="002C462C">
        <w:rPr>
          <w:rFonts w:ascii="Verdana" w:hAnsi="Verdana"/>
          <w:sz w:val="18"/>
          <w:szCs w:val="20"/>
          <w:lang w:val="es-AR"/>
        </w:rPr>
        <w:t xml:space="preserve">una llamada derivada de </w:t>
      </w:r>
      <w:r w:rsidR="004562AE" w:rsidRPr="00744CE4">
        <w:rPr>
          <w:rFonts w:ascii="Verdana" w:hAnsi="Verdana"/>
          <w:sz w:val="18"/>
          <w:szCs w:val="20"/>
          <w:lang w:val="es-AR"/>
        </w:rPr>
        <w:t>[una] extorsión telefónica [….]</w:t>
      </w:r>
    </w:p>
    <w:p w14:paraId="0F6DABAB" w14:textId="5844FCA1" w:rsidR="00350979" w:rsidRPr="00DB378B" w:rsidRDefault="002E1C85">
      <w:pPr>
        <w:pStyle w:val="ListParagraph"/>
        <w:spacing w:before="120" w:after="120" w:line="240" w:lineRule="auto"/>
        <w:ind w:left="567"/>
        <w:contextualSpacing w:val="0"/>
        <w:jc w:val="both"/>
        <w:rPr>
          <w:rFonts w:ascii="Verdana" w:hAnsi="Verdana"/>
        </w:rPr>
      </w:pPr>
      <w:r w:rsidRPr="00744CE4">
        <w:rPr>
          <w:rFonts w:ascii="Verdana" w:hAnsi="Verdana"/>
          <w:sz w:val="18"/>
          <w:szCs w:val="20"/>
        </w:rPr>
        <w:t>[S]e concluyó que la llamada telefónica recibida […] a las 17:30 horas el 03 de febrero de 2010 no fue realizada por la joven desaparecida Nitza Paola Alvarado Espinoza, con lo que quedó cerrada esta […] línea de investigación”</w:t>
      </w:r>
      <w:r w:rsidRPr="00744CE4">
        <w:rPr>
          <w:rStyle w:val="FootnoteReference"/>
          <w:rFonts w:ascii="Verdana" w:hAnsi="Verdana"/>
          <w:sz w:val="18"/>
          <w:szCs w:val="20"/>
        </w:rPr>
        <w:footnoteReference w:id="217"/>
      </w:r>
      <w:r w:rsidR="004562AE" w:rsidRPr="00744CE4">
        <w:rPr>
          <w:rFonts w:ascii="Verdana" w:hAnsi="Verdana"/>
          <w:sz w:val="18"/>
          <w:szCs w:val="20"/>
        </w:rPr>
        <w:t xml:space="preserve">.     </w:t>
      </w:r>
    </w:p>
    <w:p w14:paraId="7D5F7A50" w14:textId="0A375230" w:rsidR="00350979" w:rsidRPr="00744CE4" w:rsidRDefault="0020172F">
      <w:pPr>
        <w:pStyle w:val="ListParagraph"/>
        <w:keepNext/>
        <w:keepLines/>
        <w:widowControl w:val="0"/>
        <w:numPr>
          <w:ilvl w:val="0"/>
          <w:numId w:val="42"/>
        </w:numPr>
        <w:adjustRightInd w:val="0"/>
        <w:spacing w:before="120" w:after="120" w:line="240" w:lineRule="auto"/>
        <w:ind w:left="714" w:hanging="357"/>
        <w:contextualSpacing w:val="0"/>
        <w:jc w:val="both"/>
        <w:textAlignment w:val="baseline"/>
        <w:outlineLvl w:val="1"/>
        <w:rPr>
          <w:rFonts w:ascii="Verdana" w:hAnsi="Verdana"/>
          <w:b/>
          <w:i/>
          <w:sz w:val="20"/>
          <w:szCs w:val="20"/>
          <w:lang w:val="es-AR"/>
        </w:rPr>
      </w:pPr>
      <w:bookmarkStart w:id="135" w:name="_Toc526774153"/>
      <w:bookmarkStart w:id="136" w:name="_Toc526777485"/>
      <w:bookmarkStart w:id="137" w:name="_Toc526783768"/>
      <w:bookmarkStart w:id="138" w:name="_Toc527561052"/>
      <w:r>
        <w:rPr>
          <w:rFonts w:ascii="Verdana" w:hAnsi="Verdana"/>
          <w:b/>
          <w:i/>
          <w:sz w:val="20"/>
          <w:szCs w:val="20"/>
          <w:lang w:val="es-AR"/>
        </w:rPr>
        <w:t xml:space="preserve"> </w:t>
      </w:r>
      <w:bookmarkStart w:id="139" w:name="_Toc532995340"/>
      <w:r w:rsidR="002E1C85" w:rsidRPr="00744CE4">
        <w:rPr>
          <w:rFonts w:ascii="Verdana" w:hAnsi="Verdana"/>
          <w:b/>
          <w:i/>
          <w:sz w:val="20"/>
          <w:szCs w:val="20"/>
          <w:lang w:val="es-AR"/>
        </w:rPr>
        <w:t>Investigaciones</w:t>
      </w:r>
      <w:bookmarkEnd w:id="135"/>
      <w:bookmarkEnd w:id="136"/>
      <w:bookmarkEnd w:id="137"/>
      <w:bookmarkEnd w:id="138"/>
      <w:bookmarkEnd w:id="139"/>
      <w:r w:rsidR="002E1C85" w:rsidRPr="00744CE4">
        <w:rPr>
          <w:rFonts w:ascii="Verdana" w:hAnsi="Verdana"/>
          <w:b/>
          <w:i/>
          <w:sz w:val="20"/>
          <w:szCs w:val="20"/>
          <w:lang w:val="es-AR"/>
        </w:rPr>
        <w:t xml:space="preserve"> </w:t>
      </w:r>
      <w:r w:rsidR="002E1C85" w:rsidRPr="00744CE4">
        <w:rPr>
          <w:rFonts w:ascii="Verdana" w:hAnsi="Verdana"/>
          <w:b/>
          <w:i/>
          <w:sz w:val="20"/>
          <w:szCs w:val="20"/>
          <w:lang w:val="es-AR"/>
        </w:rPr>
        <w:tab/>
      </w:r>
    </w:p>
    <w:p w14:paraId="52E43BEF" w14:textId="52DB9714" w:rsidR="00350979" w:rsidRPr="00432ABC" w:rsidRDefault="00A10160">
      <w:pPr>
        <w:pStyle w:val="ListParagraph"/>
        <w:widowControl w:val="0"/>
        <w:numPr>
          <w:ilvl w:val="0"/>
          <w:numId w:val="45"/>
        </w:numPr>
        <w:tabs>
          <w:tab w:val="left" w:pos="567"/>
        </w:tabs>
        <w:autoSpaceDE w:val="0"/>
        <w:autoSpaceDN w:val="0"/>
        <w:adjustRightInd w:val="0"/>
        <w:spacing w:before="120" w:after="120" w:line="240" w:lineRule="auto"/>
        <w:ind w:left="1560" w:hanging="426"/>
        <w:contextualSpacing w:val="0"/>
        <w:jc w:val="both"/>
        <w:textAlignment w:val="baseline"/>
        <w:outlineLvl w:val="2"/>
        <w:rPr>
          <w:rFonts w:ascii="Verdana" w:hAnsi="Verdana"/>
          <w:i/>
          <w:sz w:val="20"/>
          <w:szCs w:val="20"/>
          <w:u w:val="single"/>
        </w:rPr>
      </w:pPr>
      <w:bookmarkStart w:id="140" w:name="_Toc526783769"/>
      <w:bookmarkStart w:id="141" w:name="_Toc527561054"/>
      <w:r>
        <w:rPr>
          <w:rStyle w:val="SubtleEmphasis"/>
          <w:rFonts w:ascii="Verdana" w:hAnsi="Verdana"/>
          <w:i/>
          <w:sz w:val="20"/>
          <w:szCs w:val="20"/>
        </w:rPr>
        <w:t xml:space="preserve"> </w:t>
      </w:r>
      <w:bookmarkStart w:id="142" w:name="_Toc532995341"/>
      <w:r w:rsidR="002E1C85" w:rsidRPr="00432ABC">
        <w:rPr>
          <w:rStyle w:val="SubtleEmphasis"/>
          <w:rFonts w:ascii="Verdana" w:hAnsi="Verdana"/>
          <w:i/>
          <w:sz w:val="20"/>
          <w:szCs w:val="20"/>
        </w:rPr>
        <w:t>Procuraduría General de Ju</w:t>
      </w:r>
      <w:r w:rsidR="00F50ACE" w:rsidRPr="00432ABC">
        <w:rPr>
          <w:rStyle w:val="SubtleEmphasis"/>
          <w:rFonts w:ascii="Verdana" w:hAnsi="Verdana"/>
          <w:i/>
          <w:sz w:val="20"/>
          <w:szCs w:val="20"/>
        </w:rPr>
        <w:t xml:space="preserve">sticia del Estado de Chihuahua </w:t>
      </w:r>
      <w:r w:rsidR="002E1C85" w:rsidRPr="00432ABC">
        <w:rPr>
          <w:rStyle w:val="SubtleEmphasis"/>
          <w:rFonts w:ascii="Verdana" w:hAnsi="Verdana"/>
          <w:i/>
          <w:sz w:val="20"/>
          <w:szCs w:val="20"/>
        </w:rPr>
        <w:t>[PGJE – Chihuahua]</w:t>
      </w:r>
      <w:bookmarkEnd w:id="140"/>
      <w:bookmarkEnd w:id="141"/>
      <w:bookmarkEnd w:id="142"/>
      <w:r w:rsidR="002E1C85" w:rsidRPr="00432ABC">
        <w:rPr>
          <w:rFonts w:ascii="Verdana" w:hAnsi="Verdana"/>
          <w:i/>
          <w:sz w:val="20"/>
          <w:szCs w:val="20"/>
          <w:lang w:val="es-AR"/>
        </w:rPr>
        <w:t xml:space="preserve"> </w:t>
      </w:r>
    </w:p>
    <w:p w14:paraId="18DC16D2" w14:textId="20B9584D" w:rsidR="00350979" w:rsidRPr="00744CE4" w:rsidRDefault="002E1C85" w:rsidP="00DB378B">
      <w:pPr>
        <w:pStyle w:val="ListParagraph"/>
        <w:widowControl w:val="0"/>
        <w:numPr>
          <w:ilvl w:val="0"/>
          <w:numId w:val="4"/>
        </w:numPr>
        <w:tabs>
          <w:tab w:val="left" w:pos="567"/>
        </w:tabs>
        <w:adjustRightInd w:val="0"/>
        <w:spacing w:before="120" w:after="120" w:line="240" w:lineRule="auto"/>
        <w:ind w:left="0" w:firstLine="0"/>
        <w:contextualSpacing w:val="0"/>
        <w:jc w:val="both"/>
        <w:textAlignment w:val="baseline"/>
        <w:rPr>
          <w:rFonts w:ascii="Verdana" w:hAnsi="Verdana"/>
          <w:sz w:val="20"/>
          <w:szCs w:val="20"/>
        </w:rPr>
      </w:pPr>
      <w:r w:rsidRPr="002C462C">
        <w:rPr>
          <w:rFonts w:ascii="Verdana" w:hAnsi="Verdana"/>
          <w:sz w:val="20"/>
          <w:szCs w:val="20"/>
          <w:lang w:val="es-AR"/>
        </w:rPr>
        <w:t>El 31 de diciembre de 2009 Mar</w:t>
      </w:r>
      <w:r w:rsidR="002A013F">
        <w:rPr>
          <w:rFonts w:ascii="Verdana" w:hAnsi="Verdana"/>
          <w:sz w:val="20"/>
          <w:szCs w:val="20"/>
          <w:lang w:val="es-AR"/>
        </w:rPr>
        <w:t>í</w:t>
      </w:r>
      <w:r w:rsidRPr="002C462C">
        <w:rPr>
          <w:rFonts w:ascii="Verdana" w:hAnsi="Verdana"/>
          <w:sz w:val="20"/>
          <w:szCs w:val="20"/>
          <w:lang w:val="es-AR"/>
        </w:rPr>
        <w:t>a de Jesús Alvarado y Patricia Reyes promovieron sus respectivas denuncias por la desaparición de sus familiares ante el Agente Auxiliar del Ministerio Público de Buenaventura, Chihuahua [AAMP - Buenaventura], Aarón Enríquez Duarte. Ambas denuncias fueron radicadas conjuntamente por el delito de privación ilegal de la libertad bajo la Carpeta de In</w:t>
      </w:r>
      <w:r w:rsidRPr="00744CE4">
        <w:rPr>
          <w:rFonts w:ascii="Verdana" w:hAnsi="Verdana"/>
          <w:sz w:val="20"/>
          <w:szCs w:val="20"/>
          <w:lang w:val="es-AR"/>
        </w:rPr>
        <w:t>vestigación 124/2009-5326</w:t>
      </w:r>
      <w:r w:rsidRPr="00744CE4">
        <w:rPr>
          <w:rStyle w:val="FootnoteReference"/>
          <w:rFonts w:ascii="Verdana" w:hAnsi="Verdana"/>
          <w:sz w:val="20"/>
          <w:szCs w:val="20"/>
          <w:lang w:val="es-AR"/>
        </w:rPr>
        <w:footnoteReference w:id="218"/>
      </w:r>
      <w:r w:rsidRPr="00744CE4">
        <w:rPr>
          <w:rFonts w:ascii="Verdana" w:hAnsi="Verdana"/>
          <w:sz w:val="20"/>
          <w:szCs w:val="20"/>
          <w:lang w:val="es-AR"/>
        </w:rPr>
        <w:t xml:space="preserve"> y posteriormente asignadas a la Unidad Especial de Investigación de Personas Ausentes y Extraviadas [</w:t>
      </w:r>
      <w:r w:rsidRPr="00744CE4">
        <w:rPr>
          <w:rFonts w:ascii="Verdana" w:hAnsi="Verdana"/>
          <w:sz w:val="20"/>
          <w:szCs w:val="20"/>
        </w:rPr>
        <w:t>UEIPAE – Chihuahua]</w:t>
      </w:r>
      <w:r w:rsidRPr="00744CE4">
        <w:rPr>
          <w:rStyle w:val="FootnoteReference"/>
          <w:rFonts w:ascii="Verdana" w:hAnsi="Verdana"/>
          <w:sz w:val="20"/>
          <w:szCs w:val="20"/>
          <w:lang w:val="es-AR"/>
        </w:rPr>
        <w:footnoteReference w:id="219"/>
      </w:r>
      <w:r w:rsidRPr="00744CE4">
        <w:rPr>
          <w:rFonts w:ascii="Verdana" w:hAnsi="Verdana"/>
          <w:sz w:val="20"/>
          <w:szCs w:val="20"/>
          <w:lang w:val="es-AR"/>
        </w:rPr>
        <w:t xml:space="preserve">. </w:t>
      </w:r>
    </w:p>
    <w:p w14:paraId="64AA5EB1" w14:textId="06A98574" w:rsidR="002E1C85" w:rsidRPr="00432ABC" w:rsidRDefault="002E1C85" w:rsidP="00DB378B">
      <w:pPr>
        <w:pStyle w:val="ListParagraph"/>
        <w:widowControl w:val="0"/>
        <w:numPr>
          <w:ilvl w:val="0"/>
          <w:numId w:val="4"/>
        </w:numPr>
        <w:tabs>
          <w:tab w:val="left" w:pos="567"/>
        </w:tabs>
        <w:adjustRightInd w:val="0"/>
        <w:spacing w:before="120" w:after="120" w:line="240" w:lineRule="auto"/>
        <w:ind w:left="0" w:firstLine="0"/>
        <w:contextualSpacing w:val="0"/>
        <w:jc w:val="both"/>
        <w:textAlignment w:val="baseline"/>
        <w:rPr>
          <w:rFonts w:ascii="Verdana" w:hAnsi="Verdana"/>
          <w:sz w:val="20"/>
          <w:szCs w:val="20"/>
        </w:rPr>
      </w:pPr>
      <w:r w:rsidRPr="00432ABC">
        <w:rPr>
          <w:rFonts w:ascii="Verdana" w:hAnsi="Verdana"/>
          <w:sz w:val="20"/>
          <w:szCs w:val="20"/>
        </w:rPr>
        <w:t xml:space="preserve">En el marco de dicha investigación, tuvieron lugar, entre otras, las siguientes diligencias:  </w:t>
      </w:r>
    </w:p>
    <w:p w14:paraId="64AA5EB3" w14:textId="3D8C1686" w:rsidR="002E1C85" w:rsidRPr="008D0846" w:rsidRDefault="00B4529B">
      <w:pPr>
        <w:pStyle w:val="ListParagraph"/>
        <w:numPr>
          <w:ilvl w:val="0"/>
          <w:numId w:val="11"/>
        </w:numPr>
        <w:spacing w:before="120" w:after="120" w:line="240" w:lineRule="auto"/>
        <w:ind w:left="568" w:hanging="284"/>
        <w:contextualSpacing w:val="0"/>
        <w:jc w:val="both"/>
        <w:rPr>
          <w:rFonts w:ascii="Verdana" w:hAnsi="Verdana" w:cs="Cambria"/>
          <w:sz w:val="18"/>
          <w:szCs w:val="20"/>
        </w:rPr>
      </w:pPr>
      <w:r w:rsidRPr="008D0846">
        <w:rPr>
          <w:rFonts w:ascii="Verdana" w:hAnsi="Verdana" w:cs="Cambria"/>
          <w:sz w:val="18"/>
          <w:szCs w:val="20"/>
        </w:rPr>
        <w:t>e</w:t>
      </w:r>
      <w:r w:rsidR="002E1C85" w:rsidRPr="008D0846">
        <w:rPr>
          <w:rFonts w:ascii="Verdana" w:hAnsi="Verdana" w:cs="Cambria"/>
          <w:sz w:val="18"/>
          <w:szCs w:val="20"/>
        </w:rPr>
        <w:t xml:space="preserve">l 5 de enero de 2010 la Policía Ministerial de la Agencia Estatal de Investigación de la PGJE – Chihuahua [AEI - Chihuahua], a pedimento del </w:t>
      </w:r>
      <w:r w:rsidR="002E1C85" w:rsidRPr="008D0846">
        <w:rPr>
          <w:rFonts w:ascii="Verdana" w:hAnsi="Verdana"/>
          <w:sz w:val="18"/>
          <w:szCs w:val="20"/>
          <w:lang w:val="es-AR"/>
        </w:rPr>
        <w:t>AAMP - Buenaventura</w:t>
      </w:r>
      <w:r w:rsidR="002E1C85" w:rsidRPr="008D0846">
        <w:rPr>
          <w:rFonts w:ascii="Verdana" w:hAnsi="Verdana" w:cs="Cambria"/>
          <w:sz w:val="18"/>
          <w:szCs w:val="20"/>
        </w:rPr>
        <w:t xml:space="preserve"> para el esclarecimiento de los hechos</w:t>
      </w:r>
      <w:r w:rsidR="002E1C85" w:rsidRPr="008D0846">
        <w:rPr>
          <w:rStyle w:val="FootnoteReference"/>
          <w:rFonts w:ascii="Verdana" w:hAnsi="Verdana" w:cs="Cambria"/>
          <w:sz w:val="18"/>
          <w:szCs w:val="20"/>
        </w:rPr>
        <w:footnoteReference w:id="220"/>
      </w:r>
      <w:r w:rsidR="002E1C85" w:rsidRPr="008D0846">
        <w:rPr>
          <w:rFonts w:ascii="Verdana" w:hAnsi="Verdana" w:cs="Cambria"/>
          <w:sz w:val="18"/>
          <w:szCs w:val="20"/>
        </w:rPr>
        <w:t>, remitió un acta de aviso al Ministerio Público por la comisión de hechos delictuosos; cuatro actas de entrevistas realizadas a testigos de los hechos; un acta de cadena y eslabones de custodia de evidencias, y una serie de fotografías tomadas a la camioneta de donde fueron sustraídos por sus captores Nitza Paola y José Ángel Alvarado el 29 de diciembre de 2009</w:t>
      </w:r>
      <w:r w:rsidR="002E1C85" w:rsidRPr="008D0846">
        <w:rPr>
          <w:rStyle w:val="FootnoteReference"/>
          <w:rFonts w:ascii="Verdana" w:hAnsi="Verdana" w:cs="Cambria"/>
          <w:sz w:val="18"/>
          <w:szCs w:val="20"/>
        </w:rPr>
        <w:footnoteReference w:id="221"/>
      </w:r>
      <w:r w:rsidR="00D50E04" w:rsidRPr="008D0846">
        <w:rPr>
          <w:rFonts w:ascii="Verdana" w:hAnsi="Verdana" w:cs="Cambria"/>
          <w:sz w:val="18"/>
          <w:szCs w:val="20"/>
        </w:rPr>
        <w:t>;</w:t>
      </w:r>
    </w:p>
    <w:p w14:paraId="64AA5EB5" w14:textId="5FD49313" w:rsidR="002E1C85" w:rsidRPr="008D0846" w:rsidRDefault="00D50E04">
      <w:pPr>
        <w:pStyle w:val="ListParagraph"/>
        <w:numPr>
          <w:ilvl w:val="0"/>
          <w:numId w:val="11"/>
        </w:numPr>
        <w:spacing w:before="120" w:after="120" w:line="240" w:lineRule="auto"/>
        <w:ind w:left="568" w:hanging="284"/>
        <w:contextualSpacing w:val="0"/>
        <w:jc w:val="both"/>
        <w:rPr>
          <w:rFonts w:ascii="Verdana" w:hAnsi="Verdana"/>
          <w:sz w:val="18"/>
          <w:szCs w:val="20"/>
        </w:rPr>
      </w:pPr>
      <w:r w:rsidRPr="008D0846">
        <w:rPr>
          <w:rFonts w:ascii="Verdana" w:hAnsi="Verdana"/>
          <w:sz w:val="18"/>
          <w:szCs w:val="20"/>
        </w:rPr>
        <w:t>e</w:t>
      </w:r>
      <w:r w:rsidR="002E1C85" w:rsidRPr="008D0846">
        <w:rPr>
          <w:rFonts w:ascii="Verdana" w:hAnsi="Verdana"/>
          <w:sz w:val="18"/>
          <w:szCs w:val="20"/>
        </w:rPr>
        <w:t xml:space="preserve">l 12 de febrero de 2010 María de Jesús Alvarado compareció ante el AMP de la PGJE - Chihuahua para </w:t>
      </w:r>
      <w:r w:rsidR="00F825CC" w:rsidRPr="008D0846">
        <w:rPr>
          <w:rFonts w:ascii="Verdana" w:hAnsi="Verdana"/>
          <w:sz w:val="18"/>
          <w:szCs w:val="20"/>
        </w:rPr>
        <w:t>hacer de su</w:t>
      </w:r>
      <w:r w:rsidR="002E1C85" w:rsidRPr="008D0846">
        <w:rPr>
          <w:rFonts w:ascii="Verdana" w:hAnsi="Verdana"/>
          <w:sz w:val="18"/>
          <w:szCs w:val="20"/>
        </w:rPr>
        <w:t xml:space="preserve"> conocimiento la llamada de auxilio supuestamente realizada por Nitza Paola Alvarado (</w:t>
      </w:r>
      <w:r w:rsidR="002E1C85" w:rsidRPr="008D0846">
        <w:rPr>
          <w:rFonts w:ascii="Verdana" w:hAnsi="Verdana"/>
          <w:i/>
          <w:sz w:val="18"/>
          <w:szCs w:val="20"/>
        </w:rPr>
        <w:t>supra</w:t>
      </w:r>
      <w:r w:rsidR="002E1C85" w:rsidRPr="008D0846">
        <w:rPr>
          <w:rFonts w:ascii="Verdana" w:hAnsi="Verdana"/>
          <w:sz w:val="18"/>
          <w:szCs w:val="20"/>
        </w:rPr>
        <w:t xml:space="preserve"> párr. </w:t>
      </w:r>
      <w:r w:rsidR="00F825CC" w:rsidRPr="008D0846">
        <w:rPr>
          <w:rFonts w:ascii="Verdana" w:hAnsi="Verdana"/>
          <w:sz w:val="18"/>
          <w:szCs w:val="20"/>
        </w:rPr>
        <w:t>10</w:t>
      </w:r>
      <w:r w:rsidR="007E2CF6" w:rsidRPr="008D0846">
        <w:rPr>
          <w:rFonts w:ascii="Verdana" w:hAnsi="Verdana"/>
          <w:sz w:val="18"/>
          <w:szCs w:val="20"/>
        </w:rPr>
        <w:t>1</w:t>
      </w:r>
      <w:r w:rsidR="002E1C85" w:rsidRPr="008D0846">
        <w:rPr>
          <w:rFonts w:ascii="Verdana" w:hAnsi="Verdana"/>
          <w:sz w:val="18"/>
          <w:szCs w:val="20"/>
        </w:rPr>
        <w:t>)</w:t>
      </w:r>
      <w:r w:rsidR="002E1C85" w:rsidRPr="008D0846">
        <w:rPr>
          <w:rStyle w:val="FootnoteReference"/>
          <w:rFonts w:ascii="Verdana" w:hAnsi="Verdana" w:cs="Cambria"/>
          <w:sz w:val="18"/>
          <w:szCs w:val="20"/>
        </w:rPr>
        <w:footnoteReference w:id="222"/>
      </w:r>
      <w:r w:rsidR="002E1C85" w:rsidRPr="008D0846">
        <w:rPr>
          <w:rFonts w:ascii="Verdana" w:hAnsi="Verdana"/>
          <w:sz w:val="18"/>
          <w:szCs w:val="20"/>
        </w:rPr>
        <w:t>. El 13 de febrero de 2010 Juana Bustamante rindió su declaración ante tal autoridad, señalando que identificó en dicha llamada la voz de Nitza Paola Alvarado pidiendo auxilio</w:t>
      </w:r>
      <w:r w:rsidR="002E1C85" w:rsidRPr="008D0846">
        <w:rPr>
          <w:rStyle w:val="FootnoteReference"/>
          <w:rFonts w:ascii="Verdana" w:hAnsi="Verdana" w:cs="Cambria"/>
          <w:sz w:val="18"/>
          <w:szCs w:val="20"/>
        </w:rPr>
        <w:footnoteReference w:id="223"/>
      </w:r>
      <w:r w:rsidRPr="008D0846">
        <w:rPr>
          <w:rFonts w:ascii="Verdana" w:hAnsi="Verdana"/>
          <w:sz w:val="18"/>
          <w:szCs w:val="20"/>
        </w:rPr>
        <w:t>;</w:t>
      </w:r>
    </w:p>
    <w:p w14:paraId="64AA5EB6" w14:textId="286F7D03" w:rsidR="002E1C85" w:rsidRPr="008D0846" w:rsidRDefault="00D50E04">
      <w:pPr>
        <w:widowControl w:val="0"/>
        <w:numPr>
          <w:ilvl w:val="0"/>
          <w:numId w:val="11"/>
        </w:numPr>
        <w:tabs>
          <w:tab w:val="left" w:pos="567"/>
        </w:tabs>
        <w:adjustRightInd w:val="0"/>
        <w:spacing w:before="120" w:after="120" w:line="240" w:lineRule="auto"/>
        <w:ind w:left="567" w:hanging="284"/>
        <w:jc w:val="both"/>
        <w:textAlignment w:val="baseline"/>
        <w:rPr>
          <w:rFonts w:ascii="Verdana" w:hAnsi="Verdana" w:cs="Cambria"/>
          <w:sz w:val="18"/>
          <w:szCs w:val="20"/>
        </w:rPr>
      </w:pPr>
      <w:r w:rsidRPr="008D0846">
        <w:rPr>
          <w:rFonts w:ascii="Verdana" w:hAnsi="Verdana" w:cs="Cambria"/>
          <w:sz w:val="18"/>
          <w:szCs w:val="20"/>
        </w:rPr>
        <w:lastRenderedPageBreak/>
        <w:t>e</w:t>
      </w:r>
      <w:r w:rsidR="002E1C85" w:rsidRPr="008D0846">
        <w:rPr>
          <w:rFonts w:ascii="Verdana" w:hAnsi="Verdana" w:cs="Cambria"/>
          <w:sz w:val="18"/>
          <w:szCs w:val="20"/>
        </w:rPr>
        <w:t>l 9 de febrero de 2010 el representante legal de la empresa Teléfonos de México S.A.</w:t>
      </w:r>
      <w:r w:rsidR="007E2CF6" w:rsidRPr="008D0846">
        <w:rPr>
          <w:rFonts w:ascii="Verdana" w:hAnsi="Verdana" w:cs="Cambria"/>
          <w:sz w:val="18"/>
          <w:szCs w:val="20"/>
        </w:rPr>
        <w:t xml:space="preserve"> </w:t>
      </w:r>
      <w:r w:rsidR="002E1C85" w:rsidRPr="008D0846">
        <w:rPr>
          <w:rFonts w:ascii="Verdana" w:hAnsi="Verdana" w:cs="Cambria"/>
          <w:sz w:val="18"/>
          <w:szCs w:val="20"/>
        </w:rPr>
        <w:t xml:space="preserve">de C.V. </w:t>
      </w:r>
      <w:r w:rsidR="00F825CC" w:rsidRPr="008D0846">
        <w:rPr>
          <w:rFonts w:ascii="Verdana" w:hAnsi="Verdana" w:cs="Cambria"/>
          <w:sz w:val="18"/>
          <w:szCs w:val="20"/>
        </w:rPr>
        <w:t>(</w:t>
      </w:r>
      <w:r w:rsidR="002E1C85" w:rsidRPr="008D0846">
        <w:rPr>
          <w:rFonts w:ascii="Verdana" w:hAnsi="Verdana" w:cs="Cambria"/>
          <w:sz w:val="18"/>
          <w:szCs w:val="20"/>
        </w:rPr>
        <w:t>TELMEX</w:t>
      </w:r>
      <w:r w:rsidR="00F825CC" w:rsidRPr="008D0846">
        <w:rPr>
          <w:rFonts w:ascii="Verdana" w:hAnsi="Verdana" w:cs="Cambria"/>
          <w:sz w:val="18"/>
          <w:szCs w:val="20"/>
        </w:rPr>
        <w:t>)</w:t>
      </w:r>
      <w:r w:rsidR="002E1C85" w:rsidRPr="008D0846">
        <w:rPr>
          <w:rFonts w:ascii="Verdana" w:hAnsi="Verdana" w:cs="Cambria"/>
          <w:sz w:val="18"/>
          <w:szCs w:val="20"/>
        </w:rPr>
        <w:t xml:space="preserve"> remitió el informe sobre el nombre y domicilio del titular, así como del número al cual fue recibida la supuesta llamada de auxilio de Nitza Paola</w:t>
      </w:r>
      <w:r w:rsidR="002E1C85" w:rsidRPr="008D0846">
        <w:rPr>
          <w:rStyle w:val="FootnoteReference"/>
          <w:rFonts w:ascii="Verdana" w:hAnsi="Verdana" w:cs="Cambria"/>
          <w:sz w:val="18"/>
          <w:szCs w:val="20"/>
        </w:rPr>
        <w:footnoteReference w:id="224"/>
      </w:r>
      <w:r w:rsidR="002E1C85" w:rsidRPr="008D0846">
        <w:rPr>
          <w:rFonts w:ascii="Verdana" w:hAnsi="Verdana" w:cs="Cambria"/>
          <w:sz w:val="18"/>
          <w:szCs w:val="20"/>
        </w:rPr>
        <w:t>. De los datos recabados se obtuvo el número telefónico desde el cual fue realizada dicha llamada</w:t>
      </w:r>
      <w:r w:rsidR="002E1C85" w:rsidRPr="008D0846">
        <w:rPr>
          <w:rStyle w:val="FootnoteReference"/>
          <w:rFonts w:ascii="Verdana" w:hAnsi="Verdana" w:cs="Cambria"/>
          <w:sz w:val="18"/>
          <w:szCs w:val="20"/>
        </w:rPr>
        <w:footnoteReference w:id="225"/>
      </w:r>
      <w:r w:rsidRPr="008D0846">
        <w:rPr>
          <w:rFonts w:ascii="Verdana" w:hAnsi="Verdana" w:cs="Cambria"/>
          <w:sz w:val="18"/>
          <w:szCs w:val="20"/>
        </w:rPr>
        <w:t>;</w:t>
      </w:r>
    </w:p>
    <w:p w14:paraId="64AA5EB9" w14:textId="3E31CA04" w:rsidR="002E1C85" w:rsidRPr="008D0846" w:rsidRDefault="00D50E04">
      <w:pPr>
        <w:pStyle w:val="ListParagraph"/>
        <w:widowControl w:val="0"/>
        <w:numPr>
          <w:ilvl w:val="0"/>
          <w:numId w:val="11"/>
        </w:numPr>
        <w:tabs>
          <w:tab w:val="left" w:pos="567"/>
        </w:tabs>
        <w:adjustRightInd w:val="0"/>
        <w:spacing w:before="120" w:after="120" w:line="240" w:lineRule="auto"/>
        <w:ind w:left="567" w:hanging="284"/>
        <w:contextualSpacing w:val="0"/>
        <w:jc w:val="both"/>
        <w:textAlignment w:val="baseline"/>
        <w:rPr>
          <w:rFonts w:ascii="Verdana" w:hAnsi="Verdana" w:cs="Cambria"/>
          <w:sz w:val="18"/>
          <w:szCs w:val="20"/>
        </w:rPr>
      </w:pPr>
      <w:r w:rsidRPr="008D0846">
        <w:rPr>
          <w:rFonts w:ascii="Verdana" w:hAnsi="Verdana"/>
          <w:sz w:val="18"/>
          <w:szCs w:val="20"/>
        </w:rPr>
        <w:t>e</w:t>
      </w:r>
      <w:r w:rsidR="002E1C85" w:rsidRPr="008D0846">
        <w:rPr>
          <w:rFonts w:ascii="Verdana" w:hAnsi="Verdana"/>
          <w:sz w:val="18"/>
          <w:szCs w:val="20"/>
        </w:rPr>
        <w:t>l 15 de febrero de 2010 María de Jesús Alvarado Espinoza solicitó a la UEIPAE - Chihuahua</w:t>
      </w:r>
      <w:r w:rsidR="002E1C85" w:rsidRPr="008D0846" w:rsidDel="0017553F">
        <w:rPr>
          <w:rFonts w:ascii="Verdana" w:hAnsi="Verdana"/>
          <w:sz w:val="18"/>
          <w:szCs w:val="20"/>
        </w:rPr>
        <w:t xml:space="preserve"> </w:t>
      </w:r>
      <w:r w:rsidR="002E1C85" w:rsidRPr="008D0846">
        <w:rPr>
          <w:rFonts w:ascii="Verdana" w:hAnsi="Verdana"/>
          <w:sz w:val="18"/>
          <w:szCs w:val="20"/>
        </w:rPr>
        <w:t>la devolución del vehículo del cual fueron sustraídos sus familiares el 29 de diciembre de 2009</w:t>
      </w:r>
      <w:r w:rsidR="002E1C85" w:rsidRPr="008D0846">
        <w:rPr>
          <w:rStyle w:val="FootnoteReference"/>
          <w:rFonts w:ascii="Verdana" w:hAnsi="Verdana"/>
          <w:sz w:val="18"/>
          <w:szCs w:val="20"/>
        </w:rPr>
        <w:footnoteReference w:id="226"/>
      </w:r>
      <w:r w:rsidR="002E1C85" w:rsidRPr="008D0846">
        <w:rPr>
          <w:rFonts w:ascii="Verdana" w:hAnsi="Verdana"/>
          <w:sz w:val="18"/>
          <w:szCs w:val="20"/>
        </w:rPr>
        <w:t>, mismo que le fue devuelto el 16 de febrero de 2010 tras acreditar su propiedad</w:t>
      </w:r>
      <w:r w:rsidR="002E1C85" w:rsidRPr="008D0846">
        <w:rPr>
          <w:rStyle w:val="FootnoteReference"/>
          <w:rFonts w:ascii="Verdana" w:hAnsi="Verdana"/>
          <w:sz w:val="18"/>
          <w:szCs w:val="20"/>
        </w:rPr>
        <w:footnoteReference w:id="227"/>
      </w:r>
      <w:r w:rsidRPr="008D0846">
        <w:rPr>
          <w:rFonts w:ascii="Verdana" w:hAnsi="Verdana"/>
          <w:sz w:val="18"/>
          <w:szCs w:val="20"/>
        </w:rPr>
        <w:t>;</w:t>
      </w:r>
    </w:p>
    <w:p w14:paraId="64AA5EBB" w14:textId="171FD72B" w:rsidR="002E1C85" w:rsidRPr="008D0846" w:rsidRDefault="002E1C85">
      <w:pPr>
        <w:widowControl w:val="0"/>
        <w:numPr>
          <w:ilvl w:val="0"/>
          <w:numId w:val="11"/>
        </w:numPr>
        <w:tabs>
          <w:tab w:val="left" w:pos="567"/>
        </w:tabs>
        <w:adjustRightInd w:val="0"/>
        <w:spacing w:before="120" w:after="120" w:line="240" w:lineRule="auto"/>
        <w:ind w:left="567" w:hanging="283"/>
        <w:jc w:val="both"/>
        <w:textAlignment w:val="baseline"/>
        <w:rPr>
          <w:rFonts w:ascii="Verdana" w:hAnsi="Verdana"/>
          <w:sz w:val="18"/>
          <w:szCs w:val="20"/>
        </w:rPr>
      </w:pPr>
      <w:r w:rsidRPr="008D0846">
        <w:rPr>
          <w:rFonts w:ascii="Verdana" w:hAnsi="Verdana" w:cs="Cambria"/>
          <w:sz w:val="18"/>
          <w:szCs w:val="20"/>
        </w:rPr>
        <w:t>A solicitud de la PGJE - Chihuahua</w:t>
      </w:r>
      <w:r w:rsidRPr="008D0846">
        <w:rPr>
          <w:rStyle w:val="FootnoteReference"/>
          <w:rFonts w:ascii="Verdana" w:hAnsi="Verdana" w:cs="Cambria"/>
          <w:sz w:val="18"/>
          <w:szCs w:val="20"/>
        </w:rPr>
        <w:footnoteReference w:id="228"/>
      </w:r>
      <w:r w:rsidRPr="008D0846">
        <w:rPr>
          <w:rFonts w:ascii="Verdana" w:hAnsi="Verdana" w:cs="Cambria"/>
          <w:sz w:val="18"/>
          <w:szCs w:val="20"/>
        </w:rPr>
        <w:t>, el representante legal de la empresa telefónica Pegaso Comunicaciones y Sistemas S.A. de C.V., informó que no era posible proporcionar los datos personales del número telefónico del cual fue realizada la supuesta llamada de auxilio de Nitza Paola Alvarado toda vez que la misma había sido adquirida mediante el plan de prepago</w:t>
      </w:r>
      <w:r w:rsidRPr="008D0846">
        <w:rPr>
          <w:rStyle w:val="FootnoteReference"/>
          <w:rFonts w:ascii="Verdana" w:hAnsi="Verdana" w:cs="Cambria"/>
          <w:sz w:val="18"/>
          <w:szCs w:val="20"/>
        </w:rPr>
        <w:footnoteReference w:id="229"/>
      </w:r>
      <w:r w:rsidR="00D50E04" w:rsidRPr="008D0846">
        <w:rPr>
          <w:rFonts w:ascii="Verdana" w:hAnsi="Verdana" w:cs="Cambria"/>
          <w:sz w:val="18"/>
          <w:szCs w:val="20"/>
        </w:rPr>
        <w:t>;</w:t>
      </w:r>
    </w:p>
    <w:p w14:paraId="64AA5EBD" w14:textId="5D20BB07" w:rsidR="002E1C85" w:rsidRPr="008D0846" w:rsidRDefault="00D50E04">
      <w:pPr>
        <w:widowControl w:val="0"/>
        <w:numPr>
          <w:ilvl w:val="0"/>
          <w:numId w:val="11"/>
        </w:numPr>
        <w:tabs>
          <w:tab w:val="left" w:pos="567"/>
        </w:tabs>
        <w:autoSpaceDE w:val="0"/>
        <w:autoSpaceDN w:val="0"/>
        <w:adjustRightInd w:val="0"/>
        <w:spacing w:before="120" w:after="120" w:line="240" w:lineRule="auto"/>
        <w:ind w:left="567" w:hanging="283"/>
        <w:jc w:val="both"/>
        <w:textAlignment w:val="baseline"/>
        <w:rPr>
          <w:rFonts w:ascii="Verdana" w:hAnsi="Verdana"/>
          <w:sz w:val="18"/>
          <w:szCs w:val="20"/>
        </w:rPr>
      </w:pPr>
      <w:r w:rsidRPr="008D0846">
        <w:rPr>
          <w:rFonts w:ascii="Verdana" w:hAnsi="Verdana" w:cs="Arial"/>
          <w:sz w:val="18"/>
          <w:szCs w:val="20"/>
        </w:rPr>
        <w:t>e</w:t>
      </w:r>
      <w:r w:rsidR="002E1C85" w:rsidRPr="008D0846">
        <w:rPr>
          <w:rFonts w:ascii="Verdana" w:hAnsi="Verdana" w:cs="Arial"/>
          <w:sz w:val="18"/>
          <w:szCs w:val="20"/>
        </w:rPr>
        <w:t xml:space="preserve">l 31 de agosto de 2010 se realizó un rastreo en diversos sitios del Ejido Benito Juárez “de posibles elementos o información relevante en torno a la investigación”, </w:t>
      </w:r>
      <w:r w:rsidR="002E1C85" w:rsidRPr="008D0846">
        <w:rPr>
          <w:rFonts w:ascii="Verdana" w:hAnsi="Verdana"/>
          <w:sz w:val="18"/>
          <w:szCs w:val="20"/>
        </w:rPr>
        <w:t>obteniendo resultados negativos tras dichas exploraciones</w:t>
      </w:r>
      <w:r w:rsidR="002E1C85" w:rsidRPr="008D0846">
        <w:rPr>
          <w:rStyle w:val="FootnoteReference"/>
          <w:rFonts w:ascii="Verdana" w:hAnsi="Verdana"/>
          <w:sz w:val="18"/>
          <w:szCs w:val="20"/>
        </w:rPr>
        <w:footnoteReference w:id="230"/>
      </w:r>
      <w:r w:rsidRPr="008D0846">
        <w:rPr>
          <w:rFonts w:ascii="Verdana" w:hAnsi="Verdana" w:cs="Arial"/>
          <w:sz w:val="18"/>
          <w:szCs w:val="20"/>
        </w:rPr>
        <w:t>, y</w:t>
      </w:r>
    </w:p>
    <w:p w14:paraId="64AA5EBF" w14:textId="4BB3D322" w:rsidR="002E1C85" w:rsidRPr="008D0846" w:rsidRDefault="00D50E04">
      <w:pPr>
        <w:widowControl w:val="0"/>
        <w:numPr>
          <w:ilvl w:val="0"/>
          <w:numId w:val="11"/>
        </w:numPr>
        <w:tabs>
          <w:tab w:val="left" w:pos="567"/>
        </w:tabs>
        <w:adjustRightInd w:val="0"/>
        <w:spacing w:before="120" w:after="120" w:line="240" w:lineRule="auto"/>
        <w:ind w:left="567" w:hanging="283"/>
        <w:jc w:val="both"/>
        <w:textAlignment w:val="baseline"/>
        <w:rPr>
          <w:rFonts w:ascii="Verdana" w:hAnsi="Verdana" w:cs="Arial"/>
          <w:sz w:val="18"/>
          <w:szCs w:val="20"/>
          <w:lang w:bidi="he-IL"/>
        </w:rPr>
      </w:pPr>
      <w:r w:rsidRPr="008D0846">
        <w:rPr>
          <w:rFonts w:ascii="Verdana" w:hAnsi="Verdana"/>
          <w:sz w:val="18"/>
          <w:szCs w:val="20"/>
        </w:rPr>
        <w:t>l</w:t>
      </w:r>
      <w:r w:rsidR="002E1C85" w:rsidRPr="008D0846">
        <w:rPr>
          <w:rFonts w:ascii="Verdana" w:hAnsi="Verdana"/>
          <w:sz w:val="18"/>
          <w:szCs w:val="20"/>
        </w:rPr>
        <w:t>os días 1 de febrero</w:t>
      </w:r>
      <w:r w:rsidR="002E1C85" w:rsidRPr="008D0846">
        <w:rPr>
          <w:rStyle w:val="FootnoteReference"/>
          <w:rFonts w:ascii="Verdana" w:hAnsi="Verdana"/>
          <w:sz w:val="18"/>
          <w:szCs w:val="20"/>
        </w:rPr>
        <w:footnoteReference w:id="231"/>
      </w:r>
      <w:r w:rsidR="002E1C85" w:rsidRPr="008D0846">
        <w:rPr>
          <w:rFonts w:ascii="Verdana" w:hAnsi="Verdana"/>
          <w:sz w:val="18"/>
          <w:szCs w:val="20"/>
        </w:rPr>
        <w:t>, 23 de febrero</w:t>
      </w:r>
      <w:r w:rsidR="002E1C85" w:rsidRPr="008D0846">
        <w:rPr>
          <w:rStyle w:val="FootnoteReference"/>
          <w:rFonts w:ascii="Verdana" w:hAnsi="Verdana"/>
          <w:sz w:val="18"/>
          <w:szCs w:val="20"/>
        </w:rPr>
        <w:footnoteReference w:id="232"/>
      </w:r>
      <w:r w:rsidR="002E1C85" w:rsidRPr="008D0846">
        <w:rPr>
          <w:rFonts w:ascii="Verdana" w:hAnsi="Verdana"/>
          <w:sz w:val="18"/>
          <w:szCs w:val="20"/>
        </w:rPr>
        <w:t xml:space="preserve"> y 16 de junio de 2011</w:t>
      </w:r>
      <w:r w:rsidR="002E1C85" w:rsidRPr="008D0846">
        <w:rPr>
          <w:rStyle w:val="FootnoteReference"/>
          <w:rFonts w:ascii="Verdana" w:hAnsi="Verdana"/>
          <w:sz w:val="18"/>
          <w:szCs w:val="20"/>
        </w:rPr>
        <w:footnoteReference w:id="233"/>
      </w:r>
      <w:r w:rsidR="002E1C85" w:rsidRPr="008D0846">
        <w:rPr>
          <w:rFonts w:ascii="Verdana" w:hAnsi="Verdana"/>
          <w:sz w:val="18"/>
          <w:szCs w:val="20"/>
        </w:rPr>
        <w:t xml:space="preserve"> la PGJE – Chihuahua solicitó colaboración a distintas autoridades para descender a rappel y realizar prospecciones en distintos lugares de interés para la posible localización de los restos de las tres víctimas desaparecidas</w:t>
      </w:r>
      <w:r w:rsidR="002E1C85" w:rsidRPr="008D0846">
        <w:rPr>
          <w:rFonts w:ascii="Verdana" w:hAnsi="Verdana" w:cs="Arial"/>
          <w:sz w:val="18"/>
          <w:szCs w:val="20"/>
        </w:rPr>
        <w:t>. Dichas dependencias respondieron que no contaban con el equipo requerido para tales prospecciones</w:t>
      </w:r>
      <w:r w:rsidR="002E1C85" w:rsidRPr="008D0846">
        <w:rPr>
          <w:rStyle w:val="FootnoteReference"/>
          <w:rFonts w:ascii="Verdana" w:hAnsi="Verdana" w:cs="Arial"/>
          <w:sz w:val="18"/>
          <w:szCs w:val="20"/>
        </w:rPr>
        <w:footnoteReference w:id="234"/>
      </w:r>
      <w:r w:rsidR="002E1C85" w:rsidRPr="008D0846">
        <w:rPr>
          <w:rFonts w:ascii="Verdana" w:hAnsi="Verdana" w:cs="Arial"/>
          <w:sz w:val="18"/>
          <w:szCs w:val="20"/>
        </w:rPr>
        <w:t xml:space="preserve">. </w:t>
      </w:r>
    </w:p>
    <w:p w14:paraId="7E576A22" w14:textId="23BC23FD" w:rsidR="00754453" w:rsidRPr="002C462C" w:rsidRDefault="002E1C85" w:rsidP="00DB378B">
      <w:pPr>
        <w:pStyle w:val="ListParagraph"/>
        <w:widowControl w:val="0"/>
        <w:numPr>
          <w:ilvl w:val="0"/>
          <w:numId w:val="4"/>
        </w:numPr>
        <w:tabs>
          <w:tab w:val="left" w:pos="567"/>
        </w:tabs>
        <w:adjustRightInd w:val="0"/>
        <w:spacing w:before="120" w:after="120" w:line="240" w:lineRule="auto"/>
        <w:ind w:left="0" w:firstLine="0"/>
        <w:contextualSpacing w:val="0"/>
        <w:jc w:val="both"/>
        <w:textAlignment w:val="baseline"/>
        <w:rPr>
          <w:rFonts w:ascii="Verdana" w:hAnsi="Verdana"/>
          <w:sz w:val="20"/>
          <w:szCs w:val="20"/>
        </w:rPr>
      </w:pPr>
      <w:r w:rsidRPr="00432ABC">
        <w:rPr>
          <w:rFonts w:ascii="Verdana" w:hAnsi="Verdana"/>
          <w:sz w:val="20"/>
          <w:szCs w:val="20"/>
        </w:rPr>
        <w:lastRenderedPageBreak/>
        <w:t xml:space="preserve">El 28 de mayo de 2012 la Fiscalía General del Estado de Chihuahua  [FGE, antes PGJE – Chihuahua] declinó su competencia a favor de la Delegación Estatal de la Procuraduría General de la República en Chihuahua [PGR - Chihuahua], por tratarse de hechos de desaparición forzada de personas, entonces previsto en el artículo 215-A del Código de Procedimientos Penales Federal [sic], al considerar que:  </w:t>
      </w:r>
    </w:p>
    <w:p w14:paraId="64AA5EC3" w14:textId="581BB3E8" w:rsidR="002E1C85" w:rsidRPr="00744CE4" w:rsidRDefault="002E1C85">
      <w:pPr>
        <w:pStyle w:val="ListParagraph"/>
        <w:autoSpaceDE w:val="0"/>
        <w:autoSpaceDN w:val="0"/>
        <w:adjustRightInd w:val="0"/>
        <w:spacing w:before="120" w:after="120" w:line="240" w:lineRule="auto"/>
        <w:ind w:left="567"/>
        <w:contextualSpacing w:val="0"/>
        <w:jc w:val="both"/>
        <w:rPr>
          <w:rFonts w:ascii="Verdana" w:hAnsi="Verdana"/>
          <w:sz w:val="18"/>
          <w:szCs w:val="20"/>
        </w:rPr>
      </w:pPr>
      <w:r w:rsidRPr="002C462C">
        <w:rPr>
          <w:rFonts w:ascii="Verdana" w:hAnsi="Verdana"/>
          <w:sz w:val="18"/>
          <w:szCs w:val="20"/>
        </w:rPr>
        <w:t>“[…] [quienes] privaron de la libertad a [las tres víctimas desaparecidas] est[aban] organizados, siguieron un procedi</w:t>
      </w:r>
      <w:r w:rsidRPr="00744CE4">
        <w:rPr>
          <w:rFonts w:ascii="Verdana" w:hAnsi="Verdana"/>
          <w:sz w:val="18"/>
          <w:szCs w:val="20"/>
        </w:rPr>
        <w:t xml:space="preserve">miento, t[uvieron] la </w:t>
      </w:r>
      <w:r w:rsidR="00205AF7" w:rsidRPr="008D0846">
        <w:rPr>
          <w:rFonts w:ascii="Verdana" w:hAnsi="Verdana"/>
          <w:sz w:val="18"/>
          <w:szCs w:val="20"/>
        </w:rPr>
        <w:t>infra</w:t>
      </w:r>
      <w:r w:rsidRPr="00744CE4">
        <w:rPr>
          <w:rFonts w:ascii="Verdana" w:hAnsi="Verdana"/>
          <w:sz w:val="18"/>
          <w:szCs w:val="20"/>
        </w:rPr>
        <w:t>estructura, recursos económicos y logística básica, por lo tanto, existi[ó] por [esa] autoridad la presunción, siguiendo los indicios desprendiéndose [sic] que dicho acto delictivo fue llevado a cabo por elementos castrenses […]”</w:t>
      </w:r>
      <w:r w:rsidRPr="00744CE4">
        <w:rPr>
          <w:rStyle w:val="FootnoteReference"/>
          <w:rFonts w:ascii="Verdana" w:hAnsi="Verdana"/>
          <w:sz w:val="18"/>
          <w:szCs w:val="20"/>
        </w:rPr>
        <w:footnoteReference w:id="235"/>
      </w:r>
      <w:r w:rsidR="004562AE" w:rsidRPr="00744CE4">
        <w:rPr>
          <w:rFonts w:ascii="Verdana" w:hAnsi="Verdana"/>
          <w:sz w:val="18"/>
          <w:szCs w:val="20"/>
        </w:rPr>
        <w:t>.</w:t>
      </w:r>
    </w:p>
    <w:p w14:paraId="64AA5EC5" w14:textId="0A336346" w:rsidR="00F50ACE" w:rsidRPr="00744CE4" w:rsidRDefault="002E1C85" w:rsidP="00DB378B">
      <w:pPr>
        <w:widowControl w:val="0"/>
        <w:numPr>
          <w:ilvl w:val="0"/>
          <w:numId w:val="4"/>
        </w:numPr>
        <w:tabs>
          <w:tab w:val="left" w:pos="567"/>
        </w:tabs>
        <w:adjustRightInd w:val="0"/>
        <w:spacing w:before="120" w:after="120" w:line="240" w:lineRule="auto"/>
        <w:ind w:left="0" w:firstLine="0"/>
        <w:jc w:val="both"/>
        <w:textAlignment w:val="baseline"/>
        <w:rPr>
          <w:rFonts w:ascii="Verdana" w:hAnsi="Verdana"/>
          <w:sz w:val="20"/>
          <w:szCs w:val="20"/>
        </w:rPr>
      </w:pPr>
      <w:r w:rsidRPr="00432ABC">
        <w:rPr>
          <w:rFonts w:ascii="Verdana" w:hAnsi="Verdana"/>
          <w:sz w:val="20"/>
          <w:szCs w:val="20"/>
        </w:rPr>
        <w:t xml:space="preserve">Como resultado de dicha declinatoria de competencia, la Carpeta de Investigación </w:t>
      </w:r>
      <w:r w:rsidRPr="00432ABC">
        <w:rPr>
          <w:rFonts w:ascii="Verdana" w:hAnsi="Verdana"/>
          <w:sz w:val="20"/>
          <w:szCs w:val="20"/>
          <w:lang w:val="es-AR"/>
        </w:rPr>
        <w:t xml:space="preserve">124/2009-5326 se integró a la Averiguación Previa AP/PGR/CHIH/JUA/467/2012 radicada ante la Delegación Estatal de la </w:t>
      </w:r>
      <w:r w:rsidRPr="00432ABC">
        <w:rPr>
          <w:rFonts w:ascii="Verdana" w:hAnsi="Verdana"/>
          <w:sz w:val="20"/>
          <w:szCs w:val="20"/>
        </w:rPr>
        <w:t>PGR - Chihuahua</w:t>
      </w:r>
      <w:r w:rsidRPr="00432ABC">
        <w:rPr>
          <w:rFonts w:ascii="Verdana" w:hAnsi="Verdana"/>
          <w:sz w:val="20"/>
          <w:szCs w:val="20"/>
          <w:lang w:val="es-AR"/>
        </w:rPr>
        <w:t>, previamente iniciada el 13 de febrero de 2012 por los delitos de desaparición forzada, abuso de autoridad y “lo que result[are]”</w:t>
      </w:r>
      <w:r w:rsidRPr="00744CE4">
        <w:rPr>
          <w:rStyle w:val="FootnoteReference"/>
          <w:rFonts w:ascii="Verdana" w:hAnsi="Verdana"/>
          <w:sz w:val="20"/>
          <w:szCs w:val="20"/>
          <w:lang w:val="es-AR"/>
        </w:rPr>
        <w:footnoteReference w:id="236"/>
      </w:r>
      <w:r w:rsidRPr="00744CE4">
        <w:rPr>
          <w:rFonts w:ascii="Verdana" w:hAnsi="Verdana"/>
          <w:sz w:val="20"/>
          <w:szCs w:val="20"/>
          <w:lang w:val="es-AR"/>
        </w:rPr>
        <w:t xml:space="preserve">. </w:t>
      </w:r>
    </w:p>
    <w:p w14:paraId="64AA5EC7" w14:textId="39D1A0A0" w:rsidR="002E1C85" w:rsidRPr="00432ABC" w:rsidRDefault="00A10160">
      <w:pPr>
        <w:pStyle w:val="ListParagraph"/>
        <w:widowControl w:val="0"/>
        <w:numPr>
          <w:ilvl w:val="0"/>
          <w:numId w:val="45"/>
        </w:numPr>
        <w:tabs>
          <w:tab w:val="left" w:pos="567"/>
        </w:tabs>
        <w:autoSpaceDE w:val="0"/>
        <w:autoSpaceDN w:val="0"/>
        <w:adjustRightInd w:val="0"/>
        <w:spacing w:before="120" w:after="120" w:line="240" w:lineRule="auto"/>
        <w:ind w:left="1560" w:hanging="426"/>
        <w:contextualSpacing w:val="0"/>
        <w:jc w:val="both"/>
        <w:textAlignment w:val="baseline"/>
        <w:outlineLvl w:val="2"/>
        <w:rPr>
          <w:rFonts w:ascii="Verdana" w:hAnsi="Verdana"/>
          <w:i/>
          <w:sz w:val="20"/>
          <w:szCs w:val="20"/>
        </w:rPr>
      </w:pPr>
      <w:bookmarkStart w:id="143" w:name="_Toc526783770"/>
      <w:r>
        <w:rPr>
          <w:rFonts w:ascii="Verdana" w:hAnsi="Verdana"/>
          <w:i/>
          <w:sz w:val="20"/>
          <w:szCs w:val="20"/>
        </w:rPr>
        <w:t xml:space="preserve"> </w:t>
      </w:r>
      <w:bookmarkStart w:id="144" w:name="_Toc532995342"/>
      <w:r w:rsidR="002E1C85" w:rsidRPr="00432ABC">
        <w:rPr>
          <w:rFonts w:ascii="Verdana" w:hAnsi="Verdana"/>
          <w:i/>
          <w:sz w:val="20"/>
          <w:szCs w:val="20"/>
        </w:rPr>
        <w:t>Procuraduría General de la República, Delegación Chi</w:t>
      </w:r>
      <w:r w:rsidR="00F50ACE" w:rsidRPr="00432ABC">
        <w:rPr>
          <w:rFonts w:ascii="Verdana" w:hAnsi="Verdana"/>
          <w:i/>
          <w:sz w:val="20"/>
          <w:szCs w:val="20"/>
        </w:rPr>
        <w:t xml:space="preserve">huahua </w:t>
      </w:r>
      <w:r w:rsidR="002E1C85" w:rsidRPr="00432ABC">
        <w:rPr>
          <w:rFonts w:ascii="Verdana" w:hAnsi="Verdana"/>
          <w:i/>
          <w:sz w:val="20"/>
          <w:szCs w:val="20"/>
        </w:rPr>
        <w:t>[PGR - Chihuahua]</w:t>
      </w:r>
      <w:bookmarkEnd w:id="143"/>
      <w:bookmarkEnd w:id="144"/>
    </w:p>
    <w:p w14:paraId="64AA5EC9" w14:textId="604CBF67" w:rsidR="002E1C85" w:rsidRPr="00744CE4" w:rsidRDefault="002E1C85" w:rsidP="00DB378B">
      <w:pPr>
        <w:widowControl w:val="0"/>
        <w:numPr>
          <w:ilvl w:val="0"/>
          <w:numId w:val="4"/>
        </w:numPr>
        <w:tabs>
          <w:tab w:val="left" w:pos="426"/>
          <w:tab w:val="left" w:pos="567"/>
        </w:tabs>
        <w:adjustRightInd w:val="0"/>
        <w:spacing w:before="120" w:after="120" w:line="240" w:lineRule="auto"/>
        <w:ind w:left="0" w:firstLine="0"/>
        <w:jc w:val="both"/>
        <w:textAlignment w:val="baseline"/>
        <w:rPr>
          <w:rFonts w:ascii="Verdana" w:hAnsi="Verdana"/>
          <w:sz w:val="20"/>
          <w:szCs w:val="20"/>
          <w:lang w:val="es-AR"/>
        </w:rPr>
      </w:pPr>
      <w:r w:rsidRPr="002C462C">
        <w:rPr>
          <w:rFonts w:ascii="Verdana" w:hAnsi="Verdana"/>
          <w:sz w:val="20"/>
          <w:szCs w:val="20"/>
          <w:lang w:val="es-AR"/>
        </w:rPr>
        <w:t>El 6 de enero de 2010 Patricia Reyes Rueda promovió una denuncia ante titular de la Séptima Agencia del Ministerio Público de la Federación en Ciudad Juárez [7ªAMPF], dependiente de la PGR – Chihuahua, por la desaparición de sus familiares a manos elementos del Ejército, dando inicio a la Averiguación Previa No. AP/PGR/CHIH/27/2010-VII p</w:t>
      </w:r>
      <w:r w:rsidRPr="00744CE4">
        <w:rPr>
          <w:rFonts w:ascii="Verdana" w:hAnsi="Verdana"/>
          <w:sz w:val="20"/>
          <w:szCs w:val="20"/>
          <w:lang w:val="es-AR"/>
        </w:rPr>
        <w:t>or el “delito de abuso de autoridad y/o lo que resulte”</w:t>
      </w:r>
      <w:r w:rsidRPr="00744CE4">
        <w:rPr>
          <w:rStyle w:val="FootnoteReference"/>
          <w:rFonts w:ascii="Verdana" w:hAnsi="Verdana"/>
          <w:sz w:val="20"/>
          <w:szCs w:val="20"/>
          <w:lang w:val="es-AR"/>
        </w:rPr>
        <w:footnoteReference w:id="237"/>
      </w:r>
      <w:r w:rsidRPr="00744CE4">
        <w:rPr>
          <w:rFonts w:ascii="Verdana" w:hAnsi="Verdana"/>
          <w:sz w:val="20"/>
          <w:szCs w:val="20"/>
          <w:lang w:val="es-AR"/>
        </w:rPr>
        <w:t>. En la misma fecha compareció María de Jesús Alvarado Espinoza ante dicha autoridad y rindió su testimonio sobre los hechos</w:t>
      </w:r>
      <w:r w:rsidRPr="00744CE4">
        <w:rPr>
          <w:rStyle w:val="FootnoteReference"/>
          <w:rFonts w:ascii="Verdana" w:hAnsi="Verdana"/>
          <w:sz w:val="20"/>
          <w:szCs w:val="20"/>
          <w:lang w:val="es-AR"/>
        </w:rPr>
        <w:footnoteReference w:id="238"/>
      </w:r>
      <w:r w:rsidRPr="00744CE4">
        <w:rPr>
          <w:rFonts w:ascii="Verdana" w:hAnsi="Verdana"/>
          <w:sz w:val="20"/>
          <w:szCs w:val="20"/>
          <w:lang w:val="es-AR"/>
        </w:rPr>
        <w:t>.</w:t>
      </w:r>
    </w:p>
    <w:p w14:paraId="64AA5ECB" w14:textId="480C02E1" w:rsidR="002E1C85" w:rsidRPr="00432ABC" w:rsidRDefault="002E1C85" w:rsidP="00DB378B">
      <w:pPr>
        <w:widowControl w:val="0"/>
        <w:numPr>
          <w:ilvl w:val="0"/>
          <w:numId w:val="4"/>
        </w:numPr>
        <w:tabs>
          <w:tab w:val="left" w:pos="426"/>
          <w:tab w:val="left" w:pos="567"/>
        </w:tabs>
        <w:adjustRightInd w:val="0"/>
        <w:spacing w:before="120" w:after="120" w:line="240" w:lineRule="auto"/>
        <w:ind w:left="0" w:firstLine="0"/>
        <w:jc w:val="both"/>
        <w:textAlignment w:val="baseline"/>
        <w:rPr>
          <w:rFonts w:ascii="Verdana" w:hAnsi="Verdana"/>
          <w:sz w:val="20"/>
          <w:szCs w:val="20"/>
          <w:lang w:val="es-AR"/>
        </w:rPr>
      </w:pPr>
      <w:r w:rsidRPr="00432ABC">
        <w:rPr>
          <w:rFonts w:ascii="Verdana" w:hAnsi="Verdana"/>
          <w:sz w:val="20"/>
          <w:szCs w:val="20"/>
          <w:lang w:val="es-AR"/>
        </w:rPr>
        <w:t xml:space="preserve">Entre los días 13 de enero y el 2 de marzo de 2010, la PGR – Chihuahua llevó a cabo una serie de diligencias, entre las cuales se destacan: </w:t>
      </w:r>
    </w:p>
    <w:p w14:paraId="64AA5ECD" w14:textId="4CB7A627" w:rsidR="002E1C85" w:rsidRPr="008D0846" w:rsidRDefault="00AC6FFB">
      <w:pPr>
        <w:pStyle w:val="ListParagraph"/>
        <w:widowControl w:val="0"/>
        <w:numPr>
          <w:ilvl w:val="2"/>
          <w:numId w:val="4"/>
        </w:numPr>
        <w:tabs>
          <w:tab w:val="left" w:pos="426"/>
        </w:tabs>
        <w:adjustRightInd w:val="0"/>
        <w:spacing w:before="120" w:after="120" w:line="240" w:lineRule="auto"/>
        <w:ind w:left="888"/>
        <w:contextualSpacing w:val="0"/>
        <w:jc w:val="both"/>
        <w:textAlignment w:val="baseline"/>
        <w:rPr>
          <w:rFonts w:ascii="Verdana" w:hAnsi="Verdana"/>
          <w:sz w:val="18"/>
          <w:szCs w:val="20"/>
          <w:lang w:val="es-AR"/>
        </w:rPr>
      </w:pPr>
      <w:r w:rsidRPr="008D0846">
        <w:rPr>
          <w:rFonts w:ascii="Verdana" w:hAnsi="Verdana"/>
          <w:sz w:val="18"/>
          <w:szCs w:val="20"/>
          <w:lang w:val="es-AR"/>
        </w:rPr>
        <w:t>e</w:t>
      </w:r>
      <w:r w:rsidR="002E1C85" w:rsidRPr="008D0846">
        <w:rPr>
          <w:rFonts w:ascii="Verdana" w:hAnsi="Verdana"/>
          <w:sz w:val="18"/>
          <w:szCs w:val="20"/>
          <w:lang w:val="es-AR"/>
        </w:rPr>
        <w:t>l 13 de enero de 2010, el titular de la 7ªAMPF</w:t>
      </w:r>
      <w:r w:rsidR="002E1C85" w:rsidRPr="008D0846" w:rsidDel="0033472D">
        <w:rPr>
          <w:rFonts w:ascii="Verdana" w:hAnsi="Verdana"/>
          <w:sz w:val="18"/>
          <w:szCs w:val="20"/>
          <w:lang w:val="es-AR"/>
        </w:rPr>
        <w:t xml:space="preserve"> </w:t>
      </w:r>
      <w:r w:rsidR="002E1C85" w:rsidRPr="008D0846">
        <w:rPr>
          <w:rFonts w:ascii="Verdana" w:hAnsi="Verdana"/>
          <w:sz w:val="18"/>
          <w:szCs w:val="20"/>
          <w:lang w:val="es-AR"/>
        </w:rPr>
        <w:t>solicitó al Delegado Estatal de la PGR - Chihuahua declinar su competencia para investigar la desaparición de las tres víctimas al considerar que:</w:t>
      </w:r>
    </w:p>
    <w:p w14:paraId="64AA5ECF" w14:textId="3A0BEFB2" w:rsidR="002E1C85" w:rsidRPr="00432ABC" w:rsidRDefault="002E1C85">
      <w:pPr>
        <w:pStyle w:val="ListParagraph"/>
        <w:autoSpaceDE w:val="0"/>
        <w:autoSpaceDN w:val="0"/>
        <w:adjustRightInd w:val="0"/>
        <w:spacing w:before="120" w:after="120" w:line="240" w:lineRule="auto"/>
        <w:ind w:left="1182"/>
        <w:contextualSpacing w:val="0"/>
        <w:jc w:val="both"/>
        <w:rPr>
          <w:rFonts w:ascii="Verdana" w:hAnsi="Verdana"/>
          <w:sz w:val="18"/>
          <w:szCs w:val="20"/>
          <w:lang w:val="es-AR"/>
        </w:rPr>
      </w:pPr>
      <w:r w:rsidRPr="002C462C">
        <w:rPr>
          <w:rFonts w:ascii="Verdana" w:hAnsi="Verdana"/>
          <w:sz w:val="18"/>
          <w:szCs w:val="20"/>
          <w:lang w:val="es-AR"/>
        </w:rPr>
        <w:t xml:space="preserve">[…] [Se] desprend[ió] de los hechos denunciados que se trat[ó] de una acción en donde al parecer intervinieron [e]lementos de la Secretaría de la Defensa Nacional; en tal virtud y a </w:t>
      </w:r>
      <w:r w:rsidR="003027E1">
        <w:rPr>
          <w:rFonts w:ascii="Verdana" w:hAnsi="Verdana"/>
          <w:sz w:val="18"/>
          <w:szCs w:val="20"/>
          <w:lang w:val="es-AR"/>
        </w:rPr>
        <w:t>e</w:t>
      </w:r>
      <w:r w:rsidRPr="002C462C">
        <w:rPr>
          <w:rFonts w:ascii="Verdana" w:hAnsi="Verdana"/>
          <w:sz w:val="18"/>
          <w:szCs w:val="20"/>
          <w:lang w:val="es-AR"/>
        </w:rPr>
        <w:t>fecto de dar cumplimiento a lo dispuesto en el artículo 57 [f]racc</w:t>
      </w:r>
      <w:r w:rsidRPr="00744CE4">
        <w:rPr>
          <w:rFonts w:ascii="Verdana" w:hAnsi="Verdana"/>
          <w:sz w:val="18"/>
          <w:szCs w:val="20"/>
          <w:lang w:val="es-AR"/>
        </w:rPr>
        <w:t>ión II del Código de Justicia Militar […] la autoridad competente para conocer dichos hechos lo es la Procuraduría General de Justicia Militar […]</w:t>
      </w:r>
      <w:r w:rsidRPr="00744CE4">
        <w:rPr>
          <w:rStyle w:val="FootnoteReference"/>
          <w:rFonts w:ascii="Verdana" w:hAnsi="Verdana"/>
          <w:sz w:val="18"/>
          <w:szCs w:val="20"/>
          <w:lang w:val="es-AR"/>
        </w:rPr>
        <w:footnoteReference w:id="239"/>
      </w:r>
      <w:r w:rsidR="00D50E04" w:rsidRPr="00744CE4">
        <w:rPr>
          <w:rFonts w:ascii="Verdana" w:hAnsi="Verdana"/>
          <w:sz w:val="18"/>
          <w:szCs w:val="20"/>
          <w:lang w:val="es-AR"/>
        </w:rPr>
        <w:t>;</w:t>
      </w:r>
      <w:r w:rsidR="004562AE" w:rsidRPr="00744CE4">
        <w:rPr>
          <w:rFonts w:ascii="Verdana" w:hAnsi="Verdana"/>
          <w:sz w:val="18"/>
          <w:szCs w:val="20"/>
          <w:lang w:val="es-AR"/>
        </w:rPr>
        <w:t xml:space="preserve"> </w:t>
      </w:r>
    </w:p>
    <w:p w14:paraId="64AA5ED1" w14:textId="0F66B4A4" w:rsidR="002E1C85" w:rsidRPr="008D0846" w:rsidRDefault="00D50E04">
      <w:pPr>
        <w:pStyle w:val="ListParagraph"/>
        <w:widowControl w:val="0"/>
        <w:numPr>
          <w:ilvl w:val="2"/>
          <w:numId w:val="4"/>
        </w:numPr>
        <w:tabs>
          <w:tab w:val="left" w:pos="426"/>
        </w:tabs>
        <w:autoSpaceDE w:val="0"/>
        <w:autoSpaceDN w:val="0"/>
        <w:adjustRightInd w:val="0"/>
        <w:spacing w:before="120" w:after="120" w:line="240" w:lineRule="auto"/>
        <w:ind w:left="888"/>
        <w:contextualSpacing w:val="0"/>
        <w:jc w:val="both"/>
        <w:textAlignment w:val="baseline"/>
        <w:rPr>
          <w:rFonts w:ascii="Verdana" w:hAnsi="Verdana"/>
          <w:sz w:val="18"/>
          <w:szCs w:val="20"/>
          <w:lang w:val="es-AR"/>
        </w:rPr>
      </w:pPr>
      <w:r w:rsidRPr="008D0846">
        <w:rPr>
          <w:rFonts w:ascii="Verdana" w:hAnsi="Verdana"/>
          <w:sz w:val="18"/>
          <w:szCs w:val="20"/>
          <w:lang w:val="es-AR"/>
        </w:rPr>
        <w:t>e</w:t>
      </w:r>
      <w:r w:rsidR="002E1C85" w:rsidRPr="008D0846">
        <w:rPr>
          <w:rFonts w:ascii="Verdana" w:hAnsi="Verdana"/>
          <w:sz w:val="18"/>
          <w:szCs w:val="20"/>
          <w:lang w:val="es-AR"/>
        </w:rPr>
        <w:t>l 10 de febrero de 2010 el Encargado del Despacho de la PGR - Chihuahua autorizó la consulta de incompetencia solicitada y ordenó la remisión de la averiguación previa al Procurador de Justicia Militar, misma que se verificó el 20 de febrero de 2010 en favor de la Guarnición Militar de Ciudad Juárez, Chihuahua</w:t>
      </w:r>
      <w:r w:rsidR="002E1C85" w:rsidRPr="008D0846">
        <w:rPr>
          <w:rStyle w:val="FootnoteReference"/>
          <w:rFonts w:ascii="Verdana" w:hAnsi="Verdana"/>
          <w:sz w:val="18"/>
          <w:szCs w:val="20"/>
          <w:lang w:val="es-AR"/>
        </w:rPr>
        <w:footnoteReference w:id="240"/>
      </w:r>
      <w:r w:rsidRPr="008D0846">
        <w:rPr>
          <w:rFonts w:ascii="Verdana" w:hAnsi="Verdana"/>
          <w:sz w:val="18"/>
          <w:szCs w:val="20"/>
          <w:lang w:val="es-AR"/>
        </w:rPr>
        <w:t>, y</w:t>
      </w:r>
    </w:p>
    <w:p w14:paraId="64AA5ED3" w14:textId="76F743C5" w:rsidR="002E1C85" w:rsidRPr="008D0846" w:rsidRDefault="00D50E04">
      <w:pPr>
        <w:pStyle w:val="ListParagraph"/>
        <w:widowControl w:val="0"/>
        <w:numPr>
          <w:ilvl w:val="2"/>
          <w:numId w:val="4"/>
        </w:numPr>
        <w:tabs>
          <w:tab w:val="left" w:pos="426"/>
        </w:tabs>
        <w:autoSpaceDE w:val="0"/>
        <w:autoSpaceDN w:val="0"/>
        <w:adjustRightInd w:val="0"/>
        <w:spacing w:before="120" w:after="120" w:line="240" w:lineRule="auto"/>
        <w:ind w:left="888"/>
        <w:contextualSpacing w:val="0"/>
        <w:jc w:val="both"/>
        <w:textAlignment w:val="baseline"/>
        <w:rPr>
          <w:rFonts w:ascii="Verdana" w:hAnsi="Verdana"/>
          <w:sz w:val="18"/>
          <w:szCs w:val="20"/>
          <w:lang w:val="es-AR"/>
        </w:rPr>
      </w:pPr>
      <w:r w:rsidRPr="008D0846">
        <w:rPr>
          <w:rFonts w:ascii="Verdana" w:hAnsi="Verdana"/>
          <w:sz w:val="18"/>
          <w:szCs w:val="20"/>
          <w:lang w:val="es-AR"/>
        </w:rPr>
        <w:lastRenderedPageBreak/>
        <w:t>e</w:t>
      </w:r>
      <w:r w:rsidR="002E1C85" w:rsidRPr="008D0846">
        <w:rPr>
          <w:rFonts w:ascii="Verdana" w:hAnsi="Verdana"/>
          <w:sz w:val="18"/>
          <w:szCs w:val="20"/>
          <w:lang w:val="es-AR"/>
        </w:rPr>
        <w:t xml:space="preserve">l 15 de febrero de 2010 se dio inicio al Acta Circunstanciada AC/PGR/CHIH/NCG/219/2010-C ante el AMPF adscrito a Nuevo Casas Grandes, Chihuahua, con motivo del </w:t>
      </w:r>
      <w:r w:rsidR="003027E1" w:rsidRPr="008D0846">
        <w:rPr>
          <w:rFonts w:ascii="Verdana" w:hAnsi="Verdana"/>
          <w:sz w:val="18"/>
          <w:szCs w:val="20"/>
          <w:lang w:val="es-AR"/>
        </w:rPr>
        <w:t>o</w:t>
      </w:r>
      <w:r w:rsidR="002E1C85" w:rsidRPr="008D0846">
        <w:rPr>
          <w:rFonts w:ascii="Verdana" w:hAnsi="Verdana"/>
          <w:sz w:val="18"/>
          <w:szCs w:val="20"/>
          <w:lang w:val="es-AR"/>
        </w:rPr>
        <w:t>ficio remitido por el Secretario Técnico del Subprocurador de Control Regional, Procedimientos Penales y Amparo de la PGR – Chihuahua, para investigar la desaparición de las tres personas</w:t>
      </w:r>
      <w:r w:rsidR="002E1C85" w:rsidRPr="008D0846">
        <w:rPr>
          <w:rStyle w:val="FootnoteReference"/>
          <w:rFonts w:ascii="Verdana" w:hAnsi="Verdana"/>
          <w:sz w:val="18"/>
          <w:szCs w:val="20"/>
          <w:lang w:val="es-AR"/>
        </w:rPr>
        <w:footnoteReference w:id="241"/>
      </w:r>
      <w:r w:rsidR="002E1C85" w:rsidRPr="008D0846">
        <w:rPr>
          <w:rFonts w:ascii="Verdana" w:hAnsi="Verdana"/>
          <w:sz w:val="18"/>
          <w:szCs w:val="20"/>
          <w:lang w:val="es-AR"/>
        </w:rPr>
        <w:t>. En el marco de dicha investigación, el 1 de marzo de 2010 el titular de la Agencia Única de Nuevo Casas Grandes de la PGR -  Chihuahua solicitó a la Agencia Federal de Investigación en dicha localidad que se abocara al esclarecimiento de la identidad de quienes participaron en los hechos, y pidió al 35 Batallón de Infantería que informara si existían registros de detención por parte de elementos de dicha unidad castrense con relación a las tres personas desaparecidas. Ambas instituciones respondieron que no contaban con registro alguno de información en el sentido que les fue requerido</w:t>
      </w:r>
      <w:r w:rsidR="002E1C85" w:rsidRPr="008D0846">
        <w:rPr>
          <w:rStyle w:val="FootnoteReference"/>
          <w:rFonts w:ascii="Verdana" w:hAnsi="Verdana"/>
          <w:sz w:val="18"/>
          <w:szCs w:val="20"/>
          <w:lang w:val="es-AR"/>
        </w:rPr>
        <w:footnoteReference w:id="242"/>
      </w:r>
      <w:r w:rsidR="002E1C85" w:rsidRPr="008D0846">
        <w:rPr>
          <w:rFonts w:ascii="Verdana" w:hAnsi="Verdana"/>
          <w:sz w:val="18"/>
          <w:szCs w:val="20"/>
          <w:lang w:val="es-AR"/>
        </w:rPr>
        <w:t xml:space="preserve">. </w:t>
      </w:r>
    </w:p>
    <w:p w14:paraId="64AA5ED5" w14:textId="62BA2925" w:rsidR="002E1C85" w:rsidRPr="00744CE4" w:rsidRDefault="002E1C85" w:rsidP="00DB378B">
      <w:pPr>
        <w:widowControl w:val="0"/>
        <w:numPr>
          <w:ilvl w:val="0"/>
          <w:numId w:val="4"/>
        </w:numPr>
        <w:tabs>
          <w:tab w:val="left" w:pos="567"/>
        </w:tabs>
        <w:adjustRightInd w:val="0"/>
        <w:spacing w:before="120" w:after="120" w:line="240" w:lineRule="auto"/>
        <w:ind w:left="0" w:firstLine="0"/>
        <w:jc w:val="both"/>
        <w:textAlignment w:val="baseline"/>
        <w:rPr>
          <w:rFonts w:ascii="Verdana" w:hAnsi="Verdana"/>
          <w:sz w:val="20"/>
          <w:szCs w:val="20"/>
          <w:lang w:val="es-AR"/>
        </w:rPr>
      </w:pPr>
      <w:r w:rsidRPr="00744CE4">
        <w:rPr>
          <w:rFonts w:ascii="Verdana" w:hAnsi="Verdana" w:cs="Times New Roman"/>
          <w:sz w:val="20"/>
          <w:szCs w:val="20"/>
          <w:lang w:val="es-AR"/>
        </w:rPr>
        <w:t>Finalmente, e</w:t>
      </w:r>
      <w:r w:rsidRPr="00432ABC">
        <w:rPr>
          <w:rFonts w:ascii="Verdana" w:hAnsi="Verdana" w:cs="Times New Roman"/>
          <w:sz w:val="20"/>
          <w:szCs w:val="20"/>
        </w:rPr>
        <w:t xml:space="preserve">l 22 de octubre de 2010 se ordenó la remisión de dicha acta circunstanciada a la </w:t>
      </w:r>
      <w:r w:rsidRPr="00432ABC">
        <w:rPr>
          <w:rFonts w:ascii="Verdana" w:hAnsi="Verdana" w:cs="Times New Roman"/>
          <w:sz w:val="20"/>
          <w:szCs w:val="20"/>
          <w:lang w:val="es-AR"/>
        </w:rPr>
        <w:t>Fiscalía Especial de Delitos de Violencia contra las Mujeres y Trata de Personas [</w:t>
      </w:r>
      <w:r w:rsidRPr="00432ABC">
        <w:rPr>
          <w:rFonts w:ascii="Verdana" w:hAnsi="Verdana" w:cs="Times New Roman"/>
          <w:sz w:val="20"/>
          <w:szCs w:val="20"/>
        </w:rPr>
        <w:t>FEVIMTRA – PGR] en razón de que para entonces esa autoridad se encontraba investigando los hechos dentro de la averiguación previa AP/PGR/FEVIMTRA/TRA/009/2010</w:t>
      </w:r>
      <w:r w:rsidRPr="00744CE4">
        <w:rPr>
          <w:rStyle w:val="FootnoteReference"/>
          <w:rFonts w:ascii="Verdana" w:hAnsi="Verdana" w:cs="Times New Roman"/>
          <w:sz w:val="20"/>
          <w:szCs w:val="20"/>
        </w:rPr>
        <w:footnoteReference w:id="243"/>
      </w:r>
      <w:r w:rsidRPr="00744CE4">
        <w:rPr>
          <w:rFonts w:ascii="Verdana" w:hAnsi="Verdana" w:cs="Times New Roman"/>
          <w:sz w:val="20"/>
          <w:szCs w:val="20"/>
        </w:rPr>
        <w:t>.</w:t>
      </w:r>
    </w:p>
    <w:p w14:paraId="64AA5ED7" w14:textId="20DD5AF0" w:rsidR="002E1C85" w:rsidRPr="00432ABC" w:rsidRDefault="00A10160">
      <w:pPr>
        <w:pStyle w:val="ListParagraph"/>
        <w:widowControl w:val="0"/>
        <w:numPr>
          <w:ilvl w:val="0"/>
          <w:numId w:val="45"/>
        </w:numPr>
        <w:tabs>
          <w:tab w:val="left" w:pos="567"/>
        </w:tabs>
        <w:autoSpaceDE w:val="0"/>
        <w:autoSpaceDN w:val="0"/>
        <w:adjustRightInd w:val="0"/>
        <w:spacing w:before="120" w:after="120" w:line="240" w:lineRule="auto"/>
        <w:ind w:left="1560" w:hanging="426"/>
        <w:contextualSpacing w:val="0"/>
        <w:jc w:val="both"/>
        <w:textAlignment w:val="baseline"/>
        <w:outlineLvl w:val="2"/>
        <w:rPr>
          <w:rFonts w:ascii="Verdana" w:hAnsi="Verdana"/>
          <w:i/>
          <w:sz w:val="20"/>
          <w:szCs w:val="20"/>
        </w:rPr>
      </w:pPr>
      <w:bookmarkStart w:id="145" w:name="_Toc526783771"/>
      <w:r>
        <w:rPr>
          <w:rFonts w:ascii="Verdana" w:hAnsi="Verdana"/>
          <w:i/>
          <w:sz w:val="20"/>
          <w:szCs w:val="20"/>
        </w:rPr>
        <w:t xml:space="preserve"> </w:t>
      </w:r>
      <w:bookmarkStart w:id="146" w:name="_Toc532995343"/>
      <w:r w:rsidR="002E1C85" w:rsidRPr="00432ABC">
        <w:rPr>
          <w:rFonts w:ascii="Verdana" w:hAnsi="Verdana"/>
          <w:i/>
          <w:sz w:val="20"/>
          <w:szCs w:val="20"/>
        </w:rPr>
        <w:t>Procuraduría General de Justicia Militar [PGJM]</w:t>
      </w:r>
      <w:bookmarkEnd w:id="145"/>
      <w:bookmarkEnd w:id="146"/>
    </w:p>
    <w:p w14:paraId="64AA5ED9" w14:textId="2A46DD4B" w:rsidR="002E1C85" w:rsidRPr="00744CE4" w:rsidRDefault="002E1C85" w:rsidP="00DB378B">
      <w:pPr>
        <w:widowControl w:val="0"/>
        <w:numPr>
          <w:ilvl w:val="0"/>
          <w:numId w:val="4"/>
        </w:numPr>
        <w:tabs>
          <w:tab w:val="left" w:pos="567"/>
        </w:tabs>
        <w:adjustRightInd w:val="0"/>
        <w:spacing w:before="120" w:after="120" w:line="240" w:lineRule="auto"/>
        <w:ind w:left="0" w:firstLine="0"/>
        <w:jc w:val="both"/>
        <w:textAlignment w:val="baseline"/>
        <w:rPr>
          <w:rFonts w:ascii="Verdana" w:hAnsi="Verdana"/>
          <w:sz w:val="20"/>
          <w:szCs w:val="20"/>
          <w:lang w:val="es-AR"/>
        </w:rPr>
      </w:pPr>
      <w:r w:rsidRPr="00432ABC">
        <w:rPr>
          <w:rFonts w:ascii="Verdana" w:hAnsi="Verdana"/>
          <w:sz w:val="20"/>
          <w:szCs w:val="20"/>
          <w:lang w:val="es-AR"/>
        </w:rPr>
        <w:t>El 15 de enero de 2010 el Agente del Ministerio Público Militar adscrito a la Quinta Zona Militar [AMPM - 5ªZM] dio inicio a la Averiguación Previa 5ZM/04/2010 en atención al Oficio 2673</w:t>
      </w:r>
      <w:r w:rsidR="00675C75">
        <w:rPr>
          <w:rFonts w:ascii="Verdana" w:hAnsi="Verdana"/>
          <w:sz w:val="20"/>
          <w:szCs w:val="20"/>
          <w:lang w:val="es-AR"/>
        </w:rPr>
        <w:t>,</w:t>
      </w:r>
      <w:r w:rsidRPr="00432ABC">
        <w:rPr>
          <w:rFonts w:ascii="Verdana" w:hAnsi="Verdana"/>
          <w:sz w:val="20"/>
          <w:szCs w:val="20"/>
          <w:lang w:val="es-AR"/>
        </w:rPr>
        <w:t xml:space="preserve"> mediante el cual el Subjefe Administrativo del Estado Mayor</w:t>
      </w:r>
      <w:r w:rsidRPr="002C462C">
        <w:rPr>
          <w:rFonts w:ascii="Verdana" w:hAnsi="Verdana"/>
          <w:sz w:val="20"/>
          <w:szCs w:val="20"/>
          <w:lang w:val="es-AR"/>
        </w:rPr>
        <w:t xml:space="preserve"> de la Defensa Nacional remitió “incidente” [sic] en que se da cuenta de la desaparición de las tres víctimas</w:t>
      </w:r>
      <w:r w:rsidRPr="00744CE4">
        <w:rPr>
          <w:rStyle w:val="FootnoteReference"/>
          <w:rFonts w:ascii="Verdana" w:hAnsi="Verdana"/>
          <w:sz w:val="20"/>
          <w:szCs w:val="20"/>
          <w:lang w:val="es-AR"/>
        </w:rPr>
        <w:footnoteReference w:id="244"/>
      </w:r>
      <w:r w:rsidRPr="00744CE4">
        <w:rPr>
          <w:rFonts w:ascii="Verdana" w:hAnsi="Verdana"/>
          <w:sz w:val="20"/>
          <w:szCs w:val="20"/>
          <w:lang w:val="es-AR"/>
        </w:rPr>
        <w:t xml:space="preserve">. </w:t>
      </w:r>
    </w:p>
    <w:p w14:paraId="64AA5EDB" w14:textId="66F4DE0B" w:rsidR="002E1C85" w:rsidRPr="00432ABC" w:rsidRDefault="002E1C85" w:rsidP="00DB378B">
      <w:pPr>
        <w:widowControl w:val="0"/>
        <w:numPr>
          <w:ilvl w:val="0"/>
          <w:numId w:val="4"/>
        </w:numPr>
        <w:tabs>
          <w:tab w:val="left" w:pos="567"/>
        </w:tabs>
        <w:adjustRightInd w:val="0"/>
        <w:spacing w:before="120" w:after="120" w:line="240" w:lineRule="auto"/>
        <w:ind w:left="0" w:firstLine="0"/>
        <w:jc w:val="both"/>
        <w:textAlignment w:val="baseline"/>
        <w:rPr>
          <w:rFonts w:ascii="Verdana" w:hAnsi="Verdana"/>
          <w:sz w:val="20"/>
          <w:szCs w:val="20"/>
          <w:lang w:val="es-AR"/>
        </w:rPr>
      </w:pPr>
      <w:r w:rsidRPr="00432ABC">
        <w:rPr>
          <w:rFonts w:ascii="Verdana" w:hAnsi="Verdana"/>
          <w:sz w:val="20"/>
          <w:szCs w:val="20"/>
          <w:lang w:val="es-AR"/>
        </w:rPr>
        <w:t xml:space="preserve">Dentro de la Averiguación Previa 5ZM/04/2010, el AMPM-5ªZM realizó, entre otras, las siguientes diligencias: </w:t>
      </w:r>
    </w:p>
    <w:p w14:paraId="64AA5EDD" w14:textId="4C9C685B" w:rsidR="002E1C85" w:rsidRPr="008D0846" w:rsidRDefault="00AC6FFB">
      <w:pPr>
        <w:pStyle w:val="ListParagraph"/>
        <w:numPr>
          <w:ilvl w:val="1"/>
          <w:numId w:val="1"/>
        </w:numPr>
        <w:spacing w:before="120" w:after="120" w:line="240" w:lineRule="auto"/>
        <w:ind w:left="567" w:hanging="284"/>
        <w:contextualSpacing w:val="0"/>
        <w:jc w:val="both"/>
        <w:rPr>
          <w:rFonts w:ascii="Verdana" w:hAnsi="Verdana"/>
          <w:sz w:val="18"/>
          <w:szCs w:val="20"/>
          <w:lang w:val="es-AR"/>
        </w:rPr>
      </w:pPr>
      <w:r w:rsidRPr="008D0846">
        <w:rPr>
          <w:rFonts w:ascii="Verdana" w:hAnsi="Verdana"/>
          <w:sz w:val="18"/>
          <w:szCs w:val="20"/>
          <w:lang w:val="es-AR"/>
        </w:rPr>
        <w:t>e</w:t>
      </w:r>
      <w:r w:rsidR="002E1C85" w:rsidRPr="008D0846">
        <w:rPr>
          <w:rFonts w:ascii="Verdana" w:hAnsi="Verdana"/>
          <w:sz w:val="18"/>
          <w:szCs w:val="20"/>
          <w:lang w:val="es-AR"/>
        </w:rPr>
        <w:t>l 15 de enero de 2010 el Comandante del 35 Batallón informó al Comandante de la 5ªZM que los elementos a su cargo no realizaron ninguna detención el día de las desapariciones y que únicamente el 26 de diciembre de 2009 –tres días antes de los hechos-, se realizó el aseguramiento de un vehículo con drogas y armamento en su interior en un camino del poblado de Ricardo Flores Magón hacia el Ejido Benito Juárez</w:t>
      </w:r>
      <w:r w:rsidR="002E1C85" w:rsidRPr="008D0846">
        <w:rPr>
          <w:rStyle w:val="FootnoteReference"/>
          <w:rFonts w:ascii="Verdana" w:hAnsi="Verdana"/>
          <w:sz w:val="18"/>
          <w:szCs w:val="20"/>
          <w:lang w:val="es-AR"/>
        </w:rPr>
        <w:footnoteReference w:id="245"/>
      </w:r>
      <w:r w:rsidR="00D50E04" w:rsidRPr="008D0846">
        <w:rPr>
          <w:rFonts w:ascii="Verdana" w:hAnsi="Verdana"/>
          <w:sz w:val="18"/>
          <w:szCs w:val="20"/>
          <w:lang w:val="es-AR"/>
        </w:rPr>
        <w:t>;</w:t>
      </w:r>
    </w:p>
    <w:p w14:paraId="64AA5EDF" w14:textId="06EFE10B" w:rsidR="002E1C85" w:rsidRPr="008D0846" w:rsidRDefault="00D50E04">
      <w:pPr>
        <w:pStyle w:val="ListParagraph"/>
        <w:numPr>
          <w:ilvl w:val="1"/>
          <w:numId w:val="1"/>
        </w:numPr>
        <w:spacing w:before="120" w:after="120" w:line="240" w:lineRule="auto"/>
        <w:ind w:left="567" w:hanging="284"/>
        <w:contextualSpacing w:val="0"/>
        <w:jc w:val="both"/>
        <w:rPr>
          <w:rFonts w:ascii="Verdana" w:hAnsi="Verdana"/>
          <w:sz w:val="18"/>
          <w:szCs w:val="20"/>
          <w:lang w:val="es-AR"/>
        </w:rPr>
      </w:pPr>
      <w:r w:rsidRPr="008D0846">
        <w:rPr>
          <w:rFonts w:ascii="Verdana" w:hAnsi="Verdana"/>
          <w:sz w:val="18"/>
          <w:szCs w:val="20"/>
          <w:lang w:val="es-AR"/>
        </w:rPr>
        <w:t>e</w:t>
      </w:r>
      <w:r w:rsidR="002E1C85" w:rsidRPr="008D0846">
        <w:rPr>
          <w:rFonts w:ascii="Verdana" w:hAnsi="Verdana"/>
          <w:sz w:val="18"/>
          <w:szCs w:val="20"/>
          <w:lang w:val="es-AR"/>
        </w:rPr>
        <w:t xml:space="preserve">l 2 de marzo de 2010 los Comandantes del 23º Batallón de Infantería y 20º Regimiento de Caballería Motorizada remitieron al AMPM-5ªZM las fotografías del tipo de uniforme que usaron </w:t>
      </w:r>
      <w:r w:rsidR="004B2EAB" w:rsidRPr="008D0846">
        <w:rPr>
          <w:rFonts w:ascii="Verdana" w:hAnsi="Verdana"/>
          <w:sz w:val="18"/>
          <w:szCs w:val="20"/>
          <w:lang w:val="es-AR"/>
        </w:rPr>
        <w:t xml:space="preserve">entre los días 29 al 31 de diciembre de 2009 </w:t>
      </w:r>
      <w:r w:rsidR="002E1C85" w:rsidRPr="008D0846">
        <w:rPr>
          <w:rFonts w:ascii="Verdana" w:hAnsi="Verdana"/>
          <w:sz w:val="18"/>
          <w:szCs w:val="20"/>
          <w:lang w:val="es-AR"/>
        </w:rPr>
        <w:t xml:space="preserve">los elementos de dichas unidades </w:t>
      </w:r>
      <w:r w:rsidR="004B2EAB" w:rsidRPr="008D0846">
        <w:rPr>
          <w:rFonts w:ascii="Verdana" w:hAnsi="Verdana"/>
          <w:sz w:val="18"/>
          <w:szCs w:val="20"/>
          <w:lang w:val="es-AR"/>
        </w:rPr>
        <w:t xml:space="preserve">operativas </w:t>
      </w:r>
      <w:r w:rsidR="002E1C85" w:rsidRPr="008D0846">
        <w:rPr>
          <w:rFonts w:ascii="Verdana" w:hAnsi="Verdana"/>
          <w:sz w:val="18"/>
          <w:szCs w:val="20"/>
          <w:lang w:val="es-AR"/>
        </w:rPr>
        <w:t>jurisdiccionadas a la Quinta Zona Militar, y la relación del personal militar en funciones entre tales fechas</w:t>
      </w:r>
      <w:r w:rsidR="002E1C85" w:rsidRPr="008D0846">
        <w:rPr>
          <w:rStyle w:val="FootnoteReference"/>
          <w:rFonts w:ascii="Verdana" w:hAnsi="Verdana"/>
          <w:sz w:val="18"/>
          <w:szCs w:val="20"/>
          <w:lang w:val="es-AR"/>
        </w:rPr>
        <w:footnoteReference w:id="246"/>
      </w:r>
      <w:r w:rsidR="002E1C85" w:rsidRPr="008D0846">
        <w:rPr>
          <w:rFonts w:ascii="Verdana" w:hAnsi="Verdana"/>
          <w:sz w:val="18"/>
          <w:szCs w:val="20"/>
          <w:lang w:val="es-AR"/>
        </w:rPr>
        <w:t xml:space="preserve">. El 20 de </w:t>
      </w:r>
      <w:r w:rsidR="002E1C85" w:rsidRPr="008D0846">
        <w:rPr>
          <w:rFonts w:ascii="Verdana" w:hAnsi="Verdana"/>
          <w:sz w:val="18"/>
          <w:szCs w:val="20"/>
          <w:lang w:val="es-AR"/>
        </w:rPr>
        <w:lastRenderedPageBreak/>
        <w:t xml:space="preserve">marzo </w:t>
      </w:r>
      <w:r w:rsidR="001B5EC0" w:rsidRPr="008D0846">
        <w:rPr>
          <w:rFonts w:ascii="Verdana" w:hAnsi="Verdana"/>
          <w:sz w:val="18"/>
          <w:szCs w:val="20"/>
          <w:lang w:val="es-AR"/>
        </w:rPr>
        <w:t>de 2010</w:t>
      </w:r>
      <w:r w:rsidR="002E1C85" w:rsidRPr="008D0846">
        <w:rPr>
          <w:rFonts w:ascii="Verdana" w:hAnsi="Verdana"/>
          <w:sz w:val="18"/>
          <w:szCs w:val="20"/>
          <w:lang w:val="es-AR"/>
        </w:rPr>
        <w:t xml:space="preserve"> el Comandante del 35 Batallón remitió las listas de personal de la unidad bajo su mando</w:t>
      </w:r>
      <w:r w:rsidR="002E1C85" w:rsidRPr="008D0846">
        <w:rPr>
          <w:rStyle w:val="FootnoteReference"/>
          <w:rFonts w:ascii="Verdana" w:hAnsi="Verdana"/>
          <w:sz w:val="18"/>
          <w:szCs w:val="20"/>
          <w:lang w:val="es-AR"/>
        </w:rPr>
        <w:footnoteReference w:id="247"/>
      </w:r>
      <w:r w:rsidRPr="008D0846">
        <w:rPr>
          <w:rFonts w:ascii="Verdana" w:hAnsi="Verdana"/>
          <w:sz w:val="18"/>
          <w:szCs w:val="20"/>
          <w:lang w:val="es-AR"/>
        </w:rPr>
        <w:t>;</w:t>
      </w:r>
    </w:p>
    <w:p w14:paraId="64AA5EE1" w14:textId="1A07E563" w:rsidR="002E1C85" w:rsidRPr="008D0846" w:rsidRDefault="00D50E04">
      <w:pPr>
        <w:pStyle w:val="ListParagraph"/>
        <w:numPr>
          <w:ilvl w:val="1"/>
          <w:numId w:val="1"/>
        </w:numPr>
        <w:tabs>
          <w:tab w:val="left" w:pos="426"/>
        </w:tabs>
        <w:spacing w:before="120" w:after="120" w:line="240" w:lineRule="auto"/>
        <w:ind w:left="567" w:hanging="284"/>
        <w:contextualSpacing w:val="0"/>
        <w:jc w:val="both"/>
        <w:rPr>
          <w:rFonts w:ascii="Verdana" w:hAnsi="Verdana"/>
          <w:sz w:val="18"/>
          <w:szCs w:val="20"/>
          <w:lang w:val="es-AR"/>
        </w:rPr>
      </w:pPr>
      <w:r w:rsidRPr="008D0846">
        <w:rPr>
          <w:rFonts w:ascii="Verdana" w:hAnsi="Verdana"/>
          <w:sz w:val="18"/>
          <w:szCs w:val="20"/>
          <w:lang w:val="es-AR"/>
        </w:rPr>
        <w:t>e</w:t>
      </w:r>
      <w:r w:rsidR="002E1C85" w:rsidRPr="008D0846">
        <w:rPr>
          <w:rFonts w:ascii="Verdana" w:hAnsi="Verdana"/>
          <w:sz w:val="18"/>
          <w:szCs w:val="20"/>
          <w:lang w:val="es-AR"/>
        </w:rPr>
        <w:t>l 9 de marzo de 2010 se realizó inspección ministerial del Hotel Los Arcos en el Ejido Benito Juárez, sitio en el que el 26 de diciembre de 2009 pernoctaron efectivos del 35 Batallón</w:t>
      </w:r>
      <w:r w:rsidR="00E83B1D" w:rsidRPr="008D0846">
        <w:rPr>
          <w:rStyle w:val="FootnoteReference"/>
          <w:rFonts w:ascii="Verdana" w:hAnsi="Verdana"/>
          <w:sz w:val="18"/>
          <w:szCs w:val="20"/>
          <w:lang w:val="es-AR"/>
        </w:rPr>
        <w:footnoteReference w:id="248"/>
      </w:r>
      <w:r w:rsidR="00E83B1D" w:rsidRPr="008D0846">
        <w:rPr>
          <w:rFonts w:ascii="Verdana" w:hAnsi="Verdana"/>
          <w:sz w:val="18"/>
          <w:szCs w:val="20"/>
          <w:lang w:val="es-AR"/>
        </w:rPr>
        <w:t xml:space="preserve">. </w:t>
      </w:r>
      <w:r w:rsidR="002E1C85" w:rsidRPr="008D0846">
        <w:rPr>
          <w:rFonts w:ascii="Verdana" w:hAnsi="Verdana"/>
          <w:sz w:val="18"/>
          <w:szCs w:val="20"/>
          <w:lang w:val="es-AR"/>
        </w:rPr>
        <w:t>En la misma fecha, rindieron su declaración Verónica Colomo Reyes, Patricia Reyes Rueda, Manuel Reyes Lira y Marissa Reyes Rueda, familiares de los desaparecidos</w:t>
      </w:r>
      <w:r w:rsidR="002E1C85" w:rsidRPr="008D0846">
        <w:rPr>
          <w:rStyle w:val="FootnoteReference"/>
          <w:rFonts w:ascii="Verdana" w:hAnsi="Verdana"/>
          <w:sz w:val="18"/>
          <w:szCs w:val="20"/>
          <w:lang w:val="es-AR"/>
        </w:rPr>
        <w:footnoteReference w:id="249"/>
      </w:r>
      <w:r w:rsidR="002E1C85" w:rsidRPr="008D0846">
        <w:rPr>
          <w:rFonts w:ascii="Verdana" w:hAnsi="Verdana"/>
          <w:sz w:val="18"/>
          <w:szCs w:val="20"/>
          <w:lang w:val="es-AR"/>
        </w:rPr>
        <w:t>. Asimismo, testificaron Ernesto Luján Romero, Director de Seguridad Pública en Buenaventura, y Mario Castro García y José Bejarano García, Comandante y Agentes de Seguridad Pública y Vialidad del Ejido Benito Juárez, respectivamente</w:t>
      </w:r>
      <w:r w:rsidR="002E1C85" w:rsidRPr="008D0846">
        <w:rPr>
          <w:rStyle w:val="FootnoteReference"/>
          <w:rFonts w:ascii="Verdana" w:hAnsi="Verdana"/>
          <w:sz w:val="18"/>
          <w:szCs w:val="20"/>
          <w:lang w:val="es-AR"/>
        </w:rPr>
        <w:footnoteReference w:id="250"/>
      </w:r>
      <w:r w:rsidRPr="008D0846">
        <w:rPr>
          <w:rFonts w:ascii="Verdana" w:hAnsi="Verdana"/>
          <w:sz w:val="18"/>
          <w:szCs w:val="20"/>
          <w:lang w:val="es-AR"/>
        </w:rPr>
        <w:t>, y</w:t>
      </w:r>
    </w:p>
    <w:p w14:paraId="64AA5EE3" w14:textId="3F496B1E" w:rsidR="002E1C85" w:rsidRPr="008D0846" w:rsidRDefault="00D50E04">
      <w:pPr>
        <w:pStyle w:val="ListParagraph"/>
        <w:numPr>
          <w:ilvl w:val="1"/>
          <w:numId w:val="1"/>
        </w:numPr>
        <w:tabs>
          <w:tab w:val="left" w:pos="426"/>
        </w:tabs>
        <w:spacing w:before="120" w:after="120" w:line="240" w:lineRule="auto"/>
        <w:ind w:left="567" w:hanging="284"/>
        <w:contextualSpacing w:val="0"/>
        <w:jc w:val="both"/>
        <w:rPr>
          <w:rFonts w:ascii="Verdana" w:hAnsi="Verdana"/>
          <w:sz w:val="18"/>
          <w:szCs w:val="20"/>
          <w:lang w:val="es-AR"/>
        </w:rPr>
      </w:pPr>
      <w:r w:rsidRPr="008D0846">
        <w:rPr>
          <w:rFonts w:ascii="Verdana" w:hAnsi="Verdana"/>
          <w:sz w:val="18"/>
          <w:szCs w:val="20"/>
          <w:lang w:val="es-AR"/>
        </w:rPr>
        <w:t>e</w:t>
      </w:r>
      <w:r w:rsidR="002E1C85" w:rsidRPr="008D0846">
        <w:rPr>
          <w:rFonts w:ascii="Verdana" w:hAnsi="Verdana"/>
          <w:sz w:val="18"/>
          <w:szCs w:val="20"/>
          <w:lang w:val="es-AR"/>
        </w:rPr>
        <w:t>l 12 de marzo de 2010 rindieron su declaración Damaris Baglietto Hernández, Subdelegada de Procedimientos Penales “C” de la PGR – Chihuahua; Ramón Iván Sotomayor Siller, AMPF en Nuevo Casas Grandes, y Juan Ciro Valiente, Agente Federal de Investigación en Nuevo Casas Grandes, con relación al supuesto “Comandante Meza” de la Policía Federal</w:t>
      </w:r>
      <w:r w:rsidR="002E1C85" w:rsidRPr="008D0846">
        <w:rPr>
          <w:rStyle w:val="FootnoteReference"/>
          <w:rFonts w:ascii="Verdana" w:hAnsi="Verdana"/>
          <w:sz w:val="18"/>
          <w:szCs w:val="20"/>
          <w:lang w:val="es-AR"/>
        </w:rPr>
        <w:footnoteReference w:id="251"/>
      </w:r>
      <w:r w:rsidR="002E1C85" w:rsidRPr="008D0846">
        <w:rPr>
          <w:rFonts w:ascii="Verdana" w:hAnsi="Verdana"/>
          <w:sz w:val="18"/>
          <w:szCs w:val="20"/>
          <w:lang w:val="es-AR"/>
        </w:rPr>
        <w:t xml:space="preserve">. </w:t>
      </w:r>
    </w:p>
    <w:p w14:paraId="64AA5EE5" w14:textId="2DDFE2E0" w:rsidR="002E1C85" w:rsidRPr="00744CE4" w:rsidRDefault="002E1C85" w:rsidP="00DB378B">
      <w:pPr>
        <w:widowControl w:val="0"/>
        <w:numPr>
          <w:ilvl w:val="0"/>
          <w:numId w:val="4"/>
        </w:numPr>
        <w:tabs>
          <w:tab w:val="left" w:pos="567"/>
        </w:tabs>
        <w:adjustRightInd w:val="0"/>
        <w:spacing w:before="120" w:after="120" w:line="240" w:lineRule="auto"/>
        <w:ind w:left="0" w:firstLine="0"/>
        <w:jc w:val="both"/>
        <w:textAlignment w:val="baseline"/>
        <w:rPr>
          <w:rFonts w:ascii="Verdana" w:hAnsi="Verdana"/>
          <w:sz w:val="20"/>
          <w:szCs w:val="20"/>
          <w:lang w:val="es-AR"/>
        </w:rPr>
      </w:pPr>
      <w:r w:rsidRPr="00744CE4">
        <w:rPr>
          <w:rFonts w:ascii="Verdana" w:hAnsi="Verdana"/>
          <w:sz w:val="20"/>
          <w:szCs w:val="20"/>
          <w:lang w:val="es-AR"/>
        </w:rPr>
        <w:t>Con motivo de la declinatoria de competencia por razón de fuero en favor de la jurisdicción militar acordada el 20 de febrero de 2010 dentro de la Averiguación Previa AP/PGR/CHIH/27/2010-VII (</w:t>
      </w:r>
      <w:r w:rsidRPr="00432ABC">
        <w:rPr>
          <w:rFonts w:ascii="Verdana" w:hAnsi="Verdana"/>
          <w:i/>
          <w:sz w:val="20"/>
          <w:szCs w:val="20"/>
          <w:lang w:val="es-AR"/>
        </w:rPr>
        <w:t xml:space="preserve">supra </w:t>
      </w:r>
      <w:r w:rsidRPr="00432ABC">
        <w:rPr>
          <w:rFonts w:ascii="Verdana" w:hAnsi="Verdana"/>
          <w:sz w:val="20"/>
          <w:szCs w:val="20"/>
          <w:lang w:val="es-AR"/>
        </w:rPr>
        <w:t xml:space="preserve">párr. </w:t>
      </w:r>
      <w:r w:rsidR="00D838DD">
        <w:rPr>
          <w:rFonts w:ascii="Verdana" w:hAnsi="Verdana"/>
          <w:sz w:val="20"/>
          <w:szCs w:val="20"/>
          <w:lang w:val="es-AR"/>
        </w:rPr>
        <w:t>107</w:t>
      </w:r>
      <w:r w:rsidRPr="00432ABC">
        <w:rPr>
          <w:rFonts w:ascii="Verdana" w:hAnsi="Verdana"/>
          <w:sz w:val="20"/>
          <w:szCs w:val="20"/>
          <w:lang w:val="es-AR"/>
        </w:rPr>
        <w:t xml:space="preserve">), el 26 de febrero de 2010 fue iniciada </w:t>
      </w:r>
      <w:r w:rsidRPr="00432ABC">
        <w:rPr>
          <w:rFonts w:ascii="Verdana" w:hAnsi="Verdana"/>
          <w:sz w:val="20"/>
          <w:szCs w:val="20"/>
        </w:rPr>
        <w:t xml:space="preserve">la Averiguación Previa GN/CD.JUAREZ/079/2010 </w:t>
      </w:r>
      <w:r w:rsidRPr="002C462C">
        <w:rPr>
          <w:rFonts w:ascii="Verdana" w:hAnsi="Verdana"/>
          <w:sz w:val="20"/>
          <w:szCs w:val="20"/>
          <w:lang w:val="es-AR"/>
        </w:rPr>
        <w:t>ante el Agente del Ministerio Público Militar adscrito a la Guarnición Militar en Ciudad Juárez [AMPM – GMCJ] por el “delito de abuso de autoridad en contra de quien result[ara] responsable”</w:t>
      </w:r>
      <w:r w:rsidRPr="00744CE4">
        <w:rPr>
          <w:rStyle w:val="FootnoteReference"/>
          <w:rFonts w:ascii="Verdana" w:hAnsi="Verdana"/>
          <w:sz w:val="20"/>
          <w:szCs w:val="20"/>
          <w:lang w:val="es-AR"/>
        </w:rPr>
        <w:footnoteReference w:id="252"/>
      </w:r>
      <w:r w:rsidRPr="00744CE4">
        <w:rPr>
          <w:rFonts w:ascii="Verdana" w:hAnsi="Verdana"/>
          <w:sz w:val="20"/>
          <w:szCs w:val="20"/>
          <w:lang w:val="es-AR"/>
        </w:rPr>
        <w:t xml:space="preserve">. </w:t>
      </w:r>
    </w:p>
    <w:p w14:paraId="64AA5EE7" w14:textId="471B12D5" w:rsidR="002E1C85" w:rsidRPr="00744CE4" w:rsidRDefault="002E1C85" w:rsidP="00DB378B">
      <w:pPr>
        <w:widowControl w:val="0"/>
        <w:numPr>
          <w:ilvl w:val="0"/>
          <w:numId w:val="4"/>
        </w:numPr>
        <w:tabs>
          <w:tab w:val="left" w:pos="567"/>
        </w:tabs>
        <w:adjustRightInd w:val="0"/>
        <w:spacing w:before="120" w:after="120" w:line="240" w:lineRule="auto"/>
        <w:ind w:left="0" w:firstLine="0"/>
        <w:jc w:val="both"/>
        <w:textAlignment w:val="baseline"/>
        <w:rPr>
          <w:rFonts w:ascii="Verdana" w:hAnsi="Verdana"/>
          <w:sz w:val="20"/>
          <w:szCs w:val="20"/>
          <w:lang w:val="es-AR"/>
        </w:rPr>
      </w:pPr>
      <w:r w:rsidRPr="00432ABC">
        <w:rPr>
          <w:rFonts w:ascii="Verdana" w:hAnsi="Verdana"/>
          <w:sz w:val="20"/>
          <w:szCs w:val="20"/>
          <w:lang w:val="es-AR"/>
        </w:rPr>
        <w:t xml:space="preserve">El 22 de marzo de 2010 el AMPM–GMCJ ordenó la acumulación de la Averiguación Previa 5ZM/04/2010 a la Averiguación Previa </w:t>
      </w:r>
      <w:r w:rsidRPr="00432ABC">
        <w:rPr>
          <w:rFonts w:ascii="Verdana" w:hAnsi="Verdana"/>
          <w:sz w:val="20"/>
          <w:szCs w:val="20"/>
        </w:rPr>
        <w:t>GN/CD.JUAREZ/079/2010 en razón de “tratarse de los mismos hechos de materia de la investigación”, es decir la desaparición de las tres víctimas</w:t>
      </w:r>
      <w:r w:rsidRPr="00744CE4">
        <w:rPr>
          <w:rStyle w:val="FootnoteReference"/>
          <w:rFonts w:ascii="Verdana" w:hAnsi="Verdana"/>
          <w:sz w:val="20"/>
          <w:szCs w:val="20"/>
        </w:rPr>
        <w:footnoteReference w:id="253"/>
      </w:r>
      <w:r w:rsidRPr="00744CE4">
        <w:rPr>
          <w:rFonts w:ascii="Verdana" w:hAnsi="Verdana"/>
          <w:sz w:val="20"/>
          <w:szCs w:val="20"/>
        </w:rPr>
        <w:t xml:space="preserve">. </w:t>
      </w:r>
    </w:p>
    <w:p w14:paraId="64AA5EE9" w14:textId="4795D79A" w:rsidR="002E1C85" w:rsidRPr="00744CE4" w:rsidRDefault="002E1C85" w:rsidP="00DB378B">
      <w:pPr>
        <w:widowControl w:val="0"/>
        <w:numPr>
          <w:ilvl w:val="0"/>
          <w:numId w:val="4"/>
        </w:numPr>
        <w:tabs>
          <w:tab w:val="left" w:pos="567"/>
        </w:tabs>
        <w:adjustRightInd w:val="0"/>
        <w:spacing w:before="120" w:after="120" w:line="240" w:lineRule="auto"/>
        <w:ind w:left="0" w:firstLine="0"/>
        <w:jc w:val="both"/>
        <w:textAlignment w:val="baseline"/>
        <w:rPr>
          <w:rFonts w:ascii="Verdana" w:hAnsi="Verdana"/>
          <w:sz w:val="20"/>
          <w:szCs w:val="20"/>
          <w:lang w:val="es-AR"/>
        </w:rPr>
      </w:pPr>
      <w:r w:rsidRPr="00432ABC">
        <w:rPr>
          <w:rFonts w:ascii="Verdana" w:hAnsi="Verdana"/>
          <w:sz w:val="20"/>
          <w:szCs w:val="20"/>
        </w:rPr>
        <w:t xml:space="preserve">El 8 de abril de 2010 el </w:t>
      </w:r>
      <w:r w:rsidRPr="00432ABC">
        <w:rPr>
          <w:rFonts w:ascii="Verdana" w:hAnsi="Verdana"/>
          <w:sz w:val="20"/>
          <w:szCs w:val="20"/>
          <w:lang w:val="es-AR"/>
        </w:rPr>
        <w:t>AMPM–GMCJ</w:t>
      </w:r>
      <w:r w:rsidRPr="00432ABC" w:rsidDel="0048281E">
        <w:rPr>
          <w:rFonts w:ascii="Verdana" w:hAnsi="Verdana"/>
          <w:sz w:val="20"/>
          <w:szCs w:val="20"/>
        </w:rPr>
        <w:t xml:space="preserve"> </w:t>
      </w:r>
      <w:r w:rsidRPr="00432ABC">
        <w:rPr>
          <w:rFonts w:ascii="Verdana" w:hAnsi="Verdana"/>
          <w:sz w:val="20"/>
          <w:szCs w:val="20"/>
          <w:lang w:val="es-AR"/>
        </w:rPr>
        <w:t xml:space="preserve">ordenó declinar la Averiguación Previa </w:t>
      </w:r>
      <w:r w:rsidRPr="002C462C">
        <w:rPr>
          <w:rFonts w:ascii="Verdana" w:hAnsi="Verdana"/>
          <w:sz w:val="20"/>
          <w:szCs w:val="20"/>
        </w:rPr>
        <w:t>GN/CDJUAREZ/079/2010 al Ministerio Público Especial de la Procuraduría General de Justicia Militar [</w:t>
      </w:r>
      <w:r w:rsidRPr="002C462C">
        <w:rPr>
          <w:rFonts w:ascii="Verdana" w:hAnsi="Verdana"/>
          <w:sz w:val="20"/>
          <w:szCs w:val="20"/>
          <w:lang w:val="es-AR"/>
        </w:rPr>
        <w:t>AMPME-PGJM</w:t>
      </w:r>
      <w:r w:rsidRPr="00744CE4">
        <w:rPr>
          <w:rFonts w:ascii="Verdana" w:hAnsi="Verdana"/>
          <w:sz w:val="20"/>
          <w:szCs w:val="20"/>
        </w:rPr>
        <w:t>] para su prosecución y determinación</w:t>
      </w:r>
      <w:r w:rsidRPr="00744CE4">
        <w:rPr>
          <w:rStyle w:val="FootnoteReference"/>
          <w:rFonts w:ascii="Verdana" w:hAnsi="Verdana"/>
          <w:sz w:val="20"/>
          <w:szCs w:val="20"/>
        </w:rPr>
        <w:footnoteReference w:id="254"/>
      </w:r>
      <w:r w:rsidRPr="00744CE4">
        <w:rPr>
          <w:rFonts w:ascii="Verdana" w:hAnsi="Verdana"/>
          <w:sz w:val="20"/>
          <w:szCs w:val="20"/>
        </w:rPr>
        <w:t>.</w:t>
      </w:r>
      <w:r w:rsidRPr="00744CE4">
        <w:rPr>
          <w:rFonts w:ascii="Verdana" w:hAnsi="Verdana"/>
          <w:sz w:val="20"/>
          <w:szCs w:val="20"/>
          <w:lang w:val="es-AR"/>
        </w:rPr>
        <w:t xml:space="preserve"> </w:t>
      </w:r>
      <w:r w:rsidRPr="00432ABC">
        <w:rPr>
          <w:rFonts w:ascii="Verdana" w:hAnsi="Verdana"/>
          <w:sz w:val="20"/>
          <w:szCs w:val="20"/>
          <w:lang w:val="es-AR"/>
        </w:rPr>
        <w:t xml:space="preserve">Con motivo de dicha declinatoria, el 16 de abril de 2010 esta última autoridad dio inicio a la Averiguación Previa </w:t>
      </w:r>
      <w:r w:rsidRPr="00432ABC">
        <w:rPr>
          <w:rFonts w:ascii="Verdana" w:hAnsi="Verdana"/>
          <w:sz w:val="20"/>
          <w:szCs w:val="20"/>
          <w:lang w:val="es-AR"/>
        </w:rPr>
        <w:lastRenderedPageBreak/>
        <w:t>PGJM/AMPME/CDJUAREZ/196-II/2010</w:t>
      </w:r>
      <w:r w:rsidRPr="00744CE4">
        <w:rPr>
          <w:rStyle w:val="FootnoteReference"/>
          <w:rFonts w:ascii="Verdana" w:hAnsi="Verdana"/>
          <w:sz w:val="20"/>
          <w:szCs w:val="20"/>
        </w:rPr>
        <w:footnoteReference w:id="255"/>
      </w:r>
      <w:r w:rsidRPr="00744CE4">
        <w:rPr>
          <w:rFonts w:ascii="Verdana" w:hAnsi="Verdana"/>
          <w:sz w:val="20"/>
          <w:szCs w:val="20"/>
        </w:rPr>
        <w:t xml:space="preserve">. </w:t>
      </w:r>
    </w:p>
    <w:p w14:paraId="64AA5EEB" w14:textId="005CECA4" w:rsidR="002E1C85" w:rsidRPr="00744CE4" w:rsidRDefault="002E1C85" w:rsidP="00DB378B">
      <w:pPr>
        <w:widowControl w:val="0"/>
        <w:numPr>
          <w:ilvl w:val="0"/>
          <w:numId w:val="4"/>
        </w:numPr>
        <w:tabs>
          <w:tab w:val="left" w:pos="567"/>
        </w:tabs>
        <w:adjustRightInd w:val="0"/>
        <w:spacing w:before="120" w:after="120" w:line="240" w:lineRule="auto"/>
        <w:ind w:left="0" w:firstLine="0"/>
        <w:jc w:val="both"/>
        <w:textAlignment w:val="baseline"/>
        <w:rPr>
          <w:rFonts w:ascii="Verdana" w:hAnsi="Verdana"/>
          <w:sz w:val="20"/>
          <w:szCs w:val="20"/>
          <w:lang w:val="es-AR"/>
        </w:rPr>
      </w:pPr>
      <w:r w:rsidRPr="00432ABC">
        <w:rPr>
          <w:rFonts w:ascii="Verdana" w:hAnsi="Verdana"/>
          <w:sz w:val="20"/>
          <w:szCs w:val="20"/>
        </w:rPr>
        <w:t xml:space="preserve"> Tras ser radicada dicha investigación, el </w:t>
      </w:r>
      <w:r w:rsidRPr="00432ABC">
        <w:rPr>
          <w:rFonts w:ascii="Verdana" w:hAnsi="Verdana"/>
          <w:sz w:val="20"/>
          <w:szCs w:val="20"/>
          <w:lang w:val="es-AR"/>
        </w:rPr>
        <w:t>AMPME - PGJM</w:t>
      </w:r>
      <w:r w:rsidRPr="00432ABC">
        <w:rPr>
          <w:rFonts w:ascii="Verdana" w:hAnsi="Verdana"/>
          <w:sz w:val="20"/>
          <w:szCs w:val="20"/>
        </w:rPr>
        <w:t xml:space="preserve"> realizó diversas diligencias, entre las que se des</w:t>
      </w:r>
      <w:r w:rsidRPr="002C462C">
        <w:rPr>
          <w:rFonts w:ascii="Verdana" w:hAnsi="Verdana"/>
          <w:sz w:val="20"/>
          <w:szCs w:val="20"/>
        </w:rPr>
        <w:t xml:space="preserve">tacan: </w:t>
      </w:r>
    </w:p>
    <w:p w14:paraId="64AA5EED" w14:textId="3D3E3E6D" w:rsidR="002E1C85" w:rsidRPr="008D0846" w:rsidRDefault="00AC6FFB">
      <w:pPr>
        <w:pStyle w:val="ListParagraph"/>
        <w:numPr>
          <w:ilvl w:val="0"/>
          <w:numId w:val="3"/>
        </w:numPr>
        <w:autoSpaceDE w:val="0"/>
        <w:autoSpaceDN w:val="0"/>
        <w:adjustRightInd w:val="0"/>
        <w:spacing w:before="120" w:after="120" w:line="240" w:lineRule="auto"/>
        <w:contextualSpacing w:val="0"/>
        <w:jc w:val="both"/>
        <w:rPr>
          <w:rFonts w:ascii="Verdana" w:hAnsi="Verdana"/>
          <w:sz w:val="18"/>
          <w:lang w:val="es-AR"/>
        </w:rPr>
      </w:pPr>
      <w:r w:rsidRPr="008D0846">
        <w:rPr>
          <w:rFonts w:ascii="Verdana" w:hAnsi="Verdana"/>
          <w:sz w:val="18"/>
          <w:szCs w:val="20"/>
          <w:lang w:val="es-AR"/>
        </w:rPr>
        <w:t>e</w:t>
      </w:r>
      <w:r w:rsidR="002E1C85" w:rsidRPr="008D0846">
        <w:rPr>
          <w:rFonts w:ascii="Verdana" w:hAnsi="Verdana"/>
          <w:sz w:val="18"/>
          <w:lang w:val="es-AR"/>
        </w:rPr>
        <w:t>n vía de exhorto, el 14 de mayo de 2010 el AMPM-5ªZM realizó inspección ministerial en las instalaciones del 35 Batallón de Infantería en Nuevo Casas Grandes, sin lograr localizar a los tres desaparecidos</w:t>
      </w:r>
      <w:r w:rsidR="002E1C85" w:rsidRPr="008D0846">
        <w:rPr>
          <w:rStyle w:val="FootnoteReference"/>
          <w:rFonts w:ascii="Verdana" w:hAnsi="Verdana"/>
          <w:sz w:val="18"/>
          <w:szCs w:val="20"/>
          <w:lang w:val="es-AR"/>
        </w:rPr>
        <w:footnoteReference w:id="256"/>
      </w:r>
      <w:r w:rsidR="00D50E04" w:rsidRPr="008D0846">
        <w:rPr>
          <w:rFonts w:ascii="Verdana" w:hAnsi="Verdana"/>
          <w:sz w:val="18"/>
          <w:szCs w:val="20"/>
          <w:lang w:val="es-AR"/>
        </w:rPr>
        <w:t>;</w:t>
      </w:r>
    </w:p>
    <w:p w14:paraId="64AA5EEF" w14:textId="1A344C87" w:rsidR="002E1C85" w:rsidRPr="008D0846" w:rsidRDefault="00D50E04">
      <w:pPr>
        <w:pStyle w:val="ListParagraph"/>
        <w:numPr>
          <w:ilvl w:val="0"/>
          <w:numId w:val="3"/>
        </w:numPr>
        <w:autoSpaceDE w:val="0"/>
        <w:autoSpaceDN w:val="0"/>
        <w:adjustRightInd w:val="0"/>
        <w:spacing w:before="120" w:after="120" w:line="240" w:lineRule="auto"/>
        <w:ind w:left="709"/>
        <w:contextualSpacing w:val="0"/>
        <w:jc w:val="both"/>
        <w:rPr>
          <w:rFonts w:ascii="Verdana" w:hAnsi="Verdana"/>
          <w:sz w:val="18"/>
          <w:szCs w:val="20"/>
          <w:lang w:val="es-AR"/>
        </w:rPr>
      </w:pPr>
      <w:r w:rsidRPr="008D0846">
        <w:rPr>
          <w:rFonts w:ascii="Verdana" w:hAnsi="Verdana"/>
          <w:sz w:val="18"/>
          <w:szCs w:val="20"/>
          <w:lang w:val="es-AR"/>
        </w:rPr>
        <w:t>m</w:t>
      </w:r>
      <w:r w:rsidR="001F49E1" w:rsidRPr="008D0846">
        <w:rPr>
          <w:rFonts w:ascii="Verdana" w:hAnsi="Verdana"/>
          <w:sz w:val="18"/>
          <w:szCs w:val="20"/>
          <w:lang w:val="es-AR"/>
        </w:rPr>
        <w:t>ediante c</w:t>
      </w:r>
      <w:r w:rsidR="002E1C85" w:rsidRPr="008D0846">
        <w:rPr>
          <w:rFonts w:ascii="Verdana" w:hAnsi="Verdana"/>
          <w:sz w:val="18"/>
          <w:szCs w:val="20"/>
          <w:lang w:val="es-AR"/>
        </w:rPr>
        <w:t xml:space="preserve">orreogramas de fechas 23 y 24 de mayo de 2010 el Comandante </w:t>
      </w:r>
      <w:r w:rsidR="002E1C85" w:rsidRPr="008D0846">
        <w:rPr>
          <w:rFonts w:ascii="Verdana" w:hAnsi="Verdana"/>
          <w:sz w:val="18"/>
          <w:szCs w:val="20"/>
        </w:rPr>
        <w:t xml:space="preserve">y el Estado Mayor, respectivamente, </w:t>
      </w:r>
      <w:r w:rsidR="002E1C85" w:rsidRPr="008D0846">
        <w:rPr>
          <w:rFonts w:ascii="Verdana" w:hAnsi="Verdana"/>
          <w:sz w:val="18"/>
          <w:szCs w:val="20"/>
          <w:lang w:val="es-AR"/>
        </w:rPr>
        <w:t xml:space="preserve">de la </w:t>
      </w:r>
      <w:r w:rsidR="002E1C85" w:rsidRPr="008D0846">
        <w:rPr>
          <w:rFonts w:ascii="Verdana" w:hAnsi="Verdana"/>
          <w:sz w:val="18"/>
          <w:szCs w:val="20"/>
        </w:rPr>
        <w:t xml:space="preserve">5ªZM </w:t>
      </w:r>
      <w:r w:rsidR="002E1C85" w:rsidRPr="008D0846">
        <w:rPr>
          <w:rFonts w:ascii="Verdana" w:hAnsi="Verdana"/>
          <w:sz w:val="18"/>
          <w:szCs w:val="20"/>
          <w:lang w:val="es-AR"/>
        </w:rPr>
        <w:t>informaron que el personal militar jurisdiccionado a dicha circunscripción castrense no realizó operaciones de intercepción los días 29, 30 y 31 de diciembre de 2009 en los caminos de “primer y segundo orden” hacia el Ejido Benito Juárez y que no contaban con vehículos Hummer color blanco o amarillo y/o camionetas de redilas asegurados en dicho Cuartel General</w:t>
      </w:r>
      <w:r w:rsidR="002E1C85" w:rsidRPr="008D0846">
        <w:rPr>
          <w:rStyle w:val="FootnoteReference"/>
          <w:rFonts w:ascii="Verdana" w:hAnsi="Verdana"/>
          <w:sz w:val="18"/>
          <w:szCs w:val="20"/>
          <w:lang w:val="es-AR"/>
        </w:rPr>
        <w:footnoteReference w:id="257"/>
      </w:r>
      <w:r w:rsidRPr="008D0846">
        <w:rPr>
          <w:rFonts w:ascii="Verdana" w:hAnsi="Verdana"/>
          <w:sz w:val="18"/>
          <w:szCs w:val="20"/>
          <w:lang w:val="es-AR"/>
        </w:rPr>
        <w:t>;</w:t>
      </w:r>
      <w:r w:rsidR="002E1C85" w:rsidRPr="008D0846">
        <w:rPr>
          <w:rFonts w:ascii="Verdana" w:hAnsi="Verdana"/>
          <w:sz w:val="18"/>
          <w:szCs w:val="20"/>
          <w:lang w:val="es-AR"/>
        </w:rPr>
        <w:t xml:space="preserve"> </w:t>
      </w:r>
    </w:p>
    <w:p w14:paraId="64AA5EF1" w14:textId="613F7F86" w:rsidR="002E1C85" w:rsidRPr="008D0846" w:rsidRDefault="00D50E04">
      <w:pPr>
        <w:pStyle w:val="ListParagraph"/>
        <w:numPr>
          <w:ilvl w:val="0"/>
          <w:numId w:val="3"/>
        </w:numPr>
        <w:autoSpaceDE w:val="0"/>
        <w:autoSpaceDN w:val="0"/>
        <w:adjustRightInd w:val="0"/>
        <w:spacing w:before="120" w:after="120" w:line="240" w:lineRule="auto"/>
        <w:ind w:left="709"/>
        <w:contextualSpacing w:val="0"/>
        <w:jc w:val="both"/>
        <w:rPr>
          <w:rFonts w:ascii="Verdana" w:hAnsi="Verdana"/>
          <w:sz w:val="18"/>
          <w:szCs w:val="20"/>
          <w:lang w:val="es-AR"/>
        </w:rPr>
      </w:pPr>
      <w:r w:rsidRPr="008D0846">
        <w:rPr>
          <w:rFonts w:ascii="Verdana" w:hAnsi="Verdana"/>
          <w:sz w:val="18"/>
          <w:szCs w:val="20"/>
          <w:lang w:val="es-AR"/>
        </w:rPr>
        <w:t>e</w:t>
      </w:r>
      <w:r w:rsidR="002E1C85" w:rsidRPr="008D0846">
        <w:rPr>
          <w:rFonts w:ascii="Verdana" w:hAnsi="Verdana"/>
          <w:sz w:val="18"/>
          <w:szCs w:val="20"/>
          <w:lang w:val="es-AR"/>
        </w:rPr>
        <w:t xml:space="preserve">l 24 de mayo de 2010 testificó ante el AMPM – 5ªZM el Agente Auxiliar del Ministerio Público de la PGJE – Chihuahua en Buenaventura, Aarón Enríquez Duarte, con relación a su conocimiento de las tres detenciones </w:t>
      </w:r>
      <w:r w:rsidR="002E1C85" w:rsidRPr="008D0846">
        <w:rPr>
          <w:rFonts w:ascii="Verdana" w:hAnsi="Verdana"/>
          <w:sz w:val="18"/>
          <w:szCs w:val="20"/>
        </w:rPr>
        <w:t>a manos de elementos del Ejército</w:t>
      </w:r>
      <w:r w:rsidR="002E1C85" w:rsidRPr="008D0846">
        <w:rPr>
          <w:rStyle w:val="FootnoteReference"/>
          <w:rFonts w:ascii="Verdana" w:hAnsi="Verdana"/>
          <w:sz w:val="18"/>
          <w:szCs w:val="20"/>
        </w:rPr>
        <w:footnoteReference w:id="258"/>
      </w:r>
      <w:r w:rsidRPr="008D0846">
        <w:rPr>
          <w:rFonts w:ascii="Verdana" w:hAnsi="Verdana"/>
          <w:sz w:val="18"/>
          <w:szCs w:val="20"/>
        </w:rPr>
        <w:t>;</w:t>
      </w:r>
    </w:p>
    <w:p w14:paraId="64AA5EF3" w14:textId="5A7D057C" w:rsidR="002E1C85" w:rsidRPr="008D0846" w:rsidRDefault="00D50E04">
      <w:pPr>
        <w:pStyle w:val="ListParagraph"/>
        <w:numPr>
          <w:ilvl w:val="0"/>
          <w:numId w:val="3"/>
        </w:numPr>
        <w:autoSpaceDE w:val="0"/>
        <w:autoSpaceDN w:val="0"/>
        <w:adjustRightInd w:val="0"/>
        <w:spacing w:before="120" w:after="120" w:line="240" w:lineRule="auto"/>
        <w:ind w:left="709"/>
        <w:contextualSpacing w:val="0"/>
        <w:jc w:val="both"/>
        <w:rPr>
          <w:rFonts w:ascii="Verdana" w:hAnsi="Verdana"/>
          <w:sz w:val="18"/>
          <w:szCs w:val="20"/>
          <w:lang w:val="es-AR"/>
        </w:rPr>
      </w:pPr>
      <w:r w:rsidRPr="008D0846">
        <w:rPr>
          <w:rFonts w:ascii="Verdana" w:hAnsi="Verdana"/>
          <w:sz w:val="18"/>
          <w:szCs w:val="20"/>
          <w:lang w:val="es-AR"/>
        </w:rPr>
        <w:t>m</w:t>
      </w:r>
      <w:r w:rsidR="002E1C85" w:rsidRPr="008D0846">
        <w:rPr>
          <w:rFonts w:ascii="Verdana" w:hAnsi="Verdana"/>
          <w:sz w:val="18"/>
          <w:szCs w:val="20"/>
          <w:lang w:val="es-AR"/>
        </w:rPr>
        <w:t xml:space="preserve">ediante </w:t>
      </w:r>
      <w:r w:rsidR="00524D40" w:rsidRPr="008D0846">
        <w:rPr>
          <w:rFonts w:ascii="Verdana" w:hAnsi="Verdana"/>
          <w:sz w:val="18"/>
          <w:szCs w:val="20"/>
          <w:lang w:val="es-AR"/>
        </w:rPr>
        <w:t>o</w:t>
      </w:r>
      <w:r w:rsidR="002E1C85" w:rsidRPr="008D0846">
        <w:rPr>
          <w:rFonts w:ascii="Verdana" w:hAnsi="Verdana"/>
          <w:sz w:val="18"/>
          <w:szCs w:val="20"/>
          <w:lang w:val="es-AR"/>
        </w:rPr>
        <w:t>ficio de 6 de noviembre de 2010 el Comandante del 35 Batallón remitió al AMPME - PGJM la relación sobre los nombres y grado militar del personal de dicha unidad castrense que integró los “servicios de arma y económicos” los días 29, 30 y 31 de diciembre de 2009</w:t>
      </w:r>
      <w:r w:rsidR="002E1C85" w:rsidRPr="008D0846">
        <w:rPr>
          <w:rStyle w:val="FootnoteReference"/>
          <w:rFonts w:ascii="Verdana" w:hAnsi="Verdana"/>
          <w:sz w:val="18"/>
          <w:szCs w:val="20"/>
          <w:lang w:val="es-AR"/>
        </w:rPr>
        <w:footnoteReference w:id="259"/>
      </w:r>
      <w:r w:rsidRPr="008D0846">
        <w:rPr>
          <w:rFonts w:ascii="Verdana" w:hAnsi="Verdana"/>
          <w:sz w:val="18"/>
          <w:szCs w:val="20"/>
          <w:lang w:val="es-AR"/>
        </w:rPr>
        <w:t>;</w:t>
      </w:r>
    </w:p>
    <w:p w14:paraId="64AA5EF5" w14:textId="3859A480" w:rsidR="002E1C85" w:rsidRPr="008D0846" w:rsidRDefault="00D50E04">
      <w:pPr>
        <w:pStyle w:val="ListParagraph"/>
        <w:numPr>
          <w:ilvl w:val="0"/>
          <w:numId w:val="3"/>
        </w:numPr>
        <w:autoSpaceDE w:val="0"/>
        <w:autoSpaceDN w:val="0"/>
        <w:adjustRightInd w:val="0"/>
        <w:spacing w:before="120" w:after="120" w:line="240" w:lineRule="auto"/>
        <w:ind w:left="709"/>
        <w:contextualSpacing w:val="0"/>
        <w:jc w:val="both"/>
        <w:rPr>
          <w:rFonts w:ascii="Verdana" w:hAnsi="Verdana"/>
          <w:sz w:val="18"/>
          <w:szCs w:val="20"/>
          <w:lang w:val="es-AR"/>
        </w:rPr>
      </w:pPr>
      <w:r w:rsidRPr="008D0846">
        <w:rPr>
          <w:rFonts w:ascii="Verdana" w:hAnsi="Verdana"/>
          <w:sz w:val="18"/>
          <w:szCs w:val="20"/>
          <w:lang w:val="es-AR"/>
        </w:rPr>
        <w:t>e</w:t>
      </w:r>
      <w:r w:rsidR="002E1C85" w:rsidRPr="008D0846">
        <w:rPr>
          <w:rFonts w:ascii="Verdana" w:hAnsi="Verdana"/>
          <w:sz w:val="18"/>
          <w:szCs w:val="20"/>
          <w:lang w:val="es-AR"/>
        </w:rPr>
        <w:t>l 30 de marzo de 2011 y en vía de exhorto al AMPM adscrito a la Cuarta Zona Militar, rindió su testimonio Argene Blásquez Morales, Encargada de Política Criminal de la PGR – Chihuahua, sobre la comunicación telefónica que sostuvo con el presunto “Comandante Meza” de la Policía Federal (</w:t>
      </w:r>
      <w:r w:rsidR="002E1C85" w:rsidRPr="008D0846">
        <w:rPr>
          <w:rFonts w:ascii="Verdana" w:hAnsi="Verdana"/>
          <w:i/>
          <w:sz w:val="18"/>
          <w:szCs w:val="20"/>
          <w:lang w:val="es-AR"/>
        </w:rPr>
        <w:t>supra</w:t>
      </w:r>
      <w:r w:rsidR="002E1C85" w:rsidRPr="008D0846">
        <w:rPr>
          <w:rFonts w:ascii="Verdana" w:hAnsi="Verdana"/>
          <w:sz w:val="18"/>
          <w:szCs w:val="20"/>
          <w:lang w:val="es-AR"/>
        </w:rPr>
        <w:t xml:space="preserve"> párr. </w:t>
      </w:r>
      <w:r w:rsidR="00524D40" w:rsidRPr="008D0846">
        <w:rPr>
          <w:rFonts w:ascii="Verdana" w:hAnsi="Verdana"/>
          <w:sz w:val="18"/>
          <w:szCs w:val="20"/>
          <w:lang w:val="es-AR"/>
        </w:rPr>
        <w:t>99</w:t>
      </w:r>
      <w:r w:rsidR="002E1C85" w:rsidRPr="008D0846">
        <w:rPr>
          <w:rFonts w:ascii="Verdana" w:hAnsi="Verdana"/>
          <w:sz w:val="18"/>
          <w:szCs w:val="20"/>
          <w:lang w:val="es-AR"/>
        </w:rPr>
        <w:t>)</w:t>
      </w:r>
      <w:r w:rsidR="002E1C85" w:rsidRPr="008D0846">
        <w:rPr>
          <w:rStyle w:val="FootnoteReference"/>
          <w:rFonts w:ascii="Verdana" w:hAnsi="Verdana"/>
          <w:sz w:val="18"/>
          <w:szCs w:val="20"/>
          <w:lang w:val="es-AR"/>
        </w:rPr>
        <w:footnoteReference w:id="260"/>
      </w:r>
      <w:r w:rsidR="00CE0080" w:rsidRPr="008D0846">
        <w:rPr>
          <w:rFonts w:ascii="Verdana" w:hAnsi="Verdana"/>
          <w:sz w:val="18"/>
          <w:szCs w:val="20"/>
          <w:lang w:val="es-AR"/>
        </w:rPr>
        <w:t>;</w:t>
      </w:r>
    </w:p>
    <w:p w14:paraId="64AA5EF7" w14:textId="059B3335" w:rsidR="002E1C85" w:rsidRPr="008D0846" w:rsidRDefault="00CE0080">
      <w:pPr>
        <w:pStyle w:val="ListParagraph"/>
        <w:numPr>
          <w:ilvl w:val="0"/>
          <w:numId w:val="3"/>
        </w:numPr>
        <w:autoSpaceDE w:val="0"/>
        <w:autoSpaceDN w:val="0"/>
        <w:adjustRightInd w:val="0"/>
        <w:spacing w:before="120" w:after="120" w:line="240" w:lineRule="auto"/>
        <w:ind w:left="709"/>
        <w:contextualSpacing w:val="0"/>
        <w:jc w:val="both"/>
        <w:rPr>
          <w:rFonts w:ascii="Verdana" w:hAnsi="Verdana"/>
          <w:sz w:val="18"/>
          <w:szCs w:val="20"/>
          <w:lang w:val="es-AR"/>
        </w:rPr>
      </w:pPr>
      <w:r w:rsidRPr="008D0846">
        <w:rPr>
          <w:rFonts w:ascii="Verdana" w:hAnsi="Verdana"/>
          <w:sz w:val="18"/>
          <w:szCs w:val="20"/>
          <w:lang w:val="es-AR"/>
        </w:rPr>
        <w:t>e</w:t>
      </w:r>
      <w:r w:rsidR="002E1C85" w:rsidRPr="008D0846">
        <w:rPr>
          <w:rFonts w:ascii="Verdana" w:hAnsi="Verdana"/>
          <w:sz w:val="18"/>
          <w:szCs w:val="20"/>
          <w:lang w:val="es-AR"/>
        </w:rPr>
        <w:t>l 2 de abril de 2011 el Comandante del 35 Batallón remitió al AMPME – PGJM copias certificadas de la documentación relacionada con el control de salidas de elementos y vehículos castrenses</w:t>
      </w:r>
      <w:r w:rsidR="002E1C85" w:rsidRPr="008D0846">
        <w:rPr>
          <w:rStyle w:val="FootnoteReference"/>
          <w:rFonts w:ascii="Verdana" w:hAnsi="Verdana"/>
          <w:sz w:val="18"/>
          <w:szCs w:val="20"/>
          <w:lang w:val="es-AR"/>
        </w:rPr>
        <w:footnoteReference w:id="261"/>
      </w:r>
      <w:r w:rsidR="002E1C85" w:rsidRPr="008D0846">
        <w:rPr>
          <w:rFonts w:ascii="Verdana" w:hAnsi="Verdana"/>
          <w:sz w:val="18"/>
          <w:szCs w:val="20"/>
          <w:lang w:val="es-AR"/>
        </w:rPr>
        <w:t>, así como del tipo de uniformes utilizado por el personar militar de dicha unidad al momento de las desapariciones</w:t>
      </w:r>
      <w:r w:rsidR="002E1C85" w:rsidRPr="008D0846">
        <w:rPr>
          <w:rStyle w:val="FootnoteReference"/>
          <w:rFonts w:ascii="Verdana" w:hAnsi="Verdana"/>
          <w:sz w:val="18"/>
          <w:szCs w:val="20"/>
          <w:lang w:val="es-AR"/>
        </w:rPr>
        <w:footnoteReference w:id="262"/>
      </w:r>
      <w:r w:rsidR="002E1C85" w:rsidRPr="008D0846">
        <w:rPr>
          <w:rFonts w:ascii="Verdana" w:hAnsi="Verdana"/>
          <w:sz w:val="18"/>
          <w:szCs w:val="20"/>
          <w:lang w:val="es-AR"/>
        </w:rPr>
        <w:t xml:space="preserve">. El 13 de abril </w:t>
      </w:r>
      <w:r w:rsidR="00524D40" w:rsidRPr="008D0846">
        <w:rPr>
          <w:rFonts w:ascii="Verdana" w:hAnsi="Verdana"/>
          <w:sz w:val="18"/>
          <w:szCs w:val="20"/>
          <w:lang w:val="es-AR"/>
        </w:rPr>
        <w:t>de 2011</w:t>
      </w:r>
      <w:r w:rsidR="002E1C85" w:rsidRPr="008D0846">
        <w:rPr>
          <w:rFonts w:ascii="Verdana" w:hAnsi="Verdana"/>
          <w:sz w:val="18"/>
          <w:szCs w:val="20"/>
          <w:lang w:val="es-AR"/>
        </w:rPr>
        <w:t xml:space="preserve"> rindió su testimonio el Sargento Primero Conductor del 35 Batallón de Infantería, Alberto Hernández de la Cruz, en la que se retractó de su testimonio rendido el 5 de febrero de 2010 ante el Agente del Ministerio Público Militar (</w:t>
      </w:r>
      <w:r w:rsidR="002E1C85" w:rsidRPr="008D0846">
        <w:rPr>
          <w:rFonts w:ascii="Verdana" w:hAnsi="Verdana"/>
          <w:i/>
          <w:sz w:val="18"/>
          <w:szCs w:val="20"/>
          <w:lang w:val="es-AR"/>
        </w:rPr>
        <w:t xml:space="preserve">supra </w:t>
      </w:r>
      <w:r w:rsidR="002E1C85" w:rsidRPr="008D0846">
        <w:rPr>
          <w:rFonts w:ascii="Verdana" w:hAnsi="Verdana"/>
          <w:sz w:val="18"/>
          <w:szCs w:val="20"/>
          <w:lang w:val="es-AR"/>
        </w:rPr>
        <w:t xml:space="preserve">párr. </w:t>
      </w:r>
      <w:r w:rsidR="00524D40" w:rsidRPr="008D0846">
        <w:rPr>
          <w:rFonts w:ascii="Verdana" w:hAnsi="Verdana"/>
          <w:sz w:val="18"/>
          <w:szCs w:val="20"/>
          <w:lang w:val="es-AR"/>
        </w:rPr>
        <w:t>97</w:t>
      </w:r>
      <w:r w:rsidR="002E1C85" w:rsidRPr="008D0846">
        <w:rPr>
          <w:rFonts w:ascii="Verdana" w:hAnsi="Verdana"/>
          <w:sz w:val="18"/>
          <w:szCs w:val="20"/>
          <w:lang w:val="es-AR"/>
        </w:rPr>
        <w:t>)</w:t>
      </w:r>
      <w:r w:rsidR="002E1C85" w:rsidRPr="008D0846">
        <w:rPr>
          <w:rStyle w:val="FootnoteReference"/>
          <w:rFonts w:ascii="Verdana" w:hAnsi="Verdana"/>
          <w:sz w:val="18"/>
          <w:szCs w:val="20"/>
          <w:lang w:val="es-AR"/>
        </w:rPr>
        <w:footnoteReference w:id="263"/>
      </w:r>
      <w:r w:rsidRPr="008D0846">
        <w:rPr>
          <w:rFonts w:ascii="Verdana" w:hAnsi="Verdana"/>
          <w:sz w:val="18"/>
          <w:szCs w:val="20"/>
          <w:lang w:val="es-AR"/>
        </w:rPr>
        <w:t>, y</w:t>
      </w:r>
    </w:p>
    <w:p w14:paraId="64AA5EF9" w14:textId="49547086" w:rsidR="002E1C85" w:rsidRPr="008D0846" w:rsidRDefault="00CE0080">
      <w:pPr>
        <w:pStyle w:val="ListParagraph"/>
        <w:numPr>
          <w:ilvl w:val="0"/>
          <w:numId w:val="3"/>
        </w:numPr>
        <w:autoSpaceDE w:val="0"/>
        <w:autoSpaceDN w:val="0"/>
        <w:adjustRightInd w:val="0"/>
        <w:spacing w:before="120" w:after="120" w:line="240" w:lineRule="auto"/>
        <w:ind w:left="709"/>
        <w:contextualSpacing w:val="0"/>
        <w:jc w:val="both"/>
        <w:rPr>
          <w:rFonts w:ascii="Verdana" w:hAnsi="Verdana"/>
          <w:sz w:val="18"/>
          <w:szCs w:val="20"/>
          <w:lang w:val="es-AR"/>
        </w:rPr>
      </w:pPr>
      <w:r w:rsidRPr="008D0846">
        <w:rPr>
          <w:rFonts w:ascii="Verdana" w:hAnsi="Verdana"/>
          <w:sz w:val="18"/>
          <w:szCs w:val="20"/>
          <w:lang w:val="es-AR"/>
        </w:rPr>
        <w:t>e</w:t>
      </w:r>
      <w:r w:rsidR="002E1C85" w:rsidRPr="008D0846">
        <w:rPr>
          <w:rFonts w:ascii="Verdana" w:hAnsi="Verdana"/>
          <w:sz w:val="18"/>
          <w:szCs w:val="20"/>
          <w:lang w:val="es-AR"/>
        </w:rPr>
        <w:t>l 12 de septiembre de 2011 el apoderado legal de la CNDH presentó denuncia de hechos ante el AMPM en cumplimiento de la Recomendación 43/11</w:t>
      </w:r>
      <w:r w:rsidR="002E1C85" w:rsidRPr="008D0846">
        <w:rPr>
          <w:rStyle w:val="FootnoteReference"/>
          <w:rFonts w:ascii="Verdana" w:hAnsi="Verdana"/>
          <w:sz w:val="18"/>
          <w:szCs w:val="20"/>
          <w:lang w:val="es-AR"/>
        </w:rPr>
        <w:footnoteReference w:id="264"/>
      </w:r>
      <w:r w:rsidR="002E1C85" w:rsidRPr="008D0846">
        <w:rPr>
          <w:rFonts w:ascii="Verdana" w:hAnsi="Verdana"/>
          <w:sz w:val="18"/>
          <w:szCs w:val="20"/>
          <w:lang w:val="es-AR"/>
        </w:rPr>
        <w:t xml:space="preserve">. </w:t>
      </w:r>
    </w:p>
    <w:p w14:paraId="64AA5EFB" w14:textId="3D2CF67D" w:rsidR="002E1C85" w:rsidRPr="00432ABC" w:rsidRDefault="002E1C85" w:rsidP="00DB378B">
      <w:pPr>
        <w:widowControl w:val="0"/>
        <w:numPr>
          <w:ilvl w:val="0"/>
          <w:numId w:val="4"/>
        </w:numPr>
        <w:tabs>
          <w:tab w:val="left" w:pos="567"/>
        </w:tabs>
        <w:adjustRightInd w:val="0"/>
        <w:spacing w:before="120" w:after="120" w:line="240" w:lineRule="auto"/>
        <w:ind w:left="0" w:firstLine="0"/>
        <w:jc w:val="both"/>
        <w:textAlignment w:val="baseline"/>
        <w:rPr>
          <w:rFonts w:ascii="Verdana" w:hAnsi="Verdana"/>
          <w:sz w:val="20"/>
          <w:szCs w:val="20"/>
          <w:lang w:val="es-AR"/>
        </w:rPr>
      </w:pPr>
      <w:r w:rsidRPr="00744CE4">
        <w:rPr>
          <w:rFonts w:ascii="Verdana" w:hAnsi="Verdana"/>
          <w:sz w:val="20"/>
          <w:szCs w:val="20"/>
          <w:lang w:val="es-AR"/>
        </w:rPr>
        <w:t>El 29 de diciembre de 2011 el II AMPM de la PGJM</w:t>
      </w:r>
      <w:r w:rsidRPr="00432ABC">
        <w:rPr>
          <w:rFonts w:ascii="Verdana" w:hAnsi="Verdana"/>
          <w:sz w:val="20"/>
          <w:szCs w:val="20"/>
          <w:lang w:val="es-AR"/>
        </w:rPr>
        <w:t xml:space="preserve"> determinó el cierre de la Averiguación Previa PGJM/AMPME/CDJUAREZ/196-II/2010 y ordenó la remisión de dicha indagatoria al AMPF </w:t>
      </w:r>
      <w:r w:rsidRPr="00432ABC">
        <w:rPr>
          <w:rFonts w:ascii="Verdana" w:hAnsi="Verdana"/>
          <w:sz w:val="20"/>
          <w:szCs w:val="20"/>
          <w:lang w:val="es-AR"/>
        </w:rPr>
        <w:lastRenderedPageBreak/>
        <w:t>de la PGR al considerar que con relación a la desaparición de las tres personas:</w:t>
      </w:r>
    </w:p>
    <w:p w14:paraId="64AA5EFD" w14:textId="68F4D74B" w:rsidR="002E1C85" w:rsidRPr="00744CE4" w:rsidRDefault="002E1C85">
      <w:pPr>
        <w:spacing w:before="120" w:after="120" w:line="240" w:lineRule="auto"/>
        <w:ind w:left="567"/>
        <w:jc w:val="both"/>
        <w:rPr>
          <w:rFonts w:ascii="Verdana" w:hAnsi="Verdana"/>
          <w:sz w:val="18"/>
          <w:szCs w:val="20"/>
          <w:lang w:val="es-AR"/>
        </w:rPr>
      </w:pPr>
      <w:r w:rsidRPr="00432ABC">
        <w:rPr>
          <w:rFonts w:ascii="Verdana" w:hAnsi="Verdana"/>
          <w:sz w:val="18"/>
          <w:szCs w:val="20"/>
          <w:lang w:val="es-AR"/>
        </w:rPr>
        <w:t xml:space="preserve">“[…] [N]o existen pruebas de que el personal militar haya efectuado tales ilícitos, por lo que en el presente caso a juicio de esta Representación Social Militar no se infringió la disciplina militar y la ley, sin embargo en dichas conductas es muy probable que se encuentren involucradas personas que </w:t>
      </w:r>
      <w:r w:rsidRPr="002C462C">
        <w:rPr>
          <w:rFonts w:ascii="Verdana" w:hAnsi="Verdana"/>
          <w:sz w:val="18"/>
          <w:szCs w:val="20"/>
          <w:lang w:val="es-AR"/>
        </w:rPr>
        <w:t>se dedican a distintas actividades de narcotráfico […]”</w:t>
      </w:r>
      <w:r w:rsidRPr="00744CE4">
        <w:rPr>
          <w:rStyle w:val="FootnoteReference"/>
          <w:rFonts w:ascii="Verdana" w:hAnsi="Verdana"/>
          <w:sz w:val="18"/>
          <w:szCs w:val="20"/>
          <w:lang w:val="es-AR"/>
        </w:rPr>
        <w:footnoteReference w:id="265"/>
      </w:r>
      <w:r w:rsidR="004562AE" w:rsidRPr="00744CE4">
        <w:rPr>
          <w:rFonts w:ascii="Verdana" w:hAnsi="Verdana"/>
          <w:sz w:val="18"/>
          <w:szCs w:val="20"/>
          <w:lang w:val="es-AR"/>
        </w:rPr>
        <w:t>.</w:t>
      </w:r>
    </w:p>
    <w:p w14:paraId="64AA5EFF" w14:textId="0AB63FC8" w:rsidR="002E1C85" w:rsidRPr="00432ABC" w:rsidRDefault="00A10160">
      <w:pPr>
        <w:pStyle w:val="ListParagraph"/>
        <w:widowControl w:val="0"/>
        <w:numPr>
          <w:ilvl w:val="0"/>
          <w:numId w:val="45"/>
        </w:numPr>
        <w:tabs>
          <w:tab w:val="left" w:pos="567"/>
        </w:tabs>
        <w:autoSpaceDE w:val="0"/>
        <w:autoSpaceDN w:val="0"/>
        <w:adjustRightInd w:val="0"/>
        <w:spacing w:before="120" w:after="120" w:line="240" w:lineRule="auto"/>
        <w:ind w:left="1560" w:hanging="426"/>
        <w:contextualSpacing w:val="0"/>
        <w:jc w:val="both"/>
        <w:textAlignment w:val="baseline"/>
        <w:outlineLvl w:val="2"/>
        <w:rPr>
          <w:rFonts w:ascii="Verdana" w:hAnsi="Verdana"/>
          <w:i/>
          <w:sz w:val="20"/>
          <w:szCs w:val="20"/>
        </w:rPr>
      </w:pPr>
      <w:bookmarkStart w:id="147" w:name="_Toc526783772"/>
      <w:r>
        <w:rPr>
          <w:rFonts w:ascii="Verdana" w:hAnsi="Verdana"/>
          <w:i/>
          <w:sz w:val="20"/>
          <w:szCs w:val="20"/>
        </w:rPr>
        <w:t xml:space="preserve"> </w:t>
      </w:r>
      <w:bookmarkStart w:id="148" w:name="_Toc532995344"/>
      <w:r w:rsidR="002E1C85" w:rsidRPr="00432ABC">
        <w:rPr>
          <w:rFonts w:ascii="Verdana" w:hAnsi="Verdana"/>
          <w:i/>
          <w:sz w:val="20"/>
          <w:szCs w:val="20"/>
        </w:rPr>
        <w:t>Procuraduría General de la República – Fiscalía Especial de Delitos de Violencia contra las Mujeres y Trata de Personas [FEVIMTRA - PGR]</w:t>
      </w:r>
      <w:bookmarkEnd w:id="147"/>
      <w:bookmarkEnd w:id="148"/>
    </w:p>
    <w:p w14:paraId="64AA5F01" w14:textId="0E529BAA" w:rsidR="002E1C85" w:rsidRPr="00744CE4" w:rsidRDefault="002E1C85" w:rsidP="00DB378B">
      <w:pPr>
        <w:widowControl w:val="0"/>
        <w:numPr>
          <w:ilvl w:val="0"/>
          <w:numId w:val="4"/>
        </w:numPr>
        <w:tabs>
          <w:tab w:val="left" w:pos="567"/>
        </w:tabs>
        <w:adjustRightInd w:val="0"/>
        <w:spacing w:before="120" w:after="120" w:line="240" w:lineRule="auto"/>
        <w:ind w:left="0" w:firstLine="0"/>
        <w:jc w:val="both"/>
        <w:textAlignment w:val="baseline"/>
        <w:rPr>
          <w:rFonts w:ascii="Verdana" w:hAnsi="Verdana"/>
          <w:i/>
          <w:sz w:val="20"/>
          <w:szCs w:val="20"/>
          <w:lang w:val="es-AR"/>
        </w:rPr>
      </w:pPr>
      <w:r w:rsidRPr="00432ABC">
        <w:rPr>
          <w:rFonts w:ascii="Verdana" w:hAnsi="Verdana"/>
          <w:sz w:val="20"/>
          <w:szCs w:val="20"/>
          <w:lang w:val="es-AR"/>
        </w:rPr>
        <w:t xml:space="preserve">El 8 de marzo de 2010 la FEVIMTRA-PGR dio inicio a la averiguación previa AP/PGR/FEVIMTRA/TRA/009/2010 en atención al </w:t>
      </w:r>
      <w:r w:rsidR="002E3298">
        <w:rPr>
          <w:rFonts w:ascii="Verdana" w:hAnsi="Verdana"/>
          <w:sz w:val="20"/>
          <w:szCs w:val="20"/>
          <w:lang w:val="es-AR"/>
        </w:rPr>
        <w:t>O</w:t>
      </w:r>
      <w:r w:rsidRPr="00432ABC">
        <w:rPr>
          <w:rFonts w:ascii="Verdana" w:hAnsi="Verdana"/>
          <w:sz w:val="20"/>
          <w:szCs w:val="20"/>
          <w:lang w:val="es-AR"/>
        </w:rPr>
        <w:t>ficio UPDDH/911/1240/2010 remitido por el titular de la Unidad para la Promoción y Defensa de los Derechos Humanos de la Secretaría de Gobernación [UPDDH - SEGOB], por el delito de la privaci</w:t>
      </w:r>
      <w:r w:rsidRPr="002C462C">
        <w:rPr>
          <w:rFonts w:ascii="Verdana" w:hAnsi="Verdana"/>
          <w:sz w:val="20"/>
          <w:szCs w:val="20"/>
          <w:lang w:val="es-AR"/>
        </w:rPr>
        <w:t>ón ilegal de la libertad “y lo que resulte” en perjuicio de las tres personas desaparecidas y en contra de quien o quienes resulten responsables</w:t>
      </w:r>
      <w:r w:rsidRPr="00744CE4">
        <w:rPr>
          <w:rStyle w:val="FootnoteReference"/>
          <w:rFonts w:ascii="Verdana" w:hAnsi="Verdana"/>
          <w:sz w:val="20"/>
          <w:szCs w:val="20"/>
          <w:lang w:val="es-AR"/>
        </w:rPr>
        <w:footnoteReference w:id="266"/>
      </w:r>
      <w:r w:rsidRPr="00744CE4">
        <w:rPr>
          <w:rFonts w:ascii="Verdana" w:hAnsi="Verdana"/>
          <w:sz w:val="20"/>
          <w:szCs w:val="20"/>
          <w:lang w:val="es-AR"/>
        </w:rPr>
        <w:t xml:space="preserve">. </w:t>
      </w:r>
    </w:p>
    <w:p w14:paraId="64AA5F03" w14:textId="2F4F2FAA" w:rsidR="002E1C85" w:rsidRPr="00432ABC" w:rsidRDefault="002E1C85" w:rsidP="00DB378B">
      <w:pPr>
        <w:widowControl w:val="0"/>
        <w:numPr>
          <w:ilvl w:val="0"/>
          <w:numId w:val="4"/>
        </w:numPr>
        <w:tabs>
          <w:tab w:val="left" w:pos="567"/>
        </w:tabs>
        <w:adjustRightInd w:val="0"/>
        <w:spacing w:before="120" w:after="120" w:line="240" w:lineRule="auto"/>
        <w:ind w:left="0" w:firstLine="0"/>
        <w:jc w:val="both"/>
        <w:textAlignment w:val="baseline"/>
        <w:rPr>
          <w:rFonts w:ascii="Verdana" w:hAnsi="Verdana"/>
          <w:sz w:val="20"/>
          <w:szCs w:val="20"/>
          <w:lang w:val="es-AR"/>
        </w:rPr>
      </w:pPr>
      <w:r w:rsidRPr="00432ABC">
        <w:rPr>
          <w:rFonts w:ascii="Verdana" w:hAnsi="Verdana"/>
          <w:sz w:val="20"/>
          <w:szCs w:val="20"/>
          <w:lang w:val="es-AR"/>
        </w:rPr>
        <w:t>En cuanto se refiere a la investigación ante la FEVIMTRA – PGR relacionada con la desaparición de las 3 personas tuvieron lugar, entre otras, las siguientes diligencias:</w:t>
      </w:r>
    </w:p>
    <w:p w14:paraId="64AA5F05" w14:textId="592B8D30" w:rsidR="002E1C85" w:rsidRPr="008D0846" w:rsidRDefault="00AC6FFB">
      <w:pPr>
        <w:pStyle w:val="ListParagraph"/>
        <w:numPr>
          <w:ilvl w:val="2"/>
          <w:numId w:val="4"/>
        </w:numPr>
        <w:spacing w:before="120" w:after="120" w:line="240" w:lineRule="auto"/>
        <w:ind w:left="567" w:hanging="181"/>
        <w:contextualSpacing w:val="0"/>
        <w:jc w:val="both"/>
        <w:rPr>
          <w:rFonts w:ascii="Verdana" w:hAnsi="Verdana"/>
          <w:sz w:val="18"/>
          <w:szCs w:val="20"/>
          <w:lang w:val="es-AR"/>
        </w:rPr>
      </w:pPr>
      <w:r w:rsidRPr="008D0846">
        <w:rPr>
          <w:rFonts w:ascii="Verdana" w:hAnsi="Verdana"/>
          <w:sz w:val="18"/>
          <w:szCs w:val="20"/>
          <w:lang w:val="es-AR"/>
        </w:rPr>
        <w:t>e</w:t>
      </w:r>
      <w:r w:rsidR="002E1C85" w:rsidRPr="008D0846">
        <w:rPr>
          <w:rFonts w:ascii="Verdana" w:hAnsi="Verdana"/>
          <w:sz w:val="18"/>
          <w:szCs w:val="20"/>
          <w:lang w:val="es-AR"/>
        </w:rPr>
        <w:t>n atención a lo ordenado por la AMPF el 4 de junio de 2010</w:t>
      </w:r>
      <w:r w:rsidR="002E1C85" w:rsidRPr="008D0846">
        <w:rPr>
          <w:rStyle w:val="FootnoteReference"/>
          <w:rFonts w:ascii="Verdana" w:hAnsi="Verdana"/>
          <w:sz w:val="18"/>
          <w:szCs w:val="20"/>
          <w:lang w:val="es-AR"/>
        </w:rPr>
        <w:footnoteReference w:id="267"/>
      </w:r>
      <w:r w:rsidR="002E1C85" w:rsidRPr="008D0846">
        <w:rPr>
          <w:rFonts w:ascii="Verdana" w:hAnsi="Verdana"/>
          <w:sz w:val="18"/>
          <w:szCs w:val="20"/>
          <w:lang w:val="es-AR"/>
        </w:rPr>
        <w:t xml:space="preserve">, el 9 de junio siguiente se realizó la inspección ministerial del sitio en que fueron privados de su libertad </w:t>
      </w:r>
      <w:r w:rsidR="002E1C85" w:rsidRPr="008D0846">
        <w:rPr>
          <w:rFonts w:ascii="Verdana" w:hAnsi="Verdana"/>
          <w:sz w:val="18"/>
          <w:szCs w:val="20"/>
        </w:rPr>
        <w:t>Nitza Paola y Jose Ángel Alvarado</w:t>
      </w:r>
      <w:r w:rsidR="002E1C85" w:rsidRPr="008D0846">
        <w:rPr>
          <w:rFonts w:ascii="Verdana" w:hAnsi="Verdana"/>
          <w:sz w:val="18"/>
          <w:szCs w:val="20"/>
          <w:lang w:val="es-AR"/>
        </w:rPr>
        <w:t xml:space="preserve"> el Ejido Benito Juárez, del domicilio del que fue sustraída Rocío Irene Alvarado, así como de las instalaciones de la Agencia Estatal de Investigaciones de la PGJE - Chihuahua en Nuevo Casas Grandes</w:t>
      </w:r>
      <w:r w:rsidR="002E1C85" w:rsidRPr="008D0846">
        <w:rPr>
          <w:rStyle w:val="FootnoteReference"/>
          <w:rFonts w:ascii="Verdana" w:hAnsi="Verdana"/>
          <w:sz w:val="18"/>
          <w:szCs w:val="20"/>
          <w:lang w:val="es-AR"/>
        </w:rPr>
        <w:footnoteReference w:id="268"/>
      </w:r>
      <w:r w:rsidR="002E1C85" w:rsidRPr="008D0846">
        <w:rPr>
          <w:rFonts w:ascii="Verdana" w:hAnsi="Verdana"/>
          <w:sz w:val="18"/>
          <w:szCs w:val="20"/>
          <w:lang w:val="es-AR"/>
        </w:rPr>
        <w:t>. En la misma fecha, fueron recabadas la declaraciones de Hora</w:t>
      </w:r>
      <w:r w:rsidR="00915638" w:rsidRPr="008D0846">
        <w:rPr>
          <w:rFonts w:ascii="Verdana" w:hAnsi="Verdana"/>
          <w:sz w:val="18"/>
          <w:szCs w:val="20"/>
          <w:lang w:val="es-AR"/>
        </w:rPr>
        <w:t>s</w:t>
      </w:r>
      <w:r w:rsidR="002E1C85" w:rsidRPr="008D0846">
        <w:rPr>
          <w:rFonts w:ascii="Verdana" w:hAnsi="Verdana"/>
          <w:sz w:val="18"/>
          <w:szCs w:val="20"/>
          <w:lang w:val="es-AR"/>
        </w:rPr>
        <w:t>io Flores Martínez y Francisco Calvillo, agentes ministeriales de esta última dependencia, quienes manifestaron que tras el aseguramiento por parte de policías ministeriales de la camioneta que conducía Nitza Paola Alvarado el día de su desaparición se presentaron elementos de la Policía Federal y del Ejército Mexicano preguntando por qué razón había sido asegurado dicho vehículo y recabando los datos sobre el mismo (</w:t>
      </w:r>
      <w:r w:rsidR="002E1C85" w:rsidRPr="008D0846">
        <w:rPr>
          <w:rFonts w:ascii="Verdana" w:hAnsi="Verdana"/>
          <w:i/>
          <w:sz w:val="18"/>
          <w:szCs w:val="20"/>
          <w:lang w:val="es-AR"/>
        </w:rPr>
        <w:t xml:space="preserve">supra </w:t>
      </w:r>
      <w:r w:rsidR="002E1C85" w:rsidRPr="008D0846">
        <w:rPr>
          <w:rFonts w:ascii="Verdana" w:hAnsi="Verdana"/>
          <w:sz w:val="18"/>
          <w:szCs w:val="20"/>
          <w:lang w:val="es-AR"/>
        </w:rPr>
        <w:t xml:space="preserve">párr. </w:t>
      </w:r>
      <w:r w:rsidR="00915638" w:rsidRPr="008D0846">
        <w:rPr>
          <w:rFonts w:ascii="Verdana" w:hAnsi="Verdana"/>
          <w:sz w:val="18"/>
          <w:szCs w:val="20"/>
          <w:lang w:val="es-AR"/>
        </w:rPr>
        <w:t>90</w:t>
      </w:r>
      <w:r w:rsidR="002E1C85" w:rsidRPr="008D0846">
        <w:rPr>
          <w:rFonts w:ascii="Verdana" w:hAnsi="Verdana"/>
          <w:sz w:val="18"/>
          <w:szCs w:val="20"/>
          <w:lang w:val="es-AR"/>
        </w:rPr>
        <w:t>)</w:t>
      </w:r>
      <w:r w:rsidR="002E1C85" w:rsidRPr="008D0846">
        <w:rPr>
          <w:rStyle w:val="FootnoteReference"/>
          <w:rFonts w:ascii="Verdana" w:hAnsi="Verdana"/>
          <w:sz w:val="18"/>
          <w:szCs w:val="20"/>
          <w:lang w:val="es-AR"/>
        </w:rPr>
        <w:footnoteReference w:id="269"/>
      </w:r>
      <w:r w:rsidR="00CE0080" w:rsidRPr="008D0846">
        <w:rPr>
          <w:rFonts w:ascii="Verdana" w:hAnsi="Verdana"/>
          <w:sz w:val="18"/>
          <w:szCs w:val="20"/>
          <w:lang w:val="es-AR"/>
        </w:rPr>
        <w:t>;</w:t>
      </w:r>
    </w:p>
    <w:p w14:paraId="64AA5F07" w14:textId="62832476" w:rsidR="002E1C85" w:rsidRPr="008D0846" w:rsidRDefault="00CE0080">
      <w:pPr>
        <w:pStyle w:val="ListParagraph"/>
        <w:numPr>
          <w:ilvl w:val="2"/>
          <w:numId w:val="4"/>
        </w:numPr>
        <w:spacing w:before="120" w:after="120" w:line="240" w:lineRule="auto"/>
        <w:ind w:left="567"/>
        <w:contextualSpacing w:val="0"/>
        <w:jc w:val="both"/>
        <w:rPr>
          <w:rFonts w:ascii="Verdana" w:hAnsi="Verdana"/>
          <w:sz w:val="18"/>
          <w:szCs w:val="20"/>
          <w:lang w:val="es-AR"/>
        </w:rPr>
      </w:pPr>
      <w:r w:rsidRPr="008D0846">
        <w:rPr>
          <w:rFonts w:ascii="Verdana" w:hAnsi="Verdana"/>
          <w:sz w:val="18"/>
          <w:szCs w:val="20"/>
          <w:lang w:val="es-AR"/>
        </w:rPr>
        <w:t>e</w:t>
      </w:r>
      <w:r w:rsidR="002E1C85" w:rsidRPr="008D0846">
        <w:rPr>
          <w:rFonts w:ascii="Verdana" w:hAnsi="Verdana"/>
          <w:sz w:val="18"/>
          <w:szCs w:val="20"/>
          <w:lang w:val="es-AR"/>
        </w:rPr>
        <w:t>l 10 de junio de 2010 fue recabado el testimonio de Obdulia Espinoza Beltrán sobre la desaparición de sus familiares</w:t>
      </w:r>
      <w:r w:rsidR="002E1C85" w:rsidRPr="008D0846">
        <w:rPr>
          <w:rStyle w:val="FootnoteReference"/>
          <w:rFonts w:ascii="Verdana" w:hAnsi="Verdana"/>
          <w:sz w:val="18"/>
          <w:szCs w:val="20"/>
          <w:lang w:val="es-AR"/>
        </w:rPr>
        <w:footnoteReference w:id="270"/>
      </w:r>
      <w:r w:rsidR="002E1C85" w:rsidRPr="008D0846">
        <w:rPr>
          <w:rFonts w:ascii="Verdana" w:hAnsi="Verdana"/>
          <w:sz w:val="18"/>
          <w:szCs w:val="20"/>
          <w:lang w:val="es-AR"/>
        </w:rPr>
        <w:t xml:space="preserve">. Asimismo, se recabaron las declaraciones de Jesús Durazo Hoyos, </w:t>
      </w:r>
      <w:r w:rsidR="002E1C85" w:rsidRPr="008D0846">
        <w:rPr>
          <w:rFonts w:ascii="Verdana" w:hAnsi="Verdana"/>
          <w:sz w:val="18"/>
          <w:szCs w:val="20"/>
        </w:rPr>
        <w:t>AMPF en Ciudad Juárez</w:t>
      </w:r>
      <w:r w:rsidR="002E1C85" w:rsidRPr="008D0846">
        <w:rPr>
          <w:rFonts w:ascii="Verdana" w:hAnsi="Verdana"/>
          <w:sz w:val="18"/>
          <w:szCs w:val="20"/>
          <w:lang w:val="es-AR"/>
        </w:rPr>
        <w:t xml:space="preserve">, y de su secretaria Guadalupe Angélica Escobedo Domínguez, quienes negaron tener conocimiento o haber hecho comentario alguno a los familiares sobre el paradero de las tres personas desaparecidas al momento en que </w:t>
      </w:r>
      <w:r w:rsidR="002E1C85" w:rsidRPr="008D0846">
        <w:rPr>
          <w:rFonts w:ascii="Verdana" w:hAnsi="Verdana"/>
          <w:sz w:val="18"/>
          <w:szCs w:val="20"/>
        </w:rPr>
        <w:t>Patricia Reyes Rueda y María de Jesús Alvarado Espinoza promovieron sus respectivas denuncias</w:t>
      </w:r>
      <w:r w:rsidR="002E1C85" w:rsidRPr="008D0846">
        <w:rPr>
          <w:rStyle w:val="FootnoteReference"/>
          <w:rFonts w:ascii="Verdana" w:hAnsi="Verdana"/>
          <w:sz w:val="18"/>
          <w:szCs w:val="20"/>
          <w:lang w:val="es-AR"/>
        </w:rPr>
        <w:t xml:space="preserve"> </w:t>
      </w:r>
      <w:r w:rsidR="002E1C85" w:rsidRPr="008D0846">
        <w:rPr>
          <w:rFonts w:ascii="Verdana" w:hAnsi="Verdana"/>
          <w:sz w:val="18"/>
          <w:szCs w:val="20"/>
        </w:rPr>
        <w:t>el 6 de enero de 2010</w:t>
      </w:r>
      <w:r w:rsidR="002E1C85" w:rsidRPr="008D0846">
        <w:rPr>
          <w:rStyle w:val="FootnoteReference"/>
          <w:rFonts w:ascii="Verdana" w:hAnsi="Verdana"/>
          <w:sz w:val="18"/>
          <w:szCs w:val="20"/>
          <w:lang w:val="es-AR"/>
        </w:rPr>
        <w:footnoteReference w:id="271"/>
      </w:r>
      <w:r w:rsidRPr="008D0846">
        <w:rPr>
          <w:rFonts w:ascii="Verdana" w:hAnsi="Verdana"/>
          <w:sz w:val="18"/>
          <w:szCs w:val="20"/>
          <w:lang w:val="es-AR"/>
        </w:rPr>
        <w:t>;</w:t>
      </w:r>
    </w:p>
    <w:p w14:paraId="64AA5F09" w14:textId="610BD09B" w:rsidR="002E1C85" w:rsidRPr="008D0846" w:rsidRDefault="00CE0080">
      <w:pPr>
        <w:pStyle w:val="ListParagraph"/>
        <w:numPr>
          <w:ilvl w:val="2"/>
          <w:numId w:val="4"/>
        </w:numPr>
        <w:spacing w:before="120" w:after="120" w:line="240" w:lineRule="auto"/>
        <w:ind w:left="567"/>
        <w:contextualSpacing w:val="0"/>
        <w:jc w:val="both"/>
        <w:rPr>
          <w:rFonts w:ascii="Verdana" w:hAnsi="Verdana"/>
          <w:sz w:val="18"/>
          <w:szCs w:val="20"/>
          <w:lang w:val="es-AR"/>
        </w:rPr>
      </w:pPr>
      <w:r w:rsidRPr="008D0846">
        <w:rPr>
          <w:rFonts w:ascii="Verdana" w:hAnsi="Verdana"/>
          <w:sz w:val="18"/>
          <w:szCs w:val="20"/>
          <w:lang w:val="es-AR"/>
        </w:rPr>
        <w:lastRenderedPageBreak/>
        <w:t>e</w:t>
      </w:r>
      <w:r w:rsidR="002E1C85" w:rsidRPr="008D0846">
        <w:rPr>
          <w:rFonts w:ascii="Verdana" w:hAnsi="Verdana"/>
          <w:sz w:val="18"/>
          <w:szCs w:val="20"/>
          <w:lang w:val="es-AR"/>
        </w:rPr>
        <w:t>l 27 de julio de 2010 se solicitó al Procurador General de Justicia Militar su colaboración para desahogar una serie de diligencias en las instalaciones del 35 Batallón</w:t>
      </w:r>
      <w:r w:rsidR="002E1C85" w:rsidRPr="008D0846">
        <w:rPr>
          <w:rStyle w:val="FootnoteReference"/>
          <w:rFonts w:ascii="Verdana" w:hAnsi="Verdana"/>
          <w:sz w:val="18"/>
          <w:szCs w:val="20"/>
          <w:lang w:val="es-AR"/>
        </w:rPr>
        <w:footnoteReference w:id="272"/>
      </w:r>
      <w:r w:rsidR="002E1C85" w:rsidRPr="008D0846">
        <w:rPr>
          <w:rFonts w:ascii="Verdana" w:hAnsi="Verdana"/>
          <w:sz w:val="18"/>
          <w:szCs w:val="20"/>
          <w:lang w:val="es-AR"/>
        </w:rPr>
        <w:t>. Ante la falta de respuesta de dicha autoridad castrense, la AMPF de la FEVIMTRA reiteró la solicitud de auxilio ministerial los días 3 de agosto y 28 de septiembre de 2010</w:t>
      </w:r>
      <w:r w:rsidR="002E1C85" w:rsidRPr="008D0846">
        <w:rPr>
          <w:rStyle w:val="FootnoteReference"/>
          <w:rFonts w:ascii="Verdana" w:hAnsi="Verdana"/>
          <w:sz w:val="18"/>
          <w:szCs w:val="20"/>
          <w:lang w:val="es-AR"/>
        </w:rPr>
        <w:footnoteReference w:id="273"/>
      </w:r>
      <w:r w:rsidRPr="008D0846">
        <w:rPr>
          <w:rFonts w:ascii="Verdana" w:hAnsi="Verdana"/>
          <w:sz w:val="18"/>
          <w:szCs w:val="20"/>
          <w:lang w:val="es-AR"/>
        </w:rPr>
        <w:t>;</w:t>
      </w:r>
    </w:p>
    <w:p w14:paraId="64AA5F0B" w14:textId="074905A4" w:rsidR="002E1C85" w:rsidRPr="008D0846" w:rsidRDefault="00CE0080">
      <w:pPr>
        <w:pStyle w:val="ListParagraph"/>
        <w:numPr>
          <w:ilvl w:val="2"/>
          <w:numId w:val="4"/>
        </w:numPr>
        <w:spacing w:before="120" w:after="120" w:line="240" w:lineRule="auto"/>
        <w:ind w:left="567"/>
        <w:contextualSpacing w:val="0"/>
        <w:jc w:val="both"/>
        <w:rPr>
          <w:rFonts w:ascii="Verdana" w:hAnsi="Verdana"/>
          <w:sz w:val="18"/>
          <w:szCs w:val="20"/>
          <w:lang w:val="es-AR"/>
        </w:rPr>
      </w:pPr>
      <w:r w:rsidRPr="008D0846">
        <w:rPr>
          <w:rFonts w:ascii="Verdana" w:hAnsi="Verdana"/>
          <w:sz w:val="18"/>
          <w:szCs w:val="20"/>
          <w:lang w:val="es-AR"/>
        </w:rPr>
        <w:t>a</w:t>
      </w:r>
      <w:r w:rsidR="002E1C85" w:rsidRPr="008D0846">
        <w:rPr>
          <w:rFonts w:ascii="Verdana" w:hAnsi="Verdana"/>
          <w:sz w:val="18"/>
          <w:szCs w:val="20"/>
          <w:lang w:val="es-AR"/>
        </w:rPr>
        <w:t xml:space="preserve"> petición de la AMPF de la FEVIMTRA – PGR de 3 de agosto de 2010</w:t>
      </w:r>
      <w:r w:rsidR="002E1C85" w:rsidRPr="008D0846">
        <w:rPr>
          <w:rStyle w:val="FootnoteReference"/>
          <w:rFonts w:ascii="Verdana" w:hAnsi="Verdana"/>
          <w:sz w:val="18"/>
          <w:szCs w:val="20"/>
          <w:lang w:val="es-AR"/>
        </w:rPr>
        <w:footnoteReference w:id="274"/>
      </w:r>
      <w:r w:rsidR="002E1C85" w:rsidRPr="008D0846">
        <w:rPr>
          <w:rFonts w:ascii="Verdana" w:hAnsi="Verdana"/>
          <w:sz w:val="18"/>
          <w:szCs w:val="20"/>
          <w:lang w:val="es-AR"/>
        </w:rPr>
        <w:t xml:space="preserve">, la </w:t>
      </w:r>
      <w:r w:rsidR="00F90623" w:rsidRPr="008D0846">
        <w:rPr>
          <w:rFonts w:ascii="Verdana" w:hAnsi="Verdana"/>
          <w:sz w:val="18"/>
          <w:szCs w:val="20"/>
          <w:lang w:val="es-AR"/>
        </w:rPr>
        <w:t>Comisión Nacional Bancaria y de Valores (</w:t>
      </w:r>
      <w:r w:rsidR="002E1C85" w:rsidRPr="008D0846">
        <w:rPr>
          <w:rFonts w:ascii="Verdana" w:hAnsi="Verdana"/>
          <w:sz w:val="18"/>
          <w:szCs w:val="20"/>
          <w:lang w:val="es-AR"/>
        </w:rPr>
        <w:t>CNBV</w:t>
      </w:r>
      <w:r w:rsidR="00F90623" w:rsidRPr="008D0846">
        <w:rPr>
          <w:rFonts w:ascii="Verdana" w:hAnsi="Verdana"/>
          <w:sz w:val="18"/>
          <w:szCs w:val="20"/>
          <w:lang w:val="es-AR"/>
        </w:rPr>
        <w:t>)</w:t>
      </w:r>
      <w:r w:rsidR="002E1C85" w:rsidRPr="008D0846">
        <w:rPr>
          <w:rFonts w:ascii="Verdana" w:hAnsi="Verdana"/>
          <w:sz w:val="18"/>
          <w:szCs w:val="20"/>
          <w:lang w:val="es-AR"/>
        </w:rPr>
        <w:t xml:space="preserve"> remitió anexa a los oficios de respuesta de 31 de agosto de 2010</w:t>
      </w:r>
      <w:r w:rsidR="002E1C85" w:rsidRPr="008D0846">
        <w:rPr>
          <w:rStyle w:val="FootnoteReference"/>
          <w:rFonts w:ascii="Verdana" w:hAnsi="Verdana"/>
          <w:sz w:val="18"/>
          <w:szCs w:val="20"/>
          <w:lang w:val="es-AR"/>
        </w:rPr>
        <w:footnoteReference w:id="275"/>
      </w:r>
      <w:r w:rsidR="002E1C85" w:rsidRPr="008D0846">
        <w:rPr>
          <w:rFonts w:ascii="Verdana" w:hAnsi="Verdana"/>
          <w:sz w:val="18"/>
          <w:szCs w:val="20"/>
          <w:lang w:val="es-AR"/>
        </w:rPr>
        <w:t xml:space="preserve"> y 12 de enero de 2011</w:t>
      </w:r>
      <w:r w:rsidR="002E1C85" w:rsidRPr="008D0846">
        <w:rPr>
          <w:rStyle w:val="FootnoteReference"/>
          <w:rFonts w:ascii="Verdana" w:hAnsi="Verdana"/>
          <w:sz w:val="18"/>
          <w:szCs w:val="20"/>
          <w:lang w:val="es-AR"/>
        </w:rPr>
        <w:footnoteReference w:id="276"/>
      </w:r>
      <w:r w:rsidR="002E1C85" w:rsidRPr="008D0846">
        <w:rPr>
          <w:rFonts w:ascii="Verdana" w:hAnsi="Verdana"/>
          <w:sz w:val="18"/>
          <w:szCs w:val="20"/>
          <w:lang w:val="es-AR"/>
        </w:rPr>
        <w:t xml:space="preserve"> información sobre la eventual existencia de cuentas bancarias a nombre de cualquiera de las tres personas desaparecidas en el Sistema Bancario Nacional con la finalidad de obtener mayores datos para ubicar su paradero</w:t>
      </w:r>
      <w:r w:rsidRPr="008D0846">
        <w:rPr>
          <w:rFonts w:ascii="Verdana" w:hAnsi="Verdana"/>
          <w:sz w:val="18"/>
          <w:szCs w:val="20"/>
          <w:lang w:val="es-AR"/>
        </w:rPr>
        <w:t>;</w:t>
      </w:r>
    </w:p>
    <w:p w14:paraId="64AA5F0D" w14:textId="08308CEF" w:rsidR="002E1C85" w:rsidRPr="008D0846" w:rsidRDefault="00CE0080">
      <w:pPr>
        <w:pStyle w:val="ListParagraph"/>
        <w:numPr>
          <w:ilvl w:val="2"/>
          <w:numId w:val="4"/>
        </w:numPr>
        <w:spacing w:before="120" w:after="120" w:line="240" w:lineRule="auto"/>
        <w:ind w:left="567"/>
        <w:contextualSpacing w:val="0"/>
        <w:jc w:val="both"/>
        <w:rPr>
          <w:rFonts w:ascii="Verdana" w:hAnsi="Verdana"/>
          <w:sz w:val="18"/>
          <w:szCs w:val="20"/>
          <w:lang w:val="es-AR"/>
        </w:rPr>
      </w:pPr>
      <w:r w:rsidRPr="008D0846">
        <w:rPr>
          <w:rFonts w:ascii="Verdana" w:hAnsi="Verdana"/>
          <w:sz w:val="18"/>
          <w:szCs w:val="20"/>
          <w:lang w:val="es-AR"/>
        </w:rPr>
        <w:t>e</w:t>
      </w:r>
      <w:r w:rsidR="002E1C85" w:rsidRPr="008D0846">
        <w:rPr>
          <w:rFonts w:ascii="Verdana" w:hAnsi="Verdana"/>
          <w:sz w:val="18"/>
          <w:szCs w:val="20"/>
          <w:lang w:val="es-AR"/>
        </w:rPr>
        <w:t>n atención a la solicitud realizada el 10 de agosto de 2010</w:t>
      </w:r>
      <w:r w:rsidR="002E1C85" w:rsidRPr="008D0846">
        <w:rPr>
          <w:rStyle w:val="FootnoteReference"/>
          <w:rFonts w:ascii="Verdana" w:hAnsi="Verdana"/>
          <w:sz w:val="18"/>
          <w:szCs w:val="20"/>
          <w:lang w:val="es-AR"/>
        </w:rPr>
        <w:footnoteReference w:id="277"/>
      </w:r>
      <w:r w:rsidR="00675C75" w:rsidRPr="008D0846">
        <w:rPr>
          <w:rFonts w:ascii="Verdana" w:hAnsi="Verdana"/>
          <w:sz w:val="18"/>
          <w:szCs w:val="20"/>
          <w:lang w:val="es-AR"/>
        </w:rPr>
        <w:t>,</w:t>
      </w:r>
      <w:r w:rsidR="002E1C85" w:rsidRPr="008D0846">
        <w:rPr>
          <w:rFonts w:ascii="Verdana" w:hAnsi="Verdana"/>
          <w:sz w:val="18"/>
          <w:szCs w:val="20"/>
          <w:lang w:val="es-AR"/>
        </w:rPr>
        <w:t xml:space="preserve"> la Secretaría de Seguridad Pública Municipal de Juárez informó que no contaba con copia íntegra de las videograbaciones de las cámaras que se encontraban en los municipios de Buenaventura y Nuevo Casas Grandes los días 29 y 30 de diciembre de 2009, dado que no competía al Centro de Emergencias y Respuesta Inmediata del Estado de Chihuahua, dependiente de dicha entidad</w:t>
      </w:r>
      <w:r w:rsidR="002E1C85" w:rsidRPr="008D0846">
        <w:rPr>
          <w:rStyle w:val="FootnoteReference"/>
          <w:rFonts w:ascii="Verdana" w:hAnsi="Verdana"/>
          <w:sz w:val="18"/>
          <w:szCs w:val="20"/>
          <w:lang w:val="es-AR"/>
        </w:rPr>
        <w:footnoteReference w:id="278"/>
      </w:r>
      <w:r w:rsidRPr="008D0846">
        <w:rPr>
          <w:rFonts w:ascii="Verdana" w:hAnsi="Verdana"/>
          <w:sz w:val="18"/>
          <w:szCs w:val="20"/>
          <w:lang w:val="es-AR"/>
        </w:rPr>
        <w:t>;</w:t>
      </w:r>
    </w:p>
    <w:p w14:paraId="64AA5F0F" w14:textId="6501A871" w:rsidR="002E1C85" w:rsidRPr="008D0846" w:rsidRDefault="00CE0080">
      <w:pPr>
        <w:pStyle w:val="ListParagraph"/>
        <w:numPr>
          <w:ilvl w:val="2"/>
          <w:numId w:val="4"/>
        </w:numPr>
        <w:spacing w:before="120" w:after="120" w:line="240" w:lineRule="auto"/>
        <w:ind w:left="567"/>
        <w:contextualSpacing w:val="0"/>
        <w:jc w:val="both"/>
        <w:rPr>
          <w:rFonts w:ascii="Verdana" w:hAnsi="Verdana"/>
          <w:sz w:val="18"/>
          <w:szCs w:val="20"/>
          <w:lang w:val="es-AR"/>
        </w:rPr>
      </w:pPr>
      <w:r w:rsidRPr="008D0846">
        <w:rPr>
          <w:rFonts w:ascii="Verdana" w:hAnsi="Verdana"/>
          <w:sz w:val="18"/>
          <w:szCs w:val="20"/>
          <w:lang w:val="es-AR"/>
        </w:rPr>
        <w:t>e</w:t>
      </w:r>
      <w:r w:rsidR="002E1C85" w:rsidRPr="008D0846">
        <w:rPr>
          <w:rFonts w:ascii="Verdana" w:hAnsi="Verdana"/>
          <w:sz w:val="18"/>
          <w:szCs w:val="20"/>
          <w:lang w:val="es-AR"/>
        </w:rPr>
        <w:t>l 26 de agosto de 2010</w:t>
      </w:r>
      <w:r w:rsidR="002E1C85" w:rsidRPr="008D0846">
        <w:rPr>
          <w:rFonts w:ascii="Verdana" w:hAnsi="Verdana"/>
          <w:sz w:val="18"/>
          <w:szCs w:val="20"/>
        </w:rPr>
        <w:t xml:space="preserve"> se recabaron los testimonios de</w:t>
      </w:r>
      <w:r w:rsidR="002E1C85" w:rsidRPr="008D0846">
        <w:rPr>
          <w:rFonts w:ascii="Verdana" w:hAnsi="Verdana"/>
          <w:sz w:val="18"/>
          <w:szCs w:val="20"/>
          <w:lang w:val="es-AR"/>
        </w:rPr>
        <w:t xml:space="preserve"> Felipe Morales Avitia y Emmanuel Peralta Robles, Agentes de Seguridad Pública y Tránsito en el Ejido Benito Juárez, quienes presenciaron el aseguramiento de la camioneta que conducía Nitza Paola Alvarado el día de su desaparición</w:t>
      </w:r>
      <w:r w:rsidR="002E1C85" w:rsidRPr="008D0846">
        <w:rPr>
          <w:rFonts w:ascii="Verdana" w:hAnsi="Verdana"/>
          <w:sz w:val="18"/>
          <w:szCs w:val="20"/>
          <w:vertAlign w:val="superscript"/>
          <w:lang w:val="es-AR"/>
        </w:rPr>
        <w:footnoteReference w:id="279"/>
      </w:r>
      <w:r w:rsidR="002E1C85" w:rsidRPr="008D0846">
        <w:rPr>
          <w:rFonts w:ascii="Verdana" w:hAnsi="Verdana"/>
          <w:sz w:val="18"/>
          <w:szCs w:val="20"/>
          <w:lang w:val="es-AR"/>
        </w:rPr>
        <w:t>.  El 25 de octubre de 2010 Aarón Enríquez Duarte, AAMP en Buenaventura, compareció ante la FEVIMTRA</w:t>
      </w:r>
      <w:r w:rsidR="002E1C85" w:rsidRPr="008D0846">
        <w:rPr>
          <w:rStyle w:val="FootnoteReference"/>
          <w:rFonts w:ascii="Verdana" w:hAnsi="Verdana"/>
          <w:sz w:val="18"/>
          <w:szCs w:val="20"/>
        </w:rPr>
        <w:footnoteReference w:id="280"/>
      </w:r>
      <w:r w:rsidRPr="008D0846">
        <w:rPr>
          <w:rFonts w:ascii="Verdana" w:hAnsi="Verdana"/>
          <w:sz w:val="18"/>
          <w:szCs w:val="20"/>
        </w:rPr>
        <w:t>;</w:t>
      </w:r>
    </w:p>
    <w:p w14:paraId="64AA5F11" w14:textId="5CD09F8D" w:rsidR="002E1C85" w:rsidRPr="008D0846" w:rsidRDefault="00CE0080">
      <w:pPr>
        <w:pStyle w:val="ListParagraph"/>
        <w:numPr>
          <w:ilvl w:val="2"/>
          <w:numId w:val="4"/>
        </w:numPr>
        <w:spacing w:before="120" w:after="120" w:line="240" w:lineRule="auto"/>
        <w:ind w:left="567"/>
        <w:contextualSpacing w:val="0"/>
        <w:jc w:val="both"/>
        <w:rPr>
          <w:rFonts w:ascii="Verdana" w:hAnsi="Verdana"/>
          <w:sz w:val="18"/>
          <w:szCs w:val="20"/>
          <w:lang w:val="es-AR"/>
        </w:rPr>
      </w:pPr>
      <w:r w:rsidRPr="008D0846">
        <w:rPr>
          <w:rFonts w:ascii="Verdana" w:hAnsi="Verdana"/>
          <w:sz w:val="18"/>
          <w:szCs w:val="20"/>
          <w:lang w:val="es-AR"/>
        </w:rPr>
        <w:lastRenderedPageBreak/>
        <w:t>e</w:t>
      </w:r>
      <w:r w:rsidR="002E1C85" w:rsidRPr="008D0846">
        <w:rPr>
          <w:rFonts w:ascii="Verdana" w:hAnsi="Verdana"/>
          <w:sz w:val="18"/>
          <w:szCs w:val="20"/>
          <w:lang w:val="es-AR"/>
        </w:rPr>
        <w:t>l 4 de enero de 2011 la Policía Federal rindió ante la FEVIMTRA un informe policial de investigación en el cual señaló que en el Estado de Chihuahua operaban diversos grupos pertenecientes a la delincuencia organizada lo</w:t>
      </w:r>
      <w:r w:rsidR="008631C6" w:rsidRPr="008D0846">
        <w:rPr>
          <w:rFonts w:ascii="Verdana" w:hAnsi="Verdana"/>
          <w:sz w:val="18"/>
          <w:szCs w:val="20"/>
          <w:lang w:val="es-AR"/>
        </w:rPr>
        <w:t>s</w:t>
      </w:r>
      <w:r w:rsidR="002E1C85" w:rsidRPr="008D0846">
        <w:rPr>
          <w:rFonts w:ascii="Verdana" w:hAnsi="Verdana"/>
          <w:sz w:val="18"/>
          <w:szCs w:val="20"/>
          <w:lang w:val="es-AR"/>
        </w:rPr>
        <w:t xml:space="preserve"> cuales utilizaban “artículos” parecidos a los empleados por las Fuerzas Armadas y otras corporaciones policiacas y que los vehículos empleados en la detención de las tres personas desaparecidas descritos por los familiares son usualmente utilizados por las organizaciones criminales. Por tanto, dicho informe concluyó que “e[ra] altamente probable [que las tres personas desaparecidas] h[ubiera]n sido víctimas de miembros de la delincuencia organizada”</w:t>
      </w:r>
      <w:r w:rsidR="002E1C85" w:rsidRPr="008D0846">
        <w:rPr>
          <w:rStyle w:val="FootnoteReference"/>
          <w:rFonts w:ascii="Verdana" w:hAnsi="Verdana"/>
          <w:sz w:val="18"/>
          <w:szCs w:val="20"/>
          <w:lang w:val="es-AR"/>
        </w:rPr>
        <w:footnoteReference w:id="281"/>
      </w:r>
      <w:r w:rsidRPr="008D0846">
        <w:rPr>
          <w:rFonts w:ascii="Verdana" w:hAnsi="Verdana"/>
          <w:sz w:val="18"/>
          <w:szCs w:val="20"/>
          <w:lang w:val="es-AR"/>
        </w:rPr>
        <w:t>;</w:t>
      </w:r>
    </w:p>
    <w:p w14:paraId="64AA5F12" w14:textId="3D054E5E" w:rsidR="002E1C85" w:rsidRPr="008D0846" w:rsidRDefault="00CE0080">
      <w:pPr>
        <w:pStyle w:val="ListParagraph"/>
        <w:numPr>
          <w:ilvl w:val="2"/>
          <w:numId w:val="4"/>
        </w:numPr>
        <w:spacing w:before="120" w:after="120" w:line="240" w:lineRule="auto"/>
        <w:ind w:left="567"/>
        <w:contextualSpacing w:val="0"/>
        <w:jc w:val="both"/>
        <w:rPr>
          <w:rFonts w:ascii="Verdana" w:hAnsi="Verdana"/>
          <w:sz w:val="18"/>
          <w:szCs w:val="20"/>
          <w:lang w:val="es-AR"/>
        </w:rPr>
      </w:pPr>
      <w:r w:rsidRPr="008D0846">
        <w:rPr>
          <w:rFonts w:ascii="Verdana" w:hAnsi="Verdana"/>
          <w:sz w:val="18"/>
          <w:szCs w:val="20"/>
          <w:lang w:val="es-AR"/>
        </w:rPr>
        <w:t>e</w:t>
      </w:r>
      <w:r w:rsidR="002E1C85" w:rsidRPr="008D0846">
        <w:rPr>
          <w:rFonts w:ascii="Verdana" w:hAnsi="Verdana"/>
          <w:sz w:val="18"/>
          <w:szCs w:val="20"/>
        </w:rPr>
        <w:t xml:space="preserve">l 13 de junio de 2011 </w:t>
      </w:r>
      <w:r w:rsidR="002E1C85" w:rsidRPr="008D0846">
        <w:rPr>
          <w:rFonts w:ascii="Verdana" w:hAnsi="Verdana"/>
          <w:sz w:val="18"/>
          <w:szCs w:val="20"/>
          <w:lang w:val="es-AR"/>
        </w:rPr>
        <w:t xml:space="preserve">se giraron oficios </w:t>
      </w:r>
      <w:r w:rsidR="00183A31" w:rsidRPr="008D0846">
        <w:rPr>
          <w:rFonts w:ascii="Verdana" w:hAnsi="Verdana"/>
          <w:sz w:val="18"/>
          <w:szCs w:val="20"/>
          <w:lang w:val="es-AR"/>
        </w:rPr>
        <w:t xml:space="preserve">a </w:t>
      </w:r>
      <w:r w:rsidR="002E1C85" w:rsidRPr="008D0846">
        <w:rPr>
          <w:rFonts w:ascii="Verdana" w:hAnsi="Verdana"/>
          <w:sz w:val="18"/>
          <w:szCs w:val="20"/>
          <w:lang w:val="es-AR"/>
        </w:rPr>
        <w:t>los titulares de Servicios Periciales de las 32 entidades federativas a efecto de que informaran sobre la existencia de registros de necropsias, levantamientos de cadáveres o inhumaciones en fosa común de cuerpos no identificados que pudieran corresponder a las tres personas desaparecidas, recibiéndose respuesta negativa en todos los casos</w:t>
      </w:r>
      <w:r w:rsidR="002E1C85" w:rsidRPr="008D0846">
        <w:rPr>
          <w:rStyle w:val="FootnoteReference"/>
          <w:rFonts w:ascii="Verdana" w:hAnsi="Verdana"/>
          <w:sz w:val="18"/>
          <w:szCs w:val="20"/>
          <w:lang w:val="es-AR"/>
        </w:rPr>
        <w:footnoteReference w:id="282"/>
      </w:r>
      <w:r w:rsidRPr="008D0846">
        <w:rPr>
          <w:rFonts w:ascii="Verdana" w:hAnsi="Verdana"/>
          <w:sz w:val="18"/>
          <w:szCs w:val="20"/>
          <w:lang w:val="es-AR"/>
        </w:rPr>
        <w:t>;</w:t>
      </w:r>
    </w:p>
    <w:p w14:paraId="64AA5F15" w14:textId="44660558" w:rsidR="002E1C85" w:rsidRPr="008D0846" w:rsidRDefault="00CE0080">
      <w:pPr>
        <w:pStyle w:val="ListParagraph"/>
        <w:widowControl w:val="0"/>
        <w:numPr>
          <w:ilvl w:val="2"/>
          <w:numId w:val="4"/>
        </w:numPr>
        <w:tabs>
          <w:tab w:val="left" w:pos="567"/>
        </w:tabs>
        <w:adjustRightInd w:val="0"/>
        <w:spacing w:before="120" w:after="120" w:line="240" w:lineRule="auto"/>
        <w:ind w:left="567"/>
        <w:contextualSpacing w:val="0"/>
        <w:jc w:val="both"/>
        <w:textAlignment w:val="baseline"/>
        <w:rPr>
          <w:rFonts w:ascii="Verdana" w:hAnsi="Verdana"/>
          <w:sz w:val="18"/>
          <w:szCs w:val="20"/>
          <w:lang w:val="es-AR"/>
        </w:rPr>
      </w:pPr>
      <w:r w:rsidRPr="008D0846">
        <w:rPr>
          <w:rFonts w:ascii="Verdana" w:hAnsi="Verdana"/>
          <w:sz w:val="18"/>
          <w:szCs w:val="20"/>
          <w:lang w:val="es-AR"/>
        </w:rPr>
        <w:t>e</w:t>
      </w:r>
      <w:r w:rsidR="002E1C85" w:rsidRPr="008D0846">
        <w:rPr>
          <w:rFonts w:ascii="Verdana" w:hAnsi="Verdana"/>
          <w:sz w:val="18"/>
          <w:szCs w:val="20"/>
          <w:lang w:val="es-AR"/>
        </w:rPr>
        <w:t>l 9 de agosto de 2011 la AMPF de la FEVIMTRA</w:t>
      </w:r>
      <w:r w:rsidR="00897D06" w:rsidRPr="008D0846">
        <w:rPr>
          <w:rFonts w:ascii="Verdana" w:hAnsi="Verdana"/>
          <w:sz w:val="18"/>
          <w:szCs w:val="20"/>
          <w:lang w:val="es-AR"/>
        </w:rPr>
        <w:t>-PGR</w:t>
      </w:r>
      <w:r w:rsidR="002E1C85" w:rsidRPr="008D0846">
        <w:rPr>
          <w:rFonts w:ascii="Verdana" w:hAnsi="Verdana"/>
          <w:sz w:val="18"/>
          <w:szCs w:val="20"/>
          <w:lang w:val="es-AR"/>
        </w:rPr>
        <w:t xml:space="preserve"> en compañía de personal de la PGR – Chihuahua, de la AFI</w:t>
      </w:r>
      <w:r w:rsidR="002E1C85" w:rsidRPr="008D0846">
        <w:rPr>
          <w:rFonts w:ascii="Verdana" w:hAnsi="Verdana"/>
          <w:sz w:val="18"/>
          <w:szCs w:val="20"/>
          <w:lang w:val="es-AR"/>
        </w:rPr>
        <w:tab/>
        <w:t xml:space="preserve"> y de autoridades ministeriales del Estado de Chihuahua realizó una inspección ministerial en un “tiro de mina” ubicado en los alrededores del Ejido Benito Juárez</w:t>
      </w:r>
      <w:r w:rsidR="002E1C85" w:rsidRPr="008D0846">
        <w:rPr>
          <w:rStyle w:val="FootnoteReference"/>
          <w:rFonts w:ascii="Verdana" w:hAnsi="Verdana"/>
          <w:sz w:val="18"/>
          <w:szCs w:val="20"/>
          <w:lang w:val="es-AR"/>
        </w:rPr>
        <w:footnoteReference w:id="283"/>
      </w:r>
      <w:r w:rsidR="002E1C85" w:rsidRPr="008D0846">
        <w:rPr>
          <w:rFonts w:ascii="Verdana" w:hAnsi="Verdana"/>
          <w:sz w:val="18"/>
          <w:szCs w:val="20"/>
          <w:lang w:val="es-AR"/>
        </w:rPr>
        <w:t>. En dicha diligencia fueron localizados restos humanos, los cuales fueron trasladados al Servicio Médico Forense de Chihuahua para su resguardo. Tras una serie de análisis se determinó que se trataba de cuatro personas del sexo masculino y que ninguno de dichos restos correspondía a las tres personas desaparecidas</w:t>
      </w:r>
      <w:r w:rsidR="002E1C85" w:rsidRPr="008D0846">
        <w:rPr>
          <w:rStyle w:val="FootnoteReference"/>
          <w:rFonts w:ascii="Verdana" w:hAnsi="Verdana"/>
          <w:sz w:val="18"/>
          <w:szCs w:val="20"/>
          <w:lang w:val="es-AR"/>
        </w:rPr>
        <w:footnoteReference w:id="284"/>
      </w:r>
      <w:r w:rsidRPr="008D0846">
        <w:rPr>
          <w:rFonts w:ascii="Verdana" w:hAnsi="Verdana"/>
          <w:sz w:val="18"/>
          <w:szCs w:val="20"/>
          <w:lang w:val="es-AR"/>
        </w:rPr>
        <w:t>, y</w:t>
      </w:r>
    </w:p>
    <w:p w14:paraId="64AA5F17" w14:textId="3B93767D" w:rsidR="002E1C85" w:rsidRPr="008D0846" w:rsidRDefault="00CE0080">
      <w:pPr>
        <w:pStyle w:val="ListParagraph"/>
        <w:numPr>
          <w:ilvl w:val="2"/>
          <w:numId w:val="4"/>
        </w:numPr>
        <w:spacing w:before="120" w:after="120" w:line="240" w:lineRule="auto"/>
        <w:ind w:left="567"/>
        <w:contextualSpacing w:val="0"/>
        <w:jc w:val="both"/>
        <w:rPr>
          <w:rFonts w:ascii="Verdana" w:hAnsi="Verdana"/>
          <w:sz w:val="18"/>
          <w:szCs w:val="20"/>
          <w:lang w:val="es-AR"/>
        </w:rPr>
      </w:pPr>
      <w:r w:rsidRPr="008D0846">
        <w:rPr>
          <w:rFonts w:ascii="Verdana" w:hAnsi="Verdana"/>
          <w:sz w:val="18"/>
          <w:szCs w:val="20"/>
          <w:lang w:val="es-AR"/>
        </w:rPr>
        <w:t>e</w:t>
      </w:r>
      <w:r w:rsidR="002E1C85" w:rsidRPr="008D0846">
        <w:rPr>
          <w:rFonts w:ascii="Verdana" w:hAnsi="Verdana"/>
          <w:sz w:val="18"/>
          <w:szCs w:val="20"/>
          <w:lang w:val="es-AR"/>
        </w:rPr>
        <w:t>l 8 de septiembre de 2011 la CNDH formuló ante la PGR denuncia de hechos en contra del personal de la SEDENA y de la SSP por los delitos de desaparición forzada de personas y abuso de autoridad en cumplimiento de la Recomendación 43/2011 emitida el 13 de junio de 2011. Dicha denuncia fue agregada al expediente por estar relacionada con la investigación llevada a cabo por la FEVIMTRA</w:t>
      </w:r>
      <w:r w:rsidR="002E1C85" w:rsidRPr="008D0846">
        <w:rPr>
          <w:rStyle w:val="FootnoteReference"/>
          <w:rFonts w:ascii="Verdana" w:hAnsi="Verdana"/>
          <w:sz w:val="18"/>
          <w:szCs w:val="20"/>
          <w:lang w:val="es-AR"/>
        </w:rPr>
        <w:footnoteReference w:id="285"/>
      </w:r>
      <w:r w:rsidR="002E1C85" w:rsidRPr="008D0846">
        <w:rPr>
          <w:rFonts w:ascii="Verdana" w:hAnsi="Verdana"/>
          <w:sz w:val="18"/>
          <w:szCs w:val="20"/>
          <w:lang w:val="es-AR"/>
        </w:rPr>
        <w:t xml:space="preserve">. </w:t>
      </w:r>
    </w:p>
    <w:p w14:paraId="64AA5F19" w14:textId="51E9EE92" w:rsidR="002E1C85" w:rsidRPr="00744CE4" w:rsidRDefault="002E1C85" w:rsidP="00DB378B">
      <w:pPr>
        <w:widowControl w:val="0"/>
        <w:numPr>
          <w:ilvl w:val="0"/>
          <w:numId w:val="4"/>
        </w:numPr>
        <w:tabs>
          <w:tab w:val="left" w:pos="567"/>
        </w:tabs>
        <w:adjustRightInd w:val="0"/>
        <w:spacing w:before="120" w:after="120" w:line="240" w:lineRule="auto"/>
        <w:ind w:left="0" w:firstLine="0"/>
        <w:jc w:val="both"/>
        <w:textAlignment w:val="baseline"/>
        <w:rPr>
          <w:rFonts w:ascii="Verdana" w:hAnsi="Verdana"/>
          <w:sz w:val="20"/>
          <w:szCs w:val="20"/>
          <w:lang w:val="es-AR"/>
        </w:rPr>
      </w:pPr>
      <w:r w:rsidRPr="00744CE4">
        <w:rPr>
          <w:rFonts w:ascii="Verdana" w:hAnsi="Verdana"/>
          <w:sz w:val="20"/>
          <w:szCs w:val="20"/>
          <w:lang w:val="es-AR"/>
        </w:rPr>
        <w:t>El 30 de septiembre de 2011 la FEVIMTRA–PGR acordó declinar su competencia en favor del Subprocurador de Control Regional, Procedimientos Penales y Amparo de la PGR - Chihuahua para c</w:t>
      </w:r>
      <w:r w:rsidRPr="00432ABC">
        <w:rPr>
          <w:rFonts w:ascii="Verdana" w:hAnsi="Verdana"/>
          <w:sz w:val="20"/>
          <w:szCs w:val="20"/>
          <w:lang w:val="es-AR"/>
        </w:rPr>
        <w:t>onocer del caso en vista de la denuncia presentada por la CNDH y al considerar que la naturaleza de los hechos investigados relacionados con la desaparición de las tres personas “no refleja[ron] hechos de violencia en contra de una mujer o una niña basado en su género”</w:t>
      </w:r>
      <w:r w:rsidRPr="00744CE4">
        <w:rPr>
          <w:rStyle w:val="FootnoteReference"/>
          <w:rFonts w:ascii="Verdana" w:hAnsi="Verdana"/>
          <w:sz w:val="20"/>
          <w:szCs w:val="20"/>
          <w:lang w:val="es-AR"/>
        </w:rPr>
        <w:footnoteReference w:id="286"/>
      </w:r>
      <w:r w:rsidRPr="00744CE4">
        <w:rPr>
          <w:rFonts w:ascii="Verdana" w:hAnsi="Verdana"/>
          <w:sz w:val="20"/>
          <w:szCs w:val="20"/>
          <w:lang w:val="es-AR"/>
        </w:rPr>
        <w:t xml:space="preserve">. </w:t>
      </w:r>
    </w:p>
    <w:p w14:paraId="64AA5F1B" w14:textId="3CA6EC7C" w:rsidR="002E1C85" w:rsidRPr="002C462C" w:rsidRDefault="002E1C85" w:rsidP="00DB378B">
      <w:pPr>
        <w:widowControl w:val="0"/>
        <w:numPr>
          <w:ilvl w:val="0"/>
          <w:numId w:val="4"/>
        </w:numPr>
        <w:tabs>
          <w:tab w:val="left" w:pos="567"/>
        </w:tabs>
        <w:adjustRightInd w:val="0"/>
        <w:spacing w:before="120" w:after="120" w:line="240" w:lineRule="auto"/>
        <w:ind w:left="0" w:firstLine="0"/>
        <w:jc w:val="both"/>
        <w:textAlignment w:val="baseline"/>
        <w:rPr>
          <w:rFonts w:ascii="Verdana" w:hAnsi="Verdana"/>
          <w:sz w:val="20"/>
          <w:szCs w:val="20"/>
          <w:lang w:val="es-AR"/>
        </w:rPr>
      </w:pPr>
      <w:r w:rsidRPr="00432ABC">
        <w:rPr>
          <w:rFonts w:ascii="Verdana" w:hAnsi="Verdana"/>
          <w:sz w:val="20"/>
          <w:szCs w:val="20"/>
          <w:lang w:val="es-AR"/>
        </w:rPr>
        <w:t>En el acuerdo de declinatoria, la FEVIMTRA</w:t>
      </w:r>
      <w:r w:rsidR="00897D06">
        <w:rPr>
          <w:rFonts w:ascii="Verdana" w:hAnsi="Verdana"/>
          <w:sz w:val="20"/>
          <w:szCs w:val="20"/>
          <w:lang w:val="es-AR"/>
        </w:rPr>
        <w:t>-PGR</w:t>
      </w:r>
      <w:r w:rsidRPr="00432ABC">
        <w:rPr>
          <w:rFonts w:ascii="Verdana" w:hAnsi="Verdana"/>
          <w:sz w:val="20"/>
          <w:szCs w:val="20"/>
          <w:lang w:val="es-AR"/>
        </w:rPr>
        <w:t xml:space="preserve"> destacó el establecimiento de tres líneas de investigación, a saber: </w:t>
      </w:r>
      <w:r w:rsidRPr="00432ABC">
        <w:rPr>
          <w:rFonts w:ascii="Verdana" w:hAnsi="Verdana"/>
          <w:sz w:val="20"/>
          <w:szCs w:val="20"/>
        </w:rPr>
        <w:t xml:space="preserve">1. La probable injerencia del Ejército mexicano en la desaparición de las tres víctimas; 2. El rastro de la llamada telefónica supuestamente realizada por Nitza Paola Alvarado el 3 de febrero de 2010, y 3. La probable participación de la delincuencia organizada </w:t>
      </w:r>
      <w:r w:rsidRPr="00432ABC">
        <w:rPr>
          <w:rFonts w:ascii="Verdana" w:hAnsi="Verdana"/>
          <w:sz w:val="20"/>
          <w:szCs w:val="20"/>
        </w:rPr>
        <w:lastRenderedPageBreak/>
        <w:t>en los hechos.</w:t>
      </w:r>
      <w:r w:rsidRPr="002C462C">
        <w:rPr>
          <w:rFonts w:ascii="Verdana" w:hAnsi="Verdana"/>
          <w:sz w:val="20"/>
          <w:szCs w:val="20"/>
          <w:lang w:val="es-AR"/>
        </w:rPr>
        <w:t xml:space="preserve"> Asimismo, resaltó:</w:t>
      </w:r>
    </w:p>
    <w:p w14:paraId="64AA5F1D" w14:textId="34895896" w:rsidR="002E1C85" w:rsidRPr="00744CE4" w:rsidRDefault="002E1C85">
      <w:pPr>
        <w:pStyle w:val="ListParagraph"/>
        <w:autoSpaceDE w:val="0"/>
        <w:autoSpaceDN w:val="0"/>
        <w:adjustRightInd w:val="0"/>
        <w:spacing w:before="120" w:after="120" w:line="240" w:lineRule="auto"/>
        <w:ind w:left="567"/>
        <w:contextualSpacing w:val="0"/>
        <w:jc w:val="both"/>
        <w:rPr>
          <w:rFonts w:ascii="Verdana" w:hAnsi="Verdana"/>
          <w:sz w:val="18"/>
          <w:szCs w:val="20"/>
          <w:highlight w:val="yellow"/>
          <w:lang w:val="es-AR"/>
        </w:rPr>
      </w:pPr>
      <w:r w:rsidRPr="002C462C">
        <w:rPr>
          <w:rFonts w:ascii="Verdana" w:hAnsi="Verdana"/>
          <w:sz w:val="18"/>
          <w:szCs w:val="20"/>
          <w:lang w:val="es-AR"/>
        </w:rPr>
        <w:t>“[…] el hermetismo permanente del Ejército Mexicano para colaborar con la FEVIMTRA en el</w:t>
      </w:r>
      <w:r w:rsidRPr="00744CE4">
        <w:rPr>
          <w:rFonts w:ascii="Verdana" w:hAnsi="Verdana"/>
          <w:sz w:val="18"/>
          <w:szCs w:val="20"/>
          <w:lang w:val="es-AR"/>
        </w:rPr>
        <w:t xml:space="preserve"> esclarecimiento de </w:t>
      </w:r>
      <w:r w:rsidR="00E93E9D" w:rsidRPr="00744CE4">
        <w:rPr>
          <w:rFonts w:ascii="Verdana" w:hAnsi="Verdana"/>
          <w:sz w:val="18"/>
          <w:szCs w:val="20"/>
          <w:lang w:val="es-AR"/>
        </w:rPr>
        <w:t>[</w:t>
      </w:r>
      <w:r w:rsidRPr="00744CE4">
        <w:rPr>
          <w:rFonts w:ascii="Verdana" w:hAnsi="Verdana"/>
          <w:sz w:val="18"/>
          <w:szCs w:val="20"/>
          <w:lang w:val="es-AR"/>
        </w:rPr>
        <w:t>los</w:t>
      </w:r>
      <w:r w:rsidR="00E93E9D" w:rsidRPr="00744CE4">
        <w:rPr>
          <w:rFonts w:ascii="Verdana" w:hAnsi="Verdana"/>
          <w:sz w:val="18"/>
          <w:szCs w:val="20"/>
          <w:lang w:val="es-AR"/>
        </w:rPr>
        <w:t>]</w:t>
      </w:r>
      <w:r w:rsidRPr="00744CE4">
        <w:rPr>
          <w:rFonts w:ascii="Verdana" w:hAnsi="Verdana"/>
          <w:sz w:val="18"/>
          <w:szCs w:val="20"/>
          <w:lang w:val="es-AR"/>
        </w:rPr>
        <w:t xml:space="preserve"> hechos [como] un factor que de alguna manera restringió el horizonte de posibilidades en el seguimiento de las investigaciones hacia ese [f]uero” y la falta de indicios que revelaran la participación de miembros de la delincuencia organizada en los hechos “pues no puede estigmatizarse [a] la población del Municipio de Buenaventura por el solo hecho de ser parte del Estado de Chihuahua, zona de alto riesgo por el alto índice delincuencial”</w:t>
      </w:r>
      <w:r w:rsidRPr="00744CE4">
        <w:rPr>
          <w:rStyle w:val="FootnoteReference"/>
          <w:rFonts w:ascii="Verdana" w:hAnsi="Verdana"/>
          <w:sz w:val="18"/>
          <w:szCs w:val="20"/>
          <w:lang w:val="es-AR"/>
        </w:rPr>
        <w:footnoteReference w:id="287"/>
      </w:r>
      <w:r w:rsidRPr="00744CE4">
        <w:rPr>
          <w:rFonts w:ascii="Verdana" w:hAnsi="Verdana"/>
          <w:sz w:val="18"/>
          <w:szCs w:val="20"/>
          <w:lang w:val="es-AR"/>
        </w:rPr>
        <w:t xml:space="preserve">. </w:t>
      </w:r>
    </w:p>
    <w:p w14:paraId="64AA5F1F" w14:textId="2E4F286D" w:rsidR="002E1C85" w:rsidRPr="00432ABC" w:rsidRDefault="004562AE">
      <w:pPr>
        <w:autoSpaceDE w:val="0"/>
        <w:autoSpaceDN w:val="0"/>
        <w:adjustRightInd w:val="0"/>
        <w:spacing w:before="120" w:after="120" w:line="240" w:lineRule="auto"/>
        <w:ind w:left="567"/>
        <w:jc w:val="both"/>
        <w:rPr>
          <w:rFonts w:ascii="Verdana" w:hAnsi="Verdana"/>
          <w:sz w:val="18"/>
          <w:szCs w:val="20"/>
          <w:lang w:val="es-AR"/>
        </w:rPr>
      </w:pPr>
      <w:r w:rsidRPr="00432ABC">
        <w:rPr>
          <w:rFonts w:ascii="Verdana" w:hAnsi="Verdana"/>
          <w:sz w:val="18"/>
          <w:szCs w:val="20"/>
          <w:lang w:val="es-AR"/>
        </w:rPr>
        <w:t>[…]</w:t>
      </w:r>
    </w:p>
    <w:p w14:paraId="64AA5F21" w14:textId="43FF0BB5" w:rsidR="002E1C85" w:rsidRPr="00744CE4" w:rsidRDefault="002E1C85">
      <w:pPr>
        <w:autoSpaceDE w:val="0"/>
        <w:autoSpaceDN w:val="0"/>
        <w:adjustRightInd w:val="0"/>
        <w:spacing w:before="120" w:after="120" w:line="240" w:lineRule="auto"/>
        <w:ind w:left="567"/>
        <w:jc w:val="both"/>
        <w:rPr>
          <w:rFonts w:ascii="Verdana" w:hAnsi="Verdana"/>
          <w:sz w:val="18"/>
          <w:szCs w:val="20"/>
          <w:lang w:val="es-AR"/>
        </w:rPr>
      </w:pPr>
      <w:r w:rsidRPr="00432ABC">
        <w:rPr>
          <w:rFonts w:ascii="Verdana" w:hAnsi="Verdana"/>
          <w:sz w:val="18"/>
          <w:szCs w:val="20"/>
          <w:lang w:val="es-AR"/>
        </w:rPr>
        <w:t>Tampoco se descarta la participación del Ejército Mexicano en los [hechos], pues existe un señalamiento directo en su contra por Obdulia Espinoza Beltrán y Patricia Reyes Rueda, testigos presenciales de los mismos, y la apatía en la colaboración sobre la investigación que han mostrado las aut</w:t>
      </w:r>
      <w:r w:rsidRPr="002C462C">
        <w:rPr>
          <w:rFonts w:ascii="Verdana" w:hAnsi="Verdana"/>
          <w:sz w:val="18"/>
          <w:szCs w:val="20"/>
          <w:lang w:val="es-AR"/>
        </w:rPr>
        <w:t>oridades militares para con la FEVIMTRA, si bien no delata su probable participación, tampoco abona credibilidad a las pocas actuaciones ministeriales que de ellos se conocen […]</w:t>
      </w:r>
      <w:r w:rsidRPr="00744CE4">
        <w:rPr>
          <w:rStyle w:val="FootnoteReference"/>
          <w:rFonts w:ascii="Verdana" w:hAnsi="Verdana"/>
          <w:sz w:val="18"/>
          <w:szCs w:val="20"/>
          <w:lang w:val="es-AR"/>
        </w:rPr>
        <w:footnoteReference w:id="288"/>
      </w:r>
      <w:r w:rsidRPr="00744CE4">
        <w:rPr>
          <w:rFonts w:ascii="Verdana" w:hAnsi="Verdana"/>
          <w:sz w:val="18"/>
          <w:szCs w:val="20"/>
          <w:lang w:val="es-AR"/>
        </w:rPr>
        <w:t xml:space="preserve">. </w:t>
      </w:r>
    </w:p>
    <w:p w14:paraId="64AA5F23" w14:textId="5CDE2285" w:rsidR="002E1C85" w:rsidRPr="00432ABC" w:rsidRDefault="00A10160">
      <w:pPr>
        <w:pStyle w:val="ListParagraph"/>
        <w:widowControl w:val="0"/>
        <w:numPr>
          <w:ilvl w:val="0"/>
          <w:numId w:val="45"/>
        </w:numPr>
        <w:tabs>
          <w:tab w:val="left" w:pos="567"/>
        </w:tabs>
        <w:autoSpaceDE w:val="0"/>
        <w:autoSpaceDN w:val="0"/>
        <w:adjustRightInd w:val="0"/>
        <w:spacing w:before="120" w:after="120" w:line="240" w:lineRule="auto"/>
        <w:ind w:left="1560" w:hanging="426"/>
        <w:contextualSpacing w:val="0"/>
        <w:jc w:val="both"/>
        <w:textAlignment w:val="baseline"/>
        <w:outlineLvl w:val="2"/>
        <w:rPr>
          <w:rFonts w:ascii="Verdana" w:hAnsi="Verdana"/>
          <w:i/>
          <w:sz w:val="20"/>
          <w:szCs w:val="20"/>
        </w:rPr>
      </w:pPr>
      <w:bookmarkStart w:id="149" w:name="_Toc526783773"/>
      <w:r>
        <w:rPr>
          <w:rFonts w:ascii="Verdana" w:hAnsi="Verdana"/>
          <w:i/>
          <w:sz w:val="20"/>
          <w:szCs w:val="20"/>
        </w:rPr>
        <w:t xml:space="preserve"> </w:t>
      </w:r>
      <w:bookmarkStart w:id="150" w:name="_Toc532995345"/>
      <w:r w:rsidR="002E1C85" w:rsidRPr="00432ABC">
        <w:rPr>
          <w:rFonts w:ascii="Verdana" w:hAnsi="Verdana"/>
          <w:i/>
          <w:sz w:val="20"/>
          <w:szCs w:val="20"/>
        </w:rPr>
        <w:t>Subprocuraduría de Control Regional Procedimientos Penales y Amparo</w:t>
      </w:r>
      <w:r w:rsidR="00F50ACE" w:rsidRPr="00432ABC">
        <w:rPr>
          <w:rFonts w:ascii="Verdana" w:hAnsi="Verdana"/>
          <w:i/>
          <w:sz w:val="20"/>
          <w:szCs w:val="20"/>
        </w:rPr>
        <w:t xml:space="preserve"> </w:t>
      </w:r>
      <w:r w:rsidR="002E1C85" w:rsidRPr="00432ABC">
        <w:rPr>
          <w:rFonts w:ascii="Verdana" w:hAnsi="Verdana"/>
          <w:i/>
          <w:sz w:val="20"/>
          <w:szCs w:val="20"/>
        </w:rPr>
        <w:t>en Ciudad Juárez, PGR – Chihuahua</w:t>
      </w:r>
      <w:bookmarkEnd w:id="149"/>
      <w:bookmarkEnd w:id="150"/>
    </w:p>
    <w:p w14:paraId="64AA5F25" w14:textId="764D3580" w:rsidR="002E1C85" w:rsidRPr="00432ABC" w:rsidRDefault="002E1C85" w:rsidP="00DB378B">
      <w:pPr>
        <w:widowControl w:val="0"/>
        <w:numPr>
          <w:ilvl w:val="0"/>
          <w:numId w:val="4"/>
        </w:numPr>
        <w:tabs>
          <w:tab w:val="left" w:pos="567"/>
        </w:tabs>
        <w:adjustRightInd w:val="0"/>
        <w:spacing w:before="120" w:after="120" w:line="240" w:lineRule="auto"/>
        <w:ind w:left="0" w:firstLine="0"/>
        <w:jc w:val="both"/>
        <w:textAlignment w:val="baseline"/>
        <w:rPr>
          <w:rFonts w:ascii="Verdana" w:hAnsi="Verdana" w:cs="Cambria"/>
          <w:sz w:val="20"/>
          <w:szCs w:val="20"/>
          <w:lang w:val="es-AR"/>
        </w:rPr>
      </w:pPr>
      <w:r w:rsidRPr="002C462C">
        <w:rPr>
          <w:rFonts w:ascii="Verdana" w:hAnsi="Verdana" w:cs="Cambria"/>
          <w:sz w:val="20"/>
          <w:szCs w:val="20"/>
        </w:rPr>
        <w:t xml:space="preserve">En el marco de la averiguación previa </w:t>
      </w:r>
      <w:r w:rsidRPr="002C462C">
        <w:rPr>
          <w:rFonts w:ascii="Verdana" w:hAnsi="Verdana" w:cs="Cambria"/>
          <w:sz w:val="20"/>
          <w:szCs w:val="20"/>
          <w:lang w:val="es-AR"/>
        </w:rPr>
        <w:t xml:space="preserve">AP/PGR/CHIH/JUA/467/2012-XI-A </w:t>
      </w:r>
      <w:r w:rsidRPr="00744CE4">
        <w:rPr>
          <w:rFonts w:ascii="Verdana" w:hAnsi="Verdana" w:cs="Cambria"/>
          <w:sz w:val="20"/>
          <w:szCs w:val="20"/>
        </w:rPr>
        <w:t>(o “467/2012”)</w:t>
      </w:r>
      <w:r w:rsidRPr="00744CE4">
        <w:rPr>
          <w:rFonts w:ascii="Verdana" w:hAnsi="Verdana" w:cs="Cambria"/>
          <w:sz w:val="20"/>
          <w:szCs w:val="20"/>
          <w:lang w:val="es-AR"/>
        </w:rPr>
        <w:t xml:space="preserve"> iniciada el 13 de febrero de 2012 por el Agente del Ministerio Público de la Federación adscrito a la Quinta Mesa Investigadora en Ciudad Juárez [5ªAMPF - PGR] por los delitos de privación ilegal de la libertad, abuso de autoridad y/o lo que resulte</w:t>
      </w:r>
      <w:r w:rsidRPr="00744CE4">
        <w:rPr>
          <w:rFonts w:ascii="Verdana" w:hAnsi="Verdana" w:cs="Cambria"/>
          <w:sz w:val="20"/>
          <w:szCs w:val="20"/>
          <w:vertAlign w:val="superscript"/>
          <w:lang w:val="es-AR"/>
        </w:rPr>
        <w:footnoteReference w:id="289"/>
      </w:r>
      <w:r w:rsidRPr="00744CE4">
        <w:rPr>
          <w:rFonts w:ascii="Verdana" w:hAnsi="Verdana" w:cs="Cambria"/>
          <w:sz w:val="20"/>
          <w:szCs w:val="20"/>
          <w:lang w:val="es-AR"/>
        </w:rPr>
        <w:t xml:space="preserve">, </w:t>
      </w:r>
      <w:r w:rsidRPr="00744CE4">
        <w:rPr>
          <w:rFonts w:ascii="Verdana" w:hAnsi="Verdana" w:cs="Cambria"/>
          <w:sz w:val="20"/>
          <w:szCs w:val="20"/>
        </w:rPr>
        <w:t xml:space="preserve">se realizaron las siguientes diligencias:  </w:t>
      </w:r>
    </w:p>
    <w:p w14:paraId="64AA5F27" w14:textId="1672420A" w:rsidR="002E1C85" w:rsidRPr="008D0846" w:rsidRDefault="00B4529B">
      <w:pPr>
        <w:pStyle w:val="ListParagraph"/>
        <w:widowControl w:val="0"/>
        <w:numPr>
          <w:ilvl w:val="2"/>
          <w:numId w:val="4"/>
        </w:numPr>
        <w:tabs>
          <w:tab w:val="left" w:pos="567"/>
        </w:tabs>
        <w:adjustRightInd w:val="0"/>
        <w:spacing w:before="120" w:after="120" w:line="240" w:lineRule="auto"/>
        <w:ind w:left="567"/>
        <w:contextualSpacing w:val="0"/>
        <w:jc w:val="both"/>
        <w:textAlignment w:val="baseline"/>
        <w:rPr>
          <w:rFonts w:ascii="Verdana" w:hAnsi="Verdana" w:cs="Cambria"/>
          <w:sz w:val="18"/>
          <w:szCs w:val="20"/>
        </w:rPr>
      </w:pPr>
      <w:r w:rsidRPr="008D0846">
        <w:rPr>
          <w:rFonts w:ascii="Verdana" w:hAnsi="Verdana" w:cs="Cambria"/>
          <w:sz w:val="18"/>
          <w:szCs w:val="20"/>
          <w:lang w:val="es-AR"/>
        </w:rPr>
        <w:t>s</w:t>
      </w:r>
      <w:r w:rsidR="002E1C85" w:rsidRPr="008D0846">
        <w:rPr>
          <w:rFonts w:ascii="Verdana" w:hAnsi="Verdana" w:cs="Cambria"/>
          <w:sz w:val="18"/>
          <w:szCs w:val="20"/>
        </w:rPr>
        <w:t>e recabaron diversas declaraciones testimoniales de familiares de los desaparecidos y de elementos castrenses</w:t>
      </w:r>
      <w:r w:rsidR="002E1C85" w:rsidRPr="008D0846">
        <w:rPr>
          <w:rFonts w:ascii="Verdana" w:hAnsi="Verdana"/>
          <w:sz w:val="18"/>
          <w:szCs w:val="20"/>
          <w:vertAlign w:val="superscript"/>
        </w:rPr>
        <w:footnoteReference w:id="290"/>
      </w:r>
      <w:r w:rsidR="002E1C85" w:rsidRPr="008D0846">
        <w:rPr>
          <w:rFonts w:ascii="Verdana" w:hAnsi="Verdana" w:cs="Cambria"/>
          <w:sz w:val="18"/>
          <w:szCs w:val="20"/>
        </w:rPr>
        <w:t xml:space="preserve">. Entre las anteriores, se encuentra la declaración vertida el 13 de junio de 2013 por el Coronel Élfego José Luján Ruiz, Comandante del 35 Batallón al momento de los hechos, quien negó su participación y la de su unidad en las 3 desapariciones, señalando además que: ni el </w:t>
      </w:r>
      <w:r w:rsidR="00183A31" w:rsidRPr="008D0846">
        <w:rPr>
          <w:rFonts w:ascii="Verdana" w:hAnsi="Verdana" w:cs="Cambria"/>
          <w:sz w:val="18"/>
          <w:szCs w:val="20"/>
        </w:rPr>
        <w:t>M</w:t>
      </w:r>
      <w:r w:rsidR="002E1C85" w:rsidRPr="008D0846">
        <w:rPr>
          <w:rFonts w:ascii="Verdana" w:hAnsi="Verdana" w:cs="Cambria"/>
          <w:sz w:val="18"/>
          <w:szCs w:val="20"/>
        </w:rPr>
        <w:t xml:space="preserve">unicipio de Buenaventura ni el Ejido Benito Juárez se encontraban bajo su jurisdicción; que el 35 Batallón llevaba a cabo patrullajes en dicha zona cuando así se lo ordenaba su superior, el Comandante de la </w:t>
      </w:r>
      <w:r w:rsidR="002E1C85" w:rsidRPr="008D0846">
        <w:rPr>
          <w:rFonts w:ascii="Verdana" w:hAnsi="Verdana"/>
          <w:sz w:val="18"/>
          <w:szCs w:val="20"/>
        </w:rPr>
        <w:t>5ªZM</w:t>
      </w:r>
      <w:r w:rsidR="002E1C85" w:rsidRPr="008D0846">
        <w:rPr>
          <w:rFonts w:ascii="Verdana" w:hAnsi="Verdana" w:cs="Cambria"/>
          <w:sz w:val="18"/>
          <w:szCs w:val="20"/>
        </w:rPr>
        <w:t>; que uno de sus subalternos le informó sobre las desapariciones vía telefónica; que se elaboró una tarjeta informativa al respecto y, finalmente, que no se realizaron operaciones de búsqueda de los desaparecidos por no haber sido ordenado por sus superiores</w:t>
      </w:r>
      <w:r w:rsidR="002E1C85" w:rsidRPr="008D0846">
        <w:rPr>
          <w:rFonts w:ascii="Verdana" w:hAnsi="Verdana"/>
          <w:sz w:val="18"/>
          <w:szCs w:val="20"/>
          <w:vertAlign w:val="superscript"/>
        </w:rPr>
        <w:footnoteReference w:id="291"/>
      </w:r>
      <w:r w:rsidR="00CE0080" w:rsidRPr="008D0846">
        <w:rPr>
          <w:rFonts w:ascii="Verdana" w:hAnsi="Verdana" w:cs="Cambria"/>
          <w:sz w:val="18"/>
          <w:szCs w:val="20"/>
        </w:rPr>
        <w:t>, y</w:t>
      </w:r>
      <w:r w:rsidR="002E1C85" w:rsidRPr="008D0846">
        <w:rPr>
          <w:rFonts w:ascii="Verdana" w:hAnsi="Verdana" w:cs="Cambria"/>
          <w:sz w:val="18"/>
          <w:szCs w:val="20"/>
        </w:rPr>
        <w:t xml:space="preserve"> </w:t>
      </w:r>
    </w:p>
    <w:p w14:paraId="64AA5F29" w14:textId="77B964E3" w:rsidR="002E1C85" w:rsidRPr="008D0846" w:rsidRDefault="00CE0080">
      <w:pPr>
        <w:pStyle w:val="ListParagraph"/>
        <w:widowControl w:val="0"/>
        <w:numPr>
          <w:ilvl w:val="2"/>
          <w:numId w:val="4"/>
        </w:numPr>
        <w:tabs>
          <w:tab w:val="left" w:pos="567"/>
        </w:tabs>
        <w:adjustRightInd w:val="0"/>
        <w:spacing w:before="120" w:after="120" w:line="240" w:lineRule="auto"/>
        <w:ind w:left="567"/>
        <w:contextualSpacing w:val="0"/>
        <w:jc w:val="both"/>
        <w:textAlignment w:val="baseline"/>
        <w:rPr>
          <w:rFonts w:ascii="Verdana" w:hAnsi="Verdana" w:cs="Cambria"/>
          <w:sz w:val="18"/>
          <w:szCs w:val="20"/>
        </w:rPr>
      </w:pPr>
      <w:r w:rsidRPr="008D0846">
        <w:rPr>
          <w:rFonts w:ascii="Verdana" w:hAnsi="Verdana" w:cs="Cambria"/>
          <w:sz w:val="18"/>
          <w:szCs w:val="20"/>
        </w:rPr>
        <w:lastRenderedPageBreak/>
        <w:t>e</w:t>
      </w:r>
      <w:r w:rsidR="002E1C85" w:rsidRPr="008D0846">
        <w:rPr>
          <w:rFonts w:ascii="Verdana" w:hAnsi="Verdana" w:cs="Cambria"/>
          <w:sz w:val="18"/>
          <w:szCs w:val="20"/>
        </w:rPr>
        <w:t>l 18 de junio de 2013 rindió su declaración el General Jens Pedro Lohmann Iturburu, Comandante de la Guarnición Militar de Palomas, Chihuahua, quien señaló, entre otras cosas, que su superior (el Comandante de la XI Región Militar) le ordenó llevar a cabo la investigación sobre los hechos del 29 de diciembre de 2009, dando inicio a la misma el 9 de enero de 2010 (</w:t>
      </w:r>
      <w:r w:rsidR="002E1C85" w:rsidRPr="008D0846">
        <w:rPr>
          <w:rFonts w:ascii="Verdana" w:hAnsi="Verdana" w:cs="Cambria"/>
          <w:i/>
          <w:sz w:val="18"/>
          <w:szCs w:val="20"/>
        </w:rPr>
        <w:t>supra</w:t>
      </w:r>
      <w:r w:rsidR="002E1C85" w:rsidRPr="008D0846">
        <w:rPr>
          <w:rFonts w:ascii="Verdana" w:hAnsi="Verdana" w:cs="Cambria"/>
          <w:sz w:val="18"/>
          <w:szCs w:val="20"/>
        </w:rPr>
        <w:t xml:space="preserve"> párrs. </w:t>
      </w:r>
      <w:r w:rsidR="00D473E4" w:rsidRPr="008D0846">
        <w:rPr>
          <w:rFonts w:ascii="Verdana" w:hAnsi="Verdana" w:cs="Cambria"/>
          <w:sz w:val="18"/>
          <w:szCs w:val="20"/>
        </w:rPr>
        <w:t>92</w:t>
      </w:r>
      <w:r w:rsidR="002E1C85" w:rsidRPr="008D0846">
        <w:rPr>
          <w:rFonts w:ascii="Verdana" w:hAnsi="Verdana" w:cs="Cambria"/>
          <w:sz w:val="18"/>
          <w:szCs w:val="20"/>
        </w:rPr>
        <w:t xml:space="preserve"> </w:t>
      </w:r>
      <w:r w:rsidR="00D473E4" w:rsidRPr="008D0846">
        <w:rPr>
          <w:rFonts w:ascii="Verdana" w:hAnsi="Verdana" w:cs="Cambria"/>
          <w:sz w:val="18"/>
          <w:szCs w:val="20"/>
        </w:rPr>
        <w:t>y</w:t>
      </w:r>
      <w:r w:rsidR="002E1C85" w:rsidRPr="008D0846">
        <w:rPr>
          <w:rFonts w:ascii="Verdana" w:hAnsi="Verdana" w:cs="Cambria"/>
          <w:sz w:val="18"/>
          <w:szCs w:val="20"/>
        </w:rPr>
        <w:t xml:space="preserve"> </w:t>
      </w:r>
      <w:r w:rsidR="00D473E4" w:rsidRPr="008D0846">
        <w:rPr>
          <w:rFonts w:ascii="Verdana" w:hAnsi="Verdana" w:cs="Cambria"/>
          <w:sz w:val="18"/>
          <w:szCs w:val="20"/>
        </w:rPr>
        <w:t>93</w:t>
      </w:r>
      <w:r w:rsidR="002E1C85" w:rsidRPr="008D0846">
        <w:rPr>
          <w:rFonts w:ascii="Verdana" w:hAnsi="Verdana" w:cs="Cambria"/>
          <w:sz w:val="18"/>
          <w:szCs w:val="20"/>
        </w:rPr>
        <w:t>) y que la instrucción que recibió fue la de determinar si en dicha desaparición intervinieron miembros del ejército, por lo que su trabajo concluyó al no encontrar ninguna referencia o alusión al involucramiento de personal militar</w:t>
      </w:r>
      <w:r w:rsidR="002E1C85" w:rsidRPr="008D0846">
        <w:rPr>
          <w:rFonts w:ascii="Verdana" w:hAnsi="Verdana"/>
          <w:sz w:val="18"/>
          <w:szCs w:val="20"/>
          <w:vertAlign w:val="superscript"/>
        </w:rPr>
        <w:footnoteReference w:id="292"/>
      </w:r>
      <w:r w:rsidR="002E1C85" w:rsidRPr="008D0846">
        <w:rPr>
          <w:rFonts w:ascii="Verdana" w:hAnsi="Verdana" w:cs="Cambria"/>
          <w:sz w:val="18"/>
          <w:szCs w:val="20"/>
        </w:rPr>
        <w:t>.</w:t>
      </w:r>
    </w:p>
    <w:p w14:paraId="64AA5F2B" w14:textId="1E604AE2" w:rsidR="002E1C85" w:rsidRPr="00744CE4" w:rsidRDefault="002E1C85" w:rsidP="00DB378B">
      <w:pPr>
        <w:widowControl w:val="0"/>
        <w:numPr>
          <w:ilvl w:val="0"/>
          <w:numId w:val="4"/>
        </w:numPr>
        <w:tabs>
          <w:tab w:val="left" w:pos="567"/>
        </w:tabs>
        <w:adjustRightInd w:val="0"/>
        <w:spacing w:before="120" w:after="120" w:line="240" w:lineRule="auto"/>
        <w:ind w:left="0" w:firstLine="0"/>
        <w:jc w:val="both"/>
        <w:textAlignment w:val="baseline"/>
        <w:rPr>
          <w:rFonts w:ascii="Verdana" w:hAnsi="Verdana" w:cs="Cambria"/>
          <w:i/>
          <w:sz w:val="20"/>
          <w:szCs w:val="20"/>
        </w:rPr>
      </w:pPr>
      <w:r w:rsidRPr="00744CE4">
        <w:rPr>
          <w:rFonts w:ascii="Verdana" w:hAnsi="Verdana" w:cs="Cambria"/>
          <w:sz w:val="20"/>
          <w:szCs w:val="20"/>
        </w:rPr>
        <w:t>Finalmente, el 30 de junio de 2013 la Subprocuraduría de Control Regional, Procedimientos Penales y Amparo declinó su competencia para conocer de la Averigua</w:t>
      </w:r>
      <w:r w:rsidRPr="00432ABC">
        <w:rPr>
          <w:rFonts w:ascii="Verdana" w:hAnsi="Verdana" w:cs="Cambria"/>
          <w:sz w:val="20"/>
          <w:szCs w:val="20"/>
        </w:rPr>
        <w:t xml:space="preserve">ción Previa 467/2012 en favor de otra unidad de la PGR </w:t>
      </w:r>
      <w:r w:rsidRPr="00432ABC">
        <w:rPr>
          <w:rFonts w:ascii="Verdana" w:hAnsi="Verdana"/>
          <w:sz w:val="20"/>
          <w:szCs w:val="20"/>
          <w:lang w:val="es-AR"/>
        </w:rPr>
        <w:t>–</w:t>
      </w:r>
      <w:r w:rsidRPr="00432ABC">
        <w:rPr>
          <w:rFonts w:ascii="Verdana" w:hAnsi="Verdana" w:cs="Cambria"/>
          <w:sz w:val="20"/>
          <w:szCs w:val="20"/>
        </w:rPr>
        <w:t xml:space="preserve">la Subprocuraduría de Derechos Humanos, Prevención del Delito y Servicios a la Comunidad–, </w:t>
      </w:r>
      <w:r w:rsidRPr="00A10160">
        <w:rPr>
          <w:rFonts w:ascii="Verdana" w:hAnsi="Verdana" w:cs="Cambria"/>
          <w:sz w:val="20"/>
          <w:szCs w:val="20"/>
        </w:rPr>
        <w:t>ya que consideró que esta última contaba con los recursos humanos especializados para conocer del delito de desaparición forzada de personas</w:t>
      </w:r>
      <w:r w:rsidRPr="008D0846">
        <w:rPr>
          <w:rFonts w:ascii="Verdana" w:hAnsi="Verdana" w:cs="Cambria"/>
          <w:sz w:val="20"/>
          <w:szCs w:val="20"/>
          <w:vertAlign w:val="superscript"/>
        </w:rPr>
        <w:footnoteReference w:id="293"/>
      </w:r>
      <w:r w:rsidRPr="008D0846">
        <w:rPr>
          <w:rFonts w:ascii="Verdana" w:hAnsi="Verdana" w:cs="Cambria"/>
          <w:sz w:val="20"/>
          <w:szCs w:val="20"/>
        </w:rPr>
        <w:t>. Dicha declinatoria fue aprobada el 18 de julio de 2013</w:t>
      </w:r>
      <w:r w:rsidRPr="008D0846">
        <w:rPr>
          <w:rFonts w:ascii="Verdana" w:hAnsi="Verdana" w:cs="Cambria"/>
          <w:sz w:val="20"/>
          <w:szCs w:val="20"/>
          <w:vertAlign w:val="superscript"/>
        </w:rPr>
        <w:footnoteReference w:id="294"/>
      </w:r>
      <w:r w:rsidRPr="008D0846">
        <w:rPr>
          <w:rFonts w:ascii="Verdana" w:hAnsi="Verdana" w:cs="Cambria"/>
          <w:sz w:val="20"/>
          <w:szCs w:val="20"/>
        </w:rPr>
        <w:t>.</w:t>
      </w:r>
    </w:p>
    <w:p w14:paraId="64AA5F2D" w14:textId="6F75C97C" w:rsidR="002E1C85" w:rsidRPr="00432ABC" w:rsidRDefault="00A10160">
      <w:pPr>
        <w:pStyle w:val="ListParagraph"/>
        <w:widowControl w:val="0"/>
        <w:numPr>
          <w:ilvl w:val="0"/>
          <w:numId w:val="45"/>
        </w:numPr>
        <w:tabs>
          <w:tab w:val="left" w:pos="567"/>
        </w:tabs>
        <w:autoSpaceDE w:val="0"/>
        <w:autoSpaceDN w:val="0"/>
        <w:adjustRightInd w:val="0"/>
        <w:spacing w:before="120" w:after="120" w:line="240" w:lineRule="auto"/>
        <w:ind w:left="1560" w:hanging="426"/>
        <w:contextualSpacing w:val="0"/>
        <w:jc w:val="both"/>
        <w:textAlignment w:val="baseline"/>
        <w:outlineLvl w:val="2"/>
        <w:rPr>
          <w:rFonts w:ascii="Verdana" w:hAnsi="Verdana"/>
          <w:i/>
          <w:sz w:val="20"/>
          <w:szCs w:val="20"/>
        </w:rPr>
      </w:pPr>
      <w:bookmarkStart w:id="151" w:name="_Toc526783774"/>
      <w:r>
        <w:rPr>
          <w:rFonts w:ascii="Verdana" w:hAnsi="Verdana"/>
          <w:i/>
          <w:sz w:val="20"/>
          <w:szCs w:val="20"/>
        </w:rPr>
        <w:t xml:space="preserve"> </w:t>
      </w:r>
      <w:bookmarkStart w:id="152" w:name="_Toc532995346"/>
      <w:r w:rsidR="002E1C85" w:rsidRPr="00744CE4">
        <w:rPr>
          <w:rFonts w:ascii="Verdana" w:hAnsi="Verdana"/>
          <w:i/>
          <w:sz w:val="20"/>
          <w:szCs w:val="20"/>
        </w:rPr>
        <w:t>Subprocuraduría de Derechos Humanos, Prevención del Delito y Servicios a la Comunidad</w:t>
      </w:r>
      <w:r w:rsidR="002E1C85" w:rsidRPr="00432ABC" w:rsidDel="006E51FC">
        <w:rPr>
          <w:rFonts w:ascii="Verdana" w:hAnsi="Verdana"/>
          <w:i/>
          <w:sz w:val="20"/>
          <w:szCs w:val="20"/>
        </w:rPr>
        <w:t xml:space="preserve"> </w:t>
      </w:r>
      <w:r w:rsidR="002E1C85" w:rsidRPr="00432ABC">
        <w:rPr>
          <w:rFonts w:ascii="Verdana" w:hAnsi="Verdana"/>
          <w:i/>
          <w:sz w:val="20"/>
          <w:szCs w:val="20"/>
        </w:rPr>
        <w:t>de la Procuraduría General de la República [PGR]</w:t>
      </w:r>
      <w:bookmarkEnd w:id="151"/>
      <w:bookmarkEnd w:id="152"/>
    </w:p>
    <w:p w14:paraId="64AA5F2F" w14:textId="6F2581A9" w:rsidR="002E1C85" w:rsidRPr="00432ABC" w:rsidRDefault="00556FDB">
      <w:pPr>
        <w:pStyle w:val="Heading4"/>
        <w:numPr>
          <w:ilvl w:val="0"/>
          <w:numId w:val="58"/>
        </w:numPr>
        <w:spacing w:before="120" w:after="120"/>
        <w:contextualSpacing w:val="0"/>
        <w:rPr>
          <w:u w:val="none"/>
        </w:rPr>
      </w:pPr>
      <w:r>
        <w:rPr>
          <w:u w:val="none"/>
        </w:rPr>
        <w:t xml:space="preserve"> </w:t>
      </w:r>
      <w:bookmarkStart w:id="153" w:name="_Toc532995347"/>
      <w:r w:rsidR="002E1C85" w:rsidRPr="00432ABC">
        <w:rPr>
          <w:u w:val="none"/>
        </w:rPr>
        <w:t>Averiguación Previa AP/PGR/SDHAVSC/M5/66/2013</w:t>
      </w:r>
      <w:bookmarkEnd w:id="153"/>
    </w:p>
    <w:p w14:paraId="64AA5F31" w14:textId="633B039C" w:rsidR="002E1C85" w:rsidRPr="00744CE4" w:rsidRDefault="002E1C85" w:rsidP="00DB378B">
      <w:pPr>
        <w:widowControl w:val="0"/>
        <w:numPr>
          <w:ilvl w:val="0"/>
          <w:numId w:val="4"/>
        </w:numPr>
        <w:tabs>
          <w:tab w:val="left" w:pos="567"/>
        </w:tabs>
        <w:adjustRightInd w:val="0"/>
        <w:spacing w:before="120" w:after="120" w:line="240" w:lineRule="auto"/>
        <w:ind w:left="0" w:firstLine="0"/>
        <w:jc w:val="both"/>
        <w:textAlignment w:val="baseline"/>
        <w:rPr>
          <w:rFonts w:ascii="Verdana" w:hAnsi="Verdana" w:cs="Cambria"/>
          <w:sz w:val="20"/>
          <w:szCs w:val="20"/>
        </w:rPr>
      </w:pPr>
      <w:r w:rsidRPr="002C462C">
        <w:rPr>
          <w:rFonts w:ascii="Verdana" w:hAnsi="Verdana" w:cs="Cambria"/>
          <w:sz w:val="20"/>
          <w:szCs w:val="20"/>
        </w:rPr>
        <w:t>El 4 de abril de 2013 la Dirección General de Atención de la Subprocuraduría  de Derechos Humanos</w:t>
      </w:r>
      <w:r w:rsidR="00183A31">
        <w:rPr>
          <w:rFonts w:ascii="Verdana" w:hAnsi="Verdana" w:cs="Cambria"/>
          <w:sz w:val="20"/>
          <w:szCs w:val="20"/>
        </w:rPr>
        <w:t xml:space="preserve"> </w:t>
      </w:r>
      <w:r w:rsidRPr="00744CE4">
        <w:rPr>
          <w:rFonts w:ascii="Verdana" w:hAnsi="Verdana" w:cs="Cambria"/>
          <w:sz w:val="20"/>
          <w:szCs w:val="20"/>
        </w:rPr>
        <w:t>de la PGR</w:t>
      </w:r>
      <w:r w:rsidR="00183A31">
        <w:rPr>
          <w:rFonts w:ascii="Verdana" w:hAnsi="Verdana" w:cs="Cambria"/>
          <w:sz w:val="20"/>
          <w:szCs w:val="20"/>
        </w:rPr>
        <w:t>,</w:t>
      </w:r>
      <w:r w:rsidRPr="00744CE4">
        <w:rPr>
          <w:rFonts w:ascii="Verdana" w:hAnsi="Verdana" w:cs="Cambria"/>
          <w:sz w:val="20"/>
          <w:szCs w:val="20"/>
        </w:rPr>
        <w:t xml:space="preserve"> inició la averiguación previa AP/PGR/SDHAVSC/M5/66/2013 (o “66/2013”), a partir de las copias simples de las denuncias de Patricia Reyes Rueda y María de Jesús Alvarado Espinoza que dieron origen a las averiguaciones previas AP/PGR/CHIH/JUA/27/2010-VII-A y </w:t>
      </w:r>
      <w:r w:rsidRPr="00744CE4">
        <w:rPr>
          <w:rFonts w:ascii="Verdana" w:hAnsi="Verdana"/>
          <w:sz w:val="20"/>
          <w:szCs w:val="20"/>
          <w:lang w:val="es-AR"/>
        </w:rPr>
        <w:t>124/2009-5326</w:t>
      </w:r>
      <w:r w:rsidRPr="00744CE4">
        <w:rPr>
          <w:rFonts w:ascii="Verdana" w:hAnsi="Verdana" w:cs="Cambria"/>
          <w:sz w:val="20"/>
          <w:szCs w:val="20"/>
          <w:vertAlign w:val="superscript"/>
        </w:rPr>
        <w:footnoteReference w:id="295"/>
      </w:r>
      <w:r w:rsidRPr="00744CE4">
        <w:rPr>
          <w:rFonts w:ascii="Verdana" w:hAnsi="Verdana" w:cs="Cambria"/>
          <w:sz w:val="20"/>
          <w:szCs w:val="20"/>
        </w:rPr>
        <w:t>. Dicha denuncia fue turnada a la Unidad Especializada de Búsqueda de Personas Desaparecidas [UEBPD - PGR] (también dependiente de dicha Subprocuraduría) para el desarrollo de las investigaciones</w:t>
      </w:r>
      <w:r w:rsidRPr="00744CE4">
        <w:rPr>
          <w:rStyle w:val="FootnoteReference"/>
          <w:rFonts w:ascii="Verdana" w:hAnsi="Verdana" w:cs="Cambria"/>
          <w:sz w:val="20"/>
          <w:szCs w:val="20"/>
        </w:rPr>
        <w:footnoteReference w:id="296"/>
      </w:r>
      <w:r w:rsidRPr="00744CE4">
        <w:rPr>
          <w:rFonts w:ascii="Verdana" w:hAnsi="Verdana" w:cs="Cambria"/>
          <w:sz w:val="20"/>
          <w:szCs w:val="20"/>
        </w:rPr>
        <w:t xml:space="preserve">. </w:t>
      </w:r>
    </w:p>
    <w:p w14:paraId="64AA5F33" w14:textId="31AF2A4C" w:rsidR="002E1C85" w:rsidRPr="00744CE4" w:rsidRDefault="002E1C85" w:rsidP="00DB378B">
      <w:pPr>
        <w:widowControl w:val="0"/>
        <w:numPr>
          <w:ilvl w:val="0"/>
          <w:numId w:val="4"/>
        </w:numPr>
        <w:tabs>
          <w:tab w:val="left" w:pos="567"/>
        </w:tabs>
        <w:adjustRightInd w:val="0"/>
        <w:spacing w:before="120" w:after="120" w:line="240" w:lineRule="auto"/>
        <w:ind w:left="0" w:firstLine="0"/>
        <w:jc w:val="both"/>
        <w:textAlignment w:val="baseline"/>
        <w:rPr>
          <w:rFonts w:ascii="Verdana" w:hAnsi="Verdana" w:cs="Cambria"/>
          <w:sz w:val="20"/>
          <w:szCs w:val="20"/>
        </w:rPr>
      </w:pPr>
      <w:r w:rsidRPr="00432ABC">
        <w:rPr>
          <w:rFonts w:ascii="Verdana" w:hAnsi="Verdana" w:cs="Cambria"/>
          <w:sz w:val="20"/>
          <w:szCs w:val="20"/>
        </w:rPr>
        <w:t xml:space="preserve">Con motivo de la tramitación de la indagatoria 66/2013, el 31 de marzo de 2014 la UEBDP - PGR determinó ejercer la acción penal contra del Coronel Élfego José Luján Ruiz </w:t>
      </w:r>
      <w:r w:rsidRPr="00432ABC">
        <w:rPr>
          <w:rFonts w:ascii="Verdana" w:hAnsi="Verdana"/>
          <w:sz w:val="20"/>
          <w:szCs w:val="20"/>
          <w:lang w:val="es-AR"/>
        </w:rPr>
        <w:t>–</w:t>
      </w:r>
      <w:r w:rsidRPr="00432ABC">
        <w:rPr>
          <w:rFonts w:ascii="Verdana" w:hAnsi="Verdana" w:cs="Cambria"/>
          <w:sz w:val="20"/>
          <w:szCs w:val="20"/>
        </w:rPr>
        <w:t>Comandante del 35 Batallón al momento de las tres desapariciones</w:t>
      </w:r>
      <w:r w:rsidRPr="002C462C">
        <w:rPr>
          <w:rFonts w:ascii="Verdana" w:hAnsi="Verdana"/>
          <w:sz w:val="20"/>
          <w:szCs w:val="20"/>
          <w:lang w:val="es-AR"/>
        </w:rPr>
        <w:t xml:space="preserve">– </w:t>
      </w:r>
      <w:r w:rsidRPr="002C462C">
        <w:rPr>
          <w:rFonts w:ascii="Verdana" w:hAnsi="Verdana" w:cs="Cambria"/>
          <w:sz w:val="20"/>
          <w:szCs w:val="20"/>
        </w:rPr>
        <w:t>al acreditar su probable responsabilidad por el delito de des</w:t>
      </w:r>
      <w:r w:rsidRPr="00744CE4">
        <w:rPr>
          <w:rFonts w:ascii="Verdana" w:hAnsi="Verdana" w:cs="Cambria"/>
          <w:sz w:val="20"/>
          <w:szCs w:val="20"/>
        </w:rPr>
        <w:t>aparición forzada y solicitó al juez federal de primera instancia en turno expedir la respectiva orden de aprehensión</w:t>
      </w:r>
      <w:r w:rsidRPr="00744CE4">
        <w:rPr>
          <w:rFonts w:ascii="Verdana" w:hAnsi="Verdana" w:cs="Cambria"/>
          <w:sz w:val="20"/>
          <w:szCs w:val="20"/>
          <w:vertAlign w:val="superscript"/>
        </w:rPr>
        <w:footnoteReference w:id="297"/>
      </w:r>
      <w:r w:rsidRPr="00744CE4">
        <w:rPr>
          <w:rFonts w:ascii="Verdana" w:hAnsi="Verdana" w:cs="Cambria"/>
          <w:sz w:val="20"/>
          <w:szCs w:val="20"/>
        </w:rPr>
        <w:t xml:space="preserve">. </w:t>
      </w:r>
    </w:p>
    <w:p w14:paraId="64AA5F35" w14:textId="5E71F6BF" w:rsidR="002E1C85" w:rsidRPr="00432ABC" w:rsidRDefault="002E1C85" w:rsidP="00DB378B">
      <w:pPr>
        <w:widowControl w:val="0"/>
        <w:numPr>
          <w:ilvl w:val="0"/>
          <w:numId w:val="4"/>
        </w:numPr>
        <w:tabs>
          <w:tab w:val="left" w:pos="567"/>
        </w:tabs>
        <w:adjustRightInd w:val="0"/>
        <w:spacing w:before="120" w:after="120" w:line="240" w:lineRule="auto"/>
        <w:ind w:left="0" w:firstLine="0"/>
        <w:jc w:val="both"/>
        <w:textAlignment w:val="baseline"/>
        <w:rPr>
          <w:rFonts w:ascii="Verdana" w:hAnsi="Verdana" w:cs="Cambria"/>
          <w:sz w:val="20"/>
          <w:szCs w:val="20"/>
        </w:rPr>
      </w:pPr>
      <w:r w:rsidRPr="00432ABC">
        <w:rPr>
          <w:rFonts w:ascii="Verdana" w:hAnsi="Verdana" w:cs="Cambria"/>
          <w:sz w:val="20"/>
          <w:szCs w:val="20"/>
        </w:rPr>
        <w:t>Al solicitar la orden de aprehensión en contra del Coronel Luján, el AMPF de la UEBDP – PGR consideró que se había quedado acreditado el dominio de dicho mando castrense sobre la organización (es decir, el 35 Batallón) y la existencia de declaraciones que daban cuenta de que, en ejercicio de dicho dominio:</w:t>
      </w:r>
    </w:p>
    <w:p w14:paraId="64AA5F37" w14:textId="762EB27D" w:rsidR="002E1C85" w:rsidRPr="002C462C" w:rsidRDefault="002E1C85">
      <w:pPr>
        <w:pStyle w:val="ListParagraph"/>
        <w:autoSpaceDE w:val="0"/>
        <w:autoSpaceDN w:val="0"/>
        <w:adjustRightInd w:val="0"/>
        <w:spacing w:before="120" w:after="120" w:line="240" w:lineRule="auto"/>
        <w:ind w:left="567"/>
        <w:contextualSpacing w:val="0"/>
        <w:jc w:val="both"/>
        <w:rPr>
          <w:rFonts w:ascii="Verdana" w:hAnsi="Verdana" w:cs="Cambria"/>
          <w:sz w:val="18"/>
          <w:szCs w:val="18"/>
        </w:rPr>
      </w:pPr>
      <w:r w:rsidRPr="00432ABC">
        <w:rPr>
          <w:rFonts w:ascii="Verdana" w:hAnsi="Verdana" w:cs="Cambria"/>
          <w:sz w:val="18"/>
          <w:szCs w:val="18"/>
        </w:rPr>
        <w:t>“[había] cre[ado] y promovi[do] entre sus subordinados una práctica de abuso constituida por allanamientos a domicilios, detenciones arbitrarias, apropiación indebida de animales, armas, droga y vehículos, tortura, homicidio, ejecuciones sumarias, ocultamiento de cadáveres mediante in</w:t>
      </w:r>
      <w:r w:rsidR="004562AE" w:rsidRPr="002C462C">
        <w:rPr>
          <w:rFonts w:ascii="Verdana" w:hAnsi="Verdana" w:cs="Cambria"/>
          <w:sz w:val="18"/>
          <w:szCs w:val="18"/>
        </w:rPr>
        <w:t xml:space="preserve">humación ilícita, entre otros. </w:t>
      </w:r>
    </w:p>
    <w:p w14:paraId="64AA5F39" w14:textId="50F86A6E" w:rsidR="002E1C85" w:rsidRPr="00744CE4" w:rsidRDefault="002E1C85">
      <w:pPr>
        <w:autoSpaceDE w:val="0"/>
        <w:autoSpaceDN w:val="0"/>
        <w:adjustRightInd w:val="0"/>
        <w:spacing w:before="120" w:after="120" w:line="240" w:lineRule="auto"/>
        <w:ind w:left="567"/>
        <w:jc w:val="both"/>
        <w:rPr>
          <w:rFonts w:ascii="Verdana" w:hAnsi="Verdana" w:cs="Cambria"/>
          <w:sz w:val="18"/>
          <w:szCs w:val="18"/>
        </w:rPr>
      </w:pPr>
      <w:r w:rsidRPr="002C462C">
        <w:rPr>
          <w:rFonts w:ascii="Verdana" w:hAnsi="Verdana" w:cs="Cambria"/>
          <w:sz w:val="18"/>
          <w:szCs w:val="18"/>
        </w:rPr>
        <w:t>Asimismo, consideró la</w:t>
      </w:r>
      <w:r w:rsidRPr="00744CE4">
        <w:rPr>
          <w:rFonts w:ascii="Verdana" w:hAnsi="Verdana" w:cs="Cambria"/>
          <w:sz w:val="18"/>
          <w:szCs w:val="18"/>
        </w:rPr>
        <w:t xml:space="preserve"> existencia de indicios de que el 35 Batallón utilizaba vehículos particulares para realizar detenciones ilegales lo cual </w:t>
      </w:r>
      <w:r w:rsidRPr="00744CE4">
        <w:rPr>
          <w:rFonts w:ascii="Verdana" w:hAnsi="Verdana"/>
          <w:sz w:val="18"/>
          <w:szCs w:val="18"/>
          <w:lang w:val="es-AR"/>
        </w:rPr>
        <w:t>–</w:t>
      </w:r>
      <w:r w:rsidRPr="00744CE4">
        <w:rPr>
          <w:rFonts w:ascii="Verdana" w:hAnsi="Verdana" w:cs="Cambria"/>
          <w:sz w:val="18"/>
          <w:szCs w:val="18"/>
        </w:rPr>
        <w:t>a juicio de la PGR</w:t>
      </w:r>
      <w:r w:rsidRPr="00744CE4">
        <w:rPr>
          <w:rFonts w:ascii="Verdana" w:hAnsi="Verdana"/>
          <w:sz w:val="18"/>
          <w:szCs w:val="18"/>
          <w:lang w:val="es-AR"/>
        </w:rPr>
        <w:t>–</w:t>
      </w:r>
      <w:r w:rsidRPr="00744CE4">
        <w:rPr>
          <w:rFonts w:ascii="Verdana" w:hAnsi="Verdana" w:cs="Cambria"/>
          <w:sz w:val="18"/>
          <w:szCs w:val="18"/>
        </w:rPr>
        <w:t xml:space="preserve"> fortalecía las declaraciones de los </w:t>
      </w:r>
      <w:r w:rsidRPr="00744CE4">
        <w:rPr>
          <w:rFonts w:ascii="Verdana" w:hAnsi="Verdana" w:cs="Cambria"/>
          <w:sz w:val="18"/>
          <w:szCs w:val="18"/>
        </w:rPr>
        <w:lastRenderedPageBreak/>
        <w:t>testigos de las desapariciones respecto de que quienes las llevaron a cabo portaban uniformes y armamento de tipo militar y se transportaron en vehículos particulares […]</w:t>
      </w:r>
      <w:r w:rsidRPr="00744CE4">
        <w:rPr>
          <w:rStyle w:val="FootnoteReference"/>
          <w:rFonts w:ascii="Verdana" w:hAnsi="Verdana" w:cs="Cambria"/>
          <w:sz w:val="18"/>
          <w:szCs w:val="18"/>
        </w:rPr>
        <w:footnoteReference w:id="298"/>
      </w:r>
      <w:r w:rsidR="00813B72" w:rsidRPr="00744CE4">
        <w:rPr>
          <w:rFonts w:ascii="Verdana" w:hAnsi="Verdana" w:cs="Cambria"/>
          <w:sz w:val="18"/>
          <w:szCs w:val="18"/>
        </w:rPr>
        <w:t>”.</w:t>
      </w:r>
    </w:p>
    <w:p w14:paraId="64AA5F3B" w14:textId="1199C76F" w:rsidR="002E1C85" w:rsidRPr="00744CE4" w:rsidRDefault="002E1C85" w:rsidP="00DB378B">
      <w:pPr>
        <w:widowControl w:val="0"/>
        <w:numPr>
          <w:ilvl w:val="0"/>
          <w:numId w:val="4"/>
        </w:numPr>
        <w:tabs>
          <w:tab w:val="left" w:pos="567"/>
        </w:tabs>
        <w:adjustRightInd w:val="0"/>
        <w:spacing w:before="120" w:after="120" w:line="240" w:lineRule="auto"/>
        <w:ind w:left="0" w:firstLine="0"/>
        <w:jc w:val="both"/>
        <w:textAlignment w:val="baseline"/>
        <w:rPr>
          <w:rFonts w:ascii="Verdana" w:hAnsi="Verdana" w:cs="Cambria"/>
          <w:sz w:val="20"/>
          <w:szCs w:val="20"/>
        </w:rPr>
      </w:pPr>
      <w:r w:rsidRPr="00432ABC">
        <w:rPr>
          <w:rFonts w:ascii="Verdana" w:hAnsi="Verdana" w:cs="Cambria"/>
          <w:sz w:val="20"/>
          <w:szCs w:val="20"/>
        </w:rPr>
        <w:t xml:space="preserve">Con motivo de dicha consignación, el 31 de marzo de 2014 se aperturó la Causa Penal 22/2014-III ante el Juez Séptimo de Distrito en Materia Penal de Ciudad Juárez, Chihuahua [J7ºDtto – Chihuahua], autoridad judicial de primera instancia del fuero penal federal en conocimiento. En la misma fecha, dicho juzgador negó la orden de aprehensión en contra del Coronel Luján al considerar que no se acreditó el tercero de los elementos del cuerpo del delito, esto es, que </w:t>
      </w:r>
      <w:r w:rsidR="00FA09C9" w:rsidRPr="002C462C">
        <w:rPr>
          <w:rFonts w:ascii="Verdana" w:hAnsi="Verdana" w:cs="Cambria"/>
          <w:sz w:val="20"/>
          <w:szCs w:val="20"/>
        </w:rPr>
        <w:t xml:space="preserve">dicho mando militar hubiera </w:t>
      </w:r>
      <w:r w:rsidRPr="002C462C">
        <w:rPr>
          <w:rFonts w:ascii="Verdana" w:hAnsi="Verdana" w:cs="Cambria"/>
          <w:sz w:val="20"/>
          <w:szCs w:val="20"/>
        </w:rPr>
        <w:t>propici</w:t>
      </w:r>
      <w:r w:rsidR="00FA09C9" w:rsidRPr="00744CE4">
        <w:rPr>
          <w:rFonts w:ascii="Verdana" w:hAnsi="Verdana" w:cs="Cambria"/>
          <w:sz w:val="20"/>
          <w:szCs w:val="20"/>
        </w:rPr>
        <w:t xml:space="preserve">ado </w:t>
      </w:r>
      <w:r w:rsidRPr="00744CE4">
        <w:rPr>
          <w:rFonts w:ascii="Verdana" w:hAnsi="Verdana" w:cs="Cambria"/>
          <w:sz w:val="20"/>
          <w:szCs w:val="20"/>
        </w:rPr>
        <w:t>o manten</w:t>
      </w:r>
      <w:r w:rsidR="00FA09C9" w:rsidRPr="00744CE4">
        <w:rPr>
          <w:rFonts w:ascii="Verdana" w:hAnsi="Verdana" w:cs="Cambria"/>
          <w:sz w:val="20"/>
          <w:szCs w:val="20"/>
        </w:rPr>
        <w:t xml:space="preserve">ido </w:t>
      </w:r>
      <w:r w:rsidRPr="00744CE4">
        <w:rPr>
          <w:rFonts w:ascii="Verdana" w:hAnsi="Verdana" w:cs="Cambria"/>
          <w:sz w:val="20"/>
          <w:szCs w:val="20"/>
        </w:rPr>
        <w:t xml:space="preserve">dolosamente el ocultamiento de </w:t>
      </w:r>
      <w:r w:rsidR="00FA09C9" w:rsidRPr="00744CE4">
        <w:rPr>
          <w:rFonts w:ascii="Verdana" w:hAnsi="Verdana" w:cs="Cambria"/>
          <w:sz w:val="20"/>
          <w:szCs w:val="20"/>
        </w:rPr>
        <w:t xml:space="preserve">los tres desaparecidos, dado que, en concepto de dicho </w:t>
      </w:r>
      <w:r w:rsidR="0037541A">
        <w:rPr>
          <w:rFonts w:ascii="Verdana" w:hAnsi="Verdana" w:cs="Cambria"/>
          <w:sz w:val="20"/>
          <w:szCs w:val="20"/>
        </w:rPr>
        <w:t>j</w:t>
      </w:r>
      <w:r w:rsidR="00FA09C9" w:rsidRPr="00744CE4">
        <w:rPr>
          <w:rFonts w:ascii="Verdana" w:hAnsi="Verdana" w:cs="Cambria"/>
          <w:sz w:val="20"/>
          <w:szCs w:val="20"/>
        </w:rPr>
        <w:t xml:space="preserve">uez, </w:t>
      </w:r>
      <w:r w:rsidRPr="00744CE4">
        <w:rPr>
          <w:rFonts w:ascii="Verdana" w:hAnsi="Verdana" w:cs="Cambria"/>
          <w:sz w:val="20"/>
          <w:szCs w:val="20"/>
        </w:rPr>
        <w:t xml:space="preserve">no se demostró </w:t>
      </w:r>
      <w:r w:rsidR="00FA09C9" w:rsidRPr="00744CE4">
        <w:rPr>
          <w:rFonts w:ascii="Verdana" w:hAnsi="Verdana" w:cs="Cambria"/>
          <w:sz w:val="20"/>
          <w:szCs w:val="20"/>
        </w:rPr>
        <w:t xml:space="preserve">que </w:t>
      </w:r>
      <w:r w:rsidRPr="00744CE4">
        <w:rPr>
          <w:rFonts w:ascii="Verdana" w:hAnsi="Verdana" w:cs="Cambria"/>
          <w:sz w:val="20"/>
          <w:szCs w:val="20"/>
        </w:rPr>
        <w:t xml:space="preserve">elementos del Ejército Mexicano </w:t>
      </w:r>
      <w:r w:rsidR="00FA09C9" w:rsidRPr="00744CE4">
        <w:rPr>
          <w:rFonts w:ascii="Verdana" w:hAnsi="Verdana" w:cs="Cambria"/>
          <w:sz w:val="20"/>
          <w:szCs w:val="20"/>
        </w:rPr>
        <w:t xml:space="preserve">hubiesen realizados </w:t>
      </w:r>
      <w:r w:rsidR="0037541A">
        <w:rPr>
          <w:rFonts w:ascii="Verdana" w:hAnsi="Verdana" w:cs="Cambria"/>
          <w:sz w:val="20"/>
          <w:szCs w:val="20"/>
        </w:rPr>
        <w:t>las</w:t>
      </w:r>
      <w:r w:rsidR="00FA09C9" w:rsidRPr="00744CE4">
        <w:rPr>
          <w:rFonts w:ascii="Verdana" w:hAnsi="Verdana" w:cs="Cambria"/>
          <w:sz w:val="20"/>
          <w:szCs w:val="20"/>
        </w:rPr>
        <w:t xml:space="preserve"> detenciones </w:t>
      </w:r>
      <w:r w:rsidRPr="00744CE4">
        <w:rPr>
          <w:rFonts w:ascii="Verdana" w:hAnsi="Verdana" w:cs="Cambria"/>
          <w:sz w:val="20"/>
          <w:szCs w:val="20"/>
        </w:rPr>
        <w:t xml:space="preserve">por orden del </w:t>
      </w:r>
      <w:r w:rsidR="00FA09C9" w:rsidRPr="00744CE4">
        <w:rPr>
          <w:rFonts w:ascii="Verdana" w:hAnsi="Verdana" w:cs="Cambria"/>
          <w:sz w:val="20"/>
          <w:szCs w:val="20"/>
        </w:rPr>
        <w:t xml:space="preserve">Coronel Luján </w:t>
      </w:r>
      <w:r w:rsidRPr="00744CE4">
        <w:rPr>
          <w:rFonts w:ascii="Verdana" w:hAnsi="Verdana" w:cs="Cambria"/>
          <w:sz w:val="20"/>
          <w:szCs w:val="20"/>
        </w:rPr>
        <w:t xml:space="preserve">ni que este </w:t>
      </w:r>
      <w:r w:rsidR="00FA09C9" w:rsidRPr="00744CE4">
        <w:rPr>
          <w:rFonts w:ascii="Verdana" w:hAnsi="Verdana" w:cs="Cambria"/>
          <w:sz w:val="20"/>
          <w:szCs w:val="20"/>
        </w:rPr>
        <w:t xml:space="preserve">Comandante </w:t>
      </w:r>
      <w:r w:rsidRPr="00744CE4">
        <w:rPr>
          <w:rFonts w:ascii="Verdana" w:hAnsi="Verdana" w:cs="Cambria"/>
          <w:sz w:val="20"/>
          <w:szCs w:val="20"/>
        </w:rPr>
        <w:t>tuviera conocimiento del paradero de las víctimas</w:t>
      </w:r>
      <w:r w:rsidRPr="00744CE4">
        <w:rPr>
          <w:rFonts w:ascii="Verdana" w:hAnsi="Verdana" w:cs="Cambria"/>
          <w:sz w:val="20"/>
          <w:szCs w:val="20"/>
          <w:vertAlign w:val="superscript"/>
        </w:rPr>
        <w:footnoteReference w:id="299"/>
      </w:r>
      <w:r w:rsidRPr="00744CE4">
        <w:rPr>
          <w:rFonts w:ascii="Verdana" w:hAnsi="Verdana" w:cs="Cambria"/>
          <w:sz w:val="20"/>
          <w:szCs w:val="20"/>
        </w:rPr>
        <w:t xml:space="preserve">. </w:t>
      </w:r>
    </w:p>
    <w:p w14:paraId="64AA5F3D" w14:textId="241D3D0E" w:rsidR="002E1C85" w:rsidRPr="00744CE4" w:rsidRDefault="002E1C85" w:rsidP="00DB378B">
      <w:pPr>
        <w:widowControl w:val="0"/>
        <w:numPr>
          <w:ilvl w:val="0"/>
          <w:numId w:val="4"/>
        </w:numPr>
        <w:tabs>
          <w:tab w:val="left" w:pos="567"/>
        </w:tabs>
        <w:adjustRightInd w:val="0"/>
        <w:spacing w:before="120" w:after="120" w:line="240" w:lineRule="auto"/>
        <w:ind w:left="0" w:firstLine="0"/>
        <w:jc w:val="both"/>
        <w:textAlignment w:val="baseline"/>
        <w:rPr>
          <w:rFonts w:ascii="Verdana" w:hAnsi="Verdana" w:cs="Cambria"/>
          <w:sz w:val="20"/>
          <w:szCs w:val="20"/>
        </w:rPr>
      </w:pPr>
      <w:r w:rsidRPr="00432ABC">
        <w:rPr>
          <w:rFonts w:ascii="Verdana" w:hAnsi="Verdana" w:cs="Cambria"/>
          <w:sz w:val="20"/>
          <w:szCs w:val="20"/>
        </w:rPr>
        <w:t xml:space="preserve">El </w:t>
      </w:r>
      <w:r w:rsidR="00571663" w:rsidRPr="00432ABC">
        <w:rPr>
          <w:rFonts w:ascii="Verdana" w:hAnsi="Verdana" w:cs="Cambria"/>
          <w:sz w:val="20"/>
          <w:szCs w:val="20"/>
        </w:rPr>
        <w:t xml:space="preserve">31 de marzo de </w:t>
      </w:r>
      <w:r w:rsidRPr="00432ABC">
        <w:rPr>
          <w:rFonts w:ascii="Verdana" w:hAnsi="Verdana" w:cs="Cambria"/>
          <w:sz w:val="20"/>
          <w:szCs w:val="20"/>
        </w:rPr>
        <w:t xml:space="preserve"> 2014</w:t>
      </w:r>
      <w:r w:rsidR="00571663" w:rsidRPr="00432ABC">
        <w:rPr>
          <w:rFonts w:ascii="Verdana" w:hAnsi="Verdana" w:cs="Cambria"/>
          <w:sz w:val="20"/>
          <w:szCs w:val="20"/>
        </w:rPr>
        <w:t xml:space="preserve"> </w:t>
      </w:r>
      <w:r w:rsidR="00C523B1" w:rsidRPr="00432ABC">
        <w:rPr>
          <w:rFonts w:ascii="Verdana" w:hAnsi="Verdana" w:cs="Cambria"/>
          <w:sz w:val="20"/>
          <w:szCs w:val="20"/>
        </w:rPr>
        <w:t xml:space="preserve">el AMPF adscrito al Juzgado de Distrito resolutor, </w:t>
      </w:r>
      <w:r w:rsidR="00571663" w:rsidRPr="00432ABC">
        <w:rPr>
          <w:rFonts w:ascii="Verdana" w:hAnsi="Verdana" w:cs="Cambria"/>
          <w:sz w:val="20"/>
          <w:szCs w:val="20"/>
        </w:rPr>
        <w:t>al momento de ser notificado de la negativa de la o</w:t>
      </w:r>
      <w:r w:rsidR="00571663" w:rsidRPr="002C462C">
        <w:rPr>
          <w:rFonts w:ascii="Verdana" w:hAnsi="Verdana" w:cs="Cambria"/>
          <w:sz w:val="20"/>
          <w:szCs w:val="20"/>
        </w:rPr>
        <w:t xml:space="preserve">rden de aprehensión solicitada, </w:t>
      </w:r>
      <w:r w:rsidRPr="00744CE4">
        <w:rPr>
          <w:rFonts w:ascii="Verdana" w:hAnsi="Verdana" w:cs="Cambria"/>
          <w:sz w:val="20"/>
          <w:szCs w:val="20"/>
        </w:rPr>
        <w:t xml:space="preserve">presentó recurso de apelación contra la sentencia antes referida, el cual fue sustanciado </w:t>
      </w:r>
      <w:r w:rsidR="00571663" w:rsidRPr="00744CE4">
        <w:rPr>
          <w:rFonts w:ascii="Verdana" w:hAnsi="Verdana" w:cs="Cambria"/>
          <w:sz w:val="20"/>
          <w:szCs w:val="20"/>
        </w:rPr>
        <w:t xml:space="preserve">el 3 de abril de 2014 </w:t>
      </w:r>
      <w:r w:rsidRPr="00744CE4">
        <w:rPr>
          <w:rFonts w:ascii="Verdana" w:hAnsi="Verdana" w:cs="Cambria"/>
          <w:sz w:val="20"/>
          <w:szCs w:val="20"/>
        </w:rPr>
        <w:t>bajo el Toca Penal 94/2014 ante el Cuarto Tribunal Unitario del Decimoséptimo Circuito en Chihuahua [4ºTU/17ºC – Chihuahua], autoridad judicial de alzada del fuero penal federal en conocimiento</w:t>
      </w:r>
      <w:r w:rsidRPr="00744CE4">
        <w:rPr>
          <w:rFonts w:ascii="Verdana" w:hAnsi="Verdana" w:cs="Cambria"/>
          <w:sz w:val="20"/>
          <w:szCs w:val="20"/>
          <w:vertAlign w:val="superscript"/>
        </w:rPr>
        <w:footnoteReference w:id="300"/>
      </w:r>
      <w:r w:rsidRPr="00744CE4">
        <w:rPr>
          <w:rFonts w:ascii="Verdana" w:hAnsi="Verdana" w:cs="Cambria"/>
          <w:sz w:val="20"/>
          <w:szCs w:val="20"/>
        </w:rPr>
        <w:t xml:space="preserve">.  </w:t>
      </w:r>
    </w:p>
    <w:p w14:paraId="64AA5F3F" w14:textId="09B57C77" w:rsidR="002E1C85" w:rsidRPr="00744CE4" w:rsidRDefault="002E1C85" w:rsidP="00DB378B">
      <w:pPr>
        <w:widowControl w:val="0"/>
        <w:numPr>
          <w:ilvl w:val="0"/>
          <w:numId w:val="4"/>
        </w:numPr>
        <w:tabs>
          <w:tab w:val="left" w:pos="567"/>
        </w:tabs>
        <w:adjustRightInd w:val="0"/>
        <w:spacing w:before="120" w:after="120" w:line="240" w:lineRule="auto"/>
        <w:ind w:left="0" w:firstLine="0"/>
        <w:jc w:val="both"/>
        <w:textAlignment w:val="baseline"/>
        <w:rPr>
          <w:rFonts w:ascii="Verdana" w:hAnsi="Verdana" w:cs="Cambria"/>
          <w:sz w:val="20"/>
          <w:szCs w:val="20"/>
        </w:rPr>
      </w:pPr>
      <w:r w:rsidRPr="00432ABC">
        <w:rPr>
          <w:rFonts w:ascii="Verdana" w:hAnsi="Verdana" w:cs="Cambria"/>
          <w:sz w:val="20"/>
          <w:szCs w:val="20"/>
        </w:rPr>
        <w:t xml:space="preserve">El </w:t>
      </w:r>
      <w:r w:rsidRPr="00432ABC">
        <w:rPr>
          <w:rFonts w:ascii="Verdana" w:hAnsi="Verdana"/>
          <w:sz w:val="20"/>
          <w:szCs w:val="20"/>
        </w:rPr>
        <w:t>27 de junio de 2014 d</w:t>
      </w:r>
      <w:r w:rsidRPr="00432ABC">
        <w:rPr>
          <w:rFonts w:ascii="Verdana" w:hAnsi="Verdana" w:cs="Cambria"/>
          <w:sz w:val="20"/>
          <w:szCs w:val="20"/>
        </w:rPr>
        <w:t xml:space="preserve">icho Tribunal </w:t>
      </w:r>
      <w:r w:rsidR="00BB6FEA" w:rsidRPr="00432ABC">
        <w:rPr>
          <w:rFonts w:ascii="Verdana" w:hAnsi="Verdana" w:cs="Cambria"/>
          <w:sz w:val="20"/>
          <w:szCs w:val="20"/>
        </w:rPr>
        <w:t xml:space="preserve">Unitario </w:t>
      </w:r>
      <w:r w:rsidRPr="00432ABC">
        <w:rPr>
          <w:rFonts w:ascii="Verdana" w:hAnsi="Verdana" w:cs="Cambria"/>
          <w:sz w:val="20"/>
          <w:szCs w:val="20"/>
        </w:rPr>
        <w:t>resolvió el recurso interpuesto y confirmó</w:t>
      </w:r>
      <w:r w:rsidR="0037541A">
        <w:rPr>
          <w:rFonts w:ascii="Verdana" w:hAnsi="Verdana" w:cs="Cambria"/>
          <w:sz w:val="20"/>
          <w:szCs w:val="20"/>
        </w:rPr>
        <w:t xml:space="preserve"> la</w:t>
      </w:r>
      <w:r w:rsidRPr="00432ABC">
        <w:rPr>
          <w:rFonts w:ascii="Verdana" w:hAnsi="Verdana" w:cs="Cambria"/>
          <w:sz w:val="20"/>
          <w:szCs w:val="20"/>
        </w:rPr>
        <w:t xml:space="preserve"> negativa de orden de aprehensión impugnada</w:t>
      </w:r>
      <w:r w:rsidR="004E7A49">
        <w:rPr>
          <w:rFonts w:ascii="Verdana" w:hAnsi="Verdana" w:cs="Cambria"/>
          <w:sz w:val="20"/>
          <w:szCs w:val="20"/>
        </w:rPr>
        <w:t>,</w:t>
      </w:r>
      <w:r w:rsidRPr="00432ABC">
        <w:rPr>
          <w:rFonts w:ascii="Verdana" w:hAnsi="Verdana" w:cs="Cambria"/>
          <w:sz w:val="20"/>
          <w:szCs w:val="20"/>
        </w:rPr>
        <w:t xml:space="preserve"> ya que consideró que, contrario a lo </w:t>
      </w:r>
      <w:r w:rsidRPr="002C462C">
        <w:rPr>
          <w:rFonts w:ascii="Verdana" w:hAnsi="Verdana" w:cs="Cambria"/>
          <w:sz w:val="20"/>
          <w:szCs w:val="20"/>
        </w:rPr>
        <w:t xml:space="preserve">afirmado por </w:t>
      </w:r>
      <w:r w:rsidR="00B43A86" w:rsidRPr="00744CE4">
        <w:rPr>
          <w:rFonts w:ascii="Verdana" w:hAnsi="Verdana" w:cs="Cambria"/>
          <w:sz w:val="20"/>
          <w:szCs w:val="20"/>
        </w:rPr>
        <w:t>el AMPF</w:t>
      </w:r>
      <w:r w:rsidRPr="00744CE4">
        <w:rPr>
          <w:rFonts w:ascii="Verdana" w:hAnsi="Verdana" w:cs="Cambria"/>
          <w:sz w:val="20"/>
          <w:szCs w:val="20"/>
        </w:rPr>
        <w:t>, el juez de distrito de primera instancia sí valoró correctamente la totalidad de las pruebas presentadas al dictar su resolución y que, con base en dicha valoración, había determinado que no eran suficientes para acreditar uno de los elementos del cuerpo del delito</w:t>
      </w:r>
      <w:r w:rsidRPr="00744CE4">
        <w:rPr>
          <w:rFonts w:ascii="Verdana" w:hAnsi="Verdana" w:cs="Cambria"/>
          <w:sz w:val="20"/>
          <w:szCs w:val="20"/>
          <w:vertAlign w:val="superscript"/>
        </w:rPr>
        <w:footnoteReference w:id="301"/>
      </w:r>
      <w:r w:rsidRPr="00744CE4">
        <w:rPr>
          <w:rFonts w:ascii="Verdana" w:hAnsi="Verdana" w:cs="Cambria"/>
          <w:sz w:val="20"/>
          <w:szCs w:val="20"/>
        </w:rPr>
        <w:t xml:space="preserve">.  </w:t>
      </w:r>
    </w:p>
    <w:p w14:paraId="64AA5F41" w14:textId="41996884" w:rsidR="002E1C85" w:rsidRPr="00744CE4" w:rsidRDefault="002E1C85" w:rsidP="00DB378B">
      <w:pPr>
        <w:widowControl w:val="0"/>
        <w:numPr>
          <w:ilvl w:val="0"/>
          <w:numId w:val="4"/>
        </w:numPr>
        <w:tabs>
          <w:tab w:val="left" w:pos="567"/>
        </w:tabs>
        <w:adjustRightInd w:val="0"/>
        <w:spacing w:before="120" w:after="120" w:line="240" w:lineRule="auto"/>
        <w:ind w:left="0" w:firstLine="0"/>
        <w:jc w:val="both"/>
        <w:textAlignment w:val="baseline"/>
        <w:rPr>
          <w:rFonts w:ascii="Verdana" w:hAnsi="Verdana" w:cs="Cambria"/>
          <w:sz w:val="20"/>
          <w:szCs w:val="20"/>
        </w:rPr>
      </w:pPr>
      <w:r w:rsidRPr="00432ABC">
        <w:rPr>
          <w:rFonts w:ascii="Verdana" w:hAnsi="Verdana" w:cs="Cambria"/>
          <w:sz w:val="20"/>
          <w:szCs w:val="20"/>
        </w:rPr>
        <w:t xml:space="preserve">El 11 de septiembre de 2014 la representante de las víctimas, Luz Estela Castro Rodríguez, presentó demanda de amparo indirecto en contra de la sentencia de apelación del Toca Penal 22/2014. Dicha demanda fue substanciada bajo el rubro </w:t>
      </w:r>
      <w:r w:rsidRPr="00432ABC">
        <w:rPr>
          <w:rFonts w:ascii="Verdana" w:hAnsi="Verdana"/>
          <w:sz w:val="20"/>
          <w:szCs w:val="20"/>
        </w:rPr>
        <w:t xml:space="preserve">21/2014 ante </w:t>
      </w:r>
      <w:r w:rsidRPr="00432ABC">
        <w:rPr>
          <w:rFonts w:ascii="Verdana" w:hAnsi="Verdana" w:cs="Cambria"/>
          <w:sz w:val="20"/>
          <w:szCs w:val="20"/>
        </w:rPr>
        <w:t>el Tercer Tribunal Unitario del Decimoséptimo Circuito [3ºTU/17ºC – Chihuahua], autoridad judicial de primera instancia de amparo en materia penal en conocimiento</w:t>
      </w:r>
      <w:r w:rsidRPr="00744CE4">
        <w:rPr>
          <w:rStyle w:val="FootnoteReference"/>
          <w:rFonts w:ascii="Verdana" w:hAnsi="Verdana" w:cs="Cambria"/>
          <w:sz w:val="20"/>
          <w:szCs w:val="20"/>
        </w:rPr>
        <w:footnoteReference w:id="302"/>
      </w:r>
      <w:r w:rsidRPr="00744CE4">
        <w:rPr>
          <w:rFonts w:ascii="Verdana" w:hAnsi="Verdana" w:cs="Cambria"/>
          <w:sz w:val="20"/>
          <w:szCs w:val="20"/>
        </w:rPr>
        <w:t xml:space="preserve">. </w:t>
      </w:r>
    </w:p>
    <w:p w14:paraId="64AA5F43" w14:textId="3B4625AC" w:rsidR="002E1C85" w:rsidRPr="00744CE4" w:rsidRDefault="002E1C85" w:rsidP="00DB378B">
      <w:pPr>
        <w:widowControl w:val="0"/>
        <w:numPr>
          <w:ilvl w:val="0"/>
          <w:numId w:val="4"/>
        </w:numPr>
        <w:tabs>
          <w:tab w:val="left" w:pos="567"/>
        </w:tabs>
        <w:adjustRightInd w:val="0"/>
        <w:spacing w:before="120" w:after="120" w:line="240" w:lineRule="auto"/>
        <w:ind w:left="0" w:firstLine="0"/>
        <w:jc w:val="both"/>
        <w:textAlignment w:val="baseline"/>
        <w:rPr>
          <w:rFonts w:ascii="Verdana" w:hAnsi="Verdana" w:cs="Cambria"/>
          <w:sz w:val="20"/>
          <w:szCs w:val="20"/>
        </w:rPr>
      </w:pPr>
      <w:r w:rsidRPr="00432ABC">
        <w:rPr>
          <w:rFonts w:ascii="Verdana" w:hAnsi="Verdana" w:cs="Cambria"/>
          <w:sz w:val="20"/>
          <w:szCs w:val="20"/>
        </w:rPr>
        <w:t>El 17 de septiembre de 2014 el 3ºTU/17ºC – Chihuahua desechó la demanda por no tenerse acreditada la personalidad de Luz Estela Castro Rodríguez como coadyuvante dentro de la Averiguación Previa 66/2013 toda vez que su nombre correspondía a persona distinta de quien le era reconocido tal carácter</w:t>
      </w:r>
      <w:r w:rsidRPr="00744CE4">
        <w:rPr>
          <w:rStyle w:val="FootnoteReference"/>
          <w:rFonts w:ascii="Verdana" w:hAnsi="Verdana" w:cs="Cambria"/>
          <w:sz w:val="20"/>
          <w:szCs w:val="20"/>
        </w:rPr>
        <w:footnoteReference w:id="303"/>
      </w:r>
      <w:r w:rsidRPr="00744CE4">
        <w:rPr>
          <w:rFonts w:ascii="Verdana" w:hAnsi="Verdana" w:cs="Cambria"/>
          <w:sz w:val="20"/>
          <w:szCs w:val="20"/>
        </w:rPr>
        <w:t xml:space="preserve">. Contra el desechamiento de demanda, el 29 de septiembre de 2014 la representante Luz Estela Castro promovió el recurso de Queja 328/2014 ante el Tribunal Colegiado del Décimo Séptimo Circuito, tribunal de alzada en conocimiento de </w:t>
      </w:r>
      <w:r w:rsidRPr="00744CE4">
        <w:rPr>
          <w:rFonts w:ascii="Verdana" w:hAnsi="Verdana" w:cs="Cambria"/>
          <w:sz w:val="20"/>
          <w:szCs w:val="20"/>
        </w:rPr>
        <w:lastRenderedPageBreak/>
        <w:t>dicho recurso</w:t>
      </w:r>
      <w:r w:rsidRPr="00744CE4">
        <w:rPr>
          <w:rStyle w:val="FootnoteReference"/>
          <w:rFonts w:ascii="Verdana" w:hAnsi="Verdana" w:cs="Cambria"/>
          <w:sz w:val="20"/>
          <w:szCs w:val="20"/>
        </w:rPr>
        <w:footnoteReference w:id="304"/>
      </w:r>
      <w:r w:rsidRPr="00744CE4">
        <w:rPr>
          <w:rFonts w:ascii="Verdana" w:hAnsi="Verdana" w:cs="Cambria"/>
          <w:sz w:val="20"/>
          <w:szCs w:val="20"/>
        </w:rPr>
        <w:t>. El 21 de noviembre de 2014 dicho Colegiado revisor consideró fundada la queja promovida y ordenó que se admitiera la demanda de amparo por no existir causal notoria y manifiesta de improcedencia</w:t>
      </w:r>
      <w:r w:rsidRPr="00744CE4">
        <w:rPr>
          <w:rStyle w:val="FootnoteReference"/>
          <w:rFonts w:ascii="Verdana" w:hAnsi="Verdana" w:cs="Cambria"/>
          <w:sz w:val="20"/>
          <w:szCs w:val="20"/>
        </w:rPr>
        <w:footnoteReference w:id="305"/>
      </w:r>
      <w:r w:rsidRPr="00744CE4">
        <w:rPr>
          <w:rFonts w:ascii="Verdana" w:hAnsi="Verdana" w:cs="Cambria"/>
          <w:sz w:val="20"/>
          <w:szCs w:val="20"/>
        </w:rPr>
        <w:t xml:space="preserve">. Como resultado </w:t>
      </w:r>
      <w:r w:rsidR="00A17573">
        <w:rPr>
          <w:rFonts w:ascii="Verdana" w:hAnsi="Verdana" w:cs="Cambria"/>
          <w:sz w:val="20"/>
          <w:szCs w:val="20"/>
        </w:rPr>
        <w:t xml:space="preserve">de </w:t>
      </w:r>
      <w:r w:rsidRPr="00744CE4">
        <w:rPr>
          <w:rFonts w:ascii="Verdana" w:hAnsi="Verdana" w:cs="Cambria"/>
          <w:sz w:val="20"/>
          <w:szCs w:val="20"/>
        </w:rPr>
        <w:t>dicha resolución, el 5 de diciembre de 2014 el 3ºTU/17ºC – Chihuahua admitió la demanda de amparo en cuestión</w:t>
      </w:r>
      <w:r w:rsidRPr="00744CE4">
        <w:rPr>
          <w:rStyle w:val="FootnoteReference"/>
          <w:rFonts w:ascii="Verdana" w:hAnsi="Verdana" w:cs="Cambria"/>
          <w:sz w:val="20"/>
          <w:szCs w:val="20"/>
        </w:rPr>
        <w:footnoteReference w:id="306"/>
      </w:r>
      <w:r w:rsidRPr="00744CE4">
        <w:rPr>
          <w:rFonts w:ascii="Verdana" w:hAnsi="Verdana" w:cs="Cambria"/>
          <w:sz w:val="20"/>
          <w:szCs w:val="20"/>
        </w:rPr>
        <w:t xml:space="preserve">. </w:t>
      </w:r>
    </w:p>
    <w:p w14:paraId="64AA5F45" w14:textId="17F515E0" w:rsidR="002E1C85" w:rsidRPr="00744CE4" w:rsidRDefault="002E1C85" w:rsidP="00DB378B">
      <w:pPr>
        <w:widowControl w:val="0"/>
        <w:numPr>
          <w:ilvl w:val="0"/>
          <w:numId w:val="4"/>
        </w:numPr>
        <w:tabs>
          <w:tab w:val="left" w:pos="567"/>
        </w:tabs>
        <w:adjustRightInd w:val="0"/>
        <w:spacing w:before="120" w:after="120" w:line="240" w:lineRule="auto"/>
        <w:ind w:left="0" w:firstLine="0"/>
        <w:jc w:val="both"/>
        <w:textAlignment w:val="baseline"/>
        <w:rPr>
          <w:rFonts w:ascii="Verdana" w:hAnsi="Verdana" w:cs="Cambria"/>
          <w:sz w:val="20"/>
          <w:szCs w:val="20"/>
        </w:rPr>
      </w:pPr>
      <w:r w:rsidRPr="00432ABC">
        <w:rPr>
          <w:rFonts w:ascii="Verdana" w:hAnsi="Verdana" w:cs="Cambria"/>
          <w:sz w:val="20"/>
          <w:szCs w:val="20"/>
        </w:rPr>
        <w:t>El 31 de diciembre de 2014 el 3ºTU/17ºC – Chihuahua emitió resolución sobre el fondo del amparo indirecto promovido, negando la protección constitucional solicitada. Como fundamento de su resolución, el magistrado del Tribunal Unitario señaló que era erróneo que la magistrada del 4ºTU/17ºC – Chihuahua (tribunal de alzada que confirmó la negativa de orden de aprehensión en contra del Coronel Luján) hubiera considerado que el delito fuera de naturaleza transitoria (como afirmó la representante de las víctimas). También resolvió que era infundado que dicha juzgadora de segunda instancia hubiera omitido analizar el caso de acuerdo con los parámetros internacionales de la desaparición forzada y que hubiera valorado indeb</w:t>
      </w:r>
      <w:r w:rsidRPr="002C462C">
        <w:rPr>
          <w:rFonts w:ascii="Verdana" w:hAnsi="Verdana" w:cs="Cambria"/>
          <w:sz w:val="20"/>
          <w:szCs w:val="20"/>
        </w:rPr>
        <w:t>idamente las pruebas que se le presentaron</w:t>
      </w:r>
      <w:r w:rsidRPr="00744CE4">
        <w:rPr>
          <w:rStyle w:val="FootnoteReference"/>
          <w:rFonts w:ascii="Verdana" w:hAnsi="Verdana" w:cs="Cambria"/>
          <w:sz w:val="20"/>
          <w:szCs w:val="20"/>
        </w:rPr>
        <w:footnoteReference w:id="307"/>
      </w:r>
      <w:r w:rsidRPr="00744CE4">
        <w:rPr>
          <w:rFonts w:ascii="Verdana" w:hAnsi="Verdana" w:cs="Cambria"/>
          <w:sz w:val="20"/>
          <w:szCs w:val="20"/>
        </w:rPr>
        <w:t xml:space="preserve">. </w:t>
      </w:r>
    </w:p>
    <w:p w14:paraId="64AA5F47" w14:textId="72E1126E" w:rsidR="002E1C85" w:rsidRPr="00744CE4" w:rsidRDefault="002E1C85" w:rsidP="00DB378B">
      <w:pPr>
        <w:widowControl w:val="0"/>
        <w:numPr>
          <w:ilvl w:val="0"/>
          <w:numId w:val="4"/>
        </w:numPr>
        <w:tabs>
          <w:tab w:val="left" w:pos="567"/>
        </w:tabs>
        <w:adjustRightInd w:val="0"/>
        <w:spacing w:before="120" w:after="120" w:line="240" w:lineRule="auto"/>
        <w:ind w:left="0" w:firstLine="0"/>
        <w:jc w:val="both"/>
        <w:textAlignment w:val="baseline"/>
        <w:rPr>
          <w:rFonts w:ascii="Verdana" w:hAnsi="Verdana" w:cs="Cambria"/>
          <w:sz w:val="20"/>
          <w:szCs w:val="20"/>
        </w:rPr>
      </w:pPr>
      <w:r w:rsidRPr="00432ABC">
        <w:rPr>
          <w:rFonts w:ascii="Verdana" w:hAnsi="Verdana" w:cs="Cambria"/>
          <w:sz w:val="20"/>
          <w:szCs w:val="20"/>
        </w:rPr>
        <w:t>El 21 de enero de 2015 la representante Luz Estela Castro interpuso el recurso de revisión en contra de dicha determinación que negó el amparo solicitado. Dicho recurso fue radicado en el Tribunal Colegiado del Decimoséptimo Circuito bajo el Toca 80/2015</w:t>
      </w:r>
      <w:r w:rsidR="005324FF" w:rsidRPr="00744CE4">
        <w:rPr>
          <w:rStyle w:val="FootnoteReference"/>
          <w:rFonts w:ascii="Verdana" w:hAnsi="Verdana" w:cs="Cambria"/>
          <w:sz w:val="20"/>
          <w:szCs w:val="20"/>
        </w:rPr>
        <w:footnoteReference w:id="308"/>
      </w:r>
      <w:r w:rsidRPr="00744CE4">
        <w:rPr>
          <w:rFonts w:ascii="Verdana" w:hAnsi="Verdana" w:cs="Cambria"/>
          <w:sz w:val="20"/>
          <w:szCs w:val="20"/>
        </w:rPr>
        <w:t>.</w:t>
      </w:r>
    </w:p>
    <w:p w14:paraId="64AA5F49" w14:textId="24305218" w:rsidR="002E1C85" w:rsidRPr="00744CE4" w:rsidRDefault="002E1C85" w:rsidP="00DB378B">
      <w:pPr>
        <w:widowControl w:val="0"/>
        <w:numPr>
          <w:ilvl w:val="0"/>
          <w:numId w:val="4"/>
        </w:numPr>
        <w:tabs>
          <w:tab w:val="left" w:pos="567"/>
        </w:tabs>
        <w:adjustRightInd w:val="0"/>
        <w:spacing w:before="120" w:after="120" w:line="240" w:lineRule="auto"/>
        <w:ind w:left="0" w:firstLine="0"/>
        <w:jc w:val="both"/>
        <w:textAlignment w:val="baseline"/>
        <w:rPr>
          <w:rFonts w:ascii="Verdana" w:hAnsi="Verdana" w:cs="Cambria"/>
          <w:sz w:val="20"/>
          <w:szCs w:val="20"/>
        </w:rPr>
      </w:pPr>
      <w:r w:rsidRPr="00744CE4">
        <w:rPr>
          <w:rFonts w:ascii="Verdana" w:hAnsi="Verdana" w:cs="Cambria"/>
          <w:sz w:val="20"/>
          <w:szCs w:val="20"/>
        </w:rPr>
        <w:t>El 9 de junio de 2016 el Tribunal Colegiado del Decimoséptimo Circuito en Chihuahua, autoridad judicial de segunda instancia de amparo en materia penal en conocimiento</w:t>
      </w:r>
      <w:r w:rsidR="008B2460" w:rsidRPr="00432ABC">
        <w:rPr>
          <w:rFonts w:ascii="Verdana" w:hAnsi="Verdana" w:cs="Cambria"/>
          <w:sz w:val="20"/>
          <w:szCs w:val="20"/>
        </w:rPr>
        <w:t>,</w:t>
      </w:r>
      <w:r w:rsidRPr="00432ABC">
        <w:rPr>
          <w:rFonts w:ascii="Verdana" w:hAnsi="Verdana" w:cs="Cambria"/>
          <w:sz w:val="20"/>
          <w:szCs w:val="20"/>
        </w:rPr>
        <w:t xml:space="preserve"> revocó la sentencia de amparo emitida el 31 de diciembre de 2014</w:t>
      </w:r>
      <w:r w:rsidR="00C523B1" w:rsidRPr="00432ABC">
        <w:rPr>
          <w:rFonts w:ascii="Verdana" w:hAnsi="Verdana" w:cs="Cambria"/>
          <w:sz w:val="20"/>
          <w:szCs w:val="20"/>
        </w:rPr>
        <w:t>,</w:t>
      </w:r>
      <w:r w:rsidRPr="00432ABC">
        <w:rPr>
          <w:rFonts w:ascii="Verdana" w:hAnsi="Verdana" w:cs="Cambria"/>
          <w:sz w:val="20"/>
          <w:szCs w:val="20"/>
        </w:rPr>
        <w:t xml:space="preserve"> al considerar que no fueron analizadas la totalidad de las pruebas aportadas por la fiscalía y ordenó al 4ºTU/17ºC – Chihuahua</w:t>
      </w:r>
      <w:r w:rsidRPr="002C462C" w:rsidDel="009E0C0F">
        <w:rPr>
          <w:rFonts w:ascii="Verdana" w:hAnsi="Verdana" w:cs="Cambria"/>
          <w:sz w:val="20"/>
          <w:szCs w:val="20"/>
        </w:rPr>
        <w:t xml:space="preserve"> </w:t>
      </w:r>
      <w:r w:rsidRPr="002C462C">
        <w:rPr>
          <w:rFonts w:ascii="Verdana" w:hAnsi="Verdana" w:cs="Cambria"/>
          <w:sz w:val="20"/>
          <w:szCs w:val="20"/>
        </w:rPr>
        <w:t>que hiciera una nueva valoración y emitiera una nueva sentencia</w:t>
      </w:r>
      <w:r w:rsidRPr="00744CE4">
        <w:rPr>
          <w:rFonts w:ascii="Verdana" w:hAnsi="Verdana" w:cs="Cambria"/>
          <w:sz w:val="20"/>
          <w:szCs w:val="20"/>
          <w:vertAlign w:val="superscript"/>
        </w:rPr>
        <w:footnoteReference w:id="309"/>
      </w:r>
      <w:r w:rsidRPr="00744CE4">
        <w:rPr>
          <w:rFonts w:ascii="Verdana" w:hAnsi="Verdana" w:cs="Cambria"/>
          <w:sz w:val="20"/>
          <w:szCs w:val="20"/>
        </w:rPr>
        <w:t xml:space="preserve">. </w:t>
      </w:r>
      <w:r w:rsidR="00944652" w:rsidRPr="00744CE4">
        <w:rPr>
          <w:rFonts w:ascii="Verdana" w:hAnsi="Verdana" w:cs="Cambria"/>
          <w:sz w:val="20"/>
          <w:szCs w:val="20"/>
        </w:rPr>
        <w:t>En</w:t>
      </w:r>
      <w:r w:rsidR="009E3FEC" w:rsidRPr="00432ABC">
        <w:rPr>
          <w:rFonts w:ascii="Verdana" w:hAnsi="Verdana" w:cs="Cambria"/>
          <w:sz w:val="20"/>
          <w:szCs w:val="20"/>
        </w:rPr>
        <w:t xml:space="preserve"> consecuencia</w:t>
      </w:r>
      <w:r w:rsidR="00944652" w:rsidRPr="00432ABC">
        <w:rPr>
          <w:rFonts w:ascii="Verdana" w:hAnsi="Verdana" w:cs="Cambria"/>
          <w:sz w:val="20"/>
          <w:szCs w:val="20"/>
        </w:rPr>
        <w:t>, el 7 de octubre d</w:t>
      </w:r>
      <w:r w:rsidR="00226174" w:rsidRPr="00432ABC">
        <w:rPr>
          <w:rFonts w:ascii="Verdana" w:hAnsi="Verdana" w:cs="Cambria"/>
          <w:sz w:val="20"/>
          <w:szCs w:val="20"/>
        </w:rPr>
        <w:t>e 2016</w:t>
      </w:r>
      <w:r w:rsidR="00944652" w:rsidRPr="00432ABC">
        <w:rPr>
          <w:rFonts w:ascii="Verdana" w:hAnsi="Verdana" w:cs="Cambria"/>
          <w:sz w:val="20"/>
          <w:szCs w:val="20"/>
        </w:rPr>
        <w:t xml:space="preserve"> la magistrada del 4ºTU/17ºC – Chihuahua emitió una nueva </w:t>
      </w:r>
      <w:r w:rsidR="00007A5D" w:rsidRPr="00432ABC">
        <w:rPr>
          <w:rFonts w:ascii="Verdana" w:hAnsi="Verdana" w:cs="Cambria"/>
          <w:sz w:val="20"/>
          <w:szCs w:val="20"/>
        </w:rPr>
        <w:t>resolución</w:t>
      </w:r>
      <w:r w:rsidR="00C97A23" w:rsidRPr="002C462C">
        <w:rPr>
          <w:rFonts w:ascii="Verdana" w:hAnsi="Verdana" w:cs="Cambria"/>
          <w:sz w:val="20"/>
          <w:szCs w:val="20"/>
        </w:rPr>
        <w:t xml:space="preserve"> </w:t>
      </w:r>
      <w:r w:rsidR="00007A5D" w:rsidRPr="002C462C">
        <w:rPr>
          <w:rFonts w:ascii="Verdana" w:hAnsi="Verdana" w:cs="Cambria"/>
          <w:sz w:val="20"/>
          <w:szCs w:val="20"/>
        </w:rPr>
        <w:t xml:space="preserve">dando cumplimiento a lo ordenado y confirmó </w:t>
      </w:r>
      <w:r w:rsidR="00C97A23" w:rsidRPr="00744CE4">
        <w:rPr>
          <w:rFonts w:ascii="Verdana" w:hAnsi="Verdana" w:cs="Cambria"/>
          <w:sz w:val="20"/>
          <w:szCs w:val="20"/>
        </w:rPr>
        <w:t>la resolución de 31 de marzo de 2014 dictada por el Juez Séptimo de Distrito en el Estado de Chihuahua, negando la orden de aprehensión en contra de Élfego Luján Ruiz</w:t>
      </w:r>
      <w:r w:rsidR="00C97A23" w:rsidRPr="00744CE4">
        <w:rPr>
          <w:rFonts w:ascii="Verdana" w:hAnsi="Verdana" w:cs="Cambria"/>
          <w:b/>
          <w:bCs/>
          <w:sz w:val="20"/>
          <w:szCs w:val="20"/>
        </w:rPr>
        <w:t xml:space="preserve"> </w:t>
      </w:r>
      <w:r w:rsidR="00C97A23" w:rsidRPr="00744CE4">
        <w:rPr>
          <w:rFonts w:ascii="Verdana" w:hAnsi="Verdana" w:cs="Cambria"/>
          <w:sz w:val="20"/>
          <w:szCs w:val="20"/>
        </w:rPr>
        <w:t xml:space="preserve">por el delito de </w:t>
      </w:r>
      <w:r w:rsidR="00C97A23" w:rsidRPr="00744CE4">
        <w:rPr>
          <w:rFonts w:ascii="Verdana" w:hAnsi="Verdana" w:cs="Cambria"/>
          <w:bCs/>
          <w:sz w:val="20"/>
          <w:szCs w:val="20"/>
        </w:rPr>
        <w:t>desaparición</w:t>
      </w:r>
      <w:r w:rsidR="00C97A23" w:rsidRPr="00744CE4">
        <w:rPr>
          <w:rFonts w:ascii="Verdana" w:hAnsi="Verdana" w:cs="Cambria"/>
          <w:b/>
          <w:bCs/>
          <w:sz w:val="20"/>
          <w:szCs w:val="20"/>
        </w:rPr>
        <w:t xml:space="preserve"> </w:t>
      </w:r>
      <w:r w:rsidR="00C97A23" w:rsidRPr="00744CE4">
        <w:rPr>
          <w:rFonts w:ascii="Verdana" w:hAnsi="Verdana" w:cs="Cambria"/>
          <w:sz w:val="20"/>
          <w:szCs w:val="20"/>
        </w:rPr>
        <w:t>forzada de persona</w:t>
      </w:r>
      <w:r w:rsidR="00226174" w:rsidRPr="00744CE4">
        <w:rPr>
          <w:rFonts w:ascii="Verdana" w:hAnsi="Verdana" w:cs="Cambria"/>
          <w:sz w:val="20"/>
          <w:szCs w:val="20"/>
        </w:rPr>
        <w:t xml:space="preserve"> (</w:t>
      </w:r>
      <w:r w:rsidR="00226174" w:rsidRPr="00744CE4">
        <w:rPr>
          <w:rFonts w:ascii="Verdana" w:hAnsi="Verdana" w:cs="Cambria"/>
          <w:i/>
          <w:sz w:val="20"/>
          <w:szCs w:val="20"/>
        </w:rPr>
        <w:t>supra</w:t>
      </w:r>
      <w:r w:rsidR="00226174" w:rsidRPr="00744CE4">
        <w:rPr>
          <w:rFonts w:ascii="Verdana" w:hAnsi="Verdana" w:cs="Cambria"/>
          <w:sz w:val="20"/>
          <w:szCs w:val="20"/>
        </w:rPr>
        <w:t xml:space="preserve"> párr. </w:t>
      </w:r>
      <w:r w:rsidR="00AF7A29">
        <w:rPr>
          <w:rFonts w:ascii="Verdana" w:hAnsi="Verdana" w:cs="Cambria"/>
          <w:sz w:val="20"/>
          <w:szCs w:val="20"/>
        </w:rPr>
        <w:t>126</w:t>
      </w:r>
      <w:r w:rsidR="00226174" w:rsidRPr="00744CE4">
        <w:rPr>
          <w:rFonts w:ascii="Verdana" w:hAnsi="Verdana" w:cs="Cambria"/>
          <w:sz w:val="20"/>
          <w:szCs w:val="20"/>
        </w:rPr>
        <w:t>)</w:t>
      </w:r>
      <w:r w:rsidR="00C97A23" w:rsidRPr="00744CE4">
        <w:rPr>
          <w:rStyle w:val="FootnoteReference"/>
          <w:rFonts w:ascii="Verdana" w:hAnsi="Verdana" w:cs="Cambria"/>
          <w:sz w:val="20"/>
          <w:szCs w:val="20"/>
        </w:rPr>
        <w:footnoteReference w:id="310"/>
      </w:r>
      <w:r w:rsidR="00226174" w:rsidRPr="00744CE4">
        <w:rPr>
          <w:rFonts w:ascii="Verdana" w:hAnsi="Verdana" w:cs="Cambria"/>
          <w:sz w:val="20"/>
          <w:szCs w:val="20"/>
        </w:rPr>
        <w:t>.</w:t>
      </w:r>
      <w:r w:rsidR="00007A5D" w:rsidRPr="00744CE4">
        <w:rPr>
          <w:rFonts w:ascii="Verdana" w:hAnsi="Verdana" w:cs="Cambria"/>
          <w:sz w:val="20"/>
          <w:szCs w:val="20"/>
        </w:rPr>
        <w:t xml:space="preserve"> Al no ser impugnada dicha resolución de cumplimiento, </w:t>
      </w:r>
      <w:r w:rsidR="00574F72" w:rsidRPr="008D0846">
        <w:rPr>
          <w:rFonts w:ascii="Verdana" w:hAnsi="Verdana" w:cs="Cambria"/>
          <w:sz w:val="20"/>
          <w:szCs w:val="20"/>
        </w:rPr>
        <w:t>quedó firme</w:t>
      </w:r>
      <w:r w:rsidR="00007A5D" w:rsidRPr="00744CE4">
        <w:rPr>
          <w:rFonts w:ascii="Verdana" w:hAnsi="Verdana" w:cs="Cambria"/>
          <w:sz w:val="20"/>
          <w:szCs w:val="20"/>
        </w:rPr>
        <w:t xml:space="preserve"> el 7 de noviembre de 2016</w:t>
      </w:r>
      <w:r w:rsidR="00007A5D" w:rsidRPr="00744CE4">
        <w:rPr>
          <w:rStyle w:val="FootnoteReference"/>
          <w:rFonts w:ascii="Verdana" w:hAnsi="Verdana" w:cs="Cambria"/>
          <w:sz w:val="20"/>
          <w:szCs w:val="20"/>
        </w:rPr>
        <w:footnoteReference w:id="311"/>
      </w:r>
      <w:r w:rsidR="00007A5D" w:rsidRPr="00744CE4">
        <w:rPr>
          <w:rFonts w:ascii="Verdana" w:hAnsi="Verdana" w:cs="Cambria"/>
          <w:sz w:val="20"/>
          <w:szCs w:val="20"/>
        </w:rPr>
        <w:t xml:space="preserve">. </w:t>
      </w:r>
    </w:p>
    <w:p w14:paraId="64AA5F4B" w14:textId="186C50A6" w:rsidR="002E1C85" w:rsidRPr="00432ABC" w:rsidRDefault="00556FDB">
      <w:pPr>
        <w:pStyle w:val="Heading4"/>
        <w:numPr>
          <w:ilvl w:val="0"/>
          <w:numId w:val="58"/>
        </w:numPr>
        <w:spacing w:before="120" w:after="120"/>
        <w:contextualSpacing w:val="0"/>
        <w:rPr>
          <w:u w:val="none"/>
        </w:rPr>
      </w:pPr>
      <w:r>
        <w:rPr>
          <w:u w:val="none"/>
        </w:rPr>
        <w:t xml:space="preserve"> </w:t>
      </w:r>
      <w:bookmarkStart w:id="154" w:name="_Toc532995348"/>
      <w:r w:rsidR="002E1C85" w:rsidRPr="00432ABC">
        <w:rPr>
          <w:u w:val="none"/>
        </w:rPr>
        <w:t>Averiguación Previa AP/PGR/SDHPDSC/UEBPD/M5/50/2013</w:t>
      </w:r>
      <w:bookmarkEnd w:id="154"/>
      <w:r w:rsidR="002E1C85" w:rsidRPr="00432ABC">
        <w:rPr>
          <w:u w:val="none"/>
        </w:rPr>
        <w:t xml:space="preserve"> </w:t>
      </w:r>
    </w:p>
    <w:p w14:paraId="64AA5F4D" w14:textId="1A19BAAB" w:rsidR="002E1C85" w:rsidRPr="00744CE4" w:rsidRDefault="002E1C85" w:rsidP="00DB378B">
      <w:pPr>
        <w:widowControl w:val="0"/>
        <w:numPr>
          <w:ilvl w:val="0"/>
          <w:numId w:val="4"/>
        </w:numPr>
        <w:tabs>
          <w:tab w:val="left" w:pos="567"/>
        </w:tabs>
        <w:adjustRightInd w:val="0"/>
        <w:spacing w:before="120" w:after="120" w:line="240" w:lineRule="auto"/>
        <w:ind w:left="0" w:firstLine="0"/>
        <w:jc w:val="both"/>
        <w:textAlignment w:val="baseline"/>
        <w:rPr>
          <w:rFonts w:ascii="Verdana" w:hAnsi="Verdana" w:cs="Cambria"/>
          <w:sz w:val="20"/>
          <w:szCs w:val="20"/>
        </w:rPr>
      </w:pPr>
      <w:r w:rsidRPr="00432ABC">
        <w:rPr>
          <w:rFonts w:ascii="Verdana" w:hAnsi="Verdana" w:cs="Cambria"/>
          <w:sz w:val="20"/>
          <w:szCs w:val="20"/>
        </w:rPr>
        <w:t xml:space="preserve">A fin de continuar con la búsqueda de los 3 desaparecidos e investigar la probable participación de otros servidores públicos en los hechos, en el pliego de consignación de 31 de marzo de 2014 la Subprocuraduría de Derechos Humanos, Prevención del Delito y </w:t>
      </w:r>
      <w:r w:rsidRPr="002C462C">
        <w:rPr>
          <w:rFonts w:ascii="Verdana" w:hAnsi="Verdana" w:cs="Cambria"/>
          <w:sz w:val="20"/>
          <w:szCs w:val="20"/>
        </w:rPr>
        <w:t xml:space="preserve">Servicios </w:t>
      </w:r>
      <w:r w:rsidR="00AF7A29">
        <w:rPr>
          <w:rFonts w:ascii="Verdana" w:hAnsi="Verdana" w:cs="Cambria"/>
          <w:sz w:val="20"/>
          <w:szCs w:val="20"/>
        </w:rPr>
        <w:t xml:space="preserve">a la Comunidad </w:t>
      </w:r>
      <w:r w:rsidRPr="002C462C">
        <w:rPr>
          <w:rFonts w:ascii="Verdana" w:hAnsi="Verdana" w:cs="Cambria"/>
          <w:sz w:val="20"/>
          <w:szCs w:val="20"/>
        </w:rPr>
        <w:t>de la PGR también ordenó un “desglose” de la investigación</w:t>
      </w:r>
      <w:r w:rsidRPr="00744CE4">
        <w:rPr>
          <w:rStyle w:val="FootnoteReference"/>
          <w:rFonts w:ascii="Verdana" w:hAnsi="Verdana" w:cs="Cambria"/>
          <w:sz w:val="20"/>
          <w:szCs w:val="20"/>
        </w:rPr>
        <w:footnoteReference w:id="312"/>
      </w:r>
      <w:r w:rsidRPr="00744CE4">
        <w:rPr>
          <w:rFonts w:ascii="Verdana" w:hAnsi="Verdana" w:cs="Cambria"/>
          <w:sz w:val="20"/>
          <w:szCs w:val="20"/>
        </w:rPr>
        <w:t xml:space="preserve">, </w:t>
      </w:r>
    </w:p>
    <w:p w14:paraId="64AA5F4F" w14:textId="6AF9E38F" w:rsidR="002E1C85" w:rsidRPr="00744CE4" w:rsidRDefault="002E1C85" w:rsidP="00DB378B">
      <w:pPr>
        <w:widowControl w:val="0"/>
        <w:numPr>
          <w:ilvl w:val="0"/>
          <w:numId w:val="4"/>
        </w:numPr>
        <w:tabs>
          <w:tab w:val="left" w:pos="567"/>
        </w:tabs>
        <w:adjustRightInd w:val="0"/>
        <w:spacing w:before="120" w:after="120" w:line="240" w:lineRule="auto"/>
        <w:ind w:left="0" w:firstLine="0"/>
        <w:jc w:val="both"/>
        <w:textAlignment w:val="baseline"/>
        <w:rPr>
          <w:rFonts w:ascii="Verdana" w:hAnsi="Verdana" w:cs="Cambria"/>
          <w:sz w:val="20"/>
          <w:szCs w:val="20"/>
        </w:rPr>
      </w:pPr>
      <w:r w:rsidRPr="00744CE4">
        <w:rPr>
          <w:rFonts w:ascii="Verdana" w:hAnsi="Verdana" w:cs="Arial"/>
          <w:sz w:val="20"/>
          <w:szCs w:val="20"/>
        </w:rPr>
        <w:t>Con motivo de dicho desglose, el 1 de abril de 2014</w:t>
      </w:r>
      <w:r w:rsidRPr="00432ABC">
        <w:rPr>
          <w:rFonts w:ascii="Verdana" w:hAnsi="Verdana" w:cs="Cambria"/>
          <w:sz w:val="20"/>
          <w:szCs w:val="20"/>
        </w:rPr>
        <w:t xml:space="preserve"> fue radicada ante la Unidad Especializada de Búsqueda de Personas Desaparecidas [UEBDP – PGR] una nueva Averiguación </w:t>
      </w:r>
      <w:r w:rsidRPr="00432ABC">
        <w:rPr>
          <w:rFonts w:ascii="Verdana" w:hAnsi="Verdana" w:cs="Cambria"/>
          <w:sz w:val="20"/>
          <w:szCs w:val="20"/>
        </w:rPr>
        <w:lastRenderedPageBreak/>
        <w:t>Previa bajo el rubro AP/PGR/SDHPDSC/UEBPD/M5/50/2013 (o “50/2013”)</w:t>
      </w:r>
      <w:r w:rsidRPr="00744CE4">
        <w:rPr>
          <w:rFonts w:ascii="Verdana" w:hAnsi="Verdana" w:cs="Cambria"/>
          <w:sz w:val="20"/>
          <w:szCs w:val="20"/>
          <w:vertAlign w:val="superscript"/>
        </w:rPr>
        <w:footnoteReference w:id="313"/>
      </w:r>
      <w:r w:rsidRPr="00744CE4">
        <w:rPr>
          <w:rFonts w:ascii="Verdana" w:hAnsi="Verdana" w:cs="Cambria"/>
          <w:sz w:val="20"/>
          <w:szCs w:val="20"/>
        </w:rPr>
        <w:t>. En dicha indagatoria</w:t>
      </w:r>
      <w:r w:rsidRPr="00744CE4">
        <w:rPr>
          <w:rFonts w:ascii="Verdana" w:hAnsi="Verdana"/>
          <w:sz w:val="20"/>
          <w:szCs w:val="20"/>
          <w:lang w:val="es-AR"/>
        </w:rPr>
        <w:t>, la PGR acumuló todas las diligencias y actuaciones ministeriales realizadas desde las primeras denuncias con motivo de los hechos de las 3 desapariciones y continuó con las investi</w:t>
      </w:r>
      <w:r w:rsidRPr="00432ABC">
        <w:rPr>
          <w:rFonts w:ascii="Verdana" w:hAnsi="Verdana"/>
          <w:sz w:val="20"/>
          <w:szCs w:val="20"/>
          <w:lang w:val="es-AR"/>
        </w:rPr>
        <w:t xml:space="preserve">gaciones tras la consignación de la Averiguación Previa </w:t>
      </w:r>
      <w:r w:rsidRPr="00432ABC">
        <w:rPr>
          <w:rFonts w:ascii="Verdana" w:hAnsi="Verdana" w:cs="Cambria"/>
          <w:sz w:val="20"/>
          <w:szCs w:val="20"/>
        </w:rPr>
        <w:t>66/2013</w:t>
      </w:r>
      <w:r w:rsidRPr="00744CE4">
        <w:rPr>
          <w:rStyle w:val="FootnoteReference"/>
          <w:rFonts w:ascii="Verdana" w:hAnsi="Verdana" w:cs="Arial"/>
          <w:sz w:val="20"/>
          <w:szCs w:val="20"/>
        </w:rPr>
        <w:footnoteReference w:id="314"/>
      </w:r>
      <w:r w:rsidRPr="00744CE4">
        <w:rPr>
          <w:rFonts w:ascii="Verdana" w:hAnsi="Verdana" w:cs="Arial"/>
          <w:sz w:val="20"/>
          <w:szCs w:val="20"/>
        </w:rPr>
        <w:t xml:space="preserve">. </w:t>
      </w:r>
    </w:p>
    <w:p w14:paraId="64AA5F51" w14:textId="6CE58CC2" w:rsidR="002E1C85" w:rsidRPr="00432ABC" w:rsidRDefault="002E1C85" w:rsidP="00DB378B">
      <w:pPr>
        <w:widowControl w:val="0"/>
        <w:numPr>
          <w:ilvl w:val="0"/>
          <w:numId w:val="4"/>
        </w:numPr>
        <w:tabs>
          <w:tab w:val="left" w:pos="567"/>
        </w:tabs>
        <w:adjustRightInd w:val="0"/>
        <w:spacing w:before="120" w:after="120" w:line="240" w:lineRule="auto"/>
        <w:ind w:left="0" w:firstLine="0"/>
        <w:jc w:val="both"/>
        <w:textAlignment w:val="baseline"/>
        <w:rPr>
          <w:rFonts w:ascii="Verdana" w:hAnsi="Verdana" w:cs="Arial"/>
          <w:sz w:val="20"/>
          <w:szCs w:val="20"/>
        </w:rPr>
      </w:pPr>
      <w:r w:rsidRPr="00432ABC">
        <w:rPr>
          <w:rFonts w:ascii="Verdana" w:hAnsi="Verdana" w:cs="Arial"/>
          <w:sz w:val="20"/>
          <w:szCs w:val="20"/>
        </w:rPr>
        <w:t>Tras su apertura, en averiguación previa 50/2013 se encuentran, entre otras, las siguientes diligencias:</w:t>
      </w:r>
    </w:p>
    <w:p w14:paraId="51210960" w14:textId="6CCA167E" w:rsidR="00762AD6" w:rsidRPr="008D0846" w:rsidRDefault="00AC6FFB">
      <w:pPr>
        <w:pStyle w:val="ListParagraph"/>
        <w:numPr>
          <w:ilvl w:val="0"/>
          <w:numId w:val="2"/>
        </w:numPr>
        <w:autoSpaceDE w:val="0"/>
        <w:autoSpaceDN w:val="0"/>
        <w:adjustRightInd w:val="0"/>
        <w:spacing w:before="120" w:after="120" w:line="240" w:lineRule="auto"/>
        <w:ind w:left="567" w:hanging="283"/>
        <w:contextualSpacing w:val="0"/>
        <w:jc w:val="both"/>
        <w:rPr>
          <w:rFonts w:ascii="Verdana" w:hAnsi="Verdana" w:cs="Arial"/>
          <w:sz w:val="18"/>
          <w:szCs w:val="20"/>
        </w:rPr>
      </w:pPr>
      <w:r w:rsidRPr="008D0846">
        <w:rPr>
          <w:rFonts w:ascii="Verdana" w:hAnsi="Verdana" w:cs="Arial"/>
          <w:sz w:val="18"/>
          <w:szCs w:val="20"/>
        </w:rPr>
        <w:t>i</w:t>
      </w:r>
      <w:r w:rsidR="002E1C85" w:rsidRPr="008D0846">
        <w:rPr>
          <w:rFonts w:ascii="Verdana" w:hAnsi="Verdana" w:cs="Arial"/>
          <w:sz w:val="18"/>
          <w:szCs w:val="20"/>
        </w:rPr>
        <w:t xml:space="preserve">nspección ministerial de 14 y 15 de mayo de 2014 en un lugar también denominado “Tiro de Mina” en el Ejido Benito Juárez, Chihuahua, en </w:t>
      </w:r>
      <w:r w:rsidR="00AF7A29" w:rsidRPr="008D0846">
        <w:rPr>
          <w:rFonts w:ascii="Verdana" w:hAnsi="Verdana" w:cs="Arial"/>
          <w:sz w:val="18"/>
          <w:szCs w:val="20"/>
        </w:rPr>
        <w:t>e</w:t>
      </w:r>
      <w:r w:rsidR="002E1C85" w:rsidRPr="008D0846">
        <w:rPr>
          <w:rFonts w:ascii="Verdana" w:hAnsi="Verdana" w:cs="Arial"/>
          <w:sz w:val="18"/>
          <w:szCs w:val="20"/>
        </w:rPr>
        <w:t xml:space="preserve">l que la PGR recuperó restos óseos humanos.  Tras su análisis forense, </w:t>
      </w:r>
      <w:r w:rsidR="002E1C85" w:rsidRPr="008D0846">
        <w:rPr>
          <w:rFonts w:ascii="Verdana" w:hAnsi="Verdana"/>
          <w:sz w:val="18"/>
          <w:szCs w:val="20"/>
        </w:rPr>
        <w:t>se determinó que dichos restos no correspondían a ninguno de los 3 desaparecidos</w:t>
      </w:r>
      <w:r w:rsidR="002E1C85" w:rsidRPr="008D0846">
        <w:rPr>
          <w:rStyle w:val="FootnoteReference"/>
          <w:rFonts w:ascii="Verdana" w:hAnsi="Verdana" w:cs="Arial"/>
          <w:sz w:val="18"/>
          <w:szCs w:val="20"/>
        </w:rPr>
        <w:footnoteReference w:id="315"/>
      </w:r>
      <w:r w:rsidR="00CE0080" w:rsidRPr="008D0846">
        <w:rPr>
          <w:rFonts w:ascii="Verdana" w:hAnsi="Verdana" w:cs="Arial"/>
          <w:sz w:val="18"/>
          <w:szCs w:val="20"/>
        </w:rPr>
        <w:t>;</w:t>
      </w:r>
    </w:p>
    <w:p w14:paraId="64AA5F55" w14:textId="11BF2593" w:rsidR="002E1C85" w:rsidRPr="008D0846" w:rsidRDefault="00CE0080">
      <w:pPr>
        <w:pStyle w:val="ListParagraph"/>
        <w:numPr>
          <w:ilvl w:val="0"/>
          <w:numId w:val="2"/>
        </w:numPr>
        <w:autoSpaceDE w:val="0"/>
        <w:autoSpaceDN w:val="0"/>
        <w:adjustRightInd w:val="0"/>
        <w:spacing w:before="120" w:after="120" w:line="240" w:lineRule="auto"/>
        <w:ind w:left="567" w:hanging="283"/>
        <w:contextualSpacing w:val="0"/>
        <w:jc w:val="both"/>
        <w:rPr>
          <w:rFonts w:ascii="Verdana" w:hAnsi="Verdana" w:cs="Arial"/>
          <w:sz w:val="18"/>
          <w:szCs w:val="20"/>
        </w:rPr>
      </w:pPr>
      <w:r w:rsidRPr="008D0846">
        <w:rPr>
          <w:rFonts w:ascii="Verdana" w:hAnsi="Verdana" w:cs="Arial"/>
          <w:sz w:val="18"/>
          <w:szCs w:val="20"/>
        </w:rPr>
        <w:t>e</w:t>
      </w:r>
      <w:r w:rsidR="002E1C85" w:rsidRPr="008D0846">
        <w:rPr>
          <w:rFonts w:ascii="Verdana" w:hAnsi="Verdana" w:cs="Arial"/>
          <w:sz w:val="18"/>
          <w:szCs w:val="20"/>
        </w:rPr>
        <w:t>l 21 de octubre de 2014 la Directora de Atención a Requerimientos Judiciales, Ministeriales e Institucionales de la Secretaría de Gobernación [DARJMI - SEGOB] remitió lista de todos los elementos de la corporación de apellido “Meza” que estuvieron activos entre diciembre de 2009 y enero de 2010</w:t>
      </w:r>
      <w:r w:rsidR="002E1C85" w:rsidRPr="008D0846">
        <w:rPr>
          <w:rStyle w:val="FootnoteReference"/>
          <w:rFonts w:ascii="Verdana" w:hAnsi="Verdana" w:cs="Arial"/>
          <w:sz w:val="18"/>
          <w:szCs w:val="20"/>
        </w:rPr>
        <w:footnoteReference w:id="316"/>
      </w:r>
      <w:r w:rsidR="002E1C85" w:rsidRPr="008D0846">
        <w:rPr>
          <w:rFonts w:ascii="Verdana" w:hAnsi="Verdana" w:cs="Arial"/>
          <w:sz w:val="18"/>
          <w:szCs w:val="20"/>
        </w:rPr>
        <w:t>. El 11 de noviembre siguiente la DARJMI - SEGOB informó que no encontró que alguno de los elementos de apellido “Meza” hubieran sido comisionados, asignados o hubieran cambiado su adscripción en Chihuahua entre diciembre de 2009 y enero de 2010</w:t>
      </w:r>
      <w:r w:rsidR="002E1C85" w:rsidRPr="008D0846">
        <w:rPr>
          <w:rStyle w:val="FootnoteReference"/>
          <w:rFonts w:ascii="Verdana" w:hAnsi="Verdana" w:cs="Arial"/>
          <w:sz w:val="18"/>
          <w:szCs w:val="20"/>
        </w:rPr>
        <w:footnoteReference w:id="317"/>
      </w:r>
      <w:r w:rsidRPr="008D0846">
        <w:rPr>
          <w:rFonts w:ascii="Verdana" w:hAnsi="Verdana" w:cs="Arial"/>
          <w:sz w:val="18"/>
          <w:szCs w:val="20"/>
        </w:rPr>
        <w:t>;</w:t>
      </w:r>
    </w:p>
    <w:p w14:paraId="64AA5F57" w14:textId="07DDFB64" w:rsidR="002E1C85" w:rsidRPr="008D0846" w:rsidRDefault="00CE0080">
      <w:pPr>
        <w:pStyle w:val="ListParagraph"/>
        <w:numPr>
          <w:ilvl w:val="0"/>
          <w:numId w:val="2"/>
        </w:numPr>
        <w:spacing w:before="120" w:after="120" w:line="240" w:lineRule="auto"/>
        <w:ind w:left="567"/>
        <w:contextualSpacing w:val="0"/>
        <w:jc w:val="both"/>
        <w:rPr>
          <w:rFonts w:ascii="Verdana" w:hAnsi="Verdana" w:cs="Arial"/>
          <w:sz w:val="18"/>
          <w:szCs w:val="20"/>
        </w:rPr>
      </w:pPr>
      <w:r w:rsidRPr="008D0846">
        <w:rPr>
          <w:rFonts w:ascii="Verdana" w:hAnsi="Verdana" w:cs="Arial"/>
          <w:sz w:val="18"/>
          <w:szCs w:val="20"/>
        </w:rPr>
        <w:t>i</w:t>
      </w:r>
      <w:r w:rsidR="002E1C85" w:rsidRPr="008D0846">
        <w:rPr>
          <w:rFonts w:ascii="Verdana" w:hAnsi="Verdana" w:cs="Arial"/>
          <w:sz w:val="18"/>
          <w:szCs w:val="20"/>
        </w:rPr>
        <w:t xml:space="preserve">nspección ministerial de 4 de diciembre de 2014 llevada a cabo por el AMPF, Víctor Cruz Martínez, en compañía del entonces titular de la </w:t>
      </w:r>
      <w:r w:rsidR="002E1C85" w:rsidRPr="008D0846">
        <w:rPr>
          <w:rFonts w:ascii="Verdana" w:hAnsi="Verdana" w:cs="Cambria"/>
          <w:sz w:val="18"/>
          <w:szCs w:val="20"/>
        </w:rPr>
        <w:t>UEBPD - PGR</w:t>
      </w:r>
      <w:r w:rsidR="002E1C85" w:rsidRPr="008D0846">
        <w:rPr>
          <w:rFonts w:ascii="Verdana" w:hAnsi="Verdana" w:cs="Arial"/>
          <w:sz w:val="18"/>
          <w:szCs w:val="20"/>
        </w:rPr>
        <w:t>, Salomón Baltazar Samayoa, sobre el vehículo marca Chevrolet, Silverado, modelo 2002, color gris, placas de circulación 6RMW08 del Estado de Texas, E.U.A., que se encontraba bajo administración del Servicio de Administración y Enajenación de Bienes de la Secretaría de Hacienda y Crédito Público</w:t>
      </w:r>
      <w:r w:rsidR="002E1C85" w:rsidRPr="008D0846">
        <w:rPr>
          <w:rStyle w:val="FootnoteReference"/>
          <w:rFonts w:ascii="Verdana" w:hAnsi="Verdana" w:cs="Arial"/>
          <w:sz w:val="18"/>
          <w:szCs w:val="20"/>
        </w:rPr>
        <w:footnoteReference w:id="318"/>
      </w:r>
      <w:r w:rsidRPr="008D0846">
        <w:rPr>
          <w:rFonts w:ascii="Verdana" w:hAnsi="Verdana" w:cs="Arial"/>
          <w:sz w:val="18"/>
          <w:szCs w:val="20"/>
        </w:rPr>
        <w:t>;</w:t>
      </w:r>
    </w:p>
    <w:p w14:paraId="2B91A358" w14:textId="6A01E8FE" w:rsidR="00762AD6" w:rsidRPr="008D0846" w:rsidRDefault="00995D47">
      <w:pPr>
        <w:pStyle w:val="ListParagraph"/>
        <w:numPr>
          <w:ilvl w:val="0"/>
          <w:numId w:val="2"/>
        </w:numPr>
        <w:autoSpaceDE w:val="0"/>
        <w:autoSpaceDN w:val="0"/>
        <w:adjustRightInd w:val="0"/>
        <w:spacing w:before="120" w:after="120" w:line="240" w:lineRule="auto"/>
        <w:ind w:left="567"/>
        <w:contextualSpacing w:val="0"/>
        <w:jc w:val="both"/>
        <w:rPr>
          <w:rFonts w:ascii="Verdana" w:hAnsi="Verdana"/>
          <w:sz w:val="18"/>
          <w:szCs w:val="20"/>
        </w:rPr>
      </w:pPr>
      <w:r>
        <w:rPr>
          <w:rFonts w:ascii="Verdana" w:hAnsi="Verdana" w:cs="Arial"/>
          <w:sz w:val="18"/>
          <w:szCs w:val="20"/>
        </w:rPr>
        <w:t>i</w:t>
      </w:r>
      <w:r w:rsidR="002E1C85" w:rsidRPr="008D0846">
        <w:rPr>
          <w:rFonts w:ascii="Verdana" w:hAnsi="Verdana" w:cs="Arial"/>
          <w:sz w:val="18"/>
          <w:szCs w:val="20"/>
        </w:rPr>
        <w:t xml:space="preserve">nspecciones ministeriales de 4 de marzo de 2015 llevadas a cabo por el AMPF, Víctor Cruz Martínez, en compañía del titular de la </w:t>
      </w:r>
      <w:r w:rsidR="002E1C85" w:rsidRPr="008D0846">
        <w:rPr>
          <w:rFonts w:ascii="Verdana" w:hAnsi="Verdana" w:cs="Cambria"/>
          <w:sz w:val="18"/>
          <w:szCs w:val="20"/>
        </w:rPr>
        <w:t>UEBPD - PGR</w:t>
      </w:r>
      <w:r w:rsidR="002E1C85" w:rsidRPr="008D0846">
        <w:rPr>
          <w:rFonts w:ascii="Verdana" w:hAnsi="Verdana" w:cs="Arial"/>
          <w:sz w:val="18"/>
          <w:szCs w:val="20"/>
        </w:rPr>
        <w:t>, Salomón Baltazar Samayoa con el objeto de tener acceso a los archivos fotográficos y registros documentales de los detenidos por el 35 Batallón de Infantería; fecha en la cual les fue negado dicho acceso</w:t>
      </w:r>
      <w:r w:rsidR="002E1C85" w:rsidRPr="008D0846">
        <w:rPr>
          <w:rStyle w:val="FootnoteReference"/>
          <w:rFonts w:ascii="Verdana" w:hAnsi="Verdana" w:cs="Arial"/>
          <w:sz w:val="18"/>
          <w:szCs w:val="20"/>
        </w:rPr>
        <w:footnoteReference w:id="319"/>
      </w:r>
      <w:r w:rsidR="002E1C85" w:rsidRPr="008D0846">
        <w:rPr>
          <w:rFonts w:ascii="Verdana" w:hAnsi="Verdana" w:cs="Arial"/>
          <w:sz w:val="18"/>
          <w:szCs w:val="20"/>
        </w:rPr>
        <w:t>. El 26 de marzo siguiente se les indicó que no existía un registro documental ni fotográfico de detenidos en el 35 Batallón</w:t>
      </w:r>
      <w:r w:rsidR="002E1C85" w:rsidRPr="008D0846">
        <w:rPr>
          <w:rStyle w:val="FootnoteReference"/>
          <w:rFonts w:ascii="Verdana" w:hAnsi="Verdana" w:cs="Arial"/>
          <w:sz w:val="18"/>
          <w:szCs w:val="20"/>
        </w:rPr>
        <w:footnoteReference w:id="320"/>
      </w:r>
      <w:r w:rsidR="002E1C85" w:rsidRPr="008D0846">
        <w:rPr>
          <w:rFonts w:ascii="Verdana" w:hAnsi="Verdana" w:cs="Arial"/>
          <w:sz w:val="18"/>
          <w:szCs w:val="20"/>
        </w:rPr>
        <w:t>;</w:t>
      </w:r>
    </w:p>
    <w:p w14:paraId="517266B2" w14:textId="4D8703F0" w:rsidR="00762AD6" w:rsidRPr="008D0846" w:rsidRDefault="00CE0080">
      <w:pPr>
        <w:pStyle w:val="ListParagraph"/>
        <w:numPr>
          <w:ilvl w:val="0"/>
          <w:numId w:val="2"/>
        </w:numPr>
        <w:spacing w:before="120" w:after="120" w:line="240" w:lineRule="auto"/>
        <w:ind w:left="567"/>
        <w:contextualSpacing w:val="0"/>
        <w:jc w:val="both"/>
        <w:rPr>
          <w:rFonts w:ascii="Verdana" w:hAnsi="Verdana"/>
          <w:sz w:val="18"/>
          <w:szCs w:val="20"/>
        </w:rPr>
      </w:pPr>
      <w:r w:rsidRPr="008D0846">
        <w:rPr>
          <w:rFonts w:ascii="Verdana" w:hAnsi="Verdana"/>
          <w:sz w:val="18"/>
          <w:szCs w:val="20"/>
        </w:rPr>
        <w:t>e</w:t>
      </w:r>
      <w:r w:rsidR="002E1C85" w:rsidRPr="008D0846">
        <w:rPr>
          <w:rFonts w:ascii="Verdana" w:hAnsi="Verdana"/>
          <w:sz w:val="18"/>
          <w:szCs w:val="20"/>
        </w:rPr>
        <w:t>l 12 de marzo de 2015 rindieron declaración Gabriel Flores Meza y David Meza Espinosa en carácter de testigos (en razón de apellidarse “Meza” y aparecer en la lista remitida por la Policía Federal)</w:t>
      </w:r>
      <w:r w:rsidR="002E1C85" w:rsidRPr="008D0846">
        <w:rPr>
          <w:rStyle w:val="FootnoteReference"/>
          <w:rFonts w:ascii="Verdana" w:hAnsi="Verdana" w:cs="Arial"/>
          <w:sz w:val="18"/>
          <w:szCs w:val="20"/>
        </w:rPr>
        <w:footnoteReference w:id="321"/>
      </w:r>
      <w:r w:rsidR="002E1C85" w:rsidRPr="008D0846">
        <w:rPr>
          <w:rFonts w:ascii="Verdana" w:hAnsi="Verdana"/>
          <w:sz w:val="18"/>
          <w:szCs w:val="20"/>
        </w:rPr>
        <w:t xml:space="preserve">, </w:t>
      </w:r>
      <w:r w:rsidR="002E1C85" w:rsidRPr="008D0846">
        <w:rPr>
          <w:rFonts w:ascii="Verdana" w:hAnsi="Verdana"/>
          <w:sz w:val="18"/>
          <w:szCs w:val="20"/>
        </w:rPr>
        <w:lastRenderedPageBreak/>
        <w:t>quienes negaron haber participado en algún tipo de investigación sobre robo de vehículos, la muerte de los 3 elementos de la Policía Federal o tener conocimiento sobre 3 desapariciones</w:t>
      </w:r>
      <w:r w:rsidR="002E1C85" w:rsidRPr="008D0846">
        <w:rPr>
          <w:rStyle w:val="FootnoteReference"/>
          <w:rFonts w:ascii="Verdana" w:hAnsi="Verdana" w:cs="Arial"/>
          <w:sz w:val="18"/>
          <w:szCs w:val="20"/>
        </w:rPr>
        <w:footnoteReference w:id="322"/>
      </w:r>
      <w:r w:rsidR="002E1C85" w:rsidRPr="008D0846">
        <w:rPr>
          <w:rFonts w:ascii="Verdana" w:hAnsi="Verdana"/>
          <w:sz w:val="18"/>
          <w:szCs w:val="20"/>
        </w:rPr>
        <w:t xml:space="preserve">, e </w:t>
      </w:r>
    </w:p>
    <w:p w14:paraId="27F37E1A" w14:textId="4FAEFA88" w:rsidR="00762AD6" w:rsidRPr="008D0846" w:rsidRDefault="00CE0080">
      <w:pPr>
        <w:pStyle w:val="ListParagraph"/>
        <w:numPr>
          <w:ilvl w:val="0"/>
          <w:numId w:val="2"/>
        </w:numPr>
        <w:spacing w:before="120" w:after="120" w:line="240" w:lineRule="auto"/>
        <w:ind w:left="567"/>
        <w:contextualSpacing w:val="0"/>
        <w:jc w:val="both"/>
        <w:rPr>
          <w:rFonts w:ascii="Verdana" w:hAnsi="Verdana"/>
          <w:sz w:val="18"/>
          <w:szCs w:val="20"/>
        </w:rPr>
      </w:pPr>
      <w:r w:rsidRPr="008D0846">
        <w:rPr>
          <w:rFonts w:ascii="Verdana" w:hAnsi="Verdana" w:cs="Arial"/>
          <w:sz w:val="18"/>
          <w:szCs w:val="20"/>
        </w:rPr>
        <w:t>i</w:t>
      </w:r>
      <w:r w:rsidR="002E1C85" w:rsidRPr="008D0846">
        <w:rPr>
          <w:rFonts w:ascii="Verdana" w:hAnsi="Verdana" w:cs="Arial"/>
          <w:sz w:val="18"/>
          <w:szCs w:val="20"/>
        </w:rPr>
        <w:t>nspección ministerial de 25 de marzo de 2015 para la localización de fosas clandestinas en los municipios de Buenaventura y Janos, Chihuahua, sin lograr localizar a los desaparecidos</w:t>
      </w:r>
      <w:r w:rsidR="002E1C85" w:rsidRPr="008D0846">
        <w:rPr>
          <w:rStyle w:val="FootnoteReference"/>
          <w:rFonts w:ascii="Verdana" w:hAnsi="Verdana" w:cs="Arial"/>
          <w:sz w:val="18"/>
          <w:szCs w:val="20"/>
        </w:rPr>
        <w:footnoteReference w:id="323"/>
      </w:r>
      <w:r w:rsidR="002E1C85" w:rsidRPr="008D0846">
        <w:rPr>
          <w:rFonts w:ascii="Verdana" w:hAnsi="Verdana" w:cs="Arial"/>
          <w:sz w:val="18"/>
          <w:szCs w:val="20"/>
        </w:rPr>
        <w:t>.</w:t>
      </w:r>
    </w:p>
    <w:p w14:paraId="64AA5F5F" w14:textId="7DEBAAA4" w:rsidR="002E1C85" w:rsidRPr="002C462C" w:rsidRDefault="00556FDB">
      <w:pPr>
        <w:pStyle w:val="Heading4"/>
        <w:numPr>
          <w:ilvl w:val="0"/>
          <w:numId w:val="58"/>
        </w:numPr>
        <w:spacing w:before="120" w:after="120"/>
        <w:contextualSpacing w:val="0"/>
        <w:rPr>
          <w:u w:val="none"/>
          <w:lang w:val="es-AR"/>
        </w:rPr>
      </w:pPr>
      <w:r>
        <w:rPr>
          <w:u w:val="none"/>
        </w:rPr>
        <w:t xml:space="preserve"> </w:t>
      </w:r>
      <w:bookmarkStart w:id="155" w:name="_Toc532995349"/>
      <w:r w:rsidR="002E1C85" w:rsidRPr="00432ABC">
        <w:rPr>
          <w:u w:val="none"/>
        </w:rPr>
        <w:t xml:space="preserve">Juzgado Sexto de Distrito de Amparo en Materia Penal en Ciudad Juárez </w:t>
      </w:r>
      <w:r w:rsidR="00AF0775" w:rsidRPr="00432ABC">
        <w:rPr>
          <w:u w:val="none"/>
          <w:lang w:val="es-AR"/>
        </w:rPr>
        <w:t>[Juicio</w:t>
      </w:r>
      <w:r w:rsidR="002E1C85" w:rsidRPr="00432ABC">
        <w:rPr>
          <w:u w:val="none"/>
          <w:lang w:val="es-AR"/>
        </w:rPr>
        <w:t xml:space="preserve"> de Amparo </w:t>
      </w:r>
      <w:r w:rsidR="002E1C85" w:rsidRPr="00432ABC">
        <w:rPr>
          <w:u w:val="none"/>
        </w:rPr>
        <w:t>09/2010-I]</w:t>
      </w:r>
      <w:bookmarkEnd w:id="155"/>
    </w:p>
    <w:p w14:paraId="64AA5F61" w14:textId="5120F849" w:rsidR="002E1C85" w:rsidRPr="00744CE4" w:rsidRDefault="002E1C85" w:rsidP="00DB378B">
      <w:pPr>
        <w:widowControl w:val="0"/>
        <w:numPr>
          <w:ilvl w:val="0"/>
          <w:numId w:val="4"/>
        </w:numPr>
        <w:tabs>
          <w:tab w:val="left" w:pos="567"/>
        </w:tabs>
        <w:adjustRightInd w:val="0"/>
        <w:spacing w:before="120" w:after="120" w:line="240" w:lineRule="auto"/>
        <w:ind w:left="0" w:firstLine="0"/>
        <w:jc w:val="both"/>
        <w:textAlignment w:val="baseline"/>
        <w:rPr>
          <w:rFonts w:ascii="Verdana" w:hAnsi="Verdana"/>
          <w:sz w:val="20"/>
          <w:szCs w:val="20"/>
        </w:rPr>
      </w:pPr>
      <w:r w:rsidRPr="002C462C">
        <w:rPr>
          <w:rFonts w:ascii="Verdana" w:hAnsi="Verdana"/>
          <w:sz w:val="20"/>
          <w:szCs w:val="20"/>
        </w:rPr>
        <w:t xml:space="preserve">El 6 de enero de 2010 </w:t>
      </w:r>
      <w:r w:rsidRPr="00744CE4">
        <w:rPr>
          <w:rFonts w:ascii="Verdana" w:hAnsi="Verdana"/>
          <w:sz w:val="20"/>
          <w:szCs w:val="20"/>
          <w:lang w:val="es-AR"/>
        </w:rPr>
        <w:t>José Ángel Alvarado Fa</w:t>
      </w:r>
      <w:r w:rsidR="00B82930" w:rsidRPr="00744CE4">
        <w:rPr>
          <w:rFonts w:ascii="Verdana" w:hAnsi="Verdana"/>
          <w:sz w:val="20"/>
          <w:szCs w:val="20"/>
          <w:lang w:val="es-AR"/>
        </w:rPr>
        <w:t>b</w:t>
      </w:r>
      <w:r w:rsidRPr="00744CE4">
        <w:rPr>
          <w:rFonts w:ascii="Verdana" w:hAnsi="Verdana"/>
          <w:sz w:val="20"/>
          <w:szCs w:val="20"/>
          <w:lang w:val="es-AR"/>
        </w:rPr>
        <w:t>ela</w:t>
      </w:r>
      <w:r w:rsidRPr="00744CE4">
        <w:rPr>
          <w:rFonts w:ascii="Verdana" w:hAnsi="Verdana"/>
          <w:sz w:val="20"/>
          <w:szCs w:val="20"/>
        </w:rPr>
        <w:t xml:space="preserve">, padre de Jose Ángel Alvarado Herrera, </w:t>
      </w:r>
      <w:r w:rsidRPr="00744CE4">
        <w:rPr>
          <w:rFonts w:ascii="Verdana" w:hAnsi="Verdana"/>
          <w:sz w:val="20"/>
          <w:szCs w:val="20"/>
          <w:lang w:val="es-AR"/>
        </w:rPr>
        <w:t>promovió juicio de amparo en Ciudad Juárez, Chihuahua, solicitando la suspensión provisional y definitiva de “la detención ilegal y fuera de procedimiento judicial” de Nitza Paola y José Ángel Alvarado</w:t>
      </w:r>
      <w:r w:rsidRPr="00744CE4">
        <w:rPr>
          <w:rStyle w:val="FootnoteReference"/>
          <w:rFonts w:ascii="Verdana" w:hAnsi="Verdana"/>
          <w:sz w:val="20"/>
          <w:szCs w:val="20"/>
          <w:lang w:val="es-AR"/>
        </w:rPr>
        <w:footnoteReference w:id="324"/>
      </w:r>
      <w:r w:rsidRPr="00744CE4">
        <w:rPr>
          <w:rFonts w:ascii="Verdana" w:hAnsi="Verdana"/>
          <w:sz w:val="20"/>
          <w:szCs w:val="20"/>
          <w:lang w:val="es-AR"/>
        </w:rPr>
        <w:t xml:space="preserve">. </w:t>
      </w:r>
      <w:r w:rsidRPr="00744CE4">
        <w:rPr>
          <w:rFonts w:ascii="Verdana" w:hAnsi="Verdana"/>
          <w:sz w:val="20"/>
          <w:szCs w:val="20"/>
        </w:rPr>
        <w:t>Dicha demanda fue radicada ante el Juzgado Sexto de Distrito de Amparo en Materia Penal en Ciudad Juárez bajo el rubro 09/2010-I y ordenó a las autoridades</w:t>
      </w:r>
      <w:r w:rsidRPr="00432ABC">
        <w:rPr>
          <w:rFonts w:ascii="Verdana" w:hAnsi="Verdana"/>
          <w:sz w:val="20"/>
          <w:szCs w:val="20"/>
        </w:rPr>
        <w:t xml:space="preserve"> responsables que en el término de 24 horas remitieran las constancias que acreditaran la flagrancia o urgencia de la detención de </w:t>
      </w:r>
      <w:r w:rsidRPr="00432ABC">
        <w:rPr>
          <w:rFonts w:ascii="Verdana" w:hAnsi="Verdana"/>
          <w:sz w:val="20"/>
          <w:szCs w:val="20"/>
          <w:lang w:val="es-AR"/>
        </w:rPr>
        <w:t>Nitza Paola y José Ángel Alvarado</w:t>
      </w:r>
      <w:r w:rsidRPr="00432ABC" w:rsidDel="007A0BC1">
        <w:rPr>
          <w:rFonts w:ascii="Verdana" w:hAnsi="Verdana"/>
          <w:sz w:val="20"/>
          <w:szCs w:val="20"/>
        </w:rPr>
        <w:t xml:space="preserve"> </w:t>
      </w:r>
      <w:r w:rsidRPr="00432ABC">
        <w:rPr>
          <w:rFonts w:ascii="Verdana" w:hAnsi="Verdana"/>
          <w:sz w:val="20"/>
          <w:szCs w:val="20"/>
        </w:rPr>
        <w:t>o de lo contrario ordenaran su libertad inmediata</w:t>
      </w:r>
      <w:r w:rsidRPr="00744CE4">
        <w:rPr>
          <w:rStyle w:val="FootnoteReference"/>
          <w:rFonts w:ascii="Verdana" w:hAnsi="Verdana"/>
          <w:sz w:val="20"/>
          <w:szCs w:val="20"/>
        </w:rPr>
        <w:footnoteReference w:id="325"/>
      </w:r>
      <w:r w:rsidRPr="00744CE4">
        <w:rPr>
          <w:rFonts w:ascii="Verdana" w:hAnsi="Verdana"/>
          <w:sz w:val="20"/>
          <w:szCs w:val="20"/>
        </w:rPr>
        <w:t>.</w:t>
      </w:r>
    </w:p>
    <w:p w14:paraId="64AA5F63" w14:textId="541121EF" w:rsidR="002E1C85" w:rsidRPr="00744CE4" w:rsidRDefault="002E1C85" w:rsidP="00DB378B">
      <w:pPr>
        <w:widowControl w:val="0"/>
        <w:numPr>
          <w:ilvl w:val="0"/>
          <w:numId w:val="4"/>
        </w:numPr>
        <w:tabs>
          <w:tab w:val="left" w:pos="567"/>
        </w:tabs>
        <w:adjustRightInd w:val="0"/>
        <w:spacing w:before="120" w:after="120" w:line="240" w:lineRule="auto"/>
        <w:ind w:left="0" w:firstLine="0"/>
        <w:jc w:val="both"/>
        <w:textAlignment w:val="baseline"/>
        <w:rPr>
          <w:rFonts w:ascii="Verdana" w:hAnsi="Verdana"/>
          <w:i/>
          <w:sz w:val="20"/>
          <w:szCs w:val="20"/>
        </w:rPr>
      </w:pPr>
      <w:r w:rsidRPr="00432ABC">
        <w:rPr>
          <w:rFonts w:ascii="Verdana" w:hAnsi="Verdana"/>
          <w:sz w:val="20"/>
          <w:szCs w:val="20"/>
        </w:rPr>
        <w:t xml:space="preserve">El 7 de enero de 2010 </w:t>
      </w:r>
      <w:r w:rsidRPr="00432ABC">
        <w:rPr>
          <w:rFonts w:ascii="Verdana" w:hAnsi="Verdana" w:cs="Arial"/>
          <w:sz w:val="20"/>
          <w:szCs w:val="20"/>
        </w:rPr>
        <w:t xml:space="preserve">dicho juzgador </w:t>
      </w:r>
      <w:r w:rsidRPr="00432ABC">
        <w:rPr>
          <w:rFonts w:ascii="Verdana" w:hAnsi="Verdana"/>
          <w:sz w:val="20"/>
          <w:szCs w:val="20"/>
        </w:rPr>
        <w:t xml:space="preserve">federal </w:t>
      </w:r>
      <w:r w:rsidRPr="00432ABC">
        <w:rPr>
          <w:rFonts w:ascii="Verdana" w:hAnsi="Verdana" w:cs="Arial"/>
          <w:sz w:val="20"/>
          <w:szCs w:val="20"/>
        </w:rPr>
        <w:t xml:space="preserve">requirió la presentación de </w:t>
      </w:r>
      <w:r w:rsidRPr="002C462C">
        <w:rPr>
          <w:rFonts w:ascii="Verdana" w:hAnsi="Verdana"/>
          <w:sz w:val="20"/>
          <w:szCs w:val="20"/>
        </w:rPr>
        <w:t>Nitza Paola y José Ángel Alvarado</w:t>
      </w:r>
      <w:r w:rsidRPr="002C462C">
        <w:rPr>
          <w:rFonts w:ascii="Verdana" w:hAnsi="Verdana" w:cs="Arial"/>
          <w:sz w:val="20"/>
          <w:szCs w:val="20"/>
        </w:rPr>
        <w:t xml:space="preserve"> o información sobre su ubicación a efecto de que ratificaran la petición. Al no ser esto posible, </w:t>
      </w:r>
      <w:r w:rsidR="009B16DF" w:rsidRPr="00744CE4">
        <w:rPr>
          <w:rFonts w:ascii="Verdana" w:hAnsi="Verdana" w:cs="Arial"/>
          <w:sz w:val="20"/>
          <w:szCs w:val="20"/>
        </w:rPr>
        <w:t>6 de mayo de 2010 ordenó suspender el procedimiento</w:t>
      </w:r>
      <w:r w:rsidR="009B16DF" w:rsidRPr="00744CE4">
        <w:rPr>
          <w:rStyle w:val="FootnoteReference"/>
          <w:rFonts w:ascii="Verdana" w:hAnsi="Verdana" w:cs="Arial"/>
          <w:sz w:val="20"/>
          <w:szCs w:val="20"/>
        </w:rPr>
        <w:footnoteReference w:id="326"/>
      </w:r>
      <w:r w:rsidR="009B16DF" w:rsidRPr="00744CE4">
        <w:rPr>
          <w:rFonts w:ascii="Verdana" w:hAnsi="Verdana" w:cs="Arial"/>
          <w:sz w:val="20"/>
          <w:szCs w:val="20"/>
        </w:rPr>
        <w:t xml:space="preserve">. El </w:t>
      </w:r>
      <w:r w:rsidRPr="00744CE4">
        <w:rPr>
          <w:rFonts w:ascii="Verdana" w:hAnsi="Verdana" w:cs="Arial"/>
          <w:sz w:val="20"/>
          <w:szCs w:val="20"/>
        </w:rPr>
        <w:t>17 de mayo de 2011 el juez de con</w:t>
      </w:r>
      <w:r w:rsidRPr="00432ABC">
        <w:rPr>
          <w:rFonts w:ascii="Verdana" w:hAnsi="Verdana" w:cs="Arial"/>
          <w:sz w:val="20"/>
          <w:szCs w:val="20"/>
        </w:rPr>
        <w:t xml:space="preserve">ocimiento resolvió </w:t>
      </w:r>
      <w:r w:rsidR="00015B51" w:rsidRPr="00432ABC">
        <w:rPr>
          <w:rFonts w:ascii="Verdana" w:hAnsi="Verdana" w:cs="Arial"/>
          <w:sz w:val="20"/>
          <w:szCs w:val="20"/>
        </w:rPr>
        <w:t xml:space="preserve">que </w:t>
      </w:r>
      <w:r w:rsidR="009B16DF" w:rsidRPr="00432ABC">
        <w:rPr>
          <w:rFonts w:ascii="Verdana" w:hAnsi="Verdana" w:cs="Arial"/>
          <w:sz w:val="20"/>
          <w:szCs w:val="20"/>
        </w:rPr>
        <w:t xml:space="preserve">dado </w:t>
      </w:r>
      <w:r w:rsidR="00F04A0F">
        <w:rPr>
          <w:rFonts w:ascii="Verdana" w:hAnsi="Verdana" w:cs="Arial"/>
          <w:sz w:val="20"/>
          <w:szCs w:val="20"/>
        </w:rPr>
        <w:t xml:space="preserve">que </w:t>
      </w:r>
      <w:r w:rsidR="009B16DF" w:rsidRPr="00432ABC">
        <w:rPr>
          <w:rFonts w:ascii="Verdana" w:hAnsi="Verdana" w:cs="Arial"/>
          <w:sz w:val="20"/>
          <w:szCs w:val="20"/>
        </w:rPr>
        <w:t>había transcurrido un año desde la suspensión de dicho procedimiento y la imposibilidad de localizar a ambos quejosos</w:t>
      </w:r>
      <w:r w:rsidR="00082E4D" w:rsidRPr="002C462C">
        <w:rPr>
          <w:rFonts w:ascii="Verdana" w:hAnsi="Verdana" w:cs="Arial"/>
          <w:sz w:val="20"/>
          <w:szCs w:val="20"/>
        </w:rPr>
        <w:t>,</w:t>
      </w:r>
      <w:r w:rsidR="009B16DF" w:rsidRPr="002C462C">
        <w:rPr>
          <w:rFonts w:ascii="Verdana" w:hAnsi="Verdana" w:cs="Arial"/>
          <w:sz w:val="20"/>
          <w:szCs w:val="20"/>
        </w:rPr>
        <w:t xml:space="preserve"> se tuvo</w:t>
      </w:r>
      <w:r w:rsidR="00015B51" w:rsidRPr="00744CE4">
        <w:rPr>
          <w:rFonts w:ascii="Verdana" w:hAnsi="Verdana" w:cs="Arial"/>
          <w:sz w:val="20"/>
          <w:szCs w:val="20"/>
        </w:rPr>
        <w:t xml:space="preserve"> por no presentada la demanda de </w:t>
      </w:r>
      <w:r w:rsidRPr="00744CE4">
        <w:rPr>
          <w:rFonts w:ascii="Verdana" w:hAnsi="Verdana"/>
          <w:sz w:val="20"/>
          <w:szCs w:val="20"/>
        </w:rPr>
        <w:t>amparo</w:t>
      </w:r>
      <w:r w:rsidRPr="00744CE4">
        <w:rPr>
          <w:rStyle w:val="FootnoteReference"/>
          <w:rFonts w:ascii="Verdana" w:hAnsi="Verdana"/>
          <w:sz w:val="20"/>
          <w:szCs w:val="20"/>
        </w:rPr>
        <w:footnoteReference w:id="327"/>
      </w:r>
      <w:r w:rsidRPr="00744CE4">
        <w:rPr>
          <w:rFonts w:ascii="Verdana" w:hAnsi="Verdana"/>
          <w:sz w:val="20"/>
          <w:szCs w:val="20"/>
        </w:rPr>
        <w:t>.</w:t>
      </w:r>
    </w:p>
    <w:p w14:paraId="64AA5F65" w14:textId="4CC9E44F" w:rsidR="002E1C85" w:rsidRPr="00432ABC" w:rsidRDefault="00105D06">
      <w:pPr>
        <w:pStyle w:val="ListParagraph"/>
        <w:widowControl w:val="0"/>
        <w:numPr>
          <w:ilvl w:val="0"/>
          <w:numId w:val="45"/>
        </w:numPr>
        <w:tabs>
          <w:tab w:val="left" w:pos="567"/>
        </w:tabs>
        <w:autoSpaceDE w:val="0"/>
        <w:autoSpaceDN w:val="0"/>
        <w:adjustRightInd w:val="0"/>
        <w:spacing w:before="120" w:after="120" w:line="240" w:lineRule="auto"/>
        <w:ind w:left="1560" w:hanging="426"/>
        <w:contextualSpacing w:val="0"/>
        <w:jc w:val="both"/>
        <w:textAlignment w:val="baseline"/>
        <w:outlineLvl w:val="2"/>
        <w:rPr>
          <w:rFonts w:ascii="Verdana" w:hAnsi="Verdana"/>
          <w:i/>
          <w:sz w:val="20"/>
          <w:szCs w:val="20"/>
        </w:rPr>
      </w:pPr>
      <w:bookmarkStart w:id="156" w:name="_Toc526783775"/>
      <w:r>
        <w:rPr>
          <w:rFonts w:ascii="Verdana" w:hAnsi="Verdana"/>
          <w:i/>
          <w:sz w:val="20"/>
          <w:szCs w:val="20"/>
        </w:rPr>
        <w:t xml:space="preserve"> </w:t>
      </w:r>
      <w:bookmarkStart w:id="157" w:name="_Toc532995350"/>
      <w:r w:rsidR="002E1C85" w:rsidRPr="00432ABC">
        <w:rPr>
          <w:rFonts w:ascii="Verdana" w:hAnsi="Verdana"/>
          <w:i/>
          <w:sz w:val="20"/>
          <w:szCs w:val="20"/>
        </w:rPr>
        <w:t>Otros procedimientos</w:t>
      </w:r>
      <w:bookmarkEnd w:id="156"/>
      <w:bookmarkEnd w:id="157"/>
    </w:p>
    <w:p w14:paraId="64AA5F67" w14:textId="0455ED2D" w:rsidR="002E1C85" w:rsidRPr="00432ABC" w:rsidRDefault="00556FDB">
      <w:pPr>
        <w:pStyle w:val="Heading4"/>
        <w:numPr>
          <w:ilvl w:val="0"/>
          <w:numId w:val="60"/>
        </w:numPr>
        <w:spacing w:before="120" w:after="120"/>
        <w:contextualSpacing w:val="0"/>
        <w:rPr>
          <w:u w:val="none"/>
        </w:rPr>
      </w:pPr>
      <w:r>
        <w:rPr>
          <w:u w:val="none"/>
        </w:rPr>
        <w:t xml:space="preserve"> </w:t>
      </w:r>
      <w:bookmarkStart w:id="158" w:name="_Toc532995351"/>
      <w:r w:rsidR="002E1C85" w:rsidRPr="00432ABC">
        <w:rPr>
          <w:u w:val="none"/>
        </w:rPr>
        <w:t>Comisión Nacional de los Derechos Humanos [CNDH]</w:t>
      </w:r>
      <w:r w:rsidR="00E33422" w:rsidRPr="008D0846">
        <w:rPr>
          <w:rStyle w:val="FootnoteReference"/>
          <w:u w:val="none"/>
        </w:rPr>
        <w:footnoteReference w:id="328"/>
      </w:r>
      <w:bookmarkEnd w:id="158"/>
      <w:r w:rsidR="002E1C85" w:rsidRPr="008D0846">
        <w:rPr>
          <w:u w:val="none"/>
        </w:rPr>
        <w:t xml:space="preserve"> </w:t>
      </w:r>
    </w:p>
    <w:p w14:paraId="30D5C501" w14:textId="665444EB" w:rsidR="00813B72" w:rsidRPr="00744CE4" w:rsidRDefault="002E1C85" w:rsidP="00DB378B">
      <w:pPr>
        <w:pStyle w:val="ListParagraph"/>
        <w:widowControl w:val="0"/>
        <w:numPr>
          <w:ilvl w:val="0"/>
          <w:numId w:val="4"/>
        </w:numPr>
        <w:tabs>
          <w:tab w:val="left" w:pos="567"/>
        </w:tabs>
        <w:adjustRightInd w:val="0"/>
        <w:spacing w:before="120" w:after="120" w:line="240" w:lineRule="auto"/>
        <w:ind w:left="0" w:firstLine="0"/>
        <w:contextualSpacing w:val="0"/>
        <w:jc w:val="both"/>
        <w:textAlignment w:val="baseline"/>
        <w:rPr>
          <w:rFonts w:ascii="Verdana" w:hAnsi="Verdana" w:cs="Arial"/>
          <w:sz w:val="20"/>
          <w:szCs w:val="20"/>
        </w:rPr>
      </w:pPr>
      <w:r w:rsidRPr="002C462C">
        <w:rPr>
          <w:rFonts w:ascii="Verdana" w:hAnsi="Verdana" w:cs="Arial"/>
          <w:sz w:val="20"/>
          <w:szCs w:val="20"/>
        </w:rPr>
        <w:t>El 4 de enero de 2010 Jaime Alvarado Herrera presentó una queja ante la CNDH en Ciudad Juárez, Chihuahua, en contra de la SEDENA por la desaparición de sus familiares</w:t>
      </w:r>
      <w:r w:rsidRPr="00744CE4">
        <w:rPr>
          <w:rFonts w:ascii="Verdana" w:hAnsi="Verdana"/>
          <w:sz w:val="20"/>
          <w:szCs w:val="20"/>
          <w:vertAlign w:val="superscript"/>
        </w:rPr>
        <w:footnoteReference w:id="329"/>
      </w:r>
      <w:r w:rsidRPr="00744CE4">
        <w:rPr>
          <w:rFonts w:ascii="Verdana" w:hAnsi="Verdana" w:cs="Arial"/>
          <w:sz w:val="20"/>
          <w:szCs w:val="20"/>
        </w:rPr>
        <w:t xml:space="preserve">. </w:t>
      </w:r>
    </w:p>
    <w:p w14:paraId="45ECC9DC" w14:textId="49E4D3BF" w:rsidR="00762AD6" w:rsidRPr="00744CE4" w:rsidRDefault="002E1C85" w:rsidP="00DB378B">
      <w:pPr>
        <w:pStyle w:val="ListParagraph"/>
        <w:widowControl w:val="0"/>
        <w:numPr>
          <w:ilvl w:val="0"/>
          <w:numId w:val="4"/>
        </w:numPr>
        <w:tabs>
          <w:tab w:val="left" w:pos="567"/>
        </w:tabs>
        <w:adjustRightInd w:val="0"/>
        <w:spacing w:before="120" w:after="120" w:line="240" w:lineRule="auto"/>
        <w:ind w:left="0" w:firstLine="0"/>
        <w:contextualSpacing w:val="0"/>
        <w:jc w:val="both"/>
        <w:textAlignment w:val="baseline"/>
        <w:rPr>
          <w:rFonts w:ascii="Verdana" w:hAnsi="Verdana" w:cs="Arial"/>
          <w:sz w:val="20"/>
          <w:szCs w:val="20"/>
        </w:rPr>
      </w:pPr>
      <w:r w:rsidRPr="00432ABC">
        <w:rPr>
          <w:rFonts w:ascii="Verdana" w:hAnsi="Verdana" w:cs="Arial"/>
          <w:sz w:val="20"/>
          <w:szCs w:val="20"/>
        </w:rPr>
        <w:t xml:space="preserve">El 30 de junio de 2011 la CNDH emitió la Recomendación 43/11 dirigida a los titulares de </w:t>
      </w:r>
      <w:r w:rsidRPr="00432ABC">
        <w:rPr>
          <w:rFonts w:ascii="Verdana" w:hAnsi="Verdana" w:cs="Arial"/>
          <w:sz w:val="20"/>
          <w:szCs w:val="20"/>
        </w:rPr>
        <w:lastRenderedPageBreak/>
        <w:t>la SEDENA y de la Secretaría de Seguridad Pública Federal [SSPF], así como del Gobernador de Chihuahua, en la que determinó la participación de agentes estatales de la SEDENA y de la Policía Federal en la detención arbitraria y desaparición forzada de las tres víctimas</w:t>
      </w:r>
      <w:r w:rsidRPr="00744CE4">
        <w:rPr>
          <w:rFonts w:ascii="Verdana" w:hAnsi="Verdana"/>
          <w:sz w:val="20"/>
          <w:szCs w:val="20"/>
          <w:vertAlign w:val="superscript"/>
        </w:rPr>
        <w:footnoteReference w:id="330"/>
      </w:r>
      <w:r w:rsidRPr="00744CE4">
        <w:rPr>
          <w:rFonts w:ascii="Verdana" w:hAnsi="Verdana" w:cs="Arial"/>
          <w:sz w:val="20"/>
          <w:szCs w:val="20"/>
        </w:rPr>
        <w:t xml:space="preserve">. Para arriba a dichas conclusiones, la CNDH tomó en cuenta: </w:t>
      </w:r>
    </w:p>
    <w:p w14:paraId="64AA5F6C" w14:textId="06DF5610" w:rsidR="002E1C85" w:rsidRPr="008D0846" w:rsidRDefault="00B4529B">
      <w:pPr>
        <w:pStyle w:val="ListParagraph"/>
        <w:widowControl w:val="0"/>
        <w:numPr>
          <w:ilvl w:val="2"/>
          <w:numId w:val="4"/>
        </w:numPr>
        <w:tabs>
          <w:tab w:val="left" w:pos="567"/>
        </w:tabs>
        <w:adjustRightInd w:val="0"/>
        <w:spacing w:before="120" w:after="120" w:line="240" w:lineRule="auto"/>
        <w:ind w:left="567" w:hanging="181"/>
        <w:contextualSpacing w:val="0"/>
        <w:jc w:val="both"/>
        <w:textAlignment w:val="baseline"/>
        <w:rPr>
          <w:rFonts w:ascii="Verdana" w:hAnsi="Verdana" w:cs="Arial"/>
          <w:sz w:val="18"/>
          <w:szCs w:val="20"/>
        </w:rPr>
      </w:pPr>
      <w:r w:rsidRPr="008D0846">
        <w:rPr>
          <w:rFonts w:ascii="Verdana" w:hAnsi="Verdana" w:cs="Arial"/>
          <w:sz w:val="18"/>
          <w:szCs w:val="20"/>
        </w:rPr>
        <w:t>e</w:t>
      </w:r>
      <w:r w:rsidR="002E1C85" w:rsidRPr="008D0846">
        <w:rPr>
          <w:rFonts w:ascii="Verdana" w:hAnsi="Verdana" w:cs="Arial"/>
          <w:sz w:val="18"/>
          <w:szCs w:val="20"/>
        </w:rPr>
        <w:t xml:space="preserve">l contexto de militarización en Buenaventura, Chihuahua; </w:t>
      </w:r>
    </w:p>
    <w:p w14:paraId="64AA5F6D" w14:textId="06CE2646" w:rsidR="002E1C85" w:rsidRPr="008D0846" w:rsidRDefault="00D60ADB">
      <w:pPr>
        <w:pStyle w:val="ListParagraph"/>
        <w:widowControl w:val="0"/>
        <w:numPr>
          <w:ilvl w:val="2"/>
          <w:numId w:val="4"/>
        </w:numPr>
        <w:tabs>
          <w:tab w:val="left" w:pos="567"/>
        </w:tabs>
        <w:adjustRightInd w:val="0"/>
        <w:spacing w:before="120" w:after="120" w:line="240" w:lineRule="auto"/>
        <w:ind w:left="567" w:hanging="181"/>
        <w:contextualSpacing w:val="0"/>
        <w:jc w:val="both"/>
        <w:textAlignment w:val="baseline"/>
        <w:rPr>
          <w:rFonts w:ascii="Verdana" w:hAnsi="Verdana" w:cs="Arial"/>
          <w:sz w:val="18"/>
          <w:szCs w:val="20"/>
        </w:rPr>
      </w:pPr>
      <w:r w:rsidRPr="008D0846">
        <w:rPr>
          <w:rFonts w:ascii="Verdana" w:hAnsi="Verdana" w:cs="Arial"/>
          <w:sz w:val="18"/>
          <w:szCs w:val="20"/>
        </w:rPr>
        <w:t>l</w:t>
      </w:r>
      <w:r w:rsidR="002E1C85" w:rsidRPr="008D0846">
        <w:rPr>
          <w:rFonts w:ascii="Verdana" w:hAnsi="Verdana" w:cs="Arial"/>
          <w:sz w:val="18"/>
          <w:szCs w:val="20"/>
        </w:rPr>
        <w:t xml:space="preserve">os testimonios de los familiares presentes al momento de los hechos; </w:t>
      </w:r>
    </w:p>
    <w:p w14:paraId="64AA5F6E" w14:textId="2D9F105D" w:rsidR="002E1C85" w:rsidRPr="008D0846" w:rsidRDefault="00D60ADB">
      <w:pPr>
        <w:pStyle w:val="ListParagraph"/>
        <w:widowControl w:val="0"/>
        <w:numPr>
          <w:ilvl w:val="2"/>
          <w:numId w:val="4"/>
        </w:numPr>
        <w:tabs>
          <w:tab w:val="left" w:pos="567"/>
        </w:tabs>
        <w:adjustRightInd w:val="0"/>
        <w:spacing w:before="120" w:after="120" w:line="240" w:lineRule="auto"/>
        <w:ind w:left="567" w:hanging="181"/>
        <w:contextualSpacing w:val="0"/>
        <w:jc w:val="both"/>
        <w:textAlignment w:val="baseline"/>
        <w:rPr>
          <w:rFonts w:ascii="Verdana" w:hAnsi="Verdana" w:cs="Arial"/>
          <w:sz w:val="18"/>
          <w:szCs w:val="20"/>
        </w:rPr>
      </w:pPr>
      <w:r w:rsidRPr="008D0846">
        <w:rPr>
          <w:rFonts w:ascii="Verdana" w:hAnsi="Verdana" w:cs="Arial"/>
          <w:sz w:val="18"/>
          <w:szCs w:val="20"/>
        </w:rPr>
        <w:t>l</w:t>
      </w:r>
      <w:r w:rsidR="002E1C85" w:rsidRPr="008D0846">
        <w:rPr>
          <w:rFonts w:ascii="Verdana" w:hAnsi="Verdana" w:cs="Arial"/>
          <w:sz w:val="18"/>
          <w:szCs w:val="20"/>
        </w:rPr>
        <w:t xml:space="preserve">as declaraciones de distintos funcionarios públicos, y la falta de pruebas que acreditaran las acciones realizadas por los agentes estatales el día de los hechos y desvirtuaran los señalamientos de su posible participación en los mismos, y finalmente, </w:t>
      </w:r>
    </w:p>
    <w:p w14:paraId="64AA5F70" w14:textId="6A9C2133" w:rsidR="002E1C85" w:rsidRPr="008D0846" w:rsidRDefault="00D60ADB">
      <w:pPr>
        <w:pStyle w:val="ListParagraph"/>
        <w:widowControl w:val="0"/>
        <w:numPr>
          <w:ilvl w:val="2"/>
          <w:numId w:val="4"/>
        </w:numPr>
        <w:tabs>
          <w:tab w:val="left" w:pos="567"/>
        </w:tabs>
        <w:adjustRightInd w:val="0"/>
        <w:spacing w:before="120" w:after="120" w:line="240" w:lineRule="auto"/>
        <w:ind w:left="567" w:hanging="181"/>
        <w:contextualSpacing w:val="0"/>
        <w:jc w:val="both"/>
        <w:textAlignment w:val="baseline"/>
        <w:rPr>
          <w:rFonts w:ascii="Verdana" w:hAnsi="Verdana" w:cs="Arial"/>
          <w:sz w:val="18"/>
          <w:szCs w:val="20"/>
        </w:rPr>
      </w:pPr>
      <w:r w:rsidRPr="008D0846">
        <w:rPr>
          <w:rFonts w:ascii="Verdana" w:hAnsi="Verdana" w:cs="Arial"/>
          <w:sz w:val="18"/>
          <w:szCs w:val="20"/>
        </w:rPr>
        <w:t>l</w:t>
      </w:r>
      <w:r w:rsidR="002E1C85" w:rsidRPr="008D0846">
        <w:rPr>
          <w:rFonts w:ascii="Verdana" w:hAnsi="Verdana" w:cs="Arial"/>
          <w:sz w:val="18"/>
          <w:szCs w:val="20"/>
        </w:rPr>
        <w:t>a falta de acciones para el esclarecimiento de los hechos y la identificación de los responsables, no obstante la existencia de diversas investigaciones en el fuero local, federal y militar.</w:t>
      </w:r>
    </w:p>
    <w:p w14:paraId="64AA5F72" w14:textId="02B28111" w:rsidR="002E1C85" w:rsidRPr="00744CE4" w:rsidRDefault="002E1C85" w:rsidP="00DB378B">
      <w:pPr>
        <w:widowControl w:val="0"/>
        <w:numPr>
          <w:ilvl w:val="0"/>
          <w:numId w:val="4"/>
        </w:numPr>
        <w:tabs>
          <w:tab w:val="left" w:pos="567"/>
        </w:tabs>
        <w:adjustRightInd w:val="0"/>
        <w:spacing w:before="120" w:after="120" w:line="240" w:lineRule="auto"/>
        <w:ind w:left="0" w:firstLine="0"/>
        <w:jc w:val="both"/>
        <w:textAlignment w:val="baseline"/>
        <w:rPr>
          <w:rFonts w:ascii="Verdana" w:hAnsi="Verdana" w:cs="Arial"/>
          <w:sz w:val="20"/>
          <w:szCs w:val="20"/>
        </w:rPr>
      </w:pPr>
      <w:r w:rsidRPr="00744CE4">
        <w:rPr>
          <w:rFonts w:ascii="Verdana" w:hAnsi="Verdana" w:cs="Arial"/>
          <w:sz w:val="20"/>
          <w:szCs w:val="20"/>
        </w:rPr>
        <w:t>La Recomendación 43/11 no fue aceptada por la SSPF</w:t>
      </w:r>
      <w:r w:rsidRPr="00744CE4">
        <w:rPr>
          <w:rStyle w:val="FootnoteReference"/>
          <w:rFonts w:ascii="Verdana" w:hAnsi="Verdana" w:cs="Arial"/>
          <w:sz w:val="20"/>
          <w:szCs w:val="20"/>
        </w:rPr>
        <w:footnoteReference w:id="331"/>
      </w:r>
      <w:r w:rsidRPr="00744CE4">
        <w:rPr>
          <w:rFonts w:ascii="Verdana" w:hAnsi="Verdana" w:cs="Arial"/>
          <w:sz w:val="20"/>
          <w:szCs w:val="20"/>
        </w:rPr>
        <w:t>, pero sí fue aceptada por el Gobierno del Estado de Chihuahua</w:t>
      </w:r>
      <w:r w:rsidRPr="00744CE4">
        <w:rPr>
          <w:rStyle w:val="FootnoteReference"/>
          <w:rFonts w:ascii="Verdana" w:hAnsi="Verdana" w:cs="Arial"/>
          <w:sz w:val="20"/>
          <w:szCs w:val="20"/>
        </w:rPr>
        <w:footnoteReference w:id="332"/>
      </w:r>
      <w:r w:rsidRPr="00744CE4">
        <w:rPr>
          <w:rFonts w:ascii="Verdana" w:hAnsi="Verdana" w:cs="Arial"/>
          <w:sz w:val="20"/>
          <w:szCs w:val="20"/>
        </w:rPr>
        <w:t xml:space="preserve"> y por la SEDENA</w:t>
      </w:r>
      <w:r w:rsidRPr="00744CE4">
        <w:rPr>
          <w:rStyle w:val="FootnoteReference"/>
          <w:rFonts w:ascii="Verdana" w:hAnsi="Verdana" w:cs="Arial"/>
          <w:sz w:val="20"/>
          <w:szCs w:val="20"/>
        </w:rPr>
        <w:footnoteReference w:id="333"/>
      </w:r>
      <w:r w:rsidRPr="00744CE4">
        <w:rPr>
          <w:rFonts w:ascii="Verdana" w:hAnsi="Verdana" w:cs="Arial"/>
          <w:sz w:val="20"/>
          <w:szCs w:val="20"/>
        </w:rPr>
        <w:t>. En vista de dicha aceptación, el 14 de noviembre de 2012 la SEDENA entregó a Obdulia Espinoza Beltrán, Patricia Reyes Rueda y Ascensión Alvarado Fa</w:t>
      </w:r>
      <w:r w:rsidR="00B82930" w:rsidRPr="00744CE4">
        <w:rPr>
          <w:rFonts w:ascii="Verdana" w:hAnsi="Verdana" w:cs="Arial"/>
          <w:sz w:val="20"/>
          <w:szCs w:val="20"/>
        </w:rPr>
        <w:t>b</w:t>
      </w:r>
      <w:r w:rsidRPr="00432ABC">
        <w:rPr>
          <w:rFonts w:ascii="Verdana" w:hAnsi="Verdana" w:cs="Arial"/>
          <w:sz w:val="20"/>
          <w:szCs w:val="20"/>
        </w:rPr>
        <w:t xml:space="preserve">ela (en su carácter de legítimos beneficiarios de los </w:t>
      </w:r>
      <w:r w:rsidR="00640618">
        <w:rPr>
          <w:rFonts w:ascii="Verdana" w:hAnsi="Verdana" w:cs="Arial"/>
          <w:sz w:val="20"/>
          <w:szCs w:val="20"/>
        </w:rPr>
        <w:t>3</w:t>
      </w:r>
      <w:r w:rsidRPr="00432ABC">
        <w:rPr>
          <w:rFonts w:ascii="Verdana" w:hAnsi="Verdana" w:cs="Arial"/>
          <w:sz w:val="20"/>
          <w:szCs w:val="20"/>
        </w:rPr>
        <w:t xml:space="preserve"> desaparecidos), la  cantidad de $182,003.60 (ciento ochenta y dos mil tres pesos 60/100, moneda nacional) por concepto de apoyo económico, aclarando en el respectivo convenio suscrito con cada uno de los referidos beneficiarios que tal entrega se hacía como acto de buena fe y sin que ello implicara un reconocimiento de responsabilidad en las 3 desapariciones</w:t>
      </w:r>
      <w:r w:rsidRPr="00744CE4">
        <w:rPr>
          <w:rFonts w:ascii="Verdana" w:hAnsi="Verdana"/>
          <w:sz w:val="20"/>
          <w:szCs w:val="20"/>
          <w:vertAlign w:val="superscript"/>
        </w:rPr>
        <w:footnoteReference w:id="334"/>
      </w:r>
      <w:r w:rsidRPr="00744CE4">
        <w:rPr>
          <w:rFonts w:ascii="Verdana" w:hAnsi="Verdana" w:cs="Arial"/>
          <w:sz w:val="20"/>
          <w:szCs w:val="20"/>
        </w:rPr>
        <w:t>.</w:t>
      </w:r>
    </w:p>
    <w:p w14:paraId="64AA5F74" w14:textId="214A548F" w:rsidR="002E1C85" w:rsidRPr="00432ABC" w:rsidRDefault="00556FDB">
      <w:pPr>
        <w:pStyle w:val="Heading4"/>
        <w:numPr>
          <w:ilvl w:val="0"/>
          <w:numId w:val="60"/>
        </w:numPr>
        <w:spacing w:before="120" w:after="120"/>
        <w:contextualSpacing w:val="0"/>
        <w:rPr>
          <w:u w:val="none"/>
          <w:lang w:val="es-AR"/>
        </w:rPr>
      </w:pPr>
      <w:r>
        <w:rPr>
          <w:u w:val="none"/>
          <w:lang w:val="es-AR"/>
        </w:rPr>
        <w:t xml:space="preserve"> </w:t>
      </w:r>
      <w:bookmarkStart w:id="159" w:name="_Toc532995352"/>
      <w:r w:rsidR="002E1C85" w:rsidRPr="00432ABC">
        <w:rPr>
          <w:u w:val="none"/>
          <w:lang w:val="es-AR"/>
        </w:rPr>
        <w:t>Programa para la Atención de Quejas y Denuncias sobre el Operativo Conjunto Juárez [Queja 886/09]</w:t>
      </w:r>
      <w:bookmarkEnd w:id="159"/>
    </w:p>
    <w:p w14:paraId="64AA5F76" w14:textId="006FECFB" w:rsidR="002E1C85" w:rsidRPr="00744CE4" w:rsidRDefault="002E1C85" w:rsidP="00DB378B">
      <w:pPr>
        <w:widowControl w:val="0"/>
        <w:numPr>
          <w:ilvl w:val="0"/>
          <w:numId w:val="4"/>
        </w:numPr>
        <w:tabs>
          <w:tab w:val="left" w:pos="567"/>
        </w:tabs>
        <w:adjustRightInd w:val="0"/>
        <w:spacing w:before="120" w:after="120" w:line="240" w:lineRule="auto"/>
        <w:ind w:left="0" w:firstLine="0"/>
        <w:jc w:val="both"/>
        <w:textAlignment w:val="baseline"/>
        <w:rPr>
          <w:rFonts w:ascii="Verdana" w:hAnsi="Verdana"/>
          <w:i/>
          <w:sz w:val="20"/>
          <w:szCs w:val="20"/>
        </w:rPr>
      </w:pPr>
      <w:r w:rsidRPr="00432ABC">
        <w:rPr>
          <w:rFonts w:ascii="Verdana" w:hAnsi="Verdana"/>
          <w:sz w:val="20"/>
          <w:szCs w:val="20"/>
        </w:rPr>
        <w:t>El 4 de enero de 2010 Patricia Reyes Rueda promovió en las oficinas del Programa para la Atención de Quejas y Denuncias sobre el Operativo Conjunto Juárez en Ciudad Juárez, Chihuahua, una denuncia en contra de elementos militares “destacamentados en el Estado” [sic] y de “Élfido o Elfidio Luján” por la desaparición de su</w:t>
      </w:r>
      <w:r w:rsidRPr="002C462C">
        <w:rPr>
          <w:rFonts w:ascii="Verdana" w:hAnsi="Verdana"/>
          <w:sz w:val="20"/>
          <w:szCs w:val="20"/>
        </w:rPr>
        <w:t>s familiares, la cual fue radicada bajo el rubro 886/09</w:t>
      </w:r>
      <w:r w:rsidRPr="00744CE4">
        <w:rPr>
          <w:rStyle w:val="FootnoteReference"/>
          <w:rFonts w:ascii="Verdana" w:hAnsi="Verdana"/>
          <w:sz w:val="20"/>
          <w:szCs w:val="20"/>
        </w:rPr>
        <w:footnoteReference w:id="335"/>
      </w:r>
      <w:r w:rsidRPr="00744CE4">
        <w:rPr>
          <w:rFonts w:ascii="Verdana" w:hAnsi="Verdana"/>
          <w:sz w:val="20"/>
          <w:szCs w:val="20"/>
        </w:rPr>
        <w:t xml:space="preserve">. No obstante, a la fecha se desconoce la determinación final que recayó a dicha demanda por no existir constancia alguna ante el Tribunal que dé cuenta de la </w:t>
      </w:r>
      <w:r w:rsidR="00BE37DC" w:rsidRPr="00432ABC">
        <w:rPr>
          <w:rFonts w:ascii="Verdana" w:hAnsi="Verdana"/>
          <w:sz w:val="20"/>
          <w:szCs w:val="20"/>
        </w:rPr>
        <w:t xml:space="preserve">existencia de la </w:t>
      </w:r>
      <w:r w:rsidRPr="00432ABC">
        <w:rPr>
          <w:rFonts w:ascii="Verdana" w:hAnsi="Verdana"/>
          <w:sz w:val="20"/>
          <w:szCs w:val="20"/>
        </w:rPr>
        <w:t>misma</w:t>
      </w:r>
      <w:r w:rsidR="00423288" w:rsidRPr="00744CE4">
        <w:rPr>
          <w:rStyle w:val="FootnoteReference"/>
          <w:rFonts w:ascii="Verdana" w:hAnsi="Verdana"/>
          <w:sz w:val="20"/>
          <w:szCs w:val="20"/>
        </w:rPr>
        <w:footnoteReference w:id="336"/>
      </w:r>
      <w:r w:rsidRPr="00744CE4">
        <w:rPr>
          <w:rFonts w:ascii="Verdana" w:hAnsi="Verdana"/>
          <w:sz w:val="20"/>
          <w:szCs w:val="20"/>
        </w:rPr>
        <w:t>.</w:t>
      </w:r>
    </w:p>
    <w:p w14:paraId="64AA5F78" w14:textId="57153F5F" w:rsidR="002E1C85" w:rsidRPr="002C462C" w:rsidRDefault="0020172F">
      <w:pPr>
        <w:pStyle w:val="ListParagraph"/>
        <w:keepNext/>
        <w:keepLines/>
        <w:widowControl w:val="0"/>
        <w:numPr>
          <w:ilvl w:val="0"/>
          <w:numId w:val="42"/>
        </w:numPr>
        <w:adjustRightInd w:val="0"/>
        <w:spacing w:before="120" w:after="120" w:line="240" w:lineRule="auto"/>
        <w:ind w:left="714" w:hanging="357"/>
        <w:contextualSpacing w:val="0"/>
        <w:jc w:val="both"/>
        <w:textAlignment w:val="baseline"/>
        <w:outlineLvl w:val="1"/>
        <w:rPr>
          <w:rFonts w:ascii="Verdana" w:hAnsi="Verdana"/>
          <w:b/>
          <w:i/>
          <w:sz w:val="20"/>
          <w:szCs w:val="20"/>
        </w:rPr>
      </w:pPr>
      <w:bookmarkStart w:id="160" w:name="_Toc526774154"/>
      <w:bookmarkStart w:id="161" w:name="_Toc526777486"/>
      <w:bookmarkStart w:id="162" w:name="_Toc526783776"/>
      <w:r>
        <w:rPr>
          <w:rFonts w:ascii="Verdana" w:hAnsi="Verdana"/>
          <w:b/>
          <w:i/>
          <w:sz w:val="20"/>
          <w:szCs w:val="20"/>
        </w:rPr>
        <w:lastRenderedPageBreak/>
        <w:t xml:space="preserve"> </w:t>
      </w:r>
      <w:bookmarkStart w:id="163" w:name="_Toc532995353"/>
      <w:r w:rsidR="001E5246" w:rsidRPr="00432ABC">
        <w:rPr>
          <w:rFonts w:ascii="Verdana" w:hAnsi="Verdana"/>
          <w:b/>
          <w:i/>
          <w:sz w:val="20"/>
          <w:szCs w:val="20"/>
        </w:rPr>
        <w:t xml:space="preserve">Sobre </w:t>
      </w:r>
      <w:r w:rsidR="001E5246" w:rsidRPr="00432ABC">
        <w:rPr>
          <w:rFonts w:ascii="Verdana" w:hAnsi="Verdana"/>
          <w:b/>
          <w:i/>
          <w:sz w:val="20"/>
          <w:szCs w:val="20"/>
          <w:lang w:val="es-CR"/>
        </w:rPr>
        <w:t>las</w:t>
      </w:r>
      <w:r w:rsidR="002E1C85" w:rsidRPr="00432ABC">
        <w:rPr>
          <w:rFonts w:ascii="Verdana" w:hAnsi="Verdana"/>
          <w:b/>
          <w:i/>
          <w:sz w:val="20"/>
          <w:szCs w:val="20"/>
          <w:lang w:val="es-CR"/>
        </w:rPr>
        <w:t xml:space="preserve"> amenazas y hostigamientos recibidos por los familiares</w:t>
      </w:r>
      <w:r w:rsidR="008D71A5">
        <w:rPr>
          <w:rFonts w:ascii="Verdana" w:hAnsi="Verdana"/>
          <w:b/>
          <w:i/>
          <w:sz w:val="20"/>
          <w:szCs w:val="20"/>
          <w:lang w:val="es-CR"/>
        </w:rPr>
        <w:t>,</w:t>
      </w:r>
      <w:r w:rsidR="008D1822" w:rsidRPr="00432ABC">
        <w:rPr>
          <w:rFonts w:ascii="Verdana" w:hAnsi="Verdana"/>
          <w:b/>
          <w:i/>
          <w:sz w:val="20"/>
          <w:szCs w:val="20"/>
          <w:lang w:val="es-CR"/>
        </w:rPr>
        <w:t xml:space="preserve"> los desplazamientos de </w:t>
      </w:r>
      <w:r w:rsidR="00D156DC">
        <w:rPr>
          <w:rFonts w:ascii="Verdana" w:hAnsi="Verdana"/>
          <w:b/>
          <w:i/>
          <w:sz w:val="20"/>
          <w:szCs w:val="20"/>
          <w:lang w:val="es-CR"/>
        </w:rPr>
        <w:t>é</w:t>
      </w:r>
      <w:r w:rsidR="008D1822" w:rsidRPr="00432ABC">
        <w:rPr>
          <w:rFonts w:ascii="Verdana" w:hAnsi="Verdana"/>
          <w:b/>
          <w:i/>
          <w:sz w:val="20"/>
          <w:szCs w:val="20"/>
          <w:lang w:val="es-CR"/>
        </w:rPr>
        <w:t xml:space="preserve">stos </w:t>
      </w:r>
      <w:r w:rsidR="002E1C85" w:rsidRPr="002C462C">
        <w:rPr>
          <w:rFonts w:ascii="Verdana" w:hAnsi="Verdana"/>
          <w:b/>
          <w:i/>
          <w:sz w:val="20"/>
          <w:szCs w:val="20"/>
          <w:lang w:val="es-CR"/>
        </w:rPr>
        <w:t>una vez ocurridas las tres desapariciones</w:t>
      </w:r>
      <w:bookmarkEnd w:id="160"/>
      <w:bookmarkEnd w:id="161"/>
      <w:bookmarkEnd w:id="162"/>
      <w:r w:rsidR="008D71A5">
        <w:rPr>
          <w:rFonts w:ascii="Verdana" w:hAnsi="Verdana"/>
          <w:b/>
          <w:i/>
          <w:sz w:val="20"/>
          <w:szCs w:val="20"/>
          <w:lang w:val="es-CR"/>
        </w:rPr>
        <w:t xml:space="preserve"> y las Medidas Provisionales</w:t>
      </w:r>
      <w:bookmarkEnd w:id="163"/>
    </w:p>
    <w:p w14:paraId="3388272D" w14:textId="56167FC0" w:rsidR="008D1822" w:rsidRPr="00744CE4" w:rsidRDefault="00E34BFF">
      <w:pPr>
        <w:pStyle w:val="ListParagraph"/>
        <w:widowControl w:val="0"/>
        <w:numPr>
          <w:ilvl w:val="0"/>
          <w:numId w:val="55"/>
        </w:numPr>
        <w:tabs>
          <w:tab w:val="left" w:pos="567"/>
        </w:tabs>
        <w:autoSpaceDE w:val="0"/>
        <w:autoSpaceDN w:val="0"/>
        <w:adjustRightInd w:val="0"/>
        <w:spacing w:before="120" w:after="120" w:line="240" w:lineRule="auto"/>
        <w:ind w:left="1560" w:hanging="426"/>
        <w:contextualSpacing w:val="0"/>
        <w:jc w:val="both"/>
        <w:textAlignment w:val="baseline"/>
        <w:outlineLvl w:val="2"/>
        <w:rPr>
          <w:rFonts w:ascii="Verdana" w:hAnsi="Verdana"/>
          <w:i/>
          <w:sz w:val="20"/>
          <w:szCs w:val="20"/>
          <w:lang w:val="es-AR"/>
        </w:rPr>
      </w:pPr>
      <w:r>
        <w:rPr>
          <w:rFonts w:ascii="Verdana" w:hAnsi="Verdana"/>
          <w:i/>
          <w:sz w:val="20"/>
          <w:szCs w:val="20"/>
          <w:lang w:val="es-CR"/>
        </w:rPr>
        <w:t xml:space="preserve"> </w:t>
      </w:r>
      <w:bookmarkStart w:id="164" w:name="_Toc532995354"/>
      <w:r w:rsidR="008D1822" w:rsidRPr="00744CE4">
        <w:rPr>
          <w:rFonts w:ascii="Verdana" w:hAnsi="Verdana"/>
          <w:i/>
          <w:sz w:val="20"/>
          <w:szCs w:val="20"/>
          <w:lang w:val="es-CR"/>
        </w:rPr>
        <w:t xml:space="preserve">Las amenazas y hostigamientos recibidos por los </w:t>
      </w:r>
      <w:r w:rsidR="008D1822" w:rsidRPr="00744CE4">
        <w:rPr>
          <w:rFonts w:ascii="Verdana" w:hAnsi="Verdana"/>
          <w:i/>
          <w:sz w:val="20"/>
          <w:szCs w:val="20"/>
          <w:lang w:val="es-AR"/>
        </w:rPr>
        <w:t>familiares</w:t>
      </w:r>
      <w:bookmarkEnd w:id="164"/>
      <w:r w:rsidR="008D1822" w:rsidRPr="00744CE4">
        <w:rPr>
          <w:rFonts w:ascii="Verdana" w:hAnsi="Verdana"/>
          <w:i/>
          <w:sz w:val="20"/>
          <w:szCs w:val="20"/>
          <w:lang w:val="es-AR"/>
        </w:rPr>
        <w:t xml:space="preserve"> </w:t>
      </w:r>
    </w:p>
    <w:p w14:paraId="6B26949E" w14:textId="63E20C59" w:rsidR="008D1822" w:rsidRPr="00744CE4" w:rsidRDefault="008D1822" w:rsidP="00DB378B">
      <w:pPr>
        <w:widowControl w:val="0"/>
        <w:numPr>
          <w:ilvl w:val="0"/>
          <w:numId w:val="4"/>
        </w:numPr>
        <w:tabs>
          <w:tab w:val="left" w:pos="567"/>
        </w:tabs>
        <w:adjustRightInd w:val="0"/>
        <w:spacing w:before="120" w:after="120" w:line="240" w:lineRule="auto"/>
        <w:ind w:left="0" w:firstLine="0"/>
        <w:jc w:val="both"/>
        <w:textAlignment w:val="baseline"/>
        <w:rPr>
          <w:rFonts w:ascii="Verdana" w:hAnsi="Verdana" w:cs="Cambria"/>
          <w:sz w:val="20"/>
          <w:szCs w:val="20"/>
        </w:rPr>
      </w:pPr>
      <w:r w:rsidRPr="00744CE4">
        <w:rPr>
          <w:rFonts w:ascii="Verdana" w:hAnsi="Verdana" w:cs="Cambria"/>
          <w:sz w:val="20"/>
          <w:szCs w:val="20"/>
        </w:rPr>
        <w:t>Primeramente, e</w:t>
      </w:r>
      <w:r w:rsidRPr="00744CE4">
        <w:rPr>
          <w:rFonts w:ascii="Verdana" w:eastAsiaTheme="minorHAnsi" w:hAnsi="Verdana" w:cs="Cambria"/>
          <w:sz w:val="20"/>
          <w:szCs w:val="20"/>
        </w:rPr>
        <w:t xml:space="preserve">l 13 de mayo de 2010 la </w:t>
      </w:r>
      <w:r w:rsidR="007B2885">
        <w:rPr>
          <w:rFonts w:ascii="Verdana" w:eastAsiaTheme="minorHAnsi" w:hAnsi="Verdana" w:cs="Cambria"/>
          <w:sz w:val="20"/>
          <w:szCs w:val="20"/>
        </w:rPr>
        <w:t xml:space="preserve">Comisión Interamericana </w:t>
      </w:r>
      <w:r w:rsidRPr="00744CE4">
        <w:rPr>
          <w:rFonts w:ascii="Verdana" w:eastAsiaTheme="minorHAnsi" w:hAnsi="Verdana" w:cs="Cambria"/>
          <w:sz w:val="20"/>
          <w:szCs w:val="20"/>
        </w:rPr>
        <w:t>sometió a la Corte una solicitud de medidas provisionales, con el propósito de que el Estado protegiera la vida e integridad personal de Nitza Paola, Rocío Irene y José Ángel Alvarado</w:t>
      </w:r>
      <w:r w:rsidRPr="00744CE4">
        <w:rPr>
          <w:rStyle w:val="FootnoteReference"/>
          <w:rFonts w:ascii="Verdana" w:hAnsi="Verdana" w:cs="Cambria"/>
          <w:sz w:val="20"/>
          <w:szCs w:val="20"/>
        </w:rPr>
        <w:footnoteReference w:id="337"/>
      </w:r>
      <w:r w:rsidRPr="00744CE4">
        <w:rPr>
          <w:rFonts w:ascii="Verdana" w:eastAsiaTheme="minorHAnsi" w:hAnsi="Verdana" w:cs="Cambria"/>
          <w:sz w:val="20"/>
          <w:szCs w:val="20"/>
        </w:rPr>
        <w:t>. Mediante Resolución de 26 de mayo de 2010 la Corte ordenó al Estado adoptar, de forma inmediata, todas las medidas que fueran necesarias para dar con el paradero de las víctimas y, seguidamente, proteger su vida, integridad y libertad personal</w:t>
      </w:r>
      <w:r w:rsidRPr="00744CE4">
        <w:rPr>
          <w:rFonts w:ascii="Verdana" w:hAnsi="Verdana"/>
          <w:sz w:val="20"/>
          <w:szCs w:val="20"/>
          <w:vertAlign w:val="superscript"/>
        </w:rPr>
        <w:footnoteReference w:id="338"/>
      </w:r>
      <w:r w:rsidRPr="00744CE4">
        <w:rPr>
          <w:rFonts w:ascii="Verdana" w:hAnsi="Verdana" w:cs="Cambria"/>
          <w:sz w:val="20"/>
          <w:szCs w:val="20"/>
        </w:rPr>
        <w:t xml:space="preserve">. Mediante Resolución de 26 de noviembre de 2010 la Corte determinó mantener las medidas a falta de resultados concretos por parte de las autoridades estatales y, a partir de la información recibida sobre actos de hostigamiento a familiares se consideró que </w:t>
      </w:r>
      <w:r w:rsidRPr="00432ABC">
        <w:rPr>
          <w:rFonts w:ascii="Verdana" w:hAnsi="Verdana" w:cs="Cambria"/>
          <w:sz w:val="20"/>
          <w:szCs w:val="20"/>
        </w:rPr>
        <w:t>24 miembros de la familia se encontraban en una situación de riesgo y resolvió ampliarlas en su favor</w:t>
      </w:r>
      <w:r w:rsidRPr="00744CE4">
        <w:rPr>
          <w:rStyle w:val="FootnoteReference"/>
          <w:rFonts w:ascii="Verdana" w:hAnsi="Verdana" w:cs="Cambria"/>
          <w:sz w:val="20"/>
          <w:szCs w:val="20"/>
        </w:rPr>
        <w:footnoteReference w:id="339"/>
      </w:r>
      <w:r w:rsidRPr="00744CE4">
        <w:rPr>
          <w:rFonts w:ascii="Verdana" w:hAnsi="Verdana" w:cs="Cambria"/>
          <w:sz w:val="20"/>
          <w:szCs w:val="20"/>
        </w:rPr>
        <w:t xml:space="preserve">. </w:t>
      </w:r>
    </w:p>
    <w:p w14:paraId="2DC0002D" w14:textId="7200AE69" w:rsidR="00BD656C" w:rsidRPr="00432ABC" w:rsidRDefault="008D1822" w:rsidP="00DB378B">
      <w:pPr>
        <w:widowControl w:val="0"/>
        <w:numPr>
          <w:ilvl w:val="0"/>
          <w:numId w:val="4"/>
        </w:numPr>
        <w:tabs>
          <w:tab w:val="left" w:pos="567"/>
        </w:tabs>
        <w:adjustRightInd w:val="0"/>
        <w:spacing w:before="120" w:after="120" w:line="240" w:lineRule="auto"/>
        <w:ind w:left="0" w:firstLine="0"/>
        <w:jc w:val="both"/>
        <w:textAlignment w:val="baseline"/>
        <w:rPr>
          <w:rFonts w:ascii="Verdana" w:hAnsi="Verdana" w:cs="Cambria"/>
          <w:sz w:val="20"/>
          <w:szCs w:val="20"/>
        </w:rPr>
      </w:pPr>
      <w:r w:rsidRPr="00744CE4">
        <w:rPr>
          <w:rFonts w:ascii="Verdana" w:hAnsi="Verdana" w:cs="Times New Roman"/>
          <w:sz w:val="20"/>
          <w:szCs w:val="20"/>
        </w:rPr>
        <w:t>E</w:t>
      </w:r>
      <w:r w:rsidRPr="00432ABC">
        <w:rPr>
          <w:rFonts w:ascii="Verdana" w:hAnsi="Verdana" w:cs="Times New Roman"/>
          <w:sz w:val="20"/>
          <w:szCs w:val="20"/>
        </w:rPr>
        <w:t xml:space="preserve">l 29 de enero de 2011 </w:t>
      </w:r>
      <w:r w:rsidR="00894E31" w:rsidRPr="00432ABC">
        <w:rPr>
          <w:rFonts w:ascii="Verdana" w:hAnsi="Verdana" w:cs="Cambria"/>
          <w:sz w:val="20"/>
          <w:szCs w:val="20"/>
        </w:rPr>
        <w:t>José</w:t>
      </w:r>
      <w:r w:rsidRPr="00432ABC">
        <w:rPr>
          <w:rFonts w:ascii="Verdana" w:hAnsi="Verdana" w:cs="Cambria"/>
          <w:sz w:val="20"/>
          <w:szCs w:val="20"/>
        </w:rPr>
        <w:t xml:space="preserve"> Ángel Alvarado Fabela (padre de José Ángel Alvarado Herrera) recibió una llamada telefónica a su celular en la cual le dijeron: </w:t>
      </w:r>
    </w:p>
    <w:p w14:paraId="2072823E" w14:textId="77777777" w:rsidR="008D1822" w:rsidRPr="00744CE4" w:rsidRDefault="008D1822">
      <w:pPr>
        <w:widowControl w:val="0"/>
        <w:tabs>
          <w:tab w:val="left" w:pos="567"/>
        </w:tabs>
        <w:adjustRightInd w:val="0"/>
        <w:spacing w:before="120" w:after="120" w:line="240" w:lineRule="auto"/>
        <w:ind w:left="720"/>
        <w:jc w:val="both"/>
        <w:textAlignment w:val="baseline"/>
        <w:rPr>
          <w:rFonts w:ascii="Verdana" w:hAnsi="Verdana" w:cs="Cambria"/>
          <w:sz w:val="20"/>
          <w:szCs w:val="20"/>
        </w:rPr>
      </w:pPr>
      <w:r w:rsidRPr="002C462C">
        <w:rPr>
          <w:rFonts w:ascii="Verdana" w:hAnsi="Verdana"/>
          <w:sz w:val="20"/>
          <w:szCs w:val="20"/>
        </w:rPr>
        <w:t>“</w:t>
      </w:r>
      <w:r w:rsidRPr="002C462C">
        <w:rPr>
          <w:rFonts w:ascii="Verdana" w:hAnsi="Verdana"/>
          <w:sz w:val="18"/>
          <w:szCs w:val="20"/>
        </w:rPr>
        <w:t xml:space="preserve">nosotros tenemos a tu hijo y está vivo, te vamos a matar como a un perro a ti y a tus hijos, tienes </w:t>
      </w:r>
      <w:r w:rsidRPr="00744CE4">
        <w:rPr>
          <w:rFonts w:ascii="Verdana" w:hAnsi="Verdana"/>
          <w:sz w:val="18"/>
          <w:szCs w:val="20"/>
        </w:rPr>
        <w:t>doce horas para dejar la casa y la ciudad, si no los matamos a todos porque están hablando demasiado”</w:t>
      </w:r>
      <w:r w:rsidRPr="00744CE4">
        <w:rPr>
          <w:rStyle w:val="FootnoteReference"/>
          <w:rFonts w:ascii="Verdana" w:hAnsi="Verdana"/>
          <w:sz w:val="18"/>
          <w:szCs w:val="20"/>
        </w:rPr>
        <w:footnoteReference w:id="340"/>
      </w:r>
      <w:r w:rsidRPr="00744CE4">
        <w:rPr>
          <w:rFonts w:ascii="Verdana" w:hAnsi="Verdana"/>
          <w:sz w:val="18"/>
          <w:szCs w:val="20"/>
        </w:rPr>
        <w:t>.</w:t>
      </w:r>
    </w:p>
    <w:p w14:paraId="3BEA3845" w14:textId="3969E632" w:rsidR="008D1822" w:rsidRPr="00744CE4" w:rsidRDefault="008D1822" w:rsidP="00DB378B">
      <w:pPr>
        <w:widowControl w:val="0"/>
        <w:numPr>
          <w:ilvl w:val="0"/>
          <w:numId w:val="4"/>
        </w:numPr>
        <w:tabs>
          <w:tab w:val="left" w:pos="567"/>
        </w:tabs>
        <w:adjustRightInd w:val="0"/>
        <w:spacing w:before="120" w:after="120" w:line="240" w:lineRule="auto"/>
        <w:ind w:left="0" w:firstLine="0"/>
        <w:jc w:val="both"/>
        <w:textAlignment w:val="baseline"/>
        <w:rPr>
          <w:rFonts w:ascii="Verdana" w:hAnsi="Verdana" w:cs="Cambria"/>
          <w:sz w:val="20"/>
          <w:szCs w:val="20"/>
        </w:rPr>
      </w:pPr>
      <w:r w:rsidRPr="00432ABC">
        <w:rPr>
          <w:rFonts w:ascii="Verdana" w:hAnsi="Verdana" w:cs="Cambria"/>
          <w:sz w:val="20"/>
          <w:szCs w:val="20"/>
        </w:rPr>
        <w:t>El 16 de marzo de 2011 la CNDH promovió ante el Director de Derechos Humanos de la SEDENA una extensión de las medidas cautelares implementadas en el marco de las MC-55-10 otorgadas el 4 de marzo de 2010 por la Comisión Interamericana. Dicha solicitud estuvo motivada a que la CNDH tuvo información de las amenazas de muerte recibidas que los familiares atribuyeron a elementos del Ejército</w:t>
      </w:r>
      <w:r w:rsidRPr="00744CE4">
        <w:rPr>
          <w:rStyle w:val="FootnoteReference"/>
          <w:rFonts w:ascii="Verdana" w:hAnsi="Verdana" w:cs="Cambria"/>
          <w:sz w:val="20"/>
          <w:szCs w:val="20"/>
        </w:rPr>
        <w:footnoteReference w:id="341"/>
      </w:r>
      <w:r w:rsidRPr="00744CE4">
        <w:rPr>
          <w:rFonts w:ascii="Verdana" w:hAnsi="Verdana" w:cs="Cambria"/>
          <w:sz w:val="20"/>
          <w:szCs w:val="20"/>
        </w:rPr>
        <w:t>. La extensión de las medidas cautelares fue otorgada por la SEDENA el 19 de marzo de 2011</w:t>
      </w:r>
      <w:r w:rsidRPr="00744CE4">
        <w:rPr>
          <w:rStyle w:val="FootnoteReference"/>
          <w:rFonts w:ascii="Verdana" w:hAnsi="Verdana" w:cs="Cambria"/>
          <w:sz w:val="20"/>
          <w:szCs w:val="20"/>
        </w:rPr>
        <w:footnoteReference w:id="342"/>
      </w:r>
      <w:r w:rsidR="00894E31">
        <w:rPr>
          <w:rFonts w:ascii="Verdana" w:hAnsi="Verdana" w:cs="Cambria"/>
          <w:sz w:val="20"/>
          <w:szCs w:val="20"/>
        </w:rPr>
        <w:t>.</w:t>
      </w:r>
    </w:p>
    <w:p w14:paraId="21B5010F" w14:textId="1F2FEA8E" w:rsidR="008D1822" w:rsidRPr="00744CE4" w:rsidRDefault="008D1822" w:rsidP="00DB378B">
      <w:pPr>
        <w:pStyle w:val="ListParagraph"/>
        <w:numPr>
          <w:ilvl w:val="0"/>
          <w:numId w:val="4"/>
        </w:numPr>
        <w:autoSpaceDE w:val="0"/>
        <w:autoSpaceDN w:val="0"/>
        <w:adjustRightInd w:val="0"/>
        <w:spacing w:before="120" w:after="120" w:line="240" w:lineRule="auto"/>
        <w:ind w:left="0" w:firstLine="0"/>
        <w:contextualSpacing w:val="0"/>
        <w:jc w:val="both"/>
        <w:rPr>
          <w:rFonts w:ascii="Verdana" w:hAnsi="Verdana" w:cs="Arial"/>
          <w:sz w:val="20"/>
          <w:szCs w:val="20"/>
        </w:rPr>
      </w:pPr>
      <w:r w:rsidRPr="00744CE4">
        <w:rPr>
          <w:rFonts w:ascii="Verdana" w:hAnsi="Verdana" w:cs="Cambria"/>
          <w:sz w:val="20"/>
          <w:szCs w:val="20"/>
        </w:rPr>
        <w:t xml:space="preserve">Mediante Resolución de 15 de mayo de 2011 la Corte </w:t>
      </w:r>
      <w:r w:rsidRPr="00432ABC">
        <w:rPr>
          <w:rFonts w:ascii="Verdana" w:hAnsi="Verdana" w:cs="Arial"/>
          <w:sz w:val="20"/>
          <w:szCs w:val="20"/>
        </w:rPr>
        <w:t>determinó que, dados los acontecimientos informados –que revelaban una situación de extrema gravedad y urgencia– el Estado debía adoptar las medidas necesarias para proteger la vida y la integridad personal de otros 9 familiares</w:t>
      </w:r>
      <w:r w:rsidRPr="00744CE4">
        <w:rPr>
          <w:rStyle w:val="FootnoteReference"/>
          <w:rFonts w:ascii="Verdana" w:hAnsi="Verdana" w:cs="Arial"/>
          <w:sz w:val="20"/>
          <w:szCs w:val="20"/>
        </w:rPr>
        <w:footnoteReference w:id="343"/>
      </w:r>
      <w:r w:rsidRPr="00744CE4">
        <w:rPr>
          <w:rFonts w:ascii="Verdana" w:hAnsi="Verdana" w:cs="Arial"/>
          <w:sz w:val="20"/>
          <w:szCs w:val="20"/>
        </w:rPr>
        <w:t>, además de reiterar las medidas respecto del resto de los beneficiarios y de ordenar al Estado que éstas se planificaran e implementaran con la participación de los beneficiarios</w:t>
      </w:r>
      <w:r w:rsidRPr="00744CE4">
        <w:rPr>
          <w:rFonts w:ascii="Verdana" w:hAnsi="Verdana"/>
          <w:sz w:val="20"/>
          <w:szCs w:val="20"/>
          <w:vertAlign w:val="superscript"/>
        </w:rPr>
        <w:footnoteReference w:id="344"/>
      </w:r>
      <w:r w:rsidRPr="00744CE4">
        <w:rPr>
          <w:rFonts w:ascii="Verdana" w:hAnsi="Verdana" w:cs="Arial"/>
          <w:sz w:val="20"/>
          <w:szCs w:val="20"/>
        </w:rPr>
        <w:t>. En este sentido, el 28 de junio de 2011 se celebró una audiencia pública en la Corte IDH con la participación de las partes y la Comisión</w:t>
      </w:r>
      <w:r w:rsidRPr="00744CE4">
        <w:rPr>
          <w:rStyle w:val="FootnoteReference"/>
          <w:rFonts w:ascii="Verdana" w:hAnsi="Verdana" w:cs="Arial"/>
          <w:sz w:val="20"/>
          <w:szCs w:val="20"/>
        </w:rPr>
        <w:footnoteReference w:id="345"/>
      </w:r>
      <w:r w:rsidRPr="00744CE4">
        <w:rPr>
          <w:rFonts w:ascii="Verdana" w:hAnsi="Verdana" w:cs="Arial"/>
          <w:sz w:val="20"/>
          <w:szCs w:val="20"/>
        </w:rPr>
        <w:t xml:space="preserve">. </w:t>
      </w:r>
    </w:p>
    <w:p w14:paraId="37F665A8" w14:textId="1C3279A3" w:rsidR="008D1822" w:rsidRPr="00744CE4" w:rsidRDefault="008D1822" w:rsidP="00DB378B">
      <w:pPr>
        <w:widowControl w:val="0"/>
        <w:numPr>
          <w:ilvl w:val="0"/>
          <w:numId w:val="4"/>
        </w:numPr>
        <w:tabs>
          <w:tab w:val="left" w:pos="567"/>
        </w:tabs>
        <w:adjustRightInd w:val="0"/>
        <w:spacing w:before="120" w:after="120" w:line="240" w:lineRule="auto"/>
        <w:ind w:left="0" w:firstLine="0"/>
        <w:jc w:val="both"/>
        <w:textAlignment w:val="baseline"/>
        <w:rPr>
          <w:rFonts w:ascii="Verdana" w:hAnsi="Verdana" w:cs="Cambria"/>
          <w:sz w:val="20"/>
          <w:szCs w:val="20"/>
        </w:rPr>
      </w:pPr>
      <w:r w:rsidRPr="00432ABC">
        <w:rPr>
          <w:rFonts w:ascii="Verdana" w:hAnsi="Verdana" w:cs="Cambria"/>
          <w:sz w:val="20"/>
          <w:szCs w:val="20"/>
        </w:rPr>
        <w:t xml:space="preserve">El 14 de julio de 2011 en Ciudad Juárez, Chihuahua, Jaime Alvarado acudió a la casa de su hermano José Ángel Alvarado </w:t>
      </w:r>
      <w:r w:rsidR="00B85CF1" w:rsidRPr="00432ABC">
        <w:rPr>
          <w:rFonts w:ascii="Verdana" w:hAnsi="Verdana" w:cs="Cambria"/>
          <w:sz w:val="20"/>
          <w:szCs w:val="20"/>
        </w:rPr>
        <w:t xml:space="preserve">Herrera </w:t>
      </w:r>
      <w:r w:rsidRPr="00432ABC">
        <w:rPr>
          <w:rFonts w:ascii="Verdana" w:hAnsi="Verdana" w:cs="Cambria"/>
          <w:sz w:val="20"/>
          <w:szCs w:val="20"/>
        </w:rPr>
        <w:t xml:space="preserve">tras recibir una </w:t>
      </w:r>
      <w:r w:rsidRPr="00432ABC">
        <w:rPr>
          <w:rFonts w:ascii="Verdana" w:hAnsi="Verdana"/>
          <w:sz w:val="20"/>
          <w:szCs w:val="20"/>
        </w:rPr>
        <w:t xml:space="preserve">llamada en la cual le dijeron que estaban </w:t>
      </w:r>
      <w:r w:rsidRPr="00432ABC">
        <w:rPr>
          <w:rFonts w:ascii="Verdana" w:hAnsi="Verdana"/>
          <w:sz w:val="20"/>
          <w:szCs w:val="20"/>
        </w:rPr>
        <w:lastRenderedPageBreak/>
        <w:t>robando dicha vivienda, por lo que se desplazó para averiguar qué había sucedido. Al circular a bordo de una bicicleta de regreso hacia su domicilio, una camio</w:t>
      </w:r>
      <w:r w:rsidRPr="002C462C">
        <w:rPr>
          <w:rFonts w:ascii="Verdana" w:hAnsi="Verdana"/>
          <w:sz w:val="20"/>
          <w:szCs w:val="20"/>
        </w:rPr>
        <w:t xml:space="preserve">neta Chevrolet gris lo </w:t>
      </w:r>
      <w:r w:rsidRPr="00744CE4">
        <w:rPr>
          <w:rFonts w:ascii="Verdana" w:hAnsi="Verdana" w:cs="Cambria"/>
          <w:sz w:val="20"/>
          <w:szCs w:val="20"/>
        </w:rPr>
        <w:t>atropelló, según manifestó, intencionalmente</w:t>
      </w:r>
      <w:r w:rsidRPr="00744CE4">
        <w:rPr>
          <w:rStyle w:val="FootnoteReference"/>
          <w:rFonts w:ascii="Verdana" w:hAnsi="Verdana" w:cs="Cambria"/>
          <w:sz w:val="20"/>
          <w:szCs w:val="20"/>
        </w:rPr>
        <w:footnoteReference w:id="346"/>
      </w:r>
      <w:r w:rsidRPr="00744CE4">
        <w:rPr>
          <w:rFonts w:ascii="Verdana" w:hAnsi="Verdana" w:cs="Cambria"/>
          <w:sz w:val="20"/>
          <w:szCs w:val="20"/>
        </w:rPr>
        <w:t xml:space="preserve">. </w:t>
      </w:r>
    </w:p>
    <w:p w14:paraId="02A6A345" w14:textId="77777777" w:rsidR="008D1822" w:rsidRPr="00744CE4" w:rsidRDefault="008D1822" w:rsidP="00DB378B">
      <w:pPr>
        <w:widowControl w:val="0"/>
        <w:numPr>
          <w:ilvl w:val="0"/>
          <w:numId w:val="4"/>
        </w:numPr>
        <w:tabs>
          <w:tab w:val="left" w:pos="567"/>
        </w:tabs>
        <w:adjustRightInd w:val="0"/>
        <w:spacing w:before="120" w:after="120" w:line="240" w:lineRule="auto"/>
        <w:ind w:left="0" w:firstLine="0"/>
        <w:jc w:val="both"/>
        <w:textAlignment w:val="baseline"/>
        <w:rPr>
          <w:rFonts w:ascii="Verdana" w:hAnsi="Verdana" w:cs="Cambria"/>
          <w:sz w:val="20"/>
          <w:szCs w:val="20"/>
        </w:rPr>
      </w:pPr>
      <w:r w:rsidRPr="00744CE4">
        <w:rPr>
          <w:rFonts w:ascii="Verdana" w:hAnsi="Verdana" w:cs="Cambria"/>
          <w:sz w:val="20"/>
          <w:szCs w:val="20"/>
        </w:rPr>
        <w:t xml:space="preserve">Por estos hechos, el 5 de </w:t>
      </w:r>
      <w:r w:rsidRPr="00432ABC">
        <w:rPr>
          <w:rFonts w:ascii="Verdana" w:hAnsi="Verdana" w:cs="Cambria"/>
          <w:sz w:val="20"/>
          <w:szCs w:val="20"/>
        </w:rPr>
        <w:t>marzo de 2013 se inició la carpeta de investigación 2216/3760/2013 en la FGE – Chihuahua, la cual concluyó que no se encontraron elementos que permitieran establecer un vínculo directo entre dichos hechos y la desaparición de las 3 presuntas víctimas</w:t>
      </w:r>
      <w:r w:rsidRPr="00744CE4">
        <w:rPr>
          <w:rStyle w:val="FootnoteReference"/>
          <w:rFonts w:ascii="Verdana" w:hAnsi="Verdana" w:cs="Cambria"/>
          <w:sz w:val="20"/>
          <w:szCs w:val="20"/>
        </w:rPr>
        <w:footnoteReference w:id="347"/>
      </w:r>
      <w:r w:rsidRPr="00744CE4">
        <w:rPr>
          <w:rFonts w:ascii="Verdana" w:hAnsi="Verdana" w:cs="Cambria"/>
          <w:sz w:val="20"/>
          <w:szCs w:val="20"/>
        </w:rPr>
        <w:t xml:space="preserve">. </w:t>
      </w:r>
    </w:p>
    <w:p w14:paraId="4DD23B3F" w14:textId="31FFA9CD" w:rsidR="008D1822" w:rsidRPr="00744CE4" w:rsidRDefault="008D1822" w:rsidP="00DB378B">
      <w:pPr>
        <w:widowControl w:val="0"/>
        <w:numPr>
          <w:ilvl w:val="0"/>
          <w:numId w:val="4"/>
        </w:numPr>
        <w:tabs>
          <w:tab w:val="left" w:pos="567"/>
        </w:tabs>
        <w:adjustRightInd w:val="0"/>
        <w:spacing w:before="120" w:after="120" w:line="240" w:lineRule="auto"/>
        <w:ind w:left="0" w:firstLine="0"/>
        <w:jc w:val="both"/>
        <w:textAlignment w:val="baseline"/>
        <w:rPr>
          <w:rFonts w:ascii="Verdana" w:hAnsi="Verdana" w:cs="Cambria"/>
          <w:sz w:val="20"/>
          <w:szCs w:val="20"/>
        </w:rPr>
      </w:pPr>
      <w:r w:rsidRPr="00744CE4">
        <w:rPr>
          <w:rFonts w:ascii="Verdana" w:hAnsi="Verdana" w:cs="Cambria"/>
          <w:sz w:val="20"/>
          <w:szCs w:val="20"/>
        </w:rPr>
        <w:t>El 28 de agosto de 2011 aproximadamente a las 12:00 horas, una vecina de Jaime Alvarado escuchó ruidos provenientes de la casa de este último</w:t>
      </w:r>
      <w:r w:rsidR="00B25027">
        <w:rPr>
          <w:rFonts w:ascii="Verdana" w:hAnsi="Verdana" w:cs="Cambria"/>
          <w:sz w:val="20"/>
          <w:szCs w:val="20"/>
        </w:rPr>
        <w:t>,</w:t>
      </w:r>
      <w:r w:rsidRPr="00744CE4">
        <w:rPr>
          <w:rFonts w:ascii="Verdana" w:hAnsi="Verdana" w:cs="Cambria"/>
          <w:sz w:val="20"/>
          <w:szCs w:val="20"/>
        </w:rPr>
        <w:t xml:space="preserve"> ubicada en Ciudad J</w:t>
      </w:r>
      <w:r w:rsidRPr="00432ABC">
        <w:rPr>
          <w:rFonts w:ascii="Verdana" w:hAnsi="Verdana" w:cs="Cambria"/>
          <w:sz w:val="20"/>
          <w:szCs w:val="20"/>
        </w:rPr>
        <w:t>uárez, Chihuahua, por lo que contactó a Sandra Luz Rueda Quezada (esposa de Jaime Alvarado) para avisarle que le estaban robando su casa personas que identificó como “ministeriales que hablaban en claves […] que hablan por radio”</w:t>
      </w:r>
      <w:r w:rsidRPr="00744CE4">
        <w:rPr>
          <w:rStyle w:val="FootnoteReference"/>
          <w:rFonts w:ascii="Verdana" w:hAnsi="Verdana" w:cs="Cambria"/>
          <w:sz w:val="20"/>
          <w:szCs w:val="20"/>
        </w:rPr>
        <w:footnoteReference w:id="348"/>
      </w:r>
      <w:r w:rsidRPr="00744CE4">
        <w:rPr>
          <w:rFonts w:ascii="Verdana" w:hAnsi="Verdana" w:cs="Cambria"/>
          <w:sz w:val="20"/>
          <w:szCs w:val="20"/>
        </w:rPr>
        <w:t xml:space="preserve">. Sandra Luz Rueda manifestó que cuando entró a dicha vivienda: </w:t>
      </w:r>
    </w:p>
    <w:p w14:paraId="1537CE09" w14:textId="77777777" w:rsidR="008D1822" w:rsidRPr="00744CE4" w:rsidRDefault="008D1822">
      <w:pPr>
        <w:pStyle w:val="ListParagraph"/>
        <w:autoSpaceDE w:val="0"/>
        <w:autoSpaceDN w:val="0"/>
        <w:adjustRightInd w:val="0"/>
        <w:spacing w:before="120" w:after="120" w:line="240" w:lineRule="auto"/>
        <w:contextualSpacing w:val="0"/>
        <w:jc w:val="both"/>
        <w:rPr>
          <w:rFonts w:ascii="Verdana" w:hAnsi="Verdana" w:cs="Cambria"/>
          <w:sz w:val="18"/>
          <w:szCs w:val="20"/>
        </w:rPr>
      </w:pPr>
      <w:r w:rsidRPr="00432ABC">
        <w:rPr>
          <w:rFonts w:ascii="Verdana" w:hAnsi="Verdana" w:cs="Cambria"/>
          <w:sz w:val="18"/>
          <w:szCs w:val="20"/>
        </w:rPr>
        <w:t xml:space="preserve">“estaba un desorden del polvo de talco del niño tirado por todos lados como que para borrar huellas […] Luego encontré un papel pegado en la pared con </w:t>
      </w:r>
      <w:r w:rsidRPr="00432ABC">
        <w:rPr>
          <w:rFonts w:ascii="Verdana" w:hAnsi="Verdana" w:cs="Cambria"/>
          <w:i/>
          <w:sz w:val="18"/>
          <w:szCs w:val="20"/>
        </w:rPr>
        <w:t xml:space="preserve">tape </w:t>
      </w:r>
      <w:r w:rsidRPr="00432ABC">
        <w:rPr>
          <w:rFonts w:ascii="Verdana" w:hAnsi="Verdana" w:cs="Cambria"/>
          <w:sz w:val="18"/>
          <w:szCs w:val="20"/>
        </w:rPr>
        <w:t>ahí en la mera cocina ahí estaba, y el papel […] ese papel yo</w:t>
      </w:r>
      <w:r w:rsidRPr="002C462C">
        <w:rPr>
          <w:rFonts w:ascii="Verdana" w:hAnsi="Verdana" w:cs="Cambria"/>
          <w:sz w:val="18"/>
          <w:szCs w:val="20"/>
        </w:rPr>
        <w:t xml:space="preserve"> lo encontré y no lo agarré, lo dejé hasta que llegaron los policías”</w:t>
      </w:r>
      <w:r w:rsidRPr="00744CE4">
        <w:rPr>
          <w:rStyle w:val="FootnoteReference"/>
          <w:rFonts w:ascii="Verdana" w:hAnsi="Verdana" w:cs="Cambria"/>
          <w:sz w:val="18"/>
          <w:szCs w:val="20"/>
        </w:rPr>
        <w:footnoteReference w:id="349"/>
      </w:r>
      <w:r w:rsidRPr="00744CE4">
        <w:rPr>
          <w:rFonts w:ascii="Verdana" w:hAnsi="Verdana" w:cs="Cambria"/>
          <w:sz w:val="18"/>
          <w:szCs w:val="20"/>
        </w:rPr>
        <w:t>.</w:t>
      </w:r>
    </w:p>
    <w:p w14:paraId="18E7FA33" w14:textId="543FE0A2" w:rsidR="008D1822" w:rsidRPr="00744CE4" w:rsidRDefault="008D1822">
      <w:pPr>
        <w:pStyle w:val="ListParagraph"/>
        <w:spacing w:before="120" w:after="120" w:line="240" w:lineRule="auto"/>
        <w:contextualSpacing w:val="0"/>
        <w:jc w:val="both"/>
        <w:rPr>
          <w:rFonts w:ascii="Verdana" w:hAnsi="Verdana" w:cs="Cambria"/>
          <w:sz w:val="18"/>
          <w:szCs w:val="20"/>
        </w:rPr>
      </w:pPr>
      <w:r w:rsidRPr="00744CE4">
        <w:rPr>
          <w:rFonts w:ascii="Verdana" w:hAnsi="Verdana" w:cs="Cambria"/>
          <w:sz w:val="18"/>
          <w:szCs w:val="20"/>
        </w:rPr>
        <w:t xml:space="preserve"> </w:t>
      </w:r>
      <w:r w:rsidRPr="00432ABC">
        <w:rPr>
          <w:rFonts w:ascii="Verdana" w:hAnsi="Verdana" w:cs="Cambria"/>
          <w:sz w:val="18"/>
          <w:szCs w:val="20"/>
        </w:rPr>
        <w:t>Dicho papel decía: “</w:t>
      </w:r>
      <w:r w:rsidRPr="00432ABC">
        <w:rPr>
          <w:rFonts w:ascii="Verdana" w:hAnsi="Verdana" w:cs="Cambria,Italic"/>
          <w:iCs/>
          <w:sz w:val="18"/>
          <w:szCs w:val="20"/>
        </w:rPr>
        <w:t xml:space="preserve">porque te quisimos quebrar y no se pudo pero ya te tenemos culero y te va a cargar la verga a ti y a tu pinche familia atte ya sabes </w:t>
      </w:r>
      <w:r w:rsidR="001F49E1" w:rsidRPr="00432ABC">
        <w:rPr>
          <w:rFonts w:ascii="Verdana" w:hAnsi="Verdana" w:cs="Cambria,Italic"/>
          <w:iCs/>
          <w:sz w:val="18"/>
          <w:szCs w:val="20"/>
        </w:rPr>
        <w:t>quién</w:t>
      </w:r>
      <w:r w:rsidRPr="00432ABC">
        <w:rPr>
          <w:rFonts w:ascii="Verdana" w:hAnsi="Verdana" w:cs="Cambria,Italic"/>
          <w:iCs/>
          <w:sz w:val="18"/>
          <w:szCs w:val="20"/>
        </w:rPr>
        <w:t xml:space="preserve">” </w:t>
      </w:r>
      <w:r w:rsidRPr="00432ABC">
        <w:rPr>
          <w:rFonts w:ascii="Verdana" w:hAnsi="Verdana" w:cs="Cambria"/>
          <w:sz w:val="18"/>
          <w:szCs w:val="20"/>
        </w:rPr>
        <w:t>[sic]</w:t>
      </w:r>
      <w:r w:rsidRPr="00744CE4">
        <w:rPr>
          <w:rStyle w:val="FootnoteReference"/>
          <w:rFonts w:ascii="Verdana" w:hAnsi="Verdana" w:cs="Cambria"/>
          <w:sz w:val="18"/>
          <w:szCs w:val="20"/>
        </w:rPr>
        <w:footnoteReference w:id="350"/>
      </w:r>
      <w:r w:rsidRPr="00744CE4">
        <w:rPr>
          <w:rFonts w:ascii="Verdana" w:hAnsi="Verdana" w:cs="Cambria"/>
          <w:sz w:val="18"/>
          <w:szCs w:val="20"/>
        </w:rPr>
        <w:t>.</w:t>
      </w:r>
    </w:p>
    <w:p w14:paraId="16764295" w14:textId="77777777" w:rsidR="008D1822" w:rsidRPr="00744CE4" w:rsidRDefault="008D1822" w:rsidP="00DB378B">
      <w:pPr>
        <w:widowControl w:val="0"/>
        <w:numPr>
          <w:ilvl w:val="0"/>
          <w:numId w:val="4"/>
        </w:numPr>
        <w:tabs>
          <w:tab w:val="left" w:pos="567"/>
        </w:tabs>
        <w:autoSpaceDE w:val="0"/>
        <w:autoSpaceDN w:val="0"/>
        <w:adjustRightInd w:val="0"/>
        <w:spacing w:before="120" w:after="120" w:line="240" w:lineRule="auto"/>
        <w:ind w:left="0" w:firstLine="0"/>
        <w:jc w:val="both"/>
        <w:textAlignment w:val="baseline"/>
        <w:rPr>
          <w:rFonts w:ascii="Verdana" w:hAnsi="Verdana"/>
          <w:sz w:val="20"/>
          <w:szCs w:val="20"/>
        </w:rPr>
      </w:pPr>
      <w:r w:rsidRPr="00744CE4">
        <w:rPr>
          <w:rFonts w:ascii="Verdana" w:hAnsi="Verdana" w:cs="Cambria"/>
          <w:sz w:val="20"/>
          <w:szCs w:val="20"/>
        </w:rPr>
        <w:t>Como consecuenc</w:t>
      </w:r>
      <w:r w:rsidRPr="00432ABC">
        <w:rPr>
          <w:rFonts w:ascii="Verdana" w:hAnsi="Verdana" w:cs="Cambria"/>
          <w:sz w:val="20"/>
          <w:szCs w:val="20"/>
        </w:rPr>
        <w:t>ia de estos hechos, el 31 de agosto de 2011 la CNDH solicitó a la FGE - Chihuahua la adopción de medidas cautelares en favor de Jaime Alvarado Herrera y su núcleo familiar</w:t>
      </w:r>
      <w:r w:rsidRPr="00744CE4">
        <w:rPr>
          <w:rStyle w:val="FootnoteReference"/>
          <w:rFonts w:ascii="Verdana" w:hAnsi="Verdana" w:cs="Cambria"/>
          <w:sz w:val="20"/>
          <w:szCs w:val="20"/>
        </w:rPr>
        <w:footnoteReference w:id="351"/>
      </w:r>
      <w:r w:rsidRPr="00744CE4">
        <w:rPr>
          <w:rFonts w:ascii="Verdana" w:hAnsi="Verdana" w:cs="Cambria"/>
          <w:sz w:val="20"/>
          <w:szCs w:val="20"/>
        </w:rPr>
        <w:t>. No obstante, el Director General de Derechos Humanos de la SSPF, en su respuesta  a dicha solicitud, contestó que “no [era] posible atender su petición en razón de que la misma prejuzga la existencia de actos de hostigamiento por parte de elementos de la Secretaria de Seguridad Publica [Federal] sin que se aporte evidencia o indicio alg</w:t>
      </w:r>
      <w:r w:rsidRPr="00432ABC">
        <w:rPr>
          <w:rFonts w:ascii="Verdana" w:hAnsi="Verdana" w:cs="Cambria"/>
          <w:sz w:val="20"/>
          <w:szCs w:val="20"/>
        </w:rPr>
        <w:t>uno de tales acciones”</w:t>
      </w:r>
      <w:r w:rsidRPr="00744CE4">
        <w:rPr>
          <w:rStyle w:val="FootnoteReference"/>
          <w:rFonts w:ascii="Verdana" w:hAnsi="Verdana" w:cs="Cambria"/>
          <w:sz w:val="20"/>
          <w:szCs w:val="20"/>
        </w:rPr>
        <w:footnoteReference w:id="352"/>
      </w:r>
      <w:r w:rsidRPr="00744CE4">
        <w:rPr>
          <w:rFonts w:ascii="Verdana" w:hAnsi="Verdana" w:cs="Cambria"/>
          <w:sz w:val="20"/>
          <w:szCs w:val="20"/>
        </w:rPr>
        <w:t>. Asimismo, se inició ante la PGR - Chihuahua la Averiguación Previa AP/PGR/CHIH/JUA/2758/2011 para investigar dichos hechos</w:t>
      </w:r>
      <w:r w:rsidRPr="00744CE4">
        <w:rPr>
          <w:rStyle w:val="FootnoteReference"/>
          <w:rFonts w:ascii="Verdana" w:hAnsi="Verdana" w:cs="Cambria"/>
          <w:sz w:val="20"/>
          <w:szCs w:val="20"/>
        </w:rPr>
        <w:footnoteReference w:id="353"/>
      </w:r>
      <w:r w:rsidRPr="00744CE4">
        <w:rPr>
          <w:rFonts w:ascii="Verdana" w:hAnsi="Verdana" w:cs="Cambria"/>
          <w:sz w:val="20"/>
          <w:szCs w:val="20"/>
        </w:rPr>
        <w:t>.</w:t>
      </w:r>
    </w:p>
    <w:p w14:paraId="51E50F9E" w14:textId="0D732B7F" w:rsidR="008D1822" w:rsidRPr="00432ABC" w:rsidRDefault="00E34BFF">
      <w:pPr>
        <w:pStyle w:val="ListParagraph"/>
        <w:widowControl w:val="0"/>
        <w:numPr>
          <w:ilvl w:val="0"/>
          <w:numId w:val="55"/>
        </w:numPr>
        <w:tabs>
          <w:tab w:val="left" w:pos="567"/>
        </w:tabs>
        <w:autoSpaceDE w:val="0"/>
        <w:autoSpaceDN w:val="0"/>
        <w:adjustRightInd w:val="0"/>
        <w:spacing w:before="120" w:after="120" w:line="240" w:lineRule="auto"/>
        <w:ind w:left="1560" w:hanging="426"/>
        <w:contextualSpacing w:val="0"/>
        <w:jc w:val="both"/>
        <w:textAlignment w:val="baseline"/>
        <w:outlineLvl w:val="2"/>
        <w:rPr>
          <w:rFonts w:ascii="Verdana" w:eastAsiaTheme="minorHAnsi" w:hAnsi="Verdana" w:cs="Arial"/>
          <w:sz w:val="20"/>
          <w:szCs w:val="20"/>
          <w:lang w:val="es-AR"/>
        </w:rPr>
      </w:pPr>
      <w:r>
        <w:rPr>
          <w:rFonts w:ascii="Verdana" w:eastAsiaTheme="minorHAnsi" w:hAnsi="Verdana" w:cs="Cambria"/>
          <w:i/>
          <w:sz w:val="20"/>
          <w:szCs w:val="20"/>
        </w:rPr>
        <w:t xml:space="preserve"> </w:t>
      </w:r>
      <w:bookmarkStart w:id="165" w:name="_Toc532995355"/>
      <w:r w:rsidR="008D1822" w:rsidRPr="00432ABC">
        <w:rPr>
          <w:rFonts w:ascii="Verdana" w:eastAsiaTheme="minorHAnsi" w:hAnsi="Verdana" w:cs="Cambria"/>
          <w:i/>
          <w:sz w:val="20"/>
          <w:szCs w:val="20"/>
        </w:rPr>
        <w:t xml:space="preserve">Los desplazamientos de los familiares y </w:t>
      </w:r>
      <w:r w:rsidR="008D1822" w:rsidRPr="00432ABC">
        <w:rPr>
          <w:rFonts w:ascii="Verdana" w:hAnsi="Verdana" w:cs="Cambria"/>
          <w:i/>
          <w:sz w:val="20"/>
          <w:szCs w:val="20"/>
        </w:rPr>
        <w:t xml:space="preserve">las </w:t>
      </w:r>
      <w:r w:rsidR="008D1822" w:rsidRPr="00432ABC">
        <w:rPr>
          <w:rFonts w:ascii="Verdana" w:eastAsiaTheme="minorHAnsi" w:hAnsi="Verdana" w:cs="Cambria"/>
          <w:i/>
          <w:sz w:val="20"/>
          <w:szCs w:val="20"/>
        </w:rPr>
        <w:t>amenazas en su contra</w:t>
      </w:r>
      <w:bookmarkEnd w:id="165"/>
      <w:r w:rsidR="008D1822" w:rsidRPr="00432ABC">
        <w:rPr>
          <w:rFonts w:ascii="Verdana" w:eastAsiaTheme="minorHAnsi" w:hAnsi="Verdana" w:cs="Cambria"/>
          <w:i/>
          <w:sz w:val="20"/>
          <w:szCs w:val="20"/>
        </w:rPr>
        <w:t xml:space="preserve"> </w:t>
      </w:r>
    </w:p>
    <w:p w14:paraId="5B94F0CC" w14:textId="02071C23" w:rsidR="008D1822" w:rsidRPr="002C462C" w:rsidRDefault="00556FDB">
      <w:pPr>
        <w:pStyle w:val="Heading4"/>
        <w:numPr>
          <w:ilvl w:val="0"/>
          <w:numId w:val="62"/>
        </w:numPr>
        <w:spacing w:before="120" w:after="120"/>
        <w:contextualSpacing w:val="0"/>
        <w:rPr>
          <w:u w:val="none"/>
          <w:lang w:val="es-AR"/>
        </w:rPr>
      </w:pPr>
      <w:r>
        <w:rPr>
          <w:u w:val="none"/>
          <w:lang w:val="es-AR"/>
        </w:rPr>
        <w:t xml:space="preserve"> </w:t>
      </w:r>
      <w:bookmarkStart w:id="166" w:name="_Toc532995356"/>
      <w:r w:rsidR="008D1822" w:rsidRPr="002C462C">
        <w:rPr>
          <w:u w:val="none"/>
          <w:lang w:val="es-AR"/>
        </w:rPr>
        <w:t>Grupo familiar de Nitza Paola Alvarado Espinoza</w:t>
      </w:r>
      <w:bookmarkEnd w:id="166"/>
    </w:p>
    <w:p w14:paraId="5866F18B" w14:textId="0C461F88" w:rsidR="008D1822" w:rsidRPr="00744CE4" w:rsidRDefault="008D1822" w:rsidP="00DB378B">
      <w:pPr>
        <w:pStyle w:val="ListParagraph"/>
        <w:widowControl w:val="0"/>
        <w:numPr>
          <w:ilvl w:val="0"/>
          <w:numId w:val="4"/>
        </w:numPr>
        <w:tabs>
          <w:tab w:val="left" w:pos="567"/>
        </w:tabs>
        <w:autoSpaceDE w:val="0"/>
        <w:autoSpaceDN w:val="0"/>
        <w:adjustRightInd w:val="0"/>
        <w:spacing w:before="120" w:after="120" w:line="240" w:lineRule="auto"/>
        <w:ind w:left="0" w:firstLine="0"/>
        <w:contextualSpacing w:val="0"/>
        <w:jc w:val="both"/>
        <w:textAlignment w:val="baseline"/>
        <w:rPr>
          <w:rFonts w:ascii="Verdana" w:hAnsi="Verdana"/>
          <w:sz w:val="20"/>
          <w:szCs w:val="20"/>
          <w:lang w:val="es-AR"/>
        </w:rPr>
      </w:pPr>
      <w:r w:rsidRPr="00744CE4">
        <w:rPr>
          <w:rFonts w:ascii="Verdana" w:hAnsi="Verdana"/>
          <w:sz w:val="20"/>
          <w:szCs w:val="20"/>
          <w:lang w:val="es-AR"/>
        </w:rPr>
        <w:t>Una vez ocurridas las tres desapariciones y por el temor a que se repitieran hechos similares, el grupo familiar de Nitza Paola Alvarado (</w:t>
      </w:r>
      <w:r w:rsidRPr="00744CE4">
        <w:rPr>
          <w:rFonts w:ascii="Verdana" w:hAnsi="Verdana"/>
          <w:i/>
          <w:sz w:val="20"/>
          <w:szCs w:val="20"/>
          <w:lang w:val="es-AR"/>
        </w:rPr>
        <w:t>supra</w:t>
      </w:r>
      <w:r w:rsidRPr="00744CE4">
        <w:rPr>
          <w:rFonts w:ascii="Verdana" w:hAnsi="Verdana"/>
          <w:sz w:val="20"/>
          <w:szCs w:val="20"/>
          <w:lang w:val="es-AR"/>
        </w:rPr>
        <w:t xml:space="preserve">, párr. </w:t>
      </w:r>
      <w:r w:rsidR="008D71A5">
        <w:rPr>
          <w:rFonts w:ascii="Verdana" w:hAnsi="Verdana"/>
          <w:sz w:val="20"/>
          <w:szCs w:val="20"/>
          <w:lang w:val="es-AR"/>
        </w:rPr>
        <w:t>76</w:t>
      </w:r>
      <w:r w:rsidRPr="00744CE4">
        <w:rPr>
          <w:rFonts w:ascii="Verdana" w:hAnsi="Verdana"/>
          <w:sz w:val="20"/>
          <w:szCs w:val="20"/>
          <w:lang w:val="es-AR"/>
        </w:rPr>
        <w:t xml:space="preserve">), se desplazó del Ejido Benito Juárez, lugar en donde residían, de la siguiente manera: </w:t>
      </w:r>
    </w:p>
    <w:p w14:paraId="309C04E1" w14:textId="6A135424" w:rsidR="008D1822" w:rsidRPr="008D0846" w:rsidRDefault="008D71A5">
      <w:pPr>
        <w:pStyle w:val="ListParagraph"/>
        <w:widowControl w:val="0"/>
        <w:numPr>
          <w:ilvl w:val="2"/>
          <w:numId w:val="4"/>
        </w:numPr>
        <w:tabs>
          <w:tab w:val="left" w:pos="567"/>
        </w:tabs>
        <w:autoSpaceDE w:val="0"/>
        <w:autoSpaceDN w:val="0"/>
        <w:adjustRightInd w:val="0"/>
        <w:spacing w:before="120" w:after="120" w:line="240" w:lineRule="auto"/>
        <w:ind w:left="567"/>
        <w:contextualSpacing w:val="0"/>
        <w:jc w:val="both"/>
        <w:textAlignment w:val="baseline"/>
        <w:rPr>
          <w:rFonts w:ascii="Verdana" w:hAnsi="Verdana"/>
          <w:sz w:val="18"/>
          <w:lang w:val="es-AR"/>
        </w:rPr>
      </w:pPr>
      <w:r w:rsidRPr="008D0846">
        <w:rPr>
          <w:rFonts w:ascii="Verdana" w:hAnsi="Verdana" w:cs="Arial"/>
          <w:sz w:val="18"/>
          <w:szCs w:val="20"/>
          <w:lang w:val="es-AR"/>
        </w:rPr>
        <w:t>N.S.A.E.</w:t>
      </w:r>
      <w:r w:rsidR="008D1822" w:rsidRPr="008D0846">
        <w:rPr>
          <w:rFonts w:ascii="Verdana" w:hAnsi="Verdana" w:cs="Arial"/>
          <w:sz w:val="18"/>
          <w:szCs w:val="20"/>
          <w:lang w:val="es-AR"/>
        </w:rPr>
        <w:t>,</w:t>
      </w:r>
      <w:r w:rsidRPr="008D0846">
        <w:rPr>
          <w:rFonts w:ascii="Verdana" w:hAnsi="Verdana" w:cs="Arial"/>
          <w:sz w:val="18"/>
          <w:szCs w:val="20"/>
          <w:lang w:val="es-AR"/>
        </w:rPr>
        <w:t xml:space="preserve"> M.P.A.E., y D.A.E.,</w:t>
      </w:r>
      <w:r w:rsidR="008D1822" w:rsidRPr="008D0846">
        <w:rPr>
          <w:rFonts w:ascii="Verdana" w:hAnsi="Verdana" w:cs="Arial"/>
          <w:sz w:val="18"/>
          <w:szCs w:val="20"/>
          <w:lang w:val="es-AR"/>
        </w:rPr>
        <w:t xml:space="preserve"> hijas de Nitza Paola Alvarado se trasladaron a Ciudad Juárez en </w:t>
      </w:r>
      <w:r w:rsidR="008D1822" w:rsidRPr="008D0846">
        <w:rPr>
          <w:rFonts w:ascii="Verdana" w:hAnsi="Verdana" w:cs="Arial"/>
          <w:sz w:val="18"/>
          <w:szCs w:val="20"/>
          <w:lang w:val="es-AR"/>
        </w:rPr>
        <w:lastRenderedPageBreak/>
        <w:t>compañía de su abuelo Ascención Alvarado Fa</w:t>
      </w:r>
      <w:r w:rsidR="00B82930" w:rsidRPr="008D0846">
        <w:rPr>
          <w:rFonts w:ascii="Verdana" w:hAnsi="Verdana" w:cs="Arial"/>
          <w:sz w:val="18"/>
          <w:szCs w:val="20"/>
          <w:lang w:val="es-AR"/>
        </w:rPr>
        <w:t>b</w:t>
      </w:r>
      <w:r w:rsidR="008D1822" w:rsidRPr="008D0846">
        <w:rPr>
          <w:rFonts w:ascii="Verdana" w:hAnsi="Verdana" w:cs="Arial"/>
          <w:sz w:val="18"/>
          <w:szCs w:val="20"/>
          <w:lang w:val="es-AR"/>
        </w:rPr>
        <w:t>ela, su tía María de Jesús Alvarado, el esposo de ésta, Rigoberto Ambriz y los 4 hijos de estos</w:t>
      </w:r>
      <w:r w:rsidR="008D1822" w:rsidRPr="008D0846">
        <w:rPr>
          <w:rStyle w:val="FootnoteReference"/>
          <w:rFonts w:ascii="Verdana" w:hAnsi="Verdana" w:cs="Arial"/>
          <w:sz w:val="18"/>
          <w:szCs w:val="20"/>
          <w:lang w:val="es-AR"/>
        </w:rPr>
        <w:footnoteReference w:id="354"/>
      </w:r>
      <w:r w:rsidR="008D1822" w:rsidRPr="008D0846">
        <w:rPr>
          <w:rFonts w:ascii="Verdana" w:hAnsi="Verdana" w:cs="Arial"/>
          <w:sz w:val="18"/>
          <w:szCs w:val="20"/>
          <w:lang w:val="es-AR"/>
        </w:rPr>
        <w:t>. Desde esta ciudad, se trasladaron en compañía de sus abuelos maternos a la ciudad de Cuernavaca, en donde radicaron por el término de 6 meses, entre enero y junio de 2010, bajo el cuidado de una tía</w:t>
      </w:r>
      <w:r w:rsidR="008D1822" w:rsidRPr="008D0846">
        <w:rPr>
          <w:rStyle w:val="FootnoteReference"/>
          <w:rFonts w:ascii="Verdana" w:hAnsi="Verdana" w:cs="Arial"/>
          <w:sz w:val="18"/>
          <w:szCs w:val="20"/>
          <w:lang w:val="es-AR"/>
        </w:rPr>
        <w:footnoteReference w:id="355"/>
      </w:r>
      <w:r w:rsidR="008D1822" w:rsidRPr="008D0846">
        <w:rPr>
          <w:rFonts w:ascii="Verdana" w:hAnsi="Verdana" w:cs="Arial"/>
          <w:sz w:val="18"/>
          <w:szCs w:val="20"/>
          <w:lang w:val="es-AR"/>
        </w:rPr>
        <w:t xml:space="preserve">; </w:t>
      </w:r>
    </w:p>
    <w:p w14:paraId="3577D355" w14:textId="26B623C2" w:rsidR="008D1822" w:rsidRPr="008D0846" w:rsidRDefault="00D60ADB">
      <w:pPr>
        <w:pStyle w:val="ListParagraph"/>
        <w:widowControl w:val="0"/>
        <w:numPr>
          <w:ilvl w:val="2"/>
          <w:numId w:val="4"/>
        </w:numPr>
        <w:tabs>
          <w:tab w:val="left" w:pos="567"/>
        </w:tabs>
        <w:autoSpaceDE w:val="0"/>
        <w:autoSpaceDN w:val="0"/>
        <w:adjustRightInd w:val="0"/>
        <w:spacing w:before="120" w:after="120" w:line="240" w:lineRule="auto"/>
        <w:ind w:left="567"/>
        <w:contextualSpacing w:val="0"/>
        <w:jc w:val="both"/>
        <w:textAlignment w:val="baseline"/>
        <w:rPr>
          <w:rFonts w:ascii="Verdana" w:hAnsi="Verdana"/>
          <w:sz w:val="18"/>
          <w:lang w:val="es-AR"/>
        </w:rPr>
      </w:pPr>
      <w:r w:rsidRPr="008D0846">
        <w:rPr>
          <w:rFonts w:ascii="Verdana" w:hAnsi="Verdana" w:cs="Arial"/>
          <w:sz w:val="18"/>
          <w:szCs w:val="20"/>
          <w:lang w:val="es-AR"/>
        </w:rPr>
        <w:t>t</w:t>
      </w:r>
      <w:r w:rsidR="008D1822" w:rsidRPr="008D0846">
        <w:rPr>
          <w:rFonts w:ascii="Verdana" w:hAnsi="Verdana" w:cs="Arial"/>
          <w:sz w:val="18"/>
          <w:szCs w:val="20"/>
          <w:lang w:val="es-AR"/>
        </w:rPr>
        <w:t>rascurrido dicho período de tiempo las tres hijas de Nitza Paola Alvarado, así como María de Jesús Alvarado, Rigoberto Ambriz Marrufo, los hijos de éstos, María de Jesús Espinoza y Ascención Alvarado Fabela (abuelos maternos) se desplazaron hacia Culiacán, estado de Sinaloa, por alrededor de un mes</w:t>
      </w:r>
      <w:r w:rsidR="008D1822" w:rsidRPr="008D0846">
        <w:rPr>
          <w:rStyle w:val="FootnoteReference"/>
          <w:rFonts w:ascii="Verdana" w:hAnsi="Verdana" w:cs="Arial"/>
          <w:sz w:val="18"/>
          <w:szCs w:val="20"/>
          <w:lang w:val="es-AR"/>
        </w:rPr>
        <w:footnoteReference w:id="356"/>
      </w:r>
      <w:r w:rsidR="008D1822" w:rsidRPr="008D0846">
        <w:rPr>
          <w:rFonts w:ascii="Verdana" w:hAnsi="Verdana" w:cs="Arial"/>
          <w:sz w:val="18"/>
          <w:szCs w:val="20"/>
          <w:lang w:val="es-AR"/>
        </w:rPr>
        <w:t>. Posteriormente, se trasladaron a la ciudad de Hermosillo, estado de Sonora, en donde radicaron alrededor de 2 años y medio</w:t>
      </w:r>
      <w:r w:rsidR="008D1822" w:rsidRPr="008D0846">
        <w:rPr>
          <w:rStyle w:val="FootnoteReference"/>
          <w:rFonts w:ascii="Verdana" w:hAnsi="Verdana" w:cs="Arial"/>
          <w:sz w:val="18"/>
          <w:szCs w:val="20"/>
          <w:lang w:val="es-AR"/>
        </w:rPr>
        <w:footnoteReference w:id="357"/>
      </w:r>
      <w:r w:rsidR="008D1822" w:rsidRPr="008D0846">
        <w:rPr>
          <w:rFonts w:ascii="Verdana" w:hAnsi="Verdana" w:cs="Arial"/>
          <w:sz w:val="18"/>
          <w:szCs w:val="20"/>
          <w:lang w:val="es-AR"/>
        </w:rPr>
        <w:t xml:space="preserve"> o 3 años</w:t>
      </w:r>
      <w:r w:rsidR="008D1822" w:rsidRPr="008D0846">
        <w:rPr>
          <w:rStyle w:val="FootnoteReference"/>
          <w:rFonts w:ascii="Verdana" w:hAnsi="Verdana" w:cs="Arial"/>
          <w:sz w:val="18"/>
          <w:szCs w:val="20"/>
          <w:lang w:val="es-AR"/>
        </w:rPr>
        <w:footnoteReference w:id="358"/>
      </w:r>
      <w:r w:rsidRPr="008D0846">
        <w:rPr>
          <w:rFonts w:ascii="Verdana" w:hAnsi="Verdana" w:cs="Arial"/>
          <w:sz w:val="18"/>
          <w:szCs w:val="20"/>
          <w:lang w:val="es-AR"/>
        </w:rPr>
        <w:t>;</w:t>
      </w:r>
    </w:p>
    <w:p w14:paraId="1B91302D" w14:textId="614F365E" w:rsidR="008D1822" w:rsidRPr="008D0846" w:rsidRDefault="00D60ADB">
      <w:pPr>
        <w:pStyle w:val="ListParagraph"/>
        <w:widowControl w:val="0"/>
        <w:numPr>
          <w:ilvl w:val="2"/>
          <w:numId w:val="4"/>
        </w:numPr>
        <w:tabs>
          <w:tab w:val="left" w:pos="567"/>
        </w:tabs>
        <w:autoSpaceDE w:val="0"/>
        <w:autoSpaceDN w:val="0"/>
        <w:adjustRightInd w:val="0"/>
        <w:spacing w:before="120" w:after="120" w:line="240" w:lineRule="auto"/>
        <w:ind w:left="567"/>
        <w:contextualSpacing w:val="0"/>
        <w:jc w:val="both"/>
        <w:textAlignment w:val="baseline"/>
        <w:rPr>
          <w:rFonts w:ascii="Verdana" w:hAnsi="Verdana"/>
          <w:sz w:val="18"/>
          <w:lang w:val="es-AR"/>
        </w:rPr>
      </w:pPr>
      <w:r w:rsidRPr="008D0846">
        <w:rPr>
          <w:rFonts w:ascii="Verdana" w:hAnsi="Verdana" w:cs="Arial"/>
          <w:sz w:val="18"/>
          <w:szCs w:val="20"/>
          <w:lang w:val="es-AR"/>
        </w:rPr>
        <w:t>t</w:t>
      </w:r>
      <w:r w:rsidR="008D1822" w:rsidRPr="008D0846">
        <w:rPr>
          <w:rFonts w:ascii="Verdana" w:hAnsi="Verdana" w:cs="Arial"/>
          <w:sz w:val="18"/>
          <w:szCs w:val="20"/>
          <w:lang w:val="es-AR"/>
        </w:rPr>
        <w:t>ranscurrido este tiempo, las tres hijas de Nitza Paola Alvarado residieron cerca de un año en la ciudad de Chihuahua, entre los meses de octubre de 2012 a septiembre de 2013</w:t>
      </w:r>
      <w:r w:rsidR="008D1822" w:rsidRPr="008D0846">
        <w:rPr>
          <w:rStyle w:val="FootnoteReference"/>
          <w:rFonts w:ascii="Verdana" w:hAnsi="Verdana" w:cs="Arial"/>
          <w:sz w:val="18"/>
          <w:szCs w:val="20"/>
          <w:lang w:val="es-AR"/>
        </w:rPr>
        <w:footnoteReference w:id="359"/>
      </w:r>
      <w:r w:rsidR="008D1822" w:rsidRPr="008D0846">
        <w:rPr>
          <w:rFonts w:ascii="Verdana" w:hAnsi="Verdana" w:cs="Arial"/>
          <w:sz w:val="18"/>
          <w:szCs w:val="20"/>
          <w:lang w:val="es-AR"/>
        </w:rPr>
        <w:t xml:space="preserve">. Posteriormente, se dirigieron hacia Ciudad Juárez, en donde permanecieron alrededor de 2 días con miras a preparar su salida del territorio mexicano y dirigirse hacia los Estados Unidos de América </w:t>
      </w:r>
      <w:r w:rsidR="00631985" w:rsidRPr="008D0846">
        <w:rPr>
          <w:rFonts w:ascii="Verdana" w:hAnsi="Verdana" w:cs="Arial"/>
          <w:sz w:val="18"/>
          <w:szCs w:val="20"/>
          <w:lang w:val="es-AR"/>
        </w:rPr>
        <w:t>(</w:t>
      </w:r>
      <w:r w:rsidR="008D1822" w:rsidRPr="008D0846">
        <w:rPr>
          <w:rFonts w:ascii="Verdana" w:hAnsi="Verdana" w:cs="Arial"/>
          <w:sz w:val="18"/>
          <w:szCs w:val="20"/>
          <w:lang w:val="es-AR"/>
        </w:rPr>
        <w:t>EUA</w:t>
      </w:r>
      <w:r w:rsidR="00631985" w:rsidRPr="008D0846">
        <w:rPr>
          <w:rFonts w:ascii="Verdana" w:hAnsi="Verdana" w:cs="Arial"/>
          <w:sz w:val="18"/>
          <w:szCs w:val="20"/>
          <w:lang w:val="es-AR"/>
        </w:rPr>
        <w:t>)</w:t>
      </w:r>
      <w:r w:rsidR="008D1822" w:rsidRPr="008D0846">
        <w:rPr>
          <w:rStyle w:val="FootnoteReference"/>
          <w:rFonts w:ascii="Verdana" w:hAnsi="Verdana" w:cs="Arial"/>
          <w:sz w:val="18"/>
          <w:szCs w:val="20"/>
          <w:lang w:val="es-AR"/>
        </w:rPr>
        <w:footnoteReference w:id="360"/>
      </w:r>
      <w:r w:rsidR="008D1822" w:rsidRPr="008D0846">
        <w:rPr>
          <w:rFonts w:ascii="Verdana" w:hAnsi="Verdana" w:cs="Arial"/>
          <w:sz w:val="18"/>
          <w:szCs w:val="20"/>
          <w:lang w:val="es-AR"/>
        </w:rPr>
        <w:t xml:space="preserve">; </w:t>
      </w:r>
    </w:p>
    <w:p w14:paraId="7DE939D9" w14:textId="7703E802" w:rsidR="008D1822" w:rsidRPr="008D0846" w:rsidRDefault="00D60ADB">
      <w:pPr>
        <w:pStyle w:val="ListParagraph"/>
        <w:widowControl w:val="0"/>
        <w:numPr>
          <w:ilvl w:val="2"/>
          <w:numId w:val="4"/>
        </w:numPr>
        <w:tabs>
          <w:tab w:val="left" w:pos="567"/>
        </w:tabs>
        <w:autoSpaceDE w:val="0"/>
        <w:autoSpaceDN w:val="0"/>
        <w:adjustRightInd w:val="0"/>
        <w:spacing w:before="120" w:after="120" w:line="240" w:lineRule="auto"/>
        <w:ind w:left="567"/>
        <w:contextualSpacing w:val="0"/>
        <w:jc w:val="both"/>
        <w:textAlignment w:val="baseline"/>
        <w:rPr>
          <w:rFonts w:ascii="Verdana" w:hAnsi="Verdana"/>
          <w:sz w:val="18"/>
          <w:lang w:val="es-AR"/>
        </w:rPr>
      </w:pPr>
      <w:r w:rsidRPr="008D0846">
        <w:rPr>
          <w:rFonts w:ascii="Verdana" w:hAnsi="Verdana" w:cs="Arial"/>
          <w:sz w:val="18"/>
          <w:szCs w:val="20"/>
          <w:lang w:val="es-AR"/>
        </w:rPr>
        <w:t>f</w:t>
      </w:r>
      <w:r w:rsidR="008D1822" w:rsidRPr="008D0846">
        <w:rPr>
          <w:rFonts w:ascii="Verdana" w:hAnsi="Verdana" w:cs="Arial"/>
          <w:sz w:val="18"/>
          <w:szCs w:val="20"/>
          <w:lang w:val="es-AR"/>
        </w:rPr>
        <w:t xml:space="preserve">inalmente, </w:t>
      </w:r>
      <w:r w:rsidR="008D1822" w:rsidRPr="008D0846">
        <w:rPr>
          <w:rFonts w:ascii="Verdana" w:hAnsi="Verdana" w:cs="Arial"/>
          <w:sz w:val="18"/>
          <w:szCs w:val="20"/>
        </w:rPr>
        <w:t>Ascención Alvarado Fa</w:t>
      </w:r>
      <w:r w:rsidR="00B82930" w:rsidRPr="008D0846">
        <w:rPr>
          <w:rFonts w:ascii="Verdana" w:hAnsi="Verdana" w:cs="Arial"/>
          <w:sz w:val="18"/>
          <w:szCs w:val="20"/>
        </w:rPr>
        <w:t>b</w:t>
      </w:r>
      <w:r w:rsidR="008D1822" w:rsidRPr="008D0846">
        <w:rPr>
          <w:rFonts w:ascii="Verdana" w:hAnsi="Verdana" w:cs="Arial"/>
          <w:sz w:val="18"/>
          <w:szCs w:val="20"/>
        </w:rPr>
        <w:t xml:space="preserve">ela y Maria de Jesús Espinoza Peinado (padre y madre de Nitza Paola Alvarado); María de Jesús Alvarado Espinoza (hermana); Rigoberto Ambriz Marrufo (esposo de María de Jesús Alvarado); los 4 hijos menores de edad estos últimos, R.A.A., I.A.A.A., J.E.A.A. y A.Y.A.A, y </w:t>
      </w:r>
      <w:r w:rsidR="00F80866" w:rsidRPr="008D0846">
        <w:rPr>
          <w:rFonts w:ascii="Verdana" w:hAnsi="Verdana" w:cs="Arial"/>
          <w:sz w:val="18"/>
          <w:szCs w:val="20"/>
        </w:rPr>
        <w:t>N.S.A.E</w:t>
      </w:r>
      <w:r w:rsidR="008D1822" w:rsidRPr="008D0846">
        <w:rPr>
          <w:rFonts w:ascii="Verdana" w:hAnsi="Verdana" w:cs="Arial"/>
          <w:sz w:val="18"/>
          <w:szCs w:val="20"/>
        </w:rPr>
        <w:t xml:space="preserve">, </w:t>
      </w:r>
      <w:r w:rsidR="00F80866" w:rsidRPr="008D0846">
        <w:rPr>
          <w:rFonts w:ascii="Verdana" w:hAnsi="Verdana" w:cs="Arial"/>
          <w:sz w:val="18"/>
          <w:szCs w:val="20"/>
        </w:rPr>
        <w:t>M.P.A.E.</w:t>
      </w:r>
      <w:r w:rsidR="008D1822" w:rsidRPr="008D0846">
        <w:rPr>
          <w:rFonts w:ascii="Verdana" w:hAnsi="Verdana" w:cs="Arial"/>
          <w:sz w:val="18"/>
          <w:szCs w:val="20"/>
        </w:rPr>
        <w:t xml:space="preserve"> y </w:t>
      </w:r>
      <w:r w:rsidR="00F80866" w:rsidRPr="008D0846">
        <w:rPr>
          <w:rFonts w:ascii="Verdana" w:hAnsi="Verdana" w:cs="Arial"/>
          <w:sz w:val="18"/>
          <w:szCs w:val="20"/>
        </w:rPr>
        <w:t>D.A.E.</w:t>
      </w:r>
      <w:r w:rsidR="008D1822" w:rsidRPr="008D0846">
        <w:rPr>
          <w:rFonts w:ascii="Verdana" w:hAnsi="Verdana" w:cs="Arial"/>
          <w:sz w:val="18"/>
          <w:szCs w:val="20"/>
        </w:rPr>
        <w:t xml:space="preserve">, (hijas de Nitza Paola Alvarado) </w:t>
      </w:r>
      <w:r w:rsidR="008D1822" w:rsidRPr="008D0846">
        <w:rPr>
          <w:rFonts w:ascii="Verdana" w:hAnsi="Verdana" w:cs="Arial"/>
          <w:sz w:val="18"/>
          <w:szCs w:val="20"/>
          <w:lang w:val="es-AR"/>
        </w:rPr>
        <w:t>se trasladaron en septiembre de 2013 hacia la ciudad de El Paso, estado de Texas, EUA, y solicitaron asilo ante las autoridades de dicho país</w:t>
      </w:r>
      <w:r w:rsidR="008D1822" w:rsidRPr="008D0846">
        <w:rPr>
          <w:rFonts w:ascii="Verdana" w:hAnsi="Verdana" w:cs="Arial"/>
          <w:sz w:val="18"/>
          <w:szCs w:val="20"/>
          <w:vertAlign w:val="superscript"/>
        </w:rPr>
        <w:footnoteReference w:id="361"/>
      </w:r>
      <w:r w:rsidR="008D1822" w:rsidRPr="008D0846">
        <w:rPr>
          <w:rFonts w:ascii="Verdana" w:hAnsi="Verdana" w:cs="Arial"/>
          <w:sz w:val="18"/>
          <w:szCs w:val="20"/>
        </w:rPr>
        <w:t xml:space="preserve">. </w:t>
      </w:r>
      <w:r w:rsidR="008D1822" w:rsidRPr="008D0846">
        <w:rPr>
          <w:rFonts w:ascii="Verdana" w:hAnsi="Verdana" w:cs="Arial"/>
          <w:sz w:val="18"/>
          <w:szCs w:val="20"/>
          <w:lang w:val="es-AR"/>
        </w:rPr>
        <w:t>Finalmente, en 2015 fue concedida la residencia permanente a las 3 hijas de Nitza Paola Alvarado</w:t>
      </w:r>
      <w:r w:rsidR="008D1822" w:rsidRPr="008D0846">
        <w:rPr>
          <w:rStyle w:val="FootnoteReference"/>
          <w:rFonts w:ascii="Verdana" w:hAnsi="Verdana" w:cs="Arial"/>
          <w:sz w:val="18"/>
          <w:szCs w:val="20"/>
          <w:lang w:val="es-AR"/>
        </w:rPr>
        <w:footnoteReference w:id="362"/>
      </w:r>
      <w:r w:rsidRPr="008D0846">
        <w:rPr>
          <w:rFonts w:ascii="Verdana" w:hAnsi="Verdana" w:cs="Arial"/>
          <w:sz w:val="18"/>
          <w:szCs w:val="20"/>
          <w:lang w:val="es-AR"/>
        </w:rPr>
        <w:t>, y</w:t>
      </w:r>
    </w:p>
    <w:p w14:paraId="775D4306" w14:textId="54C8BEA8" w:rsidR="008D1822" w:rsidRPr="008D0846" w:rsidRDefault="00D60ADB">
      <w:pPr>
        <w:pStyle w:val="ListParagraph"/>
        <w:widowControl w:val="0"/>
        <w:numPr>
          <w:ilvl w:val="2"/>
          <w:numId w:val="4"/>
        </w:numPr>
        <w:tabs>
          <w:tab w:val="left" w:pos="567"/>
        </w:tabs>
        <w:autoSpaceDE w:val="0"/>
        <w:autoSpaceDN w:val="0"/>
        <w:adjustRightInd w:val="0"/>
        <w:spacing w:before="120" w:after="120" w:line="240" w:lineRule="auto"/>
        <w:ind w:left="567"/>
        <w:contextualSpacing w:val="0"/>
        <w:jc w:val="both"/>
        <w:textAlignment w:val="baseline"/>
        <w:rPr>
          <w:rFonts w:ascii="Verdana" w:hAnsi="Verdana" w:cs="Arial"/>
          <w:sz w:val="18"/>
          <w:szCs w:val="20"/>
          <w:lang w:val="es-AR"/>
        </w:rPr>
      </w:pPr>
      <w:r w:rsidRPr="008D0846">
        <w:rPr>
          <w:rFonts w:ascii="Verdana" w:hAnsi="Verdana" w:cs="Arial"/>
          <w:sz w:val="18"/>
          <w:szCs w:val="20"/>
          <w:lang w:val="es-AR"/>
        </w:rPr>
        <w:t>p</w:t>
      </w:r>
      <w:r w:rsidR="008D1822" w:rsidRPr="008D0846">
        <w:rPr>
          <w:rFonts w:ascii="Verdana" w:hAnsi="Verdana" w:cs="Arial"/>
          <w:sz w:val="18"/>
          <w:szCs w:val="20"/>
          <w:lang w:val="es-AR"/>
        </w:rPr>
        <w:t>or su parte, en el caso de María de Jesús Espinoza Peinado, Ascensión Alvarado Fabela, Rigoberto Ambriz Marrufo y sus 4 hijos, quienes también pidieron asilo político en EUA, radican actualmente en la ciudad de Odessa, estado de Texas, EUA</w:t>
      </w:r>
      <w:r w:rsidR="008D1822" w:rsidRPr="008D0846">
        <w:rPr>
          <w:rStyle w:val="FootnoteReference"/>
          <w:rFonts w:ascii="Verdana" w:hAnsi="Verdana" w:cs="Arial"/>
          <w:sz w:val="18"/>
          <w:szCs w:val="20"/>
          <w:lang w:val="es-AR"/>
        </w:rPr>
        <w:footnoteReference w:id="363"/>
      </w:r>
      <w:r w:rsidR="008D1822" w:rsidRPr="008D0846">
        <w:rPr>
          <w:rFonts w:ascii="Verdana" w:hAnsi="Verdana" w:cs="Arial"/>
          <w:sz w:val="18"/>
          <w:szCs w:val="20"/>
          <w:lang w:val="es-AR"/>
        </w:rPr>
        <w:t xml:space="preserve">. Toda vez que María de Jesús Alvarado Espinoza (quien también radicaba con sus familiares en Odessa, Texas) acudió a declarar ante la Corte Interamericana en la audiencia pública del presente caso el 26 de abril de 2018, al salir del territorio de los </w:t>
      </w:r>
      <w:r w:rsidR="00672362" w:rsidRPr="008D0846">
        <w:rPr>
          <w:rFonts w:ascii="Verdana" w:hAnsi="Verdana" w:cs="Arial"/>
          <w:sz w:val="18"/>
          <w:szCs w:val="20"/>
          <w:lang w:val="es-AR"/>
        </w:rPr>
        <w:t>EUA</w:t>
      </w:r>
      <w:r w:rsidR="008D1822" w:rsidRPr="008D0846">
        <w:rPr>
          <w:rFonts w:ascii="Verdana" w:hAnsi="Verdana" w:cs="Arial"/>
          <w:sz w:val="18"/>
          <w:szCs w:val="20"/>
          <w:lang w:val="es-AR"/>
        </w:rPr>
        <w:t xml:space="preserve"> le fue denegado el reingreso a dicho país y perdió su solicitud de asilo, entonces pendiente de resolución</w:t>
      </w:r>
      <w:r w:rsidR="008D1822" w:rsidRPr="008D0846">
        <w:rPr>
          <w:rStyle w:val="FootnoteReference"/>
          <w:rFonts w:ascii="Verdana" w:hAnsi="Verdana" w:cs="Arial"/>
          <w:sz w:val="18"/>
          <w:szCs w:val="20"/>
          <w:lang w:val="es-AR"/>
        </w:rPr>
        <w:footnoteReference w:id="364"/>
      </w:r>
      <w:r w:rsidR="008D1822" w:rsidRPr="008D0846">
        <w:rPr>
          <w:rFonts w:ascii="Verdana" w:hAnsi="Verdana" w:cs="Arial"/>
          <w:sz w:val="18"/>
          <w:szCs w:val="20"/>
          <w:lang w:val="es-AR"/>
        </w:rPr>
        <w:t xml:space="preserve">. </w:t>
      </w:r>
    </w:p>
    <w:p w14:paraId="4FE12D7F" w14:textId="38C80861" w:rsidR="008D1822" w:rsidRPr="00432ABC" w:rsidRDefault="00556FDB">
      <w:pPr>
        <w:pStyle w:val="Heading4"/>
        <w:numPr>
          <w:ilvl w:val="0"/>
          <w:numId w:val="62"/>
        </w:numPr>
        <w:spacing w:before="120" w:after="120"/>
        <w:contextualSpacing w:val="0"/>
        <w:rPr>
          <w:rFonts w:eastAsiaTheme="minorHAnsi" w:cs="Arial"/>
          <w:u w:val="none"/>
          <w:lang w:val="es-AR"/>
        </w:rPr>
      </w:pPr>
      <w:r>
        <w:rPr>
          <w:rFonts w:eastAsiaTheme="minorHAnsi" w:cs="Arial"/>
          <w:u w:val="none"/>
          <w:lang w:val="es-AR"/>
        </w:rPr>
        <w:t xml:space="preserve"> </w:t>
      </w:r>
      <w:bookmarkStart w:id="167" w:name="_Toc532995357"/>
      <w:r w:rsidR="008D1822" w:rsidRPr="00744CE4">
        <w:rPr>
          <w:rFonts w:eastAsiaTheme="minorHAnsi" w:cs="Arial"/>
          <w:u w:val="none"/>
          <w:lang w:val="es-AR"/>
        </w:rPr>
        <w:t>Grupo familiar de Rocío Irene Alvarado Reyes</w:t>
      </w:r>
      <w:bookmarkEnd w:id="167"/>
      <w:r w:rsidR="008D1822" w:rsidRPr="00432ABC">
        <w:rPr>
          <w:rFonts w:cs="Arial"/>
          <w:u w:val="none"/>
          <w:lang w:val="es-AR"/>
        </w:rPr>
        <w:t xml:space="preserve">  </w:t>
      </w:r>
    </w:p>
    <w:p w14:paraId="3BD047DF" w14:textId="0ADD9769" w:rsidR="008D1822" w:rsidRPr="002C462C" w:rsidRDefault="008D1822" w:rsidP="00DB378B">
      <w:pPr>
        <w:pStyle w:val="ListParagraph"/>
        <w:widowControl w:val="0"/>
        <w:numPr>
          <w:ilvl w:val="0"/>
          <w:numId w:val="4"/>
        </w:numPr>
        <w:tabs>
          <w:tab w:val="left" w:pos="567"/>
        </w:tabs>
        <w:autoSpaceDE w:val="0"/>
        <w:autoSpaceDN w:val="0"/>
        <w:adjustRightInd w:val="0"/>
        <w:spacing w:before="120" w:after="120" w:line="240" w:lineRule="auto"/>
        <w:ind w:left="0" w:firstLine="0"/>
        <w:contextualSpacing w:val="0"/>
        <w:jc w:val="both"/>
        <w:textAlignment w:val="baseline"/>
        <w:rPr>
          <w:rFonts w:ascii="Verdana" w:hAnsi="Verdana"/>
          <w:sz w:val="20"/>
          <w:lang w:val="es-AR"/>
        </w:rPr>
      </w:pPr>
      <w:r w:rsidRPr="00432ABC">
        <w:rPr>
          <w:rFonts w:ascii="Verdana" w:hAnsi="Verdana" w:cs="Arial"/>
          <w:sz w:val="20"/>
          <w:szCs w:val="20"/>
          <w:lang w:val="es-AR"/>
        </w:rPr>
        <w:t xml:space="preserve">Por su parte, tras la desaparición de Rocío Irene Alvarado su grupo familiar </w:t>
      </w:r>
      <w:r w:rsidR="008D71A5">
        <w:rPr>
          <w:rFonts w:ascii="Verdana" w:hAnsi="Verdana" w:cs="Arial"/>
          <w:sz w:val="20"/>
          <w:szCs w:val="20"/>
          <w:lang w:val="es-AR"/>
        </w:rPr>
        <w:t>(</w:t>
      </w:r>
      <w:r w:rsidR="008D71A5" w:rsidRPr="008D0846">
        <w:rPr>
          <w:rFonts w:ascii="Verdana" w:hAnsi="Verdana" w:cs="Arial"/>
          <w:i/>
          <w:sz w:val="20"/>
          <w:szCs w:val="20"/>
          <w:lang w:val="es-AR"/>
        </w:rPr>
        <w:t>supra</w:t>
      </w:r>
      <w:r w:rsidR="008D71A5">
        <w:rPr>
          <w:rFonts w:ascii="Verdana" w:hAnsi="Verdana" w:cs="Arial"/>
          <w:sz w:val="20"/>
          <w:szCs w:val="20"/>
          <w:lang w:val="es-AR"/>
        </w:rPr>
        <w:t xml:space="preserve">, párr. 77) </w:t>
      </w:r>
      <w:r w:rsidRPr="00432ABC">
        <w:rPr>
          <w:rFonts w:ascii="Verdana" w:hAnsi="Verdana" w:cs="Arial"/>
          <w:sz w:val="20"/>
          <w:szCs w:val="20"/>
          <w:lang w:val="es-AR"/>
        </w:rPr>
        <w:t>se desplazó del Ejido Benito Juárez, lugar en el que residían; a saber:</w:t>
      </w:r>
    </w:p>
    <w:p w14:paraId="0A43CFAF" w14:textId="16B5B6A7" w:rsidR="008D1822" w:rsidRPr="008D0846" w:rsidRDefault="00B4529B">
      <w:pPr>
        <w:pStyle w:val="ListParagraph"/>
        <w:widowControl w:val="0"/>
        <w:numPr>
          <w:ilvl w:val="2"/>
          <w:numId w:val="4"/>
        </w:numPr>
        <w:tabs>
          <w:tab w:val="left" w:pos="567"/>
        </w:tabs>
        <w:autoSpaceDE w:val="0"/>
        <w:autoSpaceDN w:val="0"/>
        <w:adjustRightInd w:val="0"/>
        <w:spacing w:before="120" w:after="120" w:line="240" w:lineRule="auto"/>
        <w:ind w:left="567"/>
        <w:contextualSpacing w:val="0"/>
        <w:jc w:val="both"/>
        <w:textAlignment w:val="baseline"/>
        <w:rPr>
          <w:rFonts w:ascii="Verdana" w:hAnsi="Verdana"/>
          <w:sz w:val="18"/>
          <w:lang w:val="es-AR"/>
        </w:rPr>
      </w:pPr>
      <w:r w:rsidRPr="008D0846">
        <w:rPr>
          <w:rFonts w:ascii="Verdana" w:eastAsia="Calibri" w:hAnsi="Verdana"/>
          <w:bCs/>
          <w:sz w:val="18"/>
          <w:szCs w:val="20"/>
          <w:lang w:val="es-AR"/>
        </w:rPr>
        <w:t>t</w:t>
      </w:r>
      <w:r w:rsidR="008D1822" w:rsidRPr="008D0846">
        <w:rPr>
          <w:rFonts w:ascii="Verdana" w:eastAsia="Calibri" w:hAnsi="Verdana"/>
          <w:bCs/>
          <w:sz w:val="18"/>
          <w:szCs w:val="20"/>
          <w:lang w:val="es-AR"/>
        </w:rPr>
        <w:t>rascurrido un mes de</w:t>
      </w:r>
      <w:r w:rsidR="008D1822" w:rsidRPr="008D0846">
        <w:rPr>
          <w:rFonts w:ascii="Verdana" w:hAnsi="Verdana" w:cs="Arial"/>
          <w:sz w:val="18"/>
          <w:szCs w:val="20"/>
          <w:lang w:val="es-AR"/>
        </w:rPr>
        <w:t xml:space="preserve"> la desaparición de Rocío Irene Alvarado, su madre, Patricia Reyes Rueda, se desplazó del Ejido Benito Juárez en compañía de sus hijos A.A.R. y A.R.A.R. (hermanos de Rocío </w:t>
      </w:r>
      <w:r w:rsidR="008D1822" w:rsidRPr="008D0846">
        <w:rPr>
          <w:rFonts w:ascii="Verdana" w:eastAsia="Calibri" w:hAnsi="Verdana"/>
          <w:bCs/>
          <w:sz w:val="18"/>
          <w:szCs w:val="20"/>
          <w:lang w:val="es-AR"/>
        </w:rPr>
        <w:lastRenderedPageBreak/>
        <w:t>Irene Alvarado</w:t>
      </w:r>
      <w:r w:rsidR="008D1822" w:rsidRPr="008D0846">
        <w:rPr>
          <w:rFonts w:ascii="Verdana" w:hAnsi="Verdana" w:cs="Arial"/>
          <w:sz w:val="18"/>
          <w:szCs w:val="20"/>
          <w:lang w:val="es-AR"/>
        </w:rPr>
        <w:t xml:space="preserve">), así como de su nieta A.M.U.A. (hija de Rocío </w:t>
      </w:r>
      <w:r w:rsidR="008D1822" w:rsidRPr="008D0846">
        <w:rPr>
          <w:rFonts w:ascii="Verdana" w:eastAsia="Calibri" w:hAnsi="Verdana"/>
          <w:bCs/>
          <w:sz w:val="18"/>
          <w:szCs w:val="20"/>
          <w:lang w:val="es-AR"/>
        </w:rPr>
        <w:t>Irene Alvarado</w:t>
      </w:r>
      <w:r w:rsidR="008D1822" w:rsidRPr="008D0846">
        <w:rPr>
          <w:rFonts w:ascii="Verdana" w:hAnsi="Verdana" w:cs="Arial"/>
          <w:sz w:val="18"/>
          <w:szCs w:val="20"/>
          <w:lang w:val="es-AR"/>
        </w:rPr>
        <w:t>), por miedo a que se repitieran hechos similares, estableciéndose en la ciudad de Chihuahua durante un año. Con posterioridad, regresó al Ejido Benito Juárez, vendió su anterior vivienda y construyó un nuevo hogar al que se mudó con su familia. En dicho lugar radicó hasta el año 2016</w:t>
      </w:r>
      <w:r w:rsidR="008D1822" w:rsidRPr="008D0846">
        <w:rPr>
          <w:rStyle w:val="FootnoteReference"/>
          <w:rFonts w:ascii="Verdana" w:hAnsi="Verdana" w:cs="Arial"/>
          <w:sz w:val="18"/>
          <w:szCs w:val="20"/>
          <w:lang w:val="es-AR"/>
        </w:rPr>
        <w:footnoteReference w:id="365"/>
      </w:r>
      <w:r w:rsidR="00D60ADB" w:rsidRPr="008D0846">
        <w:rPr>
          <w:rFonts w:ascii="Verdana" w:hAnsi="Verdana" w:cs="Arial"/>
          <w:sz w:val="18"/>
          <w:szCs w:val="20"/>
          <w:lang w:val="es-AR"/>
        </w:rPr>
        <w:t>, y</w:t>
      </w:r>
      <w:r w:rsidR="008D1822" w:rsidRPr="008D0846">
        <w:rPr>
          <w:rFonts w:ascii="Verdana" w:hAnsi="Verdana" w:cs="Arial"/>
          <w:sz w:val="18"/>
          <w:szCs w:val="20"/>
          <w:lang w:val="es-AR"/>
        </w:rPr>
        <w:t xml:space="preserve"> </w:t>
      </w:r>
    </w:p>
    <w:p w14:paraId="66832FEF" w14:textId="34470860" w:rsidR="008D1822" w:rsidRPr="008D0846" w:rsidRDefault="00D60ADB">
      <w:pPr>
        <w:pStyle w:val="ListParagraph"/>
        <w:widowControl w:val="0"/>
        <w:numPr>
          <w:ilvl w:val="2"/>
          <w:numId w:val="4"/>
        </w:numPr>
        <w:tabs>
          <w:tab w:val="left" w:pos="567"/>
        </w:tabs>
        <w:autoSpaceDE w:val="0"/>
        <w:autoSpaceDN w:val="0"/>
        <w:adjustRightInd w:val="0"/>
        <w:spacing w:before="120" w:after="120" w:line="240" w:lineRule="auto"/>
        <w:ind w:left="567"/>
        <w:contextualSpacing w:val="0"/>
        <w:jc w:val="both"/>
        <w:textAlignment w:val="baseline"/>
        <w:rPr>
          <w:rFonts w:ascii="Verdana" w:hAnsi="Verdana" w:cs="Arial"/>
          <w:sz w:val="18"/>
          <w:szCs w:val="20"/>
          <w:lang w:val="es-AR"/>
        </w:rPr>
      </w:pPr>
      <w:r w:rsidRPr="008D0846">
        <w:rPr>
          <w:rFonts w:ascii="Verdana" w:hAnsi="Verdana" w:cs="Arial"/>
          <w:sz w:val="18"/>
          <w:szCs w:val="20"/>
          <w:lang w:val="es-AR"/>
        </w:rPr>
        <w:t>e</w:t>
      </w:r>
      <w:r w:rsidR="008D1822" w:rsidRPr="008D0846">
        <w:rPr>
          <w:rFonts w:ascii="Verdana" w:hAnsi="Verdana" w:cs="Arial"/>
          <w:sz w:val="18"/>
          <w:szCs w:val="20"/>
          <w:lang w:val="es-AR"/>
        </w:rPr>
        <w:t>n 2016 Patricia Reyes se trasladó junto con su hijo A.A.R. y su nieta A.M.U.A. a la ciudad de Chihuahua a una vivienda consensuada y proporcionada por el Gobierno del Estado de Chihuahua en el marco de las medidas provisionales otorgadas por la Corte y de las cuales su grupo familiar es beneficiario hasta la fecha. Transcurrido un año, debido a que la familia no logró adaptarse, regresaron voluntariamente al Ejido Benito Juárez</w:t>
      </w:r>
      <w:r w:rsidR="008D1822" w:rsidRPr="008D0846">
        <w:rPr>
          <w:rStyle w:val="FootnoteReference"/>
          <w:rFonts w:ascii="Verdana" w:hAnsi="Verdana" w:cs="Arial"/>
          <w:sz w:val="18"/>
          <w:szCs w:val="20"/>
          <w:lang w:val="es-AR"/>
        </w:rPr>
        <w:footnoteReference w:id="366"/>
      </w:r>
      <w:r w:rsidR="008D1822" w:rsidRPr="008D0846">
        <w:rPr>
          <w:rFonts w:ascii="Verdana" w:hAnsi="Verdana" w:cs="Arial"/>
          <w:sz w:val="18"/>
          <w:szCs w:val="20"/>
          <w:lang w:val="es-AR"/>
        </w:rPr>
        <w:t>.</w:t>
      </w:r>
    </w:p>
    <w:p w14:paraId="51D2C8FA" w14:textId="27C84517" w:rsidR="008D1822" w:rsidRPr="00432ABC" w:rsidRDefault="00556FDB">
      <w:pPr>
        <w:pStyle w:val="Heading4"/>
        <w:numPr>
          <w:ilvl w:val="0"/>
          <w:numId w:val="62"/>
        </w:numPr>
        <w:spacing w:before="120" w:after="120"/>
        <w:contextualSpacing w:val="0"/>
        <w:rPr>
          <w:u w:val="none"/>
          <w:lang w:val="es-AR"/>
        </w:rPr>
      </w:pPr>
      <w:r>
        <w:rPr>
          <w:u w:val="none"/>
          <w:lang w:val="es-AR"/>
        </w:rPr>
        <w:t xml:space="preserve"> </w:t>
      </w:r>
      <w:bookmarkStart w:id="168" w:name="_Toc532995358"/>
      <w:r w:rsidR="008D1822" w:rsidRPr="00744CE4">
        <w:rPr>
          <w:u w:val="none"/>
          <w:lang w:val="es-AR"/>
        </w:rPr>
        <w:t>Grupo familiar de José Ángel Alv</w:t>
      </w:r>
      <w:r w:rsidR="008D1822" w:rsidRPr="00432ABC">
        <w:rPr>
          <w:u w:val="none"/>
          <w:lang w:val="es-AR"/>
        </w:rPr>
        <w:t>arado Herrera</w:t>
      </w:r>
      <w:bookmarkEnd w:id="168"/>
    </w:p>
    <w:p w14:paraId="09B06ED8" w14:textId="72FE7985" w:rsidR="008D1822" w:rsidRPr="002C462C" w:rsidRDefault="008D1822" w:rsidP="00DB378B">
      <w:pPr>
        <w:pStyle w:val="ListParagraph"/>
        <w:widowControl w:val="0"/>
        <w:numPr>
          <w:ilvl w:val="0"/>
          <w:numId w:val="4"/>
        </w:numPr>
        <w:tabs>
          <w:tab w:val="left" w:pos="567"/>
        </w:tabs>
        <w:autoSpaceDE w:val="0"/>
        <w:autoSpaceDN w:val="0"/>
        <w:adjustRightInd w:val="0"/>
        <w:spacing w:before="120" w:after="120" w:line="240" w:lineRule="auto"/>
        <w:ind w:left="0" w:firstLine="0"/>
        <w:contextualSpacing w:val="0"/>
        <w:jc w:val="both"/>
        <w:textAlignment w:val="baseline"/>
        <w:rPr>
          <w:rFonts w:ascii="Verdana" w:hAnsi="Verdana" w:cs="Cambria"/>
          <w:sz w:val="20"/>
          <w:szCs w:val="20"/>
        </w:rPr>
      </w:pPr>
      <w:r w:rsidRPr="00432ABC">
        <w:rPr>
          <w:rFonts w:ascii="Verdana" w:hAnsi="Verdana" w:cs="Cambria"/>
          <w:sz w:val="20"/>
          <w:szCs w:val="20"/>
        </w:rPr>
        <w:t>Como consecuencia de las amenazas recibidas vía telefónica por José Ángel Alvarado Fabela el 29 de enero de 2011 (</w:t>
      </w:r>
      <w:r w:rsidRPr="00432ABC">
        <w:rPr>
          <w:rFonts w:ascii="Verdana" w:hAnsi="Verdana" w:cs="Cambria"/>
          <w:i/>
          <w:sz w:val="20"/>
          <w:szCs w:val="20"/>
        </w:rPr>
        <w:t xml:space="preserve">supra </w:t>
      </w:r>
      <w:r w:rsidRPr="00432ABC">
        <w:rPr>
          <w:rFonts w:ascii="Verdana" w:hAnsi="Verdana" w:cs="Cambria"/>
          <w:sz w:val="20"/>
          <w:szCs w:val="20"/>
        </w:rPr>
        <w:t xml:space="preserve">párr. </w:t>
      </w:r>
      <w:r w:rsidR="001C7B22">
        <w:rPr>
          <w:rFonts w:ascii="Verdana" w:hAnsi="Verdana" w:cs="Cambria"/>
          <w:sz w:val="20"/>
          <w:szCs w:val="20"/>
        </w:rPr>
        <w:t>144</w:t>
      </w:r>
      <w:r w:rsidR="001C7B22" w:rsidRPr="00432ABC">
        <w:rPr>
          <w:rFonts w:ascii="Verdana" w:hAnsi="Verdana" w:cs="Cambria"/>
          <w:sz w:val="20"/>
          <w:szCs w:val="20"/>
        </w:rPr>
        <w:t xml:space="preserve">), </w:t>
      </w:r>
      <w:r w:rsidRPr="00432ABC">
        <w:rPr>
          <w:rFonts w:ascii="Verdana" w:hAnsi="Verdana" w:cs="Cambria"/>
          <w:sz w:val="20"/>
          <w:szCs w:val="20"/>
        </w:rPr>
        <w:t xml:space="preserve">los integrantes del grupo familiar de </w:t>
      </w:r>
      <w:r w:rsidRPr="00432ABC">
        <w:rPr>
          <w:rFonts w:ascii="Verdana" w:hAnsi="Verdana"/>
          <w:sz w:val="20"/>
          <w:szCs w:val="20"/>
          <w:lang w:val="es-AR"/>
        </w:rPr>
        <w:t>José Ángel Alvarado Herrera, quienes residían en Ciudad Juárez,</w:t>
      </w:r>
      <w:r w:rsidRPr="002C462C">
        <w:rPr>
          <w:rFonts w:ascii="Verdana" w:hAnsi="Verdana" w:cs="Cambria"/>
          <w:sz w:val="20"/>
          <w:szCs w:val="20"/>
        </w:rPr>
        <w:t xml:space="preserve"> decidieron huir por temor ese mismo día. Por consiguiente</w:t>
      </w:r>
      <w:r w:rsidR="00F80866">
        <w:rPr>
          <w:rFonts w:ascii="Verdana" w:hAnsi="Verdana" w:cs="Cambria"/>
          <w:sz w:val="20"/>
          <w:szCs w:val="20"/>
        </w:rPr>
        <w:t xml:space="preserve"> (</w:t>
      </w:r>
      <w:r w:rsidR="00F80866" w:rsidRPr="008D0846">
        <w:rPr>
          <w:rFonts w:ascii="Verdana" w:hAnsi="Verdana" w:cs="Cambria"/>
          <w:i/>
          <w:sz w:val="20"/>
          <w:szCs w:val="20"/>
        </w:rPr>
        <w:t>supra</w:t>
      </w:r>
      <w:r w:rsidR="00F80866">
        <w:rPr>
          <w:rFonts w:ascii="Verdana" w:hAnsi="Verdana" w:cs="Cambria"/>
          <w:sz w:val="20"/>
          <w:szCs w:val="20"/>
        </w:rPr>
        <w:t xml:space="preserve"> párr. 78)</w:t>
      </w:r>
      <w:r w:rsidRPr="002C462C">
        <w:rPr>
          <w:rFonts w:ascii="Verdana" w:hAnsi="Verdana" w:cs="Cambria"/>
          <w:sz w:val="20"/>
          <w:szCs w:val="20"/>
        </w:rPr>
        <w:t>:</w:t>
      </w:r>
    </w:p>
    <w:p w14:paraId="1ACF9535" w14:textId="2039FA8F" w:rsidR="008D1822" w:rsidRPr="008D0846" w:rsidRDefault="008D1822">
      <w:pPr>
        <w:pStyle w:val="ListParagraph"/>
        <w:widowControl w:val="0"/>
        <w:numPr>
          <w:ilvl w:val="2"/>
          <w:numId w:val="4"/>
        </w:numPr>
        <w:tabs>
          <w:tab w:val="left" w:pos="567"/>
        </w:tabs>
        <w:autoSpaceDE w:val="0"/>
        <w:autoSpaceDN w:val="0"/>
        <w:adjustRightInd w:val="0"/>
        <w:spacing w:before="120" w:after="120" w:line="240" w:lineRule="auto"/>
        <w:ind w:left="567"/>
        <w:contextualSpacing w:val="0"/>
        <w:jc w:val="both"/>
        <w:textAlignment w:val="baseline"/>
        <w:rPr>
          <w:rFonts w:ascii="Verdana" w:hAnsi="Verdana"/>
          <w:strike/>
          <w:sz w:val="18"/>
        </w:rPr>
      </w:pPr>
      <w:r w:rsidRPr="008D0846">
        <w:rPr>
          <w:rFonts w:ascii="Verdana" w:hAnsi="Verdana" w:cs="Cambria"/>
          <w:sz w:val="18"/>
          <w:szCs w:val="20"/>
        </w:rPr>
        <w:t>José Ángel Alvarado Fabela (padre), Concepción Herrera (madre) Obdulia Espinoza Beltrán (esposa), J.A.E, J.A.A.E y A.E.B (hijos); Jaime Alvarado Herrera (hermano); Sandra Luz Rueda Quezada (cuñada, esposa de Jaime Alvarado), J.O.A.R, R.G.A.R, C.N.A.R, J.E.A.R. (sobrinos, hijos de Jaime Alvarado y Sandra Luz Rueda); Rosa Olivia Alvarado Herrera (hermana), Félix García García (cuñado, esposo de Rosa Olivia Alvarado), y Karina Paola Alvarado Espinoza, F.A.H y J.G.A (sobrinos, hijos de Rosa Olivia Alvarado y Félix García) se desplazaron al Ejido Benito Juárez</w:t>
      </w:r>
      <w:r w:rsidRPr="008D0846">
        <w:rPr>
          <w:rStyle w:val="FootnoteReference"/>
          <w:rFonts w:ascii="Verdana" w:hAnsi="Verdana" w:cs="Cambria"/>
          <w:sz w:val="18"/>
          <w:szCs w:val="20"/>
        </w:rPr>
        <w:footnoteReference w:id="367"/>
      </w:r>
      <w:r w:rsidR="00D60ADB" w:rsidRPr="008D0846">
        <w:rPr>
          <w:rFonts w:ascii="Verdana" w:hAnsi="Verdana" w:cs="Cambria"/>
          <w:sz w:val="18"/>
          <w:szCs w:val="20"/>
        </w:rPr>
        <w:t>;</w:t>
      </w:r>
      <w:r w:rsidRPr="008D0846">
        <w:rPr>
          <w:rFonts w:ascii="Verdana" w:hAnsi="Verdana" w:cs="Cambria"/>
          <w:strike/>
          <w:sz w:val="18"/>
          <w:szCs w:val="20"/>
        </w:rPr>
        <w:t xml:space="preserve"> </w:t>
      </w:r>
    </w:p>
    <w:p w14:paraId="188107E3" w14:textId="6A9ED3C5" w:rsidR="008D1822" w:rsidRPr="008D0846" w:rsidRDefault="00D60ADB">
      <w:pPr>
        <w:pStyle w:val="ListParagraph"/>
        <w:widowControl w:val="0"/>
        <w:numPr>
          <w:ilvl w:val="2"/>
          <w:numId w:val="4"/>
        </w:numPr>
        <w:tabs>
          <w:tab w:val="left" w:pos="567"/>
        </w:tabs>
        <w:autoSpaceDE w:val="0"/>
        <w:autoSpaceDN w:val="0"/>
        <w:adjustRightInd w:val="0"/>
        <w:spacing w:before="120" w:after="120" w:line="240" w:lineRule="auto"/>
        <w:ind w:left="567"/>
        <w:contextualSpacing w:val="0"/>
        <w:jc w:val="both"/>
        <w:textAlignment w:val="baseline"/>
        <w:rPr>
          <w:rFonts w:ascii="Verdana" w:hAnsi="Verdana"/>
          <w:sz w:val="18"/>
        </w:rPr>
      </w:pPr>
      <w:r w:rsidRPr="008D0846">
        <w:rPr>
          <w:rFonts w:ascii="Verdana" w:hAnsi="Verdana"/>
          <w:sz w:val="18"/>
          <w:szCs w:val="20"/>
        </w:rPr>
        <w:t>d</w:t>
      </w:r>
      <w:r w:rsidR="008D1822" w:rsidRPr="008D0846">
        <w:rPr>
          <w:rFonts w:ascii="Verdana" w:hAnsi="Verdana"/>
          <w:sz w:val="18"/>
          <w:szCs w:val="20"/>
          <w:lang w:val="es-AR"/>
        </w:rPr>
        <w:t>e igual forma, Rosa Olivia Alvarado Herrera, Félix García García, Karina Paola Alvarado Espinoza, F.A.H. y J.G.A., regresaron a Ciudad Juárez y rentaron una casa para vivir, puesto que ya no volvieron a habitar la vivienda de su propiedad en dicha ciudad debido al temor que padecían por las amenazas recibidas</w:t>
      </w:r>
      <w:r w:rsidR="008D1822" w:rsidRPr="008D0846">
        <w:rPr>
          <w:rStyle w:val="FootnoteReference"/>
          <w:rFonts w:ascii="Verdana" w:hAnsi="Verdana"/>
          <w:sz w:val="18"/>
          <w:szCs w:val="20"/>
          <w:lang w:val="es-AR"/>
        </w:rPr>
        <w:footnoteReference w:id="368"/>
      </w:r>
      <w:r w:rsidR="008D1822" w:rsidRPr="008D0846">
        <w:rPr>
          <w:rFonts w:ascii="Verdana" w:hAnsi="Verdana"/>
          <w:sz w:val="18"/>
          <w:szCs w:val="20"/>
          <w:lang w:val="es-AR"/>
        </w:rPr>
        <w:t>. Con posterioridad, Jaime Alvarado, su esposa Sandra Luz Rueda y los 4 hijos de éstos también volvieron a Ciudad Juárez, habitando en la misma vivienda alquilada</w:t>
      </w:r>
      <w:r w:rsidR="008D1822" w:rsidRPr="008D0846">
        <w:rPr>
          <w:rStyle w:val="FootnoteReference"/>
          <w:rFonts w:ascii="Verdana" w:hAnsi="Verdana"/>
          <w:sz w:val="18"/>
          <w:szCs w:val="20"/>
          <w:lang w:val="es-AR"/>
        </w:rPr>
        <w:footnoteReference w:id="369"/>
      </w:r>
      <w:r w:rsidR="008D1822" w:rsidRPr="008D0846">
        <w:rPr>
          <w:rFonts w:ascii="Verdana" w:hAnsi="Verdana"/>
          <w:sz w:val="18"/>
          <w:szCs w:val="20"/>
          <w:lang w:val="es-AR"/>
        </w:rPr>
        <w:t>.</w:t>
      </w:r>
    </w:p>
    <w:p w14:paraId="269E3D41" w14:textId="1F908551" w:rsidR="008D1822" w:rsidRPr="00432ABC" w:rsidRDefault="008D1822" w:rsidP="00DB378B">
      <w:pPr>
        <w:pStyle w:val="ListParagraph"/>
        <w:numPr>
          <w:ilvl w:val="0"/>
          <w:numId w:val="4"/>
        </w:numPr>
        <w:spacing w:before="120" w:after="120" w:line="240" w:lineRule="auto"/>
        <w:ind w:left="0" w:firstLine="0"/>
        <w:contextualSpacing w:val="0"/>
        <w:jc w:val="both"/>
        <w:rPr>
          <w:rFonts w:ascii="Verdana" w:hAnsi="Verdana"/>
          <w:sz w:val="20"/>
        </w:rPr>
      </w:pPr>
      <w:r w:rsidRPr="00432ABC">
        <w:rPr>
          <w:rFonts w:ascii="Verdana" w:hAnsi="Verdana"/>
          <w:sz w:val="20"/>
          <w:szCs w:val="20"/>
          <w:lang w:val="es-AR"/>
        </w:rPr>
        <w:t>Tras el atropellamiento de Jaime Alvarado y el allanamiento de su domicilio familiar ocurridos en 2011 en Ciudad Juárez (</w:t>
      </w:r>
      <w:r w:rsidRPr="00432ABC">
        <w:rPr>
          <w:rFonts w:ascii="Verdana" w:hAnsi="Verdana"/>
          <w:i/>
          <w:sz w:val="20"/>
          <w:szCs w:val="20"/>
          <w:lang w:val="es-AR"/>
        </w:rPr>
        <w:t>supra</w:t>
      </w:r>
      <w:r w:rsidRPr="00432ABC">
        <w:rPr>
          <w:rFonts w:ascii="Verdana" w:hAnsi="Verdana"/>
          <w:sz w:val="20"/>
          <w:szCs w:val="20"/>
          <w:lang w:val="es-AR"/>
        </w:rPr>
        <w:t xml:space="preserve">, párrs. </w:t>
      </w:r>
      <w:r w:rsidR="00083228">
        <w:rPr>
          <w:rFonts w:ascii="Verdana" w:hAnsi="Verdana"/>
          <w:sz w:val="20"/>
          <w:szCs w:val="20"/>
          <w:lang w:val="es-AR"/>
        </w:rPr>
        <w:t>14</w:t>
      </w:r>
      <w:r w:rsidR="00F80866">
        <w:rPr>
          <w:rFonts w:ascii="Verdana" w:hAnsi="Verdana"/>
          <w:sz w:val="20"/>
          <w:szCs w:val="20"/>
          <w:lang w:val="es-AR"/>
        </w:rPr>
        <w:t>7</w:t>
      </w:r>
      <w:r w:rsidR="00083228">
        <w:rPr>
          <w:rFonts w:ascii="Verdana" w:hAnsi="Verdana"/>
          <w:sz w:val="20"/>
          <w:szCs w:val="20"/>
          <w:lang w:val="es-AR"/>
        </w:rPr>
        <w:t xml:space="preserve"> y 14</w:t>
      </w:r>
      <w:r w:rsidR="00F80866">
        <w:rPr>
          <w:rFonts w:ascii="Verdana" w:hAnsi="Verdana"/>
          <w:sz w:val="20"/>
          <w:szCs w:val="20"/>
          <w:lang w:val="es-AR"/>
        </w:rPr>
        <w:t>9</w:t>
      </w:r>
      <w:r w:rsidR="00083228" w:rsidRPr="00432ABC">
        <w:rPr>
          <w:rFonts w:ascii="Verdana" w:hAnsi="Verdana"/>
          <w:sz w:val="20"/>
          <w:szCs w:val="20"/>
          <w:lang w:val="es-AR"/>
        </w:rPr>
        <w:t xml:space="preserve">), </w:t>
      </w:r>
      <w:r w:rsidRPr="00432ABC">
        <w:rPr>
          <w:rFonts w:ascii="Verdana" w:hAnsi="Verdana"/>
          <w:sz w:val="20"/>
          <w:szCs w:val="20"/>
          <w:lang w:val="es-AR"/>
        </w:rPr>
        <w:t>dicho familiar se trasladó a Hermosillo, Sonora, en donde radicó durante un año separado de su esposa e hijos, quienes continuaron residiendo en Ciudad Juárez</w:t>
      </w:r>
      <w:r w:rsidR="00021452">
        <w:rPr>
          <w:rFonts w:ascii="Verdana" w:hAnsi="Verdana"/>
          <w:sz w:val="20"/>
          <w:szCs w:val="20"/>
          <w:lang w:val="es-AR"/>
        </w:rPr>
        <w:t>, Chihuahua</w:t>
      </w:r>
      <w:r w:rsidRPr="00744CE4">
        <w:rPr>
          <w:rStyle w:val="FootnoteReference"/>
          <w:rFonts w:ascii="Verdana" w:hAnsi="Verdana"/>
          <w:sz w:val="20"/>
          <w:szCs w:val="20"/>
          <w:lang w:val="es-AR"/>
        </w:rPr>
        <w:footnoteReference w:id="370"/>
      </w:r>
      <w:r w:rsidR="00021452">
        <w:rPr>
          <w:rFonts w:ascii="Verdana" w:hAnsi="Verdana"/>
          <w:sz w:val="20"/>
          <w:szCs w:val="20"/>
          <w:lang w:val="es-AR"/>
        </w:rPr>
        <w:t>.</w:t>
      </w:r>
    </w:p>
    <w:p w14:paraId="71F0573F" w14:textId="6C063D8B" w:rsidR="008D1822" w:rsidRPr="000E4E05" w:rsidRDefault="008D1822" w:rsidP="00DB378B">
      <w:pPr>
        <w:pStyle w:val="ListParagraph"/>
        <w:numPr>
          <w:ilvl w:val="0"/>
          <w:numId w:val="4"/>
        </w:numPr>
        <w:spacing w:before="120" w:after="120" w:line="240" w:lineRule="auto"/>
        <w:ind w:left="0" w:firstLine="0"/>
        <w:contextualSpacing w:val="0"/>
        <w:jc w:val="both"/>
        <w:rPr>
          <w:rFonts w:ascii="Verdana" w:hAnsi="Verdana"/>
          <w:sz w:val="20"/>
        </w:rPr>
      </w:pPr>
      <w:r w:rsidRPr="00432ABC">
        <w:rPr>
          <w:rFonts w:ascii="Verdana" w:hAnsi="Verdana"/>
          <w:sz w:val="20"/>
          <w:szCs w:val="20"/>
          <w:lang w:val="es-AR"/>
        </w:rPr>
        <w:lastRenderedPageBreak/>
        <w:t>Finalmente y como consecuencia del homicidio de F.A.H. (hijo de Rosa Olivia Alvarado) ocurrido el 6 de febrero de 2018</w:t>
      </w:r>
      <w:r w:rsidRPr="00744CE4">
        <w:rPr>
          <w:rStyle w:val="FootnoteReference"/>
          <w:rFonts w:ascii="Verdana" w:hAnsi="Verdana"/>
          <w:sz w:val="20"/>
          <w:szCs w:val="20"/>
          <w:lang w:val="es-AR"/>
        </w:rPr>
        <w:footnoteReference w:id="371"/>
      </w:r>
      <w:r w:rsidRPr="00744CE4">
        <w:rPr>
          <w:rFonts w:ascii="Verdana" w:hAnsi="Verdana"/>
          <w:sz w:val="20"/>
          <w:szCs w:val="20"/>
          <w:lang w:val="es-AR"/>
        </w:rPr>
        <w:t>, y de las amenazas vertidas en contra de Jaime Alvarado en el Ejido Benito Juárez tras acudir a su funeral</w:t>
      </w:r>
      <w:r w:rsidRPr="00744CE4">
        <w:rPr>
          <w:rStyle w:val="FootnoteReference"/>
          <w:rFonts w:ascii="Verdana" w:hAnsi="Verdana"/>
          <w:sz w:val="20"/>
          <w:szCs w:val="20"/>
          <w:lang w:val="es-AR"/>
        </w:rPr>
        <w:footnoteReference w:id="372"/>
      </w:r>
      <w:r w:rsidRPr="00744CE4">
        <w:rPr>
          <w:rFonts w:ascii="Verdana" w:hAnsi="Verdana"/>
          <w:sz w:val="20"/>
          <w:szCs w:val="20"/>
          <w:lang w:val="es-AR"/>
        </w:rPr>
        <w:t>, José Ángel Alvarado Fabela, Jaime Alvarado, Sandra Luz Rueda y J.E.A.R. (de 7 años de edad e hijo de estos dos últimos), se trasladaron a un refugio brindado por la Comisión Estatal de Víctimas</w:t>
      </w:r>
      <w:r w:rsidRPr="000E4E05">
        <w:rPr>
          <w:rStyle w:val="FootnoteReference"/>
          <w:rFonts w:ascii="Verdana" w:hAnsi="Verdana"/>
          <w:sz w:val="20"/>
          <w:szCs w:val="20"/>
          <w:lang w:val="es-AR"/>
        </w:rPr>
        <w:footnoteReference w:id="373"/>
      </w:r>
      <w:r w:rsidRPr="000E4E05">
        <w:rPr>
          <w:rFonts w:ascii="Verdana" w:hAnsi="Verdana"/>
          <w:sz w:val="20"/>
          <w:szCs w:val="20"/>
          <w:lang w:val="es-AR"/>
        </w:rPr>
        <w:t>.</w:t>
      </w:r>
    </w:p>
    <w:p w14:paraId="1299C663" w14:textId="29E94153" w:rsidR="008D1822" w:rsidRPr="008D0846" w:rsidRDefault="008D1822" w:rsidP="00DB378B">
      <w:pPr>
        <w:pStyle w:val="ListParagraph"/>
        <w:numPr>
          <w:ilvl w:val="0"/>
          <w:numId w:val="4"/>
        </w:numPr>
        <w:spacing w:before="120" w:after="120" w:line="240" w:lineRule="auto"/>
        <w:ind w:left="0" w:firstLine="0"/>
        <w:contextualSpacing w:val="0"/>
        <w:jc w:val="both"/>
        <w:rPr>
          <w:rFonts w:ascii="Verdana" w:hAnsi="Verdana"/>
          <w:strike/>
          <w:sz w:val="20"/>
        </w:rPr>
      </w:pPr>
      <w:r w:rsidRPr="00432ABC">
        <w:rPr>
          <w:rFonts w:ascii="Verdana" w:hAnsi="Verdana"/>
          <w:sz w:val="20"/>
          <w:szCs w:val="20"/>
          <w:lang w:val="es-AR"/>
        </w:rPr>
        <w:t xml:space="preserve">Por su parte, </w:t>
      </w:r>
      <w:r w:rsidRPr="00432ABC">
        <w:rPr>
          <w:rFonts w:ascii="Verdana" w:hAnsi="Verdana" w:cs="Arial"/>
          <w:sz w:val="20"/>
          <w:szCs w:val="20"/>
          <w:lang w:val="es-AR"/>
        </w:rPr>
        <w:t xml:space="preserve">Reyna Guadalupe y Cindy Nallely Alvarado Rueda, hijas de Jaime Alvarado y Sandra Luz Rueda, </w:t>
      </w:r>
      <w:r w:rsidRPr="000E4E05">
        <w:rPr>
          <w:rFonts w:ascii="Verdana" w:hAnsi="Verdana" w:cs="Arial"/>
          <w:sz w:val="20"/>
          <w:szCs w:val="20"/>
          <w:lang w:val="es-AR"/>
        </w:rPr>
        <w:t xml:space="preserve">actualmente </w:t>
      </w:r>
      <w:r w:rsidRPr="007E2CF6">
        <w:rPr>
          <w:rFonts w:ascii="Verdana" w:hAnsi="Verdana" w:cs="Arial"/>
          <w:sz w:val="20"/>
          <w:szCs w:val="20"/>
          <w:lang w:val="es-AR"/>
        </w:rPr>
        <w:t xml:space="preserve">viven en </w:t>
      </w:r>
      <w:r w:rsidR="007E2CF6">
        <w:rPr>
          <w:rFonts w:ascii="Verdana" w:hAnsi="Verdana" w:cs="Arial"/>
          <w:sz w:val="20"/>
          <w:szCs w:val="20"/>
          <w:lang w:val="es-AR"/>
        </w:rPr>
        <w:t>[suprimido]</w:t>
      </w:r>
      <w:r w:rsidRPr="00432ABC">
        <w:rPr>
          <w:rFonts w:ascii="Verdana" w:hAnsi="Verdana" w:cs="Arial"/>
          <w:sz w:val="20"/>
          <w:szCs w:val="20"/>
          <w:lang w:val="es-AR"/>
        </w:rPr>
        <w:t xml:space="preserve">, mientras que otro de sus hijos, J.O.A.R. (testigo del homicidio de F.A.H.) </w:t>
      </w:r>
      <w:r w:rsidRPr="000E4E05">
        <w:rPr>
          <w:rFonts w:ascii="Verdana" w:hAnsi="Verdana" w:cs="Arial"/>
          <w:sz w:val="20"/>
          <w:szCs w:val="20"/>
          <w:lang w:val="es-AR"/>
        </w:rPr>
        <w:t xml:space="preserve">radica en </w:t>
      </w:r>
      <w:r w:rsidR="007E2CF6">
        <w:rPr>
          <w:rFonts w:ascii="Verdana" w:hAnsi="Verdana" w:cs="Arial"/>
          <w:sz w:val="20"/>
          <w:szCs w:val="20"/>
          <w:lang w:val="es-AR"/>
        </w:rPr>
        <w:t>[suprimido]</w:t>
      </w:r>
      <w:r w:rsidRPr="00432ABC">
        <w:rPr>
          <w:rFonts w:ascii="Verdana" w:hAnsi="Verdana" w:cs="Arial"/>
          <w:sz w:val="20"/>
          <w:szCs w:val="20"/>
          <w:lang w:val="es-AR"/>
        </w:rPr>
        <w:t xml:space="preserve">, Chihuahua. </w:t>
      </w:r>
      <w:r w:rsidRPr="00192C1D">
        <w:rPr>
          <w:rFonts w:ascii="Verdana" w:hAnsi="Verdana" w:cs="Arial"/>
          <w:sz w:val="20"/>
          <w:szCs w:val="20"/>
          <w:lang w:val="es-AR"/>
        </w:rPr>
        <w:t xml:space="preserve">Asimismo </w:t>
      </w:r>
      <w:r w:rsidRPr="000E4E05">
        <w:rPr>
          <w:rFonts w:ascii="Verdana" w:hAnsi="Verdana" w:cs="Arial"/>
          <w:sz w:val="20"/>
          <w:szCs w:val="20"/>
          <w:lang w:val="es-AR"/>
        </w:rPr>
        <w:t xml:space="preserve">Rosa Olivia Alvarado Herrera se desplazó hacia la </w:t>
      </w:r>
      <w:r w:rsidRPr="00192C1D">
        <w:rPr>
          <w:rFonts w:ascii="Verdana" w:hAnsi="Verdana" w:cs="Arial"/>
          <w:sz w:val="20"/>
          <w:szCs w:val="20"/>
          <w:lang w:val="es-AR"/>
        </w:rPr>
        <w:t xml:space="preserve">ciudad de El Paso, estado de Texas, EUA, </w:t>
      </w:r>
      <w:r w:rsidRPr="000E4E05">
        <w:rPr>
          <w:rFonts w:ascii="Verdana" w:hAnsi="Verdana" w:cs="Arial"/>
          <w:sz w:val="20"/>
          <w:szCs w:val="20"/>
          <w:lang w:val="es-AR"/>
        </w:rPr>
        <w:t>en compañía de su esposo Félix García García y del hijo de ambos, A.G.A., en donde se encuentran actualmente</w:t>
      </w:r>
      <w:r w:rsidRPr="002C462C">
        <w:rPr>
          <w:rFonts w:ascii="Verdana" w:hAnsi="Verdana" w:cs="Arial"/>
          <w:sz w:val="20"/>
          <w:szCs w:val="20"/>
          <w:lang w:val="es-AR"/>
        </w:rPr>
        <w:t xml:space="preserve"> radicando a la espera de que se resuelvan las solicitud</w:t>
      </w:r>
      <w:r w:rsidRPr="00744CE4">
        <w:rPr>
          <w:rFonts w:ascii="Verdana" w:hAnsi="Verdana" w:cs="Arial"/>
          <w:sz w:val="20"/>
          <w:szCs w:val="20"/>
          <w:lang w:val="es-AR"/>
        </w:rPr>
        <w:t xml:space="preserve">es de asilo que formularon en dicho país como consecuencia de la situación de riesgo provocada a raíz del homicidio de F.A.H., mientras que otra de sus hijas, </w:t>
      </w:r>
      <w:r w:rsidRPr="000E4E05">
        <w:rPr>
          <w:rFonts w:ascii="Verdana" w:hAnsi="Verdana" w:cs="Arial"/>
          <w:sz w:val="20"/>
          <w:szCs w:val="20"/>
          <w:lang w:val="es-AR"/>
        </w:rPr>
        <w:t xml:space="preserve">Karina Paola Alvarado Alvarado, permanece radicando en </w:t>
      </w:r>
      <w:r w:rsidR="007E2CF6">
        <w:rPr>
          <w:rFonts w:ascii="Verdana" w:hAnsi="Verdana" w:cs="Arial"/>
          <w:sz w:val="20"/>
          <w:szCs w:val="20"/>
          <w:lang w:val="es-AR"/>
        </w:rPr>
        <w:t>[suprimido]</w:t>
      </w:r>
      <w:r w:rsidRPr="000E4E05">
        <w:rPr>
          <w:rStyle w:val="FootnoteReference"/>
          <w:rFonts w:ascii="Verdana" w:hAnsi="Verdana" w:cs="Arial"/>
          <w:sz w:val="20"/>
          <w:szCs w:val="20"/>
          <w:lang w:val="es-AR"/>
        </w:rPr>
        <w:footnoteReference w:id="374"/>
      </w:r>
      <w:r w:rsidRPr="000E4E05">
        <w:rPr>
          <w:rFonts w:ascii="Verdana" w:hAnsi="Verdana" w:cs="Arial"/>
          <w:sz w:val="20"/>
          <w:szCs w:val="20"/>
          <w:lang w:val="es-AR"/>
        </w:rPr>
        <w:t xml:space="preserve">. </w:t>
      </w:r>
    </w:p>
    <w:p w14:paraId="73800281" w14:textId="5D7E7751" w:rsidR="00754453" w:rsidRPr="00DB378B" w:rsidRDefault="008D1822" w:rsidP="00DB378B">
      <w:pPr>
        <w:pStyle w:val="ListParagraph"/>
        <w:numPr>
          <w:ilvl w:val="0"/>
          <w:numId w:val="4"/>
        </w:numPr>
        <w:spacing w:before="120" w:after="120" w:line="240" w:lineRule="auto"/>
        <w:ind w:left="0" w:firstLine="0"/>
        <w:contextualSpacing w:val="0"/>
        <w:jc w:val="both"/>
        <w:rPr>
          <w:rFonts w:ascii="Verdana" w:hAnsi="Verdana"/>
        </w:rPr>
      </w:pPr>
      <w:r w:rsidRPr="00432ABC">
        <w:rPr>
          <w:rFonts w:ascii="Verdana" w:hAnsi="Verdana"/>
          <w:sz w:val="20"/>
          <w:szCs w:val="20"/>
          <w:lang w:val="es-AR"/>
        </w:rPr>
        <w:t xml:space="preserve">En el trámite de medidas provisionales, esta Corte se pronunció además respecto de </w:t>
      </w:r>
      <w:r w:rsidR="00AC6FFB" w:rsidRPr="00432ABC">
        <w:rPr>
          <w:rFonts w:ascii="Verdana" w:hAnsi="Verdana"/>
          <w:sz w:val="20"/>
          <w:szCs w:val="20"/>
          <w:lang w:val="es-AR"/>
        </w:rPr>
        <w:t>la situación de</w:t>
      </w:r>
      <w:r w:rsidRPr="002C462C">
        <w:rPr>
          <w:rFonts w:ascii="Verdana" w:hAnsi="Verdana"/>
          <w:sz w:val="20"/>
          <w:szCs w:val="20"/>
          <w:lang w:val="es-AR"/>
        </w:rPr>
        <w:t xml:space="preserve"> riesgo y desplazamientos de los familiares, mediante Resoluciones de fechas 23 de noviembre de 2012; 23 de junio de 2015; 14 de noviembre de 2017</w:t>
      </w:r>
      <w:r w:rsidR="00AC6FFB" w:rsidRPr="002C462C">
        <w:rPr>
          <w:rFonts w:ascii="Verdana" w:hAnsi="Verdana"/>
          <w:sz w:val="20"/>
          <w:szCs w:val="20"/>
          <w:lang w:val="es-AR"/>
        </w:rPr>
        <w:t>,</w:t>
      </w:r>
      <w:r w:rsidRPr="00744CE4">
        <w:rPr>
          <w:rFonts w:ascii="Verdana" w:hAnsi="Verdana"/>
          <w:sz w:val="20"/>
          <w:szCs w:val="20"/>
          <w:lang w:val="es-AR"/>
        </w:rPr>
        <w:t xml:space="preserve"> y 14 de marzo de 2018</w:t>
      </w:r>
      <w:r w:rsidRPr="00DB378B">
        <w:rPr>
          <w:rFonts w:ascii="Verdana" w:hAnsi="Verdana"/>
          <w:vertAlign w:val="superscript"/>
          <w:lang w:val="es-AR"/>
        </w:rPr>
        <w:footnoteReference w:id="375"/>
      </w:r>
      <w:r w:rsidRPr="00744CE4">
        <w:rPr>
          <w:rFonts w:ascii="Verdana" w:hAnsi="Verdana"/>
          <w:sz w:val="20"/>
          <w:szCs w:val="20"/>
          <w:lang w:val="es-AR"/>
        </w:rPr>
        <w:t xml:space="preserve">. </w:t>
      </w:r>
      <w:bookmarkStart w:id="169" w:name="_Toc526774155"/>
      <w:bookmarkStart w:id="170" w:name="_Toc526777487"/>
      <w:bookmarkStart w:id="171" w:name="_Toc526783777"/>
    </w:p>
    <w:p w14:paraId="64AA5F92" w14:textId="5133B702" w:rsidR="002E1C85" w:rsidRPr="00813B72" w:rsidRDefault="00BD5BB5" w:rsidP="0057411A">
      <w:pPr>
        <w:pStyle w:val="Heading1"/>
      </w:pPr>
      <w:bookmarkStart w:id="172" w:name="_Toc532995359"/>
      <w:r w:rsidRPr="00BD5BB5">
        <w:t>VII</w:t>
      </w:r>
      <w:r w:rsidRPr="00BD5BB5">
        <w:br/>
        <w:t>FONDO</w:t>
      </w:r>
      <w:bookmarkEnd w:id="169"/>
      <w:bookmarkEnd w:id="170"/>
      <w:bookmarkEnd w:id="171"/>
      <w:bookmarkEnd w:id="172"/>
    </w:p>
    <w:p w14:paraId="64AA5F94" w14:textId="747BDA7A" w:rsidR="002E1C85" w:rsidRPr="00813B72" w:rsidRDefault="002E1C85" w:rsidP="00C90B3F">
      <w:pPr>
        <w:pStyle w:val="ListParagraph"/>
        <w:numPr>
          <w:ilvl w:val="0"/>
          <w:numId w:val="4"/>
        </w:numPr>
        <w:spacing w:before="120" w:after="120" w:line="240" w:lineRule="auto"/>
        <w:ind w:left="0" w:firstLine="0"/>
        <w:contextualSpacing w:val="0"/>
        <w:jc w:val="both"/>
        <w:rPr>
          <w:rFonts w:ascii="Verdana" w:hAnsi="Verdana" w:cs="Arial"/>
          <w:sz w:val="20"/>
          <w:szCs w:val="20"/>
          <w:lang w:val="es-CR" w:eastAsia="es-CR"/>
        </w:rPr>
      </w:pPr>
      <w:r w:rsidRPr="002E1C85">
        <w:rPr>
          <w:rFonts w:ascii="Verdana" w:hAnsi="Verdana"/>
          <w:sz w:val="20"/>
          <w:szCs w:val="20"/>
        </w:rPr>
        <w:t xml:space="preserve">El presente caso se relaciona con la alegada responsabilidad del Estado mexicano con motivo de la desaparición forzada de </w:t>
      </w:r>
      <w:r w:rsidRPr="002E1C85">
        <w:rPr>
          <w:rFonts w:ascii="Verdana" w:hAnsi="Verdana" w:cs="Arial"/>
          <w:sz w:val="20"/>
          <w:szCs w:val="20"/>
          <w:lang w:val="es-CR" w:eastAsia="es-CR"/>
        </w:rPr>
        <w:t xml:space="preserve">Nitza Paola Alvarado Espinoza, José Ángel Alvarado y Rocio Irene Alvarado Reyes, por parte de agentes estatales en el Ejido Benito Juárez, Estado de Chihuahua, México, desde el 29 de diciembre de 2009, en el contexto de la implementación del Operativo Conjunto Chihuahua y la alegada lucha contra el crimen organizado en la zona. Asimismo, trata sobre los distintos factores de impunidad que según se alega han derivado en la falta de esclarecimiento de los hechos y sanción a los responsables. Asimismo, con posterioridad a las desapariciones se presentaron distintos actos de hostigamiento o amenazas en perjuicio de los familiares de los desaparecidos, quienes se vieron en la necesidad de desplazarse de su lugar de origen, lo cual habría repercutido en otras afectaciones conexas. </w:t>
      </w:r>
    </w:p>
    <w:p w14:paraId="64AA5F96" w14:textId="22395CA4" w:rsidR="002E1C85" w:rsidRPr="00813B72" w:rsidRDefault="002E1C85" w:rsidP="00C90B3F">
      <w:pPr>
        <w:pStyle w:val="ListParagraph"/>
        <w:widowControl w:val="0"/>
        <w:numPr>
          <w:ilvl w:val="0"/>
          <w:numId w:val="4"/>
        </w:numPr>
        <w:tabs>
          <w:tab w:val="left" w:pos="567"/>
        </w:tabs>
        <w:adjustRightInd w:val="0"/>
        <w:spacing w:before="120" w:after="120" w:line="240" w:lineRule="auto"/>
        <w:ind w:left="0" w:firstLine="0"/>
        <w:contextualSpacing w:val="0"/>
        <w:jc w:val="both"/>
        <w:textAlignment w:val="baseline"/>
        <w:rPr>
          <w:rFonts w:ascii="Verdana" w:hAnsi="Verdana" w:cs="Verdana"/>
          <w:color w:val="000000"/>
          <w:sz w:val="20"/>
          <w:szCs w:val="20"/>
        </w:rPr>
      </w:pPr>
      <w:r w:rsidRPr="002E1C85">
        <w:rPr>
          <w:rFonts w:ascii="Verdana" w:hAnsi="Verdana" w:cs="Times New Roman"/>
          <w:sz w:val="20"/>
          <w:szCs w:val="20"/>
        </w:rPr>
        <w:t>En</w:t>
      </w:r>
      <w:r w:rsidRPr="002E1C85">
        <w:rPr>
          <w:rFonts w:ascii="Verdana" w:hAnsi="Verdana" w:cs="Arial"/>
          <w:sz w:val="20"/>
          <w:szCs w:val="20"/>
          <w:lang w:val="es-CR" w:eastAsia="es-CR"/>
        </w:rPr>
        <w:t xml:space="preserve"> vista de lo anterior, y tomando en cuenta el reconocimiento parcial de responsabilidad del Estado, corresponde a la Corte determinar el alcance de las violaciones acreditadas. Para ello, la Corte procederá a analizar los argumentos presentados por las partes y la Comisión, y desarrollará las consideraciones de derecho pertinentes relacionadas con los derechos</w:t>
      </w:r>
      <w:r w:rsidRPr="002E1C85">
        <w:rPr>
          <w:rFonts w:ascii="Verdana" w:eastAsia="Calibri" w:hAnsi="Verdana" w:cs="Arial"/>
          <w:sz w:val="20"/>
          <w:szCs w:val="20"/>
          <w:lang w:val="es-CR" w:eastAsia="es-CR"/>
        </w:rPr>
        <w:t>:</w:t>
      </w:r>
      <w:r w:rsidRPr="002E1C85">
        <w:rPr>
          <w:rFonts w:ascii="Verdana" w:hAnsi="Verdana" w:cs="Arial"/>
          <w:sz w:val="20"/>
          <w:szCs w:val="20"/>
          <w:lang w:val="es-CR" w:eastAsia="es-CR"/>
        </w:rPr>
        <w:t xml:space="preserve"> i) al reconocimiento a la personalidad jurídica (artículo 3</w:t>
      </w:r>
      <w:r w:rsidRPr="002E1C85">
        <w:rPr>
          <w:rFonts w:ascii="Verdana" w:hAnsi="Verdana" w:cs="Arial"/>
          <w:sz w:val="20"/>
          <w:szCs w:val="20"/>
          <w:lang w:eastAsia="es-CR"/>
        </w:rPr>
        <w:t>)</w:t>
      </w:r>
      <w:r w:rsidRPr="002E1C85">
        <w:rPr>
          <w:rFonts w:ascii="Verdana" w:hAnsi="Verdana" w:cs="Arial"/>
          <w:sz w:val="20"/>
          <w:szCs w:val="20"/>
          <w:lang w:val="es-CR" w:eastAsia="es-CR"/>
        </w:rPr>
        <w:t>, vida (artículo 4</w:t>
      </w:r>
      <w:r w:rsidR="00E01110">
        <w:rPr>
          <w:rFonts w:ascii="Verdana" w:hAnsi="Verdana" w:cs="Arial"/>
          <w:sz w:val="20"/>
          <w:szCs w:val="20"/>
          <w:lang w:val="es-CR" w:eastAsia="es-CR"/>
        </w:rPr>
        <w:t xml:space="preserve">), </w:t>
      </w:r>
      <w:r w:rsidRPr="002E1C85">
        <w:rPr>
          <w:rFonts w:ascii="Verdana" w:hAnsi="Verdana" w:cs="Arial"/>
          <w:sz w:val="20"/>
          <w:szCs w:val="20"/>
          <w:lang w:val="es-CR" w:eastAsia="es-CR"/>
        </w:rPr>
        <w:t>integridad personal (artículo 5) y libertad personal  (artículo 7), todos ellos de la Convención Americana, y I.</w:t>
      </w:r>
      <w:r w:rsidR="009B18E2">
        <w:rPr>
          <w:rFonts w:ascii="Verdana" w:hAnsi="Verdana" w:cs="Arial"/>
          <w:sz w:val="20"/>
          <w:szCs w:val="20"/>
          <w:lang w:val="es-CR" w:eastAsia="es-CR"/>
        </w:rPr>
        <w:t>a</w:t>
      </w:r>
      <w:r w:rsidRPr="002E1C85">
        <w:rPr>
          <w:rFonts w:ascii="Verdana" w:hAnsi="Verdana" w:cs="Arial"/>
          <w:sz w:val="20"/>
          <w:szCs w:val="20"/>
          <w:lang w:val="es-CR" w:eastAsia="es-CR"/>
        </w:rPr>
        <w:t xml:space="preserve"> de la Convención Interamericana sobre Desaparición Forzada de Personas</w:t>
      </w:r>
      <w:r w:rsidR="00CC61EB">
        <w:rPr>
          <w:rFonts w:ascii="Verdana" w:hAnsi="Verdana" w:cs="Arial"/>
          <w:sz w:val="20"/>
          <w:szCs w:val="20"/>
          <w:lang w:val="es-CR" w:eastAsia="es-CR"/>
        </w:rPr>
        <w:t xml:space="preserve"> (Convención sobre </w:t>
      </w:r>
      <w:r w:rsidR="00CC61EB">
        <w:rPr>
          <w:rFonts w:ascii="Verdana" w:hAnsi="Verdana" w:cs="Arial"/>
          <w:sz w:val="20"/>
          <w:szCs w:val="20"/>
          <w:lang w:val="es-CR" w:eastAsia="es-CR"/>
        </w:rPr>
        <w:lastRenderedPageBreak/>
        <w:t>Desaparición Forzada)</w:t>
      </w:r>
      <w:r w:rsidRPr="002E1C85">
        <w:rPr>
          <w:rFonts w:ascii="Verdana" w:hAnsi="Verdana" w:cs="Arial"/>
          <w:sz w:val="20"/>
          <w:szCs w:val="20"/>
          <w:lang w:val="es-CR" w:eastAsia="es-CR"/>
        </w:rPr>
        <w:t xml:space="preserve">; ii) </w:t>
      </w:r>
      <w:r w:rsidRPr="002E1C85">
        <w:rPr>
          <w:rFonts w:ascii="Verdana" w:hAnsi="Verdana" w:cs="Verdana"/>
          <w:color w:val="000000"/>
          <w:sz w:val="20"/>
          <w:szCs w:val="20"/>
        </w:rPr>
        <w:t xml:space="preserve">Asimismo, analizará los derechos a las garantías judiciales y protección judicial (artículos </w:t>
      </w:r>
      <w:r w:rsidRPr="002E1C85">
        <w:rPr>
          <w:rFonts w:ascii="Verdana" w:hAnsi="Verdana"/>
          <w:sz w:val="20"/>
          <w:szCs w:val="20"/>
          <w:lang w:val="es-AR"/>
        </w:rPr>
        <w:t>8 y 25</w:t>
      </w:r>
      <w:r w:rsidRPr="002E1C85">
        <w:rPr>
          <w:rFonts w:ascii="Verdana" w:hAnsi="Verdana" w:cs="Verdana"/>
          <w:color w:val="000000"/>
          <w:sz w:val="20"/>
          <w:szCs w:val="20"/>
        </w:rPr>
        <w:t>)</w:t>
      </w:r>
      <w:r w:rsidR="009A2DB4">
        <w:rPr>
          <w:rFonts w:ascii="Verdana" w:hAnsi="Verdana" w:cs="Verdana"/>
          <w:color w:val="000000"/>
          <w:sz w:val="20"/>
          <w:szCs w:val="20"/>
        </w:rPr>
        <w:t>, así como la adopción de medidas internas (artículo 2)</w:t>
      </w:r>
      <w:r w:rsidRPr="002E1C85">
        <w:rPr>
          <w:rFonts w:ascii="Verdana" w:hAnsi="Verdana" w:cs="Verdana"/>
          <w:color w:val="000000"/>
          <w:sz w:val="20"/>
          <w:szCs w:val="20"/>
        </w:rPr>
        <w:t>,</w:t>
      </w:r>
      <w:r w:rsidR="009B18E2">
        <w:rPr>
          <w:rFonts w:ascii="Verdana" w:hAnsi="Verdana" w:cs="Verdana"/>
          <w:color w:val="000000"/>
          <w:sz w:val="20"/>
          <w:szCs w:val="20"/>
        </w:rPr>
        <w:t xml:space="preserve"> </w:t>
      </w:r>
      <w:r w:rsidR="00CC61EB" w:rsidRPr="003564A3">
        <w:rPr>
          <w:rFonts w:ascii="Verdana" w:hAnsi="Verdana" w:cs="Verdana"/>
          <w:color w:val="000000"/>
          <w:sz w:val="20"/>
          <w:szCs w:val="20"/>
        </w:rPr>
        <w:t>a la luz de los artículos I.b y IX de la Convención sobre Desaparición Forzada;</w:t>
      </w:r>
      <w:r w:rsidRPr="002E1C85">
        <w:rPr>
          <w:rFonts w:ascii="Verdana" w:hAnsi="Verdana" w:cs="Verdana"/>
          <w:color w:val="000000"/>
          <w:sz w:val="20"/>
          <w:szCs w:val="20"/>
        </w:rPr>
        <w:t xml:space="preserve"> iii) Respecto de los familiares también analizará los alegados derechos a la integridad personal (artículo 5), </w:t>
      </w:r>
      <w:r w:rsidRPr="002E1C85">
        <w:rPr>
          <w:rFonts w:ascii="Verdana" w:hAnsi="Verdana"/>
          <w:sz w:val="20"/>
          <w:szCs w:val="20"/>
        </w:rPr>
        <w:t>de circulación y de residencia (artículo 22), a la protección a la familia (artículo 17), a la protección de la honra y de la dignidad (artículo 11) y del niño (artículo 19), todos</w:t>
      </w:r>
      <w:r w:rsidRPr="002E1C85">
        <w:rPr>
          <w:rFonts w:ascii="Verdana" w:hAnsi="Verdana" w:cs="Verdana"/>
          <w:color w:val="000000"/>
          <w:sz w:val="20"/>
          <w:szCs w:val="20"/>
        </w:rPr>
        <w:t xml:space="preserve"> ellos en relación con el artículo 1.1 de la Convención Americana sobre Derechos Humanos.</w:t>
      </w:r>
    </w:p>
    <w:p w14:paraId="64AA5FC8" w14:textId="014A16EA" w:rsidR="002E1C85" w:rsidRPr="00813B72" w:rsidRDefault="002E1C85" w:rsidP="0057411A">
      <w:pPr>
        <w:pStyle w:val="Heading1"/>
      </w:pPr>
      <w:bookmarkStart w:id="173" w:name="_Toc526774158"/>
      <w:bookmarkStart w:id="174" w:name="_Toc526777490"/>
      <w:bookmarkStart w:id="175" w:name="_Toc526783780"/>
      <w:bookmarkStart w:id="176" w:name="_Toc532995360"/>
      <w:r w:rsidRPr="00813B72">
        <w:t>VII.</w:t>
      </w:r>
      <w:bookmarkEnd w:id="173"/>
      <w:bookmarkEnd w:id="174"/>
      <w:bookmarkEnd w:id="175"/>
      <w:r w:rsidR="00B37F3B">
        <w:t>1</w:t>
      </w:r>
      <w:bookmarkEnd w:id="176"/>
    </w:p>
    <w:p w14:paraId="1A1D7CB1" w14:textId="0DA3BC93" w:rsidR="00D57D47" w:rsidRPr="00813B72" w:rsidRDefault="002E1C85" w:rsidP="0057411A">
      <w:pPr>
        <w:pStyle w:val="Heading1"/>
      </w:pPr>
      <w:bookmarkStart w:id="177" w:name="_Toc526774159"/>
      <w:bookmarkStart w:id="178" w:name="_Toc526777491"/>
      <w:bookmarkStart w:id="179" w:name="_Toc526783781"/>
      <w:bookmarkStart w:id="180" w:name="_Toc527561075"/>
      <w:bookmarkStart w:id="181" w:name="_Toc532995361"/>
      <w:r w:rsidRPr="00813B72">
        <w:t>DERECHOS AL RECONOCIMIENTO A LA PERSONALIDAD JURÍDICA, A LA VIDA, A LA INTEGRIDAD PERSONAL Y A LA LIBERTAD PERSONAL (ARTÍCULOS 3</w:t>
      </w:r>
      <w:r w:rsidR="00574F72">
        <w:rPr>
          <w:rStyle w:val="FootnoteReference"/>
        </w:rPr>
        <w:footnoteReference w:id="376"/>
      </w:r>
      <w:r w:rsidRPr="00813B72">
        <w:t>, 4</w:t>
      </w:r>
      <w:r w:rsidR="00574F72">
        <w:rPr>
          <w:rStyle w:val="FootnoteReference"/>
        </w:rPr>
        <w:footnoteReference w:id="377"/>
      </w:r>
      <w:r w:rsidRPr="00813B72">
        <w:t>, 5</w:t>
      </w:r>
      <w:r w:rsidR="00574F72">
        <w:rPr>
          <w:rStyle w:val="FootnoteReference"/>
        </w:rPr>
        <w:footnoteReference w:id="378"/>
      </w:r>
      <w:r w:rsidRPr="00813B72">
        <w:t xml:space="preserve"> Y</w:t>
      </w:r>
      <w:r w:rsidR="007E2CF6">
        <w:t xml:space="preserve"> </w:t>
      </w:r>
      <w:r w:rsidRPr="00813B72">
        <w:t>7</w:t>
      </w:r>
      <w:r w:rsidR="00574F72">
        <w:rPr>
          <w:rStyle w:val="FootnoteReference"/>
        </w:rPr>
        <w:footnoteReference w:id="379"/>
      </w:r>
      <w:r w:rsidRPr="00813B72">
        <w:t xml:space="preserve"> DE LA CONVENCIÓN AMERICANA, Y I.A</w:t>
      </w:r>
      <w:r w:rsidR="00574F72">
        <w:rPr>
          <w:rStyle w:val="FootnoteReference"/>
        </w:rPr>
        <w:footnoteReference w:id="380"/>
      </w:r>
      <w:r w:rsidRPr="00813B72">
        <w:t xml:space="preserve"> DE LA CONVENCIÓN INTERAMERICANA SOBRE DESAPARICIÓN FORZADA DE PERSONAS)</w:t>
      </w:r>
      <w:bookmarkEnd w:id="177"/>
      <w:bookmarkEnd w:id="178"/>
      <w:bookmarkEnd w:id="179"/>
      <w:bookmarkEnd w:id="180"/>
      <w:bookmarkEnd w:id="181"/>
      <w:r w:rsidR="0068190B">
        <w:t xml:space="preserve"> </w:t>
      </w:r>
    </w:p>
    <w:p w14:paraId="2FE5CDCD" w14:textId="78EE00FA" w:rsidR="00350979" w:rsidRPr="00350979" w:rsidRDefault="00556FDB" w:rsidP="00744CE4">
      <w:pPr>
        <w:pStyle w:val="Heading2"/>
        <w:numPr>
          <w:ilvl w:val="0"/>
          <w:numId w:val="36"/>
        </w:numPr>
        <w:spacing w:before="120" w:after="120"/>
      </w:pPr>
      <w:bookmarkStart w:id="182" w:name="_Toc526774160"/>
      <w:bookmarkStart w:id="183" w:name="_Toc526777492"/>
      <w:bookmarkStart w:id="184" w:name="_Toc526783782"/>
      <w:r>
        <w:t xml:space="preserve"> </w:t>
      </w:r>
      <w:bookmarkStart w:id="185" w:name="_Toc532995362"/>
      <w:r w:rsidR="00350979" w:rsidRPr="005E3DBE">
        <w:t xml:space="preserve">Argumentos </w:t>
      </w:r>
      <w:r w:rsidR="00CB7A58">
        <w:t>las partes</w:t>
      </w:r>
      <w:r w:rsidR="00350979" w:rsidRPr="005E3DBE">
        <w:t xml:space="preserve"> y de la</w:t>
      </w:r>
      <w:r w:rsidR="00CB7A58">
        <w:t xml:space="preserve"> Comisión</w:t>
      </w:r>
      <w:bookmarkEnd w:id="185"/>
    </w:p>
    <w:bookmarkEnd w:id="182"/>
    <w:bookmarkEnd w:id="183"/>
    <w:bookmarkEnd w:id="184"/>
    <w:p w14:paraId="64AA5FCE" w14:textId="533A98F3" w:rsidR="002E1C85" w:rsidRPr="00A56CF7" w:rsidRDefault="002E1C85" w:rsidP="00432ABC">
      <w:pPr>
        <w:widowControl w:val="0"/>
        <w:numPr>
          <w:ilvl w:val="0"/>
          <w:numId w:val="4"/>
        </w:numPr>
        <w:tabs>
          <w:tab w:val="left" w:pos="567"/>
        </w:tabs>
        <w:autoSpaceDE w:val="0"/>
        <w:autoSpaceDN w:val="0"/>
        <w:adjustRightInd w:val="0"/>
        <w:spacing w:before="120" w:after="120" w:line="240" w:lineRule="auto"/>
        <w:ind w:left="0" w:firstLine="0"/>
        <w:jc w:val="both"/>
        <w:textAlignment w:val="baseline"/>
        <w:rPr>
          <w:rFonts w:ascii="Verdana" w:hAnsi="Verdana"/>
          <w:sz w:val="20"/>
          <w:szCs w:val="20"/>
        </w:rPr>
      </w:pPr>
      <w:r w:rsidRPr="00813B72">
        <w:rPr>
          <w:rFonts w:ascii="Verdana" w:hAnsi="Verdana"/>
          <w:sz w:val="20"/>
          <w:szCs w:val="20"/>
        </w:rPr>
        <w:t xml:space="preserve">La </w:t>
      </w:r>
      <w:r w:rsidRPr="00813B72">
        <w:rPr>
          <w:rFonts w:ascii="Verdana" w:hAnsi="Verdana"/>
          <w:b/>
          <w:i/>
          <w:sz w:val="20"/>
          <w:szCs w:val="20"/>
        </w:rPr>
        <w:t>Comisión</w:t>
      </w:r>
      <w:bookmarkStart w:id="186" w:name="_Toc510702281"/>
      <w:r w:rsidRPr="00813B72">
        <w:rPr>
          <w:rFonts w:ascii="Verdana" w:hAnsi="Verdana"/>
          <w:b/>
          <w:i/>
          <w:sz w:val="20"/>
          <w:szCs w:val="20"/>
        </w:rPr>
        <w:t xml:space="preserve"> </w:t>
      </w:r>
      <w:r w:rsidRPr="00813B72">
        <w:rPr>
          <w:rFonts w:ascii="Verdana" w:hAnsi="Verdana"/>
          <w:sz w:val="20"/>
          <w:szCs w:val="20"/>
        </w:rPr>
        <w:t xml:space="preserve">concluyó en su Informe </w:t>
      </w:r>
      <w:r w:rsidR="006C737D">
        <w:rPr>
          <w:rFonts w:ascii="Verdana" w:hAnsi="Verdana"/>
          <w:sz w:val="20"/>
          <w:szCs w:val="20"/>
        </w:rPr>
        <w:t xml:space="preserve">de Fondo </w:t>
      </w:r>
      <w:r w:rsidRPr="00813B72">
        <w:rPr>
          <w:rFonts w:ascii="Verdana" w:hAnsi="Verdana"/>
          <w:sz w:val="20"/>
          <w:szCs w:val="20"/>
        </w:rPr>
        <w:t xml:space="preserve">que </w:t>
      </w:r>
      <w:r w:rsidRPr="00813B72">
        <w:rPr>
          <w:rFonts w:ascii="Verdana" w:hAnsi="Verdana" w:cs="Cambria"/>
          <w:sz w:val="20"/>
          <w:szCs w:val="20"/>
          <w:lang w:val="es-EC"/>
        </w:rPr>
        <w:t>en el caso concreto se encuentran acreditados los elementos que permiten calificar lo sucedido a Nitza Paola, José Ángel y Rocío Irene Alvarado como desaparición forzada de personas</w:t>
      </w:r>
      <w:r w:rsidRPr="008D0846">
        <w:rPr>
          <w:rFonts w:ascii="Verdana" w:hAnsi="Verdana" w:cs="Cambria"/>
          <w:sz w:val="20"/>
          <w:szCs w:val="20"/>
          <w:lang w:val="es-EC"/>
        </w:rPr>
        <w:t>.</w:t>
      </w:r>
      <w:r w:rsidRPr="007E2CF6">
        <w:rPr>
          <w:rFonts w:ascii="Verdana" w:hAnsi="Verdana" w:cs="Cambria"/>
          <w:sz w:val="20"/>
          <w:szCs w:val="20"/>
        </w:rPr>
        <w:t xml:space="preserve"> </w:t>
      </w:r>
      <w:r w:rsidRPr="00813B72">
        <w:rPr>
          <w:rFonts w:ascii="Verdana" w:hAnsi="Verdana" w:cs="Cambria"/>
          <w:sz w:val="20"/>
          <w:szCs w:val="20"/>
          <w:lang w:val="es-EC"/>
        </w:rPr>
        <w:t xml:space="preserve">Con respecto a los elementos de la privación de la libertad y la intervención directa de agentes estatales o la aquiescencia de éstos, la Comisión </w:t>
      </w:r>
      <w:r w:rsidRPr="00813B72">
        <w:rPr>
          <w:rFonts w:ascii="Verdana" w:hAnsi="Verdana" w:cs="Cambria"/>
          <w:sz w:val="20"/>
          <w:szCs w:val="20"/>
        </w:rPr>
        <w:t>alegó que las declaraciones de los testigos presenciales son consistentes al señalar que sus familiares fueron detenidos por personas que portaban armas largas y vestían uniformes militares</w:t>
      </w:r>
      <w:r w:rsidRPr="008D0846">
        <w:rPr>
          <w:rFonts w:ascii="Verdana" w:hAnsi="Verdana" w:cs="Cambria"/>
          <w:sz w:val="20"/>
          <w:szCs w:val="20"/>
        </w:rPr>
        <w:t>.</w:t>
      </w:r>
      <w:r w:rsidRPr="00813B72">
        <w:rPr>
          <w:rFonts w:ascii="Verdana" w:hAnsi="Verdana" w:cs="Cambria"/>
          <w:b/>
          <w:sz w:val="20"/>
          <w:szCs w:val="20"/>
        </w:rPr>
        <w:t xml:space="preserve"> </w:t>
      </w:r>
      <w:r w:rsidRPr="00813B72">
        <w:rPr>
          <w:rFonts w:ascii="Verdana" w:hAnsi="Verdana" w:cs="Cambria"/>
          <w:sz w:val="20"/>
          <w:szCs w:val="20"/>
        </w:rPr>
        <w:t xml:space="preserve">La Comisión consideró que existen elementos que apuntan a la intervención directa de agentes estatales tales como: i) la alta presencia de miembros del ejército como consecuencia del </w:t>
      </w:r>
      <w:r w:rsidR="004C4CF1">
        <w:rPr>
          <w:rFonts w:ascii="Verdana" w:hAnsi="Verdana" w:cs="Cambria"/>
          <w:sz w:val="20"/>
          <w:szCs w:val="20"/>
        </w:rPr>
        <w:t>“</w:t>
      </w:r>
      <w:r w:rsidRPr="00813B72">
        <w:rPr>
          <w:rFonts w:ascii="Verdana" w:hAnsi="Verdana" w:cs="Cambria"/>
          <w:sz w:val="20"/>
          <w:szCs w:val="20"/>
        </w:rPr>
        <w:t>Operativo Conjunto Chihuahua</w:t>
      </w:r>
      <w:r w:rsidR="004C4CF1">
        <w:rPr>
          <w:rFonts w:ascii="Verdana" w:hAnsi="Verdana" w:cs="Cambria"/>
          <w:sz w:val="20"/>
          <w:szCs w:val="20"/>
        </w:rPr>
        <w:t>”</w:t>
      </w:r>
      <w:r w:rsidRPr="00813B72">
        <w:rPr>
          <w:rFonts w:ascii="Verdana" w:hAnsi="Verdana" w:cs="Cambria"/>
          <w:sz w:val="20"/>
          <w:szCs w:val="20"/>
        </w:rPr>
        <w:t xml:space="preserve"> en la zona geográfica en que ocurrieron los hechos; ii) la consistencia de los testimonios indicando que quienes detuvieron a sus familiares portaban vestimenta, armamento y utilizaban lenguaje que identificaron como propio de miembros del Ejército; iii) las declaraciones de funcionarios públicos</w:t>
      </w:r>
      <w:r w:rsidR="006C737D">
        <w:rPr>
          <w:rFonts w:ascii="Verdana" w:hAnsi="Verdana" w:cs="Cambria"/>
          <w:sz w:val="20"/>
          <w:szCs w:val="20"/>
        </w:rPr>
        <w:t xml:space="preserve">, las cuales </w:t>
      </w:r>
      <w:r w:rsidRPr="00813B72">
        <w:rPr>
          <w:rFonts w:ascii="Verdana" w:hAnsi="Verdana" w:cs="Cambria"/>
          <w:sz w:val="20"/>
          <w:szCs w:val="20"/>
        </w:rPr>
        <w:t xml:space="preserve">tomadas en su conjunto proporcionan fuertes elementos que apuntan a que las tres presuntas víctimas se encontraban detenidas en el 35 Batallón de Infantería o en la “guarnición militar”, destacando en particular los testimonios del Sargento Conductor Alberto Hernández, Argene Blá[s]quez, Ramón Iván Sotomayor Siller y Damaris Baglietto, agentes estatales, y iv) las consideraciones de la FEVIMTRA – PGR sobre la existencia de indicios suficientes en el sentido de que quienes llevaron a cabo las detenciones fueron miembros del Ejército. </w:t>
      </w:r>
      <w:r w:rsidRPr="00A56CF7">
        <w:rPr>
          <w:rFonts w:ascii="Verdana" w:hAnsi="Verdana" w:cs="Cambria"/>
          <w:sz w:val="20"/>
          <w:szCs w:val="20"/>
        </w:rPr>
        <w:t>Con base en dichas consideraciones</w:t>
      </w:r>
      <w:r w:rsidR="00A56CF7">
        <w:rPr>
          <w:rFonts w:ascii="Verdana" w:hAnsi="Verdana" w:cs="Cambria"/>
          <w:sz w:val="20"/>
          <w:szCs w:val="20"/>
        </w:rPr>
        <w:t xml:space="preserve">, </w:t>
      </w:r>
      <w:r w:rsidR="00A56CF7" w:rsidRPr="00C90B3F">
        <w:rPr>
          <w:rFonts w:ascii="Verdana" w:hAnsi="Verdana" w:cs="Cambria"/>
          <w:i/>
          <w:sz w:val="20"/>
          <w:szCs w:val="20"/>
        </w:rPr>
        <w:t>inter alia</w:t>
      </w:r>
      <w:r w:rsidR="00A56CF7">
        <w:rPr>
          <w:rFonts w:ascii="Verdana" w:hAnsi="Verdana" w:cs="Cambria"/>
          <w:sz w:val="20"/>
          <w:szCs w:val="20"/>
        </w:rPr>
        <w:t xml:space="preserve">, </w:t>
      </w:r>
      <w:r w:rsidRPr="00A56CF7">
        <w:rPr>
          <w:rFonts w:ascii="Verdana" w:hAnsi="Verdana" w:cs="Cambria"/>
          <w:sz w:val="20"/>
          <w:szCs w:val="20"/>
        </w:rPr>
        <w:t>concluyó que el Estado violó</w:t>
      </w:r>
      <w:r w:rsidRPr="00A56CF7">
        <w:rPr>
          <w:rFonts w:ascii="Verdana" w:hAnsi="Verdana" w:cs="Cambria"/>
          <w:b/>
          <w:i/>
          <w:sz w:val="20"/>
          <w:szCs w:val="20"/>
        </w:rPr>
        <w:t xml:space="preserve"> </w:t>
      </w:r>
      <w:r w:rsidRPr="00A56CF7">
        <w:rPr>
          <w:rFonts w:ascii="Verdana" w:hAnsi="Verdana" w:cs="Cambria"/>
          <w:sz w:val="20"/>
          <w:szCs w:val="20"/>
        </w:rPr>
        <w:t>los artículos 3, 4, 5 y 7, en relación con el 1.1 de la Convención, y I.a de la Convención Americana sobre Desaparición Forzada de Personas.</w:t>
      </w:r>
      <w:bookmarkEnd w:id="186"/>
    </w:p>
    <w:p w14:paraId="64AA5FD0" w14:textId="2D5BB45F" w:rsidR="002E1C85" w:rsidRPr="00813B72" w:rsidRDefault="002E1C85" w:rsidP="00432ABC">
      <w:pPr>
        <w:widowControl w:val="0"/>
        <w:numPr>
          <w:ilvl w:val="0"/>
          <w:numId w:val="4"/>
        </w:numPr>
        <w:tabs>
          <w:tab w:val="left" w:pos="567"/>
        </w:tabs>
        <w:autoSpaceDE w:val="0"/>
        <w:autoSpaceDN w:val="0"/>
        <w:adjustRightInd w:val="0"/>
        <w:spacing w:before="120" w:after="120" w:line="240" w:lineRule="auto"/>
        <w:ind w:left="0" w:firstLine="0"/>
        <w:jc w:val="both"/>
        <w:textAlignment w:val="baseline"/>
        <w:rPr>
          <w:rFonts w:ascii="Verdana" w:eastAsia="Times New Roman" w:hAnsi="Verdana" w:cs="Times New Roman"/>
          <w:b/>
          <w:sz w:val="20"/>
          <w:szCs w:val="20"/>
          <w:lang w:val="es-ES"/>
        </w:rPr>
      </w:pPr>
      <w:r w:rsidRPr="00813B72">
        <w:rPr>
          <w:rFonts w:ascii="Verdana" w:eastAsia="Times New Roman" w:hAnsi="Verdana" w:cs="Times New Roman"/>
          <w:sz w:val="20"/>
          <w:szCs w:val="20"/>
          <w:lang w:val="es-ES"/>
        </w:rPr>
        <w:t xml:space="preserve">Las </w:t>
      </w:r>
      <w:r w:rsidR="00C96C12">
        <w:rPr>
          <w:rFonts w:ascii="Verdana" w:eastAsia="Times New Roman" w:hAnsi="Verdana" w:cs="Times New Roman"/>
          <w:b/>
          <w:i/>
          <w:sz w:val="20"/>
          <w:szCs w:val="20"/>
          <w:lang w:val="es-ES"/>
        </w:rPr>
        <w:t>R</w:t>
      </w:r>
      <w:r w:rsidRPr="00813B72">
        <w:rPr>
          <w:rFonts w:ascii="Verdana" w:eastAsia="Times New Roman" w:hAnsi="Verdana" w:cs="Times New Roman"/>
          <w:b/>
          <w:i/>
          <w:sz w:val="20"/>
          <w:szCs w:val="20"/>
          <w:lang w:val="es-ES"/>
        </w:rPr>
        <w:t>epresentantes</w:t>
      </w:r>
      <w:r w:rsidRPr="00813B72">
        <w:rPr>
          <w:rFonts w:ascii="Verdana" w:eastAsia="Times New Roman" w:hAnsi="Verdana" w:cs="Times New Roman"/>
          <w:sz w:val="20"/>
          <w:szCs w:val="20"/>
          <w:lang w:val="es-ES"/>
        </w:rPr>
        <w:t xml:space="preserve"> señalaron que coincidían con los argumentos realizados por la Comisión en su Informe en cuanto a que el Estado mexicano es responsable por la desaparición forzada de las tres presuntas víctimas</w:t>
      </w:r>
      <w:r w:rsidRPr="008D0846">
        <w:rPr>
          <w:rFonts w:ascii="Verdana" w:eastAsia="Times New Roman" w:hAnsi="Verdana" w:cs="Times New Roman"/>
          <w:sz w:val="20"/>
          <w:szCs w:val="20"/>
          <w:lang w:val="es-ES"/>
        </w:rPr>
        <w:t>.</w:t>
      </w:r>
      <w:r w:rsidRPr="00813B72">
        <w:rPr>
          <w:rFonts w:ascii="Verdana" w:eastAsia="Times New Roman" w:hAnsi="Verdana" w:cs="Times New Roman"/>
          <w:b/>
          <w:sz w:val="20"/>
          <w:szCs w:val="20"/>
          <w:lang w:val="es-ES"/>
        </w:rPr>
        <w:t xml:space="preserve"> </w:t>
      </w:r>
      <w:r w:rsidRPr="00813B72">
        <w:rPr>
          <w:rFonts w:ascii="Verdana" w:eastAsia="Times New Roman" w:hAnsi="Verdana" w:cs="Times New Roman"/>
          <w:sz w:val="20"/>
          <w:szCs w:val="20"/>
          <w:lang w:val="es-ES"/>
        </w:rPr>
        <w:t>En particular, señalaron que</w:t>
      </w:r>
      <w:r w:rsidRPr="00813B72">
        <w:rPr>
          <w:rFonts w:ascii="Verdana" w:eastAsia="Times New Roman" w:hAnsi="Verdana" w:cs="Times New Roman"/>
          <w:b/>
          <w:sz w:val="20"/>
          <w:szCs w:val="20"/>
          <w:lang w:val="es-ES"/>
        </w:rPr>
        <w:t xml:space="preserve"> </w:t>
      </w:r>
      <w:r w:rsidRPr="00813B72">
        <w:rPr>
          <w:rFonts w:ascii="Verdana" w:eastAsia="Times New Roman" w:hAnsi="Verdana" w:cs="Times New Roman"/>
          <w:sz w:val="20"/>
          <w:szCs w:val="20"/>
          <w:lang w:val="es-ES"/>
        </w:rPr>
        <w:t xml:space="preserve">en el presente caso se demostró </w:t>
      </w:r>
      <w:r w:rsidRPr="00813B72">
        <w:rPr>
          <w:rFonts w:ascii="Verdana" w:hAnsi="Verdana" w:cs="Arial"/>
          <w:sz w:val="20"/>
          <w:szCs w:val="20"/>
        </w:rPr>
        <w:t xml:space="preserve">que al menos 8 militares uniformados y con armas largas detuvieron a los tres </w:t>
      </w:r>
      <w:r w:rsidRPr="00813B72">
        <w:rPr>
          <w:rFonts w:ascii="Verdana" w:hAnsi="Verdana" w:cs="Arial"/>
          <w:sz w:val="20"/>
          <w:szCs w:val="20"/>
        </w:rPr>
        <w:lastRenderedPageBreak/>
        <w:t>desaparecidos siendo, en su concepto, “particularmente relevante que los dos momentos de las detenciones arbitrarias se dieron usando la fuerza”</w:t>
      </w:r>
      <w:r w:rsidRPr="008D0846">
        <w:rPr>
          <w:rFonts w:ascii="Verdana" w:hAnsi="Verdana" w:cs="Arial"/>
          <w:sz w:val="20"/>
          <w:szCs w:val="20"/>
        </w:rPr>
        <w:t>.</w:t>
      </w:r>
      <w:r w:rsidRPr="00813B72">
        <w:rPr>
          <w:rFonts w:ascii="Verdana" w:hAnsi="Verdana" w:cs="Arial"/>
          <w:b/>
          <w:sz w:val="20"/>
          <w:szCs w:val="20"/>
        </w:rPr>
        <w:t xml:space="preserve"> </w:t>
      </w:r>
      <w:r w:rsidRPr="00813B72">
        <w:rPr>
          <w:rFonts w:ascii="Verdana" w:hAnsi="Verdana" w:cs="Arial"/>
          <w:sz w:val="20"/>
          <w:szCs w:val="20"/>
        </w:rPr>
        <w:t>Agregaron que en relación con los artículos 5 y 7 de la Convención “existe una obligación adicional del Estado de proteger a personas con discapacidades”, como era el caso de Nitza Paola y José Ángel Alvarado</w:t>
      </w:r>
      <w:r w:rsidRPr="008D0846">
        <w:rPr>
          <w:rFonts w:ascii="Verdana" w:hAnsi="Verdana" w:cs="Arial"/>
          <w:sz w:val="20"/>
          <w:szCs w:val="20"/>
        </w:rPr>
        <w:t>.</w:t>
      </w:r>
      <w:r w:rsidRPr="00813B72">
        <w:rPr>
          <w:rFonts w:ascii="Verdana" w:hAnsi="Verdana" w:cs="Arial"/>
          <w:b/>
          <w:sz w:val="20"/>
          <w:szCs w:val="20"/>
        </w:rPr>
        <w:t xml:space="preserve"> </w:t>
      </w:r>
      <w:r w:rsidRPr="00813B72">
        <w:rPr>
          <w:rFonts w:ascii="Verdana" w:hAnsi="Verdana" w:cs="Arial"/>
          <w:sz w:val="20"/>
          <w:szCs w:val="20"/>
        </w:rPr>
        <w:t>Alegaron que en los casos de desapariciones forzadas cometidas dentro de contextos de prácticas sistemáticas es razonable inferir la violación del artículo 4 de la Convención y que en el caso concreto “han trascurrido 8 años y 5 meses sin que se tengan noticias de las [presuntas] víctimas que, desde un inicio, fueron criminalizadas por las Fuerzas Armadas al vincularlas a ellas y a sus familiares con grupos del crimen organizado” y que</w:t>
      </w:r>
      <w:r w:rsidRPr="00813B72">
        <w:rPr>
          <w:rFonts w:ascii="Verdana" w:hAnsi="Verdana" w:cs="Arial"/>
          <w:b/>
          <w:sz w:val="20"/>
          <w:szCs w:val="20"/>
        </w:rPr>
        <w:t xml:space="preserve"> </w:t>
      </w:r>
      <w:r w:rsidRPr="00813B72">
        <w:rPr>
          <w:rFonts w:ascii="Verdana" w:hAnsi="Verdana" w:cs="Arial"/>
          <w:sz w:val="20"/>
          <w:szCs w:val="20"/>
        </w:rPr>
        <w:t>en el contexto mexicano en general y el de Chihuahua en particular son muy pocas las personas que se encuentran con vida</w:t>
      </w:r>
      <w:r w:rsidR="00BE3F88">
        <w:rPr>
          <w:rFonts w:ascii="Verdana" w:hAnsi="Verdana" w:cs="Arial"/>
          <w:sz w:val="20"/>
          <w:szCs w:val="20"/>
        </w:rPr>
        <w:t>.</w:t>
      </w:r>
    </w:p>
    <w:p w14:paraId="64AA5FD4" w14:textId="07D93486" w:rsidR="002E1C85" w:rsidRPr="00813B72" w:rsidRDefault="002E1C85" w:rsidP="00432ABC">
      <w:pPr>
        <w:widowControl w:val="0"/>
        <w:numPr>
          <w:ilvl w:val="0"/>
          <w:numId w:val="4"/>
        </w:numPr>
        <w:tabs>
          <w:tab w:val="left" w:pos="567"/>
        </w:tabs>
        <w:autoSpaceDE w:val="0"/>
        <w:autoSpaceDN w:val="0"/>
        <w:adjustRightInd w:val="0"/>
        <w:spacing w:before="120" w:after="120" w:line="240" w:lineRule="auto"/>
        <w:ind w:left="0" w:firstLine="0"/>
        <w:jc w:val="both"/>
        <w:textAlignment w:val="baseline"/>
        <w:rPr>
          <w:rFonts w:ascii="Verdana" w:eastAsia="Times New Roman" w:hAnsi="Verdana" w:cs="Times New Roman"/>
          <w:sz w:val="20"/>
          <w:szCs w:val="20"/>
          <w:lang w:val="es-ES"/>
        </w:rPr>
      </w:pPr>
      <w:r w:rsidRPr="00813B72">
        <w:rPr>
          <w:rFonts w:ascii="Verdana" w:eastAsia="Times New Roman" w:hAnsi="Verdana" w:cs="Times New Roman"/>
          <w:sz w:val="20"/>
          <w:szCs w:val="20"/>
          <w:lang w:val="es-ES"/>
        </w:rPr>
        <w:t xml:space="preserve">El </w:t>
      </w:r>
      <w:r w:rsidRPr="00813B72">
        <w:rPr>
          <w:rFonts w:ascii="Verdana" w:eastAsia="Times New Roman" w:hAnsi="Verdana" w:cs="Times New Roman"/>
          <w:b/>
          <w:i/>
          <w:sz w:val="20"/>
          <w:szCs w:val="20"/>
          <w:lang w:val="es-ES"/>
        </w:rPr>
        <w:t>Estado</w:t>
      </w:r>
      <w:r w:rsidRPr="00813B72">
        <w:rPr>
          <w:rFonts w:ascii="Verdana" w:eastAsia="Times New Roman" w:hAnsi="Verdana" w:cs="Times New Roman"/>
          <w:sz w:val="20"/>
          <w:szCs w:val="20"/>
          <w:lang w:val="es-ES"/>
        </w:rPr>
        <w:t xml:space="preserve"> alegó que en el caso concreto no existe prueba directa ni indicios sólidos para atribuir las tres desapariciones al Estado</w:t>
      </w:r>
      <w:r>
        <w:rPr>
          <w:rFonts w:ascii="Verdana" w:hAnsi="Verdana"/>
          <w:sz w:val="20"/>
          <w:lang w:val="es-ES"/>
        </w:rPr>
        <w:t>.</w:t>
      </w:r>
      <w:r w:rsidR="00AC6FFB">
        <w:rPr>
          <w:rFonts w:ascii="Verdana" w:hAnsi="Verdana"/>
          <w:sz w:val="20"/>
          <w:szCs w:val="20"/>
          <w:lang w:val="es-ES"/>
        </w:rPr>
        <w:t xml:space="preserve"> </w:t>
      </w:r>
      <w:r w:rsidRPr="00813B72">
        <w:rPr>
          <w:rFonts w:ascii="Verdana" w:hAnsi="Verdana"/>
          <w:sz w:val="20"/>
          <w:szCs w:val="20"/>
          <w:lang w:val="es-ES"/>
        </w:rPr>
        <w:t xml:space="preserve">En este sentido, </w:t>
      </w:r>
      <w:r w:rsidRPr="00813B72">
        <w:rPr>
          <w:rFonts w:ascii="Verdana" w:hAnsi="Verdana"/>
          <w:sz w:val="20"/>
          <w:szCs w:val="20"/>
        </w:rPr>
        <w:t xml:space="preserve">controvirtió el escenario contextual e indiciario que presentaron la Comisión y los representantes para atribuirle la responsabilidad internacional por la autoría directa de las desapariciones a agentes estatales, con base en las siguientes consideraciones principales: i) alegó en su defensa que no existen elementos que acrediten la existencia de un patrón sistemático de desapariciones vinculadas a la implementación del Operativo Conjunto Chihuahua y, en cambio, sí se encuentra identificado “un claro contexto en Chihuahua […] que indica la presencia del crimen organizado en la región y la comisión de actividades ilícitas en contra de la población […] [empleando] prácticas […] para evadirse de la acción de la justicia, incluyendo un claro uso de uniformes de fuerzas de seguridad”, así como “levantones” (privaciones ilegales de la libertad) por lo que “el hecho de que grupos armados porten uniformes tipo militar o hayan demostrado actitudes semejantes a elementos castrenses, de ninguna forma se traduce </w:t>
      </w:r>
      <w:r w:rsidRPr="00813B72">
        <w:rPr>
          <w:rFonts w:ascii="Verdana" w:hAnsi="Verdana"/>
          <w:i/>
          <w:sz w:val="20"/>
          <w:szCs w:val="20"/>
        </w:rPr>
        <w:t xml:space="preserve">ipso facto </w:t>
      </w:r>
      <w:r w:rsidRPr="00813B72">
        <w:rPr>
          <w:rFonts w:ascii="Verdana" w:hAnsi="Verdana"/>
          <w:sz w:val="20"/>
          <w:szCs w:val="20"/>
        </w:rPr>
        <w:t>en una prueba contundente que permita atribuir [las desapariciones] a agentes estatales. Agregó que “es[a] realidad forma parte innegable del contexto que se vivía en el [E]stado de Chihuahua en la época de los hechos [que] no debe evadirse”; ii) sostuvo que el “Operativo Conjunto Chihuahua” se enfocó en Ciudad Juárez y no en el Ejido Benito Juárez; que “no se desprende evidencia que apunte a la existencia de una política del Estado para cometer ilícitos en perjuicio de la población en general”; que el 35 Batallón de Infantería no formaba parte directamente de dicho “Operativo” y no fue instalado con motivo del mismo, sino que dicha unidad militar ya se encontraba establecida con anterioridad a las desapariciones y tiene su base permanente en Nuevo Casas Grandes, Chihuahua, y que a la fecha en que ocurrieron las desapariciones del caso concreto no había elementos militares desplegados en el Ejido Benito Juárez; iii)  consideró que existen elementos específicos de las tres desapariciones “que se vinculan con actividades ilícitas propias de la delincuencia organizada”, tales como los asesinatos de Rafael y Alfredo Alvarado Sáenz (padre y tío de Rocío Irene Alvarado) “ocurrido[s] poco más de un año antes” de las desapariciones, los cuales “constituye[n] un antecedente inmediato a los hechos […] [que] debe ser tomado como parte del contexto” para sustentar la hipótesis de la autoría de los hechos a miembros del crimen organizado</w:t>
      </w:r>
      <w:r w:rsidRPr="008D0846">
        <w:rPr>
          <w:rFonts w:ascii="Verdana" w:hAnsi="Verdana"/>
          <w:sz w:val="20"/>
          <w:szCs w:val="20"/>
        </w:rPr>
        <w:t xml:space="preserve">. </w:t>
      </w:r>
    </w:p>
    <w:p w14:paraId="64AA5FD6" w14:textId="2D1C39D2" w:rsidR="002E1C85" w:rsidRPr="00813B72" w:rsidRDefault="002E1C85" w:rsidP="00432ABC">
      <w:pPr>
        <w:widowControl w:val="0"/>
        <w:numPr>
          <w:ilvl w:val="0"/>
          <w:numId w:val="4"/>
        </w:numPr>
        <w:tabs>
          <w:tab w:val="left" w:pos="567"/>
        </w:tabs>
        <w:autoSpaceDE w:val="0"/>
        <w:autoSpaceDN w:val="0"/>
        <w:adjustRightInd w:val="0"/>
        <w:spacing w:before="120" w:after="120" w:line="240" w:lineRule="auto"/>
        <w:ind w:left="0" w:firstLine="0"/>
        <w:jc w:val="both"/>
        <w:textAlignment w:val="baseline"/>
        <w:rPr>
          <w:rFonts w:ascii="Verdana" w:eastAsia="Times New Roman" w:hAnsi="Verdana" w:cs="Times New Roman"/>
          <w:b/>
          <w:sz w:val="20"/>
          <w:szCs w:val="20"/>
          <w:lang w:val="es-ES"/>
        </w:rPr>
      </w:pPr>
      <w:r w:rsidRPr="00813B72">
        <w:rPr>
          <w:rFonts w:ascii="Verdana" w:eastAsia="Times New Roman" w:hAnsi="Verdana" w:cs="Times New Roman"/>
          <w:sz w:val="20"/>
          <w:szCs w:val="20"/>
          <w:lang w:val="es-ES"/>
        </w:rPr>
        <w:t xml:space="preserve">En cuanto a los elementos de la alegada desaparición forzada, como señaló en su reconocimiento, el </w:t>
      </w:r>
      <w:r w:rsidRPr="00C96C12">
        <w:rPr>
          <w:rFonts w:ascii="Verdana" w:eastAsia="Times New Roman" w:hAnsi="Verdana" w:cs="Times New Roman"/>
          <w:sz w:val="20"/>
          <w:szCs w:val="20"/>
          <w:lang w:val="es-ES"/>
        </w:rPr>
        <w:t>Estado</w:t>
      </w:r>
      <w:r w:rsidRPr="00813B72">
        <w:rPr>
          <w:rFonts w:ascii="Verdana" w:eastAsia="Times New Roman" w:hAnsi="Verdana" w:cs="Times New Roman"/>
          <w:sz w:val="20"/>
          <w:szCs w:val="20"/>
          <w:lang w:val="es-ES"/>
        </w:rPr>
        <w:t xml:space="preserve"> no negó la privación de la libertad perpetrada por un grupo de individuos que portaban vestimenta “tipo militar”. No obstante,</w:t>
      </w:r>
      <w:r w:rsidRPr="00813B72">
        <w:rPr>
          <w:rFonts w:ascii="Verdana" w:eastAsia="Times New Roman" w:hAnsi="Verdana" w:cs="Times New Roman"/>
          <w:b/>
          <w:sz w:val="20"/>
          <w:szCs w:val="20"/>
          <w:lang w:val="es-ES"/>
        </w:rPr>
        <w:t xml:space="preserve"> </w:t>
      </w:r>
      <w:r w:rsidRPr="00813B72">
        <w:rPr>
          <w:rFonts w:ascii="Verdana" w:eastAsia="Times New Roman" w:hAnsi="Verdana" w:cs="Times New Roman"/>
          <w:sz w:val="20"/>
          <w:szCs w:val="20"/>
          <w:lang w:val="es-ES"/>
        </w:rPr>
        <w:t xml:space="preserve">alegó la existencia de contradicciones en las declaraciones de los testigos presenciales en cuanto a las descripciones que realizaron sobre las características y color de la vestimenta que portaban los captores, así como de los vehículos utilizados en la detención de las presuntas víctimas. En este sentido, agregó que no existen pruebas directas ni indicios suficientes para concluir que las desapariciones fuesen perpetradas por agentes estatales o que hubo aquiescencia en la detención y negativa a brindar información sobre la suerte o paradero de las presuntas víctimas. Agregó que las autoridades son consistentes en negar que hubieran brindado información a los familiares en el sentido de que les constara que las detenciones fueron perpetradas por agentes estatales o que </w:t>
      </w:r>
      <w:r w:rsidRPr="00813B72">
        <w:rPr>
          <w:rFonts w:ascii="Verdana" w:eastAsia="Times New Roman" w:hAnsi="Verdana" w:cs="Times New Roman"/>
          <w:sz w:val="20"/>
          <w:szCs w:val="20"/>
        </w:rPr>
        <w:t xml:space="preserve">se encontraran en poder de éstos. Por tanto, alegó que </w:t>
      </w:r>
      <w:r w:rsidRPr="00813B72">
        <w:rPr>
          <w:rFonts w:ascii="Verdana" w:eastAsia="Times New Roman" w:hAnsi="Verdana" w:cs="Times New Roman"/>
          <w:sz w:val="20"/>
          <w:szCs w:val="20"/>
          <w:lang w:val="es-ES"/>
        </w:rPr>
        <w:t xml:space="preserve">en ningún momento manifestaron a los familiares que las personas desaparecidas se encontraban detenidas en el 35 Batallón, sino que con base en la información proporcionada por los familiares al momento de realizar sus acciones de búsqueda y promover sus denuncias afirmando que quienes llevaron a </w:t>
      </w:r>
      <w:r w:rsidRPr="00813B72">
        <w:rPr>
          <w:rFonts w:ascii="Verdana" w:eastAsia="Times New Roman" w:hAnsi="Verdana" w:cs="Times New Roman"/>
          <w:sz w:val="20"/>
          <w:szCs w:val="20"/>
          <w:lang w:val="es-ES"/>
        </w:rPr>
        <w:lastRenderedPageBreak/>
        <w:t xml:space="preserve">cabo las detenciones eran militares, dichos funcionarios expresaron que “en caso de que la detención hubiera sido realizada por militares […] lo más probable es que se encontraran en el Batallón referido […] circunstancia que se traduce en una referenciación y no en una afirmación” </w:t>
      </w:r>
      <w:r w:rsidRPr="008D0846">
        <w:rPr>
          <w:rFonts w:ascii="Verdana" w:eastAsia="Times New Roman" w:hAnsi="Verdana" w:cs="Times New Roman"/>
          <w:sz w:val="20"/>
          <w:szCs w:val="20"/>
          <w:lang w:val="es-ES"/>
        </w:rPr>
        <w:t>(CE., f. 626, párr. 922)</w:t>
      </w:r>
      <w:r w:rsidRPr="00813B72">
        <w:rPr>
          <w:rFonts w:ascii="Verdana" w:eastAsia="Times New Roman" w:hAnsi="Verdana" w:cs="Times New Roman"/>
          <w:sz w:val="20"/>
          <w:szCs w:val="20"/>
          <w:lang w:val="es-ES"/>
        </w:rPr>
        <w:t>, o “que preguntaran en dichas instalaciones</w:t>
      </w:r>
      <w:r w:rsidR="007E2CF6">
        <w:rPr>
          <w:rFonts w:ascii="Verdana" w:eastAsia="Times New Roman" w:hAnsi="Verdana" w:cs="Times New Roman"/>
          <w:sz w:val="20"/>
          <w:szCs w:val="20"/>
          <w:lang w:val="es-ES"/>
        </w:rPr>
        <w:t>”</w:t>
      </w:r>
      <w:r w:rsidRPr="008D0846">
        <w:rPr>
          <w:rFonts w:ascii="Verdana" w:eastAsia="Times New Roman" w:hAnsi="Verdana" w:cs="Times New Roman"/>
          <w:sz w:val="20"/>
          <w:szCs w:val="20"/>
          <w:lang w:val="es-ES"/>
        </w:rPr>
        <w:t>.</w:t>
      </w:r>
      <w:r w:rsidRPr="00813B72">
        <w:rPr>
          <w:rFonts w:ascii="Verdana" w:eastAsia="Times New Roman" w:hAnsi="Verdana" w:cs="Times New Roman"/>
          <w:b/>
          <w:sz w:val="20"/>
          <w:szCs w:val="20"/>
          <w:lang w:val="es-ES"/>
        </w:rPr>
        <w:t xml:space="preserve"> </w:t>
      </w:r>
      <w:r w:rsidRPr="00813B72">
        <w:rPr>
          <w:rFonts w:ascii="Verdana" w:eastAsia="Times New Roman" w:hAnsi="Verdana" w:cs="Times New Roman"/>
          <w:sz w:val="20"/>
          <w:szCs w:val="20"/>
          <w:lang w:val="es-ES"/>
        </w:rPr>
        <w:t>Con base en tales alegaciones, el Estado concluyó que al no acreditarse dos de los elementos constitutivos de la desaparición forzada no le son atribuibles la desapariciones del caso concreto y, en consecuencia, no es internacionalmente responsable por violaciones a los artículos 3, 4, 5 y 7, en relación con el 1 de la Convención, y I.a de la CIDFP</w:t>
      </w:r>
      <w:r w:rsidRPr="008D0846">
        <w:rPr>
          <w:rFonts w:ascii="Verdana" w:eastAsia="Times New Roman" w:hAnsi="Verdana" w:cs="Times New Roman"/>
          <w:sz w:val="20"/>
          <w:szCs w:val="20"/>
          <w:lang w:val="es-ES"/>
        </w:rPr>
        <w:t>.</w:t>
      </w:r>
    </w:p>
    <w:p w14:paraId="64AA5FD8" w14:textId="6546C8C7" w:rsidR="002E1C85" w:rsidRPr="00813B72" w:rsidRDefault="00556FDB" w:rsidP="002C462C">
      <w:pPr>
        <w:pStyle w:val="Heading2"/>
        <w:numPr>
          <w:ilvl w:val="0"/>
          <w:numId w:val="36"/>
        </w:numPr>
        <w:spacing w:before="120" w:after="120"/>
      </w:pPr>
      <w:bookmarkStart w:id="187" w:name="_Toc526774161"/>
      <w:bookmarkStart w:id="188" w:name="_Toc526777493"/>
      <w:bookmarkStart w:id="189" w:name="_Toc526783784"/>
      <w:r>
        <w:t xml:space="preserve"> </w:t>
      </w:r>
      <w:bookmarkStart w:id="190" w:name="_Toc532995363"/>
      <w:r w:rsidR="002E1C85" w:rsidRPr="00813B72">
        <w:t>Consideraciones de la Corte</w:t>
      </w:r>
      <w:bookmarkEnd w:id="187"/>
      <w:bookmarkEnd w:id="188"/>
      <w:bookmarkEnd w:id="189"/>
      <w:bookmarkEnd w:id="190"/>
    </w:p>
    <w:p w14:paraId="64AA5FDA" w14:textId="7025EF3A" w:rsidR="002E1C85" w:rsidRPr="00813B72" w:rsidRDefault="002E1C85" w:rsidP="002C462C">
      <w:pPr>
        <w:pStyle w:val="ListParagraph"/>
        <w:widowControl w:val="0"/>
        <w:numPr>
          <w:ilvl w:val="0"/>
          <w:numId w:val="4"/>
        </w:numPr>
        <w:tabs>
          <w:tab w:val="left" w:pos="567"/>
        </w:tabs>
        <w:adjustRightInd w:val="0"/>
        <w:spacing w:before="120" w:after="120" w:line="240" w:lineRule="auto"/>
        <w:ind w:left="0" w:firstLine="0"/>
        <w:contextualSpacing w:val="0"/>
        <w:jc w:val="both"/>
        <w:textAlignment w:val="baseline"/>
        <w:rPr>
          <w:rFonts w:ascii="Verdana" w:hAnsi="Verdana"/>
          <w:b/>
          <w:sz w:val="20"/>
          <w:szCs w:val="20"/>
        </w:rPr>
      </w:pPr>
      <w:r w:rsidRPr="00813B72">
        <w:rPr>
          <w:rFonts w:ascii="Verdana" w:hAnsi="Verdana"/>
          <w:sz w:val="20"/>
          <w:szCs w:val="20"/>
        </w:rPr>
        <w:t>A la luz del reconocimiento parcial de responsabilidad, el contexto del caso y los hechos probados (</w:t>
      </w:r>
      <w:r w:rsidR="00205AF7" w:rsidRPr="00205AF7">
        <w:rPr>
          <w:rFonts w:ascii="Verdana" w:hAnsi="Verdana"/>
          <w:i/>
          <w:sz w:val="20"/>
          <w:szCs w:val="20"/>
        </w:rPr>
        <w:t xml:space="preserve">supra </w:t>
      </w:r>
      <w:r w:rsidR="00BE3F88">
        <w:rPr>
          <w:rFonts w:ascii="Verdana" w:hAnsi="Verdana"/>
          <w:sz w:val="20"/>
          <w:szCs w:val="20"/>
        </w:rPr>
        <w:t>Caps. IV y VI</w:t>
      </w:r>
      <w:r w:rsidRPr="00813B72">
        <w:rPr>
          <w:rFonts w:ascii="Verdana" w:hAnsi="Verdana"/>
          <w:sz w:val="20"/>
          <w:szCs w:val="20"/>
        </w:rPr>
        <w:t xml:space="preserve">), la Corte advierte que existe controversia entre las partes sobre si en el presente caso se acreditó que las presuntas desapariciones forzadas son atribuibles al Estado. Para ello, en primer término la Corte establecerá el marco general desde el cual realizará su análisis y posteriormente abordará los aspectos controvertidos relacionados con los elementos constitutivos de la desaparición forzada. Finalmente, en su caso, determinará las responsabilidades correspondientes relacionadas con las alegadas vulneraciones de los artículos 3, 4, 5 y 7 de la Convención y I.a de la </w:t>
      </w:r>
      <w:r w:rsidR="00BE3F88">
        <w:rPr>
          <w:rFonts w:ascii="Verdana" w:hAnsi="Verdana"/>
          <w:sz w:val="20"/>
          <w:szCs w:val="20"/>
        </w:rPr>
        <w:t>Convención Interamericana de Desaparición Forzada de Personas [</w:t>
      </w:r>
      <w:r w:rsidRPr="00813B72">
        <w:rPr>
          <w:rFonts w:ascii="Verdana" w:hAnsi="Verdana"/>
          <w:sz w:val="20"/>
          <w:szCs w:val="20"/>
        </w:rPr>
        <w:t>CIDFP</w:t>
      </w:r>
      <w:r w:rsidR="00BE3F88">
        <w:rPr>
          <w:rFonts w:ascii="Verdana" w:hAnsi="Verdana"/>
          <w:sz w:val="20"/>
          <w:szCs w:val="20"/>
        </w:rPr>
        <w:t>].</w:t>
      </w:r>
    </w:p>
    <w:p w14:paraId="64AA5FDC" w14:textId="32566349" w:rsidR="002E1C85" w:rsidRPr="00C90B3F" w:rsidRDefault="00E34BFF">
      <w:pPr>
        <w:pStyle w:val="Heading3"/>
        <w:numPr>
          <w:ilvl w:val="0"/>
          <w:numId w:val="40"/>
        </w:numPr>
        <w:spacing w:before="120" w:after="120"/>
        <w:ind w:left="1560" w:hanging="426"/>
        <w:contextualSpacing w:val="0"/>
        <w:rPr>
          <w:b w:val="0"/>
        </w:rPr>
      </w:pPr>
      <w:bookmarkStart w:id="191" w:name="_Toc526783785"/>
      <w:r>
        <w:rPr>
          <w:b w:val="0"/>
        </w:rPr>
        <w:t xml:space="preserve"> </w:t>
      </w:r>
      <w:bookmarkStart w:id="192" w:name="_Toc532995364"/>
      <w:r w:rsidR="002E1C85" w:rsidRPr="00C90B3F">
        <w:rPr>
          <w:b w:val="0"/>
        </w:rPr>
        <w:t>La desaparición forzada como violación pluriofensiva y continuada de derechos humanos</w:t>
      </w:r>
      <w:bookmarkEnd w:id="191"/>
      <w:r w:rsidR="003C71F3" w:rsidRPr="00C90B3F">
        <w:rPr>
          <w:b w:val="0"/>
        </w:rPr>
        <w:t xml:space="preserve"> y su determinación</w:t>
      </w:r>
      <w:bookmarkEnd w:id="192"/>
      <w:r w:rsidR="003C71F3" w:rsidRPr="00C90B3F">
        <w:rPr>
          <w:b w:val="0"/>
        </w:rPr>
        <w:t xml:space="preserve"> </w:t>
      </w:r>
    </w:p>
    <w:p w14:paraId="651DFF2C" w14:textId="6E4C9313" w:rsidR="003C71F3" w:rsidRDefault="003C71F3" w:rsidP="00DB378B">
      <w:pPr>
        <w:pStyle w:val="PrrafodeSentencia"/>
        <w:numPr>
          <w:ilvl w:val="0"/>
          <w:numId w:val="4"/>
        </w:numPr>
        <w:spacing w:before="120" w:after="120"/>
        <w:ind w:left="0" w:firstLine="0"/>
      </w:pPr>
      <w:bookmarkStart w:id="193" w:name="_Ref525052714"/>
      <w:r>
        <w:t>La Corte ha desarrollado en su jurisprudencia el carácter pluriofensivo de la desaparición forzada, así como su naturaleza permanente o continua, la cual se prolonga mientras no se conozca el paradero de la persona desaparecida o se identifiquen con certeza sus restos</w:t>
      </w:r>
      <w:r>
        <w:rPr>
          <w:rStyle w:val="FootnoteReference"/>
          <w:color w:val="000000" w:themeColor="text1"/>
          <w:spacing w:val="0"/>
        </w:rPr>
        <w:footnoteReference w:id="381"/>
      </w:r>
      <w:r>
        <w:t>.</w:t>
      </w:r>
      <w:bookmarkEnd w:id="193"/>
      <w:r>
        <w:t xml:space="preserve"> </w:t>
      </w:r>
    </w:p>
    <w:p w14:paraId="4AD3381D" w14:textId="746821F7" w:rsidR="003C71F3" w:rsidRDefault="003C71F3" w:rsidP="00DB378B">
      <w:pPr>
        <w:pStyle w:val="PrrafodeSentencia"/>
        <w:numPr>
          <w:ilvl w:val="0"/>
          <w:numId w:val="4"/>
        </w:numPr>
        <w:spacing w:before="120" w:after="120"/>
        <w:ind w:left="0" w:firstLine="0"/>
      </w:pPr>
      <w:r>
        <w:t>En tal sentido, el análisis de la desaparición forzada debe abarcar la totalidad del conjunto de los hechos que se presentan a consideración del Tribunal. Solo de este modo el análisis legal de la desaparición forzada es consecuente con la compleja violación a derechos humanos que esta conlleva</w:t>
      </w:r>
      <w:r>
        <w:rPr>
          <w:rStyle w:val="FootnoteReference"/>
          <w:spacing w:val="0"/>
        </w:rPr>
        <w:footnoteReference w:id="382"/>
      </w:r>
      <w:r>
        <w:t xml:space="preserve">, con su carácter permanente y con la necesidad de considerar el contexto en que ocurrieron los hechos, a fin de analizar sus efectos prolongados en el tiempo y enfocar integralmente sus consecuencias, teniendo en cuenta el </w:t>
      </w:r>
      <w:r>
        <w:rPr>
          <w:i/>
        </w:rPr>
        <w:t>corpus juris</w:t>
      </w:r>
      <w:r>
        <w:t xml:space="preserve"> de protección tanto interamericano como internacional</w:t>
      </w:r>
      <w:r>
        <w:rPr>
          <w:rStyle w:val="FootnoteReference"/>
          <w:spacing w:val="0"/>
        </w:rPr>
        <w:footnoteReference w:id="383"/>
      </w:r>
      <w:r>
        <w:t>.</w:t>
      </w:r>
      <w:bookmarkStart w:id="194" w:name="_Ref468462777"/>
      <w:bookmarkEnd w:id="194"/>
    </w:p>
    <w:p w14:paraId="64AA5FE6" w14:textId="0675317B" w:rsidR="001F1E18" w:rsidRPr="00813B72" w:rsidRDefault="002E1C85" w:rsidP="00DB378B">
      <w:pPr>
        <w:widowControl w:val="0"/>
        <w:numPr>
          <w:ilvl w:val="0"/>
          <w:numId w:val="4"/>
        </w:numPr>
        <w:tabs>
          <w:tab w:val="left" w:pos="567"/>
        </w:tabs>
        <w:autoSpaceDE w:val="0"/>
        <w:autoSpaceDN w:val="0"/>
        <w:adjustRightInd w:val="0"/>
        <w:spacing w:before="120" w:after="120" w:line="240" w:lineRule="auto"/>
        <w:ind w:left="0" w:firstLine="0"/>
        <w:jc w:val="both"/>
        <w:textAlignment w:val="baseline"/>
        <w:rPr>
          <w:rFonts w:ascii="Verdana" w:eastAsia="Calibri" w:hAnsi="Verdana" w:cs="Times New Roman"/>
          <w:sz w:val="20"/>
          <w:szCs w:val="20"/>
        </w:rPr>
      </w:pPr>
      <w:r w:rsidRPr="00813B72">
        <w:rPr>
          <w:rFonts w:ascii="Verdana" w:hAnsi="Verdana"/>
          <w:sz w:val="20"/>
          <w:szCs w:val="20"/>
        </w:rPr>
        <w:t xml:space="preserve">En vista de determinados alegatos del Estado en el sentido de que </w:t>
      </w:r>
      <w:r w:rsidRPr="00813B72">
        <w:rPr>
          <w:rFonts w:ascii="Verdana" w:hAnsi="Verdana" w:cs="Times New Roman"/>
          <w:sz w:val="20"/>
          <w:szCs w:val="20"/>
        </w:rPr>
        <w:t>“no hay prueba directa ni indicios sólidos para atribuirle la desaparición”</w:t>
      </w:r>
      <w:r w:rsidRPr="00813B72">
        <w:rPr>
          <w:rFonts w:ascii="Verdana" w:eastAsia="Times New Roman" w:hAnsi="Verdana" w:cs="Times New Roman"/>
          <w:sz w:val="20"/>
          <w:szCs w:val="20"/>
          <w:lang w:val="es-ES"/>
        </w:rPr>
        <w:t xml:space="preserve"> </w:t>
      </w:r>
      <w:r w:rsidRPr="00813B72">
        <w:rPr>
          <w:rFonts w:ascii="Verdana" w:hAnsi="Verdana" w:cs="Times New Roman"/>
          <w:sz w:val="20"/>
          <w:szCs w:val="20"/>
        </w:rPr>
        <w:t xml:space="preserve">de las presuntas víctimas del caso concreto </w:t>
      </w:r>
      <w:r w:rsidRPr="00813B72">
        <w:rPr>
          <w:rFonts w:ascii="Verdana" w:eastAsia="Times New Roman" w:hAnsi="Verdana" w:cs="Times New Roman"/>
          <w:sz w:val="20"/>
          <w:szCs w:val="20"/>
          <w:lang w:val="es-ES"/>
        </w:rPr>
        <w:t>(</w:t>
      </w:r>
      <w:r w:rsidRPr="00813B72">
        <w:rPr>
          <w:rFonts w:ascii="Verdana" w:eastAsia="Times New Roman" w:hAnsi="Verdana" w:cs="Times New Roman"/>
          <w:i/>
          <w:sz w:val="20"/>
          <w:szCs w:val="20"/>
          <w:lang w:val="es-ES"/>
        </w:rPr>
        <w:t xml:space="preserve">supra </w:t>
      </w:r>
      <w:r w:rsidRPr="00813B72">
        <w:rPr>
          <w:rFonts w:ascii="Verdana" w:eastAsia="Times New Roman" w:hAnsi="Verdana" w:cs="Times New Roman"/>
          <w:sz w:val="20"/>
          <w:szCs w:val="20"/>
          <w:lang w:val="es-ES"/>
        </w:rPr>
        <w:t xml:space="preserve">párr. </w:t>
      </w:r>
      <w:r w:rsidR="004E691C">
        <w:rPr>
          <w:rFonts w:ascii="Verdana" w:eastAsia="Times New Roman" w:hAnsi="Verdana" w:cs="Times New Roman"/>
          <w:sz w:val="20"/>
          <w:szCs w:val="20"/>
          <w:lang w:val="es-ES"/>
        </w:rPr>
        <w:t>162</w:t>
      </w:r>
      <w:r w:rsidRPr="00813B72">
        <w:rPr>
          <w:rFonts w:ascii="Verdana" w:eastAsia="Times New Roman" w:hAnsi="Verdana" w:cs="Times New Roman"/>
          <w:sz w:val="20"/>
          <w:szCs w:val="20"/>
          <w:lang w:val="es-ES"/>
        </w:rPr>
        <w:t>), e</w:t>
      </w:r>
      <w:r w:rsidRPr="00813B72">
        <w:rPr>
          <w:rFonts w:ascii="Verdana" w:hAnsi="Verdana"/>
          <w:sz w:val="20"/>
          <w:szCs w:val="20"/>
        </w:rPr>
        <w:t xml:space="preserve">l Tribunal estima pertinente recordar su jurisprudencia respecto a los criterios aplicables a la valoración de la prueba en casos como el presente. </w:t>
      </w:r>
    </w:p>
    <w:p w14:paraId="64AA5FE8" w14:textId="23513C90" w:rsidR="002E1C85" w:rsidRPr="00813B72" w:rsidRDefault="002E1C85" w:rsidP="00DB378B">
      <w:pPr>
        <w:widowControl w:val="0"/>
        <w:numPr>
          <w:ilvl w:val="0"/>
          <w:numId w:val="4"/>
        </w:numPr>
        <w:tabs>
          <w:tab w:val="left" w:pos="567"/>
        </w:tabs>
        <w:autoSpaceDE w:val="0"/>
        <w:autoSpaceDN w:val="0"/>
        <w:adjustRightInd w:val="0"/>
        <w:spacing w:before="120" w:after="120" w:line="240" w:lineRule="auto"/>
        <w:ind w:left="0" w:firstLine="0"/>
        <w:jc w:val="both"/>
        <w:textAlignment w:val="baseline"/>
        <w:rPr>
          <w:rFonts w:ascii="Verdana" w:eastAsia="Calibri" w:hAnsi="Verdana" w:cs="Times New Roman"/>
          <w:sz w:val="20"/>
          <w:szCs w:val="20"/>
        </w:rPr>
      </w:pPr>
      <w:r w:rsidRPr="00813B72">
        <w:rPr>
          <w:rFonts w:ascii="Verdana" w:hAnsi="Verdana"/>
          <w:sz w:val="20"/>
          <w:szCs w:val="20"/>
        </w:rPr>
        <w:t xml:space="preserve">Sobre este punto, la Corte ha establecido de manera constante, desde su primer caso contencioso, que para un tribunal internacional los criterios de valoración de la prueba son menos rígidos que en los sistemas legales internos y ha sostenido que puede evaluar libremente las pruebas. Por tanto, la jurisdicción internacional de los derechos humanos no debe confundirse con la jurisdicción penal, ya que los Estados no comparecen ante la Corte como sujetos de acción penal, por lo que para efectos de establecer que se ha producido una violación de los derechos consagrados en la Convención no es requisito que se pruebe, como sucede en el derecho penal interno, la responsabilidad del Estado más allá de toda duda razonable ni que se identifique individualmente a los agentes a quienes se atribuyen los hechos violatorios, sino que </w:t>
      </w:r>
      <w:r w:rsidRPr="00813B72">
        <w:rPr>
          <w:rFonts w:ascii="Verdana" w:hAnsi="Verdana"/>
          <w:sz w:val="20"/>
          <w:szCs w:val="20"/>
        </w:rPr>
        <w:lastRenderedPageBreak/>
        <w:t>es suficiente demostrar que se han verificado acciones u omisiones que hayan permitido la perpetración de esas violaciones o que exista una obligación del Estado que haya sido incumplida por éste</w:t>
      </w:r>
      <w:r w:rsidRPr="00813B72">
        <w:rPr>
          <w:rStyle w:val="FootnoteReference"/>
          <w:rFonts w:ascii="Verdana" w:hAnsi="Verdana"/>
          <w:sz w:val="20"/>
          <w:szCs w:val="20"/>
        </w:rPr>
        <w:footnoteReference w:id="384"/>
      </w:r>
      <w:r w:rsidRPr="00813B72">
        <w:rPr>
          <w:rFonts w:ascii="Verdana" w:hAnsi="Verdana"/>
          <w:sz w:val="20"/>
          <w:szCs w:val="20"/>
        </w:rPr>
        <w:t>.</w:t>
      </w:r>
    </w:p>
    <w:p w14:paraId="64AA5FEC" w14:textId="68AC2090" w:rsidR="002E1C85" w:rsidRPr="00813B72" w:rsidRDefault="002E1C85" w:rsidP="00DB378B">
      <w:pPr>
        <w:widowControl w:val="0"/>
        <w:numPr>
          <w:ilvl w:val="0"/>
          <w:numId w:val="4"/>
        </w:numPr>
        <w:tabs>
          <w:tab w:val="left" w:pos="567"/>
        </w:tabs>
        <w:autoSpaceDE w:val="0"/>
        <w:autoSpaceDN w:val="0"/>
        <w:adjustRightInd w:val="0"/>
        <w:spacing w:before="120" w:after="120" w:line="240" w:lineRule="auto"/>
        <w:ind w:left="0" w:firstLine="0"/>
        <w:jc w:val="both"/>
        <w:textAlignment w:val="baseline"/>
        <w:rPr>
          <w:rFonts w:ascii="Verdana" w:hAnsi="Verdana"/>
          <w:sz w:val="20"/>
          <w:szCs w:val="20"/>
        </w:rPr>
      </w:pPr>
      <w:r w:rsidRPr="00813B72">
        <w:rPr>
          <w:rFonts w:ascii="Verdana" w:hAnsi="Verdana"/>
          <w:sz w:val="20"/>
          <w:szCs w:val="20"/>
        </w:rPr>
        <w:t>Por otra parte, el Tribunal reitera, como lo ha hecho en casos anteriores, que debe aplicar una valoración de la prueba que tenga en cuenta la gravedad de la atribución de responsabilidad internacional a un Estado y que, sin perjuicio de ello, sea capaz de crear la convicción de la verdad de los hechos alegados</w:t>
      </w:r>
      <w:r w:rsidRPr="00813B72">
        <w:rPr>
          <w:rStyle w:val="FootnoteReference"/>
          <w:rFonts w:ascii="Verdana" w:hAnsi="Verdana"/>
          <w:sz w:val="20"/>
          <w:szCs w:val="20"/>
        </w:rPr>
        <w:footnoteReference w:id="385"/>
      </w:r>
      <w:r w:rsidRPr="00813B72">
        <w:rPr>
          <w:rFonts w:ascii="Verdana" w:hAnsi="Verdana"/>
          <w:sz w:val="20"/>
          <w:szCs w:val="20"/>
        </w:rPr>
        <w:t>, máxime la naturaleza de los bienes jurídicos protegidos sobre los que recae el esclarecimiento de estos hechos. Para ello, en los casos de desaparición forzada de personas es legítimo y resulta de especial importancia el uso de la prueba circunstancial, los indicios y las presunciones para demostrar la concurrencia de cualquiera de los elementos de la desaparición forzada, ya que esta forma específica de violación se caracteriza por procurar la supresión de todo elemento que permita comprobar la detención, el paradero y la suerte de las víctimas</w:t>
      </w:r>
      <w:r w:rsidRPr="00813B72">
        <w:rPr>
          <w:rStyle w:val="FootnoteReference"/>
          <w:rFonts w:ascii="Verdana" w:hAnsi="Verdana"/>
          <w:sz w:val="20"/>
          <w:szCs w:val="20"/>
        </w:rPr>
        <w:footnoteReference w:id="386"/>
      </w:r>
      <w:r w:rsidRPr="00813B72">
        <w:rPr>
          <w:rFonts w:ascii="Verdana" w:hAnsi="Verdana"/>
          <w:sz w:val="20"/>
          <w:szCs w:val="20"/>
        </w:rPr>
        <w:t>. En concordancia con este criterio, la Corte atribuye un alto valor probatorio a las declaraciones de los testigos, dentro del contexto y de las circunstancias de un caso de desaparición forzada, con todas las dificultades que de ésta se derivan, donde los medios de prueba son esencialmente testimonios indirectos y circunstanciales en razón de la propia naturaleza de este delito, sumadas a inferencias lógicas pertinentes</w:t>
      </w:r>
      <w:r w:rsidRPr="00813B72">
        <w:rPr>
          <w:rStyle w:val="FootnoteReference"/>
          <w:rFonts w:ascii="Verdana" w:hAnsi="Verdana"/>
          <w:sz w:val="20"/>
          <w:szCs w:val="20"/>
        </w:rPr>
        <w:footnoteReference w:id="387"/>
      </w:r>
      <w:r w:rsidRPr="00813B72">
        <w:rPr>
          <w:rFonts w:ascii="Verdana" w:hAnsi="Verdana"/>
          <w:sz w:val="20"/>
          <w:szCs w:val="20"/>
        </w:rPr>
        <w:t>, así como su vinculación a una práctica general de desapariciones</w:t>
      </w:r>
      <w:r w:rsidRPr="00813B72">
        <w:rPr>
          <w:rStyle w:val="FootnoteReference"/>
          <w:rFonts w:ascii="Verdana" w:hAnsi="Verdana"/>
          <w:sz w:val="20"/>
          <w:szCs w:val="20"/>
        </w:rPr>
        <w:footnoteReference w:id="388"/>
      </w:r>
      <w:r w:rsidRPr="00813B72">
        <w:rPr>
          <w:rFonts w:ascii="Verdana" w:hAnsi="Verdana"/>
          <w:sz w:val="20"/>
          <w:szCs w:val="20"/>
        </w:rPr>
        <w:t>.</w:t>
      </w:r>
    </w:p>
    <w:p w14:paraId="64AA5FEE" w14:textId="792AFD64" w:rsidR="002E1C85" w:rsidRPr="00813B72" w:rsidRDefault="002E1C85" w:rsidP="00DB378B">
      <w:pPr>
        <w:widowControl w:val="0"/>
        <w:numPr>
          <w:ilvl w:val="0"/>
          <w:numId w:val="4"/>
        </w:numPr>
        <w:tabs>
          <w:tab w:val="left" w:pos="567"/>
        </w:tabs>
        <w:autoSpaceDE w:val="0"/>
        <w:autoSpaceDN w:val="0"/>
        <w:adjustRightInd w:val="0"/>
        <w:spacing w:before="120" w:after="120" w:line="240" w:lineRule="auto"/>
        <w:ind w:left="0" w:firstLine="0"/>
        <w:jc w:val="both"/>
        <w:textAlignment w:val="baseline"/>
        <w:rPr>
          <w:rFonts w:ascii="Verdana" w:hAnsi="Verdana"/>
          <w:sz w:val="20"/>
          <w:szCs w:val="20"/>
          <w:lang w:val="es-AR"/>
        </w:rPr>
      </w:pPr>
      <w:r w:rsidRPr="00813B72">
        <w:rPr>
          <w:rFonts w:ascii="Verdana" w:hAnsi="Verdana"/>
          <w:sz w:val="20"/>
          <w:szCs w:val="20"/>
          <w:lang w:val="es-AR"/>
        </w:rPr>
        <w:t>En este sentido, l</w:t>
      </w:r>
      <w:r w:rsidRPr="00813B72">
        <w:rPr>
          <w:rFonts w:ascii="Verdana" w:hAnsi="Verdana"/>
          <w:sz w:val="20"/>
          <w:szCs w:val="20"/>
          <w:lang w:val="es-CR"/>
        </w:rPr>
        <w:t xml:space="preserve">a Corte ha señalado que aunque exista un contexto </w:t>
      </w:r>
      <w:r w:rsidRPr="00813B72">
        <w:rPr>
          <w:rFonts w:ascii="Verdana" w:hAnsi="Verdana"/>
          <w:sz w:val="20"/>
          <w:szCs w:val="20"/>
          <w:lang w:val="es-ES"/>
        </w:rPr>
        <w:t xml:space="preserve">de práctica sistemática y generalizada de desaparición forzada, para la determinación de la ocurrencia de una desaparición forzada se requiere la existencia de otros elementos que permitan corroborar que la persona fue privada de su libertad con la participación de agentes estatales o por particulares que actuaran </w:t>
      </w:r>
      <w:r w:rsidRPr="00813B72">
        <w:rPr>
          <w:rFonts w:ascii="Verdana" w:hAnsi="Verdana"/>
          <w:sz w:val="20"/>
          <w:szCs w:val="20"/>
          <w:lang w:val="es-CR"/>
        </w:rPr>
        <w:t>con la autorización, el apoyo o la aquiescencia del Estado. Así, este Tribunal ha determinado que “</w:t>
      </w:r>
      <w:r w:rsidRPr="00813B72">
        <w:rPr>
          <w:rFonts w:ascii="Verdana" w:eastAsia="Verdana" w:hAnsi="Verdana" w:cs="Verdana"/>
          <w:sz w:val="20"/>
          <w:szCs w:val="20"/>
          <w:highlight w:val="white"/>
          <w:lang w:val="es-CR"/>
        </w:rPr>
        <w:t>la sola comprobación de la práctica de desapariciones no basta, en ausencia de toda otra prueba, aún circunstancial o indirecta, para demostrar que una persona cuyo paradero se desconoce fue víctima de ella</w:t>
      </w:r>
      <w:r w:rsidRPr="00813B72">
        <w:rPr>
          <w:rFonts w:ascii="Verdana" w:eastAsia="Verdana" w:hAnsi="Verdana" w:cs="Verdana"/>
          <w:sz w:val="20"/>
          <w:szCs w:val="20"/>
          <w:lang w:val="es-CR"/>
        </w:rPr>
        <w:t>”</w:t>
      </w:r>
      <w:r w:rsidRPr="00813B72">
        <w:rPr>
          <w:rFonts w:ascii="Verdana" w:eastAsia="Verdana" w:hAnsi="Verdana" w:cs="Verdana"/>
          <w:sz w:val="20"/>
          <w:szCs w:val="20"/>
          <w:vertAlign w:val="superscript"/>
          <w:lang w:val="es-CR"/>
        </w:rPr>
        <w:footnoteReference w:id="389"/>
      </w:r>
      <w:r w:rsidRPr="00813B72">
        <w:rPr>
          <w:rFonts w:ascii="Verdana" w:eastAsia="Verdana" w:hAnsi="Verdana" w:cs="Verdana"/>
          <w:sz w:val="20"/>
          <w:szCs w:val="20"/>
          <w:lang w:val="es-CR"/>
        </w:rPr>
        <w:t>.</w:t>
      </w:r>
    </w:p>
    <w:p w14:paraId="64AA5FF0" w14:textId="6A38360F" w:rsidR="002E1C85" w:rsidRPr="00C90B3F" w:rsidRDefault="002E1C85" w:rsidP="00DB378B">
      <w:pPr>
        <w:widowControl w:val="0"/>
        <w:numPr>
          <w:ilvl w:val="0"/>
          <w:numId w:val="4"/>
        </w:numPr>
        <w:tabs>
          <w:tab w:val="left" w:pos="567"/>
        </w:tabs>
        <w:autoSpaceDE w:val="0"/>
        <w:autoSpaceDN w:val="0"/>
        <w:adjustRightInd w:val="0"/>
        <w:spacing w:before="120" w:after="120" w:line="240" w:lineRule="auto"/>
        <w:ind w:left="0" w:firstLine="0"/>
        <w:jc w:val="both"/>
        <w:textAlignment w:val="baseline"/>
        <w:rPr>
          <w:rFonts w:ascii="Verdana" w:hAnsi="Verdana"/>
          <w:sz w:val="20"/>
          <w:szCs w:val="20"/>
        </w:rPr>
      </w:pPr>
      <w:r w:rsidRPr="00813B72">
        <w:rPr>
          <w:rFonts w:ascii="Verdana" w:hAnsi="Verdana"/>
          <w:sz w:val="20"/>
          <w:szCs w:val="20"/>
        </w:rPr>
        <w:t xml:space="preserve">En virtud de lo anterior, a continuación el Tribunal determinará con base en los distintos elementos de prueba a la luz de los aspectos controvertidos por las partes y la Comisión si se satisfacen los elementos constitutivos de la desaparición forzada en el caso concreto. </w:t>
      </w:r>
      <w:r w:rsidR="000B786A" w:rsidRPr="00C90B3F">
        <w:rPr>
          <w:rFonts w:ascii="Verdana" w:hAnsi="Verdana"/>
          <w:sz w:val="20"/>
          <w:szCs w:val="20"/>
        </w:rPr>
        <w:t xml:space="preserve">A saber: a) </w:t>
      </w:r>
      <w:r w:rsidR="000B786A">
        <w:rPr>
          <w:rFonts w:ascii="Verdana" w:hAnsi="Verdana"/>
          <w:sz w:val="20"/>
          <w:szCs w:val="20"/>
        </w:rPr>
        <w:t>l</w:t>
      </w:r>
      <w:r w:rsidR="000B786A" w:rsidRPr="00C90B3F">
        <w:rPr>
          <w:rFonts w:ascii="Verdana" w:hAnsi="Verdana"/>
          <w:sz w:val="20"/>
          <w:szCs w:val="20"/>
        </w:rPr>
        <w:t xml:space="preserve">a privación de la libertad; b) la intervención o aquiescencia de agentes estatales en los hechos, y c) la negativa de reconocer la detención o falta de proveer información y de revelar la suerte o el paradero de la persona interesada, para luego arribar a la conclusión general. </w:t>
      </w:r>
    </w:p>
    <w:p w14:paraId="64AA5FF2" w14:textId="1812543E" w:rsidR="002E1C85" w:rsidRPr="00C90B3F" w:rsidRDefault="00E34BFF">
      <w:pPr>
        <w:pStyle w:val="Heading3"/>
        <w:numPr>
          <w:ilvl w:val="0"/>
          <w:numId w:val="40"/>
        </w:numPr>
        <w:spacing w:before="120" w:after="120"/>
        <w:ind w:left="1560" w:hanging="426"/>
        <w:contextualSpacing w:val="0"/>
        <w:rPr>
          <w:b w:val="0"/>
        </w:rPr>
      </w:pPr>
      <w:bookmarkStart w:id="195" w:name="_Toc526783786"/>
      <w:r>
        <w:rPr>
          <w:b w:val="0"/>
        </w:rPr>
        <w:t xml:space="preserve"> </w:t>
      </w:r>
      <w:bookmarkStart w:id="196" w:name="_Toc532995365"/>
      <w:r w:rsidR="002E1C85" w:rsidRPr="00C90B3F">
        <w:rPr>
          <w:b w:val="0"/>
        </w:rPr>
        <w:t>Sobre las desapariciones forzadas en el presente caso</w:t>
      </w:r>
      <w:bookmarkEnd w:id="195"/>
      <w:bookmarkEnd w:id="196"/>
      <w:r w:rsidR="002E1C85" w:rsidRPr="00C90B3F">
        <w:rPr>
          <w:b w:val="0"/>
        </w:rPr>
        <w:t xml:space="preserve"> </w:t>
      </w:r>
    </w:p>
    <w:p w14:paraId="64AA5FF4" w14:textId="2D7981CE" w:rsidR="002E1C85" w:rsidRPr="0057411A" w:rsidRDefault="00556FDB">
      <w:pPr>
        <w:pStyle w:val="Heading4"/>
        <w:numPr>
          <w:ilvl w:val="0"/>
          <w:numId w:val="64"/>
        </w:numPr>
        <w:spacing w:before="120" w:after="120"/>
        <w:contextualSpacing w:val="0"/>
        <w:rPr>
          <w:u w:val="none"/>
        </w:rPr>
      </w:pPr>
      <w:r>
        <w:rPr>
          <w:u w:val="none"/>
        </w:rPr>
        <w:t xml:space="preserve"> </w:t>
      </w:r>
      <w:bookmarkStart w:id="197" w:name="_Toc532995366"/>
      <w:r w:rsidR="002E1C85" w:rsidRPr="0057411A">
        <w:rPr>
          <w:u w:val="none"/>
        </w:rPr>
        <w:t>La privación de la libertad de las tres presuntas víctimas</w:t>
      </w:r>
      <w:bookmarkEnd w:id="197"/>
      <w:r w:rsidR="002E1C85" w:rsidRPr="0057411A">
        <w:rPr>
          <w:u w:val="none"/>
        </w:rPr>
        <w:t xml:space="preserve"> </w:t>
      </w:r>
    </w:p>
    <w:p w14:paraId="64AA5FF6" w14:textId="614115E7" w:rsidR="002E1C85" w:rsidRPr="00CC714A" w:rsidRDefault="002E1C85" w:rsidP="00DB378B">
      <w:pPr>
        <w:widowControl w:val="0"/>
        <w:numPr>
          <w:ilvl w:val="0"/>
          <w:numId w:val="4"/>
        </w:numPr>
        <w:tabs>
          <w:tab w:val="left" w:pos="567"/>
        </w:tabs>
        <w:autoSpaceDE w:val="0"/>
        <w:autoSpaceDN w:val="0"/>
        <w:adjustRightInd w:val="0"/>
        <w:spacing w:before="120" w:after="120" w:line="240" w:lineRule="auto"/>
        <w:ind w:left="0" w:firstLine="0"/>
        <w:jc w:val="both"/>
        <w:textAlignment w:val="baseline"/>
        <w:rPr>
          <w:rFonts w:ascii="Verdana" w:hAnsi="Verdana"/>
          <w:sz w:val="20"/>
          <w:szCs w:val="20"/>
        </w:rPr>
      </w:pPr>
      <w:r w:rsidRPr="009418F7">
        <w:rPr>
          <w:rFonts w:ascii="Verdana" w:hAnsi="Verdana"/>
          <w:sz w:val="20"/>
          <w:szCs w:val="20"/>
        </w:rPr>
        <w:t xml:space="preserve">La Corte recuerda que al analizar un supuesto de desaparición forzada se debe tener en cuenta que la privación de la libertad del individuo solo debe ser entendida como el inicio de la configuración de una </w:t>
      </w:r>
      <w:r w:rsidRPr="00CC714A">
        <w:rPr>
          <w:rFonts w:ascii="Verdana" w:hAnsi="Verdana"/>
          <w:sz w:val="20"/>
          <w:szCs w:val="20"/>
        </w:rPr>
        <w:t xml:space="preserve">violación compleja que se prolonga en el tiempo hasta que se conoce la </w:t>
      </w:r>
      <w:r w:rsidRPr="00CC714A">
        <w:rPr>
          <w:rFonts w:ascii="Verdana" w:hAnsi="Verdana"/>
          <w:sz w:val="20"/>
          <w:szCs w:val="20"/>
        </w:rPr>
        <w:lastRenderedPageBreak/>
        <w:t>suerte y el parad</w:t>
      </w:r>
      <w:r w:rsidRPr="00C57FCB">
        <w:rPr>
          <w:rFonts w:ascii="Verdana" w:hAnsi="Verdana"/>
          <w:sz w:val="20"/>
          <w:szCs w:val="20"/>
        </w:rPr>
        <w:t>ero de la víctima (</w:t>
      </w:r>
      <w:r w:rsidRPr="00C57FCB">
        <w:rPr>
          <w:rFonts w:ascii="Verdana" w:hAnsi="Verdana"/>
          <w:i/>
          <w:sz w:val="20"/>
          <w:szCs w:val="20"/>
        </w:rPr>
        <w:t>supra</w:t>
      </w:r>
      <w:r w:rsidRPr="009417B1">
        <w:rPr>
          <w:rFonts w:ascii="Verdana" w:hAnsi="Verdana"/>
          <w:sz w:val="20"/>
          <w:szCs w:val="20"/>
        </w:rPr>
        <w:t xml:space="preserve"> párr. </w:t>
      </w:r>
      <w:r w:rsidR="00B85007">
        <w:rPr>
          <w:rFonts w:ascii="Verdana" w:hAnsi="Verdana"/>
          <w:sz w:val="20"/>
          <w:szCs w:val="20"/>
        </w:rPr>
        <w:t>165</w:t>
      </w:r>
      <w:r w:rsidRPr="009417B1">
        <w:rPr>
          <w:rFonts w:ascii="Verdana" w:hAnsi="Verdana"/>
          <w:sz w:val="20"/>
          <w:szCs w:val="20"/>
        </w:rPr>
        <w:t>), y por tanto resulta indistinta la manera que adquiere la privación de la libertad a los fines de la caracterización de una desaparición forzada, es decir, cualquier forma de p</w:t>
      </w:r>
      <w:r w:rsidRPr="00BD656C">
        <w:rPr>
          <w:rFonts w:ascii="Verdana" w:hAnsi="Verdana"/>
          <w:sz w:val="20"/>
          <w:szCs w:val="20"/>
        </w:rPr>
        <w:t>rivación de libertad satisface este primer requisito</w:t>
      </w:r>
      <w:r w:rsidRPr="00CC714A">
        <w:rPr>
          <w:rStyle w:val="FootnoteReference"/>
          <w:rFonts w:ascii="Verdana" w:hAnsi="Verdana"/>
          <w:sz w:val="20"/>
          <w:szCs w:val="20"/>
        </w:rPr>
        <w:footnoteReference w:id="390"/>
      </w:r>
      <w:r w:rsidRPr="00CC714A">
        <w:rPr>
          <w:rFonts w:ascii="Verdana" w:hAnsi="Verdana"/>
          <w:sz w:val="20"/>
          <w:szCs w:val="20"/>
        </w:rPr>
        <w:t>. Sobre este particular, el Grupo de Trabajo sobre las Desapariciones Forzadas e Involuntarias de Personas [GTDFI] de la ONU ha aclarado que “la desaparición forzada puede iniciarse con una detención ilegal o con un arresto o detención inicialment</w:t>
      </w:r>
      <w:r w:rsidRPr="00C57FCB">
        <w:rPr>
          <w:rFonts w:ascii="Verdana" w:hAnsi="Verdana"/>
          <w:sz w:val="20"/>
          <w:szCs w:val="20"/>
        </w:rPr>
        <w:t>e legal</w:t>
      </w:r>
      <w:r w:rsidR="008D1C67">
        <w:rPr>
          <w:rFonts w:ascii="Verdana" w:hAnsi="Verdana"/>
          <w:sz w:val="20"/>
          <w:szCs w:val="20"/>
        </w:rPr>
        <w:t>”</w:t>
      </w:r>
      <w:r w:rsidRPr="00C57FCB">
        <w:rPr>
          <w:rFonts w:ascii="Verdana" w:hAnsi="Verdana"/>
          <w:sz w:val="20"/>
          <w:szCs w:val="20"/>
        </w:rPr>
        <w:t>,</w:t>
      </w:r>
      <w:r w:rsidR="00EE7C7E" w:rsidRPr="00C57FCB">
        <w:rPr>
          <w:rFonts w:ascii="Verdana" w:hAnsi="Verdana"/>
          <w:sz w:val="20"/>
          <w:szCs w:val="20"/>
        </w:rPr>
        <w:t xml:space="preserve"> </w:t>
      </w:r>
      <w:r w:rsidRPr="009417B1">
        <w:rPr>
          <w:rFonts w:ascii="Verdana" w:hAnsi="Verdana"/>
          <w:sz w:val="20"/>
          <w:szCs w:val="20"/>
        </w:rPr>
        <w:t>criterio que ha sido recogido en casos precedentes por este Tribunal</w:t>
      </w:r>
      <w:r w:rsidRPr="00CC714A">
        <w:rPr>
          <w:rStyle w:val="FootnoteReference"/>
          <w:rFonts w:ascii="Verdana" w:hAnsi="Verdana"/>
          <w:sz w:val="20"/>
          <w:szCs w:val="20"/>
        </w:rPr>
        <w:footnoteReference w:id="391"/>
      </w:r>
      <w:r w:rsidRPr="00CC714A">
        <w:rPr>
          <w:rFonts w:ascii="Verdana" w:hAnsi="Verdana"/>
          <w:sz w:val="20"/>
          <w:szCs w:val="20"/>
        </w:rPr>
        <w:t xml:space="preserve">.  </w:t>
      </w:r>
    </w:p>
    <w:p w14:paraId="64AA5FF8" w14:textId="1B1137A0" w:rsidR="002E1C85" w:rsidRPr="009418F7" w:rsidRDefault="002E1C85" w:rsidP="00DB378B">
      <w:pPr>
        <w:widowControl w:val="0"/>
        <w:numPr>
          <w:ilvl w:val="0"/>
          <w:numId w:val="4"/>
        </w:numPr>
        <w:tabs>
          <w:tab w:val="left" w:pos="567"/>
        </w:tabs>
        <w:autoSpaceDE w:val="0"/>
        <w:autoSpaceDN w:val="0"/>
        <w:adjustRightInd w:val="0"/>
        <w:spacing w:before="120" w:after="120" w:line="240" w:lineRule="auto"/>
        <w:ind w:left="0" w:firstLine="0"/>
        <w:jc w:val="both"/>
        <w:textAlignment w:val="baseline"/>
        <w:rPr>
          <w:rFonts w:ascii="Verdana" w:hAnsi="Verdana"/>
          <w:sz w:val="20"/>
          <w:szCs w:val="20"/>
        </w:rPr>
      </w:pPr>
      <w:r w:rsidRPr="00C57FCB">
        <w:rPr>
          <w:rFonts w:ascii="Verdana" w:hAnsi="Verdana"/>
          <w:sz w:val="20"/>
          <w:szCs w:val="20"/>
        </w:rPr>
        <w:t>En este sentido, a la luz de las manifestaciones de las partes y de la Comisión, del reconocimiento expreso del Estado y de lo est</w:t>
      </w:r>
      <w:r w:rsidRPr="009417B1">
        <w:rPr>
          <w:rFonts w:ascii="Verdana" w:hAnsi="Verdana"/>
          <w:sz w:val="20"/>
          <w:szCs w:val="20"/>
        </w:rPr>
        <w:t xml:space="preserve">ablecido en el capítulo de hechos, la Corte considera suficientemente acreditado que el 29 de diciembre de 2009 las presuntas víctimas fueron privadas de la libertad en el Ejido Benito Juárez por un grupo de sujetos que portaban armamento y vestimenta con </w:t>
      </w:r>
      <w:r w:rsidRPr="00BD656C">
        <w:rPr>
          <w:rFonts w:ascii="Verdana" w:hAnsi="Verdana"/>
          <w:sz w:val="20"/>
          <w:szCs w:val="20"/>
        </w:rPr>
        <w:t>características militares y viajaban en dos camionetas particulares, quienes perpetraron en un primer momento las detenciones de Nitza Paola y José Ángel Alvarado, para posteriormente trasladarse al domicilio de Rocío Irene Alvarado y privarla de su libert</w:t>
      </w:r>
      <w:r w:rsidRPr="009418F7">
        <w:rPr>
          <w:rFonts w:ascii="Verdana" w:hAnsi="Verdana"/>
          <w:sz w:val="20"/>
          <w:szCs w:val="20"/>
        </w:rPr>
        <w:t>ad, tras lo cual huyeron con rumbo desconocido (</w:t>
      </w:r>
      <w:r w:rsidRPr="009418F7">
        <w:rPr>
          <w:rFonts w:ascii="Verdana" w:hAnsi="Verdana"/>
          <w:i/>
          <w:sz w:val="20"/>
          <w:szCs w:val="20"/>
        </w:rPr>
        <w:t>supra</w:t>
      </w:r>
      <w:r w:rsidRPr="009418F7">
        <w:rPr>
          <w:rFonts w:ascii="Verdana" w:hAnsi="Verdana"/>
          <w:sz w:val="20"/>
          <w:szCs w:val="20"/>
        </w:rPr>
        <w:t xml:space="preserve"> párrs. </w:t>
      </w:r>
      <w:r w:rsidR="00500F81">
        <w:rPr>
          <w:rFonts w:ascii="Verdana" w:hAnsi="Verdana"/>
          <w:sz w:val="20"/>
          <w:szCs w:val="20"/>
        </w:rPr>
        <w:t>80 a 85</w:t>
      </w:r>
      <w:r w:rsidRPr="009418F7">
        <w:rPr>
          <w:rFonts w:ascii="Verdana" w:hAnsi="Verdana"/>
          <w:sz w:val="20"/>
          <w:szCs w:val="20"/>
        </w:rPr>
        <w:t>). En consecuencia, el Tribunal considera satisfecho el primer requisito exigido para el inicio de la configuración de este grave ilícito internacional.</w:t>
      </w:r>
    </w:p>
    <w:p w14:paraId="64AA5FFA" w14:textId="276D88D9" w:rsidR="002E1C85" w:rsidRPr="0057411A" w:rsidRDefault="00556FDB">
      <w:pPr>
        <w:pStyle w:val="Heading4"/>
        <w:numPr>
          <w:ilvl w:val="0"/>
          <w:numId w:val="64"/>
        </w:numPr>
        <w:spacing w:before="120" w:after="120"/>
        <w:contextualSpacing w:val="0"/>
        <w:rPr>
          <w:u w:val="none"/>
        </w:rPr>
      </w:pPr>
      <w:r>
        <w:rPr>
          <w:u w:val="none"/>
        </w:rPr>
        <w:t xml:space="preserve"> </w:t>
      </w:r>
      <w:bookmarkStart w:id="198" w:name="_Toc532995367"/>
      <w:r w:rsidR="002E1C85" w:rsidRPr="0057411A">
        <w:rPr>
          <w:u w:val="none"/>
        </w:rPr>
        <w:t>La intervención o aquiescencia de agentes estatales en los hechos</w:t>
      </w:r>
      <w:bookmarkEnd w:id="198"/>
      <w:r w:rsidR="002E1C85" w:rsidRPr="0057411A">
        <w:rPr>
          <w:u w:val="none"/>
        </w:rPr>
        <w:t xml:space="preserve">  </w:t>
      </w:r>
    </w:p>
    <w:p w14:paraId="622F468B" w14:textId="772E0511" w:rsidR="000B786A" w:rsidRPr="00171268" w:rsidRDefault="002E1C85" w:rsidP="00DB378B">
      <w:pPr>
        <w:widowControl w:val="0"/>
        <w:numPr>
          <w:ilvl w:val="0"/>
          <w:numId w:val="4"/>
        </w:numPr>
        <w:tabs>
          <w:tab w:val="left" w:pos="567"/>
        </w:tabs>
        <w:autoSpaceDE w:val="0"/>
        <w:autoSpaceDN w:val="0"/>
        <w:adjustRightInd w:val="0"/>
        <w:spacing w:before="120" w:after="120" w:line="240" w:lineRule="auto"/>
        <w:ind w:left="0" w:firstLine="0"/>
        <w:jc w:val="both"/>
        <w:textAlignment w:val="baseline"/>
        <w:rPr>
          <w:rFonts w:ascii="Verdana" w:hAnsi="Verdana"/>
          <w:sz w:val="20"/>
          <w:szCs w:val="20"/>
        </w:rPr>
      </w:pPr>
      <w:r w:rsidRPr="009418F7">
        <w:rPr>
          <w:rFonts w:ascii="Verdana" w:hAnsi="Verdana"/>
          <w:sz w:val="20"/>
          <w:szCs w:val="20"/>
        </w:rPr>
        <w:t xml:space="preserve">Corresponde al Tribunal abordar los aspectos que en el presente caso se mantienen controvertidos y determinar si se acredita la responsabilidad estatal en las </w:t>
      </w:r>
      <w:r w:rsidR="00265E6C" w:rsidRPr="009418F7">
        <w:rPr>
          <w:rFonts w:ascii="Verdana" w:hAnsi="Verdana"/>
          <w:sz w:val="20"/>
          <w:szCs w:val="20"/>
        </w:rPr>
        <w:t>alegadas</w:t>
      </w:r>
      <w:r w:rsidRPr="009418F7">
        <w:rPr>
          <w:rFonts w:ascii="Verdana" w:hAnsi="Verdana"/>
          <w:sz w:val="20"/>
          <w:szCs w:val="20"/>
        </w:rPr>
        <w:t xml:space="preserve"> desapariciones. Para este propósito, el Tribunal reitera la procedencia en utilizar prueba indiciaria y presunciones para demostrar la concurrencia de cualquiera de los elementos de la desaparición forzada (</w:t>
      </w:r>
      <w:r w:rsidRPr="009418F7">
        <w:rPr>
          <w:rFonts w:ascii="Verdana" w:hAnsi="Verdana"/>
          <w:i/>
          <w:sz w:val="20"/>
          <w:szCs w:val="20"/>
        </w:rPr>
        <w:t xml:space="preserve">supra </w:t>
      </w:r>
      <w:r w:rsidRPr="009418F7">
        <w:rPr>
          <w:rFonts w:ascii="Verdana" w:hAnsi="Verdana"/>
          <w:sz w:val="20"/>
          <w:szCs w:val="20"/>
        </w:rPr>
        <w:t xml:space="preserve">párr. </w:t>
      </w:r>
      <w:r w:rsidR="000D3ED4">
        <w:rPr>
          <w:rFonts w:ascii="Verdana" w:hAnsi="Verdana"/>
          <w:sz w:val="20"/>
          <w:szCs w:val="20"/>
        </w:rPr>
        <w:t>169</w:t>
      </w:r>
      <w:r w:rsidRPr="009418F7">
        <w:rPr>
          <w:rFonts w:ascii="Verdana" w:hAnsi="Verdana"/>
          <w:sz w:val="20"/>
          <w:szCs w:val="20"/>
        </w:rPr>
        <w:t xml:space="preserve">). </w:t>
      </w:r>
      <w:r w:rsidR="000B786A" w:rsidRPr="000B786A">
        <w:rPr>
          <w:rFonts w:ascii="Verdana" w:hAnsi="Verdana"/>
          <w:sz w:val="20"/>
          <w:szCs w:val="20"/>
        </w:rPr>
        <w:t>Para dicho análisis, la Corte considerará: i) el contexto acreditado</w:t>
      </w:r>
      <w:r w:rsidR="000B786A" w:rsidRPr="000B786A">
        <w:rPr>
          <w:rFonts w:ascii="Verdana" w:hAnsi="Verdana"/>
          <w:sz w:val="20"/>
          <w:szCs w:val="20"/>
          <w:lang w:val="es-CR"/>
        </w:rPr>
        <w:t xml:space="preserve">; </w:t>
      </w:r>
      <w:r w:rsidR="000B786A" w:rsidRPr="00171268">
        <w:rPr>
          <w:rFonts w:ascii="Verdana" w:hAnsi="Verdana"/>
          <w:sz w:val="20"/>
          <w:szCs w:val="20"/>
        </w:rPr>
        <w:t>ii) la participación de las fuerzas armadas en labores de seguridad; iii) las declaraciones de los testigos presenciales y referenciales sobre las circunstancias que rodearon las detenciones de sus familiares</w:t>
      </w:r>
      <w:r w:rsidR="002F2492">
        <w:rPr>
          <w:rFonts w:ascii="Verdana" w:hAnsi="Verdana"/>
          <w:sz w:val="20"/>
          <w:szCs w:val="20"/>
        </w:rPr>
        <w:t>,</w:t>
      </w:r>
      <w:r w:rsidR="000B786A" w:rsidRPr="00171268">
        <w:rPr>
          <w:rFonts w:ascii="Verdana" w:hAnsi="Verdana"/>
          <w:sz w:val="20"/>
          <w:szCs w:val="20"/>
        </w:rPr>
        <w:t xml:space="preserve"> y iv) las conclusiones a la que arribaron distintos órganos y autoridades con relación a la autoría de los hechos.</w:t>
      </w:r>
    </w:p>
    <w:p w14:paraId="64AA5FFD" w14:textId="75CB48E8" w:rsidR="002E1C85" w:rsidRPr="007E592E" w:rsidRDefault="00556FDB">
      <w:pPr>
        <w:pStyle w:val="Heading5"/>
        <w:numPr>
          <w:ilvl w:val="0"/>
          <w:numId w:val="20"/>
        </w:numPr>
        <w:spacing w:before="120" w:after="120"/>
        <w:contextualSpacing w:val="0"/>
      </w:pPr>
      <w:r>
        <w:t xml:space="preserve"> </w:t>
      </w:r>
      <w:bookmarkStart w:id="199" w:name="_Toc532995368"/>
      <w:r w:rsidR="002E1C85" w:rsidRPr="005E3DBE">
        <w:t xml:space="preserve">Sobre el </w:t>
      </w:r>
      <w:r w:rsidR="002E1C85" w:rsidRPr="00AD4631">
        <w:t>contexto en que ocurrieron los hechos del caso</w:t>
      </w:r>
      <w:bookmarkEnd w:id="199"/>
    </w:p>
    <w:p w14:paraId="64AA5FFF" w14:textId="56DE3384" w:rsidR="001F1E18" w:rsidRPr="009418F7" w:rsidRDefault="0098540D" w:rsidP="00DB378B">
      <w:pPr>
        <w:widowControl w:val="0"/>
        <w:numPr>
          <w:ilvl w:val="0"/>
          <w:numId w:val="4"/>
        </w:numPr>
        <w:tabs>
          <w:tab w:val="left" w:pos="567"/>
        </w:tabs>
        <w:autoSpaceDE w:val="0"/>
        <w:autoSpaceDN w:val="0"/>
        <w:adjustRightInd w:val="0"/>
        <w:spacing w:before="120" w:after="120" w:line="240" w:lineRule="auto"/>
        <w:ind w:left="0" w:firstLine="0"/>
        <w:jc w:val="both"/>
        <w:textAlignment w:val="baseline"/>
        <w:rPr>
          <w:rFonts w:ascii="Verdana" w:hAnsi="Verdana" w:cs="Arial"/>
          <w:sz w:val="20"/>
          <w:szCs w:val="20"/>
        </w:rPr>
      </w:pPr>
      <w:r w:rsidRPr="009418F7">
        <w:rPr>
          <w:rFonts w:ascii="Verdana" w:hAnsi="Verdana"/>
          <w:sz w:val="20"/>
          <w:szCs w:val="20"/>
        </w:rPr>
        <w:t>E</w:t>
      </w:r>
      <w:r w:rsidR="002E1C85" w:rsidRPr="009418F7">
        <w:rPr>
          <w:rFonts w:ascii="Verdana" w:hAnsi="Verdana"/>
          <w:sz w:val="20"/>
          <w:szCs w:val="20"/>
        </w:rPr>
        <w:t>n el presente caso la Corte constató que en la época en que ocurrieron los hechos existía en el estado de Chihuahua un contexto de alta presencia militar, particularmente en el Ejido Benito Juárez, con motivo de la implementación del “Operativo Conjunto Chihuahua” como estrategia de respuesta estatal a la violencia criminal imperante en la zona (</w:t>
      </w:r>
      <w:r w:rsidR="002E1C85" w:rsidRPr="009418F7">
        <w:rPr>
          <w:rFonts w:ascii="Verdana" w:hAnsi="Verdana"/>
          <w:i/>
          <w:sz w:val="20"/>
          <w:szCs w:val="20"/>
        </w:rPr>
        <w:t>supra</w:t>
      </w:r>
      <w:r w:rsidR="002E1C85" w:rsidRPr="009418F7">
        <w:rPr>
          <w:rFonts w:ascii="Verdana" w:hAnsi="Verdana"/>
          <w:sz w:val="20"/>
          <w:szCs w:val="20"/>
        </w:rPr>
        <w:t xml:space="preserve"> párr. </w:t>
      </w:r>
      <w:r w:rsidR="00321DA9">
        <w:rPr>
          <w:rFonts w:ascii="Verdana" w:hAnsi="Verdana"/>
          <w:sz w:val="20"/>
          <w:szCs w:val="20"/>
        </w:rPr>
        <w:t>72</w:t>
      </w:r>
      <w:r w:rsidR="002E1C85" w:rsidRPr="009418F7">
        <w:rPr>
          <w:rFonts w:ascii="Verdana" w:hAnsi="Verdana"/>
          <w:sz w:val="20"/>
          <w:szCs w:val="20"/>
        </w:rPr>
        <w:t>)</w:t>
      </w:r>
      <w:r w:rsidR="006A3F76" w:rsidRPr="009418F7">
        <w:rPr>
          <w:rStyle w:val="FootnoteReference"/>
          <w:rFonts w:ascii="Verdana" w:hAnsi="Verdana"/>
          <w:sz w:val="20"/>
          <w:szCs w:val="20"/>
        </w:rPr>
        <w:footnoteReference w:id="392"/>
      </w:r>
      <w:r w:rsidR="002E1C85" w:rsidRPr="009418F7">
        <w:rPr>
          <w:rFonts w:ascii="Verdana" w:hAnsi="Verdana"/>
          <w:sz w:val="20"/>
          <w:szCs w:val="20"/>
        </w:rPr>
        <w:t>, así como de las acciones de búsqueda para localizar a los responsables de la muerte de tres agentes de la Policía Federal, en los q</w:t>
      </w:r>
      <w:r w:rsidR="002E1C85" w:rsidRPr="00CC714A">
        <w:rPr>
          <w:rFonts w:ascii="Verdana" w:hAnsi="Verdana"/>
          <w:sz w:val="20"/>
          <w:szCs w:val="20"/>
        </w:rPr>
        <w:t>ue el Estado atribuyó la autoría a integrantes de la delincuencia organizada (</w:t>
      </w:r>
      <w:r w:rsidR="002E1C85" w:rsidRPr="00C57FCB">
        <w:rPr>
          <w:rFonts w:ascii="Verdana" w:hAnsi="Verdana"/>
          <w:i/>
          <w:sz w:val="20"/>
          <w:szCs w:val="20"/>
        </w:rPr>
        <w:t>supra</w:t>
      </w:r>
      <w:r w:rsidR="005C780B" w:rsidRPr="00C57FCB">
        <w:rPr>
          <w:rFonts w:ascii="Verdana" w:hAnsi="Verdana"/>
          <w:i/>
          <w:sz w:val="20"/>
          <w:szCs w:val="20"/>
        </w:rPr>
        <w:t xml:space="preserve"> </w:t>
      </w:r>
      <w:r w:rsidR="002E1C85" w:rsidRPr="00C57FCB">
        <w:rPr>
          <w:rFonts w:ascii="Verdana" w:hAnsi="Verdana"/>
          <w:sz w:val="20"/>
          <w:szCs w:val="20"/>
        </w:rPr>
        <w:t>párr.</w:t>
      </w:r>
      <w:r w:rsidR="00321DA9">
        <w:rPr>
          <w:rFonts w:ascii="Verdana" w:hAnsi="Verdana"/>
          <w:sz w:val="20"/>
          <w:szCs w:val="20"/>
        </w:rPr>
        <w:t xml:space="preserve"> 73</w:t>
      </w:r>
      <w:r w:rsidR="002E1C85" w:rsidRPr="00C57FCB">
        <w:rPr>
          <w:rFonts w:ascii="Verdana" w:hAnsi="Verdana"/>
          <w:sz w:val="20"/>
          <w:szCs w:val="20"/>
        </w:rPr>
        <w:t xml:space="preserve">). En dicho contexto, los efectivos militares desplegados con este propósito asumían funciones relacionadas con el control del orden público y recurrían, entre otros métodos de investigación, a la detención </w:t>
      </w:r>
      <w:r w:rsidR="002E1C85" w:rsidRPr="009417B1">
        <w:rPr>
          <w:rFonts w:ascii="Verdana" w:hAnsi="Verdana"/>
          <w:sz w:val="20"/>
          <w:szCs w:val="20"/>
        </w:rPr>
        <w:t>de pobladores que se sospechaba se encontraban asociados con actividades delictivas y con los homicidios referidos (</w:t>
      </w:r>
      <w:r w:rsidR="002E1C85" w:rsidRPr="00BD656C">
        <w:rPr>
          <w:rFonts w:ascii="Verdana" w:hAnsi="Verdana"/>
          <w:i/>
          <w:sz w:val="20"/>
          <w:szCs w:val="20"/>
        </w:rPr>
        <w:t xml:space="preserve">supra </w:t>
      </w:r>
      <w:r w:rsidR="002E1C85" w:rsidRPr="00BD656C">
        <w:rPr>
          <w:rFonts w:ascii="Verdana" w:hAnsi="Verdana"/>
          <w:sz w:val="20"/>
          <w:szCs w:val="20"/>
        </w:rPr>
        <w:t xml:space="preserve">párr. </w:t>
      </w:r>
      <w:r w:rsidR="00321DA9">
        <w:rPr>
          <w:rFonts w:ascii="Verdana" w:hAnsi="Verdana"/>
          <w:sz w:val="20"/>
          <w:szCs w:val="20"/>
        </w:rPr>
        <w:t>73</w:t>
      </w:r>
      <w:r w:rsidR="002E1C85" w:rsidRPr="00BD656C">
        <w:rPr>
          <w:rFonts w:ascii="Verdana" w:hAnsi="Verdana"/>
          <w:sz w:val="20"/>
          <w:szCs w:val="20"/>
        </w:rPr>
        <w:t>).</w:t>
      </w:r>
      <w:r w:rsidR="004F3090" w:rsidRPr="00BD656C">
        <w:rPr>
          <w:rFonts w:ascii="Verdana" w:hAnsi="Verdana" w:cs="Times New Roman"/>
          <w:sz w:val="20"/>
          <w:szCs w:val="20"/>
        </w:rPr>
        <w:t xml:space="preserve"> </w:t>
      </w:r>
    </w:p>
    <w:p w14:paraId="64AA6003" w14:textId="7D50B0D1" w:rsidR="001F1E18" w:rsidRPr="009418F7" w:rsidRDefault="002E1C85" w:rsidP="00DB378B">
      <w:pPr>
        <w:widowControl w:val="0"/>
        <w:numPr>
          <w:ilvl w:val="0"/>
          <w:numId w:val="4"/>
        </w:numPr>
        <w:tabs>
          <w:tab w:val="left" w:pos="567"/>
        </w:tabs>
        <w:autoSpaceDE w:val="0"/>
        <w:autoSpaceDN w:val="0"/>
        <w:adjustRightInd w:val="0"/>
        <w:spacing w:before="120" w:after="120" w:line="240" w:lineRule="auto"/>
        <w:ind w:left="0" w:firstLine="0"/>
        <w:jc w:val="both"/>
        <w:textAlignment w:val="baseline"/>
        <w:rPr>
          <w:rFonts w:ascii="Verdana" w:hAnsi="Verdana"/>
          <w:sz w:val="20"/>
          <w:szCs w:val="20"/>
        </w:rPr>
      </w:pPr>
      <w:r w:rsidRPr="009418F7">
        <w:rPr>
          <w:rFonts w:ascii="Verdana" w:hAnsi="Verdana"/>
          <w:sz w:val="20"/>
          <w:szCs w:val="20"/>
        </w:rPr>
        <w:t xml:space="preserve">Al respecto, por una parte, la Corte toma nota de los argumentos del Estado con relación a la alta complejidad del contexto de violencia que sucedía en la zona, respecto de la cual requería </w:t>
      </w:r>
      <w:r w:rsidRPr="009418F7">
        <w:rPr>
          <w:rFonts w:ascii="Verdana" w:hAnsi="Verdana" w:cs="Times New Roman"/>
          <w:sz w:val="20"/>
          <w:szCs w:val="20"/>
        </w:rPr>
        <w:lastRenderedPageBreak/>
        <w:t>“la impl</w:t>
      </w:r>
      <w:r w:rsidR="00E728D7" w:rsidRPr="009418F7">
        <w:rPr>
          <w:rFonts w:ascii="Verdana" w:hAnsi="Verdana" w:cs="Times New Roman"/>
          <w:sz w:val="20"/>
          <w:szCs w:val="20"/>
        </w:rPr>
        <w:t>eme</w:t>
      </w:r>
      <w:r w:rsidRPr="009418F7">
        <w:rPr>
          <w:rFonts w:ascii="Verdana" w:hAnsi="Verdana" w:cs="Times New Roman"/>
          <w:sz w:val="20"/>
          <w:szCs w:val="20"/>
        </w:rPr>
        <w:t>ntación de acciones de seguridad y el despliegue legítimo del uso de la fuerza por parte del Estado”. No obstante, el Tribunal constata también que la implementación de las estrategias estatales de combate al crimen organizado basadas en el despliegue de efectivos militares en distintas zonas del territorio mexicano han sido materia de monitoreo constante y expresiones de alerta y preocupación por parte de distintos organismos internacionales y mecanismos especiales nacionales e internacionales (</w:t>
      </w:r>
      <w:r w:rsidRPr="009418F7">
        <w:rPr>
          <w:rFonts w:ascii="Verdana" w:hAnsi="Verdana" w:cs="Times New Roman"/>
          <w:i/>
          <w:sz w:val="20"/>
          <w:szCs w:val="20"/>
        </w:rPr>
        <w:t>supra</w:t>
      </w:r>
      <w:r w:rsidRPr="009418F7">
        <w:rPr>
          <w:rFonts w:ascii="Verdana" w:hAnsi="Verdana" w:cs="Times New Roman"/>
          <w:sz w:val="20"/>
          <w:szCs w:val="20"/>
        </w:rPr>
        <w:t xml:space="preserve"> párrs. </w:t>
      </w:r>
      <w:r w:rsidR="001442FB">
        <w:rPr>
          <w:rFonts w:ascii="Verdana" w:hAnsi="Verdana" w:cs="Times New Roman"/>
          <w:sz w:val="20"/>
          <w:szCs w:val="20"/>
        </w:rPr>
        <w:t>59 a 67</w:t>
      </w:r>
      <w:r w:rsidRPr="009418F7">
        <w:rPr>
          <w:rFonts w:ascii="Verdana" w:hAnsi="Verdana" w:cs="Times New Roman"/>
          <w:sz w:val="20"/>
          <w:szCs w:val="20"/>
        </w:rPr>
        <w:t xml:space="preserve">). Tales alertas, </w:t>
      </w:r>
      <w:r w:rsidRPr="008A3009">
        <w:rPr>
          <w:rFonts w:ascii="Verdana" w:hAnsi="Verdana" w:cs="Times New Roman"/>
          <w:sz w:val="20"/>
          <w:szCs w:val="20"/>
        </w:rPr>
        <w:t>que no fueron controvertidas</w:t>
      </w:r>
      <w:r w:rsidR="008A3009" w:rsidRPr="00AD4631">
        <w:rPr>
          <w:rFonts w:ascii="Verdana" w:hAnsi="Verdana" w:cs="Times New Roman"/>
          <w:sz w:val="20"/>
          <w:szCs w:val="20"/>
        </w:rPr>
        <w:t xml:space="preserve"> </w:t>
      </w:r>
      <w:r w:rsidRPr="00605079">
        <w:rPr>
          <w:rFonts w:ascii="Verdana" w:hAnsi="Verdana" w:cs="Times New Roman"/>
          <w:sz w:val="20"/>
          <w:szCs w:val="20"/>
        </w:rPr>
        <w:t xml:space="preserve">por el Estado </w:t>
      </w:r>
      <w:r w:rsidR="008A3009" w:rsidRPr="00AD4631">
        <w:rPr>
          <w:rFonts w:ascii="Verdana" w:hAnsi="Verdana" w:cs="Times New Roman"/>
          <w:sz w:val="20"/>
          <w:szCs w:val="20"/>
        </w:rPr>
        <w:t xml:space="preserve">mediante </w:t>
      </w:r>
      <w:r w:rsidRPr="00605079">
        <w:rPr>
          <w:rFonts w:ascii="Verdana" w:hAnsi="Verdana" w:cs="Times New Roman"/>
          <w:sz w:val="20"/>
          <w:szCs w:val="20"/>
        </w:rPr>
        <w:t xml:space="preserve">prueba </w:t>
      </w:r>
      <w:r w:rsidR="008A3009" w:rsidRPr="00AD4631">
        <w:rPr>
          <w:rFonts w:ascii="Verdana" w:hAnsi="Verdana" w:cs="Times New Roman"/>
          <w:sz w:val="20"/>
          <w:szCs w:val="20"/>
        </w:rPr>
        <w:t xml:space="preserve">que </w:t>
      </w:r>
      <w:r w:rsidRPr="00605079">
        <w:rPr>
          <w:rFonts w:ascii="Verdana" w:hAnsi="Verdana" w:cs="Times New Roman"/>
          <w:sz w:val="20"/>
          <w:szCs w:val="20"/>
        </w:rPr>
        <w:t>desvirtuar</w:t>
      </w:r>
      <w:r w:rsidR="008A3009" w:rsidRPr="00AD4631">
        <w:rPr>
          <w:rFonts w:ascii="Verdana" w:hAnsi="Verdana" w:cs="Times New Roman"/>
          <w:sz w:val="20"/>
          <w:szCs w:val="20"/>
        </w:rPr>
        <w:t>a</w:t>
      </w:r>
      <w:r w:rsidRPr="008A3009">
        <w:rPr>
          <w:rFonts w:ascii="Verdana" w:hAnsi="Verdana" w:cs="Times New Roman"/>
          <w:sz w:val="20"/>
          <w:szCs w:val="20"/>
        </w:rPr>
        <w:t xml:space="preserve"> su contenido</w:t>
      </w:r>
      <w:r w:rsidRPr="009418F7">
        <w:rPr>
          <w:rFonts w:ascii="Verdana" w:hAnsi="Verdana" w:cs="Times New Roman"/>
          <w:sz w:val="20"/>
          <w:szCs w:val="20"/>
        </w:rPr>
        <w:t xml:space="preserve">, han dado cuenta de </w:t>
      </w:r>
      <w:r w:rsidR="00884EB2" w:rsidRPr="009418F7">
        <w:rPr>
          <w:rFonts w:ascii="Verdana" w:hAnsi="Verdana" w:cs="Times New Roman"/>
          <w:sz w:val="20"/>
          <w:szCs w:val="20"/>
        </w:rPr>
        <w:t xml:space="preserve">alegadas </w:t>
      </w:r>
      <w:r w:rsidRPr="009418F7">
        <w:rPr>
          <w:rFonts w:ascii="Verdana" w:hAnsi="Verdana" w:cs="Times New Roman"/>
          <w:sz w:val="20"/>
          <w:szCs w:val="20"/>
        </w:rPr>
        <w:t>graves violaciones a los derechos humanos asociadas a la actuación de elementos castrenses en el marco de dichas estrategias, entre las cuales se encontraban desapariciones forzadas, detenciones arbitrarias y ejecuciones extrajudiciales</w:t>
      </w:r>
      <w:r w:rsidRPr="009418F7">
        <w:rPr>
          <w:rFonts w:ascii="Verdana" w:hAnsi="Verdana"/>
          <w:sz w:val="20"/>
          <w:szCs w:val="20"/>
        </w:rPr>
        <w:t>, así como la impunidad crónica, como patrones estructurales comunes en los casos en que ha sido comprobada la participación de agentes estatales</w:t>
      </w:r>
      <w:r w:rsidRPr="009418F7">
        <w:rPr>
          <w:rFonts w:ascii="Verdana" w:hAnsi="Verdana" w:cs="Times New Roman"/>
          <w:sz w:val="20"/>
          <w:szCs w:val="20"/>
        </w:rPr>
        <w:t>, constituyendo un fenómeno de especial gravedad en entidades tales como Chihuahua (</w:t>
      </w:r>
      <w:r w:rsidRPr="009418F7">
        <w:rPr>
          <w:rFonts w:ascii="Verdana" w:hAnsi="Verdana" w:cs="Times New Roman"/>
          <w:i/>
          <w:sz w:val="20"/>
          <w:szCs w:val="20"/>
        </w:rPr>
        <w:t xml:space="preserve">supra </w:t>
      </w:r>
      <w:r w:rsidRPr="009418F7">
        <w:rPr>
          <w:rFonts w:ascii="Verdana" w:hAnsi="Verdana" w:cs="Times New Roman"/>
          <w:sz w:val="20"/>
          <w:szCs w:val="20"/>
        </w:rPr>
        <w:t xml:space="preserve">párrs. </w:t>
      </w:r>
      <w:r w:rsidR="00E2037B">
        <w:rPr>
          <w:rFonts w:ascii="Verdana" w:hAnsi="Verdana" w:cs="Times New Roman"/>
          <w:sz w:val="20"/>
          <w:szCs w:val="20"/>
        </w:rPr>
        <w:t>59 a 65</w:t>
      </w:r>
      <w:r w:rsidRPr="009418F7">
        <w:rPr>
          <w:rFonts w:ascii="Verdana" w:hAnsi="Verdana" w:cs="Times New Roman"/>
          <w:sz w:val="20"/>
          <w:szCs w:val="20"/>
        </w:rPr>
        <w:t xml:space="preserve">). </w:t>
      </w:r>
      <w:r w:rsidR="00867562" w:rsidRPr="009418F7">
        <w:rPr>
          <w:rFonts w:ascii="Verdana" w:hAnsi="Verdana" w:cs="Times New Roman"/>
          <w:sz w:val="20"/>
          <w:szCs w:val="20"/>
        </w:rPr>
        <w:t xml:space="preserve">En virtud de ello, este Tribunal estima </w:t>
      </w:r>
      <w:r w:rsidR="00867562" w:rsidRPr="009418F7">
        <w:rPr>
          <w:rFonts w:ascii="Verdana" w:hAnsi="Verdana"/>
          <w:sz w:val="20"/>
          <w:szCs w:val="20"/>
        </w:rPr>
        <w:t>que el Estado no aportó prueba en contrario, más allá de sus alegaciones, que desvirtuara dicho escenario contextual. En consecuencia, se acreditó el contexto aludido, el cual constituye un elemento relevante para el análisis del presente caso.</w:t>
      </w:r>
    </w:p>
    <w:p w14:paraId="060970B4" w14:textId="562E8D5F" w:rsidR="00DA7DBA" w:rsidRPr="0036073A" w:rsidRDefault="00556FDB">
      <w:pPr>
        <w:pStyle w:val="Heading5"/>
        <w:numPr>
          <w:ilvl w:val="0"/>
          <w:numId w:val="20"/>
        </w:numPr>
        <w:spacing w:before="120" w:after="120"/>
        <w:contextualSpacing w:val="0"/>
      </w:pPr>
      <w:r>
        <w:t xml:space="preserve"> </w:t>
      </w:r>
      <w:bookmarkStart w:id="200" w:name="_Toc532995369"/>
      <w:r w:rsidR="00DA7DBA" w:rsidRPr="0036073A">
        <w:t xml:space="preserve">Sobre la participación de </w:t>
      </w:r>
      <w:r w:rsidR="003C68CF" w:rsidRPr="008D0846">
        <w:t xml:space="preserve">las </w:t>
      </w:r>
      <w:r w:rsidR="00E2037B" w:rsidRPr="0036073A">
        <w:t>F</w:t>
      </w:r>
      <w:r w:rsidR="00DA7DBA" w:rsidRPr="0036073A">
        <w:t xml:space="preserve">uerzas </w:t>
      </w:r>
      <w:r w:rsidR="00E2037B" w:rsidRPr="0036073A">
        <w:t>A</w:t>
      </w:r>
      <w:r w:rsidR="00DA7DBA" w:rsidRPr="0036073A">
        <w:t xml:space="preserve">rmadas en labores de </w:t>
      </w:r>
      <w:r w:rsidR="00E2037B" w:rsidRPr="0036073A">
        <w:t>S</w:t>
      </w:r>
      <w:r w:rsidR="00DA7DBA" w:rsidRPr="0036073A">
        <w:t xml:space="preserve">eguridad </w:t>
      </w:r>
      <w:r w:rsidR="00E2037B" w:rsidRPr="0036073A">
        <w:t>C</w:t>
      </w:r>
      <w:r w:rsidR="00DA7DBA" w:rsidRPr="0036073A">
        <w:t>iudadana</w:t>
      </w:r>
      <w:r w:rsidR="000B786A" w:rsidRPr="008D0846">
        <w:rPr>
          <w:rStyle w:val="FootnoteReference"/>
        </w:rPr>
        <w:footnoteReference w:id="393"/>
      </w:r>
      <w:bookmarkEnd w:id="200"/>
    </w:p>
    <w:p w14:paraId="468F590F" w14:textId="18A77201" w:rsidR="00DA7DBA" w:rsidRPr="00DA7DBA" w:rsidRDefault="00867562" w:rsidP="00DB378B">
      <w:pPr>
        <w:widowControl w:val="0"/>
        <w:numPr>
          <w:ilvl w:val="0"/>
          <w:numId w:val="4"/>
        </w:numPr>
        <w:tabs>
          <w:tab w:val="left" w:pos="567"/>
        </w:tabs>
        <w:autoSpaceDE w:val="0"/>
        <w:autoSpaceDN w:val="0"/>
        <w:adjustRightInd w:val="0"/>
        <w:spacing w:before="120" w:after="120" w:line="240" w:lineRule="auto"/>
        <w:ind w:left="0" w:firstLine="0"/>
        <w:jc w:val="both"/>
        <w:textAlignment w:val="baseline"/>
        <w:rPr>
          <w:rFonts w:ascii="Verdana" w:hAnsi="Verdana"/>
          <w:sz w:val="20"/>
          <w:szCs w:val="20"/>
        </w:rPr>
      </w:pPr>
      <w:r>
        <w:rPr>
          <w:rFonts w:ascii="Verdana" w:hAnsi="Verdana" w:cs="Arial"/>
          <w:sz w:val="20"/>
          <w:szCs w:val="20"/>
        </w:rPr>
        <w:t>L</w:t>
      </w:r>
      <w:r w:rsidRPr="002E1C85">
        <w:rPr>
          <w:rFonts w:ascii="Verdana" w:hAnsi="Verdana" w:cs="Arial"/>
          <w:sz w:val="20"/>
          <w:szCs w:val="20"/>
        </w:rPr>
        <w:t>a Corte</w:t>
      </w:r>
      <w:r w:rsidRPr="002E1C85">
        <w:rPr>
          <w:rFonts w:ascii="Verdana" w:hAnsi="Verdana"/>
          <w:sz w:val="20"/>
          <w:szCs w:val="20"/>
          <w:lang w:val="es-CR"/>
        </w:rPr>
        <w:t xml:space="preserve"> recuerda</w:t>
      </w:r>
      <w:r w:rsidRPr="002E1C85">
        <w:rPr>
          <w:rFonts w:ascii="Verdana" w:hAnsi="Verdana" w:cs="Arial"/>
          <w:sz w:val="20"/>
          <w:szCs w:val="20"/>
        </w:rPr>
        <w:t xml:space="preserve"> </w:t>
      </w:r>
      <w:r>
        <w:rPr>
          <w:rFonts w:ascii="Verdana" w:hAnsi="Verdana" w:cs="Arial"/>
          <w:sz w:val="20"/>
          <w:szCs w:val="20"/>
        </w:rPr>
        <w:t>que a</w:t>
      </w:r>
      <w:r w:rsidR="00DA7DBA" w:rsidRPr="002E1C85">
        <w:rPr>
          <w:rFonts w:ascii="Verdana" w:hAnsi="Verdana" w:cs="Arial"/>
          <w:sz w:val="20"/>
          <w:szCs w:val="20"/>
        </w:rPr>
        <w:t xml:space="preserve"> la luz de las obligaciones establecidas en los artículos 1.1 y 2 de la Convención, </w:t>
      </w:r>
      <w:r w:rsidR="00DA7DBA" w:rsidRPr="002E1C85">
        <w:rPr>
          <w:rFonts w:ascii="Verdana" w:hAnsi="Verdana"/>
          <w:sz w:val="20"/>
          <w:szCs w:val="20"/>
          <w:lang w:val="es-CR"/>
        </w:rPr>
        <w:t xml:space="preserve">los Estados </w:t>
      </w:r>
      <w:r>
        <w:rPr>
          <w:rFonts w:ascii="Verdana" w:hAnsi="Verdana"/>
          <w:sz w:val="20"/>
          <w:szCs w:val="20"/>
          <w:lang w:val="es-CR"/>
        </w:rPr>
        <w:t xml:space="preserve">deben </w:t>
      </w:r>
      <w:r w:rsidR="00DA7DBA" w:rsidRPr="002E1C85">
        <w:rPr>
          <w:rFonts w:ascii="Verdana" w:hAnsi="Verdana"/>
          <w:sz w:val="20"/>
          <w:szCs w:val="20"/>
          <w:lang w:val="es-CR"/>
        </w:rPr>
        <w:t>garantizar la seguridad y mantener el orden público, así como perseguir los delitos cometidos en su jurisdicción</w:t>
      </w:r>
      <w:r w:rsidR="002F099F" w:rsidRPr="002F099F">
        <w:rPr>
          <w:rFonts w:ascii="Verdana" w:hAnsi="Verdana"/>
          <w:sz w:val="20"/>
          <w:szCs w:val="20"/>
          <w:vertAlign w:val="superscript"/>
          <w:lang w:val="es-CR"/>
        </w:rPr>
        <w:footnoteReference w:id="394"/>
      </w:r>
      <w:r w:rsidR="008B1A9A">
        <w:rPr>
          <w:rFonts w:ascii="Verdana" w:hAnsi="Verdana"/>
          <w:sz w:val="20"/>
          <w:szCs w:val="20"/>
          <w:lang w:val="es-CR"/>
        </w:rPr>
        <w:t>.</w:t>
      </w:r>
      <w:r w:rsidR="00BB0467">
        <w:rPr>
          <w:rFonts w:ascii="Verdana" w:hAnsi="Verdana"/>
          <w:sz w:val="20"/>
          <w:szCs w:val="20"/>
          <w:lang w:val="es-CR"/>
        </w:rPr>
        <w:t xml:space="preserve"> </w:t>
      </w:r>
      <w:r w:rsidR="00DA7DBA" w:rsidRPr="00DA7DBA">
        <w:rPr>
          <w:rFonts w:ascii="Verdana" w:hAnsi="Verdana"/>
          <w:sz w:val="20"/>
          <w:szCs w:val="20"/>
        </w:rPr>
        <w:t>En particular, el artículo 32.2 de la Convención Americana dispone que “[l]os derechos de cada persona están limitados por los derechos de los demás, por la seguridad de todos y por las justas exigencias del bien común, en una sociedad democrática”</w:t>
      </w:r>
      <w:r w:rsidR="00350912">
        <w:rPr>
          <w:rStyle w:val="FootnoteReference"/>
          <w:rFonts w:ascii="Verdana" w:hAnsi="Verdana"/>
          <w:sz w:val="20"/>
          <w:szCs w:val="20"/>
        </w:rPr>
        <w:footnoteReference w:id="395"/>
      </w:r>
      <w:r w:rsidR="00DA7DBA" w:rsidRPr="00DA7DBA">
        <w:rPr>
          <w:rFonts w:ascii="Verdana" w:hAnsi="Verdana"/>
          <w:sz w:val="20"/>
          <w:szCs w:val="20"/>
        </w:rPr>
        <w:t>.</w:t>
      </w:r>
      <w:r w:rsidR="00DA7DBA" w:rsidRPr="00DA7DBA">
        <w:rPr>
          <w:rFonts w:ascii="Verdana" w:eastAsiaTheme="minorHAnsi" w:hAnsi="Verdana" w:cs="Consolas"/>
          <w:sz w:val="20"/>
          <w:szCs w:val="20"/>
        </w:rPr>
        <w:t xml:space="preserve"> </w:t>
      </w:r>
    </w:p>
    <w:p w14:paraId="04585E7B" w14:textId="346246CD" w:rsidR="00DA7DBA" w:rsidRPr="00813B72" w:rsidRDefault="00DA7DBA" w:rsidP="00DB378B">
      <w:pPr>
        <w:widowControl w:val="0"/>
        <w:numPr>
          <w:ilvl w:val="0"/>
          <w:numId w:val="4"/>
        </w:numPr>
        <w:tabs>
          <w:tab w:val="left" w:pos="567"/>
        </w:tabs>
        <w:autoSpaceDE w:val="0"/>
        <w:autoSpaceDN w:val="0"/>
        <w:adjustRightInd w:val="0"/>
        <w:spacing w:before="120" w:after="120" w:line="240" w:lineRule="auto"/>
        <w:ind w:left="0" w:firstLine="0"/>
        <w:jc w:val="both"/>
        <w:textAlignment w:val="baseline"/>
        <w:rPr>
          <w:rFonts w:ascii="Verdana" w:hAnsi="Verdana"/>
          <w:sz w:val="20"/>
          <w:szCs w:val="20"/>
        </w:rPr>
      </w:pPr>
      <w:r w:rsidRPr="002E1C85">
        <w:rPr>
          <w:rFonts w:ascii="Verdana" w:hAnsi="Verdana"/>
          <w:sz w:val="20"/>
          <w:szCs w:val="20"/>
        </w:rPr>
        <w:t>En atención a lo anterior, el Tribunal estima que por su naturaleza y com</w:t>
      </w:r>
      <w:r>
        <w:rPr>
          <w:rFonts w:ascii="Verdana" w:hAnsi="Verdana"/>
          <w:sz w:val="20"/>
          <w:szCs w:val="20"/>
        </w:rPr>
        <w:t xml:space="preserve">plejidad, el crimen organizado </w:t>
      </w:r>
      <w:r w:rsidRPr="002E1C85">
        <w:rPr>
          <w:rFonts w:ascii="Verdana" w:hAnsi="Verdana"/>
          <w:sz w:val="20"/>
          <w:szCs w:val="20"/>
        </w:rPr>
        <w:t xml:space="preserve">en sus distintas formas constituye por sí mismo una grave amenaza para la </w:t>
      </w:r>
      <w:r w:rsidRPr="002E1C85">
        <w:rPr>
          <w:rFonts w:ascii="Verdana" w:hAnsi="Verdana"/>
          <w:sz w:val="20"/>
          <w:szCs w:val="20"/>
        </w:rPr>
        <w:lastRenderedPageBreak/>
        <w:t>comunidad int</w:t>
      </w:r>
      <w:r>
        <w:rPr>
          <w:rFonts w:ascii="Verdana" w:hAnsi="Verdana"/>
          <w:sz w:val="20"/>
          <w:szCs w:val="20"/>
        </w:rPr>
        <w:t>ernacional, toda vez que atenta</w:t>
      </w:r>
      <w:r w:rsidRPr="002E1C85">
        <w:rPr>
          <w:rFonts w:ascii="Verdana" w:hAnsi="Verdana"/>
          <w:sz w:val="20"/>
          <w:szCs w:val="20"/>
        </w:rPr>
        <w:t xml:space="preserve"> contra la seguridad, estabilidad y gobernabilidad democrática de los Estados, obstaculiza su desarrollo e impide la vigencia de los derechos humanos de las personas sujetas a su jurisdicción</w:t>
      </w:r>
      <w:r w:rsidRPr="00E41AD7">
        <w:rPr>
          <w:rStyle w:val="FootnoteReference"/>
          <w:rFonts w:ascii="Verdana" w:hAnsi="Verdana"/>
          <w:sz w:val="20"/>
          <w:szCs w:val="20"/>
        </w:rPr>
        <w:footnoteReference w:id="396"/>
      </w:r>
      <w:r w:rsidRPr="00E41AD7">
        <w:rPr>
          <w:rFonts w:ascii="Verdana" w:hAnsi="Verdana"/>
          <w:sz w:val="20"/>
          <w:szCs w:val="20"/>
        </w:rPr>
        <w:t>.</w:t>
      </w:r>
      <w:r w:rsidRPr="002E1C85">
        <w:rPr>
          <w:rFonts w:ascii="Verdana" w:hAnsi="Verdana"/>
          <w:sz w:val="20"/>
          <w:szCs w:val="20"/>
        </w:rPr>
        <w:t xml:space="preserve"> No obstante, para enfrentar dicha problemática es preciso que los Estados actúen en todo momento dentro de los límites y conforme a los procedimientos que permit</w:t>
      </w:r>
      <w:r>
        <w:rPr>
          <w:rFonts w:ascii="Verdana" w:hAnsi="Verdana"/>
          <w:sz w:val="20"/>
          <w:szCs w:val="20"/>
        </w:rPr>
        <w:t>a</w:t>
      </w:r>
      <w:r w:rsidRPr="002E1C85">
        <w:rPr>
          <w:rFonts w:ascii="Verdana" w:hAnsi="Verdana"/>
          <w:sz w:val="20"/>
          <w:szCs w:val="20"/>
        </w:rPr>
        <w:t>n preservar tanto la seguridad pública como los derechos humanos</w:t>
      </w:r>
      <w:r w:rsidRPr="00953725">
        <w:rPr>
          <w:rFonts w:ascii="Verdana" w:hAnsi="Verdana"/>
          <w:sz w:val="20"/>
          <w:szCs w:val="20"/>
          <w:vertAlign w:val="superscript"/>
        </w:rPr>
        <w:footnoteReference w:id="397"/>
      </w:r>
      <w:r w:rsidRPr="00953725">
        <w:rPr>
          <w:rFonts w:ascii="Verdana" w:hAnsi="Verdana"/>
          <w:sz w:val="20"/>
          <w:szCs w:val="20"/>
        </w:rPr>
        <w:t>.</w:t>
      </w:r>
      <w:r w:rsidRPr="002E1C85">
        <w:rPr>
          <w:rFonts w:ascii="Verdana" w:hAnsi="Verdana"/>
          <w:sz w:val="20"/>
          <w:szCs w:val="20"/>
        </w:rPr>
        <w:t xml:space="preserve"> Lo anterior implica que en la adopción de med</w:t>
      </w:r>
      <w:r>
        <w:rPr>
          <w:rFonts w:ascii="Verdana" w:hAnsi="Verdana"/>
          <w:sz w:val="20"/>
          <w:szCs w:val="20"/>
        </w:rPr>
        <w:t>idas frente a quienes se presume que atenta</w:t>
      </w:r>
      <w:r w:rsidRPr="002E1C85">
        <w:rPr>
          <w:rFonts w:ascii="Verdana" w:hAnsi="Verdana"/>
          <w:sz w:val="20"/>
          <w:szCs w:val="20"/>
        </w:rPr>
        <w:t xml:space="preserve">n en contra de la seguridad </w:t>
      </w:r>
      <w:r w:rsidR="00AC6FFB">
        <w:rPr>
          <w:rFonts w:ascii="Verdana" w:hAnsi="Verdana"/>
          <w:sz w:val="20"/>
          <w:szCs w:val="20"/>
        </w:rPr>
        <w:t>inter</w:t>
      </w:r>
      <w:r w:rsidR="00FB4F36">
        <w:rPr>
          <w:rFonts w:ascii="Verdana" w:hAnsi="Verdana"/>
          <w:sz w:val="20"/>
          <w:szCs w:val="20"/>
        </w:rPr>
        <w:t>na</w:t>
      </w:r>
      <w:r w:rsidR="00AC6FFB">
        <w:rPr>
          <w:rFonts w:ascii="Verdana" w:hAnsi="Verdana"/>
          <w:sz w:val="20"/>
          <w:szCs w:val="20"/>
        </w:rPr>
        <w:t xml:space="preserve"> </w:t>
      </w:r>
      <w:r w:rsidRPr="002E1C85">
        <w:rPr>
          <w:rFonts w:ascii="Verdana" w:hAnsi="Verdana"/>
          <w:sz w:val="20"/>
          <w:szCs w:val="20"/>
        </w:rPr>
        <w:t>o del orden público, los Estados no pueden invocar la existencia de</w:t>
      </w:r>
      <w:r w:rsidRPr="002E1C85">
        <w:rPr>
          <w:rFonts w:ascii="Verdana" w:hAnsi="Verdana"/>
          <w:sz w:val="20"/>
          <w:szCs w:val="20"/>
          <w:lang w:val="es-CR"/>
        </w:rPr>
        <w:t xml:space="preserve"> situaciones excepcionales</w:t>
      </w:r>
      <w:r w:rsidRPr="002E1C85">
        <w:rPr>
          <w:rFonts w:ascii="Verdana" w:hAnsi="Verdana"/>
          <w:sz w:val="20"/>
          <w:szCs w:val="20"/>
        </w:rPr>
        <w:t xml:space="preserve"> como medio para suprimir o denegar derechos garantizados por la Convención, desnaturalizarlo</w:t>
      </w:r>
      <w:r>
        <w:rPr>
          <w:rFonts w:ascii="Verdana" w:hAnsi="Verdana"/>
          <w:sz w:val="20"/>
          <w:szCs w:val="20"/>
        </w:rPr>
        <w:t>s</w:t>
      </w:r>
      <w:r w:rsidRPr="002E1C85">
        <w:rPr>
          <w:rFonts w:ascii="Verdana" w:hAnsi="Verdana"/>
          <w:sz w:val="20"/>
          <w:szCs w:val="20"/>
        </w:rPr>
        <w:t xml:space="preserve"> o privarlo</w:t>
      </w:r>
      <w:r>
        <w:rPr>
          <w:rFonts w:ascii="Verdana" w:hAnsi="Verdana"/>
          <w:sz w:val="20"/>
          <w:szCs w:val="20"/>
        </w:rPr>
        <w:t>s</w:t>
      </w:r>
      <w:r w:rsidRPr="002E1C85">
        <w:rPr>
          <w:rFonts w:ascii="Verdana" w:hAnsi="Verdana"/>
          <w:sz w:val="20"/>
          <w:szCs w:val="20"/>
        </w:rPr>
        <w:t xml:space="preserve"> de contenido real, </w:t>
      </w:r>
      <w:r w:rsidRPr="002E1C85">
        <w:rPr>
          <w:rFonts w:ascii="Verdana" w:hAnsi="Verdana"/>
          <w:sz w:val="20"/>
          <w:szCs w:val="20"/>
          <w:lang w:val="es-CR"/>
        </w:rPr>
        <w:t xml:space="preserve">o como justificación para </w:t>
      </w:r>
      <w:r w:rsidRPr="002E1C85">
        <w:rPr>
          <w:rFonts w:ascii="Verdana" w:hAnsi="Verdana"/>
          <w:sz w:val="20"/>
          <w:szCs w:val="20"/>
          <w:lang w:val="es-CO"/>
        </w:rPr>
        <w:t>practicar o tolerar</w:t>
      </w:r>
      <w:r w:rsidRPr="002E1C85">
        <w:rPr>
          <w:rFonts w:ascii="Verdana" w:hAnsi="Verdana"/>
          <w:sz w:val="20"/>
          <w:szCs w:val="20"/>
          <w:lang w:val="es-CR"/>
        </w:rPr>
        <w:t xml:space="preserve"> actos contrarios a normas imperativas de derecho internacional, tales como </w:t>
      </w:r>
      <w:r w:rsidRPr="00EF71F8">
        <w:rPr>
          <w:rFonts w:ascii="Verdana" w:hAnsi="Verdana"/>
          <w:sz w:val="20"/>
          <w:szCs w:val="20"/>
          <w:lang w:val="es-CO"/>
        </w:rPr>
        <w:t xml:space="preserve">la </w:t>
      </w:r>
      <w:r w:rsidRPr="00E16D4C">
        <w:rPr>
          <w:rFonts w:ascii="Verdana" w:hAnsi="Verdana"/>
          <w:sz w:val="20"/>
          <w:szCs w:val="20"/>
          <w:lang w:val="es-CO"/>
        </w:rPr>
        <w:t>tortura, desapariciones forzadas y ejecuciones extrajudiciales, entre otras graves violaciones</w:t>
      </w:r>
      <w:r w:rsidR="00477D27" w:rsidRPr="00EF71F8">
        <w:rPr>
          <w:rFonts w:ascii="Verdana" w:hAnsi="Verdana"/>
          <w:sz w:val="20"/>
          <w:szCs w:val="20"/>
          <w:vertAlign w:val="superscript"/>
          <w:lang w:val="es-CR"/>
        </w:rPr>
        <w:footnoteReference w:id="398"/>
      </w:r>
      <w:r w:rsidRPr="00EF71F8">
        <w:rPr>
          <w:rFonts w:ascii="Verdana" w:hAnsi="Verdana"/>
          <w:sz w:val="20"/>
          <w:szCs w:val="20"/>
        </w:rPr>
        <w:t>.</w:t>
      </w:r>
      <w:r w:rsidRPr="002E1C85">
        <w:rPr>
          <w:rFonts w:ascii="Verdana" w:hAnsi="Verdana"/>
          <w:sz w:val="20"/>
          <w:szCs w:val="20"/>
        </w:rPr>
        <w:t xml:space="preserve">   </w:t>
      </w:r>
    </w:p>
    <w:p w14:paraId="5023BDC7" w14:textId="578FEFD7" w:rsidR="00DA7DBA" w:rsidRPr="002632D2" w:rsidRDefault="00DA7DBA" w:rsidP="00DB378B">
      <w:pPr>
        <w:widowControl w:val="0"/>
        <w:numPr>
          <w:ilvl w:val="0"/>
          <w:numId w:val="4"/>
        </w:numPr>
        <w:tabs>
          <w:tab w:val="left" w:pos="567"/>
        </w:tabs>
        <w:autoSpaceDE w:val="0"/>
        <w:autoSpaceDN w:val="0"/>
        <w:adjustRightInd w:val="0"/>
        <w:spacing w:before="120" w:after="120" w:line="240" w:lineRule="auto"/>
        <w:ind w:left="0" w:firstLine="0"/>
        <w:jc w:val="both"/>
        <w:textAlignment w:val="baseline"/>
        <w:rPr>
          <w:rFonts w:ascii="Verdana" w:hAnsi="Verdana" w:cs="AmnestyTradeGothic"/>
          <w:sz w:val="20"/>
          <w:szCs w:val="20"/>
          <w:lang w:val="es-CR"/>
        </w:rPr>
      </w:pPr>
      <w:r w:rsidRPr="002632D2">
        <w:rPr>
          <w:rFonts w:ascii="Verdana" w:hAnsi="Verdana" w:cs="Arial"/>
          <w:sz w:val="20"/>
          <w:szCs w:val="20"/>
          <w:lang w:val="es-CR"/>
        </w:rPr>
        <w:t xml:space="preserve">En concreto, este Tribunal se ha referido en distintas ocasiones a la participación de </w:t>
      </w:r>
      <w:r w:rsidR="00867562" w:rsidRPr="00A6589D">
        <w:rPr>
          <w:rFonts w:ascii="Verdana" w:hAnsi="Verdana" w:cs="Arial"/>
          <w:sz w:val="20"/>
          <w:szCs w:val="20"/>
          <w:lang w:val="es-CR"/>
        </w:rPr>
        <w:t>f</w:t>
      </w:r>
      <w:r w:rsidRPr="002632D2">
        <w:rPr>
          <w:rFonts w:ascii="Verdana" w:hAnsi="Verdana" w:cs="Arial"/>
          <w:sz w:val="20"/>
          <w:szCs w:val="20"/>
          <w:lang w:val="es-CR"/>
        </w:rPr>
        <w:t xml:space="preserve">uerzas </w:t>
      </w:r>
      <w:r w:rsidR="00867562" w:rsidRPr="002632D2">
        <w:rPr>
          <w:rFonts w:ascii="Verdana" w:hAnsi="Verdana" w:cs="Arial"/>
          <w:sz w:val="20"/>
          <w:szCs w:val="20"/>
          <w:lang w:val="es-CR"/>
        </w:rPr>
        <w:t>a</w:t>
      </w:r>
      <w:r w:rsidRPr="002632D2">
        <w:rPr>
          <w:rFonts w:ascii="Verdana" w:hAnsi="Verdana" w:cs="Arial"/>
          <w:sz w:val="20"/>
          <w:szCs w:val="20"/>
          <w:lang w:val="es-CR"/>
        </w:rPr>
        <w:t xml:space="preserve">rmadas en </w:t>
      </w:r>
      <w:r w:rsidR="00836E1E" w:rsidRPr="002632D2">
        <w:rPr>
          <w:rFonts w:ascii="Verdana" w:hAnsi="Verdana" w:cs="Arial"/>
          <w:sz w:val="20"/>
          <w:szCs w:val="20"/>
          <w:lang w:val="es-CR"/>
        </w:rPr>
        <w:t>la</w:t>
      </w:r>
      <w:r w:rsidRPr="002632D2">
        <w:rPr>
          <w:rFonts w:ascii="Verdana" w:hAnsi="Verdana" w:cs="Arial"/>
          <w:sz w:val="20"/>
          <w:szCs w:val="20"/>
          <w:lang w:val="es-CR"/>
        </w:rPr>
        <w:t xml:space="preserve"> alteración del orden público. En este sentido, </w:t>
      </w:r>
      <w:r w:rsidRPr="002632D2">
        <w:rPr>
          <w:rFonts w:ascii="Verdana" w:hAnsi="Verdana" w:cs="Arial"/>
          <w:sz w:val="20"/>
          <w:szCs w:val="20"/>
        </w:rPr>
        <w:t xml:space="preserve">el Tribunal recuerda que en el </w:t>
      </w:r>
      <w:r w:rsidRPr="002632D2">
        <w:rPr>
          <w:rFonts w:ascii="Verdana" w:hAnsi="Verdana" w:cs="Arial"/>
          <w:i/>
          <w:sz w:val="20"/>
          <w:szCs w:val="20"/>
        </w:rPr>
        <w:t>Caso Montero Aranguren y otros Vs. Venezuela</w:t>
      </w:r>
      <w:r w:rsidRPr="002632D2">
        <w:rPr>
          <w:rFonts w:ascii="Verdana" w:hAnsi="Verdana" w:cs="Arial"/>
          <w:sz w:val="20"/>
          <w:szCs w:val="20"/>
        </w:rPr>
        <w:t xml:space="preserve"> estableció que</w:t>
      </w:r>
      <w:r w:rsidRPr="002632D2">
        <w:rPr>
          <w:rFonts w:ascii="Verdana" w:hAnsi="Verdana" w:cs="AmnestyTradeGothic"/>
          <w:sz w:val="20"/>
          <w:szCs w:val="20"/>
        </w:rPr>
        <w:t xml:space="preserve"> si bien los Estados partes de la Convención podrían desplegar a las </w:t>
      </w:r>
      <w:r w:rsidR="00E2037B">
        <w:rPr>
          <w:rFonts w:ascii="Verdana" w:hAnsi="Verdana" w:cs="AmnestyTradeGothic"/>
          <w:sz w:val="20"/>
          <w:szCs w:val="20"/>
        </w:rPr>
        <w:t>f</w:t>
      </w:r>
      <w:r w:rsidRPr="002632D2">
        <w:rPr>
          <w:rFonts w:ascii="Verdana" w:hAnsi="Verdana" w:cs="AmnestyTradeGothic"/>
          <w:sz w:val="20"/>
          <w:szCs w:val="20"/>
        </w:rPr>
        <w:t xml:space="preserve">uerzas </w:t>
      </w:r>
      <w:r w:rsidR="00E2037B">
        <w:rPr>
          <w:rFonts w:ascii="Verdana" w:hAnsi="Verdana" w:cs="AmnestyTradeGothic"/>
          <w:sz w:val="20"/>
          <w:szCs w:val="20"/>
        </w:rPr>
        <w:t>a</w:t>
      </w:r>
      <w:r w:rsidRPr="002632D2">
        <w:rPr>
          <w:rFonts w:ascii="Verdana" w:hAnsi="Verdana" w:cs="AmnestyTradeGothic"/>
          <w:sz w:val="20"/>
          <w:szCs w:val="20"/>
        </w:rPr>
        <w:t>rmadas para desempeñar tareas ajenas a las propiamente relacionadas con conflictos armados, dicho empleo debe limitarse al máximo y responder a criterios de estricta excepcionalidad para enfrentar situaciones de criminalidad o violencia interna</w:t>
      </w:r>
      <w:r w:rsidR="00E2037B">
        <w:rPr>
          <w:rFonts w:ascii="Verdana" w:hAnsi="Verdana" w:cs="AmnestyTradeGothic"/>
          <w:sz w:val="20"/>
          <w:szCs w:val="20"/>
        </w:rPr>
        <w:t>,</w:t>
      </w:r>
      <w:r w:rsidRPr="002632D2">
        <w:rPr>
          <w:rFonts w:ascii="Verdana" w:hAnsi="Verdana"/>
          <w:sz w:val="20"/>
          <w:szCs w:val="20"/>
        </w:rPr>
        <w:t xml:space="preserve"> dado que el entrenamiento que reciben las fuerzas militares está dirigido a derrotar al enemigo y no a la protección y control de civiles, entrenamiento que es propio de los entes policiales</w:t>
      </w:r>
      <w:r w:rsidR="00B84A50" w:rsidRPr="00C90B3F">
        <w:rPr>
          <w:rFonts w:ascii="Verdana" w:hAnsi="Verdana" w:cs="AmnestyTradeGothic"/>
          <w:sz w:val="20"/>
          <w:szCs w:val="20"/>
          <w:vertAlign w:val="superscript"/>
          <w:lang w:val="es-CR"/>
        </w:rPr>
        <w:footnoteReference w:id="399"/>
      </w:r>
      <w:r w:rsidRPr="00A6589D">
        <w:rPr>
          <w:rFonts w:ascii="Verdana" w:hAnsi="Verdana" w:cs="AmnestyTradeGothic"/>
          <w:sz w:val="20"/>
          <w:szCs w:val="20"/>
        </w:rPr>
        <w:t xml:space="preserve">. </w:t>
      </w:r>
    </w:p>
    <w:p w14:paraId="13E70818" w14:textId="254D6FF4" w:rsidR="00AC6FFB" w:rsidRPr="00B93CB5" w:rsidRDefault="00836E1E" w:rsidP="00DB378B">
      <w:pPr>
        <w:widowControl w:val="0"/>
        <w:numPr>
          <w:ilvl w:val="0"/>
          <w:numId w:val="4"/>
        </w:numPr>
        <w:tabs>
          <w:tab w:val="left" w:pos="567"/>
        </w:tabs>
        <w:autoSpaceDE w:val="0"/>
        <w:autoSpaceDN w:val="0"/>
        <w:adjustRightInd w:val="0"/>
        <w:spacing w:before="120" w:after="120" w:line="240" w:lineRule="auto"/>
        <w:ind w:left="0" w:firstLine="0"/>
        <w:jc w:val="both"/>
        <w:textAlignment w:val="baseline"/>
        <w:rPr>
          <w:rFonts w:ascii="Verdana" w:hAnsi="Verdana" w:cs="AmnestyTradeGothic"/>
          <w:sz w:val="20"/>
          <w:szCs w:val="20"/>
          <w:lang w:val="es-CR"/>
        </w:rPr>
      </w:pPr>
      <w:r>
        <w:rPr>
          <w:rFonts w:ascii="Verdana" w:hAnsi="Verdana" w:cs="AmnestyTradeGothic"/>
          <w:sz w:val="20"/>
          <w:szCs w:val="20"/>
        </w:rPr>
        <w:t xml:space="preserve">En </w:t>
      </w:r>
      <w:r w:rsidR="00DA7DBA" w:rsidRPr="002E1C85">
        <w:rPr>
          <w:rFonts w:ascii="Verdana" w:hAnsi="Verdana" w:cs="AmnestyTradeGothic"/>
          <w:sz w:val="20"/>
          <w:szCs w:val="20"/>
        </w:rPr>
        <w:t xml:space="preserve">el caso </w:t>
      </w:r>
      <w:r w:rsidR="00DA7DBA" w:rsidRPr="002E1C85">
        <w:rPr>
          <w:rFonts w:ascii="Verdana" w:hAnsi="Verdana" w:cs="Arial"/>
          <w:i/>
          <w:sz w:val="20"/>
          <w:szCs w:val="20"/>
        </w:rPr>
        <w:t xml:space="preserve">Cabrera García y Montiel Flores Vs. </w:t>
      </w:r>
      <w:r w:rsidR="00DA7DBA" w:rsidRPr="002E1C85">
        <w:rPr>
          <w:rFonts w:ascii="Verdana" w:hAnsi="Verdana" w:cs="Arial"/>
          <w:i/>
          <w:sz w:val="20"/>
          <w:szCs w:val="20"/>
          <w:lang w:val="es-CR"/>
        </w:rPr>
        <w:t>México,</w:t>
      </w:r>
      <w:r w:rsidR="00DA7DBA" w:rsidRPr="002E1C85">
        <w:rPr>
          <w:rFonts w:ascii="Verdana" w:hAnsi="Verdana" w:cs="Arial"/>
          <w:sz w:val="20"/>
          <w:szCs w:val="20"/>
          <w:lang w:val="es-CR"/>
        </w:rPr>
        <w:t xml:space="preserve"> la Corte estableció que </w:t>
      </w:r>
      <w:r w:rsidR="00DA7DBA" w:rsidRPr="002E1C85">
        <w:rPr>
          <w:rFonts w:ascii="Verdana" w:hAnsi="Verdana" w:cs="AmnestyTradeGothic"/>
          <w:sz w:val="20"/>
          <w:szCs w:val="20"/>
          <w:lang w:val="es-CR"/>
        </w:rPr>
        <w:t xml:space="preserve">la intervención de </w:t>
      </w:r>
      <w:r w:rsidR="00E2037B">
        <w:rPr>
          <w:rFonts w:ascii="Verdana" w:hAnsi="Verdana" w:cs="AmnestyTradeGothic"/>
          <w:sz w:val="20"/>
          <w:szCs w:val="20"/>
          <w:lang w:val="es-CR"/>
        </w:rPr>
        <w:t>f</w:t>
      </w:r>
      <w:r w:rsidR="00DA7DBA" w:rsidRPr="002E1C85">
        <w:rPr>
          <w:rFonts w:ascii="Verdana" w:hAnsi="Verdana" w:cs="AmnestyTradeGothic"/>
          <w:sz w:val="20"/>
          <w:szCs w:val="20"/>
          <w:lang w:val="es-CR"/>
        </w:rPr>
        <w:t xml:space="preserve">uerzas </w:t>
      </w:r>
      <w:r w:rsidR="00E2037B">
        <w:rPr>
          <w:rFonts w:ascii="Verdana" w:hAnsi="Verdana" w:cs="AmnestyTradeGothic"/>
          <w:sz w:val="20"/>
          <w:szCs w:val="20"/>
          <w:lang w:val="es-CR"/>
        </w:rPr>
        <w:t>a</w:t>
      </w:r>
      <w:r w:rsidR="00DA7DBA" w:rsidRPr="002E1C85">
        <w:rPr>
          <w:rFonts w:ascii="Verdana" w:hAnsi="Verdana" w:cs="AmnestyTradeGothic"/>
          <w:sz w:val="20"/>
          <w:szCs w:val="20"/>
          <w:lang w:val="es-CR"/>
        </w:rPr>
        <w:t>rmadas en actividades de seguridad pública debe atender a criterios de estricta proporcionalidad, excepcionalidad y debida diligencia en la salvaguarda de las garantías convencionales</w:t>
      </w:r>
      <w:r w:rsidR="00E2037B">
        <w:rPr>
          <w:rFonts w:ascii="Verdana" w:hAnsi="Verdana" w:cs="AmnestyTradeGothic"/>
          <w:sz w:val="20"/>
          <w:szCs w:val="20"/>
          <w:lang w:val="es-CR"/>
        </w:rPr>
        <w:t>,</w:t>
      </w:r>
      <w:r w:rsidR="00DA7DBA" w:rsidRPr="002E1C85">
        <w:rPr>
          <w:rFonts w:ascii="Verdana" w:hAnsi="Verdana" w:cs="AmnestyTradeGothic"/>
          <w:sz w:val="20"/>
          <w:szCs w:val="20"/>
          <w:lang w:val="es-CR"/>
        </w:rPr>
        <w:t xml:space="preserve"> dado que el régimen propio de las fuerzas militares no se concilia con las funciones propias de las autoridades civiles; asimismo, indicó que puede implicar la introducción </w:t>
      </w:r>
      <w:r w:rsidR="00DA7DBA" w:rsidRPr="002E1C85">
        <w:rPr>
          <w:rFonts w:ascii="Verdana" w:hAnsi="Verdana" w:cs="AmnestyTradeGothic"/>
          <w:sz w:val="20"/>
          <w:szCs w:val="20"/>
          <w:lang w:val="es-CR"/>
        </w:rPr>
        <w:lastRenderedPageBreak/>
        <w:t>de un riesgo para los derechos humanos y recordó lo señalado por los Relatores Especiales de la ONU sobre Tortura</w:t>
      </w:r>
      <w:r w:rsidR="00E2037B">
        <w:rPr>
          <w:rFonts w:ascii="Verdana" w:hAnsi="Verdana" w:cs="AmnestyTradeGothic"/>
          <w:sz w:val="20"/>
          <w:szCs w:val="20"/>
          <w:lang w:val="es-CR"/>
        </w:rPr>
        <w:t>,</w:t>
      </w:r>
      <w:r w:rsidR="00DA7DBA" w:rsidRPr="002E1C85">
        <w:rPr>
          <w:rFonts w:ascii="Verdana" w:hAnsi="Verdana" w:cs="AmnestyTradeGothic"/>
          <w:sz w:val="20"/>
          <w:szCs w:val="20"/>
          <w:lang w:val="es-CR"/>
        </w:rPr>
        <w:t xml:space="preserve"> sobre Ejecuciones Extrajudiciales y sobre Independencia de Jueces y Abogados, en el sentido de que “las funciones de investigación de la policía judicial </w:t>
      </w:r>
      <w:r w:rsidR="00DA7DBA">
        <w:rPr>
          <w:rFonts w:ascii="Verdana" w:hAnsi="Verdana" w:cs="AmnestyTradeGothic"/>
          <w:sz w:val="20"/>
          <w:szCs w:val="20"/>
          <w:lang w:val="es-CR"/>
        </w:rPr>
        <w:t xml:space="preserve">[o ministerial] </w:t>
      </w:r>
      <w:r w:rsidR="00DA7DBA" w:rsidRPr="002E1C85">
        <w:rPr>
          <w:rFonts w:ascii="Verdana" w:hAnsi="Verdana" w:cs="AmnestyTradeGothic"/>
          <w:sz w:val="20"/>
          <w:szCs w:val="20"/>
          <w:lang w:val="es-CR"/>
        </w:rPr>
        <w:t>deberían estar a cargo de un entidad civil”</w:t>
      </w:r>
      <w:r w:rsidR="00BC4199" w:rsidRPr="00BC4199">
        <w:rPr>
          <w:rFonts w:ascii="Verdana" w:hAnsi="Verdana" w:cs="AmnestyTradeGothic"/>
          <w:sz w:val="20"/>
          <w:szCs w:val="20"/>
          <w:vertAlign w:val="superscript"/>
          <w:lang w:val="es-CR"/>
        </w:rPr>
        <w:footnoteReference w:id="400"/>
      </w:r>
      <w:r w:rsidR="00DA7DBA" w:rsidRPr="002E1C85">
        <w:rPr>
          <w:rFonts w:ascii="Verdana" w:hAnsi="Verdana" w:cs="AmnestyTradeGothic"/>
          <w:sz w:val="20"/>
          <w:szCs w:val="20"/>
          <w:lang w:val="es-CR"/>
        </w:rPr>
        <w:t>.</w:t>
      </w:r>
      <w:r w:rsidR="00AC6FFB">
        <w:rPr>
          <w:rFonts w:ascii="Verdana" w:hAnsi="Verdana" w:cs="AmnestyTradeGothic"/>
          <w:sz w:val="20"/>
          <w:szCs w:val="20"/>
          <w:lang w:val="es-CR"/>
        </w:rPr>
        <w:t xml:space="preserve"> </w:t>
      </w:r>
      <w:r w:rsidR="00AC6FFB" w:rsidRPr="00C90B3F">
        <w:rPr>
          <w:rFonts w:ascii="Verdana" w:hAnsi="Verdana"/>
          <w:sz w:val="20"/>
          <w:szCs w:val="20"/>
        </w:rPr>
        <w:t xml:space="preserve">Lo anterior fue reiterado </w:t>
      </w:r>
      <w:r w:rsidR="00AC6FFB" w:rsidRPr="00476440">
        <w:rPr>
          <w:rFonts w:ascii="Verdana" w:hAnsi="Verdana"/>
          <w:sz w:val="20"/>
          <w:szCs w:val="20"/>
        </w:rPr>
        <w:t xml:space="preserve">también </w:t>
      </w:r>
      <w:r w:rsidR="00AC6FFB" w:rsidRPr="00C90B3F">
        <w:rPr>
          <w:rFonts w:ascii="Verdana" w:hAnsi="Verdana"/>
          <w:sz w:val="20"/>
          <w:szCs w:val="20"/>
        </w:rPr>
        <w:t xml:space="preserve">en el caso </w:t>
      </w:r>
      <w:r w:rsidR="00AC6FFB" w:rsidRPr="00C90B3F">
        <w:rPr>
          <w:rFonts w:ascii="Verdana" w:hAnsi="Verdana"/>
          <w:i/>
          <w:sz w:val="20"/>
          <w:szCs w:val="20"/>
        </w:rPr>
        <w:t>Osorio Rivera</w:t>
      </w:r>
      <w:r w:rsidR="00AC6FFB">
        <w:rPr>
          <w:rFonts w:ascii="Verdana" w:hAnsi="Verdana"/>
          <w:i/>
          <w:sz w:val="20"/>
          <w:szCs w:val="20"/>
        </w:rPr>
        <w:t xml:space="preserve"> Vs. Perú</w:t>
      </w:r>
      <w:r w:rsidR="00AC6FFB" w:rsidRPr="00C90B3F">
        <w:rPr>
          <w:rFonts w:ascii="Verdana" w:hAnsi="Verdana"/>
          <w:sz w:val="20"/>
          <w:szCs w:val="20"/>
        </w:rPr>
        <w:t>, en el supuesto de otorgar a las Fuerzas Armadas funciones dirigidas a la restricción de la libertad personal de civiles</w:t>
      </w:r>
      <w:r w:rsidR="00AC6FFB" w:rsidRPr="0026594C">
        <w:rPr>
          <w:iCs/>
          <w:vertAlign w:val="superscript"/>
          <w:lang w:val="es-EC"/>
        </w:rPr>
        <w:footnoteReference w:id="401"/>
      </w:r>
      <w:r w:rsidR="00AC6FFB" w:rsidRPr="00C90B3F">
        <w:rPr>
          <w:rFonts w:ascii="Verdana" w:hAnsi="Verdana"/>
          <w:iCs/>
          <w:sz w:val="20"/>
          <w:szCs w:val="20"/>
          <w:lang w:val="es-EC"/>
        </w:rPr>
        <w:t>.</w:t>
      </w:r>
    </w:p>
    <w:p w14:paraId="20960C52" w14:textId="142CB049" w:rsidR="00DA7DBA" w:rsidRPr="00813B72" w:rsidRDefault="00213495" w:rsidP="00DB378B">
      <w:pPr>
        <w:widowControl w:val="0"/>
        <w:numPr>
          <w:ilvl w:val="0"/>
          <w:numId w:val="4"/>
        </w:numPr>
        <w:tabs>
          <w:tab w:val="left" w:pos="567"/>
        </w:tabs>
        <w:autoSpaceDE w:val="0"/>
        <w:autoSpaceDN w:val="0"/>
        <w:adjustRightInd w:val="0"/>
        <w:spacing w:before="120" w:after="120" w:line="240" w:lineRule="auto"/>
        <w:ind w:left="0" w:firstLine="0"/>
        <w:jc w:val="both"/>
        <w:textAlignment w:val="baseline"/>
        <w:rPr>
          <w:rFonts w:ascii="Verdana" w:hAnsi="Verdana"/>
          <w:i/>
          <w:sz w:val="20"/>
          <w:szCs w:val="20"/>
          <w:lang w:val="es-CO"/>
        </w:rPr>
      </w:pPr>
      <w:r w:rsidRPr="00BB267D">
        <w:rPr>
          <w:rFonts w:ascii="Verdana" w:hAnsi="Verdana"/>
          <w:sz w:val="20"/>
          <w:szCs w:val="20"/>
          <w:lang w:val="es-CR"/>
        </w:rPr>
        <w:t xml:space="preserve">Adicionalmente, </w:t>
      </w:r>
      <w:r>
        <w:rPr>
          <w:rFonts w:ascii="Verdana" w:hAnsi="Verdana"/>
          <w:sz w:val="20"/>
          <w:szCs w:val="20"/>
          <w:lang w:val="es-CR"/>
        </w:rPr>
        <w:t xml:space="preserve">sobre este tema </w:t>
      </w:r>
      <w:r w:rsidRPr="00BB267D">
        <w:rPr>
          <w:rFonts w:ascii="Verdana" w:hAnsi="Verdana"/>
          <w:sz w:val="20"/>
          <w:szCs w:val="20"/>
          <w:lang w:val="es-ES_tradnl"/>
        </w:rPr>
        <w:t xml:space="preserve">se han pronunciado </w:t>
      </w:r>
      <w:r w:rsidRPr="00BB267D">
        <w:rPr>
          <w:rFonts w:ascii="Verdana" w:hAnsi="Verdana"/>
          <w:color w:val="000000"/>
          <w:sz w:val="20"/>
          <w:szCs w:val="20"/>
          <w:shd w:val="clear" w:color="auto" w:fill="FFFFFF"/>
          <w:lang w:val="es-CR"/>
        </w:rPr>
        <w:t xml:space="preserve">el </w:t>
      </w:r>
      <w:r w:rsidRPr="00BB267D">
        <w:rPr>
          <w:rFonts w:ascii="Verdana" w:hAnsi="Verdana"/>
          <w:color w:val="000000"/>
          <w:sz w:val="20"/>
          <w:szCs w:val="20"/>
          <w:shd w:val="clear" w:color="auto" w:fill="FFFFFF"/>
          <w:lang w:val="es-ES_tradnl"/>
        </w:rPr>
        <w:t>Comité de Derechos Humanos</w:t>
      </w:r>
      <w:r w:rsidRPr="00BB267D">
        <w:rPr>
          <w:rFonts w:ascii="Verdana" w:hAnsi="Verdana"/>
          <w:color w:val="000000"/>
          <w:sz w:val="20"/>
          <w:szCs w:val="20"/>
          <w:shd w:val="clear" w:color="auto" w:fill="FFFFFF"/>
          <w:vertAlign w:val="superscript"/>
          <w:lang w:val="es-ES_tradnl"/>
        </w:rPr>
        <w:footnoteReference w:id="402"/>
      </w:r>
      <w:r w:rsidRPr="00BB267D">
        <w:rPr>
          <w:rFonts w:ascii="Verdana" w:hAnsi="Verdana"/>
          <w:color w:val="000000"/>
          <w:sz w:val="20"/>
          <w:szCs w:val="20"/>
          <w:shd w:val="clear" w:color="auto" w:fill="FFFFFF"/>
          <w:lang w:val="es-ES_tradnl"/>
        </w:rPr>
        <w:t>,</w:t>
      </w:r>
      <w:r w:rsidRPr="00BB267D">
        <w:rPr>
          <w:rFonts w:ascii="Verdana" w:hAnsi="Verdana"/>
          <w:color w:val="000000"/>
          <w:sz w:val="20"/>
          <w:szCs w:val="20"/>
          <w:shd w:val="clear" w:color="auto" w:fill="FFFFFF"/>
          <w:lang w:val="es-CO"/>
        </w:rPr>
        <w:t xml:space="preserve"> el Comité contra la Tortura y otros Tratos o Penas Crueles, Inhumanos o Degradantes</w:t>
      </w:r>
      <w:r w:rsidRPr="00BB267D">
        <w:rPr>
          <w:rFonts w:ascii="Verdana" w:hAnsi="Verdana"/>
          <w:color w:val="000000"/>
          <w:sz w:val="20"/>
          <w:szCs w:val="20"/>
          <w:shd w:val="clear" w:color="auto" w:fill="FFFFFF"/>
          <w:vertAlign w:val="superscript"/>
          <w:lang w:val="es-ES_tradnl"/>
        </w:rPr>
        <w:footnoteReference w:id="403"/>
      </w:r>
      <w:r w:rsidRPr="00BB267D">
        <w:rPr>
          <w:rFonts w:ascii="Verdana" w:hAnsi="Verdana"/>
          <w:color w:val="000000"/>
          <w:sz w:val="20"/>
          <w:szCs w:val="20"/>
          <w:shd w:val="clear" w:color="auto" w:fill="FFFFFF"/>
          <w:lang w:val="es-CO"/>
        </w:rPr>
        <w:t>, el Grupo de Trabajo sobre Desapariciones Forzadas o Involuntarias</w:t>
      </w:r>
      <w:r w:rsidRPr="00BB267D">
        <w:rPr>
          <w:rFonts w:ascii="Verdana" w:hAnsi="Verdana"/>
          <w:color w:val="000000"/>
          <w:sz w:val="20"/>
          <w:szCs w:val="20"/>
          <w:shd w:val="clear" w:color="auto" w:fill="FFFFFF"/>
          <w:vertAlign w:val="superscript"/>
          <w:lang w:val="es-CR"/>
        </w:rPr>
        <w:footnoteReference w:id="404"/>
      </w:r>
      <w:r w:rsidRPr="00BB267D">
        <w:rPr>
          <w:rFonts w:ascii="Verdana" w:hAnsi="Verdana"/>
          <w:color w:val="000000"/>
          <w:sz w:val="20"/>
          <w:szCs w:val="20"/>
          <w:shd w:val="clear" w:color="auto" w:fill="FFFFFF"/>
          <w:lang w:val="es-CO"/>
        </w:rPr>
        <w:t>,</w:t>
      </w:r>
      <w:r w:rsidRPr="00BB267D">
        <w:rPr>
          <w:rFonts w:ascii="Verdana" w:hAnsi="Verdana"/>
          <w:color w:val="000000"/>
          <w:sz w:val="20"/>
          <w:szCs w:val="20"/>
          <w:shd w:val="clear" w:color="auto" w:fill="FFFFFF"/>
          <w:lang w:val="es-ES_tradnl"/>
        </w:rPr>
        <w:t xml:space="preserve"> </w:t>
      </w:r>
      <w:r w:rsidRPr="006E709F">
        <w:rPr>
          <w:rFonts w:ascii="Verdana" w:hAnsi="Verdana"/>
          <w:color w:val="000000"/>
          <w:sz w:val="20"/>
          <w:szCs w:val="20"/>
          <w:shd w:val="clear" w:color="auto" w:fill="FFFFFF"/>
          <w:lang w:val="es-ES_tradnl"/>
        </w:rPr>
        <w:t xml:space="preserve">conjuntamente </w:t>
      </w:r>
      <w:r w:rsidRPr="00BB267D">
        <w:rPr>
          <w:rFonts w:ascii="Verdana" w:hAnsi="Verdana"/>
          <w:color w:val="000000"/>
          <w:sz w:val="20"/>
          <w:szCs w:val="20"/>
          <w:shd w:val="clear" w:color="auto" w:fill="FFFFFF"/>
          <w:lang w:val="es-ES_tradnl"/>
        </w:rPr>
        <w:t xml:space="preserve">los Relatores Especiales sobre </w:t>
      </w:r>
      <w:r w:rsidRPr="006E709F">
        <w:rPr>
          <w:rFonts w:ascii="Verdana" w:hAnsi="Verdana"/>
          <w:color w:val="000000"/>
          <w:sz w:val="20"/>
          <w:szCs w:val="20"/>
          <w:shd w:val="clear" w:color="auto" w:fill="FFFFFF"/>
          <w:lang w:val="es-ES_tradnl"/>
        </w:rPr>
        <w:t>la T</w:t>
      </w:r>
      <w:r w:rsidRPr="00BB267D">
        <w:rPr>
          <w:rFonts w:ascii="Verdana" w:hAnsi="Verdana"/>
          <w:color w:val="000000"/>
          <w:sz w:val="20"/>
          <w:szCs w:val="20"/>
          <w:shd w:val="clear" w:color="auto" w:fill="FFFFFF"/>
          <w:lang w:val="es-ES_tradnl"/>
        </w:rPr>
        <w:t xml:space="preserve">ortura y </w:t>
      </w:r>
      <w:r w:rsidRPr="006E709F">
        <w:rPr>
          <w:rFonts w:ascii="Verdana" w:hAnsi="Verdana"/>
          <w:color w:val="000000"/>
          <w:sz w:val="20"/>
          <w:szCs w:val="20"/>
          <w:shd w:val="clear" w:color="auto" w:fill="FFFFFF"/>
          <w:lang w:val="es-ES_tradnl"/>
        </w:rPr>
        <w:t xml:space="preserve">sobre </w:t>
      </w:r>
      <w:r w:rsidRPr="00BB267D">
        <w:rPr>
          <w:rFonts w:ascii="Verdana" w:hAnsi="Verdana"/>
          <w:color w:val="000000"/>
          <w:sz w:val="20"/>
          <w:szCs w:val="20"/>
          <w:shd w:val="clear" w:color="auto" w:fill="FFFFFF"/>
          <w:lang w:val="es-ES_tradnl"/>
        </w:rPr>
        <w:t xml:space="preserve">las </w:t>
      </w:r>
      <w:r w:rsidRPr="006E709F">
        <w:rPr>
          <w:rFonts w:ascii="Verdana" w:hAnsi="Verdana"/>
          <w:color w:val="000000"/>
          <w:sz w:val="20"/>
          <w:szCs w:val="20"/>
          <w:shd w:val="clear" w:color="auto" w:fill="FFFFFF"/>
          <w:lang w:val="es-ES_tradnl"/>
        </w:rPr>
        <w:t>E</w:t>
      </w:r>
      <w:r w:rsidRPr="00BB267D">
        <w:rPr>
          <w:rFonts w:ascii="Verdana" w:hAnsi="Verdana"/>
          <w:color w:val="000000"/>
          <w:sz w:val="20"/>
          <w:szCs w:val="20"/>
          <w:shd w:val="clear" w:color="auto" w:fill="FFFFFF"/>
          <w:lang w:val="es-ES_tradnl"/>
        </w:rPr>
        <w:t xml:space="preserve">jecuciones </w:t>
      </w:r>
      <w:r w:rsidRPr="006E709F">
        <w:rPr>
          <w:rFonts w:ascii="Verdana" w:hAnsi="Verdana"/>
          <w:color w:val="000000"/>
          <w:sz w:val="20"/>
          <w:szCs w:val="20"/>
          <w:shd w:val="clear" w:color="auto" w:fill="FFFFFF"/>
          <w:lang w:val="es-ES_tradnl"/>
        </w:rPr>
        <w:t>E</w:t>
      </w:r>
      <w:r w:rsidRPr="00BB267D">
        <w:rPr>
          <w:rFonts w:ascii="Verdana" w:hAnsi="Verdana"/>
          <w:color w:val="000000"/>
          <w:sz w:val="20"/>
          <w:szCs w:val="20"/>
          <w:shd w:val="clear" w:color="auto" w:fill="FFFFFF"/>
          <w:lang w:val="es-ES_tradnl"/>
        </w:rPr>
        <w:t xml:space="preserve">xtrajudiciales, </w:t>
      </w:r>
      <w:r w:rsidRPr="006E709F">
        <w:rPr>
          <w:rFonts w:ascii="Verdana" w:hAnsi="Verdana"/>
          <w:color w:val="000000"/>
          <w:sz w:val="20"/>
          <w:szCs w:val="20"/>
          <w:shd w:val="clear" w:color="auto" w:fill="FFFFFF"/>
          <w:lang w:val="es-ES_tradnl"/>
        </w:rPr>
        <w:t>S</w:t>
      </w:r>
      <w:r w:rsidRPr="00BB267D">
        <w:rPr>
          <w:rFonts w:ascii="Verdana" w:hAnsi="Verdana"/>
          <w:color w:val="000000"/>
          <w:sz w:val="20"/>
          <w:szCs w:val="20"/>
          <w:shd w:val="clear" w:color="auto" w:fill="FFFFFF"/>
          <w:lang w:val="es-ES_tradnl"/>
        </w:rPr>
        <w:t xml:space="preserve">umarias o </w:t>
      </w:r>
      <w:r w:rsidRPr="006E709F">
        <w:rPr>
          <w:rFonts w:ascii="Verdana" w:hAnsi="Verdana"/>
          <w:color w:val="000000"/>
          <w:sz w:val="20"/>
          <w:szCs w:val="20"/>
          <w:shd w:val="clear" w:color="auto" w:fill="FFFFFF"/>
          <w:lang w:val="es-ES_tradnl"/>
        </w:rPr>
        <w:t>A</w:t>
      </w:r>
      <w:r w:rsidRPr="00BB267D">
        <w:rPr>
          <w:rFonts w:ascii="Verdana" w:hAnsi="Verdana"/>
          <w:color w:val="000000"/>
          <w:sz w:val="20"/>
          <w:szCs w:val="20"/>
          <w:shd w:val="clear" w:color="auto" w:fill="FFFFFF"/>
          <w:lang w:val="es-ES_tradnl"/>
        </w:rPr>
        <w:t>rbitrarias</w:t>
      </w:r>
      <w:r w:rsidRPr="00BB267D">
        <w:rPr>
          <w:rFonts w:ascii="Verdana" w:hAnsi="Verdana"/>
          <w:color w:val="000000"/>
          <w:sz w:val="20"/>
          <w:szCs w:val="20"/>
          <w:shd w:val="clear" w:color="auto" w:fill="FFFFFF"/>
          <w:vertAlign w:val="superscript"/>
          <w:lang w:val="es-ES_tradnl"/>
        </w:rPr>
        <w:footnoteReference w:id="405"/>
      </w:r>
      <w:r w:rsidRPr="00BB267D">
        <w:rPr>
          <w:rFonts w:ascii="Verdana" w:hAnsi="Verdana"/>
          <w:color w:val="000000"/>
          <w:sz w:val="20"/>
          <w:szCs w:val="20"/>
          <w:shd w:val="clear" w:color="auto" w:fill="FFFFFF"/>
          <w:lang w:val="es-ES_tradnl"/>
        </w:rPr>
        <w:t>,</w:t>
      </w:r>
      <w:r w:rsidRPr="00BB267D">
        <w:rPr>
          <w:rFonts w:ascii="Verdana" w:hAnsi="Verdana"/>
          <w:color w:val="000000"/>
          <w:sz w:val="20"/>
          <w:szCs w:val="20"/>
          <w:shd w:val="clear" w:color="auto" w:fill="FFFFFF"/>
          <w:lang w:val="es-CO"/>
        </w:rPr>
        <w:t xml:space="preserve"> la Oficina en Colombia del Alto Comisionado </w:t>
      </w:r>
      <w:r w:rsidRPr="006E709F">
        <w:rPr>
          <w:rFonts w:ascii="Verdana" w:hAnsi="Verdana"/>
          <w:color w:val="000000"/>
          <w:sz w:val="20"/>
          <w:szCs w:val="20"/>
          <w:shd w:val="clear" w:color="auto" w:fill="FFFFFF"/>
          <w:lang w:val="es-CO"/>
        </w:rPr>
        <w:t xml:space="preserve">de las Naciones Unidas </w:t>
      </w:r>
      <w:r w:rsidRPr="00BB267D">
        <w:rPr>
          <w:rFonts w:ascii="Verdana" w:hAnsi="Verdana"/>
          <w:color w:val="000000"/>
          <w:sz w:val="20"/>
          <w:szCs w:val="20"/>
          <w:shd w:val="clear" w:color="auto" w:fill="FFFFFF"/>
          <w:lang w:val="es-CO"/>
        </w:rPr>
        <w:t>para los Derechos Humanos</w:t>
      </w:r>
      <w:r w:rsidRPr="00BB267D">
        <w:rPr>
          <w:rFonts w:ascii="Verdana" w:hAnsi="Verdana"/>
          <w:color w:val="000000"/>
          <w:sz w:val="20"/>
          <w:szCs w:val="20"/>
          <w:shd w:val="clear" w:color="auto" w:fill="FFFFFF"/>
          <w:vertAlign w:val="superscript"/>
          <w:lang w:val="es-CR"/>
        </w:rPr>
        <w:footnoteReference w:id="406"/>
      </w:r>
      <w:r w:rsidRPr="006E709F">
        <w:rPr>
          <w:rFonts w:ascii="Verdana" w:hAnsi="Verdana"/>
          <w:color w:val="000000"/>
          <w:sz w:val="20"/>
          <w:szCs w:val="20"/>
          <w:shd w:val="clear" w:color="auto" w:fill="FFFFFF"/>
          <w:lang w:val="es-CO"/>
        </w:rPr>
        <w:t xml:space="preserve">, así como </w:t>
      </w:r>
      <w:r w:rsidRPr="00BB267D">
        <w:rPr>
          <w:rFonts w:ascii="Verdana" w:hAnsi="Verdana"/>
          <w:color w:val="000000"/>
          <w:sz w:val="20"/>
          <w:szCs w:val="20"/>
          <w:shd w:val="clear" w:color="auto" w:fill="FFFFFF"/>
          <w:lang w:val="es-CO"/>
        </w:rPr>
        <w:t>la Comisión Interamericana de Derechos Humanos</w:t>
      </w:r>
      <w:r w:rsidRPr="00BB267D">
        <w:rPr>
          <w:rFonts w:ascii="Verdana" w:hAnsi="Verdana"/>
          <w:color w:val="000000"/>
          <w:sz w:val="20"/>
          <w:szCs w:val="20"/>
          <w:shd w:val="clear" w:color="auto" w:fill="FFFFFF"/>
          <w:vertAlign w:val="superscript"/>
          <w:lang w:val="es-CR"/>
        </w:rPr>
        <w:footnoteReference w:id="407"/>
      </w:r>
      <w:r w:rsidRPr="00BB267D">
        <w:rPr>
          <w:rFonts w:ascii="Verdana" w:hAnsi="Verdana"/>
          <w:color w:val="000000"/>
          <w:sz w:val="20"/>
          <w:szCs w:val="20"/>
          <w:shd w:val="clear" w:color="auto" w:fill="FFFFFF"/>
          <w:lang w:val="es-CO"/>
        </w:rPr>
        <w:t xml:space="preserve">, entre otros. </w:t>
      </w:r>
      <w:r w:rsidRPr="00BB267D">
        <w:rPr>
          <w:rFonts w:ascii="Verdana" w:hAnsi="Verdana"/>
          <w:sz w:val="20"/>
          <w:szCs w:val="20"/>
          <w:lang w:val="es-CO"/>
        </w:rPr>
        <w:t xml:space="preserve">Dichos organismos y procedimientos especiales </w:t>
      </w:r>
      <w:r w:rsidRPr="006E709F">
        <w:rPr>
          <w:rFonts w:ascii="Verdana" w:hAnsi="Verdana"/>
          <w:sz w:val="20"/>
          <w:szCs w:val="20"/>
          <w:lang w:val="es-CO"/>
        </w:rPr>
        <w:t xml:space="preserve">internacionales </w:t>
      </w:r>
      <w:r w:rsidRPr="00BB267D">
        <w:rPr>
          <w:rFonts w:ascii="Verdana" w:hAnsi="Verdana"/>
          <w:sz w:val="20"/>
          <w:szCs w:val="20"/>
          <w:lang w:val="es-CO"/>
        </w:rPr>
        <w:t>coinciden en señalar</w:t>
      </w:r>
      <w:r>
        <w:rPr>
          <w:rFonts w:ascii="Verdana" w:hAnsi="Verdana"/>
          <w:sz w:val="20"/>
          <w:szCs w:val="20"/>
          <w:lang w:val="es-CO"/>
        </w:rPr>
        <w:t xml:space="preserve"> en que </w:t>
      </w:r>
      <w:r w:rsidRPr="006E709F">
        <w:rPr>
          <w:rFonts w:ascii="Verdana" w:hAnsi="Verdana"/>
          <w:sz w:val="20"/>
          <w:szCs w:val="20"/>
          <w:lang w:val="es-CR"/>
        </w:rPr>
        <w:t xml:space="preserve">la participación de las </w:t>
      </w:r>
      <w:r w:rsidR="0077587B">
        <w:rPr>
          <w:rFonts w:ascii="Verdana" w:hAnsi="Verdana"/>
          <w:sz w:val="20"/>
          <w:szCs w:val="20"/>
          <w:lang w:val="es-CR"/>
        </w:rPr>
        <w:t>f</w:t>
      </w:r>
      <w:r w:rsidRPr="006E709F">
        <w:rPr>
          <w:rFonts w:ascii="Verdana" w:hAnsi="Verdana"/>
          <w:sz w:val="20"/>
          <w:szCs w:val="20"/>
          <w:lang w:val="es-CR"/>
        </w:rPr>
        <w:t xml:space="preserve">uerzas </w:t>
      </w:r>
      <w:r w:rsidR="0077587B">
        <w:rPr>
          <w:rFonts w:ascii="Verdana" w:hAnsi="Verdana"/>
          <w:sz w:val="20"/>
          <w:szCs w:val="20"/>
          <w:lang w:val="es-CR"/>
        </w:rPr>
        <w:t>a</w:t>
      </w:r>
      <w:r w:rsidRPr="006E709F">
        <w:rPr>
          <w:rFonts w:ascii="Verdana" w:hAnsi="Verdana"/>
          <w:sz w:val="20"/>
          <w:szCs w:val="20"/>
          <w:lang w:val="es-CR"/>
        </w:rPr>
        <w:t xml:space="preserve">rmadas en labores de policía judicial </w:t>
      </w:r>
      <w:r>
        <w:rPr>
          <w:rFonts w:ascii="Verdana" w:hAnsi="Verdana"/>
          <w:sz w:val="20"/>
          <w:szCs w:val="20"/>
          <w:lang w:val="es-CR"/>
        </w:rPr>
        <w:t xml:space="preserve">o ministerial </w:t>
      </w:r>
      <w:r w:rsidRPr="006E709F">
        <w:rPr>
          <w:rFonts w:ascii="Verdana" w:hAnsi="Verdana"/>
          <w:sz w:val="20"/>
          <w:szCs w:val="20"/>
          <w:lang w:val="es-CR"/>
        </w:rPr>
        <w:t>puede resultar contrario a determinados principios del Estado de Derecho</w:t>
      </w:r>
      <w:r w:rsidRPr="006E709F">
        <w:rPr>
          <w:rFonts w:ascii="Verdana" w:hAnsi="Verdana"/>
          <w:sz w:val="20"/>
          <w:szCs w:val="20"/>
          <w:lang w:val="es-CO"/>
        </w:rPr>
        <w:t xml:space="preserve"> tales como la separación de poderes, independencia y autonomía de los tribunales judiciales y la subordinación a las autoridades civiles</w:t>
      </w:r>
      <w:r>
        <w:rPr>
          <w:rFonts w:ascii="Verdana" w:hAnsi="Verdana"/>
          <w:sz w:val="20"/>
          <w:szCs w:val="20"/>
          <w:lang w:val="es-CO"/>
        </w:rPr>
        <w:t>.</w:t>
      </w:r>
      <w:r w:rsidRPr="006A0593">
        <w:rPr>
          <w:rFonts w:ascii="Verdana" w:hAnsi="Verdana"/>
          <w:sz w:val="20"/>
          <w:szCs w:val="20"/>
          <w:lang w:val="es-CR"/>
        </w:rPr>
        <w:t xml:space="preserve"> </w:t>
      </w:r>
      <w:r>
        <w:rPr>
          <w:rFonts w:ascii="Verdana" w:hAnsi="Verdana"/>
          <w:sz w:val="20"/>
          <w:szCs w:val="20"/>
          <w:lang w:val="es-CR"/>
        </w:rPr>
        <w:t xml:space="preserve">Por tanto, concuerdan en </w:t>
      </w:r>
      <w:r w:rsidRPr="00BE0411">
        <w:rPr>
          <w:rFonts w:ascii="Verdana" w:hAnsi="Verdana"/>
          <w:sz w:val="20"/>
          <w:szCs w:val="20"/>
          <w:lang w:val="es-CR"/>
        </w:rPr>
        <w:t xml:space="preserve">la necesidad de implementar mecanismos de rendición de cuentas a través de cuerpos independientes de todas las fuerzas de seguridad relacionadas con </w:t>
      </w:r>
      <w:r w:rsidRPr="00BE0411">
        <w:rPr>
          <w:rFonts w:ascii="Verdana" w:hAnsi="Verdana"/>
          <w:sz w:val="20"/>
          <w:szCs w:val="20"/>
          <w:lang w:val="es-CR"/>
        </w:rPr>
        <w:lastRenderedPageBreak/>
        <w:t xml:space="preserve">operativos y tareas </w:t>
      </w:r>
      <w:r>
        <w:rPr>
          <w:rFonts w:ascii="Verdana" w:hAnsi="Verdana"/>
          <w:sz w:val="20"/>
          <w:szCs w:val="20"/>
          <w:lang w:val="es-CR"/>
        </w:rPr>
        <w:t>de orden público</w:t>
      </w:r>
      <w:r>
        <w:rPr>
          <w:rStyle w:val="FootnoteReference"/>
          <w:rFonts w:ascii="Verdana" w:hAnsi="Verdana"/>
          <w:lang w:val="es-CR"/>
        </w:rPr>
        <w:footnoteReference w:id="408"/>
      </w:r>
      <w:r w:rsidR="00DA7DBA" w:rsidRPr="002E1C85">
        <w:rPr>
          <w:rFonts w:ascii="Verdana" w:hAnsi="Verdana"/>
          <w:sz w:val="20"/>
          <w:szCs w:val="20"/>
          <w:lang w:val="es-CR"/>
        </w:rPr>
        <w:t>.</w:t>
      </w:r>
    </w:p>
    <w:p w14:paraId="09C497C2" w14:textId="7D50EF1E" w:rsidR="0077587B" w:rsidRDefault="00DA7DBA" w:rsidP="00DB378B">
      <w:pPr>
        <w:widowControl w:val="0"/>
        <w:numPr>
          <w:ilvl w:val="0"/>
          <w:numId w:val="4"/>
        </w:numPr>
        <w:tabs>
          <w:tab w:val="left" w:pos="567"/>
        </w:tabs>
        <w:autoSpaceDE w:val="0"/>
        <w:autoSpaceDN w:val="0"/>
        <w:adjustRightInd w:val="0"/>
        <w:spacing w:before="120" w:after="120" w:line="240" w:lineRule="auto"/>
        <w:ind w:left="0" w:firstLine="0"/>
        <w:jc w:val="both"/>
        <w:textAlignment w:val="baseline"/>
        <w:rPr>
          <w:rFonts w:ascii="Verdana" w:hAnsi="Verdana"/>
          <w:sz w:val="20"/>
          <w:lang w:val="es-CR"/>
        </w:rPr>
      </w:pPr>
      <w:r w:rsidRPr="00474897">
        <w:rPr>
          <w:rFonts w:ascii="Verdana" w:hAnsi="Verdana"/>
          <w:sz w:val="20"/>
          <w:szCs w:val="20"/>
        </w:rPr>
        <w:t>En vista de lo anterior</w:t>
      </w:r>
      <w:r w:rsidRPr="00474897">
        <w:rPr>
          <w:rFonts w:ascii="Verdana" w:hAnsi="Verdana"/>
          <w:sz w:val="20"/>
        </w:rPr>
        <w:t xml:space="preserve">, </w:t>
      </w:r>
      <w:r w:rsidRPr="00474897">
        <w:rPr>
          <w:rFonts w:ascii="Verdana" w:hAnsi="Verdana"/>
          <w:sz w:val="20"/>
          <w:lang w:val="es-CR"/>
        </w:rPr>
        <w:t xml:space="preserve">como regla general, </w:t>
      </w:r>
      <w:r w:rsidR="00836E1E" w:rsidRPr="00474897">
        <w:rPr>
          <w:rFonts w:ascii="Verdana" w:hAnsi="Verdana"/>
          <w:sz w:val="20"/>
          <w:lang w:val="es-CR"/>
        </w:rPr>
        <w:t xml:space="preserve">la Corte reafirma que </w:t>
      </w:r>
      <w:r w:rsidRPr="00474897">
        <w:rPr>
          <w:rFonts w:ascii="Verdana" w:hAnsi="Verdana"/>
          <w:sz w:val="20"/>
        </w:rPr>
        <w:t xml:space="preserve">el mantenimiento del orden público interno y la seguridad </w:t>
      </w:r>
      <w:r w:rsidR="00171268">
        <w:rPr>
          <w:rFonts w:ascii="Verdana" w:hAnsi="Verdana"/>
          <w:sz w:val="20"/>
        </w:rPr>
        <w:t xml:space="preserve">ciudadana </w:t>
      </w:r>
      <w:r w:rsidRPr="00A6589D">
        <w:rPr>
          <w:rFonts w:ascii="Verdana" w:hAnsi="Verdana"/>
          <w:sz w:val="20"/>
          <w:lang w:val="es-CR"/>
        </w:rPr>
        <w:t>debe</w:t>
      </w:r>
      <w:r w:rsidR="004234EB">
        <w:rPr>
          <w:rFonts w:ascii="Verdana" w:hAnsi="Verdana"/>
          <w:sz w:val="20"/>
          <w:lang w:val="es-CR"/>
        </w:rPr>
        <w:t>n</w:t>
      </w:r>
      <w:r w:rsidRPr="00A6589D">
        <w:rPr>
          <w:rFonts w:ascii="Verdana" w:hAnsi="Verdana"/>
          <w:sz w:val="20"/>
          <w:lang w:val="es-CR"/>
        </w:rPr>
        <w:t xml:space="preserve"> estar primariamente reservad</w:t>
      </w:r>
      <w:r w:rsidR="004234EB">
        <w:rPr>
          <w:rFonts w:ascii="Verdana" w:hAnsi="Verdana"/>
          <w:sz w:val="20"/>
          <w:lang w:val="es-CR"/>
        </w:rPr>
        <w:t>os</w:t>
      </w:r>
      <w:r w:rsidRPr="00A6589D">
        <w:rPr>
          <w:rFonts w:ascii="Verdana" w:hAnsi="Verdana"/>
          <w:sz w:val="20"/>
          <w:lang w:val="es-CR"/>
        </w:rPr>
        <w:t xml:space="preserve"> a los cuerpos </w:t>
      </w:r>
      <w:r w:rsidRPr="00717A95">
        <w:rPr>
          <w:rFonts w:ascii="Verdana" w:hAnsi="Verdana"/>
          <w:sz w:val="20"/>
        </w:rPr>
        <w:t xml:space="preserve">policiales </w:t>
      </w:r>
      <w:r w:rsidRPr="00717A95">
        <w:rPr>
          <w:rFonts w:ascii="Verdana" w:hAnsi="Verdana"/>
          <w:sz w:val="20"/>
          <w:lang w:val="es-CR"/>
        </w:rPr>
        <w:t>civiles</w:t>
      </w:r>
      <w:r w:rsidR="003C68CF" w:rsidRPr="00474897">
        <w:rPr>
          <w:rStyle w:val="FootnoteReference"/>
          <w:rFonts w:ascii="Verdana" w:hAnsi="Verdana"/>
          <w:sz w:val="20"/>
          <w:lang w:val="es-CR"/>
        </w:rPr>
        <w:footnoteReference w:id="409"/>
      </w:r>
      <w:r w:rsidRPr="00474897">
        <w:rPr>
          <w:rFonts w:ascii="Verdana" w:hAnsi="Verdana"/>
          <w:sz w:val="20"/>
        </w:rPr>
        <w:t>.</w:t>
      </w:r>
      <w:r w:rsidRPr="00474897">
        <w:rPr>
          <w:rFonts w:ascii="Verdana" w:hAnsi="Verdana"/>
          <w:sz w:val="20"/>
          <w:lang w:val="es-CR"/>
        </w:rPr>
        <w:t xml:space="preserve"> </w:t>
      </w:r>
      <w:r w:rsidRPr="00CB680E">
        <w:rPr>
          <w:rFonts w:ascii="Verdana" w:hAnsi="Verdana"/>
          <w:sz w:val="20"/>
          <w:lang w:val="es-CR"/>
        </w:rPr>
        <w:t xml:space="preserve">No obstante, </w:t>
      </w:r>
      <w:r w:rsidR="00F67B06" w:rsidRPr="00AD4631">
        <w:rPr>
          <w:rFonts w:ascii="Verdana" w:hAnsi="Verdana"/>
          <w:sz w:val="20"/>
          <w:lang w:val="es-CR"/>
        </w:rPr>
        <w:t xml:space="preserve">cuando excepcionalmente intervengan en tareas de seguridad, la </w:t>
      </w:r>
      <w:r w:rsidR="00171268" w:rsidRPr="002E7B1B">
        <w:rPr>
          <w:rFonts w:ascii="Verdana" w:hAnsi="Verdana"/>
          <w:sz w:val="20"/>
          <w:lang w:val="es-CR"/>
        </w:rPr>
        <w:t xml:space="preserve">participación de las </w:t>
      </w:r>
      <w:r w:rsidR="004234EB" w:rsidRPr="002E7B1B">
        <w:rPr>
          <w:rFonts w:ascii="Verdana" w:hAnsi="Verdana"/>
          <w:sz w:val="20"/>
          <w:lang w:val="es-CR"/>
        </w:rPr>
        <w:t>f</w:t>
      </w:r>
      <w:r w:rsidR="00171268" w:rsidRPr="002E7B1B">
        <w:rPr>
          <w:rFonts w:ascii="Verdana" w:hAnsi="Verdana"/>
          <w:sz w:val="20"/>
          <w:lang w:val="es-CR"/>
        </w:rPr>
        <w:t>uerzas a</w:t>
      </w:r>
      <w:r w:rsidRPr="00CB680E">
        <w:rPr>
          <w:rFonts w:ascii="Verdana" w:hAnsi="Verdana"/>
          <w:sz w:val="20"/>
          <w:lang w:val="es-CR"/>
        </w:rPr>
        <w:t>r</w:t>
      </w:r>
      <w:r w:rsidR="001F49E1" w:rsidRPr="00CB680E">
        <w:rPr>
          <w:rFonts w:ascii="Verdana" w:hAnsi="Verdana"/>
          <w:sz w:val="20"/>
          <w:lang w:val="es-CR"/>
        </w:rPr>
        <w:t xml:space="preserve">madas </w:t>
      </w:r>
      <w:r w:rsidR="00B93CB5" w:rsidRPr="00CB680E">
        <w:rPr>
          <w:rFonts w:ascii="Verdana" w:hAnsi="Verdana" w:cs="Arial"/>
          <w:sz w:val="20"/>
          <w:szCs w:val="20"/>
          <w:lang w:val="es-CR"/>
        </w:rPr>
        <w:t>debe</w:t>
      </w:r>
      <w:r w:rsidRPr="00CB680E">
        <w:rPr>
          <w:rFonts w:ascii="Verdana" w:hAnsi="Verdana"/>
          <w:sz w:val="20"/>
          <w:lang w:val="es-CR"/>
        </w:rPr>
        <w:t xml:space="preserve"> ser:</w:t>
      </w:r>
      <w:r w:rsidRPr="00717A95">
        <w:rPr>
          <w:rFonts w:ascii="Verdana" w:hAnsi="Verdana"/>
          <w:sz w:val="20"/>
          <w:lang w:val="es-CR"/>
        </w:rPr>
        <w:t xml:space="preserve"> </w:t>
      </w:r>
    </w:p>
    <w:p w14:paraId="05785520" w14:textId="086B090A" w:rsidR="0077587B" w:rsidRDefault="00DA7DBA" w:rsidP="00AD4631">
      <w:pPr>
        <w:widowControl w:val="0"/>
        <w:tabs>
          <w:tab w:val="left" w:pos="567"/>
        </w:tabs>
        <w:autoSpaceDE w:val="0"/>
        <w:autoSpaceDN w:val="0"/>
        <w:adjustRightInd w:val="0"/>
        <w:spacing w:before="120" w:after="120" w:line="240" w:lineRule="auto"/>
        <w:ind w:left="567"/>
        <w:contextualSpacing/>
        <w:jc w:val="both"/>
        <w:textAlignment w:val="baseline"/>
        <w:rPr>
          <w:rFonts w:ascii="Verdana" w:hAnsi="Verdana"/>
          <w:sz w:val="20"/>
          <w:lang w:val="es-CR"/>
        </w:rPr>
      </w:pPr>
      <w:r w:rsidRPr="00717A95">
        <w:rPr>
          <w:rFonts w:ascii="Verdana" w:hAnsi="Verdana"/>
          <w:sz w:val="20"/>
          <w:lang w:val="es-CR"/>
        </w:rPr>
        <w:t xml:space="preserve">a) </w:t>
      </w:r>
      <w:r w:rsidR="00C56E31">
        <w:rPr>
          <w:rFonts w:ascii="Verdana" w:hAnsi="Verdana"/>
          <w:i/>
          <w:sz w:val="20"/>
          <w:lang w:val="es-CR"/>
        </w:rPr>
        <w:t>E</w:t>
      </w:r>
      <w:r w:rsidRPr="008D0846">
        <w:rPr>
          <w:rFonts w:ascii="Verdana" w:hAnsi="Verdana"/>
          <w:i/>
          <w:sz w:val="20"/>
          <w:lang w:val="es-CR"/>
        </w:rPr>
        <w:t>xtraordinaria</w:t>
      </w:r>
      <w:r w:rsidRPr="00717A95">
        <w:rPr>
          <w:rFonts w:ascii="Verdana" w:hAnsi="Verdana"/>
          <w:sz w:val="20"/>
          <w:lang w:val="es-CR"/>
        </w:rPr>
        <w:t xml:space="preserve">, </w:t>
      </w:r>
      <w:r w:rsidRPr="005203D7">
        <w:rPr>
          <w:rFonts w:ascii="Verdana" w:hAnsi="Verdana"/>
          <w:sz w:val="20"/>
        </w:rPr>
        <w:t xml:space="preserve">de manera que </w:t>
      </w:r>
      <w:r w:rsidR="004234EB">
        <w:rPr>
          <w:rFonts w:ascii="Verdana" w:hAnsi="Verdana"/>
          <w:sz w:val="20"/>
        </w:rPr>
        <w:t xml:space="preserve">toda </w:t>
      </w:r>
      <w:r w:rsidRPr="000B786A">
        <w:rPr>
          <w:rFonts w:ascii="Verdana" w:hAnsi="Verdana"/>
          <w:sz w:val="20"/>
        </w:rPr>
        <w:t>intervención se encuentre justificada y resulte excepcional, temporal y restringida a lo</w:t>
      </w:r>
      <w:r w:rsidRPr="000B786A">
        <w:rPr>
          <w:rFonts w:ascii="Verdana" w:eastAsiaTheme="minorHAnsi" w:hAnsi="Verdana"/>
          <w:sz w:val="20"/>
          <w:lang w:val="es-CR"/>
        </w:rPr>
        <w:t xml:space="preserve"> estrictamente </w:t>
      </w:r>
      <w:r w:rsidRPr="000B786A">
        <w:rPr>
          <w:rFonts w:ascii="Verdana" w:hAnsi="Verdana"/>
          <w:sz w:val="20"/>
          <w:lang w:val="es-CR"/>
        </w:rPr>
        <w:t>necesario en las circunstancias del caso</w:t>
      </w:r>
      <w:r w:rsidR="00DE2DF6" w:rsidRPr="00C90B3F">
        <w:rPr>
          <w:rFonts w:ascii="Verdana" w:hAnsi="Verdana"/>
          <w:sz w:val="20"/>
          <w:vertAlign w:val="superscript"/>
          <w:lang w:val="es-CR"/>
        </w:rPr>
        <w:footnoteReference w:id="410"/>
      </w:r>
      <w:r w:rsidRPr="00474897">
        <w:rPr>
          <w:rFonts w:ascii="Verdana" w:hAnsi="Verdana"/>
          <w:sz w:val="20"/>
          <w:lang w:val="es-CR"/>
        </w:rPr>
        <w:t xml:space="preserve">; </w:t>
      </w:r>
    </w:p>
    <w:p w14:paraId="3AC9E037" w14:textId="0D468AC5" w:rsidR="0077587B" w:rsidRDefault="00DA7DBA" w:rsidP="00AD4631">
      <w:pPr>
        <w:widowControl w:val="0"/>
        <w:tabs>
          <w:tab w:val="left" w:pos="567"/>
        </w:tabs>
        <w:autoSpaceDE w:val="0"/>
        <w:autoSpaceDN w:val="0"/>
        <w:adjustRightInd w:val="0"/>
        <w:spacing w:before="120" w:after="120" w:line="240" w:lineRule="auto"/>
        <w:ind w:left="567"/>
        <w:contextualSpacing/>
        <w:jc w:val="both"/>
        <w:textAlignment w:val="baseline"/>
        <w:rPr>
          <w:rFonts w:ascii="Verdana" w:hAnsi="Verdana"/>
          <w:sz w:val="20"/>
        </w:rPr>
      </w:pPr>
      <w:r w:rsidRPr="00474897">
        <w:rPr>
          <w:rFonts w:ascii="Verdana" w:hAnsi="Verdana"/>
          <w:sz w:val="20"/>
          <w:lang w:val="es-CR"/>
        </w:rPr>
        <w:t xml:space="preserve">b) </w:t>
      </w:r>
      <w:r w:rsidR="00C56E31">
        <w:rPr>
          <w:rFonts w:ascii="Verdana" w:hAnsi="Verdana"/>
          <w:i/>
          <w:sz w:val="20"/>
          <w:lang w:val="es-CR"/>
        </w:rPr>
        <w:t>S</w:t>
      </w:r>
      <w:r w:rsidRPr="008D0846">
        <w:rPr>
          <w:rFonts w:ascii="Verdana" w:hAnsi="Verdana"/>
          <w:i/>
          <w:sz w:val="20"/>
          <w:lang w:val="es-CR"/>
        </w:rPr>
        <w:t>ubordinada</w:t>
      </w:r>
      <w:r w:rsidRPr="00474897">
        <w:rPr>
          <w:rFonts w:ascii="Verdana" w:hAnsi="Verdana"/>
          <w:sz w:val="20"/>
        </w:rPr>
        <w:t xml:space="preserve"> </w:t>
      </w:r>
      <w:r w:rsidRPr="008D0846">
        <w:rPr>
          <w:rFonts w:ascii="Verdana" w:hAnsi="Verdana"/>
          <w:i/>
          <w:sz w:val="20"/>
        </w:rPr>
        <w:t>y</w:t>
      </w:r>
      <w:r w:rsidRPr="00474897">
        <w:rPr>
          <w:rFonts w:ascii="Verdana" w:hAnsi="Verdana"/>
          <w:sz w:val="20"/>
        </w:rPr>
        <w:t xml:space="preserve"> </w:t>
      </w:r>
      <w:r w:rsidRPr="008D0846">
        <w:rPr>
          <w:rFonts w:ascii="Verdana" w:hAnsi="Verdana"/>
          <w:i/>
          <w:sz w:val="20"/>
        </w:rPr>
        <w:t>complementaria</w:t>
      </w:r>
      <w:r w:rsidR="004234EB">
        <w:rPr>
          <w:rFonts w:ascii="Verdana" w:hAnsi="Verdana"/>
          <w:i/>
          <w:sz w:val="20"/>
        </w:rPr>
        <w:t>,</w:t>
      </w:r>
      <w:r w:rsidRPr="00474897">
        <w:rPr>
          <w:rFonts w:ascii="Verdana" w:hAnsi="Verdana"/>
          <w:sz w:val="20"/>
        </w:rPr>
        <w:t xml:space="preserve"> a las labores de las corporaciones civiles, sin que sus labores puedan extenderse a las facultades propias de las instituciones de procuración de justicia o policía judicial</w:t>
      </w:r>
      <w:r w:rsidR="00DE2DF6" w:rsidRPr="00C90B3F">
        <w:rPr>
          <w:rFonts w:ascii="Verdana" w:hAnsi="Verdana"/>
          <w:sz w:val="20"/>
        </w:rPr>
        <w:t xml:space="preserve"> o ministerial</w:t>
      </w:r>
      <w:r w:rsidR="00DE2DF6" w:rsidRPr="00C90B3F">
        <w:rPr>
          <w:rFonts w:ascii="Verdana" w:hAnsi="Verdana"/>
          <w:sz w:val="20"/>
          <w:vertAlign w:val="superscript"/>
          <w:lang w:val="es-CR"/>
        </w:rPr>
        <w:footnoteReference w:id="411"/>
      </w:r>
      <w:r w:rsidRPr="00474897">
        <w:rPr>
          <w:rFonts w:ascii="Verdana" w:hAnsi="Verdana"/>
          <w:sz w:val="20"/>
        </w:rPr>
        <w:t xml:space="preserve">; </w:t>
      </w:r>
    </w:p>
    <w:p w14:paraId="3B2726FA" w14:textId="75211C6F" w:rsidR="0077587B" w:rsidRDefault="00DA7DBA" w:rsidP="00AD4631">
      <w:pPr>
        <w:widowControl w:val="0"/>
        <w:tabs>
          <w:tab w:val="left" w:pos="567"/>
        </w:tabs>
        <w:autoSpaceDE w:val="0"/>
        <w:autoSpaceDN w:val="0"/>
        <w:adjustRightInd w:val="0"/>
        <w:spacing w:before="120" w:after="120" w:line="240" w:lineRule="auto"/>
        <w:ind w:left="567"/>
        <w:contextualSpacing/>
        <w:jc w:val="both"/>
        <w:textAlignment w:val="baseline"/>
        <w:rPr>
          <w:rFonts w:ascii="Verdana" w:hAnsi="Verdana"/>
          <w:sz w:val="20"/>
        </w:rPr>
      </w:pPr>
      <w:r w:rsidRPr="00474897">
        <w:rPr>
          <w:rFonts w:ascii="Verdana" w:hAnsi="Verdana"/>
          <w:sz w:val="20"/>
        </w:rPr>
        <w:t xml:space="preserve">c) </w:t>
      </w:r>
      <w:r w:rsidR="00C56E31">
        <w:rPr>
          <w:rFonts w:ascii="Verdana" w:eastAsia="Calibri" w:hAnsi="Verdana"/>
          <w:i/>
          <w:sz w:val="20"/>
        </w:rPr>
        <w:t>R</w:t>
      </w:r>
      <w:r w:rsidRPr="008D0846">
        <w:rPr>
          <w:rFonts w:ascii="Verdana" w:eastAsia="Calibri" w:hAnsi="Verdana"/>
          <w:i/>
          <w:sz w:val="20"/>
        </w:rPr>
        <w:t>egulada</w:t>
      </w:r>
      <w:r w:rsidRPr="00474897">
        <w:rPr>
          <w:rFonts w:ascii="Verdana" w:eastAsia="Calibri" w:hAnsi="Verdana"/>
          <w:sz w:val="20"/>
        </w:rPr>
        <w:t>, mediante me</w:t>
      </w:r>
      <w:r w:rsidR="00CF654C">
        <w:rPr>
          <w:rFonts w:ascii="Verdana" w:eastAsia="Calibri" w:hAnsi="Verdana"/>
          <w:sz w:val="20"/>
        </w:rPr>
        <w:t>canismos</w:t>
      </w:r>
      <w:r w:rsidRPr="00474897">
        <w:rPr>
          <w:rFonts w:ascii="Verdana" w:eastAsia="Calibri" w:hAnsi="Verdana"/>
          <w:sz w:val="20"/>
        </w:rPr>
        <w:t xml:space="preserve"> legales y </w:t>
      </w:r>
      <w:r w:rsidRPr="00474897">
        <w:rPr>
          <w:rFonts w:ascii="Verdana" w:hAnsi="Verdana"/>
          <w:sz w:val="20"/>
        </w:rPr>
        <w:t>protocolos sobre el uso de la fuerza, bajo los principios de excepcionalidad, proporcionalidad y absoluta necesidad</w:t>
      </w:r>
      <w:r w:rsidR="00DE2DF6" w:rsidRPr="00C90B3F">
        <w:rPr>
          <w:rFonts w:ascii="Verdana" w:hAnsi="Verdana"/>
          <w:sz w:val="20"/>
          <w:vertAlign w:val="superscript"/>
          <w:lang w:val="es-CR"/>
        </w:rPr>
        <w:footnoteReference w:id="412"/>
      </w:r>
      <w:r w:rsidR="00836E1E" w:rsidRPr="00474897">
        <w:rPr>
          <w:rFonts w:ascii="Verdana" w:hAnsi="Verdana"/>
          <w:sz w:val="20"/>
        </w:rPr>
        <w:t xml:space="preserve"> y </w:t>
      </w:r>
      <w:r w:rsidR="00171268">
        <w:rPr>
          <w:rFonts w:ascii="Verdana" w:hAnsi="Verdana"/>
          <w:sz w:val="20"/>
        </w:rPr>
        <w:t xml:space="preserve">de acuerdo con </w:t>
      </w:r>
      <w:r w:rsidR="00145DF2">
        <w:rPr>
          <w:rFonts w:ascii="Verdana" w:hAnsi="Verdana"/>
          <w:sz w:val="20"/>
        </w:rPr>
        <w:t>la</w:t>
      </w:r>
      <w:r w:rsidR="00836E1E" w:rsidRPr="00474897">
        <w:rPr>
          <w:rFonts w:ascii="Verdana" w:hAnsi="Verdana"/>
          <w:sz w:val="20"/>
        </w:rPr>
        <w:t xml:space="preserve"> respectiva capacitación</w:t>
      </w:r>
      <w:r w:rsidR="00171268">
        <w:rPr>
          <w:rFonts w:ascii="Verdana" w:eastAsiaTheme="minorHAnsi" w:hAnsi="Verdana" w:cs="Arial"/>
          <w:sz w:val="20"/>
          <w:szCs w:val="20"/>
          <w:lang w:val="es-CR"/>
        </w:rPr>
        <w:t xml:space="preserve"> en la mater</w:t>
      </w:r>
      <w:r w:rsidR="00D63425">
        <w:rPr>
          <w:rFonts w:ascii="Verdana" w:eastAsiaTheme="minorHAnsi" w:hAnsi="Verdana" w:cs="Arial"/>
          <w:sz w:val="20"/>
          <w:szCs w:val="20"/>
          <w:lang w:val="es-CR"/>
        </w:rPr>
        <w:t>i</w:t>
      </w:r>
      <w:r w:rsidR="00171268">
        <w:rPr>
          <w:rFonts w:ascii="Verdana" w:eastAsiaTheme="minorHAnsi" w:hAnsi="Verdana" w:cs="Arial"/>
          <w:sz w:val="20"/>
          <w:szCs w:val="20"/>
          <w:lang w:val="es-CR"/>
        </w:rPr>
        <w:t>a</w:t>
      </w:r>
      <w:r w:rsidR="00DE2DF6" w:rsidRPr="00C90B3F">
        <w:rPr>
          <w:rFonts w:ascii="Verdana" w:hAnsi="Verdana"/>
          <w:sz w:val="20"/>
          <w:vertAlign w:val="superscript"/>
          <w:lang w:val="es-CR"/>
        </w:rPr>
        <w:footnoteReference w:id="413"/>
      </w:r>
      <w:r w:rsidR="00516109">
        <w:rPr>
          <w:rFonts w:ascii="Verdana" w:hAnsi="Verdana"/>
          <w:sz w:val="20"/>
        </w:rPr>
        <w:t>, y</w:t>
      </w:r>
      <w:r w:rsidRPr="00474897">
        <w:rPr>
          <w:rFonts w:ascii="Verdana" w:hAnsi="Verdana"/>
          <w:sz w:val="20"/>
        </w:rPr>
        <w:t xml:space="preserve"> </w:t>
      </w:r>
    </w:p>
    <w:p w14:paraId="49D24A75" w14:textId="124CCAA2" w:rsidR="00DA7DBA" w:rsidRPr="00474897" w:rsidRDefault="00DA7DBA" w:rsidP="00AD4631">
      <w:pPr>
        <w:widowControl w:val="0"/>
        <w:tabs>
          <w:tab w:val="left" w:pos="567"/>
        </w:tabs>
        <w:autoSpaceDE w:val="0"/>
        <w:autoSpaceDN w:val="0"/>
        <w:adjustRightInd w:val="0"/>
        <w:spacing w:before="120" w:after="120" w:line="240" w:lineRule="auto"/>
        <w:ind w:left="567"/>
        <w:contextualSpacing/>
        <w:jc w:val="both"/>
        <w:textAlignment w:val="baseline"/>
        <w:rPr>
          <w:rFonts w:ascii="Verdana" w:hAnsi="Verdana"/>
          <w:sz w:val="20"/>
          <w:lang w:val="es-CR"/>
        </w:rPr>
      </w:pPr>
      <w:r w:rsidRPr="00474897">
        <w:rPr>
          <w:rFonts w:ascii="Verdana" w:hAnsi="Verdana"/>
          <w:sz w:val="20"/>
        </w:rPr>
        <w:t xml:space="preserve">d) </w:t>
      </w:r>
      <w:r w:rsidR="00C56E31">
        <w:rPr>
          <w:rFonts w:ascii="Verdana" w:hAnsi="Verdana"/>
          <w:i/>
          <w:sz w:val="20"/>
        </w:rPr>
        <w:t>F</w:t>
      </w:r>
      <w:r w:rsidRPr="008D0846">
        <w:rPr>
          <w:rFonts w:ascii="Verdana" w:hAnsi="Verdana"/>
          <w:i/>
          <w:sz w:val="20"/>
        </w:rPr>
        <w:t>iscalizada</w:t>
      </w:r>
      <w:r w:rsidR="004234EB">
        <w:rPr>
          <w:rFonts w:ascii="Verdana" w:hAnsi="Verdana"/>
          <w:i/>
          <w:sz w:val="20"/>
        </w:rPr>
        <w:t>,</w:t>
      </w:r>
      <w:r w:rsidRPr="00474897">
        <w:rPr>
          <w:rFonts w:ascii="Verdana" w:hAnsi="Verdana"/>
          <w:sz w:val="20"/>
        </w:rPr>
        <w:t xml:space="preserve"> por órganos civiles competentes, independientes y técnicamente capaces</w:t>
      </w:r>
      <w:r w:rsidR="00DE2DF6" w:rsidRPr="00C90B3F">
        <w:rPr>
          <w:rFonts w:ascii="Verdana" w:hAnsi="Verdana"/>
          <w:sz w:val="20"/>
          <w:vertAlign w:val="superscript"/>
          <w:lang w:val="es-CR"/>
        </w:rPr>
        <w:footnoteReference w:id="414"/>
      </w:r>
      <w:r w:rsidR="00171268">
        <w:rPr>
          <w:rFonts w:ascii="Verdana" w:hAnsi="Verdana"/>
          <w:sz w:val="20"/>
        </w:rPr>
        <w:t>.</w:t>
      </w:r>
    </w:p>
    <w:p w14:paraId="6E441C26" w14:textId="0311DB96" w:rsidR="0044158A" w:rsidRPr="003564A3" w:rsidRDefault="0044158A" w:rsidP="00DB378B">
      <w:pPr>
        <w:widowControl w:val="0"/>
        <w:numPr>
          <w:ilvl w:val="0"/>
          <w:numId w:val="4"/>
        </w:numPr>
        <w:tabs>
          <w:tab w:val="left" w:pos="567"/>
        </w:tabs>
        <w:autoSpaceDE w:val="0"/>
        <w:autoSpaceDN w:val="0"/>
        <w:adjustRightInd w:val="0"/>
        <w:spacing w:before="120" w:after="120" w:line="240" w:lineRule="auto"/>
        <w:ind w:left="0" w:firstLine="0"/>
        <w:jc w:val="both"/>
        <w:textAlignment w:val="baseline"/>
        <w:rPr>
          <w:rFonts w:ascii="Verdana" w:hAnsi="Verdana"/>
          <w:sz w:val="20"/>
          <w:lang w:val="es-CR"/>
        </w:rPr>
      </w:pPr>
      <w:r w:rsidRPr="00C90B3F">
        <w:rPr>
          <w:rFonts w:ascii="Verdana" w:hAnsi="Verdana"/>
          <w:sz w:val="20"/>
          <w:szCs w:val="20"/>
        </w:rPr>
        <w:lastRenderedPageBreak/>
        <w:t>Asimismo</w:t>
      </w:r>
      <w:r>
        <w:rPr>
          <w:rFonts w:ascii="Verdana" w:hAnsi="Verdana"/>
          <w:sz w:val="20"/>
          <w:szCs w:val="20"/>
          <w:lang w:val="es-CR"/>
        </w:rPr>
        <w:t xml:space="preserve">, la Corte reitera su jurisprudencia en el sentido que el Estado debe brindar recursos sencillos y </w:t>
      </w:r>
      <w:r w:rsidR="00396ABC">
        <w:rPr>
          <w:rFonts w:ascii="Verdana" w:hAnsi="Verdana"/>
          <w:sz w:val="20"/>
          <w:szCs w:val="20"/>
          <w:lang w:val="es-CR"/>
        </w:rPr>
        <w:t>expeditos</w:t>
      </w:r>
      <w:r>
        <w:rPr>
          <w:rFonts w:ascii="Verdana" w:hAnsi="Verdana"/>
          <w:sz w:val="20"/>
          <w:szCs w:val="20"/>
          <w:lang w:val="es-CR"/>
        </w:rPr>
        <w:t xml:space="preserve"> para denunciar la violación de los derechos humanos, así como </w:t>
      </w:r>
      <w:r w:rsidR="00EC2511">
        <w:rPr>
          <w:rFonts w:ascii="Verdana" w:hAnsi="Verdana"/>
          <w:sz w:val="20"/>
          <w:szCs w:val="20"/>
          <w:lang w:val="es-CR"/>
        </w:rPr>
        <w:t xml:space="preserve">que </w:t>
      </w:r>
      <w:r w:rsidR="00B93CB5">
        <w:rPr>
          <w:rFonts w:ascii="Verdana" w:hAnsi="Verdana"/>
          <w:sz w:val="20"/>
          <w:szCs w:val="20"/>
          <w:lang w:val="es-CR"/>
        </w:rPr>
        <w:t>tales denuncias</w:t>
      </w:r>
      <w:r>
        <w:rPr>
          <w:rFonts w:ascii="Verdana" w:hAnsi="Verdana"/>
          <w:sz w:val="20"/>
          <w:szCs w:val="20"/>
          <w:lang w:val="es-CR"/>
        </w:rPr>
        <w:t xml:space="preserve"> debe</w:t>
      </w:r>
      <w:r w:rsidR="00B93CB5">
        <w:rPr>
          <w:rFonts w:ascii="Verdana" w:hAnsi="Verdana"/>
          <w:sz w:val="20"/>
          <w:szCs w:val="20"/>
          <w:lang w:val="es-CR"/>
        </w:rPr>
        <w:t>n</w:t>
      </w:r>
      <w:r>
        <w:rPr>
          <w:rFonts w:ascii="Verdana" w:hAnsi="Verdana"/>
          <w:sz w:val="20"/>
          <w:szCs w:val="20"/>
          <w:lang w:val="es-CR"/>
        </w:rPr>
        <w:t xml:space="preserve"> ser </w:t>
      </w:r>
      <w:r>
        <w:rPr>
          <w:rFonts w:ascii="Verdana" w:hAnsi="Verdana" w:cs="Arial"/>
          <w:sz w:val="20"/>
          <w:szCs w:val="20"/>
        </w:rPr>
        <w:t>v</w:t>
      </w:r>
      <w:r w:rsidRPr="002E1C85">
        <w:rPr>
          <w:rFonts w:ascii="Verdana" w:hAnsi="Verdana" w:cs="Arial"/>
          <w:sz w:val="20"/>
          <w:szCs w:val="20"/>
        </w:rPr>
        <w:t>entilada</w:t>
      </w:r>
      <w:r w:rsidR="00EC2511">
        <w:rPr>
          <w:rFonts w:ascii="Verdana" w:hAnsi="Verdana" w:cs="Arial"/>
          <w:sz w:val="20"/>
          <w:szCs w:val="20"/>
        </w:rPr>
        <w:t>s</w:t>
      </w:r>
      <w:r w:rsidRPr="002E1C85">
        <w:rPr>
          <w:rFonts w:ascii="Verdana" w:hAnsi="Verdana" w:cs="Arial"/>
          <w:sz w:val="20"/>
          <w:szCs w:val="20"/>
        </w:rPr>
        <w:t xml:space="preserve"> ante la jurisdicción ordinaria</w:t>
      </w:r>
      <w:r w:rsidR="00D421E6">
        <w:rPr>
          <w:rFonts w:ascii="Verdana" w:hAnsi="Verdana" w:cs="Arial"/>
          <w:sz w:val="20"/>
          <w:szCs w:val="20"/>
        </w:rPr>
        <w:t xml:space="preserve"> y no militar</w:t>
      </w:r>
      <w:r w:rsidR="00474897" w:rsidRPr="00C90B3F">
        <w:rPr>
          <w:rStyle w:val="FootnoteReference"/>
          <w:rFonts w:ascii="Verdana" w:hAnsi="Verdana" w:cs="Arial"/>
          <w:sz w:val="20"/>
          <w:szCs w:val="20"/>
        </w:rPr>
        <w:footnoteReference w:id="415"/>
      </w:r>
      <w:r w:rsidRPr="00474897">
        <w:rPr>
          <w:rFonts w:ascii="Verdana" w:hAnsi="Verdana" w:cs="Arial"/>
          <w:sz w:val="20"/>
          <w:szCs w:val="20"/>
        </w:rPr>
        <w:t>,</w:t>
      </w:r>
      <w:r w:rsidRPr="002E1C85">
        <w:rPr>
          <w:rFonts w:ascii="Verdana" w:hAnsi="Verdana" w:cs="Arial"/>
          <w:sz w:val="20"/>
          <w:szCs w:val="20"/>
        </w:rPr>
        <w:t xml:space="preserve"> l</w:t>
      </w:r>
      <w:r w:rsidR="00EC5E73">
        <w:rPr>
          <w:rFonts w:ascii="Verdana" w:hAnsi="Verdana" w:cs="Arial"/>
          <w:sz w:val="20"/>
          <w:szCs w:val="20"/>
        </w:rPr>
        <w:t>as</w:t>
      </w:r>
      <w:r w:rsidRPr="002E1C85">
        <w:rPr>
          <w:rFonts w:ascii="Verdana" w:hAnsi="Verdana" w:cs="Arial"/>
          <w:sz w:val="20"/>
          <w:szCs w:val="20"/>
        </w:rPr>
        <w:t xml:space="preserve"> cual</w:t>
      </w:r>
      <w:r w:rsidR="00EC5E73">
        <w:rPr>
          <w:rFonts w:ascii="Verdana" w:hAnsi="Verdana" w:cs="Arial"/>
          <w:sz w:val="20"/>
          <w:szCs w:val="20"/>
        </w:rPr>
        <w:t>es</w:t>
      </w:r>
      <w:r w:rsidRPr="002E1C85">
        <w:rPr>
          <w:rFonts w:ascii="Verdana" w:hAnsi="Verdana" w:cs="Arial"/>
          <w:sz w:val="20"/>
          <w:szCs w:val="20"/>
        </w:rPr>
        <w:t xml:space="preserve"> deberá</w:t>
      </w:r>
      <w:r w:rsidR="00EC5E73">
        <w:rPr>
          <w:rFonts w:ascii="Verdana" w:hAnsi="Verdana" w:cs="Arial"/>
          <w:sz w:val="20"/>
          <w:szCs w:val="20"/>
        </w:rPr>
        <w:t>n</w:t>
      </w:r>
      <w:r w:rsidRPr="002E1C85">
        <w:rPr>
          <w:rFonts w:ascii="Verdana" w:hAnsi="Verdana" w:cs="Arial"/>
          <w:sz w:val="20"/>
          <w:szCs w:val="20"/>
        </w:rPr>
        <w:t xml:space="preserve"> ser </w:t>
      </w:r>
      <w:r w:rsidR="00B93CB5" w:rsidRPr="00B93CB5">
        <w:rPr>
          <w:rFonts w:ascii="Verdana" w:hAnsi="Verdana" w:cs="Arial"/>
          <w:sz w:val="20"/>
          <w:szCs w:val="20"/>
        </w:rPr>
        <w:t xml:space="preserve">efectivamente </w:t>
      </w:r>
      <w:r w:rsidRPr="002E1C85">
        <w:rPr>
          <w:rFonts w:ascii="Verdana" w:hAnsi="Verdana" w:cs="Arial"/>
          <w:sz w:val="20"/>
          <w:szCs w:val="20"/>
        </w:rPr>
        <w:t>investi</w:t>
      </w:r>
      <w:r w:rsidR="00D421E6">
        <w:rPr>
          <w:rFonts w:ascii="Verdana" w:hAnsi="Verdana" w:cs="Arial"/>
          <w:sz w:val="20"/>
          <w:szCs w:val="20"/>
        </w:rPr>
        <w:t>gad</w:t>
      </w:r>
      <w:r w:rsidR="00EC5E73">
        <w:rPr>
          <w:rFonts w:ascii="Verdana" w:hAnsi="Verdana" w:cs="Arial"/>
          <w:sz w:val="20"/>
          <w:szCs w:val="20"/>
        </w:rPr>
        <w:t>as</w:t>
      </w:r>
      <w:r w:rsidR="00D421E6">
        <w:rPr>
          <w:rFonts w:ascii="Verdana" w:hAnsi="Verdana" w:cs="Arial"/>
          <w:sz w:val="20"/>
          <w:szCs w:val="20"/>
        </w:rPr>
        <w:t xml:space="preserve"> y, en su </w:t>
      </w:r>
      <w:r w:rsidR="00D421E6" w:rsidRPr="00CC714A">
        <w:rPr>
          <w:rFonts w:ascii="Verdana" w:hAnsi="Verdana" w:cs="Arial"/>
          <w:sz w:val="20"/>
          <w:szCs w:val="20"/>
        </w:rPr>
        <w:t>caso, sancionado</w:t>
      </w:r>
      <w:r w:rsidR="00EC5E73">
        <w:rPr>
          <w:rFonts w:ascii="Verdana" w:hAnsi="Verdana" w:cs="Arial"/>
          <w:sz w:val="20"/>
          <w:szCs w:val="20"/>
        </w:rPr>
        <w:t>s los responsables</w:t>
      </w:r>
      <w:r w:rsidR="00474897" w:rsidRPr="00474897">
        <w:rPr>
          <w:rFonts w:ascii="Verdana" w:hAnsi="Verdana" w:cs="Arial"/>
          <w:sz w:val="20"/>
          <w:szCs w:val="20"/>
          <w:vertAlign w:val="superscript"/>
          <w:lang w:val="es-CR"/>
        </w:rPr>
        <w:footnoteReference w:id="416"/>
      </w:r>
      <w:r w:rsidR="00D421E6" w:rsidRPr="00855B75">
        <w:rPr>
          <w:rFonts w:ascii="Verdana" w:hAnsi="Verdana" w:cs="Arial"/>
          <w:sz w:val="20"/>
          <w:szCs w:val="20"/>
        </w:rPr>
        <w:t xml:space="preserve">. </w:t>
      </w:r>
    </w:p>
    <w:p w14:paraId="09869F7B" w14:textId="7B2B8B31" w:rsidR="00B93CB5" w:rsidRPr="00B93CB5" w:rsidRDefault="00836E1E" w:rsidP="00DB378B">
      <w:pPr>
        <w:widowControl w:val="0"/>
        <w:numPr>
          <w:ilvl w:val="0"/>
          <w:numId w:val="4"/>
        </w:numPr>
        <w:tabs>
          <w:tab w:val="left" w:pos="567"/>
        </w:tabs>
        <w:autoSpaceDE w:val="0"/>
        <w:autoSpaceDN w:val="0"/>
        <w:adjustRightInd w:val="0"/>
        <w:spacing w:before="120" w:after="120" w:line="240" w:lineRule="auto"/>
        <w:ind w:left="0" w:firstLine="0"/>
        <w:jc w:val="both"/>
        <w:textAlignment w:val="baseline"/>
        <w:rPr>
          <w:rFonts w:ascii="Verdana" w:hAnsi="Verdana"/>
          <w:sz w:val="20"/>
          <w:szCs w:val="20"/>
        </w:rPr>
      </w:pPr>
      <w:r w:rsidRPr="00DE7633">
        <w:rPr>
          <w:rFonts w:ascii="Verdana" w:hAnsi="Verdana"/>
          <w:sz w:val="20"/>
        </w:rPr>
        <w:t xml:space="preserve">En </w:t>
      </w:r>
      <w:r w:rsidRPr="00C57FCB">
        <w:rPr>
          <w:rFonts w:ascii="Verdana" w:hAnsi="Verdana"/>
          <w:sz w:val="20"/>
          <w:szCs w:val="20"/>
        </w:rPr>
        <w:t>el</w:t>
      </w:r>
      <w:r w:rsidRPr="00DE7633">
        <w:rPr>
          <w:rFonts w:ascii="Verdana" w:hAnsi="Verdana"/>
          <w:sz w:val="20"/>
        </w:rPr>
        <w:t xml:space="preserve"> presente caso, las alegadas detenciones se habrían producido por parte de elementos de las fuerzas armadas en el marco del </w:t>
      </w:r>
      <w:r w:rsidR="0063523A" w:rsidRPr="00DE7633">
        <w:rPr>
          <w:rFonts w:ascii="Verdana" w:hAnsi="Verdana"/>
          <w:sz w:val="20"/>
        </w:rPr>
        <w:t>“</w:t>
      </w:r>
      <w:r w:rsidR="00B93CB5" w:rsidRPr="00C90B3F">
        <w:rPr>
          <w:rFonts w:ascii="Verdana" w:hAnsi="Verdana"/>
          <w:sz w:val="20"/>
          <w:szCs w:val="20"/>
        </w:rPr>
        <w:t>Operativo Conjunto</w:t>
      </w:r>
      <w:r w:rsidR="0063523A" w:rsidRPr="00DE7633">
        <w:rPr>
          <w:rFonts w:ascii="Verdana" w:hAnsi="Verdana"/>
          <w:sz w:val="20"/>
        </w:rPr>
        <w:t xml:space="preserve"> Chihuahua”</w:t>
      </w:r>
      <w:r w:rsidRPr="00DE7633">
        <w:rPr>
          <w:rFonts w:ascii="Verdana" w:hAnsi="Verdana"/>
          <w:sz w:val="20"/>
        </w:rPr>
        <w:t>, por medio del</w:t>
      </w:r>
      <w:r w:rsidRPr="00C50883">
        <w:rPr>
          <w:rFonts w:ascii="Verdana" w:hAnsi="Verdana"/>
          <w:sz w:val="20"/>
        </w:rPr>
        <w:t xml:space="preserve"> cual se habr</w:t>
      </w:r>
      <w:r w:rsidRPr="00AB7EF2">
        <w:rPr>
          <w:rFonts w:ascii="Verdana" w:hAnsi="Verdana"/>
          <w:sz w:val="20"/>
        </w:rPr>
        <w:t xml:space="preserve">ía incrementado la presencia militar en la zona a partir </w:t>
      </w:r>
      <w:r w:rsidR="0063523A" w:rsidRPr="00C76D12">
        <w:rPr>
          <w:rFonts w:ascii="Verdana" w:hAnsi="Verdana"/>
          <w:sz w:val="20"/>
        </w:rPr>
        <w:t>de octubre de</w:t>
      </w:r>
      <w:r w:rsidRPr="00624DE5">
        <w:rPr>
          <w:rFonts w:ascii="Verdana" w:hAnsi="Verdana"/>
          <w:sz w:val="20"/>
        </w:rPr>
        <w:t xml:space="preserve"> 2009</w:t>
      </w:r>
      <w:r w:rsidR="00B93CB5" w:rsidRPr="00C90B3F">
        <w:rPr>
          <w:rFonts w:ascii="Verdana" w:hAnsi="Verdana"/>
          <w:sz w:val="20"/>
          <w:szCs w:val="20"/>
        </w:rPr>
        <w:t>,</w:t>
      </w:r>
      <w:r w:rsidR="002B53FB" w:rsidRPr="00DE7633">
        <w:rPr>
          <w:rFonts w:ascii="Verdana" w:hAnsi="Verdana"/>
          <w:sz w:val="20"/>
        </w:rPr>
        <w:t xml:space="preserve"> habiéndose inclusive advertido </w:t>
      </w:r>
      <w:r w:rsidR="00B93CB5" w:rsidRPr="00C90B3F">
        <w:rPr>
          <w:rFonts w:ascii="Verdana" w:hAnsi="Verdana"/>
          <w:sz w:val="20"/>
          <w:szCs w:val="20"/>
        </w:rPr>
        <w:t xml:space="preserve">por diversos testigos el </w:t>
      </w:r>
      <w:r w:rsidR="002B53FB" w:rsidRPr="00DE7633">
        <w:rPr>
          <w:rFonts w:ascii="Verdana" w:hAnsi="Verdana"/>
          <w:sz w:val="20"/>
        </w:rPr>
        <w:t xml:space="preserve">recorrido </w:t>
      </w:r>
      <w:r w:rsidR="000346C2">
        <w:rPr>
          <w:rFonts w:ascii="Verdana" w:hAnsi="Verdana"/>
          <w:sz w:val="20"/>
          <w:szCs w:val="20"/>
        </w:rPr>
        <w:t>−</w:t>
      </w:r>
      <w:r w:rsidR="002B53FB" w:rsidRPr="00DE7633">
        <w:rPr>
          <w:rFonts w:ascii="Verdana" w:hAnsi="Verdana"/>
          <w:sz w:val="20"/>
        </w:rPr>
        <w:t xml:space="preserve">días antes </w:t>
      </w:r>
      <w:r w:rsidR="00B93CB5" w:rsidRPr="00C90B3F">
        <w:rPr>
          <w:rFonts w:ascii="Verdana" w:hAnsi="Verdana"/>
          <w:sz w:val="20"/>
          <w:szCs w:val="20"/>
        </w:rPr>
        <w:t>de las desapariciones</w:t>
      </w:r>
      <w:r w:rsidR="000346C2">
        <w:rPr>
          <w:rFonts w:ascii="Verdana" w:hAnsi="Verdana"/>
          <w:sz w:val="20"/>
          <w:szCs w:val="20"/>
        </w:rPr>
        <w:t xml:space="preserve">− </w:t>
      </w:r>
      <w:r w:rsidR="00B93CB5" w:rsidRPr="00C90B3F">
        <w:rPr>
          <w:rFonts w:ascii="Verdana" w:hAnsi="Verdana"/>
          <w:sz w:val="20"/>
          <w:szCs w:val="20"/>
        </w:rPr>
        <w:t xml:space="preserve">de fuerzas militares </w:t>
      </w:r>
      <w:r w:rsidR="00726A5A">
        <w:rPr>
          <w:rFonts w:ascii="Verdana" w:hAnsi="Verdana"/>
          <w:sz w:val="20"/>
          <w:szCs w:val="20"/>
        </w:rPr>
        <w:t xml:space="preserve">en el Ejido Benito Juárez </w:t>
      </w:r>
      <w:r w:rsidR="00726A5A">
        <w:rPr>
          <w:rFonts w:ascii="Verdana" w:hAnsi="Verdana"/>
          <w:sz w:val="20"/>
        </w:rPr>
        <w:t xml:space="preserve">a bordo de una de </w:t>
      </w:r>
      <w:r w:rsidR="002B53FB" w:rsidRPr="00DE7633">
        <w:rPr>
          <w:rFonts w:ascii="Verdana" w:hAnsi="Verdana"/>
          <w:sz w:val="20"/>
        </w:rPr>
        <w:t>la</w:t>
      </w:r>
      <w:r w:rsidR="00726A5A">
        <w:rPr>
          <w:rFonts w:ascii="Verdana" w:hAnsi="Verdana"/>
          <w:sz w:val="20"/>
        </w:rPr>
        <w:t>s</w:t>
      </w:r>
      <w:r w:rsidR="002B53FB" w:rsidRPr="00DE7633">
        <w:rPr>
          <w:rFonts w:ascii="Verdana" w:hAnsi="Verdana"/>
          <w:sz w:val="20"/>
        </w:rPr>
        <w:t xml:space="preserve"> camioneta</w:t>
      </w:r>
      <w:r w:rsidR="00726A5A">
        <w:rPr>
          <w:rFonts w:ascii="Verdana" w:hAnsi="Verdana"/>
          <w:sz w:val="20"/>
        </w:rPr>
        <w:t>s</w:t>
      </w:r>
      <w:r w:rsidR="002B53FB" w:rsidRPr="00DE7633">
        <w:rPr>
          <w:rFonts w:ascii="Verdana" w:hAnsi="Verdana"/>
          <w:sz w:val="20"/>
        </w:rPr>
        <w:t xml:space="preserve"> involucrada</w:t>
      </w:r>
      <w:r w:rsidR="00726A5A">
        <w:rPr>
          <w:rFonts w:ascii="Verdana" w:hAnsi="Verdana"/>
          <w:sz w:val="20"/>
        </w:rPr>
        <w:t>s</w:t>
      </w:r>
      <w:r w:rsidR="002B53FB" w:rsidRPr="00DE7633">
        <w:rPr>
          <w:rFonts w:ascii="Verdana" w:hAnsi="Verdana"/>
          <w:sz w:val="20"/>
        </w:rPr>
        <w:t xml:space="preserve"> en las detenciones (</w:t>
      </w:r>
      <w:r w:rsidR="00F40CA4" w:rsidRPr="00BB0467">
        <w:rPr>
          <w:rFonts w:ascii="Verdana" w:hAnsi="Verdana"/>
          <w:i/>
          <w:sz w:val="20"/>
          <w:szCs w:val="20"/>
        </w:rPr>
        <w:t xml:space="preserve">supra </w:t>
      </w:r>
      <w:r w:rsidR="008308B3">
        <w:rPr>
          <w:rFonts w:ascii="Verdana" w:hAnsi="Verdana"/>
          <w:sz w:val="20"/>
          <w:szCs w:val="20"/>
        </w:rPr>
        <w:t xml:space="preserve">párr. 73 </w:t>
      </w:r>
      <w:r w:rsidR="00B93CB5" w:rsidRPr="003564A3">
        <w:rPr>
          <w:rFonts w:ascii="Verdana" w:hAnsi="Verdana"/>
          <w:i/>
          <w:sz w:val="20"/>
          <w:szCs w:val="20"/>
        </w:rPr>
        <w:t xml:space="preserve">e </w:t>
      </w:r>
      <w:r w:rsidR="002B53FB" w:rsidRPr="00BB0467">
        <w:rPr>
          <w:rFonts w:ascii="Verdana" w:hAnsi="Verdana"/>
          <w:i/>
          <w:sz w:val="20"/>
        </w:rPr>
        <w:t>infra</w:t>
      </w:r>
      <w:r w:rsidR="00AD5CFC">
        <w:rPr>
          <w:rFonts w:ascii="Verdana" w:hAnsi="Verdana"/>
          <w:i/>
          <w:sz w:val="20"/>
        </w:rPr>
        <w:t xml:space="preserve"> </w:t>
      </w:r>
      <w:r w:rsidR="008308B3">
        <w:rPr>
          <w:rFonts w:ascii="Verdana" w:hAnsi="Verdana"/>
          <w:sz w:val="20"/>
        </w:rPr>
        <w:t>párr</w:t>
      </w:r>
      <w:r w:rsidR="00AD5CFC">
        <w:rPr>
          <w:rFonts w:ascii="Verdana" w:hAnsi="Verdana"/>
          <w:sz w:val="20"/>
        </w:rPr>
        <w:t>.</w:t>
      </w:r>
      <w:r w:rsidR="002B53FB" w:rsidRPr="00DE7633">
        <w:rPr>
          <w:rFonts w:ascii="Verdana" w:hAnsi="Verdana"/>
          <w:sz w:val="20"/>
        </w:rPr>
        <w:t xml:space="preserve"> </w:t>
      </w:r>
      <w:r w:rsidR="008308B3">
        <w:rPr>
          <w:rFonts w:ascii="Verdana" w:hAnsi="Verdana"/>
          <w:sz w:val="20"/>
        </w:rPr>
        <w:t>186</w:t>
      </w:r>
      <w:r w:rsidR="002B53FB" w:rsidRPr="00DE7633">
        <w:rPr>
          <w:rFonts w:ascii="Verdana" w:hAnsi="Verdana"/>
          <w:sz w:val="20"/>
        </w:rPr>
        <w:t>).</w:t>
      </w:r>
      <w:r w:rsidR="002B53FB">
        <w:rPr>
          <w:rFonts w:ascii="Verdana" w:hAnsi="Verdana"/>
          <w:sz w:val="20"/>
          <w:szCs w:val="20"/>
        </w:rPr>
        <w:t xml:space="preserve"> </w:t>
      </w:r>
    </w:p>
    <w:p w14:paraId="1E6CE0DA" w14:textId="4A527640" w:rsidR="0044158A" w:rsidRPr="0044158A" w:rsidRDefault="00B93CB5" w:rsidP="00DB378B">
      <w:pPr>
        <w:widowControl w:val="0"/>
        <w:numPr>
          <w:ilvl w:val="0"/>
          <w:numId w:val="4"/>
        </w:numPr>
        <w:tabs>
          <w:tab w:val="left" w:pos="567"/>
        </w:tabs>
        <w:autoSpaceDE w:val="0"/>
        <w:autoSpaceDN w:val="0"/>
        <w:adjustRightInd w:val="0"/>
        <w:spacing w:before="120" w:after="120" w:line="240" w:lineRule="auto"/>
        <w:ind w:left="0" w:firstLine="0"/>
        <w:jc w:val="both"/>
        <w:textAlignment w:val="baseline"/>
        <w:rPr>
          <w:rFonts w:ascii="Verdana" w:hAnsi="Verdana"/>
          <w:sz w:val="20"/>
          <w:szCs w:val="20"/>
        </w:rPr>
      </w:pPr>
      <w:r w:rsidRPr="00C90B3F">
        <w:rPr>
          <w:rFonts w:ascii="Verdana" w:hAnsi="Verdana"/>
          <w:sz w:val="20"/>
          <w:szCs w:val="20"/>
        </w:rPr>
        <w:t xml:space="preserve">La Corte constata que la implementación del </w:t>
      </w:r>
      <w:r w:rsidR="005238CF">
        <w:rPr>
          <w:rFonts w:ascii="Verdana" w:hAnsi="Verdana"/>
          <w:sz w:val="20"/>
          <w:szCs w:val="20"/>
        </w:rPr>
        <w:t>“O</w:t>
      </w:r>
      <w:r w:rsidRPr="00C90B3F">
        <w:rPr>
          <w:rFonts w:ascii="Verdana" w:hAnsi="Verdana"/>
          <w:sz w:val="20"/>
          <w:szCs w:val="20"/>
        </w:rPr>
        <w:t xml:space="preserve">perativo </w:t>
      </w:r>
      <w:r w:rsidR="005238CF">
        <w:rPr>
          <w:rFonts w:ascii="Verdana" w:hAnsi="Verdana"/>
          <w:sz w:val="20"/>
          <w:szCs w:val="20"/>
        </w:rPr>
        <w:t>C</w:t>
      </w:r>
      <w:r w:rsidRPr="00C90B3F">
        <w:rPr>
          <w:rFonts w:ascii="Verdana" w:hAnsi="Verdana"/>
          <w:sz w:val="20"/>
          <w:szCs w:val="20"/>
        </w:rPr>
        <w:t>onjunto</w:t>
      </w:r>
      <w:r w:rsidR="005238CF">
        <w:rPr>
          <w:rFonts w:ascii="Verdana" w:hAnsi="Verdana"/>
          <w:sz w:val="20"/>
          <w:szCs w:val="20"/>
        </w:rPr>
        <w:t>”</w:t>
      </w:r>
      <w:r w:rsidRPr="00C90B3F">
        <w:rPr>
          <w:rFonts w:ascii="Verdana" w:hAnsi="Verdana"/>
          <w:sz w:val="20"/>
          <w:szCs w:val="20"/>
        </w:rPr>
        <w:t xml:space="preserve"> materia de este caso, no contaba con una regulación o aplicación que previera la excepcionalidad y temporalidad de la </w:t>
      </w:r>
      <w:r w:rsidR="005238CF">
        <w:rPr>
          <w:rFonts w:ascii="Verdana" w:hAnsi="Verdana"/>
          <w:sz w:val="20"/>
          <w:szCs w:val="20"/>
        </w:rPr>
        <w:t>actua</w:t>
      </w:r>
      <w:r w:rsidR="005238CF" w:rsidRPr="00C90B3F">
        <w:rPr>
          <w:rFonts w:ascii="Verdana" w:hAnsi="Verdana"/>
          <w:sz w:val="20"/>
          <w:szCs w:val="20"/>
        </w:rPr>
        <w:t xml:space="preserve">ción </w:t>
      </w:r>
      <w:r w:rsidRPr="00C90B3F">
        <w:rPr>
          <w:rFonts w:ascii="Verdana" w:hAnsi="Verdana"/>
          <w:sz w:val="20"/>
          <w:szCs w:val="20"/>
        </w:rPr>
        <w:t xml:space="preserve">militar, así como demás salvaguardias frente </w:t>
      </w:r>
      <w:r w:rsidR="000346C2">
        <w:rPr>
          <w:rFonts w:ascii="Verdana" w:hAnsi="Verdana"/>
          <w:sz w:val="20"/>
          <w:szCs w:val="20"/>
        </w:rPr>
        <w:t xml:space="preserve">a </w:t>
      </w:r>
      <w:r w:rsidRPr="00C90B3F">
        <w:rPr>
          <w:rFonts w:ascii="Verdana" w:hAnsi="Verdana"/>
          <w:sz w:val="20"/>
          <w:szCs w:val="20"/>
        </w:rPr>
        <w:t>este tipo de intervenciones (</w:t>
      </w:r>
      <w:r w:rsidR="00F40CA4" w:rsidRPr="00F40CA4">
        <w:rPr>
          <w:rFonts w:ascii="Verdana" w:hAnsi="Verdana"/>
          <w:i/>
          <w:sz w:val="20"/>
          <w:szCs w:val="20"/>
        </w:rPr>
        <w:t xml:space="preserve">supra </w:t>
      </w:r>
      <w:r w:rsidRPr="00C90B3F">
        <w:rPr>
          <w:rFonts w:ascii="Verdana" w:hAnsi="Verdana"/>
          <w:sz w:val="20"/>
          <w:szCs w:val="20"/>
        </w:rPr>
        <w:t xml:space="preserve">párr. </w:t>
      </w:r>
      <w:r w:rsidR="00B04C0B">
        <w:rPr>
          <w:rFonts w:ascii="Verdana" w:hAnsi="Verdana"/>
          <w:sz w:val="20"/>
          <w:szCs w:val="20"/>
        </w:rPr>
        <w:t>182 a 183</w:t>
      </w:r>
      <w:r w:rsidRPr="00C90B3F">
        <w:rPr>
          <w:rFonts w:ascii="Verdana" w:hAnsi="Verdana"/>
          <w:sz w:val="20"/>
          <w:szCs w:val="20"/>
        </w:rPr>
        <w:t>), menos aún con una fiscalización independiente de sus operaciones, como quedó demostrado</w:t>
      </w:r>
      <w:r w:rsidR="00DC15D5">
        <w:rPr>
          <w:rFonts w:ascii="Verdana" w:hAnsi="Verdana"/>
          <w:sz w:val="20"/>
          <w:szCs w:val="20"/>
        </w:rPr>
        <w:t>, entre otras</w:t>
      </w:r>
      <w:r w:rsidR="0048046E">
        <w:rPr>
          <w:rFonts w:ascii="Verdana" w:hAnsi="Verdana"/>
          <w:sz w:val="20"/>
          <w:szCs w:val="20"/>
        </w:rPr>
        <w:t xml:space="preserve"> probanzas</w:t>
      </w:r>
      <w:r w:rsidR="00DC15D5">
        <w:rPr>
          <w:rFonts w:ascii="Verdana" w:hAnsi="Verdana"/>
          <w:sz w:val="20"/>
          <w:szCs w:val="20"/>
        </w:rPr>
        <w:t>,</w:t>
      </w:r>
      <w:r w:rsidRPr="00C90B3F">
        <w:rPr>
          <w:rFonts w:ascii="Verdana" w:hAnsi="Verdana"/>
          <w:sz w:val="20"/>
          <w:szCs w:val="20"/>
        </w:rPr>
        <w:t xml:space="preserve"> con la Queja </w:t>
      </w:r>
      <w:r w:rsidR="0066676A">
        <w:rPr>
          <w:rFonts w:ascii="Verdana" w:hAnsi="Verdana"/>
          <w:sz w:val="20"/>
          <w:szCs w:val="20"/>
        </w:rPr>
        <w:t>886/</w:t>
      </w:r>
      <w:r w:rsidR="00DF55D6">
        <w:rPr>
          <w:rFonts w:ascii="Verdana" w:hAnsi="Verdana"/>
          <w:sz w:val="20"/>
          <w:szCs w:val="20"/>
        </w:rPr>
        <w:t xml:space="preserve">09 </w:t>
      </w:r>
      <w:r w:rsidRPr="00C90B3F">
        <w:rPr>
          <w:rFonts w:ascii="Verdana" w:hAnsi="Verdana"/>
          <w:sz w:val="20"/>
          <w:szCs w:val="20"/>
        </w:rPr>
        <w:t xml:space="preserve">interpuesta ante el propio </w:t>
      </w:r>
      <w:r w:rsidR="00DF55D6">
        <w:rPr>
          <w:rFonts w:ascii="Verdana" w:hAnsi="Verdana"/>
          <w:sz w:val="20"/>
          <w:szCs w:val="20"/>
        </w:rPr>
        <w:t>“</w:t>
      </w:r>
      <w:r w:rsidR="0048046E">
        <w:rPr>
          <w:rFonts w:ascii="Verdana" w:hAnsi="Verdana"/>
          <w:sz w:val="20"/>
          <w:szCs w:val="20"/>
        </w:rPr>
        <w:t>P</w:t>
      </w:r>
      <w:r w:rsidR="00DF55D6">
        <w:rPr>
          <w:rFonts w:ascii="Verdana" w:hAnsi="Verdana"/>
          <w:sz w:val="20"/>
          <w:szCs w:val="20"/>
        </w:rPr>
        <w:t>rograma</w:t>
      </w:r>
      <w:r w:rsidR="008472CA">
        <w:rPr>
          <w:rFonts w:ascii="Verdana" w:hAnsi="Verdana"/>
          <w:sz w:val="20"/>
          <w:szCs w:val="20"/>
        </w:rPr>
        <w:t xml:space="preserve"> de Atención y Quejas” </w:t>
      </w:r>
      <w:r w:rsidRPr="00C90B3F">
        <w:rPr>
          <w:rFonts w:ascii="Verdana" w:hAnsi="Verdana"/>
          <w:sz w:val="20"/>
          <w:szCs w:val="20"/>
        </w:rPr>
        <w:t xml:space="preserve">del </w:t>
      </w:r>
      <w:r w:rsidR="008472CA">
        <w:rPr>
          <w:rFonts w:ascii="Verdana" w:hAnsi="Verdana"/>
          <w:sz w:val="20"/>
          <w:szCs w:val="20"/>
        </w:rPr>
        <w:t>“</w:t>
      </w:r>
      <w:r w:rsidRPr="00C90B3F">
        <w:rPr>
          <w:rFonts w:ascii="Verdana" w:hAnsi="Verdana"/>
          <w:sz w:val="20"/>
          <w:szCs w:val="20"/>
        </w:rPr>
        <w:t>Operativo</w:t>
      </w:r>
      <w:r w:rsidR="008472CA">
        <w:rPr>
          <w:rFonts w:ascii="Verdana" w:hAnsi="Verdana"/>
          <w:sz w:val="20"/>
          <w:szCs w:val="20"/>
        </w:rPr>
        <w:t>”</w:t>
      </w:r>
      <w:r w:rsidRPr="00C90B3F">
        <w:rPr>
          <w:rFonts w:ascii="Verdana" w:hAnsi="Verdana"/>
          <w:sz w:val="20"/>
          <w:szCs w:val="20"/>
        </w:rPr>
        <w:t xml:space="preserve"> y la remisión del caso a la jurisdicción militar (</w:t>
      </w:r>
      <w:r w:rsidR="00F40CA4" w:rsidRPr="00F40CA4">
        <w:rPr>
          <w:rFonts w:ascii="Verdana" w:hAnsi="Verdana"/>
          <w:i/>
          <w:sz w:val="20"/>
          <w:szCs w:val="20"/>
        </w:rPr>
        <w:t xml:space="preserve">supra </w:t>
      </w:r>
      <w:r w:rsidR="000346C2">
        <w:rPr>
          <w:rFonts w:ascii="Verdana" w:hAnsi="Verdana"/>
          <w:sz w:val="20"/>
          <w:szCs w:val="20"/>
        </w:rPr>
        <w:t xml:space="preserve">párr. </w:t>
      </w:r>
      <w:r w:rsidR="006F7298">
        <w:rPr>
          <w:rFonts w:ascii="Verdana" w:hAnsi="Verdana"/>
          <w:sz w:val="20"/>
          <w:szCs w:val="20"/>
        </w:rPr>
        <w:t>1</w:t>
      </w:r>
      <w:r w:rsidR="000346C2">
        <w:rPr>
          <w:rFonts w:ascii="Verdana" w:hAnsi="Verdana"/>
          <w:sz w:val="20"/>
          <w:szCs w:val="20"/>
        </w:rPr>
        <w:t>1</w:t>
      </w:r>
      <w:r w:rsidR="006F7298">
        <w:rPr>
          <w:rFonts w:ascii="Verdana" w:hAnsi="Verdana"/>
          <w:sz w:val="20"/>
          <w:szCs w:val="20"/>
        </w:rPr>
        <w:t>2</w:t>
      </w:r>
      <w:r w:rsidRPr="00C90B3F">
        <w:rPr>
          <w:rFonts w:ascii="Verdana" w:hAnsi="Verdana"/>
          <w:sz w:val="20"/>
          <w:szCs w:val="20"/>
        </w:rPr>
        <w:t xml:space="preserve"> </w:t>
      </w:r>
      <w:r w:rsidRPr="008D0846">
        <w:rPr>
          <w:rFonts w:ascii="Verdana" w:hAnsi="Verdana"/>
          <w:sz w:val="20"/>
          <w:szCs w:val="20"/>
        </w:rPr>
        <w:t>e</w:t>
      </w:r>
      <w:r w:rsidRPr="003564A3">
        <w:rPr>
          <w:rFonts w:ascii="Verdana" w:hAnsi="Verdana"/>
          <w:i/>
          <w:sz w:val="20"/>
          <w:szCs w:val="20"/>
        </w:rPr>
        <w:t xml:space="preserve"> infra</w:t>
      </w:r>
      <w:r w:rsidRPr="00C90B3F">
        <w:rPr>
          <w:rFonts w:ascii="Verdana" w:hAnsi="Verdana"/>
          <w:sz w:val="20"/>
          <w:szCs w:val="20"/>
        </w:rPr>
        <w:t xml:space="preserve"> </w:t>
      </w:r>
      <w:r w:rsidR="000346C2">
        <w:rPr>
          <w:rFonts w:ascii="Verdana" w:hAnsi="Verdana"/>
          <w:sz w:val="20"/>
          <w:szCs w:val="20"/>
        </w:rPr>
        <w:t>párrs. 231 a 236</w:t>
      </w:r>
      <w:r w:rsidRPr="00C90B3F">
        <w:rPr>
          <w:rFonts w:ascii="Verdana" w:hAnsi="Verdana"/>
          <w:sz w:val="20"/>
          <w:szCs w:val="20"/>
        </w:rPr>
        <w:t xml:space="preserve">). </w:t>
      </w:r>
    </w:p>
    <w:p w14:paraId="64AA6007" w14:textId="107DBF9A" w:rsidR="002E1C85" w:rsidRPr="0036073A" w:rsidRDefault="00330086">
      <w:pPr>
        <w:pStyle w:val="Heading5"/>
        <w:numPr>
          <w:ilvl w:val="0"/>
          <w:numId w:val="20"/>
        </w:numPr>
        <w:spacing w:before="120" w:after="120"/>
        <w:contextualSpacing w:val="0"/>
      </w:pPr>
      <w:r w:rsidRPr="0036073A">
        <w:t xml:space="preserve"> </w:t>
      </w:r>
      <w:bookmarkStart w:id="201" w:name="_Toc532995370"/>
      <w:r w:rsidR="002E1C85" w:rsidRPr="0036073A">
        <w:t>Las declaraciones de los testigos presenciales y referenciales sobre los hechos</w:t>
      </w:r>
      <w:bookmarkEnd w:id="201"/>
    </w:p>
    <w:p w14:paraId="64AA6009" w14:textId="3A27DDD9" w:rsidR="002E1C85" w:rsidRPr="002B53FB" w:rsidRDefault="002E1C85" w:rsidP="00DB378B">
      <w:pPr>
        <w:widowControl w:val="0"/>
        <w:numPr>
          <w:ilvl w:val="0"/>
          <w:numId w:val="4"/>
        </w:numPr>
        <w:tabs>
          <w:tab w:val="left" w:pos="567"/>
        </w:tabs>
        <w:autoSpaceDE w:val="0"/>
        <w:autoSpaceDN w:val="0"/>
        <w:adjustRightInd w:val="0"/>
        <w:spacing w:before="120" w:after="120" w:line="240" w:lineRule="auto"/>
        <w:ind w:left="0" w:firstLine="0"/>
        <w:jc w:val="both"/>
        <w:textAlignment w:val="baseline"/>
        <w:rPr>
          <w:rFonts w:ascii="Verdana" w:hAnsi="Verdana"/>
          <w:sz w:val="20"/>
          <w:szCs w:val="20"/>
        </w:rPr>
      </w:pPr>
      <w:r w:rsidRPr="00813B72">
        <w:rPr>
          <w:rFonts w:ascii="Verdana" w:hAnsi="Verdana"/>
          <w:sz w:val="20"/>
          <w:szCs w:val="20"/>
        </w:rPr>
        <w:t>La Corte recuerda que es un hecho probado que en el marco de los procedimientos internos se recabaron testimonios presenciales de familiares que identificaron como autores de la detención de los desaparecidos a elementos del Ejército por el tipo de vestimenta y armamento que portaban los captores (</w:t>
      </w:r>
      <w:r w:rsidRPr="00813B72">
        <w:rPr>
          <w:rFonts w:ascii="Verdana" w:hAnsi="Verdana"/>
          <w:i/>
          <w:sz w:val="20"/>
          <w:szCs w:val="20"/>
        </w:rPr>
        <w:t>supra</w:t>
      </w:r>
      <w:r w:rsidRPr="00813B72">
        <w:rPr>
          <w:rFonts w:ascii="Verdana" w:hAnsi="Verdana"/>
          <w:sz w:val="20"/>
          <w:szCs w:val="20"/>
        </w:rPr>
        <w:t xml:space="preserve"> párrs. </w:t>
      </w:r>
      <w:r w:rsidR="00283EEF">
        <w:rPr>
          <w:rFonts w:ascii="Verdana" w:hAnsi="Verdana"/>
          <w:sz w:val="20"/>
          <w:szCs w:val="20"/>
        </w:rPr>
        <w:t>80 y 84</w:t>
      </w:r>
      <w:r w:rsidRPr="00813B72">
        <w:rPr>
          <w:rFonts w:ascii="Verdana" w:hAnsi="Verdana"/>
          <w:sz w:val="20"/>
          <w:szCs w:val="20"/>
        </w:rPr>
        <w:t xml:space="preserve">). Adicionalmente, el Tribunal constata que los familiares refirieron en diversas declaraciones haber identificado dicha </w:t>
      </w:r>
      <w:r w:rsidRPr="00813B72">
        <w:rPr>
          <w:rFonts w:ascii="Verdana" w:hAnsi="Verdana"/>
          <w:sz w:val="20"/>
          <w:szCs w:val="20"/>
        </w:rPr>
        <w:lastRenderedPageBreak/>
        <w:t>vestimenta militar, la cual es correspondiente a la empleada por algunas unidades del Ejército (</w:t>
      </w:r>
      <w:r w:rsidRPr="00813B72">
        <w:rPr>
          <w:rFonts w:ascii="Verdana" w:hAnsi="Verdana"/>
          <w:i/>
          <w:sz w:val="20"/>
          <w:szCs w:val="20"/>
        </w:rPr>
        <w:t>supra</w:t>
      </w:r>
      <w:r w:rsidRPr="00813B72">
        <w:rPr>
          <w:rFonts w:ascii="Verdana" w:hAnsi="Verdana"/>
          <w:sz w:val="20"/>
          <w:szCs w:val="20"/>
        </w:rPr>
        <w:t xml:space="preserve"> párr. </w:t>
      </w:r>
      <w:r w:rsidR="00283EEF">
        <w:rPr>
          <w:rFonts w:ascii="Verdana" w:hAnsi="Verdana"/>
          <w:sz w:val="20"/>
          <w:szCs w:val="20"/>
        </w:rPr>
        <w:t>111</w:t>
      </w:r>
      <w:r w:rsidRPr="00813B72">
        <w:rPr>
          <w:rFonts w:ascii="Verdana" w:hAnsi="Verdana"/>
          <w:sz w:val="20"/>
          <w:szCs w:val="20"/>
        </w:rPr>
        <w:t>), así como una de las camionetas utilizadas por quienes detuvieron a los tres desaparecidos; a saber:</w:t>
      </w:r>
    </w:p>
    <w:p w14:paraId="64AA600A" w14:textId="11B86BE2" w:rsidR="00265E6C" w:rsidRPr="00485172" w:rsidRDefault="002E1C85" w:rsidP="00DB378B">
      <w:pPr>
        <w:pStyle w:val="ListParagraph"/>
        <w:numPr>
          <w:ilvl w:val="1"/>
          <w:numId w:val="12"/>
        </w:numPr>
        <w:spacing w:before="120" w:after="120" w:line="240" w:lineRule="auto"/>
        <w:ind w:left="720" w:right="4"/>
        <w:contextualSpacing w:val="0"/>
        <w:jc w:val="both"/>
        <w:rPr>
          <w:rFonts w:ascii="Verdana" w:hAnsi="Verdana"/>
          <w:sz w:val="18"/>
          <w:szCs w:val="20"/>
        </w:rPr>
      </w:pPr>
      <w:r w:rsidRPr="00485172">
        <w:rPr>
          <w:rFonts w:ascii="Verdana" w:hAnsi="Verdana"/>
          <w:sz w:val="18"/>
          <w:szCs w:val="20"/>
        </w:rPr>
        <w:t>Patricia Reyes Rueda y su hijo A.A.R. señalaron que una vez que los elementos salieron de su domicilio tras haber aprehendido a Rocío Irene Alvarado, se asomaron por una ventana y observaron la camioneta en la cual fue introducida su familiar, la cual reconocieron como el mismo vehículo en que habían visto circular a elementos del Ejército en el Ejido Benito Juárez previo a que ocurriera dicha detención</w:t>
      </w:r>
      <w:r w:rsidRPr="00485172">
        <w:rPr>
          <w:rStyle w:val="FootnoteReference"/>
          <w:rFonts w:ascii="Verdana" w:hAnsi="Verdana"/>
          <w:sz w:val="18"/>
          <w:szCs w:val="20"/>
        </w:rPr>
        <w:footnoteReference w:id="417"/>
      </w:r>
      <w:r w:rsidR="00D60ADB" w:rsidRPr="00485172">
        <w:rPr>
          <w:rFonts w:ascii="Verdana" w:hAnsi="Verdana"/>
          <w:sz w:val="18"/>
          <w:szCs w:val="20"/>
        </w:rPr>
        <w:t>;</w:t>
      </w:r>
    </w:p>
    <w:p w14:paraId="64AA600B" w14:textId="4CC30AE5" w:rsidR="00265E6C" w:rsidRPr="00485172" w:rsidRDefault="00D60ADB" w:rsidP="00DB378B">
      <w:pPr>
        <w:pStyle w:val="ListParagraph"/>
        <w:numPr>
          <w:ilvl w:val="1"/>
          <w:numId w:val="12"/>
        </w:numPr>
        <w:spacing w:before="120" w:after="120" w:line="240" w:lineRule="auto"/>
        <w:ind w:left="720" w:right="4"/>
        <w:contextualSpacing w:val="0"/>
        <w:jc w:val="both"/>
        <w:rPr>
          <w:rFonts w:ascii="Verdana" w:hAnsi="Verdana"/>
          <w:sz w:val="18"/>
          <w:szCs w:val="20"/>
        </w:rPr>
      </w:pPr>
      <w:r w:rsidRPr="00485172">
        <w:rPr>
          <w:rFonts w:ascii="Verdana" w:hAnsi="Verdana"/>
          <w:sz w:val="18"/>
          <w:szCs w:val="20"/>
        </w:rPr>
        <w:t>a</w:t>
      </w:r>
      <w:r w:rsidR="002E1C85" w:rsidRPr="00485172">
        <w:rPr>
          <w:rFonts w:ascii="Verdana" w:hAnsi="Verdana"/>
          <w:sz w:val="18"/>
          <w:szCs w:val="20"/>
        </w:rPr>
        <w:t>simismo, Marissa Reyes Rueda y Manuel Reyes Lira (tía y abuelo de Rocío Irene Alvarado) declararon que una vez que Patricia Reyes les dio aviso vía telefónica de la detención de Rocío Irene Alvarado se trasladaron al lugar de los hechos y su familiar les comentó que “los soldados habían llegado en una troca particular”. Con base en la descripción que les hicieron los testigos presenciales, ambos familiares reconocieron a dicho vehículo como la camioneta gris en que días antes de los hechos habían observado circular a elementos del Ejército Mexicano en el Ejido Benito Juárez</w:t>
      </w:r>
      <w:r w:rsidR="002E1C85" w:rsidRPr="00485172">
        <w:rPr>
          <w:rStyle w:val="FootnoteReference"/>
          <w:rFonts w:ascii="Verdana" w:hAnsi="Verdana"/>
          <w:sz w:val="18"/>
          <w:szCs w:val="20"/>
        </w:rPr>
        <w:footnoteReference w:id="418"/>
      </w:r>
      <w:r w:rsidRPr="00485172">
        <w:rPr>
          <w:rFonts w:ascii="Verdana" w:hAnsi="Verdana"/>
          <w:sz w:val="18"/>
          <w:szCs w:val="20"/>
        </w:rPr>
        <w:t>, y</w:t>
      </w:r>
    </w:p>
    <w:p w14:paraId="64AA600D" w14:textId="58FC9730" w:rsidR="002E1C85" w:rsidRPr="00485172" w:rsidRDefault="00D60ADB" w:rsidP="00DB378B">
      <w:pPr>
        <w:pStyle w:val="ListParagraph"/>
        <w:numPr>
          <w:ilvl w:val="1"/>
          <w:numId w:val="12"/>
        </w:numPr>
        <w:spacing w:before="120" w:after="120" w:line="240" w:lineRule="auto"/>
        <w:ind w:left="720" w:right="4"/>
        <w:contextualSpacing w:val="0"/>
        <w:jc w:val="both"/>
        <w:rPr>
          <w:rFonts w:ascii="Verdana" w:hAnsi="Verdana"/>
          <w:sz w:val="18"/>
          <w:szCs w:val="18"/>
        </w:rPr>
      </w:pPr>
      <w:r w:rsidRPr="00485172">
        <w:rPr>
          <w:rFonts w:ascii="Verdana" w:hAnsi="Verdana"/>
          <w:sz w:val="18"/>
          <w:szCs w:val="18"/>
        </w:rPr>
        <w:t>e</w:t>
      </w:r>
      <w:r w:rsidR="002E1C85" w:rsidRPr="00485172">
        <w:rPr>
          <w:rFonts w:ascii="Verdana" w:hAnsi="Verdana"/>
          <w:sz w:val="18"/>
          <w:szCs w:val="18"/>
        </w:rPr>
        <w:t xml:space="preserve">l 27 de octubre de 2014 Patricia Reyes Rueda y Obdulia Espinoza Beltrán comparecieron ante el AMPF adscrito a la UEBPD - PGR. En dicha diligencia la autoridad investigadora les mostró el dictamen pericial con fotografías de </w:t>
      </w:r>
      <w:r w:rsidR="00347E4D" w:rsidRPr="00485172">
        <w:rPr>
          <w:rFonts w:ascii="Verdana" w:hAnsi="Verdana"/>
          <w:sz w:val="18"/>
          <w:szCs w:val="18"/>
        </w:rPr>
        <w:t xml:space="preserve">fecha </w:t>
      </w:r>
      <w:r w:rsidR="002E1C85" w:rsidRPr="00485172">
        <w:rPr>
          <w:rFonts w:ascii="Verdana" w:hAnsi="Verdana"/>
          <w:sz w:val="18"/>
          <w:szCs w:val="18"/>
        </w:rPr>
        <w:t>16 de octubre de 2014 practicado a una camioneta tipo Pick Up, doble cabina, color gris, que había estado bajo custodia del 35 Batallón de Infantería del Ejército del 1 de junio de 2009 al 10 de febrero de 2010 con motivo de un aseguramiento relacionado con actos ilícitos materia de otra investigación criminal. Tras observar dichas fotografías, ambas testigos señalaron que se trataba del mismo vehículo utilizado por los captores el día de los hechos para sustraer a sus familiares</w:t>
      </w:r>
      <w:r w:rsidR="002E1C85" w:rsidRPr="00485172">
        <w:rPr>
          <w:rFonts w:ascii="Verdana" w:hAnsi="Verdana"/>
          <w:sz w:val="18"/>
          <w:szCs w:val="18"/>
          <w:vertAlign w:val="superscript"/>
        </w:rPr>
        <w:footnoteReference w:id="419"/>
      </w:r>
      <w:r w:rsidR="002E1C85" w:rsidRPr="00485172">
        <w:rPr>
          <w:rFonts w:ascii="Verdana" w:hAnsi="Verdana"/>
          <w:sz w:val="18"/>
          <w:szCs w:val="18"/>
        </w:rPr>
        <w:t>. Asimismo, después de observar una serie de fotografías de elementos del Ejército vestidos con uniformes de color beige y verde y portando cascos correspondientes a los utilizados por el personal del 23º Batallón de Infantería y 20º Regimiento de Caballería Motorizada del Ejército el día de la desaparición de sus familiares y remitidas por sus respectivos comandantes en el marco de las investigaciones (</w:t>
      </w:r>
      <w:r w:rsidR="002E1C85" w:rsidRPr="00485172">
        <w:rPr>
          <w:rFonts w:ascii="Verdana" w:hAnsi="Verdana"/>
          <w:i/>
          <w:sz w:val="18"/>
          <w:szCs w:val="18"/>
        </w:rPr>
        <w:t>supra</w:t>
      </w:r>
      <w:r w:rsidR="002E1C85" w:rsidRPr="00485172">
        <w:rPr>
          <w:rFonts w:ascii="Verdana" w:hAnsi="Verdana"/>
          <w:sz w:val="18"/>
          <w:szCs w:val="18"/>
        </w:rPr>
        <w:t xml:space="preserve"> párr.</w:t>
      </w:r>
      <w:r w:rsidR="00CC7C68" w:rsidRPr="00485172">
        <w:rPr>
          <w:rFonts w:ascii="Verdana" w:hAnsi="Verdana"/>
          <w:sz w:val="18"/>
          <w:szCs w:val="18"/>
        </w:rPr>
        <w:t xml:space="preserve"> 111</w:t>
      </w:r>
      <w:r w:rsidR="002E1C85" w:rsidRPr="00485172">
        <w:rPr>
          <w:rFonts w:ascii="Verdana" w:hAnsi="Verdana"/>
          <w:sz w:val="18"/>
          <w:szCs w:val="18"/>
        </w:rPr>
        <w:t xml:space="preserve">, </w:t>
      </w:r>
      <w:r w:rsidR="00CC7C68" w:rsidRPr="00485172">
        <w:rPr>
          <w:rFonts w:ascii="Verdana" w:hAnsi="Verdana"/>
          <w:sz w:val="18"/>
          <w:szCs w:val="18"/>
        </w:rPr>
        <w:t>numeral ii</w:t>
      </w:r>
      <w:r w:rsidR="002E1C85" w:rsidRPr="00485172">
        <w:rPr>
          <w:rFonts w:ascii="Verdana" w:hAnsi="Verdana"/>
          <w:sz w:val="18"/>
          <w:szCs w:val="18"/>
        </w:rPr>
        <w:t>)</w:t>
      </w:r>
      <w:r w:rsidR="002E1C85" w:rsidRPr="00485172">
        <w:rPr>
          <w:rStyle w:val="FootnoteReference"/>
          <w:rFonts w:ascii="Verdana" w:hAnsi="Verdana"/>
          <w:sz w:val="18"/>
          <w:szCs w:val="18"/>
        </w:rPr>
        <w:footnoteReference w:id="420"/>
      </w:r>
      <w:r w:rsidR="002E1C85" w:rsidRPr="00485172">
        <w:rPr>
          <w:rFonts w:ascii="Verdana" w:hAnsi="Verdana"/>
          <w:sz w:val="18"/>
          <w:szCs w:val="18"/>
        </w:rPr>
        <w:t xml:space="preserve">, Obdulia Espinoza señaló que quienes detuvieron a Nitza Paola y José Ángel Alvarado </w:t>
      </w:r>
      <w:r w:rsidR="002E1C85" w:rsidRPr="00485172">
        <w:rPr>
          <w:rFonts w:ascii="Verdana" w:hAnsi="Verdana"/>
          <w:sz w:val="18"/>
          <w:szCs w:val="18"/>
        </w:rPr>
        <w:lastRenderedPageBreak/>
        <w:t>portaban uniformes “beige con manchas cafés” mientras que Patricia Reyes indicó que quienes detuvieron a su hija Rocío Irene vestían uniforme “pixelado verde” en su mayoría, y dos o tres de estos portaban “uniforme claro con café”, como los que aparecían en las fotografías que les fueron mostradas</w:t>
      </w:r>
      <w:r w:rsidR="002E1C85" w:rsidRPr="00485172">
        <w:rPr>
          <w:rStyle w:val="FootnoteReference"/>
          <w:rFonts w:ascii="Verdana" w:hAnsi="Verdana"/>
          <w:sz w:val="18"/>
          <w:szCs w:val="18"/>
        </w:rPr>
        <w:footnoteReference w:id="421"/>
      </w:r>
      <w:r w:rsidR="002E1C85" w:rsidRPr="00485172">
        <w:rPr>
          <w:rFonts w:ascii="Verdana" w:hAnsi="Verdana"/>
          <w:sz w:val="18"/>
          <w:szCs w:val="18"/>
        </w:rPr>
        <w:t>.</w:t>
      </w:r>
    </w:p>
    <w:p w14:paraId="64AA600F" w14:textId="24F254A7" w:rsidR="002E1C85" w:rsidRPr="00813B72" w:rsidRDefault="002E1C85" w:rsidP="00DB378B">
      <w:pPr>
        <w:widowControl w:val="0"/>
        <w:numPr>
          <w:ilvl w:val="0"/>
          <w:numId w:val="4"/>
        </w:numPr>
        <w:tabs>
          <w:tab w:val="left" w:pos="567"/>
        </w:tabs>
        <w:autoSpaceDE w:val="0"/>
        <w:autoSpaceDN w:val="0"/>
        <w:adjustRightInd w:val="0"/>
        <w:spacing w:before="120" w:after="120" w:line="240" w:lineRule="auto"/>
        <w:ind w:left="0" w:firstLine="0"/>
        <w:jc w:val="both"/>
        <w:textAlignment w:val="baseline"/>
        <w:rPr>
          <w:rFonts w:ascii="Verdana" w:hAnsi="Verdana"/>
          <w:sz w:val="20"/>
          <w:szCs w:val="20"/>
        </w:rPr>
      </w:pPr>
      <w:r w:rsidRPr="00813B72">
        <w:rPr>
          <w:rFonts w:ascii="Verdana" w:hAnsi="Verdana"/>
          <w:sz w:val="20"/>
          <w:szCs w:val="20"/>
        </w:rPr>
        <w:t>En vista de las objeciones del Estado respecto de posibles contradicciones en los testimonios de los familiares sobre los detalles precisos en el color y características de la vestimenta que portaban los captores, así como de los vehículos utilizados en la detención de los desaparecidos (</w:t>
      </w:r>
      <w:r w:rsidRPr="00813B72">
        <w:rPr>
          <w:rFonts w:ascii="Verdana" w:hAnsi="Verdana"/>
          <w:i/>
          <w:sz w:val="20"/>
          <w:szCs w:val="20"/>
        </w:rPr>
        <w:t xml:space="preserve">supra </w:t>
      </w:r>
      <w:r w:rsidRPr="00813B72">
        <w:rPr>
          <w:rFonts w:ascii="Verdana" w:hAnsi="Verdana"/>
          <w:sz w:val="20"/>
          <w:szCs w:val="20"/>
        </w:rPr>
        <w:t xml:space="preserve">párr. </w:t>
      </w:r>
      <w:r w:rsidR="000420E5">
        <w:rPr>
          <w:rFonts w:ascii="Verdana" w:hAnsi="Verdana"/>
          <w:sz w:val="20"/>
          <w:szCs w:val="20"/>
        </w:rPr>
        <w:t>163</w:t>
      </w:r>
      <w:r w:rsidRPr="00813B72">
        <w:rPr>
          <w:rFonts w:ascii="Verdana" w:hAnsi="Verdana"/>
          <w:sz w:val="20"/>
          <w:szCs w:val="20"/>
        </w:rPr>
        <w:t>), el Tribunal estima pertinente reiterar, como lo ha hecho en casos anteriores</w:t>
      </w:r>
      <w:r w:rsidRPr="00813B72">
        <w:rPr>
          <w:rStyle w:val="FootnoteReference"/>
          <w:rFonts w:ascii="Verdana" w:hAnsi="Verdana"/>
          <w:sz w:val="20"/>
          <w:szCs w:val="20"/>
        </w:rPr>
        <w:footnoteReference w:id="422"/>
      </w:r>
      <w:r w:rsidRPr="00813B72">
        <w:rPr>
          <w:rFonts w:ascii="Verdana" w:hAnsi="Verdana"/>
          <w:sz w:val="20"/>
          <w:szCs w:val="20"/>
        </w:rPr>
        <w:t xml:space="preserve">, que es razonable considerar que los familiares no tengan un registro exacto y pormenorizado de las circunstancias que rodean este tipo de hechos, </w:t>
      </w:r>
      <w:r w:rsidRPr="00AD4631">
        <w:rPr>
          <w:rFonts w:ascii="Verdana" w:hAnsi="Verdana"/>
          <w:sz w:val="20"/>
          <w:szCs w:val="20"/>
        </w:rPr>
        <w:t>p</w:t>
      </w:r>
      <w:r w:rsidR="002D68EF" w:rsidRPr="00AD4631">
        <w:rPr>
          <w:rFonts w:ascii="Verdana" w:hAnsi="Verdana"/>
          <w:sz w:val="20"/>
          <w:szCs w:val="20"/>
        </w:rPr>
        <w:t>or</w:t>
      </w:r>
      <w:r w:rsidRPr="00813B72">
        <w:rPr>
          <w:rFonts w:ascii="Verdana" w:hAnsi="Verdana"/>
          <w:i/>
          <w:sz w:val="20"/>
          <w:szCs w:val="20"/>
        </w:rPr>
        <w:t xml:space="preserve"> </w:t>
      </w:r>
      <w:r w:rsidRPr="00813B72">
        <w:rPr>
          <w:rFonts w:ascii="Verdana" w:hAnsi="Verdana"/>
          <w:sz w:val="20"/>
          <w:szCs w:val="20"/>
        </w:rPr>
        <w:t xml:space="preserve">su naturaleza traumática para las víctimas. Por tanto, se torna indispensable tomar en cuenta al examinar testimonios vertidos en casos similares la especial situación de tensión, estrés u otras circunstancias particulares que puedan afectar al declarante, en donde ciertas imprecisiones y desorientación resultan razonables y no desacreditan el dicho de los testigos en tanto resulten consistentes en los hechos principales que relatan y contienen. </w:t>
      </w:r>
    </w:p>
    <w:p w14:paraId="64AA6011" w14:textId="677520F3" w:rsidR="002E1C85" w:rsidRPr="00813B72" w:rsidRDefault="002E1C85" w:rsidP="00DB378B">
      <w:pPr>
        <w:widowControl w:val="0"/>
        <w:numPr>
          <w:ilvl w:val="0"/>
          <w:numId w:val="4"/>
        </w:numPr>
        <w:tabs>
          <w:tab w:val="left" w:pos="567"/>
        </w:tabs>
        <w:autoSpaceDE w:val="0"/>
        <w:autoSpaceDN w:val="0"/>
        <w:adjustRightInd w:val="0"/>
        <w:spacing w:before="120" w:after="120" w:line="240" w:lineRule="auto"/>
        <w:ind w:left="0" w:firstLine="0"/>
        <w:jc w:val="both"/>
        <w:textAlignment w:val="baseline"/>
        <w:rPr>
          <w:rFonts w:ascii="Verdana" w:hAnsi="Verdana"/>
          <w:sz w:val="20"/>
          <w:szCs w:val="20"/>
        </w:rPr>
      </w:pPr>
      <w:r w:rsidRPr="00813B72">
        <w:rPr>
          <w:rFonts w:ascii="Verdana" w:hAnsi="Verdana"/>
          <w:sz w:val="20"/>
          <w:szCs w:val="20"/>
        </w:rPr>
        <w:t xml:space="preserve">En este sentido, el Tribunal observa que los testigos presenciales Obdulia Espinoza Beltrán, Patricia Reyes Rueda, A.R.A.R. y A.A.R. son consistentes en señalar: i) que el 29 de diciembre de 2009 un grupo de entre 8 y 10 elementos que portaban uniformes y armamento con características militares privaron de la libertad a los desaparecidos, y  ii) que tras perpetrar las detenciones, los elementos abordaron dos vehículos, uno de ellos una camioneta tipo Pick Up, doble cabina, y la otra una marca Hummer, en los cuales huyeron con rumbo desconocido llevando consigo a las presuntas víctimas </w:t>
      </w:r>
      <w:r w:rsidRPr="00312F00">
        <w:rPr>
          <w:rFonts w:ascii="Verdana" w:hAnsi="Verdana"/>
          <w:sz w:val="20"/>
          <w:szCs w:val="20"/>
        </w:rPr>
        <w:t>(</w:t>
      </w:r>
      <w:r w:rsidRPr="00E40B4F">
        <w:rPr>
          <w:rFonts w:ascii="Verdana" w:hAnsi="Verdana"/>
          <w:i/>
          <w:sz w:val="20"/>
          <w:szCs w:val="20"/>
        </w:rPr>
        <w:t>supra</w:t>
      </w:r>
      <w:r w:rsidRPr="00312F00">
        <w:rPr>
          <w:rFonts w:ascii="Verdana" w:hAnsi="Verdana"/>
          <w:sz w:val="20"/>
          <w:szCs w:val="20"/>
        </w:rPr>
        <w:t xml:space="preserve">, párrs. </w:t>
      </w:r>
      <w:r w:rsidR="0061057A" w:rsidRPr="008D0846">
        <w:rPr>
          <w:rFonts w:ascii="Verdana" w:hAnsi="Verdana"/>
          <w:sz w:val="20"/>
          <w:szCs w:val="20"/>
        </w:rPr>
        <w:t>80</w:t>
      </w:r>
      <w:r w:rsidR="009520C7" w:rsidRPr="00312F00">
        <w:rPr>
          <w:rFonts w:ascii="Verdana" w:hAnsi="Verdana"/>
          <w:sz w:val="20"/>
          <w:szCs w:val="20"/>
        </w:rPr>
        <w:t xml:space="preserve"> y 8</w:t>
      </w:r>
      <w:r w:rsidR="00312F00" w:rsidRPr="008D0846">
        <w:rPr>
          <w:rFonts w:ascii="Verdana" w:hAnsi="Verdana"/>
          <w:sz w:val="20"/>
          <w:szCs w:val="20"/>
        </w:rPr>
        <w:t>5</w:t>
      </w:r>
      <w:r w:rsidR="007B3520" w:rsidRPr="00312F00">
        <w:rPr>
          <w:rFonts w:ascii="Verdana" w:hAnsi="Verdana"/>
          <w:sz w:val="20"/>
          <w:szCs w:val="20"/>
        </w:rPr>
        <w:t>).</w:t>
      </w:r>
      <w:r w:rsidR="007B3520" w:rsidRPr="00813B72">
        <w:rPr>
          <w:rFonts w:ascii="Verdana" w:hAnsi="Verdana"/>
          <w:sz w:val="20"/>
          <w:szCs w:val="20"/>
        </w:rPr>
        <w:t xml:space="preserve"> </w:t>
      </w:r>
      <w:r w:rsidRPr="00813B72">
        <w:rPr>
          <w:rFonts w:ascii="Verdana" w:hAnsi="Verdana"/>
          <w:sz w:val="20"/>
          <w:szCs w:val="20"/>
        </w:rPr>
        <w:t>Asimismo, Patricia Reyes Rueda, A.R.A.R., Manuel Reyes Lira y Marissa Reyes Rueda coinciden en sus testimonios al identificar a una de las camionetas particulares que en algún momento estuvo bajo custodia estatal, particularmente en inmediaciones del Ejército (</w:t>
      </w:r>
      <w:r w:rsidRPr="00813B72">
        <w:rPr>
          <w:rFonts w:ascii="Verdana" w:hAnsi="Verdana"/>
          <w:i/>
          <w:sz w:val="20"/>
          <w:szCs w:val="20"/>
        </w:rPr>
        <w:t>supra</w:t>
      </w:r>
      <w:r w:rsidRPr="00813B72">
        <w:rPr>
          <w:rFonts w:ascii="Verdana" w:hAnsi="Verdana"/>
          <w:sz w:val="20"/>
          <w:szCs w:val="20"/>
        </w:rPr>
        <w:t xml:space="preserve"> párr</w:t>
      </w:r>
      <w:r w:rsidR="00F3343E">
        <w:rPr>
          <w:rFonts w:ascii="Verdana" w:hAnsi="Verdana"/>
          <w:sz w:val="20"/>
          <w:szCs w:val="20"/>
        </w:rPr>
        <w:t>. 186</w:t>
      </w:r>
      <w:r w:rsidRPr="00813B72">
        <w:rPr>
          <w:rFonts w:ascii="Verdana" w:hAnsi="Verdana"/>
          <w:sz w:val="20"/>
          <w:szCs w:val="20"/>
        </w:rPr>
        <w:t>) como uno de los vehículos utilizados en la privación de la libertad de sus familiares y en la que con anterioridad a los hechos habían visto circular a elementos uniformados del Ejército en el Ejido Benito Juárez. En consecuencia, la Corte concluye que dichas declaraciones testimoniales resultan indicios adicionales válidos</w:t>
      </w:r>
      <w:r w:rsidR="004B47BE">
        <w:rPr>
          <w:rFonts w:ascii="Verdana" w:hAnsi="Verdana"/>
          <w:sz w:val="20"/>
          <w:szCs w:val="20"/>
        </w:rPr>
        <w:t>,</w:t>
      </w:r>
      <w:r w:rsidRPr="00813B72">
        <w:rPr>
          <w:rFonts w:ascii="Verdana" w:hAnsi="Verdana"/>
          <w:sz w:val="20"/>
          <w:szCs w:val="20"/>
        </w:rPr>
        <w:t xml:space="preserve"> en tanto los hechos que describen son consistentes y contribuyen a determinar la participación de agentes estatales en la desaparición de las tres presuntas víctimas.</w:t>
      </w:r>
    </w:p>
    <w:p w14:paraId="21C1845A" w14:textId="2AE6BDDE" w:rsidR="00083819" w:rsidRPr="00813B72" w:rsidRDefault="002E1C85" w:rsidP="00DB378B">
      <w:pPr>
        <w:widowControl w:val="0"/>
        <w:numPr>
          <w:ilvl w:val="0"/>
          <w:numId w:val="4"/>
        </w:numPr>
        <w:tabs>
          <w:tab w:val="left" w:pos="567"/>
        </w:tabs>
        <w:autoSpaceDE w:val="0"/>
        <w:autoSpaceDN w:val="0"/>
        <w:adjustRightInd w:val="0"/>
        <w:spacing w:before="120" w:after="120" w:line="240" w:lineRule="auto"/>
        <w:ind w:left="0" w:firstLine="0"/>
        <w:jc w:val="both"/>
        <w:textAlignment w:val="baseline"/>
        <w:rPr>
          <w:rFonts w:ascii="Verdana" w:hAnsi="Verdana"/>
          <w:sz w:val="20"/>
          <w:szCs w:val="20"/>
        </w:rPr>
      </w:pPr>
      <w:r w:rsidRPr="00813B72">
        <w:rPr>
          <w:rFonts w:ascii="Verdana" w:hAnsi="Verdana"/>
          <w:sz w:val="20"/>
          <w:szCs w:val="20"/>
        </w:rPr>
        <w:t xml:space="preserve">Con relación al alegato del Estado respecto de la </w:t>
      </w:r>
      <w:r w:rsidR="00A125F7">
        <w:rPr>
          <w:rFonts w:ascii="Verdana" w:hAnsi="Verdana"/>
          <w:sz w:val="20"/>
          <w:szCs w:val="20"/>
        </w:rPr>
        <w:t xml:space="preserve">hipótesis de la </w:t>
      </w:r>
      <w:r w:rsidR="00CC6F07">
        <w:rPr>
          <w:rFonts w:ascii="Verdana" w:hAnsi="Verdana"/>
          <w:sz w:val="20"/>
          <w:szCs w:val="20"/>
        </w:rPr>
        <w:t xml:space="preserve">autoría de los hechos por parte de la </w:t>
      </w:r>
      <w:r w:rsidRPr="00813B72">
        <w:rPr>
          <w:rFonts w:ascii="Verdana" w:hAnsi="Verdana"/>
          <w:sz w:val="20"/>
          <w:szCs w:val="20"/>
        </w:rPr>
        <w:t>delincuencia organizada</w:t>
      </w:r>
      <w:r w:rsidRPr="00813B72">
        <w:rPr>
          <w:rStyle w:val="FootnoteReference"/>
          <w:rFonts w:ascii="Verdana" w:hAnsi="Verdana"/>
          <w:sz w:val="20"/>
          <w:szCs w:val="20"/>
        </w:rPr>
        <w:footnoteReference w:id="423"/>
      </w:r>
      <w:r w:rsidR="00A125F7">
        <w:rPr>
          <w:rFonts w:ascii="Verdana" w:hAnsi="Verdana"/>
          <w:sz w:val="20"/>
          <w:szCs w:val="20"/>
        </w:rPr>
        <w:t xml:space="preserve"> y no de agentes estatales</w:t>
      </w:r>
      <w:r w:rsidRPr="00813B72">
        <w:rPr>
          <w:rFonts w:ascii="Verdana" w:hAnsi="Verdana"/>
          <w:sz w:val="20"/>
          <w:szCs w:val="20"/>
        </w:rPr>
        <w:t xml:space="preserve">, </w:t>
      </w:r>
      <w:r w:rsidR="00A125F7">
        <w:rPr>
          <w:rFonts w:ascii="Verdana" w:hAnsi="Verdana"/>
          <w:sz w:val="20"/>
          <w:szCs w:val="20"/>
        </w:rPr>
        <w:t xml:space="preserve">la Corte observa que </w:t>
      </w:r>
      <w:r w:rsidRPr="00813B72">
        <w:rPr>
          <w:rFonts w:ascii="Verdana" w:hAnsi="Verdana"/>
          <w:sz w:val="20"/>
          <w:szCs w:val="20"/>
        </w:rPr>
        <w:t xml:space="preserve">el Estado </w:t>
      </w:r>
      <w:r w:rsidR="00A125F7">
        <w:rPr>
          <w:rFonts w:ascii="Verdana" w:hAnsi="Verdana"/>
          <w:sz w:val="20"/>
          <w:szCs w:val="20"/>
        </w:rPr>
        <w:t xml:space="preserve">se basó en algunos elementos </w:t>
      </w:r>
      <w:r w:rsidR="00CC6F07">
        <w:rPr>
          <w:rFonts w:ascii="Verdana" w:hAnsi="Verdana"/>
          <w:sz w:val="20"/>
          <w:szCs w:val="20"/>
        </w:rPr>
        <w:t>de presunción</w:t>
      </w:r>
      <w:r w:rsidR="00A125F7">
        <w:rPr>
          <w:rStyle w:val="FootnoteReference"/>
          <w:rFonts w:ascii="Verdana" w:hAnsi="Verdana"/>
          <w:sz w:val="20"/>
          <w:szCs w:val="20"/>
        </w:rPr>
        <w:footnoteReference w:id="424"/>
      </w:r>
      <w:r w:rsidR="00A125F7">
        <w:rPr>
          <w:rFonts w:ascii="Verdana" w:hAnsi="Verdana"/>
          <w:sz w:val="20"/>
          <w:szCs w:val="20"/>
        </w:rPr>
        <w:t xml:space="preserve"> </w:t>
      </w:r>
      <w:r w:rsidRPr="00813B72">
        <w:rPr>
          <w:rFonts w:ascii="Verdana" w:hAnsi="Verdana"/>
          <w:sz w:val="20"/>
          <w:szCs w:val="20"/>
        </w:rPr>
        <w:t xml:space="preserve">a partir de los supuestos antecedentes </w:t>
      </w:r>
      <w:r w:rsidRPr="00813B72">
        <w:rPr>
          <w:rFonts w:ascii="Verdana" w:hAnsi="Verdana"/>
          <w:sz w:val="20"/>
          <w:szCs w:val="20"/>
        </w:rPr>
        <w:lastRenderedPageBreak/>
        <w:t xml:space="preserve">personales de </w:t>
      </w:r>
      <w:r w:rsidR="00A125F7">
        <w:rPr>
          <w:rFonts w:ascii="Verdana" w:hAnsi="Verdana"/>
          <w:sz w:val="20"/>
          <w:szCs w:val="20"/>
        </w:rPr>
        <w:t xml:space="preserve">alguna de </w:t>
      </w:r>
      <w:r w:rsidRPr="00813B72">
        <w:rPr>
          <w:rFonts w:ascii="Verdana" w:hAnsi="Verdana"/>
          <w:sz w:val="20"/>
          <w:szCs w:val="20"/>
        </w:rPr>
        <w:t>las víctimas y sus familiares</w:t>
      </w:r>
      <w:r w:rsidR="00CC6F07" w:rsidRPr="00CC6F07">
        <w:rPr>
          <w:rFonts w:ascii="Verdana" w:hAnsi="Verdana"/>
          <w:sz w:val="20"/>
          <w:szCs w:val="20"/>
        </w:rPr>
        <w:t xml:space="preserve"> </w:t>
      </w:r>
      <w:r w:rsidR="00CC6F07" w:rsidRPr="00813B72">
        <w:rPr>
          <w:rFonts w:ascii="Verdana" w:hAnsi="Verdana"/>
          <w:sz w:val="20"/>
          <w:szCs w:val="20"/>
        </w:rPr>
        <w:t>con miembros del grupo criminal “La Línea”</w:t>
      </w:r>
      <w:r w:rsidR="00A125F7">
        <w:rPr>
          <w:rFonts w:ascii="Verdana" w:hAnsi="Verdana"/>
          <w:sz w:val="20"/>
          <w:szCs w:val="20"/>
        </w:rPr>
        <w:t xml:space="preserve">, los cuales </w:t>
      </w:r>
      <w:r w:rsidR="00CC6F07">
        <w:rPr>
          <w:rFonts w:ascii="Verdana" w:hAnsi="Verdana"/>
          <w:sz w:val="20"/>
          <w:szCs w:val="20"/>
        </w:rPr>
        <w:t>resultan</w:t>
      </w:r>
      <w:r w:rsidR="00A125F7">
        <w:rPr>
          <w:rFonts w:ascii="Verdana" w:hAnsi="Verdana"/>
          <w:sz w:val="20"/>
          <w:szCs w:val="20"/>
        </w:rPr>
        <w:t xml:space="preserve"> insuficientes y no son con</w:t>
      </w:r>
      <w:r w:rsidR="00CC6F07">
        <w:rPr>
          <w:rFonts w:ascii="Verdana" w:hAnsi="Verdana"/>
          <w:sz w:val="20"/>
          <w:szCs w:val="20"/>
        </w:rPr>
        <w:t>sistentes</w:t>
      </w:r>
      <w:r w:rsidR="00171268">
        <w:rPr>
          <w:rFonts w:ascii="Verdana" w:hAnsi="Verdana"/>
          <w:sz w:val="20"/>
          <w:szCs w:val="20"/>
        </w:rPr>
        <w:t xml:space="preserve"> para</w:t>
      </w:r>
      <w:r w:rsidR="00A125F7">
        <w:rPr>
          <w:rFonts w:ascii="Verdana" w:hAnsi="Verdana"/>
          <w:sz w:val="20"/>
          <w:szCs w:val="20"/>
        </w:rPr>
        <w:t xml:space="preserve"> desvirtuar las otras líneas de investigación</w:t>
      </w:r>
      <w:r w:rsidRPr="00813B72">
        <w:rPr>
          <w:rFonts w:ascii="Verdana" w:hAnsi="Verdana"/>
          <w:sz w:val="20"/>
          <w:szCs w:val="20"/>
        </w:rPr>
        <w:t xml:space="preserve">. </w:t>
      </w:r>
      <w:r w:rsidR="00A125F7">
        <w:rPr>
          <w:rFonts w:ascii="Verdana" w:hAnsi="Verdana"/>
          <w:sz w:val="20"/>
          <w:szCs w:val="20"/>
        </w:rPr>
        <w:t>Al respecto, l</w:t>
      </w:r>
      <w:r w:rsidRPr="00813B72">
        <w:rPr>
          <w:rFonts w:ascii="Verdana" w:hAnsi="Verdana"/>
          <w:sz w:val="20"/>
          <w:szCs w:val="20"/>
        </w:rPr>
        <w:t>a Corte nota que</w:t>
      </w:r>
      <w:r w:rsidR="00C844C0">
        <w:rPr>
          <w:rFonts w:ascii="Verdana" w:hAnsi="Verdana"/>
          <w:sz w:val="20"/>
          <w:szCs w:val="20"/>
        </w:rPr>
        <w:t>,</w:t>
      </w:r>
      <w:r w:rsidRPr="00813B72">
        <w:rPr>
          <w:rFonts w:ascii="Verdana" w:hAnsi="Verdana"/>
          <w:sz w:val="20"/>
          <w:szCs w:val="20"/>
        </w:rPr>
        <w:t xml:space="preserve"> </w:t>
      </w:r>
      <w:r w:rsidR="00CC6F07">
        <w:rPr>
          <w:rFonts w:ascii="Verdana" w:hAnsi="Verdana"/>
          <w:sz w:val="20"/>
          <w:szCs w:val="20"/>
        </w:rPr>
        <w:t>inclusive a nivel interno</w:t>
      </w:r>
      <w:r w:rsidR="00C844C0">
        <w:rPr>
          <w:rFonts w:ascii="Verdana" w:hAnsi="Verdana"/>
          <w:sz w:val="20"/>
          <w:szCs w:val="20"/>
        </w:rPr>
        <w:t>,</w:t>
      </w:r>
      <w:r w:rsidR="00CC6F07">
        <w:rPr>
          <w:rFonts w:ascii="Verdana" w:hAnsi="Verdana"/>
          <w:sz w:val="20"/>
          <w:szCs w:val="20"/>
        </w:rPr>
        <w:t xml:space="preserve"> dicha línea de investigación no ha derivado en ningún resultado hasta el momento, por lo que resulta contradictorio </w:t>
      </w:r>
      <w:r w:rsidRPr="00813B72">
        <w:rPr>
          <w:rFonts w:ascii="Verdana" w:hAnsi="Verdana"/>
          <w:sz w:val="20"/>
          <w:szCs w:val="20"/>
        </w:rPr>
        <w:t xml:space="preserve">ampararse en la inefectividad de las </w:t>
      </w:r>
      <w:r w:rsidR="00CC6F07">
        <w:rPr>
          <w:rFonts w:ascii="Verdana" w:hAnsi="Verdana"/>
          <w:sz w:val="20"/>
          <w:szCs w:val="20"/>
        </w:rPr>
        <w:t xml:space="preserve">investigaciones para </w:t>
      </w:r>
      <w:r w:rsidR="00605079">
        <w:rPr>
          <w:rFonts w:ascii="Verdana" w:hAnsi="Verdana"/>
          <w:sz w:val="20"/>
          <w:szCs w:val="20"/>
        </w:rPr>
        <w:t xml:space="preserve">descartar o contravertir la otra tesis. </w:t>
      </w:r>
      <w:r w:rsidRPr="00813B72">
        <w:rPr>
          <w:rFonts w:ascii="Verdana" w:hAnsi="Verdana"/>
          <w:sz w:val="20"/>
          <w:szCs w:val="20"/>
        </w:rPr>
        <w:t>(</w:t>
      </w:r>
      <w:r w:rsidR="00205AF7" w:rsidRPr="00205AF7">
        <w:rPr>
          <w:rFonts w:ascii="Verdana" w:hAnsi="Verdana"/>
          <w:i/>
          <w:sz w:val="20"/>
          <w:szCs w:val="20"/>
        </w:rPr>
        <w:t>infra</w:t>
      </w:r>
      <w:r w:rsidRPr="00813B72">
        <w:rPr>
          <w:rFonts w:ascii="Verdana" w:hAnsi="Verdana"/>
          <w:sz w:val="20"/>
          <w:szCs w:val="20"/>
        </w:rPr>
        <w:t xml:space="preserve">, párr. </w:t>
      </w:r>
      <w:r w:rsidR="006B5D55">
        <w:rPr>
          <w:rFonts w:ascii="Verdana" w:hAnsi="Verdana"/>
          <w:sz w:val="20"/>
          <w:szCs w:val="20"/>
        </w:rPr>
        <w:t>246</w:t>
      </w:r>
      <w:r w:rsidRPr="00813B72">
        <w:rPr>
          <w:rFonts w:ascii="Verdana" w:hAnsi="Verdana"/>
          <w:sz w:val="20"/>
          <w:szCs w:val="20"/>
        </w:rPr>
        <w:t>)</w:t>
      </w:r>
      <w:r w:rsidRPr="00813B72">
        <w:rPr>
          <w:rStyle w:val="FootnoteReference"/>
          <w:rFonts w:ascii="Verdana" w:hAnsi="Verdana"/>
          <w:sz w:val="20"/>
          <w:szCs w:val="20"/>
        </w:rPr>
        <w:footnoteReference w:id="425"/>
      </w:r>
      <w:r w:rsidRPr="00813B72">
        <w:rPr>
          <w:rFonts w:ascii="Verdana" w:hAnsi="Verdana"/>
          <w:sz w:val="20"/>
          <w:szCs w:val="20"/>
        </w:rPr>
        <w:t>.</w:t>
      </w:r>
    </w:p>
    <w:p w14:paraId="64AA6017" w14:textId="5445A6BD" w:rsidR="002E1C85" w:rsidRPr="00CB680E" w:rsidRDefault="00083819" w:rsidP="00DB378B">
      <w:pPr>
        <w:widowControl w:val="0"/>
        <w:numPr>
          <w:ilvl w:val="0"/>
          <w:numId w:val="4"/>
        </w:numPr>
        <w:tabs>
          <w:tab w:val="left" w:pos="567"/>
        </w:tabs>
        <w:autoSpaceDE w:val="0"/>
        <w:autoSpaceDN w:val="0"/>
        <w:adjustRightInd w:val="0"/>
        <w:spacing w:before="120" w:after="120" w:line="240" w:lineRule="auto"/>
        <w:ind w:left="0" w:firstLine="0"/>
        <w:jc w:val="both"/>
        <w:textAlignment w:val="baseline"/>
        <w:rPr>
          <w:rFonts w:ascii="Verdana" w:hAnsi="Verdana"/>
          <w:sz w:val="20"/>
          <w:szCs w:val="20"/>
        </w:rPr>
      </w:pPr>
      <w:r w:rsidRPr="00813B72">
        <w:rPr>
          <w:rFonts w:ascii="Verdana" w:hAnsi="Verdana"/>
          <w:sz w:val="20"/>
          <w:szCs w:val="20"/>
        </w:rPr>
        <w:t>De igual modo, el Tribunal nota que el Estado alegó en su defensa para atribuir las tres desapariciones a miembros del crimen organizado que “como parte de la forma de actuar de las organizaciones delictivas asentadas en el territorio del estado de Chihuahua se encontraba el uso o empleo de uniformes, insignias y pertrechos oficiales pertenecientes a las distintas dependencias federales inherentes al ámbito de la seguridad pública”. Para sustentar dicho alegato, ofreció ante el Tribunal una estadística sobre los aseguramientos de uniformes, armamento y pertrechos apócrifos de fuerzas de seguridad decomisados a la delincuencia organizada en el estado de Chihuahua en el período comprendido entre el 1 de diciembre de 2006 y el 12 de octubre de 2017</w:t>
      </w:r>
      <w:r w:rsidRPr="00813B72">
        <w:rPr>
          <w:rStyle w:val="FootnoteReference"/>
          <w:rFonts w:ascii="Verdana" w:hAnsi="Verdana"/>
          <w:sz w:val="20"/>
          <w:szCs w:val="20"/>
        </w:rPr>
        <w:footnoteReference w:id="426"/>
      </w:r>
      <w:r w:rsidRPr="00813B72">
        <w:rPr>
          <w:rFonts w:ascii="Verdana" w:hAnsi="Verdana"/>
          <w:sz w:val="20"/>
          <w:szCs w:val="20"/>
        </w:rPr>
        <w:t xml:space="preserve">. No obstante, a pregunta expresa de la Corte en la audiencia pública, el Estado reconoció que en casi 11 años sólo había sido detenida una persona en el Municipio de Buenaventura (al </w:t>
      </w:r>
      <w:r w:rsidRPr="00F67B06">
        <w:rPr>
          <w:rFonts w:ascii="Verdana" w:hAnsi="Verdana"/>
          <w:sz w:val="20"/>
          <w:szCs w:val="20"/>
        </w:rPr>
        <w:t>que pertenece el Ejido Benito Juárez) por e</w:t>
      </w:r>
      <w:r w:rsidRPr="00BA46BA">
        <w:rPr>
          <w:rFonts w:ascii="Verdana" w:hAnsi="Verdana"/>
          <w:sz w:val="20"/>
          <w:szCs w:val="20"/>
        </w:rPr>
        <w:t>ste tipo de eventos. En vista de tal información, el Tribunal considera no probado que dicho patrón de excepcionalidad hubiere concurrido en el presente caso.</w:t>
      </w:r>
    </w:p>
    <w:p w14:paraId="64AA6019" w14:textId="5F5294B8" w:rsidR="002E1C85" w:rsidRPr="00F67B06" w:rsidRDefault="002E1C85" w:rsidP="00702B7F">
      <w:pPr>
        <w:widowControl w:val="0"/>
        <w:numPr>
          <w:ilvl w:val="0"/>
          <w:numId w:val="4"/>
        </w:numPr>
        <w:tabs>
          <w:tab w:val="left" w:pos="567"/>
        </w:tabs>
        <w:autoSpaceDE w:val="0"/>
        <w:autoSpaceDN w:val="0"/>
        <w:adjustRightInd w:val="0"/>
        <w:spacing w:before="120" w:after="120" w:line="240" w:lineRule="auto"/>
        <w:ind w:left="0" w:firstLine="0"/>
        <w:jc w:val="both"/>
        <w:textAlignment w:val="baseline"/>
        <w:rPr>
          <w:rFonts w:ascii="Verdana" w:hAnsi="Verdana"/>
          <w:sz w:val="20"/>
          <w:szCs w:val="20"/>
        </w:rPr>
      </w:pPr>
      <w:r w:rsidRPr="00F67B06">
        <w:rPr>
          <w:rFonts w:ascii="Verdana" w:hAnsi="Verdana"/>
          <w:sz w:val="20"/>
          <w:szCs w:val="20"/>
        </w:rPr>
        <w:t>Adicionalmente, la Corte nota que en el acervo probatorio constan otros elementos que apuntan hacia la posible participación estatal: i) la declaración de Alberto Hernández de la Cruz, Sargento Primero Conductor, chofer del Comandante del 35 Batallón al momento de los hechos, testificando haber escuchado que dicho jefe militar y elementos bajo su mando participaron en la detención en el Ejido Benito Juárez “de una mujer inválida y un hombre”, infiriendo que dicha expresión se encontraba relacionada las desapariciones de Nitza Paola y José Ángel Alvarado (</w:t>
      </w:r>
      <w:r w:rsidRPr="00F67B06">
        <w:rPr>
          <w:rFonts w:ascii="Verdana" w:hAnsi="Verdana"/>
          <w:i/>
          <w:sz w:val="20"/>
          <w:szCs w:val="20"/>
        </w:rPr>
        <w:t xml:space="preserve">supra </w:t>
      </w:r>
      <w:r w:rsidRPr="00F67B06">
        <w:rPr>
          <w:rFonts w:ascii="Verdana" w:hAnsi="Verdana"/>
          <w:sz w:val="20"/>
          <w:szCs w:val="20"/>
        </w:rPr>
        <w:t xml:space="preserve">párr. </w:t>
      </w:r>
      <w:r w:rsidR="00702B7F" w:rsidRPr="00F67B06">
        <w:rPr>
          <w:rFonts w:ascii="Verdana" w:hAnsi="Verdana"/>
          <w:sz w:val="20"/>
          <w:szCs w:val="20"/>
        </w:rPr>
        <w:t>97, numeral i</w:t>
      </w:r>
      <w:r w:rsidRPr="00F67B06">
        <w:rPr>
          <w:rFonts w:ascii="Verdana" w:hAnsi="Verdana"/>
          <w:sz w:val="20"/>
          <w:szCs w:val="20"/>
        </w:rPr>
        <w:t xml:space="preserve">); ii) Los testimonios de María de Jesús y Jaime Alvarado, refiriendo </w:t>
      </w:r>
      <w:r w:rsidRPr="00F67B06">
        <w:rPr>
          <w:rFonts w:ascii="Verdana" w:hAnsi="Verdana" w:cs="Arial"/>
          <w:sz w:val="20"/>
          <w:szCs w:val="20"/>
        </w:rPr>
        <w:t xml:space="preserve">que agentes estatales les indicaron que tenían conocimiento de que </w:t>
      </w:r>
      <w:r w:rsidRPr="00F67B06">
        <w:rPr>
          <w:rFonts w:ascii="Verdana" w:hAnsi="Verdana"/>
          <w:sz w:val="20"/>
          <w:szCs w:val="20"/>
        </w:rPr>
        <w:t>sus familiares habían sido detenidos por elementos del 35 Batallón de Infantería y se encontraban bajo custodia estatal (</w:t>
      </w:r>
      <w:r w:rsidRPr="00F67B06">
        <w:rPr>
          <w:rFonts w:ascii="Verdana" w:hAnsi="Verdana"/>
          <w:i/>
          <w:sz w:val="20"/>
          <w:szCs w:val="20"/>
        </w:rPr>
        <w:t xml:space="preserve">supra </w:t>
      </w:r>
      <w:r w:rsidRPr="00F67B06">
        <w:rPr>
          <w:rFonts w:ascii="Verdana" w:hAnsi="Verdana"/>
          <w:sz w:val="20"/>
          <w:szCs w:val="20"/>
        </w:rPr>
        <w:t xml:space="preserve">párrs. </w:t>
      </w:r>
      <w:r w:rsidR="00702B7F" w:rsidRPr="00F67B06">
        <w:rPr>
          <w:rFonts w:ascii="Verdana" w:hAnsi="Verdana"/>
          <w:sz w:val="20"/>
          <w:szCs w:val="20"/>
        </w:rPr>
        <w:t>9</w:t>
      </w:r>
      <w:r w:rsidR="006B5D55" w:rsidRPr="00F67B06">
        <w:rPr>
          <w:rFonts w:ascii="Verdana" w:hAnsi="Verdana"/>
          <w:sz w:val="20"/>
          <w:szCs w:val="20"/>
        </w:rPr>
        <w:t>0</w:t>
      </w:r>
      <w:r w:rsidR="00702B7F" w:rsidRPr="00F67B06">
        <w:rPr>
          <w:rFonts w:ascii="Verdana" w:hAnsi="Verdana"/>
          <w:sz w:val="20"/>
          <w:szCs w:val="20"/>
        </w:rPr>
        <w:t xml:space="preserve"> a 9</w:t>
      </w:r>
      <w:r w:rsidR="006B5D55" w:rsidRPr="00F67B06">
        <w:rPr>
          <w:rFonts w:ascii="Verdana" w:hAnsi="Verdana"/>
          <w:sz w:val="20"/>
          <w:szCs w:val="20"/>
        </w:rPr>
        <w:t>4</w:t>
      </w:r>
      <w:r w:rsidRPr="00F67B06">
        <w:rPr>
          <w:rFonts w:ascii="Verdana" w:hAnsi="Verdana"/>
          <w:sz w:val="20"/>
          <w:szCs w:val="20"/>
        </w:rPr>
        <w:t>), y iii) los testimonios de Argene Blásquez, Ramón Iván Sotomayor Siller y Damaris Baglietto Hernández, agentes estatales, quienes declararon que durante las gestiones que el supuesto “Comandante Meza” de la Policía Federal realizó ante ellos para entrevistar a los ahora desaparecidos manifestó que tenía conocimiento de que elementos del Ejército habían realizado dichas detenciones (</w:t>
      </w:r>
      <w:r w:rsidRPr="00F67B06">
        <w:rPr>
          <w:rFonts w:ascii="Verdana" w:hAnsi="Verdana"/>
          <w:i/>
          <w:sz w:val="20"/>
          <w:szCs w:val="20"/>
        </w:rPr>
        <w:t>supra</w:t>
      </w:r>
      <w:r w:rsidRPr="00F67B06">
        <w:rPr>
          <w:rFonts w:ascii="Verdana" w:hAnsi="Verdana"/>
          <w:sz w:val="20"/>
          <w:szCs w:val="20"/>
        </w:rPr>
        <w:t xml:space="preserve"> párr. </w:t>
      </w:r>
      <w:r w:rsidR="00702B7F" w:rsidRPr="00F67B06">
        <w:rPr>
          <w:rFonts w:ascii="Verdana" w:hAnsi="Verdana"/>
          <w:sz w:val="20"/>
          <w:szCs w:val="20"/>
        </w:rPr>
        <w:t>9</w:t>
      </w:r>
      <w:r w:rsidR="006B5D55" w:rsidRPr="00F67B06">
        <w:rPr>
          <w:rFonts w:ascii="Verdana" w:hAnsi="Verdana"/>
          <w:sz w:val="20"/>
          <w:szCs w:val="20"/>
        </w:rPr>
        <w:t>8</w:t>
      </w:r>
      <w:r w:rsidRPr="00F67B06">
        <w:rPr>
          <w:rFonts w:ascii="Verdana" w:hAnsi="Verdana"/>
          <w:sz w:val="20"/>
          <w:szCs w:val="20"/>
        </w:rPr>
        <w:t>). Con relación a la apreciación de dichos testimonios, la Corte nota que los mismos fueron desestimados repetidamente en instancias internas por considerarlos “probatoriamente insuficientes” sin haber brindado una motivación razonable al respecto, fragmentando el acervo indiciario y restando su eficacia bajo las reglas de la valoración de la prueba aplicables en casos de desaparición forzada. En particular, el Tribunal nota que en el caso del señalado testigo Sargento Primero</w:t>
      </w:r>
      <w:r w:rsidR="00605079" w:rsidRPr="00AD4631">
        <w:rPr>
          <w:rFonts w:ascii="Verdana" w:hAnsi="Verdana"/>
          <w:sz w:val="20"/>
          <w:szCs w:val="20"/>
        </w:rPr>
        <w:t>,</w:t>
      </w:r>
      <w:r w:rsidRPr="00F67B06">
        <w:rPr>
          <w:rFonts w:ascii="Verdana" w:hAnsi="Verdana"/>
          <w:sz w:val="20"/>
          <w:szCs w:val="20"/>
        </w:rPr>
        <w:t xml:space="preserve"> el Estado no brindó prueba de haber realizado investigación alguna para determinar el motivo </w:t>
      </w:r>
      <w:r w:rsidR="00605079" w:rsidRPr="00AD4631">
        <w:rPr>
          <w:rFonts w:ascii="Verdana" w:hAnsi="Verdana"/>
          <w:sz w:val="20"/>
          <w:szCs w:val="20"/>
        </w:rPr>
        <w:t xml:space="preserve">por el cual se retractó con posterioridad </w:t>
      </w:r>
      <w:r w:rsidRPr="00CB680E">
        <w:rPr>
          <w:rFonts w:ascii="Verdana" w:hAnsi="Verdana"/>
          <w:sz w:val="20"/>
          <w:szCs w:val="20"/>
        </w:rPr>
        <w:t>y verificar la veracidad de la información contenida en sus testimonios (</w:t>
      </w:r>
      <w:r w:rsidRPr="00CB680E">
        <w:rPr>
          <w:rFonts w:ascii="Verdana" w:hAnsi="Verdana"/>
          <w:i/>
          <w:sz w:val="20"/>
          <w:szCs w:val="20"/>
        </w:rPr>
        <w:t>supra</w:t>
      </w:r>
      <w:r w:rsidRPr="00CB680E">
        <w:rPr>
          <w:rFonts w:ascii="Verdana" w:hAnsi="Verdana"/>
          <w:sz w:val="20"/>
          <w:szCs w:val="20"/>
        </w:rPr>
        <w:t xml:space="preserve"> párr. </w:t>
      </w:r>
      <w:r w:rsidR="00AC2EDB" w:rsidRPr="00F67B06">
        <w:rPr>
          <w:rFonts w:ascii="Verdana" w:hAnsi="Verdana"/>
          <w:sz w:val="20"/>
          <w:szCs w:val="20"/>
        </w:rPr>
        <w:lastRenderedPageBreak/>
        <w:t>97</w:t>
      </w:r>
      <w:r w:rsidRPr="00F67B06">
        <w:rPr>
          <w:rFonts w:ascii="Verdana" w:hAnsi="Verdana"/>
          <w:sz w:val="20"/>
          <w:szCs w:val="20"/>
        </w:rPr>
        <w:t xml:space="preserve">), especialmente dadas las siguientes circunstancias: </w:t>
      </w:r>
    </w:p>
    <w:p w14:paraId="64AA601A" w14:textId="4A0082D7" w:rsidR="00265E6C" w:rsidRPr="00F67B06" w:rsidRDefault="00B4529B">
      <w:pPr>
        <w:pStyle w:val="ListParagraph"/>
        <w:numPr>
          <w:ilvl w:val="0"/>
          <w:numId w:val="23"/>
        </w:numPr>
        <w:spacing w:before="120" w:after="120" w:line="240" w:lineRule="auto"/>
        <w:ind w:right="4"/>
        <w:contextualSpacing w:val="0"/>
        <w:jc w:val="both"/>
        <w:rPr>
          <w:rFonts w:ascii="Verdana" w:hAnsi="Verdana"/>
          <w:sz w:val="18"/>
          <w:szCs w:val="20"/>
        </w:rPr>
      </w:pPr>
      <w:r w:rsidRPr="00F67B06">
        <w:rPr>
          <w:rFonts w:ascii="Verdana" w:hAnsi="Verdana"/>
          <w:sz w:val="18"/>
          <w:szCs w:val="20"/>
        </w:rPr>
        <w:t>t</w:t>
      </w:r>
      <w:r w:rsidR="002E1C85" w:rsidRPr="00F67B06">
        <w:rPr>
          <w:rFonts w:ascii="Verdana" w:hAnsi="Verdana"/>
          <w:sz w:val="18"/>
          <w:szCs w:val="20"/>
        </w:rPr>
        <w:t>ras rendir dicho testigo su primera declaración ante la jurisdicción castrense el 5 de febrero de 2010 dentro de un proceso relacionado con otros hechos delictivos en los cuales supuestamente habrían participado agentes estatales (</w:t>
      </w:r>
      <w:r w:rsidR="002E1C85" w:rsidRPr="00F67B06">
        <w:rPr>
          <w:rFonts w:ascii="Verdana" w:hAnsi="Verdana"/>
          <w:i/>
          <w:sz w:val="18"/>
          <w:szCs w:val="20"/>
        </w:rPr>
        <w:t>supra</w:t>
      </w:r>
      <w:r w:rsidR="002E1C85" w:rsidRPr="00F67B06">
        <w:rPr>
          <w:rFonts w:ascii="Verdana" w:hAnsi="Verdana"/>
          <w:sz w:val="18"/>
          <w:szCs w:val="20"/>
        </w:rPr>
        <w:t xml:space="preserve"> párr. </w:t>
      </w:r>
      <w:r w:rsidR="00C96E7F" w:rsidRPr="00F67B06">
        <w:rPr>
          <w:rFonts w:ascii="Verdana" w:hAnsi="Verdana"/>
          <w:sz w:val="18"/>
          <w:szCs w:val="20"/>
        </w:rPr>
        <w:t>97, numeral i</w:t>
      </w:r>
      <w:r w:rsidR="002E1C85" w:rsidRPr="00F67B06">
        <w:rPr>
          <w:rFonts w:ascii="Verdana" w:hAnsi="Verdana"/>
          <w:sz w:val="18"/>
          <w:szCs w:val="20"/>
        </w:rPr>
        <w:t>), el Supremo Tribunal Militar calificó su testimonio como “ineficaz” y descartó en su totalidad el contenido del mismo sin tomar en consideración la eventual importancia de la información vertida en dicho testimonio para el esclarecimiento de las 3 desapariciones como pudiera ser la identificación de un posible patrón de actuación de los perpetradores de ambos hechos y brindara, eventualmente, indicios sobre la probable autoría de los mismos-, máxime que la misma fue rendida solo 38 días después de que tales desapariciones ocurrieron (</w:t>
      </w:r>
      <w:r w:rsidR="002E1C85" w:rsidRPr="00F67B06">
        <w:rPr>
          <w:rFonts w:ascii="Verdana" w:hAnsi="Verdana"/>
          <w:i/>
          <w:sz w:val="18"/>
          <w:szCs w:val="20"/>
        </w:rPr>
        <w:t>supra</w:t>
      </w:r>
      <w:r w:rsidR="002E1C85" w:rsidRPr="00F67B06">
        <w:rPr>
          <w:rFonts w:ascii="Verdana" w:hAnsi="Verdana"/>
          <w:sz w:val="18"/>
          <w:szCs w:val="20"/>
        </w:rPr>
        <w:t xml:space="preserve"> párr. </w:t>
      </w:r>
      <w:r w:rsidR="00AC2EDB" w:rsidRPr="00F67B06">
        <w:rPr>
          <w:rFonts w:ascii="Verdana" w:hAnsi="Verdana"/>
          <w:sz w:val="18"/>
          <w:szCs w:val="20"/>
        </w:rPr>
        <w:t>97, numeral ii</w:t>
      </w:r>
      <w:r w:rsidR="002E1C85" w:rsidRPr="00F67B06">
        <w:rPr>
          <w:rFonts w:ascii="Verdana" w:hAnsi="Verdana"/>
          <w:sz w:val="18"/>
          <w:szCs w:val="20"/>
        </w:rPr>
        <w:t>)</w:t>
      </w:r>
      <w:r w:rsidR="00C57FCB" w:rsidRPr="00F67B06">
        <w:rPr>
          <w:rFonts w:ascii="Verdana" w:hAnsi="Verdana"/>
          <w:sz w:val="18"/>
          <w:szCs w:val="20"/>
        </w:rPr>
        <w:t>,</w:t>
      </w:r>
      <w:r w:rsidR="002E1C85" w:rsidRPr="00F67B06">
        <w:rPr>
          <w:rFonts w:ascii="Verdana" w:hAnsi="Verdana"/>
          <w:sz w:val="18"/>
          <w:szCs w:val="20"/>
        </w:rPr>
        <w:t xml:space="preserve"> y </w:t>
      </w:r>
    </w:p>
    <w:p w14:paraId="64AA601C" w14:textId="0BF61B79" w:rsidR="002E1C85" w:rsidRPr="00BA46BA" w:rsidRDefault="00D60ADB">
      <w:pPr>
        <w:pStyle w:val="ListParagraph"/>
        <w:numPr>
          <w:ilvl w:val="0"/>
          <w:numId w:val="23"/>
        </w:numPr>
        <w:spacing w:before="120" w:after="120" w:line="240" w:lineRule="auto"/>
        <w:ind w:right="4"/>
        <w:contextualSpacing w:val="0"/>
        <w:jc w:val="both"/>
        <w:rPr>
          <w:rFonts w:ascii="Verdana" w:hAnsi="Verdana"/>
          <w:sz w:val="18"/>
          <w:szCs w:val="20"/>
        </w:rPr>
      </w:pPr>
      <w:r w:rsidRPr="00F67B06">
        <w:rPr>
          <w:rFonts w:ascii="Verdana" w:hAnsi="Verdana"/>
          <w:sz w:val="18"/>
          <w:szCs w:val="20"/>
        </w:rPr>
        <w:t>q</w:t>
      </w:r>
      <w:r w:rsidR="002E1C85" w:rsidRPr="00F67B06">
        <w:rPr>
          <w:rFonts w:ascii="Verdana" w:hAnsi="Verdana"/>
          <w:sz w:val="18"/>
          <w:szCs w:val="20"/>
        </w:rPr>
        <w:t>ue aproximadamente 14 meses después de rendida su declaración inicial dicho testigo se retractó de ésta ante el agente del ministerio público del fuero militar con base en un interrogatorio formulado por la autoridad ministerial castrense y sin proporcionar un motivo justificado aparente</w:t>
      </w:r>
      <w:r w:rsidR="00505CF4" w:rsidRPr="00F67B06">
        <w:rPr>
          <w:rFonts w:ascii="Verdana" w:hAnsi="Verdana"/>
          <w:sz w:val="18"/>
          <w:szCs w:val="20"/>
        </w:rPr>
        <w:t xml:space="preserve"> (</w:t>
      </w:r>
      <w:r w:rsidR="00505CF4" w:rsidRPr="00F67B06">
        <w:rPr>
          <w:rFonts w:ascii="Verdana" w:hAnsi="Verdana"/>
          <w:i/>
          <w:sz w:val="18"/>
          <w:szCs w:val="20"/>
        </w:rPr>
        <w:t>supra</w:t>
      </w:r>
      <w:r w:rsidR="00505CF4" w:rsidRPr="00F67B06">
        <w:rPr>
          <w:rFonts w:ascii="Verdana" w:hAnsi="Verdana"/>
          <w:sz w:val="18"/>
          <w:szCs w:val="20"/>
        </w:rPr>
        <w:t xml:space="preserve"> párr. 97, numeral iii)</w:t>
      </w:r>
      <w:r w:rsidR="002E1C85" w:rsidRPr="00BA46BA">
        <w:rPr>
          <w:rStyle w:val="FootnoteReference"/>
          <w:rFonts w:ascii="Verdana" w:hAnsi="Verdana"/>
          <w:sz w:val="18"/>
          <w:szCs w:val="20"/>
        </w:rPr>
        <w:footnoteReference w:id="427"/>
      </w:r>
      <w:r w:rsidR="002E1C85" w:rsidRPr="00BA46BA">
        <w:rPr>
          <w:rFonts w:ascii="Verdana" w:hAnsi="Verdana"/>
          <w:sz w:val="18"/>
          <w:szCs w:val="20"/>
        </w:rPr>
        <w:t xml:space="preserve">. </w:t>
      </w:r>
    </w:p>
    <w:p w14:paraId="64AA601E" w14:textId="14DB020B" w:rsidR="002E1C85" w:rsidRPr="00F67B06" w:rsidRDefault="002E1C85" w:rsidP="00DB378B">
      <w:pPr>
        <w:widowControl w:val="0"/>
        <w:numPr>
          <w:ilvl w:val="0"/>
          <w:numId w:val="4"/>
        </w:numPr>
        <w:tabs>
          <w:tab w:val="left" w:pos="567"/>
        </w:tabs>
        <w:autoSpaceDE w:val="0"/>
        <w:autoSpaceDN w:val="0"/>
        <w:adjustRightInd w:val="0"/>
        <w:spacing w:before="120" w:after="120" w:line="240" w:lineRule="auto"/>
        <w:ind w:left="0" w:firstLine="0"/>
        <w:jc w:val="both"/>
        <w:textAlignment w:val="baseline"/>
        <w:rPr>
          <w:rFonts w:ascii="Verdana" w:hAnsi="Verdana"/>
          <w:sz w:val="20"/>
          <w:szCs w:val="20"/>
        </w:rPr>
      </w:pPr>
      <w:r w:rsidRPr="00CB680E">
        <w:rPr>
          <w:rFonts w:ascii="Verdana" w:hAnsi="Verdana"/>
          <w:sz w:val="20"/>
          <w:szCs w:val="20"/>
        </w:rPr>
        <w:t xml:space="preserve">En vista de lo anterior, el Tribunal considera que los referidos testimonios de los familiares y agentes estatales a la luz del contexto imperante en la época de los </w:t>
      </w:r>
      <w:r w:rsidRPr="00F67B06">
        <w:rPr>
          <w:rFonts w:ascii="Verdana" w:hAnsi="Verdana"/>
          <w:sz w:val="20"/>
          <w:szCs w:val="20"/>
        </w:rPr>
        <w:t>hechos, conducen de manera contundente en acreditar la participación de agentes estatales en las detenciones materia de análisis.</w:t>
      </w:r>
    </w:p>
    <w:p w14:paraId="64AA6020" w14:textId="18A51194" w:rsidR="002E1C85" w:rsidRPr="00F67B06" w:rsidRDefault="00DC15D5">
      <w:pPr>
        <w:pStyle w:val="Heading5"/>
        <w:numPr>
          <w:ilvl w:val="0"/>
          <w:numId w:val="20"/>
        </w:numPr>
        <w:spacing w:before="120" w:after="120"/>
        <w:contextualSpacing w:val="0"/>
        <w:rPr>
          <w:i w:val="0"/>
        </w:rPr>
      </w:pPr>
      <w:r w:rsidRPr="00F67B06">
        <w:t xml:space="preserve"> </w:t>
      </w:r>
      <w:bookmarkStart w:id="202" w:name="_Toc532995371"/>
      <w:r w:rsidR="002E1C85" w:rsidRPr="00F67B06">
        <w:t xml:space="preserve">Las </w:t>
      </w:r>
      <w:r w:rsidR="00C07BB7" w:rsidRPr="00F67B06">
        <w:t xml:space="preserve">observaciones </w:t>
      </w:r>
      <w:r w:rsidR="002E1C85" w:rsidRPr="00F67B06">
        <w:t>de distintos órganos a nivel interno</w:t>
      </w:r>
      <w:bookmarkEnd w:id="202"/>
      <w:r w:rsidR="002E1C85" w:rsidRPr="00F67B06">
        <w:t xml:space="preserve">  </w:t>
      </w:r>
    </w:p>
    <w:p w14:paraId="64AA6022" w14:textId="13C245A6" w:rsidR="002E1C85" w:rsidRPr="00BA46BA" w:rsidRDefault="002E1C85" w:rsidP="00DB378B">
      <w:pPr>
        <w:widowControl w:val="0"/>
        <w:numPr>
          <w:ilvl w:val="0"/>
          <w:numId w:val="4"/>
        </w:numPr>
        <w:tabs>
          <w:tab w:val="left" w:pos="567"/>
        </w:tabs>
        <w:autoSpaceDE w:val="0"/>
        <w:autoSpaceDN w:val="0"/>
        <w:adjustRightInd w:val="0"/>
        <w:spacing w:before="120" w:after="120" w:line="240" w:lineRule="auto"/>
        <w:ind w:left="0" w:firstLine="0"/>
        <w:jc w:val="both"/>
        <w:textAlignment w:val="baseline"/>
        <w:rPr>
          <w:rFonts w:ascii="Verdana" w:hAnsi="Verdana" w:cs="Cambria"/>
          <w:sz w:val="20"/>
          <w:szCs w:val="20"/>
        </w:rPr>
      </w:pPr>
      <w:r w:rsidRPr="00F67B06">
        <w:rPr>
          <w:rFonts w:ascii="Verdana" w:hAnsi="Verdana"/>
          <w:sz w:val="20"/>
          <w:szCs w:val="20"/>
        </w:rPr>
        <w:t>Tal y como se señaló en el capítulo respectivo</w:t>
      </w:r>
      <w:r w:rsidR="006B5D55" w:rsidRPr="00F67B06">
        <w:rPr>
          <w:rFonts w:ascii="Verdana" w:hAnsi="Verdana"/>
          <w:sz w:val="20"/>
          <w:szCs w:val="20"/>
        </w:rPr>
        <w:t xml:space="preserve"> (</w:t>
      </w:r>
      <w:r w:rsidR="006B5D55" w:rsidRPr="00F67B06">
        <w:rPr>
          <w:rFonts w:ascii="Verdana" w:hAnsi="Verdana"/>
          <w:i/>
          <w:sz w:val="20"/>
          <w:szCs w:val="20"/>
        </w:rPr>
        <w:t>supra</w:t>
      </w:r>
      <w:r w:rsidR="006B5D55" w:rsidRPr="00F67B06">
        <w:rPr>
          <w:rFonts w:ascii="Verdana" w:hAnsi="Verdana"/>
          <w:sz w:val="20"/>
          <w:szCs w:val="20"/>
        </w:rPr>
        <w:t xml:space="preserve"> párrs. 103 a 142)</w:t>
      </w:r>
      <w:r w:rsidRPr="00F67B06">
        <w:rPr>
          <w:rFonts w:ascii="Verdana" w:hAnsi="Verdana"/>
          <w:sz w:val="20"/>
          <w:szCs w:val="20"/>
        </w:rPr>
        <w:t>, la Corte recuerda que distintos órganos examinaron la probable participación de un alto mando militar del 35 Batallón de Infantería, y de elementos bajo sus órdenes en la desaparición forzada de las tres presuntas víctimas, entre los cuales se encontraron: i) la Procuraduría General de Justicia Militar (</w:t>
      </w:r>
      <w:r w:rsidRPr="00F67B06">
        <w:rPr>
          <w:rFonts w:ascii="Verdana" w:hAnsi="Verdana"/>
          <w:i/>
          <w:sz w:val="20"/>
          <w:szCs w:val="20"/>
        </w:rPr>
        <w:t>supra</w:t>
      </w:r>
      <w:r w:rsidRPr="00F67B06">
        <w:rPr>
          <w:rFonts w:ascii="Verdana" w:hAnsi="Verdana"/>
          <w:sz w:val="20"/>
          <w:szCs w:val="20"/>
        </w:rPr>
        <w:t xml:space="preserve"> párrs. </w:t>
      </w:r>
      <w:r w:rsidR="00F60E21" w:rsidRPr="00F67B06">
        <w:rPr>
          <w:rFonts w:ascii="Verdana" w:hAnsi="Verdana"/>
          <w:sz w:val="20"/>
          <w:szCs w:val="20"/>
        </w:rPr>
        <w:t>1</w:t>
      </w:r>
      <w:r w:rsidR="006B5D55" w:rsidRPr="00F67B06">
        <w:rPr>
          <w:rFonts w:ascii="Verdana" w:hAnsi="Verdana"/>
          <w:sz w:val="20"/>
          <w:szCs w:val="20"/>
        </w:rPr>
        <w:t>10</w:t>
      </w:r>
      <w:r w:rsidR="00F60E21" w:rsidRPr="00F67B06">
        <w:rPr>
          <w:rFonts w:ascii="Verdana" w:hAnsi="Verdana"/>
          <w:sz w:val="20"/>
          <w:szCs w:val="20"/>
        </w:rPr>
        <w:t xml:space="preserve"> a 11</w:t>
      </w:r>
      <w:r w:rsidR="006B5D55" w:rsidRPr="00F67B06">
        <w:rPr>
          <w:rFonts w:ascii="Verdana" w:hAnsi="Verdana"/>
          <w:sz w:val="20"/>
          <w:szCs w:val="20"/>
        </w:rPr>
        <w:t>6</w:t>
      </w:r>
      <w:r w:rsidRPr="00F67B06">
        <w:rPr>
          <w:rFonts w:ascii="Verdana" w:hAnsi="Verdana"/>
          <w:sz w:val="20"/>
          <w:szCs w:val="20"/>
        </w:rPr>
        <w:t>); ii) la FEVIMTRA (</w:t>
      </w:r>
      <w:r w:rsidRPr="00F67B06">
        <w:rPr>
          <w:rFonts w:ascii="Verdana" w:hAnsi="Verdana"/>
          <w:i/>
          <w:sz w:val="20"/>
          <w:szCs w:val="20"/>
        </w:rPr>
        <w:t xml:space="preserve">supra </w:t>
      </w:r>
      <w:r w:rsidRPr="00F67B06">
        <w:rPr>
          <w:rFonts w:ascii="Verdana" w:hAnsi="Verdana"/>
          <w:sz w:val="20"/>
          <w:szCs w:val="20"/>
        </w:rPr>
        <w:t>párr.</w:t>
      </w:r>
      <w:r w:rsidR="006B5D55" w:rsidRPr="00F67B06">
        <w:rPr>
          <w:rFonts w:ascii="Verdana" w:hAnsi="Verdana"/>
          <w:sz w:val="20"/>
          <w:szCs w:val="20"/>
        </w:rPr>
        <w:t xml:space="preserve"> </w:t>
      </w:r>
      <w:r w:rsidR="00F60E21" w:rsidRPr="00F67B06">
        <w:rPr>
          <w:rFonts w:ascii="Verdana" w:hAnsi="Verdana"/>
          <w:sz w:val="20"/>
          <w:szCs w:val="20"/>
        </w:rPr>
        <w:t>1</w:t>
      </w:r>
      <w:r w:rsidR="006B5D55" w:rsidRPr="00F67B06">
        <w:rPr>
          <w:rFonts w:ascii="Verdana" w:hAnsi="Verdana"/>
          <w:sz w:val="20"/>
          <w:szCs w:val="20"/>
        </w:rPr>
        <w:t>20</w:t>
      </w:r>
      <w:r w:rsidRPr="00F67B06">
        <w:rPr>
          <w:rFonts w:ascii="Verdana" w:hAnsi="Verdana"/>
          <w:sz w:val="20"/>
          <w:szCs w:val="20"/>
        </w:rPr>
        <w:t>); iii) la CNDH (</w:t>
      </w:r>
      <w:r w:rsidRPr="00F67B06">
        <w:rPr>
          <w:rFonts w:ascii="Verdana" w:hAnsi="Verdana"/>
          <w:i/>
          <w:sz w:val="20"/>
          <w:szCs w:val="20"/>
        </w:rPr>
        <w:t>supra</w:t>
      </w:r>
      <w:r w:rsidRPr="00F67B06">
        <w:rPr>
          <w:rFonts w:ascii="Verdana" w:hAnsi="Verdana"/>
          <w:sz w:val="20"/>
          <w:szCs w:val="20"/>
        </w:rPr>
        <w:t xml:space="preserve"> párr</w:t>
      </w:r>
      <w:r w:rsidR="006B5D55" w:rsidRPr="00F67B06">
        <w:rPr>
          <w:rFonts w:ascii="Verdana" w:hAnsi="Verdana"/>
          <w:sz w:val="20"/>
          <w:szCs w:val="20"/>
        </w:rPr>
        <w:t>s</w:t>
      </w:r>
      <w:r w:rsidRPr="00F67B06">
        <w:rPr>
          <w:rFonts w:ascii="Verdana" w:hAnsi="Verdana"/>
          <w:sz w:val="20"/>
          <w:szCs w:val="20"/>
        </w:rPr>
        <w:t xml:space="preserve">. </w:t>
      </w:r>
      <w:r w:rsidR="00F60E21" w:rsidRPr="00F67B06">
        <w:rPr>
          <w:rFonts w:ascii="Verdana" w:hAnsi="Verdana"/>
          <w:sz w:val="20"/>
          <w:szCs w:val="20"/>
        </w:rPr>
        <w:t>13</w:t>
      </w:r>
      <w:r w:rsidR="006B5D55" w:rsidRPr="00F67B06">
        <w:rPr>
          <w:rFonts w:ascii="Verdana" w:hAnsi="Verdana"/>
          <w:sz w:val="20"/>
          <w:szCs w:val="20"/>
        </w:rPr>
        <w:t>9</w:t>
      </w:r>
      <w:r w:rsidR="00F60E21" w:rsidRPr="00F67B06">
        <w:rPr>
          <w:rFonts w:ascii="Verdana" w:hAnsi="Verdana"/>
          <w:sz w:val="20"/>
          <w:szCs w:val="20"/>
        </w:rPr>
        <w:t xml:space="preserve"> a 1</w:t>
      </w:r>
      <w:r w:rsidR="006B5D55" w:rsidRPr="00F67B06">
        <w:rPr>
          <w:rFonts w:ascii="Verdana" w:hAnsi="Verdana"/>
          <w:sz w:val="20"/>
          <w:szCs w:val="20"/>
        </w:rPr>
        <w:t>41</w:t>
      </w:r>
      <w:r w:rsidRPr="00F67B06">
        <w:rPr>
          <w:rFonts w:ascii="Verdana" w:hAnsi="Verdana"/>
          <w:sz w:val="20"/>
          <w:szCs w:val="20"/>
        </w:rPr>
        <w:t>); iv) distintos órganos del Poder Judicial de la Federación (</w:t>
      </w:r>
      <w:r w:rsidRPr="00F67B06">
        <w:rPr>
          <w:rFonts w:ascii="Verdana" w:hAnsi="Verdana"/>
          <w:i/>
          <w:sz w:val="20"/>
          <w:szCs w:val="20"/>
        </w:rPr>
        <w:t xml:space="preserve">supra </w:t>
      </w:r>
      <w:r w:rsidRPr="00F67B06">
        <w:rPr>
          <w:rFonts w:ascii="Verdana" w:hAnsi="Verdana"/>
          <w:sz w:val="20"/>
          <w:szCs w:val="20"/>
        </w:rPr>
        <w:t xml:space="preserve">párrs. </w:t>
      </w:r>
      <w:r w:rsidR="00F60E21" w:rsidRPr="00F67B06">
        <w:rPr>
          <w:rFonts w:ascii="Verdana" w:hAnsi="Verdana"/>
          <w:sz w:val="20"/>
          <w:szCs w:val="20"/>
        </w:rPr>
        <w:t>12</w:t>
      </w:r>
      <w:r w:rsidR="006B5D55" w:rsidRPr="00F67B06">
        <w:rPr>
          <w:rFonts w:ascii="Verdana" w:hAnsi="Verdana"/>
          <w:sz w:val="20"/>
          <w:szCs w:val="20"/>
        </w:rPr>
        <w:t>6</w:t>
      </w:r>
      <w:r w:rsidR="00F60E21" w:rsidRPr="00F67B06">
        <w:rPr>
          <w:rFonts w:ascii="Verdana" w:hAnsi="Verdana"/>
          <w:sz w:val="20"/>
          <w:szCs w:val="20"/>
        </w:rPr>
        <w:t xml:space="preserve"> a 1</w:t>
      </w:r>
      <w:r w:rsidR="006B5D55" w:rsidRPr="00F67B06">
        <w:rPr>
          <w:rFonts w:ascii="Verdana" w:hAnsi="Verdana"/>
          <w:sz w:val="20"/>
          <w:szCs w:val="20"/>
        </w:rPr>
        <w:t>33</w:t>
      </w:r>
      <w:r w:rsidRPr="00F67B06">
        <w:rPr>
          <w:rFonts w:ascii="Verdana" w:hAnsi="Verdana"/>
          <w:sz w:val="20"/>
          <w:szCs w:val="20"/>
        </w:rPr>
        <w:t>); v) la UEBPD - PGR (</w:t>
      </w:r>
      <w:r w:rsidRPr="00F67B06">
        <w:rPr>
          <w:rFonts w:ascii="Verdana" w:hAnsi="Verdana"/>
          <w:i/>
          <w:sz w:val="20"/>
          <w:szCs w:val="20"/>
        </w:rPr>
        <w:t xml:space="preserve">supra </w:t>
      </w:r>
      <w:r w:rsidRPr="00F67B06">
        <w:rPr>
          <w:rFonts w:ascii="Verdana" w:hAnsi="Verdana"/>
          <w:sz w:val="20"/>
          <w:szCs w:val="20"/>
        </w:rPr>
        <w:t>párr</w:t>
      </w:r>
      <w:r w:rsidR="006B5D55" w:rsidRPr="00F67B06">
        <w:rPr>
          <w:rFonts w:ascii="Verdana" w:hAnsi="Verdana"/>
          <w:sz w:val="20"/>
          <w:szCs w:val="20"/>
        </w:rPr>
        <w:t>s</w:t>
      </w:r>
      <w:r w:rsidRPr="00F67B06">
        <w:rPr>
          <w:rFonts w:ascii="Verdana" w:hAnsi="Verdana"/>
          <w:sz w:val="20"/>
          <w:szCs w:val="20"/>
        </w:rPr>
        <w:t xml:space="preserve">. </w:t>
      </w:r>
      <w:r w:rsidR="00F60E21" w:rsidRPr="00F67B06">
        <w:rPr>
          <w:rFonts w:ascii="Verdana" w:hAnsi="Verdana"/>
          <w:sz w:val="20"/>
          <w:szCs w:val="20"/>
        </w:rPr>
        <w:t>1</w:t>
      </w:r>
      <w:r w:rsidR="006B5D55" w:rsidRPr="00F67B06">
        <w:rPr>
          <w:rFonts w:ascii="Verdana" w:hAnsi="Verdana"/>
          <w:sz w:val="20"/>
          <w:szCs w:val="20"/>
        </w:rPr>
        <w:t>23</w:t>
      </w:r>
      <w:r w:rsidR="00F60E21" w:rsidRPr="00F67B06">
        <w:rPr>
          <w:rFonts w:ascii="Verdana" w:hAnsi="Verdana"/>
          <w:sz w:val="20"/>
          <w:szCs w:val="20"/>
        </w:rPr>
        <w:t xml:space="preserve"> a 1</w:t>
      </w:r>
      <w:r w:rsidR="006B5D55" w:rsidRPr="00F67B06">
        <w:rPr>
          <w:rFonts w:ascii="Verdana" w:hAnsi="Verdana"/>
          <w:sz w:val="20"/>
          <w:szCs w:val="20"/>
        </w:rPr>
        <w:t>25</w:t>
      </w:r>
      <w:r w:rsidRPr="00F67B06">
        <w:rPr>
          <w:rFonts w:ascii="Verdana" w:hAnsi="Verdana"/>
          <w:sz w:val="20"/>
          <w:szCs w:val="20"/>
        </w:rPr>
        <w:t>), y vi) el Equipo Internacional de Peritos</w:t>
      </w:r>
      <w:r w:rsidR="00C368C2" w:rsidRPr="00AD4631">
        <w:rPr>
          <w:rFonts w:ascii="Verdana" w:hAnsi="Verdana"/>
          <w:sz w:val="20"/>
          <w:szCs w:val="20"/>
        </w:rPr>
        <w:t>, en asistecia de la Fiscalía</w:t>
      </w:r>
      <w:r w:rsidR="000E5226" w:rsidRPr="00F67B06">
        <w:rPr>
          <w:rStyle w:val="FootnoteReference"/>
          <w:rFonts w:ascii="Verdana" w:hAnsi="Verdana"/>
          <w:sz w:val="20"/>
          <w:szCs w:val="20"/>
        </w:rPr>
        <w:footnoteReference w:id="428"/>
      </w:r>
      <w:r w:rsidRPr="00F67B06">
        <w:rPr>
          <w:rFonts w:ascii="Verdana" w:hAnsi="Verdana"/>
          <w:sz w:val="20"/>
          <w:szCs w:val="20"/>
        </w:rPr>
        <w:t xml:space="preserve">. </w:t>
      </w:r>
    </w:p>
    <w:p w14:paraId="1EA631D6" w14:textId="6CE48EEB" w:rsidR="009E2594" w:rsidRPr="00813B72" w:rsidRDefault="002E1C85" w:rsidP="00DB378B">
      <w:pPr>
        <w:widowControl w:val="0"/>
        <w:numPr>
          <w:ilvl w:val="0"/>
          <w:numId w:val="4"/>
        </w:numPr>
        <w:tabs>
          <w:tab w:val="left" w:pos="567"/>
        </w:tabs>
        <w:autoSpaceDE w:val="0"/>
        <w:autoSpaceDN w:val="0"/>
        <w:adjustRightInd w:val="0"/>
        <w:spacing w:before="120" w:after="120" w:line="240" w:lineRule="auto"/>
        <w:ind w:left="0" w:firstLine="0"/>
        <w:jc w:val="both"/>
        <w:textAlignment w:val="baseline"/>
        <w:rPr>
          <w:rFonts w:ascii="Verdana" w:hAnsi="Verdana" w:cs="Cambria"/>
          <w:sz w:val="20"/>
          <w:szCs w:val="20"/>
        </w:rPr>
      </w:pPr>
      <w:r w:rsidRPr="00813B72">
        <w:rPr>
          <w:rFonts w:ascii="Verdana" w:hAnsi="Verdana"/>
          <w:sz w:val="20"/>
          <w:szCs w:val="20"/>
        </w:rPr>
        <w:t>La Corte advierte que la FEVIMTRA en su acuerdo de declinatoria de 30 de septiembre de 2011 no descartó la hipótesis de la participación de elementos militares en las tres desapariciones y destacó el hermetismo y falta de colaboración del Ejército, lo cual constituyó un obstáculo permanente en las investigaciones (</w:t>
      </w:r>
      <w:r w:rsidRPr="00813B72">
        <w:rPr>
          <w:rFonts w:ascii="Verdana" w:hAnsi="Verdana"/>
          <w:i/>
          <w:sz w:val="20"/>
          <w:szCs w:val="20"/>
        </w:rPr>
        <w:t xml:space="preserve">supra </w:t>
      </w:r>
      <w:r w:rsidRPr="00813B72">
        <w:rPr>
          <w:rFonts w:ascii="Verdana" w:hAnsi="Verdana"/>
          <w:sz w:val="20"/>
          <w:szCs w:val="20"/>
        </w:rPr>
        <w:t>párr</w:t>
      </w:r>
      <w:r w:rsidR="006B5D55">
        <w:rPr>
          <w:rFonts w:ascii="Verdana" w:hAnsi="Verdana"/>
          <w:sz w:val="20"/>
          <w:szCs w:val="20"/>
        </w:rPr>
        <w:t>s</w:t>
      </w:r>
      <w:r w:rsidRPr="00813B72">
        <w:rPr>
          <w:rFonts w:ascii="Verdana" w:hAnsi="Verdana"/>
          <w:sz w:val="20"/>
          <w:szCs w:val="20"/>
        </w:rPr>
        <w:t xml:space="preserve">. </w:t>
      </w:r>
      <w:r w:rsidR="00D55B52">
        <w:rPr>
          <w:rFonts w:ascii="Verdana" w:hAnsi="Verdana"/>
          <w:sz w:val="20"/>
          <w:szCs w:val="20"/>
        </w:rPr>
        <w:t>11</w:t>
      </w:r>
      <w:r w:rsidR="006B5D55">
        <w:rPr>
          <w:rFonts w:ascii="Verdana" w:hAnsi="Verdana"/>
          <w:sz w:val="20"/>
          <w:szCs w:val="20"/>
        </w:rPr>
        <w:t>9 a 120</w:t>
      </w:r>
      <w:r w:rsidRPr="00813B72">
        <w:rPr>
          <w:rFonts w:ascii="Verdana" w:hAnsi="Verdana"/>
          <w:sz w:val="20"/>
          <w:szCs w:val="20"/>
        </w:rPr>
        <w:t xml:space="preserve">). Asimismo, el 31 de marzo de 2014 el Ministerio Público adscrito a </w:t>
      </w:r>
      <w:r w:rsidRPr="00813B72">
        <w:rPr>
          <w:rFonts w:ascii="Verdana" w:hAnsi="Verdana" w:cs="Cambria"/>
          <w:sz w:val="20"/>
          <w:szCs w:val="20"/>
        </w:rPr>
        <w:t xml:space="preserve">la </w:t>
      </w:r>
      <w:r w:rsidRPr="00813B72">
        <w:rPr>
          <w:rFonts w:ascii="Verdana" w:hAnsi="Verdana"/>
          <w:sz w:val="20"/>
          <w:szCs w:val="20"/>
        </w:rPr>
        <w:t>UEBPD – PGR ejercitó acción penal en contra del Comandante del 35 Batallón al considerar acreditada su participación en las desapariciones y solicitó la orden de aprehensión respectiva (</w:t>
      </w:r>
      <w:r w:rsidRPr="00813B72">
        <w:rPr>
          <w:rFonts w:ascii="Verdana" w:hAnsi="Verdana"/>
          <w:i/>
          <w:sz w:val="20"/>
          <w:szCs w:val="20"/>
        </w:rPr>
        <w:t xml:space="preserve">supra </w:t>
      </w:r>
      <w:r w:rsidRPr="00813B72">
        <w:rPr>
          <w:rFonts w:ascii="Verdana" w:hAnsi="Verdana"/>
          <w:sz w:val="20"/>
          <w:szCs w:val="20"/>
        </w:rPr>
        <w:t xml:space="preserve">párr. </w:t>
      </w:r>
      <w:r w:rsidR="0063219C">
        <w:rPr>
          <w:rFonts w:ascii="Verdana" w:hAnsi="Verdana"/>
          <w:sz w:val="20"/>
          <w:szCs w:val="20"/>
        </w:rPr>
        <w:t>124</w:t>
      </w:r>
      <w:r w:rsidRPr="00813B72">
        <w:rPr>
          <w:rFonts w:ascii="Verdana" w:hAnsi="Verdana"/>
          <w:sz w:val="20"/>
          <w:szCs w:val="20"/>
        </w:rPr>
        <w:t>). De igual modo, el Equipo Internacional de Peritos consideró que la privación ilegal de la libertad de [las presuntas víctimas] pudo [haber sido] realizada por miembros del Ejército en el marco del “Operativo Conjunto Chihuahua”</w:t>
      </w:r>
      <w:r w:rsidRPr="00813B72">
        <w:rPr>
          <w:rStyle w:val="FootnoteReference"/>
          <w:rFonts w:ascii="Verdana" w:hAnsi="Verdana"/>
          <w:sz w:val="20"/>
          <w:szCs w:val="20"/>
        </w:rPr>
        <w:footnoteReference w:id="429"/>
      </w:r>
      <w:r w:rsidRPr="00813B72">
        <w:rPr>
          <w:rFonts w:ascii="Verdana" w:hAnsi="Verdana"/>
          <w:sz w:val="20"/>
          <w:szCs w:val="20"/>
        </w:rPr>
        <w:t xml:space="preserve">. </w:t>
      </w:r>
    </w:p>
    <w:p w14:paraId="64AA6026" w14:textId="258E47E5" w:rsidR="00CC7DF1" w:rsidRPr="00813B72" w:rsidRDefault="002E1C85" w:rsidP="00DB378B">
      <w:pPr>
        <w:widowControl w:val="0"/>
        <w:numPr>
          <w:ilvl w:val="0"/>
          <w:numId w:val="4"/>
        </w:numPr>
        <w:tabs>
          <w:tab w:val="left" w:pos="567"/>
        </w:tabs>
        <w:autoSpaceDE w:val="0"/>
        <w:autoSpaceDN w:val="0"/>
        <w:adjustRightInd w:val="0"/>
        <w:spacing w:before="120" w:after="120" w:line="240" w:lineRule="auto"/>
        <w:ind w:left="0" w:firstLine="0"/>
        <w:jc w:val="both"/>
        <w:textAlignment w:val="baseline"/>
        <w:rPr>
          <w:rFonts w:ascii="Verdana" w:hAnsi="Verdana"/>
          <w:sz w:val="20"/>
          <w:szCs w:val="20"/>
        </w:rPr>
      </w:pPr>
      <w:r w:rsidRPr="00813B72">
        <w:rPr>
          <w:rFonts w:ascii="Verdana" w:hAnsi="Verdana"/>
          <w:sz w:val="20"/>
          <w:szCs w:val="20"/>
        </w:rPr>
        <w:t>No obstante, el Tribunal nota que el Estado alegó en su defensa que los órganos internos “ya se ha[bían] pronunciado sobre la no atribución de la desaparici[ones] […] a agentes estatales”, señalando como base de sus argumentos las resoluciones emitidas por el Juez Séptimo de Distrito (</w:t>
      </w:r>
      <w:r w:rsidRPr="00813B72">
        <w:rPr>
          <w:rFonts w:ascii="Verdana" w:hAnsi="Verdana"/>
          <w:i/>
          <w:sz w:val="20"/>
          <w:szCs w:val="20"/>
        </w:rPr>
        <w:t xml:space="preserve">supra </w:t>
      </w:r>
      <w:r w:rsidRPr="00813B72">
        <w:rPr>
          <w:rFonts w:ascii="Verdana" w:hAnsi="Verdana"/>
          <w:sz w:val="20"/>
          <w:szCs w:val="20"/>
        </w:rPr>
        <w:t xml:space="preserve">párr. </w:t>
      </w:r>
      <w:r w:rsidR="009079AD">
        <w:rPr>
          <w:rFonts w:ascii="Verdana" w:hAnsi="Verdana"/>
          <w:sz w:val="20"/>
          <w:szCs w:val="20"/>
        </w:rPr>
        <w:t>126</w:t>
      </w:r>
      <w:r w:rsidRPr="00813B72">
        <w:rPr>
          <w:rFonts w:ascii="Verdana" w:hAnsi="Verdana"/>
          <w:sz w:val="20"/>
          <w:szCs w:val="20"/>
        </w:rPr>
        <w:t>); el Cuarto Tribunal Unitario de Decimoséptimo Circuito (</w:t>
      </w:r>
      <w:r w:rsidRPr="00813B72">
        <w:rPr>
          <w:rFonts w:ascii="Verdana" w:hAnsi="Verdana"/>
          <w:i/>
          <w:sz w:val="20"/>
          <w:szCs w:val="20"/>
        </w:rPr>
        <w:t>supra</w:t>
      </w:r>
      <w:r w:rsidRPr="00813B72">
        <w:rPr>
          <w:rFonts w:ascii="Verdana" w:hAnsi="Verdana"/>
          <w:sz w:val="20"/>
          <w:szCs w:val="20"/>
        </w:rPr>
        <w:t xml:space="preserve"> párr. </w:t>
      </w:r>
      <w:r w:rsidR="00820F1E">
        <w:rPr>
          <w:rFonts w:ascii="Verdana" w:hAnsi="Verdana"/>
          <w:sz w:val="20"/>
          <w:szCs w:val="20"/>
        </w:rPr>
        <w:t>128</w:t>
      </w:r>
      <w:r w:rsidRPr="00813B72">
        <w:rPr>
          <w:rFonts w:ascii="Verdana" w:hAnsi="Verdana"/>
          <w:sz w:val="20"/>
          <w:szCs w:val="20"/>
        </w:rPr>
        <w:t>), y el Tercer Tribunal Unitario del Decimoséptimo Circuito (</w:t>
      </w:r>
      <w:r w:rsidRPr="00813B72">
        <w:rPr>
          <w:rFonts w:ascii="Verdana" w:hAnsi="Verdana"/>
          <w:i/>
          <w:sz w:val="20"/>
          <w:szCs w:val="20"/>
        </w:rPr>
        <w:t xml:space="preserve">supra, </w:t>
      </w:r>
      <w:r w:rsidRPr="00813B72">
        <w:rPr>
          <w:rFonts w:ascii="Verdana" w:hAnsi="Verdana"/>
          <w:sz w:val="20"/>
          <w:szCs w:val="20"/>
        </w:rPr>
        <w:t xml:space="preserve">párr. </w:t>
      </w:r>
      <w:r w:rsidR="002D7CBA">
        <w:rPr>
          <w:rFonts w:ascii="Verdana" w:hAnsi="Verdana"/>
          <w:sz w:val="20"/>
          <w:szCs w:val="20"/>
        </w:rPr>
        <w:t>131</w:t>
      </w:r>
      <w:r w:rsidRPr="00813B72">
        <w:rPr>
          <w:rFonts w:ascii="Verdana" w:hAnsi="Verdana"/>
          <w:sz w:val="20"/>
          <w:szCs w:val="20"/>
        </w:rPr>
        <w:t xml:space="preserve">) en </w:t>
      </w:r>
      <w:r w:rsidRPr="00813B72">
        <w:rPr>
          <w:rFonts w:ascii="Verdana" w:hAnsi="Verdana"/>
          <w:sz w:val="20"/>
          <w:szCs w:val="20"/>
        </w:rPr>
        <w:lastRenderedPageBreak/>
        <w:t>donde, frente a la solicitud de orden de aprehensión por parte del M</w:t>
      </w:r>
      <w:r w:rsidR="002D7CBA">
        <w:rPr>
          <w:rFonts w:ascii="Verdana" w:hAnsi="Verdana"/>
          <w:sz w:val="20"/>
          <w:szCs w:val="20"/>
        </w:rPr>
        <w:t xml:space="preserve">inisterio </w:t>
      </w:r>
      <w:r w:rsidRPr="00813B72">
        <w:rPr>
          <w:rFonts w:ascii="Verdana" w:hAnsi="Verdana"/>
          <w:sz w:val="20"/>
          <w:szCs w:val="20"/>
        </w:rPr>
        <w:t>P</w:t>
      </w:r>
      <w:r w:rsidR="002D7CBA">
        <w:rPr>
          <w:rFonts w:ascii="Verdana" w:hAnsi="Verdana"/>
          <w:sz w:val="20"/>
          <w:szCs w:val="20"/>
        </w:rPr>
        <w:t>úblico</w:t>
      </w:r>
      <w:r w:rsidRPr="00813B72">
        <w:rPr>
          <w:rFonts w:ascii="Verdana" w:hAnsi="Verdana"/>
          <w:sz w:val="20"/>
          <w:szCs w:val="20"/>
        </w:rPr>
        <w:t>, dichos órganos judiciales determinaron la falta de elementos para acreditar la responsabilidad penal del entonces Comandante del 35 Batallón por su presunta participación en las tres desapariciones</w:t>
      </w:r>
      <w:r w:rsidRPr="00813B72">
        <w:rPr>
          <w:rStyle w:val="FootnoteReference"/>
          <w:rFonts w:ascii="Verdana" w:hAnsi="Verdana"/>
          <w:sz w:val="20"/>
          <w:szCs w:val="20"/>
        </w:rPr>
        <w:footnoteReference w:id="430"/>
      </w:r>
      <w:r w:rsidRPr="00DB378B">
        <w:rPr>
          <w:rFonts w:ascii="Verdana" w:hAnsi="Verdana"/>
          <w:sz w:val="20"/>
          <w:szCs w:val="20"/>
        </w:rPr>
        <w:t>.</w:t>
      </w:r>
      <w:r w:rsidRPr="00813B72">
        <w:rPr>
          <w:rFonts w:ascii="Verdana" w:hAnsi="Verdana"/>
          <w:b/>
          <w:sz w:val="20"/>
          <w:szCs w:val="20"/>
        </w:rPr>
        <w:t xml:space="preserve"> </w:t>
      </w:r>
    </w:p>
    <w:p w14:paraId="64AA6028" w14:textId="4C0E21FF" w:rsidR="00CC7DF1" w:rsidRPr="00813B72" w:rsidRDefault="002E1C85" w:rsidP="00DB378B">
      <w:pPr>
        <w:widowControl w:val="0"/>
        <w:numPr>
          <w:ilvl w:val="0"/>
          <w:numId w:val="4"/>
        </w:numPr>
        <w:tabs>
          <w:tab w:val="left" w:pos="567"/>
        </w:tabs>
        <w:autoSpaceDE w:val="0"/>
        <w:autoSpaceDN w:val="0"/>
        <w:adjustRightInd w:val="0"/>
        <w:spacing w:before="120" w:after="120" w:line="240" w:lineRule="auto"/>
        <w:ind w:left="0" w:firstLine="0"/>
        <w:jc w:val="both"/>
        <w:textAlignment w:val="baseline"/>
        <w:rPr>
          <w:rFonts w:ascii="Verdana" w:hAnsi="Verdana"/>
          <w:sz w:val="20"/>
          <w:szCs w:val="20"/>
        </w:rPr>
      </w:pPr>
      <w:r w:rsidRPr="00813B72">
        <w:rPr>
          <w:rFonts w:ascii="Verdana" w:hAnsi="Verdana"/>
          <w:sz w:val="20"/>
          <w:szCs w:val="20"/>
        </w:rPr>
        <w:t xml:space="preserve">Al respecto, el Tribunal recuerda que una resolución </w:t>
      </w:r>
      <w:r w:rsidR="00FA2980">
        <w:rPr>
          <w:rFonts w:ascii="Verdana" w:hAnsi="Verdana"/>
          <w:sz w:val="20"/>
          <w:szCs w:val="20"/>
        </w:rPr>
        <w:t>denega</w:t>
      </w:r>
      <w:r w:rsidR="00FA2980" w:rsidRPr="00813B72">
        <w:rPr>
          <w:rFonts w:ascii="Verdana" w:hAnsi="Verdana"/>
          <w:sz w:val="20"/>
          <w:szCs w:val="20"/>
        </w:rPr>
        <w:t xml:space="preserve">toria </w:t>
      </w:r>
      <w:r w:rsidRPr="00813B72">
        <w:rPr>
          <w:rFonts w:ascii="Verdana" w:hAnsi="Verdana"/>
          <w:sz w:val="20"/>
          <w:szCs w:val="20"/>
        </w:rPr>
        <w:t xml:space="preserve">de orden de aprehensión de un individuo no constituye </w:t>
      </w:r>
      <w:r w:rsidRPr="00813B72">
        <w:rPr>
          <w:rFonts w:ascii="Verdana" w:hAnsi="Verdana"/>
          <w:i/>
          <w:sz w:val="20"/>
          <w:szCs w:val="20"/>
        </w:rPr>
        <w:t>per se</w:t>
      </w:r>
      <w:r w:rsidRPr="00813B72">
        <w:rPr>
          <w:rFonts w:ascii="Verdana" w:hAnsi="Verdana"/>
          <w:sz w:val="20"/>
          <w:szCs w:val="20"/>
        </w:rPr>
        <w:t xml:space="preserve"> un factor para afirmar la falta de responsabilidad internacional del Estado, dada la diferencia en el estándar o requisito probatorio en materia penal y el exigido en el derecho internacional de los derechos humanos en casos como el presente (</w:t>
      </w:r>
      <w:r w:rsidRPr="00813B72">
        <w:rPr>
          <w:rFonts w:ascii="Verdana" w:hAnsi="Verdana"/>
          <w:i/>
          <w:sz w:val="20"/>
          <w:szCs w:val="20"/>
        </w:rPr>
        <w:t xml:space="preserve">supra </w:t>
      </w:r>
      <w:r w:rsidRPr="00813B72">
        <w:rPr>
          <w:rFonts w:ascii="Verdana" w:hAnsi="Verdana"/>
          <w:sz w:val="20"/>
          <w:szCs w:val="20"/>
        </w:rPr>
        <w:t xml:space="preserve">párr. </w:t>
      </w:r>
      <w:r w:rsidR="000D4A6F">
        <w:rPr>
          <w:rFonts w:ascii="Verdana" w:hAnsi="Verdana"/>
          <w:sz w:val="20"/>
          <w:szCs w:val="20"/>
        </w:rPr>
        <w:t>168</w:t>
      </w:r>
      <w:r w:rsidRPr="00813B72">
        <w:rPr>
          <w:rFonts w:ascii="Verdana" w:hAnsi="Verdana"/>
          <w:sz w:val="20"/>
          <w:szCs w:val="20"/>
        </w:rPr>
        <w:t>). De igual modo, cabe recordar que no compete al Tribunal analizar las hipótesis de autoría individual manejadas durante la investigación de los hechos y en consecuencia determinar responsabilidades individuales, cuya definición compete a los tribunales penales internos</w:t>
      </w:r>
      <w:r w:rsidRPr="00813B72">
        <w:rPr>
          <w:rStyle w:val="FootnoteReference"/>
          <w:rFonts w:ascii="Verdana" w:hAnsi="Verdana"/>
          <w:sz w:val="20"/>
          <w:szCs w:val="20"/>
        </w:rPr>
        <w:footnoteReference w:id="431"/>
      </w:r>
      <w:r w:rsidRPr="00813B72">
        <w:rPr>
          <w:rFonts w:ascii="Verdana" w:hAnsi="Verdana"/>
          <w:sz w:val="20"/>
          <w:szCs w:val="20"/>
        </w:rPr>
        <w:t>, por lo que los procesos y decisiones de orden penal pueden constituir únicamente hechos a ser considerados por la Corte para evaluar la responsabilidad estatal o su alcance en un caso concreto.</w:t>
      </w:r>
    </w:p>
    <w:p w14:paraId="64AA602A" w14:textId="227970FF" w:rsidR="00CC7DF1" w:rsidRPr="00813B72" w:rsidRDefault="002E1C85" w:rsidP="00DB378B">
      <w:pPr>
        <w:widowControl w:val="0"/>
        <w:numPr>
          <w:ilvl w:val="0"/>
          <w:numId w:val="4"/>
        </w:numPr>
        <w:tabs>
          <w:tab w:val="left" w:pos="567"/>
        </w:tabs>
        <w:autoSpaceDE w:val="0"/>
        <w:autoSpaceDN w:val="0"/>
        <w:adjustRightInd w:val="0"/>
        <w:spacing w:before="120" w:after="120" w:line="240" w:lineRule="auto"/>
        <w:ind w:left="0" w:firstLine="0"/>
        <w:jc w:val="both"/>
        <w:textAlignment w:val="baseline"/>
        <w:rPr>
          <w:rFonts w:ascii="Verdana" w:hAnsi="Verdana"/>
          <w:sz w:val="20"/>
          <w:szCs w:val="20"/>
        </w:rPr>
      </w:pPr>
      <w:r w:rsidRPr="00813B72">
        <w:rPr>
          <w:rFonts w:ascii="Verdana" w:hAnsi="Verdana"/>
          <w:sz w:val="20"/>
          <w:szCs w:val="20"/>
        </w:rPr>
        <w:t xml:space="preserve">Sin perjuicio de lo anterior, la Corte nota que </w:t>
      </w:r>
      <w:r w:rsidRPr="00813B72">
        <w:rPr>
          <w:rFonts w:ascii="Verdana" w:hAnsi="Verdana" w:cs="Cambria"/>
          <w:sz w:val="20"/>
          <w:szCs w:val="20"/>
        </w:rPr>
        <w:t xml:space="preserve">mediante sentencia de 9 de junio de 2016 el Tribunal Colegiado del Decimoséptimo Circuito en Chihuahua revocó </w:t>
      </w:r>
      <w:r w:rsidR="006839A8">
        <w:rPr>
          <w:rFonts w:ascii="Verdana" w:hAnsi="Verdana" w:cs="Cambria"/>
          <w:sz w:val="20"/>
          <w:szCs w:val="20"/>
        </w:rPr>
        <w:t>en</w:t>
      </w:r>
      <w:r w:rsidR="006839A8" w:rsidRPr="00813B72">
        <w:rPr>
          <w:rFonts w:ascii="Verdana" w:hAnsi="Verdana" w:cs="Cambria"/>
          <w:sz w:val="20"/>
          <w:szCs w:val="20"/>
        </w:rPr>
        <w:t xml:space="preserve"> favor de las presuntas víctimas del caso </w:t>
      </w:r>
      <w:r w:rsidRPr="00813B72">
        <w:rPr>
          <w:rFonts w:ascii="Verdana" w:hAnsi="Verdana" w:cs="Cambria"/>
          <w:sz w:val="20"/>
          <w:szCs w:val="20"/>
        </w:rPr>
        <w:t xml:space="preserve">la sentencia de amparo, al considerar que </w:t>
      </w:r>
      <w:r w:rsidR="006839A8" w:rsidRPr="00813B72">
        <w:rPr>
          <w:rFonts w:ascii="Verdana" w:hAnsi="Verdana" w:cs="Cambria"/>
          <w:sz w:val="20"/>
          <w:szCs w:val="20"/>
        </w:rPr>
        <w:t xml:space="preserve">al negar la referida orden de aprehensión </w:t>
      </w:r>
      <w:r w:rsidR="00EC5119" w:rsidRPr="00501F84">
        <w:rPr>
          <w:rFonts w:ascii="Verdana" w:hAnsi="Verdana" w:cs="Cambria"/>
          <w:sz w:val="20"/>
          <w:szCs w:val="20"/>
        </w:rPr>
        <w:t>en contra de</w:t>
      </w:r>
      <w:r w:rsidR="00EC5119">
        <w:rPr>
          <w:rFonts w:ascii="Verdana" w:hAnsi="Verdana" w:cs="Cambria"/>
          <w:sz w:val="20"/>
          <w:szCs w:val="20"/>
        </w:rPr>
        <w:t xml:space="preserve"> un alto mando militar</w:t>
      </w:r>
      <w:r w:rsidR="00EC5119" w:rsidRPr="00813B72">
        <w:rPr>
          <w:rFonts w:ascii="Verdana" w:hAnsi="Verdana" w:cs="Cambria"/>
          <w:sz w:val="20"/>
          <w:szCs w:val="20"/>
        </w:rPr>
        <w:t xml:space="preserve"> </w:t>
      </w:r>
      <w:r w:rsidR="00B5493C">
        <w:rPr>
          <w:rFonts w:ascii="Verdana" w:hAnsi="Verdana" w:cs="Cambria"/>
          <w:sz w:val="20"/>
          <w:szCs w:val="20"/>
        </w:rPr>
        <w:t>el juez de conocimiento n</w:t>
      </w:r>
      <w:r w:rsidR="00B5493C" w:rsidRPr="00813B72">
        <w:rPr>
          <w:rFonts w:ascii="Verdana" w:hAnsi="Verdana" w:cs="Cambria"/>
          <w:sz w:val="20"/>
          <w:szCs w:val="20"/>
        </w:rPr>
        <w:t>o</w:t>
      </w:r>
      <w:r w:rsidRPr="00813B72">
        <w:rPr>
          <w:rFonts w:ascii="Verdana" w:hAnsi="Verdana" w:cs="Cambria"/>
          <w:sz w:val="20"/>
          <w:szCs w:val="20"/>
        </w:rPr>
        <w:t xml:space="preserve"> anali</w:t>
      </w:r>
      <w:r w:rsidR="00B5493C">
        <w:rPr>
          <w:rFonts w:ascii="Verdana" w:hAnsi="Verdana" w:cs="Cambria"/>
          <w:sz w:val="20"/>
          <w:szCs w:val="20"/>
        </w:rPr>
        <w:t>zó</w:t>
      </w:r>
      <w:r w:rsidRPr="00813B72">
        <w:rPr>
          <w:rFonts w:ascii="Verdana" w:hAnsi="Verdana" w:cs="Cambria"/>
          <w:sz w:val="20"/>
          <w:szCs w:val="20"/>
        </w:rPr>
        <w:t xml:space="preserve"> la totalidad de las pruebas aportadas por la fiscalía</w:t>
      </w:r>
      <w:r w:rsidR="00501F84">
        <w:rPr>
          <w:rFonts w:ascii="Verdana" w:hAnsi="Verdana" w:cs="Cambria"/>
          <w:sz w:val="20"/>
          <w:szCs w:val="20"/>
        </w:rPr>
        <w:t>.</w:t>
      </w:r>
      <w:r w:rsidR="006839A8">
        <w:rPr>
          <w:rFonts w:ascii="Verdana" w:hAnsi="Verdana" w:cs="Cambria"/>
          <w:sz w:val="20"/>
          <w:szCs w:val="20"/>
        </w:rPr>
        <w:t xml:space="preserve"> </w:t>
      </w:r>
      <w:r w:rsidR="001B0C3E">
        <w:rPr>
          <w:rFonts w:ascii="Verdana" w:hAnsi="Verdana" w:cs="Cambria"/>
          <w:sz w:val="20"/>
          <w:szCs w:val="20"/>
        </w:rPr>
        <w:t xml:space="preserve">En </w:t>
      </w:r>
      <w:r w:rsidR="00501F84">
        <w:rPr>
          <w:rFonts w:ascii="Verdana" w:hAnsi="Verdana" w:cs="Cambria"/>
          <w:sz w:val="20"/>
          <w:szCs w:val="20"/>
        </w:rPr>
        <w:t xml:space="preserve">consecuencia, </w:t>
      </w:r>
      <w:r w:rsidR="00501F84" w:rsidRPr="00501F84">
        <w:rPr>
          <w:rFonts w:ascii="Verdana" w:hAnsi="Verdana" w:cs="Cambria"/>
          <w:sz w:val="20"/>
          <w:szCs w:val="20"/>
        </w:rPr>
        <w:t xml:space="preserve">el 7 de octubre de 2016 </w:t>
      </w:r>
      <w:r w:rsidR="00501F84">
        <w:rPr>
          <w:rFonts w:ascii="Verdana" w:hAnsi="Verdana" w:cs="Cambria"/>
          <w:sz w:val="20"/>
          <w:szCs w:val="20"/>
        </w:rPr>
        <w:t xml:space="preserve">se dictó </w:t>
      </w:r>
      <w:r w:rsidR="00501F84" w:rsidRPr="00501F84">
        <w:rPr>
          <w:rFonts w:ascii="Verdana" w:hAnsi="Verdana" w:cs="Cambria"/>
          <w:sz w:val="20"/>
          <w:szCs w:val="20"/>
        </w:rPr>
        <w:t>una nueva resolución</w:t>
      </w:r>
      <w:r w:rsidR="007D669B">
        <w:rPr>
          <w:rFonts w:ascii="Verdana" w:hAnsi="Verdana" w:cs="Cambria"/>
          <w:sz w:val="20"/>
          <w:szCs w:val="20"/>
        </w:rPr>
        <w:t xml:space="preserve"> en la cual se realizó el análisis de </w:t>
      </w:r>
      <w:r w:rsidR="00F1547C">
        <w:rPr>
          <w:rFonts w:ascii="Verdana" w:hAnsi="Verdana" w:cs="Cambria"/>
          <w:sz w:val="20"/>
          <w:szCs w:val="20"/>
        </w:rPr>
        <w:t>tale</w:t>
      </w:r>
      <w:r w:rsidR="00B5493C">
        <w:rPr>
          <w:rFonts w:ascii="Verdana" w:hAnsi="Verdana" w:cs="Cambria"/>
          <w:sz w:val="20"/>
          <w:szCs w:val="20"/>
        </w:rPr>
        <w:t xml:space="preserve">s </w:t>
      </w:r>
      <w:r w:rsidR="007D669B">
        <w:rPr>
          <w:rFonts w:ascii="Verdana" w:hAnsi="Verdana" w:cs="Cambria"/>
          <w:sz w:val="20"/>
          <w:szCs w:val="20"/>
        </w:rPr>
        <w:t xml:space="preserve">pruebas, y se negó una vez </w:t>
      </w:r>
      <w:r w:rsidR="001343C1">
        <w:rPr>
          <w:rFonts w:ascii="Verdana" w:hAnsi="Verdana" w:cs="Cambria"/>
          <w:sz w:val="20"/>
          <w:szCs w:val="20"/>
        </w:rPr>
        <w:t xml:space="preserve">más </w:t>
      </w:r>
      <w:r w:rsidR="00F1547C">
        <w:rPr>
          <w:rFonts w:ascii="Verdana" w:hAnsi="Verdana" w:cs="Cambria"/>
          <w:sz w:val="20"/>
          <w:szCs w:val="20"/>
        </w:rPr>
        <w:t>la</w:t>
      </w:r>
      <w:r w:rsidR="00501F84" w:rsidRPr="00501F84">
        <w:rPr>
          <w:rFonts w:ascii="Verdana" w:hAnsi="Verdana" w:cs="Cambria"/>
          <w:sz w:val="20"/>
          <w:szCs w:val="20"/>
        </w:rPr>
        <w:t xml:space="preserve"> orden de aprehensión, </w:t>
      </w:r>
      <w:r w:rsidR="001343C1">
        <w:rPr>
          <w:rFonts w:ascii="Verdana" w:hAnsi="Verdana" w:cs="Cambria"/>
          <w:sz w:val="20"/>
          <w:szCs w:val="20"/>
        </w:rPr>
        <w:t>decisión que</w:t>
      </w:r>
      <w:r w:rsidR="00501F84">
        <w:rPr>
          <w:rFonts w:ascii="Verdana" w:hAnsi="Verdana" w:cs="Cambria"/>
          <w:sz w:val="20"/>
          <w:szCs w:val="20"/>
        </w:rPr>
        <w:t xml:space="preserve"> adquirió definitividad </w:t>
      </w:r>
      <w:r w:rsidR="00501F84" w:rsidRPr="00501F84">
        <w:rPr>
          <w:rFonts w:ascii="Verdana" w:hAnsi="Verdana" w:cs="Cambria"/>
          <w:sz w:val="20"/>
          <w:szCs w:val="20"/>
        </w:rPr>
        <w:t>el 7 de noviembre de 2016</w:t>
      </w:r>
      <w:r w:rsidR="00501F84">
        <w:rPr>
          <w:rFonts w:ascii="Verdana" w:hAnsi="Verdana" w:cs="Cambria"/>
          <w:sz w:val="20"/>
          <w:szCs w:val="20"/>
        </w:rPr>
        <w:t xml:space="preserve"> (</w:t>
      </w:r>
      <w:r w:rsidR="00501F84" w:rsidRPr="008D0846">
        <w:rPr>
          <w:rFonts w:ascii="Verdana" w:hAnsi="Verdana" w:cs="Cambria"/>
          <w:i/>
          <w:sz w:val="20"/>
          <w:szCs w:val="20"/>
        </w:rPr>
        <w:t>supra</w:t>
      </w:r>
      <w:r w:rsidR="00501F84">
        <w:rPr>
          <w:rFonts w:ascii="Verdana" w:hAnsi="Verdana" w:cs="Cambria"/>
          <w:sz w:val="20"/>
          <w:szCs w:val="20"/>
        </w:rPr>
        <w:t xml:space="preserve"> párr. 133).</w:t>
      </w:r>
    </w:p>
    <w:p w14:paraId="64AA602B" w14:textId="59572287" w:rsidR="002E1C85" w:rsidRPr="00813B72" w:rsidRDefault="002E1C85" w:rsidP="00DB378B">
      <w:pPr>
        <w:widowControl w:val="0"/>
        <w:numPr>
          <w:ilvl w:val="0"/>
          <w:numId w:val="4"/>
        </w:numPr>
        <w:tabs>
          <w:tab w:val="left" w:pos="567"/>
        </w:tabs>
        <w:autoSpaceDE w:val="0"/>
        <w:autoSpaceDN w:val="0"/>
        <w:adjustRightInd w:val="0"/>
        <w:spacing w:before="120" w:after="120" w:line="240" w:lineRule="auto"/>
        <w:ind w:left="0" w:firstLine="0"/>
        <w:jc w:val="both"/>
        <w:textAlignment w:val="baseline"/>
        <w:rPr>
          <w:rFonts w:ascii="Verdana" w:hAnsi="Verdana"/>
          <w:sz w:val="20"/>
          <w:szCs w:val="20"/>
        </w:rPr>
      </w:pPr>
      <w:r w:rsidRPr="00813B72">
        <w:rPr>
          <w:rFonts w:ascii="Verdana" w:hAnsi="Verdana"/>
          <w:sz w:val="20"/>
          <w:szCs w:val="20"/>
        </w:rPr>
        <w:t xml:space="preserve">Adicionalmente, la Corte toma nota de la Recomendación 43/11 emitida por la </w:t>
      </w:r>
      <w:r w:rsidR="006B5D55">
        <w:rPr>
          <w:rFonts w:ascii="Verdana" w:hAnsi="Verdana"/>
          <w:sz w:val="20"/>
          <w:szCs w:val="20"/>
        </w:rPr>
        <w:t>CNDH</w:t>
      </w:r>
      <w:r w:rsidRPr="00813B72">
        <w:rPr>
          <w:rFonts w:ascii="Verdana" w:hAnsi="Verdana"/>
          <w:sz w:val="20"/>
          <w:szCs w:val="20"/>
        </w:rPr>
        <w:t xml:space="preserve"> (</w:t>
      </w:r>
      <w:r w:rsidRPr="00813B72">
        <w:rPr>
          <w:rFonts w:ascii="Verdana" w:hAnsi="Verdana"/>
          <w:i/>
          <w:sz w:val="20"/>
          <w:szCs w:val="20"/>
        </w:rPr>
        <w:t>supra</w:t>
      </w:r>
      <w:r w:rsidRPr="00813B72">
        <w:rPr>
          <w:rFonts w:ascii="Verdana" w:hAnsi="Verdana"/>
          <w:sz w:val="20"/>
          <w:szCs w:val="20"/>
        </w:rPr>
        <w:t xml:space="preserve">, párr. </w:t>
      </w:r>
      <w:r w:rsidR="003345B9">
        <w:rPr>
          <w:rFonts w:ascii="Verdana" w:hAnsi="Verdana"/>
          <w:sz w:val="20"/>
          <w:szCs w:val="20"/>
        </w:rPr>
        <w:t>140</w:t>
      </w:r>
      <w:r w:rsidR="003345B9" w:rsidRPr="00813B72">
        <w:rPr>
          <w:rFonts w:ascii="Verdana" w:hAnsi="Verdana"/>
          <w:sz w:val="20"/>
          <w:szCs w:val="20"/>
        </w:rPr>
        <w:t xml:space="preserve">), </w:t>
      </w:r>
      <w:r w:rsidRPr="00813B72">
        <w:rPr>
          <w:rFonts w:ascii="Verdana" w:hAnsi="Verdana"/>
          <w:sz w:val="20"/>
          <w:szCs w:val="20"/>
        </w:rPr>
        <w:t>en la cual concluyó</w:t>
      </w:r>
      <w:r w:rsidR="006B5D55">
        <w:rPr>
          <w:rFonts w:ascii="Verdana" w:hAnsi="Verdana"/>
          <w:sz w:val="20"/>
          <w:szCs w:val="20"/>
        </w:rPr>
        <w:t xml:space="preserve"> que</w:t>
      </w:r>
      <w:r w:rsidRPr="00813B72">
        <w:rPr>
          <w:rFonts w:ascii="Verdana" w:hAnsi="Verdana"/>
          <w:sz w:val="20"/>
          <w:szCs w:val="20"/>
        </w:rPr>
        <w:t>:</w:t>
      </w:r>
    </w:p>
    <w:p w14:paraId="64AA602E" w14:textId="7ED471E0" w:rsidR="002E1C85" w:rsidRPr="00813B72" w:rsidRDefault="002E1C85">
      <w:pPr>
        <w:pStyle w:val="ListParagraph"/>
        <w:autoSpaceDE w:val="0"/>
        <w:autoSpaceDN w:val="0"/>
        <w:adjustRightInd w:val="0"/>
        <w:spacing w:before="120" w:after="120" w:line="240" w:lineRule="auto"/>
        <w:ind w:right="4"/>
        <w:contextualSpacing w:val="0"/>
        <w:jc w:val="both"/>
        <w:rPr>
          <w:rFonts w:ascii="Verdana" w:hAnsi="Verdana" w:cs="Cambria"/>
          <w:sz w:val="18"/>
          <w:szCs w:val="20"/>
        </w:rPr>
      </w:pPr>
      <w:r w:rsidRPr="00813B72">
        <w:rPr>
          <w:rFonts w:ascii="Verdana" w:hAnsi="Verdana" w:cs="Cambria"/>
          <w:sz w:val="18"/>
          <w:szCs w:val="20"/>
        </w:rPr>
        <w:t>“[…] los servidores públicos de la Secretaría de la Defensa Nacional que participaron en el operativo efectuado el 29 de diciembre de 2009, actualizaron los supuestos previstos en el artículo II de la Convención Interamericana sobre Desaparición Forzada de Personas […]”</w:t>
      </w:r>
      <w:r w:rsidR="00813B72">
        <w:rPr>
          <w:rFonts w:ascii="Verdana" w:hAnsi="Verdana" w:cs="Cambria"/>
          <w:sz w:val="18"/>
          <w:szCs w:val="20"/>
        </w:rPr>
        <w:t>.</w:t>
      </w:r>
    </w:p>
    <w:p w14:paraId="64AA6030" w14:textId="590B087D" w:rsidR="002E1C85" w:rsidRPr="00813B72" w:rsidRDefault="002E1C85" w:rsidP="00DB378B">
      <w:pPr>
        <w:widowControl w:val="0"/>
        <w:numPr>
          <w:ilvl w:val="0"/>
          <w:numId w:val="4"/>
        </w:numPr>
        <w:tabs>
          <w:tab w:val="left" w:pos="567"/>
        </w:tabs>
        <w:autoSpaceDE w:val="0"/>
        <w:autoSpaceDN w:val="0"/>
        <w:adjustRightInd w:val="0"/>
        <w:spacing w:before="120" w:after="120" w:line="240" w:lineRule="auto"/>
        <w:ind w:left="0" w:firstLine="0"/>
        <w:jc w:val="both"/>
        <w:textAlignment w:val="baseline"/>
        <w:rPr>
          <w:rFonts w:ascii="Verdana" w:hAnsi="Verdana"/>
          <w:sz w:val="20"/>
          <w:szCs w:val="20"/>
        </w:rPr>
      </w:pPr>
      <w:r w:rsidRPr="00813B72">
        <w:rPr>
          <w:rFonts w:ascii="Verdana" w:hAnsi="Verdana" w:cs="Times New Roman"/>
          <w:sz w:val="20"/>
          <w:szCs w:val="20"/>
        </w:rPr>
        <w:t xml:space="preserve">Al respecto, si bien el Estado controvirtió ante la Corte dichas conclusiones señalando que </w:t>
      </w:r>
      <w:r w:rsidRPr="00813B72">
        <w:rPr>
          <w:rFonts w:ascii="Verdana" w:hAnsi="Verdana" w:cs="Times New Roman"/>
          <w:sz w:val="20"/>
          <w:szCs w:val="20"/>
        </w:rPr>
        <w:lastRenderedPageBreak/>
        <w:t>“el análisis realizado por la CNDH no es suficiente para acreditar que efectivamente elementos del Ejército u otras autoridades mexicanas participaron en la[s] desaparici[ones], dicha “Recomendación” fue aceptada por la SEDENA a nivel interno, en el marco de la cual otorgó una suma de dinero a los familiares “sin que ello impli[cara] un reconocimiento de responsabilidad” de los hechos (</w:t>
      </w:r>
      <w:r w:rsidRPr="00813B72">
        <w:rPr>
          <w:rFonts w:ascii="Verdana" w:hAnsi="Verdana" w:cs="Times New Roman"/>
          <w:i/>
          <w:sz w:val="20"/>
          <w:szCs w:val="20"/>
        </w:rPr>
        <w:t xml:space="preserve">supra </w:t>
      </w:r>
      <w:r w:rsidRPr="00813B72">
        <w:rPr>
          <w:rFonts w:ascii="Verdana" w:hAnsi="Verdana" w:cs="Times New Roman"/>
          <w:sz w:val="20"/>
          <w:szCs w:val="20"/>
        </w:rPr>
        <w:t>párr.</w:t>
      </w:r>
      <w:r w:rsidR="009658DE">
        <w:rPr>
          <w:rFonts w:ascii="Verdana" w:hAnsi="Verdana" w:cs="Times New Roman"/>
          <w:sz w:val="20"/>
          <w:szCs w:val="20"/>
        </w:rPr>
        <w:t xml:space="preserve"> </w:t>
      </w:r>
      <w:r w:rsidR="001343C1">
        <w:rPr>
          <w:rFonts w:ascii="Verdana" w:hAnsi="Verdana" w:cs="Times New Roman"/>
          <w:sz w:val="20"/>
          <w:szCs w:val="20"/>
        </w:rPr>
        <w:t>141</w:t>
      </w:r>
      <w:r w:rsidRPr="00813B72">
        <w:rPr>
          <w:rFonts w:ascii="Verdana" w:hAnsi="Verdana" w:cs="Times New Roman"/>
          <w:sz w:val="20"/>
          <w:szCs w:val="20"/>
        </w:rPr>
        <w:t>). Por los elementos de análisis y las conclusiones a las que en ella se arribaron, en concepto del Tribunal dicha “Recomendación” y su aceptación por parte de la SEDENA constituyen elementos adicionales relevantes sobre la participación de agentes estatales en los hechos</w:t>
      </w:r>
      <w:r w:rsidRPr="00813B72">
        <w:rPr>
          <w:rFonts w:ascii="Verdana" w:hAnsi="Verdana"/>
          <w:sz w:val="20"/>
          <w:szCs w:val="20"/>
        </w:rPr>
        <w:t>.</w:t>
      </w:r>
      <w:r w:rsidRPr="00813B72">
        <w:rPr>
          <w:rFonts w:ascii="Verdana" w:hAnsi="Verdana" w:cs="Times New Roman"/>
          <w:sz w:val="20"/>
          <w:szCs w:val="20"/>
        </w:rPr>
        <w:t xml:space="preserve"> </w:t>
      </w:r>
    </w:p>
    <w:p w14:paraId="64AA6032" w14:textId="55DA5361" w:rsidR="00903628" w:rsidRPr="00563842" w:rsidRDefault="00556FDB">
      <w:pPr>
        <w:pStyle w:val="Heading4"/>
        <w:numPr>
          <w:ilvl w:val="0"/>
          <w:numId w:val="64"/>
        </w:numPr>
        <w:spacing w:before="120" w:after="120"/>
        <w:contextualSpacing w:val="0"/>
        <w:rPr>
          <w:u w:val="none"/>
        </w:rPr>
      </w:pPr>
      <w:r>
        <w:rPr>
          <w:u w:val="none"/>
        </w:rPr>
        <w:t xml:space="preserve"> </w:t>
      </w:r>
      <w:bookmarkStart w:id="203" w:name="_Toc532995372"/>
      <w:r w:rsidR="00400310" w:rsidRPr="00563842">
        <w:rPr>
          <w:u w:val="none"/>
        </w:rPr>
        <w:t>La negativa de reconocer la detención o falta de proveer información y de revelar la suerte o el paradero de la persona interesada</w:t>
      </w:r>
      <w:bookmarkEnd w:id="203"/>
    </w:p>
    <w:p w14:paraId="64AA6034" w14:textId="36FF106E" w:rsidR="002E1C85" w:rsidRPr="00813B72" w:rsidRDefault="002E1C85" w:rsidP="00DB378B">
      <w:pPr>
        <w:widowControl w:val="0"/>
        <w:numPr>
          <w:ilvl w:val="0"/>
          <w:numId w:val="4"/>
        </w:numPr>
        <w:tabs>
          <w:tab w:val="left" w:pos="567"/>
        </w:tabs>
        <w:autoSpaceDE w:val="0"/>
        <w:autoSpaceDN w:val="0"/>
        <w:adjustRightInd w:val="0"/>
        <w:spacing w:before="120" w:after="120" w:line="240" w:lineRule="auto"/>
        <w:ind w:left="0" w:firstLine="0"/>
        <w:jc w:val="both"/>
        <w:textAlignment w:val="baseline"/>
        <w:rPr>
          <w:rFonts w:ascii="Verdana" w:hAnsi="Verdana"/>
          <w:sz w:val="20"/>
          <w:szCs w:val="20"/>
        </w:rPr>
      </w:pPr>
      <w:r w:rsidRPr="00813B72">
        <w:rPr>
          <w:rFonts w:ascii="Verdana" w:hAnsi="Verdana"/>
          <w:sz w:val="20"/>
          <w:szCs w:val="20"/>
        </w:rPr>
        <w:t>De acuerdo con la jurisprudencia de esta Corte, una de las características de la desaparición forzada, a diferencia de la ejecución extrajudicial, es que conlleva la negativa del Estado de reconocer que la víctima está bajo su control y de proporcionar información al respecto, con el propósito de generar incertidumbre acerca de su paradero, vida o muerte, de provocar intimidación y supresión de derechos</w:t>
      </w:r>
      <w:r w:rsidRPr="00813B72">
        <w:rPr>
          <w:rStyle w:val="FootnoteReference"/>
          <w:rFonts w:ascii="Verdana" w:hAnsi="Verdana"/>
          <w:sz w:val="20"/>
          <w:szCs w:val="20"/>
        </w:rPr>
        <w:footnoteReference w:id="432"/>
      </w:r>
      <w:r w:rsidRPr="00813B72">
        <w:rPr>
          <w:rFonts w:ascii="Verdana" w:hAnsi="Verdana"/>
          <w:sz w:val="20"/>
          <w:szCs w:val="20"/>
        </w:rPr>
        <w:t>.</w:t>
      </w:r>
    </w:p>
    <w:p w14:paraId="64AA6036" w14:textId="2A709195" w:rsidR="002E1C85" w:rsidRPr="00813B72" w:rsidRDefault="002E1C85" w:rsidP="00DB378B">
      <w:pPr>
        <w:widowControl w:val="0"/>
        <w:numPr>
          <w:ilvl w:val="0"/>
          <w:numId w:val="4"/>
        </w:numPr>
        <w:tabs>
          <w:tab w:val="left" w:pos="567"/>
        </w:tabs>
        <w:autoSpaceDE w:val="0"/>
        <w:autoSpaceDN w:val="0"/>
        <w:adjustRightInd w:val="0"/>
        <w:spacing w:before="120" w:after="120" w:line="240" w:lineRule="auto"/>
        <w:ind w:left="0" w:firstLine="0"/>
        <w:jc w:val="both"/>
        <w:textAlignment w:val="baseline"/>
        <w:rPr>
          <w:rFonts w:ascii="Verdana" w:hAnsi="Verdana"/>
          <w:sz w:val="20"/>
          <w:szCs w:val="20"/>
        </w:rPr>
      </w:pPr>
      <w:r w:rsidRPr="00813B72">
        <w:rPr>
          <w:rFonts w:ascii="Verdana" w:hAnsi="Verdana"/>
          <w:sz w:val="20"/>
          <w:szCs w:val="20"/>
        </w:rPr>
        <w:t xml:space="preserve">Sobre este elemento de la desaparición forzada en el caso concreto, la Corte nota que tras la detención de las 3 víctimas los familiares iniciaron diversas denuncias y acciones de búsqueda en donde, no obstante la información proporcionada a estos por diversos agentes estatales, los funcionarios negaron que los detenidos se encontraran bajo custodia estatal o en dependencias oficiales y les informaron que no tenían información sobre su paradero, entre los cuales se encuentran:    </w:t>
      </w:r>
    </w:p>
    <w:p w14:paraId="64AA6037" w14:textId="0B3B33C8" w:rsidR="00CC7DF1" w:rsidRPr="006E5414" w:rsidRDefault="002E1C85">
      <w:pPr>
        <w:pStyle w:val="ListParagraph"/>
        <w:numPr>
          <w:ilvl w:val="1"/>
          <w:numId w:val="4"/>
        </w:numPr>
        <w:spacing w:before="120" w:after="120" w:line="240" w:lineRule="auto"/>
        <w:ind w:left="709" w:right="4"/>
        <w:contextualSpacing w:val="0"/>
        <w:jc w:val="both"/>
        <w:rPr>
          <w:rFonts w:ascii="Verdana" w:hAnsi="Verdana"/>
          <w:sz w:val="18"/>
          <w:szCs w:val="18"/>
        </w:rPr>
      </w:pPr>
      <w:r w:rsidRPr="006E5414">
        <w:rPr>
          <w:rFonts w:ascii="Verdana" w:hAnsi="Verdana"/>
          <w:sz w:val="18"/>
          <w:szCs w:val="18"/>
        </w:rPr>
        <w:t>El 30 de diciembre de 2009 los familiares acudieron a las instalaciones del 35 Batallón, en donde un soldado les manifestó que no se encontraban allí detenidos sus familiares</w:t>
      </w:r>
      <w:r w:rsidR="00861B23" w:rsidRPr="006E5414">
        <w:rPr>
          <w:rFonts w:ascii="Verdana" w:hAnsi="Verdana"/>
          <w:sz w:val="18"/>
          <w:szCs w:val="18"/>
        </w:rPr>
        <w:t xml:space="preserve">. </w:t>
      </w:r>
      <w:r w:rsidRPr="006E5414">
        <w:rPr>
          <w:rFonts w:ascii="Verdana" w:hAnsi="Verdana"/>
          <w:sz w:val="18"/>
          <w:szCs w:val="18"/>
        </w:rPr>
        <w:t>Tras ello, el mismo día los familiares acudieron a las instalaciones de la Agencia Federal de Investigaciones, recibiendo la misma respuesta negativa (</w:t>
      </w:r>
      <w:r w:rsidRPr="006E5414">
        <w:rPr>
          <w:rFonts w:ascii="Verdana" w:hAnsi="Verdana"/>
          <w:i/>
          <w:sz w:val="18"/>
          <w:szCs w:val="18"/>
        </w:rPr>
        <w:t>supra</w:t>
      </w:r>
      <w:r w:rsidRPr="006E5414">
        <w:rPr>
          <w:rFonts w:ascii="Verdana" w:hAnsi="Verdana"/>
          <w:sz w:val="18"/>
          <w:szCs w:val="18"/>
        </w:rPr>
        <w:t xml:space="preserve"> párr. </w:t>
      </w:r>
      <w:r w:rsidR="00861B23" w:rsidRPr="006E5414">
        <w:rPr>
          <w:rFonts w:ascii="Verdana" w:hAnsi="Verdana"/>
          <w:sz w:val="18"/>
          <w:szCs w:val="18"/>
        </w:rPr>
        <w:t>89</w:t>
      </w:r>
      <w:r w:rsidRPr="006E5414">
        <w:rPr>
          <w:rFonts w:ascii="Verdana" w:hAnsi="Verdana"/>
          <w:sz w:val="18"/>
          <w:szCs w:val="18"/>
        </w:rPr>
        <w:t>)</w:t>
      </w:r>
      <w:r w:rsidR="00D60ADB" w:rsidRPr="006E5414">
        <w:rPr>
          <w:rFonts w:ascii="Verdana" w:hAnsi="Verdana"/>
          <w:sz w:val="18"/>
          <w:szCs w:val="18"/>
        </w:rPr>
        <w:t>, y</w:t>
      </w:r>
    </w:p>
    <w:p w14:paraId="12D7D772" w14:textId="6278CE4E" w:rsidR="00861B23" w:rsidRPr="006E5414" w:rsidRDefault="00D60ADB">
      <w:pPr>
        <w:pStyle w:val="ListParagraph"/>
        <w:numPr>
          <w:ilvl w:val="1"/>
          <w:numId w:val="4"/>
        </w:numPr>
        <w:spacing w:before="120" w:after="120" w:line="240" w:lineRule="auto"/>
        <w:ind w:left="709" w:right="4"/>
        <w:contextualSpacing w:val="0"/>
        <w:jc w:val="both"/>
        <w:rPr>
          <w:rFonts w:ascii="Verdana" w:hAnsi="Verdana"/>
          <w:sz w:val="18"/>
          <w:szCs w:val="20"/>
        </w:rPr>
      </w:pPr>
      <w:r w:rsidRPr="006E5414">
        <w:rPr>
          <w:rFonts w:ascii="Verdana" w:hAnsi="Verdana"/>
          <w:sz w:val="18"/>
          <w:szCs w:val="20"/>
        </w:rPr>
        <w:t>e</w:t>
      </w:r>
      <w:r w:rsidR="002E1C85" w:rsidRPr="006E5414">
        <w:rPr>
          <w:rFonts w:ascii="Verdana" w:hAnsi="Verdana"/>
          <w:sz w:val="18"/>
          <w:szCs w:val="20"/>
        </w:rPr>
        <w:t>l 8 de enero de 2010 los familiares acudieron al 35 Batallón acompañados del General Lohmann, en donde el Mayor Manuel Gutiérrez negó la participación de elementos de dicha unidad militar en las detenciones y aseguramiento de la camioneta de Nitza Paola Alvarado (</w:t>
      </w:r>
      <w:r w:rsidR="002E1C85" w:rsidRPr="006E5414">
        <w:rPr>
          <w:rFonts w:ascii="Verdana" w:hAnsi="Verdana"/>
          <w:i/>
          <w:sz w:val="18"/>
          <w:szCs w:val="20"/>
        </w:rPr>
        <w:t>supra</w:t>
      </w:r>
      <w:r w:rsidR="002E1C85" w:rsidRPr="006E5414">
        <w:rPr>
          <w:rFonts w:ascii="Verdana" w:hAnsi="Verdana"/>
          <w:sz w:val="18"/>
          <w:szCs w:val="20"/>
        </w:rPr>
        <w:t xml:space="preserve"> párr. </w:t>
      </w:r>
      <w:r w:rsidR="00861B23" w:rsidRPr="006E5414">
        <w:rPr>
          <w:rFonts w:ascii="Verdana" w:hAnsi="Verdana"/>
          <w:sz w:val="18"/>
          <w:szCs w:val="20"/>
        </w:rPr>
        <w:t>93</w:t>
      </w:r>
      <w:r w:rsidR="002E1C85" w:rsidRPr="006E5414">
        <w:rPr>
          <w:rFonts w:ascii="Verdana" w:hAnsi="Verdana"/>
          <w:sz w:val="18"/>
          <w:szCs w:val="20"/>
        </w:rPr>
        <w:t>), y,</w:t>
      </w:r>
      <w:r w:rsidR="00903628" w:rsidRPr="006E5414">
        <w:rPr>
          <w:rFonts w:ascii="Verdana" w:hAnsi="Verdana"/>
          <w:sz w:val="18"/>
          <w:szCs w:val="20"/>
        </w:rPr>
        <w:t xml:space="preserve"> </w:t>
      </w:r>
    </w:p>
    <w:p w14:paraId="64AA6039" w14:textId="4EA23F64" w:rsidR="002E1C85" w:rsidRPr="006E5414" w:rsidRDefault="002E1C85">
      <w:pPr>
        <w:pStyle w:val="ListParagraph"/>
        <w:numPr>
          <w:ilvl w:val="1"/>
          <w:numId w:val="4"/>
        </w:numPr>
        <w:spacing w:before="120" w:after="120" w:line="240" w:lineRule="auto"/>
        <w:ind w:left="709" w:right="4"/>
        <w:contextualSpacing w:val="0"/>
        <w:jc w:val="both"/>
        <w:rPr>
          <w:rFonts w:ascii="Verdana" w:hAnsi="Verdana"/>
          <w:sz w:val="18"/>
          <w:szCs w:val="20"/>
        </w:rPr>
      </w:pPr>
      <w:r w:rsidRPr="006E5414">
        <w:rPr>
          <w:rFonts w:ascii="Verdana" w:hAnsi="Verdana"/>
          <w:sz w:val="18"/>
          <w:szCs w:val="20"/>
        </w:rPr>
        <w:t>El 9 de enero de 2010 los familiares se reunieron con los comandantes de la Quinta Región Militar y del 35 Batallón, en donde estos últimos negaron la participación de elementos militares en las detenciones y acusaron a uno de los desaparecidos y a María de Jesús Alvarado de dedicarse a actividades ilícitas (</w:t>
      </w:r>
      <w:r w:rsidRPr="006E5414">
        <w:rPr>
          <w:rFonts w:ascii="Verdana" w:hAnsi="Verdana"/>
          <w:i/>
          <w:sz w:val="18"/>
          <w:szCs w:val="20"/>
        </w:rPr>
        <w:t>supra</w:t>
      </w:r>
      <w:r w:rsidRPr="006E5414">
        <w:rPr>
          <w:rFonts w:ascii="Verdana" w:hAnsi="Verdana"/>
          <w:sz w:val="18"/>
          <w:szCs w:val="20"/>
        </w:rPr>
        <w:t xml:space="preserve"> párr. </w:t>
      </w:r>
      <w:r w:rsidR="00861B23" w:rsidRPr="006E5414">
        <w:rPr>
          <w:rFonts w:ascii="Verdana" w:hAnsi="Verdana"/>
          <w:sz w:val="18"/>
          <w:szCs w:val="20"/>
        </w:rPr>
        <w:t>94</w:t>
      </w:r>
      <w:r w:rsidRPr="006E5414">
        <w:rPr>
          <w:rFonts w:ascii="Verdana" w:hAnsi="Verdana"/>
          <w:sz w:val="18"/>
          <w:szCs w:val="20"/>
        </w:rPr>
        <w:t xml:space="preserve">). </w:t>
      </w:r>
    </w:p>
    <w:p w14:paraId="64AA6042" w14:textId="20FC69AE" w:rsidR="002E1C85" w:rsidRPr="00754453" w:rsidRDefault="009C4097" w:rsidP="00DB378B">
      <w:pPr>
        <w:widowControl w:val="0"/>
        <w:numPr>
          <w:ilvl w:val="0"/>
          <w:numId w:val="4"/>
        </w:numPr>
        <w:tabs>
          <w:tab w:val="left" w:pos="567"/>
        </w:tabs>
        <w:autoSpaceDE w:val="0"/>
        <w:autoSpaceDN w:val="0"/>
        <w:adjustRightInd w:val="0"/>
        <w:spacing w:before="120" w:after="120" w:line="240" w:lineRule="auto"/>
        <w:ind w:left="0" w:firstLine="0"/>
        <w:jc w:val="both"/>
        <w:textAlignment w:val="baseline"/>
        <w:rPr>
          <w:rFonts w:ascii="Verdana" w:hAnsi="Verdana"/>
          <w:sz w:val="20"/>
          <w:szCs w:val="20"/>
        </w:rPr>
      </w:pPr>
      <w:r w:rsidRPr="00754453">
        <w:rPr>
          <w:rFonts w:ascii="Verdana" w:hAnsi="Verdana"/>
          <w:sz w:val="20"/>
          <w:szCs w:val="20"/>
        </w:rPr>
        <w:t xml:space="preserve">Adicionalmente, el Tribunal nota que constan en el acervo probatorio distintos elementos que </w:t>
      </w:r>
      <w:r w:rsidR="00E53B76" w:rsidRPr="00754453">
        <w:rPr>
          <w:rFonts w:ascii="Verdana" w:hAnsi="Verdana"/>
          <w:sz w:val="20"/>
          <w:szCs w:val="20"/>
        </w:rPr>
        <w:t xml:space="preserve">pudieron haber </w:t>
      </w:r>
      <w:r w:rsidRPr="00754453">
        <w:rPr>
          <w:rFonts w:ascii="Verdana" w:hAnsi="Verdana"/>
          <w:sz w:val="20"/>
          <w:szCs w:val="20"/>
        </w:rPr>
        <w:t>constitu</w:t>
      </w:r>
      <w:r w:rsidR="00E53B76" w:rsidRPr="00754453">
        <w:rPr>
          <w:rFonts w:ascii="Verdana" w:hAnsi="Verdana"/>
          <w:sz w:val="20"/>
          <w:szCs w:val="20"/>
        </w:rPr>
        <w:t>ido</w:t>
      </w:r>
      <w:r w:rsidRPr="00754453">
        <w:rPr>
          <w:rFonts w:ascii="Verdana" w:hAnsi="Verdana"/>
          <w:sz w:val="20"/>
          <w:szCs w:val="20"/>
        </w:rPr>
        <w:t xml:space="preserve"> mecanismos de encubrimiento </w:t>
      </w:r>
      <w:r w:rsidR="00E53B76" w:rsidRPr="00754453">
        <w:rPr>
          <w:rFonts w:ascii="Verdana" w:hAnsi="Verdana"/>
          <w:sz w:val="20"/>
          <w:szCs w:val="20"/>
        </w:rPr>
        <w:t>en la investigación de las desapariciones</w:t>
      </w:r>
      <w:r w:rsidRPr="00754453">
        <w:rPr>
          <w:rFonts w:ascii="Verdana" w:hAnsi="Verdana"/>
          <w:sz w:val="20"/>
          <w:szCs w:val="20"/>
        </w:rPr>
        <w:t>, por ejemplo: a) la falta oportuna de diligencias de inspección por parte de las autoridades en las instalaciones del 35 Batallón para localizar a los desaparecidos</w:t>
      </w:r>
      <w:r w:rsidR="009D0360" w:rsidRPr="00754453">
        <w:rPr>
          <w:rFonts w:ascii="Verdana" w:hAnsi="Verdana"/>
          <w:sz w:val="20"/>
          <w:szCs w:val="20"/>
        </w:rPr>
        <w:t>;</w:t>
      </w:r>
      <w:r w:rsidRPr="00754453">
        <w:rPr>
          <w:rFonts w:ascii="Verdana" w:hAnsi="Verdana"/>
          <w:sz w:val="20"/>
          <w:szCs w:val="20"/>
        </w:rPr>
        <w:t xml:space="preserve"> b) la negativa del </w:t>
      </w:r>
      <w:r w:rsidR="009D0360" w:rsidRPr="00754453">
        <w:rPr>
          <w:rFonts w:ascii="Verdana" w:hAnsi="Verdana"/>
          <w:sz w:val="20"/>
          <w:szCs w:val="20"/>
        </w:rPr>
        <w:t xml:space="preserve">Comisario de la Policía Federal </w:t>
      </w:r>
      <w:r w:rsidRPr="00754453">
        <w:rPr>
          <w:rFonts w:ascii="Verdana" w:hAnsi="Verdana"/>
          <w:sz w:val="20"/>
          <w:szCs w:val="20"/>
        </w:rPr>
        <w:t xml:space="preserve">sobre la existencia del </w:t>
      </w:r>
      <w:r w:rsidR="009D0360" w:rsidRPr="00754453">
        <w:rPr>
          <w:rFonts w:ascii="Verdana" w:hAnsi="Verdana"/>
          <w:sz w:val="20"/>
          <w:szCs w:val="20"/>
        </w:rPr>
        <w:t>supuesto “Comandante Meza”</w:t>
      </w:r>
      <w:r w:rsidRPr="00754453">
        <w:rPr>
          <w:rFonts w:ascii="Verdana" w:hAnsi="Verdana"/>
          <w:sz w:val="20"/>
          <w:szCs w:val="20"/>
        </w:rPr>
        <w:t xml:space="preserve"> (</w:t>
      </w:r>
      <w:r w:rsidRPr="00754453">
        <w:rPr>
          <w:rFonts w:ascii="Verdana" w:hAnsi="Verdana"/>
          <w:i/>
          <w:sz w:val="20"/>
          <w:szCs w:val="20"/>
        </w:rPr>
        <w:t>supra</w:t>
      </w:r>
      <w:r w:rsidRPr="00754453">
        <w:rPr>
          <w:rFonts w:ascii="Verdana" w:hAnsi="Verdana"/>
          <w:sz w:val="20"/>
          <w:szCs w:val="20"/>
        </w:rPr>
        <w:t xml:space="preserve"> párr. </w:t>
      </w:r>
      <w:r w:rsidR="005162E5">
        <w:rPr>
          <w:rFonts w:ascii="Verdana" w:hAnsi="Verdana"/>
          <w:sz w:val="20"/>
          <w:szCs w:val="20"/>
        </w:rPr>
        <w:t>99</w:t>
      </w:r>
      <w:r w:rsidRPr="00754453">
        <w:rPr>
          <w:rFonts w:ascii="Verdana" w:hAnsi="Verdana"/>
          <w:sz w:val="20"/>
          <w:szCs w:val="20"/>
        </w:rPr>
        <w:t>)</w:t>
      </w:r>
      <w:r w:rsidR="009D0360" w:rsidRPr="00754453">
        <w:rPr>
          <w:rFonts w:ascii="Verdana" w:hAnsi="Verdana"/>
          <w:sz w:val="20"/>
          <w:szCs w:val="20"/>
        </w:rPr>
        <w:t>;</w:t>
      </w:r>
      <w:r w:rsidRPr="00754453">
        <w:rPr>
          <w:rFonts w:ascii="Verdana" w:hAnsi="Verdana"/>
          <w:sz w:val="20"/>
          <w:szCs w:val="20"/>
        </w:rPr>
        <w:t xml:space="preserve"> c) </w:t>
      </w:r>
      <w:r w:rsidR="009D0360" w:rsidRPr="00754453">
        <w:rPr>
          <w:rFonts w:ascii="Verdana" w:hAnsi="Verdana"/>
          <w:sz w:val="20"/>
          <w:szCs w:val="20"/>
        </w:rPr>
        <w:t>La falta de colaboración y “hermetismo permanente del Ejército Mexicano” señalados por la FEVIMTRA en su acuerdo de declinatoria (</w:t>
      </w:r>
      <w:r w:rsidR="009D0360" w:rsidRPr="00754453">
        <w:rPr>
          <w:rFonts w:ascii="Verdana" w:hAnsi="Verdana"/>
          <w:i/>
          <w:sz w:val="20"/>
          <w:szCs w:val="20"/>
        </w:rPr>
        <w:t>supra</w:t>
      </w:r>
      <w:r w:rsidR="009D0360" w:rsidRPr="00754453">
        <w:rPr>
          <w:rFonts w:ascii="Verdana" w:hAnsi="Verdana"/>
          <w:sz w:val="20"/>
          <w:szCs w:val="20"/>
        </w:rPr>
        <w:t xml:space="preserve"> párr. </w:t>
      </w:r>
      <w:r w:rsidR="002170A3">
        <w:rPr>
          <w:rFonts w:ascii="Verdana" w:hAnsi="Verdana"/>
          <w:sz w:val="20"/>
          <w:szCs w:val="20"/>
        </w:rPr>
        <w:t>120</w:t>
      </w:r>
      <w:r w:rsidR="009D0360" w:rsidRPr="00754453">
        <w:rPr>
          <w:rFonts w:ascii="Verdana" w:hAnsi="Verdana"/>
          <w:sz w:val="20"/>
          <w:szCs w:val="20"/>
        </w:rPr>
        <w:t>);</w:t>
      </w:r>
      <w:r w:rsidRPr="00754453">
        <w:rPr>
          <w:rFonts w:ascii="Verdana" w:hAnsi="Verdana"/>
          <w:sz w:val="20"/>
          <w:szCs w:val="20"/>
        </w:rPr>
        <w:t xml:space="preserve"> d) </w:t>
      </w:r>
      <w:r w:rsidR="00E53B76" w:rsidRPr="00754453">
        <w:rPr>
          <w:rFonts w:ascii="Verdana" w:hAnsi="Verdana"/>
          <w:sz w:val="20"/>
          <w:szCs w:val="20"/>
        </w:rPr>
        <w:t>l</w:t>
      </w:r>
      <w:r w:rsidR="009D0360" w:rsidRPr="00754453">
        <w:rPr>
          <w:rFonts w:ascii="Verdana" w:hAnsi="Verdana"/>
          <w:sz w:val="20"/>
          <w:szCs w:val="20"/>
        </w:rPr>
        <w:t xml:space="preserve">a </w:t>
      </w:r>
      <w:r w:rsidRPr="00754453">
        <w:rPr>
          <w:rFonts w:ascii="Verdana" w:hAnsi="Verdana"/>
          <w:sz w:val="20"/>
          <w:szCs w:val="20"/>
        </w:rPr>
        <w:t>negativa del Ejército</w:t>
      </w:r>
      <w:r w:rsidR="009D0360" w:rsidRPr="00754453">
        <w:rPr>
          <w:rFonts w:ascii="Verdana" w:hAnsi="Verdana"/>
          <w:sz w:val="20"/>
          <w:szCs w:val="20"/>
        </w:rPr>
        <w:t>, tanto a los familiares como en la investigación de los hechos,</w:t>
      </w:r>
      <w:r w:rsidR="00A03DD6">
        <w:rPr>
          <w:rFonts w:ascii="Verdana" w:hAnsi="Verdana"/>
          <w:sz w:val="20"/>
          <w:szCs w:val="20"/>
        </w:rPr>
        <w:t xml:space="preserve"> de</w:t>
      </w:r>
      <w:r w:rsidR="009D0360" w:rsidRPr="00754453">
        <w:rPr>
          <w:rFonts w:ascii="Verdana" w:hAnsi="Verdana"/>
          <w:sz w:val="20"/>
          <w:szCs w:val="20"/>
        </w:rPr>
        <w:t xml:space="preserve"> tener bajo su custodia a los tres desaparecidos</w:t>
      </w:r>
      <w:r w:rsidRPr="00754453">
        <w:rPr>
          <w:rFonts w:ascii="Verdana" w:hAnsi="Verdana"/>
          <w:sz w:val="20"/>
          <w:szCs w:val="20"/>
        </w:rPr>
        <w:t xml:space="preserve">, señalada por el </w:t>
      </w:r>
      <w:r w:rsidR="00B61253" w:rsidRPr="00754453">
        <w:rPr>
          <w:rFonts w:ascii="Verdana" w:hAnsi="Verdana"/>
          <w:sz w:val="20"/>
          <w:szCs w:val="20"/>
        </w:rPr>
        <w:t xml:space="preserve">Equipo Internacional de Peritos en su informe </w:t>
      </w:r>
      <w:r w:rsidRPr="00754453">
        <w:rPr>
          <w:rFonts w:ascii="Verdana" w:hAnsi="Verdana"/>
          <w:sz w:val="20"/>
          <w:szCs w:val="20"/>
        </w:rPr>
        <w:t>(</w:t>
      </w:r>
      <w:r w:rsidRPr="00754453">
        <w:rPr>
          <w:rFonts w:ascii="Verdana" w:hAnsi="Verdana"/>
          <w:i/>
          <w:sz w:val="20"/>
          <w:szCs w:val="20"/>
        </w:rPr>
        <w:t>supra</w:t>
      </w:r>
      <w:r w:rsidRPr="00754453">
        <w:rPr>
          <w:rFonts w:ascii="Verdana" w:hAnsi="Verdana"/>
          <w:sz w:val="20"/>
          <w:szCs w:val="20"/>
        </w:rPr>
        <w:t xml:space="preserve"> párr. </w:t>
      </w:r>
      <w:r w:rsidR="002170A3">
        <w:rPr>
          <w:rFonts w:ascii="Verdana" w:hAnsi="Verdana"/>
          <w:sz w:val="20"/>
          <w:szCs w:val="20"/>
        </w:rPr>
        <w:t>194</w:t>
      </w:r>
      <w:r w:rsidRPr="00754453">
        <w:rPr>
          <w:rFonts w:ascii="Verdana" w:hAnsi="Verdana"/>
          <w:sz w:val="20"/>
          <w:szCs w:val="20"/>
        </w:rPr>
        <w:t>)</w:t>
      </w:r>
      <w:r w:rsidR="009D0360" w:rsidRPr="00754453">
        <w:rPr>
          <w:rFonts w:ascii="Verdana" w:hAnsi="Verdana"/>
          <w:sz w:val="20"/>
          <w:szCs w:val="20"/>
        </w:rPr>
        <w:t xml:space="preserve">; </w:t>
      </w:r>
      <w:r w:rsidRPr="00754453">
        <w:rPr>
          <w:rFonts w:ascii="Verdana" w:hAnsi="Verdana"/>
          <w:sz w:val="20"/>
          <w:szCs w:val="20"/>
        </w:rPr>
        <w:t xml:space="preserve">e) </w:t>
      </w:r>
      <w:r w:rsidR="00E53B76" w:rsidRPr="00754453">
        <w:rPr>
          <w:rFonts w:ascii="Verdana" w:hAnsi="Verdana"/>
          <w:sz w:val="20"/>
          <w:szCs w:val="20"/>
        </w:rPr>
        <w:t>e</w:t>
      </w:r>
      <w:r w:rsidR="009D0360" w:rsidRPr="00754453">
        <w:rPr>
          <w:rFonts w:ascii="Verdana" w:hAnsi="Verdana"/>
          <w:sz w:val="20"/>
          <w:szCs w:val="20"/>
        </w:rPr>
        <w:t xml:space="preserve">l sometimiento de las investigaciones durante un prolongado tiempo a la jurisdicción militar </w:t>
      </w:r>
      <w:r w:rsidR="00A03DD6">
        <w:rPr>
          <w:rFonts w:ascii="Verdana" w:hAnsi="Verdana"/>
          <w:sz w:val="20"/>
          <w:szCs w:val="20"/>
        </w:rPr>
        <w:t>−</w:t>
      </w:r>
      <w:r w:rsidR="009D0360" w:rsidRPr="00754453">
        <w:rPr>
          <w:rFonts w:ascii="Verdana" w:hAnsi="Verdana"/>
          <w:sz w:val="20"/>
          <w:szCs w:val="20"/>
        </w:rPr>
        <w:t>del 15 de enero de 2010 al 29 de diciembre de 2011</w:t>
      </w:r>
      <w:r w:rsidR="00A03DD6">
        <w:rPr>
          <w:rFonts w:ascii="Verdana" w:hAnsi="Verdana"/>
          <w:sz w:val="20"/>
          <w:szCs w:val="20"/>
        </w:rPr>
        <w:t>−</w:t>
      </w:r>
      <w:r w:rsidR="009D0360" w:rsidRPr="00754453">
        <w:rPr>
          <w:rFonts w:ascii="Verdana" w:hAnsi="Verdana"/>
          <w:sz w:val="20"/>
          <w:szCs w:val="20"/>
        </w:rPr>
        <w:t xml:space="preserve">, a pesar de la reiterada jurisprudencia de este Tribunal </w:t>
      </w:r>
      <w:r w:rsidR="00400310">
        <w:rPr>
          <w:rFonts w:ascii="Verdana" w:hAnsi="Verdana"/>
          <w:sz w:val="20"/>
          <w:szCs w:val="20"/>
        </w:rPr>
        <w:t xml:space="preserve">al </w:t>
      </w:r>
      <w:r w:rsidR="009D0360" w:rsidRPr="00754453">
        <w:rPr>
          <w:rFonts w:ascii="Verdana" w:hAnsi="Verdana"/>
          <w:sz w:val="20"/>
          <w:szCs w:val="20"/>
        </w:rPr>
        <w:t>respecto</w:t>
      </w:r>
      <w:r w:rsidR="002170A3">
        <w:rPr>
          <w:rFonts w:ascii="Verdana" w:hAnsi="Verdana"/>
          <w:sz w:val="20"/>
          <w:szCs w:val="20"/>
        </w:rPr>
        <w:t xml:space="preserve"> (</w:t>
      </w:r>
      <w:r w:rsidR="002170A3">
        <w:rPr>
          <w:rFonts w:ascii="Verdana" w:hAnsi="Verdana"/>
          <w:i/>
          <w:sz w:val="20"/>
          <w:szCs w:val="20"/>
        </w:rPr>
        <w:t xml:space="preserve">supra, </w:t>
      </w:r>
      <w:r w:rsidR="002170A3">
        <w:rPr>
          <w:rFonts w:ascii="Verdana" w:hAnsi="Verdana"/>
          <w:sz w:val="20"/>
          <w:szCs w:val="20"/>
        </w:rPr>
        <w:t>párrs. 110 a 116</w:t>
      </w:r>
      <w:r w:rsidR="00A03DD6">
        <w:rPr>
          <w:rFonts w:ascii="Verdana" w:hAnsi="Verdana"/>
          <w:sz w:val="20"/>
          <w:szCs w:val="20"/>
        </w:rPr>
        <w:t xml:space="preserve"> e </w:t>
      </w:r>
      <w:r w:rsidR="00A03DD6">
        <w:rPr>
          <w:rFonts w:ascii="Verdana" w:hAnsi="Verdana"/>
          <w:i/>
          <w:sz w:val="20"/>
          <w:szCs w:val="20"/>
        </w:rPr>
        <w:t>infra</w:t>
      </w:r>
      <w:r w:rsidR="00A03DD6">
        <w:rPr>
          <w:rFonts w:ascii="Verdana" w:hAnsi="Verdana"/>
          <w:sz w:val="20"/>
          <w:szCs w:val="20"/>
        </w:rPr>
        <w:t xml:space="preserve"> párrs. 231 a 239</w:t>
      </w:r>
      <w:r w:rsidR="002170A3">
        <w:rPr>
          <w:rFonts w:ascii="Verdana" w:hAnsi="Verdana"/>
          <w:sz w:val="20"/>
          <w:szCs w:val="20"/>
        </w:rPr>
        <w:t>),</w:t>
      </w:r>
      <w:r w:rsidR="009D0360" w:rsidRPr="00754453">
        <w:rPr>
          <w:rFonts w:ascii="Verdana" w:hAnsi="Verdana"/>
          <w:sz w:val="20"/>
          <w:szCs w:val="20"/>
        </w:rPr>
        <w:t xml:space="preserve"> y </w:t>
      </w:r>
      <w:r w:rsidRPr="00754453">
        <w:rPr>
          <w:rFonts w:ascii="Verdana" w:hAnsi="Verdana"/>
          <w:sz w:val="20"/>
          <w:szCs w:val="20"/>
        </w:rPr>
        <w:t xml:space="preserve">f) </w:t>
      </w:r>
      <w:r w:rsidR="00E53B76" w:rsidRPr="00754453">
        <w:rPr>
          <w:rFonts w:ascii="Verdana" w:hAnsi="Verdana"/>
          <w:sz w:val="20"/>
          <w:szCs w:val="20"/>
        </w:rPr>
        <w:t>l</w:t>
      </w:r>
      <w:r w:rsidRPr="00754453">
        <w:rPr>
          <w:rFonts w:ascii="Verdana" w:hAnsi="Verdana"/>
          <w:sz w:val="20"/>
          <w:szCs w:val="20"/>
        </w:rPr>
        <w:t>as amenazas y hostigamiento recibidos por los familiares por su papel dinámico en la búsqueda de verdad y justicia, así como la falta de investigación diligente y efectiva para identificar a sus autores (</w:t>
      </w:r>
      <w:r w:rsidR="00282B69">
        <w:rPr>
          <w:rFonts w:ascii="Verdana" w:hAnsi="Verdana"/>
          <w:i/>
          <w:sz w:val="20"/>
          <w:szCs w:val="20"/>
        </w:rPr>
        <w:t xml:space="preserve">supra </w:t>
      </w:r>
      <w:r w:rsidR="00282B69">
        <w:rPr>
          <w:rFonts w:ascii="Verdana" w:hAnsi="Verdana"/>
          <w:sz w:val="20"/>
          <w:szCs w:val="20"/>
        </w:rPr>
        <w:t xml:space="preserve">párrs. 143 a 150, e </w:t>
      </w:r>
      <w:r w:rsidR="00205AF7" w:rsidRPr="00205AF7">
        <w:rPr>
          <w:rFonts w:ascii="Verdana" w:hAnsi="Verdana"/>
          <w:i/>
          <w:sz w:val="20"/>
          <w:szCs w:val="20"/>
        </w:rPr>
        <w:t>infra</w:t>
      </w:r>
      <w:r w:rsidRPr="00754453">
        <w:rPr>
          <w:rFonts w:ascii="Verdana" w:hAnsi="Verdana"/>
          <w:sz w:val="20"/>
          <w:szCs w:val="20"/>
        </w:rPr>
        <w:t xml:space="preserve"> párr</w:t>
      </w:r>
      <w:r w:rsidR="00282B69">
        <w:rPr>
          <w:rFonts w:ascii="Verdana" w:hAnsi="Verdana"/>
          <w:sz w:val="20"/>
          <w:szCs w:val="20"/>
        </w:rPr>
        <w:t>s</w:t>
      </w:r>
      <w:r w:rsidRPr="00754453">
        <w:rPr>
          <w:rFonts w:ascii="Verdana" w:hAnsi="Verdana"/>
          <w:sz w:val="20"/>
          <w:szCs w:val="20"/>
        </w:rPr>
        <w:t xml:space="preserve">. </w:t>
      </w:r>
      <w:r w:rsidR="00282B69">
        <w:rPr>
          <w:rFonts w:ascii="Verdana" w:hAnsi="Verdana"/>
          <w:sz w:val="20"/>
          <w:szCs w:val="20"/>
        </w:rPr>
        <w:t xml:space="preserve">255 </w:t>
      </w:r>
      <w:r w:rsidR="00A03DD6">
        <w:rPr>
          <w:rFonts w:ascii="Verdana" w:hAnsi="Verdana"/>
          <w:sz w:val="20"/>
          <w:szCs w:val="20"/>
        </w:rPr>
        <w:t>y</w:t>
      </w:r>
      <w:r w:rsidR="00282B69">
        <w:rPr>
          <w:rFonts w:ascii="Verdana" w:hAnsi="Verdana"/>
          <w:sz w:val="20"/>
          <w:szCs w:val="20"/>
        </w:rPr>
        <w:t xml:space="preserve"> 256</w:t>
      </w:r>
      <w:r w:rsidRPr="00754453">
        <w:rPr>
          <w:rFonts w:ascii="Verdana" w:hAnsi="Verdana"/>
          <w:sz w:val="20"/>
          <w:szCs w:val="20"/>
        </w:rPr>
        <w:t>).</w:t>
      </w:r>
    </w:p>
    <w:p w14:paraId="64AA6044" w14:textId="0AE9B1BE" w:rsidR="002E1C85" w:rsidRPr="00813B72" w:rsidRDefault="002E1C85" w:rsidP="00DB378B">
      <w:pPr>
        <w:widowControl w:val="0"/>
        <w:numPr>
          <w:ilvl w:val="0"/>
          <w:numId w:val="4"/>
        </w:numPr>
        <w:tabs>
          <w:tab w:val="left" w:pos="567"/>
        </w:tabs>
        <w:autoSpaceDE w:val="0"/>
        <w:autoSpaceDN w:val="0"/>
        <w:adjustRightInd w:val="0"/>
        <w:spacing w:before="120" w:after="120" w:line="240" w:lineRule="auto"/>
        <w:ind w:left="0" w:firstLine="0"/>
        <w:jc w:val="both"/>
        <w:textAlignment w:val="baseline"/>
        <w:rPr>
          <w:rFonts w:ascii="Verdana" w:hAnsi="Verdana"/>
          <w:sz w:val="20"/>
          <w:szCs w:val="20"/>
        </w:rPr>
      </w:pPr>
      <w:r w:rsidRPr="00754453">
        <w:rPr>
          <w:rFonts w:ascii="Verdana" w:hAnsi="Verdana"/>
          <w:sz w:val="20"/>
          <w:szCs w:val="20"/>
        </w:rPr>
        <w:t>En vista de todo</w:t>
      </w:r>
      <w:r w:rsidRPr="00813B72">
        <w:rPr>
          <w:rFonts w:ascii="Verdana" w:hAnsi="Verdana"/>
          <w:sz w:val="20"/>
          <w:szCs w:val="20"/>
        </w:rPr>
        <w:t xml:space="preserve"> lo anterior, el Tribunal considera acreditado el tercer elemento </w:t>
      </w:r>
      <w:r w:rsidRPr="00813B72">
        <w:rPr>
          <w:rFonts w:ascii="Verdana" w:hAnsi="Verdana"/>
          <w:sz w:val="20"/>
          <w:szCs w:val="20"/>
        </w:rPr>
        <w:lastRenderedPageBreak/>
        <w:t>constitutivo para calificar una desaparición forzada, consistente en la negativa de las autoridades de reconocer la detención o revelar la suerte o paradero de las tres víctimas.</w:t>
      </w:r>
    </w:p>
    <w:p w14:paraId="64AA6046" w14:textId="7596F513" w:rsidR="002E1C85" w:rsidRPr="00605079" w:rsidRDefault="00E34BFF">
      <w:pPr>
        <w:pStyle w:val="Heading3"/>
        <w:numPr>
          <w:ilvl w:val="0"/>
          <w:numId w:val="40"/>
        </w:numPr>
        <w:spacing w:before="120" w:after="120"/>
        <w:ind w:left="1560" w:hanging="426"/>
        <w:contextualSpacing w:val="0"/>
        <w:rPr>
          <w:b w:val="0"/>
        </w:rPr>
      </w:pPr>
      <w:bookmarkStart w:id="204" w:name="_Toc526783787"/>
      <w:r>
        <w:rPr>
          <w:b w:val="0"/>
        </w:rPr>
        <w:t xml:space="preserve"> </w:t>
      </w:r>
      <w:bookmarkStart w:id="205" w:name="_Toc532995373"/>
      <w:r w:rsidR="002E1C85" w:rsidRPr="00605079">
        <w:rPr>
          <w:b w:val="0"/>
        </w:rPr>
        <w:t xml:space="preserve">Conclusión </w:t>
      </w:r>
      <w:bookmarkEnd w:id="204"/>
      <w:r w:rsidR="0012321F" w:rsidRPr="00605079">
        <w:rPr>
          <w:b w:val="0"/>
        </w:rPr>
        <w:t>g</w:t>
      </w:r>
      <w:r w:rsidR="006455AF" w:rsidRPr="00605079">
        <w:rPr>
          <w:b w:val="0"/>
        </w:rPr>
        <w:t>eneral</w:t>
      </w:r>
      <w:bookmarkEnd w:id="205"/>
      <w:r w:rsidR="002E1C85" w:rsidRPr="00605079">
        <w:rPr>
          <w:b w:val="0"/>
        </w:rPr>
        <w:t xml:space="preserve"> </w:t>
      </w:r>
    </w:p>
    <w:p w14:paraId="706FAF67" w14:textId="2189AA75" w:rsidR="00AD5F81" w:rsidRPr="00F67B06" w:rsidRDefault="006455AF" w:rsidP="00DB378B">
      <w:pPr>
        <w:widowControl w:val="0"/>
        <w:numPr>
          <w:ilvl w:val="0"/>
          <w:numId w:val="4"/>
        </w:numPr>
        <w:tabs>
          <w:tab w:val="left" w:pos="567"/>
        </w:tabs>
        <w:autoSpaceDE w:val="0"/>
        <w:autoSpaceDN w:val="0"/>
        <w:adjustRightInd w:val="0"/>
        <w:spacing w:before="120" w:after="120" w:line="240" w:lineRule="auto"/>
        <w:ind w:left="0" w:firstLine="0"/>
        <w:jc w:val="both"/>
        <w:textAlignment w:val="baseline"/>
        <w:rPr>
          <w:rFonts w:ascii="Verdana" w:eastAsia="Calibri" w:hAnsi="Verdana" w:cs="Times New Roman"/>
          <w:sz w:val="20"/>
          <w:szCs w:val="20"/>
        </w:rPr>
      </w:pPr>
      <w:r w:rsidRPr="00C368C2">
        <w:rPr>
          <w:rFonts w:ascii="Verdana" w:eastAsia="Times New Roman" w:hAnsi="Verdana"/>
          <w:sz w:val="20"/>
          <w:szCs w:val="20"/>
          <w:lang w:val="es-ES"/>
        </w:rPr>
        <w:t>La Corte constató</w:t>
      </w:r>
      <w:r w:rsidR="0098157E" w:rsidRPr="00C368C2">
        <w:rPr>
          <w:rFonts w:ascii="Verdana" w:eastAsia="Times New Roman" w:hAnsi="Verdana"/>
          <w:sz w:val="20"/>
          <w:szCs w:val="20"/>
          <w:lang w:val="es-ES"/>
        </w:rPr>
        <w:t xml:space="preserve"> </w:t>
      </w:r>
      <w:r w:rsidRPr="00C368C2">
        <w:rPr>
          <w:rFonts w:ascii="Verdana" w:eastAsia="Times New Roman" w:hAnsi="Verdana"/>
          <w:sz w:val="20"/>
          <w:szCs w:val="20"/>
          <w:lang w:val="es-ES"/>
        </w:rPr>
        <w:t>que</w:t>
      </w:r>
      <w:r w:rsidR="00AD5F81" w:rsidRPr="00C368C2">
        <w:rPr>
          <w:rFonts w:ascii="Verdana" w:eastAsia="Times New Roman" w:hAnsi="Verdana"/>
          <w:sz w:val="20"/>
          <w:szCs w:val="20"/>
          <w:lang w:val="es-ES"/>
        </w:rPr>
        <w:t xml:space="preserve"> </w:t>
      </w:r>
      <w:r w:rsidR="00AD5F81" w:rsidRPr="00C368C2">
        <w:rPr>
          <w:rFonts w:ascii="Verdana" w:hAnsi="Verdana" w:cs="Arial"/>
          <w:sz w:val="20"/>
          <w:szCs w:val="20"/>
          <w:lang w:val="es-CR"/>
        </w:rPr>
        <w:t>e</w:t>
      </w:r>
      <w:r w:rsidRPr="00C368C2">
        <w:rPr>
          <w:rFonts w:ascii="Verdana" w:hAnsi="Verdana" w:cs="Arial"/>
          <w:sz w:val="20"/>
          <w:szCs w:val="20"/>
          <w:lang w:val="es-CR"/>
        </w:rPr>
        <w:t>l incremento en</w:t>
      </w:r>
      <w:r w:rsidR="00AD5F81" w:rsidRPr="00C368C2">
        <w:rPr>
          <w:rFonts w:ascii="Verdana" w:hAnsi="Verdana" w:cs="Arial"/>
          <w:sz w:val="20"/>
          <w:szCs w:val="20"/>
          <w:lang w:val="es-CR"/>
        </w:rPr>
        <w:t xml:space="preserve"> la participación del </w:t>
      </w:r>
      <w:r w:rsidR="0098157E" w:rsidRPr="00C368C2">
        <w:rPr>
          <w:rFonts w:ascii="Verdana" w:hAnsi="Verdana" w:cs="Arial"/>
          <w:sz w:val="20"/>
          <w:szCs w:val="20"/>
          <w:lang w:val="es-CR"/>
        </w:rPr>
        <w:t>E</w:t>
      </w:r>
      <w:r w:rsidR="00AD5F81" w:rsidRPr="00F67B06">
        <w:rPr>
          <w:rFonts w:ascii="Verdana" w:hAnsi="Verdana" w:cs="Arial"/>
          <w:sz w:val="20"/>
          <w:szCs w:val="20"/>
          <w:lang w:val="es-CR"/>
        </w:rPr>
        <w:t>jército en las labores de seguridad ciudadana ha sido un patrón constante en México desde el año 2006 (</w:t>
      </w:r>
      <w:r w:rsidR="00AD5F81" w:rsidRPr="00F67B06">
        <w:rPr>
          <w:rFonts w:ascii="Verdana" w:hAnsi="Verdana" w:cs="Arial"/>
          <w:i/>
          <w:sz w:val="20"/>
          <w:szCs w:val="20"/>
          <w:lang w:val="es-CR"/>
        </w:rPr>
        <w:t>supra</w:t>
      </w:r>
      <w:r w:rsidR="00AD5F81" w:rsidRPr="00F67B06">
        <w:rPr>
          <w:rFonts w:ascii="Verdana" w:hAnsi="Verdana" w:cs="Arial"/>
          <w:sz w:val="20"/>
          <w:szCs w:val="20"/>
          <w:lang w:val="es-CR"/>
        </w:rPr>
        <w:t>, párr</w:t>
      </w:r>
      <w:r w:rsidR="0098157E" w:rsidRPr="00F67B06">
        <w:rPr>
          <w:rFonts w:ascii="Verdana" w:hAnsi="Verdana" w:cs="Arial"/>
          <w:sz w:val="20"/>
          <w:szCs w:val="20"/>
          <w:lang w:val="es-CR"/>
        </w:rPr>
        <w:t>s</w:t>
      </w:r>
      <w:r w:rsidR="00AD5F81" w:rsidRPr="00F67B06">
        <w:rPr>
          <w:rFonts w:ascii="Verdana" w:hAnsi="Verdana" w:cs="Arial"/>
          <w:sz w:val="20"/>
          <w:szCs w:val="20"/>
          <w:lang w:val="es-CR"/>
        </w:rPr>
        <w:t xml:space="preserve">. </w:t>
      </w:r>
      <w:r w:rsidR="00A03DD6" w:rsidRPr="00BA46BA">
        <w:rPr>
          <w:rFonts w:ascii="Verdana" w:hAnsi="Verdana" w:cs="Arial"/>
          <w:sz w:val="20"/>
          <w:szCs w:val="20"/>
          <w:lang w:val="es-CR"/>
        </w:rPr>
        <w:t>175 y 176</w:t>
      </w:r>
      <w:r w:rsidR="00AD5F81" w:rsidRPr="00CB680E">
        <w:rPr>
          <w:rFonts w:ascii="Verdana" w:hAnsi="Verdana" w:cs="Arial"/>
          <w:sz w:val="20"/>
          <w:szCs w:val="20"/>
          <w:lang w:val="es-CR"/>
        </w:rPr>
        <w:t xml:space="preserve">). En dicho escenario, el empleo de </w:t>
      </w:r>
      <w:r w:rsidRPr="00CB680E">
        <w:rPr>
          <w:rFonts w:ascii="Verdana" w:hAnsi="Verdana" w:cs="Arial"/>
          <w:sz w:val="20"/>
          <w:szCs w:val="20"/>
          <w:lang w:val="es-CR"/>
        </w:rPr>
        <w:t xml:space="preserve">las </w:t>
      </w:r>
      <w:r w:rsidR="00AD5F81" w:rsidRPr="00CB680E">
        <w:rPr>
          <w:rFonts w:ascii="Verdana" w:hAnsi="Verdana" w:cs="Arial"/>
          <w:sz w:val="20"/>
          <w:szCs w:val="20"/>
          <w:lang w:val="es-CR"/>
        </w:rPr>
        <w:t xml:space="preserve">fuerzas castrenses en la lucha contra la delincuencia </w:t>
      </w:r>
      <w:r w:rsidR="0012321F" w:rsidRPr="00605079">
        <w:rPr>
          <w:rFonts w:ascii="Verdana" w:hAnsi="Verdana" w:cs="Arial"/>
          <w:sz w:val="20"/>
          <w:szCs w:val="20"/>
          <w:lang w:val="es-CR"/>
        </w:rPr>
        <w:t>se convirtió en una práctica</w:t>
      </w:r>
      <w:r w:rsidR="00AD5F81" w:rsidRPr="00605079">
        <w:rPr>
          <w:rFonts w:ascii="Verdana" w:hAnsi="Verdana" w:cs="Arial"/>
          <w:sz w:val="20"/>
          <w:szCs w:val="20"/>
          <w:lang w:val="es-CR"/>
        </w:rPr>
        <w:t xml:space="preserve"> recurrente mediante la implementación de los denominados “</w:t>
      </w:r>
      <w:r w:rsidR="0098157E" w:rsidRPr="00605079">
        <w:rPr>
          <w:rFonts w:ascii="Verdana" w:hAnsi="Verdana" w:cs="Arial"/>
          <w:sz w:val="20"/>
          <w:szCs w:val="20"/>
        </w:rPr>
        <w:t>O</w:t>
      </w:r>
      <w:r w:rsidR="00AD5F81" w:rsidRPr="00605079">
        <w:rPr>
          <w:rFonts w:ascii="Verdana" w:hAnsi="Verdana" w:cs="Arial"/>
          <w:sz w:val="20"/>
          <w:szCs w:val="20"/>
          <w:lang w:val="es-CR"/>
        </w:rPr>
        <w:t xml:space="preserve">perativos </w:t>
      </w:r>
      <w:r w:rsidR="0098157E" w:rsidRPr="00605079">
        <w:rPr>
          <w:rFonts w:ascii="Verdana" w:hAnsi="Verdana" w:cs="Arial"/>
          <w:sz w:val="20"/>
          <w:szCs w:val="20"/>
          <w:lang w:val="es-CR"/>
        </w:rPr>
        <w:t>C</w:t>
      </w:r>
      <w:r w:rsidR="00AD5F81" w:rsidRPr="00605079">
        <w:rPr>
          <w:rFonts w:ascii="Verdana" w:hAnsi="Verdana" w:cs="Arial"/>
          <w:sz w:val="20"/>
          <w:szCs w:val="20"/>
          <w:lang w:val="es-CR"/>
        </w:rPr>
        <w:t>onjuntos” en cuya intervención concurrían efectivos policiales y militares (</w:t>
      </w:r>
      <w:r w:rsidR="00AD5F81" w:rsidRPr="00605079">
        <w:rPr>
          <w:rFonts w:ascii="Verdana" w:hAnsi="Verdana" w:cs="Arial"/>
          <w:i/>
          <w:sz w:val="20"/>
          <w:szCs w:val="20"/>
          <w:lang w:val="es-CR"/>
        </w:rPr>
        <w:t xml:space="preserve">supra </w:t>
      </w:r>
      <w:r w:rsidR="00AD5F81" w:rsidRPr="00605079">
        <w:rPr>
          <w:rFonts w:ascii="Verdana" w:hAnsi="Verdana" w:cs="Arial"/>
          <w:sz w:val="20"/>
          <w:szCs w:val="20"/>
          <w:lang w:val="es-CR"/>
        </w:rPr>
        <w:t xml:space="preserve">párr. </w:t>
      </w:r>
      <w:r w:rsidR="00A03DD6" w:rsidRPr="00605079">
        <w:rPr>
          <w:rFonts w:ascii="Verdana" w:hAnsi="Verdana" w:cs="Arial"/>
          <w:sz w:val="20"/>
          <w:szCs w:val="20"/>
          <w:lang w:val="es-CR"/>
        </w:rPr>
        <w:t>175</w:t>
      </w:r>
      <w:r w:rsidR="00AD5F81" w:rsidRPr="00605079">
        <w:rPr>
          <w:rFonts w:ascii="Verdana" w:hAnsi="Verdana" w:cs="Arial"/>
          <w:sz w:val="20"/>
          <w:szCs w:val="20"/>
          <w:lang w:val="es-CR"/>
        </w:rPr>
        <w:t>).</w:t>
      </w:r>
      <w:r w:rsidR="00AC0EC0" w:rsidRPr="00605079">
        <w:rPr>
          <w:rFonts w:ascii="Verdana" w:hAnsi="Verdana" w:cs="Arial"/>
          <w:sz w:val="20"/>
          <w:szCs w:val="20"/>
          <w:lang w:val="es-CR"/>
        </w:rPr>
        <w:t xml:space="preserve"> Lo anterior, sin haberse acreditado, para efectos del caso concreto, que se hubieran respetado salvaguardias </w:t>
      </w:r>
      <w:r w:rsidR="007A7DCA" w:rsidRPr="00AD4631">
        <w:rPr>
          <w:rFonts w:ascii="Verdana" w:hAnsi="Verdana" w:cs="Arial"/>
          <w:sz w:val="20"/>
          <w:szCs w:val="20"/>
          <w:lang w:val="es-CR"/>
        </w:rPr>
        <w:t>para la participación de las fuerzas armadas</w:t>
      </w:r>
      <w:r w:rsidR="002E7B1B">
        <w:rPr>
          <w:rFonts w:ascii="Verdana" w:hAnsi="Verdana" w:cs="Arial"/>
          <w:sz w:val="20"/>
          <w:szCs w:val="20"/>
          <w:lang w:val="es-CR"/>
        </w:rPr>
        <w:t>,</w:t>
      </w:r>
      <w:r w:rsidR="007A7DCA" w:rsidRPr="00AD4631">
        <w:rPr>
          <w:rFonts w:ascii="Verdana" w:hAnsi="Verdana" w:cs="Arial"/>
          <w:sz w:val="20"/>
          <w:szCs w:val="20"/>
          <w:lang w:val="es-CR"/>
        </w:rPr>
        <w:t xml:space="preserve"> </w:t>
      </w:r>
      <w:r w:rsidR="00AC0EC0" w:rsidRPr="00605079">
        <w:rPr>
          <w:rFonts w:ascii="Verdana" w:hAnsi="Verdana" w:cs="Arial"/>
          <w:sz w:val="20"/>
          <w:szCs w:val="20"/>
          <w:lang w:val="es-CR"/>
        </w:rPr>
        <w:t>tales como la: excepcionalidad, temporalidad y estricta necesidad del operativo conjunto, así como una adecuada regulación y protocolos de actuación para tales tareas ni su fiscalización</w:t>
      </w:r>
      <w:r w:rsidRPr="00605079">
        <w:rPr>
          <w:rFonts w:ascii="Verdana" w:hAnsi="Verdana" w:cs="Arial"/>
          <w:sz w:val="20"/>
          <w:szCs w:val="20"/>
          <w:lang w:val="es-CR"/>
        </w:rPr>
        <w:t>, e inclusive ventilándose los hechos denunciados en el fuero militar</w:t>
      </w:r>
      <w:r w:rsidR="00AC0EC0" w:rsidRPr="00C368C2">
        <w:rPr>
          <w:rFonts w:ascii="Verdana" w:hAnsi="Verdana" w:cs="Arial"/>
          <w:sz w:val="20"/>
          <w:szCs w:val="20"/>
          <w:lang w:val="es-CR"/>
        </w:rPr>
        <w:t xml:space="preserve"> </w:t>
      </w:r>
      <w:r w:rsidRPr="00C368C2">
        <w:rPr>
          <w:rFonts w:ascii="Verdana" w:hAnsi="Verdana" w:cs="Arial"/>
          <w:sz w:val="20"/>
          <w:szCs w:val="20"/>
          <w:lang w:val="es-CR"/>
        </w:rPr>
        <w:t xml:space="preserve">por un periodo de tiempo considerable </w:t>
      </w:r>
      <w:r w:rsidR="00AC0EC0" w:rsidRPr="00F67B06">
        <w:rPr>
          <w:rFonts w:ascii="Verdana" w:hAnsi="Verdana" w:cs="Arial"/>
          <w:sz w:val="20"/>
          <w:szCs w:val="20"/>
          <w:lang w:val="es-CR"/>
        </w:rPr>
        <w:t>(</w:t>
      </w:r>
      <w:r w:rsidR="00AC0EC0" w:rsidRPr="00F67B06">
        <w:rPr>
          <w:rFonts w:ascii="Verdana" w:hAnsi="Verdana" w:cs="Arial"/>
          <w:i/>
          <w:sz w:val="20"/>
          <w:szCs w:val="20"/>
          <w:lang w:val="es-CR"/>
        </w:rPr>
        <w:t>supra</w:t>
      </w:r>
      <w:r w:rsidR="00AC0EC0" w:rsidRPr="00F67B06">
        <w:rPr>
          <w:rFonts w:ascii="Verdana" w:hAnsi="Verdana" w:cs="Arial"/>
          <w:sz w:val="20"/>
          <w:szCs w:val="20"/>
          <w:lang w:val="es-CR"/>
        </w:rPr>
        <w:t xml:space="preserve"> </w:t>
      </w:r>
      <w:r w:rsidR="0098157E" w:rsidRPr="00F67B06">
        <w:rPr>
          <w:rFonts w:ascii="Verdana" w:hAnsi="Verdana" w:cs="Arial"/>
          <w:sz w:val="20"/>
          <w:szCs w:val="20"/>
          <w:lang w:val="es-CR"/>
        </w:rPr>
        <w:t>párr. 185</w:t>
      </w:r>
      <w:r w:rsidR="00AC0EC0" w:rsidRPr="00F67B06">
        <w:rPr>
          <w:rFonts w:ascii="Verdana" w:hAnsi="Verdana" w:cs="Arial"/>
          <w:sz w:val="20"/>
          <w:szCs w:val="20"/>
          <w:lang w:val="es-CR"/>
        </w:rPr>
        <w:t xml:space="preserve">). </w:t>
      </w:r>
    </w:p>
    <w:p w14:paraId="64AA604A" w14:textId="2C00185E" w:rsidR="00903628" w:rsidRPr="00C90B3F" w:rsidRDefault="002E1C85" w:rsidP="00DB378B">
      <w:pPr>
        <w:widowControl w:val="0"/>
        <w:numPr>
          <w:ilvl w:val="0"/>
          <w:numId w:val="4"/>
        </w:numPr>
        <w:tabs>
          <w:tab w:val="left" w:pos="567"/>
        </w:tabs>
        <w:autoSpaceDE w:val="0"/>
        <w:autoSpaceDN w:val="0"/>
        <w:adjustRightInd w:val="0"/>
        <w:spacing w:before="120" w:after="120" w:line="240" w:lineRule="auto"/>
        <w:ind w:left="0" w:firstLine="0"/>
        <w:jc w:val="both"/>
        <w:textAlignment w:val="baseline"/>
        <w:rPr>
          <w:rFonts w:ascii="Verdana" w:eastAsia="Calibri" w:hAnsi="Verdana" w:cs="Times New Roman"/>
          <w:sz w:val="20"/>
          <w:szCs w:val="20"/>
        </w:rPr>
      </w:pPr>
      <w:r w:rsidRPr="00813B72">
        <w:rPr>
          <w:rFonts w:ascii="Verdana" w:eastAsia="Calibri" w:hAnsi="Verdana" w:cs="Times New Roman"/>
          <w:sz w:val="20"/>
          <w:szCs w:val="20"/>
        </w:rPr>
        <w:t>En vista de</w:t>
      </w:r>
      <w:r w:rsidR="00A64184">
        <w:rPr>
          <w:rFonts w:ascii="Verdana" w:eastAsia="Calibri" w:hAnsi="Verdana" w:cs="Times New Roman"/>
          <w:sz w:val="20"/>
          <w:szCs w:val="20"/>
        </w:rPr>
        <w:t xml:space="preserve">l </w:t>
      </w:r>
      <w:r w:rsidR="00F8355E">
        <w:rPr>
          <w:rFonts w:ascii="Verdana" w:eastAsia="Calibri" w:hAnsi="Verdana" w:cs="Times New Roman"/>
          <w:sz w:val="20"/>
          <w:szCs w:val="20"/>
        </w:rPr>
        <w:t xml:space="preserve">análisis </w:t>
      </w:r>
      <w:r w:rsidRPr="00813B72">
        <w:rPr>
          <w:rFonts w:ascii="Verdana" w:eastAsia="Calibri" w:hAnsi="Verdana" w:cs="Times New Roman"/>
          <w:sz w:val="20"/>
          <w:szCs w:val="20"/>
        </w:rPr>
        <w:t xml:space="preserve">expuesto, </w:t>
      </w:r>
      <w:r w:rsidRPr="00813B72">
        <w:rPr>
          <w:rFonts w:ascii="Verdana" w:hAnsi="Verdana"/>
          <w:sz w:val="20"/>
          <w:szCs w:val="20"/>
        </w:rPr>
        <w:t>la Corte concluye que el Estado mexicano es internacionalmente responsable por la desaparición forzada de Nitza Paola Alvarado Espinoza, José Ángel Alvarado Herrera y Rocío Irene Alvarado Reyes, en violación de los derechos al reconocimiento de la personalidad jurídica, a la vida, a la integridad personal y a la libertad personal establecidos, respectivamente, de conformidad con los artículos 3, 4.1, 5.1, 5.2 y 7 de la Convención Americana, en relación con lo dispuesto en el artículo 1.1 de la misma, así como del artículo I. a) de la Convención Interamericana sobre Desaparición Forzada de Personas.</w:t>
      </w:r>
    </w:p>
    <w:p w14:paraId="64AA604B" w14:textId="3A4E5C13" w:rsidR="00903628" w:rsidRPr="00BD5BB5" w:rsidRDefault="00903628">
      <w:pPr>
        <w:pStyle w:val="Heading1"/>
      </w:pPr>
      <w:bookmarkStart w:id="206" w:name="_Toc526774162"/>
      <w:bookmarkStart w:id="207" w:name="_Toc526777494"/>
      <w:bookmarkStart w:id="208" w:name="_Toc526783788"/>
      <w:bookmarkStart w:id="209" w:name="_Toc532995374"/>
      <w:bookmarkStart w:id="210" w:name="_Toc522815023"/>
      <w:r w:rsidRPr="00BD5BB5">
        <w:t>VII.</w:t>
      </w:r>
      <w:bookmarkEnd w:id="206"/>
      <w:bookmarkEnd w:id="207"/>
      <w:bookmarkEnd w:id="208"/>
      <w:r w:rsidR="00B37F3B">
        <w:t>2</w:t>
      </w:r>
      <w:bookmarkEnd w:id="209"/>
    </w:p>
    <w:p w14:paraId="05E180E7" w14:textId="3135C98B" w:rsidR="00F834CA" w:rsidRPr="00813B72" w:rsidRDefault="00903628" w:rsidP="00A64BE6">
      <w:pPr>
        <w:pStyle w:val="Heading1"/>
      </w:pPr>
      <w:bookmarkStart w:id="211" w:name="_Toc526774163"/>
      <w:bookmarkStart w:id="212" w:name="_Toc526777495"/>
      <w:bookmarkStart w:id="213" w:name="_Toc526783789"/>
      <w:bookmarkStart w:id="214" w:name="_Toc527561085"/>
      <w:bookmarkStart w:id="215" w:name="_Toc532995375"/>
      <w:r w:rsidRPr="00BD5BB5">
        <w:t>DERECHOS A LAS GARANTÍAS JUDICIALES Y PROTECCIÓN JUDICIAL</w:t>
      </w:r>
      <w:bookmarkStart w:id="216" w:name="_Toc526774164"/>
      <w:bookmarkStart w:id="217" w:name="_Toc526777496"/>
      <w:bookmarkStart w:id="218" w:name="_Toc526780853"/>
      <w:bookmarkStart w:id="219" w:name="_Toc526783790"/>
      <w:bookmarkStart w:id="220" w:name="_Toc526785097"/>
      <w:bookmarkStart w:id="221" w:name="_Toc527561086"/>
      <w:bookmarkEnd w:id="211"/>
      <w:bookmarkEnd w:id="212"/>
      <w:bookmarkEnd w:id="213"/>
      <w:bookmarkEnd w:id="214"/>
      <w:r w:rsidR="00A64BE6">
        <w:t xml:space="preserve"> </w:t>
      </w:r>
      <w:r w:rsidR="00F834CA" w:rsidRPr="00BD5BB5">
        <w:t>Y DEBER DE ADOPTAR MEDIDAS</w:t>
      </w:r>
      <w:bookmarkStart w:id="222" w:name="_Toc526774165"/>
      <w:bookmarkStart w:id="223" w:name="_Toc526777497"/>
      <w:bookmarkStart w:id="224" w:name="_Toc526780854"/>
      <w:bookmarkStart w:id="225" w:name="_Toc526783791"/>
      <w:bookmarkStart w:id="226" w:name="_Toc526785098"/>
      <w:bookmarkStart w:id="227" w:name="_Toc527561087"/>
      <w:bookmarkEnd w:id="216"/>
      <w:bookmarkEnd w:id="217"/>
      <w:bookmarkEnd w:id="218"/>
      <w:bookmarkEnd w:id="219"/>
      <w:bookmarkEnd w:id="220"/>
      <w:bookmarkEnd w:id="221"/>
      <w:r w:rsidR="00A64BE6">
        <w:t xml:space="preserve"> </w:t>
      </w:r>
      <w:r w:rsidR="00F834CA" w:rsidRPr="00BD5BB5">
        <w:t>(ARTICULOS 8</w:t>
      </w:r>
      <w:r w:rsidR="00416548">
        <w:rPr>
          <w:rStyle w:val="FootnoteReference"/>
        </w:rPr>
        <w:footnoteReference w:id="433"/>
      </w:r>
      <w:r w:rsidR="00F834CA" w:rsidRPr="00BD5BB5">
        <w:t xml:space="preserve">, </w:t>
      </w:r>
      <w:r w:rsidRPr="00BD5BB5">
        <w:t>25</w:t>
      </w:r>
      <w:r w:rsidR="00416548">
        <w:rPr>
          <w:rStyle w:val="FootnoteReference"/>
        </w:rPr>
        <w:footnoteReference w:id="434"/>
      </w:r>
      <w:r w:rsidR="00F834CA" w:rsidRPr="00BD5BB5">
        <w:t xml:space="preserve"> Y 2</w:t>
      </w:r>
      <w:r w:rsidR="00416548">
        <w:rPr>
          <w:rStyle w:val="FootnoteReference"/>
        </w:rPr>
        <w:footnoteReference w:id="435"/>
      </w:r>
      <w:r w:rsidRPr="00BD5BB5">
        <w:t>)</w:t>
      </w:r>
      <w:bookmarkEnd w:id="210"/>
      <w:bookmarkEnd w:id="222"/>
      <w:bookmarkEnd w:id="223"/>
      <w:bookmarkEnd w:id="224"/>
      <w:bookmarkEnd w:id="225"/>
      <w:bookmarkEnd w:id="226"/>
      <w:bookmarkEnd w:id="227"/>
      <w:r w:rsidR="006A3D06">
        <w:t>, AS</w:t>
      </w:r>
      <w:r w:rsidR="006A3D06" w:rsidRPr="00BD5BB5">
        <w:t>Í</w:t>
      </w:r>
      <w:r w:rsidR="006A3D06">
        <w:t xml:space="preserve"> COMO I.b y IX</w:t>
      </w:r>
      <w:r w:rsidR="004032E8">
        <w:rPr>
          <w:rStyle w:val="FootnoteReference"/>
        </w:rPr>
        <w:footnoteReference w:id="436"/>
      </w:r>
      <w:r w:rsidR="006A3D06">
        <w:t xml:space="preserve"> DE LA CIDFP</w:t>
      </w:r>
      <w:r w:rsidR="00A64BE6">
        <w:t>,</w:t>
      </w:r>
      <w:r w:rsidR="006A3D06">
        <w:t xml:space="preserve"> Y 7</w:t>
      </w:r>
      <w:r w:rsidR="00A64BE6">
        <w:t>.</w:t>
      </w:r>
      <w:r w:rsidR="006A3D06">
        <w:t>b</w:t>
      </w:r>
      <w:r w:rsidR="004032E8">
        <w:rPr>
          <w:rStyle w:val="FootnoteReference"/>
        </w:rPr>
        <w:footnoteReference w:id="437"/>
      </w:r>
      <w:r w:rsidR="006A3D06">
        <w:t xml:space="preserve"> DE LA CONVENCI</w:t>
      </w:r>
      <w:r w:rsidR="006A3D06" w:rsidRPr="00BD5BB5">
        <w:t>Ó</w:t>
      </w:r>
      <w:r w:rsidR="006A3D06">
        <w:t xml:space="preserve">N </w:t>
      </w:r>
      <w:r w:rsidR="00A64BE6">
        <w:t xml:space="preserve">DE </w:t>
      </w:r>
      <w:r w:rsidR="006A3D06">
        <w:t>BELEM DO PAR</w:t>
      </w:r>
      <w:r w:rsidR="00A64BE6">
        <w:t>Á</w:t>
      </w:r>
      <w:bookmarkEnd w:id="215"/>
      <w:r w:rsidR="006A3D06">
        <w:t xml:space="preserve"> </w:t>
      </w:r>
    </w:p>
    <w:p w14:paraId="6AE46882" w14:textId="6247E3F1" w:rsidR="00F834CA" w:rsidRPr="00F834CA" w:rsidRDefault="00556FDB" w:rsidP="00744CE4">
      <w:pPr>
        <w:pStyle w:val="Heading2"/>
        <w:numPr>
          <w:ilvl w:val="0"/>
          <w:numId w:val="18"/>
        </w:numPr>
        <w:spacing w:before="120" w:after="120"/>
      </w:pPr>
      <w:bookmarkStart w:id="228" w:name="_Toc522815024"/>
      <w:bookmarkStart w:id="229" w:name="_Toc526774166"/>
      <w:bookmarkStart w:id="230" w:name="_Toc526777498"/>
      <w:bookmarkStart w:id="231" w:name="_Toc526783792"/>
      <w:r>
        <w:t xml:space="preserve"> </w:t>
      </w:r>
      <w:bookmarkStart w:id="232" w:name="_Toc532995376"/>
      <w:r w:rsidR="00903628" w:rsidRPr="00F834CA">
        <w:t>Argumentos de las partes y de la Comisión</w:t>
      </w:r>
      <w:bookmarkEnd w:id="228"/>
      <w:bookmarkEnd w:id="229"/>
      <w:bookmarkEnd w:id="230"/>
      <w:bookmarkEnd w:id="231"/>
      <w:bookmarkEnd w:id="232"/>
    </w:p>
    <w:p w14:paraId="64AA6052" w14:textId="12F13A39" w:rsidR="00201EE6" w:rsidRPr="00813B72" w:rsidRDefault="00903628" w:rsidP="00432ABC">
      <w:pPr>
        <w:widowControl w:val="0"/>
        <w:numPr>
          <w:ilvl w:val="0"/>
          <w:numId w:val="4"/>
        </w:numPr>
        <w:tabs>
          <w:tab w:val="left" w:pos="567"/>
        </w:tabs>
        <w:autoSpaceDE w:val="0"/>
        <w:autoSpaceDN w:val="0"/>
        <w:adjustRightInd w:val="0"/>
        <w:spacing w:before="120" w:after="120" w:line="240" w:lineRule="auto"/>
        <w:ind w:left="0" w:firstLine="0"/>
        <w:jc w:val="both"/>
        <w:textAlignment w:val="baseline"/>
        <w:rPr>
          <w:rFonts w:ascii="Verdana" w:hAnsi="Verdana"/>
          <w:sz w:val="20"/>
          <w:szCs w:val="20"/>
        </w:rPr>
      </w:pPr>
      <w:r w:rsidRPr="00FC6219">
        <w:rPr>
          <w:rFonts w:ascii="Verdana" w:eastAsia="SimSun" w:hAnsi="Verdana" w:cs="Arial"/>
          <w:sz w:val="20"/>
          <w:szCs w:val="20"/>
          <w:lang w:val="es-CR" w:eastAsia="es-CR"/>
        </w:rPr>
        <w:t xml:space="preserve">La </w:t>
      </w:r>
      <w:r w:rsidRPr="00F834CA">
        <w:rPr>
          <w:rFonts w:ascii="Verdana" w:eastAsia="SimSun" w:hAnsi="Verdana" w:cs="Arial"/>
          <w:b/>
          <w:i/>
          <w:sz w:val="20"/>
          <w:szCs w:val="20"/>
          <w:lang w:val="es-CR" w:eastAsia="es-CR"/>
        </w:rPr>
        <w:t>Comisión</w:t>
      </w:r>
      <w:r w:rsidRPr="00FC6219">
        <w:rPr>
          <w:rFonts w:ascii="Verdana" w:eastAsia="SimSun" w:hAnsi="Verdana" w:cs="Arial"/>
          <w:sz w:val="20"/>
          <w:szCs w:val="20"/>
          <w:lang w:val="es-CR" w:eastAsia="es-CR"/>
        </w:rPr>
        <w:t xml:space="preserve"> alegó que el Estado violó las garantías y la protección judicial (artículos 8.1</w:t>
      </w:r>
      <w:r w:rsidRPr="00FC6219">
        <w:rPr>
          <w:rFonts w:ascii="Times New Roman" w:hAnsi="Times New Roman" w:cs="Times New Roman"/>
          <w:sz w:val="20"/>
          <w:szCs w:val="20"/>
          <w:lang w:eastAsia="es-MX"/>
        </w:rPr>
        <w:t xml:space="preserve"> </w:t>
      </w:r>
      <w:r w:rsidRPr="00FC6219">
        <w:rPr>
          <w:rFonts w:ascii="Verdana" w:eastAsia="SimSun" w:hAnsi="Verdana" w:cs="Arial"/>
          <w:sz w:val="20"/>
          <w:szCs w:val="20"/>
          <w:lang w:val="es-CR" w:eastAsia="es-CR"/>
        </w:rPr>
        <w:t xml:space="preserve">y </w:t>
      </w:r>
      <w:r w:rsidRPr="00FC6219">
        <w:rPr>
          <w:rFonts w:ascii="Verdana" w:eastAsia="SimSun" w:hAnsi="Verdana" w:cs="Arial"/>
          <w:sz w:val="20"/>
          <w:szCs w:val="20"/>
          <w:lang w:val="es-CR" w:eastAsia="es-CR"/>
        </w:rPr>
        <w:lastRenderedPageBreak/>
        <w:t xml:space="preserve">25.1 de la Convención) en relación con la obligación de respetar los derechos humanos y el deber de adoptar disposiciones de derecho interno (artículos 1.1 y 2 de la Convención) y el artículo I.b) y IX de la Convención Interamericana sobre Desaparición Forzada de Personas. </w:t>
      </w:r>
      <w:r>
        <w:rPr>
          <w:rFonts w:ascii="Verdana" w:eastAsia="SimSun" w:hAnsi="Verdana" w:cs="Arial"/>
          <w:sz w:val="20"/>
          <w:szCs w:val="20"/>
          <w:lang w:val="es-CR" w:eastAsia="es-CR"/>
        </w:rPr>
        <w:t xml:space="preserve">En primer lugar, </w:t>
      </w:r>
      <w:r w:rsidRPr="00FC6219">
        <w:rPr>
          <w:rFonts w:ascii="Verdana" w:hAnsi="Verdana"/>
          <w:sz w:val="20"/>
          <w:szCs w:val="20"/>
        </w:rPr>
        <w:t>observó que la demanda de amparo presentada por José Ángel Alvarado Fa</w:t>
      </w:r>
      <w:r w:rsidR="00B82930">
        <w:rPr>
          <w:rFonts w:ascii="Verdana" w:hAnsi="Verdana"/>
          <w:sz w:val="20"/>
          <w:szCs w:val="20"/>
        </w:rPr>
        <w:t>b</w:t>
      </w:r>
      <w:r w:rsidRPr="00FC6219">
        <w:rPr>
          <w:rFonts w:ascii="Verdana" w:hAnsi="Verdana"/>
          <w:sz w:val="20"/>
          <w:szCs w:val="20"/>
        </w:rPr>
        <w:t>ela “no activó una búsqueda inmediata”, además, dicho recurso fue desechado por no haber sido ratificado por las víctimas. Por otra parte, alegó que la falta de investigación de los hechos como una desaparición forzada impactó la misma, afectando la diligencia e inmediatez requerida en estos casos</w:t>
      </w:r>
      <w:r w:rsidR="00DC394A" w:rsidRPr="00201EE6">
        <w:rPr>
          <w:rFonts w:ascii="Verdana" w:hAnsi="Verdana"/>
          <w:sz w:val="20"/>
          <w:szCs w:val="20"/>
        </w:rPr>
        <w:t>;</w:t>
      </w:r>
      <w:r w:rsidR="00DC394A">
        <w:rPr>
          <w:rFonts w:ascii="Verdana" w:hAnsi="Verdana"/>
          <w:sz w:val="20"/>
          <w:szCs w:val="20"/>
        </w:rPr>
        <w:t xml:space="preserve"> c</w:t>
      </w:r>
      <w:r w:rsidRPr="00FC6219">
        <w:rPr>
          <w:rFonts w:ascii="Verdana" w:hAnsi="Verdana"/>
          <w:sz w:val="20"/>
          <w:szCs w:val="20"/>
        </w:rPr>
        <w:t>uestión que, en parte, atribuyó a la falta de legislación en dicha materia.</w:t>
      </w:r>
    </w:p>
    <w:p w14:paraId="64AA6054" w14:textId="2DDFE935" w:rsidR="00201EE6" w:rsidRPr="00813B72" w:rsidRDefault="005E68E6" w:rsidP="00432ABC">
      <w:pPr>
        <w:widowControl w:val="0"/>
        <w:numPr>
          <w:ilvl w:val="0"/>
          <w:numId w:val="4"/>
        </w:numPr>
        <w:tabs>
          <w:tab w:val="left" w:pos="567"/>
        </w:tabs>
        <w:autoSpaceDE w:val="0"/>
        <w:autoSpaceDN w:val="0"/>
        <w:adjustRightInd w:val="0"/>
        <w:spacing w:before="120" w:after="120" w:line="240" w:lineRule="auto"/>
        <w:ind w:left="0" w:firstLine="0"/>
        <w:jc w:val="both"/>
        <w:textAlignment w:val="baseline"/>
        <w:rPr>
          <w:rFonts w:ascii="Verdana" w:eastAsia="SimSun" w:hAnsi="Verdana" w:cs="Arial"/>
          <w:sz w:val="20"/>
          <w:szCs w:val="20"/>
          <w:lang w:val="es-CR" w:eastAsia="es-CR"/>
        </w:rPr>
      </w:pPr>
      <w:r>
        <w:rPr>
          <w:rFonts w:ascii="Verdana" w:hAnsi="Verdana"/>
          <w:sz w:val="20"/>
          <w:szCs w:val="20"/>
        </w:rPr>
        <w:t>La Comisión a</w:t>
      </w:r>
      <w:r w:rsidR="00903628" w:rsidRPr="00C45A4E">
        <w:rPr>
          <w:rFonts w:ascii="Verdana" w:hAnsi="Verdana"/>
          <w:sz w:val="20"/>
          <w:szCs w:val="20"/>
        </w:rPr>
        <w:t xml:space="preserve">rgumentó, que el Estado incumplió el deber de investigar con la debida diligencia la alegada desaparición. Al respecto, señaló que hubo una falta de una respuesta inmediata, pues el Estado no inició </w:t>
      </w:r>
      <w:r w:rsidR="00903628" w:rsidRPr="00C45A4E">
        <w:rPr>
          <w:rFonts w:ascii="Verdana" w:hAnsi="Verdana"/>
          <w:i/>
          <w:sz w:val="20"/>
          <w:szCs w:val="20"/>
        </w:rPr>
        <w:t xml:space="preserve">ex officio </w:t>
      </w:r>
      <w:r w:rsidR="00903628" w:rsidRPr="00C45A4E">
        <w:rPr>
          <w:rFonts w:ascii="Verdana" w:hAnsi="Verdana"/>
          <w:sz w:val="20"/>
          <w:szCs w:val="20"/>
        </w:rPr>
        <w:t xml:space="preserve">y sin dilación, una investigación seria, imparcial y efectiva. Además, señaló que el caso fue sometido a la jurisdicción militar durante un lapso de un año y diez meses </w:t>
      </w:r>
      <w:r w:rsidR="00DC394A" w:rsidRPr="00201EE6">
        <w:rPr>
          <w:rFonts w:ascii="Verdana" w:hAnsi="Verdana"/>
          <w:sz w:val="20"/>
          <w:szCs w:val="20"/>
        </w:rPr>
        <w:t>–</w:t>
      </w:r>
      <w:r w:rsidR="00903628" w:rsidRPr="00C45A4E">
        <w:rPr>
          <w:rFonts w:ascii="Verdana" w:hAnsi="Verdana"/>
          <w:sz w:val="20"/>
          <w:szCs w:val="20"/>
        </w:rPr>
        <w:t>con base en el artículo 57.II.a del Código de Justicia Militar vigente en ese momento</w:t>
      </w:r>
      <w:r w:rsidR="00DC394A" w:rsidRPr="00201EE6">
        <w:rPr>
          <w:rFonts w:ascii="Verdana" w:hAnsi="Verdana"/>
          <w:sz w:val="20"/>
          <w:szCs w:val="20"/>
        </w:rPr>
        <w:t>–</w:t>
      </w:r>
      <w:r w:rsidR="00903628" w:rsidRPr="00C45A4E">
        <w:rPr>
          <w:rFonts w:ascii="Verdana" w:hAnsi="Verdana"/>
          <w:sz w:val="20"/>
          <w:szCs w:val="20"/>
        </w:rPr>
        <w:t xml:space="preserve"> a pesar de que esta Corte ha sostenido que el conocimiento de crímenes que acarrean violaciones de derechos humanos por autoridades militares “es </w:t>
      </w:r>
      <w:r w:rsidR="00903628" w:rsidRPr="00C45A4E">
        <w:rPr>
          <w:rFonts w:ascii="Verdana" w:hAnsi="Verdana"/>
          <w:i/>
          <w:sz w:val="20"/>
          <w:szCs w:val="20"/>
        </w:rPr>
        <w:t>per se</w:t>
      </w:r>
      <w:r w:rsidR="00903628" w:rsidRPr="00C45A4E">
        <w:rPr>
          <w:rFonts w:ascii="Verdana" w:hAnsi="Verdana"/>
          <w:sz w:val="20"/>
          <w:szCs w:val="20"/>
        </w:rPr>
        <w:t xml:space="preserve"> contrario al derecho de las víctimas o sus familiares a ser oídos por un tribunal competente, independiente e imparcial”. También,</w:t>
      </w:r>
      <w:r w:rsidR="00903628" w:rsidRPr="00C45A4E">
        <w:rPr>
          <w:rFonts w:ascii="Verdana" w:eastAsia="SimSun" w:hAnsi="Verdana" w:cs="Arial"/>
          <w:sz w:val="20"/>
          <w:szCs w:val="20"/>
          <w:lang w:val="es-CR" w:eastAsia="es-CR"/>
        </w:rPr>
        <w:t xml:space="preserve"> hizo notar deficiencias en la forma en la que las autoridades estatales llevaron a cabo las investigaciones, y que incidieron en la falta de resultados concretos. Además, argumentó que “cuando han surgido elementos que requerían de una respuesta inmediata como la llamada presuntamente de Nitza Paola […] las autoridades a cargo de la investigación demoraron injustificadamente la práctica de pruebas y el análisis de resultados”.</w:t>
      </w:r>
      <w:r w:rsidR="00903628">
        <w:rPr>
          <w:rFonts w:ascii="Verdana" w:eastAsia="SimSun" w:hAnsi="Verdana" w:cs="Arial"/>
          <w:sz w:val="20"/>
          <w:szCs w:val="20"/>
          <w:lang w:val="es-CR" w:eastAsia="es-CR"/>
        </w:rPr>
        <w:t xml:space="preserve"> </w:t>
      </w:r>
      <w:r w:rsidR="00903628" w:rsidRPr="00B2077F">
        <w:rPr>
          <w:rFonts w:ascii="Verdana" w:eastAsia="SimSun" w:hAnsi="Verdana" w:cs="Arial"/>
          <w:sz w:val="20"/>
          <w:szCs w:val="20"/>
          <w:lang w:val="es-CR" w:eastAsia="es-CR"/>
        </w:rPr>
        <w:t xml:space="preserve">Por último, señaló que desde que el Estado tuvo conocimiento de los hechos a la fecha han transcurrido </w:t>
      </w:r>
      <w:r w:rsidR="00903628">
        <w:rPr>
          <w:rFonts w:ascii="Verdana" w:eastAsia="SimSun" w:hAnsi="Verdana" w:cs="Arial"/>
          <w:sz w:val="20"/>
          <w:szCs w:val="20"/>
          <w:lang w:val="es-CR" w:eastAsia="es-CR"/>
        </w:rPr>
        <w:t>más de ocho años</w:t>
      </w:r>
      <w:r w:rsidR="00903628" w:rsidRPr="00B2077F">
        <w:rPr>
          <w:rFonts w:ascii="Verdana" w:eastAsia="SimSun" w:hAnsi="Verdana" w:cs="Arial"/>
          <w:sz w:val="20"/>
          <w:szCs w:val="20"/>
          <w:lang w:val="es-CR" w:eastAsia="es-CR"/>
        </w:rPr>
        <w:t>, en los que existieron varios periodos de inactividad</w:t>
      </w:r>
      <w:r w:rsidR="00903628" w:rsidRPr="00B2077F">
        <w:rPr>
          <w:rFonts w:ascii="Verdana" w:eastAsia="SimSun" w:hAnsi="Verdana" w:cs="Arial"/>
          <w:sz w:val="20"/>
          <w:szCs w:val="20"/>
          <w:vertAlign w:val="superscript"/>
          <w:lang w:val="es-CR" w:eastAsia="es-CR"/>
        </w:rPr>
        <w:footnoteReference w:id="438"/>
      </w:r>
      <w:r w:rsidR="00903628" w:rsidRPr="00B2077F">
        <w:rPr>
          <w:rFonts w:ascii="Verdana" w:eastAsia="SimSun" w:hAnsi="Verdana" w:cs="Arial"/>
          <w:sz w:val="20"/>
          <w:szCs w:val="20"/>
          <w:lang w:val="es-CR" w:eastAsia="es-CR"/>
        </w:rPr>
        <w:t xml:space="preserve"> y en los que “autoridades en el marco de la justicia penal militar obstaculizaron en varias oportunidades la práctica de prueba relacionada con la posible responsabilidad del Ejército en los hechos”, sin que el Estado hubiera podido demostrar las razones por las cuales la complejidad del caso ha afectado el desarrollo de las investigaciones</w:t>
      </w:r>
      <w:r w:rsidR="00903628">
        <w:rPr>
          <w:rFonts w:ascii="Verdana" w:eastAsia="SimSun" w:hAnsi="Verdana" w:cs="Arial"/>
          <w:sz w:val="20"/>
          <w:szCs w:val="20"/>
          <w:lang w:val="es-CR" w:eastAsia="es-CR"/>
        </w:rPr>
        <w:t>, por lo</w:t>
      </w:r>
      <w:r w:rsidR="00903628" w:rsidRPr="00B2077F">
        <w:rPr>
          <w:rFonts w:ascii="Verdana" w:eastAsia="SimSun" w:hAnsi="Verdana" w:cs="Arial"/>
          <w:sz w:val="20"/>
          <w:szCs w:val="20"/>
          <w:lang w:val="es-CR" w:eastAsia="es-CR"/>
        </w:rPr>
        <w:t xml:space="preserve"> que el Estado incumplió con la garantía de plazo razonable en la investigación de la alegada desaparición.</w:t>
      </w:r>
    </w:p>
    <w:p w14:paraId="64AA6056" w14:textId="653F812A" w:rsidR="00201EE6" w:rsidRPr="00813B72" w:rsidRDefault="00903628" w:rsidP="00432ABC">
      <w:pPr>
        <w:widowControl w:val="0"/>
        <w:numPr>
          <w:ilvl w:val="0"/>
          <w:numId w:val="4"/>
        </w:numPr>
        <w:tabs>
          <w:tab w:val="left" w:pos="567"/>
        </w:tabs>
        <w:autoSpaceDE w:val="0"/>
        <w:autoSpaceDN w:val="0"/>
        <w:adjustRightInd w:val="0"/>
        <w:spacing w:before="120" w:after="120" w:line="240" w:lineRule="auto"/>
        <w:ind w:left="0" w:firstLine="0"/>
        <w:jc w:val="both"/>
        <w:textAlignment w:val="baseline"/>
        <w:rPr>
          <w:rFonts w:ascii="Verdana" w:eastAsia="SimSun" w:hAnsi="Verdana" w:cs="Arial"/>
          <w:sz w:val="20"/>
          <w:szCs w:val="20"/>
          <w:lang w:val="es-CR" w:eastAsia="es-CR"/>
        </w:rPr>
      </w:pPr>
      <w:r w:rsidRPr="00201EE6">
        <w:rPr>
          <w:rFonts w:ascii="Verdana" w:hAnsi="Verdana"/>
          <w:sz w:val="20"/>
          <w:szCs w:val="20"/>
        </w:rPr>
        <w:t xml:space="preserve">Las </w:t>
      </w:r>
      <w:r w:rsidRPr="00F834CA">
        <w:rPr>
          <w:rFonts w:ascii="Verdana" w:hAnsi="Verdana"/>
          <w:b/>
          <w:i/>
          <w:sz w:val="20"/>
          <w:szCs w:val="20"/>
        </w:rPr>
        <w:t>Representantes</w:t>
      </w:r>
      <w:r w:rsidRPr="00201EE6">
        <w:rPr>
          <w:rFonts w:ascii="Verdana" w:hAnsi="Verdana"/>
          <w:sz w:val="20"/>
          <w:szCs w:val="20"/>
        </w:rPr>
        <w:t xml:space="preserve"> coincidieron con la Comisión respecto a que “el Estado ha violado el derecho de las víctimas a obtener justicia mediante una investigación adecuada y diligente, que conlleve a la ubicación de su paradero”; que el Estado no garantizó el acceso de las víctimas “a recursos jurídicos efectivos que los ampararan contra la violación a sus derechos humanos” por lo que solicitaron “armonizar la Ley de Amparo con la LGDF y […] asegurar que los jueces de </w:t>
      </w:r>
      <w:r w:rsidR="005E68E6">
        <w:rPr>
          <w:rFonts w:ascii="Verdana" w:hAnsi="Verdana"/>
          <w:sz w:val="20"/>
          <w:szCs w:val="20"/>
        </w:rPr>
        <w:t>d</w:t>
      </w:r>
      <w:r w:rsidRPr="00201EE6">
        <w:rPr>
          <w:rFonts w:ascii="Verdana" w:hAnsi="Verdana"/>
          <w:sz w:val="20"/>
          <w:szCs w:val="20"/>
        </w:rPr>
        <w:t xml:space="preserve">istrito cuenten con recursos para emprender operaciones de búsqueda eficaces, que no se limiten a la tramitación de oficios administrativos”; </w:t>
      </w:r>
      <w:r w:rsidRPr="00201EE6">
        <w:rPr>
          <w:rFonts w:ascii="Verdana" w:hAnsi="Verdana" w:cs="Helvetica"/>
          <w:sz w:val="20"/>
          <w:szCs w:val="20"/>
        </w:rPr>
        <w:t>que</w:t>
      </w:r>
      <w:r w:rsidRPr="00201EE6">
        <w:rPr>
          <w:rFonts w:ascii="Verdana" w:hAnsi="Verdana"/>
          <w:sz w:val="20"/>
          <w:szCs w:val="20"/>
        </w:rPr>
        <w:t xml:space="preserve"> “el Estado Mexicano no cumplió con su obligación […] para el avance de acciones de búsqueda inmediata”,</w:t>
      </w:r>
      <w:r w:rsidRPr="00201EE6">
        <w:rPr>
          <w:rFonts w:ascii="Verdana" w:eastAsia="SimSun" w:hAnsi="Verdana" w:cs="Arial"/>
          <w:sz w:val="20"/>
          <w:szCs w:val="20"/>
          <w:lang w:val="es-CR" w:eastAsia="es-CR"/>
        </w:rPr>
        <w:t xml:space="preserve"> destacando que no resguardaron la escena del crimen, ni recolectaron evidencia, así como tampoco investigaron la totalidad de los hechos, ni recabaron oportunamente todas las declaraciones de testigos.</w:t>
      </w:r>
      <w:r w:rsidR="003335FE">
        <w:rPr>
          <w:rFonts w:ascii="Verdana" w:hAnsi="Verdana"/>
          <w:sz w:val="20"/>
          <w:szCs w:val="20"/>
        </w:rPr>
        <w:t xml:space="preserve"> </w:t>
      </w:r>
      <w:r w:rsidRPr="00201EE6">
        <w:rPr>
          <w:rFonts w:ascii="Verdana" w:eastAsia="SimSun" w:hAnsi="Verdana" w:cs="Arial"/>
          <w:sz w:val="20"/>
          <w:szCs w:val="20"/>
          <w:lang w:val="es-CR" w:eastAsia="es-CR"/>
        </w:rPr>
        <w:t>Señalaron que la investigación llevada a cabo por el Estado fue fragmentada, negligente y parcial. Para demostrar su argumento señalaron que: a) salvo las acciones realizadas por un par de agentes</w:t>
      </w:r>
      <w:r>
        <w:rPr>
          <w:rStyle w:val="FootnoteReference"/>
          <w:rFonts w:ascii="Verdana" w:eastAsia="SimSun" w:hAnsi="Verdana" w:cs="Arial"/>
          <w:sz w:val="20"/>
          <w:szCs w:val="20"/>
          <w:lang w:val="es-CR" w:eastAsia="es-CR"/>
        </w:rPr>
        <w:footnoteReference w:id="439"/>
      </w:r>
      <w:r w:rsidRPr="00201EE6">
        <w:rPr>
          <w:rFonts w:ascii="Verdana" w:eastAsia="SimSun" w:hAnsi="Verdana" w:cs="Arial"/>
          <w:sz w:val="20"/>
          <w:szCs w:val="20"/>
          <w:lang w:val="es-CR" w:eastAsia="es-CR"/>
        </w:rPr>
        <w:t>, no se llevaron a cabo acciones inmediatas de búsqueda (especialmente por parte de las autoridades ministeriales); b) no existió protección inmediata de los testigos; c) la búsqueda en vida se limitó a un intercambio de oficios interinstitucionales; d) se han realizado en total 15 diligencias de búsqueda en campo, la mayoría entre los años 2013 a 2015; y, e) no se investigó con seriedad la presunta llamada telefónica de Nitza Paola, pues se desestimó alegando que se había tratado de una llamada extorsiva a pesar de que no se exigió alguna retribución económica</w:t>
      </w:r>
      <w:r w:rsidR="00201EE6">
        <w:rPr>
          <w:rFonts w:ascii="Verdana" w:eastAsia="SimSun" w:hAnsi="Verdana" w:cs="Arial"/>
          <w:sz w:val="20"/>
          <w:szCs w:val="20"/>
          <w:lang w:val="es-CR" w:eastAsia="es-CR"/>
        </w:rPr>
        <w:t>.</w:t>
      </w:r>
    </w:p>
    <w:p w14:paraId="712023ED" w14:textId="002F20FC" w:rsidR="00AF6974" w:rsidRPr="00813B72" w:rsidRDefault="00903628" w:rsidP="002C462C">
      <w:pPr>
        <w:widowControl w:val="0"/>
        <w:numPr>
          <w:ilvl w:val="0"/>
          <w:numId w:val="4"/>
        </w:numPr>
        <w:tabs>
          <w:tab w:val="left" w:pos="567"/>
        </w:tabs>
        <w:autoSpaceDE w:val="0"/>
        <w:autoSpaceDN w:val="0"/>
        <w:adjustRightInd w:val="0"/>
        <w:spacing w:before="120" w:after="120" w:line="240" w:lineRule="auto"/>
        <w:ind w:left="0" w:firstLine="0"/>
        <w:jc w:val="both"/>
        <w:textAlignment w:val="baseline"/>
        <w:rPr>
          <w:rFonts w:ascii="Verdana" w:eastAsia="SimSun" w:hAnsi="Verdana" w:cs="Arial"/>
          <w:sz w:val="20"/>
          <w:szCs w:val="20"/>
          <w:lang w:val="es-CR" w:eastAsia="es-CR"/>
        </w:rPr>
      </w:pPr>
      <w:r w:rsidRPr="00201EE6">
        <w:rPr>
          <w:rFonts w:ascii="Verdana" w:hAnsi="Verdana"/>
          <w:sz w:val="20"/>
          <w:szCs w:val="20"/>
        </w:rPr>
        <w:lastRenderedPageBreak/>
        <w:t xml:space="preserve">En ese sentido, consideraron que –respecto de Nitza Paola y Rocío Irene– “su condición de género las colocaba en una situación de vulnerabilidad que se agudiza frente a las </w:t>
      </w:r>
      <w:r w:rsidR="00DC394A">
        <w:rPr>
          <w:rFonts w:ascii="Verdana" w:hAnsi="Verdana"/>
          <w:sz w:val="20"/>
          <w:szCs w:val="20"/>
        </w:rPr>
        <w:t>f</w:t>
      </w:r>
      <w:r w:rsidRPr="00201EE6">
        <w:rPr>
          <w:rFonts w:ascii="Verdana" w:hAnsi="Verdana"/>
          <w:sz w:val="20"/>
          <w:szCs w:val="20"/>
        </w:rPr>
        <w:t xml:space="preserve">uerzas </w:t>
      </w:r>
      <w:r w:rsidR="00DC394A">
        <w:rPr>
          <w:rFonts w:ascii="Verdana" w:hAnsi="Verdana"/>
          <w:sz w:val="20"/>
          <w:szCs w:val="20"/>
        </w:rPr>
        <w:t>a</w:t>
      </w:r>
      <w:r w:rsidRPr="00201EE6">
        <w:rPr>
          <w:rFonts w:ascii="Verdana" w:hAnsi="Verdana"/>
          <w:sz w:val="20"/>
          <w:szCs w:val="20"/>
        </w:rPr>
        <w:t xml:space="preserve">rmadas en el contexto de violencia generalizada contra las mujeres en el país”. En ese sentido consideraron que, </w:t>
      </w:r>
      <w:r w:rsidRPr="00201EE6">
        <w:rPr>
          <w:rFonts w:ascii="Verdana" w:hAnsi="Verdana" w:cs="Helvetica"/>
          <w:sz w:val="20"/>
          <w:szCs w:val="20"/>
        </w:rPr>
        <w:t xml:space="preserve">al </w:t>
      </w:r>
      <w:r w:rsidRPr="00201EE6">
        <w:rPr>
          <w:rFonts w:ascii="Verdana" w:hAnsi="Verdana"/>
          <w:sz w:val="20"/>
          <w:szCs w:val="20"/>
        </w:rPr>
        <w:t>no haber adoptado medidas de prevención y protección adecuadas, el Estado violó los derechos establecidos en los artículos 8.1 y 1.1 de la Convención</w:t>
      </w:r>
      <w:r w:rsidR="00DC394A">
        <w:rPr>
          <w:rFonts w:ascii="Verdana" w:hAnsi="Verdana"/>
          <w:sz w:val="20"/>
          <w:szCs w:val="20"/>
        </w:rPr>
        <w:t>,</w:t>
      </w:r>
      <w:r w:rsidRPr="00201EE6">
        <w:rPr>
          <w:rFonts w:ascii="Verdana" w:hAnsi="Verdana"/>
          <w:sz w:val="20"/>
          <w:szCs w:val="20"/>
        </w:rPr>
        <w:t xml:space="preserve"> en relación con  el artículo 7 de la Convención Interamericana para prevenir, sancionar y erradicar la violencia contra la mujer (Convención de Belem do Pará) en </w:t>
      </w:r>
      <w:r w:rsidR="00DC394A">
        <w:rPr>
          <w:rFonts w:ascii="Verdana" w:hAnsi="Verdana"/>
          <w:sz w:val="20"/>
          <w:szCs w:val="20"/>
        </w:rPr>
        <w:t xml:space="preserve">su </w:t>
      </w:r>
      <w:r w:rsidRPr="00201EE6">
        <w:rPr>
          <w:rFonts w:ascii="Verdana" w:hAnsi="Verdana"/>
          <w:sz w:val="20"/>
          <w:szCs w:val="20"/>
        </w:rPr>
        <w:t>perjuicio</w:t>
      </w:r>
      <w:r w:rsidR="00DC394A">
        <w:rPr>
          <w:rFonts w:ascii="Verdana" w:hAnsi="Verdana"/>
          <w:sz w:val="20"/>
          <w:szCs w:val="20"/>
        </w:rPr>
        <w:t>.</w:t>
      </w:r>
    </w:p>
    <w:p w14:paraId="64AA605A" w14:textId="7E7241FC" w:rsidR="00201EE6" w:rsidRPr="00813B72" w:rsidRDefault="00903628" w:rsidP="002C462C">
      <w:pPr>
        <w:widowControl w:val="0"/>
        <w:numPr>
          <w:ilvl w:val="0"/>
          <w:numId w:val="4"/>
        </w:numPr>
        <w:tabs>
          <w:tab w:val="left" w:pos="567"/>
        </w:tabs>
        <w:autoSpaceDE w:val="0"/>
        <w:autoSpaceDN w:val="0"/>
        <w:adjustRightInd w:val="0"/>
        <w:spacing w:before="120" w:after="120" w:line="240" w:lineRule="auto"/>
        <w:ind w:left="0" w:firstLine="0"/>
        <w:jc w:val="both"/>
        <w:textAlignment w:val="baseline"/>
        <w:rPr>
          <w:rFonts w:ascii="Verdana" w:eastAsia="SimSun" w:hAnsi="Verdana" w:cs="Arial"/>
          <w:sz w:val="20"/>
          <w:szCs w:val="20"/>
          <w:lang w:val="es-CR" w:eastAsia="es-CR"/>
        </w:rPr>
      </w:pPr>
      <w:r w:rsidRPr="00201EE6">
        <w:rPr>
          <w:rFonts w:ascii="Verdana" w:hAnsi="Verdana"/>
          <w:sz w:val="20"/>
          <w:szCs w:val="20"/>
        </w:rPr>
        <w:t xml:space="preserve">El </w:t>
      </w:r>
      <w:r w:rsidRPr="00F834CA">
        <w:rPr>
          <w:rFonts w:ascii="Verdana" w:hAnsi="Verdana"/>
          <w:b/>
          <w:i/>
          <w:sz w:val="20"/>
          <w:szCs w:val="20"/>
        </w:rPr>
        <w:t>Estado</w:t>
      </w:r>
      <w:r w:rsidRPr="00201EE6">
        <w:rPr>
          <w:rFonts w:ascii="Verdana" w:hAnsi="Verdana"/>
          <w:sz w:val="20"/>
          <w:szCs w:val="20"/>
        </w:rPr>
        <w:t xml:space="preserve"> por su parte, reconoció su responsabilidad respecto de deficiencias legislativas alegadas y por el conocimiento del caso por autoridades de la justicia militar, pero las consideró como subsanadas (</w:t>
      </w:r>
      <w:r w:rsidRPr="00201EE6">
        <w:rPr>
          <w:rFonts w:ascii="Verdana" w:hAnsi="Verdana"/>
          <w:i/>
          <w:sz w:val="20"/>
          <w:szCs w:val="20"/>
        </w:rPr>
        <w:t>supra</w:t>
      </w:r>
      <w:r w:rsidRPr="00201EE6">
        <w:rPr>
          <w:rFonts w:ascii="Verdana" w:hAnsi="Verdana"/>
          <w:sz w:val="20"/>
          <w:szCs w:val="20"/>
        </w:rPr>
        <w:t xml:space="preserve"> párrs. 1</w:t>
      </w:r>
      <w:r w:rsidR="00E879B2">
        <w:rPr>
          <w:rFonts w:ascii="Verdana" w:hAnsi="Verdana"/>
          <w:sz w:val="20"/>
          <w:szCs w:val="20"/>
        </w:rPr>
        <w:t>9</w:t>
      </w:r>
      <w:r w:rsidRPr="00201EE6">
        <w:rPr>
          <w:rFonts w:ascii="Verdana" w:hAnsi="Verdana"/>
          <w:sz w:val="20"/>
          <w:szCs w:val="20"/>
        </w:rPr>
        <w:t xml:space="preserve"> a 2</w:t>
      </w:r>
      <w:r w:rsidR="00E879B2">
        <w:rPr>
          <w:rFonts w:ascii="Verdana" w:hAnsi="Verdana"/>
          <w:sz w:val="20"/>
          <w:szCs w:val="20"/>
        </w:rPr>
        <w:t>2</w:t>
      </w:r>
      <w:r w:rsidRPr="00201EE6">
        <w:rPr>
          <w:rFonts w:ascii="Verdana" w:hAnsi="Verdana"/>
          <w:sz w:val="20"/>
          <w:szCs w:val="20"/>
        </w:rPr>
        <w:t>). Afirmó que</w:t>
      </w:r>
      <w:r w:rsidR="00E879B2">
        <w:rPr>
          <w:rFonts w:ascii="Verdana" w:hAnsi="Verdana"/>
          <w:sz w:val="20"/>
          <w:szCs w:val="20"/>
        </w:rPr>
        <w:t>,</w:t>
      </w:r>
      <w:r w:rsidRPr="00201EE6">
        <w:rPr>
          <w:rFonts w:ascii="Verdana" w:hAnsi="Verdana"/>
          <w:sz w:val="20"/>
          <w:szCs w:val="20"/>
        </w:rPr>
        <w:t xml:space="preserve"> </w:t>
      </w:r>
      <w:r w:rsidR="00DC394A" w:rsidRPr="00201EE6">
        <w:rPr>
          <w:rFonts w:ascii="Verdana" w:hAnsi="Verdana"/>
          <w:sz w:val="20"/>
          <w:szCs w:val="20"/>
        </w:rPr>
        <w:t>–</w:t>
      </w:r>
      <w:r w:rsidRPr="00201EE6">
        <w:rPr>
          <w:rFonts w:ascii="Verdana" w:hAnsi="Verdana"/>
          <w:sz w:val="20"/>
          <w:szCs w:val="20"/>
        </w:rPr>
        <w:t xml:space="preserve">contrario a lo señalado por la Comisión y las </w:t>
      </w:r>
      <w:r w:rsidR="00DC394A">
        <w:rPr>
          <w:rFonts w:ascii="Verdana" w:hAnsi="Verdana"/>
          <w:sz w:val="20"/>
          <w:szCs w:val="20"/>
        </w:rPr>
        <w:t>r</w:t>
      </w:r>
      <w:r w:rsidRPr="00201EE6">
        <w:rPr>
          <w:rFonts w:ascii="Verdana" w:hAnsi="Verdana"/>
          <w:sz w:val="20"/>
          <w:szCs w:val="20"/>
        </w:rPr>
        <w:t>epresentantes</w:t>
      </w:r>
      <w:r w:rsidR="00DC394A" w:rsidRPr="00201EE6">
        <w:rPr>
          <w:rFonts w:ascii="Verdana" w:hAnsi="Verdana"/>
          <w:sz w:val="20"/>
          <w:szCs w:val="20"/>
        </w:rPr>
        <w:t>–</w:t>
      </w:r>
      <w:r w:rsidRPr="00201EE6">
        <w:rPr>
          <w:rFonts w:ascii="Verdana" w:hAnsi="Verdana"/>
          <w:sz w:val="20"/>
          <w:szCs w:val="20"/>
        </w:rPr>
        <w:t xml:space="preserve"> las autoridades actuaron sin dilación, pues iniciaron las diligencias de investigación y acciones de búsqueda, de manera inmediata. Señaló que </w:t>
      </w:r>
      <w:r w:rsidRPr="00201EE6">
        <w:rPr>
          <w:rFonts w:ascii="Verdana" w:eastAsia="SimSun" w:hAnsi="Verdana" w:cs="Arial"/>
          <w:sz w:val="20"/>
          <w:szCs w:val="20"/>
          <w:lang w:val="es-CR" w:eastAsia="es-CR"/>
        </w:rPr>
        <w:t>la multiplicidad de investigaciones simultáneas derivaron de las distintas denuncias presentadas por los familiares ante diversas autoridades; que las declinaciones por incompetencia y acumulaciones de expedientes requieren de un estudio especializado, recaudación de pruebas y análisis de las competencias, por lo que requieren de tiempo; y que, si bien es cierto que las investigaciones no han arrojado resultados definitivos, “el Estado ha agotado todas las líneas lógicas para esclarecer los hechos”, a pesar la complejidad derivada de la presencia de grupos de la delincuencia organizada en la región y la utilización por parte de éstos de uniformes y armas de uso exclusivo del ejército para evadirse de la justicia. Argumentó, también, que “inició y continuó sus investigaciones tomando en cuenta</w:t>
      </w:r>
      <w:r w:rsidR="00DC394A">
        <w:rPr>
          <w:rFonts w:ascii="Verdana" w:eastAsia="SimSun" w:hAnsi="Verdana" w:cs="Arial"/>
          <w:sz w:val="20"/>
          <w:szCs w:val="20"/>
          <w:lang w:val="es-CR" w:eastAsia="es-CR"/>
        </w:rPr>
        <w:t>:</w:t>
      </w:r>
      <w:r w:rsidRPr="00201EE6">
        <w:rPr>
          <w:rFonts w:ascii="Verdana" w:eastAsia="SimSun" w:hAnsi="Verdana" w:cs="Arial"/>
          <w:sz w:val="20"/>
          <w:szCs w:val="20"/>
          <w:lang w:val="es-CR" w:eastAsia="es-CR"/>
        </w:rPr>
        <w:t xml:space="preserve"> 1) la complejidad de [los] hechos y el contexto en que ocurrieron; y 2) valoró los posibles patrones de violaciones de derechos humanos que, en otros casos, en esa época se habrían cometido”. Respecto de la presunta llamada telefónica de Nitza Paola, argumentó que la denuncia fue presentada diez días después de los hechos y que las autoridades federales tuvieron conocimiento de los mismos habiendo transcurrido 56 días, pero que a pesar de ello, la investigación fue exhaustiva.</w:t>
      </w:r>
    </w:p>
    <w:p w14:paraId="64AA605C" w14:textId="70712196" w:rsidR="00903628" w:rsidRPr="00813B72" w:rsidRDefault="00903628" w:rsidP="002C462C">
      <w:pPr>
        <w:widowControl w:val="0"/>
        <w:numPr>
          <w:ilvl w:val="0"/>
          <w:numId w:val="4"/>
        </w:numPr>
        <w:tabs>
          <w:tab w:val="left" w:pos="567"/>
        </w:tabs>
        <w:autoSpaceDE w:val="0"/>
        <w:autoSpaceDN w:val="0"/>
        <w:adjustRightInd w:val="0"/>
        <w:spacing w:before="120" w:after="120" w:line="240" w:lineRule="auto"/>
        <w:ind w:left="0" w:firstLine="0"/>
        <w:jc w:val="both"/>
        <w:textAlignment w:val="baseline"/>
        <w:rPr>
          <w:rFonts w:ascii="Verdana" w:eastAsia="SimSun" w:hAnsi="Verdana" w:cs="Arial"/>
          <w:sz w:val="20"/>
          <w:szCs w:val="20"/>
          <w:lang w:val="es-CR" w:eastAsia="es-CR"/>
        </w:rPr>
      </w:pPr>
      <w:r w:rsidRPr="00201EE6">
        <w:rPr>
          <w:rFonts w:ascii="Verdana" w:eastAsia="SimSun" w:hAnsi="Verdana" w:cs="Arial"/>
          <w:sz w:val="20"/>
          <w:szCs w:val="20"/>
          <w:lang w:val="es-CR" w:eastAsia="es-CR"/>
        </w:rPr>
        <w:t>El Estado concluyó que, atendiendo a la complejidad y gravedad de los hechos, ha sido diligente en sus investigaciones</w:t>
      </w:r>
      <w:r w:rsidR="00DC394A">
        <w:rPr>
          <w:rFonts w:ascii="Verdana" w:eastAsia="SimSun" w:hAnsi="Verdana" w:cs="Arial"/>
          <w:sz w:val="20"/>
          <w:szCs w:val="20"/>
          <w:lang w:val="es-CR" w:eastAsia="es-CR"/>
        </w:rPr>
        <w:t>,</w:t>
      </w:r>
      <w:r w:rsidRPr="00201EE6">
        <w:rPr>
          <w:rFonts w:ascii="Verdana" w:eastAsia="SimSun" w:hAnsi="Verdana" w:cs="Arial"/>
          <w:sz w:val="20"/>
          <w:szCs w:val="20"/>
          <w:lang w:val="es-CR" w:eastAsia="es-CR"/>
        </w:rPr>
        <w:t xml:space="preserve"> lo que no se ha incumplido por no haber obtenido un resultado satisfactorio, pues la obligación de llevar a cabo una investigación es de medios y no de resultados; y que dadas las circunstancias particulares, tampoco debe considerársele “responsable internacionalmente por haber cometido violaciones a la garantía procesal sobre el plazo razonable”. </w:t>
      </w:r>
    </w:p>
    <w:p w14:paraId="64AA605E" w14:textId="7EDD03F0" w:rsidR="00903628" w:rsidRPr="00813B72" w:rsidRDefault="00556FDB">
      <w:pPr>
        <w:pStyle w:val="Heading2"/>
        <w:numPr>
          <w:ilvl w:val="0"/>
          <w:numId w:val="18"/>
        </w:numPr>
        <w:spacing w:before="120" w:after="120"/>
      </w:pPr>
      <w:bookmarkStart w:id="233" w:name="_Toc522815025"/>
      <w:bookmarkStart w:id="234" w:name="_Toc526774167"/>
      <w:bookmarkStart w:id="235" w:name="_Toc526777499"/>
      <w:bookmarkStart w:id="236" w:name="_Toc526783793"/>
      <w:r>
        <w:t xml:space="preserve"> </w:t>
      </w:r>
      <w:bookmarkStart w:id="237" w:name="_Toc532995377"/>
      <w:r w:rsidR="00903628" w:rsidRPr="00F834CA">
        <w:t>Consideraciones de la Corte</w:t>
      </w:r>
      <w:bookmarkEnd w:id="233"/>
      <w:bookmarkEnd w:id="234"/>
      <w:bookmarkEnd w:id="235"/>
      <w:bookmarkEnd w:id="236"/>
      <w:bookmarkEnd w:id="237"/>
    </w:p>
    <w:p w14:paraId="64AA6060" w14:textId="53C6E0AC" w:rsidR="00201EE6" w:rsidRPr="00813B72" w:rsidRDefault="00DB421A" w:rsidP="00DB378B">
      <w:pPr>
        <w:widowControl w:val="0"/>
        <w:numPr>
          <w:ilvl w:val="0"/>
          <w:numId w:val="4"/>
        </w:numPr>
        <w:tabs>
          <w:tab w:val="left" w:pos="567"/>
        </w:tabs>
        <w:autoSpaceDE w:val="0"/>
        <w:autoSpaceDN w:val="0"/>
        <w:adjustRightInd w:val="0"/>
        <w:spacing w:before="120" w:after="120" w:line="240" w:lineRule="auto"/>
        <w:ind w:left="0" w:firstLine="0"/>
        <w:jc w:val="both"/>
        <w:textAlignment w:val="baseline"/>
        <w:rPr>
          <w:rFonts w:ascii="Verdana" w:eastAsia="SimSun" w:hAnsi="Verdana" w:cs="Arial"/>
          <w:sz w:val="20"/>
          <w:szCs w:val="20"/>
          <w:lang w:val="es-CR" w:eastAsia="es-CR"/>
        </w:rPr>
      </w:pPr>
      <w:r>
        <w:rPr>
          <w:rFonts w:ascii="Verdana" w:eastAsia="SimSun" w:hAnsi="Verdana" w:cs="Arial"/>
          <w:sz w:val="20"/>
          <w:szCs w:val="20"/>
          <w:lang w:val="es-CR" w:eastAsia="es-CR"/>
        </w:rPr>
        <w:t>D</w:t>
      </w:r>
      <w:r w:rsidR="00903628" w:rsidRPr="0045518D">
        <w:rPr>
          <w:rFonts w:ascii="Verdana" w:eastAsia="SimSun" w:hAnsi="Verdana" w:cs="Arial"/>
          <w:sz w:val="20"/>
          <w:szCs w:val="20"/>
          <w:lang w:val="es-CR" w:eastAsia="es-CR"/>
        </w:rPr>
        <w:t>esde su primera sentencia esta Corte ha destacado la importancia del deber estatal de investigar y sancionar las violaciones de derechos humanos</w:t>
      </w:r>
      <w:r w:rsidR="00903628" w:rsidRPr="00461A40">
        <w:rPr>
          <w:rFonts w:ascii="Verdana" w:eastAsia="SimSun" w:hAnsi="Verdana" w:cs="Arial"/>
          <w:sz w:val="20"/>
          <w:szCs w:val="20"/>
          <w:vertAlign w:val="superscript"/>
          <w:lang w:val="es-CR" w:eastAsia="es-CR"/>
        </w:rPr>
        <w:footnoteReference w:id="440"/>
      </w:r>
      <w:r w:rsidR="00903628" w:rsidRPr="0045518D">
        <w:rPr>
          <w:rFonts w:ascii="Verdana" w:eastAsia="SimSun" w:hAnsi="Verdana" w:cs="Arial"/>
          <w:sz w:val="20"/>
          <w:szCs w:val="20"/>
          <w:lang w:val="es-CR" w:eastAsia="es-CR"/>
        </w:rPr>
        <w:t xml:space="preserve">, el cual adquiere particular importancia ante la gravedad de los </w:t>
      </w:r>
      <w:r w:rsidR="00903628" w:rsidRPr="007568BA">
        <w:rPr>
          <w:rFonts w:ascii="Verdana" w:eastAsia="SimSun" w:hAnsi="Verdana" w:cs="Arial"/>
          <w:sz w:val="20"/>
          <w:szCs w:val="20"/>
          <w:lang w:val="es-CR" w:eastAsia="es-CR"/>
        </w:rPr>
        <w:t>delitos</w:t>
      </w:r>
      <w:r w:rsidR="00903628" w:rsidRPr="0045518D">
        <w:rPr>
          <w:rFonts w:ascii="Verdana" w:eastAsia="SimSun" w:hAnsi="Verdana" w:cs="Arial"/>
          <w:sz w:val="20"/>
          <w:szCs w:val="20"/>
          <w:lang w:val="es-CR" w:eastAsia="es-CR"/>
        </w:rPr>
        <w:t xml:space="preserve"> cometidos y la naturaleza de los derechos lesionados</w:t>
      </w:r>
      <w:r w:rsidR="00903628" w:rsidRPr="00461A40">
        <w:rPr>
          <w:rFonts w:ascii="Verdana" w:eastAsia="SimSun" w:hAnsi="Verdana" w:cs="Arial"/>
          <w:sz w:val="20"/>
          <w:szCs w:val="20"/>
          <w:vertAlign w:val="superscript"/>
          <w:lang w:val="es-CR" w:eastAsia="es-CR"/>
        </w:rPr>
        <w:footnoteReference w:id="441"/>
      </w:r>
      <w:r w:rsidR="00903628" w:rsidRPr="0045518D">
        <w:rPr>
          <w:rFonts w:ascii="Verdana" w:eastAsia="SimSun" w:hAnsi="Verdana" w:cs="Arial"/>
          <w:sz w:val="20"/>
          <w:szCs w:val="20"/>
          <w:lang w:val="es-CR" w:eastAsia="es-CR"/>
        </w:rPr>
        <w:t>. Dicha obligación también se desprende de otros instrumentos interamericanos. Así, en casos de desapariciones forzadas, la obligación de investigar se ve reforzada por el artículo I.b</w:t>
      </w:r>
      <w:r w:rsidR="00903628" w:rsidRPr="00DB378B">
        <w:rPr>
          <w:rFonts w:ascii="Verdana" w:eastAsia="SimSun" w:hAnsi="Verdana" w:cs="Arial"/>
          <w:b/>
          <w:sz w:val="20"/>
          <w:szCs w:val="20"/>
          <w:lang w:val="es-CR" w:eastAsia="es-CR"/>
        </w:rPr>
        <w:t xml:space="preserve"> </w:t>
      </w:r>
      <w:r w:rsidR="00CC61EB" w:rsidRPr="003564A3">
        <w:rPr>
          <w:rFonts w:ascii="Verdana" w:eastAsia="SimSun" w:hAnsi="Verdana" w:cs="Arial"/>
          <w:sz w:val="20"/>
          <w:szCs w:val="20"/>
          <w:lang w:val="es-CR" w:eastAsia="es-CR"/>
        </w:rPr>
        <w:t xml:space="preserve">y IX </w:t>
      </w:r>
      <w:r w:rsidR="00903628" w:rsidRPr="0045518D">
        <w:rPr>
          <w:rFonts w:ascii="Verdana" w:eastAsia="SimSun" w:hAnsi="Verdana" w:cs="Arial"/>
          <w:sz w:val="20"/>
          <w:szCs w:val="20"/>
          <w:lang w:val="es-CR" w:eastAsia="es-CR"/>
        </w:rPr>
        <w:t>de la Convención Interamericana sobre Desaparición Forzada, en vigor p</w:t>
      </w:r>
      <w:r>
        <w:rPr>
          <w:rFonts w:ascii="Verdana" w:eastAsia="SimSun" w:hAnsi="Verdana" w:cs="Arial"/>
          <w:sz w:val="20"/>
          <w:szCs w:val="20"/>
          <w:lang w:val="es-CR" w:eastAsia="es-CR"/>
        </w:rPr>
        <w:t>ara el Estado desde el 9 de abril</w:t>
      </w:r>
      <w:r w:rsidR="00903628" w:rsidRPr="0045518D">
        <w:rPr>
          <w:rFonts w:ascii="Verdana" w:eastAsia="SimSun" w:hAnsi="Verdana" w:cs="Arial"/>
          <w:sz w:val="20"/>
          <w:szCs w:val="20"/>
          <w:lang w:val="es-CR" w:eastAsia="es-CR"/>
        </w:rPr>
        <w:t xml:space="preserve"> de 2002</w:t>
      </w:r>
      <w:r w:rsidR="00903628" w:rsidRPr="00343208">
        <w:rPr>
          <w:rFonts w:ascii="Verdana" w:hAnsi="Verdana"/>
          <w:sz w:val="20"/>
          <w:szCs w:val="20"/>
          <w:vertAlign w:val="superscript"/>
        </w:rPr>
        <w:footnoteReference w:id="442"/>
      </w:r>
      <w:r w:rsidR="00903628" w:rsidRPr="0045518D">
        <w:rPr>
          <w:rFonts w:ascii="Verdana" w:eastAsia="SimSun" w:hAnsi="Verdana" w:cs="Arial"/>
          <w:sz w:val="20"/>
          <w:szCs w:val="20"/>
          <w:lang w:val="es-CR" w:eastAsia="es-CR"/>
        </w:rPr>
        <w:t>.</w:t>
      </w:r>
    </w:p>
    <w:p w14:paraId="64AA6062" w14:textId="550D80FC" w:rsidR="00201EE6" w:rsidRPr="00813B72" w:rsidRDefault="00903628" w:rsidP="00DB378B">
      <w:pPr>
        <w:widowControl w:val="0"/>
        <w:numPr>
          <w:ilvl w:val="0"/>
          <w:numId w:val="4"/>
        </w:numPr>
        <w:tabs>
          <w:tab w:val="left" w:pos="567"/>
        </w:tabs>
        <w:autoSpaceDE w:val="0"/>
        <w:autoSpaceDN w:val="0"/>
        <w:adjustRightInd w:val="0"/>
        <w:spacing w:before="120" w:after="120" w:line="240" w:lineRule="auto"/>
        <w:ind w:left="0" w:firstLine="0"/>
        <w:jc w:val="both"/>
        <w:textAlignment w:val="baseline"/>
        <w:rPr>
          <w:rFonts w:ascii="Verdana" w:eastAsia="SimSun" w:hAnsi="Verdana" w:cs="Arial"/>
          <w:sz w:val="20"/>
          <w:szCs w:val="20"/>
          <w:lang w:val="es-CR" w:eastAsia="es-CR"/>
        </w:rPr>
      </w:pPr>
      <w:r w:rsidRPr="00201EE6">
        <w:rPr>
          <w:rFonts w:ascii="Verdana" w:eastAsia="SimSun" w:hAnsi="Verdana" w:cs="Arial"/>
          <w:sz w:val="20"/>
          <w:szCs w:val="20"/>
          <w:lang w:val="es-CR" w:eastAsia="es-CR"/>
        </w:rPr>
        <w:t xml:space="preserve">Cabe recordar que este Tribunal ha </w:t>
      </w:r>
      <w:r w:rsidR="00DB421A">
        <w:rPr>
          <w:rFonts w:ascii="Verdana" w:eastAsia="SimSun" w:hAnsi="Verdana" w:cs="Arial"/>
          <w:sz w:val="20"/>
          <w:szCs w:val="20"/>
          <w:lang w:val="es-CR" w:eastAsia="es-CR"/>
        </w:rPr>
        <w:t>señalado</w:t>
      </w:r>
      <w:r w:rsidRPr="00201EE6">
        <w:rPr>
          <w:rFonts w:ascii="Verdana" w:eastAsia="SimSun" w:hAnsi="Verdana" w:cs="Arial"/>
          <w:sz w:val="20"/>
          <w:szCs w:val="20"/>
          <w:lang w:val="es-CR" w:eastAsia="es-CR"/>
        </w:rPr>
        <w:t xml:space="preserve"> que “las diligencias realizadas para la investigación de los hechos deben ser valoradas en su conjunto y no compete a la Corte, en principio, resolver la procedencia de las medidas de investigación”</w:t>
      </w:r>
      <w:r w:rsidRPr="00A568D3">
        <w:rPr>
          <w:vertAlign w:val="superscript"/>
          <w:lang w:val="es-CR" w:eastAsia="es-CR"/>
        </w:rPr>
        <w:footnoteReference w:id="443"/>
      </w:r>
      <w:r w:rsidRPr="00201EE6">
        <w:rPr>
          <w:rFonts w:ascii="Verdana" w:eastAsia="SimSun" w:hAnsi="Verdana" w:cs="Arial"/>
          <w:sz w:val="20"/>
          <w:szCs w:val="20"/>
          <w:lang w:val="es-CR" w:eastAsia="es-CR"/>
        </w:rPr>
        <w:t xml:space="preserve">. En efecto, no le incumbe al Tribunal “sustituir a la jurisdicción interna estableciendo las modalidades específicas de </w:t>
      </w:r>
      <w:r w:rsidRPr="00201EE6">
        <w:rPr>
          <w:rFonts w:ascii="Verdana" w:eastAsia="SimSun" w:hAnsi="Verdana" w:cs="Arial"/>
          <w:sz w:val="20"/>
          <w:szCs w:val="20"/>
          <w:lang w:val="es-CR" w:eastAsia="es-CR"/>
        </w:rPr>
        <w:lastRenderedPageBreak/>
        <w:t>investigación y juzgamiento en un caso concreto para obtener un mejor o más eficaz resultado, sino constatar si en los pasos efectivamente dados a nivel interno se violaron o no obligaciones internacionales del Estado derivadas […] de la Convención”</w:t>
      </w:r>
      <w:r w:rsidRPr="00A568D3">
        <w:rPr>
          <w:vertAlign w:val="superscript"/>
          <w:lang w:val="es-CR" w:eastAsia="es-CR"/>
        </w:rPr>
        <w:footnoteReference w:id="444"/>
      </w:r>
      <w:r w:rsidRPr="00201EE6">
        <w:rPr>
          <w:rFonts w:ascii="Verdana" w:eastAsia="SimSun" w:hAnsi="Verdana" w:cs="Arial"/>
          <w:sz w:val="20"/>
          <w:szCs w:val="20"/>
          <w:lang w:val="es-CR" w:eastAsia="es-CR"/>
        </w:rPr>
        <w:t>.</w:t>
      </w:r>
    </w:p>
    <w:p w14:paraId="64AA6064" w14:textId="71122E9F" w:rsidR="00903628" w:rsidRPr="00813B72" w:rsidRDefault="00903628" w:rsidP="00DB378B">
      <w:pPr>
        <w:widowControl w:val="0"/>
        <w:numPr>
          <w:ilvl w:val="0"/>
          <w:numId w:val="4"/>
        </w:numPr>
        <w:tabs>
          <w:tab w:val="left" w:pos="567"/>
        </w:tabs>
        <w:autoSpaceDE w:val="0"/>
        <w:autoSpaceDN w:val="0"/>
        <w:adjustRightInd w:val="0"/>
        <w:spacing w:before="120" w:after="120" w:line="240" w:lineRule="auto"/>
        <w:ind w:left="0" w:firstLine="0"/>
        <w:jc w:val="both"/>
        <w:textAlignment w:val="baseline"/>
        <w:rPr>
          <w:rFonts w:ascii="Verdana" w:eastAsia="SimSun" w:hAnsi="Verdana" w:cs="Arial"/>
          <w:sz w:val="20"/>
          <w:szCs w:val="20"/>
          <w:lang w:val="es-CR" w:eastAsia="es-CR"/>
        </w:rPr>
      </w:pPr>
      <w:r w:rsidRPr="00201EE6">
        <w:rPr>
          <w:rFonts w:ascii="Verdana" w:eastAsia="SimSun" w:hAnsi="Verdana" w:cs="Arial"/>
          <w:sz w:val="20"/>
          <w:szCs w:val="20"/>
          <w:lang w:val="es-CR" w:eastAsia="es-CR"/>
        </w:rPr>
        <w:t xml:space="preserve">A continuación, a la luz de la controversia persistente en el presente caso, este Tribunal analizará los alegatos de las partes respecto de la violación al derecho a las garantías judiciales de conformidad con </w:t>
      </w:r>
      <w:r w:rsidR="00DB421A">
        <w:rPr>
          <w:rFonts w:ascii="Verdana" w:eastAsia="SimSun" w:hAnsi="Verdana" w:cs="Arial"/>
          <w:sz w:val="20"/>
          <w:szCs w:val="20"/>
          <w:lang w:val="es-CR" w:eastAsia="es-CR"/>
        </w:rPr>
        <w:t xml:space="preserve">los siguientes acápites: </w:t>
      </w:r>
      <w:r w:rsidRPr="00201EE6">
        <w:rPr>
          <w:rFonts w:ascii="Verdana" w:eastAsia="SimSun" w:hAnsi="Verdana" w:cs="Arial"/>
          <w:sz w:val="20"/>
          <w:szCs w:val="20"/>
          <w:lang w:val="es-CR" w:eastAsia="es-CR"/>
        </w:rPr>
        <w:t>1) La alegada falta de debida diligencia en la investigación de la</w:t>
      </w:r>
      <w:r w:rsidR="00D4502B">
        <w:rPr>
          <w:rFonts w:ascii="Verdana" w:eastAsia="SimSun" w:hAnsi="Verdana" w:cs="Arial"/>
          <w:sz w:val="20"/>
          <w:szCs w:val="20"/>
          <w:lang w:val="es-CR" w:eastAsia="es-CR"/>
        </w:rPr>
        <w:t>s</w:t>
      </w:r>
      <w:r w:rsidRPr="00201EE6">
        <w:rPr>
          <w:rFonts w:ascii="Verdana" w:eastAsia="SimSun" w:hAnsi="Verdana" w:cs="Arial"/>
          <w:sz w:val="20"/>
          <w:szCs w:val="20"/>
          <w:lang w:val="es-CR" w:eastAsia="es-CR"/>
        </w:rPr>
        <w:t xml:space="preserve"> de</w:t>
      </w:r>
      <w:r w:rsidR="00DB421A">
        <w:rPr>
          <w:rFonts w:ascii="Verdana" w:eastAsia="SimSun" w:hAnsi="Verdana" w:cs="Arial"/>
          <w:sz w:val="20"/>
          <w:szCs w:val="20"/>
          <w:lang w:val="es-CR" w:eastAsia="es-CR"/>
        </w:rPr>
        <w:t>saparici</w:t>
      </w:r>
      <w:r w:rsidR="00D4502B">
        <w:rPr>
          <w:rFonts w:ascii="Verdana" w:eastAsia="SimSun" w:hAnsi="Verdana" w:cs="Arial"/>
          <w:sz w:val="20"/>
          <w:szCs w:val="20"/>
          <w:lang w:val="es-CR" w:eastAsia="es-CR"/>
        </w:rPr>
        <w:t>o</w:t>
      </w:r>
      <w:r w:rsidR="00DB421A">
        <w:rPr>
          <w:rFonts w:ascii="Verdana" w:eastAsia="SimSun" w:hAnsi="Verdana" w:cs="Arial"/>
          <w:sz w:val="20"/>
          <w:szCs w:val="20"/>
          <w:lang w:val="es-CR" w:eastAsia="es-CR"/>
        </w:rPr>
        <w:t>n</w:t>
      </w:r>
      <w:r w:rsidR="00D4502B">
        <w:rPr>
          <w:rFonts w:ascii="Verdana" w:eastAsia="SimSun" w:hAnsi="Verdana" w:cs="Arial"/>
          <w:sz w:val="20"/>
          <w:szCs w:val="20"/>
          <w:lang w:val="es-CR" w:eastAsia="es-CR"/>
        </w:rPr>
        <w:t>es</w:t>
      </w:r>
      <w:r w:rsidR="00DB421A">
        <w:rPr>
          <w:rFonts w:ascii="Verdana" w:eastAsia="SimSun" w:hAnsi="Verdana" w:cs="Arial"/>
          <w:sz w:val="20"/>
          <w:szCs w:val="20"/>
          <w:lang w:val="es-CR" w:eastAsia="es-CR"/>
        </w:rPr>
        <w:t xml:space="preserve"> y de las amenazas</w:t>
      </w:r>
      <w:r w:rsidR="00137905">
        <w:rPr>
          <w:rFonts w:ascii="Verdana" w:eastAsia="SimSun" w:hAnsi="Verdana" w:cs="Arial"/>
          <w:sz w:val="20"/>
          <w:szCs w:val="20"/>
          <w:lang w:val="es-CR" w:eastAsia="es-CR"/>
        </w:rPr>
        <w:t>, y</w:t>
      </w:r>
      <w:r w:rsidR="00DB421A">
        <w:rPr>
          <w:rFonts w:ascii="Verdana" w:eastAsia="SimSun" w:hAnsi="Verdana" w:cs="Arial"/>
          <w:sz w:val="20"/>
          <w:szCs w:val="20"/>
          <w:lang w:val="es-CR" w:eastAsia="es-CR"/>
        </w:rPr>
        <w:t xml:space="preserve"> </w:t>
      </w:r>
      <w:r w:rsidRPr="00201EE6">
        <w:rPr>
          <w:rFonts w:ascii="Verdana" w:eastAsia="SimSun" w:hAnsi="Verdana" w:cs="Arial"/>
          <w:sz w:val="20"/>
          <w:szCs w:val="20"/>
          <w:lang w:val="es-CR" w:eastAsia="es-CR"/>
        </w:rPr>
        <w:t>2) La alegada falta de adopción de normas o implementación de medidas necesarias para o</w:t>
      </w:r>
      <w:r w:rsidR="00DB421A">
        <w:rPr>
          <w:rFonts w:ascii="Verdana" w:eastAsia="SimSun" w:hAnsi="Verdana" w:cs="Arial"/>
          <w:sz w:val="20"/>
          <w:szCs w:val="20"/>
          <w:lang w:val="es-CR" w:eastAsia="es-CR"/>
        </w:rPr>
        <w:t xml:space="preserve">frecer respuesta inmediata. </w:t>
      </w:r>
    </w:p>
    <w:p w14:paraId="64AA6066" w14:textId="48F82F4E" w:rsidR="00903628" w:rsidRPr="00350979" w:rsidRDefault="00E34BFF">
      <w:pPr>
        <w:pStyle w:val="Heading3"/>
        <w:numPr>
          <w:ilvl w:val="0"/>
          <w:numId w:val="19"/>
        </w:numPr>
        <w:spacing w:before="120" w:after="120"/>
        <w:ind w:left="1560" w:hanging="426"/>
        <w:contextualSpacing w:val="0"/>
        <w:rPr>
          <w:b w:val="0"/>
        </w:rPr>
      </w:pPr>
      <w:bookmarkStart w:id="238" w:name="_Toc522815026"/>
      <w:bookmarkStart w:id="239" w:name="_Toc526774168"/>
      <w:bookmarkStart w:id="240" w:name="_Toc526777500"/>
      <w:bookmarkStart w:id="241" w:name="_Toc526783794"/>
      <w:r>
        <w:rPr>
          <w:b w:val="0"/>
        </w:rPr>
        <w:t xml:space="preserve"> </w:t>
      </w:r>
      <w:bookmarkStart w:id="242" w:name="_Toc532995378"/>
      <w:r w:rsidR="00903628" w:rsidRPr="00350979">
        <w:rPr>
          <w:b w:val="0"/>
        </w:rPr>
        <w:t>Sobre la debida diligencia</w:t>
      </w:r>
      <w:bookmarkEnd w:id="238"/>
      <w:bookmarkEnd w:id="239"/>
      <w:bookmarkEnd w:id="240"/>
      <w:bookmarkEnd w:id="241"/>
      <w:bookmarkEnd w:id="242"/>
      <w:r w:rsidR="00903628" w:rsidRPr="00350979">
        <w:rPr>
          <w:b w:val="0"/>
        </w:rPr>
        <w:t xml:space="preserve"> </w:t>
      </w:r>
    </w:p>
    <w:p w14:paraId="5A1D7403" w14:textId="740711FF" w:rsidR="002729EC" w:rsidRPr="0057411A" w:rsidRDefault="00556FDB">
      <w:pPr>
        <w:pStyle w:val="Heading4"/>
        <w:numPr>
          <w:ilvl w:val="0"/>
          <w:numId w:val="79"/>
        </w:numPr>
        <w:spacing w:before="120" w:after="120"/>
        <w:contextualSpacing w:val="0"/>
        <w:rPr>
          <w:u w:val="none"/>
        </w:rPr>
      </w:pPr>
      <w:bookmarkStart w:id="243" w:name="_Toc522815027"/>
      <w:bookmarkStart w:id="244" w:name="_Toc526777501"/>
      <w:bookmarkStart w:id="245" w:name="_Toc526783795"/>
      <w:r>
        <w:rPr>
          <w:u w:val="none"/>
        </w:rPr>
        <w:t xml:space="preserve"> </w:t>
      </w:r>
      <w:bookmarkStart w:id="246" w:name="_Toc532995379"/>
      <w:r w:rsidR="00903628" w:rsidRPr="0057411A">
        <w:rPr>
          <w:u w:val="none"/>
        </w:rPr>
        <w:t>Sobre la investigación de la desaparición</w:t>
      </w:r>
      <w:bookmarkStart w:id="247" w:name="_Toc522815028"/>
      <w:bookmarkEnd w:id="243"/>
      <w:bookmarkEnd w:id="244"/>
      <w:bookmarkEnd w:id="245"/>
      <w:bookmarkEnd w:id="246"/>
    </w:p>
    <w:p w14:paraId="64AA606B" w14:textId="2AC68894" w:rsidR="00201EE6" w:rsidRPr="00813B72" w:rsidRDefault="00556FDB">
      <w:pPr>
        <w:pStyle w:val="Heading5"/>
        <w:numPr>
          <w:ilvl w:val="0"/>
          <w:numId w:val="76"/>
        </w:numPr>
        <w:spacing w:before="120" w:after="120"/>
        <w:contextualSpacing w:val="0"/>
      </w:pPr>
      <w:bookmarkStart w:id="248" w:name="_Toc526777655"/>
      <w:bookmarkStart w:id="249" w:name="_Toc526778138"/>
      <w:bookmarkStart w:id="250" w:name="_Toc526779390"/>
      <w:bookmarkStart w:id="251" w:name="_Toc526780859"/>
      <w:bookmarkStart w:id="252" w:name="_Toc526783796"/>
      <w:r>
        <w:rPr>
          <w:lang w:val="es-CR"/>
        </w:rPr>
        <w:t xml:space="preserve"> </w:t>
      </w:r>
      <w:bookmarkStart w:id="253" w:name="_Toc532995380"/>
      <w:r w:rsidR="00903628" w:rsidRPr="000A4090">
        <w:rPr>
          <w:lang w:val="es-CR"/>
        </w:rPr>
        <w:t>Actuación inmediata</w:t>
      </w:r>
      <w:bookmarkStart w:id="254" w:name="_Toc522815029"/>
      <w:bookmarkEnd w:id="247"/>
      <w:r w:rsidR="00F834CA" w:rsidRPr="000A4090">
        <w:rPr>
          <w:lang w:val="es-CR"/>
        </w:rPr>
        <w:t xml:space="preserve"> (</w:t>
      </w:r>
      <w:bookmarkEnd w:id="254"/>
      <w:r w:rsidR="00F834CA" w:rsidRPr="000A4090">
        <w:rPr>
          <w:lang w:val="es-CR"/>
        </w:rPr>
        <w:t>en los primeros momentos)</w:t>
      </w:r>
      <w:bookmarkEnd w:id="248"/>
      <w:bookmarkEnd w:id="249"/>
      <w:bookmarkEnd w:id="250"/>
      <w:bookmarkEnd w:id="251"/>
      <w:bookmarkEnd w:id="252"/>
      <w:bookmarkEnd w:id="253"/>
    </w:p>
    <w:p w14:paraId="64AA606D" w14:textId="6B379A15" w:rsidR="00201EE6" w:rsidRPr="00813B72" w:rsidRDefault="00903628" w:rsidP="00DB378B">
      <w:pPr>
        <w:widowControl w:val="0"/>
        <w:numPr>
          <w:ilvl w:val="0"/>
          <w:numId w:val="4"/>
        </w:numPr>
        <w:tabs>
          <w:tab w:val="left" w:pos="567"/>
        </w:tabs>
        <w:autoSpaceDE w:val="0"/>
        <w:autoSpaceDN w:val="0"/>
        <w:adjustRightInd w:val="0"/>
        <w:spacing w:before="120" w:after="120" w:line="240" w:lineRule="auto"/>
        <w:ind w:left="0" w:firstLine="0"/>
        <w:jc w:val="both"/>
        <w:textAlignment w:val="baseline"/>
        <w:rPr>
          <w:rFonts w:ascii="Verdana" w:eastAsia="SimSun" w:hAnsi="Verdana" w:cs="Arial"/>
          <w:sz w:val="20"/>
          <w:szCs w:val="20"/>
          <w:lang w:val="es-CR" w:eastAsia="es-CR"/>
        </w:rPr>
      </w:pPr>
      <w:r w:rsidRPr="007568BA">
        <w:rPr>
          <w:rFonts w:ascii="Verdana" w:eastAsia="SimSun" w:hAnsi="Verdana" w:cs="Arial"/>
          <w:sz w:val="20"/>
          <w:szCs w:val="20"/>
          <w:lang w:val="es-CR" w:eastAsia="es-CR"/>
        </w:rPr>
        <w:t>La Corte reitera que la obligación de investigar violaciones de derechos humanos se encuentra dentro de las medidas positivas que deben adoptar los Estados para garantizar los derechos reconocidos en la Convención</w:t>
      </w:r>
      <w:r w:rsidRPr="00343208">
        <w:rPr>
          <w:rFonts w:ascii="Verdana" w:eastAsia="SimSun" w:hAnsi="Verdana" w:cs="Arial"/>
          <w:sz w:val="20"/>
          <w:szCs w:val="20"/>
          <w:vertAlign w:val="superscript"/>
          <w:lang w:val="es-CR" w:eastAsia="es-CR"/>
        </w:rPr>
        <w:footnoteReference w:id="445"/>
      </w:r>
      <w:r w:rsidRPr="007568BA">
        <w:rPr>
          <w:rFonts w:ascii="Verdana" w:eastAsia="SimSun" w:hAnsi="Verdana" w:cs="Arial"/>
          <w:sz w:val="20"/>
          <w:szCs w:val="20"/>
          <w:lang w:val="es-CR" w:eastAsia="es-CR"/>
        </w:rPr>
        <w:t xml:space="preserve">. A la luz de ese deber, una vez que las autoridades estatales tengan conocimiento del hecho, deben iniciar </w:t>
      </w:r>
      <w:r w:rsidRPr="00343208">
        <w:rPr>
          <w:rFonts w:ascii="Verdana" w:eastAsia="SimSun" w:hAnsi="Verdana" w:cs="Arial"/>
          <w:i/>
          <w:sz w:val="20"/>
          <w:szCs w:val="20"/>
          <w:lang w:val="es-CR" w:eastAsia="es-CR"/>
        </w:rPr>
        <w:t>ex officio</w:t>
      </w:r>
      <w:r w:rsidRPr="007568BA">
        <w:rPr>
          <w:rFonts w:ascii="Verdana" w:eastAsia="SimSun" w:hAnsi="Verdana" w:cs="Arial"/>
          <w:sz w:val="20"/>
          <w:szCs w:val="20"/>
          <w:lang w:val="es-CR" w:eastAsia="es-CR"/>
        </w:rPr>
        <w:t xml:space="preserve"> y sin dilación una investigación seria, imparcial y efectiva</w:t>
      </w:r>
      <w:r w:rsidRPr="007568BA">
        <w:rPr>
          <w:rFonts w:ascii="Verdana" w:eastAsia="SimSun" w:hAnsi="Verdana" w:cs="Arial"/>
          <w:sz w:val="20"/>
          <w:szCs w:val="20"/>
          <w:vertAlign w:val="superscript"/>
          <w:lang w:val="es-CR" w:eastAsia="es-CR"/>
        </w:rPr>
        <w:footnoteReference w:id="446"/>
      </w:r>
      <w:r w:rsidRPr="007568BA">
        <w:rPr>
          <w:rFonts w:ascii="Verdana" w:eastAsia="SimSun" w:hAnsi="Verdana" w:cs="Arial"/>
          <w:sz w:val="20"/>
          <w:szCs w:val="20"/>
          <w:lang w:val="es-CR" w:eastAsia="es-CR"/>
        </w:rPr>
        <w:t xml:space="preserve">. </w:t>
      </w:r>
    </w:p>
    <w:p w14:paraId="64AA606F" w14:textId="6BDA86CA" w:rsidR="00201EE6" w:rsidRPr="00813B72" w:rsidRDefault="00B726A6" w:rsidP="00DB378B">
      <w:pPr>
        <w:widowControl w:val="0"/>
        <w:numPr>
          <w:ilvl w:val="0"/>
          <w:numId w:val="4"/>
        </w:numPr>
        <w:tabs>
          <w:tab w:val="left" w:pos="567"/>
        </w:tabs>
        <w:autoSpaceDE w:val="0"/>
        <w:autoSpaceDN w:val="0"/>
        <w:adjustRightInd w:val="0"/>
        <w:spacing w:before="120" w:after="120" w:line="240" w:lineRule="auto"/>
        <w:ind w:left="0" w:firstLine="0"/>
        <w:jc w:val="both"/>
        <w:textAlignment w:val="baseline"/>
        <w:rPr>
          <w:rFonts w:ascii="Verdana" w:eastAsia="SimSun" w:hAnsi="Verdana" w:cs="Arial"/>
          <w:sz w:val="20"/>
          <w:szCs w:val="20"/>
          <w:lang w:val="es-CR" w:eastAsia="es-CR"/>
        </w:rPr>
      </w:pPr>
      <w:r>
        <w:rPr>
          <w:rFonts w:ascii="Verdana" w:hAnsi="Verdana"/>
          <w:sz w:val="20"/>
          <w:szCs w:val="20"/>
          <w:lang w:val="es-CR"/>
        </w:rPr>
        <w:t>En el presente caso e</w:t>
      </w:r>
      <w:r w:rsidR="00903628" w:rsidRPr="00201EE6">
        <w:rPr>
          <w:rFonts w:ascii="Verdana" w:hAnsi="Verdana"/>
          <w:sz w:val="20"/>
          <w:szCs w:val="20"/>
          <w:lang w:val="es-CR"/>
        </w:rPr>
        <w:t>xiste</w:t>
      </w:r>
      <w:r w:rsidR="00903628" w:rsidRPr="00201EE6">
        <w:rPr>
          <w:rFonts w:ascii="Verdana" w:eastAsia="Times New Roman" w:hAnsi="Verdana" w:cs="Times New Roman"/>
          <w:color w:val="000000"/>
          <w:sz w:val="20"/>
          <w:szCs w:val="20"/>
          <w:lang w:eastAsia="es-MX"/>
        </w:rPr>
        <w:t xml:space="preserve"> evidencia de un contexto generalizado de violencia que afectaba a la población de la región, y que derivó de la lucha entre organizaciones criminales y la alta presencia de efectivos del ejército y policía federal (</w:t>
      </w:r>
      <w:r w:rsidR="00903628" w:rsidRPr="00201EE6">
        <w:rPr>
          <w:rFonts w:ascii="Verdana" w:eastAsia="Times New Roman" w:hAnsi="Verdana" w:cs="Times New Roman"/>
          <w:i/>
          <w:color w:val="000000"/>
          <w:sz w:val="20"/>
          <w:szCs w:val="20"/>
          <w:lang w:eastAsia="es-MX"/>
        </w:rPr>
        <w:t>supra</w:t>
      </w:r>
      <w:r w:rsidR="00903628" w:rsidRPr="00201EE6">
        <w:rPr>
          <w:rFonts w:ascii="Verdana" w:eastAsia="Times New Roman" w:hAnsi="Verdana" w:cs="Times New Roman"/>
          <w:color w:val="000000"/>
          <w:sz w:val="20"/>
          <w:szCs w:val="20"/>
          <w:lang w:eastAsia="es-MX"/>
        </w:rPr>
        <w:t xml:space="preserve"> párr. </w:t>
      </w:r>
      <w:r w:rsidR="00500479">
        <w:rPr>
          <w:rFonts w:ascii="Verdana" w:eastAsia="Times New Roman" w:hAnsi="Verdana" w:cs="Times New Roman"/>
          <w:color w:val="000000"/>
          <w:sz w:val="20"/>
          <w:szCs w:val="20"/>
          <w:lang w:eastAsia="es-MX"/>
        </w:rPr>
        <w:t>70</w:t>
      </w:r>
      <w:r w:rsidR="00903628" w:rsidRPr="00201EE6">
        <w:rPr>
          <w:rFonts w:ascii="Verdana" w:eastAsia="Times New Roman" w:hAnsi="Verdana" w:cs="Times New Roman"/>
          <w:color w:val="000000"/>
          <w:sz w:val="20"/>
          <w:szCs w:val="20"/>
          <w:lang w:eastAsia="es-MX"/>
        </w:rPr>
        <w:t>). También hay evidencia del incremento en las violaciones de derechos humanos por parte de agentes estatales (</w:t>
      </w:r>
      <w:r w:rsidR="00205AF7" w:rsidRPr="00205AF7">
        <w:rPr>
          <w:rFonts w:ascii="Verdana" w:hAnsi="Verdana"/>
          <w:i/>
          <w:color w:val="000000"/>
          <w:sz w:val="20"/>
          <w:szCs w:val="20"/>
        </w:rPr>
        <w:t xml:space="preserve">supra </w:t>
      </w:r>
      <w:r w:rsidR="00903628" w:rsidRPr="00201EE6">
        <w:rPr>
          <w:rFonts w:ascii="Verdana" w:hAnsi="Verdana"/>
          <w:color w:val="000000"/>
          <w:sz w:val="20"/>
          <w:szCs w:val="20"/>
        </w:rPr>
        <w:t xml:space="preserve">párr. </w:t>
      </w:r>
      <w:r w:rsidR="00500479">
        <w:rPr>
          <w:rFonts w:ascii="Verdana" w:hAnsi="Verdana"/>
          <w:color w:val="000000"/>
          <w:sz w:val="20"/>
          <w:szCs w:val="20"/>
        </w:rPr>
        <w:t>61</w:t>
      </w:r>
      <w:r w:rsidR="00903628" w:rsidRPr="00201EE6">
        <w:rPr>
          <w:rFonts w:ascii="Verdana" w:hAnsi="Verdana"/>
          <w:color w:val="000000"/>
          <w:sz w:val="20"/>
          <w:szCs w:val="20"/>
        </w:rPr>
        <w:t>)</w:t>
      </w:r>
      <w:r w:rsidR="00903628" w:rsidRPr="00201EE6">
        <w:rPr>
          <w:rFonts w:ascii="Verdana" w:eastAsia="Times New Roman" w:hAnsi="Verdana" w:cs="Times New Roman"/>
          <w:color w:val="000000"/>
          <w:sz w:val="20"/>
          <w:szCs w:val="20"/>
          <w:lang w:eastAsia="es-MX"/>
        </w:rPr>
        <w:t xml:space="preserve">, coincidente con el incremento de su presencia en </w:t>
      </w:r>
      <w:r w:rsidR="00500479">
        <w:rPr>
          <w:rFonts w:ascii="Verdana" w:eastAsia="Times New Roman" w:hAnsi="Verdana" w:cs="Times New Roman"/>
          <w:color w:val="000000"/>
          <w:sz w:val="20"/>
          <w:szCs w:val="20"/>
          <w:lang w:eastAsia="es-MX"/>
        </w:rPr>
        <w:t>la entidad federativa</w:t>
      </w:r>
      <w:r w:rsidR="00903628" w:rsidRPr="00201EE6">
        <w:rPr>
          <w:rFonts w:ascii="Verdana" w:eastAsia="Times New Roman" w:hAnsi="Verdana" w:cs="Times New Roman"/>
          <w:color w:val="000000"/>
          <w:sz w:val="20"/>
          <w:szCs w:val="20"/>
          <w:lang w:eastAsia="es-MX"/>
        </w:rPr>
        <w:t xml:space="preserve"> a partir del inicio del </w:t>
      </w:r>
      <w:r w:rsidR="00903628" w:rsidRPr="00201EE6">
        <w:rPr>
          <w:rFonts w:ascii="Verdana" w:hAnsi="Verdana"/>
          <w:color w:val="000000"/>
          <w:sz w:val="20"/>
          <w:szCs w:val="20"/>
        </w:rPr>
        <w:t>“Operativo Conjunto Chihuahua”</w:t>
      </w:r>
      <w:r w:rsidR="00903628" w:rsidRPr="00201EE6">
        <w:rPr>
          <w:rFonts w:ascii="Verdana" w:eastAsia="Times New Roman" w:hAnsi="Verdana" w:cs="Times New Roman"/>
          <w:color w:val="000000"/>
          <w:sz w:val="20"/>
          <w:szCs w:val="20"/>
          <w:lang w:eastAsia="es-MX"/>
        </w:rPr>
        <w:t xml:space="preserve"> en marzo de 2008 (</w:t>
      </w:r>
      <w:r w:rsidR="00903628" w:rsidRPr="00201EE6">
        <w:rPr>
          <w:rFonts w:ascii="Verdana" w:eastAsia="Times New Roman" w:hAnsi="Verdana" w:cs="Times New Roman"/>
          <w:i/>
          <w:color w:val="000000"/>
          <w:sz w:val="20"/>
          <w:szCs w:val="20"/>
          <w:lang w:eastAsia="es-MX"/>
        </w:rPr>
        <w:t>s</w:t>
      </w:r>
      <w:r w:rsidR="00903628" w:rsidRPr="00201EE6">
        <w:rPr>
          <w:rFonts w:ascii="Verdana" w:hAnsi="Verdana"/>
          <w:i/>
          <w:sz w:val="20"/>
          <w:szCs w:val="20"/>
        </w:rPr>
        <w:t>upra</w:t>
      </w:r>
      <w:r w:rsidR="00903628" w:rsidRPr="00201EE6">
        <w:rPr>
          <w:rFonts w:ascii="Verdana" w:hAnsi="Verdana"/>
          <w:sz w:val="20"/>
          <w:szCs w:val="20"/>
        </w:rPr>
        <w:t xml:space="preserve"> párrs. </w:t>
      </w:r>
      <w:r w:rsidR="00533C16">
        <w:rPr>
          <w:rFonts w:ascii="Verdana" w:hAnsi="Verdana"/>
          <w:sz w:val="20"/>
          <w:szCs w:val="20"/>
        </w:rPr>
        <w:t>68</w:t>
      </w:r>
      <w:r w:rsidR="00903628" w:rsidRPr="00201EE6">
        <w:rPr>
          <w:rFonts w:ascii="Verdana" w:hAnsi="Verdana"/>
          <w:sz w:val="20"/>
          <w:szCs w:val="20"/>
        </w:rPr>
        <w:t xml:space="preserve"> </w:t>
      </w:r>
      <w:r w:rsidR="00533C16">
        <w:rPr>
          <w:rFonts w:ascii="Verdana" w:hAnsi="Verdana"/>
          <w:sz w:val="20"/>
          <w:szCs w:val="20"/>
        </w:rPr>
        <w:t>a</w:t>
      </w:r>
      <w:r w:rsidR="00903628" w:rsidRPr="00201EE6">
        <w:rPr>
          <w:rFonts w:ascii="Verdana" w:hAnsi="Verdana"/>
          <w:sz w:val="20"/>
          <w:szCs w:val="20"/>
        </w:rPr>
        <w:t xml:space="preserve"> 7</w:t>
      </w:r>
      <w:r w:rsidR="00533C16">
        <w:rPr>
          <w:rFonts w:ascii="Verdana" w:hAnsi="Verdana"/>
          <w:sz w:val="20"/>
          <w:szCs w:val="20"/>
        </w:rPr>
        <w:t>5</w:t>
      </w:r>
      <w:r w:rsidR="00903628" w:rsidRPr="00201EE6">
        <w:rPr>
          <w:rFonts w:ascii="Verdana" w:hAnsi="Verdana"/>
          <w:sz w:val="20"/>
          <w:szCs w:val="20"/>
        </w:rPr>
        <w:t>)</w:t>
      </w:r>
      <w:r w:rsidR="00903628" w:rsidRPr="00201EE6">
        <w:rPr>
          <w:rFonts w:ascii="Verdana" w:eastAsia="Times New Roman" w:hAnsi="Verdana" w:cs="Times New Roman"/>
          <w:color w:val="000000"/>
          <w:sz w:val="20"/>
          <w:szCs w:val="20"/>
          <w:lang w:eastAsia="es-MX"/>
        </w:rPr>
        <w:t xml:space="preserve">. </w:t>
      </w:r>
    </w:p>
    <w:p w14:paraId="64AA6071" w14:textId="7C4E82CC" w:rsidR="00201EE6" w:rsidRPr="00813B72" w:rsidRDefault="00903628" w:rsidP="00DB378B">
      <w:pPr>
        <w:widowControl w:val="0"/>
        <w:numPr>
          <w:ilvl w:val="0"/>
          <w:numId w:val="4"/>
        </w:numPr>
        <w:tabs>
          <w:tab w:val="left" w:pos="567"/>
        </w:tabs>
        <w:autoSpaceDE w:val="0"/>
        <w:autoSpaceDN w:val="0"/>
        <w:adjustRightInd w:val="0"/>
        <w:spacing w:before="120" w:after="120" w:line="240" w:lineRule="auto"/>
        <w:ind w:left="0" w:firstLine="0"/>
        <w:jc w:val="both"/>
        <w:textAlignment w:val="baseline"/>
        <w:rPr>
          <w:rFonts w:ascii="Verdana" w:eastAsia="SimSun" w:hAnsi="Verdana" w:cs="Arial"/>
          <w:sz w:val="20"/>
          <w:szCs w:val="20"/>
          <w:lang w:val="es-CR" w:eastAsia="es-CR"/>
        </w:rPr>
      </w:pPr>
      <w:r w:rsidRPr="00201EE6">
        <w:rPr>
          <w:rFonts w:ascii="Verdana" w:eastAsia="Times New Roman" w:hAnsi="Verdana" w:cs="Times New Roman"/>
          <w:color w:val="000000"/>
          <w:sz w:val="20"/>
          <w:szCs w:val="20"/>
          <w:lang w:eastAsia="es-MX"/>
        </w:rPr>
        <w:t xml:space="preserve">La Corte observa que desde el primer reporte </w:t>
      </w:r>
      <w:r w:rsidR="00B726A6">
        <w:rPr>
          <w:rFonts w:ascii="Verdana" w:eastAsia="Times New Roman" w:hAnsi="Verdana" w:cs="Times New Roman"/>
          <w:color w:val="000000"/>
          <w:sz w:val="20"/>
          <w:szCs w:val="20"/>
          <w:lang w:eastAsia="es-MX"/>
        </w:rPr>
        <w:t xml:space="preserve">sobre la desaparición realizado </w:t>
      </w:r>
      <w:r w:rsidRPr="00201EE6">
        <w:rPr>
          <w:rFonts w:ascii="Verdana" w:eastAsia="Times New Roman" w:hAnsi="Verdana" w:cs="Times New Roman"/>
          <w:color w:val="000000"/>
          <w:sz w:val="20"/>
          <w:szCs w:val="20"/>
          <w:lang w:eastAsia="es-MX"/>
        </w:rPr>
        <w:t>por los familiares se despr</w:t>
      </w:r>
      <w:r w:rsidR="00B726A6">
        <w:rPr>
          <w:rFonts w:ascii="Verdana" w:eastAsia="Times New Roman" w:hAnsi="Verdana" w:cs="Times New Roman"/>
          <w:color w:val="000000"/>
          <w:sz w:val="20"/>
          <w:szCs w:val="20"/>
          <w:lang w:eastAsia="es-MX"/>
        </w:rPr>
        <w:t>ende el señalamiento de que la misma</w:t>
      </w:r>
      <w:r w:rsidRPr="00201EE6">
        <w:rPr>
          <w:rFonts w:ascii="Verdana" w:eastAsia="Times New Roman" w:hAnsi="Verdana" w:cs="Times New Roman"/>
          <w:color w:val="000000"/>
          <w:sz w:val="20"/>
          <w:szCs w:val="20"/>
          <w:lang w:eastAsia="es-MX"/>
        </w:rPr>
        <w:t xml:space="preserve"> </w:t>
      </w:r>
      <w:r w:rsidR="00B726A6">
        <w:rPr>
          <w:rFonts w:ascii="Verdana" w:eastAsia="Times New Roman" w:hAnsi="Verdana" w:cs="Times New Roman"/>
          <w:color w:val="000000"/>
          <w:sz w:val="20"/>
          <w:szCs w:val="20"/>
          <w:lang w:eastAsia="es-MX"/>
        </w:rPr>
        <w:t xml:space="preserve">habría sido </w:t>
      </w:r>
      <w:r w:rsidRPr="00201EE6">
        <w:rPr>
          <w:rFonts w:ascii="Verdana" w:eastAsia="Times New Roman" w:hAnsi="Verdana" w:cs="Times New Roman"/>
          <w:color w:val="000000"/>
          <w:sz w:val="20"/>
          <w:szCs w:val="20"/>
          <w:lang w:eastAsia="es-MX"/>
        </w:rPr>
        <w:t>ejecutada por un grupo con características militares (</w:t>
      </w:r>
      <w:r w:rsidRPr="00201EE6">
        <w:rPr>
          <w:rFonts w:ascii="Verdana" w:eastAsia="Times New Roman" w:hAnsi="Verdana" w:cs="Times New Roman"/>
          <w:i/>
          <w:color w:val="000000"/>
          <w:sz w:val="20"/>
          <w:szCs w:val="20"/>
          <w:lang w:eastAsia="es-MX"/>
        </w:rPr>
        <w:t>supra</w:t>
      </w:r>
      <w:r w:rsidRPr="00201EE6">
        <w:rPr>
          <w:rFonts w:ascii="Verdana" w:eastAsia="Times New Roman" w:hAnsi="Verdana" w:cs="Times New Roman"/>
          <w:color w:val="000000"/>
          <w:sz w:val="20"/>
          <w:szCs w:val="20"/>
          <w:lang w:eastAsia="es-MX"/>
        </w:rPr>
        <w:t xml:space="preserve"> párr</w:t>
      </w:r>
      <w:r w:rsidR="00533C16">
        <w:rPr>
          <w:rFonts w:ascii="Verdana" w:eastAsia="Times New Roman" w:hAnsi="Verdana" w:cs="Times New Roman"/>
          <w:color w:val="000000"/>
          <w:sz w:val="20"/>
          <w:szCs w:val="20"/>
          <w:lang w:eastAsia="es-MX"/>
        </w:rPr>
        <w:t>s</w:t>
      </w:r>
      <w:r w:rsidRPr="00201EE6">
        <w:rPr>
          <w:rFonts w:ascii="Verdana" w:eastAsia="Times New Roman" w:hAnsi="Verdana" w:cs="Times New Roman"/>
          <w:color w:val="000000"/>
          <w:sz w:val="20"/>
          <w:szCs w:val="20"/>
          <w:lang w:eastAsia="es-MX"/>
        </w:rPr>
        <w:t>. 8</w:t>
      </w:r>
      <w:r w:rsidR="00500479">
        <w:rPr>
          <w:rFonts w:ascii="Verdana" w:eastAsia="Times New Roman" w:hAnsi="Verdana" w:cs="Times New Roman"/>
          <w:color w:val="000000"/>
          <w:sz w:val="20"/>
          <w:szCs w:val="20"/>
          <w:lang w:eastAsia="es-MX"/>
        </w:rPr>
        <w:t>7</w:t>
      </w:r>
      <w:r w:rsidR="00533C16">
        <w:rPr>
          <w:rFonts w:ascii="Verdana" w:eastAsia="Times New Roman" w:hAnsi="Verdana" w:cs="Times New Roman"/>
          <w:color w:val="000000"/>
          <w:sz w:val="20"/>
          <w:szCs w:val="20"/>
          <w:lang w:eastAsia="es-MX"/>
        </w:rPr>
        <w:t xml:space="preserve"> y 89</w:t>
      </w:r>
      <w:r w:rsidRPr="00201EE6">
        <w:rPr>
          <w:rFonts w:ascii="Verdana" w:eastAsia="Times New Roman" w:hAnsi="Verdana" w:cs="Times New Roman"/>
          <w:color w:val="000000"/>
          <w:sz w:val="20"/>
          <w:szCs w:val="20"/>
          <w:lang w:eastAsia="es-MX"/>
        </w:rPr>
        <w:t>), y tal afirmación fue reiterada en las distintas denuncias</w:t>
      </w:r>
      <w:r w:rsidR="00B726A6">
        <w:rPr>
          <w:rFonts w:ascii="Verdana" w:eastAsia="Times New Roman" w:hAnsi="Verdana" w:cs="Times New Roman"/>
          <w:color w:val="000000"/>
          <w:sz w:val="20"/>
          <w:szCs w:val="20"/>
          <w:lang w:eastAsia="es-MX"/>
        </w:rPr>
        <w:t xml:space="preserve"> presentadas ante las diversas </w:t>
      </w:r>
      <w:r w:rsidRPr="00201EE6">
        <w:rPr>
          <w:rFonts w:ascii="Verdana" w:eastAsia="Times New Roman" w:hAnsi="Verdana" w:cs="Times New Roman"/>
          <w:color w:val="000000"/>
          <w:sz w:val="20"/>
          <w:szCs w:val="20"/>
          <w:lang w:eastAsia="es-MX"/>
        </w:rPr>
        <w:t>autoridades en los siguientes días (</w:t>
      </w:r>
      <w:r w:rsidRPr="00201EE6">
        <w:rPr>
          <w:rFonts w:ascii="Verdana" w:eastAsia="Times New Roman" w:hAnsi="Verdana" w:cs="Times New Roman"/>
          <w:i/>
          <w:color w:val="000000"/>
          <w:sz w:val="20"/>
          <w:szCs w:val="20"/>
          <w:lang w:eastAsia="es-MX"/>
        </w:rPr>
        <w:t>supra</w:t>
      </w:r>
      <w:r w:rsidRPr="00201EE6">
        <w:rPr>
          <w:rFonts w:ascii="Verdana" w:eastAsia="Times New Roman" w:hAnsi="Verdana" w:cs="Times New Roman"/>
          <w:color w:val="000000"/>
          <w:sz w:val="20"/>
          <w:szCs w:val="20"/>
          <w:lang w:eastAsia="es-MX"/>
        </w:rPr>
        <w:t xml:space="preserve"> párrs. 12</w:t>
      </w:r>
      <w:r w:rsidR="00C50DEA">
        <w:rPr>
          <w:rFonts w:ascii="Verdana" w:eastAsia="Times New Roman" w:hAnsi="Verdana" w:cs="Times New Roman"/>
          <w:color w:val="000000"/>
          <w:sz w:val="20"/>
          <w:szCs w:val="20"/>
          <w:lang w:eastAsia="es-MX"/>
        </w:rPr>
        <w:t>1</w:t>
      </w:r>
      <w:r w:rsidRPr="00201EE6">
        <w:rPr>
          <w:rFonts w:ascii="Verdana" w:eastAsia="Times New Roman" w:hAnsi="Verdana" w:cs="Times New Roman"/>
          <w:color w:val="000000"/>
          <w:sz w:val="20"/>
          <w:szCs w:val="20"/>
          <w:lang w:eastAsia="es-MX"/>
        </w:rPr>
        <w:t>, 1</w:t>
      </w:r>
      <w:r w:rsidR="00C50DEA">
        <w:rPr>
          <w:rFonts w:ascii="Verdana" w:eastAsia="Times New Roman" w:hAnsi="Verdana" w:cs="Times New Roman"/>
          <w:color w:val="000000"/>
          <w:sz w:val="20"/>
          <w:szCs w:val="20"/>
          <w:lang w:eastAsia="es-MX"/>
        </w:rPr>
        <w:t>23</w:t>
      </w:r>
      <w:r w:rsidRPr="00201EE6">
        <w:rPr>
          <w:rFonts w:ascii="Verdana" w:eastAsia="Times New Roman" w:hAnsi="Verdana" w:cs="Times New Roman"/>
          <w:color w:val="000000"/>
          <w:sz w:val="20"/>
          <w:szCs w:val="20"/>
          <w:lang w:eastAsia="es-MX"/>
        </w:rPr>
        <w:t xml:space="preserve"> y 13</w:t>
      </w:r>
      <w:r w:rsidR="00C50DEA">
        <w:rPr>
          <w:rFonts w:ascii="Verdana" w:eastAsia="Times New Roman" w:hAnsi="Verdana" w:cs="Times New Roman"/>
          <w:color w:val="000000"/>
          <w:sz w:val="20"/>
          <w:szCs w:val="20"/>
          <w:lang w:eastAsia="es-MX"/>
        </w:rPr>
        <w:t>4</w:t>
      </w:r>
      <w:r w:rsidRPr="00201EE6">
        <w:rPr>
          <w:rFonts w:ascii="Verdana" w:eastAsia="Times New Roman" w:hAnsi="Verdana" w:cs="Times New Roman"/>
          <w:color w:val="000000"/>
          <w:sz w:val="20"/>
          <w:szCs w:val="20"/>
          <w:lang w:eastAsia="es-MX"/>
        </w:rPr>
        <w:t xml:space="preserve">). </w:t>
      </w:r>
    </w:p>
    <w:p w14:paraId="64AA6073" w14:textId="4AEB2538" w:rsidR="00201EE6" w:rsidRPr="00813B72" w:rsidRDefault="00B726A6" w:rsidP="00DB378B">
      <w:pPr>
        <w:widowControl w:val="0"/>
        <w:numPr>
          <w:ilvl w:val="0"/>
          <w:numId w:val="4"/>
        </w:numPr>
        <w:tabs>
          <w:tab w:val="left" w:pos="567"/>
        </w:tabs>
        <w:autoSpaceDE w:val="0"/>
        <w:autoSpaceDN w:val="0"/>
        <w:adjustRightInd w:val="0"/>
        <w:spacing w:before="120" w:after="120" w:line="240" w:lineRule="auto"/>
        <w:ind w:left="0" w:firstLine="0"/>
        <w:jc w:val="both"/>
        <w:textAlignment w:val="baseline"/>
        <w:rPr>
          <w:rFonts w:ascii="Verdana" w:eastAsia="SimSun" w:hAnsi="Verdana" w:cs="Arial"/>
          <w:sz w:val="20"/>
          <w:szCs w:val="20"/>
          <w:lang w:val="es-CR" w:eastAsia="es-CR"/>
        </w:rPr>
      </w:pPr>
      <w:r>
        <w:rPr>
          <w:rFonts w:ascii="Verdana" w:eastAsia="Times New Roman" w:hAnsi="Verdana" w:cs="Times New Roman"/>
          <w:color w:val="000000"/>
          <w:sz w:val="20"/>
          <w:szCs w:val="20"/>
          <w:lang w:eastAsia="es-MX"/>
        </w:rPr>
        <w:t>En este sentido</w:t>
      </w:r>
      <w:r w:rsidR="00903628" w:rsidRPr="00201EE6">
        <w:rPr>
          <w:rFonts w:ascii="Verdana" w:eastAsia="Times New Roman" w:hAnsi="Verdana" w:cs="Times New Roman"/>
          <w:color w:val="000000"/>
          <w:sz w:val="20"/>
          <w:szCs w:val="20"/>
          <w:lang w:eastAsia="es-MX"/>
        </w:rPr>
        <w:t xml:space="preserve">, la primera autoridad en tener conocimiento de los hechos fue </w:t>
      </w:r>
      <w:r w:rsidR="00903628" w:rsidRPr="00201EE6">
        <w:rPr>
          <w:rFonts w:ascii="Verdana" w:hAnsi="Verdana"/>
          <w:color w:val="000000"/>
          <w:sz w:val="20"/>
          <w:szCs w:val="20"/>
        </w:rPr>
        <w:t>el Comandante de la Policía Seccional en el poblado Benito Juárez, Mario Castro García</w:t>
      </w:r>
      <w:r w:rsidR="00903628" w:rsidRPr="00201EE6">
        <w:rPr>
          <w:rStyle w:val="FootnoteReference"/>
          <w:rFonts w:ascii="Verdana" w:hAnsi="Verdana"/>
          <w:color w:val="000000"/>
          <w:sz w:val="20"/>
          <w:szCs w:val="20"/>
        </w:rPr>
        <w:t>,</w:t>
      </w:r>
      <w:r w:rsidR="00903628" w:rsidRPr="00201EE6">
        <w:rPr>
          <w:rFonts w:ascii="Verdana" w:hAnsi="Verdana"/>
          <w:color w:val="000000"/>
          <w:sz w:val="20"/>
          <w:szCs w:val="20"/>
        </w:rPr>
        <w:t xml:space="preserve"> quien la misma noche del 29 y la madrugada del 30 de diciembre de 2009 </w:t>
      </w:r>
      <w:r w:rsidR="00533C16" w:rsidRPr="00201EE6">
        <w:rPr>
          <w:rFonts w:ascii="Verdana" w:hAnsi="Verdana"/>
          <w:sz w:val="20"/>
          <w:szCs w:val="20"/>
        </w:rPr>
        <w:t>–</w:t>
      </w:r>
      <w:r w:rsidR="00903628" w:rsidRPr="00201EE6">
        <w:rPr>
          <w:rFonts w:ascii="Verdana" w:hAnsi="Verdana"/>
          <w:color w:val="000000"/>
          <w:sz w:val="20"/>
          <w:szCs w:val="20"/>
        </w:rPr>
        <w:t>en compañía de elementos de su corporación</w:t>
      </w:r>
      <w:r w:rsidR="00533C16" w:rsidRPr="00201EE6">
        <w:rPr>
          <w:rFonts w:ascii="Verdana" w:hAnsi="Verdana"/>
          <w:sz w:val="20"/>
          <w:szCs w:val="20"/>
        </w:rPr>
        <w:t>–</w:t>
      </w:r>
      <w:r w:rsidR="00903628" w:rsidRPr="00201EE6">
        <w:rPr>
          <w:rFonts w:ascii="Verdana" w:hAnsi="Verdana"/>
          <w:color w:val="000000"/>
          <w:sz w:val="20"/>
          <w:szCs w:val="20"/>
        </w:rPr>
        <w:t xml:space="preserve"> (</w:t>
      </w:r>
      <w:r w:rsidR="00903628" w:rsidRPr="00201EE6">
        <w:rPr>
          <w:rFonts w:ascii="Verdana" w:hAnsi="Verdana"/>
          <w:i/>
          <w:color w:val="000000"/>
          <w:sz w:val="20"/>
          <w:szCs w:val="20"/>
        </w:rPr>
        <w:t>supra</w:t>
      </w:r>
      <w:r w:rsidR="00903628" w:rsidRPr="00201EE6">
        <w:rPr>
          <w:rFonts w:ascii="Verdana" w:hAnsi="Verdana"/>
          <w:color w:val="000000"/>
          <w:sz w:val="20"/>
          <w:szCs w:val="20"/>
        </w:rPr>
        <w:t xml:space="preserve"> párr</w:t>
      </w:r>
      <w:r w:rsidR="00500479">
        <w:rPr>
          <w:rFonts w:ascii="Verdana" w:hAnsi="Verdana"/>
          <w:color w:val="000000"/>
          <w:sz w:val="20"/>
          <w:szCs w:val="20"/>
        </w:rPr>
        <w:t>s</w:t>
      </w:r>
      <w:r w:rsidR="00903628" w:rsidRPr="00201EE6">
        <w:rPr>
          <w:rFonts w:ascii="Verdana" w:hAnsi="Verdana"/>
          <w:color w:val="000000"/>
          <w:sz w:val="20"/>
          <w:szCs w:val="20"/>
        </w:rPr>
        <w:t xml:space="preserve">. </w:t>
      </w:r>
      <w:r w:rsidR="00500479">
        <w:rPr>
          <w:rFonts w:ascii="Verdana" w:hAnsi="Verdana"/>
          <w:color w:val="000000"/>
          <w:sz w:val="20"/>
          <w:szCs w:val="20"/>
        </w:rPr>
        <w:t>87 y 88</w:t>
      </w:r>
      <w:r w:rsidR="00903628" w:rsidRPr="00201EE6">
        <w:rPr>
          <w:rFonts w:ascii="Verdana" w:hAnsi="Verdana"/>
          <w:color w:val="000000"/>
          <w:sz w:val="20"/>
          <w:szCs w:val="20"/>
        </w:rPr>
        <w:t xml:space="preserve">) y, posteriormente, </w:t>
      </w:r>
      <w:r w:rsidR="00903628" w:rsidRPr="00201EE6">
        <w:rPr>
          <w:rFonts w:ascii="Verdana" w:eastAsia="Times New Roman" w:hAnsi="Verdana" w:cs="Times New Roman"/>
          <w:color w:val="000000"/>
          <w:sz w:val="20"/>
          <w:szCs w:val="20"/>
          <w:lang w:eastAsia="es-MX"/>
        </w:rPr>
        <w:t xml:space="preserve">el </w:t>
      </w:r>
      <w:r w:rsidR="00903628" w:rsidRPr="00201EE6">
        <w:rPr>
          <w:rFonts w:ascii="Verdana" w:hAnsi="Verdana"/>
          <w:color w:val="000000"/>
          <w:sz w:val="20"/>
          <w:szCs w:val="20"/>
        </w:rPr>
        <w:t>Agente Ministerial de la Agencia Estatal de Investigación en Nuevo Casas Grandes, Oscar Arias Campo</w:t>
      </w:r>
      <w:r w:rsidR="00903628">
        <w:rPr>
          <w:rStyle w:val="FootnoteReference"/>
          <w:rFonts w:ascii="Verdana" w:eastAsia="Times New Roman" w:hAnsi="Verdana" w:cs="Times New Roman"/>
          <w:color w:val="000000"/>
          <w:sz w:val="20"/>
          <w:szCs w:val="20"/>
          <w:lang w:eastAsia="es-MX"/>
        </w:rPr>
        <w:footnoteReference w:id="447"/>
      </w:r>
      <w:r w:rsidR="00903628" w:rsidRPr="00201EE6">
        <w:rPr>
          <w:rFonts w:ascii="Verdana" w:hAnsi="Verdana"/>
          <w:color w:val="000000"/>
          <w:sz w:val="20"/>
          <w:szCs w:val="20"/>
        </w:rPr>
        <w:t>,</w:t>
      </w:r>
      <w:r w:rsidR="00903628" w:rsidRPr="00201EE6">
        <w:rPr>
          <w:rFonts w:ascii="Verdana" w:eastAsia="Times New Roman" w:hAnsi="Verdana" w:cs="Times New Roman"/>
          <w:color w:val="000000"/>
          <w:sz w:val="20"/>
          <w:szCs w:val="20"/>
          <w:lang w:eastAsia="es-MX"/>
        </w:rPr>
        <w:t xml:space="preserve"> </w:t>
      </w:r>
      <w:r w:rsidR="00903628" w:rsidRPr="00201EE6">
        <w:rPr>
          <w:rFonts w:ascii="Verdana" w:hAnsi="Verdana"/>
          <w:color w:val="000000"/>
          <w:sz w:val="20"/>
          <w:szCs w:val="20"/>
        </w:rPr>
        <w:t>iniciaron labores de búsqueda, concretamente, “un operativo que consistía en [la] revisión de vehículos”</w:t>
      </w:r>
      <w:r w:rsidR="00903628">
        <w:rPr>
          <w:rStyle w:val="FootnoteReference"/>
          <w:rFonts w:ascii="Verdana" w:hAnsi="Verdana"/>
          <w:color w:val="000000"/>
          <w:sz w:val="20"/>
          <w:szCs w:val="20"/>
        </w:rPr>
        <w:footnoteReference w:id="448"/>
      </w:r>
      <w:r w:rsidR="00903628" w:rsidRPr="00201EE6">
        <w:rPr>
          <w:rFonts w:ascii="Verdana" w:hAnsi="Verdana"/>
          <w:color w:val="000000"/>
          <w:sz w:val="20"/>
          <w:szCs w:val="20"/>
        </w:rPr>
        <w:t xml:space="preserve">. </w:t>
      </w:r>
    </w:p>
    <w:p w14:paraId="64AA6075" w14:textId="20AE52B9" w:rsidR="00201EE6" w:rsidRPr="00813B72" w:rsidRDefault="00903628" w:rsidP="00DB378B">
      <w:pPr>
        <w:widowControl w:val="0"/>
        <w:numPr>
          <w:ilvl w:val="0"/>
          <w:numId w:val="4"/>
        </w:numPr>
        <w:tabs>
          <w:tab w:val="left" w:pos="567"/>
        </w:tabs>
        <w:autoSpaceDE w:val="0"/>
        <w:autoSpaceDN w:val="0"/>
        <w:adjustRightInd w:val="0"/>
        <w:spacing w:before="120" w:after="120" w:line="240" w:lineRule="auto"/>
        <w:ind w:left="0" w:firstLine="0"/>
        <w:jc w:val="both"/>
        <w:textAlignment w:val="baseline"/>
        <w:rPr>
          <w:rFonts w:ascii="Verdana" w:eastAsia="SimSun" w:hAnsi="Verdana" w:cs="Arial"/>
          <w:sz w:val="20"/>
          <w:szCs w:val="20"/>
          <w:lang w:val="es-CR" w:eastAsia="es-CR"/>
        </w:rPr>
      </w:pPr>
      <w:r w:rsidRPr="00201EE6">
        <w:rPr>
          <w:rFonts w:ascii="Verdana" w:hAnsi="Verdana"/>
          <w:color w:val="000000"/>
          <w:sz w:val="20"/>
          <w:szCs w:val="20"/>
        </w:rPr>
        <w:t xml:space="preserve">Durante la realización de dicho operativo, los agentes llevaron a cabo las siguientes actuaciones: a) la </w:t>
      </w:r>
      <w:r w:rsidRPr="00201EE6">
        <w:rPr>
          <w:rFonts w:ascii="Verdana" w:hAnsi="Verdana"/>
          <w:sz w:val="20"/>
          <w:szCs w:val="20"/>
        </w:rPr>
        <w:t>Policía Seccional del poblado Benito Juárez</w:t>
      </w:r>
      <w:r w:rsidRPr="00201EE6" w:rsidDel="00763E69">
        <w:rPr>
          <w:rFonts w:ascii="Verdana" w:hAnsi="Verdana"/>
          <w:color w:val="000000"/>
          <w:sz w:val="20"/>
          <w:szCs w:val="20"/>
        </w:rPr>
        <w:t xml:space="preserve"> </w:t>
      </w:r>
      <w:r w:rsidRPr="00201EE6">
        <w:rPr>
          <w:rFonts w:ascii="Verdana" w:hAnsi="Verdana"/>
          <w:color w:val="000000"/>
          <w:sz w:val="20"/>
          <w:szCs w:val="20"/>
        </w:rPr>
        <w:t>llevó a cabo el descubrimiento y resguardo de una fogata en la que, aparentemente, se habían quemado un chaleco y una pistola</w:t>
      </w:r>
      <w:r>
        <w:rPr>
          <w:rStyle w:val="FootnoteReference"/>
          <w:rFonts w:ascii="Verdana" w:hAnsi="Verdana"/>
          <w:color w:val="000000"/>
          <w:sz w:val="20"/>
          <w:szCs w:val="20"/>
        </w:rPr>
        <w:footnoteReference w:id="449"/>
      </w:r>
      <w:r w:rsidRPr="00201EE6">
        <w:rPr>
          <w:rFonts w:ascii="Verdana" w:hAnsi="Verdana"/>
          <w:color w:val="000000"/>
          <w:sz w:val="20"/>
          <w:szCs w:val="20"/>
        </w:rPr>
        <w:t xml:space="preserve">, y posteriormente las puso a disposición de la autoridad ministerial, quien </w:t>
      </w:r>
      <w:r w:rsidRPr="00201EE6">
        <w:rPr>
          <w:rFonts w:ascii="Verdana" w:eastAsia="Times New Roman" w:hAnsi="Verdana" w:cs="Times New Roman"/>
          <w:color w:val="000000"/>
          <w:sz w:val="20"/>
          <w:szCs w:val="20"/>
          <w:lang w:eastAsia="es-MX"/>
        </w:rPr>
        <w:t xml:space="preserve">tomó </w:t>
      </w:r>
      <w:r w:rsidRPr="00201EE6">
        <w:rPr>
          <w:rFonts w:ascii="Verdana" w:eastAsia="Times New Roman" w:hAnsi="Verdana" w:cs="Times New Roman"/>
          <w:color w:val="000000"/>
          <w:sz w:val="20"/>
          <w:szCs w:val="20"/>
          <w:lang w:eastAsia="es-MX"/>
        </w:rPr>
        <w:lastRenderedPageBreak/>
        <w:t>evidencia fotográfica y recolectó los artículos quemados</w:t>
      </w:r>
      <w:r w:rsidRPr="00201EE6">
        <w:rPr>
          <w:rFonts w:ascii="Verdana" w:hAnsi="Verdana"/>
          <w:color w:val="000000"/>
          <w:sz w:val="20"/>
          <w:szCs w:val="20"/>
        </w:rPr>
        <w:t xml:space="preserve">; b) la </w:t>
      </w:r>
      <w:r w:rsidRPr="00201EE6">
        <w:rPr>
          <w:rFonts w:ascii="Verdana" w:hAnsi="Verdana"/>
          <w:sz w:val="20"/>
          <w:szCs w:val="20"/>
        </w:rPr>
        <w:t>Policía Seccional</w:t>
      </w:r>
      <w:r w:rsidRPr="00201EE6" w:rsidDel="00A70B76">
        <w:rPr>
          <w:rFonts w:ascii="Verdana" w:hAnsi="Verdana"/>
          <w:color w:val="000000"/>
          <w:sz w:val="20"/>
          <w:szCs w:val="20"/>
        </w:rPr>
        <w:t xml:space="preserve"> </w:t>
      </w:r>
      <w:r w:rsidRPr="00201EE6">
        <w:rPr>
          <w:rFonts w:ascii="Verdana" w:hAnsi="Verdana"/>
          <w:color w:val="000000"/>
          <w:sz w:val="20"/>
          <w:szCs w:val="20"/>
        </w:rPr>
        <w:t xml:space="preserve">llevó a cabo el descubrimiento y aseguramiento del vehículo tipo pick up del que los captores sustrajeron a Nitza Paola y José Ángel Alvarado, y después lo puso a disposición de la autoridad ministerial, quien </w:t>
      </w:r>
      <w:r w:rsidRPr="00201EE6">
        <w:rPr>
          <w:rFonts w:ascii="Verdana" w:eastAsia="Times New Roman" w:hAnsi="Verdana" w:cs="Times New Roman"/>
          <w:color w:val="000000"/>
          <w:sz w:val="20"/>
          <w:szCs w:val="20"/>
          <w:lang w:eastAsia="es-MX"/>
        </w:rPr>
        <w:t>tomó una serie fotográfica y a petición del Comandante Castro</w:t>
      </w:r>
      <w:r>
        <w:rPr>
          <w:rStyle w:val="FootnoteReference"/>
          <w:rFonts w:ascii="Verdana" w:eastAsia="Times New Roman" w:hAnsi="Verdana" w:cs="Times New Roman"/>
          <w:color w:val="000000"/>
          <w:sz w:val="20"/>
          <w:szCs w:val="20"/>
          <w:lang w:eastAsia="es-MX"/>
        </w:rPr>
        <w:footnoteReference w:id="450"/>
      </w:r>
      <w:r w:rsidRPr="00201EE6">
        <w:rPr>
          <w:rFonts w:ascii="Verdana" w:eastAsia="Times New Roman" w:hAnsi="Verdana" w:cs="Times New Roman"/>
          <w:color w:val="000000"/>
          <w:sz w:val="20"/>
          <w:szCs w:val="20"/>
          <w:lang w:eastAsia="es-MX"/>
        </w:rPr>
        <w:t xml:space="preserve">, llevó a cabo el traslado de la camioneta asegurada a los patios de la Agencia Estatal de Investigación de Nuevo Casas Grandes, Chihuahua, para su resguardo, siendo escoltado </w:t>
      </w:r>
      <w:r w:rsidRPr="00201EE6">
        <w:rPr>
          <w:rFonts w:ascii="Verdana" w:hAnsi="Verdana"/>
          <w:color w:val="000000"/>
          <w:sz w:val="20"/>
          <w:szCs w:val="20"/>
        </w:rPr>
        <w:t xml:space="preserve">por la </w:t>
      </w:r>
      <w:r w:rsidRPr="00201EE6">
        <w:rPr>
          <w:rFonts w:ascii="Verdana" w:hAnsi="Verdana"/>
          <w:sz w:val="20"/>
          <w:szCs w:val="20"/>
        </w:rPr>
        <w:t>Policía Seccional</w:t>
      </w:r>
      <w:r w:rsidR="00500479">
        <w:rPr>
          <w:rFonts w:ascii="Verdana" w:hAnsi="Verdana"/>
          <w:color w:val="000000"/>
          <w:sz w:val="20"/>
          <w:szCs w:val="20"/>
        </w:rPr>
        <w:t>,</w:t>
      </w:r>
      <w:r w:rsidRPr="00201EE6">
        <w:rPr>
          <w:rFonts w:ascii="Verdana" w:hAnsi="Verdana"/>
          <w:color w:val="000000"/>
          <w:sz w:val="20"/>
          <w:szCs w:val="20"/>
        </w:rPr>
        <w:t xml:space="preserve"> y </w:t>
      </w:r>
      <w:r w:rsidR="005738A1">
        <w:rPr>
          <w:rFonts w:ascii="Verdana" w:hAnsi="Verdana"/>
          <w:color w:val="000000"/>
          <w:sz w:val="20"/>
          <w:szCs w:val="20"/>
        </w:rPr>
        <w:t>c</w:t>
      </w:r>
      <w:r w:rsidRPr="00201EE6">
        <w:rPr>
          <w:rFonts w:ascii="Verdana" w:hAnsi="Verdana"/>
          <w:color w:val="000000"/>
          <w:sz w:val="20"/>
          <w:szCs w:val="20"/>
        </w:rPr>
        <w:t xml:space="preserve">) la </w:t>
      </w:r>
      <w:r w:rsidRPr="00201EE6">
        <w:rPr>
          <w:rFonts w:ascii="Verdana" w:hAnsi="Verdana"/>
          <w:sz w:val="20"/>
          <w:szCs w:val="20"/>
        </w:rPr>
        <w:t xml:space="preserve">Policía Seccional </w:t>
      </w:r>
      <w:r w:rsidRPr="00201EE6">
        <w:rPr>
          <w:rFonts w:ascii="Verdana" w:hAnsi="Verdana"/>
          <w:color w:val="000000"/>
          <w:sz w:val="20"/>
          <w:szCs w:val="20"/>
        </w:rPr>
        <w:t xml:space="preserve">llevó a cabo revisiones por brechas o “lugares sospechosos”, mientras que la autoridad ministerial </w:t>
      </w:r>
      <w:r w:rsidRPr="00201EE6">
        <w:rPr>
          <w:rFonts w:ascii="Verdana" w:eastAsia="Times New Roman" w:hAnsi="Verdana" w:cs="Times New Roman"/>
          <w:color w:val="000000"/>
          <w:sz w:val="20"/>
          <w:szCs w:val="20"/>
          <w:lang w:eastAsia="es-MX"/>
        </w:rPr>
        <w:t>hizo recorridos por el pueblo para buscar vehículos o personas sospechosas.</w:t>
      </w:r>
      <w:r w:rsidRPr="00201EE6">
        <w:rPr>
          <w:rFonts w:ascii="Verdana" w:hAnsi="Verdana"/>
          <w:color w:val="000000"/>
          <w:sz w:val="20"/>
          <w:szCs w:val="20"/>
        </w:rPr>
        <w:t xml:space="preserve"> También consta que el día 30 de diciembre se suspendieron las labores de búsqueda de la policía a petición de</w:t>
      </w:r>
      <w:r w:rsidR="00B726A6">
        <w:rPr>
          <w:rFonts w:ascii="Verdana" w:hAnsi="Verdana"/>
          <w:color w:val="000000"/>
          <w:sz w:val="20"/>
          <w:szCs w:val="20"/>
        </w:rPr>
        <w:t xml:space="preserve"> un familiar</w:t>
      </w:r>
      <w:r w:rsidRPr="00201EE6">
        <w:rPr>
          <w:rFonts w:ascii="Verdana" w:hAnsi="Verdana"/>
          <w:color w:val="000000"/>
          <w:sz w:val="20"/>
          <w:szCs w:val="20"/>
        </w:rPr>
        <w:t xml:space="preserve"> </w:t>
      </w:r>
      <w:r w:rsidR="00B726A6">
        <w:rPr>
          <w:rFonts w:ascii="Verdana" w:hAnsi="Verdana"/>
          <w:color w:val="000000"/>
          <w:sz w:val="20"/>
          <w:szCs w:val="20"/>
        </w:rPr>
        <w:t>(</w:t>
      </w:r>
      <w:r w:rsidRPr="00B726A6">
        <w:rPr>
          <w:rFonts w:ascii="Verdana" w:hAnsi="Verdana"/>
          <w:color w:val="000000"/>
          <w:sz w:val="20"/>
          <w:szCs w:val="20"/>
        </w:rPr>
        <w:t>Manuel Reyes</w:t>
      </w:r>
      <w:r w:rsidR="00B726A6">
        <w:rPr>
          <w:rFonts w:ascii="Verdana" w:hAnsi="Verdana"/>
          <w:color w:val="000000"/>
          <w:sz w:val="20"/>
          <w:szCs w:val="20"/>
        </w:rPr>
        <w:t>)</w:t>
      </w:r>
      <w:r w:rsidRPr="00201EE6">
        <w:rPr>
          <w:rFonts w:ascii="Verdana" w:hAnsi="Verdana"/>
          <w:color w:val="000000"/>
          <w:sz w:val="20"/>
          <w:szCs w:val="20"/>
        </w:rPr>
        <w:t>, por la supuesta localización de las víctimas</w:t>
      </w:r>
      <w:r>
        <w:rPr>
          <w:rStyle w:val="FootnoteReference"/>
          <w:rFonts w:ascii="Verdana" w:hAnsi="Verdana"/>
          <w:color w:val="000000"/>
          <w:sz w:val="20"/>
          <w:szCs w:val="20"/>
        </w:rPr>
        <w:footnoteReference w:id="451"/>
      </w:r>
      <w:r w:rsidRPr="00201EE6">
        <w:rPr>
          <w:rFonts w:ascii="Verdana" w:hAnsi="Verdana"/>
          <w:color w:val="000000"/>
          <w:sz w:val="20"/>
          <w:szCs w:val="20"/>
        </w:rPr>
        <w:t>.</w:t>
      </w:r>
    </w:p>
    <w:p w14:paraId="64AA6077" w14:textId="5F5D2CDD" w:rsidR="00201EE6" w:rsidRPr="00813B72" w:rsidRDefault="00903628" w:rsidP="00DB378B">
      <w:pPr>
        <w:widowControl w:val="0"/>
        <w:numPr>
          <w:ilvl w:val="0"/>
          <w:numId w:val="4"/>
        </w:numPr>
        <w:tabs>
          <w:tab w:val="left" w:pos="567"/>
        </w:tabs>
        <w:autoSpaceDE w:val="0"/>
        <w:autoSpaceDN w:val="0"/>
        <w:adjustRightInd w:val="0"/>
        <w:spacing w:before="120" w:after="120" w:line="240" w:lineRule="auto"/>
        <w:ind w:left="0" w:firstLine="0"/>
        <w:jc w:val="both"/>
        <w:textAlignment w:val="baseline"/>
        <w:rPr>
          <w:rFonts w:ascii="Verdana" w:eastAsia="SimSun" w:hAnsi="Verdana" w:cs="Arial"/>
          <w:sz w:val="20"/>
          <w:szCs w:val="20"/>
          <w:lang w:val="es-CR" w:eastAsia="es-CR"/>
        </w:rPr>
      </w:pPr>
      <w:r w:rsidRPr="00201EE6">
        <w:rPr>
          <w:rFonts w:ascii="Verdana" w:hAnsi="Verdana"/>
          <w:sz w:val="20"/>
          <w:szCs w:val="20"/>
          <w:lang w:val="es-EC"/>
        </w:rPr>
        <w:t xml:space="preserve">Este Tribunal observa que las diligencias llevadas a cabo por el agente </w:t>
      </w:r>
      <w:r w:rsidR="00B726A6">
        <w:rPr>
          <w:rFonts w:ascii="Verdana" w:hAnsi="Verdana"/>
          <w:sz w:val="20"/>
          <w:szCs w:val="20"/>
          <w:lang w:val="es-EC"/>
        </w:rPr>
        <w:t xml:space="preserve">ministerial </w:t>
      </w:r>
      <w:r w:rsidRPr="00201EE6">
        <w:rPr>
          <w:rFonts w:ascii="Verdana" w:hAnsi="Verdana"/>
          <w:sz w:val="20"/>
          <w:szCs w:val="20"/>
          <w:lang w:val="es-EC"/>
        </w:rPr>
        <w:t xml:space="preserve">Arias </w:t>
      </w:r>
      <w:r w:rsidR="000C30AB">
        <w:rPr>
          <w:rFonts w:ascii="Verdana" w:hAnsi="Verdana"/>
          <w:sz w:val="20"/>
          <w:szCs w:val="20"/>
          <w:lang w:val="es-EC"/>
        </w:rPr>
        <w:t>Oc</w:t>
      </w:r>
      <w:r w:rsidRPr="00201EE6">
        <w:rPr>
          <w:rFonts w:ascii="Verdana" w:hAnsi="Verdana"/>
          <w:sz w:val="20"/>
          <w:szCs w:val="20"/>
          <w:lang w:val="es-EC"/>
        </w:rPr>
        <w:t xml:space="preserve">ampo, si bien las realizó el mismo día en que tuvo conocimiento de los hechos, no implicaron una respuesta inmediata y oficiosa tendiente a la localización de las víctimas o la determinación de los responsables. Por el contrario, de la propia acta levantada por éste se desprende que la evidencia e información recolectada se pondría a disposición del ministerio público, posteriormente, “si éste </w:t>
      </w:r>
      <w:r w:rsidR="00C87F01">
        <w:rPr>
          <w:rFonts w:ascii="Verdana" w:hAnsi="Verdana"/>
          <w:sz w:val="20"/>
          <w:szCs w:val="20"/>
          <w:lang w:val="es-EC"/>
        </w:rPr>
        <w:t>[</w:t>
      </w:r>
      <w:r w:rsidRPr="00201EE6">
        <w:rPr>
          <w:rFonts w:ascii="Verdana" w:hAnsi="Verdana"/>
          <w:sz w:val="20"/>
          <w:szCs w:val="20"/>
          <w:lang w:val="es-EC"/>
        </w:rPr>
        <w:t>se</w:t>
      </w:r>
      <w:r w:rsidR="00C87F01">
        <w:rPr>
          <w:rFonts w:ascii="Verdana" w:hAnsi="Verdana"/>
          <w:sz w:val="20"/>
          <w:szCs w:val="20"/>
          <w:lang w:val="es-EC"/>
        </w:rPr>
        <w:t>]</w:t>
      </w:r>
      <w:r w:rsidRPr="00201EE6">
        <w:rPr>
          <w:rFonts w:ascii="Verdana" w:hAnsi="Verdana"/>
          <w:sz w:val="20"/>
          <w:szCs w:val="20"/>
          <w:lang w:val="es-EC"/>
        </w:rPr>
        <w:t xml:space="preserve"> las requería”</w:t>
      </w:r>
      <w:r>
        <w:rPr>
          <w:rStyle w:val="FootnoteReference"/>
          <w:rFonts w:ascii="Verdana" w:hAnsi="Verdana"/>
          <w:sz w:val="20"/>
          <w:szCs w:val="20"/>
          <w:lang w:val="es-EC"/>
        </w:rPr>
        <w:footnoteReference w:id="452"/>
      </w:r>
      <w:r w:rsidRPr="00201EE6">
        <w:rPr>
          <w:rFonts w:ascii="Verdana" w:hAnsi="Verdana"/>
          <w:sz w:val="20"/>
          <w:szCs w:val="20"/>
          <w:lang w:val="es-EC"/>
        </w:rPr>
        <w:t xml:space="preserve">. De hecho, consta en el expediente que dicho material fue remitido al </w:t>
      </w:r>
      <w:r w:rsidR="00C87F01">
        <w:rPr>
          <w:rFonts w:ascii="Verdana" w:hAnsi="Verdana"/>
          <w:sz w:val="20"/>
          <w:szCs w:val="20"/>
          <w:lang w:val="es-EC"/>
        </w:rPr>
        <w:t>AMP-Buenaventura</w:t>
      </w:r>
      <w:r w:rsidRPr="00201EE6">
        <w:rPr>
          <w:rFonts w:ascii="Verdana" w:hAnsi="Verdana"/>
          <w:sz w:val="20"/>
          <w:szCs w:val="20"/>
          <w:lang w:val="es-EC"/>
        </w:rPr>
        <w:t>, hasta el 5 de enero de 2010 (</w:t>
      </w:r>
      <w:r w:rsidRPr="00201EE6">
        <w:rPr>
          <w:rFonts w:ascii="Verdana" w:hAnsi="Verdana"/>
          <w:i/>
          <w:sz w:val="20"/>
          <w:szCs w:val="20"/>
          <w:lang w:val="es-EC"/>
        </w:rPr>
        <w:t>supra</w:t>
      </w:r>
      <w:r w:rsidRPr="00201EE6">
        <w:rPr>
          <w:rFonts w:ascii="Verdana" w:hAnsi="Verdana"/>
          <w:sz w:val="20"/>
          <w:szCs w:val="20"/>
          <w:lang w:val="es-EC"/>
        </w:rPr>
        <w:t xml:space="preserve"> párr. 1</w:t>
      </w:r>
      <w:r w:rsidR="00C87F01">
        <w:rPr>
          <w:rFonts w:ascii="Verdana" w:hAnsi="Verdana"/>
          <w:sz w:val="20"/>
          <w:szCs w:val="20"/>
          <w:lang w:val="es-EC"/>
        </w:rPr>
        <w:t>0</w:t>
      </w:r>
      <w:r w:rsidRPr="00201EE6">
        <w:rPr>
          <w:rFonts w:ascii="Verdana" w:hAnsi="Verdana"/>
          <w:sz w:val="20"/>
          <w:szCs w:val="20"/>
          <w:lang w:val="es-EC"/>
        </w:rPr>
        <w:t xml:space="preserve">4); es decir, seis días después de tener conocimiento de los hechos, y con posterioridad también, a la presentación de las denuncias de Patricia Reyes Rueda y María de Jesús </w:t>
      </w:r>
      <w:r w:rsidR="00C87F01">
        <w:rPr>
          <w:rFonts w:ascii="Verdana" w:hAnsi="Verdana"/>
          <w:sz w:val="20"/>
          <w:szCs w:val="20"/>
          <w:lang w:val="es-EC"/>
        </w:rPr>
        <w:t xml:space="preserve">Alvarado </w:t>
      </w:r>
      <w:r w:rsidRPr="00201EE6">
        <w:rPr>
          <w:rFonts w:ascii="Verdana" w:hAnsi="Verdana"/>
          <w:sz w:val="20"/>
          <w:szCs w:val="20"/>
          <w:lang w:val="es-EC"/>
        </w:rPr>
        <w:t>Espinoza ante dicha autoridad (</w:t>
      </w:r>
      <w:r w:rsidRPr="00201EE6">
        <w:rPr>
          <w:rFonts w:ascii="Verdana" w:hAnsi="Verdana"/>
          <w:i/>
          <w:sz w:val="20"/>
          <w:szCs w:val="20"/>
          <w:lang w:val="es-EC"/>
        </w:rPr>
        <w:t>supra</w:t>
      </w:r>
      <w:r w:rsidRPr="00201EE6">
        <w:rPr>
          <w:rFonts w:ascii="Verdana" w:hAnsi="Verdana"/>
          <w:sz w:val="20"/>
          <w:szCs w:val="20"/>
          <w:lang w:val="es-EC"/>
        </w:rPr>
        <w:t xml:space="preserve"> párr. 1</w:t>
      </w:r>
      <w:r w:rsidR="00C87F01">
        <w:rPr>
          <w:rFonts w:ascii="Verdana" w:hAnsi="Verdana"/>
          <w:sz w:val="20"/>
          <w:szCs w:val="20"/>
          <w:lang w:val="es-EC"/>
        </w:rPr>
        <w:t>03</w:t>
      </w:r>
      <w:r w:rsidRPr="00201EE6">
        <w:rPr>
          <w:rFonts w:ascii="Verdana" w:hAnsi="Verdana"/>
          <w:sz w:val="20"/>
          <w:szCs w:val="20"/>
          <w:lang w:val="es-EC"/>
        </w:rPr>
        <w:t xml:space="preserve">). </w:t>
      </w:r>
    </w:p>
    <w:p w14:paraId="64AA6079" w14:textId="2211003A" w:rsidR="00201EE6" w:rsidRPr="00813B72" w:rsidRDefault="00903628" w:rsidP="00DB378B">
      <w:pPr>
        <w:widowControl w:val="0"/>
        <w:numPr>
          <w:ilvl w:val="0"/>
          <w:numId w:val="4"/>
        </w:numPr>
        <w:tabs>
          <w:tab w:val="left" w:pos="567"/>
        </w:tabs>
        <w:autoSpaceDE w:val="0"/>
        <w:autoSpaceDN w:val="0"/>
        <w:adjustRightInd w:val="0"/>
        <w:spacing w:before="120" w:after="120" w:line="240" w:lineRule="auto"/>
        <w:ind w:left="0" w:firstLine="0"/>
        <w:jc w:val="both"/>
        <w:textAlignment w:val="baseline"/>
        <w:rPr>
          <w:rFonts w:ascii="Verdana" w:eastAsia="SimSun" w:hAnsi="Verdana" w:cs="Arial"/>
          <w:sz w:val="20"/>
          <w:szCs w:val="20"/>
          <w:lang w:val="es-CR" w:eastAsia="es-CR"/>
        </w:rPr>
      </w:pPr>
      <w:r w:rsidRPr="00E53B76">
        <w:rPr>
          <w:rFonts w:ascii="Verdana" w:eastAsia="SimSun" w:hAnsi="Verdana" w:cs="Arial"/>
          <w:sz w:val="20"/>
          <w:szCs w:val="20"/>
          <w:lang w:eastAsia="es-CR"/>
        </w:rPr>
        <w:t xml:space="preserve">Por otro lado, este Tribunal observa que las autoridades que conocieron de primera mano </w:t>
      </w:r>
      <w:r w:rsidR="00E53B76" w:rsidRPr="003F7726">
        <w:rPr>
          <w:rFonts w:ascii="Verdana" w:eastAsia="SimSun" w:hAnsi="Verdana" w:cs="Arial"/>
          <w:sz w:val="20"/>
          <w:szCs w:val="20"/>
          <w:lang w:eastAsia="es-CR"/>
        </w:rPr>
        <w:t xml:space="preserve">incurrieron en diversas omisiones, </w:t>
      </w:r>
      <w:r w:rsidR="00E53B76" w:rsidRPr="003F7726">
        <w:rPr>
          <w:rFonts w:ascii="Verdana" w:eastAsia="SimSun" w:hAnsi="Verdana" w:cs="Arial"/>
          <w:i/>
          <w:sz w:val="20"/>
          <w:szCs w:val="20"/>
          <w:lang w:eastAsia="es-CR"/>
        </w:rPr>
        <w:t>inter alia</w:t>
      </w:r>
      <w:r w:rsidR="00E53B76" w:rsidRPr="003F7726">
        <w:rPr>
          <w:rFonts w:ascii="Verdana" w:eastAsia="SimSun" w:hAnsi="Verdana" w:cs="Arial"/>
          <w:sz w:val="20"/>
          <w:szCs w:val="20"/>
          <w:lang w:eastAsia="es-CR"/>
        </w:rPr>
        <w:t xml:space="preserve">: falta de </w:t>
      </w:r>
      <w:r w:rsidRPr="00CE6C12">
        <w:rPr>
          <w:rFonts w:ascii="Verdana" w:eastAsia="SimSun" w:hAnsi="Verdana" w:cs="Arial"/>
          <w:sz w:val="20"/>
          <w:szCs w:val="20"/>
          <w:lang w:eastAsia="es-CR"/>
        </w:rPr>
        <w:t>asegura</w:t>
      </w:r>
      <w:r w:rsidR="00E53B76" w:rsidRPr="003F7726">
        <w:rPr>
          <w:rFonts w:ascii="Verdana" w:eastAsia="SimSun" w:hAnsi="Verdana" w:cs="Arial"/>
          <w:sz w:val="20"/>
          <w:szCs w:val="20"/>
          <w:lang w:eastAsia="es-CR"/>
        </w:rPr>
        <w:t>miento de la</w:t>
      </w:r>
      <w:r w:rsidR="0092168C">
        <w:rPr>
          <w:rFonts w:ascii="Verdana" w:eastAsia="SimSun" w:hAnsi="Verdana" w:cs="Arial"/>
          <w:sz w:val="20"/>
          <w:szCs w:val="20"/>
          <w:lang w:eastAsia="es-CR"/>
        </w:rPr>
        <w:t>s</w:t>
      </w:r>
      <w:r w:rsidR="00E53B76" w:rsidRPr="003F7726">
        <w:rPr>
          <w:rFonts w:ascii="Verdana" w:eastAsia="SimSun" w:hAnsi="Verdana" w:cs="Arial"/>
          <w:sz w:val="20"/>
          <w:szCs w:val="20"/>
          <w:lang w:eastAsia="es-CR"/>
        </w:rPr>
        <w:t xml:space="preserve"> </w:t>
      </w:r>
      <w:r w:rsidRPr="0021124B">
        <w:rPr>
          <w:rFonts w:ascii="Verdana" w:eastAsia="SimSun" w:hAnsi="Verdana" w:cs="Arial"/>
          <w:sz w:val="20"/>
          <w:szCs w:val="20"/>
          <w:lang w:eastAsia="es-CR"/>
        </w:rPr>
        <w:t>e</w:t>
      </w:r>
      <w:r w:rsidRPr="006A3F76">
        <w:rPr>
          <w:rFonts w:ascii="Verdana" w:eastAsia="SimSun" w:hAnsi="Verdana" w:cs="Arial"/>
          <w:sz w:val="20"/>
          <w:szCs w:val="20"/>
          <w:lang w:eastAsia="es-CR"/>
        </w:rPr>
        <w:t xml:space="preserve">scenas del crimen </w:t>
      </w:r>
      <w:r w:rsidR="00E53B76" w:rsidRPr="003F7726">
        <w:rPr>
          <w:rFonts w:ascii="Verdana" w:eastAsia="SimSun" w:hAnsi="Verdana" w:cs="Arial"/>
          <w:sz w:val="20"/>
          <w:szCs w:val="20"/>
          <w:lang w:eastAsia="es-CR"/>
        </w:rPr>
        <w:t xml:space="preserve">y </w:t>
      </w:r>
      <w:r w:rsidRPr="00CE6C12">
        <w:rPr>
          <w:rFonts w:ascii="Verdana" w:eastAsia="SimSun" w:hAnsi="Verdana" w:cs="Arial"/>
          <w:sz w:val="20"/>
          <w:szCs w:val="20"/>
          <w:lang w:eastAsia="es-CR"/>
        </w:rPr>
        <w:t>recolección de evidencia adicional en las inmediaciones de la zona de fogata o de la camioneta</w:t>
      </w:r>
      <w:r w:rsidR="00E53B76" w:rsidRPr="003F7726">
        <w:rPr>
          <w:rFonts w:ascii="Verdana" w:eastAsia="SimSun" w:hAnsi="Verdana" w:cs="Arial"/>
          <w:sz w:val="20"/>
          <w:szCs w:val="20"/>
          <w:lang w:eastAsia="es-CR"/>
        </w:rPr>
        <w:t xml:space="preserve"> y su interior</w:t>
      </w:r>
      <w:r w:rsidRPr="0021124B">
        <w:rPr>
          <w:rFonts w:ascii="Verdana" w:eastAsia="SimSun" w:hAnsi="Verdana" w:cs="Arial"/>
          <w:sz w:val="20"/>
          <w:szCs w:val="20"/>
          <w:lang w:eastAsia="es-CR"/>
        </w:rPr>
        <w:t xml:space="preserve"> (</w:t>
      </w:r>
      <w:r w:rsidRPr="0021124B">
        <w:rPr>
          <w:rFonts w:ascii="Verdana" w:eastAsia="SimSun" w:hAnsi="Verdana" w:cs="Arial"/>
          <w:i/>
          <w:sz w:val="20"/>
          <w:szCs w:val="20"/>
          <w:lang w:eastAsia="es-CR"/>
        </w:rPr>
        <w:t>supra</w:t>
      </w:r>
      <w:r w:rsidRPr="006A3F76">
        <w:rPr>
          <w:rFonts w:ascii="Verdana" w:eastAsia="SimSun" w:hAnsi="Verdana" w:cs="Arial"/>
          <w:sz w:val="20"/>
          <w:szCs w:val="20"/>
          <w:lang w:eastAsia="es-CR"/>
        </w:rPr>
        <w:t xml:space="preserve"> párr. </w:t>
      </w:r>
      <w:r w:rsidR="0092168C">
        <w:rPr>
          <w:rFonts w:ascii="Verdana" w:eastAsia="SimSun" w:hAnsi="Verdana" w:cs="Arial"/>
          <w:sz w:val="20"/>
          <w:szCs w:val="20"/>
          <w:lang w:eastAsia="es-CR"/>
        </w:rPr>
        <w:t>219</w:t>
      </w:r>
      <w:r w:rsidRPr="006A3F76">
        <w:rPr>
          <w:rFonts w:ascii="Verdana" w:eastAsia="SimSun" w:hAnsi="Verdana" w:cs="Arial"/>
          <w:sz w:val="20"/>
          <w:szCs w:val="20"/>
          <w:lang w:eastAsia="es-CR"/>
        </w:rPr>
        <w:t>)</w:t>
      </w:r>
      <w:r w:rsidR="00E53B76" w:rsidRPr="003F7726">
        <w:rPr>
          <w:rFonts w:ascii="Verdana" w:eastAsia="SimSun" w:hAnsi="Verdana" w:cs="Arial"/>
          <w:sz w:val="20"/>
          <w:szCs w:val="20"/>
          <w:lang w:eastAsia="es-CR"/>
        </w:rPr>
        <w:t>;</w:t>
      </w:r>
      <w:r w:rsidRPr="00CE6C12">
        <w:rPr>
          <w:rFonts w:ascii="Verdana" w:eastAsia="SimSun" w:hAnsi="Verdana" w:cs="Arial"/>
          <w:sz w:val="20"/>
          <w:szCs w:val="20"/>
          <w:lang w:eastAsia="es-CR"/>
        </w:rPr>
        <w:t xml:space="preserve"> </w:t>
      </w:r>
      <w:r w:rsidR="00E53B76" w:rsidRPr="003F7726">
        <w:rPr>
          <w:rFonts w:ascii="Verdana" w:eastAsia="SimSun" w:hAnsi="Verdana" w:cs="Arial"/>
          <w:sz w:val="20"/>
          <w:szCs w:val="20"/>
          <w:lang w:eastAsia="es-CR"/>
        </w:rPr>
        <w:t xml:space="preserve">no consta que se haya </w:t>
      </w:r>
      <w:r w:rsidRPr="00CE6C12">
        <w:rPr>
          <w:rFonts w:ascii="Verdana" w:eastAsia="SimSun" w:hAnsi="Verdana" w:cs="Arial"/>
          <w:sz w:val="20"/>
          <w:szCs w:val="20"/>
          <w:lang w:eastAsia="es-CR"/>
        </w:rPr>
        <w:t>asegurado el domicilio de Rocío Ire</w:t>
      </w:r>
      <w:r w:rsidRPr="0021124B">
        <w:rPr>
          <w:rFonts w:ascii="Verdana" w:eastAsia="SimSun" w:hAnsi="Verdana" w:cs="Arial"/>
          <w:sz w:val="20"/>
          <w:szCs w:val="20"/>
          <w:lang w:eastAsia="es-CR"/>
        </w:rPr>
        <w:t>ne</w:t>
      </w:r>
      <w:r w:rsidR="00813B72">
        <w:rPr>
          <w:rFonts w:ascii="Verdana" w:eastAsia="SimSun" w:hAnsi="Verdana" w:cs="Arial"/>
          <w:sz w:val="20"/>
          <w:szCs w:val="20"/>
          <w:lang w:eastAsia="es-CR"/>
        </w:rPr>
        <w:t xml:space="preserve"> </w:t>
      </w:r>
      <w:r w:rsidR="0092168C">
        <w:rPr>
          <w:rFonts w:ascii="Verdana" w:eastAsia="SimSun" w:hAnsi="Verdana" w:cs="Arial"/>
          <w:sz w:val="20"/>
          <w:szCs w:val="20"/>
          <w:lang w:eastAsia="es-CR"/>
        </w:rPr>
        <w:t xml:space="preserve">de </w:t>
      </w:r>
      <w:r w:rsidR="00813B72">
        <w:rPr>
          <w:rFonts w:ascii="Verdana" w:eastAsia="SimSun" w:hAnsi="Verdana" w:cs="Arial"/>
          <w:sz w:val="20"/>
          <w:szCs w:val="20"/>
          <w:lang w:eastAsia="es-CR"/>
        </w:rPr>
        <w:t xml:space="preserve">dónde </w:t>
      </w:r>
      <w:r w:rsidR="00E53B76" w:rsidRPr="003F7726">
        <w:rPr>
          <w:rFonts w:ascii="Verdana" w:eastAsia="SimSun" w:hAnsi="Verdana" w:cs="Arial"/>
          <w:sz w:val="20"/>
          <w:szCs w:val="20"/>
          <w:lang w:eastAsia="es-CR"/>
        </w:rPr>
        <w:t>la sustrajeron</w:t>
      </w:r>
      <w:r w:rsidRPr="00E53B76">
        <w:rPr>
          <w:rFonts w:ascii="Verdana" w:eastAsia="SimSun" w:hAnsi="Verdana" w:cs="Arial"/>
          <w:sz w:val="20"/>
          <w:szCs w:val="20"/>
          <w:lang w:eastAsia="es-CR"/>
        </w:rPr>
        <w:t xml:space="preserve">, ni recolectado evidencia </w:t>
      </w:r>
      <w:r w:rsidR="00E53B76" w:rsidRPr="003F7726">
        <w:rPr>
          <w:rFonts w:ascii="Verdana" w:eastAsia="SimSun" w:hAnsi="Verdana" w:cs="Arial"/>
          <w:sz w:val="20"/>
          <w:szCs w:val="20"/>
          <w:lang w:eastAsia="es-CR"/>
        </w:rPr>
        <w:t>en</w:t>
      </w:r>
      <w:r w:rsidRPr="00E53B76">
        <w:rPr>
          <w:rFonts w:ascii="Verdana" w:eastAsia="SimSun" w:hAnsi="Verdana" w:cs="Arial"/>
          <w:sz w:val="20"/>
          <w:szCs w:val="20"/>
          <w:lang w:eastAsia="es-CR"/>
        </w:rPr>
        <w:t xml:space="preserve"> sus inmediaciones</w:t>
      </w:r>
      <w:r w:rsidR="0092168C">
        <w:rPr>
          <w:rFonts w:ascii="Verdana" w:eastAsia="SimSun" w:hAnsi="Verdana" w:cs="Arial"/>
          <w:sz w:val="20"/>
          <w:szCs w:val="20"/>
          <w:lang w:eastAsia="es-CR"/>
        </w:rPr>
        <w:t>, y</w:t>
      </w:r>
      <w:r w:rsidRPr="006A3F76">
        <w:rPr>
          <w:rFonts w:ascii="Verdana" w:eastAsia="SimSun" w:hAnsi="Verdana" w:cs="Arial"/>
          <w:sz w:val="20"/>
          <w:szCs w:val="20"/>
          <w:lang w:eastAsia="es-CR"/>
        </w:rPr>
        <w:t xml:space="preserve"> </w:t>
      </w:r>
      <w:r w:rsidR="00E53B76" w:rsidRPr="003F7726">
        <w:rPr>
          <w:rFonts w:ascii="Verdana" w:eastAsia="SimSun" w:hAnsi="Verdana" w:cs="Arial"/>
          <w:sz w:val="20"/>
          <w:szCs w:val="20"/>
          <w:lang w:eastAsia="es-CR"/>
        </w:rPr>
        <w:t xml:space="preserve">falta de identificación de </w:t>
      </w:r>
      <w:r w:rsidRPr="00E53B76">
        <w:rPr>
          <w:rFonts w:ascii="Verdana" w:eastAsia="SimSun" w:hAnsi="Verdana" w:cs="Arial"/>
          <w:sz w:val="20"/>
          <w:szCs w:val="20"/>
          <w:lang w:eastAsia="es-CR"/>
        </w:rPr>
        <w:t>los posibles tes</w:t>
      </w:r>
      <w:r w:rsidRPr="00CE6C12">
        <w:rPr>
          <w:rFonts w:ascii="Verdana" w:eastAsia="SimSun" w:hAnsi="Verdana" w:cs="Arial"/>
          <w:sz w:val="20"/>
          <w:szCs w:val="20"/>
          <w:lang w:eastAsia="es-CR"/>
        </w:rPr>
        <w:t>tigos de los hechos distintos a los familiares (como serían los vecinos)</w:t>
      </w:r>
      <w:r w:rsidRPr="00E53B76">
        <w:rPr>
          <w:rStyle w:val="FootnoteReference"/>
          <w:rFonts w:ascii="Verdana" w:eastAsia="SimSun" w:hAnsi="Verdana" w:cs="Arial"/>
          <w:sz w:val="20"/>
          <w:szCs w:val="20"/>
          <w:lang w:eastAsia="es-CR"/>
        </w:rPr>
        <w:footnoteReference w:id="453"/>
      </w:r>
      <w:r w:rsidRPr="00E53B76">
        <w:rPr>
          <w:rFonts w:ascii="Verdana" w:eastAsia="SimSun" w:hAnsi="Verdana" w:cs="Arial"/>
          <w:sz w:val="20"/>
          <w:szCs w:val="20"/>
          <w:lang w:eastAsia="es-CR"/>
        </w:rPr>
        <w:t>.</w:t>
      </w:r>
    </w:p>
    <w:p w14:paraId="64AA607B" w14:textId="66E23BAD" w:rsidR="00201EE6" w:rsidRPr="00813B72" w:rsidRDefault="00903628" w:rsidP="00DB378B">
      <w:pPr>
        <w:widowControl w:val="0"/>
        <w:numPr>
          <w:ilvl w:val="0"/>
          <w:numId w:val="4"/>
        </w:numPr>
        <w:tabs>
          <w:tab w:val="left" w:pos="567"/>
        </w:tabs>
        <w:autoSpaceDE w:val="0"/>
        <w:autoSpaceDN w:val="0"/>
        <w:adjustRightInd w:val="0"/>
        <w:spacing w:before="120" w:after="120" w:line="240" w:lineRule="auto"/>
        <w:ind w:left="0" w:firstLine="0"/>
        <w:jc w:val="both"/>
        <w:textAlignment w:val="baseline"/>
        <w:rPr>
          <w:rFonts w:ascii="Verdana" w:eastAsia="SimSun" w:hAnsi="Verdana" w:cs="Arial"/>
          <w:sz w:val="20"/>
          <w:szCs w:val="20"/>
          <w:lang w:val="es-CR" w:eastAsia="es-CR"/>
        </w:rPr>
      </w:pPr>
      <w:r w:rsidRPr="00201EE6">
        <w:rPr>
          <w:rFonts w:ascii="Verdana" w:eastAsia="SimSun" w:hAnsi="Verdana" w:cs="Arial"/>
          <w:sz w:val="20"/>
          <w:szCs w:val="20"/>
          <w:lang w:eastAsia="es-CR"/>
        </w:rPr>
        <w:t xml:space="preserve">Lo anterior, es contrario a lo sostenido previamente por la Corte respecto de </w:t>
      </w:r>
      <w:r w:rsidRPr="00201EE6">
        <w:rPr>
          <w:rFonts w:ascii="Verdana" w:hAnsi="Verdana"/>
          <w:sz w:val="20"/>
          <w:szCs w:val="20"/>
        </w:rPr>
        <w:t xml:space="preserve">los principios rectores que es preciso observar en investigaciones penales relativas a violaciones de derechos humanos, y que pueden incluir, </w:t>
      </w:r>
      <w:r w:rsidRPr="00201EE6">
        <w:rPr>
          <w:rFonts w:ascii="Verdana" w:hAnsi="Verdana"/>
          <w:i/>
          <w:iCs/>
          <w:sz w:val="20"/>
          <w:szCs w:val="20"/>
        </w:rPr>
        <w:t>inter alia</w:t>
      </w:r>
      <w:r w:rsidRPr="00201EE6">
        <w:rPr>
          <w:rFonts w:ascii="Verdana" w:hAnsi="Verdana"/>
          <w:sz w:val="20"/>
          <w:szCs w:val="20"/>
        </w:rPr>
        <w:t>: recuperar y preservar el material probatorio con el fin de ayudar en cualquier potencial investigación penal de los responsables; identificar posibles testigos y obtener sus declaraciones, y determinar la causa, forma, lugar y momento del hecho investigado. Además, es necesario investigar exhaustivamente la escena del crimen, y se deben realizar análisis en forma rigurosa, por profesionales competentes y empleando los procedimientos más apropiados</w:t>
      </w:r>
      <w:r w:rsidRPr="0051645B">
        <w:rPr>
          <w:rStyle w:val="FootnoteReference"/>
          <w:rFonts w:ascii="Verdana" w:hAnsi="Verdana"/>
          <w:sz w:val="20"/>
          <w:szCs w:val="20"/>
        </w:rPr>
        <w:footnoteReference w:id="454"/>
      </w:r>
      <w:r w:rsidRPr="00201EE6">
        <w:rPr>
          <w:rFonts w:ascii="Verdana" w:hAnsi="Verdana"/>
          <w:sz w:val="20"/>
          <w:szCs w:val="20"/>
        </w:rPr>
        <w:t>. Dichas deficiencias incidieron directamente en el desarrollo y resultado de las investigaciones, ya que sobre ese primer momento no se cuenta en el expediente con hallazgos de huellas, restos o indicios que pudieran llevar a los perpetradores.</w:t>
      </w:r>
    </w:p>
    <w:p w14:paraId="64AA607D" w14:textId="20C8F291" w:rsidR="00201EE6" w:rsidRPr="00813B72" w:rsidRDefault="00B726A6" w:rsidP="00DB378B">
      <w:pPr>
        <w:widowControl w:val="0"/>
        <w:numPr>
          <w:ilvl w:val="0"/>
          <w:numId w:val="4"/>
        </w:numPr>
        <w:tabs>
          <w:tab w:val="left" w:pos="567"/>
        </w:tabs>
        <w:autoSpaceDE w:val="0"/>
        <w:autoSpaceDN w:val="0"/>
        <w:adjustRightInd w:val="0"/>
        <w:spacing w:before="120" w:after="120" w:line="240" w:lineRule="auto"/>
        <w:ind w:left="0" w:firstLine="0"/>
        <w:jc w:val="both"/>
        <w:textAlignment w:val="baseline"/>
        <w:rPr>
          <w:rFonts w:ascii="Verdana" w:eastAsia="SimSun" w:hAnsi="Verdana" w:cs="Arial"/>
          <w:sz w:val="20"/>
          <w:szCs w:val="20"/>
          <w:lang w:val="es-CR" w:eastAsia="es-CR"/>
        </w:rPr>
      </w:pPr>
      <w:r>
        <w:rPr>
          <w:rFonts w:ascii="Verdana" w:hAnsi="Verdana"/>
          <w:sz w:val="20"/>
          <w:szCs w:val="20"/>
          <w:lang w:val="es-EC"/>
        </w:rPr>
        <w:t xml:space="preserve">La Corte también encuentra que, las actuaciones </w:t>
      </w:r>
      <w:r w:rsidR="00BB0467" w:rsidRPr="008D0846">
        <w:rPr>
          <w:rFonts w:ascii="Verdana" w:hAnsi="Verdana"/>
          <w:sz w:val="20"/>
          <w:szCs w:val="20"/>
          <w:lang w:val="es-EC"/>
        </w:rPr>
        <w:t>ante el Ministerio Público</w:t>
      </w:r>
      <w:r w:rsidR="00BB0467">
        <w:rPr>
          <w:rFonts w:ascii="Verdana" w:hAnsi="Verdana"/>
          <w:sz w:val="20"/>
          <w:szCs w:val="20"/>
          <w:lang w:val="es-EC"/>
        </w:rPr>
        <w:t xml:space="preserve"> </w:t>
      </w:r>
      <w:r>
        <w:rPr>
          <w:rFonts w:ascii="Verdana" w:hAnsi="Verdana"/>
          <w:sz w:val="20"/>
          <w:szCs w:val="20"/>
          <w:lang w:val="es-EC"/>
        </w:rPr>
        <w:t xml:space="preserve">en </w:t>
      </w:r>
      <w:r w:rsidR="00903628" w:rsidRPr="00201EE6">
        <w:rPr>
          <w:rFonts w:ascii="Verdana" w:hAnsi="Verdana"/>
          <w:sz w:val="20"/>
          <w:szCs w:val="20"/>
          <w:lang w:val="es-EC"/>
        </w:rPr>
        <w:t xml:space="preserve">las primeras horas se limitaron a algunos recorridos o patrullajes con el objeto de localizar personas o vehículos sospechosos y el aseguramiento </w:t>
      </w:r>
      <w:r w:rsidR="00CE6735">
        <w:rPr>
          <w:rFonts w:ascii="Verdana" w:hAnsi="Verdana"/>
          <w:sz w:val="20"/>
          <w:szCs w:val="20"/>
          <w:lang w:val="es-EC"/>
        </w:rPr>
        <w:t xml:space="preserve">de </w:t>
      </w:r>
      <w:r w:rsidR="00903628" w:rsidRPr="00201EE6">
        <w:rPr>
          <w:rFonts w:ascii="Verdana" w:hAnsi="Verdana"/>
          <w:sz w:val="20"/>
          <w:szCs w:val="20"/>
          <w:lang w:val="es-EC"/>
        </w:rPr>
        <w:t xml:space="preserve">objetos; pues no existe constancia de alguna labor de búsqueda en instalaciones militares a pesar </w:t>
      </w:r>
      <w:r w:rsidR="00CE6735">
        <w:rPr>
          <w:rFonts w:ascii="Verdana" w:hAnsi="Verdana"/>
          <w:sz w:val="20"/>
          <w:szCs w:val="20"/>
          <w:lang w:val="es-EC"/>
        </w:rPr>
        <w:t xml:space="preserve">de </w:t>
      </w:r>
      <w:r w:rsidR="00903628" w:rsidRPr="00201EE6">
        <w:rPr>
          <w:rFonts w:ascii="Verdana" w:hAnsi="Verdana"/>
          <w:sz w:val="20"/>
          <w:szCs w:val="20"/>
          <w:lang w:val="es-EC"/>
        </w:rPr>
        <w:t xml:space="preserve">que, desde el primer momento, las declaraciones de los familiares indicaban la probable participación de miembros de dicha corporación. Según consta en el expediente, hasta el 7 de enero de 2010 se llevó a cabo la </w:t>
      </w:r>
      <w:r w:rsidR="00903628" w:rsidRPr="00201EE6">
        <w:rPr>
          <w:rFonts w:ascii="Verdana" w:hAnsi="Verdana"/>
          <w:sz w:val="20"/>
          <w:szCs w:val="20"/>
          <w:lang w:val="es-EC"/>
        </w:rPr>
        <w:lastRenderedPageBreak/>
        <w:t>primera diligencia de búsqueda de las víctimas en el interior del 35 Batallón de Infantería, que resultó infructuosa; es decir, nueve días después de los hechos</w:t>
      </w:r>
      <w:r w:rsidR="00903628">
        <w:rPr>
          <w:rStyle w:val="FootnoteReference"/>
          <w:rFonts w:ascii="Verdana" w:hAnsi="Verdana"/>
          <w:sz w:val="20"/>
          <w:szCs w:val="20"/>
          <w:lang w:val="es-EC"/>
        </w:rPr>
        <w:footnoteReference w:id="455"/>
      </w:r>
      <w:r w:rsidR="00903628" w:rsidRPr="00201EE6">
        <w:rPr>
          <w:rFonts w:ascii="Verdana" w:hAnsi="Verdana"/>
          <w:sz w:val="20"/>
          <w:szCs w:val="20"/>
          <w:lang w:val="es-EC"/>
        </w:rPr>
        <w:t xml:space="preserve">. Posteriormente, el 10 de enero de 2010 se constituyeron físicamente en dichas instalaciones </w:t>
      </w:r>
      <w:r w:rsidR="00CE5C45">
        <w:rPr>
          <w:rFonts w:ascii="Verdana" w:hAnsi="Verdana"/>
          <w:sz w:val="20"/>
          <w:szCs w:val="20"/>
          <w:lang w:val="es-EC"/>
        </w:rPr>
        <w:t xml:space="preserve">los </w:t>
      </w:r>
      <w:r w:rsidR="00903628" w:rsidRPr="00201EE6">
        <w:rPr>
          <w:rFonts w:ascii="Verdana" w:hAnsi="Verdana"/>
          <w:sz w:val="20"/>
          <w:szCs w:val="20"/>
          <w:lang w:val="es-EC"/>
        </w:rPr>
        <w:t>visitadores de la CNDH</w:t>
      </w:r>
      <w:r w:rsidR="00CE6735">
        <w:rPr>
          <w:rFonts w:ascii="Verdana" w:hAnsi="Verdana"/>
          <w:sz w:val="20"/>
          <w:szCs w:val="20"/>
          <w:lang w:val="es-EC"/>
        </w:rPr>
        <w:t xml:space="preserve"> y de la CEDH</w:t>
      </w:r>
      <w:r w:rsidR="00CA21EB">
        <w:rPr>
          <w:rFonts w:ascii="Verdana" w:hAnsi="Verdana"/>
          <w:sz w:val="20"/>
          <w:szCs w:val="20"/>
          <w:lang w:val="es-EC"/>
        </w:rPr>
        <w:t>-</w:t>
      </w:r>
      <w:r w:rsidR="00CE6735">
        <w:rPr>
          <w:rFonts w:ascii="Verdana" w:hAnsi="Verdana"/>
          <w:sz w:val="20"/>
          <w:szCs w:val="20"/>
          <w:lang w:val="es-EC"/>
        </w:rPr>
        <w:t>Ch</w:t>
      </w:r>
      <w:r w:rsidR="00903628" w:rsidRPr="00201EE6">
        <w:rPr>
          <w:rFonts w:ascii="Verdana" w:hAnsi="Verdana"/>
          <w:sz w:val="20"/>
          <w:szCs w:val="20"/>
          <w:lang w:val="es-EC"/>
        </w:rPr>
        <w:t>, quienes también dejaron constancia que las víctimas no se encontraban en ese lugar</w:t>
      </w:r>
      <w:r w:rsidR="00903628">
        <w:rPr>
          <w:rStyle w:val="FootnoteReference"/>
          <w:rFonts w:ascii="Verdana" w:hAnsi="Verdana"/>
          <w:sz w:val="20"/>
          <w:szCs w:val="20"/>
          <w:lang w:val="es-EC"/>
        </w:rPr>
        <w:footnoteReference w:id="456"/>
      </w:r>
      <w:r w:rsidR="00903628" w:rsidRPr="00201EE6">
        <w:rPr>
          <w:rFonts w:ascii="Verdana" w:hAnsi="Verdana"/>
          <w:sz w:val="20"/>
          <w:szCs w:val="20"/>
          <w:lang w:val="es-EC"/>
        </w:rPr>
        <w:t xml:space="preserve">. </w:t>
      </w:r>
    </w:p>
    <w:p w14:paraId="507B3555" w14:textId="3AC518C3" w:rsidR="00B726A6" w:rsidRPr="00813B72" w:rsidRDefault="00903628" w:rsidP="00DB378B">
      <w:pPr>
        <w:widowControl w:val="0"/>
        <w:numPr>
          <w:ilvl w:val="0"/>
          <w:numId w:val="4"/>
        </w:numPr>
        <w:tabs>
          <w:tab w:val="left" w:pos="567"/>
        </w:tabs>
        <w:autoSpaceDE w:val="0"/>
        <w:autoSpaceDN w:val="0"/>
        <w:adjustRightInd w:val="0"/>
        <w:spacing w:before="120" w:after="120" w:line="240" w:lineRule="auto"/>
        <w:ind w:left="0" w:firstLine="0"/>
        <w:jc w:val="both"/>
        <w:textAlignment w:val="baseline"/>
        <w:rPr>
          <w:rFonts w:ascii="Verdana" w:eastAsia="SimSun" w:hAnsi="Verdana" w:cs="Arial"/>
          <w:sz w:val="20"/>
          <w:szCs w:val="20"/>
          <w:lang w:val="es-CR" w:eastAsia="es-CR"/>
        </w:rPr>
      </w:pPr>
      <w:r w:rsidRPr="00201EE6">
        <w:rPr>
          <w:rFonts w:ascii="Verdana" w:hAnsi="Verdana"/>
          <w:sz w:val="20"/>
          <w:szCs w:val="20"/>
          <w:lang w:val="es-EC"/>
        </w:rPr>
        <w:t>Cabe señalar que ninguna de las primeras autoridades en acudir al 35 Batallón, de acuerdo con la legislación interna, contaba con la facultad de investigar delitos, pues la misma se encuentra reservada para las autoridades ministeriales. En este caso, la primera diligencia de búsqueda realizada dentro del marco de una investigación penal se verificó el 14 de mayo de 2010 (</w:t>
      </w:r>
      <w:r w:rsidR="00FA59AC">
        <w:rPr>
          <w:rFonts w:ascii="Verdana" w:hAnsi="Verdana"/>
          <w:sz w:val="20"/>
          <w:szCs w:val="20"/>
          <w:lang w:val="es-EC"/>
        </w:rPr>
        <w:t xml:space="preserve">5 </w:t>
      </w:r>
      <w:r w:rsidR="00B726A6">
        <w:rPr>
          <w:rFonts w:ascii="Verdana" w:hAnsi="Verdana"/>
          <w:sz w:val="20"/>
          <w:szCs w:val="20"/>
          <w:lang w:val="es-EC"/>
        </w:rPr>
        <w:t xml:space="preserve">meses y medio después </w:t>
      </w:r>
      <w:r w:rsidRPr="00201EE6">
        <w:rPr>
          <w:rFonts w:ascii="Verdana" w:hAnsi="Verdana"/>
          <w:sz w:val="20"/>
          <w:szCs w:val="20"/>
          <w:lang w:val="es-EC"/>
        </w:rPr>
        <w:t>de la</w:t>
      </w:r>
      <w:r w:rsidR="00B726A6">
        <w:rPr>
          <w:rFonts w:ascii="Verdana" w:hAnsi="Verdana"/>
          <w:sz w:val="20"/>
          <w:szCs w:val="20"/>
          <w:lang w:val="es-EC"/>
        </w:rPr>
        <w:t>s desapariciones</w:t>
      </w:r>
      <w:r w:rsidRPr="00201EE6">
        <w:rPr>
          <w:rFonts w:ascii="Verdana" w:hAnsi="Verdana"/>
          <w:sz w:val="20"/>
          <w:szCs w:val="20"/>
          <w:lang w:val="es-EC"/>
        </w:rPr>
        <w:t>)</w:t>
      </w:r>
      <w:r w:rsidR="004A3F07">
        <w:rPr>
          <w:rFonts w:ascii="Verdana" w:hAnsi="Verdana"/>
          <w:sz w:val="20"/>
          <w:szCs w:val="20"/>
          <w:lang w:val="es-EC"/>
        </w:rPr>
        <w:t>,</w:t>
      </w:r>
      <w:r w:rsidRPr="00201EE6">
        <w:rPr>
          <w:rFonts w:ascii="Verdana" w:hAnsi="Verdana"/>
          <w:sz w:val="20"/>
          <w:szCs w:val="20"/>
          <w:lang w:val="es-EC"/>
        </w:rPr>
        <w:t xml:space="preserve"> y estuvo a cargo del Agente del Ministerio Público Militar </w:t>
      </w:r>
      <w:r w:rsidR="004A3F07">
        <w:rPr>
          <w:rFonts w:ascii="Verdana" w:hAnsi="Verdana"/>
          <w:sz w:val="20"/>
          <w:szCs w:val="20"/>
          <w:lang w:val="es-EC"/>
        </w:rPr>
        <w:t>a</w:t>
      </w:r>
      <w:r w:rsidRPr="00201EE6">
        <w:rPr>
          <w:rFonts w:ascii="Verdana" w:hAnsi="Verdana"/>
          <w:sz w:val="20"/>
          <w:szCs w:val="20"/>
          <w:lang w:val="es-EC"/>
        </w:rPr>
        <w:t>dscrito a la Quinta Zona Militar, Mayor de Justicia Militar y Licenciado Gustavo Horacio Leal Estevez. En dicha diligencia, el personal actuante también dejó constancia que las víctimas no se encontraban en las instalaciones del 35 Batallón Militar (</w:t>
      </w:r>
      <w:r w:rsidRPr="00201EE6">
        <w:rPr>
          <w:rFonts w:ascii="Verdana" w:hAnsi="Verdana"/>
          <w:i/>
          <w:sz w:val="20"/>
          <w:szCs w:val="20"/>
          <w:lang w:val="es-EC"/>
        </w:rPr>
        <w:t>supra</w:t>
      </w:r>
      <w:r w:rsidRPr="00201EE6">
        <w:rPr>
          <w:rFonts w:ascii="Verdana" w:hAnsi="Verdana"/>
          <w:sz w:val="20"/>
          <w:szCs w:val="20"/>
          <w:lang w:val="es-EC"/>
        </w:rPr>
        <w:t xml:space="preserve"> párr. 1</w:t>
      </w:r>
      <w:r w:rsidR="004A3F07">
        <w:rPr>
          <w:rFonts w:ascii="Verdana" w:hAnsi="Verdana"/>
          <w:sz w:val="20"/>
          <w:szCs w:val="20"/>
          <w:lang w:val="es-EC"/>
        </w:rPr>
        <w:t>15</w:t>
      </w:r>
      <w:r w:rsidRPr="00201EE6">
        <w:rPr>
          <w:rFonts w:ascii="Verdana" w:hAnsi="Verdana"/>
          <w:sz w:val="20"/>
          <w:szCs w:val="20"/>
          <w:lang w:val="es-EC"/>
        </w:rPr>
        <w:t>).</w:t>
      </w:r>
    </w:p>
    <w:p w14:paraId="4FB792E8" w14:textId="4CA8BD48" w:rsidR="00B726A6" w:rsidRPr="00813B72" w:rsidRDefault="00903628" w:rsidP="00DB378B">
      <w:pPr>
        <w:widowControl w:val="0"/>
        <w:numPr>
          <w:ilvl w:val="0"/>
          <w:numId w:val="4"/>
        </w:numPr>
        <w:tabs>
          <w:tab w:val="left" w:pos="567"/>
        </w:tabs>
        <w:autoSpaceDE w:val="0"/>
        <w:autoSpaceDN w:val="0"/>
        <w:adjustRightInd w:val="0"/>
        <w:spacing w:before="120" w:after="120" w:line="240" w:lineRule="auto"/>
        <w:ind w:left="0" w:firstLine="0"/>
        <w:jc w:val="both"/>
        <w:textAlignment w:val="baseline"/>
        <w:rPr>
          <w:rFonts w:ascii="Verdana" w:eastAsia="SimSun" w:hAnsi="Verdana" w:cs="Arial"/>
          <w:sz w:val="20"/>
          <w:szCs w:val="20"/>
          <w:lang w:val="es-CR" w:eastAsia="es-CR"/>
        </w:rPr>
      </w:pPr>
      <w:r w:rsidRPr="00201EE6">
        <w:rPr>
          <w:rFonts w:ascii="Verdana" w:hAnsi="Verdana"/>
          <w:sz w:val="20"/>
          <w:szCs w:val="20"/>
          <w:lang w:val="es-EC"/>
        </w:rPr>
        <w:t xml:space="preserve">Esta Corte </w:t>
      </w:r>
      <w:r w:rsidR="00B726A6">
        <w:rPr>
          <w:rFonts w:ascii="Verdana" w:hAnsi="Verdana"/>
          <w:sz w:val="20"/>
          <w:szCs w:val="20"/>
          <w:lang w:val="es-EC"/>
        </w:rPr>
        <w:t>estima</w:t>
      </w:r>
      <w:r w:rsidRPr="00201EE6">
        <w:rPr>
          <w:rFonts w:ascii="Verdana" w:hAnsi="Verdana"/>
          <w:sz w:val="20"/>
          <w:szCs w:val="20"/>
          <w:lang w:val="es-EC"/>
        </w:rPr>
        <w:t xml:space="preserve"> que las anteriores diligencias de búsqueda de las víctimas no se dieron con la oportunidad que el caso requería, pues entre la fecha de la desaparición y la realización de la primera </w:t>
      </w:r>
      <w:r w:rsidR="00B726A6">
        <w:rPr>
          <w:rFonts w:ascii="Verdana" w:hAnsi="Verdana"/>
          <w:sz w:val="20"/>
          <w:szCs w:val="20"/>
          <w:lang w:val="es-EC"/>
        </w:rPr>
        <w:t xml:space="preserve">visita (a cargo de </w:t>
      </w:r>
      <w:r w:rsidRPr="00201EE6">
        <w:rPr>
          <w:rFonts w:ascii="Verdana" w:hAnsi="Verdana"/>
          <w:sz w:val="20"/>
          <w:szCs w:val="20"/>
          <w:lang w:val="es-EC"/>
        </w:rPr>
        <w:t>autoridad no ministerial) transcurrieron nueve días; un plazo ex</w:t>
      </w:r>
      <w:r w:rsidR="00B726A6">
        <w:rPr>
          <w:rFonts w:ascii="Verdana" w:hAnsi="Verdana"/>
          <w:sz w:val="20"/>
          <w:szCs w:val="20"/>
          <w:lang w:val="es-EC"/>
        </w:rPr>
        <w:t>cesivo</w:t>
      </w:r>
      <w:r w:rsidRPr="00201EE6">
        <w:rPr>
          <w:rFonts w:ascii="Verdana" w:hAnsi="Verdana"/>
          <w:sz w:val="20"/>
          <w:szCs w:val="20"/>
          <w:lang w:val="es-EC"/>
        </w:rPr>
        <w:t xml:space="preserve"> si se toma en cuenta el riesgo en el que se encontraba la vida e integridad de las víctimas, dada la naturaleza de las violaciones y la posibilidad de que hubieran sido cometidas por agentes estatales, tiempo que, por tanto, resultaba muy valioso para su localización. Sin embargo, ante la actuación tardía de las autoridades la posibilidad de encontrar a las víctimas o determinar a los perpetradores disminuyó considerablemente y de forma irreparable. </w:t>
      </w:r>
    </w:p>
    <w:p w14:paraId="6650BA8B" w14:textId="3653D193" w:rsidR="008A16E0" w:rsidRPr="00813B72" w:rsidRDefault="00B726A6" w:rsidP="00DB378B">
      <w:pPr>
        <w:widowControl w:val="0"/>
        <w:numPr>
          <w:ilvl w:val="0"/>
          <w:numId w:val="4"/>
        </w:numPr>
        <w:tabs>
          <w:tab w:val="left" w:pos="567"/>
        </w:tabs>
        <w:autoSpaceDE w:val="0"/>
        <w:autoSpaceDN w:val="0"/>
        <w:adjustRightInd w:val="0"/>
        <w:spacing w:before="120" w:after="120" w:line="240" w:lineRule="auto"/>
        <w:ind w:left="0" w:firstLine="0"/>
        <w:jc w:val="both"/>
        <w:textAlignment w:val="baseline"/>
        <w:rPr>
          <w:rFonts w:ascii="Verdana" w:eastAsia="SimSun" w:hAnsi="Verdana" w:cs="Arial"/>
          <w:sz w:val="20"/>
          <w:szCs w:val="20"/>
          <w:lang w:val="es-CR" w:eastAsia="es-CR"/>
        </w:rPr>
      </w:pPr>
      <w:r>
        <w:rPr>
          <w:rFonts w:ascii="Verdana" w:hAnsi="Verdana"/>
          <w:sz w:val="20"/>
          <w:szCs w:val="20"/>
          <w:lang w:val="es-EC"/>
        </w:rPr>
        <w:t>A</w:t>
      </w:r>
      <w:r w:rsidR="00903628" w:rsidRPr="00201EE6">
        <w:rPr>
          <w:rFonts w:ascii="Verdana" w:hAnsi="Verdana"/>
          <w:sz w:val="20"/>
          <w:szCs w:val="20"/>
          <w:lang w:val="es-EC"/>
        </w:rPr>
        <w:t xml:space="preserve">demás, </w:t>
      </w:r>
      <w:r w:rsidR="008A16E0">
        <w:rPr>
          <w:rFonts w:ascii="Verdana" w:hAnsi="Verdana"/>
          <w:sz w:val="20"/>
          <w:szCs w:val="20"/>
          <w:lang w:val="es-EC"/>
        </w:rPr>
        <w:t xml:space="preserve">se desprende que </w:t>
      </w:r>
      <w:r w:rsidR="00903628" w:rsidRPr="00201EE6">
        <w:rPr>
          <w:rFonts w:ascii="Verdana" w:hAnsi="Verdana"/>
          <w:sz w:val="20"/>
          <w:szCs w:val="20"/>
          <w:lang w:val="es-EC"/>
        </w:rPr>
        <w:t>las actuaciones no fueron ni exhaustivas ni eficaces, ya que las autoridades se limitaron a certificar que las víctimas no se encontraban presentes en el lugar en ese momento, omitiendo recolectar evidencia que pudiera dar cuenta de su posible paso por dichas instalaciones en algún momento posterior a su desaparición; es decir, entrevistas directas con el personal del 35 Batallón, revisión de bitácoras o registros existentes, entre otras, lo que denota una falta de diligencia.</w:t>
      </w:r>
    </w:p>
    <w:p w14:paraId="64AA6086" w14:textId="2D218C9D" w:rsidR="00201EE6" w:rsidRPr="00813B72" w:rsidRDefault="00903628" w:rsidP="00DB378B">
      <w:pPr>
        <w:widowControl w:val="0"/>
        <w:numPr>
          <w:ilvl w:val="0"/>
          <w:numId w:val="4"/>
        </w:numPr>
        <w:tabs>
          <w:tab w:val="left" w:pos="567"/>
        </w:tabs>
        <w:autoSpaceDE w:val="0"/>
        <w:autoSpaceDN w:val="0"/>
        <w:adjustRightInd w:val="0"/>
        <w:spacing w:before="120" w:after="120" w:line="240" w:lineRule="auto"/>
        <w:ind w:left="0" w:firstLine="0"/>
        <w:jc w:val="both"/>
        <w:textAlignment w:val="baseline"/>
        <w:rPr>
          <w:rFonts w:ascii="Verdana" w:eastAsia="SimSun" w:hAnsi="Verdana" w:cs="Arial"/>
          <w:sz w:val="20"/>
          <w:szCs w:val="20"/>
          <w:lang w:val="es-CR" w:eastAsia="es-CR"/>
        </w:rPr>
      </w:pPr>
      <w:r w:rsidRPr="00201EE6">
        <w:rPr>
          <w:rFonts w:ascii="Verdana" w:hAnsi="Verdana"/>
          <w:sz w:val="20"/>
          <w:szCs w:val="20"/>
          <w:lang w:val="es-EC"/>
        </w:rPr>
        <w:t xml:space="preserve">En este orden de ideas, la Corte considera que el Estado no actuó con </w:t>
      </w:r>
      <w:r w:rsidR="008A16E0">
        <w:rPr>
          <w:rFonts w:ascii="Verdana" w:hAnsi="Verdana"/>
          <w:sz w:val="20"/>
          <w:szCs w:val="20"/>
          <w:lang w:val="es-EC"/>
        </w:rPr>
        <w:t xml:space="preserve">debida diligencia </w:t>
      </w:r>
      <w:r w:rsidRPr="00201EE6">
        <w:rPr>
          <w:rFonts w:ascii="Verdana" w:hAnsi="Verdana"/>
          <w:sz w:val="20"/>
          <w:szCs w:val="20"/>
          <w:lang w:val="es-EC"/>
        </w:rPr>
        <w:t>dentro de las primeras horas y días luego de las denuncias de desaparición, dejando perder horas valiosas</w:t>
      </w:r>
      <w:r w:rsidR="008A16E0">
        <w:rPr>
          <w:rFonts w:ascii="Verdana" w:hAnsi="Verdana"/>
          <w:sz w:val="20"/>
          <w:szCs w:val="20"/>
          <w:lang w:val="es-EC"/>
        </w:rPr>
        <w:t xml:space="preserve"> para efectos de este tipo de casos</w:t>
      </w:r>
      <w:r w:rsidRPr="00201EE6">
        <w:rPr>
          <w:rFonts w:ascii="Verdana" w:hAnsi="Verdana"/>
          <w:sz w:val="20"/>
          <w:szCs w:val="20"/>
          <w:lang w:val="es-EC"/>
        </w:rPr>
        <w:t xml:space="preserve">. </w:t>
      </w:r>
    </w:p>
    <w:p w14:paraId="64AA6088" w14:textId="2D4A3685" w:rsidR="00201EE6" w:rsidRPr="00813B72" w:rsidRDefault="00556FDB">
      <w:pPr>
        <w:pStyle w:val="Heading5"/>
        <w:numPr>
          <w:ilvl w:val="0"/>
          <w:numId w:val="76"/>
        </w:numPr>
        <w:spacing w:before="120" w:after="120"/>
        <w:contextualSpacing w:val="0"/>
        <w:rPr>
          <w:lang w:val="es-CR"/>
        </w:rPr>
      </w:pPr>
      <w:bookmarkStart w:id="255" w:name="_Toc522815030"/>
      <w:bookmarkStart w:id="256" w:name="_Toc526777656"/>
      <w:bookmarkStart w:id="257" w:name="_Toc526778139"/>
      <w:bookmarkStart w:id="258" w:name="_Toc526779391"/>
      <w:bookmarkStart w:id="259" w:name="_Toc526780860"/>
      <w:bookmarkStart w:id="260" w:name="_Toc526783797"/>
      <w:r>
        <w:rPr>
          <w:lang w:val="es-CR"/>
        </w:rPr>
        <w:t xml:space="preserve"> </w:t>
      </w:r>
      <w:bookmarkStart w:id="261" w:name="_Toc532995381"/>
      <w:r w:rsidR="00903628" w:rsidRPr="0008123D">
        <w:rPr>
          <w:lang w:val="es-CR"/>
        </w:rPr>
        <w:t>Sobre la supuesta llamada de Nitza Paola</w:t>
      </w:r>
      <w:bookmarkEnd w:id="255"/>
      <w:bookmarkEnd w:id="256"/>
      <w:bookmarkEnd w:id="257"/>
      <w:bookmarkEnd w:id="258"/>
      <w:bookmarkEnd w:id="259"/>
      <w:bookmarkEnd w:id="260"/>
      <w:r w:rsidR="00386077">
        <w:rPr>
          <w:lang w:val="es-CR"/>
        </w:rPr>
        <w:t xml:space="preserve"> </w:t>
      </w:r>
      <w:r w:rsidR="00386077" w:rsidRPr="008D0846">
        <w:rPr>
          <w:lang w:val="es-CR"/>
        </w:rPr>
        <w:t>Alvarado Espinoza</w:t>
      </w:r>
      <w:bookmarkEnd w:id="261"/>
    </w:p>
    <w:p w14:paraId="64AA608A" w14:textId="67144F20" w:rsidR="00903628" w:rsidRPr="00813B72" w:rsidRDefault="00903628" w:rsidP="00DB378B">
      <w:pPr>
        <w:widowControl w:val="0"/>
        <w:numPr>
          <w:ilvl w:val="0"/>
          <w:numId w:val="4"/>
        </w:numPr>
        <w:tabs>
          <w:tab w:val="left" w:pos="567"/>
        </w:tabs>
        <w:autoSpaceDE w:val="0"/>
        <w:autoSpaceDN w:val="0"/>
        <w:adjustRightInd w:val="0"/>
        <w:spacing w:before="120" w:after="120" w:line="240" w:lineRule="auto"/>
        <w:ind w:left="0" w:firstLine="0"/>
        <w:jc w:val="both"/>
        <w:textAlignment w:val="baseline"/>
        <w:rPr>
          <w:rFonts w:ascii="Verdana" w:hAnsi="Verdana"/>
          <w:sz w:val="20"/>
          <w:szCs w:val="20"/>
          <w:lang w:val="es-ES_tradnl"/>
        </w:rPr>
      </w:pPr>
      <w:r>
        <w:rPr>
          <w:rFonts w:ascii="Verdana" w:hAnsi="Verdana"/>
          <w:sz w:val="20"/>
          <w:szCs w:val="20"/>
          <w:lang w:val="es-ES_tradnl"/>
        </w:rPr>
        <w:t>Respecto</w:t>
      </w:r>
      <w:r w:rsidRPr="004338F3">
        <w:rPr>
          <w:rFonts w:ascii="Verdana" w:hAnsi="Verdana"/>
          <w:sz w:val="20"/>
          <w:szCs w:val="20"/>
          <w:lang w:val="es-ES_tradnl"/>
        </w:rPr>
        <w:t xml:space="preserve"> a la supuesta llamada de auxilio de Nitza Paola</w:t>
      </w:r>
      <w:r w:rsidR="00386077">
        <w:rPr>
          <w:rFonts w:ascii="Verdana" w:hAnsi="Verdana"/>
          <w:sz w:val="20"/>
          <w:szCs w:val="20"/>
          <w:lang w:val="es-ES_tradnl"/>
        </w:rPr>
        <w:t xml:space="preserve"> </w:t>
      </w:r>
      <w:r w:rsidR="00386077" w:rsidRPr="008D0846">
        <w:rPr>
          <w:rFonts w:ascii="Verdana" w:hAnsi="Verdana"/>
          <w:sz w:val="20"/>
          <w:szCs w:val="20"/>
          <w:lang w:val="es-ES_tradnl"/>
        </w:rPr>
        <w:t>Alvarado Espinoza</w:t>
      </w:r>
      <w:r w:rsidR="005E3DBE">
        <w:rPr>
          <w:rFonts w:ascii="Verdana" w:hAnsi="Verdana"/>
          <w:sz w:val="20"/>
          <w:szCs w:val="20"/>
          <w:lang w:val="es-ES_tradnl"/>
        </w:rPr>
        <w:t>,</w:t>
      </w:r>
      <w:r w:rsidRPr="004338F3">
        <w:rPr>
          <w:rFonts w:ascii="Verdana" w:hAnsi="Verdana"/>
          <w:sz w:val="20"/>
          <w:szCs w:val="20"/>
          <w:lang w:val="es-ES_tradnl"/>
        </w:rPr>
        <w:t xml:space="preserve"> al teléfono de una amiga el 3 de febrero de 2010</w:t>
      </w:r>
      <w:r>
        <w:rPr>
          <w:rFonts w:ascii="Verdana" w:hAnsi="Verdana"/>
          <w:sz w:val="20"/>
          <w:szCs w:val="20"/>
          <w:lang w:val="es-ES_tradnl"/>
        </w:rPr>
        <w:t xml:space="preserve"> (</w:t>
      </w:r>
      <w:r w:rsidRPr="007568BA">
        <w:rPr>
          <w:rFonts w:ascii="Verdana" w:hAnsi="Verdana"/>
          <w:i/>
          <w:sz w:val="20"/>
          <w:szCs w:val="20"/>
          <w:lang w:val="es-ES_tradnl"/>
        </w:rPr>
        <w:t>supra</w:t>
      </w:r>
      <w:r>
        <w:rPr>
          <w:rFonts w:ascii="Verdana" w:hAnsi="Verdana"/>
          <w:sz w:val="20"/>
          <w:szCs w:val="20"/>
          <w:lang w:val="es-ES_tradnl"/>
        </w:rPr>
        <w:t xml:space="preserve"> párr. 1</w:t>
      </w:r>
      <w:r w:rsidR="004A3F07">
        <w:rPr>
          <w:rFonts w:ascii="Verdana" w:hAnsi="Verdana"/>
          <w:sz w:val="20"/>
          <w:szCs w:val="20"/>
          <w:lang w:val="es-ES_tradnl"/>
        </w:rPr>
        <w:t>0</w:t>
      </w:r>
      <w:r>
        <w:rPr>
          <w:rFonts w:ascii="Verdana" w:hAnsi="Verdana"/>
          <w:sz w:val="20"/>
          <w:szCs w:val="20"/>
          <w:lang w:val="es-ES_tradnl"/>
        </w:rPr>
        <w:t>0)</w:t>
      </w:r>
      <w:r w:rsidR="00B93CB5">
        <w:rPr>
          <w:rFonts w:ascii="Verdana" w:hAnsi="Verdana"/>
          <w:sz w:val="20"/>
          <w:szCs w:val="20"/>
          <w:lang w:val="es-ES_tradnl"/>
        </w:rPr>
        <w:t>,</w:t>
      </w:r>
      <w:r w:rsidRPr="004338F3">
        <w:rPr>
          <w:rFonts w:ascii="Verdana" w:hAnsi="Verdana"/>
          <w:sz w:val="20"/>
          <w:szCs w:val="20"/>
          <w:lang w:val="es-ES_tradnl"/>
        </w:rPr>
        <w:t xml:space="preserve"> </w:t>
      </w:r>
      <w:r w:rsidR="00B93CB5">
        <w:rPr>
          <w:rFonts w:ascii="Verdana" w:hAnsi="Verdana"/>
          <w:sz w:val="20"/>
          <w:szCs w:val="20"/>
          <w:lang w:val="es-ES_tradnl"/>
        </w:rPr>
        <w:t xml:space="preserve">la Corte nota que </w:t>
      </w:r>
      <w:r w:rsidRPr="004338F3">
        <w:rPr>
          <w:rFonts w:ascii="Verdana" w:hAnsi="Verdana"/>
          <w:sz w:val="20"/>
          <w:szCs w:val="20"/>
          <w:lang w:val="es-ES_tradnl"/>
        </w:rPr>
        <w:t>tras una investigación iniciada por la PGJE-Chihuahua</w:t>
      </w:r>
      <w:r>
        <w:rPr>
          <w:rFonts w:ascii="Verdana" w:hAnsi="Verdana"/>
          <w:sz w:val="20"/>
          <w:szCs w:val="20"/>
          <w:lang w:val="es-ES_tradnl"/>
        </w:rPr>
        <w:t xml:space="preserve"> </w:t>
      </w:r>
      <w:r w:rsidRPr="004338F3">
        <w:rPr>
          <w:rFonts w:ascii="Verdana" w:hAnsi="Verdana"/>
          <w:sz w:val="20"/>
          <w:szCs w:val="20"/>
          <w:lang w:val="es-ES_tradnl"/>
        </w:rPr>
        <w:t xml:space="preserve">y continuada por FEVIMTRA </w:t>
      </w:r>
      <w:r w:rsidR="00B93CB5">
        <w:rPr>
          <w:rFonts w:ascii="Verdana" w:hAnsi="Verdana"/>
          <w:sz w:val="20"/>
          <w:szCs w:val="20"/>
          <w:lang w:val="es-ES_tradnl"/>
        </w:rPr>
        <w:t>esta</w:t>
      </w:r>
      <w:r w:rsidRPr="004338F3">
        <w:rPr>
          <w:rFonts w:ascii="Verdana" w:hAnsi="Verdana"/>
          <w:sz w:val="20"/>
          <w:szCs w:val="20"/>
          <w:lang w:val="es-ES_tradnl"/>
        </w:rPr>
        <w:t xml:space="preserve"> fue descartad</w:t>
      </w:r>
      <w:r w:rsidR="005E3DBE">
        <w:rPr>
          <w:rFonts w:ascii="Verdana" w:hAnsi="Verdana"/>
          <w:sz w:val="20"/>
          <w:szCs w:val="20"/>
          <w:lang w:val="es-ES_tradnl"/>
        </w:rPr>
        <w:t>a</w:t>
      </w:r>
      <w:r w:rsidRPr="004338F3">
        <w:rPr>
          <w:rFonts w:ascii="Verdana" w:hAnsi="Verdana"/>
          <w:sz w:val="20"/>
          <w:szCs w:val="20"/>
          <w:lang w:val="es-ES_tradnl"/>
        </w:rPr>
        <w:t xml:space="preserve"> por la autoridad investigadora como relevante para la investigación</w:t>
      </w:r>
      <w:r w:rsidR="00B93CB5">
        <w:rPr>
          <w:rFonts w:ascii="Verdana" w:hAnsi="Verdana"/>
          <w:sz w:val="20"/>
          <w:szCs w:val="20"/>
          <w:lang w:val="es-ES_tradnl"/>
        </w:rPr>
        <w:t>,</w:t>
      </w:r>
      <w:r w:rsidRPr="004338F3">
        <w:rPr>
          <w:rFonts w:ascii="Verdana" w:hAnsi="Verdana"/>
          <w:sz w:val="20"/>
          <w:szCs w:val="20"/>
          <w:lang w:val="es-ES_tradnl"/>
        </w:rPr>
        <w:t xml:space="preserve"> pues consideró que se trató de una llamada de extorsión, ajena a las circunstancias que rodean el</w:t>
      </w:r>
      <w:r>
        <w:rPr>
          <w:rFonts w:ascii="Verdana" w:hAnsi="Verdana"/>
          <w:sz w:val="20"/>
          <w:szCs w:val="20"/>
          <w:lang w:val="es-ES_tradnl"/>
        </w:rPr>
        <w:t xml:space="preserve"> caso (</w:t>
      </w:r>
      <w:r w:rsidRPr="007568BA">
        <w:rPr>
          <w:rFonts w:ascii="Verdana" w:hAnsi="Verdana"/>
          <w:i/>
          <w:sz w:val="20"/>
          <w:szCs w:val="20"/>
          <w:lang w:val="es-ES_tradnl"/>
        </w:rPr>
        <w:t>supra</w:t>
      </w:r>
      <w:r>
        <w:rPr>
          <w:rFonts w:ascii="Verdana" w:hAnsi="Verdana"/>
          <w:sz w:val="20"/>
          <w:szCs w:val="20"/>
          <w:lang w:val="es-ES_tradnl"/>
        </w:rPr>
        <w:t xml:space="preserve"> párr</w:t>
      </w:r>
      <w:r w:rsidR="00C76877">
        <w:rPr>
          <w:rFonts w:ascii="Verdana" w:hAnsi="Verdana"/>
          <w:sz w:val="20"/>
          <w:szCs w:val="20"/>
          <w:lang w:val="es-ES_tradnl"/>
        </w:rPr>
        <w:t>s</w:t>
      </w:r>
      <w:r>
        <w:rPr>
          <w:rFonts w:ascii="Verdana" w:hAnsi="Verdana"/>
          <w:sz w:val="20"/>
          <w:szCs w:val="20"/>
          <w:lang w:val="es-ES_tradnl"/>
        </w:rPr>
        <w:t xml:space="preserve">. </w:t>
      </w:r>
      <w:r w:rsidR="00C76877">
        <w:rPr>
          <w:rFonts w:ascii="Verdana" w:hAnsi="Verdana"/>
          <w:sz w:val="20"/>
          <w:szCs w:val="20"/>
          <w:lang w:val="es-ES_tradnl"/>
        </w:rPr>
        <w:t xml:space="preserve">101 y </w:t>
      </w:r>
      <w:r w:rsidR="004A3F07">
        <w:rPr>
          <w:rFonts w:ascii="Verdana" w:hAnsi="Verdana"/>
          <w:sz w:val="20"/>
          <w:szCs w:val="20"/>
          <w:lang w:val="es-ES_tradnl"/>
        </w:rPr>
        <w:t>102</w:t>
      </w:r>
      <w:r>
        <w:rPr>
          <w:rFonts w:ascii="Verdana" w:hAnsi="Verdana"/>
          <w:sz w:val="20"/>
          <w:szCs w:val="20"/>
          <w:lang w:val="es-ES_tradnl"/>
        </w:rPr>
        <w:t>).</w:t>
      </w:r>
    </w:p>
    <w:p w14:paraId="64AA608C" w14:textId="48EF55C4" w:rsidR="00201EE6" w:rsidRPr="00813B72" w:rsidRDefault="00903628" w:rsidP="00DB378B">
      <w:pPr>
        <w:widowControl w:val="0"/>
        <w:numPr>
          <w:ilvl w:val="0"/>
          <w:numId w:val="4"/>
        </w:numPr>
        <w:tabs>
          <w:tab w:val="left" w:pos="567"/>
        </w:tabs>
        <w:autoSpaceDE w:val="0"/>
        <w:autoSpaceDN w:val="0"/>
        <w:adjustRightInd w:val="0"/>
        <w:spacing w:before="120" w:after="120" w:line="240" w:lineRule="auto"/>
        <w:ind w:left="0" w:firstLine="0"/>
        <w:jc w:val="both"/>
        <w:textAlignment w:val="baseline"/>
        <w:rPr>
          <w:rFonts w:ascii="Verdana" w:hAnsi="Verdana"/>
          <w:sz w:val="20"/>
          <w:szCs w:val="20"/>
          <w:lang w:val="es-ES_tradnl"/>
        </w:rPr>
      </w:pPr>
      <w:r w:rsidRPr="00912336">
        <w:rPr>
          <w:rFonts w:ascii="Verdana" w:hAnsi="Verdana"/>
          <w:sz w:val="20"/>
          <w:szCs w:val="20"/>
          <w:lang w:val="es-ES_tradnl"/>
        </w:rPr>
        <w:t>La Corte observa que las autoridades desplegaron un número considerable de acciones encaminadas a determinar el origen de dicha llamada y su vinculación con la investigación</w:t>
      </w:r>
      <w:r>
        <w:rPr>
          <w:rStyle w:val="FootnoteReference"/>
          <w:rFonts w:ascii="Verdana" w:hAnsi="Verdana"/>
          <w:sz w:val="20"/>
          <w:szCs w:val="20"/>
          <w:lang w:val="es-ES_tradnl"/>
        </w:rPr>
        <w:footnoteReference w:id="457"/>
      </w:r>
      <w:r w:rsidRPr="00912336">
        <w:rPr>
          <w:rFonts w:ascii="Verdana" w:hAnsi="Verdana"/>
          <w:sz w:val="20"/>
          <w:szCs w:val="20"/>
          <w:lang w:val="es-ES_tradnl"/>
        </w:rPr>
        <w:t xml:space="preserve"> y que las mismas </w:t>
      </w:r>
      <w:r w:rsidR="00FE7D5B">
        <w:rPr>
          <w:rFonts w:ascii="Verdana" w:hAnsi="Verdana"/>
          <w:sz w:val="20"/>
          <w:szCs w:val="20"/>
          <w:lang w:val="es-ES_tradnl"/>
        </w:rPr>
        <w:t xml:space="preserve">se </w:t>
      </w:r>
      <w:r w:rsidRPr="00912336">
        <w:rPr>
          <w:rFonts w:ascii="Verdana" w:hAnsi="Verdana"/>
          <w:sz w:val="20"/>
          <w:szCs w:val="20"/>
          <w:lang w:val="es-ES_tradnl"/>
        </w:rPr>
        <w:t xml:space="preserve">iniciaron en el momento en que tuvieron conocimiento </w:t>
      </w:r>
      <w:r>
        <w:rPr>
          <w:rFonts w:ascii="Verdana" w:hAnsi="Verdana"/>
          <w:sz w:val="20"/>
          <w:szCs w:val="20"/>
          <w:lang w:val="es-ES_tradnl"/>
        </w:rPr>
        <w:t>del hecho</w:t>
      </w:r>
      <w:r w:rsidRPr="00912336">
        <w:rPr>
          <w:rFonts w:ascii="Verdana" w:hAnsi="Verdana"/>
          <w:sz w:val="20"/>
          <w:szCs w:val="20"/>
          <w:lang w:val="es-ES_tradnl"/>
        </w:rPr>
        <w:t>. Igualmente, constata que la denuncia correspondiente fue presentada</w:t>
      </w:r>
      <w:r>
        <w:rPr>
          <w:rFonts w:ascii="Verdana" w:hAnsi="Verdana"/>
          <w:sz w:val="20"/>
          <w:szCs w:val="20"/>
          <w:lang w:val="es-ES_tradnl"/>
        </w:rPr>
        <w:t xml:space="preserve"> por María de Jesús Alvarado </w:t>
      </w:r>
      <w:r>
        <w:rPr>
          <w:rFonts w:ascii="Verdana" w:hAnsi="Verdana" w:cs="Cambria"/>
          <w:sz w:val="20"/>
          <w:szCs w:val="20"/>
        </w:rPr>
        <w:t>ante el Agente del Ministerio Público de la PGJE - Chihuahua</w:t>
      </w:r>
      <w:r w:rsidRPr="00912336">
        <w:rPr>
          <w:rFonts w:ascii="Verdana" w:hAnsi="Verdana"/>
          <w:sz w:val="20"/>
          <w:szCs w:val="20"/>
          <w:lang w:val="es-ES_tradnl"/>
        </w:rPr>
        <w:t xml:space="preserve"> </w:t>
      </w:r>
      <w:r w:rsidR="00D74301">
        <w:rPr>
          <w:rFonts w:ascii="Verdana" w:hAnsi="Verdana"/>
          <w:sz w:val="20"/>
          <w:szCs w:val="20"/>
          <w:lang w:val="es-ES_tradnl"/>
        </w:rPr>
        <w:t>9</w:t>
      </w:r>
      <w:r w:rsidRPr="00912336">
        <w:rPr>
          <w:rFonts w:ascii="Verdana" w:hAnsi="Verdana"/>
          <w:sz w:val="20"/>
          <w:szCs w:val="20"/>
          <w:lang w:val="es-ES_tradnl"/>
        </w:rPr>
        <w:t xml:space="preserve"> días después de </w:t>
      </w:r>
      <w:r>
        <w:rPr>
          <w:rFonts w:ascii="Verdana" w:hAnsi="Verdana"/>
          <w:sz w:val="20"/>
          <w:szCs w:val="20"/>
          <w:lang w:val="es-ES_tradnl"/>
        </w:rPr>
        <w:t>que la llamada fuera recibida</w:t>
      </w:r>
      <w:r w:rsidR="00CE5C45">
        <w:rPr>
          <w:rFonts w:ascii="Verdana" w:hAnsi="Verdana"/>
          <w:sz w:val="20"/>
          <w:szCs w:val="20"/>
          <w:lang w:val="es-ES_tradnl"/>
        </w:rPr>
        <w:t>,</w:t>
      </w:r>
      <w:r w:rsidRPr="00912336">
        <w:rPr>
          <w:rFonts w:ascii="Verdana" w:hAnsi="Verdana"/>
          <w:sz w:val="20"/>
          <w:szCs w:val="20"/>
          <w:lang w:val="es-ES_tradnl"/>
        </w:rPr>
        <w:t xml:space="preserve"> y que la autoridad</w:t>
      </w:r>
      <w:r>
        <w:rPr>
          <w:rFonts w:ascii="Verdana" w:hAnsi="Verdana"/>
          <w:sz w:val="20"/>
          <w:szCs w:val="20"/>
          <w:lang w:val="es-ES_tradnl"/>
        </w:rPr>
        <w:t xml:space="preserve"> ministerial</w:t>
      </w:r>
      <w:r w:rsidRPr="00912336">
        <w:rPr>
          <w:rFonts w:ascii="Verdana" w:hAnsi="Verdana"/>
          <w:sz w:val="20"/>
          <w:szCs w:val="20"/>
          <w:lang w:val="es-ES_tradnl"/>
        </w:rPr>
        <w:t xml:space="preserve"> federal tuvo conocimiento de ella </w:t>
      </w:r>
      <w:r w:rsidR="00D74301">
        <w:rPr>
          <w:rFonts w:ascii="Verdana" w:hAnsi="Verdana"/>
          <w:sz w:val="20"/>
          <w:szCs w:val="20"/>
          <w:lang w:val="es-ES_tradnl"/>
        </w:rPr>
        <w:t>19</w:t>
      </w:r>
      <w:r w:rsidRPr="00912336">
        <w:rPr>
          <w:rFonts w:ascii="Verdana" w:hAnsi="Verdana"/>
          <w:sz w:val="20"/>
          <w:szCs w:val="20"/>
          <w:lang w:val="es-ES_tradnl"/>
        </w:rPr>
        <w:t xml:space="preserve"> días </w:t>
      </w:r>
      <w:r w:rsidRPr="00912336">
        <w:rPr>
          <w:rFonts w:ascii="Verdana" w:hAnsi="Verdana"/>
          <w:sz w:val="20"/>
          <w:szCs w:val="20"/>
          <w:lang w:val="es-ES_tradnl"/>
        </w:rPr>
        <w:lastRenderedPageBreak/>
        <w:t>después</w:t>
      </w:r>
      <w:r>
        <w:rPr>
          <w:rFonts w:ascii="Verdana" w:hAnsi="Verdana"/>
          <w:sz w:val="20"/>
          <w:szCs w:val="20"/>
          <w:lang w:val="es-ES_tradnl"/>
        </w:rPr>
        <w:t xml:space="preserve"> (</w:t>
      </w:r>
      <w:r w:rsidRPr="00343208">
        <w:rPr>
          <w:rFonts w:ascii="Verdana" w:hAnsi="Verdana"/>
          <w:i/>
          <w:sz w:val="20"/>
          <w:szCs w:val="20"/>
          <w:lang w:val="es-ES_tradnl"/>
        </w:rPr>
        <w:t>supra</w:t>
      </w:r>
      <w:r>
        <w:rPr>
          <w:rFonts w:ascii="Verdana" w:hAnsi="Verdana"/>
          <w:sz w:val="20"/>
          <w:szCs w:val="20"/>
          <w:lang w:val="es-ES_tradnl"/>
        </w:rPr>
        <w:t xml:space="preserve"> párr</w:t>
      </w:r>
      <w:r w:rsidR="00834D48">
        <w:rPr>
          <w:rFonts w:ascii="Verdana" w:hAnsi="Verdana"/>
          <w:sz w:val="20"/>
          <w:szCs w:val="20"/>
          <w:lang w:val="es-ES_tradnl"/>
        </w:rPr>
        <w:t>s</w:t>
      </w:r>
      <w:r>
        <w:rPr>
          <w:rFonts w:ascii="Verdana" w:hAnsi="Verdana"/>
          <w:sz w:val="20"/>
          <w:szCs w:val="20"/>
          <w:lang w:val="es-ES_tradnl"/>
        </w:rPr>
        <w:t>.</w:t>
      </w:r>
      <w:r w:rsidR="00834D48">
        <w:rPr>
          <w:rFonts w:ascii="Verdana" w:hAnsi="Verdana"/>
          <w:sz w:val="20"/>
          <w:szCs w:val="20"/>
          <w:lang w:val="es-ES_tradnl"/>
        </w:rPr>
        <w:t xml:space="preserve"> 101 y 102</w:t>
      </w:r>
      <w:r>
        <w:rPr>
          <w:rFonts w:ascii="Verdana" w:hAnsi="Verdana"/>
          <w:sz w:val="20"/>
          <w:szCs w:val="20"/>
          <w:lang w:val="es-ES_tradnl"/>
        </w:rPr>
        <w:t>)</w:t>
      </w:r>
      <w:r w:rsidRPr="00912336">
        <w:rPr>
          <w:rFonts w:ascii="Verdana" w:hAnsi="Verdana"/>
          <w:sz w:val="20"/>
          <w:szCs w:val="20"/>
          <w:lang w:val="es-ES_tradnl"/>
        </w:rPr>
        <w:t xml:space="preserve">. </w:t>
      </w:r>
      <w:r>
        <w:rPr>
          <w:rFonts w:ascii="Verdana" w:hAnsi="Verdana"/>
          <w:sz w:val="20"/>
          <w:szCs w:val="20"/>
          <w:lang w:val="es-ES_tradnl"/>
        </w:rPr>
        <w:t>A pesar de que las autoridades tuvieron conocimiento de que la denuncia no fue inmediata, su actuación –por una parte– se limitó al envío de oficios de requerimiento a las distintas compañías telefónicas y a diversas autoridades (</w:t>
      </w:r>
      <w:r w:rsidRPr="00343208">
        <w:rPr>
          <w:rFonts w:ascii="Verdana" w:hAnsi="Verdana"/>
          <w:i/>
          <w:sz w:val="20"/>
          <w:szCs w:val="20"/>
          <w:lang w:val="es-ES_tradnl"/>
        </w:rPr>
        <w:t>supra</w:t>
      </w:r>
      <w:r>
        <w:rPr>
          <w:rFonts w:ascii="Verdana" w:hAnsi="Verdana"/>
          <w:sz w:val="20"/>
          <w:szCs w:val="20"/>
          <w:lang w:val="es-ES_tradnl"/>
        </w:rPr>
        <w:t xml:space="preserve"> párr. </w:t>
      </w:r>
      <w:r w:rsidR="00834D48">
        <w:rPr>
          <w:rFonts w:ascii="Verdana" w:hAnsi="Verdana"/>
          <w:sz w:val="20"/>
          <w:szCs w:val="20"/>
          <w:lang w:val="es-ES_tradnl"/>
        </w:rPr>
        <w:t>104</w:t>
      </w:r>
      <w:r>
        <w:rPr>
          <w:rFonts w:ascii="Verdana" w:hAnsi="Verdana"/>
          <w:sz w:val="20"/>
          <w:szCs w:val="20"/>
          <w:lang w:val="es-ES_tradnl"/>
        </w:rPr>
        <w:t xml:space="preserve">), quedando sujeta la investigación </w:t>
      </w:r>
      <w:r w:rsidR="00423761" w:rsidRPr="00201EE6">
        <w:rPr>
          <w:rFonts w:ascii="Verdana" w:hAnsi="Verdana"/>
          <w:sz w:val="20"/>
          <w:szCs w:val="20"/>
        </w:rPr>
        <w:t>–</w:t>
      </w:r>
      <w:r>
        <w:rPr>
          <w:rFonts w:ascii="Verdana" w:hAnsi="Verdana"/>
          <w:sz w:val="20"/>
          <w:szCs w:val="20"/>
          <w:lang w:val="es-ES_tradnl"/>
        </w:rPr>
        <w:t>que por la gravedad de las violaciones denunciadas requería una actuación pronta y efectiva</w:t>
      </w:r>
      <w:r w:rsidR="00423761" w:rsidRPr="00201EE6">
        <w:rPr>
          <w:rFonts w:ascii="Verdana" w:hAnsi="Verdana"/>
          <w:sz w:val="20"/>
          <w:szCs w:val="20"/>
        </w:rPr>
        <w:t>–</w:t>
      </w:r>
      <w:r>
        <w:rPr>
          <w:rFonts w:ascii="Verdana" w:hAnsi="Verdana"/>
          <w:sz w:val="20"/>
          <w:szCs w:val="20"/>
          <w:lang w:val="es-ES_tradnl"/>
        </w:rPr>
        <w:t xml:space="preserve"> a los plazos de respuesta de las entidades requeridas, cuestión que el propio Estado admitió. Así, al no haber llevado a cabo una investigación con la </w:t>
      </w:r>
      <w:r w:rsidR="008A16E0">
        <w:rPr>
          <w:rFonts w:ascii="Verdana" w:hAnsi="Verdana"/>
          <w:sz w:val="20"/>
          <w:szCs w:val="20"/>
          <w:lang w:val="es-ES_tradnl"/>
        </w:rPr>
        <w:t>expedites</w:t>
      </w:r>
      <w:r>
        <w:rPr>
          <w:rFonts w:ascii="Verdana" w:hAnsi="Verdana"/>
          <w:sz w:val="20"/>
          <w:szCs w:val="20"/>
          <w:lang w:val="es-ES_tradnl"/>
        </w:rPr>
        <w:t xml:space="preserve"> que el caso requería, la probabilidad </w:t>
      </w:r>
      <w:r w:rsidR="00834D48">
        <w:rPr>
          <w:rFonts w:ascii="Verdana" w:hAnsi="Verdana"/>
          <w:sz w:val="20"/>
          <w:szCs w:val="20"/>
          <w:lang w:val="es-ES_tradnl"/>
        </w:rPr>
        <w:t>d</w:t>
      </w:r>
      <w:r w:rsidR="008A16E0">
        <w:rPr>
          <w:rFonts w:ascii="Verdana" w:hAnsi="Verdana"/>
          <w:sz w:val="20"/>
          <w:szCs w:val="20"/>
          <w:lang w:val="es-ES_tradnl"/>
        </w:rPr>
        <w:t>e</w:t>
      </w:r>
      <w:r>
        <w:rPr>
          <w:rFonts w:ascii="Verdana" w:hAnsi="Verdana"/>
          <w:sz w:val="20"/>
          <w:szCs w:val="20"/>
          <w:lang w:val="es-ES_tradnl"/>
        </w:rPr>
        <w:t xml:space="preserve"> </w:t>
      </w:r>
      <w:r w:rsidR="008A16E0">
        <w:rPr>
          <w:rFonts w:ascii="Verdana" w:hAnsi="Verdana"/>
          <w:sz w:val="20"/>
          <w:szCs w:val="20"/>
          <w:lang w:val="es-ES_tradnl"/>
        </w:rPr>
        <w:t xml:space="preserve">poder </w:t>
      </w:r>
      <w:r>
        <w:rPr>
          <w:rFonts w:ascii="Verdana" w:hAnsi="Verdana"/>
          <w:sz w:val="20"/>
          <w:szCs w:val="20"/>
          <w:lang w:val="es-ES_tradnl"/>
        </w:rPr>
        <w:t xml:space="preserve">localizar a –por lo menos– una de las </w:t>
      </w:r>
      <w:r w:rsidR="008A16E0">
        <w:rPr>
          <w:rFonts w:ascii="Verdana" w:hAnsi="Verdana"/>
          <w:sz w:val="20"/>
          <w:szCs w:val="20"/>
          <w:lang w:val="es-ES_tradnl"/>
        </w:rPr>
        <w:t>personas desaparecidas</w:t>
      </w:r>
      <w:r>
        <w:rPr>
          <w:rFonts w:ascii="Verdana" w:hAnsi="Verdana"/>
          <w:sz w:val="20"/>
          <w:szCs w:val="20"/>
          <w:lang w:val="es-ES_tradnl"/>
        </w:rPr>
        <w:t xml:space="preserve"> y a sus posibles captores disminuyó considerablemente con el paso del tiempo.</w:t>
      </w:r>
    </w:p>
    <w:p w14:paraId="0B7CFD65" w14:textId="20BA1181" w:rsidR="008A16E0" w:rsidRPr="007D40AC" w:rsidRDefault="00903628" w:rsidP="00DB378B">
      <w:pPr>
        <w:widowControl w:val="0"/>
        <w:numPr>
          <w:ilvl w:val="0"/>
          <w:numId w:val="4"/>
        </w:numPr>
        <w:tabs>
          <w:tab w:val="left" w:pos="567"/>
        </w:tabs>
        <w:autoSpaceDE w:val="0"/>
        <w:autoSpaceDN w:val="0"/>
        <w:adjustRightInd w:val="0"/>
        <w:spacing w:before="120" w:after="120" w:line="240" w:lineRule="auto"/>
        <w:ind w:left="0" w:firstLine="0"/>
        <w:jc w:val="both"/>
        <w:textAlignment w:val="baseline"/>
        <w:rPr>
          <w:rFonts w:ascii="Verdana" w:hAnsi="Verdana"/>
          <w:sz w:val="20"/>
          <w:szCs w:val="20"/>
          <w:lang w:val="es-ES_tradnl"/>
        </w:rPr>
      </w:pPr>
      <w:r w:rsidRPr="00201EE6">
        <w:rPr>
          <w:rFonts w:ascii="Verdana" w:hAnsi="Verdana"/>
          <w:sz w:val="20"/>
          <w:szCs w:val="20"/>
          <w:lang w:val="es-ES_tradnl"/>
        </w:rPr>
        <w:t xml:space="preserve">Por otra parte, la Corte observa que la investigación del Estado respecto de este hecho no fue lo suficientemente exhaustiva pues sus conclusiones en cuanto al carácter extorsivo de la llamada no se basan en evidencia cierta, que permita identificar la autoría de la llamada y su motivación, </w:t>
      </w:r>
      <w:r w:rsidRPr="00CE5C45">
        <w:rPr>
          <w:rFonts w:ascii="Verdana" w:hAnsi="Verdana"/>
          <w:sz w:val="20"/>
          <w:szCs w:val="20"/>
          <w:lang w:val="es-ES_tradnl"/>
        </w:rPr>
        <w:t xml:space="preserve">sino que se basan en los informes obtenidos respecto a que el número telefónico del que provino la llamada habría sido utilizado para realizar extorsiones, lo que no era suficientemente conclusivo para cerrar una investigación. Ello si se toma en cuenta que, además, </w:t>
      </w:r>
      <w:r w:rsidRPr="00D4438D">
        <w:rPr>
          <w:rFonts w:ascii="Verdana" w:hAnsi="Verdana"/>
          <w:sz w:val="20"/>
          <w:szCs w:val="20"/>
          <w:lang w:val="es-ES_tradnl"/>
        </w:rPr>
        <w:t>en ningún momento se exigió un pago, elemento indispensable para la existencia de una extorsión</w:t>
      </w:r>
      <w:r w:rsidRPr="00201EE6">
        <w:rPr>
          <w:rFonts w:ascii="Verdana" w:hAnsi="Verdana"/>
          <w:sz w:val="20"/>
          <w:szCs w:val="20"/>
          <w:lang w:val="es-ES_tradnl"/>
        </w:rPr>
        <w:t xml:space="preserve">. Por lo que el Estado </w:t>
      </w:r>
      <w:r w:rsidR="008A16E0">
        <w:rPr>
          <w:rFonts w:ascii="Verdana" w:hAnsi="Verdana"/>
          <w:sz w:val="20"/>
          <w:szCs w:val="20"/>
          <w:lang w:val="es-ES_tradnl"/>
        </w:rPr>
        <w:t>incumplió su deber de debida diligencias en este respecto</w:t>
      </w:r>
      <w:r w:rsidRPr="00201EE6">
        <w:rPr>
          <w:rFonts w:ascii="Verdana" w:hAnsi="Verdana"/>
          <w:sz w:val="20"/>
          <w:szCs w:val="20"/>
          <w:lang w:val="es-ES_tradnl"/>
        </w:rPr>
        <w:t xml:space="preserve">. </w:t>
      </w:r>
      <w:r w:rsidRPr="007D40AC">
        <w:rPr>
          <w:rFonts w:ascii="Verdana" w:hAnsi="Verdana"/>
          <w:sz w:val="20"/>
          <w:szCs w:val="20"/>
          <w:lang w:val="es-ES_tradnl"/>
        </w:rPr>
        <w:t xml:space="preserve">  </w:t>
      </w:r>
    </w:p>
    <w:p w14:paraId="64AA608E" w14:textId="34E99952" w:rsidR="00903628" w:rsidRPr="008A16E0" w:rsidRDefault="0008123D">
      <w:pPr>
        <w:pStyle w:val="Heading5"/>
        <w:numPr>
          <w:ilvl w:val="0"/>
          <w:numId w:val="76"/>
        </w:numPr>
        <w:spacing w:before="120" w:after="120"/>
        <w:contextualSpacing w:val="0"/>
        <w:rPr>
          <w:lang w:val="es-CR"/>
        </w:rPr>
      </w:pPr>
      <w:bookmarkStart w:id="262" w:name="_Toc522815031"/>
      <w:r>
        <w:rPr>
          <w:lang w:val="es-CR"/>
        </w:rPr>
        <w:t xml:space="preserve"> </w:t>
      </w:r>
      <w:bookmarkStart w:id="263" w:name="_Toc526777657"/>
      <w:bookmarkStart w:id="264" w:name="_Toc526778140"/>
      <w:bookmarkStart w:id="265" w:name="_Toc526779392"/>
      <w:bookmarkStart w:id="266" w:name="_Toc526780861"/>
      <w:bookmarkStart w:id="267" w:name="_Toc526783798"/>
      <w:bookmarkStart w:id="268" w:name="_Toc532995382"/>
      <w:r w:rsidR="00903628" w:rsidRPr="008A16E0">
        <w:rPr>
          <w:lang w:val="es-CR"/>
        </w:rPr>
        <w:t>Sobre la investigación por la jurisdicción militar</w:t>
      </w:r>
      <w:bookmarkEnd w:id="262"/>
      <w:bookmarkEnd w:id="263"/>
      <w:bookmarkEnd w:id="264"/>
      <w:bookmarkEnd w:id="265"/>
      <w:bookmarkEnd w:id="266"/>
      <w:bookmarkEnd w:id="267"/>
      <w:bookmarkEnd w:id="268"/>
    </w:p>
    <w:p w14:paraId="64AA6090" w14:textId="0BD9F12F" w:rsidR="00201EE6" w:rsidRPr="00813B72" w:rsidRDefault="00903628" w:rsidP="00DB378B">
      <w:pPr>
        <w:widowControl w:val="0"/>
        <w:numPr>
          <w:ilvl w:val="0"/>
          <w:numId w:val="4"/>
        </w:numPr>
        <w:tabs>
          <w:tab w:val="left" w:pos="567"/>
        </w:tabs>
        <w:autoSpaceDE w:val="0"/>
        <w:autoSpaceDN w:val="0"/>
        <w:adjustRightInd w:val="0"/>
        <w:spacing w:before="120" w:after="120" w:line="240" w:lineRule="auto"/>
        <w:ind w:left="0" w:firstLine="0"/>
        <w:jc w:val="both"/>
        <w:textAlignment w:val="baseline"/>
        <w:rPr>
          <w:rFonts w:ascii="Verdana" w:hAnsi="Verdana"/>
          <w:sz w:val="20"/>
          <w:szCs w:val="20"/>
          <w:lang w:val="es-ES_tradnl"/>
        </w:rPr>
      </w:pPr>
      <w:bookmarkStart w:id="269" w:name="_Toc526777658"/>
      <w:bookmarkStart w:id="270" w:name="_Toc526778141"/>
      <w:bookmarkStart w:id="271" w:name="_Toc526779393"/>
      <w:bookmarkStart w:id="272" w:name="_Toc526780862"/>
      <w:bookmarkStart w:id="273" w:name="_Toc526783799"/>
      <w:bookmarkEnd w:id="269"/>
      <w:bookmarkEnd w:id="270"/>
      <w:bookmarkEnd w:id="271"/>
      <w:bookmarkEnd w:id="272"/>
      <w:bookmarkEnd w:id="273"/>
      <w:r>
        <w:rPr>
          <w:rFonts w:ascii="Verdana" w:hAnsi="Verdana"/>
          <w:sz w:val="20"/>
          <w:szCs w:val="20"/>
          <w:lang w:val="es-ES_tradnl"/>
        </w:rPr>
        <w:t>La Corte observa que desde el 15 de enero de 2010 y hasta el 29 de diciembre de 2011 el caso fue investigado por autoridades militares (</w:t>
      </w:r>
      <w:r w:rsidRPr="007568BA">
        <w:rPr>
          <w:rFonts w:ascii="Verdana" w:hAnsi="Verdana"/>
          <w:i/>
          <w:sz w:val="20"/>
          <w:szCs w:val="20"/>
          <w:lang w:val="es-ES_tradnl"/>
        </w:rPr>
        <w:t>supra</w:t>
      </w:r>
      <w:r w:rsidR="00563842">
        <w:rPr>
          <w:rFonts w:ascii="Verdana" w:hAnsi="Verdana"/>
          <w:sz w:val="20"/>
          <w:szCs w:val="20"/>
          <w:lang w:val="es-ES_tradnl"/>
        </w:rPr>
        <w:t xml:space="preserve"> párrs. </w:t>
      </w:r>
      <w:r w:rsidR="00C625E8">
        <w:rPr>
          <w:rFonts w:ascii="Verdana" w:hAnsi="Verdana"/>
          <w:sz w:val="20"/>
          <w:szCs w:val="20"/>
          <w:lang w:val="es-ES_tradnl"/>
        </w:rPr>
        <w:t>110</w:t>
      </w:r>
      <w:r w:rsidR="00563842">
        <w:rPr>
          <w:rFonts w:ascii="Verdana" w:hAnsi="Verdana"/>
          <w:sz w:val="20"/>
          <w:szCs w:val="20"/>
          <w:lang w:val="es-ES_tradnl"/>
        </w:rPr>
        <w:t xml:space="preserve"> a </w:t>
      </w:r>
      <w:r w:rsidR="00C625E8">
        <w:rPr>
          <w:rFonts w:ascii="Verdana" w:hAnsi="Verdana"/>
          <w:sz w:val="20"/>
          <w:szCs w:val="20"/>
          <w:lang w:val="es-ES_tradnl"/>
        </w:rPr>
        <w:t>116</w:t>
      </w:r>
      <w:r>
        <w:rPr>
          <w:rFonts w:ascii="Verdana" w:hAnsi="Verdana"/>
          <w:sz w:val="20"/>
          <w:szCs w:val="20"/>
          <w:lang w:val="es-ES_tradnl"/>
        </w:rPr>
        <w:t>). Es</w:t>
      </w:r>
      <w:r w:rsidR="008A16E0">
        <w:rPr>
          <w:rFonts w:ascii="Verdana" w:hAnsi="Verdana"/>
          <w:sz w:val="20"/>
          <w:szCs w:val="20"/>
          <w:lang w:val="es-ES_tradnl"/>
        </w:rPr>
        <w:t xml:space="preserve"> decir</w:t>
      </w:r>
      <w:r>
        <w:rPr>
          <w:rFonts w:ascii="Verdana" w:hAnsi="Verdana"/>
          <w:sz w:val="20"/>
          <w:szCs w:val="20"/>
          <w:lang w:val="es-ES_tradnl"/>
        </w:rPr>
        <w:t>, por espacio de un año y once meses el desarrollo de las indagatorias estuvo a cargo de la jurisdicción militar. Al respecto, como ya se señaló, el Estado reconoció su responsabilidad internacional en l</w:t>
      </w:r>
      <w:r>
        <w:rPr>
          <w:rFonts w:ascii="Verdana" w:eastAsia="Times New Roman" w:hAnsi="Verdana" w:cs="Times New Roman"/>
          <w:sz w:val="20"/>
          <w:szCs w:val="20"/>
          <w:lang w:val="es-ES"/>
        </w:rPr>
        <w:t xml:space="preserve">a violación de los </w:t>
      </w:r>
      <w:r w:rsidRPr="007431DF">
        <w:rPr>
          <w:rFonts w:ascii="Verdana" w:eastAsia="Times New Roman" w:hAnsi="Verdana" w:cs="Times New Roman"/>
          <w:sz w:val="20"/>
          <w:szCs w:val="20"/>
          <w:lang w:val="es-ES"/>
        </w:rPr>
        <w:t>artículo</w:t>
      </w:r>
      <w:r>
        <w:rPr>
          <w:rFonts w:ascii="Verdana" w:eastAsia="Times New Roman" w:hAnsi="Verdana" w:cs="Times New Roman"/>
          <w:sz w:val="20"/>
          <w:szCs w:val="20"/>
          <w:lang w:val="es-ES"/>
        </w:rPr>
        <w:t>s</w:t>
      </w:r>
      <w:r w:rsidRPr="007431DF">
        <w:rPr>
          <w:rFonts w:ascii="Verdana" w:eastAsia="Times New Roman" w:hAnsi="Verdana" w:cs="Times New Roman"/>
          <w:sz w:val="20"/>
          <w:szCs w:val="20"/>
          <w:lang w:val="es-ES"/>
        </w:rPr>
        <w:t xml:space="preserve"> 8 y 25 de la Convención, así como </w:t>
      </w:r>
      <w:r w:rsidR="00C625E8">
        <w:rPr>
          <w:rFonts w:ascii="Verdana" w:eastAsia="Times New Roman" w:hAnsi="Verdana" w:cs="Times New Roman"/>
          <w:sz w:val="20"/>
          <w:szCs w:val="20"/>
          <w:lang w:val="es-ES"/>
        </w:rPr>
        <w:t>d</w:t>
      </w:r>
      <w:r w:rsidRPr="007431DF">
        <w:rPr>
          <w:rFonts w:ascii="Verdana" w:eastAsia="Times New Roman" w:hAnsi="Verdana" w:cs="Times New Roman"/>
          <w:sz w:val="20"/>
          <w:szCs w:val="20"/>
          <w:lang w:val="es-ES"/>
        </w:rPr>
        <w:t>el artículo 2 del mismo instrumento</w:t>
      </w:r>
      <w:r>
        <w:rPr>
          <w:rFonts w:ascii="Verdana" w:eastAsia="Times New Roman" w:hAnsi="Verdana" w:cs="Times New Roman"/>
          <w:sz w:val="20"/>
          <w:szCs w:val="20"/>
          <w:lang w:val="es-ES"/>
        </w:rPr>
        <w:t xml:space="preserve"> por este aspecto (</w:t>
      </w:r>
      <w:r w:rsidRPr="007568BA">
        <w:rPr>
          <w:rFonts w:ascii="Verdana" w:eastAsia="Times New Roman" w:hAnsi="Verdana" w:cs="Times New Roman"/>
          <w:i/>
          <w:sz w:val="20"/>
          <w:szCs w:val="20"/>
          <w:lang w:val="es-ES"/>
        </w:rPr>
        <w:t>supra</w:t>
      </w:r>
      <w:r>
        <w:rPr>
          <w:rFonts w:ascii="Verdana" w:eastAsia="Times New Roman" w:hAnsi="Verdana" w:cs="Times New Roman"/>
          <w:sz w:val="20"/>
          <w:szCs w:val="20"/>
          <w:lang w:val="es-ES"/>
        </w:rPr>
        <w:t xml:space="preserve"> párr. 2</w:t>
      </w:r>
      <w:r w:rsidR="00C625E8">
        <w:rPr>
          <w:rFonts w:ascii="Verdana" w:eastAsia="Times New Roman" w:hAnsi="Verdana" w:cs="Times New Roman"/>
          <w:sz w:val="20"/>
          <w:szCs w:val="20"/>
          <w:lang w:val="es-ES"/>
        </w:rPr>
        <w:t>1</w:t>
      </w:r>
      <w:r>
        <w:rPr>
          <w:rFonts w:ascii="Verdana" w:eastAsia="Times New Roman" w:hAnsi="Verdana" w:cs="Times New Roman"/>
          <w:sz w:val="20"/>
          <w:szCs w:val="20"/>
          <w:lang w:val="es-ES"/>
        </w:rPr>
        <w:t xml:space="preserve">). Dada la admisión de responsabilidad en la evidente violación a este derecho, esta Corte solamente se referirá a algunos aspectos </w:t>
      </w:r>
      <w:r w:rsidR="008A16E0">
        <w:rPr>
          <w:rFonts w:ascii="Verdana" w:eastAsia="Times New Roman" w:hAnsi="Verdana" w:cs="Times New Roman"/>
          <w:sz w:val="20"/>
          <w:szCs w:val="20"/>
          <w:lang w:val="es-ES"/>
        </w:rPr>
        <w:t>puntuales sobre el alcance de</w:t>
      </w:r>
      <w:r>
        <w:rPr>
          <w:rFonts w:ascii="Verdana" w:eastAsia="Times New Roman" w:hAnsi="Verdana" w:cs="Times New Roman"/>
          <w:sz w:val="20"/>
          <w:szCs w:val="20"/>
          <w:lang w:val="es-ES"/>
        </w:rPr>
        <w:t xml:space="preserve"> la violación.</w:t>
      </w:r>
      <w:r w:rsidRPr="00D46E1E">
        <w:rPr>
          <w:rFonts w:ascii="Verdana" w:eastAsia="Times New Roman" w:hAnsi="Verdana" w:cs="Times New Roman"/>
          <w:sz w:val="20"/>
          <w:szCs w:val="20"/>
          <w:lang w:val="es-ES"/>
        </w:rPr>
        <w:t xml:space="preserve">  </w:t>
      </w:r>
    </w:p>
    <w:p w14:paraId="64AA6092" w14:textId="549A6D2E" w:rsidR="00201EE6" w:rsidRPr="00813B72" w:rsidRDefault="00903628" w:rsidP="00DB378B">
      <w:pPr>
        <w:widowControl w:val="0"/>
        <w:numPr>
          <w:ilvl w:val="0"/>
          <w:numId w:val="4"/>
        </w:numPr>
        <w:tabs>
          <w:tab w:val="left" w:pos="567"/>
        </w:tabs>
        <w:autoSpaceDE w:val="0"/>
        <w:autoSpaceDN w:val="0"/>
        <w:adjustRightInd w:val="0"/>
        <w:spacing w:before="120" w:after="120" w:line="240" w:lineRule="auto"/>
        <w:ind w:left="0" w:firstLine="0"/>
        <w:jc w:val="both"/>
        <w:textAlignment w:val="baseline"/>
        <w:rPr>
          <w:rFonts w:ascii="Verdana" w:hAnsi="Verdana"/>
          <w:sz w:val="20"/>
          <w:szCs w:val="20"/>
          <w:lang w:val="es-ES_tradnl"/>
        </w:rPr>
      </w:pPr>
      <w:r w:rsidRPr="00201EE6">
        <w:rPr>
          <w:rFonts w:ascii="Verdana" w:hAnsi="Verdana"/>
          <w:sz w:val="20"/>
          <w:szCs w:val="20"/>
          <w:lang w:val="es-CR"/>
        </w:rPr>
        <w:t>La Corte r</w:t>
      </w:r>
      <w:r w:rsidR="008A16E0">
        <w:rPr>
          <w:rFonts w:ascii="Verdana" w:hAnsi="Verdana"/>
          <w:sz w:val="20"/>
          <w:szCs w:val="20"/>
          <w:lang w:val="es-CR"/>
        </w:rPr>
        <w:t>eitera</w:t>
      </w:r>
      <w:r w:rsidRPr="00201EE6">
        <w:rPr>
          <w:rFonts w:ascii="Verdana" w:hAnsi="Verdana"/>
          <w:sz w:val="20"/>
          <w:szCs w:val="20"/>
          <w:lang w:val="es-CR"/>
        </w:rPr>
        <w:t xml:space="preserve"> </w:t>
      </w:r>
      <w:r w:rsidRPr="00201EE6">
        <w:rPr>
          <w:rFonts w:ascii="Verdana" w:hAnsi="Verdana"/>
          <w:sz w:val="20"/>
          <w:lang w:val="es-ES_tradnl"/>
        </w:rPr>
        <w:t>que la jurisdicción militar ha sido establecida por diversas legislaciones</w:t>
      </w:r>
      <w:r w:rsidRPr="00201EE6">
        <w:rPr>
          <w:rFonts w:ascii="Verdana" w:hAnsi="Verdana"/>
          <w:b/>
          <w:sz w:val="20"/>
          <w:lang w:val="es-ES_tradnl"/>
        </w:rPr>
        <w:t xml:space="preserve"> </w:t>
      </w:r>
      <w:r w:rsidRPr="00201EE6">
        <w:rPr>
          <w:rFonts w:ascii="Verdana" w:hAnsi="Verdana"/>
          <w:sz w:val="20"/>
          <w:lang w:val="es-ES_tradnl"/>
        </w:rPr>
        <w:t>con el fin de mantener el orden y la disciplina dentro de las fuerzas armadas, por lo que no es la naturalmente aplicable a civiles que carecen de funciones militares y que por ello no pueden incurrir en conductas contrarias a deberes</w:t>
      </w:r>
      <w:r w:rsidR="008A16E0">
        <w:rPr>
          <w:rFonts w:ascii="Verdana" w:hAnsi="Verdana"/>
          <w:sz w:val="20"/>
          <w:lang w:val="es-ES_tradnl"/>
        </w:rPr>
        <w:t xml:space="preserve"> funcionales de este carácter. </w:t>
      </w:r>
      <w:r w:rsidRPr="00201EE6">
        <w:rPr>
          <w:rFonts w:ascii="Verdana" w:hAnsi="Verdana"/>
          <w:sz w:val="20"/>
          <w:lang w:val="es-ES_tradnl"/>
        </w:rPr>
        <w:t xml:space="preserve">Cuando la justicia militar asume competencia sobre un asunto que debe conocer la justicia ordinaria, se ve afectado el derecho al juez natural y, </w:t>
      </w:r>
      <w:r w:rsidRPr="00201EE6">
        <w:rPr>
          <w:rFonts w:ascii="Verdana" w:hAnsi="Verdana"/>
          <w:i/>
          <w:sz w:val="20"/>
          <w:lang w:val="es-ES_tradnl"/>
        </w:rPr>
        <w:t xml:space="preserve">a fortiori, </w:t>
      </w:r>
      <w:r w:rsidRPr="00201EE6">
        <w:rPr>
          <w:rFonts w:ascii="Verdana" w:hAnsi="Verdana"/>
          <w:sz w:val="20"/>
          <w:lang w:val="es-ES_tradnl"/>
        </w:rPr>
        <w:t>el</w:t>
      </w:r>
      <w:r w:rsidRPr="00201EE6">
        <w:rPr>
          <w:rFonts w:ascii="Verdana" w:hAnsi="Verdana"/>
          <w:i/>
          <w:sz w:val="20"/>
          <w:lang w:val="es-ES_tradnl"/>
        </w:rPr>
        <w:t xml:space="preserve"> </w:t>
      </w:r>
      <w:r w:rsidRPr="00201EE6">
        <w:rPr>
          <w:rFonts w:ascii="Verdana" w:hAnsi="Verdana"/>
          <w:sz w:val="20"/>
          <w:lang w:val="es-ES_tradnl"/>
        </w:rPr>
        <w:t>debido proceso, íntimamente ligado al propio derecho de acceso a la justicia</w:t>
      </w:r>
      <w:r>
        <w:rPr>
          <w:rStyle w:val="FootnoteReference"/>
          <w:rFonts w:ascii="Verdana" w:hAnsi="Verdana"/>
          <w:sz w:val="20"/>
          <w:lang w:val="es-ES_tradnl"/>
        </w:rPr>
        <w:footnoteReference w:id="458"/>
      </w:r>
      <w:r w:rsidRPr="00201EE6">
        <w:rPr>
          <w:rFonts w:ascii="Verdana" w:hAnsi="Verdana"/>
          <w:sz w:val="20"/>
          <w:lang w:val="es-ES_tradnl"/>
        </w:rPr>
        <w:t xml:space="preserve">. </w:t>
      </w:r>
      <w:r w:rsidRPr="00201EE6">
        <w:rPr>
          <w:rFonts w:ascii="Verdana" w:hAnsi="Verdana"/>
          <w:sz w:val="20"/>
          <w:szCs w:val="20"/>
          <w:lang w:val="es-ES_tradnl"/>
        </w:rPr>
        <w:t xml:space="preserve">En relación con México, este Tribunal ha concluido que </w:t>
      </w:r>
      <w:r w:rsidRPr="00201EE6">
        <w:rPr>
          <w:rFonts w:ascii="Verdana" w:hAnsi="Verdana"/>
          <w:bCs/>
          <w:sz w:val="20"/>
          <w:szCs w:val="20"/>
          <w:lang w:val="es-ES_tradnl"/>
        </w:rPr>
        <w:t xml:space="preserve">la jurisdicción militar </w:t>
      </w:r>
      <w:r w:rsidRPr="00201EE6">
        <w:rPr>
          <w:rFonts w:ascii="Verdana" w:hAnsi="Verdana"/>
          <w:sz w:val="20"/>
          <w:szCs w:val="20"/>
          <w:lang w:val="es-ES_tradnl"/>
        </w:rPr>
        <w:t xml:space="preserve">no es el fuero competente para investigar y, en su caso, juzgar y sancionar a los autores de alegadas vulneraciones de derechos humanos, sino que el procesamiento de los responsables corresponde siempre a la justicia ordinaria; lo que aplica </w:t>
      </w:r>
      <w:r w:rsidRPr="00201EE6">
        <w:rPr>
          <w:rFonts w:ascii="Verdana" w:hAnsi="Verdana"/>
          <w:bCs/>
          <w:sz w:val="20"/>
          <w:szCs w:val="20"/>
          <w:lang w:val="es-ES_tradnl"/>
        </w:rPr>
        <w:t>a todas las violaciones de derechos humanos</w:t>
      </w:r>
      <w:r w:rsidRPr="00AE0131">
        <w:rPr>
          <w:rStyle w:val="FootnoteReference"/>
          <w:rFonts w:ascii="Verdana" w:hAnsi="Verdana"/>
          <w:bCs/>
          <w:sz w:val="20"/>
          <w:szCs w:val="20"/>
          <w:lang w:val="es-ES_tradnl"/>
        </w:rPr>
        <w:footnoteReference w:id="459"/>
      </w:r>
      <w:r w:rsidRPr="00201EE6">
        <w:rPr>
          <w:rFonts w:ascii="Verdana" w:hAnsi="Verdana"/>
          <w:bCs/>
          <w:sz w:val="20"/>
          <w:szCs w:val="20"/>
          <w:lang w:val="es-ES_tradnl"/>
        </w:rPr>
        <w:t xml:space="preserve"> y no se limita al acto de juzgar a cargo de un tribunal, sino fundamentalmente a la propia investigación</w:t>
      </w:r>
      <w:r w:rsidRPr="00AE0131">
        <w:rPr>
          <w:rStyle w:val="FootnoteReference"/>
          <w:rFonts w:ascii="Verdana" w:hAnsi="Verdana"/>
          <w:bCs/>
          <w:sz w:val="20"/>
          <w:szCs w:val="20"/>
          <w:lang w:val="es-ES_tradnl"/>
        </w:rPr>
        <w:footnoteReference w:id="460"/>
      </w:r>
      <w:r w:rsidRPr="00201EE6">
        <w:rPr>
          <w:rFonts w:ascii="Verdana" w:hAnsi="Verdana"/>
          <w:bCs/>
          <w:sz w:val="20"/>
          <w:szCs w:val="20"/>
          <w:lang w:val="es-ES_tradnl"/>
        </w:rPr>
        <w:t>.</w:t>
      </w:r>
    </w:p>
    <w:p w14:paraId="60D2F7A4" w14:textId="54B851A8" w:rsidR="00F40CA4" w:rsidRPr="00F40CA4" w:rsidRDefault="00903628" w:rsidP="00DB378B">
      <w:pPr>
        <w:widowControl w:val="0"/>
        <w:numPr>
          <w:ilvl w:val="0"/>
          <w:numId w:val="4"/>
        </w:numPr>
        <w:tabs>
          <w:tab w:val="left" w:pos="567"/>
        </w:tabs>
        <w:autoSpaceDE w:val="0"/>
        <w:autoSpaceDN w:val="0"/>
        <w:adjustRightInd w:val="0"/>
        <w:spacing w:before="120" w:after="120" w:line="240" w:lineRule="auto"/>
        <w:ind w:left="0" w:firstLine="0"/>
        <w:jc w:val="both"/>
        <w:textAlignment w:val="baseline"/>
        <w:rPr>
          <w:rFonts w:ascii="Verdana" w:hAnsi="Verdana"/>
          <w:sz w:val="20"/>
          <w:szCs w:val="20"/>
          <w:lang w:val="es-ES_tradnl"/>
        </w:rPr>
      </w:pPr>
      <w:r w:rsidRPr="008A16E0">
        <w:rPr>
          <w:rFonts w:ascii="Verdana" w:hAnsi="Verdana"/>
          <w:sz w:val="20"/>
          <w:szCs w:val="20"/>
          <w:lang w:val="es-ES_tradnl"/>
        </w:rPr>
        <w:t>Ahora</w:t>
      </w:r>
      <w:r w:rsidR="008A16E0" w:rsidRPr="008A16E0">
        <w:rPr>
          <w:rFonts w:ascii="Verdana" w:hAnsi="Verdana"/>
          <w:sz w:val="20"/>
          <w:szCs w:val="20"/>
          <w:lang w:val="es-ES_tradnl"/>
        </w:rPr>
        <w:t xml:space="preserve"> bien</w:t>
      </w:r>
      <w:r w:rsidRPr="008A16E0">
        <w:rPr>
          <w:rFonts w:ascii="Verdana" w:hAnsi="Verdana"/>
          <w:sz w:val="20"/>
          <w:szCs w:val="20"/>
          <w:lang w:val="es-ES_tradnl"/>
        </w:rPr>
        <w:t>, independientemente de la violación directa a los artícul</w:t>
      </w:r>
      <w:r w:rsidR="008A16E0" w:rsidRPr="008A16E0">
        <w:rPr>
          <w:rFonts w:ascii="Verdana" w:hAnsi="Verdana"/>
          <w:sz w:val="20"/>
          <w:szCs w:val="20"/>
          <w:lang w:val="es-ES_tradnl"/>
        </w:rPr>
        <w:t>os 8 y 25, en relación con el 2</w:t>
      </w:r>
      <w:r w:rsidRPr="008A16E0">
        <w:rPr>
          <w:rFonts w:ascii="Verdana" w:hAnsi="Verdana"/>
          <w:sz w:val="20"/>
          <w:szCs w:val="20"/>
          <w:lang w:val="es-ES_tradnl"/>
        </w:rPr>
        <w:t xml:space="preserve"> de la Convención por incompatibilidad con ésta, el involucramiento de la jurisdicción militar e</w:t>
      </w:r>
      <w:r w:rsidR="008A16E0" w:rsidRPr="008A16E0">
        <w:rPr>
          <w:rFonts w:ascii="Verdana" w:hAnsi="Verdana"/>
          <w:sz w:val="20"/>
          <w:szCs w:val="20"/>
          <w:lang w:val="es-ES_tradnl"/>
        </w:rPr>
        <w:t>n el desarrollo del caso implicó</w:t>
      </w:r>
      <w:r w:rsidRPr="008A16E0">
        <w:rPr>
          <w:rFonts w:ascii="Verdana" w:hAnsi="Verdana"/>
          <w:sz w:val="20"/>
          <w:szCs w:val="20"/>
          <w:lang w:val="es-ES_tradnl"/>
        </w:rPr>
        <w:t xml:space="preserve"> –además– una falta grave al deber de debida diligencia en las investigaciones criminales; pues al tra</w:t>
      </w:r>
      <w:r w:rsidR="008A16E0" w:rsidRPr="008A16E0">
        <w:rPr>
          <w:rFonts w:ascii="Verdana" w:hAnsi="Verdana"/>
          <w:sz w:val="20"/>
          <w:szCs w:val="20"/>
          <w:lang w:val="es-ES_tradnl"/>
        </w:rPr>
        <w:t>tarse de autoridades que carecían</w:t>
      </w:r>
      <w:r w:rsidRPr="008A16E0">
        <w:rPr>
          <w:rFonts w:ascii="Verdana" w:hAnsi="Verdana"/>
          <w:sz w:val="20"/>
          <w:szCs w:val="20"/>
          <w:lang w:val="es-ES_tradnl"/>
        </w:rPr>
        <w:t xml:space="preserve"> de independencia e imparcialidad, las indagatorias y demás actuaciones realizadas por ellas –al haber sido realizadas con la expresa intención de determinar si existió participación de elementos militares </w:t>
      </w:r>
      <w:r w:rsidRPr="008A16E0">
        <w:rPr>
          <w:rFonts w:ascii="Verdana" w:hAnsi="Verdana"/>
          <w:sz w:val="20"/>
          <w:szCs w:val="20"/>
          <w:lang w:val="es-ES_tradnl"/>
        </w:rPr>
        <w:lastRenderedPageBreak/>
        <w:t>en la desaparición</w:t>
      </w:r>
      <w:r>
        <w:rPr>
          <w:rStyle w:val="FootnoteReference"/>
          <w:rFonts w:ascii="Verdana" w:hAnsi="Verdana"/>
          <w:sz w:val="20"/>
          <w:szCs w:val="20"/>
          <w:lang w:val="es-ES_tradnl"/>
        </w:rPr>
        <w:footnoteReference w:id="461"/>
      </w:r>
      <w:r w:rsidRPr="008A16E0">
        <w:rPr>
          <w:rFonts w:ascii="Verdana" w:hAnsi="Verdana"/>
          <w:sz w:val="20"/>
          <w:szCs w:val="20"/>
          <w:lang w:val="es-ES_tradnl"/>
        </w:rPr>
        <w:t xml:space="preserve"> y al haberse verificado en los primeros meses después de ésta– supusieron la pérdida de elementos de prueba valiosos</w:t>
      </w:r>
      <w:r w:rsidR="008A16E0" w:rsidRPr="008A16E0">
        <w:rPr>
          <w:rFonts w:ascii="Verdana" w:hAnsi="Verdana"/>
          <w:sz w:val="20"/>
          <w:szCs w:val="20"/>
          <w:lang w:val="es-ES_tradnl"/>
        </w:rPr>
        <w:t>,</w:t>
      </w:r>
      <w:r w:rsidRPr="008A16E0">
        <w:rPr>
          <w:rFonts w:ascii="Verdana" w:hAnsi="Verdana"/>
          <w:sz w:val="20"/>
          <w:szCs w:val="20"/>
          <w:lang w:val="es-ES_tradnl"/>
        </w:rPr>
        <w:t xml:space="preserve"> afectando con ello de forma</w:t>
      </w:r>
      <w:r w:rsidR="008A16E0" w:rsidRPr="008A16E0">
        <w:rPr>
          <w:rFonts w:ascii="Verdana" w:hAnsi="Verdana"/>
          <w:sz w:val="20"/>
          <w:szCs w:val="20"/>
          <w:lang w:val="es-ES_tradnl"/>
        </w:rPr>
        <w:t xml:space="preserve"> relevante </w:t>
      </w:r>
      <w:r w:rsidRPr="008A16E0">
        <w:rPr>
          <w:rFonts w:ascii="Verdana" w:hAnsi="Verdana"/>
          <w:sz w:val="20"/>
          <w:szCs w:val="20"/>
          <w:lang w:val="es-ES_tradnl"/>
        </w:rPr>
        <w:t>el de</w:t>
      </w:r>
      <w:r w:rsidR="008A16E0">
        <w:rPr>
          <w:rFonts w:ascii="Verdana" w:hAnsi="Verdana"/>
          <w:sz w:val="20"/>
          <w:szCs w:val="20"/>
          <w:lang w:val="es-ES_tradnl"/>
        </w:rPr>
        <w:t>sarrollo de las investigaciones.</w:t>
      </w:r>
    </w:p>
    <w:p w14:paraId="63467B09" w14:textId="61563039" w:rsidR="00F40CA4" w:rsidRPr="00C90B3F" w:rsidRDefault="00F40CA4" w:rsidP="00DB378B">
      <w:pPr>
        <w:widowControl w:val="0"/>
        <w:numPr>
          <w:ilvl w:val="0"/>
          <w:numId w:val="4"/>
        </w:numPr>
        <w:tabs>
          <w:tab w:val="left" w:pos="567"/>
        </w:tabs>
        <w:autoSpaceDE w:val="0"/>
        <w:autoSpaceDN w:val="0"/>
        <w:adjustRightInd w:val="0"/>
        <w:spacing w:before="120" w:after="120" w:line="240" w:lineRule="auto"/>
        <w:ind w:left="0" w:firstLine="0"/>
        <w:jc w:val="both"/>
        <w:textAlignment w:val="baseline"/>
        <w:rPr>
          <w:rFonts w:ascii="Verdana" w:hAnsi="Verdana"/>
          <w:sz w:val="20"/>
          <w:szCs w:val="20"/>
        </w:rPr>
      </w:pPr>
      <w:r>
        <w:rPr>
          <w:rFonts w:ascii="Verdana" w:hAnsi="Verdana"/>
          <w:sz w:val="20"/>
          <w:szCs w:val="20"/>
          <w:lang w:val="es-ES_tradnl"/>
        </w:rPr>
        <w:t>D</w:t>
      </w:r>
      <w:r w:rsidRPr="00C90B3F">
        <w:rPr>
          <w:rFonts w:ascii="Verdana" w:hAnsi="Verdana"/>
          <w:sz w:val="20"/>
          <w:szCs w:val="20"/>
          <w:lang w:val="es-ES_tradnl"/>
        </w:rPr>
        <w:t>e</w:t>
      </w:r>
      <w:r w:rsidRPr="00C90B3F">
        <w:rPr>
          <w:rFonts w:ascii="Verdana" w:hAnsi="Verdana"/>
          <w:sz w:val="20"/>
          <w:szCs w:val="20"/>
        </w:rPr>
        <w:t xml:space="preserve"> acuerdo con la jurisprudencia de este Tribunal, para que no se declare la responsabilidad estatal, es insuficiente que el Estado reconozca un hecho ilícito internacional sino que, </w:t>
      </w:r>
      <w:r w:rsidRPr="00C90B3F">
        <w:rPr>
          <w:rFonts w:ascii="Verdana" w:hAnsi="Verdana"/>
          <w:sz w:val="20"/>
          <w:szCs w:val="20"/>
          <w:lang w:val="es-CR" w:eastAsia="es-CR"/>
        </w:rPr>
        <w:t>adicionalmente</w:t>
      </w:r>
      <w:r w:rsidRPr="00C90B3F">
        <w:rPr>
          <w:rFonts w:ascii="Verdana" w:hAnsi="Verdana"/>
          <w:sz w:val="20"/>
          <w:szCs w:val="20"/>
        </w:rPr>
        <w:t>, debe evaluarse si lo hizo cesar y si reparó las consecuencias de la medida o situación que lo configuró</w:t>
      </w:r>
      <w:r w:rsidRPr="00C90B3F">
        <w:rPr>
          <w:rStyle w:val="FootnoteReference"/>
          <w:rFonts w:ascii="Verdana" w:hAnsi="Verdana"/>
          <w:sz w:val="20"/>
          <w:szCs w:val="20"/>
        </w:rPr>
        <w:footnoteReference w:id="462"/>
      </w:r>
      <w:r w:rsidRPr="00C90B3F">
        <w:rPr>
          <w:rFonts w:ascii="Verdana" w:hAnsi="Verdana"/>
          <w:sz w:val="20"/>
          <w:szCs w:val="20"/>
        </w:rPr>
        <w:t>.</w:t>
      </w:r>
    </w:p>
    <w:p w14:paraId="14FFE50D" w14:textId="3E21724C" w:rsidR="007D40AC" w:rsidRDefault="00903628" w:rsidP="00DB378B">
      <w:pPr>
        <w:widowControl w:val="0"/>
        <w:numPr>
          <w:ilvl w:val="0"/>
          <w:numId w:val="4"/>
        </w:numPr>
        <w:tabs>
          <w:tab w:val="left" w:pos="567"/>
        </w:tabs>
        <w:autoSpaceDE w:val="0"/>
        <w:autoSpaceDN w:val="0"/>
        <w:adjustRightInd w:val="0"/>
        <w:spacing w:before="120" w:after="120" w:line="240" w:lineRule="auto"/>
        <w:ind w:left="0" w:firstLine="0"/>
        <w:jc w:val="both"/>
        <w:textAlignment w:val="baseline"/>
        <w:rPr>
          <w:rFonts w:ascii="Verdana" w:hAnsi="Verdana"/>
          <w:sz w:val="20"/>
          <w:szCs w:val="20"/>
          <w:lang w:val="es-ES_tradnl"/>
        </w:rPr>
      </w:pPr>
      <w:r w:rsidRPr="00201EE6">
        <w:rPr>
          <w:rFonts w:ascii="Verdana" w:hAnsi="Verdana"/>
          <w:sz w:val="20"/>
          <w:szCs w:val="20"/>
          <w:lang w:val="es-ES_tradnl"/>
        </w:rPr>
        <w:t>Por tanto, esta Corte considera que –contrario a lo afirmado por el Estado– la posterior remisión del caso a las autoridades civiles, si bien fue una decis</w:t>
      </w:r>
      <w:r w:rsidR="008A16E0">
        <w:rPr>
          <w:rFonts w:ascii="Verdana" w:hAnsi="Verdana"/>
          <w:sz w:val="20"/>
          <w:szCs w:val="20"/>
          <w:lang w:val="es-ES_tradnl"/>
        </w:rPr>
        <w:t>ión correcta, no implicó que la violación hubieran quedado subsanada,</w:t>
      </w:r>
      <w:r w:rsidRPr="00201EE6">
        <w:rPr>
          <w:rFonts w:ascii="Verdana" w:hAnsi="Verdana"/>
          <w:sz w:val="20"/>
          <w:szCs w:val="20"/>
          <w:lang w:val="es-ES_tradnl"/>
        </w:rPr>
        <w:t xml:space="preserve"> pues las afectaciones al proceso de investigación, en cuanto a la obtención de elementos de prueba pertinentes y el desarrollo de diligencias en los primeros momentos, </w:t>
      </w:r>
      <w:r w:rsidR="008A16E0">
        <w:rPr>
          <w:rFonts w:ascii="Verdana" w:hAnsi="Verdana"/>
          <w:sz w:val="20"/>
          <w:szCs w:val="20"/>
          <w:lang w:val="es-ES_tradnl"/>
        </w:rPr>
        <w:t xml:space="preserve">han tenido serias </w:t>
      </w:r>
      <w:r w:rsidRPr="00201EE6">
        <w:rPr>
          <w:rFonts w:ascii="Verdana" w:hAnsi="Verdana"/>
          <w:sz w:val="20"/>
          <w:szCs w:val="20"/>
          <w:lang w:val="es-ES_tradnl"/>
        </w:rPr>
        <w:t>implicaciones</w:t>
      </w:r>
      <w:r w:rsidR="005F13B4">
        <w:rPr>
          <w:rFonts w:ascii="Verdana" w:hAnsi="Verdana"/>
          <w:sz w:val="20"/>
          <w:szCs w:val="20"/>
          <w:lang w:val="es-ES_tradnl"/>
        </w:rPr>
        <w:t xml:space="preserve"> en la investigación</w:t>
      </w:r>
      <w:r w:rsidR="007D40AC">
        <w:rPr>
          <w:rFonts w:ascii="Verdana" w:hAnsi="Verdana"/>
          <w:sz w:val="20"/>
          <w:szCs w:val="20"/>
          <w:lang w:val="es-ES_tradnl"/>
        </w:rPr>
        <w:t xml:space="preserve">, máxime cuando se trata de una desaparición en que la debida diligencia resulta crucial para dar con el paradero de las víctimas. </w:t>
      </w:r>
    </w:p>
    <w:p w14:paraId="64AA6096" w14:textId="4306584A" w:rsidR="00201EE6" w:rsidRPr="00813B72" w:rsidRDefault="007D40AC" w:rsidP="00DB378B">
      <w:pPr>
        <w:widowControl w:val="0"/>
        <w:numPr>
          <w:ilvl w:val="0"/>
          <w:numId w:val="4"/>
        </w:numPr>
        <w:tabs>
          <w:tab w:val="left" w:pos="567"/>
        </w:tabs>
        <w:autoSpaceDE w:val="0"/>
        <w:autoSpaceDN w:val="0"/>
        <w:adjustRightInd w:val="0"/>
        <w:spacing w:before="120" w:after="120" w:line="240" w:lineRule="auto"/>
        <w:ind w:left="0" w:firstLine="0"/>
        <w:jc w:val="both"/>
        <w:textAlignment w:val="baseline"/>
        <w:rPr>
          <w:rFonts w:ascii="Verdana" w:hAnsi="Verdana"/>
          <w:sz w:val="20"/>
          <w:szCs w:val="20"/>
          <w:lang w:val="es-ES_tradnl"/>
        </w:rPr>
      </w:pPr>
      <w:r>
        <w:rPr>
          <w:rFonts w:ascii="Verdana" w:hAnsi="Verdana"/>
          <w:sz w:val="20"/>
          <w:szCs w:val="20"/>
          <w:lang w:val="es-ES_tradnl"/>
        </w:rPr>
        <w:t xml:space="preserve">El contexto acreditado de impunidad en México respecto de este tipo de casos demuestra además la falta de fiscalización de dichos operativos con participación militar. Así quedó evidenciado además </w:t>
      </w:r>
      <w:r w:rsidR="00A64184">
        <w:rPr>
          <w:rFonts w:ascii="Verdana" w:hAnsi="Verdana"/>
          <w:sz w:val="20"/>
          <w:szCs w:val="20"/>
          <w:lang w:val="es-ES_tradnl"/>
        </w:rPr>
        <w:t>con la Q</w:t>
      </w:r>
      <w:r>
        <w:rPr>
          <w:rFonts w:ascii="Verdana" w:hAnsi="Verdana"/>
          <w:sz w:val="20"/>
          <w:szCs w:val="20"/>
          <w:lang w:val="es-ES_tradnl"/>
        </w:rPr>
        <w:t xml:space="preserve">ueja 886/09, promovida ante el mecanismo de atención a quejas y denuncias del Operativo Conjunto Chihuahua, la cual no derivó en ninguna actuación por parte de las autoridades </w:t>
      </w:r>
      <w:r w:rsidR="00A64184">
        <w:rPr>
          <w:rFonts w:ascii="Verdana" w:hAnsi="Verdana"/>
          <w:sz w:val="20"/>
          <w:szCs w:val="20"/>
          <w:lang w:val="es-ES_tradnl"/>
        </w:rPr>
        <w:t xml:space="preserve">ni recayó ninguna decisión al respecto </w:t>
      </w:r>
      <w:r>
        <w:rPr>
          <w:rFonts w:ascii="Verdana" w:hAnsi="Verdana"/>
          <w:sz w:val="20"/>
          <w:szCs w:val="20"/>
          <w:lang w:val="es-ES_tradnl"/>
        </w:rPr>
        <w:t>(</w:t>
      </w:r>
      <w:r w:rsidRPr="00C90B3F">
        <w:rPr>
          <w:rFonts w:ascii="Verdana" w:hAnsi="Verdana"/>
          <w:i/>
          <w:sz w:val="20"/>
          <w:szCs w:val="20"/>
          <w:lang w:val="es-ES_tradnl"/>
        </w:rPr>
        <w:t>supra</w:t>
      </w:r>
      <w:r>
        <w:rPr>
          <w:rFonts w:ascii="Verdana" w:hAnsi="Verdana"/>
          <w:sz w:val="20"/>
          <w:szCs w:val="20"/>
          <w:lang w:val="es-ES_tradnl"/>
        </w:rPr>
        <w:t xml:space="preserve"> </w:t>
      </w:r>
      <w:r w:rsidR="00A75657">
        <w:rPr>
          <w:rFonts w:ascii="Verdana" w:hAnsi="Verdana"/>
          <w:sz w:val="20"/>
          <w:szCs w:val="20"/>
          <w:lang w:val="es-ES_tradnl"/>
        </w:rPr>
        <w:t>párr. 142</w:t>
      </w:r>
      <w:r>
        <w:rPr>
          <w:rFonts w:ascii="Verdana" w:hAnsi="Verdana"/>
          <w:sz w:val="20"/>
          <w:szCs w:val="20"/>
          <w:lang w:val="es-ES_tradnl"/>
        </w:rPr>
        <w:t>)</w:t>
      </w:r>
    </w:p>
    <w:p w14:paraId="64AA6098" w14:textId="6575DBE8" w:rsidR="00201EE6" w:rsidRPr="00813B72" w:rsidRDefault="00903628" w:rsidP="00DB378B">
      <w:pPr>
        <w:widowControl w:val="0"/>
        <w:numPr>
          <w:ilvl w:val="0"/>
          <w:numId w:val="4"/>
        </w:numPr>
        <w:tabs>
          <w:tab w:val="left" w:pos="567"/>
        </w:tabs>
        <w:autoSpaceDE w:val="0"/>
        <w:autoSpaceDN w:val="0"/>
        <w:adjustRightInd w:val="0"/>
        <w:spacing w:before="120" w:after="120" w:line="240" w:lineRule="auto"/>
        <w:ind w:left="0" w:firstLine="0"/>
        <w:jc w:val="both"/>
        <w:textAlignment w:val="baseline"/>
        <w:rPr>
          <w:rFonts w:ascii="Verdana" w:hAnsi="Verdana"/>
          <w:sz w:val="20"/>
          <w:szCs w:val="20"/>
          <w:lang w:val="es-ES_tradnl"/>
        </w:rPr>
      </w:pPr>
      <w:r w:rsidRPr="00201EE6">
        <w:rPr>
          <w:rFonts w:ascii="Verdana" w:hAnsi="Verdana"/>
          <w:sz w:val="20"/>
          <w:szCs w:val="20"/>
          <w:lang w:val="es-ES_tradnl"/>
        </w:rPr>
        <w:t>Por otro lado, el Estado afirmó que el conocimiento del caso por la jurisdicción militar se debió a que así lo disponía el artículo 57.II.a) del Código de Justicia Militar vigente en dicha época, cuestión que –a su juicio– ha quedado subsanada a partir de la modificación de dicho ordenamiento por el Congreso de la Unión. La Comisión y las Representantes, por su parte, consideraron que subsistía un elemento inconvencional en dicha norma, a saber, la competencia del fuero militar respecto de violaciones a derechos humanos cometidas en contra de un militar, por lo que pidieron que este Tribunal se pronunciara al respecto.</w:t>
      </w:r>
    </w:p>
    <w:p w14:paraId="64AA609A" w14:textId="37CCBC8B" w:rsidR="00201EE6" w:rsidRPr="00813B72" w:rsidRDefault="00903628" w:rsidP="00DB378B">
      <w:pPr>
        <w:widowControl w:val="0"/>
        <w:numPr>
          <w:ilvl w:val="0"/>
          <w:numId w:val="4"/>
        </w:numPr>
        <w:tabs>
          <w:tab w:val="left" w:pos="567"/>
        </w:tabs>
        <w:autoSpaceDE w:val="0"/>
        <w:autoSpaceDN w:val="0"/>
        <w:adjustRightInd w:val="0"/>
        <w:spacing w:before="120" w:after="120" w:line="240" w:lineRule="auto"/>
        <w:ind w:left="0" w:firstLine="0"/>
        <w:jc w:val="both"/>
        <w:textAlignment w:val="baseline"/>
        <w:rPr>
          <w:rFonts w:ascii="Verdana" w:hAnsi="Verdana"/>
          <w:sz w:val="20"/>
          <w:szCs w:val="20"/>
          <w:lang w:val="es-ES_tradnl"/>
        </w:rPr>
      </w:pPr>
      <w:r w:rsidRPr="00201EE6">
        <w:rPr>
          <w:rFonts w:ascii="Verdana" w:hAnsi="Verdana"/>
          <w:sz w:val="20"/>
          <w:szCs w:val="20"/>
          <w:lang w:val="es-ES_tradnl"/>
        </w:rPr>
        <w:t xml:space="preserve">Sobre dicha cuestión, tanto la Comisión como las </w:t>
      </w:r>
      <w:r w:rsidR="00E5344B">
        <w:rPr>
          <w:rFonts w:ascii="Verdana" w:hAnsi="Verdana"/>
          <w:sz w:val="20"/>
          <w:szCs w:val="20"/>
          <w:lang w:val="es-ES_tradnl"/>
        </w:rPr>
        <w:t>r</w:t>
      </w:r>
      <w:r w:rsidRPr="00201EE6">
        <w:rPr>
          <w:rFonts w:ascii="Verdana" w:hAnsi="Verdana"/>
          <w:sz w:val="20"/>
          <w:szCs w:val="20"/>
          <w:lang w:val="es-ES_tradnl"/>
        </w:rPr>
        <w:t>epresentantes citaron las conclusion</w:t>
      </w:r>
      <w:r w:rsidR="005F13B4">
        <w:rPr>
          <w:rFonts w:ascii="Verdana" w:hAnsi="Verdana"/>
          <w:sz w:val="20"/>
          <w:szCs w:val="20"/>
          <w:lang w:val="es-ES_tradnl"/>
        </w:rPr>
        <w:t>es de esta Corte al emitir las R</w:t>
      </w:r>
      <w:r w:rsidRPr="00201EE6">
        <w:rPr>
          <w:rFonts w:ascii="Verdana" w:hAnsi="Verdana"/>
          <w:sz w:val="20"/>
          <w:szCs w:val="20"/>
          <w:lang w:val="es-ES_tradnl"/>
        </w:rPr>
        <w:t xml:space="preserve">esoluciones de 17 de abril de 2015 dentro los procesos de supervisión de cumplimiento de sentencia de los </w:t>
      </w:r>
      <w:r w:rsidR="00A75657">
        <w:rPr>
          <w:rFonts w:ascii="Verdana" w:hAnsi="Verdana"/>
          <w:i/>
          <w:sz w:val="20"/>
          <w:szCs w:val="20"/>
          <w:lang w:val="es-ES_tradnl"/>
        </w:rPr>
        <w:t>c</w:t>
      </w:r>
      <w:r w:rsidRPr="00C90B3F">
        <w:rPr>
          <w:rFonts w:ascii="Verdana" w:hAnsi="Verdana"/>
          <w:i/>
          <w:sz w:val="20"/>
          <w:szCs w:val="20"/>
          <w:lang w:val="es-ES_tradnl"/>
        </w:rPr>
        <w:t>asos Radilla Pacheco y otros, y Cabrera García y otro</w:t>
      </w:r>
      <w:r w:rsidR="00A75657">
        <w:rPr>
          <w:rFonts w:ascii="Verdana" w:hAnsi="Verdana"/>
          <w:i/>
          <w:sz w:val="20"/>
          <w:szCs w:val="20"/>
          <w:lang w:val="es-ES_tradnl"/>
        </w:rPr>
        <w:t xml:space="preserve">, </w:t>
      </w:r>
      <w:r w:rsidR="00E5344B">
        <w:rPr>
          <w:rFonts w:ascii="Verdana" w:hAnsi="Verdana"/>
          <w:i/>
          <w:sz w:val="20"/>
          <w:szCs w:val="20"/>
          <w:lang w:val="es-ES_tradnl"/>
        </w:rPr>
        <w:t>Vs.</w:t>
      </w:r>
      <w:r w:rsidRPr="00C90B3F">
        <w:rPr>
          <w:rFonts w:ascii="Verdana" w:hAnsi="Verdana"/>
          <w:i/>
          <w:sz w:val="20"/>
          <w:szCs w:val="20"/>
          <w:lang w:val="es-ES_tradnl"/>
        </w:rPr>
        <w:t xml:space="preserve"> México</w:t>
      </w:r>
      <w:r>
        <w:rPr>
          <w:rStyle w:val="FootnoteReference"/>
          <w:rFonts w:ascii="Verdana" w:hAnsi="Verdana"/>
          <w:sz w:val="20"/>
          <w:szCs w:val="20"/>
          <w:lang w:val="es-ES_tradnl"/>
        </w:rPr>
        <w:footnoteReference w:id="463"/>
      </w:r>
      <w:r w:rsidRPr="00201EE6">
        <w:rPr>
          <w:rFonts w:ascii="Verdana" w:hAnsi="Verdana"/>
          <w:sz w:val="20"/>
          <w:szCs w:val="20"/>
          <w:lang w:val="es-ES_tradnl"/>
        </w:rPr>
        <w:t>. Ello, pues dicha legislación aún autoriza la intervención del fuero militar en los delitos en que el imputado y la víctima son militares y en los delitos en que el imputado sea militar y no sea un civil el sujeto pasivo del delito o titular del bien jurídico</w:t>
      </w:r>
      <w:r>
        <w:rPr>
          <w:rStyle w:val="FootnoteReference"/>
          <w:rFonts w:ascii="Verdana" w:hAnsi="Verdana"/>
          <w:sz w:val="20"/>
          <w:szCs w:val="20"/>
          <w:lang w:val="es-ES_tradnl"/>
        </w:rPr>
        <w:footnoteReference w:id="464"/>
      </w:r>
      <w:r w:rsidRPr="00201EE6">
        <w:rPr>
          <w:rFonts w:ascii="Verdana" w:hAnsi="Verdana"/>
          <w:sz w:val="20"/>
          <w:szCs w:val="20"/>
          <w:lang w:val="es-ES_tradnl"/>
        </w:rPr>
        <w:t>. Este Tribunal, si bien sostiene el criter</w:t>
      </w:r>
      <w:r w:rsidR="005F13B4">
        <w:rPr>
          <w:rFonts w:ascii="Verdana" w:hAnsi="Verdana"/>
          <w:sz w:val="20"/>
          <w:szCs w:val="20"/>
          <w:lang w:val="es-ES_tradnl"/>
        </w:rPr>
        <w:t>io establecido en las R</w:t>
      </w:r>
      <w:r w:rsidRPr="00201EE6">
        <w:rPr>
          <w:rFonts w:ascii="Verdana" w:hAnsi="Verdana"/>
          <w:sz w:val="20"/>
          <w:szCs w:val="20"/>
          <w:lang w:val="es-ES_tradnl"/>
        </w:rPr>
        <w:t xml:space="preserve">esoluciones de 17 de abril de 2015, dado que en el presente caso no </w:t>
      </w:r>
      <w:r w:rsidR="005F13B4">
        <w:rPr>
          <w:rFonts w:ascii="Verdana" w:hAnsi="Verdana"/>
          <w:sz w:val="20"/>
          <w:szCs w:val="20"/>
          <w:lang w:val="es-ES_tradnl"/>
        </w:rPr>
        <w:t>se encue</w:t>
      </w:r>
      <w:r w:rsidRPr="00201EE6">
        <w:rPr>
          <w:rFonts w:ascii="Verdana" w:hAnsi="Verdana"/>
          <w:sz w:val="20"/>
          <w:szCs w:val="20"/>
          <w:lang w:val="es-ES_tradnl"/>
        </w:rPr>
        <w:t xml:space="preserve">ntra frente al supuesto referido, no se pronunciará </w:t>
      </w:r>
      <w:r w:rsidR="005F13B4">
        <w:rPr>
          <w:rFonts w:ascii="Verdana" w:hAnsi="Verdana"/>
          <w:sz w:val="20"/>
          <w:szCs w:val="20"/>
          <w:lang w:val="es-ES_tradnl"/>
        </w:rPr>
        <w:t xml:space="preserve">al </w:t>
      </w:r>
      <w:r w:rsidRPr="00201EE6">
        <w:rPr>
          <w:rFonts w:ascii="Verdana" w:hAnsi="Verdana"/>
          <w:sz w:val="20"/>
          <w:szCs w:val="20"/>
          <w:lang w:val="es-ES_tradnl"/>
        </w:rPr>
        <w:t>respecto</w:t>
      </w:r>
      <w:r w:rsidR="005F13B4">
        <w:rPr>
          <w:rFonts w:ascii="Verdana" w:hAnsi="Verdana"/>
          <w:sz w:val="20"/>
          <w:szCs w:val="20"/>
          <w:lang w:val="es-ES_tradnl"/>
        </w:rPr>
        <w:t>,</w:t>
      </w:r>
      <w:r w:rsidRPr="00201EE6">
        <w:rPr>
          <w:rFonts w:ascii="Verdana" w:hAnsi="Verdana"/>
          <w:sz w:val="20"/>
          <w:szCs w:val="20"/>
          <w:lang w:val="es-ES_tradnl"/>
        </w:rPr>
        <w:t xml:space="preserve"> </w:t>
      </w:r>
      <w:r w:rsidR="005F13B4">
        <w:rPr>
          <w:rFonts w:ascii="Verdana" w:hAnsi="Verdana"/>
          <w:sz w:val="20"/>
          <w:szCs w:val="20"/>
          <w:lang w:val="es-ES_tradnl"/>
        </w:rPr>
        <w:t>ya que</w:t>
      </w:r>
      <w:r w:rsidRPr="00201EE6">
        <w:rPr>
          <w:rFonts w:ascii="Verdana" w:hAnsi="Verdana"/>
          <w:sz w:val="20"/>
          <w:szCs w:val="20"/>
          <w:lang w:val="es-ES_tradnl"/>
        </w:rPr>
        <w:t xml:space="preserve"> escapa de la materia de estudio.  </w:t>
      </w:r>
    </w:p>
    <w:p w14:paraId="2B0D02A6" w14:textId="60925296" w:rsidR="005F13B4" w:rsidRPr="00813B72" w:rsidRDefault="00903628" w:rsidP="00DB378B">
      <w:pPr>
        <w:widowControl w:val="0"/>
        <w:numPr>
          <w:ilvl w:val="0"/>
          <w:numId w:val="4"/>
        </w:numPr>
        <w:tabs>
          <w:tab w:val="left" w:pos="0"/>
          <w:tab w:val="left" w:pos="426"/>
          <w:tab w:val="left" w:pos="567"/>
        </w:tabs>
        <w:autoSpaceDE w:val="0"/>
        <w:autoSpaceDN w:val="0"/>
        <w:adjustRightInd w:val="0"/>
        <w:spacing w:before="120" w:after="120" w:line="240" w:lineRule="auto"/>
        <w:ind w:left="0" w:firstLine="0"/>
        <w:jc w:val="both"/>
        <w:textAlignment w:val="baseline"/>
        <w:rPr>
          <w:rFonts w:ascii="Verdana" w:hAnsi="Verdana"/>
          <w:sz w:val="20"/>
          <w:szCs w:val="20"/>
          <w:lang w:val="es-ES_tradnl"/>
        </w:rPr>
      </w:pPr>
      <w:r w:rsidRPr="005F13B4">
        <w:rPr>
          <w:rFonts w:ascii="Verdana" w:hAnsi="Verdana"/>
          <w:sz w:val="20"/>
          <w:szCs w:val="20"/>
          <w:lang w:val="es-ES_tradnl"/>
        </w:rPr>
        <w:t xml:space="preserve">Por tanto, la Corte considera que el Estado violó los artículos </w:t>
      </w:r>
      <w:r w:rsidRPr="005F13B4">
        <w:rPr>
          <w:rFonts w:ascii="Verdana" w:eastAsia="Times New Roman" w:hAnsi="Verdana" w:cs="Times New Roman"/>
          <w:sz w:val="20"/>
          <w:szCs w:val="20"/>
          <w:lang w:val="es-ES"/>
        </w:rPr>
        <w:t>8 y 25 de la Convención</w:t>
      </w:r>
      <w:r w:rsidR="00CC61EB">
        <w:rPr>
          <w:rFonts w:ascii="Verdana" w:eastAsia="Times New Roman" w:hAnsi="Verdana" w:cs="Times New Roman"/>
          <w:sz w:val="20"/>
          <w:szCs w:val="20"/>
          <w:lang w:val="es-ES"/>
        </w:rPr>
        <w:t xml:space="preserve"> y el</w:t>
      </w:r>
      <w:r w:rsidRPr="005F13B4">
        <w:rPr>
          <w:rFonts w:ascii="Verdana" w:eastAsia="Times New Roman" w:hAnsi="Verdana" w:cs="Times New Roman"/>
          <w:sz w:val="20"/>
          <w:szCs w:val="20"/>
          <w:lang w:val="es-ES"/>
        </w:rPr>
        <w:t xml:space="preserve"> artículo 2 del mismo instrumento</w:t>
      </w:r>
      <w:r w:rsidR="00CC61EB">
        <w:rPr>
          <w:rFonts w:ascii="Verdana" w:eastAsia="Times New Roman" w:hAnsi="Verdana" w:cs="Times New Roman"/>
          <w:sz w:val="20"/>
          <w:szCs w:val="20"/>
          <w:lang w:val="es-ES"/>
        </w:rPr>
        <w:t xml:space="preserve">, </w:t>
      </w:r>
      <w:r w:rsidR="00CC61EB" w:rsidRPr="003564A3">
        <w:rPr>
          <w:rFonts w:ascii="Verdana" w:eastAsia="Times New Roman" w:hAnsi="Verdana" w:cs="Times New Roman"/>
          <w:sz w:val="20"/>
          <w:szCs w:val="20"/>
          <w:lang w:val="es-ES"/>
        </w:rPr>
        <w:t xml:space="preserve">así como los artículos I.b y IX de la Convención sobre </w:t>
      </w:r>
      <w:r w:rsidR="00CC61EB" w:rsidRPr="003564A3">
        <w:rPr>
          <w:rFonts w:ascii="Verdana" w:eastAsia="Times New Roman" w:hAnsi="Verdana" w:cs="Times New Roman"/>
          <w:sz w:val="20"/>
          <w:szCs w:val="20"/>
          <w:lang w:val="es-ES"/>
        </w:rPr>
        <w:lastRenderedPageBreak/>
        <w:t>Desaparición Forzada,</w:t>
      </w:r>
      <w:r w:rsidRPr="005F13B4">
        <w:rPr>
          <w:rFonts w:ascii="Verdana" w:eastAsia="Times New Roman" w:hAnsi="Verdana" w:cs="Times New Roman"/>
          <w:sz w:val="20"/>
          <w:szCs w:val="20"/>
          <w:lang w:val="es-ES"/>
        </w:rPr>
        <w:t xml:space="preserve"> al haber permitido que la jurisdicción militar conociera del caso durante </w:t>
      </w:r>
      <w:r w:rsidR="005F13B4" w:rsidRPr="005F13B4">
        <w:rPr>
          <w:rFonts w:ascii="Verdana" w:eastAsia="Times New Roman" w:hAnsi="Verdana" w:cs="Times New Roman"/>
          <w:sz w:val="20"/>
          <w:szCs w:val="20"/>
          <w:lang w:val="es-ES"/>
        </w:rPr>
        <w:t>una parte sustancial del proceso</w:t>
      </w:r>
      <w:r w:rsidR="00CC61EB">
        <w:rPr>
          <w:rFonts w:ascii="Verdana" w:eastAsia="Times New Roman" w:hAnsi="Verdana" w:cs="Times New Roman"/>
          <w:sz w:val="20"/>
          <w:szCs w:val="20"/>
          <w:lang w:val="es-ES"/>
        </w:rPr>
        <w:t>.</w:t>
      </w:r>
    </w:p>
    <w:p w14:paraId="5472707C" w14:textId="114AE117" w:rsidR="002729EC" w:rsidRPr="00813B72" w:rsidRDefault="0008123D">
      <w:pPr>
        <w:pStyle w:val="Heading5"/>
        <w:numPr>
          <w:ilvl w:val="0"/>
          <w:numId w:val="76"/>
        </w:numPr>
        <w:spacing w:before="120" w:after="120"/>
        <w:contextualSpacing w:val="0"/>
        <w:rPr>
          <w:lang w:val="es-CR"/>
        </w:rPr>
      </w:pPr>
      <w:bookmarkStart w:id="274" w:name="_Toc522815032"/>
      <w:r>
        <w:rPr>
          <w:lang w:val="es-CR"/>
        </w:rPr>
        <w:t xml:space="preserve"> </w:t>
      </w:r>
      <w:bookmarkStart w:id="275" w:name="_Toc526777659"/>
      <w:bookmarkStart w:id="276" w:name="_Toc526778142"/>
      <w:bookmarkStart w:id="277" w:name="_Toc526779394"/>
      <w:bookmarkStart w:id="278" w:name="_Toc526780863"/>
      <w:bookmarkStart w:id="279" w:name="_Toc526783800"/>
      <w:bookmarkStart w:id="280" w:name="_Toc532995383"/>
      <w:r w:rsidR="00903628" w:rsidRPr="005F13B4">
        <w:rPr>
          <w:lang w:val="es-CR"/>
        </w:rPr>
        <w:t>Sobre las investigaciones posteriores</w:t>
      </w:r>
      <w:bookmarkEnd w:id="274"/>
      <w:bookmarkEnd w:id="275"/>
      <w:bookmarkEnd w:id="276"/>
      <w:bookmarkEnd w:id="277"/>
      <w:bookmarkEnd w:id="278"/>
      <w:bookmarkEnd w:id="279"/>
      <w:bookmarkEnd w:id="280"/>
    </w:p>
    <w:p w14:paraId="64AA60A1" w14:textId="7EADB7E5" w:rsidR="00201EE6" w:rsidRPr="00350979" w:rsidRDefault="00903628" w:rsidP="00DB378B">
      <w:pPr>
        <w:widowControl w:val="0"/>
        <w:numPr>
          <w:ilvl w:val="0"/>
          <w:numId w:val="4"/>
        </w:numPr>
        <w:tabs>
          <w:tab w:val="left" w:pos="567"/>
        </w:tabs>
        <w:autoSpaceDE w:val="0"/>
        <w:autoSpaceDN w:val="0"/>
        <w:adjustRightInd w:val="0"/>
        <w:spacing w:before="120" w:after="120" w:line="240" w:lineRule="auto"/>
        <w:ind w:left="0" w:firstLine="0"/>
        <w:jc w:val="both"/>
        <w:textAlignment w:val="baseline"/>
        <w:rPr>
          <w:rFonts w:ascii="Verdana" w:eastAsia="SimSun" w:hAnsi="Verdana" w:cs="Arial"/>
          <w:sz w:val="20"/>
          <w:szCs w:val="20"/>
          <w:lang w:val="es-CR" w:eastAsia="es-CR"/>
        </w:rPr>
      </w:pPr>
      <w:r w:rsidRPr="00E53B76">
        <w:rPr>
          <w:rFonts w:ascii="Verdana" w:eastAsia="SimSun" w:hAnsi="Verdana" w:cs="Arial"/>
          <w:sz w:val="20"/>
          <w:szCs w:val="20"/>
          <w:lang w:val="es-CR" w:eastAsia="es-CR"/>
        </w:rPr>
        <w:t>Esta Corte ha señalado de manera consistente que el deber de investigar es una obligación de medio y</w:t>
      </w:r>
      <w:r w:rsidRPr="0021124B">
        <w:rPr>
          <w:rFonts w:ascii="Verdana" w:eastAsia="SimSun" w:hAnsi="Verdana" w:cs="Arial"/>
          <w:sz w:val="20"/>
          <w:szCs w:val="20"/>
          <w:lang w:val="es-CR" w:eastAsia="es-CR"/>
        </w:rPr>
        <w:t xml:space="preserve"> no de resultado, que debe ser asumida por el Estado como un deber jurídico propio y no como una simple formalidad condenada de antemano a ser infructuosa, o como una mera gestión de intereses particulares, que dependa de la iniciativa procesal de las víc</w:t>
      </w:r>
      <w:r w:rsidRPr="006A3F76">
        <w:rPr>
          <w:rFonts w:ascii="Verdana" w:eastAsia="SimSun" w:hAnsi="Verdana" w:cs="Arial"/>
          <w:sz w:val="20"/>
          <w:szCs w:val="20"/>
          <w:lang w:val="es-CR" w:eastAsia="es-CR"/>
        </w:rPr>
        <w:t>timas o de sus familiares o de la aportación privada de elementos probatorios</w:t>
      </w:r>
      <w:r w:rsidRPr="006A3F76">
        <w:rPr>
          <w:rFonts w:ascii="Verdana" w:eastAsia="SimSun" w:hAnsi="Verdana" w:cs="Arial"/>
          <w:sz w:val="20"/>
          <w:szCs w:val="20"/>
          <w:vertAlign w:val="superscript"/>
          <w:lang w:val="es-CR" w:eastAsia="es-CR"/>
        </w:rPr>
        <w:footnoteReference w:id="465"/>
      </w:r>
      <w:r w:rsidRPr="006A3F76">
        <w:rPr>
          <w:rFonts w:ascii="Verdana" w:eastAsia="SimSun" w:hAnsi="Verdana" w:cs="Arial"/>
          <w:sz w:val="20"/>
          <w:szCs w:val="20"/>
          <w:lang w:val="es-CR" w:eastAsia="es-CR"/>
        </w:rPr>
        <w:t xml:space="preserve">. </w:t>
      </w:r>
      <w:r w:rsidR="005F13B4" w:rsidRPr="003F7726">
        <w:rPr>
          <w:rFonts w:ascii="Verdana" w:hAnsi="Verdana"/>
          <w:color w:val="000000"/>
          <w:sz w:val="20"/>
          <w:szCs w:val="20"/>
        </w:rPr>
        <w:t>R</w:t>
      </w:r>
      <w:r w:rsidRPr="003F7726">
        <w:rPr>
          <w:rFonts w:ascii="Verdana" w:hAnsi="Verdana"/>
          <w:color w:val="000000"/>
          <w:sz w:val="20"/>
          <w:szCs w:val="20"/>
        </w:rPr>
        <w:t xml:space="preserve">especto de casos de desaparición forzada, </w:t>
      </w:r>
      <w:r w:rsidR="005F13B4" w:rsidRPr="003F7726">
        <w:rPr>
          <w:rFonts w:ascii="Verdana" w:hAnsi="Verdana"/>
          <w:color w:val="000000"/>
          <w:sz w:val="20"/>
          <w:szCs w:val="20"/>
        </w:rPr>
        <w:t xml:space="preserve">la Corte </w:t>
      </w:r>
      <w:r w:rsidRPr="003F7726">
        <w:rPr>
          <w:rFonts w:ascii="Verdana" w:hAnsi="Verdana"/>
          <w:color w:val="000000"/>
          <w:sz w:val="20"/>
          <w:szCs w:val="20"/>
        </w:rPr>
        <w:t>ha confirmado la existencia de un “[d]erecho de los familiares de la víctima de conocer cuál fue el destino de ésta y, en su caso, dónde se encuentra su paradero o, en su caso, sus restos”</w:t>
      </w:r>
      <w:r w:rsidRPr="003F7726">
        <w:rPr>
          <w:rStyle w:val="FootnoteReference"/>
          <w:rFonts w:ascii="Verdana" w:hAnsi="Verdana"/>
          <w:color w:val="000000"/>
          <w:sz w:val="20"/>
          <w:szCs w:val="20"/>
        </w:rPr>
        <w:footnoteReference w:id="466"/>
      </w:r>
      <w:r w:rsidRPr="003F7726">
        <w:rPr>
          <w:rFonts w:ascii="Verdana" w:hAnsi="Verdana"/>
          <w:color w:val="000000"/>
          <w:sz w:val="20"/>
          <w:szCs w:val="20"/>
        </w:rPr>
        <w:t xml:space="preserve">. </w:t>
      </w:r>
      <w:r w:rsidR="005F13B4" w:rsidRPr="003F7726">
        <w:rPr>
          <w:rFonts w:ascii="Verdana" w:hAnsi="Verdana"/>
          <w:sz w:val="20"/>
          <w:szCs w:val="20"/>
          <w:lang w:val="es-CR"/>
        </w:rPr>
        <w:t>E</w:t>
      </w:r>
      <w:r w:rsidRPr="003F7726">
        <w:rPr>
          <w:rFonts w:ascii="Verdana" w:hAnsi="Verdana"/>
          <w:sz w:val="20"/>
          <w:szCs w:val="20"/>
          <w:lang w:val="es-CR"/>
        </w:rPr>
        <w:t>n estos casos l</w:t>
      </w:r>
      <w:r w:rsidRPr="003F7726">
        <w:rPr>
          <w:rFonts w:ascii="Verdana" w:hAnsi="Verdana"/>
          <w:color w:val="000000"/>
          <w:sz w:val="20"/>
          <w:szCs w:val="20"/>
          <w:lang w:val="es-CR"/>
        </w:rPr>
        <w:t>a impunidad debe ser erradicada mediante la determinación de las responsabilidades tanto generales –del Estado- como individuales –penales y de otra índole de sus agentes o de particulares</w:t>
      </w:r>
      <w:r w:rsidRPr="003F7726">
        <w:rPr>
          <w:rStyle w:val="FootnoteReference"/>
          <w:rFonts w:ascii="Verdana" w:hAnsi="Verdana"/>
          <w:color w:val="000000"/>
          <w:sz w:val="20"/>
          <w:szCs w:val="20"/>
          <w:lang w:val="es-CR"/>
        </w:rPr>
        <w:footnoteReference w:id="467"/>
      </w:r>
      <w:r w:rsidRPr="003F7726">
        <w:rPr>
          <w:rFonts w:ascii="Verdana" w:hAnsi="Verdana"/>
          <w:color w:val="000000"/>
          <w:sz w:val="20"/>
          <w:szCs w:val="20"/>
          <w:lang w:val="es-CR"/>
        </w:rPr>
        <w:t xml:space="preserve">. </w:t>
      </w:r>
    </w:p>
    <w:p w14:paraId="64AA60A3" w14:textId="33F8CE3A" w:rsidR="00201EE6" w:rsidRPr="00813B72" w:rsidRDefault="00903628" w:rsidP="00DB378B">
      <w:pPr>
        <w:widowControl w:val="0"/>
        <w:numPr>
          <w:ilvl w:val="0"/>
          <w:numId w:val="4"/>
        </w:numPr>
        <w:tabs>
          <w:tab w:val="left" w:pos="567"/>
        </w:tabs>
        <w:autoSpaceDE w:val="0"/>
        <w:autoSpaceDN w:val="0"/>
        <w:adjustRightInd w:val="0"/>
        <w:spacing w:before="120" w:after="120" w:line="240" w:lineRule="auto"/>
        <w:ind w:left="0" w:firstLine="0"/>
        <w:jc w:val="both"/>
        <w:textAlignment w:val="baseline"/>
        <w:rPr>
          <w:rFonts w:ascii="Verdana" w:eastAsia="SimSun" w:hAnsi="Verdana" w:cs="Arial"/>
          <w:sz w:val="20"/>
          <w:szCs w:val="20"/>
          <w:lang w:val="es-CR" w:eastAsia="es-CR"/>
        </w:rPr>
      </w:pPr>
      <w:r w:rsidRPr="00201EE6">
        <w:rPr>
          <w:rFonts w:ascii="Verdana" w:hAnsi="Verdana"/>
          <w:sz w:val="20"/>
          <w:szCs w:val="20"/>
          <w:lang w:val="es-CR"/>
        </w:rPr>
        <w:t xml:space="preserve">La Corte </w:t>
      </w:r>
      <w:r w:rsidR="005F13B4">
        <w:rPr>
          <w:rFonts w:ascii="Verdana" w:hAnsi="Verdana"/>
          <w:sz w:val="20"/>
          <w:szCs w:val="20"/>
          <w:lang w:val="es-CR"/>
        </w:rPr>
        <w:t>constató</w:t>
      </w:r>
      <w:r w:rsidRPr="00201EE6">
        <w:rPr>
          <w:rFonts w:ascii="Verdana" w:hAnsi="Verdana"/>
          <w:sz w:val="20"/>
          <w:szCs w:val="20"/>
          <w:lang w:val="es-CR"/>
        </w:rPr>
        <w:t xml:space="preserve"> que desde el inicio de las investigaciones distintas autoridades a cargo de las mismas han llevado a cabo una gran cantidad de actuaciones y diligencias tendientes a encontrar a las víctimas y a determinar </w:t>
      </w:r>
      <w:r w:rsidR="00600A1A">
        <w:rPr>
          <w:rFonts w:ascii="Verdana" w:hAnsi="Verdana"/>
          <w:sz w:val="20"/>
          <w:szCs w:val="20"/>
          <w:lang w:val="es-CR"/>
        </w:rPr>
        <w:t xml:space="preserve">quiénes fueron </w:t>
      </w:r>
      <w:r w:rsidRPr="00201EE6">
        <w:rPr>
          <w:rFonts w:ascii="Verdana" w:hAnsi="Verdana"/>
          <w:sz w:val="20"/>
          <w:szCs w:val="20"/>
          <w:lang w:val="es-CR"/>
        </w:rPr>
        <w:t>los responsables de la</w:t>
      </w:r>
      <w:r w:rsidR="00600A1A">
        <w:rPr>
          <w:rFonts w:ascii="Verdana" w:hAnsi="Verdana"/>
          <w:sz w:val="20"/>
          <w:szCs w:val="20"/>
          <w:lang w:val="es-CR"/>
        </w:rPr>
        <w:t>s</w:t>
      </w:r>
      <w:r w:rsidRPr="00201EE6">
        <w:rPr>
          <w:rFonts w:ascii="Verdana" w:hAnsi="Verdana"/>
          <w:sz w:val="20"/>
          <w:szCs w:val="20"/>
          <w:lang w:val="es-CR"/>
        </w:rPr>
        <w:t xml:space="preserve"> desaparici</w:t>
      </w:r>
      <w:r w:rsidR="00600A1A">
        <w:rPr>
          <w:rFonts w:ascii="Verdana" w:hAnsi="Verdana"/>
          <w:sz w:val="20"/>
          <w:szCs w:val="20"/>
          <w:lang w:val="es-CR"/>
        </w:rPr>
        <w:t>o</w:t>
      </w:r>
      <w:r w:rsidRPr="00201EE6">
        <w:rPr>
          <w:rFonts w:ascii="Verdana" w:hAnsi="Verdana"/>
          <w:sz w:val="20"/>
          <w:szCs w:val="20"/>
          <w:lang w:val="es-CR"/>
        </w:rPr>
        <w:t>n</w:t>
      </w:r>
      <w:r w:rsidR="00600A1A">
        <w:rPr>
          <w:rFonts w:ascii="Verdana" w:hAnsi="Verdana"/>
          <w:sz w:val="20"/>
          <w:szCs w:val="20"/>
          <w:lang w:val="es-CR"/>
        </w:rPr>
        <w:t>es</w:t>
      </w:r>
      <w:r w:rsidRPr="00201EE6">
        <w:rPr>
          <w:rFonts w:ascii="Verdana" w:hAnsi="Verdana"/>
          <w:sz w:val="20"/>
          <w:szCs w:val="20"/>
          <w:lang w:val="es-CR"/>
        </w:rPr>
        <w:t xml:space="preserve">. Entre ellas, destacan las acciones </w:t>
      </w:r>
      <w:r w:rsidR="005F13B4">
        <w:rPr>
          <w:rFonts w:ascii="Verdana" w:hAnsi="Verdana"/>
          <w:sz w:val="20"/>
          <w:szCs w:val="20"/>
          <w:lang w:val="es-CR"/>
        </w:rPr>
        <w:t xml:space="preserve">emprendidas </w:t>
      </w:r>
      <w:r w:rsidRPr="00201EE6">
        <w:rPr>
          <w:rFonts w:ascii="Verdana" w:hAnsi="Verdana"/>
          <w:sz w:val="20"/>
          <w:szCs w:val="20"/>
          <w:lang w:val="es-CR"/>
        </w:rPr>
        <w:t>por la FEVIMTRA</w:t>
      </w:r>
      <w:r w:rsidR="00600A1A">
        <w:rPr>
          <w:rFonts w:ascii="Verdana" w:hAnsi="Verdana"/>
          <w:sz w:val="20"/>
          <w:szCs w:val="20"/>
          <w:lang w:val="es-CR"/>
        </w:rPr>
        <w:t>-PGR</w:t>
      </w:r>
      <w:r w:rsidRPr="00201EE6">
        <w:rPr>
          <w:rFonts w:ascii="Verdana" w:hAnsi="Verdana"/>
          <w:sz w:val="20"/>
          <w:szCs w:val="20"/>
          <w:lang w:val="es-CR"/>
        </w:rPr>
        <w:t xml:space="preserve"> (toma de declaraciones de testigos presenciales y autoridades vinculadas con el caso, diligencias de búsqueda de restos, solicitudes de información a la SEDENA, Policía Federal y otras autoridades, entre otras) (</w:t>
      </w:r>
      <w:r w:rsidRPr="00201EE6">
        <w:rPr>
          <w:rFonts w:ascii="Verdana" w:hAnsi="Verdana"/>
          <w:i/>
          <w:sz w:val="20"/>
          <w:szCs w:val="20"/>
          <w:lang w:val="es-CR"/>
        </w:rPr>
        <w:t>supra</w:t>
      </w:r>
      <w:r w:rsidRPr="00201EE6">
        <w:rPr>
          <w:rFonts w:ascii="Verdana" w:hAnsi="Verdana"/>
          <w:sz w:val="20"/>
          <w:szCs w:val="20"/>
          <w:lang w:val="es-CR"/>
        </w:rPr>
        <w:t xml:space="preserve"> párrs. </w:t>
      </w:r>
      <w:r w:rsidR="00600A1A">
        <w:rPr>
          <w:rFonts w:ascii="Verdana" w:hAnsi="Verdana"/>
          <w:sz w:val="20"/>
          <w:szCs w:val="20"/>
          <w:lang w:val="es-CR"/>
        </w:rPr>
        <w:t>118</w:t>
      </w:r>
      <w:r w:rsidRPr="00201EE6">
        <w:rPr>
          <w:rFonts w:ascii="Verdana" w:hAnsi="Verdana"/>
          <w:sz w:val="20"/>
          <w:szCs w:val="20"/>
          <w:lang w:val="es-CR"/>
        </w:rPr>
        <w:t xml:space="preserve"> a 12</w:t>
      </w:r>
      <w:r w:rsidR="00600A1A">
        <w:rPr>
          <w:rFonts w:ascii="Verdana" w:hAnsi="Verdana"/>
          <w:sz w:val="20"/>
          <w:szCs w:val="20"/>
          <w:lang w:val="es-CR"/>
        </w:rPr>
        <w:t>0</w:t>
      </w:r>
      <w:r w:rsidRPr="00201EE6">
        <w:rPr>
          <w:rFonts w:ascii="Verdana" w:hAnsi="Verdana"/>
          <w:sz w:val="20"/>
          <w:szCs w:val="20"/>
          <w:lang w:val="es-CR"/>
        </w:rPr>
        <w:t>); y por la UEBPD-PGR (toma de declaraciones, concentración de investigaciones, diligencias de búsqueda de restos, consignación de un presunto responsable, entre otras) (</w:t>
      </w:r>
      <w:r w:rsidRPr="00201EE6">
        <w:rPr>
          <w:rFonts w:ascii="Verdana" w:hAnsi="Verdana"/>
          <w:i/>
          <w:sz w:val="20"/>
          <w:szCs w:val="20"/>
          <w:lang w:val="es-CR"/>
        </w:rPr>
        <w:t>supra</w:t>
      </w:r>
      <w:r w:rsidRPr="00201EE6">
        <w:rPr>
          <w:rFonts w:ascii="Verdana" w:hAnsi="Verdana"/>
          <w:sz w:val="20"/>
          <w:szCs w:val="20"/>
          <w:lang w:val="es-CR"/>
        </w:rPr>
        <w:t xml:space="preserve"> párrs. 12</w:t>
      </w:r>
      <w:r w:rsidR="00600A1A">
        <w:rPr>
          <w:rFonts w:ascii="Verdana" w:hAnsi="Verdana"/>
          <w:sz w:val="20"/>
          <w:szCs w:val="20"/>
          <w:lang w:val="es-CR"/>
        </w:rPr>
        <w:t>4</w:t>
      </w:r>
      <w:r w:rsidRPr="00201EE6">
        <w:rPr>
          <w:rFonts w:ascii="Verdana" w:hAnsi="Verdana"/>
          <w:sz w:val="20"/>
          <w:szCs w:val="20"/>
          <w:lang w:val="es-CR"/>
        </w:rPr>
        <w:t xml:space="preserve"> a 136).  </w:t>
      </w:r>
    </w:p>
    <w:p w14:paraId="64AA60A5" w14:textId="4F1C873E" w:rsidR="00201EE6" w:rsidRPr="00813B72" w:rsidRDefault="00903628" w:rsidP="00DB378B">
      <w:pPr>
        <w:widowControl w:val="0"/>
        <w:numPr>
          <w:ilvl w:val="0"/>
          <w:numId w:val="4"/>
        </w:numPr>
        <w:tabs>
          <w:tab w:val="left" w:pos="567"/>
        </w:tabs>
        <w:autoSpaceDE w:val="0"/>
        <w:autoSpaceDN w:val="0"/>
        <w:adjustRightInd w:val="0"/>
        <w:spacing w:before="120" w:after="120" w:line="240" w:lineRule="auto"/>
        <w:ind w:left="0" w:firstLine="0"/>
        <w:jc w:val="both"/>
        <w:textAlignment w:val="baseline"/>
        <w:rPr>
          <w:rFonts w:ascii="Verdana" w:eastAsia="SimSun" w:hAnsi="Verdana" w:cs="Arial"/>
          <w:sz w:val="20"/>
          <w:szCs w:val="20"/>
          <w:lang w:val="es-CR" w:eastAsia="es-CR"/>
        </w:rPr>
      </w:pPr>
      <w:r w:rsidRPr="00201EE6">
        <w:rPr>
          <w:rFonts w:ascii="Verdana" w:hAnsi="Verdana"/>
          <w:color w:val="000000"/>
          <w:sz w:val="20"/>
          <w:szCs w:val="20"/>
        </w:rPr>
        <w:t xml:space="preserve">Sin embargo, como lo hizo notar la Comisión, durante poco más de tres años posteriores a la fecha de </w:t>
      </w:r>
      <w:r w:rsidR="00600A1A">
        <w:rPr>
          <w:rFonts w:ascii="Verdana" w:hAnsi="Verdana"/>
          <w:color w:val="000000"/>
          <w:sz w:val="20"/>
          <w:szCs w:val="20"/>
        </w:rPr>
        <w:t xml:space="preserve">las </w:t>
      </w:r>
      <w:r w:rsidRPr="00201EE6">
        <w:rPr>
          <w:rFonts w:ascii="Verdana" w:hAnsi="Verdana"/>
          <w:color w:val="000000"/>
          <w:sz w:val="20"/>
          <w:szCs w:val="20"/>
        </w:rPr>
        <w:t>alegada</w:t>
      </w:r>
      <w:r w:rsidR="00600A1A">
        <w:rPr>
          <w:rFonts w:ascii="Verdana" w:hAnsi="Verdana"/>
          <w:color w:val="000000"/>
          <w:sz w:val="20"/>
          <w:szCs w:val="20"/>
        </w:rPr>
        <w:t>s</w:t>
      </w:r>
      <w:r w:rsidRPr="00201EE6">
        <w:rPr>
          <w:rFonts w:ascii="Verdana" w:hAnsi="Verdana"/>
          <w:color w:val="000000"/>
          <w:sz w:val="20"/>
          <w:szCs w:val="20"/>
        </w:rPr>
        <w:t xml:space="preserve"> desaparici</w:t>
      </w:r>
      <w:r w:rsidR="00600A1A">
        <w:rPr>
          <w:rFonts w:ascii="Verdana" w:hAnsi="Verdana"/>
          <w:color w:val="000000"/>
          <w:sz w:val="20"/>
          <w:szCs w:val="20"/>
        </w:rPr>
        <w:t>o</w:t>
      </w:r>
      <w:r w:rsidRPr="00201EE6">
        <w:rPr>
          <w:rFonts w:ascii="Verdana" w:hAnsi="Verdana"/>
          <w:color w:val="000000"/>
          <w:sz w:val="20"/>
          <w:szCs w:val="20"/>
        </w:rPr>
        <w:t>n</w:t>
      </w:r>
      <w:r w:rsidR="00600A1A">
        <w:rPr>
          <w:rFonts w:ascii="Verdana" w:hAnsi="Verdana"/>
          <w:color w:val="000000"/>
          <w:sz w:val="20"/>
          <w:szCs w:val="20"/>
        </w:rPr>
        <w:t>es</w:t>
      </w:r>
      <w:r w:rsidRPr="00201EE6">
        <w:rPr>
          <w:rFonts w:ascii="Verdana" w:hAnsi="Verdana"/>
          <w:color w:val="000000"/>
          <w:sz w:val="20"/>
          <w:szCs w:val="20"/>
        </w:rPr>
        <w:t>, una parte importante de la actividad de las autoridades encargadas de las investigaciones</w:t>
      </w:r>
      <w:r w:rsidRPr="005F5CBF">
        <w:rPr>
          <w:rStyle w:val="FootnoteReference"/>
          <w:rFonts w:ascii="Verdana" w:hAnsi="Verdana"/>
          <w:color w:val="000000"/>
          <w:sz w:val="20"/>
          <w:szCs w:val="20"/>
        </w:rPr>
        <w:footnoteReference w:id="468"/>
      </w:r>
      <w:r w:rsidRPr="00201EE6">
        <w:rPr>
          <w:rFonts w:ascii="Verdana" w:hAnsi="Verdana"/>
          <w:color w:val="000000"/>
          <w:sz w:val="20"/>
          <w:szCs w:val="20"/>
        </w:rPr>
        <w:t xml:space="preserve"> se centró en determinar si eran o no competentes para realizarlas</w:t>
      </w:r>
      <w:r w:rsidR="00600A1A">
        <w:rPr>
          <w:rFonts w:ascii="Verdana" w:hAnsi="Verdana"/>
          <w:color w:val="000000"/>
          <w:sz w:val="20"/>
          <w:szCs w:val="20"/>
        </w:rPr>
        <w:t>.</w:t>
      </w:r>
      <w:r w:rsidRPr="00201EE6">
        <w:rPr>
          <w:rFonts w:ascii="Verdana" w:hAnsi="Verdana"/>
          <w:color w:val="000000"/>
          <w:sz w:val="20"/>
          <w:szCs w:val="20"/>
        </w:rPr>
        <w:t xml:space="preserve"> Durante dicho periodo subsistieron investigaciones llevadas a cabo por dos o más autoridades de forma simultánea, y esta Corte no advierte ningún tipo de coordinación entre las mismas</w:t>
      </w:r>
      <w:r w:rsidRPr="00343208">
        <w:rPr>
          <w:color w:val="000000"/>
          <w:vertAlign w:val="superscript"/>
        </w:rPr>
        <w:footnoteReference w:id="469"/>
      </w:r>
      <w:r w:rsidRPr="00201EE6">
        <w:rPr>
          <w:rFonts w:ascii="Verdana" w:hAnsi="Verdana"/>
          <w:color w:val="000000"/>
          <w:sz w:val="20"/>
          <w:szCs w:val="20"/>
        </w:rPr>
        <w:t xml:space="preserve">. </w:t>
      </w:r>
      <w:r w:rsidR="005F13B4">
        <w:rPr>
          <w:rFonts w:ascii="Verdana" w:hAnsi="Verdana"/>
          <w:color w:val="000000"/>
          <w:sz w:val="20"/>
          <w:szCs w:val="20"/>
        </w:rPr>
        <w:t>Este Tribunal</w:t>
      </w:r>
      <w:r w:rsidRPr="00201EE6">
        <w:rPr>
          <w:rFonts w:ascii="Verdana" w:hAnsi="Verdana"/>
          <w:color w:val="000000"/>
          <w:sz w:val="20"/>
          <w:szCs w:val="20"/>
        </w:rPr>
        <w:t xml:space="preserve"> observa que a partir del 18 de julio de 2013, tras la inclusión del delito de desaparición forzada de personas en el Código Penal Federal, la Procuraduría General de la República, a través de </w:t>
      </w:r>
      <w:r w:rsidR="005F13B4">
        <w:rPr>
          <w:rFonts w:ascii="Verdana" w:hAnsi="Verdana"/>
          <w:color w:val="000000"/>
          <w:sz w:val="20"/>
          <w:szCs w:val="20"/>
        </w:rPr>
        <w:t xml:space="preserve">UEBPD </w:t>
      </w:r>
      <w:r w:rsidRPr="00201EE6">
        <w:rPr>
          <w:rFonts w:ascii="Verdana" w:hAnsi="Verdana"/>
          <w:color w:val="000000"/>
          <w:sz w:val="20"/>
          <w:szCs w:val="20"/>
        </w:rPr>
        <w:t xml:space="preserve">y, </w:t>
      </w:r>
      <w:r w:rsidR="005F13B4">
        <w:rPr>
          <w:rFonts w:ascii="Verdana" w:hAnsi="Verdana"/>
          <w:color w:val="000000"/>
          <w:sz w:val="20"/>
          <w:szCs w:val="20"/>
        </w:rPr>
        <w:t>posteriormente</w:t>
      </w:r>
      <w:r w:rsidRPr="00201EE6">
        <w:rPr>
          <w:rFonts w:ascii="Verdana" w:hAnsi="Verdana"/>
          <w:color w:val="000000"/>
          <w:sz w:val="20"/>
          <w:szCs w:val="20"/>
        </w:rPr>
        <w:t xml:space="preserve"> </w:t>
      </w:r>
      <w:r w:rsidR="005F13B4">
        <w:rPr>
          <w:rFonts w:ascii="Verdana" w:hAnsi="Verdana"/>
          <w:color w:val="000000"/>
          <w:sz w:val="20"/>
          <w:szCs w:val="20"/>
        </w:rPr>
        <w:t xml:space="preserve">la </w:t>
      </w:r>
      <w:r w:rsidRPr="00201EE6">
        <w:rPr>
          <w:rFonts w:ascii="Verdana" w:hAnsi="Verdana"/>
          <w:color w:val="000000"/>
          <w:sz w:val="20"/>
          <w:szCs w:val="20"/>
        </w:rPr>
        <w:t>F</w:t>
      </w:r>
      <w:r w:rsidR="00600A1A">
        <w:rPr>
          <w:rFonts w:ascii="Verdana" w:hAnsi="Verdana"/>
          <w:color w:val="000000"/>
          <w:sz w:val="20"/>
          <w:szCs w:val="20"/>
        </w:rPr>
        <w:t>EBPD</w:t>
      </w:r>
      <w:r w:rsidRPr="00201EE6">
        <w:rPr>
          <w:rFonts w:ascii="Verdana" w:hAnsi="Verdana"/>
          <w:color w:val="000000"/>
          <w:sz w:val="20"/>
          <w:szCs w:val="20"/>
        </w:rPr>
        <w:t>, concentró la totalidad de los expedientes integrados por las distintas autoridades y se encargó de la investigación de los hechos de forma exclusiva (</w:t>
      </w:r>
      <w:r w:rsidRPr="006A385C">
        <w:rPr>
          <w:rFonts w:ascii="Verdana" w:hAnsi="Verdana"/>
          <w:i/>
          <w:color w:val="000000"/>
          <w:sz w:val="20"/>
          <w:szCs w:val="20"/>
        </w:rPr>
        <w:t>supra</w:t>
      </w:r>
      <w:r w:rsidRPr="00201EE6">
        <w:rPr>
          <w:rFonts w:ascii="Verdana" w:hAnsi="Verdana"/>
          <w:color w:val="000000"/>
          <w:sz w:val="20"/>
          <w:szCs w:val="20"/>
        </w:rPr>
        <w:t xml:space="preserve"> párr. </w:t>
      </w:r>
      <w:r w:rsidR="00600A1A">
        <w:rPr>
          <w:rFonts w:ascii="Verdana" w:hAnsi="Verdana"/>
          <w:color w:val="000000"/>
          <w:sz w:val="20"/>
          <w:szCs w:val="20"/>
        </w:rPr>
        <w:t>135</w:t>
      </w:r>
      <w:r w:rsidRPr="00201EE6">
        <w:rPr>
          <w:rFonts w:ascii="Verdana" w:hAnsi="Verdana"/>
          <w:color w:val="000000"/>
          <w:sz w:val="20"/>
          <w:szCs w:val="20"/>
        </w:rPr>
        <w:t>).</w:t>
      </w:r>
    </w:p>
    <w:p w14:paraId="64AA60A7" w14:textId="5D6801BC" w:rsidR="00201EE6" w:rsidRPr="00813B72" w:rsidRDefault="00903628" w:rsidP="00DB378B">
      <w:pPr>
        <w:widowControl w:val="0"/>
        <w:numPr>
          <w:ilvl w:val="0"/>
          <w:numId w:val="4"/>
        </w:numPr>
        <w:tabs>
          <w:tab w:val="left" w:pos="567"/>
        </w:tabs>
        <w:autoSpaceDE w:val="0"/>
        <w:autoSpaceDN w:val="0"/>
        <w:adjustRightInd w:val="0"/>
        <w:spacing w:before="120" w:after="120" w:line="240" w:lineRule="auto"/>
        <w:ind w:left="0" w:firstLine="0"/>
        <w:jc w:val="both"/>
        <w:textAlignment w:val="baseline"/>
        <w:rPr>
          <w:rFonts w:ascii="Verdana" w:eastAsia="SimSun" w:hAnsi="Verdana" w:cs="Arial"/>
          <w:sz w:val="20"/>
          <w:szCs w:val="20"/>
          <w:lang w:val="es-CR" w:eastAsia="es-CR"/>
        </w:rPr>
      </w:pPr>
      <w:r w:rsidRPr="00201EE6">
        <w:rPr>
          <w:rFonts w:ascii="Verdana" w:hAnsi="Verdana"/>
          <w:color w:val="000000"/>
          <w:sz w:val="20"/>
          <w:szCs w:val="20"/>
        </w:rPr>
        <w:t>Este Tribunal advierte que, previo a la concentración de todas las investigaciones en una sola autoridad, la fragmentación de la investigación, derivó de conflictos competenciales entre las autoridades de los distintos ámbitos estatales, obstaculizando con ello –durante más de tres años– la efectiva respuesta por parte del Estado</w:t>
      </w:r>
      <w:r w:rsidRPr="00343208">
        <w:rPr>
          <w:color w:val="000000"/>
          <w:vertAlign w:val="superscript"/>
        </w:rPr>
        <w:footnoteReference w:id="470"/>
      </w:r>
      <w:r w:rsidRPr="00201EE6">
        <w:rPr>
          <w:rFonts w:ascii="Verdana" w:hAnsi="Verdana"/>
          <w:color w:val="000000"/>
          <w:sz w:val="20"/>
          <w:szCs w:val="20"/>
        </w:rPr>
        <w:t xml:space="preserve">. En parte, los conflictos competenciales </w:t>
      </w:r>
      <w:r w:rsidRPr="00201EE6">
        <w:rPr>
          <w:rFonts w:ascii="Verdana" w:hAnsi="Verdana"/>
          <w:color w:val="000000"/>
          <w:sz w:val="20"/>
          <w:szCs w:val="20"/>
        </w:rPr>
        <w:lastRenderedPageBreak/>
        <w:t>derivaron de la falta de previsión legal del delito de desaparición forzada en el momento en que ocurrieron los hechos</w:t>
      </w:r>
      <w:r>
        <w:rPr>
          <w:rStyle w:val="FootnoteReference"/>
          <w:rFonts w:ascii="Verdana" w:hAnsi="Verdana"/>
          <w:color w:val="000000"/>
          <w:sz w:val="20"/>
          <w:szCs w:val="20"/>
        </w:rPr>
        <w:footnoteReference w:id="471"/>
      </w:r>
      <w:r w:rsidRPr="00201EE6">
        <w:rPr>
          <w:rFonts w:ascii="Verdana" w:hAnsi="Verdana"/>
          <w:color w:val="000000"/>
          <w:sz w:val="20"/>
          <w:szCs w:val="20"/>
        </w:rPr>
        <w:t xml:space="preserve"> y de una legislación adecuada que definiera claramente las competencias de las autoridades encargadas de su investigación. </w:t>
      </w:r>
      <w:r w:rsidR="005F13B4">
        <w:rPr>
          <w:rFonts w:ascii="Verdana" w:hAnsi="Verdana"/>
          <w:color w:val="000000"/>
          <w:sz w:val="20"/>
          <w:szCs w:val="20"/>
        </w:rPr>
        <w:t>Asimismo, l</w:t>
      </w:r>
      <w:r w:rsidRPr="00201EE6">
        <w:rPr>
          <w:rFonts w:ascii="Verdana" w:hAnsi="Verdana"/>
          <w:color w:val="000000"/>
          <w:sz w:val="20"/>
          <w:szCs w:val="20"/>
        </w:rPr>
        <w:t xml:space="preserve">a incertidumbre generada por la falta de legislación adecuada se reflejó en </w:t>
      </w:r>
      <w:r w:rsidR="005F13B4">
        <w:rPr>
          <w:rFonts w:ascii="Verdana" w:hAnsi="Verdana"/>
          <w:color w:val="000000"/>
          <w:sz w:val="20"/>
          <w:szCs w:val="20"/>
        </w:rPr>
        <w:t xml:space="preserve">las labores de las autoridades, la cual fue </w:t>
      </w:r>
      <w:r w:rsidRPr="00201EE6">
        <w:rPr>
          <w:rFonts w:ascii="Verdana" w:hAnsi="Verdana"/>
          <w:color w:val="000000"/>
          <w:sz w:val="20"/>
          <w:szCs w:val="20"/>
        </w:rPr>
        <w:t>escasa</w:t>
      </w:r>
      <w:r w:rsidR="005F13B4">
        <w:rPr>
          <w:rFonts w:ascii="Verdana" w:hAnsi="Verdana"/>
          <w:color w:val="000000"/>
          <w:sz w:val="20"/>
          <w:szCs w:val="20"/>
        </w:rPr>
        <w:t>,</w:t>
      </w:r>
      <w:r w:rsidRPr="00201EE6">
        <w:rPr>
          <w:rFonts w:ascii="Verdana" w:hAnsi="Verdana"/>
          <w:color w:val="000000"/>
          <w:sz w:val="20"/>
          <w:szCs w:val="20"/>
        </w:rPr>
        <w:t xml:space="preserve"> sin </w:t>
      </w:r>
      <w:r w:rsidR="005F13B4">
        <w:rPr>
          <w:rFonts w:ascii="Verdana" w:hAnsi="Verdana"/>
          <w:color w:val="000000"/>
          <w:sz w:val="20"/>
          <w:szCs w:val="20"/>
        </w:rPr>
        <w:t xml:space="preserve">abordar con determinación las </w:t>
      </w:r>
      <w:r w:rsidRPr="00201EE6">
        <w:rPr>
          <w:rFonts w:ascii="Verdana" w:hAnsi="Verdana"/>
          <w:color w:val="000000"/>
          <w:sz w:val="20"/>
          <w:szCs w:val="20"/>
        </w:rPr>
        <w:t xml:space="preserve">líneas de investigación ni </w:t>
      </w:r>
      <w:r w:rsidR="005F13B4">
        <w:rPr>
          <w:rFonts w:ascii="Verdana" w:hAnsi="Verdana"/>
          <w:color w:val="000000"/>
          <w:sz w:val="20"/>
          <w:szCs w:val="20"/>
        </w:rPr>
        <w:t xml:space="preserve">ejecutar </w:t>
      </w:r>
      <w:r w:rsidRPr="00201EE6">
        <w:rPr>
          <w:rFonts w:ascii="Verdana" w:hAnsi="Verdana"/>
          <w:color w:val="000000"/>
          <w:sz w:val="20"/>
          <w:szCs w:val="20"/>
        </w:rPr>
        <w:t>planes de acción delimitados.</w:t>
      </w:r>
    </w:p>
    <w:p w14:paraId="64AA60A9" w14:textId="7152B0CD" w:rsidR="00201EE6" w:rsidRPr="00813B72" w:rsidRDefault="00903628" w:rsidP="00DB378B">
      <w:pPr>
        <w:widowControl w:val="0"/>
        <w:numPr>
          <w:ilvl w:val="0"/>
          <w:numId w:val="4"/>
        </w:numPr>
        <w:tabs>
          <w:tab w:val="left" w:pos="567"/>
        </w:tabs>
        <w:autoSpaceDE w:val="0"/>
        <w:autoSpaceDN w:val="0"/>
        <w:adjustRightInd w:val="0"/>
        <w:spacing w:before="120" w:after="120" w:line="240" w:lineRule="auto"/>
        <w:ind w:left="0" w:firstLine="0"/>
        <w:jc w:val="both"/>
        <w:textAlignment w:val="baseline"/>
        <w:rPr>
          <w:rFonts w:ascii="Verdana" w:eastAsia="SimSun" w:hAnsi="Verdana" w:cs="Arial"/>
          <w:sz w:val="20"/>
          <w:szCs w:val="20"/>
          <w:lang w:val="es-CR" w:eastAsia="es-CR"/>
        </w:rPr>
      </w:pPr>
      <w:r w:rsidRPr="00201EE6">
        <w:rPr>
          <w:rFonts w:ascii="Verdana" w:hAnsi="Verdana"/>
          <w:color w:val="000000"/>
          <w:sz w:val="20"/>
          <w:szCs w:val="20"/>
        </w:rPr>
        <w:t>Además,</w:t>
      </w:r>
      <w:r w:rsidRPr="00201EE6" w:rsidDel="00DD4CAB">
        <w:rPr>
          <w:rFonts w:ascii="Verdana" w:hAnsi="Verdana"/>
          <w:color w:val="000000"/>
          <w:sz w:val="20"/>
          <w:szCs w:val="20"/>
        </w:rPr>
        <w:t xml:space="preserve"> </w:t>
      </w:r>
      <w:r w:rsidRPr="00201EE6">
        <w:rPr>
          <w:rFonts w:ascii="Verdana" w:hAnsi="Verdana"/>
          <w:color w:val="000000"/>
          <w:sz w:val="20"/>
          <w:szCs w:val="20"/>
        </w:rPr>
        <w:t>la Corte observa que existieron serias deficiencias durante el desarrollo de la misma, aún después de su concentración en una sola autoridad. Así, la Corte observa que las labores de investigación desplegadas por todas las agencias no fueron lo suficientemente exhaustivas como lo requería el caso, dada la gravedad de la violación denunciada y el riesgo latente para las víctimas. Las autoridades que se encargaron de la investigación (incluidas la U</w:t>
      </w:r>
      <w:r w:rsidR="00C71BAA">
        <w:rPr>
          <w:rFonts w:ascii="Verdana" w:hAnsi="Verdana"/>
          <w:color w:val="000000"/>
          <w:sz w:val="20"/>
          <w:szCs w:val="20"/>
        </w:rPr>
        <w:t>E</w:t>
      </w:r>
      <w:r w:rsidRPr="00201EE6">
        <w:rPr>
          <w:rFonts w:ascii="Verdana" w:hAnsi="Verdana"/>
          <w:color w:val="000000"/>
          <w:sz w:val="20"/>
          <w:szCs w:val="20"/>
        </w:rPr>
        <w:t>BP</w:t>
      </w:r>
      <w:r w:rsidR="00C71BAA">
        <w:rPr>
          <w:rFonts w:ascii="Verdana" w:hAnsi="Verdana"/>
          <w:color w:val="000000"/>
          <w:sz w:val="20"/>
          <w:szCs w:val="20"/>
        </w:rPr>
        <w:t>D</w:t>
      </w:r>
      <w:r w:rsidRPr="00201EE6">
        <w:rPr>
          <w:rFonts w:ascii="Verdana" w:hAnsi="Verdana"/>
          <w:color w:val="000000"/>
          <w:sz w:val="20"/>
          <w:szCs w:val="20"/>
        </w:rPr>
        <w:t>-PGR</w:t>
      </w:r>
      <w:r w:rsidR="00C71BAA">
        <w:rPr>
          <w:rFonts w:ascii="Verdana" w:hAnsi="Verdana"/>
          <w:color w:val="000000"/>
          <w:sz w:val="20"/>
          <w:szCs w:val="20"/>
        </w:rPr>
        <w:t>, posteriormente</w:t>
      </w:r>
      <w:r w:rsidRPr="00201EE6">
        <w:rPr>
          <w:rFonts w:ascii="Verdana" w:hAnsi="Verdana"/>
          <w:color w:val="000000"/>
          <w:sz w:val="20"/>
          <w:szCs w:val="20"/>
        </w:rPr>
        <w:t xml:space="preserve"> FEBDP-PGR)</w:t>
      </w:r>
      <w:r w:rsidR="00C71BAA">
        <w:rPr>
          <w:rFonts w:ascii="Verdana" w:hAnsi="Verdana"/>
          <w:color w:val="000000"/>
          <w:sz w:val="20"/>
          <w:szCs w:val="20"/>
        </w:rPr>
        <w:t>,</w:t>
      </w:r>
      <w:r w:rsidRPr="00201EE6">
        <w:rPr>
          <w:rFonts w:ascii="Verdana" w:hAnsi="Verdana"/>
          <w:color w:val="000000"/>
          <w:sz w:val="20"/>
          <w:szCs w:val="20"/>
        </w:rPr>
        <w:t xml:space="preserve"> no agotaron todas las acciones relacionadas con la línea </w:t>
      </w:r>
      <w:r w:rsidR="004F5EE3">
        <w:rPr>
          <w:rFonts w:ascii="Verdana" w:hAnsi="Verdana"/>
          <w:color w:val="000000"/>
          <w:sz w:val="20"/>
          <w:szCs w:val="20"/>
        </w:rPr>
        <w:t>de investigación más predominante, la cual se dirigía a la intervención de agentes del Estado. Ante ello,</w:t>
      </w:r>
      <w:r w:rsidRPr="00201EE6">
        <w:rPr>
          <w:rFonts w:ascii="Verdana" w:hAnsi="Verdana"/>
          <w:color w:val="000000"/>
          <w:sz w:val="20"/>
          <w:szCs w:val="20"/>
        </w:rPr>
        <w:t xml:space="preserve"> no </w:t>
      </w:r>
      <w:r w:rsidR="004F5EE3">
        <w:rPr>
          <w:rFonts w:ascii="Verdana" w:hAnsi="Verdana"/>
          <w:color w:val="000000"/>
          <w:sz w:val="20"/>
          <w:szCs w:val="20"/>
        </w:rPr>
        <w:t xml:space="preserve">se </w:t>
      </w:r>
      <w:r w:rsidRPr="00201EE6">
        <w:rPr>
          <w:rFonts w:ascii="Verdana" w:hAnsi="Verdana"/>
          <w:color w:val="000000"/>
          <w:sz w:val="20"/>
          <w:szCs w:val="20"/>
        </w:rPr>
        <w:t>recabaron todos los elementos de los que se pudiera extraer las especificidades de la cadena de mando, así como de las comunicaciones que se hubieran generado en los meses previos y posteriores a la desaparición y las correspondientes bitácoras y registros que dieran cuenta de las acciones d</w:t>
      </w:r>
      <w:r w:rsidR="004F5EE3">
        <w:rPr>
          <w:rFonts w:ascii="Verdana" w:hAnsi="Verdana"/>
          <w:color w:val="000000"/>
          <w:sz w:val="20"/>
          <w:szCs w:val="20"/>
        </w:rPr>
        <w:t>esplegadas por los elementos del referido</w:t>
      </w:r>
      <w:r w:rsidRPr="00201EE6">
        <w:rPr>
          <w:rFonts w:ascii="Verdana" w:hAnsi="Verdana"/>
          <w:color w:val="000000"/>
          <w:sz w:val="20"/>
          <w:szCs w:val="20"/>
        </w:rPr>
        <w:t xml:space="preserve"> Batallón durante dicho periodo (relacionadas o no con los operativos conjuntos implementados). </w:t>
      </w:r>
      <w:r w:rsidR="004F5EE3">
        <w:rPr>
          <w:rFonts w:ascii="Verdana" w:hAnsi="Verdana"/>
          <w:color w:val="000000"/>
          <w:sz w:val="20"/>
          <w:szCs w:val="20"/>
        </w:rPr>
        <w:t xml:space="preserve">Asimismo, frente a la denuncia concreta de la camioneta utilizada en el </w:t>
      </w:r>
      <w:r w:rsidR="00230457" w:rsidRPr="00350979">
        <w:rPr>
          <w:rFonts w:ascii="Verdana" w:hAnsi="Verdana"/>
          <w:color w:val="000000"/>
          <w:sz w:val="20"/>
          <w:szCs w:val="20"/>
        </w:rPr>
        <w:t>“</w:t>
      </w:r>
      <w:r w:rsidR="004F5EE3" w:rsidRPr="00350979">
        <w:rPr>
          <w:rFonts w:ascii="Verdana" w:hAnsi="Verdana"/>
          <w:color w:val="000000"/>
          <w:sz w:val="20"/>
          <w:szCs w:val="20"/>
        </w:rPr>
        <w:t>levantón</w:t>
      </w:r>
      <w:r w:rsidR="00230457" w:rsidRPr="00350979">
        <w:rPr>
          <w:rFonts w:ascii="Verdana" w:hAnsi="Verdana"/>
          <w:color w:val="000000"/>
          <w:sz w:val="20"/>
          <w:szCs w:val="20"/>
        </w:rPr>
        <w:t>”</w:t>
      </w:r>
      <w:r w:rsidR="004F5EE3" w:rsidRPr="00350979">
        <w:rPr>
          <w:rFonts w:ascii="Verdana" w:hAnsi="Verdana"/>
          <w:color w:val="000000"/>
          <w:sz w:val="20"/>
          <w:szCs w:val="20"/>
        </w:rPr>
        <w:t>,</w:t>
      </w:r>
      <w:r w:rsidRPr="00201EE6">
        <w:rPr>
          <w:rFonts w:ascii="Verdana" w:hAnsi="Verdana"/>
          <w:color w:val="000000"/>
          <w:sz w:val="20"/>
          <w:szCs w:val="20"/>
        </w:rPr>
        <w:t xml:space="preserve"> </w:t>
      </w:r>
      <w:r w:rsidR="004F5EE3">
        <w:rPr>
          <w:rFonts w:ascii="Verdana" w:hAnsi="Verdana"/>
          <w:color w:val="000000"/>
          <w:sz w:val="20"/>
          <w:szCs w:val="20"/>
        </w:rPr>
        <w:t xml:space="preserve">se destaca </w:t>
      </w:r>
      <w:r w:rsidRPr="00201EE6">
        <w:rPr>
          <w:rFonts w:ascii="Verdana" w:hAnsi="Verdana"/>
          <w:color w:val="000000"/>
          <w:sz w:val="20"/>
          <w:szCs w:val="20"/>
        </w:rPr>
        <w:t>la falta de requerimiento oportuno de toda la información existente relativa a los vehículos utilizados por los elementos del 35 Batallón (oficiales y particulares), así como de aquéllos que hubieran sido recuperados, incautados, inmovilizados</w:t>
      </w:r>
      <w:r w:rsidR="00C71BAA">
        <w:rPr>
          <w:rFonts w:ascii="Verdana" w:hAnsi="Verdana"/>
          <w:color w:val="000000"/>
          <w:sz w:val="20"/>
          <w:szCs w:val="20"/>
        </w:rPr>
        <w:t xml:space="preserve"> y/o</w:t>
      </w:r>
      <w:r w:rsidRPr="00201EE6">
        <w:rPr>
          <w:rFonts w:ascii="Verdana" w:hAnsi="Verdana"/>
          <w:color w:val="000000"/>
          <w:sz w:val="20"/>
          <w:szCs w:val="20"/>
        </w:rPr>
        <w:t xml:space="preserve"> asegurados por dichos elementos previo a la desaparición y que hubieran podido ser utilizados por éstos en la época de los hechos</w:t>
      </w:r>
      <w:r w:rsidRPr="00343208">
        <w:rPr>
          <w:color w:val="000000"/>
          <w:vertAlign w:val="superscript"/>
        </w:rPr>
        <w:footnoteReference w:id="472"/>
      </w:r>
      <w:r w:rsidRPr="00201EE6">
        <w:rPr>
          <w:rFonts w:ascii="Verdana" w:hAnsi="Verdana"/>
          <w:color w:val="000000"/>
          <w:sz w:val="20"/>
          <w:szCs w:val="20"/>
        </w:rPr>
        <w:t xml:space="preserve">.  </w:t>
      </w:r>
    </w:p>
    <w:p w14:paraId="64AA60AB" w14:textId="149B6C70" w:rsidR="00201EE6" w:rsidRPr="00813B72" w:rsidRDefault="00903628" w:rsidP="00DB378B">
      <w:pPr>
        <w:widowControl w:val="0"/>
        <w:numPr>
          <w:ilvl w:val="0"/>
          <w:numId w:val="4"/>
        </w:numPr>
        <w:tabs>
          <w:tab w:val="left" w:pos="567"/>
        </w:tabs>
        <w:autoSpaceDE w:val="0"/>
        <w:autoSpaceDN w:val="0"/>
        <w:adjustRightInd w:val="0"/>
        <w:spacing w:before="120" w:after="120" w:line="240" w:lineRule="auto"/>
        <w:ind w:left="0" w:firstLine="0"/>
        <w:jc w:val="both"/>
        <w:textAlignment w:val="baseline"/>
        <w:rPr>
          <w:rFonts w:ascii="Verdana" w:eastAsia="SimSun" w:hAnsi="Verdana" w:cs="Arial"/>
          <w:sz w:val="20"/>
          <w:szCs w:val="20"/>
          <w:lang w:val="es-CR" w:eastAsia="es-CR"/>
        </w:rPr>
      </w:pPr>
      <w:r w:rsidRPr="00201EE6">
        <w:rPr>
          <w:rFonts w:ascii="Verdana" w:hAnsi="Verdana"/>
          <w:color w:val="000000"/>
          <w:sz w:val="20"/>
          <w:szCs w:val="20"/>
        </w:rPr>
        <w:t xml:space="preserve">Tampoco fue exhaustiva la actuación de las autoridades </w:t>
      </w:r>
      <w:r w:rsidR="00110053">
        <w:rPr>
          <w:rFonts w:ascii="Verdana" w:hAnsi="Verdana"/>
          <w:color w:val="000000"/>
          <w:sz w:val="20"/>
          <w:szCs w:val="20"/>
        </w:rPr>
        <w:t xml:space="preserve">en la </w:t>
      </w:r>
      <w:r w:rsidRPr="00201EE6">
        <w:rPr>
          <w:rFonts w:ascii="Verdana" w:hAnsi="Verdana"/>
          <w:color w:val="000000"/>
          <w:sz w:val="20"/>
          <w:szCs w:val="20"/>
        </w:rPr>
        <w:t xml:space="preserve">investigación respecto de la identificación del “Comandante Meza” y su relación con </w:t>
      </w:r>
      <w:r w:rsidR="004F5EE3">
        <w:rPr>
          <w:rFonts w:ascii="Verdana" w:hAnsi="Verdana"/>
          <w:color w:val="000000"/>
          <w:sz w:val="20"/>
          <w:szCs w:val="20"/>
        </w:rPr>
        <w:t>los hechos del caso</w:t>
      </w:r>
      <w:r w:rsidRPr="00201EE6">
        <w:rPr>
          <w:rFonts w:ascii="Verdana" w:hAnsi="Verdana"/>
          <w:color w:val="000000"/>
          <w:sz w:val="20"/>
          <w:szCs w:val="20"/>
        </w:rPr>
        <w:t xml:space="preserve">, pues no se realizó un análisis de los registros de llamadas del número telefónico de la </w:t>
      </w:r>
      <w:r w:rsidR="00110053">
        <w:rPr>
          <w:rFonts w:ascii="Verdana" w:hAnsi="Verdana"/>
          <w:color w:val="000000"/>
          <w:sz w:val="20"/>
          <w:szCs w:val="20"/>
        </w:rPr>
        <w:t>l</w:t>
      </w:r>
      <w:r w:rsidRPr="00350979">
        <w:rPr>
          <w:rFonts w:ascii="Verdana" w:hAnsi="Verdana"/>
          <w:color w:val="000000"/>
          <w:sz w:val="20"/>
          <w:szCs w:val="20"/>
        </w:rPr>
        <w:t>icenciada Argene Blá</w:t>
      </w:r>
      <w:r w:rsidR="00110053">
        <w:rPr>
          <w:rFonts w:ascii="Verdana" w:hAnsi="Verdana"/>
          <w:color w:val="000000"/>
          <w:sz w:val="20"/>
          <w:szCs w:val="20"/>
        </w:rPr>
        <w:t>s</w:t>
      </w:r>
      <w:r w:rsidRPr="00350979">
        <w:rPr>
          <w:rFonts w:ascii="Verdana" w:hAnsi="Verdana"/>
          <w:color w:val="000000"/>
          <w:sz w:val="20"/>
          <w:szCs w:val="20"/>
        </w:rPr>
        <w:t>quez</w:t>
      </w:r>
      <w:r w:rsidRPr="00201EE6">
        <w:rPr>
          <w:rFonts w:ascii="Verdana" w:hAnsi="Verdana"/>
          <w:color w:val="000000"/>
          <w:sz w:val="20"/>
          <w:szCs w:val="20"/>
        </w:rPr>
        <w:t xml:space="preserve"> Morales para identificar el origen de la llamada que recibió del supuesto comandante y corroborar lo</w:t>
      </w:r>
      <w:r w:rsidR="004F5EE3">
        <w:rPr>
          <w:rFonts w:ascii="Verdana" w:hAnsi="Verdana"/>
          <w:color w:val="000000"/>
          <w:sz w:val="20"/>
          <w:szCs w:val="20"/>
        </w:rPr>
        <w:t xml:space="preserve"> afirmado por dicha funcionaria</w:t>
      </w:r>
      <w:r w:rsidRPr="00201EE6">
        <w:rPr>
          <w:rFonts w:ascii="Verdana" w:hAnsi="Verdana"/>
          <w:color w:val="000000"/>
          <w:sz w:val="20"/>
          <w:szCs w:val="20"/>
        </w:rPr>
        <w:t xml:space="preserve"> y los licenciados Ramón Iván Sotomayor Siller y Damaris Baglietto Hernández</w:t>
      </w:r>
      <w:r w:rsidR="004F5EE3">
        <w:rPr>
          <w:rFonts w:ascii="Verdana" w:hAnsi="Verdana"/>
          <w:color w:val="000000"/>
          <w:sz w:val="20"/>
          <w:szCs w:val="20"/>
        </w:rPr>
        <w:t>, en sus diversas declaraciones, por lo que hasta la fecha no se ha identificado a dicho comandante.</w:t>
      </w:r>
      <w:r w:rsidRPr="00201EE6">
        <w:rPr>
          <w:rFonts w:ascii="Verdana" w:hAnsi="Verdana"/>
          <w:color w:val="000000"/>
          <w:sz w:val="20"/>
          <w:szCs w:val="20"/>
        </w:rPr>
        <w:t xml:space="preserve"> De igual manera, no </w:t>
      </w:r>
      <w:r w:rsidR="004F5EE3">
        <w:rPr>
          <w:rFonts w:ascii="Verdana" w:hAnsi="Verdana"/>
          <w:color w:val="000000"/>
          <w:sz w:val="20"/>
          <w:szCs w:val="20"/>
        </w:rPr>
        <w:t xml:space="preserve">se investigó </w:t>
      </w:r>
      <w:r w:rsidRPr="00201EE6">
        <w:rPr>
          <w:rFonts w:ascii="Verdana" w:hAnsi="Verdana"/>
          <w:color w:val="000000"/>
          <w:sz w:val="20"/>
          <w:szCs w:val="20"/>
        </w:rPr>
        <w:t>la probable relación entre la desaparición y el homicidio de los tres agentes federales en octubre de 2009, pues aunque se requirió la información relativa a la investigación realizada por dicha corporación, no se identificaron los elementos que la lleva</w:t>
      </w:r>
      <w:r w:rsidR="00110053">
        <w:rPr>
          <w:rFonts w:ascii="Verdana" w:hAnsi="Verdana"/>
          <w:color w:val="000000"/>
          <w:sz w:val="20"/>
          <w:szCs w:val="20"/>
        </w:rPr>
        <w:t>ro</w:t>
      </w:r>
      <w:r w:rsidRPr="00201EE6">
        <w:rPr>
          <w:rFonts w:ascii="Verdana" w:hAnsi="Verdana"/>
          <w:color w:val="000000"/>
          <w:sz w:val="20"/>
          <w:szCs w:val="20"/>
        </w:rPr>
        <w:t xml:space="preserve">n a cabo. </w:t>
      </w:r>
    </w:p>
    <w:p w14:paraId="64AA60AD" w14:textId="0A7782D1" w:rsidR="00201EE6" w:rsidRPr="00813B72" w:rsidRDefault="004F5EE3" w:rsidP="00DB378B">
      <w:pPr>
        <w:widowControl w:val="0"/>
        <w:numPr>
          <w:ilvl w:val="0"/>
          <w:numId w:val="4"/>
        </w:numPr>
        <w:tabs>
          <w:tab w:val="left" w:pos="567"/>
        </w:tabs>
        <w:autoSpaceDE w:val="0"/>
        <w:autoSpaceDN w:val="0"/>
        <w:adjustRightInd w:val="0"/>
        <w:spacing w:before="120" w:after="120" w:line="240" w:lineRule="auto"/>
        <w:ind w:left="0" w:firstLine="0"/>
        <w:jc w:val="both"/>
        <w:textAlignment w:val="baseline"/>
        <w:rPr>
          <w:rFonts w:ascii="Verdana" w:eastAsia="SimSun" w:hAnsi="Verdana" w:cs="Arial"/>
          <w:sz w:val="20"/>
          <w:szCs w:val="20"/>
          <w:lang w:val="es-CR" w:eastAsia="es-CR"/>
        </w:rPr>
      </w:pPr>
      <w:r>
        <w:rPr>
          <w:rFonts w:ascii="Verdana" w:hAnsi="Verdana"/>
          <w:color w:val="000000"/>
          <w:sz w:val="20"/>
          <w:szCs w:val="20"/>
        </w:rPr>
        <w:t>Respecto de la línea de investigación relacionada con l</w:t>
      </w:r>
      <w:r w:rsidR="00903628" w:rsidRPr="00201EE6">
        <w:rPr>
          <w:rFonts w:ascii="Verdana" w:hAnsi="Verdana"/>
          <w:color w:val="000000"/>
          <w:sz w:val="20"/>
          <w:szCs w:val="20"/>
        </w:rPr>
        <w:t>a delincuencia organizada y su relación con la desaparición, tampoco se llevaron a cabo suficientes diligencias ni requerimientos para</w:t>
      </w:r>
      <w:r>
        <w:rPr>
          <w:rFonts w:ascii="Verdana" w:hAnsi="Verdana"/>
          <w:color w:val="000000"/>
          <w:sz w:val="20"/>
          <w:szCs w:val="20"/>
        </w:rPr>
        <w:t xml:space="preserve"> determinar su factibilidad</w:t>
      </w:r>
      <w:r w:rsidR="00903628" w:rsidRPr="00201EE6">
        <w:rPr>
          <w:rFonts w:ascii="Verdana" w:hAnsi="Verdana"/>
          <w:color w:val="000000"/>
          <w:sz w:val="20"/>
          <w:szCs w:val="20"/>
        </w:rPr>
        <w:t xml:space="preserve"> </w:t>
      </w:r>
      <w:r>
        <w:rPr>
          <w:rFonts w:ascii="Verdana" w:hAnsi="Verdana"/>
          <w:color w:val="000000"/>
          <w:sz w:val="20"/>
          <w:szCs w:val="20"/>
        </w:rPr>
        <w:t xml:space="preserve">y, </w:t>
      </w:r>
      <w:r w:rsidR="00903628" w:rsidRPr="00201EE6">
        <w:rPr>
          <w:rFonts w:ascii="Verdana" w:hAnsi="Verdana"/>
          <w:color w:val="000000"/>
          <w:sz w:val="20"/>
          <w:szCs w:val="20"/>
        </w:rPr>
        <w:t>en su caso, los elementos de prueba necesarios para acreditarla</w:t>
      </w:r>
      <w:r w:rsidR="00903628" w:rsidRPr="00343208">
        <w:rPr>
          <w:vertAlign w:val="superscript"/>
        </w:rPr>
        <w:footnoteReference w:id="473"/>
      </w:r>
      <w:r w:rsidR="00903628" w:rsidRPr="00201EE6">
        <w:rPr>
          <w:rFonts w:ascii="Verdana" w:hAnsi="Verdana"/>
          <w:color w:val="000000"/>
          <w:sz w:val="20"/>
          <w:szCs w:val="20"/>
        </w:rPr>
        <w:t>.</w:t>
      </w:r>
    </w:p>
    <w:p w14:paraId="64AA60AE" w14:textId="7DDB7A27" w:rsidR="00201EE6" w:rsidRPr="002170BC" w:rsidRDefault="004F5EE3" w:rsidP="00DB378B">
      <w:pPr>
        <w:widowControl w:val="0"/>
        <w:numPr>
          <w:ilvl w:val="0"/>
          <w:numId w:val="4"/>
        </w:numPr>
        <w:tabs>
          <w:tab w:val="left" w:pos="567"/>
        </w:tabs>
        <w:autoSpaceDE w:val="0"/>
        <w:autoSpaceDN w:val="0"/>
        <w:adjustRightInd w:val="0"/>
        <w:spacing w:before="120" w:after="120" w:line="240" w:lineRule="auto"/>
        <w:ind w:left="0" w:firstLine="0"/>
        <w:jc w:val="both"/>
        <w:textAlignment w:val="baseline"/>
        <w:rPr>
          <w:rFonts w:ascii="Verdana" w:hAnsi="Verdana"/>
          <w:sz w:val="20"/>
          <w:szCs w:val="16"/>
        </w:rPr>
      </w:pPr>
      <w:r w:rsidRPr="00A37F6D">
        <w:rPr>
          <w:rFonts w:ascii="Verdana" w:hAnsi="Verdana"/>
          <w:color w:val="000000"/>
          <w:sz w:val="20"/>
          <w:szCs w:val="20"/>
        </w:rPr>
        <w:t>En suma, l</w:t>
      </w:r>
      <w:r w:rsidR="00903628" w:rsidRPr="007F5783">
        <w:rPr>
          <w:rFonts w:ascii="Verdana" w:hAnsi="Verdana"/>
          <w:color w:val="000000"/>
          <w:sz w:val="20"/>
          <w:szCs w:val="20"/>
        </w:rPr>
        <w:t>as relatadas deficiencias en la investigación</w:t>
      </w:r>
      <w:r w:rsidR="009A734D">
        <w:rPr>
          <w:rFonts w:ascii="Verdana" w:hAnsi="Verdana"/>
          <w:color w:val="000000"/>
          <w:sz w:val="20"/>
          <w:szCs w:val="20"/>
        </w:rPr>
        <w:t xml:space="preserve"> </w:t>
      </w:r>
      <w:r w:rsidR="00903628" w:rsidRPr="007F5783">
        <w:rPr>
          <w:rFonts w:ascii="Verdana" w:hAnsi="Verdana"/>
          <w:color w:val="000000"/>
          <w:sz w:val="20"/>
          <w:szCs w:val="20"/>
        </w:rPr>
        <w:t>constituyen una violación al deber del Estado de realizar una investigación seria, imparcial y efectiva, además de exhaustiva, y que ha abonado a que en la actualidad no h</w:t>
      </w:r>
      <w:r w:rsidR="004D0D3E">
        <w:rPr>
          <w:rFonts w:ascii="Verdana" w:hAnsi="Verdana"/>
          <w:color w:val="000000"/>
          <w:sz w:val="20"/>
          <w:szCs w:val="20"/>
        </w:rPr>
        <w:t>aya</w:t>
      </w:r>
      <w:r w:rsidR="00903628" w:rsidRPr="007F5783">
        <w:rPr>
          <w:rFonts w:ascii="Verdana" w:hAnsi="Verdana"/>
          <w:color w:val="000000"/>
          <w:sz w:val="20"/>
          <w:szCs w:val="20"/>
        </w:rPr>
        <w:t>n sido localizadas las víctimas, ni se h</w:t>
      </w:r>
      <w:r w:rsidR="004D0D3E">
        <w:rPr>
          <w:rFonts w:ascii="Verdana" w:hAnsi="Verdana"/>
          <w:color w:val="000000"/>
          <w:sz w:val="20"/>
          <w:szCs w:val="20"/>
        </w:rPr>
        <w:t>ay</w:t>
      </w:r>
      <w:r w:rsidR="00903628" w:rsidRPr="007F5783">
        <w:rPr>
          <w:rFonts w:ascii="Verdana" w:hAnsi="Verdana"/>
          <w:color w:val="000000"/>
          <w:sz w:val="20"/>
          <w:szCs w:val="20"/>
        </w:rPr>
        <w:t>a determinado la responsabilidad de los perpetradore</w:t>
      </w:r>
      <w:r w:rsidR="00305DA9" w:rsidRPr="007F5783">
        <w:rPr>
          <w:rFonts w:ascii="Verdana" w:hAnsi="Verdana"/>
          <w:color w:val="000000"/>
          <w:sz w:val="20"/>
          <w:szCs w:val="20"/>
        </w:rPr>
        <w:t xml:space="preserve">s de la desaparición forzada. Lo anterior, en contravención </w:t>
      </w:r>
      <w:r w:rsidR="00305DA9" w:rsidRPr="007F5783">
        <w:rPr>
          <w:rFonts w:ascii="Verdana" w:hAnsi="Verdana"/>
          <w:sz w:val="20"/>
          <w:szCs w:val="16"/>
        </w:rPr>
        <w:t>con los artículos 8 y 25 de la Convención Americana, así como el artículo I.b de la Convención Interamericana sobre Desaparición Forzada, en perjuicio de Nitza Paola, Rocío Irene y José Ángel Alvarado y de sus familiares</w:t>
      </w:r>
      <w:r w:rsidR="00A37F6D" w:rsidRPr="006A385C">
        <w:rPr>
          <w:rFonts w:ascii="Verdana" w:hAnsi="Verdana"/>
          <w:sz w:val="20"/>
          <w:szCs w:val="16"/>
        </w:rPr>
        <w:t xml:space="preserve"> </w:t>
      </w:r>
      <w:r w:rsidR="00A37F6D" w:rsidRPr="003564A3">
        <w:rPr>
          <w:rFonts w:ascii="Verdana" w:hAnsi="Verdana"/>
          <w:sz w:val="20"/>
          <w:szCs w:val="16"/>
        </w:rPr>
        <w:t>directos</w:t>
      </w:r>
      <w:r w:rsidR="00A37F6D" w:rsidRPr="006A385C">
        <w:rPr>
          <w:rFonts w:ascii="Verdana" w:hAnsi="Verdana"/>
          <w:sz w:val="20"/>
          <w:szCs w:val="16"/>
        </w:rPr>
        <w:t xml:space="preserve"> (</w:t>
      </w:r>
      <w:r w:rsidR="00A37F6D" w:rsidRPr="006A385C">
        <w:rPr>
          <w:rFonts w:ascii="Verdana" w:hAnsi="Verdana"/>
          <w:i/>
          <w:sz w:val="20"/>
          <w:szCs w:val="16"/>
        </w:rPr>
        <w:t xml:space="preserve">infra </w:t>
      </w:r>
      <w:r w:rsidR="00A37F6D" w:rsidRPr="006A385C">
        <w:rPr>
          <w:rFonts w:ascii="Verdana" w:hAnsi="Verdana"/>
          <w:sz w:val="20"/>
          <w:szCs w:val="16"/>
        </w:rPr>
        <w:t>párr. 2</w:t>
      </w:r>
      <w:r w:rsidR="00243E91">
        <w:rPr>
          <w:rFonts w:ascii="Verdana" w:hAnsi="Verdana"/>
          <w:sz w:val="20"/>
          <w:szCs w:val="16"/>
        </w:rPr>
        <w:t>65</w:t>
      </w:r>
      <w:r w:rsidR="00A37F6D" w:rsidRPr="006A385C">
        <w:rPr>
          <w:rFonts w:ascii="Verdana" w:hAnsi="Verdana"/>
          <w:sz w:val="20"/>
          <w:szCs w:val="16"/>
        </w:rPr>
        <w:t>)</w:t>
      </w:r>
      <w:r w:rsidR="00305DA9" w:rsidRPr="00A37F6D">
        <w:rPr>
          <w:rFonts w:ascii="Verdana" w:hAnsi="Verdana"/>
          <w:sz w:val="20"/>
          <w:szCs w:val="16"/>
        </w:rPr>
        <w:t>.</w:t>
      </w:r>
    </w:p>
    <w:p w14:paraId="64AA60AF" w14:textId="4D8E64A8" w:rsidR="00201EE6" w:rsidRPr="008D0846" w:rsidRDefault="00CB5AF2" w:rsidP="003564A3">
      <w:pPr>
        <w:pStyle w:val="Heading5"/>
        <w:numPr>
          <w:ilvl w:val="0"/>
          <w:numId w:val="76"/>
        </w:numPr>
        <w:spacing w:before="120" w:after="120"/>
        <w:contextualSpacing w:val="0"/>
        <w:rPr>
          <w:lang w:val="es-CR"/>
        </w:rPr>
      </w:pPr>
      <w:r w:rsidRPr="008D0846">
        <w:rPr>
          <w:lang w:val="es-CR"/>
        </w:rPr>
        <w:lastRenderedPageBreak/>
        <w:t xml:space="preserve"> </w:t>
      </w:r>
      <w:bookmarkStart w:id="281" w:name="_Toc532995384"/>
      <w:r w:rsidRPr="008D0846">
        <w:rPr>
          <w:lang w:val="es-CR"/>
        </w:rPr>
        <w:t>Respecto del</w:t>
      </w:r>
      <w:r w:rsidR="009A734D" w:rsidRPr="008D0846">
        <w:rPr>
          <w:lang w:val="es-CR"/>
        </w:rPr>
        <w:t xml:space="preserve"> artículo 7 de la </w:t>
      </w:r>
      <w:r w:rsidRPr="008D0846">
        <w:rPr>
          <w:lang w:val="es-CR"/>
        </w:rPr>
        <w:t>CPESVM</w:t>
      </w:r>
      <w:bookmarkEnd w:id="281"/>
    </w:p>
    <w:p w14:paraId="7B1605E7" w14:textId="7294CD41" w:rsidR="004F1058" w:rsidRPr="00813B72" w:rsidRDefault="00903628" w:rsidP="00DB378B">
      <w:pPr>
        <w:widowControl w:val="0"/>
        <w:numPr>
          <w:ilvl w:val="0"/>
          <w:numId w:val="4"/>
        </w:numPr>
        <w:tabs>
          <w:tab w:val="left" w:pos="567"/>
        </w:tabs>
        <w:autoSpaceDE w:val="0"/>
        <w:autoSpaceDN w:val="0"/>
        <w:adjustRightInd w:val="0"/>
        <w:spacing w:before="120" w:after="120" w:line="240" w:lineRule="auto"/>
        <w:ind w:left="0" w:firstLine="0"/>
        <w:jc w:val="both"/>
        <w:textAlignment w:val="baseline"/>
        <w:rPr>
          <w:rFonts w:ascii="Verdana" w:eastAsia="SimSun" w:hAnsi="Verdana" w:cs="Arial"/>
          <w:sz w:val="20"/>
          <w:szCs w:val="20"/>
          <w:lang w:val="es-CR" w:eastAsia="es-CR"/>
        </w:rPr>
      </w:pPr>
      <w:r w:rsidRPr="00201EE6">
        <w:rPr>
          <w:rFonts w:ascii="Verdana" w:hAnsi="Verdana"/>
          <w:color w:val="000000"/>
          <w:sz w:val="20"/>
          <w:szCs w:val="20"/>
        </w:rPr>
        <w:t>Por otro lado, en</w:t>
      </w:r>
      <w:r w:rsidR="004F1058">
        <w:rPr>
          <w:rFonts w:ascii="Verdana" w:hAnsi="Verdana"/>
          <w:color w:val="000000"/>
          <w:sz w:val="20"/>
          <w:szCs w:val="20"/>
        </w:rPr>
        <w:t xml:space="preserve"> cuanto a la alegada violación d</w:t>
      </w:r>
      <w:r w:rsidR="004F5EE3">
        <w:rPr>
          <w:rFonts w:ascii="Verdana" w:hAnsi="Verdana"/>
          <w:color w:val="000000"/>
          <w:sz w:val="20"/>
          <w:szCs w:val="20"/>
        </w:rPr>
        <w:t>el artículo</w:t>
      </w:r>
      <w:r w:rsidRPr="00201EE6">
        <w:rPr>
          <w:rFonts w:ascii="Verdana" w:hAnsi="Verdana"/>
          <w:color w:val="000000"/>
          <w:sz w:val="20"/>
          <w:szCs w:val="20"/>
        </w:rPr>
        <w:t xml:space="preserve"> 7 de la Convención de Belem do Pará, la Corte –como lo hizo notar la Comisión- no encuentra elementos suficientes para afirmar que la desaparición </w:t>
      </w:r>
      <w:r w:rsidR="004F1058" w:rsidRPr="00201EE6">
        <w:rPr>
          <w:rFonts w:ascii="Verdana" w:hAnsi="Verdana"/>
          <w:color w:val="000000"/>
          <w:sz w:val="20"/>
          <w:szCs w:val="20"/>
        </w:rPr>
        <w:t>de dos de las víctimas</w:t>
      </w:r>
      <w:r w:rsidR="004F1058">
        <w:rPr>
          <w:rFonts w:ascii="Verdana" w:hAnsi="Verdana"/>
          <w:color w:val="000000"/>
          <w:sz w:val="20"/>
          <w:szCs w:val="20"/>
        </w:rPr>
        <w:t xml:space="preserve"> se debió a motivos de </w:t>
      </w:r>
      <w:r w:rsidRPr="00201EE6">
        <w:rPr>
          <w:rFonts w:ascii="Verdana" w:hAnsi="Verdana"/>
          <w:color w:val="000000"/>
          <w:sz w:val="20"/>
          <w:szCs w:val="20"/>
        </w:rPr>
        <w:t>género</w:t>
      </w:r>
      <w:r w:rsidRPr="007568BA">
        <w:rPr>
          <w:vertAlign w:val="superscript"/>
        </w:rPr>
        <w:footnoteReference w:id="474"/>
      </w:r>
      <w:r w:rsidRPr="00201EE6">
        <w:rPr>
          <w:rFonts w:ascii="Verdana" w:hAnsi="Verdana"/>
          <w:color w:val="000000"/>
          <w:sz w:val="20"/>
          <w:szCs w:val="20"/>
        </w:rPr>
        <w:t xml:space="preserve"> o indicios de que las autoridades realizaron discriminación motivada por género al investigar los hechos. Por el contrario, este Tribunal observa que durante un añ</w:t>
      </w:r>
      <w:r w:rsidR="004F1058">
        <w:rPr>
          <w:rFonts w:ascii="Verdana" w:hAnsi="Verdana"/>
          <w:color w:val="000000"/>
          <w:sz w:val="20"/>
          <w:szCs w:val="20"/>
        </w:rPr>
        <w:t>o y siete meses la FEVIMTRA (</w:t>
      </w:r>
      <w:r w:rsidRPr="00201EE6">
        <w:rPr>
          <w:rFonts w:ascii="Verdana" w:hAnsi="Verdana"/>
          <w:color w:val="000000"/>
          <w:sz w:val="20"/>
          <w:szCs w:val="20"/>
        </w:rPr>
        <w:t xml:space="preserve">órgano especializado de investigación de actos que suponen violencia contra las mujeres y trata de personas) se hizo cargo de la investigación </w:t>
      </w:r>
      <w:r w:rsidR="004F1058">
        <w:rPr>
          <w:rFonts w:ascii="Verdana" w:hAnsi="Verdana"/>
          <w:color w:val="000000"/>
          <w:sz w:val="20"/>
          <w:szCs w:val="20"/>
        </w:rPr>
        <w:t xml:space="preserve">y concluyó la </w:t>
      </w:r>
      <w:r w:rsidRPr="00201EE6">
        <w:rPr>
          <w:rFonts w:ascii="Verdana" w:hAnsi="Verdana"/>
          <w:color w:val="000000"/>
          <w:sz w:val="20"/>
          <w:szCs w:val="20"/>
        </w:rPr>
        <w:t>falta de elementos para</w:t>
      </w:r>
      <w:r w:rsidR="004F1058">
        <w:rPr>
          <w:rFonts w:ascii="Verdana" w:hAnsi="Verdana"/>
          <w:color w:val="000000"/>
          <w:sz w:val="20"/>
          <w:szCs w:val="20"/>
        </w:rPr>
        <w:t xml:space="preserve"> afirmar la violencia de género</w:t>
      </w:r>
      <w:r w:rsidRPr="00201EE6">
        <w:rPr>
          <w:rFonts w:ascii="Verdana" w:hAnsi="Verdana"/>
          <w:color w:val="000000"/>
          <w:sz w:val="20"/>
          <w:szCs w:val="20"/>
        </w:rPr>
        <w:t xml:space="preserve">. </w:t>
      </w:r>
    </w:p>
    <w:p w14:paraId="16ED6D7A" w14:textId="68A0CB69" w:rsidR="004F1058" w:rsidRPr="00813B72" w:rsidRDefault="00474CC9">
      <w:pPr>
        <w:pStyle w:val="Heading5"/>
        <w:numPr>
          <w:ilvl w:val="0"/>
          <w:numId w:val="76"/>
        </w:numPr>
        <w:spacing w:before="120" w:after="120"/>
        <w:contextualSpacing w:val="0"/>
        <w:rPr>
          <w:lang w:val="es-CR"/>
        </w:rPr>
      </w:pPr>
      <w:bookmarkStart w:id="282" w:name="_Toc522815033"/>
      <w:bookmarkStart w:id="283" w:name="_Toc526777660"/>
      <w:bookmarkStart w:id="284" w:name="_Toc526778143"/>
      <w:bookmarkStart w:id="285" w:name="_Toc526779395"/>
      <w:bookmarkStart w:id="286" w:name="_Toc526780864"/>
      <w:bookmarkStart w:id="287" w:name="_Toc526783801"/>
      <w:r>
        <w:rPr>
          <w:lang w:val="es-CR"/>
        </w:rPr>
        <w:t xml:space="preserve"> </w:t>
      </w:r>
      <w:bookmarkStart w:id="288" w:name="_Toc532995385"/>
      <w:r w:rsidR="00903628" w:rsidRPr="004F1058">
        <w:rPr>
          <w:lang w:val="es-CR"/>
        </w:rPr>
        <w:t>Sobre el plazo razonable</w:t>
      </w:r>
      <w:bookmarkEnd w:id="282"/>
      <w:bookmarkEnd w:id="283"/>
      <w:bookmarkEnd w:id="284"/>
      <w:bookmarkEnd w:id="285"/>
      <w:bookmarkEnd w:id="286"/>
      <w:bookmarkEnd w:id="287"/>
      <w:bookmarkEnd w:id="288"/>
    </w:p>
    <w:p w14:paraId="64AA60B2" w14:textId="6F029D04" w:rsidR="00201EE6" w:rsidRPr="00201EE6" w:rsidRDefault="00903628" w:rsidP="00DB378B">
      <w:pPr>
        <w:widowControl w:val="0"/>
        <w:numPr>
          <w:ilvl w:val="0"/>
          <w:numId w:val="4"/>
        </w:numPr>
        <w:tabs>
          <w:tab w:val="left" w:pos="567"/>
        </w:tabs>
        <w:autoSpaceDE w:val="0"/>
        <w:autoSpaceDN w:val="0"/>
        <w:adjustRightInd w:val="0"/>
        <w:spacing w:before="120" w:after="120" w:line="240" w:lineRule="auto"/>
        <w:ind w:left="0" w:firstLine="0"/>
        <w:jc w:val="both"/>
        <w:textAlignment w:val="baseline"/>
        <w:rPr>
          <w:rFonts w:ascii="Verdana" w:hAnsi="Verdana"/>
          <w:sz w:val="20"/>
          <w:szCs w:val="20"/>
          <w:lang w:val="es-CR"/>
        </w:rPr>
      </w:pPr>
      <w:r>
        <w:rPr>
          <w:rFonts w:ascii="Verdana" w:hAnsi="Verdana"/>
          <w:sz w:val="20"/>
          <w:szCs w:val="20"/>
        </w:rPr>
        <w:t xml:space="preserve">La Comisión y las Representantes argumentaron que el Estado </w:t>
      </w:r>
      <w:r w:rsidRPr="00B2077F">
        <w:rPr>
          <w:rFonts w:ascii="Verdana" w:eastAsia="SimSun" w:hAnsi="Verdana" w:cs="Arial"/>
          <w:sz w:val="20"/>
          <w:szCs w:val="20"/>
          <w:lang w:val="es-CR" w:eastAsia="es-CR"/>
        </w:rPr>
        <w:t>incumplió con la garantía de plazo razonable en la investigación</w:t>
      </w:r>
      <w:r>
        <w:rPr>
          <w:rFonts w:ascii="Verdana" w:hAnsi="Verdana"/>
          <w:sz w:val="20"/>
          <w:szCs w:val="20"/>
        </w:rPr>
        <w:t>, sin justificar su deficiente actuación; mientras que el Estado ha señalado que el retraso se ha debido a la complejidad del asunto y al contexto en que se suscitaron los hechos (</w:t>
      </w:r>
      <w:r w:rsidRPr="006A385C">
        <w:rPr>
          <w:rFonts w:ascii="Verdana" w:hAnsi="Verdana"/>
          <w:i/>
          <w:sz w:val="20"/>
          <w:szCs w:val="20"/>
        </w:rPr>
        <w:t>supra</w:t>
      </w:r>
      <w:r>
        <w:rPr>
          <w:rFonts w:ascii="Verdana" w:hAnsi="Verdana"/>
          <w:sz w:val="20"/>
          <w:szCs w:val="20"/>
        </w:rPr>
        <w:t xml:space="preserve"> párrs. </w:t>
      </w:r>
      <w:r w:rsidR="00B859E6">
        <w:rPr>
          <w:rFonts w:ascii="Verdana" w:hAnsi="Verdana"/>
          <w:sz w:val="20"/>
          <w:szCs w:val="20"/>
        </w:rPr>
        <w:t>20</w:t>
      </w:r>
      <w:r w:rsidR="00243E91">
        <w:rPr>
          <w:rFonts w:ascii="Verdana" w:hAnsi="Verdana"/>
          <w:sz w:val="20"/>
          <w:szCs w:val="20"/>
        </w:rPr>
        <w:t>6</w:t>
      </w:r>
      <w:r w:rsidR="00B859E6">
        <w:rPr>
          <w:rFonts w:ascii="Verdana" w:hAnsi="Verdana"/>
          <w:sz w:val="20"/>
          <w:szCs w:val="20"/>
        </w:rPr>
        <w:t xml:space="preserve"> y 211</w:t>
      </w:r>
      <w:r>
        <w:rPr>
          <w:rFonts w:ascii="Verdana" w:hAnsi="Verdana"/>
          <w:sz w:val="20"/>
          <w:szCs w:val="20"/>
        </w:rPr>
        <w:t xml:space="preserve">), por lo que no debe considerársele responsable </w:t>
      </w:r>
      <w:r>
        <w:rPr>
          <w:rFonts w:ascii="Verdana" w:eastAsia="SimSun" w:hAnsi="Verdana" w:cs="Arial"/>
          <w:sz w:val="20"/>
          <w:szCs w:val="20"/>
          <w:lang w:val="es-CR" w:eastAsia="es-CR"/>
        </w:rPr>
        <w:t>violar</w:t>
      </w:r>
      <w:r w:rsidRPr="009D3D37">
        <w:rPr>
          <w:rFonts w:ascii="Verdana" w:eastAsia="SimSun" w:hAnsi="Verdana" w:cs="Arial"/>
          <w:sz w:val="20"/>
          <w:szCs w:val="20"/>
          <w:lang w:val="es-CR" w:eastAsia="es-CR"/>
        </w:rPr>
        <w:t xml:space="preserve"> la garantía </w:t>
      </w:r>
      <w:r>
        <w:rPr>
          <w:rFonts w:ascii="Verdana" w:eastAsia="SimSun" w:hAnsi="Verdana" w:cs="Arial"/>
          <w:sz w:val="20"/>
          <w:szCs w:val="20"/>
          <w:lang w:val="es-CR" w:eastAsia="es-CR"/>
        </w:rPr>
        <w:t>de</w:t>
      </w:r>
      <w:r w:rsidRPr="009D3D37">
        <w:rPr>
          <w:rFonts w:ascii="Verdana" w:eastAsia="SimSun" w:hAnsi="Verdana" w:cs="Arial"/>
          <w:sz w:val="20"/>
          <w:szCs w:val="20"/>
          <w:lang w:val="es-CR" w:eastAsia="es-CR"/>
        </w:rPr>
        <w:t xml:space="preserve"> plazo razonable</w:t>
      </w:r>
      <w:r>
        <w:rPr>
          <w:rFonts w:ascii="Verdana" w:hAnsi="Verdana"/>
          <w:sz w:val="20"/>
          <w:szCs w:val="20"/>
        </w:rPr>
        <w:t xml:space="preserve">. </w:t>
      </w:r>
    </w:p>
    <w:p w14:paraId="64AA60B5" w14:textId="6E01713D" w:rsidR="00201EE6" w:rsidRPr="00813B72" w:rsidRDefault="00903628" w:rsidP="00DB378B">
      <w:pPr>
        <w:widowControl w:val="0"/>
        <w:numPr>
          <w:ilvl w:val="0"/>
          <w:numId w:val="4"/>
        </w:numPr>
        <w:tabs>
          <w:tab w:val="left" w:pos="567"/>
        </w:tabs>
        <w:autoSpaceDE w:val="0"/>
        <w:autoSpaceDN w:val="0"/>
        <w:adjustRightInd w:val="0"/>
        <w:spacing w:before="120" w:after="120" w:line="240" w:lineRule="auto"/>
        <w:ind w:left="0" w:firstLine="0"/>
        <w:jc w:val="both"/>
        <w:textAlignment w:val="baseline"/>
        <w:rPr>
          <w:rFonts w:ascii="Verdana" w:hAnsi="Verdana"/>
          <w:sz w:val="20"/>
          <w:szCs w:val="20"/>
          <w:lang w:val="es-CR"/>
        </w:rPr>
      </w:pPr>
      <w:r w:rsidRPr="00201EE6">
        <w:rPr>
          <w:rFonts w:ascii="Verdana" w:hAnsi="Verdana"/>
          <w:sz w:val="20"/>
          <w:szCs w:val="20"/>
        </w:rPr>
        <w:t xml:space="preserve">La Corte reitera que, de acuerdo con el artículo 8.1 de la Convención y como parte del derecho a la justicia, los procesos deben </w:t>
      </w:r>
      <w:r w:rsidR="004F1058">
        <w:rPr>
          <w:rFonts w:ascii="Verdana" w:hAnsi="Verdana"/>
          <w:sz w:val="20"/>
          <w:szCs w:val="20"/>
        </w:rPr>
        <w:t>realizarse</w:t>
      </w:r>
      <w:r w:rsidRPr="00201EE6">
        <w:rPr>
          <w:rFonts w:ascii="Verdana" w:hAnsi="Verdana"/>
          <w:sz w:val="20"/>
          <w:szCs w:val="20"/>
        </w:rPr>
        <w:t xml:space="preserve"> dentro de un plazo razonable</w:t>
      </w:r>
      <w:r w:rsidRPr="00177D17">
        <w:rPr>
          <w:rStyle w:val="FootnoteReference"/>
          <w:rFonts w:ascii="Verdana" w:hAnsi="Verdana"/>
          <w:sz w:val="20"/>
          <w:szCs w:val="20"/>
          <w:lang w:val="es-CR"/>
        </w:rPr>
        <w:footnoteReference w:id="475"/>
      </w:r>
      <w:r w:rsidR="00243E91">
        <w:rPr>
          <w:rFonts w:ascii="Verdana" w:hAnsi="Verdana"/>
          <w:sz w:val="20"/>
          <w:szCs w:val="20"/>
        </w:rPr>
        <w:t>,</w:t>
      </w:r>
      <w:r w:rsidRPr="00201EE6">
        <w:rPr>
          <w:rFonts w:ascii="Verdana" w:hAnsi="Verdana"/>
          <w:sz w:val="20"/>
          <w:szCs w:val="20"/>
        </w:rPr>
        <w:t xml:space="preserve"> </w:t>
      </w:r>
      <w:r w:rsidRPr="00201EE6">
        <w:rPr>
          <w:rFonts w:ascii="Verdana" w:hAnsi="Verdana"/>
          <w:sz w:val="20"/>
          <w:szCs w:val="20"/>
          <w:lang w:val="es-CR"/>
        </w:rPr>
        <w:t>por lo que, en atención a la necesidad de garantizar los derechos de las personas perjudicadas, una demora prolongada puede llegar a constituir, por sí misma, una violación de las garantías judiciales</w:t>
      </w:r>
      <w:r w:rsidRPr="00177D17">
        <w:rPr>
          <w:rStyle w:val="FootnoteReference"/>
          <w:rFonts w:ascii="Verdana" w:hAnsi="Verdana"/>
          <w:sz w:val="20"/>
          <w:szCs w:val="20"/>
          <w:lang w:val="es-CR"/>
        </w:rPr>
        <w:footnoteReference w:id="476"/>
      </w:r>
      <w:r w:rsidRPr="00201EE6">
        <w:rPr>
          <w:rFonts w:ascii="Verdana" w:hAnsi="Verdana"/>
          <w:sz w:val="20"/>
          <w:szCs w:val="20"/>
          <w:lang w:val="es-CR"/>
        </w:rPr>
        <w:t xml:space="preserve">. Además, por tratarse de una desaparición forzada, el derecho de acceso a la justicia incluye que se procure determinar la suerte o paradero de la víctima. </w:t>
      </w:r>
      <w:r w:rsidRPr="00201EE6">
        <w:rPr>
          <w:rFonts w:ascii="Verdana" w:hAnsi="Verdana"/>
          <w:sz w:val="20"/>
          <w:szCs w:val="20"/>
        </w:rPr>
        <w:t>Esta Corte recuerda que se han tomado en cuenta cuatro elementos para determinar la razonabilidad del plazo: i) complejidad del asunto; ii) actividad procesal del interesado; iii) conducta de las autoridades judiciales, y iv) afectación generada por la situación jurídica de la persona involucrada en el proceso</w:t>
      </w:r>
      <w:r>
        <w:rPr>
          <w:rStyle w:val="FootnoteReference"/>
          <w:rFonts w:ascii="Verdana" w:hAnsi="Verdana"/>
          <w:sz w:val="20"/>
          <w:szCs w:val="20"/>
        </w:rPr>
        <w:footnoteReference w:id="477"/>
      </w:r>
      <w:r w:rsidRPr="00201EE6">
        <w:rPr>
          <w:rFonts w:ascii="Verdana" w:hAnsi="Verdana" w:cs="Tahoma"/>
          <w:sz w:val="20"/>
          <w:szCs w:val="20"/>
        </w:rPr>
        <w:t>.</w:t>
      </w:r>
      <w:r w:rsidRPr="00201EE6">
        <w:rPr>
          <w:rFonts w:ascii="Verdana" w:hAnsi="Verdana"/>
          <w:sz w:val="20"/>
          <w:szCs w:val="20"/>
        </w:rPr>
        <w:t xml:space="preserve"> </w:t>
      </w:r>
    </w:p>
    <w:p w14:paraId="64AA60B7" w14:textId="206D7834" w:rsidR="00201EE6" w:rsidRPr="00C90B3F" w:rsidRDefault="00903628" w:rsidP="00DB378B">
      <w:pPr>
        <w:widowControl w:val="0"/>
        <w:numPr>
          <w:ilvl w:val="0"/>
          <w:numId w:val="4"/>
        </w:numPr>
        <w:tabs>
          <w:tab w:val="left" w:pos="567"/>
        </w:tabs>
        <w:autoSpaceDE w:val="0"/>
        <w:autoSpaceDN w:val="0"/>
        <w:adjustRightInd w:val="0"/>
        <w:spacing w:before="120" w:after="120" w:line="240" w:lineRule="auto"/>
        <w:ind w:left="0" w:firstLine="0"/>
        <w:jc w:val="both"/>
        <w:textAlignment w:val="baseline"/>
        <w:rPr>
          <w:rFonts w:ascii="Verdana" w:hAnsi="Verdana"/>
          <w:sz w:val="20"/>
          <w:szCs w:val="20"/>
          <w:lang w:val="es-CR"/>
        </w:rPr>
      </w:pPr>
      <w:r w:rsidRPr="00201EE6">
        <w:rPr>
          <w:rFonts w:ascii="Verdana" w:hAnsi="Verdana" w:cs="Tahoma"/>
          <w:sz w:val="20"/>
          <w:szCs w:val="20"/>
        </w:rPr>
        <w:t xml:space="preserve">En cuanto al primero de los elementos, la complejidad, la Corte </w:t>
      </w:r>
      <w:r w:rsidRPr="00201EE6">
        <w:rPr>
          <w:rFonts w:ascii="Verdana" w:hAnsi="Verdana"/>
          <w:sz w:val="20"/>
          <w:szCs w:val="20"/>
        </w:rPr>
        <w:t>ha señalado que un caso también puede ser complejo si se trata “de una desaparición forzada en</w:t>
      </w:r>
      <w:r w:rsidR="00B859E6">
        <w:rPr>
          <w:rFonts w:ascii="Verdana" w:hAnsi="Verdana"/>
          <w:sz w:val="20"/>
          <w:szCs w:val="20"/>
        </w:rPr>
        <w:t xml:space="preserve"> la</w:t>
      </w:r>
      <w:r w:rsidRPr="00201EE6">
        <w:rPr>
          <w:rFonts w:ascii="Verdana" w:hAnsi="Verdana"/>
          <w:sz w:val="20"/>
          <w:szCs w:val="20"/>
        </w:rPr>
        <w:t xml:space="preserve"> que los perpetradores intentaron eliminar todo rastro o evidencia, por la negativa de brindar información sobre el paradero y por el número de posibles responsables”</w:t>
      </w:r>
      <w:r>
        <w:rPr>
          <w:rStyle w:val="FootnoteReference"/>
          <w:rFonts w:ascii="Verdana" w:hAnsi="Verdana"/>
          <w:sz w:val="20"/>
          <w:szCs w:val="20"/>
        </w:rPr>
        <w:footnoteReference w:id="478"/>
      </w:r>
      <w:r w:rsidRPr="00201EE6">
        <w:rPr>
          <w:rFonts w:ascii="Verdana" w:hAnsi="Verdana"/>
          <w:sz w:val="20"/>
          <w:szCs w:val="20"/>
        </w:rPr>
        <w:t xml:space="preserve">; por lo que, dadas las características de este caso, la Corte constata que </w:t>
      </w:r>
      <w:r w:rsidR="004F1058">
        <w:rPr>
          <w:rFonts w:ascii="Verdana" w:hAnsi="Verdana"/>
          <w:sz w:val="20"/>
          <w:szCs w:val="20"/>
        </w:rPr>
        <w:t xml:space="preserve">el presente se trata de un caso </w:t>
      </w:r>
      <w:r w:rsidRPr="00201EE6">
        <w:rPr>
          <w:rFonts w:ascii="Verdana" w:hAnsi="Verdana"/>
          <w:sz w:val="20"/>
          <w:szCs w:val="20"/>
        </w:rPr>
        <w:t xml:space="preserve">complejo. </w:t>
      </w:r>
      <w:r w:rsidRPr="00201EE6">
        <w:rPr>
          <w:rFonts w:ascii="Verdana" w:hAnsi="Verdana" w:cs="Tahoma"/>
          <w:sz w:val="20"/>
          <w:szCs w:val="20"/>
        </w:rPr>
        <w:t xml:space="preserve">Respecto de la actividad procesal de los interesados, este Tribunal no advierte que la conducta de los familiares hubiera entorpecido la tramitación de las investigaciones; por el contrario, la Corte constata su </w:t>
      </w:r>
      <w:r w:rsidRPr="0059159E">
        <w:rPr>
          <w:rFonts w:ascii="Verdana" w:hAnsi="Verdana" w:cs="Tahoma"/>
          <w:sz w:val="20"/>
          <w:szCs w:val="20"/>
        </w:rPr>
        <w:t xml:space="preserve">participación activa y </w:t>
      </w:r>
      <w:r w:rsidRPr="00236950">
        <w:rPr>
          <w:rFonts w:ascii="Verdana" w:hAnsi="Verdana" w:cs="Tahoma"/>
          <w:sz w:val="20"/>
          <w:szCs w:val="20"/>
        </w:rPr>
        <w:t>de colabora</w:t>
      </w:r>
      <w:r w:rsidRPr="008B1A9A">
        <w:rPr>
          <w:rFonts w:ascii="Verdana" w:hAnsi="Verdana" w:cs="Tahoma"/>
          <w:sz w:val="20"/>
          <w:szCs w:val="20"/>
        </w:rPr>
        <w:t xml:space="preserve">ción con las autoridades. </w:t>
      </w:r>
      <w:r w:rsidR="004F1058" w:rsidRPr="00C07BB7">
        <w:rPr>
          <w:rFonts w:ascii="Verdana" w:hAnsi="Verdana" w:cs="Tahoma"/>
          <w:sz w:val="20"/>
          <w:szCs w:val="20"/>
        </w:rPr>
        <w:t>Asimismo, l</w:t>
      </w:r>
      <w:r w:rsidRPr="00BC3F1D">
        <w:rPr>
          <w:rFonts w:ascii="Verdana" w:hAnsi="Verdana" w:cs="Tahoma"/>
          <w:sz w:val="20"/>
          <w:szCs w:val="20"/>
        </w:rPr>
        <w:t>a Corte nota que la actividad procesal de los interesados no cesó, a pesar de que fueron obje</w:t>
      </w:r>
      <w:r w:rsidR="004F1058" w:rsidRPr="00C90B3F">
        <w:rPr>
          <w:rFonts w:ascii="Verdana" w:hAnsi="Verdana" w:cs="Tahoma"/>
          <w:sz w:val="20"/>
          <w:szCs w:val="20"/>
        </w:rPr>
        <w:t>to de amenazas y hostigamiento.</w:t>
      </w:r>
    </w:p>
    <w:p w14:paraId="64AA60B9" w14:textId="39B4FC78" w:rsidR="00201EE6" w:rsidRPr="0059159E" w:rsidRDefault="00903628" w:rsidP="00DB378B">
      <w:pPr>
        <w:widowControl w:val="0"/>
        <w:numPr>
          <w:ilvl w:val="0"/>
          <w:numId w:val="4"/>
        </w:numPr>
        <w:tabs>
          <w:tab w:val="left" w:pos="567"/>
        </w:tabs>
        <w:autoSpaceDE w:val="0"/>
        <w:autoSpaceDN w:val="0"/>
        <w:adjustRightInd w:val="0"/>
        <w:spacing w:before="120" w:after="120" w:line="240" w:lineRule="auto"/>
        <w:ind w:left="0" w:firstLine="0"/>
        <w:jc w:val="both"/>
        <w:textAlignment w:val="baseline"/>
        <w:rPr>
          <w:rFonts w:ascii="Verdana" w:hAnsi="Verdana"/>
          <w:sz w:val="20"/>
          <w:szCs w:val="20"/>
          <w:lang w:val="es-CR"/>
        </w:rPr>
      </w:pPr>
      <w:r w:rsidRPr="00C90B3F">
        <w:rPr>
          <w:rFonts w:ascii="Verdana" w:hAnsi="Verdana" w:cs="Tahoma"/>
          <w:sz w:val="20"/>
          <w:szCs w:val="20"/>
        </w:rPr>
        <w:t>En cuanto a la conducta de las autoridades, la Corte observa que las actuaciones de los órganos del Estado comenzaron a partir del conocimiento de la desaparición</w:t>
      </w:r>
      <w:r w:rsidR="0011708C" w:rsidRPr="00C90B3F">
        <w:rPr>
          <w:rFonts w:ascii="Verdana" w:hAnsi="Verdana" w:cs="Tahoma"/>
          <w:sz w:val="20"/>
          <w:szCs w:val="20"/>
        </w:rPr>
        <w:t xml:space="preserve"> y se llevaron a cabo diversas </w:t>
      </w:r>
      <w:r w:rsidRPr="00C90B3F">
        <w:rPr>
          <w:rFonts w:ascii="Verdana" w:hAnsi="Verdana" w:cs="Tahoma"/>
          <w:sz w:val="20"/>
          <w:szCs w:val="20"/>
        </w:rPr>
        <w:t xml:space="preserve">diligencias y acciones de búsqueda e investigación, particularmente </w:t>
      </w:r>
      <w:r w:rsidR="0011708C" w:rsidRPr="00C90B3F">
        <w:rPr>
          <w:rFonts w:ascii="Verdana" w:hAnsi="Verdana" w:cs="Tahoma"/>
          <w:sz w:val="20"/>
          <w:szCs w:val="20"/>
        </w:rPr>
        <w:t xml:space="preserve">a través de </w:t>
      </w:r>
      <w:r w:rsidRPr="00C90B3F">
        <w:rPr>
          <w:rFonts w:ascii="Verdana" w:hAnsi="Verdana" w:cs="Tahoma"/>
          <w:sz w:val="20"/>
          <w:szCs w:val="20"/>
        </w:rPr>
        <w:t xml:space="preserve">la FEVIMTRA, la UEBPD-PGR y la FEBPD-PGR. </w:t>
      </w:r>
      <w:r w:rsidRPr="00C90B3F">
        <w:rPr>
          <w:rFonts w:ascii="Verdana" w:hAnsi="Verdana"/>
          <w:sz w:val="20"/>
        </w:rPr>
        <w:t>No obstante lo an</w:t>
      </w:r>
      <w:r w:rsidR="004F1058" w:rsidRPr="00C90B3F">
        <w:rPr>
          <w:rFonts w:ascii="Verdana" w:hAnsi="Verdana"/>
          <w:sz w:val="20"/>
        </w:rPr>
        <w:t>terior, existió una falta de</w:t>
      </w:r>
      <w:r w:rsidRPr="00C90B3F">
        <w:rPr>
          <w:rFonts w:ascii="Verdana" w:hAnsi="Verdana"/>
          <w:sz w:val="20"/>
        </w:rPr>
        <w:t xml:space="preserve"> respuesta </w:t>
      </w:r>
      <w:r w:rsidR="004F1058" w:rsidRPr="00C90B3F">
        <w:rPr>
          <w:rFonts w:ascii="Verdana" w:hAnsi="Verdana"/>
          <w:sz w:val="20"/>
        </w:rPr>
        <w:t>y coordinación inmediata en los primero</w:t>
      </w:r>
      <w:r w:rsidRPr="00C90B3F">
        <w:rPr>
          <w:rFonts w:ascii="Verdana" w:hAnsi="Verdana"/>
          <w:sz w:val="20"/>
        </w:rPr>
        <w:t xml:space="preserve">s </w:t>
      </w:r>
      <w:r w:rsidR="004F1058" w:rsidRPr="00C90B3F">
        <w:rPr>
          <w:rFonts w:ascii="Verdana" w:hAnsi="Verdana"/>
          <w:sz w:val="20"/>
        </w:rPr>
        <w:t>momentos</w:t>
      </w:r>
      <w:r w:rsidRPr="00C90B3F">
        <w:rPr>
          <w:rFonts w:ascii="Verdana" w:hAnsi="Verdana"/>
          <w:sz w:val="20"/>
        </w:rPr>
        <w:t xml:space="preserve"> (</w:t>
      </w:r>
      <w:r w:rsidRPr="008D0846">
        <w:rPr>
          <w:rFonts w:ascii="Verdana" w:hAnsi="Verdana"/>
          <w:i/>
          <w:sz w:val="20"/>
        </w:rPr>
        <w:t>supra</w:t>
      </w:r>
      <w:r w:rsidRPr="00C90B3F">
        <w:rPr>
          <w:rFonts w:ascii="Verdana" w:hAnsi="Verdana"/>
          <w:sz w:val="20"/>
        </w:rPr>
        <w:t xml:space="preserve"> párr. </w:t>
      </w:r>
      <w:r w:rsidR="00B859E6">
        <w:rPr>
          <w:rFonts w:ascii="Verdana" w:hAnsi="Verdana"/>
          <w:sz w:val="20"/>
        </w:rPr>
        <w:t>242</w:t>
      </w:r>
      <w:r w:rsidRPr="00C90B3F">
        <w:rPr>
          <w:rFonts w:ascii="Verdana" w:hAnsi="Verdana"/>
          <w:sz w:val="20"/>
        </w:rPr>
        <w:t xml:space="preserve">); también hay evidencia de una fragmentación </w:t>
      </w:r>
      <w:r w:rsidR="004F1058" w:rsidRPr="00C90B3F">
        <w:rPr>
          <w:rFonts w:ascii="Verdana" w:hAnsi="Verdana"/>
          <w:sz w:val="20"/>
        </w:rPr>
        <w:t>y falta de coordinación en</w:t>
      </w:r>
      <w:r w:rsidR="00230457" w:rsidRPr="00C90B3F">
        <w:rPr>
          <w:rFonts w:ascii="Verdana" w:hAnsi="Verdana"/>
          <w:sz w:val="20"/>
        </w:rPr>
        <w:t xml:space="preserve"> </w:t>
      </w:r>
      <w:r w:rsidRPr="00C90B3F">
        <w:rPr>
          <w:rFonts w:ascii="Verdana" w:hAnsi="Verdana"/>
          <w:sz w:val="20"/>
        </w:rPr>
        <w:t xml:space="preserve">las indagatorias que no permitió el </w:t>
      </w:r>
      <w:r w:rsidRPr="00C90B3F">
        <w:rPr>
          <w:rFonts w:ascii="Verdana" w:hAnsi="Verdana"/>
          <w:sz w:val="20"/>
        </w:rPr>
        <w:lastRenderedPageBreak/>
        <w:t>avance de las mismas (</w:t>
      </w:r>
      <w:r w:rsidRPr="008D0846">
        <w:rPr>
          <w:rFonts w:ascii="Verdana" w:hAnsi="Verdana"/>
          <w:i/>
          <w:sz w:val="20"/>
        </w:rPr>
        <w:t>supra</w:t>
      </w:r>
      <w:r w:rsidRPr="00C90B3F">
        <w:rPr>
          <w:rFonts w:ascii="Verdana" w:hAnsi="Verdana"/>
          <w:sz w:val="20"/>
        </w:rPr>
        <w:t xml:space="preserve"> párr. </w:t>
      </w:r>
      <w:r w:rsidR="00B859E6">
        <w:rPr>
          <w:rFonts w:ascii="Verdana" w:hAnsi="Verdana"/>
          <w:sz w:val="20"/>
        </w:rPr>
        <w:t>243</w:t>
      </w:r>
      <w:r w:rsidRPr="00C90B3F">
        <w:rPr>
          <w:rFonts w:ascii="Verdana" w:hAnsi="Verdana"/>
          <w:sz w:val="20"/>
        </w:rPr>
        <w:t>); además, la Corte advierte que las autoridades militares obstaculizaron las labores de investigación en varias ocasiones</w:t>
      </w:r>
      <w:r w:rsidR="00D21B47">
        <w:rPr>
          <w:rFonts w:ascii="Verdana" w:hAnsi="Verdana"/>
          <w:sz w:val="20"/>
        </w:rPr>
        <w:t xml:space="preserve"> (</w:t>
      </w:r>
      <w:r w:rsidR="00D21B47" w:rsidRPr="008D0846">
        <w:rPr>
          <w:rFonts w:ascii="Verdana" w:hAnsi="Verdana"/>
          <w:i/>
          <w:sz w:val="20"/>
        </w:rPr>
        <w:t>supra</w:t>
      </w:r>
      <w:r w:rsidR="00D21B47">
        <w:rPr>
          <w:rFonts w:ascii="Verdana" w:hAnsi="Verdana"/>
          <w:sz w:val="20"/>
        </w:rPr>
        <w:t xml:space="preserve"> párrs. 200 a 203)</w:t>
      </w:r>
      <w:r w:rsidRPr="00C90B3F">
        <w:rPr>
          <w:rFonts w:ascii="Verdana" w:hAnsi="Verdana"/>
          <w:sz w:val="20"/>
        </w:rPr>
        <w:t>; todo ello no ha permitido que hasta el momento fueran localizadas las víctimas ni sea determinada la respons</w:t>
      </w:r>
      <w:r w:rsidR="004F1058" w:rsidRPr="00C90B3F">
        <w:rPr>
          <w:rFonts w:ascii="Verdana" w:hAnsi="Verdana"/>
          <w:sz w:val="20"/>
        </w:rPr>
        <w:t>abilidad de los perpetradores.</w:t>
      </w:r>
      <w:r w:rsidRPr="00C90B3F">
        <w:rPr>
          <w:rFonts w:ascii="Verdana" w:hAnsi="Verdana"/>
          <w:sz w:val="20"/>
        </w:rPr>
        <w:t xml:space="preserve"> </w:t>
      </w:r>
      <w:r w:rsidR="00C57FCB" w:rsidRPr="00C90B3F">
        <w:rPr>
          <w:rFonts w:ascii="Verdana" w:hAnsi="Verdana"/>
          <w:sz w:val="20"/>
        </w:rPr>
        <w:t>Dicha situación</w:t>
      </w:r>
      <w:r w:rsidR="00C57FCB" w:rsidRPr="00C90B3F">
        <w:rPr>
          <w:rFonts w:ascii="Verdana" w:hAnsi="Verdana" w:cs="Tahoma"/>
          <w:sz w:val="20"/>
          <w:szCs w:val="20"/>
        </w:rPr>
        <w:t xml:space="preserve"> </w:t>
      </w:r>
      <w:r w:rsidR="00B93CB5" w:rsidRPr="00C90B3F">
        <w:rPr>
          <w:rFonts w:ascii="Verdana" w:hAnsi="Verdana" w:cs="Tahoma"/>
          <w:sz w:val="20"/>
          <w:szCs w:val="20"/>
        </w:rPr>
        <w:t>además se enmarca y</w:t>
      </w:r>
      <w:r w:rsidR="00C57FCB" w:rsidRPr="00C90B3F">
        <w:rPr>
          <w:rFonts w:ascii="Verdana" w:hAnsi="Verdana"/>
          <w:sz w:val="20"/>
        </w:rPr>
        <w:t xml:space="preserve"> califica en el contexto de impunidad </w:t>
      </w:r>
      <w:r w:rsidR="00B93CB5" w:rsidRPr="0059159E">
        <w:rPr>
          <w:rFonts w:ascii="Verdana" w:hAnsi="Verdana" w:cs="Tahoma"/>
          <w:sz w:val="20"/>
          <w:szCs w:val="20"/>
        </w:rPr>
        <w:t xml:space="preserve">en este tipo de casos, </w:t>
      </w:r>
      <w:r w:rsidR="00C57FCB" w:rsidRPr="00C90B3F">
        <w:rPr>
          <w:rFonts w:ascii="Verdana" w:hAnsi="Verdana"/>
          <w:sz w:val="20"/>
        </w:rPr>
        <w:t>previamente expuesto (</w:t>
      </w:r>
      <w:r w:rsidR="00C57FCB" w:rsidRPr="0059159E">
        <w:rPr>
          <w:rFonts w:ascii="Verdana" w:hAnsi="Verdana"/>
          <w:i/>
          <w:sz w:val="20"/>
        </w:rPr>
        <w:t xml:space="preserve">supra </w:t>
      </w:r>
      <w:r w:rsidR="00C57FCB" w:rsidRPr="00C90B3F">
        <w:rPr>
          <w:rFonts w:ascii="Verdana" w:hAnsi="Verdana"/>
          <w:sz w:val="20"/>
        </w:rPr>
        <w:t>párr</w:t>
      </w:r>
      <w:r w:rsidR="00547108">
        <w:rPr>
          <w:rFonts w:ascii="Verdana" w:hAnsi="Verdana"/>
          <w:sz w:val="20"/>
        </w:rPr>
        <w:t>s</w:t>
      </w:r>
      <w:r w:rsidR="00C57FCB" w:rsidRPr="00C90B3F">
        <w:rPr>
          <w:rFonts w:ascii="Verdana" w:hAnsi="Verdana"/>
          <w:sz w:val="20"/>
        </w:rPr>
        <w:t xml:space="preserve">. </w:t>
      </w:r>
      <w:r w:rsidR="004C7001">
        <w:rPr>
          <w:rFonts w:ascii="Verdana" w:hAnsi="Verdana"/>
          <w:sz w:val="20"/>
        </w:rPr>
        <w:t>66 y</w:t>
      </w:r>
      <w:r w:rsidR="00547108">
        <w:rPr>
          <w:rFonts w:ascii="Verdana" w:hAnsi="Verdana"/>
          <w:sz w:val="20"/>
        </w:rPr>
        <w:t xml:space="preserve"> </w:t>
      </w:r>
      <w:r w:rsidR="004C7001">
        <w:rPr>
          <w:rFonts w:ascii="Verdana" w:hAnsi="Verdana"/>
          <w:sz w:val="20"/>
        </w:rPr>
        <w:t>67</w:t>
      </w:r>
      <w:r w:rsidR="00C57FCB" w:rsidRPr="00C90B3F">
        <w:rPr>
          <w:rFonts w:ascii="Verdana" w:hAnsi="Verdana"/>
          <w:sz w:val="20"/>
        </w:rPr>
        <w:t>)</w:t>
      </w:r>
    </w:p>
    <w:p w14:paraId="64AA60BB" w14:textId="1097AE90" w:rsidR="00201EE6" w:rsidRPr="00813B72" w:rsidRDefault="00903628" w:rsidP="00DB378B">
      <w:pPr>
        <w:widowControl w:val="0"/>
        <w:numPr>
          <w:ilvl w:val="0"/>
          <w:numId w:val="4"/>
        </w:numPr>
        <w:tabs>
          <w:tab w:val="left" w:pos="567"/>
        </w:tabs>
        <w:autoSpaceDE w:val="0"/>
        <w:autoSpaceDN w:val="0"/>
        <w:adjustRightInd w:val="0"/>
        <w:spacing w:before="120" w:after="120" w:line="240" w:lineRule="auto"/>
        <w:ind w:left="0" w:firstLine="0"/>
        <w:jc w:val="both"/>
        <w:textAlignment w:val="baseline"/>
        <w:rPr>
          <w:rFonts w:ascii="Verdana" w:hAnsi="Verdana"/>
          <w:sz w:val="20"/>
          <w:szCs w:val="20"/>
          <w:lang w:val="es-CR"/>
        </w:rPr>
      </w:pPr>
      <w:r w:rsidRPr="00C90B3F">
        <w:rPr>
          <w:rFonts w:ascii="Verdana" w:hAnsi="Verdana" w:cs="Tahoma"/>
          <w:sz w:val="20"/>
          <w:szCs w:val="20"/>
        </w:rPr>
        <w:t>Resulta evidente para la Corte la afectación generada en la situación jurídica de las personas involucradas en el proceso</w:t>
      </w:r>
      <w:r w:rsidR="009A734D" w:rsidRPr="008D0846">
        <w:rPr>
          <w:rFonts w:ascii="Verdana" w:hAnsi="Verdana" w:cs="Tahoma"/>
          <w:sz w:val="20"/>
          <w:szCs w:val="20"/>
        </w:rPr>
        <w:t>, debido a que se</w:t>
      </w:r>
      <w:r w:rsidR="009A734D">
        <w:rPr>
          <w:rFonts w:ascii="Verdana" w:hAnsi="Verdana" w:cs="Tahoma"/>
          <w:sz w:val="20"/>
          <w:szCs w:val="20"/>
        </w:rPr>
        <w:t xml:space="preserve"> </w:t>
      </w:r>
      <w:r w:rsidRPr="00C90B3F">
        <w:rPr>
          <w:rFonts w:ascii="Verdana" w:hAnsi="Verdana" w:cs="Tahoma"/>
          <w:sz w:val="20"/>
          <w:szCs w:val="20"/>
        </w:rPr>
        <w:t>ha sostenido que la desaparición forzada de personas constituye una violación múltiple y continuada de numerosos derechos reconocidos en la Convención y que coloca a la víctima en un estado de completa indefensión</w:t>
      </w:r>
      <w:r w:rsidRPr="00C90B3F">
        <w:rPr>
          <w:rFonts w:ascii="Verdana" w:hAnsi="Verdana"/>
          <w:sz w:val="20"/>
          <w:szCs w:val="20"/>
        </w:rPr>
        <w:t>, acarreando otras vulneraciones</w:t>
      </w:r>
      <w:r w:rsidRPr="00201EE6">
        <w:rPr>
          <w:rFonts w:ascii="Verdana" w:hAnsi="Verdana"/>
          <w:sz w:val="20"/>
          <w:szCs w:val="20"/>
        </w:rPr>
        <w:t xml:space="preserve"> conexas</w:t>
      </w:r>
      <w:r w:rsidR="00D21B47">
        <w:rPr>
          <w:rFonts w:ascii="Verdana" w:hAnsi="Verdana"/>
          <w:sz w:val="20"/>
          <w:szCs w:val="20"/>
        </w:rPr>
        <w:t xml:space="preserve"> (</w:t>
      </w:r>
      <w:r w:rsidR="00D21B47" w:rsidRPr="008D0846">
        <w:rPr>
          <w:rFonts w:ascii="Verdana" w:hAnsi="Verdana"/>
          <w:i/>
          <w:sz w:val="20"/>
          <w:szCs w:val="20"/>
        </w:rPr>
        <w:t>supra</w:t>
      </w:r>
      <w:r w:rsidR="00D21B47">
        <w:rPr>
          <w:rFonts w:ascii="Verdana" w:hAnsi="Verdana"/>
          <w:sz w:val="20"/>
          <w:szCs w:val="20"/>
        </w:rPr>
        <w:t xml:space="preserve"> párrs. 165 y 166)</w:t>
      </w:r>
      <w:r w:rsidRPr="00201EE6">
        <w:rPr>
          <w:rFonts w:ascii="Verdana" w:hAnsi="Verdana" w:cs="Tahoma"/>
          <w:sz w:val="20"/>
          <w:szCs w:val="20"/>
        </w:rPr>
        <w:t>. La desaparición forzada de personas debe considerarse un delito de lesa humanidad</w:t>
      </w:r>
      <w:r w:rsidRPr="005E160C">
        <w:rPr>
          <w:rStyle w:val="FootnoteReference"/>
          <w:rFonts w:ascii="Verdana" w:hAnsi="Verdana" w:cs="Tahoma"/>
          <w:sz w:val="20"/>
          <w:szCs w:val="20"/>
        </w:rPr>
        <w:footnoteReference w:id="479"/>
      </w:r>
      <w:r w:rsidR="00B019B8">
        <w:rPr>
          <w:rFonts w:ascii="Verdana" w:hAnsi="Verdana" w:cs="Tahoma"/>
          <w:sz w:val="20"/>
          <w:szCs w:val="20"/>
        </w:rPr>
        <w:t>,</w:t>
      </w:r>
      <w:r w:rsidRPr="00201EE6">
        <w:rPr>
          <w:rFonts w:ascii="Verdana" w:hAnsi="Verdana" w:cs="Tahoma"/>
          <w:sz w:val="20"/>
          <w:szCs w:val="20"/>
        </w:rPr>
        <w:t xml:space="preserve"> que no solamente causa sufrimiento a la víctima sino también a sus familiares</w:t>
      </w:r>
      <w:r>
        <w:rPr>
          <w:rStyle w:val="FootnoteReference"/>
          <w:rFonts w:ascii="Verdana" w:hAnsi="Verdana" w:cs="Tahoma"/>
          <w:sz w:val="20"/>
          <w:szCs w:val="20"/>
        </w:rPr>
        <w:footnoteReference w:id="480"/>
      </w:r>
      <w:r w:rsidRPr="00201EE6">
        <w:rPr>
          <w:rFonts w:ascii="Verdana" w:hAnsi="Verdana" w:cs="Tahoma"/>
          <w:sz w:val="20"/>
          <w:szCs w:val="20"/>
        </w:rPr>
        <w:t>. Así, en el caso, tanto las víctimas como sus familiares han sido afectados de forma continuada y permanente. A ello, se añade que la prolongación en el tiempo de la investigación agudiza la posibilidad de encontrar a las víctimas con vida</w:t>
      </w:r>
      <w:r w:rsidR="0011708C">
        <w:rPr>
          <w:rFonts w:ascii="Verdana" w:hAnsi="Verdana" w:cs="Tahoma"/>
          <w:sz w:val="20"/>
          <w:szCs w:val="20"/>
        </w:rPr>
        <w:t>, por lo que la celeridad en estos casos resulta crucial</w:t>
      </w:r>
      <w:r w:rsidRPr="00201EE6">
        <w:rPr>
          <w:rFonts w:ascii="Verdana" w:hAnsi="Verdana" w:cs="Tahoma"/>
          <w:sz w:val="20"/>
          <w:szCs w:val="20"/>
        </w:rPr>
        <w:t xml:space="preserve">. </w:t>
      </w:r>
    </w:p>
    <w:p w14:paraId="02FE3B42" w14:textId="0CE55A25" w:rsidR="004F1058" w:rsidRPr="003564A3" w:rsidRDefault="00903628" w:rsidP="00DB378B">
      <w:pPr>
        <w:widowControl w:val="0"/>
        <w:numPr>
          <w:ilvl w:val="0"/>
          <w:numId w:val="4"/>
        </w:numPr>
        <w:tabs>
          <w:tab w:val="left" w:pos="567"/>
        </w:tabs>
        <w:autoSpaceDE w:val="0"/>
        <w:autoSpaceDN w:val="0"/>
        <w:adjustRightInd w:val="0"/>
        <w:spacing w:before="120" w:after="120" w:line="240" w:lineRule="auto"/>
        <w:ind w:left="0" w:firstLine="0"/>
        <w:jc w:val="both"/>
        <w:textAlignment w:val="baseline"/>
        <w:rPr>
          <w:rFonts w:ascii="Verdana" w:hAnsi="Verdana"/>
          <w:b/>
          <w:sz w:val="20"/>
          <w:szCs w:val="20"/>
          <w:lang w:val="es-CR"/>
        </w:rPr>
      </w:pPr>
      <w:r w:rsidRPr="00201EE6">
        <w:rPr>
          <w:rFonts w:ascii="Verdana" w:hAnsi="Verdana"/>
          <w:sz w:val="20"/>
          <w:szCs w:val="20"/>
        </w:rPr>
        <w:t xml:space="preserve">Por lo anterior, dado que a </w:t>
      </w:r>
      <w:r w:rsidR="004F1058">
        <w:rPr>
          <w:rFonts w:ascii="Verdana" w:hAnsi="Verdana"/>
          <w:sz w:val="20"/>
          <w:szCs w:val="20"/>
        </w:rPr>
        <w:t xml:space="preserve">casi nueve </w:t>
      </w:r>
      <w:r w:rsidRPr="00201EE6">
        <w:rPr>
          <w:rFonts w:ascii="Verdana" w:hAnsi="Verdana"/>
          <w:sz w:val="20"/>
          <w:szCs w:val="20"/>
        </w:rPr>
        <w:t>años de labores de investigación se desconoce el paradero de las víctimas y no ha sido procesada ni sentenciada pers</w:t>
      </w:r>
      <w:r w:rsidR="004F1058">
        <w:rPr>
          <w:rFonts w:ascii="Verdana" w:hAnsi="Verdana"/>
          <w:sz w:val="20"/>
          <w:szCs w:val="20"/>
        </w:rPr>
        <w:t>ona alguna por la comisión de esta</w:t>
      </w:r>
      <w:r w:rsidRPr="00201EE6">
        <w:rPr>
          <w:rFonts w:ascii="Verdana" w:hAnsi="Verdana"/>
          <w:sz w:val="20"/>
          <w:szCs w:val="20"/>
        </w:rPr>
        <w:t xml:space="preserve"> violación, el plazo que ha llevado la investigación de los hechos rebasa los límites de la razonabilidad prevista por el artículo 8.1 de la Convención, para un caso de esta naturaleza</w:t>
      </w:r>
      <w:r w:rsidR="009A734D" w:rsidRPr="003564A3">
        <w:rPr>
          <w:rFonts w:ascii="Verdana" w:hAnsi="Verdana"/>
          <w:b/>
          <w:sz w:val="20"/>
          <w:szCs w:val="20"/>
        </w:rPr>
        <w:t xml:space="preserve">, </w:t>
      </w:r>
      <w:r w:rsidR="009A734D" w:rsidRPr="008D0846">
        <w:rPr>
          <w:rFonts w:ascii="Verdana" w:hAnsi="Verdana"/>
          <w:sz w:val="20"/>
          <w:szCs w:val="20"/>
        </w:rPr>
        <w:t xml:space="preserve">generado </w:t>
      </w:r>
      <w:r w:rsidR="00474CC9" w:rsidRPr="008D0846">
        <w:rPr>
          <w:rFonts w:ascii="Verdana" w:hAnsi="Verdana"/>
          <w:sz w:val="20"/>
          <w:szCs w:val="20"/>
        </w:rPr>
        <w:t xml:space="preserve">una situación de </w:t>
      </w:r>
      <w:r w:rsidR="009A734D" w:rsidRPr="008D0846">
        <w:rPr>
          <w:rFonts w:ascii="Verdana" w:hAnsi="Verdana"/>
          <w:sz w:val="20"/>
          <w:szCs w:val="20"/>
        </w:rPr>
        <w:t>impunidad.</w:t>
      </w:r>
      <w:r w:rsidR="009A734D" w:rsidRPr="003564A3">
        <w:rPr>
          <w:rFonts w:ascii="Verdana" w:hAnsi="Verdana"/>
          <w:b/>
          <w:sz w:val="20"/>
          <w:szCs w:val="20"/>
        </w:rPr>
        <w:t xml:space="preserve"> </w:t>
      </w:r>
      <w:r w:rsidRPr="003564A3">
        <w:rPr>
          <w:rFonts w:ascii="Verdana" w:hAnsi="Verdana"/>
          <w:b/>
          <w:sz w:val="20"/>
          <w:szCs w:val="20"/>
        </w:rPr>
        <w:t xml:space="preserve"> </w:t>
      </w:r>
    </w:p>
    <w:p w14:paraId="64AA60C1" w14:textId="261B5AA0" w:rsidR="00903628" w:rsidRPr="000C6D8F" w:rsidRDefault="00556FDB">
      <w:pPr>
        <w:pStyle w:val="Heading4"/>
        <w:numPr>
          <w:ilvl w:val="0"/>
          <w:numId w:val="79"/>
        </w:numPr>
        <w:spacing w:before="120" w:after="120"/>
        <w:contextualSpacing w:val="0"/>
        <w:rPr>
          <w:u w:val="none"/>
        </w:rPr>
      </w:pPr>
      <w:bookmarkStart w:id="289" w:name="_Toc522815035"/>
      <w:bookmarkStart w:id="290" w:name="_Toc526777502"/>
      <w:bookmarkStart w:id="291" w:name="_Toc526783802"/>
      <w:r>
        <w:rPr>
          <w:u w:val="none"/>
        </w:rPr>
        <w:t xml:space="preserve"> </w:t>
      </w:r>
      <w:bookmarkStart w:id="292" w:name="_Toc532995386"/>
      <w:r w:rsidR="00903628" w:rsidRPr="000C6D8F">
        <w:rPr>
          <w:u w:val="none"/>
        </w:rPr>
        <w:t>Sobre la investigación de las amenazas y hostigamiento</w:t>
      </w:r>
      <w:bookmarkEnd w:id="289"/>
      <w:bookmarkEnd w:id="290"/>
      <w:bookmarkEnd w:id="291"/>
      <w:bookmarkEnd w:id="292"/>
    </w:p>
    <w:p w14:paraId="64AA60C3" w14:textId="60F80A09" w:rsidR="00201EE6" w:rsidRPr="00813B72" w:rsidRDefault="00903628" w:rsidP="00DB378B">
      <w:pPr>
        <w:widowControl w:val="0"/>
        <w:numPr>
          <w:ilvl w:val="0"/>
          <w:numId w:val="4"/>
        </w:numPr>
        <w:tabs>
          <w:tab w:val="left" w:pos="567"/>
        </w:tabs>
        <w:autoSpaceDE w:val="0"/>
        <w:autoSpaceDN w:val="0"/>
        <w:adjustRightInd w:val="0"/>
        <w:spacing w:before="120" w:after="120" w:line="240" w:lineRule="auto"/>
        <w:ind w:left="0" w:firstLine="0"/>
        <w:jc w:val="both"/>
        <w:textAlignment w:val="baseline"/>
        <w:rPr>
          <w:rFonts w:ascii="Verdana" w:hAnsi="Verdana"/>
          <w:sz w:val="20"/>
          <w:szCs w:val="20"/>
        </w:rPr>
      </w:pPr>
      <w:r>
        <w:rPr>
          <w:rFonts w:ascii="Verdana" w:hAnsi="Verdana"/>
          <w:sz w:val="20"/>
          <w:szCs w:val="20"/>
        </w:rPr>
        <w:t xml:space="preserve">En cuanto a las amenazas y hostigamiento referidos por los familiares, la Corte observa </w:t>
      </w:r>
      <w:r w:rsidRPr="00642EAD">
        <w:rPr>
          <w:rFonts w:ascii="Verdana" w:hAnsi="Verdana"/>
          <w:sz w:val="20"/>
          <w:szCs w:val="20"/>
        </w:rPr>
        <w:t xml:space="preserve">que del </w:t>
      </w:r>
      <w:r>
        <w:rPr>
          <w:rFonts w:ascii="Verdana" w:hAnsi="Verdana"/>
          <w:sz w:val="20"/>
          <w:szCs w:val="20"/>
        </w:rPr>
        <w:t xml:space="preserve">caudal probatorio </w:t>
      </w:r>
      <w:r w:rsidRPr="00642EAD">
        <w:rPr>
          <w:rFonts w:ascii="Verdana" w:hAnsi="Verdana"/>
          <w:sz w:val="20"/>
          <w:szCs w:val="20"/>
        </w:rPr>
        <w:t xml:space="preserve">no se extrae que las autoridades hubieran llevado a cabo una investigación exhaustiva respecto de las amenazas a los familiares ni de su posible nexo </w:t>
      </w:r>
      <w:r w:rsidR="007F5783">
        <w:rPr>
          <w:rFonts w:ascii="Verdana" w:hAnsi="Verdana"/>
          <w:sz w:val="20"/>
          <w:szCs w:val="20"/>
        </w:rPr>
        <w:t xml:space="preserve">causal </w:t>
      </w:r>
      <w:r w:rsidRPr="00642EAD">
        <w:rPr>
          <w:rFonts w:ascii="Verdana" w:hAnsi="Verdana"/>
          <w:sz w:val="20"/>
          <w:szCs w:val="20"/>
        </w:rPr>
        <w:t>con la desaparición y la actuación de los familiares al respecto.</w:t>
      </w:r>
      <w:r>
        <w:rPr>
          <w:rFonts w:ascii="Verdana" w:hAnsi="Verdana"/>
          <w:sz w:val="20"/>
          <w:szCs w:val="20"/>
        </w:rPr>
        <w:t xml:space="preserve"> Particularmente</w:t>
      </w:r>
      <w:r w:rsidR="00B019B8">
        <w:rPr>
          <w:rFonts w:ascii="Verdana" w:hAnsi="Verdana"/>
          <w:sz w:val="20"/>
          <w:szCs w:val="20"/>
        </w:rPr>
        <w:t>,</w:t>
      </w:r>
      <w:r>
        <w:rPr>
          <w:rFonts w:ascii="Verdana" w:hAnsi="Verdana"/>
          <w:sz w:val="20"/>
          <w:szCs w:val="20"/>
        </w:rPr>
        <w:t xml:space="preserve"> respecto de la llamada intimidatoria que recibiera el señor José Ángel Alvarado Fa</w:t>
      </w:r>
      <w:r w:rsidR="00B82930">
        <w:rPr>
          <w:rFonts w:ascii="Verdana" w:hAnsi="Verdana"/>
          <w:sz w:val="20"/>
          <w:szCs w:val="20"/>
        </w:rPr>
        <w:t>b</w:t>
      </w:r>
      <w:r>
        <w:rPr>
          <w:rFonts w:ascii="Verdana" w:hAnsi="Verdana"/>
          <w:sz w:val="20"/>
          <w:szCs w:val="20"/>
        </w:rPr>
        <w:t>ela, el allanamiento del domicilio de Jaime Alvarado y su posterior atropellamiento (</w:t>
      </w:r>
      <w:r w:rsidRPr="007568BA">
        <w:rPr>
          <w:rFonts w:ascii="Verdana" w:hAnsi="Verdana"/>
          <w:i/>
          <w:sz w:val="20"/>
          <w:szCs w:val="20"/>
        </w:rPr>
        <w:t>supra</w:t>
      </w:r>
      <w:r>
        <w:rPr>
          <w:rFonts w:ascii="Verdana" w:hAnsi="Verdana"/>
          <w:sz w:val="20"/>
          <w:szCs w:val="20"/>
        </w:rPr>
        <w:t xml:space="preserve"> párr</w:t>
      </w:r>
      <w:r w:rsidR="00CC6757">
        <w:rPr>
          <w:rFonts w:ascii="Verdana" w:hAnsi="Verdana"/>
          <w:sz w:val="20"/>
          <w:szCs w:val="20"/>
        </w:rPr>
        <w:t>s</w:t>
      </w:r>
      <w:r>
        <w:rPr>
          <w:rFonts w:ascii="Verdana" w:hAnsi="Verdana"/>
          <w:sz w:val="20"/>
          <w:szCs w:val="20"/>
        </w:rPr>
        <w:t xml:space="preserve">. </w:t>
      </w:r>
      <w:r w:rsidR="00CC6757">
        <w:rPr>
          <w:rFonts w:ascii="Verdana" w:hAnsi="Verdana"/>
          <w:sz w:val="20"/>
          <w:szCs w:val="20"/>
        </w:rPr>
        <w:t>1</w:t>
      </w:r>
      <w:r w:rsidR="00B859E6">
        <w:rPr>
          <w:rFonts w:ascii="Verdana" w:hAnsi="Verdana"/>
          <w:sz w:val="20"/>
          <w:szCs w:val="20"/>
        </w:rPr>
        <w:t>44</w:t>
      </w:r>
      <w:r w:rsidR="00CC6757">
        <w:rPr>
          <w:rFonts w:ascii="Verdana" w:hAnsi="Verdana"/>
          <w:sz w:val="20"/>
          <w:szCs w:val="20"/>
        </w:rPr>
        <w:t xml:space="preserve">, </w:t>
      </w:r>
      <w:r w:rsidR="00115A2A">
        <w:rPr>
          <w:rFonts w:ascii="Verdana" w:hAnsi="Verdana"/>
          <w:sz w:val="20"/>
          <w:szCs w:val="20"/>
        </w:rPr>
        <w:t>14</w:t>
      </w:r>
      <w:r w:rsidR="00B859E6">
        <w:rPr>
          <w:rFonts w:ascii="Verdana" w:hAnsi="Verdana"/>
          <w:sz w:val="20"/>
          <w:szCs w:val="20"/>
        </w:rPr>
        <w:t>7</w:t>
      </w:r>
      <w:r w:rsidR="00D41AD1">
        <w:rPr>
          <w:rFonts w:ascii="Verdana" w:hAnsi="Verdana"/>
          <w:sz w:val="20"/>
          <w:szCs w:val="20"/>
        </w:rPr>
        <w:t xml:space="preserve"> y </w:t>
      </w:r>
      <w:r w:rsidR="00115A2A">
        <w:rPr>
          <w:rFonts w:ascii="Verdana" w:hAnsi="Verdana"/>
          <w:sz w:val="20"/>
          <w:szCs w:val="20"/>
        </w:rPr>
        <w:t>14</w:t>
      </w:r>
      <w:r w:rsidR="00B859E6">
        <w:rPr>
          <w:rFonts w:ascii="Verdana" w:hAnsi="Verdana"/>
          <w:sz w:val="20"/>
          <w:szCs w:val="20"/>
        </w:rPr>
        <w:t>9</w:t>
      </w:r>
      <w:r w:rsidR="00CC6757">
        <w:rPr>
          <w:rFonts w:ascii="Verdana" w:hAnsi="Verdana"/>
          <w:sz w:val="20"/>
          <w:szCs w:val="20"/>
        </w:rPr>
        <w:t>)</w:t>
      </w:r>
      <w:r w:rsidR="00D41AD1">
        <w:rPr>
          <w:rFonts w:ascii="Verdana" w:hAnsi="Verdana"/>
          <w:sz w:val="20"/>
          <w:szCs w:val="20"/>
        </w:rPr>
        <w:t>.</w:t>
      </w:r>
    </w:p>
    <w:p w14:paraId="64AA60C5" w14:textId="435D7FCD" w:rsidR="00903628" w:rsidRPr="006A385C" w:rsidRDefault="00903628" w:rsidP="00DB378B">
      <w:pPr>
        <w:widowControl w:val="0"/>
        <w:numPr>
          <w:ilvl w:val="0"/>
          <w:numId w:val="4"/>
        </w:numPr>
        <w:tabs>
          <w:tab w:val="left" w:pos="567"/>
        </w:tabs>
        <w:autoSpaceDE w:val="0"/>
        <w:autoSpaceDN w:val="0"/>
        <w:adjustRightInd w:val="0"/>
        <w:spacing w:before="120" w:after="120" w:line="240" w:lineRule="auto"/>
        <w:ind w:left="0" w:firstLine="0"/>
        <w:jc w:val="both"/>
        <w:textAlignment w:val="baseline"/>
        <w:rPr>
          <w:rFonts w:ascii="Verdana" w:hAnsi="Verdana"/>
          <w:b/>
          <w:sz w:val="20"/>
          <w:szCs w:val="20"/>
        </w:rPr>
      </w:pPr>
      <w:r w:rsidRPr="00201EE6">
        <w:rPr>
          <w:rFonts w:ascii="Verdana" w:hAnsi="Verdana"/>
          <w:sz w:val="20"/>
          <w:szCs w:val="20"/>
        </w:rPr>
        <w:t xml:space="preserve">Si bien el Estado ha insistido, sin aportar elementos con los que acredite sus afirmaciones, que los actos de </w:t>
      </w:r>
      <w:r w:rsidR="008A6F3B">
        <w:rPr>
          <w:rFonts w:ascii="Verdana" w:hAnsi="Verdana"/>
          <w:sz w:val="20"/>
          <w:szCs w:val="20"/>
        </w:rPr>
        <w:t xml:space="preserve">amenaza y </w:t>
      </w:r>
      <w:r w:rsidRPr="00201EE6">
        <w:rPr>
          <w:rFonts w:ascii="Verdana" w:hAnsi="Verdana"/>
          <w:sz w:val="20"/>
          <w:szCs w:val="20"/>
        </w:rPr>
        <w:t>hostigamiento no provinieron de agentes estatales y que no existe vínculo alguno entre éstos y la alegada desaparición</w:t>
      </w:r>
      <w:r w:rsidR="001A2C6D">
        <w:rPr>
          <w:rFonts w:ascii="Verdana" w:hAnsi="Verdana"/>
          <w:sz w:val="20"/>
          <w:szCs w:val="20"/>
        </w:rPr>
        <w:t>, e</w:t>
      </w:r>
      <w:r w:rsidRPr="00201EE6">
        <w:rPr>
          <w:rFonts w:ascii="Verdana" w:hAnsi="Verdana"/>
          <w:sz w:val="20"/>
          <w:szCs w:val="20"/>
        </w:rPr>
        <w:t xml:space="preserve">ste Tribunal encuentra que a la fecha no se ha logrado determinar la autoría de </w:t>
      </w:r>
      <w:r w:rsidR="008A6F3B">
        <w:rPr>
          <w:rFonts w:ascii="Verdana" w:hAnsi="Verdana"/>
          <w:sz w:val="20"/>
          <w:szCs w:val="20"/>
        </w:rPr>
        <w:t>los mismos</w:t>
      </w:r>
      <w:r w:rsidRPr="00201EE6">
        <w:rPr>
          <w:rFonts w:ascii="Verdana" w:hAnsi="Verdana"/>
          <w:sz w:val="20"/>
          <w:szCs w:val="20"/>
        </w:rPr>
        <w:t xml:space="preserve"> a pesar de que algun</w:t>
      </w:r>
      <w:r w:rsidR="008A6F3B">
        <w:rPr>
          <w:rFonts w:ascii="Verdana" w:hAnsi="Verdana"/>
          <w:sz w:val="20"/>
          <w:szCs w:val="20"/>
        </w:rPr>
        <w:t>o</w:t>
      </w:r>
      <w:r w:rsidRPr="00201EE6">
        <w:rPr>
          <w:rFonts w:ascii="Verdana" w:hAnsi="Verdana"/>
          <w:sz w:val="20"/>
          <w:szCs w:val="20"/>
        </w:rPr>
        <w:t>s fueron denunciad</w:t>
      </w:r>
      <w:r w:rsidR="008A6F3B">
        <w:rPr>
          <w:rFonts w:ascii="Verdana" w:hAnsi="Verdana"/>
          <w:sz w:val="20"/>
          <w:szCs w:val="20"/>
        </w:rPr>
        <w:t>o</w:t>
      </w:r>
      <w:r w:rsidRPr="00201EE6">
        <w:rPr>
          <w:rFonts w:ascii="Verdana" w:hAnsi="Verdana"/>
          <w:sz w:val="20"/>
          <w:szCs w:val="20"/>
        </w:rPr>
        <w:t xml:space="preserve">s </w:t>
      </w:r>
      <w:r w:rsidR="00FC3E33">
        <w:rPr>
          <w:rFonts w:ascii="Verdana" w:hAnsi="Verdana"/>
          <w:sz w:val="20"/>
          <w:szCs w:val="20"/>
        </w:rPr>
        <w:t>desde</w:t>
      </w:r>
      <w:r w:rsidR="00FC3E33" w:rsidRPr="00201EE6">
        <w:rPr>
          <w:rFonts w:ascii="Verdana" w:hAnsi="Verdana"/>
          <w:sz w:val="20"/>
          <w:szCs w:val="20"/>
        </w:rPr>
        <w:t xml:space="preserve"> </w:t>
      </w:r>
      <w:r w:rsidRPr="00201EE6">
        <w:rPr>
          <w:rFonts w:ascii="Verdana" w:hAnsi="Verdana"/>
          <w:sz w:val="20"/>
          <w:szCs w:val="20"/>
        </w:rPr>
        <w:t xml:space="preserve">el año 2010; esto es, han transcurrido más de ocho años de </w:t>
      </w:r>
      <w:r w:rsidR="006A19F9">
        <w:rPr>
          <w:rFonts w:ascii="Verdana" w:hAnsi="Verdana"/>
          <w:sz w:val="20"/>
          <w:szCs w:val="20"/>
        </w:rPr>
        <w:t xml:space="preserve">la ocurrencia de </w:t>
      </w:r>
      <w:r w:rsidRPr="00201EE6">
        <w:rPr>
          <w:rFonts w:ascii="Verdana" w:hAnsi="Verdana"/>
          <w:sz w:val="20"/>
          <w:szCs w:val="20"/>
        </w:rPr>
        <w:t xml:space="preserve">algunos de los hechos sin que exista certeza respecto de </w:t>
      </w:r>
      <w:r w:rsidR="006A19F9">
        <w:rPr>
          <w:rFonts w:ascii="Verdana" w:hAnsi="Verdana"/>
          <w:sz w:val="20"/>
          <w:szCs w:val="20"/>
        </w:rPr>
        <w:t>sus</w:t>
      </w:r>
      <w:r w:rsidR="006A19F9" w:rsidRPr="00201EE6">
        <w:rPr>
          <w:rFonts w:ascii="Verdana" w:hAnsi="Verdana"/>
          <w:sz w:val="20"/>
          <w:szCs w:val="20"/>
        </w:rPr>
        <w:t xml:space="preserve"> </w:t>
      </w:r>
      <w:r w:rsidRPr="00201EE6">
        <w:rPr>
          <w:rFonts w:ascii="Verdana" w:hAnsi="Verdana"/>
          <w:sz w:val="20"/>
          <w:szCs w:val="20"/>
        </w:rPr>
        <w:t xml:space="preserve">autores. La Corte concluye que el Estado ha sido omiso en proporcionar elementos que permitan asegurar que las investigaciones iniciadas a partir de la denuncia de los actos de amenaza y hostigamiento han concluido. </w:t>
      </w:r>
      <w:r w:rsidR="006A19F9">
        <w:rPr>
          <w:rFonts w:ascii="Verdana" w:hAnsi="Verdana"/>
          <w:sz w:val="20"/>
          <w:szCs w:val="20"/>
        </w:rPr>
        <w:t>En vista de lo anterior</w:t>
      </w:r>
      <w:r w:rsidRPr="00201EE6">
        <w:rPr>
          <w:rFonts w:ascii="Verdana" w:hAnsi="Verdana"/>
          <w:sz w:val="20"/>
          <w:szCs w:val="20"/>
        </w:rPr>
        <w:t>, qued</w:t>
      </w:r>
      <w:r w:rsidR="00B019B8">
        <w:rPr>
          <w:rFonts w:ascii="Verdana" w:hAnsi="Verdana"/>
          <w:sz w:val="20"/>
          <w:szCs w:val="20"/>
        </w:rPr>
        <w:t>ó</w:t>
      </w:r>
      <w:r w:rsidRPr="00201EE6">
        <w:rPr>
          <w:rFonts w:ascii="Verdana" w:hAnsi="Verdana"/>
          <w:sz w:val="20"/>
          <w:szCs w:val="20"/>
        </w:rPr>
        <w:t xml:space="preserve"> demostrada la falta de debida diligencia en la investigación de los hechos denunciados y, </w:t>
      </w:r>
      <w:r w:rsidR="00FC3E33">
        <w:rPr>
          <w:rFonts w:ascii="Verdana" w:hAnsi="Verdana"/>
          <w:sz w:val="20"/>
          <w:szCs w:val="20"/>
        </w:rPr>
        <w:t>en consecuencia</w:t>
      </w:r>
      <w:r w:rsidRPr="00201EE6">
        <w:rPr>
          <w:rFonts w:ascii="Verdana" w:hAnsi="Verdana"/>
          <w:sz w:val="20"/>
          <w:szCs w:val="20"/>
        </w:rPr>
        <w:t>, la responsabilidad estatal en este punto</w:t>
      </w:r>
      <w:r w:rsidR="00FA6F1D">
        <w:rPr>
          <w:rFonts w:ascii="Verdana" w:hAnsi="Verdana"/>
          <w:sz w:val="20"/>
          <w:szCs w:val="20"/>
        </w:rPr>
        <w:t xml:space="preserve">, </w:t>
      </w:r>
      <w:r w:rsidR="00FA6F1D" w:rsidRPr="003564A3">
        <w:rPr>
          <w:rFonts w:ascii="Verdana" w:hAnsi="Verdana"/>
          <w:sz w:val="20"/>
          <w:szCs w:val="20"/>
        </w:rPr>
        <w:t xml:space="preserve">en perjuicio </w:t>
      </w:r>
      <w:r w:rsidR="006C5847" w:rsidRPr="003564A3">
        <w:rPr>
          <w:rFonts w:ascii="Verdana" w:hAnsi="Verdana"/>
          <w:sz w:val="20"/>
          <w:szCs w:val="20"/>
        </w:rPr>
        <w:t>de  José Ángel Alvarado Fa</w:t>
      </w:r>
      <w:r w:rsidR="00B82930" w:rsidRPr="003564A3">
        <w:rPr>
          <w:rFonts w:ascii="Verdana" w:hAnsi="Verdana"/>
          <w:sz w:val="20"/>
          <w:szCs w:val="20"/>
        </w:rPr>
        <w:t>b</w:t>
      </w:r>
      <w:r w:rsidR="006C5847" w:rsidRPr="003564A3">
        <w:rPr>
          <w:rFonts w:ascii="Verdana" w:hAnsi="Verdana"/>
          <w:sz w:val="20"/>
          <w:szCs w:val="20"/>
        </w:rPr>
        <w:t>ela, Jaime Alvarado</w:t>
      </w:r>
      <w:r w:rsidR="006C5847" w:rsidRPr="003564A3" w:rsidDel="006C5847">
        <w:rPr>
          <w:rFonts w:ascii="Verdana" w:hAnsi="Verdana"/>
          <w:sz w:val="20"/>
          <w:szCs w:val="20"/>
        </w:rPr>
        <w:t xml:space="preserve"> </w:t>
      </w:r>
      <w:r w:rsidR="006C5847" w:rsidRPr="003564A3">
        <w:rPr>
          <w:rFonts w:ascii="Verdana" w:hAnsi="Verdana"/>
          <w:sz w:val="20"/>
          <w:szCs w:val="20"/>
        </w:rPr>
        <w:t xml:space="preserve">y </w:t>
      </w:r>
      <w:r w:rsidR="00B85CF1" w:rsidRPr="003564A3">
        <w:rPr>
          <w:rFonts w:ascii="Verdana" w:hAnsi="Verdana"/>
          <w:sz w:val="20"/>
          <w:szCs w:val="20"/>
        </w:rPr>
        <w:t xml:space="preserve">de </w:t>
      </w:r>
      <w:r w:rsidR="006C5847" w:rsidRPr="003564A3">
        <w:rPr>
          <w:rFonts w:ascii="Verdana" w:hAnsi="Verdana"/>
          <w:sz w:val="20"/>
          <w:szCs w:val="20"/>
        </w:rPr>
        <w:t xml:space="preserve">su grupo familiar </w:t>
      </w:r>
      <w:r w:rsidR="00FA6F1D" w:rsidRPr="003564A3">
        <w:rPr>
          <w:rFonts w:ascii="Verdana" w:hAnsi="Verdana"/>
          <w:sz w:val="20"/>
          <w:szCs w:val="20"/>
        </w:rPr>
        <w:t>(</w:t>
      </w:r>
      <w:r w:rsidR="006C5847" w:rsidRPr="003564A3">
        <w:rPr>
          <w:rFonts w:ascii="Verdana" w:hAnsi="Verdana"/>
          <w:i/>
          <w:sz w:val="20"/>
          <w:szCs w:val="20"/>
        </w:rPr>
        <w:t>supra</w:t>
      </w:r>
      <w:r w:rsidR="006C5847" w:rsidRPr="003564A3">
        <w:rPr>
          <w:rFonts w:ascii="Verdana" w:hAnsi="Verdana"/>
          <w:sz w:val="20"/>
          <w:szCs w:val="20"/>
        </w:rPr>
        <w:t xml:space="preserve"> párr. </w:t>
      </w:r>
      <w:r w:rsidR="00B859E6">
        <w:rPr>
          <w:rFonts w:ascii="Verdana" w:hAnsi="Verdana"/>
          <w:sz w:val="20"/>
          <w:szCs w:val="20"/>
        </w:rPr>
        <w:t>153</w:t>
      </w:r>
      <w:r w:rsidR="00FA6F1D" w:rsidRPr="003564A3">
        <w:rPr>
          <w:rFonts w:ascii="Verdana" w:hAnsi="Verdana"/>
          <w:sz w:val="20"/>
          <w:szCs w:val="20"/>
        </w:rPr>
        <w:t>)</w:t>
      </w:r>
      <w:r w:rsidRPr="003564A3">
        <w:rPr>
          <w:rFonts w:ascii="Verdana" w:hAnsi="Verdana"/>
          <w:sz w:val="20"/>
          <w:szCs w:val="20"/>
        </w:rPr>
        <w:t>.</w:t>
      </w:r>
    </w:p>
    <w:p w14:paraId="64AA60C7" w14:textId="7D04BC51" w:rsidR="00903628" w:rsidRPr="00350979" w:rsidRDefault="00E34BFF">
      <w:pPr>
        <w:pStyle w:val="Heading3"/>
        <w:numPr>
          <w:ilvl w:val="0"/>
          <w:numId w:val="19"/>
        </w:numPr>
        <w:spacing w:before="120" w:after="120"/>
        <w:ind w:left="1560" w:hanging="426"/>
        <w:contextualSpacing w:val="0"/>
        <w:rPr>
          <w:b w:val="0"/>
        </w:rPr>
      </w:pPr>
      <w:bookmarkStart w:id="293" w:name="_Toc522815036"/>
      <w:bookmarkStart w:id="294" w:name="_Toc526774169"/>
      <w:bookmarkStart w:id="295" w:name="_Toc526777503"/>
      <w:bookmarkStart w:id="296" w:name="_Toc526783803"/>
      <w:r>
        <w:rPr>
          <w:b w:val="0"/>
        </w:rPr>
        <w:t xml:space="preserve"> </w:t>
      </w:r>
      <w:bookmarkStart w:id="297" w:name="_Toc532995387"/>
      <w:r w:rsidR="00903628" w:rsidRPr="00350979">
        <w:rPr>
          <w:b w:val="0"/>
        </w:rPr>
        <w:t>Sobre la falta de adopción de normas o implementación de medidas necesarias para ofrecer respuesta inmediata</w:t>
      </w:r>
      <w:bookmarkEnd w:id="293"/>
      <w:r w:rsidR="00305DA9" w:rsidRPr="00350979">
        <w:rPr>
          <w:b w:val="0"/>
        </w:rPr>
        <w:t xml:space="preserve"> (artículo 2</w:t>
      </w:r>
      <w:r w:rsidR="00DC15D5">
        <w:rPr>
          <w:b w:val="0"/>
        </w:rPr>
        <w:t xml:space="preserve"> </w:t>
      </w:r>
      <w:r w:rsidR="001B256F">
        <w:rPr>
          <w:b w:val="0"/>
        </w:rPr>
        <w:t>de la C</w:t>
      </w:r>
      <w:r w:rsidR="00DC15D5">
        <w:rPr>
          <w:b w:val="0"/>
        </w:rPr>
        <w:t>onvenci</w:t>
      </w:r>
      <w:r w:rsidR="001B256F">
        <w:rPr>
          <w:b w:val="0"/>
        </w:rPr>
        <w:t>ón</w:t>
      </w:r>
      <w:r w:rsidR="00305DA9" w:rsidRPr="00350979">
        <w:rPr>
          <w:b w:val="0"/>
        </w:rPr>
        <w:t>)</w:t>
      </w:r>
      <w:bookmarkEnd w:id="294"/>
      <w:bookmarkEnd w:id="295"/>
      <w:bookmarkEnd w:id="296"/>
      <w:bookmarkEnd w:id="297"/>
    </w:p>
    <w:p w14:paraId="64AA60C9" w14:textId="1C9C7D0F" w:rsidR="00201EE6" w:rsidRPr="00813B72" w:rsidRDefault="00903628" w:rsidP="00DB378B">
      <w:pPr>
        <w:widowControl w:val="0"/>
        <w:numPr>
          <w:ilvl w:val="0"/>
          <w:numId w:val="4"/>
        </w:numPr>
        <w:tabs>
          <w:tab w:val="left" w:pos="567"/>
        </w:tabs>
        <w:autoSpaceDE w:val="0"/>
        <w:autoSpaceDN w:val="0"/>
        <w:adjustRightInd w:val="0"/>
        <w:spacing w:before="120" w:after="120" w:line="240" w:lineRule="auto"/>
        <w:ind w:left="0" w:firstLine="0"/>
        <w:jc w:val="both"/>
        <w:textAlignment w:val="baseline"/>
        <w:rPr>
          <w:rFonts w:ascii="Verdana" w:hAnsi="Verdana"/>
          <w:sz w:val="20"/>
          <w:szCs w:val="20"/>
        </w:rPr>
      </w:pPr>
      <w:r w:rsidRPr="00630390">
        <w:rPr>
          <w:rFonts w:ascii="Verdana" w:hAnsi="Verdana"/>
          <w:sz w:val="20"/>
          <w:szCs w:val="20"/>
        </w:rPr>
        <w:t xml:space="preserve">Como ya </w:t>
      </w:r>
      <w:r w:rsidR="00D87D2A">
        <w:rPr>
          <w:rFonts w:ascii="Verdana" w:hAnsi="Verdana"/>
          <w:sz w:val="20"/>
          <w:szCs w:val="20"/>
        </w:rPr>
        <w:t>fue establecido</w:t>
      </w:r>
      <w:r w:rsidRPr="00630390">
        <w:rPr>
          <w:rFonts w:ascii="Verdana" w:hAnsi="Verdana"/>
          <w:sz w:val="20"/>
          <w:szCs w:val="20"/>
        </w:rPr>
        <w:t>, el Estado reconoció que el juicio de amparo promovido por José Ángel Alvarado Fa</w:t>
      </w:r>
      <w:r w:rsidR="00B82930">
        <w:rPr>
          <w:rFonts w:ascii="Verdana" w:hAnsi="Verdana"/>
          <w:sz w:val="20"/>
          <w:szCs w:val="20"/>
        </w:rPr>
        <w:t>b</w:t>
      </w:r>
      <w:r w:rsidRPr="00630390">
        <w:rPr>
          <w:rFonts w:ascii="Verdana" w:hAnsi="Verdana"/>
          <w:sz w:val="20"/>
          <w:szCs w:val="20"/>
        </w:rPr>
        <w:t>ela</w:t>
      </w:r>
      <w:r w:rsidRPr="000D2EDD">
        <w:rPr>
          <w:rFonts w:ascii="Verdana" w:hAnsi="Verdana"/>
          <w:sz w:val="20"/>
          <w:szCs w:val="20"/>
        </w:rPr>
        <w:t xml:space="preserve"> no fue un recurso efectivo dada la forma en que se encontraba legislado, sin embargo aseguró que desde 2013 había realizado los cambios necesarios a la legislación correspondiente y que, en la actualidad, el juicio de amparo contempla debidamente los casos de desaparición forzada. Por su parte, las </w:t>
      </w:r>
      <w:r w:rsidR="006016A2">
        <w:rPr>
          <w:rFonts w:ascii="Verdana" w:hAnsi="Verdana"/>
          <w:sz w:val="20"/>
          <w:szCs w:val="20"/>
        </w:rPr>
        <w:t>r</w:t>
      </w:r>
      <w:r w:rsidRPr="000D2EDD">
        <w:rPr>
          <w:rFonts w:ascii="Verdana" w:hAnsi="Verdana"/>
          <w:sz w:val="20"/>
          <w:szCs w:val="20"/>
        </w:rPr>
        <w:t xml:space="preserve">epresentantes </w:t>
      </w:r>
      <w:r w:rsidRPr="00BA0941">
        <w:rPr>
          <w:rFonts w:ascii="Verdana" w:hAnsi="Verdana"/>
          <w:sz w:val="20"/>
          <w:szCs w:val="20"/>
        </w:rPr>
        <w:t>solicitaron</w:t>
      </w:r>
      <w:r>
        <w:rPr>
          <w:rFonts w:ascii="Verdana" w:hAnsi="Verdana"/>
          <w:sz w:val="20"/>
          <w:szCs w:val="20"/>
        </w:rPr>
        <w:t xml:space="preserve"> que se llevara a cabo una armonización</w:t>
      </w:r>
      <w:r w:rsidRPr="00BA0941">
        <w:rPr>
          <w:rFonts w:ascii="Verdana" w:hAnsi="Verdana"/>
          <w:sz w:val="20"/>
          <w:szCs w:val="20"/>
        </w:rPr>
        <w:t xml:space="preserve"> </w:t>
      </w:r>
      <w:r>
        <w:rPr>
          <w:rFonts w:ascii="Verdana" w:hAnsi="Verdana"/>
          <w:sz w:val="20"/>
          <w:szCs w:val="20"/>
        </w:rPr>
        <w:t xml:space="preserve">de las legislaciones de amparo y desaparición forzada de personas para </w:t>
      </w:r>
      <w:r w:rsidRPr="00BA0941">
        <w:rPr>
          <w:rFonts w:ascii="Verdana" w:hAnsi="Verdana"/>
          <w:sz w:val="20"/>
          <w:szCs w:val="20"/>
        </w:rPr>
        <w:t xml:space="preserve">asegurar </w:t>
      </w:r>
      <w:r w:rsidRPr="00BA0941">
        <w:rPr>
          <w:rFonts w:ascii="Verdana" w:hAnsi="Verdana"/>
          <w:sz w:val="20"/>
          <w:szCs w:val="20"/>
        </w:rPr>
        <w:lastRenderedPageBreak/>
        <w:t xml:space="preserve">que los jueces de </w:t>
      </w:r>
      <w:r w:rsidR="00B859E6">
        <w:rPr>
          <w:rFonts w:ascii="Verdana" w:hAnsi="Verdana"/>
          <w:sz w:val="20"/>
          <w:szCs w:val="20"/>
        </w:rPr>
        <w:t>d</w:t>
      </w:r>
      <w:r w:rsidRPr="00BA0941">
        <w:rPr>
          <w:rFonts w:ascii="Verdana" w:hAnsi="Verdana"/>
          <w:sz w:val="20"/>
          <w:szCs w:val="20"/>
        </w:rPr>
        <w:t>istrito cuenten con recursos para emprender operaciones de búsqueda eficaces</w:t>
      </w:r>
      <w:r>
        <w:rPr>
          <w:rFonts w:ascii="Verdana" w:hAnsi="Verdana"/>
          <w:sz w:val="20"/>
          <w:szCs w:val="20"/>
        </w:rPr>
        <w:t>.</w:t>
      </w:r>
    </w:p>
    <w:p w14:paraId="64AA60CB" w14:textId="7A05F6D4" w:rsidR="00201EE6" w:rsidRPr="00590A16" w:rsidRDefault="00903628" w:rsidP="00DB378B">
      <w:pPr>
        <w:widowControl w:val="0"/>
        <w:numPr>
          <w:ilvl w:val="0"/>
          <w:numId w:val="4"/>
        </w:numPr>
        <w:tabs>
          <w:tab w:val="left" w:pos="567"/>
        </w:tabs>
        <w:autoSpaceDE w:val="0"/>
        <w:autoSpaceDN w:val="0"/>
        <w:adjustRightInd w:val="0"/>
        <w:spacing w:before="120" w:after="120" w:line="240" w:lineRule="auto"/>
        <w:ind w:left="0" w:firstLine="0"/>
        <w:jc w:val="both"/>
        <w:textAlignment w:val="baseline"/>
        <w:rPr>
          <w:rFonts w:ascii="Verdana" w:hAnsi="Verdana"/>
          <w:sz w:val="20"/>
          <w:szCs w:val="20"/>
        </w:rPr>
      </w:pPr>
      <w:r w:rsidRPr="00201EE6">
        <w:rPr>
          <w:rFonts w:ascii="Verdana" w:hAnsi="Verdana"/>
          <w:sz w:val="20"/>
          <w:szCs w:val="20"/>
        </w:rPr>
        <w:t xml:space="preserve">La Corte reitera que el artículo 2 de la Convención establece la obligación general de cada Estado Parte de adecuar su derecho interno a las disposiciones de aquélla, para garantizar los derechos ahí consagrados, lo que implica que las medidas de derecho interno han de ser efectivas (principio del </w:t>
      </w:r>
      <w:r w:rsidRPr="00201EE6">
        <w:rPr>
          <w:rFonts w:ascii="Verdana" w:hAnsi="Verdana"/>
          <w:i/>
          <w:sz w:val="20"/>
          <w:szCs w:val="20"/>
        </w:rPr>
        <w:t>effet utile</w:t>
      </w:r>
      <w:r w:rsidRPr="00201EE6">
        <w:rPr>
          <w:rFonts w:ascii="Verdana" w:hAnsi="Verdana"/>
          <w:sz w:val="20"/>
          <w:szCs w:val="20"/>
        </w:rPr>
        <w:t>)</w:t>
      </w:r>
      <w:r w:rsidRPr="00365047">
        <w:rPr>
          <w:vertAlign w:val="superscript"/>
        </w:rPr>
        <w:footnoteReference w:id="481"/>
      </w:r>
      <w:r w:rsidRPr="00201EE6">
        <w:rPr>
          <w:rFonts w:ascii="Verdana" w:hAnsi="Verdana"/>
          <w:sz w:val="20"/>
          <w:szCs w:val="20"/>
        </w:rPr>
        <w:t xml:space="preserve">. </w:t>
      </w:r>
      <w:r w:rsidRPr="00201EE6">
        <w:rPr>
          <w:rFonts w:ascii="Verdana" w:hAnsi="Verdana"/>
          <w:sz w:val="20"/>
          <w:szCs w:val="16"/>
        </w:rPr>
        <w:t>Partiendo de lo anterior, la Corte ha considerado que los Estados tienen la responsabilidad de establecer los recursos efectivos y las garantías del debido proceso legal ante las autoridades competentes, que amparen a todas las personas bajo su jurisdicción contra actos que violen sus derechos fundamentales</w:t>
      </w:r>
      <w:r w:rsidRPr="00856D62">
        <w:rPr>
          <w:rStyle w:val="FootnoteReference"/>
          <w:rFonts w:ascii="Verdana" w:hAnsi="Verdana"/>
          <w:iCs/>
          <w:sz w:val="20"/>
          <w:szCs w:val="16"/>
        </w:rPr>
        <w:footnoteReference w:id="482"/>
      </w:r>
      <w:r w:rsidRPr="00201EE6">
        <w:rPr>
          <w:rFonts w:ascii="Verdana" w:hAnsi="Verdana" w:cs="Times New Roman"/>
          <w:sz w:val="20"/>
          <w:szCs w:val="16"/>
          <w:lang w:eastAsia="es-MX"/>
        </w:rPr>
        <w:t xml:space="preserve">. </w:t>
      </w:r>
      <w:r w:rsidRPr="00201EE6">
        <w:rPr>
          <w:rFonts w:ascii="Verdana" w:hAnsi="Verdana"/>
          <w:sz w:val="20"/>
          <w:szCs w:val="16"/>
        </w:rPr>
        <w:t>En el caso de la desaparición forzada de personas, el deber de adecuar el derecho interno a las disposiciones de la Convención tiene carácter primordial para la efectiva erradicación de esta práctica</w:t>
      </w:r>
      <w:r w:rsidRPr="00856D62">
        <w:rPr>
          <w:rStyle w:val="FootnoteReference"/>
          <w:rFonts w:ascii="Verdana" w:hAnsi="Verdana"/>
          <w:sz w:val="20"/>
          <w:szCs w:val="16"/>
        </w:rPr>
        <w:footnoteReference w:id="483"/>
      </w:r>
      <w:r w:rsidRPr="00201EE6">
        <w:rPr>
          <w:rFonts w:ascii="Verdana" w:hAnsi="Verdana"/>
          <w:sz w:val="20"/>
          <w:szCs w:val="16"/>
        </w:rPr>
        <w:t xml:space="preserve">. </w:t>
      </w:r>
      <w:r w:rsidRPr="00201EE6">
        <w:rPr>
          <w:rFonts w:ascii="Verdana" w:hAnsi="Verdana"/>
          <w:color w:val="000000"/>
          <w:sz w:val="20"/>
          <w:szCs w:val="16"/>
          <w:lang w:val="es-ES_tradnl"/>
        </w:rPr>
        <w:t xml:space="preserve">La Corte </w:t>
      </w:r>
      <w:r w:rsidRPr="00590A16">
        <w:rPr>
          <w:rFonts w:ascii="Verdana" w:hAnsi="Verdana"/>
          <w:color w:val="000000"/>
          <w:sz w:val="20"/>
          <w:szCs w:val="16"/>
          <w:lang w:val="es-ES_tradnl"/>
        </w:rPr>
        <w:t xml:space="preserve">también recuerda </w:t>
      </w:r>
      <w:r w:rsidRPr="00590A16">
        <w:rPr>
          <w:rFonts w:ascii="Verdana" w:hAnsi="Verdana"/>
          <w:sz w:val="20"/>
          <w:szCs w:val="16"/>
        </w:rPr>
        <w:t xml:space="preserve">que los Estados deben adoptar las medidas necesarias para que el recurso de </w:t>
      </w:r>
      <w:r w:rsidRPr="00590A16">
        <w:rPr>
          <w:rFonts w:ascii="Verdana" w:hAnsi="Verdana"/>
          <w:i/>
          <w:sz w:val="20"/>
          <w:szCs w:val="16"/>
        </w:rPr>
        <w:t>hábeas corpus</w:t>
      </w:r>
      <w:r w:rsidRPr="00590A16">
        <w:rPr>
          <w:vertAlign w:val="superscript"/>
        </w:rPr>
        <w:footnoteReference w:id="484"/>
      </w:r>
      <w:r w:rsidRPr="00590A16">
        <w:rPr>
          <w:rFonts w:ascii="Verdana" w:hAnsi="Verdana"/>
          <w:sz w:val="20"/>
          <w:szCs w:val="16"/>
        </w:rPr>
        <w:t xml:space="preserve"> pueda ser ejercido de manera eficaz en situaciones de desaparición forzada</w:t>
      </w:r>
      <w:r w:rsidRPr="00590A16">
        <w:rPr>
          <w:vertAlign w:val="superscript"/>
        </w:rPr>
        <w:footnoteReference w:id="485"/>
      </w:r>
      <w:r w:rsidRPr="00590A16">
        <w:rPr>
          <w:rFonts w:ascii="Verdana" w:hAnsi="Verdana"/>
          <w:sz w:val="20"/>
          <w:szCs w:val="16"/>
        </w:rPr>
        <w:t xml:space="preserve">.  </w:t>
      </w:r>
    </w:p>
    <w:p w14:paraId="76C60AD4" w14:textId="7E20382C" w:rsidR="005053BD" w:rsidRPr="006E5414" w:rsidRDefault="00903628" w:rsidP="005053BD">
      <w:pPr>
        <w:widowControl w:val="0"/>
        <w:numPr>
          <w:ilvl w:val="0"/>
          <w:numId w:val="4"/>
        </w:numPr>
        <w:tabs>
          <w:tab w:val="left" w:pos="567"/>
        </w:tabs>
        <w:autoSpaceDE w:val="0"/>
        <w:autoSpaceDN w:val="0"/>
        <w:adjustRightInd w:val="0"/>
        <w:spacing w:before="120" w:after="120" w:line="240" w:lineRule="auto"/>
        <w:ind w:left="0" w:firstLine="0"/>
        <w:jc w:val="both"/>
        <w:textAlignment w:val="baseline"/>
        <w:rPr>
          <w:rFonts w:ascii="Verdana" w:hAnsi="Verdana"/>
          <w:sz w:val="20"/>
          <w:szCs w:val="20"/>
        </w:rPr>
      </w:pPr>
      <w:r w:rsidRPr="00590A16">
        <w:rPr>
          <w:rFonts w:ascii="Verdana" w:hAnsi="Verdana"/>
          <w:sz w:val="20"/>
          <w:szCs w:val="16"/>
        </w:rPr>
        <w:t xml:space="preserve">De conformidad con el reconocimiento de responsabilidad, este Tribunal considera que el Estado es responsable internacionalmente por </w:t>
      </w:r>
      <w:r w:rsidR="00305DA9" w:rsidRPr="00590A16">
        <w:rPr>
          <w:rFonts w:ascii="Verdana" w:hAnsi="Verdana"/>
          <w:sz w:val="20"/>
          <w:szCs w:val="16"/>
        </w:rPr>
        <w:t>la violación del artículo</w:t>
      </w:r>
      <w:r w:rsidRPr="00590A16">
        <w:rPr>
          <w:rFonts w:ascii="Verdana" w:hAnsi="Verdana"/>
          <w:sz w:val="20"/>
          <w:szCs w:val="16"/>
        </w:rPr>
        <w:t xml:space="preserve"> </w:t>
      </w:r>
      <w:r w:rsidR="00305DA9" w:rsidRPr="00590A16">
        <w:rPr>
          <w:rFonts w:ascii="Verdana" w:hAnsi="Verdana"/>
          <w:sz w:val="20"/>
          <w:szCs w:val="16"/>
        </w:rPr>
        <w:t xml:space="preserve">2, </w:t>
      </w:r>
      <w:r w:rsidRPr="00590A16">
        <w:rPr>
          <w:rFonts w:ascii="Verdana" w:hAnsi="Verdana"/>
          <w:sz w:val="20"/>
          <w:szCs w:val="16"/>
        </w:rPr>
        <w:t xml:space="preserve">en relación con </w:t>
      </w:r>
      <w:r w:rsidR="00305DA9" w:rsidRPr="00590A16">
        <w:rPr>
          <w:rFonts w:ascii="Verdana" w:hAnsi="Verdana"/>
          <w:sz w:val="20"/>
          <w:szCs w:val="16"/>
        </w:rPr>
        <w:t xml:space="preserve">los </w:t>
      </w:r>
      <w:r w:rsidRPr="00590A16">
        <w:rPr>
          <w:rFonts w:ascii="Verdana" w:hAnsi="Verdana"/>
          <w:sz w:val="20"/>
          <w:szCs w:val="16"/>
        </w:rPr>
        <w:t>artículo</w:t>
      </w:r>
      <w:r w:rsidR="00305DA9" w:rsidRPr="00590A16">
        <w:rPr>
          <w:rFonts w:ascii="Verdana" w:hAnsi="Verdana"/>
          <w:sz w:val="20"/>
          <w:szCs w:val="16"/>
        </w:rPr>
        <w:t>s</w:t>
      </w:r>
      <w:r w:rsidRPr="00590A16">
        <w:rPr>
          <w:rFonts w:ascii="Verdana" w:hAnsi="Verdana"/>
          <w:sz w:val="20"/>
          <w:szCs w:val="16"/>
        </w:rPr>
        <w:t xml:space="preserve"> </w:t>
      </w:r>
      <w:r w:rsidR="00305DA9" w:rsidRPr="00590A16">
        <w:rPr>
          <w:rFonts w:ascii="Verdana" w:hAnsi="Verdana"/>
          <w:sz w:val="20"/>
          <w:szCs w:val="16"/>
        </w:rPr>
        <w:t>8 y 25</w:t>
      </w:r>
      <w:r w:rsidRPr="00590A16">
        <w:rPr>
          <w:rFonts w:ascii="Verdana" w:hAnsi="Verdana"/>
          <w:sz w:val="20"/>
          <w:szCs w:val="16"/>
        </w:rPr>
        <w:t xml:space="preserve"> de la Convención</w:t>
      </w:r>
      <w:r w:rsidR="00305DA9" w:rsidRPr="00590A16">
        <w:rPr>
          <w:rFonts w:ascii="Verdana" w:hAnsi="Verdana"/>
          <w:sz w:val="20"/>
          <w:szCs w:val="16"/>
        </w:rPr>
        <w:t xml:space="preserve">, </w:t>
      </w:r>
      <w:r w:rsidR="006C5847" w:rsidRPr="003564A3">
        <w:rPr>
          <w:rFonts w:ascii="Verdana" w:hAnsi="Verdana"/>
          <w:sz w:val="20"/>
          <w:szCs w:val="16"/>
        </w:rPr>
        <w:t>en perjuicio de las víctimas desaparecidas,</w:t>
      </w:r>
      <w:r w:rsidR="006C5847" w:rsidRPr="00590A16">
        <w:rPr>
          <w:rFonts w:ascii="Verdana" w:hAnsi="Verdana"/>
          <w:sz w:val="20"/>
          <w:szCs w:val="16"/>
        </w:rPr>
        <w:t xml:space="preserve"> </w:t>
      </w:r>
      <w:r w:rsidR="00305DA9" w:rsidRPr="00590A16">
        <w:rPr>
          <w:rFonts w:ascii="Verdana" w:hAnsi="Verdana"/>
          <w:sz w:val="20"/>
          <w:szCs w:val="16"/>
        </w:rPr>
        <w:t>ya que</w:t>
      </w:r>
      <w:r w:rsidRPr="00590A16">
        <w:rPr>
          <w:rFonts w:ascii="Verdana" w:hAnsi="Verdana"/>
          <w:sz w:val="20"/>
          <w:szCs w:val="16"/>
        </w:rPr>
        <w:t xml:space="preserve"> el juicio de amparo al momento de la desaparición no constituía un recurso efectivo en casos de desaparición forzada de personas y no existía una legislación en materia de d</w:t>
      </w:r>
      <w:r w:rsidR="00305DA9" w:rsidRPr="00590A16">
        <w:rPr>
          <w:rFonts w:ascii="Verdana" w:hAnsi="Verdana"/>
          <w:sz w:val="20"/>
          <w:szCs w:val="16"/>
        </w:rPr>
        <w:t>esaparición forzada de personas</w:t>
      </w:r>
      <w:r w:rsidR="006E5414">
        <w:rPr>
          <w:rFonts w:ascii="Verdana" w:hAnsi="Verdana"/>
          <w:sz w:val="20"/>
          <w:szCs w:val="16"/>
        </w:rPr>
        <w:t>.</w:t>
      </w:r>
      <w:r w:rsidR="007A7DCA">
        <w:rPr>
          <w:rFonts w:ascii="Verdana" w:hAnsi="Verdana"/>
          <w:sz w:val="20"/>
          <w:szCs w:val="16"/>
        </w:rPr>
        <w:t xml:space="preserve"> </w:t>
      </w:r>
    </w:p>
    <w:p w14:paraId="64AA60D4" w14:textId="08FC26E0" w:rsidR="001903B5" w:rsidRPr="001903B5" w:rsidRDefault="001903B5" w:rsidP="0057411A">
      <w:pPr>
        <w:pStyle w:val="Heading1"/>
      </w:pPr>
      <w:bookmarkStart w:id="298" w:name="_Toc526774170"/>
      <w:bookmarkStart w:id="299" w:name="_Toc526777504"/>
      <w:bookmarkStart w:id="300" w:name="_Toc526783804"/>
      <w:bookmarkStart w:id="301" w:name="_Toc532995388"/>
      <w:r w:rsidRPr="001903B5">
        <w:t>VII.</w:t>
      </w:r>
      <w:bookmarkEnd w:id="298"/>
      <w:bookmarkEnd w:id="299"/>
      <w:bookmarkEnd w:id="300"/>
      <w:r w:rsidR="00B37F3B">
        <w:t>3</w:t>
      </w:r>
      <w:bookmarkEnd w:id="301"/>
    </w:p>
    <w:p w14:paraId="59FFFD97" w14:textId="10C4B70B" w:rsidR="00135675" w:rsidRPr="00135675" w:rsidRDefault="001903B5" w:rsidP="0057411A">
      <w:pPr>
        <w:pStyle w:val="Heading1"/>
      </w:pPr>
      <w:bookmarkStart w:id="302" w:name="_Toc526774171"/>
      <w:bookmarkStart w:id="303" w:name="_Toc526777505"/>
      <w:bookmarkStart w:id="304" w:name="_Toc526783805"/>
      <w:bookmarkStart w:id="305" w:name="_Toc527561095"/>
      <w:bookmarkStart w:id="306" w:name="_Toc532995389"/>
      <w:r w:rsidRPr="00FD4231">
        <w:t>DERECHOS A LA INTEGRIDAD PERSONAL (ARTÍCULO 5</w:t>
      </w:r>
      <w:r w:rsidR="00416548">
        <w:rPr>
          <w:rStyle w:val="FootnoteReference"/>
        </w:rPr>
        <w:footnoteReference w:id="486"/>
      </w:r>
      <w:r w:rsidRPr="00FD4231">
        <w:t>), DE CIRCULACIÓN Y DE RESIDENCIA (ARTÍCULO 22</w:t>
      </w:r>
      <w:r w:rsidR="00416548">
        <w:rPr>
          <w:rStyle w:val="FootnoteReference"/>
        </w:rPr>
        <w:footnoteReference w:id="487"/>
      </w:r>
      <w:r w:rsidRPr="00FD4231">
        <w:t>), A LA PROTECCIÓN A LA FAMILI</w:t>
      </w:r>
      <w:r w:rsidR="0059159E">
        <w:t>A</w:t>
      </w:r>
      <w:r w:rsidRPr="00FD4231">
        <w:t>, A LA PROTECCIÓN DE LA HONRA Y DE LA DIGNIDAD Y DEL NIÑO (ARTÍCULOS 17</w:t>
      </w:r>
      <w:r w:rsidR="00416548">
        <w:rPr>
          <w:rStyle w:val="FootnoteReference"/>
        </w:rPr>
        <w:footnoteReference w:id="488"/>
      </w:r>
      <w:r w:rsidRPr="00FD4231">
        <w:t>, 11</w:t>
      </w:r>
      <w:r w:rsidR="00416548">
        <w:rPr>
          <w:rStyle w:val="FootnoteReference"/>
        </w:rPr>
        <w:footnoteReference w:id="489"/>
      </w:r>
      <w:r w:rsidRPr="00FD4231">
        <w:t xml:space="preserve"> Y 19</w:t>
      </w:r>
      <w:r w:rsidR="00416548">
        <w:rPr>
          <w:rStyle w:val="FootnoteReference"/>
        </w:rPr>
        <w:footnoteReference w:id="490"/>
      </w:r>
      <w:r w:rsidRPr="00FD4231">
        <w:t xml:space="preserve">) RESPECTO DE LOS FAMILIARES, EN RELACIÓN CON </w:t>
      </w:r>
      <w:r w:rsidR="00192F63">
        <w:t>LOS ARTÍCULOS 1.1</w:t>
      </w:r>
      <w:r w:rsidR="00192F63">
        <w:rPr>
          <w:rStyle w:val="FootnoteReference"/>
        </w:rPr>
        <w:footnoteReference w:id="491"/>
      </w:r>
      <w:r w:rsidRPr="00FD4231">
        <w:t xml:space="preserve"> </w:t>
      </w:r>
      <w:r w:rsidR="00192F63">
        <w:t xml:space="preserve">Y </w:t>
      </w:r>
      <w:r w:rsidRPr="00FD4231">
        <w:t>63.2</w:t>
      </w:r>
      <w:r w:rsidR="00416548">
        <w:rPr>
          <w:rStyle w:val="FootnoteReference"/>
        </w:rPr>
        <w:footnoteReference w:id="492"/>
      </w:r>
      <w:r w:rsidRPr="00FD4231">
        <w:t xml:space="preserve"> DE LA CONVENCIÓN AMERICANA.</w:t>
      </w:r>
      <w:bookmarkEnd w:id="302"/>
      <w:bookmarkEnd w:id="303"/>
      <w:bookmarkEnd w:id="304"/>
      <w:bookmarkEnd w:id="305"/>
      <w:bookmarkEnd w:id="306"/>
    </w:p>
    <w:p w14:paraId="64AA60D8" w14:textId="6A01E125" w:rsidR="001903B5" w:rsidRPr="00813B72" w:rsidRDefault="00556FDB" w:rsidP="001A04CC">
      <w:pPr>
        <w:pStyle w:val="Heading2"/>
        <w:numPr>
          <w:ilvl w:val="0"/>
          <w:numId w:val="41"/>
        </w:numPr>
        <w:spacing w:before="120" w:after="120"/>
      </w:pPr>
      <w:bookmarkStart w:id="307" w:name="_Toc526777506"/>
      <w:bookmarkStart w:id="308" w:name="_Toc526783806"/>
      <w:r>
        <w:lastRenderedPageBreak/>
        <w:t xml:space="preserve"> </w:t>
      </w:r>
      <w:bookmarkStart w:id="309" w:name="_Toc532995390"/>
      <w:r w:rsidR="001903B5" w:rsidRPr="001903B5">
        <w:t>Argumentos de l</w:t>
      </w:r>
      <w:r w:rsidR="00CB7A58">
        <w:t>as partes</w:t>
      </w:r>
      <w:r w:rsidR="001903B5" w:rsidRPr="001903B5">
        <w:t xml:space="preserve"> y de la</w:t>
      </w:r>
      <w:r w:rsidR="00CB7A58">
        <w:t xml:space="preserve"> Comisión</w:t>
      </w:r>
      <w:bookmarkEnd w:id="307"/>
      <w:bookmarkEnd w:id="308"/>
      <w:bookmarkEnd w:id="309"/>
    </w:p>
    <w:p w14:paraId="64AA60DA" w14:textId="7A9F8644" w:rsidR="001903B5" w:rsidRPr="0095417D" w:rsidRDefault="001903B5" w:rsidP="00813B72">
      <w:pPr>
        <w:widowControl w:val="0"/>
        <w:numPr>
          <w:ilvl w:val="0"/>
          <w:numId w:val="4"/>
        </w:numPr>
        <w:tabs>
          <w:tab w:val="left" w:pos="567"/>
        </w:tabs>
        <w:autoSpaceDE w:val="0"/>
        <w:autoSpaceDN w:val="0"/>
        <w:adjustRightInd w:val="0"/>
        <w:spacing w:before="120" w:after="120" w:line="240" w:lineRule="auto"/>
        <w:ind w:left="0" w:firstLine="0"/>
        <w:jc w:val="both"/>
        <w:textAlignment w:val="baseline"/>
        <w:rPr>
          <w:rFonts w:ascii="Verdana" w:hAnsi="Verdana" w:cs="ArialMT"/>
          <w:sz w:val="20"/>
          <w:szCs w:val="20"/>
          <w:lang w:val="es-CR"/>
        </w:rPr>
      </w:pPr>
      <w:r w:rsidRPr="00C96C12">
        <w:rPr>
          <w:rFonts w:ascii="Verdana" w:hAnsi="Verdana" w:cs="ArialMT"/>
          <w:sz w:val="20"/>
          <w:szCs w:val="20"/>
          <w:lang w:val="es-CR"/>
        </w:rPr>
        <w:t>La</w:t>
      </w:r>
      <w:r w:rsidRPr="005F3A8F">
        <w:rPr>
          <w:rFonts w:ascii="Verdana" w:hAnsi="Verdana" w:cs="ArialMT"/>
          <w:b/>
          <w:sz w:val="20"/>
          <w:szCs w:val="20"/>
          <w:lang w:val="es-CR"/>
        </w:rPr>
        <w:t xml:space="preserve"> </w:t>
      </w:r>
      <w:r w:rsidRPr="00305DA9">
        <w:rPr>
          <w:rFonts w:ascii="Verdana" w:hAnsi="Verdana"/>
          <w:b/>
          <w:i/>
          <w:sz w:val="20"/>
          <w:szCs w:val="20"/>
        </w:rPr>
        <w:t>Comisión</w:t>
      </w:r>
      <w:r w:rsidRPr="005F3A8F">
        <w:rPr>
          <w:rFonts w:ascii="Verdana" w:hAnsi="Verdana" w:cs="ArialMT"/>
          <w:b/>
          <w:sz w:val="20"/>
          <w:szCs w:val="20"/>
          <w:lang w:val="es-CR"/>
        </w:rPr>
        <w:t xml:space="preserve">, </w:t>
      </w:r>
      <w:r w:rsidRPr="005F3A8F">
        <w:rPr>
          <w:rFonts w:ascii="Verdana" w:hAnsi="Verdana" w:cs="ArialMT"/>
          <w:sz w:val="20"/>
          <w:szCs w:val="20"/>
          <w:lang w:val="es-CR"/>
        </w:rPr>
        <w:t>con respecto a la alegada violación a la integridad personal producto de la desaparición forzada,</w:t>
      </w:r>
      <w:r w:rsidRPr="005F3A8F">
        <w:rPr>
          <w:rFonts w:ascii="Verdana" w:hAnsi="Verdana" w:cs="ArialMT"/>
          <w:b/>
          <w:sz w:val="20"/>
          <w:szCs w:val="20"/>
          <w:lang w:val="es-CR"/>
        </w:rPr>
        <w:t xml:space="preserve"> </w:t>
      </w:r>
      <w:r w:rsidRPr="00680F19">
        <w:rPr>
          <w:rFonts w:ascii="Verdana" w:hAnsi="Verdana" w:cs="ArialMT"/>
          <w:sz w:val="20"/>
          <w:szCs w:val="20"/>
          <w:lang w:val="es-CR"/>
        </w:rPr>
        <w:t>destacó el profundo sentimiento de dolor, angustia e incertidumbre generado a los familiares por el solo hecho de las tres desapariciones, advirtiendo que el mismo ha sido profundizado por la falta de una investigación efectiva, diligente y en plazo razonable</w:t>
      </w:r>
      <w:r w:rsidRPr="00C77BEE">
        <w:rPr>
          <w:rFonts w:ascii="Verdana" w:hAnsi="Verdana"/>
          <w:sz w:val="20"/>
          <w:szCs w:val="20"/>
        </w:rPr>
        <w:t>.</w:t>
      </w:r>
      <w:r w:rsidRPr="00680F19">
        <w:rPr>
          <w:rFonts w:ascii="Verdana" w:hAnsi="Verdana"/>
          <w:sz w:val="20"/>
          <w:szCs w:val="20"/>
        </w:rPr>
        <w:t xml:space="preserve"> </w:t>
      </w:r>
      <w:r w:rsidRPr="00680F19">
        <w:rPr>
          <w:rFonts w:ascii="Verdana" w:hAnsi="Verdana" w:cs="ArialMT"/>
          <w:sz w:val="20"/>
          <w:szCs w:val="20"/>
          <w:lang w:val="es-CR"/>
        </w:rPr>
        <w:t xml:space="preserve">Asimismo señaló la situación de ansiedad y miedo de los familiares a raíz de las amenazas y hostigamiento sufridos durante la búsqueda de </w:t>
      </w:r>
      <w:r w:rsidR="00DF37D9" w:rsidRPr="00680F19">
        <w:rPr>
          <w:rFonts w:ascii="Verdana" w:hAnsi="Verdana" w:cs="ArialMT"/>
          <w:sz w:val="20"/>
          <w:szCs w:val="20"/>
          <w:lang w:val="es-CR"/>
        </w:rPr>
        <w:t>justicia</w:t>
      </w:r>
      <w:r w:rsidRPr="00680F19">
        <w:rPr>
          <w:rFonts w:ascii="Verdana" w:hAnsi="Verdana" w:cs="ArialMT"/>
          <w:sz w:val="20"/>
          <w:szCs w:val="20"/>
          <w:lang w:val="es-CR"/>
        </w:rPr>
        <w:t xml:space="preserve"> y </w:t>
      </w:r>
      <w:r w:rsidRPr="00680F19">
        <w:rPr>
          <w:rFonts w:ascii="Verdana" w:hAnsi="Verdana"/>
          <w:sz w:val="20"/>
          <w:szCs w:val="20"/>
        </w:rPr>
        <w:t>que dichas circunstancias los han mantenido expuestos a una situación de temor y zozobra incompatible con su integridad personal. Al respecto, destacó la llamada telefónica intimidatoria que recibió el padre de José Ángel Alvarado en la que además de amenazarlo de muerte a él y a su familia lo interpelaron a que en el transcurso de 12 horas abandonara la casa y la ciudad</w:t>
      </w:r>
      <w:r w:rsidR="00707C61">
        <w:rPr>
          <w:rFonts w:ascii="Verdana" w:hAnsi="Verdana" w:cs="ArialMT"/>
          <w:sz w:val="20"/>
          <w:szCs w:val="20"/>
          <w:lang w:val="es-CR"/>
        </w:rPr>
        <w:t>.</w:t>
      </w:r>
      <w:r w:rsidRPr="00680F19">
        <w:rPr>
          <w:rFonts w:ascii="Verdana" w:hAnsi="Verdana" w:cs="ArialMT"/>
          <w:sz w:val="20"/>
          <w:szCs w:val="20"/>
          <w:lang w:val="es-CR"/>
        </w:rPr>
        <w:t xml:space="preserve"> </w:t>
      </w:r>
      <w:r w:rsidRPr="00680F19">
        <w:rPr>
          <w:rFonts w:ascii="Verdana" w:hAnsi="Verdana"/>
          <w:sz w:val="20"/>
          <w:szCs w:val="20"/>
        </w:rPr>
        <w:t>En ese sentido también señaló</w:t>
      </w:r>
      <w:r w:rsidRPr="00680F19">
        <w:rPr>
          <w:rFonts w:ascii="Verdana" w:hAnsi="Verdana"/>
          <w:b/>
          <w:sz w:val="20"/>
          <w:szCs w:val="20"/>
        </w:rPr>
        <w:t xml:space="preserve"> </w:t>
      </w:r>
      <w:r w:rsidRPr="00680F19">
        <w:rPr>
          <w:rFonts w:ascii="Verdana" w:hAnsi="Verdana"/>
          <w:sz w:val="20"/>
          <w:szCs w:val="20"/>
        </w:rPr>
        <w:t>el violento allanamiento de la casa de un miembro de la familia, Jaime Alvarado, agregando que en esa oportunidad recibió amenazas, a través de un mensaje atemorizante encontrado en dicho domicilio, en el que se le indicó que atentarían contra la vida de él y de su familia, los cuales, a su criterio, guardan razonable relación de causalidad con los hechos del presente caso</w:t>
      </w:r>
      <w:r w:rsidR="00C77BEE">
        <w:rPr>
          <w:rFonts w:ascii="Verdana" w:hAnsi="Verdana"/>
          <w:sz w:val="20"/>
          <w:szCs w:val="20"/>
        </w:rPr>
        <w:t xml:space="preserve">. </w:t>
      </w:r>
      <w:r w:rsidRPr="00680F19">
        <w:rPr>
          <w:rFonts w:ascii="Verdana" w:hAnsi="Verdana"/>
          <w:sz w:val="20"/>
          <w:szCs w:val="20"/>
        </w:rPr>
        <w:t xml:space="preserve">Señaló además que los miembros del grupo familiar se vieron obligados a tolerar injerencias arbitrarias en su vida personal, siendo varios de ellos </w:t>
      </w:r>
      <w:r w:rsidR="00C77BEE">
        <w:rPr>
          <w:rFonts w:ascii="Verdana" w:hAnsi="Verdana"/>
          <w:sz w:val="20"/>
          <w:szCs w:val="20"/>
        </w:rPr>
        <w:t>−</w:t>
      </w:r>
      <w:r w:rsidRPr="00680F19">
        <w:rPr>
          <w:rFonts w:ascii="Verdana" w:hAnsi="Verdana"/>
          <w:sz w:val="20"/>
          <w:szCs w:val="20"/>
        </w:rPr>
        <w:t>al momento de los hechos</w:t>
      </w:r>
      <w:r w:rsidR="00C77BEE">
        <w:rPr>
          <w:rFonts w:ascii="Verdana" w:hAnsi="Verdana"/>
          <w:sz w:val="20"/>
          <w:szCs w:val="20"/>
        </w:rPr>
        <w:t>−</w:t>
      </w:r>
      <w:r w:rsidRPr="00680F19">
        <w:rPr>
          <w:rFonts w:ascii="Verdana" w:hAnsi="Verdana"/>
          <w:sz w:val="20"/>
          <w:szCs w:val="20"/>
        </w:rPr>
        <w:t xml:space="preserve"> niños, respecto de quienes aclaró que el Estado tiene un deber de especial protección</w:t>
      </w:r>
      <w:r w:rsidR="00707C61">
        <w:rPr>
          <w:rFonts w:ascii="Verdana" w:hAnsi="Verdana"/>
          <w:sz w:val="20"/>
          <w:szCs w:val="20"/>
        </w:rPr>
        <w:t>,</w:t>
      </w:r>
      <w:r w:rsidRPr="00680F19">
        <w:rPr>
          <w:rFonts w:ascii="Verdana" w:hAnsi="Verdana"/>
          <w:sz w:val="20"/>
          <w:szCs w:val="20"/>
        </w:rPr>
        <w:t xml:space="preserve"> que ha sido incumplido en este caso, no sólo desde el momento de la desaparición, teniendo en cuenta que en el caso de Rocío Irene Alvarado Reyes, en esa oportunidad se encontraban presentes su hija y sus hermanos menores, sino también con posterioridad, como consecuencia de la falta de respuesta ante las amenazas recibidas, y que estas amenazas recibidas han impactado en sus relaciones sociales y laborales generando consecuencias irreparables en la dinámica familiar, obligándolos a desplazarse internamente y, en algunos casos, a huir hacia Estados Unidos. Al respecto destacó que específicamente el padre de José Ángel Alvarado Herrera decidió huir conjuntamente con 21 miembros de su familia, encontrándose 12 miembros de la familia en Benito Juárez y 10 en Ciudad Juárez. Asimismo 11 familiares de Nitza Paola Alvarado Espinoza huyeron hacia Estados Unidos donde actualmente residen, y finalmente 6 familiares de Rocío Irene Alvarado Reyes se desplazaron a Benito Juárez, ocasionando además de la separación de sus familias, un desarraigo social y cultural</w:t>
      </w:r>
      <w:r w:rsidRPr="00C77BEE">
        <w:rPr>
          <w:rFonts w:ascii="Verdana" w:hAnsi="Verdana"/>
          <w:sz w:val="20"/>
          <w:szCs w:val="20"/>
        </w:rPr>
        <w:t>.</w:t>
      </w:r>
      <w:r w:rsidRPr="00680F19">
        <w:rPr>
          <w:rFonts w:ascii="Verdana" w:hAnsi="Verdana"/>
          <w:sz w:val="20"/>
          <w:szCs w:val="20"/>
        </w:rPr>
        <w:t xml:space="preserve"> En virtud de lo anterior, la Comisión declaró  la violación de los artículos 5, 11, 17, 19 y 22 de la Convención Americana. </w:t>
      </w:r>
    </w:p>
    <w:p w14:paraId="64AA60DC" w14:textId="13B27C0C" w:rsidR="001903B5" w:rsidRPr="0095417D" w:rsidRDefault="001903B5" w:rsidP="00813B72">
      <w:pPr>
        <w:widowControl w:val="0"/>
        <w:numPr>
          <w:ilvl w:val="0"/>
          <w:numId w:val="4"/>
        </w:numPr>
        <w:tabs>
          <w:tab w:val="left" w:pos="567"/>
        </w:tabs>
        <w:autoSpaceDE w:val="0"/>
        <w:autoSpaceDN w:val="0"/>
        <w:adjustRightInd w:val="0"/>
        <w:spacing w:before="120" w:after="120" w:line="240" w:lineRule="auto"/>
        <w:ind w:left="0" w:firstLine="0"/>
        <w:jc w:val="both"/>
        <w:textAlignment w:val="baseline"/>
        <w:rPr>
          <w:rFonts w:ascii="Verdana" w:hAnsi="Verdana" w:cs="ArialMT"/>
          <w:sz w:val="20"/>
          <w:szCs w:val="20"/>
          <w:lang w:val="es-CR"/>
        </w:rPr>
      </w:pPr>
      <w:r w:rsidRPr="001903B5">
        <w:rPr>
          <w:rFonts w:ascii="Verdana" w:hAnsi="Verdana"/>
          <w:sz w:val="20"/>
          <w:szCs w:val="20"/>
        </w:rPr>
        <w:t>L</w:t>
      </w:r>
      <w:r w:rsidR="00C96C12">
        <w:rPr>
          <w:rFonts w:ascii="Verdana" w:hAnsi="Verdana"/>
          <w:sz w:val="20"/>
          <w:szCs w:val="20"/>
        </w:rPr>
        <w:t>a</w:t>
      </w:r>
      <w:r w:rsidRPr="001903B5">
        <w:rPr>
          <w:rFonts w:ascii="Verdana" w:hAnsi="Verdana"/>
          <w:sz w:val="20"/>
          <w:szCs w:val="20"/>
        </w:rPr>
        <w:t xml:space="preserve">s </w:t>
      </w:r>
      <w:r w:rsidRPr="001903B5">
        <w:rPr>
          <w:rFonts w:ascii="Verdana" w:hAnsi="Verdana"/>
          <w:b/>
          <w:i/>
          <w:sz w:val="20"/>
          <w:szCs w:val="20"/>
        </w:rPr>
        <w:t>Representantes</w:t>
      </w:r>
      <w:r w:rsidRPr="001903B5">
        <w:rPr>
          <w:rFonts w:ascii="Verdana" w:hAnsi="Verdana"/>
          <w:sz w:val="20"/>
          <w:szCs w:val="20"/>
        </w:rPr>
        <w:t xml:space="preserve"> coincidieron con la Comisión y enfatizaron en el profundo dolor sufrido por los familiares en relación a la</w:t>
      </w:r>
      <w:r w:rsidR="00C77BEE">
        <w:rPr>
          <w:rFonts w:ascii="Verdana" w:hAnsi="Verdana"/>
          <w:sz w:val="20"/>
          <w:szCs w:val="20"/>
        </w:rPr>
        <w:t>s</w:t>
      </w:r>
      <w:r w:rsidRPr="001903B5">
        <w:rPr>
          <w:rFonts w:ascii="Verdana" w:hAnsi="Verdana"/>
          <w:sz w:val="20"/>
          <w:szCs w:val="20"/>
        </w:rPr>
        <w:t xml:space="preserve"> desaparic</w:t>
      </w:r>
      <w:r w:rsidR="00C77BEE">
        <w:rPr>
          <w:rFonts w:ascii="Verdana" w:hAnsi="Verdana"/>
          <w:sz w:val="20"/>
          <w:szCs w:val="20"/>
        </w:rPr>
        <w:t>iones</w:t>
      </w:r>
      <w:r w:rsidRPr="001903B5">
        <w:rPr>
          <w:rFonts w:ascii="Verdana" w:hAnsi="Verdana"/>
          <w:sz w:val="20"/>
          <w:szCs w:val="20"/>
        </w:rPr>
        <w:t xml:space="preserve"> forzada</w:t>
      </w:r>
      <w:r w:rsidR="00C77BEE">
        <w:rPr>
          <w:rFonts w:ascii="Verdana" w:hAnsi="Verdana"/>
          <w:sz w:val="20"/>
          <w:szCs w:val="20"/>
        </w:rPr>
        <w:t>s</w:t>
      </w:r>
      <w:r w:rsidRPr="001903B5">
        <w:rPr>
          <w:rFonts w:ascii="Verdana" w:hAnsi="Verdana"/>
          <w:sz w:val="20"/>
          <w:szCs w:val="20"/>
        </w:rPr>
        <w:t xml:space="preserve">, sumado al impacto que soportaron </w:t>
      </w:r>
      <w:r w:rsidR="00707C61">
        <w:rPr>
          <w:rFonts w:ascii="Verdana" w:hAnsi="Verdana"/>
          <w:sz w:val="20"/>
          <w:szCs w:val="20"/>
        </w:rPr>
        <w:t>e</w:t>
      </w:r>
      <w:r w:rsidRPr="001903B5">
        <w:rPr>
          <w:rFonts w:ascii="Verdana" w:hAnsi="Verdana"/>
          <w:sz w:val="20"/>
          <w:szCs w:val="20"/>
        </w:rPr>
        <w:t xml:space="preserve">l haber presenciado situaciones violentas al momento de la detención, </w:t>
      </w:r>
      <w:r w:rsidR="00707C61">
        <w:rPr>
          <w:rFonts w:ascii="Verdana" w:hAnsi="Verdana"/>
          <w:sz w:val="20"/>
          <w:szCs w:val="20"/>
        </w:rPr>
        <w:t>así como</w:t>
      </w:r>
      <w:r w:rsidRPr="001903B5">
        <w:rPr>
          <w:rFonts w:ascii="Verdana" w:hAnsi="Verdana"/>
          <w:sz w:val="20"/>
          <w:szCs w:val="20"/>
        </w:rPr>
        <w:t xml:space="preserve"> también las consecuencias directas que repercutieron en su estado de salud al enterarse de la noticia, y la afectación social que padecieron, pues ante la comunidad del Ejido Benito Juárez quedó expuesta su vulnerabilidad como población ante los actos arbitrarios perpetrados. Asimismo, hicieron hincapié en el allanamiento de la vivienda de Jaime Alvarado ocurrido el día 28 de agosto 2011, sumado a la afectación física en su caso particular a raíz del atentado sufrido, y el hallazgo de la nota intimidatoria</w:t>
      </w:r>
      <w:r w:rsidRPr="008D0846">
        <w:rPr>
          <w:rFonts w:ascii="Verdana" w:hAnsi="Verdana"/>
          <w:sz w:val="20"/>
          <w:szCs w:val="20"/>
        </w:rPr>
        <w:t>.</w:t>
      </w:r>
      <w:r w:rsidRPr="001903B5">
        <w:rPr>
          <w:rFonts w:ascii="Verdana" w:hAnsi="Verdana"/>
          <w:b/>
          <w:sz w:val="20"/>
          <w:szCs w:val="20"/>
        </w:rPr>
        <w:t xml:space="preserve"> </w:t>
      </w:r>
      <w:r w:rsidRPr="001903B5">
        <w:rPr>
          <w:rFonts w:ascii="Verdana" w:hAnsi="Verdana"/>
          <w:sz w:val="20"/>
          <w:szCs w:val="20"/>
        </w:rPr>
        <w:t>Asimismo, destacaron</w:t>
      </w:r>
      <w:r w:rsidRPr="001903B5">
        <w:rPr>
          <w:rFonts w:ascii="Verdana" w:hAnsi="Verdana"/>
          <w:b/>
          <w:sz w:val="20"/>
          <w:szCs w:val="20"/>
        </w:rPr>
        <w:t xml:space="preserve"> </w:t>
      </w:r>
      <w:r w:rsidRPr="001903B5">
        <w:rPr>
          <w:rFonts w:ascii="Verdana" w:hAnsi="Verdana"/>
          <w:sz w:val="20"/>
          <w:szCs w:val="20"/>
        </w:rPr>
        <w:t>especialmente que en ese momento el grupo familiar ya era beneficiario de Medidas Provisionales dictadas por esta Corte, advirtiendo el impacto negativo de las tres desapariciones forzadas, la desprotección estatal ante las amenazas sufridas y la falta de investigación de éstas, y su necesidad de desplazarse de manera forzada</w:t>
      </w:r>
      <w:r w:rsidRPr="008D0846">
        <w:rPr>
          <w:rStyle w:val="CommentReference"/>
          <w:rFonts w:ascii="Verdana" w:hAnsi="Verdana"/>
          <w:sz w:val="20"/>
          <w:szCs w:val="20"/>
        </w:rPr>
        <w:t>.</w:t>
      </w:r>
      <w:r w:rsidRPr="00680F19">
        <w:rPr>
          <w:rStyle w:val="CommentReference"/>
        </w:rPr>
        <w:t xml:space="preserve"> </w:t>
      </w:r>
      <w:r w:rsidRPr="001903B5">
        <w:rPr>
          <w:rFonts w:ascii="Verdana" w:hAnsi="Verdana"/>
          <w:sz w:val="20"/>
          <w:szCs w:val="20"/>
        </w:rPr>
        <w:t xml:space="preserve">Puntualizaron que, si bien los tres núcleos familiares tenían niños y niñas al momento de los hechos, y la mayoría tuvo que desplazarse, el caso más evidente de desprotección y separación familiar fue el de las hijas de Nitza, quienes al no contar con ninguno de sus padres en los momentos de desplazamiento forzado, de la búsqueda de su madre y de solicitud de asilo en Estados Unidos, tuvieron que desplazarse forzadamente solo con su abuela y años después fueron detenidas por autoridades migratorias por ser niñas no acompañadas, resultando esta violación y falta de atención especialmente grave en razón de su condición de </w:t>
      </w:r>
      <w:r w:rsidRPr="001903B5">
        <w:rPr>
          <w:rFonts w:ascii="Verdana" w:hAnsi="Verdana"/>
          <w:sz w:val="20"/>
          <w:szCs w:val="20"/>
        </w:rPr>
        <w:lastRenderedPageBreak/>
        <w:t>niñas. En conclusión requirieron que se declare la violación de los mismos artículos señalados por la Comisión.</w:t>
      </w:r>
    </w:p>
    <w:p w14:paraId="64AA60DE" w14:textId="27965836" w:rsidR="001903B5" w:rsidRPr="0095417D" w:rsidRDefault="001903B5" w:rsidP="0095417D">
      <w:pPr>
        <w:widowControl w:val="0"/>
        <w:numPr>
          <w:ilvl w:val="0"/>
          <w:numId w:val="4"/>
        </w:numPr>
        <w:tabs>
          <w:tab w:val="left" w:pos="567"/>
        </w:tabs>
        <w:autoSpaceDE w:val="0"/>
        <w:autoSpaceDN w:val="0"/>
        <w:adjustRightInd w:val="0"/>
        <w:spacing w:before="120" w:after="120" w:line="240" w:lineRule="auto"/>
        <w:ind w:left="0" w:firstLine="0"/>
        <w:jc w:val="both"/>
        <w:textAlignment w:val="baseline"/>
        <w:rPr>
          <w:rFonts w:ascii="Verdana" w:hAnsi="Verdana" w:cs="ArialMT"/>
          <w:sz w:val="20"/>
          <w:szCs w:val="20"/>
          <w:lang w:val="es-CR"/>
        </w:rPr>
      </w:pPr>
      <w:r w:rsidRPr="00C96C12">
        <w:rPr>
          <w:rFonts w:ascii="Verdana" w:hAnsi="Verdana" w:cs="ArialMT"/>
          <w:sz w:val="20"/>
          <w:szCs w:val="20"/>
          <w:lang w:val="es-CR"/>
        </w:rPr>
        <w:t>El</w:t>
      </w:r>
      <w:r w:rsidRPr="001903B5">
        <w:rPr>
          <w:rFonts w:ascii="Verdana" w:hAnsi="Verdana" w:cs="ArialMT"/>
          <w:b/>
          <w:sz w:val="20"/>
          <w:szCs w:val="20"/>
          <w:lang w:val="es-CR"/>
        </w:rPr>
        <w:t xml:space="preserve"> </w:t>
      </w:r>
      <w:r w:rsidRPr="00305DA9">
        <w:rPr>
          <w:rFonts w:ascii="Verdana" w:hAnsi="Verdana" w:cs="ArialMT"/>
          <w:b/>
          <w:i/>
          <w:sz w:val="20"/>
          <w:szCs w:val="20"/>
          <w:lang w:val="es-CR"/>
        </w:rPr>
        <w:t>Estado</w:t>
      </w:r>
      <w:r w:rsidRPr="001903B5">
        <w:rPr>
          <w:rFonts w:ascii="Verdana" w:hAnsi="Verdana" w:cs="ArialMT"/>
          <w:b/>
          <w:sz w:val="20"/>
          <w:szCs w:val="20"/>
          <w:lang w:val="es-CR"/>
        </w:rPr>
        <w:t xml:space="preserve"> </w:t>
      </w:r>
      <w:r w:rsidRPr="001903B5">
        <w:rPr>
          <w:rFonts w:ascii="Verdana" w:hAnsi="Verdana" w:cs="ArialMT"/>
          <w:sz w:val="20"/>
          <w:szCs w:val="20"/>
          <w:lang w:val="es-CR"/>
        </w:rPr>
        <w:t>sostuvo que no hubo afectación alguna a la integridad personal</w:t>
      </w:r>
      <w:r w:rsidR="00C77BEE">
        <w:rPr>
          <w:rFonts w:ascii="Verdana" w:hAnsi="Verdana" w:cs="ArialMT"/>
          <w:sz w:val="20"/>
          <w:szCs w:val="20"/>
          <w:lang w:val="es-CR"/>
        </w:rPr>
        <w:t>,</w:t>
      </w:r>
      <w:r w:rsidRPr="001903B5">
        <w:rPr>
          <w:rFonts w:ascii="Verdana" w:hAnsi="Verdana" w:cs="ArialMT"/>
          <w:sz w:val="20"/>
          <w:szCs w:val="20"/>
          <w:lang w:val="es-CR"/>
        </w:rPr>
        <w:t xml:space="preserve"> ya que su respuesta respecto de los hechos invocados estuvo de acuerdo a las obligaciones convencionales asumidas internacionalmente</w:t>
      </w:r>
      <w:r w:rsidR="00CC61EB">
        <w:rPr>
          <w:rFonts w:ascii="Verdana" w:hAnsi="Verdana" w:cs="ArialMT"/>
          <w:sz w:val="20"/>
          <w:szCs w:val="20"/>
          <w:lang w:val="es-CR"/>
        </w:rPr>
        <w:t xml:space="preserve">. </w:t>
      </w:r>
      <w:r w:rsidRPr="001903B5">
        <w:rPr>
          <w:rFonts w:ascii="Verdana" w:hAnsi="Verdana"/>
          <w:sz w:val="20"/>
          <w:szCs w:val="20"/>
        </w:rPr>
        <w:t>Señaló además que varios de los hechos caracterizados como amenazas no pueden ser catalogados como tal ya que constituyeron actuaciones estatales justificadas y apegadas a la legislación mexicana, entre las cuales se incluyeron citatorios, presencia de agentes estatales y solicitudes de información. Particularmente destacó</w:t>
      </w:r>
      <w:r w:rsidR="0083364B">
        <w:rPr>
          <w:rFonts w:ascii="Verdana" w:hAnsi="Verdana"/>
          <w:sz w:val="20"/>
          <w:szCs w:val="20"/>
        </w:rPr>
        <w:t xml:space="preserve"> que</w:t>
      </w:r>
      <w:r w:rsidRPr="001903B5">
        <w:rPr>
          <w:rFonts w:ascii="Verdana" w:hAnsi="Verdana"/>
          <w:sz w:val="20"/>
          <w:szCs w:val="20"/>
        </w:rPr>
        <w:t xml:space="preserve"> con relación a las amenazas y actos de hostigamiento</w:t>
      </w:r>
      <w:r w:rsidR="0083364B">
        <w:rPr>
          <w:rFonts w:ascii="Verdana" w:hAnsi="Verdana"/>
          <w:sz w:val="20"/>
          <w:szCs w:val="20"/>
        </w:rPr>
        <w:t>,</w:t>
      </w:r>
      <w:r w:rsidRPr="001903B5">
        <w:rPr>
          <w:rFonts w:ascii="Verdana" w:hAnsi="Verdana"/>
          <w:sz w:val="20"/>
          <w:szCs w:val="20"/>
        </w:rPr>
        <w:t xml:space="preserve"> que la fuente de riesgo ha provenido siempre del crimen organizado. Por otro lado, tras reconocer otras situaciones legítimas de riesgo reportadas por los familiares de las personas desaparecidas, destacó haber implementado medidas de protección a fin de garantizar la seguridad de las personas individualizadas. Asimismo señaló que continúa llevando a cabo las investigaciones conducentes, aclarando que con relación al asesinato de Fabián Alvarado Herrera, ocurrido el 6 de febrero de este año, las investigaciones han sido impulsadas de manera diligente</w:t>
      </w:r>
      <w:r w:rsidRPr="008D0846">
        <w:rPr>
          <w:rFonts w:ascii="Verdana" w:hAnsi="Verdana"/>
          <w:sz w:val="20"/>
          <w:szCs w:val="20"/>
        </w:rPr>
        <w:t>,</w:t>
      </w:r>
      <w:r w:rsidRPr="001903B5">
        <w:rPr>
          <w:rFonts w:ascii="Verdana" w:hAnsi="Verdana"/>
          <w:b/>
          <w:sz w:val="20"/>
          <w:szCs w:val="20"/>
        </w:rPr>
        <w:t xml:space="preserve"> </w:t>
      </w:r>
      <w:r w:rsidRPr="001903B5">
        <w:rPr>
          <w:rFonts w:ascii="Verdana" w:hAnsi="Verdana"/>
          <w:sz w:val="20"/>
          <w:szCs w:val="20"/>
        </w:rPr>
        <w:t>como así también que en cuanto al procedimiento de medidas provisionales, ha establecido un Plan de Búsqueda para lograr la localización con vida o sin vida de las personas desaparecidas.</w:t>
      </w:r>
      <w:r w:rsidRPr="001903B5">
        <w:rPr>
          <w:rFonts w:ascii="Verdana" w:hAnsi="Verdana"/>
          <w:b/>
          <w:sz w:val="20"/>
          <w:szCs w:val="20"/>
        </w:rPr>
        <w:t xml:space="preserve"> </w:t>
      </w:r>
      <w:r w:rsidRPr="001903B5">
        <w:rPr>
          <w:rFonts w:ascii="Verdana" w:hAnsi="Verdana"/>
          <w:sz w:val="20"/>
          <w:szCs w:val="20"/>
        </w:rPr>
        <w:t>Adicionalmente sostuvo que las violaciones conexas alegadas no pueden ser atribuidas a agentes del Estado, que realmente no existió una amenaza real o inminente que condicionara la decisión de los familiares de trasladarse internamente y a territorio extranjero y que ello fue decisión de éstos. Respecto de los derechos de protección de los menores, indicó que se implementaron diversas medidas acordes a las necesidades de los menores miembros de la familia, ofreciendo y otorgando vivienda en algunos casos, e incorporación al Seguro Popular para algunos miembros</w:t>
      </w:r>
      <w:r w:rsidRPr="008D0846">
        <w:rPr>
          <w:rFonts w:ascii="Verdana" w:hAnsi="Verdana"/>
          <w:sz w:val="20"/>
          <w:szCs w:val="20"/>
        </w:rPr>
        <w:t>.</w:t>
      </w:r>
      <w:r w:rsidRPr="001903B5">
        <w:rPr>
          <w:rFonts w:ascii="Verdana" w:hAnsi="Verdana"/>
          <w:b/>
          <w:sz w:val="20"/>
          <w:szCs w:val="20"/>
        </w:rPr>
        <w:t xml:space="preserve"> </w:t>
      </w:r>
      <w:r w:rsidRPr="001903B5">
        <w:rPr>
          <w:rFonts w:ascii="Verdana" w:hAnsi="Verdana"/>
          <w:sz w:val="20"/>
          <w:szCs w:val="20"/>
        </w:rPr>
        <w:t>Finalmente alegó haberse abocado a investigar diligentemente los hechos denunciados afirmando</w:t>
      </w:r>
      <w:r w:rsidRPr="001903B5">
        <w:rPr>
          <w:rFonts w:ascii="Verdana" w:eastAsia="Calibri" w:hAnsi="Verdana"/>
          <w:bCs/>
          <w:sz w:val="20"/>
          <w:szCs w:val="20"/>
        </w:rPr>
        <w:t xml:space="preserve"> que la decisión de cambiar su lugar de residencia fue personal, consensuada y convenida, adoptándose en su caso las medidas de protección requeridas por los interesados.</w:t>
      </w:r>
      <w:r w:rsidRPr="001903B5">
        <w:rPr>
          <w:rFonts w:ascii="Verdana" w:hAnsi="Verdana"/>
          <w:sz w:val="20"/>
          <w:szCs w:val="20"/>
        </w:rPr>
        <w:t xml:space="preserve"> </w:t>
      </w:r>
    </w:p>
    <w:p w14:paraId="64AA60E0" w14:textId="318C68C6" w:rsidR="001903B5" w:rsidRPr="0095417D" w:rsidRDefault="00556FDB" w:rsidP="001A04CC">
      <w:pPr>
        <w:pStyle w:val="Heading2"/>
        <w:numPr>
          <w:ilvl w:val="0"/>
          <w:numId w:val="41"/>
        </w:numPr>
        <w:spacing w:before="120" w:after="120"/>
      </w:pPr>
      <w:bookmarkStart w:id="310" w:name="_Toc526777507"/>
      <w:bookmarkStart w:id="311" w:name="_Toc526783807"/>
      <w:r>
        <w:t xml:space="preserve"> </w:t>
      </w:r>
      <w:bookmarkStart w:id="312" w:name="_Toc532995391"/>
      <w:r w:rsidR="001903B5" w:rsidRPr="00F27214">
        <w:t>Consideraciones de la Corte</w:t>
      </w:r>
      <w:bookmarkEnd w:id="310"/>
      <w:bookmarkEnd w:id="311"/>
      <w:bookmarkEnd w:id="312"/>
      <w:r w:rsidR="001903B5" w:rsidRPr="00F27214">
        <w:t xml:space="preserve"> </w:t>
      </w:r>
    </w:p>
    <w:p w14:paraId="64AA60E2" w14:textId="4DC2DD51" w:rsidR="001903B5" w:rsidRPr="00350979" w:rsidRDefault="00942F34" w:rsidP="00660FDA">
      <w:pPr>
        <w:pStyle w:val="Heading3"/>
        <w:numPr>
          <w:ilvl w:val="0"/>
          <w:numId w:val="37"/>
        </w:numPr>
        <w:spacing w:before="120" w:after="120"/>
        <w:ind w:left="1560" w:hanging="426"/>
        <w:contextualSpacing w:val="0"/>
        <w:rPr>
          <w:b w:val="0"/>
        </w:rPr>
      </w:pPr>
      <w:bookmarkStart w:id="313" w:name="_Toc526783808"/>
      <w:r>
        <w:rPr>
          <w:b w:val="0"/>
        </w:rPr>
        <w:t xml:space="preserve"> </w:t>
      </w:r>
      <w:bookmarkStart w:id="314" w:name="_Toc532995392"/>
      <w:r w:rsidR="00DC15D5">
        <w:rPr>
          <w:b w:val="0"/>
        </w:rPr>
        <w:t>Respecto del</w:t>
      </w:r>
      <w:r w:rsidR="001903B5" w:rsidRPr="00350979">
        <w:rPr>
          <w:b w:val="0"/>
        </w:rPr>
        <w:t xml:space="preserve"> Artículo 5</w:t>
      </w:r>
      <w:r w:rsidR="00C77BEE">
        <w:rPr>
          <w:b w:val="0"/>
        </w:rPr>
        <w:t xml:space="preserve">, </w:t>
      </w:r>
      <w:r w:rsidR="001903B5" w:rsidRPr="00350979">
        <w:rPr>
          <w:b w:val="0"/>
        </w:rPr>
        <w:t>en relación con la desaparición forzada.</w:t>
      </w:r>
      <w:bookmarkEnd w:id="313"/>
      <w:bookmarkEnd w:id="314"/>
    </w:p>
    <w:p w14:paraId="64AA60E4" w14:textId="78F53872" w:rsidR="001903B5" w:rsidRPr="0095417D" w:rsidRDefault="001903B5" w:rsidP="00813B72">
      <w:pPr>
        <w:widowControl w:val="0"/>
        <w:numPr>
          <w:ilvl w:val="0"/>
          <w:numId w:val="4"/>
        </w:numPr>
        <w:tabs>
          <w:tab w:val="left" w:pos="567"/>
        </w:tabs>
        <w:autoSpaceDE w:val="0"/>
        <w:autoSpaceDN w:val="0"/>
        <w:adjustRightInd w:val="0"/>
        <w:spacing w:before="120" w:after="120" w:line="240" w:lineRule="auto"/>
        <w:ind w:left="0" w:firstLine="0"/>
        <w:jc w:val="both"/>
        <w:textAlignment w:val="baseline"/>
        <w:rPr>
          <w:rFonts w:ascii="Verdana" w:hAnsi="Verdana" w:cs="ArialMT"/>
          <w:b/>
          <w:sz w:val="20"/>
          <w:szCs w:val="20"/>
          <w:lang w:val="es-CR"/>
        </w:rPr>
      </w:pPr>
      <w:r w:rsidRPr="00FD4231">
        <w:rPr>
          <w:rFonts w:ascii="Verdana" w:hAnsi="Verdana"/>
          <w:sz w:val="20"/>
          <w:szCs w:val="20"/>
          <w:lang w:val="es-CR"/>
        </w:rPr>
        <w:t xml:space="preserve">La Corte ha establecido que los familiares de las víctimas de violaciones de derechos </w:t>
      </w:r>
      <w:r w:rsidRPr="00547655">
        <w:rPr>
          <w:rFonts w:ascii="Verdana" w:hAnsi="Verdana" w:cs="ArialMT"/>
          <w:sz w:val="20"/>
          <w:szCs w:val="20"/>
          <w:lang w:val="es-CR"/>
        </w:rPr>
        <w:t>humanos</w:t>
      </w:r>
      <w:r w:rsidRPr="00547655">
        <w:rPr>
          <w:rFonts w:ascii="Verdana" w:hAnsi="Verdana"/>
          <w:sz w:val="20"/>
          <w:szCs w:val="20"/>
          <w:lang w:val="es-CR"/>
        </w:rPr>
        <w:t xml:space="preserve"> </w:t>
      </w:r>
      <w:r w:rsidRPr="00FD4231">
        <w:rPr>
          <w:rFonts w:ascii="Verdana" w:hAnsi="Verdana"/>
          <w:sz w:val="20"/>
          <w:szCs w:val="20"/>
          <w:lang w:val="es-CR"/>
        </w:rPr>
        <w:t>pueden ser, a su vez, víctimas</w:t>
      </w:r>
      <w:r w:rsidRPr="00FD4231">
        <w:rPr>
          <w:rStyle w:val="FootnoteReference"/>
          <w:rFonts w:ascii="Verdana" w:hAnsi="Verdana"/>
          <w:sz w:val="20"/>
          <w:szCs w:val="20"/>
          <w:lang w:val="es-CR"/>
        </w:rPr>
        <w:footnoteReference w:id="493"/>
      </w:r>
      <w:r w:rsidRPr="00FD4231">
        <w:rPr>
          <w:rFonts w:ascii="Verdana" w:hAnsi="Verdana"/>
          <w:sz w:val="20"/>
          <w:szCs w:val="20"/>
          <w:lang w:val="es-CR"/>
        </w:rPr>
        <w:t xml:space="preserve">. Además, ha considerado que, en casos que </w:t>
      </w:r>
      <w:r w:rsidRPr="00A601B0">
        <w:rPr>
          <w:rFonts w:ascii="Verdana" w:hAnsi="Verdana"/>
          <w:sz w:val="20"/>
          <w:szCs w:val="20"/>
          <w:lang w:val="es-CR"/>
        </w:rPr>
        <w:t>involucran la desaparición forzada de personas, es posible entender que la violación del derecho a la integridad de los familiares de las víctimas es una consecuencia directa de ese fenómeno, que les causa un severo sufrimiento por el hecho que se acrecien</w:t>
      </w:r>
      <w:r w:rsidRPr="00185B82">
        <w:rPr>
          <w:rFonts w:ascii="Verdana" w:hAnsi="Verdana"/>
          <w:sz w:val="20"/>
          <w:szCs w:val="20"/>
          <w:lang w:val="es-CR"/>
        </w:rPr>
        <w:t>ta, entre otros factores, por la constante negativa de las autoridades de proporcionar información acerca del paradero de las víctimas o de realizar una investigación eficaz para lograr e</w:t>
      </w:r>
      <w:r w:rsidR="00D833DB">
        <w:rPr>
          <w:rFonts w:ascii="Verdana" w:hAnsi="Verdana"/>
          <w:sz w:val="20"/>
          <w:szCs w:val="20"/>
          <w:lang w:val="es-CR"/>
        </w:rPr>
        <w:t>l</w:t>
      </w:r>
      <w:r w:rsidRPr="00185B82">
        <w:rPr>
          <w:rFonts w:ascii="Verdana" w:hAnsi="Verdana"/>
          <w:sz w:val="20"/>
          <w:szCs w:val="20"/>
          <w:lang w:val="es-CR"/>
        </w:rPr>
        <w:t xml:space="preserve"> esclarecimiento de lo sucedido</w:t>
      </w:r>
      <w:bookmarkStart w:id="315" w:name="_Ref521506062"/>
      <w:r w:rsidRPr="00FD4231">
        <w:rPr>
          <w:rStyle w:val="FootnoteReference"/>
          <w:rFonts w:ascii="Verdana" w:hAnsi="Verdana"/>
          <w:sz w:val="20"/>
          <w:szCs w:val="20"/>
          <w:lang w:val="es-CR"/>
        </w:rPr>
        <w:footnoteReference w:id="494"/>
      </w:r>
      <w:bookmarkEnd w:id="315"/>
      <w:r w:rsidRPr="00FD4231">
        <w:rPr>
          <w:rFonts w:ascii="Verdana" w:hAnsi="Verdana"/>
          <w:sz w:val="20"/>
          <w:szCs w:val="20"/>
          <w:lang w:val="es-CR"/>
        </w:rPr>
        <w:t>.</w:t>
      </w:r>
    </w:p>
    <w:p w14:paraId="64AA60EC" w14:textId="72837209" w:rsidR="001903B5" w:rsidRPr="0095417D" w:rsidRDefault="001903B5" w:rsidP="00813B72">
      <w:pPr>
        <w:widowControl w:val="0"/>
        <w:numPr>
          <w:ilvl w:val="0"/>
          <w:numId w:val="4"/>
        </w:numPr>
        <w:tabs>
          <w:tab w:val="left" w:pos="567"/>
        </w:tabs>
        <w:autoSpaceDE w:val="0"/>
        <w:autoSpaceDN w:val="0"/>
        <w:adjustRightInd w:val="0"/>
        <w:spacing w:before="120" w:after="120" w:line="240" w:lineRule="auto"/>
        <w:ind w:left="0" w:firstLine="0"/>
        <w:jc w:val="both"/>
        <w:textAlignment w:val="baseline"/>
        <w:rPr>
          <w:rFonts w:ascii="Verdana" w:hAnsi="Verdana" w:cs="ArialMT"/>
          <w:b/>
          <w:sz w:val="20"/>
          <w:szCs w:val="20"/>
          <w:lang w:val="es-CR"/>
        </w:rPr>
      </w:pPr>
      <w:r w:rsidRPr="001903B5">
        <w:rPr>
          <w:rFonts w:ascii="Verdana" w:hAnsi="Verdana"/>
          <w:sz w:val="20"/>
          <w:szCs w:val="20"/>
          <w:lang w:val="es-CR"/>
        </w:rPr>
        <w:t xml:space="preserve">El Tribunal también puede declarar la violación del derecho a la integridad de familiares de víctimas de ciertas violaciones de derechos humanos aplicando una presunción </w:t>
      </w:r>
      <w:r w:rsidRPr="001903B5">
        <w:rPr>
          <w:rFonts w:ascii="Verdana" w:hAnsi="Verdana"/>
          <w:i/>
          <w:sz w:val="20"/>
          <w:szCs w:val="20"/>
          <w:lang w:val="es-CR"/>
        </w:rPr>
        <w:t>iuris tantum</w:t>
      </w:r>
      <w:r w:rsidRPr="001903B5">
        <w:rPr>
          <w:rFonts w:ascii="Verdana" w:hAnsi="Verdana"/>
          <w:sz w:val="20"/>
          <w:szCs w:val="20"/>
          <w:lang w:val="es-CR"/>
        </w:rPr>
        <w:t xml:space="preserve"> respecto de madres y padres, hijas e hijos, esposos y esposas, y compañeras y compañeros permanentes, hermanas y hermanos</w:t>
      </w:r>
      <w:r w:rsidRPr="00FD4231">
        <w:rPr>
          <w:rStyle w:val="FootnoteReference"/>
          <w:rFonts w:ascii="Verdana" w:hAnsi="Verdana"/>
          <w:sz w:val="20"/>
          <w:szCs w:val="20"/>
          <w:lang w:val="es-CR"/>
        </w:rPr>
        <w:footnoteReference w:id="495"/>
      </w:r>
      <w:r w:rsidRPr="001903B5">
        <w:rPr>
          <w:rFonts w:ascii="Verdana" w:hAnsi="Verdana"/>
          <w:sz w:val="20"/>
          <w:szCs w:val="20"/>
          <w:lang w:val="es-CR"/>
        </w:rPr>
        <w:t>, siempre que</w:t>
      </w:r>
      <w:r w:rsidR="00FD6BCA">
        <w:rPr>
          <w:rFonts w:ascii="Verdana" w:hAnsi="Verdana"/>
          <w:sz w:val="20"/>
          <w:szCs w:val="20"/>
          <w:lang w:val="es-CR"/>
        </w:rPr>
        <w:t xml:space="preserve"> </w:t>
      </w:r>
      <w:r w:rsidRPr="001903B5">
        <w:rPr>
          <w:rFonts w:ascii="Verdana" w:hAnsi="Verdana"/>
          <w:sz w:val="20"/>
          <w:szCs w:val="20"/>
          <w:lang w:val="es-CR"/>
        </w:rPr>
        <w:t>ello responda a las circunstancias particulares en el caso (en adelante “familiares directos”). En relación a los familiares directos, corresponde al Estado desvirtuar dicha presunción</w:t>
      </w:r>
      <w:r w:rsidRPr="00FD4231">
        <w:rPr>
          <w:rStyle w:val="FootnoteReference"/>
          <w:rFonts w:ascii="Verdana" w:hAnsi="Verdana"/>
          <w:sz w:val="20"/>
          <w:szCs w:val="20"/>
          <w:lang w:val="es-CR"/>
        </w:rPr>
        <w:footnoteReference w:id="496"/>
      </w:r>
      <w:r w:rsidRPr="001903B5">
        <w:rPr>
          <w:rFonts w:ascii="Verdana" w:hAnsi="Verdana"/>
          <w:sz w:val="20"/>
          <w:szCs w:val="20"/>
          <w:lang w:val="es-CR"/>
        </w:rPr>
        <w:t xml:space="preserve">. </w:t>
      </w:r>
    </w:p>
    <w:p w14:paraId="64AA60EE" w14:textId="09371AB8" w:rsidR="001903B5" w:rsidRPr="0095417D" w:rsidRDefault="001903B5" w:rsidP="00813B72">
      <w:pPr>
        <w:widowControl w:val="0"/>
        <w:numPr>
          <w:ilvl w:val="0"/>
          <w:numId w:val="4"/>
        </w:numPr>
        <w:tabs>
          <w:tab w:val="left" w:pos="567"/>
        </w:tabs>
        <w:autoSpaceDE w:val="0"/>
        <w:autoSpaceDN w:val="0"/>
        <w:adjustRightInd w:val="0"/>
        <w:spacing w:before="120" w:after="120" w:line="240" w:lineRule="auto"/>
        <w:ind w:left="0" w:firstLine="0"/>
        <w:jc w:val="both"/>
        <w:textAlignment w:val="baseline"/>
        <w:rPr>
          <w:rFonts w:ascii="Verdana" w:hAnsi="Verdana" w:cs="ArialMT"/>
          <w:b/>
          <w:sz w:val="20"/>
          <w:szCs w:val="20"/>
          <w:lang w:val="es-CR"/>
        </w:rPr>
      </w:pPr>
      <w:r w:rsidRPr="001903B5">
        <w:rPr>
          <w:rFonts w:ascii="Verdana" w:hAnsi="Verdana" w:cs="ArialMT"/>
          <w:sz w:val="20"/>
          <w:szCs w:val="20"/>
          <w:lang w:val="es-CR"/>
        </w:rPr>
        <w:t xml:space="preserve">En vista de lo anterior, </w:t>
      </w:r>
      <w:r w:rsidRPr="001903B5">
        <w:rPr>
          <w:rFonts w:ascii="Verdana" w:hAnsi="Verdana"/>
          <w:sz w:val="20"/>
          <w:szCs w:val="20"/>
          <w:lang w:val="es-CR"/>
        </w:rPr>
        <w:t>los familiares directos</w:t>
      </w:r>
      <w:r w:rsidRPr="00FD4231">
        <w:rPr>
          <w:rStyle w:val="FootnoteReference"/>
          <w:rFonts w:ascii="Verdana" w:hAnsi="Verdana"/>
          <w:sz w:val="20"/>
          <w:szCs w:val="20"/>
          <w:lang w:val="es-CR"/>
        </w:rPr>
        <w:footnoteReference w:id="497"/>
      </w:r>
      <w:r w:rsidRPr="001903B5">
        <w:rPr>
          <w:rFonts w:ascii="Verdana" w:hAnsi="Verdana"/>
          <w:sz w:val="20"/>
          <w:szCs w:val="20"/>
          <w:lang w:val="es-CR"/>
        </w:rPr>
        <w:t xml:space="preserve">, a quien aplica dicha presunción, </w:t>
      </w:r>
      <w:r w:rsidRPr="001903B5">
        <w:rPr>
          <w:rFonts w:ascii="Verdana" w:hAnsi="Verdana"/>
          <w:sz w:val="20"/>
          <w:szCs w:val="20"/>
          <w:lang w:val="es-CR"/>
        </w:rPr>
        <w:lastRenderedPageBreak/>
        <w:t xml:space="preserve">corresponden a los siguientes grupos familiares: </w:t>
      </w:r>
    </w:p>
    <w:p w14:paraId="64AA60EF" w14:textId="4683821E" w:rsidR="001903B5" w:rsidRPr="00C56E31" w:rsidRDefault="001903B5" w:rsidP="00C90B3F">
      <w:pPr>
        <w:pStyle w:val="ListParagraph"/>
        <w:numPr>
          <w:ilvl w:val="0"/>
          <w:numId w:val="21"/>
        </w:numPr>
        <w:spacing w:before="120" w:after="120" w:line="240" w:lineRule="auto"/>
        <w:contextualSpacing w:val="0"/>
        <w:jc w:val="both"/>
        <w:rPr>
          <w:rFonts w:ascii="Verdana" w:hAnsi="Verdana"/>
          <w:sz w:val="18"/>
          <w:szCs w:val="20"/>
          <w:lang w:val="es-CR"/>
        </w:rPr>
      </w:pPr>
      <w:r w:rsidRPr="008D0846">
        <w:rPr>
          <w:rFonts w:ascii="Verdana" w:hAnsi="Verdana"/>
          <w:i/>
          <w:sz w:val="18"/>
          <w:szCs w:val="20"/>
          <w:lang w:val="es-CR"/>
        </w:rPr>
        <w:t>Nitza Paola Alvarado Espinoza</w:t>
      </w:r>
      <w:r w:rsidRPr="00C56E31">
        <w:rPr>
          <w:rFonts w:ascii="Verdana" w:hAnsi="Verdana"/>
          <w:i/>
          <w:sz w:val="18"/>
          <w:szCs w:val="20"/>
          <w:lang w:val="es-CR"/>
        </w:rPr>
        <w:t>:</w:t>
      </w:r>
      <w:r w:rsidRPr="00C56E31">
        <w:rPr>
          <w:rFonts w:ascii="Verdana" w:hAnsi="Verdana"/>
          <w:sz w:val="18"/>
          <w:szCs w:val="20"/>
          <w:lang w:val="es-CR"/>
        </w:rPr>
        <w:t xml:space="preserve"> M.P.A.E., N.S.A.E., y D.A.E. (hijas)</w:t>
      </w:r>
      <w:r w:rsidR="00EC5BE9" w:rsidRPr="00C56E31">
        <w:rPr>
          <w:rFonts w:ascii="Verdana" w:hAnsi="Verdana"/>
          <w:sz w:val="18"/>
          <w:szCs w:val="20"/>
          <w:lang w:val="es-CR"/>
        </w:rPr>
        <w:t>;</w:t>
      </w:r>
      <w:r w:rsidRPr="00C56E31">
        <w:rPr>
          <w:rFonts w:ascii="Verdana" w:hAnsi="Verdana"/>
          <w:sz w:val="18"/>
          <w:szCs w:val="20"/>
          <w:lang w:val="es-CR"/>
        </w:rPr>
        <w:t xml:space="preserve"> María Jesús Alvarado Espinoza (hermana)</w:t>
      </w:r>
      <w:r w:rsidR="00EC5BE9" w:rsidRPr="00C56E31">
        <w:rPr>
          <w:rFonts w:ascii="Verdana" w:hAnsi="Verdana"/>
          <w:sz w:val="18"/>
          <w:szCs w:val="20"/>
          <w:lang w:val="es-CR"/>
        </w:rPr>
        <w:t xml:space="preserve">; </w:t>
      </w:r>
      <w:r w:rsidRPr="00C56E31">
        <w:rPr>
          <w:rFonts w:ascii="Verdana" w:hAnsi="Verdana"/>
          <w:sz w:val="18"/>
          <w:szCs w:val="20"/>
          <w:lang w:val="es-CR"/>
        </w:rPr>
        <w:t xml:space="preserve">María de Jesús Espinoza </w:t>
      </w:r>
      <w:r w:rsidR="00EC5BE9" w:rsidRPr="00C56E31">
        <w:rPr>
          <w:rFonts w:ascii="Verdana" w:hAnsi="Verdana"/>
          <w:sz w:val="18"/>
          <w:szCs w:val="20"/>
          <w:lang w:val="es-CR"/>
        </w:rPr>
        <w:t xml:space="preserve">Peinado (madre) </w:t>
      </w:r>
      <w:r w:rsidRPr="00C56E31">
        <w:rPr>
          <w:rFonts w:ascii="Verdana" w:hAnsi="Verdana"/>
          <w:sz w:val="18"/>
          <w:szCs w:val="20"/>
          <w:lang w:val="es-CR"/>
        </w:rPr>
        <w:t>y Ascensión Alvarado Fa</w:t>
      </w:r>
      <w:r w:rsidR="00B82930" w:rsidRPr="00C56E31">
        <w:rPr>
          <w:rFonts w:ascii="Verdana" w:hAnsi="Verdana"/>
          <w:sz w:val="18"/>
          <w:szCs w:val="20"/>
          <w:lang w:val="es-CR"/>
        </w:rPr>
        <w:t>b</w:t>
      </w:r>
      <w:r w:rsidRPr="00C56E31">
        <w:rPr>
          <w:rFonts w:ascii="Verdana" w:hAnsi="Verdana"/>
          <w:sz w:val="18"/>
          <w:szCs w:val="20"/>
          <w:lang w:val="es-CR"/>
        </w:rPr>
        <w:t xml:space="preserve">ela (padre); </w:t>
      </w:r>
    </w:p>
    <w:p w14:paraId="64AA60F0" w14:textId="7248CD14" w:rsidR="001903B5" w:rsidRPr="00C56E31" w:rsidRDefault="001903B5" w:rsidP="00C90B3F">
      <w:pPr>
        <w:pStyle w:val="ListParagraph"/>
        <w:numPr>
          <w:ilvl w:val="0"/>
          <w:numId w:val="21"/>
        </w:numPr>
        <w:spacing w:before="120" w:after="120" w:line="240" w:lineRule="auto"/>
        <w:contextualSpacing w:val="0"/>
        <w:jc w:val="both"/>
        <w:rPr>
          <w:rFonts w:ascii="Verdana" w:hAnsi="Verdana"/>
          <w:sz w:val="18"/>
          <w:szCs w:val="20"/>
          <w:lang w:val="es-CR"/>
        </w:rPr>
      </w:pPr>
      <w:r w:rsidRPr="008D0846">
        <w:rPr>
          <w:rFonts w:ascii="Verdana" w:hAnsi="Verdana"/>
          <w:i/>
          <w:sz w:val="18"/>
          <w:szCs w:val="20"/>
          <w:lang w:val="es-CR"/>
        </w:rPr>
        <w:t>Rocío Irene Alvarado Reyes</w:t>
      </w:r>
      <w:r w:rsidRPr="00C56E31">
        <w:rPr>
          <w:rFonts w:ascii="Verdana" w:hAnsi="Verdana"/>
          <w:i/>
          <w:sz w:val="18"/>
          <w:szCs w:val="20"/>
          <w:lang w:val="es-CR"/>
        </w:rPr>
        <w:t>:</w:t>
      </w:r>
      <w:r w:rsidRPr="00C56E31">
        <w:rPr>
          <w:rFonts w:ascii="Verdana" w:hAnsi="Verdana"/>
          <w:sz w:val="18"/>
          <w:szCs w:val="20"/>
          <w:lang w:val="es-CR"/>
        </w:rPr>
        <w:t xml:space="preserve"> </w:t>
      </w:r>
      <w:r w:rsidRPr="00C56E31">
        <w:rPr>
          <w:rFonts w:ascii="Verdana" w:eastAsia="Times New Roman" w:hAnsi="Verdana" w:cs="Times New Roman"/>
          <w:sz w:val="18"/>
          <w:szCs w:val="20"/>
          <w:lang w:val="es-ES"/>
        </w:rPr>
        <w:t>A.M.U.A</w:t>
      </w:r>
      <w:r w:rsidRPr="00C56E31">
        <w:rPr>
          <w:rFonts w:ascii="Verdana" w:hAnsi="Verdana"/>
          <w:sz w:val="18"/>
          <w:szCs w:val="20"/>
          <w:lang w:val="es-CR"/>
        </w:rPr>
        <w:t xml:space="preserve"> (hija), </w:t>
      </w:r>
      <w:r w:rsidRPr="00C56E31">
        <w:rPr>
          <w:rFonts w:ascii="Verdana" w:eastAsia="Times New Roman" w:hAnsi="Verdana" w:cs="Times New Roman"/>
          <w:sz w:val="18"/>
          <w:szCs w:val="20"/>
          <w:lang w:val="es-ES"/>
        </w:rPr>
        <w:t xml:space="preserve">A.A.R. y A.R.A.R. </w:t>
      </w:r>
      <w:r w:rsidRPr="00C56E31">
        <w:rPr>
          <w:rFonts w:ascii="Verdana" w:hAnsi="Verdana"/>
          <w:sz w:val="18"/>
          <w:szCs w:val="20"/>
          <w:lang w:val="es-CR"/>
        </w:rPr>
        <w:t>(hermanos), Patricia Reyes Rueda (madre)</w:t>
      </w:r>
      <w:r w:rsidR="00D60ADB" w:rsidRPr="00C56E31">
        <w:rPr>
          <w:rFonts w:ascii="Verdana" w:hAnsi="Verdana"/>
          <w:sz w:val="18"/>
          <w:szCs w:val="20"/>
          <w:lang w:val="es-CR"/>
        </w:rPr>
        <w:t>, y</w:t>
      </w:r>
      <w:r w:rsidRPr="00C56E31">
        <w:rPr>
          <w:rFonts w:ascii="Verdana" w:hAnsi="Verdana"/>
          <w:sz w:val="18"/>
          <w:szCs w:val="20"/>
          <w:lang w:val="es-CR"/>
        </w:rPr>
        <w:t xml:space="preserve"> </w:t>
      </w:r>
    </w:p>
    <w:p w14:paraId="64AA60F2" w14:textId="44352B85" w:rsidR="001903B5" w:rsidRPr="0095417D" w:rsidRDefault="001903B5" w:rsidP="00C90B3F">
      <w:pPr>
        <w:pStyle w:val="ListParagraph"/>
        <w:numPr>
          <w:ilvl w:val="0"/>
          <w:numId w:val="21"/>
        </w:numPr>
        <w:spacing w:before="120" w:after="120" w:line="240" w:lineRule="auto"/>
        <w:contextualSpacing w:val="0"/>
        <w:jc w:val="both"/>
        <w:rPr>
          <w:rFonts w:ascii="Verdana" w:hAnsi="Verdana" w:cs="ArialMT"/>
          <w:sz w:val="18"/>
          <w:szCs w:val="20"/>
          <w:lang w:val="es-CR"/>
        </w:rPr>
      </w:pPr>
      <w:r w:rsidRPr="008D0846">
        <w:rPr>
          <w:rFonts w:ascii="Verdana" w:hAnsi="Verdana"/>
          <w:i/>
          <w:sz w:val="18"/>
          <w:szCs w:val="20"/>
          <w:lang w:val="es-CR"/>
        </w:rPr>
        <w:t>José Ángel Alvarado Herrera</w:t>
      </w:r>
      <w:r w:rsidRPr="00C56E31">
        <w:rPr>
          <w:rFonts w:ascii="Verdana" w:hAnsi="Verdana"/>
          <w:i/>
          <w:sz w:val="18"/>
          <w:szCs w:val="20"/>
          <w:lang w:val="es-CR"/>
        </w:rPr>
        <w:t>:</w:t>
      </w:r>
      <w:r w:rsidRPr="00C56E31">
        <w:rPr>
          <w:rFonts w:ascii="Verdana" w:hAnsi="Verdana"/>
          <w:sz w:val="18"/>
          <w:szCs w:val="20"/>
          <w:lang w:val="es-CR"/>
        </w:rPr>
        <w:t xml:space="preserve"> </w:t>
      </w:r>
      <w:r w:rsidRPr="00C56E31">
        <w:rPr>
          <w:rFonts w:ascii="Verdana" w:eastAsia="Times New Roman" w:hAnsi="Verdana" w:cs="Times New Roman"/>
          <w:sz w:val="18"/>
          <w:szCs w:val="20"/>
          <w:lang w:val="es-ES"/>
        </w:rPr>
        <w:t>J.A.E., J.A.</w:t>
      </w:r>
      <w:r w:rsidRPr="00736FB7">
        <w:rPr>
          <w:rFonts w:ascii="Verdana" w:eastAsia="Times New Roman" w:hAnsi="Verdana" w:cs="Times New Roman"/>
          <w:sz w:val="18"/>
          <w:szCs w:val="20"/>
          <w:lang w:val="es-ES"/>
        </w:rPr>
        <w:t xml:space="preserve">A.E. y </w:t>
      </w:r>
      <w:r w:rsidRPr="006A385C">
        <w:rPr>
          <w:rFonts w:ascii="Verdana" w:eastAsia="Times New Roman" w:hAnsi="Verdana" w:cs="Times New Roman"/>
          <w:sz w:val="18"/>
          <w:szCs w:val="20"/>
          <w:lang w:val="es-ES"/>
        </w:rPr>
        <w:t>A.E.B</w:t>
      </w:r>
      <w:r w:rsidRPr="00EC5BE9">
        <w:rPr>
          <w:rFonts w:ascii="Verdana" w:eastAsia="Times New Roman" w:hAnsi="Verdana" w:cs="Times New Roman"/>
          <w:sz w:val="18"/>
          <w:szCs w:val="20"/>
          <w:lang w:val="es-ES"/>
        </w:rPr>
        <w:t>.</w:t>
      </w:r>
      <w:r w:rsidRPr="00736FB7">
        <w:rPr>
          <w:rFonts w:ascii="Verdana" w:eastAsia="Times New Roman" w:hAnsi="Verdana" w:cs="Times New Roman"/>
          <w:sz w:val="18"/>
          <w:szCs w:val="20"/>
          <w:lang w:val="es-ES"/>
        </w:rPr>
        <w:t xml:space="preserve"> (hijos)</w:t>
      </w:r>
      <w:r w:rsidR="00EC5BE9">
        <w:rPr>
          <w:rFonts w:ascii="Verdana" w:hAnsi="Verdana"/>
          <w:sz w:val="18"/>
          <w:szCs w:val="20"/>
          <w:lang w:val="es-CR"/>
        </w:rPr>
        <w:t>;</w:t>
      </w:r>
      <w:r w:rsidRPr="00736FB7">
        <w:rPr>
          <w:rFonts w:ascii="Verdana" w:hAnsi="Verdana"/>
          <w:sz w:val="18"/>
          <w:szCs w:val="20"/>
          <w:lang w:val="es-CR"/>
        </w:rPr>
        <w:t xml:space="preserve"> </w:t>
      </w:r>
      <w:r w:rsidRPr="00736FB7">
        <w:rPr>
          <w:rFonts w:ascii="Verdana" w:eastAsia="Times New Roman" w:hAnsi="Verdana" w:cs="Times New Roman"/>
          <w:sz w:val="18"/>
          <w:szCs w:val="20"/>
          <w:lang w:val="es-ES"/>
        </w:rPr>
        <w:t>Obdulia Espinoza Beltrán</w:t>
      </w:r>
      <w:r w:rsidRPr="00736FB7">
        <w:rPr>
          <w:rFonts w:ascii="Verdana" w:hAnsi="Verdana"/>
          <w:sz w:val="18"/>
          <w:szCs w:val="20"/>
          <w:lang w:val="es-CR"/>
        </w:rPr>
        <w:t xml:space="preserve"> (esposa)</w:t>
      </w:r>
      <w:r w:rsidR="00EC5BE9">
        <w:rPr>
          <w:rFonts w:ascii="Verdana" w:hAnsi="Verdana"/>
          <w:sz w:val="18"/>
          <w:szCs w:val="20"/>
          <w:lang w:val="es-CR"/>
        </w:rPr>
        <w:t>;</w:t>
      </w:r>
      <w:r w:rsidRPr="00736FB7">
        <w:rPr>
          <w:rFonts w:ascii="Verdana" w:hAnsi="Verdana"/>
          <w:sz w:val="18"/>
          <w:szCs w:val="20"/>
          <w:lang w:val="es-CR"/>
        </w:rPr>
        <w:t xml:space="preserve"> Jaime Alvarado Herrera, Rosa Olivia Alvarado Herrera</w:t>
      </w:r>
      <w:r w:rsidR="004C76DE">
        <w:rPr>
          <w:rFonts w:ascii="Verdana" w:hAnsi="Verdana"/>
          <w:sz w:val="18"/>
          <w:szCs w:val="20"/>
          <w:lang w:val="es-CR"/>
        </w:rPr>
        <w:t xml:space="preserve"> </w:t>
      </w:r>
      <w:r w:rsidRPr="00736FB7">
        <w:rPr>
          <w:rFonts w:ascii="Verdana" w:hAnsi="Verdana"/>
          <w:sz w:val="18"/>
          <w:szCs w:val="20"/>
          <w:lang w:val="es-CR"/>
        </w:rPr>
        <w:t>(hermanos)</w:t>
      </w:r>
      <w:r w:rsidR="00EC5BE9">
        <w:rPr>
          <w:rFonts w:ascii="Verdana" w:hAnsi="Verdana"/>
          <w:sz w:val="18"/>
          <w:szCs w:val="20"/>
          <w:lang w:val="es-CR"/>
        </w:rPr>
        <w:t>;</w:t>
      </w:r>
      <w:r w:rsidRPr="00736FB7">
        <w:rPr>
          <w:rFonts w:ascii="Verdana" w:hAnsi="Verdana"/>
          <w:sz w:val="18"/>
          <w:szCs w:val="20"/>
          <w:lang w:val="es-CR"/>
        </w:rPr>
        <w:t xml:space="preserve"> José Ángel Alvarado Fa</w:t>
      </w:r>
      <w:r w:rsidR="00B82930">
        <w:rPr>
          <w:rFonts w:ascii="Verdana" w:hAnsi="Verdana"/>
          <w:sz w:val="18"/>
          <w:szCs w:val="20"/>
          <w:lang w:val="es-CR"/>
        </w:rPr>
        <w:t>b</w:t>
      </w:r>
      <w:r w:rsidRPr="00736FB7">
        <w:rPr>
          <w:rFonts w:ascii="Verdana" w:hAnsi="Verdana"/>
          <w:sz w:val="18"/>
          <w:szCs w:val="20"/>
          <w:lang w:val="es-CR"/>
        </w:rPr>
        <w:t xml:space="preserve">ela </w:t>
      </w:r>
      <w:r w:rsidR="00EC5BE9">
        <w:rPr>
          <w:rFonts w:ascii="Verdana" w:hAnsi="Verdana"/>
          <w:sz w:val="18"/>
          <w:szCs w:val="20"/>
          <w:lang w:val="es-CR"/>
        </w:rPr>
        <w:t xml:space="preserve">(padre) </w:t>
      </w:r>
      <w:r w:rsidRPr="00736FB7">
        <w:rPr>
          <w:rFonts w:ascii="Verdana" w:hAnsi="Verdana"/>
          <w:sz w:val="18"/>
          <w:szCs w:val="20"/>
          <w:lang w:val="es-CR"/>
        </w:rPr>
        <w:t>y Concepción Herrera Hernández (</w:t>
      </w:r>
      <w:r w:rsidR="00EC5BE9">
        <w:rPr>
          <w:rFonts w:ascii="Verdana" w:hAnsi="Verdana"/>
          <w:sz w:val="18"/>
          <w:szCs w:val="20"/>
          <w:lang w:val="es-CR"/>
        </w:rPr>
        <w:t>madre</w:t>
      </w:r>
      <w:r w:rsidRPr="00736FB7">
        <w:rPr>
          <w:rFonts w:ascii="Verdana" w:hAnsi="Verdana"/>
          <w:sz w:val="18"/>
          <w:szCs w:val="20"/>
          <w:lang w:val="es-CR"/>
        </w:rPr>
        <w:t>)</w:t>
      </w:r>
      <w:r w:rsidRPr="00736FB7">
        <w:rPr>
          <w:rStyle w:val="FootnoteReference"/>
          <w:rFonts w:ascii="Verdana" w:hAnsi="Verdana"/>
          <w:sz w:val="18"/>
          <w:szCs w:val="20"/>
          <w:lang w:val="es-CR"/>
        </w:rPr>
        <w:footnoteReference w:id="498"/>
      </w:r>
      <w:r w:rsidR="00D833DB">
        <w:rPr>
          <w:rFonts w:ascii="Verdana" w:hAnsi="Verdana"/>
          <w:sz w:val="18"/>
          <w:szCs w:val="20"/>
          <w:lang w:val="es-CR"/>
        </w:rPr>
        <w:t>.</w:t>
      </w:r>
    </w:p>
    <w:p w14:paraId="64AA60F4" w14:textId="0D6004A9" w:rsidR="001903B5" w:rsidRPr="0095417D" w:rsidRDefault="001903B5" w:rsidP="00813B72">
      <w:pPr>
        <w:widowControl w:val="0"/>
        <w:numPr>
          <w:ilvl w:val="0"/>
          <w:numId w:val="4"/>
        </w:numPr>
        <w:tabs>
          <w:tab w:val="left" w:pos="567"/>
        </w:tabs>
        <w:autoSpaceDE w:val="0"/>
        <w:autoSpaceDN w:val="0"/>
        <w:adjustRightInd w:val="0"/>
        <w:spacing w:before="120" w:after="120" w:line="240" w:lineRule="auto"/>
        <w:ind w:left="0" w:firstLine="0"/>
        <w:jc w:val="both"/>
        <w:textAlignment w:val="baseline"/>
        <w:rPr>
          <w:rFonts w:ascii="Verdana" w:hAnsi="Verdana" w:cs="ArialMT"/>
          <w:sz w:val="20"/>
          <w:szCs w:val="20"/>
          <w:lang w:val="es-CR"/>
        </w:rPr>
      </w:pPr>
      <w:r w:rsidRPr="00736FB7">
        <w:rPr>
          <w:rFonts w:ascii="Verdana" w:hAnsi="Verdana" w:cs="ArialMT"/>
          <w:sz w:val="20"/>
          <w:szCs w:val="20"/>
          <w:lang w:val="es-CR"/>
        </w:rPr>
        <w:t xml:space="preserve">Respecto de los demás familiares </w:t>
      </w:r>
      <w:r>
        <w:rPr>
          <w:rFonts w:ascii="Verdana" w:hAnsi="Verdana" w:cs="ArialMT"/>
          <w:sz w:val="20"/>
          <w:szCs w:val="20"/>
          <w:lang w:val="es-CR"/>
        </w:rPr>
        <w:t xml:space="preserve">no </w:t>
      </w:r>
      <w:r w:rsidRPr="00736FB7">
        <w:rPr>
          <w:rFonts w:ascii="Verdana" w:hAnsi="Verdana" w:cs="ArialMT"/>
          <w:sz w:val="20"/>
          <w:szCs w:val="20"/>
          <w:lang w:val="es-CR"/>
        </w:rPr>
        <w:t xml:space="preserve">directos, a quienes no les aplica dicha presunción, la Corte </w:t>
      </w:r>
      <w:r>
        <w:rPr>
          <w:rFonts w:ascii="Verdana" w:hAnsi="Verdana" w:cs="ArialMT"/>
          <w:sz w:val="20"/>
          <w:szCs w:val="20"/>
          <w:lang w:val="es-CR"/>
        </w:rPr>
        <w:t xml:space="preserve">no </w:t>
      </w:r>
      <w:r w:rsidRPr="00736FB7">
        <w:rPr>
          <w:rFonts w:ascii="Verdana" w:hAnsi="Verdana" w:cs="ArialMT"/>
          <w:sz w:val="20"/>
          <w:szCs w:val="20"/>
          <w:lang w:val="es-CR"/>
        </w:rPr>
        <w:t xml:space="preserve">cuenta con suficientes elementos para valorar esta afectación inmediata </w:t>
      </w:r>
      <w:r>
        <w:rPr>
          <w:rFonts w:ascii="Verdana" w:hAnsi="Verdana" w:cs="ArialMT"/>
          <w:sz w:val="20"/>
          <w:szCs w:val="20"/>
          <w:lang w:val="es-CR"/>
        </w:rPr>
        <w:t>con motivo de las</w:t>
      </w:r>
      <w:r w:rsidRPr="00736FB7">
        <w:rPr>
          <w:rFonts w:ascii="Verdana" w:hAnsi="Verdana" w:cs="ArialMT"/>
          <w:sz w:val="20"/>
          <w:szCs w:val="20"/>
          <w:lang w:val="es-CR"/>
        </w:rPr>
        <w:t xml:space="preserve"> desapariciones</w:t>
      </w:r>
      <w:r>
        <w:rPr>
          <w:rStyle w:val="FootnoteReference"/>
          <w:rFonts w:ascii="Verdana" w:hAnsi="Verdana" w:cs="ArialMT"/>
          <w:sz w:val="20"/>
          <w:szCs w:val="20"/>
          <w:lang w:val="es-CR"/>
        </w:rPr>
        <w:footnoteReference w:id="499"/>
      </w:r>
      <w:r>
        <w:rPr>
          <w:rFonts w:ascii="Verdana" w:hAnsi="Verdana" w:cs="ArialMT"/>
          <w:sz w:val="20"/>
          <w:szCs w:val="20"/>
          <w:lang w:val="es-CR"/>
        </w:rPr>
        <w:t xml:space="preserve">. </w:t>
      </w:r>
    </w:p>
    <w:p w14:paraId="64AA60F6" w14:textId="2D9BBB05" w:rsidR="001903B5" w:rsidRPr="0095417D" w:rsidRDefault="001903B5" w:rsidP="00813B72">
      <w:pPr>
        <w:widowControl w:val="0"/>
        <w:numPr>
          <w:ilvl w:val="0"/>
          <w:numId w:val="4"/>
        </w:numPr>
        <w:tabs>
          <w:tab w:val="left" w:pos="567"/>
        </w:tabs>
        <w:autoSpaceDE w:val="0"/>
        <w:autoSpaceDN w:val="0"/>
        <w:adjustRightInd w:val="0"/>
        <w:spacing w:before="120" w:after="120" w:line="240" w:lineRule="auto"/>
        <w:ind w:left="0" w:firstLine="0"/>
        <w:jc w:val="both"/>
        <w:textAlignment w:val="baseline"/>
        <w:rPr>
          <w:rFonts w:ascii="Verdana" w:hAnsi="Verdana" w:cs="ArialMT"/>
          <w:sz w:val="20"/>
          <w:szCs w:val="20"/>
          <w:lang w:val="es-CR"/>
        </w:rPr>
      </w:pPr>
      <w:r w:rsidRPr="001903B5">
        <w:rPr>
          <w:rFonts w:ascii="Verdana" w:hAnsi="Verdana" w:cs="ArialMT"/>
          <w:sz w:val="20"/>
          <w:szCs w:val="20"/>
          <w:lang w:val="es-CR"/>
        </w:rPr>
        <w:t xml:space="preserve">Por lo tanto, el Estado es responsable por la violación al artículo 5.1 de la Convención Americana, en relación con el artículo 1.1 del mismo instrumento, a través de la aplicación de la presunción </w:t>
      </w:r>
      <w:r w:rsidRPr="000C6D8F">
        <w:rPr>
          <w:rFonts w:ascii="Verdana" w:hAnsi="Verdana" w:cs="ArialMT"/>
          <w:i/>
          <w:sz w:val="20"/>
          <w:szCs w:val="20"/>
          <w:lang w:val="es-CR"/>
        </w:rPr>
        <w:t>iuris tantum</w:t>
      </w:r>
      <w:r w:rsidRPr="001903B5">
        <w:rPr>
          <w:rFonts w:ascii="Verdana" w:hAnsi="Verdana" w:cs="ArialMT"/>
          <w:sz w:val="20"/>
          <w:szCs w:val="20"/>
          <w:lang w:val="es-CR"/>
        </w:rPr>
        <w:t xml:space="preserve"> a los familiares directos</w:t>
      </w:r>
      <w:r w:rsidR="009661FA">
        <w:rPr>
          <w:rFonts w:ascii="Verdana" w:hAnsi="Verdana" w:cs="ArialMT"/>
          <w:sz w:val="20"/>
          <w:szCs w:val="20"/>
          <w:lang w:val="es-CR"/>
        </w:rPr>
        <w:t xml:space="preserve"> </w:t>
      </w:r>
      <w:r w:rsidR="006D2E5E">
        <w:rPr>
          <w:rFonts w:ascii="Verdana" w:hAnsi="Verdana" w:cs="ArialMT"/>
          <w:sz w:val="20"/>
          <w:szCs w:val="20"/>
          <w:lang w:val="es-CR"/>
        </w:rPr>
        <w:t xml:space="preserve">mencionados </w:t>
      </w:r>
      <w:r w:rsidR="009661FA">
        <w:rPr>
          <w:rFonts w:ascii="Verdana" w:hAnsi="Verdana" w:cs="ArialMT"/>
          <w:sz w:val="20"/>
          <w:szCs w:val="20"/>
          <w:lang w:val="es-CR"/>
        </w:rPr>
        <w:t>(</w:t>
      </w:r>
      <w:r w:rsidR="009661FA" w:rsidRPr="006A385C">
        <w:rPr>
          <w:rFonts w:ascii="Verdana" w:hAnsi="Verdana" w:cs="ArialMT"/>
          <w:i/>
          <w:sz w:val="20"/>
          <w:szCs w:val="20"/>
          <w:lang w:val="es-CR"/>
        </w:rPr>
        <w:t>supra</w:t>
      </w:r>
      <w:r w:rsidR="009661FA">
        <w:rPr>
          <w:rFonts w:ascii="Verdana" w:hAnsi="Verdana" w:cs="ArialMT"/>
          <w:sz w:val="20"/>
          <w:szCs w:val="20"/>
          <w:lang w:val="es-CR"/>
        </w:rPr>
        <w:t xml:space="preserve"> p</w:t>
      </w:r>
      <w:r w:rsidR="00F16558">
        <w:rPr>
          <w:rFonts w:ascii="Verdana" w:hAnsi="Verdana" w:cs="ArialMT"/>
          <w:sz w:val="20"/>
          <w:szCs w:val="20"/>
          <w:lang w:val="es-CR"/>
        </w:rPr>
        <w:t>árrs. 26</w:t>
      </w:r>
      <w:r w:rsidR="004C338C">
        <w:rPr>
          <w:rFonts w:ascii="Verdana" w:hAnsi="Verdana" w:cs="ArialMT"/>
          <w:sz w:val="20"/>
          <w:szCs w:val="20"/>
          <w:lang w:val="es-CR"/>
        </w:rPr>
        <w:t>5</w:t>
      </w:r>
      <w:r w:rsidR="009661FA">
        <w:rPr>
          <w:rFonts w:ascii="Verdana" w:hAnsi="Verdana" w:cs="ArialMT"/>
          <w:sz w:val="20"/>
          <w:szCs w:val="20"/>
          <w:lang w:val="es-CR"/>
        </w:rPr>
        <w:t>)</w:t>
      </w:r>
      <w:r w:rsidRPr="001903B5">
        <w:rPr>
          <w:rFonts w:ascii="Verdana" w:hAnsi="Verdana" w:cs="ArialMT"/>
          <w:sz w:val="20"/>
          <w:szCs w:val="20"/>
          <w:lang w:val="es-CR"/>
        </w:rPr>
        <w:t>.</w:t>
      </w:r>
    </w:p>
    <w:p w14:paraId="64AA60F8" w14:textId="6BBCC56A" w:rsidR="001903B5" w:rsidRPr="00754453" w:rsidRDefault="00942F34" w:rsidP="00660FDA">
      <w:pPr>
        <w:pStyle w:val="Heading3"/>
        <w:numPr>
          <w:ilvl w:val="0"/>
          <w:numId w:val="37"/>
        </w:numPr>
        <w:spacing w:before="120" w:after="120"/>
        <w:ind w:left="1560" w:hanging="426"/>
        <w:contextualSpacing w:val="0"/>
        <w:rPr>
          <w:b w:val="0"/>
        </w:rPr>
      </w:pPr>
      <w:bookmarkStart w:id="316" w:name="_Toc526783809"/>
      <w:r>
        <w:rPr>
          <w:b w:val="0"/>
        </w:rPr>
        <w:t xml:space="preserve"> </w:t>
      </w:r>
      <w:bookmarkStart w:id="317" w:name="_Toc532995393"/>
      <w:r w:rsidR="001903B5" w:rsidRPr="00754453">
        <w:rPr>
          <w:b w:val="0"/>
        </w:rPr>
        <w:t>Respecto a los Artículos 5, 22, 11, 17 y 19 en relación con los hechos de amenazas y hostigamientos.</w:t>
      </w:r>
      <w:bookmarkEnd w:id="316"/>
      <w:bookmarkEnd w:id="317"/>
    </w:p>
    <w:p w14:paraId="64AA60FA" w14:textId="648EF976" w:rsidR="001903B5" w:rsidRPr="0095417D" w:rsidRDefault="001903B5" w:rsidP="00813B72">
      <w:pPr>
        <w:widowControl w:val="0"/>
        <w:numPr>
          <w:ilvl w:val="0"/>
          <w:numId w:val="4"/>
        </w:numPr>
        <w:tabs>
          <w:tab w:val="left" w:pos="567"/>
        </w:tabs>
        <w:autoSpaceDE w:val="0"/>
        <w:autoSpaceDN w:val="0"/>
        <w:adjustRightInd w:val="0"/>
        <w:spacing w:before="120" w:after="120" w:line="240" w:lineRule="auto"/>
        <w:ind w:left="0" w:firstLine="0"/>
        <w:jc w:val="both"/>
        <w:textAlignment w:val="baseline"/>
        <w:rPr>
          <w:rFonts w:ascii="Verdana" w:hAnsi="Verdana" w:cs="ArialMT"/>
          <w:sz w:val="20"/>
          <w:szCs w:val="20"/>
          <w:lang w:val="es-CR"/>
        </w:rPr>
      </w:pPr>
      <w:r>
        <w:rPr>
          <w:rFonts w:ascii="Verdana" w:hAnsi="Verdana" w:cs="ArialMT"/>
          <w:sz w:val="20"/>
          <w:szCs w:val="20"/>
          <w:lang w:val="es-CR"/>
        </w:rPr>
        <w:t xml:space="preserve">A continuación, la </w:t>
      </w:r>
      <w:r w:rsidRPr="00736FB7">
        <w:rPr>
          <w:rFonts w:ascii="Verdana" w:hAnsi="Verdana" w:cs="ArialMT"/>
          <w:sz w:val="20"/>
          <w:szCs w:val="20"/>
          <w:lang w:val="es-CR"/>
        </w:rPr>
        <w:t xml:space="preserve">Corte analizará </w:t>
      </w:r>
      <w:r>
        <w:rPr>
          <w:rFonts w:ascii="Verdana" w:hAnsi="Verdana" w:cs="ArialMT"/>
          <w:sz w:val="20"/>
          <w:szCs w:val="20"/>
          <w:lang w:val="es-CR"/>
        </w:rPr>
        <w:t xml:space="preserve">las alegadas amenazas </w:t>
      </w:r>
      <w:r w:rsidRPr="00736FB7">
        <w:rPr>
          <w:rFonts w:ascii="Verdana" w:hAnsi="Verdana" w:cs="ArialMT"/>
          <w:sz w:val="20"/>
          <w:szCs w:val="20"/>
          <w:lang w:val="es-CR"/>
        </w:rPr>
        <w:t xml:space="preserve">en </w:t>
      </w:r>
      <w:r>
        <w:rPr>
          <w:rFonts w:ascii="Verdana" w:hAnsi="Verdana" w:cs="ArialMT"/>
          <w:sz w:val="20"/>
          <w:szCs w:val="20"/>
          <w:lang w:val="es-CR"/>
        </w:rPr>
        <w:t xml:space="preserve">relación con el contexto de las desapariciones y, en su caso, los motivos que derivaron en </w:t>
      </w:r>
      <w:r w:rsidRPr="00736FB7">
        <w:rPr>
          <w:rFonts w:ascii="Verdana" w:hAnsi="Verdana" w:cs="ArialMT"/>
          <w:sz w:val="20"/>
          <w:szCs w:val="20"/>
          <w:lang w:val="es-CR"/>
        </w:rPr>
        <w:t xml:space="preserve">el traslado del lugar </w:t>
      </w:r>
      <w:r>
        <w:rPr>
          <w:rFonts w:ascii="Verdana" w:hAnsi="Verdana" w:cs="ArialMT"/>
          <w:sz w:val="20"/>
          <w:szCs w:val="20"/>
          <w:lang w:val="es-CR"/>
        </w:rPr>
        <w:t>de los familiares, así como las alegadas afectaciones conexas</w:t>
      </w:r>
      <w:r w:rsidRPr="00736FB7">
        <w:rPr>
          <w:rFonts w:ascii="Verdana" w:hAnsi="Verdana" w:cs="ArialMT"/>
          <w:sz w:val="20"/>
          <w:szCs w:val="20"/>
          <w:lang w:val="es-CR"/>
        </w:rPr>
        <w:t xml:space="preserve">. </w:t>
      </w:r>
    </w:p>
    <w:p w14:paraId="64AA60FC" w14:textId="0844F32A" w:rsidR="001903B5" w:rsidRPr="0057411A" w:rsidRDefault="00556FDB" w:rsidP="00C90B3F">
      <w:pPr>
        <w:pStyle w:val="Heading4"/>
        <w:numPr>
          <w:ilvl w:val="0"/>
          <w:numId w:val="66"/>
        </w:numPr>
        <w:spacing w:before="120" w:after="120"/>
        <w:contextualSpacing w:val="0"/>
        <w:rPr>
          <w:u w:val="none"/>
        </w:rPr>
      </w:pPr>
      <w:bookmarkStart w:id="318" w:name="_Toc526783810"/>
      <w:r>
        <w:rPr>
          <w:u w:val="none"/>
        </w:rPr>
        <w:t xml:space="preserve"> </w:t>
      </w:r>
      <w:bookmarkStart w:id="319" w:name="_Toc532995394"/>
      <w:r w:rsidR="001903B5" w:rsidRPr="0057411A">
        <w:rPr>
          <w:u w:val="none"/>
        </w:rPr>
        <w:t>Respecto de las alegadas amenazas</w:t>
      </w:r>
      <w:bookmarkEnd w:id="318"/>
      <w:bookmarkEnd w:id="319"/>
    </w:p>
    <w:p w14:paraId="64AA60FE" w14:textId="6E079C17" w:rsidR="001903B5" w:rsidRPr="0095417D" w:rsidRDefault="001903B5" w:rsidP="00813B72">
      <w:pPr>
        <w:widowControl w:val="0"/>
        <w:numPr>
          <w:ilvl w:val="0"/>
          <w:numId w:val="4"/>
        </w:numPr>
        <w:tabs>
          <w:tab w:val="left" w:pos="567"/>
        </w:tabs>
        <w:autoSpaceDE w:val="0"/>
        <w:autoSpaceDN w:val="0"/>
        <w:adjustRightInd w:val="0"/>
        <w:spacing w:before="120" w:after="120" w:line="240" w:lineRule="auto"/>
        <w:ind w:left="0" w:firstLine="0"/>
        <w:jc w:val="both"/>
        <w:textAlignment w:val="baseline"/>
        <w:rPr>
          <w:rFonts w:ascii="Verdana" w:hAnsi="Verdana"/>
          <w:sz w:val="20"/>
          <w:szCs w:val="20"/>
        </w:rPr>
      </w:pPr>
      <w:r>
        <w:rPr>
          <w:rFonts w:ascii="Verdana" w:hAnsi="Verdana"/>
          <w:sz w:val="20"/>
          <w:szCs w:val="20"/>
        </w:rPr>
        <w:t>E</w:t>
      </w:r>
      <w:r w:rsidRPr="00375343">
        <w:rPr>
          <w:rFonts w:ascii="Verdana" w:hAnsi="Verdana"/>
          <w:sz w:val="20"/>
          <w:szCs w:val="20"/>
        </w:rPr>
        <w:t>l Tribunal ha sostenido que la mera amenaza de que ocurra una conducta prohibida por el artículo 5 de la Convención, cuando sea suficientemente real e inminente, puede en sí misma estar en conflicto con el derecho a la integridad personal</w:t>
      </w:r>
      <w:r w:rsidRPr="00FD4231">
        <w:rPr>
          <w:rStyle w:val="FootnoteReference"/>
          <w:rFonts w:ascii="Verdana" w:hAnsi="Verdana"/>
          <w:sz w:val="20"/>
          <w:szCs w:val="20"/>
        </w:rPr>
        <w:footnoteReference w:id="500"/>
      </w:r>
      <w:r w:rsidRPr="00FD4231">
        <w:rPr>
          <w:rFonts w:ascii="Verdana" w:hAnsi="Verdana"/>
          <w:sz w:val="20"/>
          <w:szCs w:val="20"/>
        </w:rPr>
        <w:t xml:space="preserve">. </w:t>
      </w:r>
    </w:p>
    <w:p w14:paraId="64AA6100" w14:textId="2E08EDB1" w:rsidR="001903B5" w:rsidRPr="0095417D" w:rsidRDefault="001903B5" w:rsidP="00813B72">
      <w:pPr>
        <w:widowControl w:val="0"/>
        <w:numPr>
          <w:ilvl w:val="0"/>
          <w:numId w:val="4"/>
        </w:numPr>
        <w:tabs>
          <w:tab w:val="left" w:pos="567"/>
        </w:tabs>
        <w:autoSpaceDE w:val="0"/>
        <w:autoSpaceDN w:val="0"/>
        <w:adjustRightInd w:val="0"/>
        <w:spacing w:before="120" w:after="120" w:line="240" w:lineRule="auto"/>
        <w:ind w:left="0" w:firstLine="0"/>
        <w:jc w:val="both"/>
        <w:textAlignment w:val="baseline"/>
        <w:rPr>
          <w:rFonts w:ascii="Verdana" w:hAnsi="Verdana"/>
          <w:sz w:val="20"/>
          <w:szCs w:val="20"/>
        </w:rPr>
      </w:pPr>
      <w:r w:rsidRPr="001903B5">
        <w:rPr>
          <w:rFonts w:ascii="Verdana" w:hAnsi="Verdana"/>
          <w:sz w:val="20"/>
          <w:szCs w:val="20"/>
        </w:rPr>
        <w:t>Al respecto, la Corte constató, que al menos tres incidentes de actos intimidatorios y amenazas resultan relevantes en el contexto de los hechos del caso: i) el 29 de enero de 2011 el señor José Ángel Alvarado Fa</w:t>
      </w:r>
      <w:r w:rsidR="00B82930" w:rsidRPr="003564A3">
        <w:rPr>
          <w:rFonts w:ascii="Verdana" w:hAnsi="Verdana"/>
          <w:sz w:val="20"/>
          <w:szCs w:val="20"/>
        </w:rPr>
        <w:t>b</w:t>
      </w:r>
      <w:r w:rsidRPr="001903B5">
        <w:rPr>
          <w:rFonts w:ascii="Verdana" w:hAnsi="Verdana"/>
          <w:sz w:val="20"/>
          <w:szCs w:val="20"/>
        </w:rPr>
        <w:t>ela recibió una llamada telefónica intimidatoria para él y su familia</w:t>
      </w:r>
      <w:r w:rsidR="000432E3">
        <w:rPr>
          <w:rFonts w:ascii="Verdana" w:hAnsi="Verdana"/>
          <w:sz w:val="20"/>
          <w:szCs w:val="20"/>
        </w:rPr>
        <w:t>,</w:t>
      </w:r>
      <w:r w:rsidRPr="001903B5">
        <w:rPr>
          <w:rFonts w:ascii="Verdana" w:hAnsi="Verdana"/>
          <w:sz w:val="20"/>
          <w:szCs w:val="20"/>
        </w:rPr>
        <w:t xml:space="preserve"> lo que generó el desplazamiento de su grupo familiar </w:t>
      </w:r>
      <w:r w:rsidRPr="006A385C">
        <w:rPr>
          <w:rFonts w:ascii="Verdana" w:hAnsi="Verdana"/>
          <w:sz w:val="20"/>
          <w:szCs w:val="20"/>
        </w:rPr>
        <w:t>(</w:t>
      </w:r>
      <w:r w:rsidRPr="006A385C">
        <w:rPr>
          <w:rFonts w:ascii="Verdana" w:hAnsi="Verdana"/>
          <w:i/>
          <w:sz w:val="20"/>
          <w:szCs w:val="20"/>
        </w:rPr>
        <w:t>supra</w:t>
      </w:r>
      <w:r w:rsidRPr="006A385C">
        <w:rPr>
          <w:rFonts w:ascii="Verdana" w:hAnsi="Verdana"/>
          <w:sz w:val="20"/>
          <w:szCs w:val="20"/>
        </w:rPr>
        <w:t xml:space="preserve"> </w:t>
      </w:r>
      <w:r w:rsidR="000432E3">
        <w:rPr>
          <w:rFonts w:ascii="Verdana" w:hAnsi="Verdana"/>
          <w:sz w:val="20"/>
          <w:szCs w:val="20"/>
        </w:rPr>
        <w:t xml:space="preserve">párr. </w:t>
      </w:r>
      <w:r w:rsidR="004C338C">
        <w:rPr>
          <w:rFonts w:ascii="Verdana" w:hAnsi="Verdana"/>
          <w:sz w:val="20"/>
          <w:szCs w:val="20"/>
        </w:rPr>
        <w:t>144</w:t>
      </w:r>
      <w:r w:rsidRPr="006A385C">
        <w:rPr>
          <w:rFonts w:ascii="Verdana" w:hAnsi="Verdana"/>
          <w:sz w:val="20"/>
          <w:szCs w:val="20"/>
        </w:rPr>
        <w:t>)</w:t>
      </w:r>
      <w:r w:rsidRPr="000432E3">
        <w:rPr>
          <w:rFonts w:ascii="Verdana" w:hAnsi="Verdana"/>
          <w:sz w:val="20"/>
          <w:szCs w:val="20"/>
        </w:rPr>
        <w:t xml:space="preserve">; </w:t>
      </w:r>
      <w:r w:rsidRPr="001903B5">
        <w:rPr>
          <w:rFonts w:ascii="Verdana" w:hAnsi="Verdana"/>
          <w:sz w:val="20"/>
          <w:szCs w:val="20"/>
        </w:rPr>
        <w:t xml:space="preserve">ii) el 14 de julio de 2011 </w:t>
      </w:r>
      <w:r w:rsidRPr="001903B5">
        <w:rPr>
          <w:rFonts w:ascii="Verdana" w:hAnsi="Verdana"/>
          <w:sz w:val="20"/>
          <w:szCs w:val="20"/>
          <w:shd w:val="clear" w:color="auto" w:fill="FFFFFF" w:themeFill="background1"/>
        </w:rPr>
        <w:t xml:space="preserve">Jaime Alvarado fue atropellado por un vehículo gris, mientras se desplazaba hacia el domicilio de su </w:t>
      </w:r>
      <w:r w:rsidRPr="00B85CF1">
        <w:rPr>
          <w:rFonts w:ascii="Verdana" w:hAnsi="Verdana"/>
          <w:sz w:val="20"/>
          <w:szCs w:val="20"/>
          <w:shd w:val="clear" w:color="auto" w:fill="FFFFFF" w:themeFill="background1"/>
        </w:rPr>
        <w:t>hermano</w:t>
      </w:r>
      <w:r w:rsidRPr="006F07E5">
        <w:rPr>
          <w:rFonts w:ascii="Verdana" w:hAnsi="Verdana"/>
          <w:sz w:val="20"/>
          <w:szCs w:val="20"/>
          <w:shd w:val="clear" w:color="auto" w:fill="FFFFFF" w:themeFill="background1"/>
        </w:rPr>
        <w:t xml:space="preserve"> J</w:t>
      </w:r>
      <w:r w:rsidRPr="001903B5">
        <w:rPr>
          <w:rFonts w:ascii="Verdana" w:hAnsi="Verdana"/>
          <w:sz w:val="20"/>
          <w:szCs w:val="20"/>
          <w:shd w:val="clear" w:color="auto" w:fill="FFFFFF" w:themeFill="background1"/>
        </w:rPr>
        <w:t xml:space="preserve">osé Ángel Alvarado, tras recibir una llamada en </w:t>
      </w:r>
      <w:r w:rsidR="006C5847">
        <w:rPr>
          <w:rFonts w:ascii="Verdana" w:hAnsi="Verdana"/>
          <w:sz w:val="20"/>
          <w:szCs w:val="20"/>
          <w:shd w:val="clear" w:color="auto" w:fill="FFFFFF" w:themeFill="background1"/>
        </w:rPr>
        <w:t>la</w:t>
      </w:r>
      <w:r w:rsidRPr="001903B5">
        <w:rPr>
          <w:rFonts w:ascii="Verdana" w:hAnsi="Verdana"/>
          <w:sz w:val="20"/>
          <w:szCs w:val="20"/>
          <w:shd w:val="clear" w:color="auto" w:fill="FFFFFF" w:themeFill="background1"/>
        </w:rPr>
        <w:t xml:space="preserve"> cual se le informaba que desconocidos estarían robando al interior de dicha vivienda</w:t>
      </w:r>
      <w:r w:rsidRPr="001903B5">
        <w:rPr>
          <w:rFonts w:ascii="Verdana" w:hAnsi="Verdana"/>
          <w:b/>
          <w:sz w:val="20"/>
          <w:szCs w:val="20"/>
          <w:shd w:val="clear" w:color="auto" w:fill="FFFFFF" w:themeFill="background1"/>
        </w:rPr>
        <w:t xml:space="preserve"> </w:t>
      </w:r>
      <w:r w:rsidRPr="006A385C">
        <w:rPr>
          <w:rFonts w:ascii="Verdana" w:hAnsi="Verdana"/>
          <w:sz w:val="20"/>
          <w:szCs w:val="20"/>
          <w:shd w:val="clear" w:color="auto" w:fill="FFFFFF" w:themeFill="background1"/>
        </w:rPr>
        <w:t>(</w:t>
      </w:r>
      <w:r w:rsidRPr="006A385C">
        <w:rPr>
          <w:rFonts w:ascii="Verdana" w:hAnsi="Verdana"/>
          <w:i/>
          <w:sz w:val="20"/>
          <w:szCs w:val="20"/>
          <w:shd w:val="clear" w:color="auto" w:fill="FFFFFF" w:themeFill="background1"/>
        </w:rPr>
        <w:t>supra</w:t>
      </w:r>
      <w:r w:rsidR="00AB434A">
        <w:rPr>
          <w:rFonts w:ascii="Verdana" w:hAnsi="Verdana"/>
          <w:sz w:val="20"/>
          <w:szCs w:val="20"/>
          <w:shd w:val="clear" w:color="auto" w:fill="FFFFFF" w:themeFill="background1"/>
        </w:rPr>
        <w:t xml:space="preserve"> párr. </w:t>
      </w:r>
      <w:r w:rsidR="004C338C">
        <w:rPr>
          <w:rFonts w:ascii="Verdana" w:hAnsi="Verdana"/>
          <w:sz w:val="20"/>
          <w:szCs w:val="20"/>
          <w:shd w:val="clear" w:color="auto" w:fill="FFFFFF" w:themeFill="background1"/>
        </w:rPr>
        <w:t>147</w:t>
      </w:r>
      <w:r w:rsidRPr="006A385C">
        <w:rPr>
          <w:rFonts w:ascii="Verdana" w:hAnsi="Verdana"/>
          <w:sz w:val="20"/>
          <w:szCs w:val="20"/>
          <w:shd w:val="clear" w:color="auto" w:fill="FFFFFF" w:themeFill="background1"/>
        </w:rPr>
        <w:t>)</w:t>
      </w:r>
      <w:r w:rsidR="00AB434A">
        <w:rPr>
          <w:rFonts w:ascii="Verdana" w:hAnsi="Verdana"/>
          <w:sz w:val="20"/>
          <w:szCs w:val="20"/>
          <w:shd w:val="clear" w:color="auto" w:fill="FFFFFF" w:themeFill="background1"/>
        </w:rPr>
        <w:t>,</w:t>
      </w:r>
      <w:r w:rsidRPr="006A385C">
        <w:rPr>
          <w:rFonts w:ascii="Verdana" w:hAnsi="Verdana"/>
          <w:sz w:val="20"/>
          <w:szCs w:val="20"/>
          <w:shd w:val="clear" w:color="auto" w:fill="FFFFFF" w:themeFill="background1"/>
        </w:rPr>
        <w:t xml:space="preserve"> </w:t>
      </w:r>
      <w:r w:rsidRPr="001903B5">
        <w:rPr>
          <w:rFonts w:ascii="Verdana" w:hAnsi="Verdana"/>
          <w:sz w:val="20"/>
          <w:szCs w:val="20"/>
        </w:rPr>
        <w:t xml:space="preserve">y iii) el 28 de agosto de 2011 el domicilio de Jaime Alvarado fue allanado, encontrándose en su interior una nota con amenazas directas </w:t>
      </w:r>
      <w:r w:rsidR="00305DA9" w:rsidRPr="006A385C">
        <w:rPr>
          <w:rFonts w:ascii="Verdana" w:hAnsi="Verdana"/>
          <w:sz w:val="20"/>
          <w:szCs w:val="20"/>
        </w:rPr>
        <w:t>(</w:t>
      </w:r>
      <w:r w:rsidR="00205AF7" w:rsidRPr="006A385C">
        <w:rPr>
          <w:rFonts w:ascii="Verdana" w:hAnsi="Verdana"/>
          <w:i/>
          <w:sz w:val="20"/>
          <w:szCs w:val="20"/>
        </w:rPr>
        <w:t>supra</w:t>
      </w:r>
      <w:r w:rsidR="00AB434A">
        <w:rPr>
          <w:rFonts w:ascii="Verdana" w:hAnsi="Verdana"/>
          <w:sz w:val="20"/>
          <w:szCs w:val="20"/>
        </w:rPr>
        <w:t xml:space="preserve"> párr.</w:t>
      </w:r>
      <w:r w:rsidR="00205AF7" w:rsidRPr="006A385C">
        <w:rPr>
          <w:rFonts w:ascii="Verdana" w:hAnsi="Verdana"/>
          <w:i/>
          <w:sz w:val="20"/>
          <w:szCs w:val="20"/>
        </w:rPr>
        <w:t xml:space="preserve"> </w:t>
      </w:r>
      <w:r w:rsidR="004C338C">
        <w:rPr>
          <w:rFonts w:ascii="Verdana" w:hAnsi="Verdana"/>
          <w:sz w:val="20"/>
          <w:szCs w:val="20"/>
        </w:rPr>
        <w:t>149</w:t>
      </w:r>
      <w:r w:rsidRPr="006A385C">
        <w:rPr>
          <w:rFonts w:ascii="Verdana" w:hAnsi="Verdana"/>
          <w:sz w:val="20"/>
          <w:szCs w:val="20"/>
        </w:rPr>
        <w:t>)</w:t>
      </w:r>
      <w:r w:rsidRPr="00AB434A">
        <w:rPr>
          <w:rFonts w:ascii="Verdana" w:hAnsi="Verdana"/>
          <w:sz w:val="20"/>
          <w:szCs w:val="20"/>
        </w:rPr>
        <w:t>.</w:t>
      </w:r>
      <w:r w:rsidRPr="001903B5">
        <w:rPr>
          <w:rFonts w:ascii="Verdana" w:hAnsi="Verdana"/>
          <w:sz w:val="20"/>
          <w:szCs w:val="20"/>
        </w:rPr>
        <w:t xml:space="preserve"> </w:t>
      </w:r>
      <w:r w:rsidRPr="001903B5">
        <w:rPr>
          <w:rFonts w:ascii="Verdana" w:hAnsi="Verdana"/>
          <w:sz w:val="20"/>
          <w:szCs w:val="20"/>
          <w:shd w:val="clear" w:color="auto" w:fill="FFFFFF" w:themeFill="background1"/>
        </w:rPr>
        <w:t>Tales hechos tuvieron lugar luego de que este familiar asumiera un rol protagónico en la búsqueda de justicia por la desaparición de sus familiares</w:t>
      </w:r>
      <w:r w:rsidRPr="006A385C">
        <w:rPr>
          <w:rFonts w:ascii="Verdana" w:hAnsi="Verdana"/>
          <w:sz w:val="20"/>
          <w:szCs w:val="20"/>
          <w:shd w:val="clear" w:color="auto" w:fill="FFFFFF" w:themeFill="background1"/>
        </w:rPr>
        <w:t>.</w:t>
      </w:r>
      <w:r w:rsidRPr="001903B5">
        <w:rPr>
          <w:rFonts w:ascii="Verdana" w:hAnsi="Verdana"/>
          <w:b/>
          <w:sz w:val="20"/>
          <w:szCs w:val="20"/>
        </w:rPr>
        <w:t xml:space="preserve"> </w:t>
      </w:r>
    </w:p>
    <w:p w14:paraId="64AA6102" w14:textId="752C4B04" w:rsidR="001903B5" w:rsidRPr="0095417D" w:rsidRDefault="001903B5" w:rsidP="00813B72">
      <w:pPr>
        <w:widowControl w:val="0"/>
        <w:numPr>
          <w:ilvl w:val="0"/>
          <w:numId w:val="4"/>
        </w:numPr>
        <w:tabs>
          <w:tab w:val="left" w:pos="567"/>
        </w:tabs>
        <w:autoSpaceDE w:val="0"/>
        <w:autoSpaceDN w:val="0"/>
        <w:adjustRightInd w:val="0"/>
        <w:spacing w:before="120" w:after="120" w:line="240" w:lineRule="auto"/>
        <w:ind w:left="0" w:firstLine="0"/>
        <w:jc w:val="both"/>
        <w:textAlignment w:val="baseline"/>
        <w:rPr>
          <w:rFonts w:ascii="Verdana" w:hAnsi="Verdana"/>
          <w:sz w:val="20"/>
          <w:szCs w:val="20"/>
        </w:rPr>
      </w:pPr>
      <w:r w:rsidRPr="001903B5">
        <w:rPr>
          <w:rFonts w:ascii="Verdana" w:hAnsi="Verdana"/>
          <w:sz w:val="20"/>
          <w:szCs w:val="20"/>
          <w:shd w:val="clear" w:color="auto" w:fill="FFFFFF" w:themeFill="background1"/>
        </w:rPr>
        <w:t xml:space="preserve">En este sentido, </w:t>
      </w:r>
      <w:r w:rsidRPr="001903B5">
        <w:rPr>
          <w:rFonts w:ascii="Verdana" w:hAnsi="Verdana"/>
          <w:sz w:val="20"/>
          <w:szCs w:val="20"/>
        </w:rPr>
        <w:t xml:space="preserve">el Tribunal </w:t>
      </w:r>
      <w:r w:rsidR="00A22B34">
        <w:rPr>
          <w:rFonts w:ascii="Verdana" w:hAnsi="Verdana"/>
          <w:sz w:val="20"/>
          <w:szCs w:val="20"/>
        </w:rPr>
        <w:t>concluye</w:t>
      </w:r>
      <w:r w:rsidR="00A22B34" w:rsidRPr="001903B5">
        <w:rPr>
          <w:rFonts w:ascii="Verdana" w:hAnsi="Verdana"/>
          <w:sz w:val="20"/>
          <w:szCs w:val="20"/>
        </w:rPr>
        <w:t xml:space="preserve"> </w:t>
      </w:r>
      <w:r w:rsidRPr="001903B5">
        <w:rPr>
          <w:rFonts w:ascii="Verdana" w:hAnsi="Verdana"/>
          <w:sz w:val="20"/>
          <w:szCs w:val="20"/>
        </w:rPr>
        <w:t xml:space="preserve">que dichos hechos vulneraron el derecho a la integridad personal </w:t>
      </w:r>
      <w:r w:rsidR="007B0787">
        <w:rPr>
          <w:rFonts w:ascii="Verdana" w:hAnsi="Verdana"/>
          <w:sz w:val="20"/>
          <w:szCs w:val="20"/>
        </w:rPr>
        <w:t xml:space="preserve">en perjuicio </w:t>
      </w:r>
      <w:r w:rsidRPr="001903B5">
        <w:rPr>
          <w:rFonts w:ascii="Verdana" w:hAnsi="Verdana"/>
          <w:sz w:val="20"/>
          <w:szCs w:val="20"/>
        </w:rPr>
        <w:t>de José Ángel Alvarado Fa</w:t>
      </w:r>
      <w:r w:rsidR="00B82930">
        <w:rPr>
          <w:rFonts w:ascii="Verdana" w:hAnsi="Verdana"/>
          <w:sz w:val="20"/>
          <w:szCs w:val="20"/>
        </w:rPr>
        <w:t>b</w:t>
      </w:r>
      <w:r w:rsidRPr="001903B5">
        <w:rPr>
          <w:rFonts w:ascii="Verdana" w:hAnsi="Verdana"/>
          <w:sz w:val="20"/>
          <w:szCs w:val="20"/>
        </w:rPr>
        <w:t>ela y Jaime Alvarado</w:t>
      </w:r>
      <w:r w:rsidR="00A22B34">
        <w:rPr>
          <w:rFonts w:ascii="Verdana" w:hAnsi="Verdana"/>
          <w:sz w:val="20"/>
          <w:szCs w:val="20"/>
        </w:rPr>
        <w:t xml:space="preserve"> Herrera</w:t>
      </w:r>
      <w:r w:rsidRPr="001903B5">
        <w:rPr>
          <w:rFonts w:ascii="Verdana" w:hAnsi="Verdana"/>
          <w:sz w:val="20"/>
          <w:szCs w:val="20"/>
        </w:rPr>
        <w:t>, así como de sus familiares, respectivamente</w:t>
      </w:r>
      <w:r w:rsidR="004D0A66">
        <w:rPr>
          <w:rFonts w:ascii="Verdana" w:hAnsi="Verdana"/>
          <w:sz w:val="20"/>
          <w:szCs w:val="20"/>
        </w:rPr>
        <w:t xml:space="preserve"> (</w:t>
      </w:r>
      <w:r w:rsidR="004D0A66">
        <w:rPr>
          <w:rFonts w:ascii="Verdana" w:hAnsi="Verdana"/>
          <w:i/>
          <w:sz w:val="20"/>
          <w:szCs w:val="20"/>
        </w:rPr>
        <w:t xml:space="preserve">supra, </w:t>
      </w:r>
      <w:r w:rsidR="004D0A66">
        <w:rPr>
          <w:rFonts w:ascii="Verdana" w:hAnsi="Verdana"/>
          <w:sz w:val="20"/>
          <w:szCs w:val="20"/>
        </w:rPr>
        <w:t xml:space="preserve">párr. </w:t>
      </w:r>
      <w:r w:rsidR="00AE384C">
        <w:rPr>
          <w:rFonts w:ascii="Verdana" w:hAnsi="Verdana"/>
          <w:sz w:val="20"/>
          <w:szCs w:val="20"/>
        </w:rPr>
        <w:t>78</w:t>
      </w:r>
      <w:r w:rsidR="004D0A66">
        <w:rPr>
          <w:rFonts w:ascii="Verdana" w:hAnsi="Verdana"/>
          <w:sz w:val="20"/>
          <w:szCs w:val="20"/>
        </w:rPr>
        <w:t>)</w:t>
      </w:r>
      <w:r w:rsidRPr="001903B5">
        <w:rPr>
          <w:rFonts w:ascii="Verdana" w:hAnsi="Verdana"/>
          <w:sz w:val="20"/>
          <w:szCs w:val="20"/>
        </w:rPr>
        <w:t xml:space="preserve">, máxime que esta Corte había ya ordenado medidas provisionales en su favor, </w:t>
      </w:r>
      <w:r w:rsidR="00A22B34">
        <w:rPr>
          <w:rFonts w:ascii="Verdana" w:hAnsi="Verdana"/>
          <w:sz w:val="20"/>
          <w:szCs w:val="20"/>
        </w:rPr>
        <w:t xml:space="preserve">las cuales fueron </w:t>
      </w:r>
      <w:r w:rsidRPr="001903B5">
        <w:rPr>
          <w:rFonts w:ascii="Verdana" w:hAnsi="Verdana"/>
          <w:sz w:val="20"/>
          <w:szCs w:val="20"/>
        </w:rPr>
        <w:t xml:space="preserve">dictadas desde el 26 de </w:t>
      </w:r>
      <w:r w:rsidRPr="001903B5">
        <w:rPr>
          <w:rFonts w:ascii="Verdana" w:hAnsi="Verdana"/>
          <w:sz w:val="20"/>
          <w:szCs w:val="20"/>
        </w:rPr>
        <w:lastRenderedPageBreak/>
        <w:t>noviembre de 2010</w:t>
      </w:r>
      <w:r w:rsidRPr="00FD4231">
        <w:rPr>
          <w:rStyle w:val="FootnoteReference"/>
          <w:rFonts w:ascii="Verdana" w:hAnsi="Verdana"/>
          <w:sz w:val="20"/>
          <w:szCs w:val="20"/>
        </w:rPr>
        <w:footnoteReference w:id="501"/>
      </w:r>
      <w:r w:rsidRPr="001903B5">
        <w:rPr>
          <w:rFonts w:ascii="Verdana" w:hAnsi="Verdana"/>
          <w:sz w:val="20"/>
          <w:szCs w:val="20"/>
        </w:rPr>
        <w:t xml:space="preserve"> (</w:t>
      </w:r>
      <w:r w:rsidR="00205AF7" w:rsidRPr="00205AF7">
        <w:rPr>
          <w:rFonts w:ascii="Verdana" w:hAnsi="Verdana"/>
          <w:i/>
          <w:sz w:val="20"/>
          <w:szCs w:val="20"/>
        </w:rPr>
        <w:t xml:space="preserve">supra </w:t>
      </w:r>
      <w:r w:rsidR="00EB28D3">
        <w:rPr>
          <w:rFonts w:ascii="Verdana" w:hAnsi="Verdana"/>
          <w:sz w:val="20"/>
          <w:szCs w:val="20"/>
        </w:rPr>
        <w:t>párr.</w:t>
      </w:r>
      <w:r w:rsidR="000335C9">
        <w:rPr>
          <w:rFonts w:ascii="Verdana" w:hAnsi="Verdana"/>
          <w:sz w:val="20"/>
          <w:szCs w:val="20"/>
        </w:rPr>
        <w:t xml:space="preserve"> </w:t>
      </w:r>
      <w:r w:rsidR="004C338C">
        <w:rPr>
          <w:rFonts w:ascii="Verdana" w:hAnsi="Verdana"/>
          <w:sz w:val="20"/>
          <w:szCs w:val="20"/>
        </w:rPr>
        <w:t>143</w:t>
      </w:r>
      <w:r w:rsidRPr="001903B5">
        <w:rPr>
          <w:rFonts w:ascii="Verdana" w:hAnsi="Verdana"/>
          <w:sz w:val="20"/>
          <w:szCs w:val="20"/>
        </w:rPr>
        <w:t xml:space="preserve">). Asimismo, pese a haber </w:t>
      </w:r>
      <w:r w:rsidR="005A24AE">
        <w:rPr>
          <w:rFonts w:ascii="Verdana" w:hAnsi="Verdana"/>
          <w:sz w:val="20"/>
          <w:szCs w:val="20"/>
        </w:rPr>
        <w:t xml:space="preserve">sido </w:t>
      </w:r>
      <w:r w:rsidRPr="001903B5">
        <w:rPr>
          <w:rFonts w:ascii="Verdana" w:hAnsi="Verdana"/>
          <w:sz w:val="20"/>
          <w:szCs w:val="20"/>
        </w:rPr>
        <w:t>denunciado</w:t>
      </w:r>
      <w:r w:rsidR="005A24AE">
        <w:rPr>
          <w:rFonts w:ascii="Verdana" w:hAnsi="Verdana"/>
          <w:sz w:val="20"/>
          <w:szCs w:val="20"/>
        </w:rPr>
        <w:t>s</w:t>
      </w:r>
      <w:r w:rsidRPr="001903B5">
        <w:rPr>
          <w:rFonts w:ascii="Verdana" w:hAnsi="Verdana"/>
          <w:sz w:val="20"/>
          <w:szCs w:val="20"/>
        </w:rPr>
        <w:t xml:space="preserve"> los hechos ocurridos, </w:t>
      </w:r>
      <w:r w:rsidR="005A24AE">
        <w:rPr>
          <w:rFonts w:ascii="Verdana" w:hAnsi="Verdana"/>
          <w:sz w:val="20"/>
          <w:szCs w:val="20"/>
        </w:rPr>
        <w:t xml:space="preserve">hasta la actualidad </w:t>
      </w:r>
      <w:r w:rsidRPr="001903B5">
        <w:rPr>
          <w:rFonts w:ascii="Verdana" w:hAnsi="Verdana"/>
          <w:sz w:val="20"/>
          <w:szCs w:val="20"/>
        </w:rPr>
        <w:t xml:space="preserve">el Estado no ha </w:t>
      </w:r>
      <w:r w:rsidR="002B4A82">
        <w:rPr>
          <w:rFonts w:ascii="Verdana" w:hAnsi="Verdana"/>
          <w:sz w:val="20"/>
          <w:szCs w:val="20"/>
        </w:rPr>
        <w:t>esclarecido los mismos</w:t>
      </w:r>
      <w:r w:rsidRPr="001903B5">
        <w:rPr>
          <w:rFonts w:ascii="Verdana" w:hAnsi="Verdana"/>
          <w:sz w:val="20"/>
          <w:szCs w:val="20"/>
        </w:rPr>
        <w:t>.</w:t>
      </w:r>
    </w:p>
    <w:p w14:paraId="64AA6104" w14:textId="1CADD151" w:rsidR="001903B5" w:rsidRPr="0095417D" w:rsidRDefault="001903B5" w:rsidP="00813B72">
      <w:pPr>
        <w:widowControl w:val="0"/>
        <w:numPr>
          <w:ilvl w:val="0"/>
          <w:numId w:val="4"/>
        </w:numPr>
        <w:tabs>
          <w:tab w:val="left" w:pos="567"/>
        </w:tabs>
        <w:autoSpaceDE w:val="0"/>
        <w:autoSpaceDN w:val="0"/>
        <w:adjustRightInd w:val="0"/>
        <w:spacing w:before="120" w:after="120" w:line="240" w:lineRule="auto"/>
        <w:ind w:left="0" w:firstLine="0"/>
        <w:jc w:val="both"/>
        <w:textAlignment w:val="baseline"/>
        <w:rPr>
          <w:rFonts w:ascii="Verdana" w:hAnsi="Verdana"/>
          <w:sz w:val="20"/>
          <w:szCs w:val="20"/>
        </w:rPr>
      </w:pPr>
      <w:r w:rsidRPr="001903B5">
        <w:rPr>
          <w:rFonts w:ascii="Verdana" w:hAnsi="Verdana" w:cs="ArialMT"/>
          <w:sz w:val="20"/>
          <w:szCs w:val="20"/>
          <w:lang w:val="es-CR"/>
        </w:rPr>
        <w:t>Respecto de los demás alegatos de supuestas amenazas realizados por l</w:t>
      </w:r>
      <w:r w:rsidR="007B0787">
        <w:rPr>
          <w:rFonts w:ascii="Verdana" w:hAnsi="Verdana" w:cs="ArialMT"/>
          <w:sz w:val="20"/>
          <w:szCs w:val="20"/>
          <w:lang w:val="es-CR"/>
        </w:rPr>
        <w:t>a</w:t>
      </w:r>
      <w:r w:rsidRPr="001903B5">
        <w:rPr>
          <w:rFonts w:ascii="Verdana" w:hAnsi="Verdana" w:cs="ArialMT"/>
          <w:sz w:val="20"/>
          <w:szCs w:val="20"/>
          <w:lang w:val="es-CR"/>
        </w:rPr>
        <w:t>s representantes, la Corte no cuenta con elementos suficientes y de causalidad para concluir que hayan constituido una violación autónoma al derecho a la integridad personal</w:t>
      </w:r>
      <w:r>
        <w:rPr>
          <w:rStyle w:val="FootnoteReference"/>
          <w:rFonts w:ascii="Verdana" w:hAnsi="Verdana" w:cs="ArialMT"/>
          <w:sz w:val="20"/>
          <w:szCs w:val="20"/>
          <w:lang w:val="es-CR"/>
        </w:rPr>
        <w:footnoteReference w:id="502"/>
      </w:r>
      <w:r w:rsidRPr="001903B5">
        <w:rPr>
          <w:rFonts w:ascii="Verdana" w:hAnsi="Verdana" w:cs="ArialMT"/>
          <w:sz w:val="20"/>
          <w:szCs w:val="20"/>
          <w:lang w:val="es-CR"/>
        </w:rPr>
        <w:t xml:space="preserve">.  </w:t>
      </w:r>
    </w:p>
    <w:p w14:paraId="64AA6106" w14:textId="730C82E4" w:rsidR="001903B5" w:rsidRPr="00660FDA" w:rsidRDefault="00556FDB" w:rsidP="00660FDA">
      <w:pPr>
        <w:pStyle w:val="Heading4"/>
        <w:numPr>
          <w:ilvl w:val="0"/>
          <w:numId w:val="66"/>
        </w:numPr>
        <w:spacing w:before="120" w:after="120"/>
        <w:contextualSpacing w:val="0"/>
        <w:rPr>
          <w:u w:val="none"/>
        </w:rPr>
      </w:pPr>
      <w:r>
        <w:rPr>
          <w:u w:val="none"/>
        </w:rPr>
        <w:t xml:space="preserve"> </w:t>
      </w:r>
      <w:bookmarkStart w:id="320" w:name="_Toc532995395"/>
      <w:r w:rsidR="001903B5" w:rsidRPr="00660FDA">
        <w:rPr>
          <w:u w:val="none"/>
        </w:rPr>
        <w:t>Respecto del desplazamiento forzado</w:t>
      </w:r>
      <w:r w:rsidR="0029469F" w:rsidRPr="00660FDA">
        <w:rPr>
          <w:u w:val="none"/>
        </w:rPr>
        <w:t xml:space="preserve"> y protección </w:t>
      </w:r>
      <w:r w:rsidR="001903B5" w:rsidRPr="00660FDA">
        <w:rPr>
          <w:u w:val="none"/>
        </w:rPr>
        <w:t>familiar</w:t>
      </w:r>
      <w:bookmarkEnd w:id="320"/>
    </w:p>
    <w:p w14:paraId="64AA6108" w14:textId="3F46C89F" w:rsidR="001903B5" w:rsidRPr="0095417D" w:rsidRDefault="001903B5" w:rsidP="00813B72">
      <w:pPr>
        <w:widowControl w:val="0"/>
        <w:numPr>
          <w:ilvl w:val="0"/>
          <w:numId w:val="4"/>
        </w:numPr>
        <w:tabs>
          <w:tab w:val="left" w:pos="567"/>
        </w:tabs>
        <w:autoSpaceDE w:val="0"/>
        <w:autoSpaceDN w:val="0"/>
        <w:adjustRightInd w:val="0"/>
        <w:spacing w:before="120" w:after="120" w:line="240" w:lineRule="auto"/>
        <w:ind w:left="0" w:firstLine="0"/>
        <w:jc w:val="both"/>
        <w:textAlignment w:val="baseline"/>
        <w:rPr>
          <w:rFonts w:ascii="Verdana" w:hAnsi="Verdana"/>
          <w:sz w:val="20"/>
          <w:szCs w:val="20"/>
        </w:rPr>
      </w:pPr>
      <w:r>
        <w:rPr>
          <w:rFonts w:ascii="Verdana" w:eastAsia="Calibri" w:hAnsi="Verdana"/>
          <w:bCs/>
          <w:sz w:val="20"/>
          <w:szCs w:val="20"/>
        </w:rPr>
        <w:t>A la luz de la controversia planteada r</w:t>
      </w:r>
      <w:r w:rsidRPr="00D33CEE">
        <w:rPr>
          <w:rFonts w:ascii="Verdana" w:eastAsia="Calibri" w:hAnsi="Verdana"/>
          <w:bCs/>
          <w:sz w:val="20"/>
          <w:szCs w:val="20"/>
        </w:rPr>
        <w:t xml:space="preserve">especto del alegado desplazamiento forzado (artículo 22), </w:t>
      </w:r>
      <w:r w:rsidRPr="00185B82">
        <w:rPr>
          <w:rFonts w:ascii="Verdana" w:eastAsia="Calibri" w:hAnsi="Verdana"/>
          <w:bCs/>
          <w:sz w:val="20"/>
          <w:szCs w:val="20"/>
        </w:rPr>
        <w:t xml:space="preserve">corresponde a la Corte determinar en qué medida el traslado del lugar de los hechos por parte de distintos miembros de la familia, aun cuando los destinos fueran distintos, estuvo determinado por los </w:t>
      </w:r>
      <w:r>
        <w:rPr>
          <w:rFonts w:ascii="Verdana" w:eastAsia="Calibri" w:hAnsi="Verdana"/>
          <w:bCs/>
          <w:sz w:val="20"/>
          <w:szCs w:val="20"/>
        </w:rPr>
        <w:t>distintos sucesos del caso, principalmente a la luz del deber de garantía (art</w:t>
      </w:r>
      <w:r w:rsidR="007E5466">
        <w:rPr>
          <w:rFonts w:ascii="Verdana" w:eastAsia="Calibri" w:hAnsi="Verdana"/>
          <w:bCs/>
          <w:sz w:val="20"/>
          <w:szCs w:val="20"/>
        </w:rPr>
        <w:t>ículo</w:t>
      </w:r>
      <w:r>
        <w:rPr>
          <w:rFonts w:ascii="Verdana" w:eastAsia="Calibri" w:hAnsi="Verdana"/>
          <w:bCs/>
          <w:sz w:val="20"/>
          <w:szCs w:val="20"/>
        </w:rPr>
        <w:t xml:space="preserve"> 1.1) y el deber de prevención relacionado con este derecho. </w:t>
      </w:r>
    </w:p>
    <w:p w14:paraId="403B564B" w14:textId="61B847CE" w:rsidR="00E67802" w:rsidRPr="0095417D" w:rsidRDefault="001903B5" w:rsidP="00813B72">
      <w:pPr>
        <w:widowControl w:val="0"/>
        <w:numPr>
          <w:ilvl w:val="0"/>
          <w:numId w:val="4"/>
        </w:numPr>
        <w:tabs>
          <w:tab w:val="left" w:pos="567"/>
        </w:tabs>
        <w:autoSpaceDE w:val="0"/>
        <w:autoSpaceDN w:val="0"/>
        <w:adjustRightInd w:val="0"/>
        <w:spacing w:before="120" w:after="120" w:line="240" w:lineRule="auto"/>
        <w:ind w:left="0" w:firstLine="0"/>
        <w:jc w:val="both"/>
        <w:textAlignment w:val="baseline"/>
        <w:rPr>
          <w:rFonts w:ascii="Verdana" w:hAnsi="Verdana"/>
          <w:sz w:val="20"/>
          <w:szCs w:val="20"/>
        </w:rPr>
      </w:pPr>
      <w:r w:rsidRPr="001903B5">
        <w:rPr>
          <w:rFonts w:ascii="Verdana" w:eastAsia="Calibri" w:hAnsi="Verdana" w:cs="Arial"/>
          <w:sz w:val="20"/>
          <w:szCs w:val="20"/>
        </w:rPr>
        <w:t xml:space="preserve">La Corte ha señalado que </w:t>
      </w:r>
      <w:r w:rsidRPr="001903B5">
        <w:rPr>
          <w:rFonts w:ascii="Verdana" w:eastAsia="Calibri" w:hAnsi="Verdana" w:cs="Calibri"/>
          <w:sz w:val="20"/>
          <w:szCs w:val="20"/>
          <w:lang w:val="es-ES"/>
        </w:rPr>
        <w:t xml:space="preserve">el derecho de circulación y de residencia […] contempla, </w:t>
      </w:r>
      <w:r w:rsidRPr="001903B5">
        <w:rPr>
          <w:rFonts w:ascii="Verdana" w:eastAsia="Calibri" w:hAnsi="Verdana" w:cs="Calibri"/>
          <w:i/>
          <w:sz w:val="20"/>
          <w:szCs w:val="20"/>
          <w:lang w:val="es-ES"/>
        </w:rPr>
        <w:t>inter alia</w:t>
      </w:r>
      <w:r w:rsidRPr="001903B5">
        <w:rPr>
          <w:rFonts w:ascii="Verdana" w:eastAsia="Calibri" w:hAnsi="Verdana" w:cs="Calibri"/>
          <w:sz w:val="20"/>
          <w:szCs w:val="20"/>
          <w:lang w:val="es-ES"/>
        </w:rPr>
        <w:t>, el derecho de quienes se encuentren legalmente dentro de un Estado a circular libremente en él así como escoger su lugar de residencia</w:t>
      </w:r>
      <w:r w:rsidRPr="00B9390E">
        <w:rPr>
          <w:rFonts w:eastAsia="Calibri" w:cs="Times New Roman"/>
          <w:vertAlign w:val="superscript"/>
          <w:lang w:val="es-ES"/>
        </w:rPr>
        <w:footnoteReference w:id="503"/>
      </w:r>
      <w:r w:rsidRPr="001903B5">
        <w:rPr>
          <w:rFonts w:ascii="Verdana" w:eastAsia="Calibri" w:hAnsi="Verdana" w:cs="Calibri"/>
          <w:sz w:val="20"/>
          <w:szCs w:val="20"/>
          <w:lang w:val="es-ES"/>
        </w:rPr>
        <w:t>. Este derecho puede ser vulnerado de manera formal o por restricciones de facto cuando el Estado no ha establecido las condiciones, ni provisto los medios que permiten ejercerlo</w:t>
      </w:r>
      <w:r w:rsidRPr="00B9390E">
        <w:rPr>
          <w:rFonts w:eastAsia="Calibri" w:cs="Times New Roman"/>
          <w:vertAlign w:val="superscript"/>
          <w:lang w:val="es-ES"/>
        </w:rPr>
        <w:footnoteReference w:id="504"/>
      </w:r>
      <w:r w:rsidRPr="001903B5">
        <w:rPr>
          <w:rFonts w:ascii="Verdana" w:eastAsia="Calibri" w:hAnsi="Verdana" w:cs="Calibri"/>
          <w:sz w:val="20"/>
          <w:szCs w:val="20"/>
          <w:lang w:val="es-ES"/>
        </w:rPr>
        <w:t xml:space="preserve">. Dichas afectaciones de facto pueden ocurrir cuando una persona es víctima de amenazas u hostigamientos y el Estado no provee las garantías necesarias para que pueda transitar y residir libremente en </w:t>
      </w:r>
      <w:r w:rsidR="00305DA9">
        <w:rPr>
          <w:rFonts w:ascii="Verdana" w:eastAsia="Calibri" w:hAnsi="Verdana" w:cs="Calibri"/>
          <w:sz w:val="20"/>
          <w:szCs w:val="20"/>
          <w:lang w:val="es-ES"/>
        </w:rPr>
        <w:t xml:space="preserve">el territorio de que se trate, </w:t>
      </w:r>
      <w:r w:rsidR="00305DA9">
        <w:rPr>
          <w:rFonts w:ascii="Verdana" w:eastAsia="Calibri" w:hAnsi="Verdana" w:cs="Times New Roman"/>
          <w:sz w:val="20"/>
          <w:szCs w:val="20"/>
        </w:rPr>
        <w:t xml:space="preserve">inclusive </w:t>
      </w:r>
      <w:r w:rsidRPr="001903B5">
        <w:rPr>
          <w:rFonts w:ascii="Verdana" w:eastAsia="Calibri" w:hAnsi="Verdana" w:cs="Times New Roman"/>
          <w:sz w:val="20"/>
          <w:szCs w:val="20"/>
        </w:rPr>
        <w:t>cuando las amenazas y hostigamientos provienen de actores no estatales</w:t>
      </w:r>
      <w:r w:rsidRPr="00B9390E">
        <w:rPr>
          <w:rFonts w:eastAsia="Calibri" w:cs="Times New Roman"/>
          <w:vertAlign w:val="superscript"/>
        </w:rPr>
        <w:footnoteReference w:id="505"/>
      </w:r>
      <w:r w:rsidRPr="001903B5">
        <w:rPr>
          <w:rFonts w:ascii="Verdana" w:eastAsia="Calibri" w:hAnsi="Verdana" w:cs="Times New Roman"/>
          <w:sz w:val="20"/>
          <w:szCs w:val="20"/>
        </w:rPr>
        <w:t>.</w:t>
      </w:r>
      <w:r w:rsidR="00E67802">
        <w:rPr>
          <w:rFonts w:ascii="Verdana" w:eastAsia="Calibri" w:hAnsi="Verdana" w:cs="Times New Roman"/>
          <w:sz w:val="20"/>
          <w:szCs w:val="20"/>
        </w:rPr>
        <w:t xml:space="preserve"> Asimismo, la Corte </w:t>
      </w:r>
      <w:r w:rsidR="0095417D">
        <w:rPr>
          <w:rFonts w:ascii="Verdana" w:eastAsia="Calibri" w:hAnsi="Verdana" w:cs="Times New Roman"/>
          <w:sz w:val="20"/>
          <w:szCs w:val="20"/>
        </w:rPr>
        <w:t>h</w:t>
      </w:r>
      <w:r w:rsidR="00E67802">
        <w:rPr>
          <w:rFonts w:ascii="Verdana" w:eastAsia="Calibri" w:hAnsi="Verdana" w:cs="Times New Roman"/>
          <w:sz w:val="20"/>
          <w:szCs w:val="20"/>
        </w:rPr>
        <w:t xml:space="preserve">a afirmado </w:t>
      </w:r>
      <w:r w:rsidR="00E67802">
        <w:rPr>
          <w:rFonts w:ascii="Verdana" w:hAnsi="Verdana"/>
          <w:sz w:val="20"/>
          <w:szCs w:val="20"/>
        </w:rPr>
        <w:t>que l</w:t>
      </w:r>
      <w:r w:rsidR="00E67802" w:rsidRPr="00E67802">
        <w:rPr>
          <w:rFonts w:ascii="Verdana" w:eastAsiaTheme="minorHAnsi" w:hAnsi="Verdana" w:cs="Verdana"/>
          <w:sz w:val="20"/>
          <w:szCs w:val="20"/>
          <w:lang w:val="es-CR"/>
        </w:rPr>
        <w:t>a falta de una investigación efectiva de hechos violentos puede</w:t>
      </w:r>
      <w:r w:rsidR="00E67802">
        <w:rPr>
          <w:rFonts w:ascii="Verdana" w:hAnsi="Verdana"/>
          <w:sz w:val="20"/>
          <w:szCs w:val="20"/>
        </w:rPr>
        <w:t xml:space="preserve"> </w:t>
      </w:r>
      <w:r w:rsidR="00E67802" w:rsidRPr="00E67802">
        <w:rPr>
          <w:rFonts w:ascii="Verdana" w:eastAsiaTheme="minorHAnsi" w:hAnsi="Verdana" w:cs="Verdana"/>
          <w:sz w:val="20"/>
          <w:szCs w:val="20"/>
          <w:lang w:val="es-CR"/>
        </w:rPr>
        <w:t>propiciar o perpetuar un exilio o desplazamiento forzado</w:t>
      </w:r>
      <w:r w:rsidR="00E67802">
        <w:rPr>
          <w:rStyle w:val="FootnoteReference"/>
          <w:rFonts w:ascii="Verdana" w:eastAsiaTheme="minorHAnsi" w:hAnsi="Verdana" w:cs="Verdana"/>
          <w:sz w:val="20"/>
          <w:szCs w:val="20"/>
          <w:lang w:val="es-CR"/>
        </w:rPr>
        <w:footnoteReference w:id="506"/>
      </w:r>
      <w:r w:rsidR="00E67802" w:rsidRPr="008D0846">
        <w:rPr>
          <w:rFonts w:ascii="Verdana" w:eastAsiaTheme="minorHAnsi" w:hAnsi="Verdana" w:cs="Verdana"/>
          <w:sz w:val="20"/>
          <w:szCs w:val="20"/>
          <w:lang w:val="es-CR"/>
        </w:rPr>
        <w:t>.</w:t>
      </w:r>
    </w:p>
    <w:p w14:paraId="64AA610C" w14:textId="198B5275" w:rsidR="001903B5" w:rsidRPr="0095417D" w:rsidRDefault="001903B5" w:rsidP="00813B72">
      <w:pPr>
        <w:widowControl w:val="0"/>
        <w:numPr>
          <w:ilvl w:val="0"/>
          <w:numId w:val="4"/>
        </w:numPr>
        <w:tabs>
          <w:tab w:val="left" w:pos="567"/>
        </w:tabs>
        <w:autoSpaceDE w:val="0"/>
        <w:autoSpaceDN w:val="0"/>
        <w:adjustRightInd w:val="0"/>
        <w:spacing w:before="120" w:after="120" w:line="240" w:lineRule="auto"/>
        <w:ind w:left="0" w:firstLine="0"/>
        <w:jc w:val="both"/>
        <w:textAlignment w:val="baseline"/>
        <w:rPr>
          <w:rFonts w:ascii="Verdana" w:hAnsi="Verdana"/>
          <w:sz w:val="20"/>
          <w:szCs w:val="20"/>
        </w:rPr>
      </w:pPr>
      <w:r w:rsidRPr="001903B5">
        <w:rPr>
          <w:rFonts w:ascii="Verdana" w:hAnsi="Verdana"/>
          <w:sz w:val="20"/>
          <w:szCs w:val="20"/>
        </w:rPr>
        <w:t>La Corte ya ha dado cuenta de un contexto de riesgo en la región</w:t>
      </w:r>
      <w:r>
        <w:rPr>
          <w:rStyle w:val="FootnoteReference"/>
          <w:rFonts w:ascii="Verdana" w:hAnsi="Verdana"/>
          <w:sz w:val="20"/>
          <w:szCs w:val="20"/>
        </w:rPr>
        <w:footnoteReference w:id="507"/>
      </w:r>
      <w:r w:rsidRPr="001903B5">
        <w:rPr>
          <w:rFonts w:ascii="Verdana" w:hAnsi="Verdana"/>
          <w:sz w:val="20"/>
          <w:szCs w:val="20"/>
        </w:rPr>
        <w:t>, así como se ha desprendido un riesgo implícito para los familiares derivado de la búsqueda del esclarecimiento de las desapariciones forzadas, particularmente, acentuado con motivo de las denuncias presentadas, señalamientos concretos de la participación de autoridades del ejército y participación activa en las investigaciones ministeriales. Adicionalmente, dicho riesgo se ha materializado posteriormente con actos de amenazas concretos (</w:t>
      </w:r>
      <w:r w:rsidR="00205AF7" w:rsidRPr="00205AF7">
        <w:rPr>
          <w:rFonts w:ascii="Verdana" w:hAnsi="Verdana"/>
          <w:i/>
          <w:sz w:val="20"/>
          <w:szCs w:val="20"/>
        </w:rPr>
        <w:t xml:space="preserve">supra </w:t>
      </w:r>
      <w:r w:rsidR="007E5466">
        <w:rPr>
          <w:rFonts w:ascii="Verdana" w:hAnsi="Verdana"/>
          <w:sz w:val="20"/>
          <w:szCs w:val="20"/>
        </w:rPr>
        <w:t>párr. 270</w:t>
      </w:r>
      <w:r w:rsidRPr="001903B5">
        <w:rPr>
          <w:rFonts w:ascii="Verdana" w:hAnsi="Verdana"/>
          <w:sz w:val="20"/>
          <w:szCs w:val="20"/>
        </w:rPr>
        <w:t xml:space="preserve">). </w:t>
      </w:r>
    </w:p>
    <w:p w14:paraId="64AA610E" w14:textId="1057A5F5" w:rsidR="001903B5" w:rsidRPr="0095417D" w:rsidRDefault="001903B5" w:rsidP="00813B72">
      <w:pPr>
        <w:widowControl w:val="0"/>
        <w:numPr>
          <w:ilvl w:val="0"/>
          <w:numId w:val="4"/>
        </w:numPr>
        <w:tabs>
          <w:tab w:val="left" w:pos="567"/>
        </w:tabs>
        <w:autoSpaceDE w:val="0"/>
        <w:autoSpaceDN w:val="0"/>
        <w:adjustRightInd w:val="0"/>
        <w:spacing w:before="120" w:after="120" w:line="240" w:lineRule="auto"/>
        <w:ind w:left="0" w:firstLine="0"/>
        <w:jc w:val="both"/>
        <w:textAlignment w:val="baseline"/>
        <w:rPr>
          <w:rFonts w:ascii="Verdana" w:hAnsi="Verdana"/>
          <w:sz w:val="20"/>
          <w:szCs w:val="20"/>
        </w:rPr>
      </w:pPr>
      <w:r w:rsidRPr="001903B5">
        <w:rPr>
          <w:rFonts w:ascii="Verdana" w:hAnsi="Verdana"/>
          <w:sz w:val="20"/>
          <w:szCs w:val="20"/>
        </w:rPr>
        <w:t xml:space="preserve">Asimismo, la Corte reitera el conocimiento concreto sobre la situación de riesgo de los </w:t>
      </w:r>
      <w:r w:rsidRPr="001903B5">
        <w:rPr>
          <w:rFonts w:ascii="Verdana" w:hAnsi="Verdana"/>
          <w:sz w:val="20"/>
          <w:szCs w:val="20"/>
        </w:rPr>
        <w:lastRenderedPageBreak/>
        <w:t>familiares, particularmente a partir de la adopción de medidas provisionales por parte de esta Corte, mediante Resolución de 26 de noviembre de 2010 y siguientes ampliaciones</w:t>
      </w:r>
      <w:r w:rsidRPr="00FD4231">
        <w:rPr>
          <w:rStyle w:val="FootnoteReference"/>
          <w:rFonts w:ascii="Verdana" w:hAnsi="Verdana"/>
          <w:sz w:val="20"/>
          <w:szCs w:val="20"/>
        </w:rPr>
        <w:footnoteReference w:id="508"/>
      </w:r>
      <w:r w:rsidRPr="001903B5">
        <w:rPr>
          <w:rFonts w:ascii="Verdana" w:hAnsi="Verdana"/>
          <w:sz w:val="20"/>
          <w:szCs w:val="20"/>
        </w:rPr>
        <w:t>, mediante las cuales solicitó al Estado adoptar las medidas que fueron necesarias para proteger la vida e integridad personal de distintos familiares beneficiarios</w:t>
      </w:r>
      <w:r w:rsidRPr="00FD4231">
        <w:rPr>
          <w:rStyle w:val="FootnoteReference"/>
          <w:rFonts w:ascii="Verdana" w:hAnsi="Verdana"/>
          <w:sz w:val="20"/>
          <w:szCs w:val="20"/>
        </w:rPr>
        <w:footnoteReference w:id="509"/>
      </w:r>
      <w:r w:rsidRPr="001903B5">
        <w:rPr>
          <w:rFonts w:ascii="Verdana" w:hAnsi="Verdana"/>
          <w:sz w:val="20"/>
          <w:szCs w:val="20"/>
        </w:rPr>
        <w:t>. Al respecto, la Corte ha sostenido que corresponde a las autoridades estatales que toman conocimiento de una situación de riesgo especial, identificar o valorar si la persona objeto de amenazas y hostigamientos requiere de medidas de protección o remitir a la autoridad competente para hacerlo, así como ofrecer a la persona en riesgo información oportuna sobre las medidas disponibles</w:t>
      </w:r>
      <w:r w:rsidRPr="00FD4231">
        <w:rPr>
          <w:rStyle w:val="FootnoteReference"/>
          <w:rFonts w:ascii="Verdana" w:hAnsi="Verdana"/>
          <w:sz w:val="20"/>
          <w:szCs w:val="20"/>
        </w:rPr>
        <w:footnoteReference w:id="510"/>
      </w:r>
      <w:r w:rsidRPr="001903B5">
        <w:rPr>
          <w:rFonts w:ascii="Verdana" w:hAnsi="Verdana"/>
          <w:sz w:val="20"/>
          <w:szCs w:val="20"/>
        </w:rPr>
        <w:t xml:space="preserve">. </w:t>
      </w:r>
    </w:p>
    <w:p w14:paraId="64AA6114" w14:textId="3E1C5294" w:rsidR="001903B5" w:rsidRPr="0095417D" w:rsidRDefault="001903B5" w:rsidP="009417B1">
      <w:pPr>
        <w:widowControl w:val="0"/>
        <w:numPr>
          <w:ilvl w:val="0"/>
          <w:numId w:val="4"/>
        </w:numPr>
        <w:tabs>
          <w:tab w:val="left" w:pos="567"/>
        </w:tabs>
        <w:autoSpaceDE w:val="0"/>
        <w:autoSpaceDN w:val="0"/>
        <w:adjustRightInd w:val="0"/>
        <w:spacing w:before="120" w:after="120" w:line="240" w:lineRule="auto"/>
        <w:ind w:left="0" w:firstLine="0"/>
        <w:jc w:val="both"/>
        <w:textAlignment w:val="baseline"/>
        <w:rPr>
          <w:rFonts w:ascii="Verdana" w:hAnsi="Verdana"/>
          <w:sz w:val="20"/>
          <w:szCs w:val="20"/>
        </w:rPr>
      </w:pPr>
      <w:r>
        <w:rPr>
          <w:rFonts w:ascii="Verdana" w:hAnsi="Verdana"/>
          <w:sz w:val="20"/>
          <w:szCs w:val="20"/>
        </w:rPr>
        <w:t xml:space="preserve">En particular, </w:t>
      </w:r>
      <w:r w:rsidR="0011708C">
        <w:rPr>
          <w:rFonts w:ascii="Verdana" w:hAnsi="Verdana"/>
          <w:sz w:val="20"/>
          <w:szCs w:val="20"/>
        </w:rPr>
        <w:t xml:space="preserve">la Corte acreditó que los distintos grupos familiares </w:t>
      </w:r>
      <w:r w:rsidR="00C57FCB">
        <w:rPr>
          <w:rFonts w:ascii="Verdana" w:hAnsi="Verdana"/>
          <w:sz w:val="20"/>
          <w:szCs w:val="20"/>
        </w:rPr>
        <w:t xml:space="preserve">se han visto en la necesidad de realizar </w:t>
      </w:r>
      <w:r w:rsidR="0011708C">
        <w:rPr>
          <w:rFonts w:ascii="Verdana" w:hAnsi="Verdana"/>
          <w:sz w:val="20"/>
          <w:szCs w:val="20"/>
        </w:rPr>
        <w:t>diversos desplazamiento en el territorio</w:t>
      </w:r>
      <w:r w:rsidR="00C57FCB">
        <w:rPr>
          <w:rFonts w:ascii="Verdana" w:hAnsi="Verdana"/>
          <w:sz w:val="20"/>
          <w:szCs w:val="20"/>
        </w:rPr>
        <w:t xml:space="preserve"> nacional y otros fuera de este (</w:t>
      </w:r>
      <w:r w:rsidR="00C57FCB" w:rsidRPr="00F40CA4">
        <w:rPr>
          <w:rFonts w:ascii="Verdana" w:hAnsi="Verdana"/>
          <w:i/>
          <w:sz w:val="20"/>
        </w:rPr>
        <w:t xml:space="preserve">supra </w:t>
      </w:r>
      <w:r w:rsidR="00C57FCB">
        <w:rPr>
          <w:rFonts w:ascii="Verdana" w:hAnsi="Verdana"/>
          <w:sz w:val="20"/>
          <w:szCs w:val="20"/>
        </w:rPr>
        <w:t xml:space="preserve">párrs. </w:t>
      </w:r>
      <w:r w:rsidR="007E5466">
        <w:rPr>
          <w:rFonts w:ascii="Verdana" w:hAnsi="Verdana"/>
          <w:sz w:val="20"/>
          <w:szCs w:val="20"/>
        </w:rPr>
        <w:t>151</w:t>
      </w:r>
      <w:r w:rsidR="00C57FCB">
        <w:rPr>
          <w:rFonts w:ascii="Verdana" w:hAnsi="Verdana"/>
          <w:sz w:val="20"/>
          <w:szCs w:val="20"/>
        </w:rPr>
        <w:t xml:space="preserve"> al </w:t>
      </w:r>
      <w:r w:rsidR="007E5466">
        <w:rPr>
          <w:rFonts w:ascii="Verdana" w:hAnsi="Verdana"/>
          <w:sz w:val="20"/>
          <w:szCs w:val="20"/>
        </w:rPr>
        <w:t>156</w:t>
      </w:r>
      <w:r w:rsidR="00C57FCB">
        <w:rPr>
          <w:rFonts w:ascii="Verdana" w:hAnsi="Verdana"/>
          <w:sz w:val="20"/>
          <w:szCs w:val="20"/>
        </w:rPr>
        <w:t xml:space="preserve">). </w:t>
      </w:r>
      <w:r>
        <w:rPr>
          <w:rFonts w:ascii="Verdana" w:hAnsi="Verdana"/>
          <w:sz w:val="20"/>
          <w:szCs w:val="20"/>
        </w:rPr>
        <w:t>En vista de lo anterior, e</w:t>
      </w:r>
      <w:r w:rsidRPr="00A601B0">
        <w:rPr>
          <w:rFonts w:ascii="Verdana" w:hAnsi="Verdana"/>
          <w:sz w:val="20"/>
          <w:szCs w:val="20"/>
        </w:rPr>
        <w:t xml:space="preserve">ste Tribunal </w:t>
      </w:r>
      <w:r>
        <w:rPr>
          <w:rFonts w:ascii="Verdana" w:hAnsi="Verdana"/>
          <w:sz w:val="20"/>
          <w:szCs w:val="20"/>
        </w:rPr>
        <w:t>estima</w:t>
      </w:r>
      <w:r w:rsidRPr="00A601B0">
        <w:rPr>
          <w:rFonts w:ascii="Verdana" w:hAnsi="Verdana"/>
          <w:sz w:val="20"/>
          <w:szCs w:val="20"/>
        </w:rPr>
        <w:t xml:space="preserve"> que para el momento del desplazamiento de los grupos familiares, era evidente que las autoridades tenían conocimiento de que habían ocurrido actos </w:t>
      </w:r>
      <w:r>
        <w:rPr>
          <w:rFonts w:ascii="Verdana" w:hAnsi="Verdana"/>
          <w:sz w:val="20"/>
          <w:szCs w:val="20"/>
        </w:rPr>
        <w:t>de amenazas</w:t>
      </w:r>
      <w:r w:rsidRPr="00A601B0">
        <w:rPr>
          <w:rFonts w:ascii="Verdana" w:hAnsi="Verdana"/>
          <w:sz w:val="20"/>
          <w:szCs w:val="20"/>
        </w:rPr>
        <w:t xml:space="preserve"> y que el contexto y demá</w:t>
      </w:r>
      <w:r w:rsidRPr="00375343">
        <w:rPr>
          <w:rFonts w:ascii="Verdana" w:hAnsi="Verdana"/>
          <w:sz w:val="20"/>
          <w:szCs w:val="20"/>
        </w:rPr>
        <w:t>s elementos del caso permitían establecer la posibili</w:t>
      </w:r>
      <w:r>
        <w:rPr>
          <w:rFonts w:ascii="Verdana" w:hAnsi="Verdana"/>
          <w:sz w:val="20"/>
          <w:szCs w:val="20"/>
        </w:rPr>
        <w:t xml:space="preserve">dad concreta de su realización. Algunas de las </w:t>
      </w:r>
      <w:r w:rsidRPr="00375343">
        <w:rPr>
          <w:rFonts w:ascii="Verdana" w:hAnsi="Verdana"/>
          <w:sz w:val="20"/>
          <w:szCs w:val="20"/>
        </w:rPr>
        <w:t>medidas de seguridad adoptadas</w:t>
      </w:r>
      <w:r>
        <w:rPr>
          <w:rFonts w:ascii="Verdana" w:hAnsi="Verdana"/>
          <w:sz w:val="20"/>
          <w:szCs w:val="20"/>
        </w:rPr>
        <w:t xml:space="preserve"> por el Estado</w:t>
      </w:r>
      <w:r w:rsidRPr="00375343">
        <w:rPr>
          <w:rFonts w:ascii="Verdana" w:hAnsi="Verdana"/>
          <w:sz w:val="20"/>
          <w:szCs w:val="20"/>
        </w:rPr>
        <w:t xml:space="preserve"> consistieron en construcciones </w:t>
      </w:r>
      <w:r w:rsidRPr="007620D1">
        <w:rPr>
          <w:rFonts w:ascii="Verdana" w:hAnsi="Verdana"/>
          <w:sz w:val="20"/>
          <w:szCs w:val="20"/>
        </w:rPr>
        <w:t xml:space="preserve">e instalaciones genéricas que </w:t>
      </w:r>
      <w:r w:rsidRPr="00627BC1">
        <w:rPr>
          <w:rFonts w:ascii="Verdana" w:hAnsi="Verdana"/>
          <w:sz w:val="20"/>
          <w:szCs w:val="20"/>
        </w:rPr>
        <w:t>no se adecuaron</w:t>
      </w:r>
      <w:r>
        <w:rPr>
          <w:rFonts w:ascii="Verdana" w:hAnsi="Verdana"/>
          <w:sz w:val="20"/>
          <w:szCs w:val="20"/>
        </w:rPr>
        <w:t xml:space="preserve"> a las necesidades familiares, según lo establecido por los propios beneficiarios, por lo </w:t>
      </w:r>
      <w:r w:rsidR="00006E26">
        <w:rPr>
          <w:rFonts w:ascii="Verdana" w:hAnsi="Verdana"/>
          <w:sz w:val="20"/>
          <w:szCs w:val="20"/>
        </w:rPr>
        <w:t xml:space="preserve">que </w:t>
      </w:r>
      <w:r>
        <w:rPr>
          <w:rFonts w:ascii="Verdana" w:hAnsi="Verdana"/>
          <w:sz w:val="20"/>
          <w:szCs w:val="20"/>
        </w:rPr>
        <w:t>la Corte nota que los desplazamientos ocurridos correspondieron en gran medida a la falta de protección efectiva brindada por el Estado</w:t>
      </w:r>
      <w:r>
        <w:rPr>
          <w:rStyle w:val="FootnoteReference"/>
          <w:rFonts w:ascii="Verdana" w:hAnsi="Verdana"/>
          <w:sz w:val="20"/>
          <w:szCs w:val="20"/>
        </w:rPr>
        <w:footnoteReference w:id="511"/>
      </w:r>
      <w:r>
        <w:rPr>
          <w:rFonts w:ascii="Verdana" w:hAnsi="Verdana"/>
          <w:sz w:val="20"/>
          <w:szCs w:val="20"/>
        </w:rPr>
        <w:t xml:space="preserve">. </w:t>
      </w:r>
    </w:p>
    <w:p w14:paraId="64AA6116" w14:textId="4B7FCF21" w:rsidR="001903B5" w:rsidRPr="00C66BBA" w:rsidRDefault="001903B5" w:rsidP="00813B72">
      <w:pPr>
        <w:widowControl w:val="0"/>
        <w:numPr>
          <w:ilvl w:val="0"/>
          <w:numId w:val="4"/>
        </w:numPr>
        <w:tabs>
          <w:tab w:val="left" w:pos="567"/>
        </w:tabs>
        <w:autoSpaceDE w:val="0"/>
        <w:autoSpaceDN w:val="0"/>
        <w:adjustRightInd w:val="0"/>
        <w:spacing w:before="120" w:after="120" w:line="240" w:lineRule="auto"/>
        <w:ind w:left="0" w:firstLine="0"/>
        <w:jc w:val="both"/>
        <w:textAlignment w:val="baseline"/>
        <w:rPr>
          <w:rFonts w:ascii="Verdana" w:hAnsi="Verdana"/>
          <w:sz w:val="20"/>
          <w:szCs w:val="20"/>
          <w:lang w:val="es-HN"/>
        </w:rPr>
      </w:pPr>
      <w:r w:rsidRPr="00E53B76">
        <w:rPr>
          <w:rFonts w:ascii="Verdana" w:hAnsi="Verdana"/>
          <w:sz w:val="20"/>
          <w:szCs w:val="20"/>
          <w:lang w:val="es-HN"/>
        </w:rPr>
        <w:t>Al respecto, en su Resolución de Medidas Provisionales de 14 de marzo de 2018, la Corte reiteró que ya había llamado la atención al Estado</w:t>
      </w:r>
      <w:r w:rsidRPr="00E53B76">
        <w:rPr>
          <w:rStyle w:val="FootnoteReference"/>
          <w:rFonts w:ascii="Verdana" w:hAnsi="Verdana"/>
          <w:sz w:val="20"/>
          <w:szCs w:val="20"/>
          <w:lang w:val="es-HN"/>
        </w:rPr>
        <w:footnoteReference w:id="512"/>
      </w:r>
      <w:r w:rsidRPr="00E53B76">
        <w:rPr>
          <w:rFonts w:ascii="Verdana" w:hAnsi="Verdana"/>
          <w:sz w:val="20"/>
          <w:szCs w:val="20"/>
          <w:lang w:val="es-HN"/>
        </w:rPr>
        <w:t xml:space="preserve"> sobre el incumplimiento en la realización de un análisis de riesgo específico solicitado desde su Resolución de 23 de junio de 2015 (Considerando 18 y Resolutivo 5), por lo que reiteró al Estado su realización inmediata. En atención a lo anterior, la Corte tomó nota que, pese a lo ordenado reiteradamente, hasta la f</w:t>
      </w:r>
      <w:r w:rsidRPr="0021124B">
        <w:rPr>
          <w:rFonts w:ascii="Verdana" w:hAnsi="Verdana"/>
          <w:sz w:val="20"/>
          <w:szCs w:val="20"/>
          <w:lang w:val="es-HN"/>
        </w:rPr>
        <w:t>echa de diversos incidentes, el Estado no había cumplido con la realización del mencionado análisis de riesgo de las personas beneficiarias, lo cual resultaba inaceptable en relación con sus obligaciones internacionales, por lo que la falta de implementaci</w:t>
      </w:r>
      <w:r w:rsidRPr="006A3F76">
        <w:rPr>
          <w:rFonts w:ascii="Verdana" w:hAnsi="Verdana"/>
          <w:sz w:val="20"/>
          <w:szCs w:val="20"/>
          <w:lang w:val="es-HN"/>
        </w:rPr>
        <w:t>ón de las medidas provisionales de manera integral podía derivar en daños graves o irreparables a las personas beneficiarias de las mismas, dejando sin efecto tales medidas. Finalmente, el 27 de marzo del 2018 el Estado transmitió el diagnóstico de riesgo</w:t>
      </w:r>
      <w:r w:rsidRPr="00E53B76">
        <w:rPr>
          <w:rStyle w:val="FootnoteReference"/>
          <w:rFonts w:ascii="Verdana" w:hAnsi="Verdana"/>
          <w:sz w:val="20"/>
          <w:szCs w:val="20"/>
        </w:rPr>
        <w:footnoteReference w:id="513"/>
      </w:r>
      <w:r w:rsidRPr="00E53B76">
        <w:rPr>
          <w:rFonts w:ascii="Verdana" w:hAnsi="Verdana"/>
          <w:sz w:val="20"/>
          <w:szCs w:val="20"/>
          <w:lang w:val="es-HN"/>
        </w:rPr>
        <w:t xml:space="preserve">, en el cual confirmó la situación de riesgo en que se encuentran </w:t>
      </w:r>
      <w:r w:rsidRPr="00C66BBA">
        <w:rPr>
          <w:rFonts w:ascii="Verdana" w:hAnsi="Verdana"/>
          <w:sz w:val="20"/>
          <w:szCs w:val="20"/>
          <w:lang w:val="es-HN"/>
        </w:rPr>
        <w:t>los familiares.</w:t>
      </w:r>
    </w:p>
    <w:p w14:paraId="64AA6118" w14:textId="52B31DCA" w:rsidR="001903B5" w:rsidRPr="00C66BBA" w:rsidRDefault="001903B5" w:rsidP="00813B72">
      <w:pPr>
        <w:widowControl w:val="0"/>
        <w:numPr>
          <w:ilvl w:val="0"/>
          <w:numId w:val="4"/>
        </w:numPr>
        <w:tabs>
          <w:tab w:val="left" w:pos="567"/>
        </w:tabs>
        <w:autoSpaceDE w:val="0"/>
        <w:autoSpaceDN w:val="0"/>
        <w:adjustRightInd w:val="0"/>
        <w:spacing w:before="120" w:after="120" w:line="240" w:lineRule="auto"/>
        <w:ind w:left="0" w:firstLine="0"/>
        <w:jc w:val="both"/>
        <w:textAlignment w:val="baseline"/>
        <w:rPr>
          <w:rFonts w:ascii="Verdana" w:hAnsi="Verdana"/>
          <w:b/>
          <w:sz w:val="20"/>
          <w:szCs w:val="20"/>
        </w:rPr>
      </w:pPr>
      <w:r w:rsidRPr="00C66BBA">
        <w:rPr>
          <w:rFonts w:ascii="Verdana" w:hAnsi="Verdana"/>
          <w:sz w:val="20"/>
          <w:szCs w:val="20"/>
        </w:rPr>
        <w:lastRenderedPageBreak/>
        <w:t>Por otra parte, la Corte ha reafirmado que la obligación de garantía para el Estado […] de proteger los derechos de las personas desplazadas conlleva no sólo el deber de adoptar medidas de prevención sino también proveer las condiciones necesarias para facilitar un retorno voluntario, digno y seguro a su lugar de residencia habitual o a su reasentamiento voluntario en otra parte del país</w:t>
      </w:r>
      <w:r w:rsidRPr="00C66BBA">
        <w:rPr>
          <w:rFonts w:ascii="Verdana" w:hAnsi="Verdana"/>
          <w:sz w:val="20"/>
          <w:szCs w:val="20"/>
          <w:vertAlign w:val="superscript"/>
        </w:rPr>
        <w:footnoteReference w:id="514"/>
      </w:r>
      <w:r w:rsidRPr="00C66BBA">
        <w:rPr>
          <w:rFonts w:ascii="Verdana" w:hAnsi="Verdana"/>
          <w:sz w:val="20"/>
          <w:szCs w:val="20"/>
        </w:rPr>
        <w:t xml:space="preserve">. En este sentido, la Corte verifica que hasta el momento no se han tomado las medidas efectivas e integrales necesarias a fin de garantizar el retorno de los distintos grupos familiares que así lo soliciten. </w:t>
      </w:r>
    </w:p>
    <w:p w14:paraId="64AA6119" w14:textId="067CC42A" w:rsidR="001903B5" w:rsidRPr="00C90B3F" w:rsidRDefault="001903B5" w:rsidP="00813B72">
      <w:pPr>
        <w:widowControl w:val="0"/>
        <w:numPr>
          <w:ilvl w:val="0"/>
          <w:numId w:val="4"/>
        </w:numPr>
        <w:tabs>
          <w:tab w:val="left" w:pos="567"/>
        </w:tabs>
        <w:autoSpaceDE w:val="0"/>
        <w:autoSpaceDN w:val="0"/>
        <w:adjustRightInd w:val="0"/>
        <w:spacing w:before="120" w:after="120" w:line="240" w:lineRule="auto"/>
        <w:ind w:left="0" w:firstLine="0"/>
        <w:jc w:val="both"/>
        <w:textAlignment w:val="baseline"/>
        <w:rPr>
          <w:rFonts w:ascii="Verdana" w:hAnsi="Verdana"/>
          <w:b/>
          <w:sz w:val="20"/>
        </w:rPr>
      </w:pPr>
      <w:r>
        <w:rPr>
          <w:rFonts w:ascii="Verdana" w:hAnsi="Verdana"/>
          <w:sz w:val="20"/>
          <w:szCs w:val="20"/>
        </w:rPr>
        <w:t xml:space="preserve">Sin perjuicio de lo anterior, la Corte constató que el grupo familiar de </w:t>
      </w:r>
      <w:r w:rsidRPr="00FC6FAE">
        <w:rPr>
          <w:rFonts w:ascii="Verdana" w:eastAsia="Calibri" w:hAnsi="Verdana"/>
          <w:bCs/>
          <w:sz w:val="20"/>
          <w:szCs w:val="20"/>
        </w:rPr>
        <w:t xml:space="preserve">Patricia Reyes Rueda, </w:t>
      </w:r>
      <w:r w:rsidRPr="009E2343">
        <w:rPr>
          <w:rFonts w:ascii="Verdana" w:eastAsia="Calibri" w:hAnsi="Verdana"/>
          <w:bCs/>
          <w:sz w:val="20"/>
          <w:szCs w:val="20"/>
        </w:rPr>
        <w:t xml:space="preserve">A.M.U.A, A.A.R, A.R.A.R, Manuel Reyes Lira y </w:t>
      </w:r>
      <w:r>
        <w:rPr>
          <w:rFonts w:ascii="Verdana" w:eastAsia="Calibri" w:hAnsi="Verdana"/>
          <w:bCs/>
          <w:sz w:val="20"/>
          <w:szCs w:val="20"/>
        </w:rPr>
        <w:t xml:space="preserve">María de Jesús Rueda Villanueva, fueron trasladados </w:t>
      </w:r>
      <w:r w:rsidRPr="009E2343">
        <w:rPr>
          <w:rFonts w:ascii="Verdana" w:eastAsia="Calibri" w:hAnsi="Verdana"/>
          <w:bCs/>
          <w:sz w:val="20"/>
          <w:szCs w:val="20"/>
        </w:rPr>
        <w:t xml:space="preserve">a </w:t>
      </w:r>
      <w:r w:rsidRPr="00C90B3F">
        <w:rPr>
          <w:rFonts w:ascii="Verdana" w:eastAsia="Calibri" w:hAnsi="Verdana"/>
          <w:sz w:val="20"/>
        </w:rPr>
        <w:t>Benito Juárez</w:t>
      </w:r>
      <w:r w:rsidRPr="009E2343">
        <w:rPr>
          <w:rFonts w:ascii="Verdana" w:eastAsia="Calibri" w:hAnsi="Verdana"/>
          <w:bCs/>
          <w:sz w:val="20"/>
          <w:szCs w:val="20"/>
        </w:rPr>
        <w:t xml:space="preserve"> luego de haber convenido con el Estado las medidas de reubicación en un refugio de seguridad</w:t>
      </w:r>
      <w:r w:rsidRPr="00FD4231">
        <w:rPr>
          <w:rStyle w:val="FootnoteReference"/>
          <w:rFonts w:ascii="Verdana" w:eastAsia="Calibri" w:hAnsi="Verdana"/>
          <w:bCs/>
          <w:sz w:val="20"/>
          <w:szCs w:val="20"/>
        </w:rPr>
        <w:footnoteReference w:id="515"/>
      </w:r>
      <w:r w:rsidRPr="00FD4231">
        <w:rPr>
          <w:rFonts w:ascii="Verdana" w:eastAsia="Calibri" w:hAnsi="Verdana"/>
          <w:bCs/>
          <w:sz w:val="20"/>
          <w:szCs w:val="20"/>
        </w:rPr>
        <w:t>, el cual consistió</w:t>
      </w:r>
      <w:r w:rsidRPr="00A601B0">
        <w:rPr>
          <w:rFonts w:ascii="Verdana" w:eastAsia="Calibri" w:hAnsi="Verdana"/>
          <w:bCs/>
          <w:sz w:val="20"/>
          <w:szCs w:val="20"/>
        </w:rPr>
        <w:t xml:space="preserve"> en el arrendamiento de un inmueble y servicio de alimentación para ella y su familia</w:t>
      </w:r>
      <w:r w:rsidR="00256B09">
        <w:rPr>
          <w:rFonts w:ascii="Verdana" w:eastAsia="Calibri" w:hAnsi="Verdana"/>
          <w:bCs/>
          <w:sz w:val="20"/>
          <w:szCs w:val="20"/>
        </w:rPr>
        <w:t>, por lo que el Estado afirm</w:t>
      </w:r>
      <w:r w:rsidR="007E5466">
        <w:rPr>
          <w:rFonts w:ascii="Verdana" w:eastAsia="Calibri" w:hAnsi="Verdana"/>
          <w:bCs/>
          <w:sz w:val="20"/>
          <w:szCs w:val="20"/>
        </w:rPr>
        <w:t>ó</w:t>
      </w:r>
      <w:r w:rsidR="00256B09">
        <w:rPr>
          <w:rFonts w:ascii="Verdana" w:eastAsia="Calibri" w:hAnsi="Verdana"/>
          <w:bCs/>
          <w:sz w:val="20"/>
          <w:szCs w:val="20"/>
        </w:rPr>
        <w:t xml:space="preserve"> no haber violentado su derecho reconocido en el artículo 22 convencional (</w:t>
      </w:r>
      <w:r w:rsidR="00F40CA4" w:rsidRPr="00F40CA4">
        <w:rPr>
          <w:rFonts w:ascii="Verdana" w:eastAsia="Calibri" w:hAnsi="Verdana"/>
          <w:bCs/>
          <w:i/>
          <w:sz w:val="20"/>
          <w:szCs w:val="20"/>
        </w:rPr>
        <w:t xml:space="preserve">supra </w:t>
      </w:r>
      <w:r w:rsidR="007E5466">
        <w:rPr>
          <w:rFonts w:ascii="Verdana" w:eastAsia="Calibri" w:hAnsi="Verdana"/>
          <w:bCs/>
          <w:sz w:val="20"/>
          <w:szCs w:val="20"/>
        </w:rPr>
        <w:t>262</w:t>
      </w:r>
      <w:r w:rsidR="00256B09">
        <w:rPr>
          <w:rFonts w:ascii="Verdana" w:eastAsia="Calibri" w:hAnsi="Verdana"/>
          <w:bCs/>
          <w:sz w:val="20"/>
          <w:szCs w:val="20"/>
        </w:rPr>
        <w:t>)</w:t>
      </w:r>
      <w:r w:rsidRPr="00256B09">
        <w:rPr>
          <w:rFonts w:ascii="Verdana" w:eastAsia="Calibri" w:hAnsi="Verdana"/>
          <w:bCs/>
          <w:sz w:val="20"/>
          <w:szCs w:val="20"/>
        </w:rPr>
        <w:t>.</w:t>
      </w:r>
      <w:r>
        <w:rPr>
          <w:rFonts w:ascii="Verdana" w:eastAsia="Calibri" w:hAnsi="Verdana"/>
          <w:bCs/>
          <w:sz w:val="20"/>
          <w:szCs w:val="20"/>
        </w:rPr>
        <w:t xml:space="preserve"> Sobre este particular, el Tribunal advierte que </w:t>
      </w:r>
      <w:r w:rsidR="00AF3744">
        <w:rPr>
          <w:rFonts w:ascii="Verdana" w:eastAsia="Calibri" w:hAnsi="Verdana"/>
          <w:bCs/>
          <w:sz w:val="20"/>
          <w:szCs w:val="20"/>
        </w:rPr>
        <w:t xml:space="preserve">si bien el </w:t>
      </w:r>
      <w:r>
        <w:rPr>
          <w:rFonts w:ascii="Verdana" w:eastAsia="Calibri" w:hAnsi="Verdana"/>
          <w:bCs/>
          <w:sz w:val="20"/>
          <w:szCs w:val="20"/>
        </w:rPr>
        <w:t xml:space="preserve">Estado </w:t>
      </w:r>
      <w:r w:rsidR="00AF3744">
        <w:rPr>
          <w:rFonts w:ascii="Verdana" w:eastAsia="Calibri" w:hAnsi="Verdana"/>
          <w:bCs/>
          <w:sz w:val="20"/>
          <w:szCs w:val="20"/>
        </w:rPr>
        <w:t xml:space="preserve">brindó </w:t>
      </w:r>
      <w:r w:rsidR="00A64184">
        <w:rPr>
          <w:rFonts w:ascii="Verdana" w:eastAsia="Calibri" w:hAnsi="Verdana"/>
          <w:bCs/>
          <w:sz w:val="20"/>
          <w:szCs w:val="20"/>
        </w:rPr>
        <w:t>algunas</w:t>
      </w:r>
      <w:r>
        <w:rPr>
          <w:rFonts w:ascii="Verdana" w:eastAsia="Calibri" w:hAnsi="Verdana"/>
          <w:bCs/>
          <w:sz w:val="20"/>
          <w:szCs w:val="20"/>
        </w:rPr>
        <w:t xml:space="preserve"> </w:t>
      </w:r>
      <w:r w:rsidR="00AF3744">
        <w:rPr>
          <w:rFonts w:ascii="Verdana" w:eastAsia="Calibri" w:hAnsi="Verdana"/>
          <w:bCs/>
          <w:sz w:val="20"/>
          <w:szCs w:val="20"/>
        </w:rPr>
        <w:t>medidas de seguridad frente al riesgo</w:t>
      </w:r>
      <w:r w:rsidR="00A64184">
        <w:rPr>
          <w:rFonts w:ascii="Verdana" w:eastAsia="Calibri" w:hAnsi="Verdana"/>
          <w:bCs/>
          <w:sz w:val="20"/>
          <w:szCs w:val="20"/>
        </w:rPr>
        <w:t>, las cuales fueron adoptadas</w:t>
      </w:r>
      <w:r w:rsidR="00AF3744">
        <w:rPr>
          <w:rFonts w:ascii="Verdana" w:eastAsia="Calibri" w:hAnsi="Verdana"/>
          <w:bCs/>
          <w:sz w:val="20"/>
          <w:szCs w:val="20"/>
        </w:rPr>
        <w:t xml:space="preserve"> de común acuerdo con las beneficiarias, dicho grupo familiar </w:t>
      </w:r>
      <w:r w:rsidR="00A64184">
        <w:rPr>
          <w:rFonts w:ascii="Verdana" w:eastAsia="Calibri" w:hAnsi="Verdana"/>
          <w:bCs/>
          <w:sz w:val="20"/>
          <w:szCs w:val="20"/>
        </w:rPr>
        <w:t xml:space="preserve">ya </w:t>
      </w:r>
      <w:r w:rsidR="00AF3744">
        <w:rPr>
          <w:rFonts w:ascii="Verdana" w:eastAsia="Calibri" w:hAnsi="Verdana"/>
          <w:bCs/>
          <w:sz w:val="20"/>
          <w:szCs w:val="20"/>
        </w:rPr>
        <w:t>ha salido de dicho refugio</w:t>
      </w:r>
      <w:r w:rsidR="00256B09">
        <w:rPr>
          <w:rFonts w:ascii="Verdana" w:eastAsia="Calibri" w:hAnsi="Verdana"/>
          <w:bCs/>
          <w:sz w:val="20"/>
          <w:szCs w:val="20"/>
        </w:rPr>
        <w:t xml:space="preserve"> y se ha vuelto a trasladar</w:t>
      </w:r>
      <w:r w:rsidR="00AF3744">
        <w:rPr>
          <w:rFonts w:ascii="Verdana" w:eastAsia="Calibri" w:hAnsi="Verdana"/>
          <w:bCs/>
          <w:sz w:val="20"/>
          <w:szCs w:val="20"/>
        </w:rPr>
        <w:t xml:space="preserve">, por lo que la Corte entiende </w:t>
      </w:r>
      <w:r w:rsidR="00A64184">
        <w:rPr>
          <w:rFonts w:ascii="Verdana" w:eastAsia="Calibri" w:hAnsi="Verdana"/>
          <w:bCs/>
          <w:sz w:val="20"/>
          <w:szCs w:val="20"/>
        </w:rPr>
        <w:t xml:space="preserve">que </w:t>
      </w:r>
      <w:r w:rsidR="00AF3744">
        <w:rPr>
          <w:rFonts w:ascii="Verdana" w:eastAsia="Calibri" w:hAnsi="Verdana"/>
          <w:bCs/>
          <w:sz w:val="20"/>
          <w:szCs w:val="20"/>
        </w:rPr>
        <w:t xml:space="preserve">dicha medida </w:t>
      </w:r>
      <w:r w:rsidR="00256B09">
        <w:rPr>
          <w:rFonts w:ascii="Verdana" w:eastAsia="Calibri" w:hAnsi="Verdana"/>
          <w:bCs/>
          <w:sz w:val="20"/>
          <w:szCs w:val="20"/>
        </w:rPr>
        <w:t xml:space="preserve">asistencial </w:t>
      </w:r>
      <w:r w:rsidR="00AF3744">
        <w:rPr>
          <w:rFonts w:ascii="Verdana" w:eastAsia="Calibri" w:hAnsi="Verdana"/>
          <w:bCs/>
          <w:sz w:val="20"/>
          <w:szCs w:val="20"/>
        </w:rPr>
        <w:t>tuvo un carácter temporal</w:t>
      </w:r>
      <w:r w:rsidR="00F8731E">
        <w:rPr>
          <w:rFonts w:ascii="Verdana" w:eastAsia="Calibri" w:hAnsi="Verdana"/>
          <w:bCs/>
          <w:sz w:val="20"/>
          <w:szCs w:val="20"/>
        </w:rPr>
        <w:t xml:space="preserve"> </w:t>
      </w:r>
      <w:r w:rsidR="00F8731E" w:rsidRPr="008D0846">
        <w:rPr>
          <w:rFonts w:ascii="Verdana" w:eastAsia="Calibri" w:hAnsi="Verdana"/>
          <w:bCs/>
          <w:sz w:val="20"/>
          <w:szCs w:val="20"/>
        </w:rPr>
        <w:t>e ineficaz</w:t>
      </w:r>
      <w:r w:rsidR="00AF3744">
        <w:rPr>
          <w:rFonts w:ascii="Verdana" w:eastAsia="Calibri" w:hAnsi="Verdana"/>
          <w:bCs/>
          <w:sz w:val="20"/>
          <w:szCs w:val="20"/>
        </w:rPr>
        <w:t xml:space="preserve"> y no así una solución como garantía de retorno o reubicación frente al riesgo y contexto del caso. </w:t>
      </w:r>
    </w:p>
    <w:p w14:paraId="193F7875" w14:textId="40BB62CF" w:rsidR="00C10619" w:rsidRPr="0095417D" w:rsidRDefault="001903B5" w:rsidP="00813B72">
      <w:pPr>
        <w:widowControl w:val="0"/>
        <w:numPr>
          <w:ilvl w:val="0"/>
          <w:numId w:val="4"/>
        </w:numPr>
        <w:tabs>
          <w:tab w:val="left" w:pos="567"/>
        </w:tabs>
        <w:autoSpaceDE w:val="0"/>
        <w:autoSpaceDN w:val="0"/>
        <w:adjustRightInd w:val="0"/>
        <w:spacing w:before="120" w:after="120" w:line="240" w:lineRule="auto"/>
        <w:ind w:left="0" w:firstLine="0"/>
        <w:jc w:val="both"/>
        <w:textAlignment w:val="baseline"/>
        <w:rPr>
          <w:rFonts w:ascii="Verdana" w:hAnsi="Verdana"/>
          <w:strike/>
          <w:sz w:val="20"/>
          <w:szCs w:val="20"/>
        </w:rPr>
      </w:pPr>
      <w:r w:rsidRPr="00050530">
        <w:rPr>
          <w:rFonts w:ascii="Verdana" w:hAnsi="Verdana"/>
          <w:sz w:val="20"/>
          <w:szCs w:val="20"/>
        </w:rPr>
        <w:t>En relación con el derecho a la famili</w:t>
      </w:r>
      <w:r w:rsidR="008D4347" w:rsidRPr="00050530">
        <w:rPr>
          <w:rFonts w:ascii="Verdana" w:hAnsi="Verdana"/>
          <w:sz w:val="20"/>
          <w:szCs w:val="20"/>
        </w:rPr>
        <w:t>a, la Corte ha considerado en casos de desplazamiento forzado que ese fenómeno, en tanto conlleve la separación o fragmentación del núcleo familiar, puede generar la responsabilidad del Estado por la transgresión d</w:t>
      </w:r>
      <w:r w:rsidR="006E1798" w:rsidRPr="00050530">
        <w:rPr>
          <w:rFonts w:ascii="Verdana" w:hAnsi="Verdana"/>
          <w:sz w:val="20"/>
          <w:szCs w:val="20"/>
        </w:rPr>
        <w:t>el artículo 17 de la Convención</w:t>
      </w:r>
      <w:r w:rsidR="006E1798">
        <w:rPr>
          <w:rStyle w:val="FootnoteReference"/>
          <w:rFonts w:ascii="Verdana" w:hAnsi="Verdana"/>
          <w:sz w:val="20"/>
          <w:szCs w:val="20"/>
        </w:rPr>
        <w:footnoteReference w:id="516"/>
      </w:r>
      <w:r w:rsidR="006E1798" w:rsidRPr="00050530">
        <w:rPr>
          <w:rFonts w:ascii="Verdana" w:hAnsi="Verdana"/>
          <w:sz w:val="20"/>
          <w:szCs w:val="20"/>
        </w:rPr>
        <w:t xml:space="preserve">. </w:t>
      </w:r>
    </w:p>
    <w:p w14:paraId="4DABC2DC" w14:textId="33BBDEDE" w:rsidR="008D4347" w:rsidRPr="00F6449D" w:rsidRDefault="00C10619" w:rsidP="00813B72">
      <w:pPr>
        <w:widowControl w:val="0"/>
        <w:numPr>
          <w:ilvl w:val="0"/>
          <w:numId w:val="4"/>
        </w:numPr>
        <w:tabs>
          <w:tab w:val="left" w:pos="567"/>
        </w:tabs>
        <w:autoSpaceDE w:val="0"/>
        <w:autoSpaceDN w:val="0"/>
        <w:adjustRightInd w:val="0"/>
        <w:spacing w:before="120" w:after="120" w:line="240" w:lineRule="auto"/>
        <w:ind w:left="0" w:firstLine="0"/>
        <w:jc w:val="both"/>
        <w:textAlignment w:val="baseline"/>
        <w:rPr>
          <w:rFonts w:ascii="Verdana" w:hAnsi="Verdana"/>
          <w:b/>
          <w:sz w:val="20"/>
          <w:szCs w:val="20"/>
        </w:rPr>
      </w:pPr>
      <w:r w:rsidRPr="00F6449D">
        <w:rPr>
          <w:rFonts w:ascii="Verdana" w:hAnsi="Verdana"/>
          <w:sz w:val="20"/>
          <w:szCs w:val="20"/>
        </w:rPr>
        <w:t xml:space="preserve">Al respecto, </w:t>
      </w:r>
      <w:r w:rsidRPr="00F6449D">
        <w:rPr>
          <w:rFonts w:ascii="Verdana" w:hAnsi="Verdana"/>
          <w:sz w:val="20"/>
          <w:szCs w:val="20"/>
          <w:lang w:val="es-ES"/>
        </w:rPr>
        <w:t xml:space="preserve">en el marco del presente proceso, fueron presentados numerosas declaraciones que dan cuenta del efecto que ha tenido sobre la integridad de la familia Alvarado, así como en la vida de cada uno de sus integrantes, el hecho que hayan tenido que </w:t>
      </w:r>
      <w:r w:rsidR="008D4347" w:rsidRPr="00F6449D">
        <w:rPr>
          <w:rFonts w:ascii="Verdana" w:hAnsi="Verdana"/>
          <w:sz w:val="20"/>
          <w:szCs w:val="20"/>
          <w:lang w:val="es-ES"/>
        </w:rPr>
        <w:t>dispersarse fuera de sus lugares de origen</w:t>
      </w:r>
      <w:r w:rsidR="002D1825" w:rsidRPr="00F6449D">
        <w:rPr>
          <w:rFonts w:ascii="Verdana" w:hAnsi="Verdana"/>
          <w:sz w:val="20"/>
          <w:szCs w:val="20"/>
          <w:lang w:val="es-ES"/>
        </w:rPr>
        <w:t xml:space="preserve"> y desintegrarse como familia</w:t>
      </w:r>
      <w:r w:rsidR="002D1825" w:rsidRPr="00F6449D">
        <w:rPr>
          <w:rStyle w:val="FootnoteReference"/>
          <w:rFonts w:ascii="Verdana" w:hAnsi="Verdana"/>
          <w:sz w:val="20"/>
          <w:szCs w:val="20"/>
          <w:lang w:val="es-ES"/>
        </w:rPr>
        <w:footnoteReference w:id="517"/>
      </w:r>
      <w:r w:rsidRPr="00F6449D">
        <w:rPr>
          <w:rFonts w:ascii="Verdana" w:hAnsi="Verdana"/>
          <w:sz w:val="20"/>
          <w:szCs w:val="20"/>
          <w:lang w:val="es-ES"/>
        </w:rPr>
        <w:t xml:space="preserve">, sin que el Estado </w:t>
      </w:r>
      <w:r w:rsidR="008D4347" w:rsidRPr="00F6449D">
        <w:rPr>
          <w:rFonts w:ascii="Verdana" w:hAnsi="Verdana"/>
          <w:sz w:val="20"/>
          <w:szCs w:val="20"/>
          <w:lang w:val="es-ES"/>
        </w:rPr>
        <w:t>haya brindado en definitiva</w:t>
      </w:r>
      <w:r w:rsidRPr="00F6449D">
        <w:rPr>
          <w:rFonts w:ascii="Verdana" w:hAnsi="Verdana"/>
          <w:sz w:val="20"/>
          <w:szCs w:val="20"/>
          <w:lang w:val="es-ES"/>
        </w:rPr>
        <w:t xml:space="preserve"> las condiciones de seguridad para su retorno</w:t>
      </w:r>
      <w:r w:rsidR="006A3F76" w:rsidRPr="00F6449D">
        <w:rPr>
          <w:rFonts w:ascii="Verdana" w:hAnsi="Verdana"/>
          <w:sz w:val="20"/>
          <w:szCs w:val="20"/>
          <w:lang w:val="es-ES"/>
        </w:rPr>
        <w:t xml:space="preserve"> o </w:t>
      </w:r>
      <w:r w:rsidR="00C66BBA" w:rsidRPr="00F6449D">
        <w:rPr>
          <w:rFonts w:ascii="Verdana" w:hAnsi="Verdana"/>
          <w:sz w:val="20"/>
          <w:szCs w:val="20"/>
          <w:lang w:val="es-ES"/>
        </w:rPr>
        <w:t>reubicación</w:t>
      </w:r>
      <w:r w:rsidRPr="00F6449D">
        <w:rPr>
          <w:rFonts w:ascii="Verdana" w:hAnsi="Verdana"/>
          <w:sz w:val="20"/>
          <w:szCs w:val="20"/>
          <w:lang w:val="es-ES"/>
        </w:rPr>
        <w:t xml:space="preserve">. </w:t>
      </w:r>
    </w:p>
    <w:p w14:paraId="64AA611F" w14:textId="5E5D695E" w:rsidR="001903B5" w:rsidRPr="003564A3" w:rsidRDefault="001903B5" w:rsidP="003564A3">
      <w:pPr>
        <w:widowControl w:val="0"/>
        <w:numPr>
          <w:ilvl w:val="0"/>
          <w:numId w:val="4"/>
        </w:numPr>
        <w:tabs>
          <w:tab w:val="left" w:pos="567"/>
        </w:tabs>
        <w:autoSpaceDE w:val="0"/>
        <w:autoSpaceDN w:val="0"/>
        <w:adjustRightInd w:val="0"/>
        <w:spacing w:before="120" w:after="120" w:line="240" w:lineRule="auto"/>
        <w:ind w:left="0" w:firstLine="0"/>
        <w:jc w:val="both"/>
        <w:textAlignment w:val="baseline"/>
        <w:rPr>
          <w:rFonts w:ascii="Verdana" w:hAnsi="Verdana"/>
          <w:sz w:val="20"/>
          <w:szCs w:val="20"/>
        </w:rPr>
      </w:pPr>
      <w:r w:rsidRPr="008D4347">
        <w:rPr>
          <w:rFonts w:ascii="Verdana" w:hAnsi="Verdana"/>
          <w:sz w:val="20"/>
          <w:szCs w:val="20"/>
        </w:rPr>
        <w:t>En vista de</w:t>
      </w:r>
      <w:r>
        <w:rPr>
          <w:rFonts w:ascii="Verdana" w:hAnsi="Verdana"/>
          <w:sz w:val="20"/>
          <w:szCs w:val="20"/>
        </w:rPr>
        <w:t xml:space="preserve"> lo anterior, la Corte concluye que el Estado mexicano no garantizó el derecho a la integridad personal derivado de las amenazas recibidas en perjuicio de José Ángel Alvarado Fa</w:t>
      </w:r>
      <w:r w:rsidR="00B82930">
        <w:rPr>
          <w:rFonts w:ascii="Verdana" w:hAnsi="Verdana"/>
          <w:sz w:val="20"/>
          <w:szCs w:val="20"/>
        </w:rPr>
        <w:t>b</w:t>
      </w:r>
      <w:r>
        <w:rPr>
          <w:rFonts w:ascii="Verdana" w:hAnsi="Verdana"/>
          <w:sz w:val="20"/>
          <w:szCs w:val="20"/>
        </w:rPr>
        <w:t xml:space="preserve">ela y </w:t>
      </w:r>
      <w:r w:rsidRPr="000F52B4">
        <w:rPr>
          <w:rFonts w:ascii="Verdana" w:hAnsi="Verdana"/>
          <w:sz w:val="20"/>
          <w:szCs w:val="20"/>
        </w:rPr>
        <w:t>Jaime Alvarado</w:t>
      </w:r>
      <w:r w:rsidR="00C843D9">
        <w:rPr>
          <w:rFonts w:ascii="Verdana" w:hAnsi="Verdana"/>
          <w:sz w:val="20"/>
          <w:szCs w:val="20"/>
        </w:rPr>
        <w:t xml:space="preserve"> Herrera</w:t>
      </w:r>
      <w:r>
        <w:rPr>
          <w:rFonts w:ascii="Verdana" w:hAnsi="Verdana"/>
          <w:sz w:val="20"/>
          <w:szCs w:val="20"/>
        </w:rPr>
        <w:t>,</w:t>
      </w:r>
      <w:r w:rsidRPr="000F52B4">
        <w:rPr>
          <w:rFonts w:ascii="Verdana" w:hAnsi="Verdana"/>
          <w:sz w:val="20"/>
          <w:szCs w:val="20"/>
        </w:rPr>
        <w:t xml:space="preserve"> así como de su</w:t>
      </w:r>
      <w:r>
        <w:rPr>
          <w:rFonts w:ascii="Verdana" w:hAnsi="Verdana"/>
          <w:sz w:val="20"/>
          <w:szCs w:val="20"/>
        </w:rPr>
        <w:t>s</w:t>
      </w:r>
      <w:r w:rsidRPr="000F52B4">
        <w:rPr>
          <w:rFonts w:ascii="Verdana" w:hAnsi="Verdana"/>
          <w:sz w:val="20"/>
          <w:szCs w:val="20"/>
        </w:rPr>
        <w:t xml:space="preserve"> </w:t>
      </w:r>
      <w:r w:rsidR="00B10D72">
        <w:rPr>
          <w:rFonts w:ascii="Verdana" w:hAnsi="Verdana"/>
          <w:sz w:val="20"/>
          <w:szCs w:val="20"/>
        </w:rPr>
        <w:t xml:space="preserve">respectivos </w:t>
      </w:r>
      <w:r w:rsidRPr="000F52B4">
        <w:rPr>
          <w:rFonts w:ascii="Verdana" w:hAnsi="Verdana"/>
          <w:sz w:val="20"/>
          <w:szCs w:val="20"/>
        </w:rPr>
        <w:t>grupo</w:t>
      </w:r>
      <w:r>
        <w:rPr>
          <w:rFonts w:ascii="Verdana" w:hAnsi="Verdana"/>
          <w:sz w:val="20"/>
          <w:szCs w:val="20"/>
        </w:rPr>
        <w:t>s</w:t>
      </w:r>
      <w:r w:rsidRPr="000F52B4">
        <w:rPr>
          <w:rFonts w:ascii="Verdana" w:hAnsi="Verdana"/>
          <w:sz w:val="20"/>
          <w:szCs w:val="20"/>
        </w:rPr>
        <w:t xml:space="preserve"> familiar</w:t>
      </w:r>
      <w:r>
        <w:rPr>
          <w:rFonts w:ascii="Verdana" w:hAnsi="Verdana"/>
          <w:sz w:val="20"/>
          <w:szCs w:val="20"/>
        </w:rPr>
        <w:t>es</w:t>
      </w:r>
      <w:r w:rsidR="00393F53">
        <w:rPr>
          <w:rFonts w:ascii="Verdana" w:hAnsi="Verdana"/>
          <w:sz w:val="20"/>
          <w:szCs w:val="20"/>
        </w:rPr>
        <w:t xml:space="preserve"> (</w:t>
      </w:r>
      <w:r w:rsidR="00393F53">
        <w:rPr>
          <w:rFonts w:ascii="Verdana" w:hAnsi="Verdana"/>
          <w:i/>
          <w:sz w:val="20"/>
          <w:szCs w:val="20"/>
        </w:rPr>
        <w:t xml:space="preserve">supra, </w:t>
      </w:r>
      <w:r w:rsidR="00393F53">
        <w:rPr>
          <w:rFonts w:ascii="Verdana" w:hAnsi="Verdana"/>
          <w:sz w:val="20"/>
          <w:szCs w:val="20"/>
        </w:rPr>
        <w:t>párr</w:t>
      </w:r>
      <w:r w:rsidR="00E70B53">
        <w:rPr>
          <w:rFonts w:ascii="Verdana" w:hAnsi="Verdana"/>
          <w:sz w:val="20"/>
          <w:szCs w:val="20"/>
        </w:rPr>
        <w:t>s</w:t>
      </w:r>
      <w:r w:rsidR="00393F53">
        <w:rPr>
          <w:rFonts w:ascii="Verdana" w:hAnsi="Verdana"/>
          <w:sz w:val="20"/>
          <w:szCs w:val="20"/>
        </w:rPr>
        <w:t xml:space="preserve">. </w:t>
      </w:r>
      <w:r w:rsidR="00E70B53">
        <w:rPr>
          <w:rFonts w:ascii="Verdana" w:hAnsi="Verdana"/>
          <w:sz w:val="20"/>
          <w:szCs w:val="20"/>
        </w:rPr>
        <w:t>78 y 271</w:t>
      </w:r>
      <w:r w:rsidR="00393F53">
        <w:rPr>
          <w:rFonts w:ascii="Verdana" w:hAnsi="Verdana"/>
          <w:sz w:val="20"/>
          <w:szCs w:val="20"/>
        </w:rPr>
        <w:t>)</w:t>
      </w:r>
      <w:r w:rsidR="00C843D9">
        <w:rPr>
          <w:rFonts w:ascii="Verdana" w:hAnsi="Verdana"/>
          <w:sz w:val="20"/>
          <w:szCs w:val="20"/>
        </w:rPr>
        <w:t>.</w:t>
      </w:r>
      <w:r w:rsidR="00B10D72">
        <w:rPr>
          <w:rFonts w:ascii="Verdana" w:hAnsi="Verdana"/>
          <w:sz w:val="20"/>
          <w:szCs w:val="20"/>
        </w:rPr>
        <w:t xml:space="preserve"> </w:t>
      </w:r>
      <w:r>
        <w:rPr>
          <w:rFonts w:ascii="Verdana" w:hAnsi="Verdana"/>
          <w:sz w:val="20"/>
          <w:szCs w:val="20"/>
        </w:rPr>
        <w:t xml:space="preserve">Asimismo, el Estado no garantizó el </w:t>
      </w:r>
      <w:r w:rsidRPr="00106AEA">
        <w:rPr>
          <w:rFonts w:ascii="Verdana" w:hAnsi="Verdana"/>
          <w:sz w:val="20"/>
          <w:szCs w:val="20"/>
        </w:rPr>
        <w:t xml:space="preserve">derecho de circulación y </w:t>
      </w:r>
      <w:r w:rsidR="00393F53">
        <w:rPr>
          <w:rFonts w:ascii="Verdana" w:hAnsi="Verdana"/>
          <w:sz w:val="20"/>
          <w:szCs w:val="20"/>
        </w:rPr>
        <w:t xml:space="preserve"> </w:t>
      </w:r>
      <w:r w:rsidRPr="00106AEA">
        <w:rPr>
          <w:rFonts w:ascii="Verdana" w:hAnsi="Verdana"/>
          <w:sz w:val="20"/>
          <w:szCs w:val="20"/>
        </w:rPr>
        <w:t>residencia</w:t>
      </w:r>
      <w:r w:rsidRPr="00FD4231">
        <w:rPr>
          <w:rFonts w:ascii="Verdana" w:hAnsi="Verdana"/>
          <w:sz w:val="20"/>
          <w:szCs w:val="20"/>
        </w:rPr>
        <w:t xml:space="preserve"> </w:t>
      </w:r>
      <w:r w:rsidR="00C75DFE">
        <w:rPr>
          <w:rFonts w:ascii="Verdana" w:hAnsi="Verdana"/>
          <w:sz w:val="20"/>
          <w:szCs w:val="20"/>
        </w:rPr>
        <w:t>y el derecho a la protección de la familia</w:t>
      </w:r>
      <w:r>
        <w:rPr>
          <w:rFonts w:ascii="Verdana" w:hAnsi="Verdana"/>
          <w:sz w:val="20"/>
          <w:szCs w:val="20"/>
        </w:rPr>
        <w:t xml:space="preserve">, </w:t>
      </w:r>
      <w:r w:rsidRPr="00FD4231">
        <w:rPr>
          <w:rFonts w:ascii="Verdana" w:hAnsi="Verdana"/>
          <w:sz w:val="20"/>
          <w:szCs w:val="20"/>
        </w:rPr>
        <w:t>en perjuicio de</w:t>
      </w:r>
      <w:r>
        <w:rPr>
          <w:rFonts w:ascii="Verdana" w:hAnsi="Verdana"/>
          <w:sz w:val="20"/>
          <w:szCs w:val="20"/>
        </w:rPr>
        <w:t xml:space="preserve"> los grupos familiares identificados anteriormente (</w:t>
      </w:r>
      <w:r w:rsidRPr="006A385C">
        <w:rPr>
          <w:rFonts w:ascii="Verdana" w:hAnsi="Verdana"/>
          <w:i/>
          <w:sz w:val="20"/>
          <w:szCs w:val="20"/>
        </w:rPr>
        <w:t>supra</w:t>
      </w:r>
      <w:r>
        <w:rPr>
          <w:rFonts w:ascii="Verdana" w:hAnsi="Verdana"/>
          <w:sz w:val="20"/>
          <w:szCs w:val="20"/>
        </w:rPr>
        <w:t xml:space="preserve">, </w:t>
      </w:r>
      <w:r w:rsidR="00C75DFE">
        <w:rPr>
          <w:rFonts w:ascii="Verdana" w:hAnsi="Verdana"/>
          <w:sz w:val="20"/>
          <w:szCs w:val="20"/>
        </w:rPr>
        <w:t xml:space="preserve">párrs. </w:t>
      </w:r>
      <w:r w:rsidR="00E70B53">
        <w:rPr>
          <w:rFonts w:ascii="Verdana" w:hAnsi="Verdana"/>
          <w:sz w:val="20"/>
          <w:szCs w:val="20"/>
        </w:rPr>
        <w:t>151 a 156</w:t>
      </w:r>
      <w:r w:rsidR="00C75DFE" w:rsidRPr="00DB2B33">
        <w:rPr>
          <w:rFonts w:ascii="Verdana" w:hAnsi="Verdana"/>
          <w:sz w:val="20"/>
          <w:szCs w:val="20"/>
        </w:rPr>
        <w:t>),</w:t>
      </w:r>
      <w:r w:rsidR="00C75DFE">
        <w:rPr>
          <w:rFonts w:ascii="Verdana" w:hAnsi="Verdana"/>
          <w:sz w:val="20"/>
          <w:szCs w:val="20"/>
        </w:rPr>
        <w:t xml:space="preserve"> </w:t>
      </w:r>
      <w:r>
        <w:rPr>
          <w:rFonts w:ascii="Verdana" w:hAnsi="Verdana"/>
          <w:sz w:val="20"/>
          <w:szCs w:val="20"/>
        </w:rPr>
        <w:t xml:space="preserve">quienes </w:t>
      </w:r>
      <w:r w:rsidR="00C75DFE">
        <w:rPr>
          <w:rFonts w:ascii="Verdana" w:hAnsi="Verdana"/>
          <w:sz w:val="20"/>
          <w:szCs w:val="20"/>
        </w:rPr>
        <w:t xml:space="preserve">se vieron obligados a </w:t>
      </w:r>
      <w:r w:rsidRPr="00D30F3F">
        <w:rPr>
          <w:rFonts w:ascii="Verdana" w:eastAsia="Calibri" w:hAnsi="Verdana"/>
          <w:bCs/>
          <w:sz w:val="20"/>
          <w:szCs w:val="20"/>
        </w:rPr>
        <w:t>desplazarse</w:t>
      </w:r>
      <w:r w:rsidR="00C75DFE">
        <w:rPr>
          <w:rFonts w:ascii="Verdana" w:eastAsia="Calibri" w:hAnsi="Verdana"/>
          <w:bCs/>
          <w:sz w:val="20"/>
          <w:szCs w:val="20"/>
        </w:rPr>
        <w:t xml:space="preserve"> </w:t>
      </w:r>
      <w:r>
        <w:rPr>
          <w:rFonts w:ascii="Verdana" w:eastAsia="Calibri" w:hAnsi="Verdana"/>
          <w:bCs/>
          <w:sz w:val="20"/>
          <w:szCs w:val="20"/>
        </w:rPr>
        <w:t>con motivo de</w:t>
      </w:r>
      <w:r w:rsidRPr="00D30F3F">
        <w:rPr>
          <w:rFonts w:ascii="Verdana" w:eastAsia="Calibri" w:hAnsi="Verdana"/>
          <w:bCs/>
          <w:sz w:val="20"/>
          <w:szCs w:val="20"/>
        </w:rPr>
        <w:t xml:space="preserve"> la desaparición</w:t>
      </w:r>
      <w:r>
        <w:rPr>
          <w:rFonts w:ascii="Verdana" w:eastAsia="Calibri" w:hAnsi="Verdana"/>
          <w:bCs/>
          <w:sz w:val="20"/>
          <w:szCs w:val="20"/>
        </w:rPr>
        <w:t xml:space="preserve"> forzada</w:t>
      </w:r>
      <w:r w:rsidRPr="00D30F3F">
        <w:rPr>
          <w:rFonts w:ascii="Verdana" w:eastAsia="Calibri" w:hAnsi="Verdana"/>
          <w:bCs/>
          <w:sz w:val="20"/>
          <w:szCs w:val="20"/>
        </w:rPr>
        <w:t xml:space="preserve"> de sus familiares, la</w:t>
      </w:r>
      <w:r>
        <w:rPr>
          <w:rFonts w:ascii="Verdana" w:eastAsia="Calibri" w:hAnsi="Verdana"/>
          <w:bCs/>
          <w:sz w:val="20"/>
          <w:szCs w:val="20"/>
        </w:rPr>
        <w:t>s amenazas, hostigamientos,</w:t>
      </w:r>
      <w:r w:rsidRPr="00D30F3F">
        <w:rPr>
          <w:rFonts w:ascii="Verdana" w:eastAsia="Calibri" w:hAnsi="Verdana"/>
          <w:bCs/>
          <w:sz w:val="20"/>
          <w:szCs w:val="20"/>
        </w:rPr>
        <w:t xml:space="preserve"> muerte de </w:t>
      </w:r>
      <w:r>
        <w:rPr>
          <w:rFonts w:ascii="Verdana" w:eastAsia="Calibri" w:hAnsi="Verdana"/>
          <w:bCs/>
          <w:sz w:val="20"/>
          <w:szCs w:val="20"/>
        </w:rPr>
        <w:t xml:space="preserve">un familiar, así como por no brindar las garantías </w:t>
      </w:r>
      <w:r w:rsidR="00412A10">
        <w:rPr>
          <w:rFonts w:ascii="Verdana" w:eastAsia="Calibri" w:hAnsi="Verdana"/>
          <w:bCs/>
          <w:sz w:val="20"/>
          <w:szCs w:val="20"/>
        </w:rPr>
        <w:t xml:space="preserve">para un </w:t>
      </w:r>
      <w:r>
        <w:rPr>
          <w:rFonts w:ascii="Verdana" w:eastAsia="Calibri" w:hAnsi="Verdana"/>
          <w:bCs/>
          <w:sz w:val="20"/>
          <w:szCs w:val="20"/>
        </w:rPr>
        <w:t>retorno</w:t>
      </w:r>
      <w:r w:rsidR="00412A10">
        <w:rPr>
          <w:rFonts w:ascii="Verdana" w:eastAsia="Calibri" w:hAnsi="Verdana"/>
          <w:bCs/>
          <w:sz w:val="20"/>
          <w:szCs w:val="20"/>
        </w:rPr>
        <w:t xml:space="preserve"> seguro</w:t>
      </w:r>
      <w:r>
        <w:rPr>
          <w:rFonts w:ascii="Verdana" w:eastAsia="Calibri" w:hAnsi="Verdana"/>
          <w:bCs/>
          <w:sz w:val="20"/>
          <w:szCs w:val="20"/>
        </w:rPr>
        <w:t xml:space="preserve">; lo anterior, no obstante la vigencia de medidas provisionales ordenadas por este Tribunal. </w:t>
      </w:r>
      <w:r w:rsidR="00C929D3">
        <w:rPr>
          <w:rFonts w:ascii="Verdana" w:eastAsia="Calibri" w:hAnsi="Verdana"/>
          <w:bCs/>
          <w:sz w:val="20"/>
          <w:szCs w:val="20"/>
        </w:rPr>
        <w:t>Lo anterior</w:t>
      </w:r>
      <w:r>
        <w:rPr>
          <w:rFonts w:ascii="Verdana" w:eastAsia="Calibri" w:hAnsi="Verdana"/>
          <w:bCs/>
          <w:sz w:val="20"/>
          <w:szCs w:val="20"/>
        </w:rPr>
        <w:t xml:space="preserve">, en violación de los </w:t>
      </w:r>
      <w:r w:rsidR="000062F0">
        <w:rPr>
          <w:rFonts w:ascii="Verdana" w:eastAsia="Calibri" w:hAnsi="Verdana"/>
          <w:bCs/>
          <w:sz w:val="20"/>
          <w:szCs w:val="20"/>
        </w:rPr>
        <w:t xml:space="preserve">artículos </w:t>
      </w:r>
      <w:r>
        <w:rPr>
          <w:rFonts w:ascii="Verdana" w:eastAsia="Calibri" w:hAnsi="Verdana"/>
          <w:bCs/>
          <w:sz w:val="20"/>
          <w:szCs w:val="20"/>
        </w:rPr>
        <w:t>22 y 17 de la Convención Americana</w:t>
      </w:r>
      <w:r w:rsidR="008149DB">
        <w:rPr>
          <w:rFonts w:ascii="Verdana" w:eastAsia="Calibri" w:hAnsi="Verdana"/>
          <w:bCs/>
          <w:sz w:val="20"/>
          <w:szCs w:val="20"/>
        </w:rPr>
        <w:t xml:space="preserve"> </w:t>
      </w:r>
      <w:r>
        <w:rPr>
          <w:rFonts w:ascii="Verdana" w:eastAsia="Calibri" w:hAnsi="Verdana"/>
          <w:bCs/>
          <w:sz w:val="20"/>
          <w:szCs w:val="20"/>
        </w:rPr>
        <w:t>y el incumplimiento del artículo 63.2 de la misma</w:t>
      </w:r>
      <w:r w:rsidR="00C66BBA">
        <w:rPr>
          <w:rStyle w:val="FootnoteReference"/>
          <w:rFonts w:ascii="Verdana" w:eastAsia="Calibri" w:hAnsi="Verdana"/>
          <w:bCs/>
          <w:sz w:val="20"/>
          <w:szCs w:val="20"/>
        </w:rPr>
        <w:footnoteReference w:id="518"/>
      </w:r>
      <w:r w:rsidR="00C66BBA">
        <w:rPr>
          <w:rFonts w:ascii="Verdana" w:eastAsia="Calibri" w:hAnsi="Verdana"/>
          <w:bCs/>
          <w:sz w:val="20"/>
          <w:szCs w:val="20"/>
        </w:rPr>
        <w:t xml:space="preserve"> (</w:t>
      </w:r>
      <w:r w:rsidR="00205AF7" w:rsidRPr="00205AF7">
        <w:rPr>
          <w:rFonts w:ascii="Verdana" w:eastAsia="Calibri" w:hAnsi="Verdana"/>
          <w:bCs/>
          <w:i/>
          <w:sz w:val="20"/>
          <w:szCs w:val="20"/>
        </w:rPr>
        <w:t>infr</w:t>
      </w:r>
      <w:r w:rsidR="00DB2B33">
        <w:rPr>
          <w:rFonts w:ascii="Verdana" w:eastAsia="Calibri" w:hAnsi="Verdana"/>
          <w:bCs/>
          <w:i/>
          <w:sz w:val="20"/>
          <w:szCs w:val="20"/>
        </w:rPr>
        <w:t xml:space="preserve">a </w:t>
      </w:r>
      <w:r w:rsidR="00F66DD4">
        <w:rPr>
          <w:rFonts w:ascii="Verdana" w:eastAsia="Calibri" w:hAnsi="Verdana"/>
          <w:bCs/>
          <w:sz w:val="20"/>
          <w:szCs w:val="20"/>
        </w:rPr>
        <w:t xml:space="preserve">párr. </w:t>
      </w:r>
      <w:r w:rsidR="00DB2B33">
        <w:rPr>
          <w:rFonts w:ascii="Verdana" w:eastAsia="Calibri" w:hAnsi="Verdana"/>
          <w:bCs/>
          <w:sz w:val="20"/>
          <w:szCs w:val="20"/>
        </w:rPr>
        <w:lastRenderedPageBreak/>
        <w:t>28</w:t>
      </w:r>
      <w:r w:rsidR="008149DB">
        <w:rPr>
          <w:rFonts w:ascii="Verdana" w:eastAsia="Calibri" w:hAnsi="Verdana"/>
          <w:bCs/>
          <w:sz w:val="20"/>
          <w:szCs w:val="20"/>
        </w:rPr>
        <w:t>9</w:t>
      </w:r>
      <w:r w:rsidR="00DB2B33">
        <w:rPr>
          <w:rFonts w:ascii="Verdana" w:eastAsia="Calibri" w:hAnsi="Verdana"/>
          <w:bCs/>
          <w:sz w:val="20"/>
          <w:szCs w:val="20"/>
        </w:rPr>
        <w:t xml:space="preserve">). </w:t>
      </w:r>
      <w:r w:rsidR="00F24E3C" w:rsidRPr="003564A3">
        <w:rPr>
          <w:rFonts w:ascii="Verdana" w:hAnsi="Verdana"/>
          <w:sz w:val="20"/>
          <w:szCs w:val="20"/>
        </w:rPr>
        <w:tab/>
      </w:r>
    </w:p>
    <w:p w14:paraId="7BD75A12" w14:textId="5C45D20F" w:rsidR="009114A1" w:rsidRDefault="001903B5" w:rsidP="00813B72">
      <w:pPr>
        <w:widowControl w:val="0"/>
        <w:numPr>
          <w:ilvl w:val="0"/>
          <w:numId w:val="4"/>
        </w:numPr>
        <w:tabs>
          <w:tab w:val="left" w:pos="567"/>
        </w:tabs>
        <w:autoSpaceDE w:val="0"/>
        <w:autoSpaceDN w:val="0"/>
        <w:adjustRightInd w:val="0"/>
        <w:spacing w:before="120" w:after="120" w:line="240" w:lineRule="auto"/>
        <w:ind w:left="0" w:firstLine="0"/>
        <w:jc w:val="both"/>
        <w:textAlignment w:val="baseline"/>
        <w:rPr>
          <w:rFonts w:ascii="Verdana" w:hAnsi="Verdana"/>
          <w:sz w:val="20"/>
          <w:szCs w:val="20"/>
        </w:rPr>
      </w:pPr>
      <w:r>
        <w:rPr>
          <w:rFonts w:ascii="Verdana" w:hAnsi="Verdana"/>
          <w:sz w:val="20"/>
          <w:szCs w:val="20"/>
        </w:rPr>
        <w:t>En relación con las alegaciones referentes a las violaciones de los artículo 11 y 19</w:t>
      </w:r>
      <w:r w:rsidR="008149DB" w:rsidRPr="008149DB">
        <w:rPr>
          <w:rFonts w:ascii="Verdana" w:eastAsia="Calibri" w:hAnsi="Verdana"/>
          <w:bCs/>
          <w:sz w:val="20"/>
          <w:szCs w:val="20"/>
        </w:rPr>
        <w:t xml:space="preserve"> </w:t>
      </w:r>
      <w:r w:rsidR="008149DB" w:rsidRPr="008149DB">
        <w:rPr>
          <w:rFonts w:ascii="Verdana" w:hAnsi="Verdana"/>
          <w:bCs/>
          <w:sz w:val="20"/>
          <w:szCs w:val="20"/>
        </w:rPr>
        <w:t>de la Convención</w:t>
      </w:r>
      <w:r>
        <w:rPr>
          <w:rFonts w:ascii="Verdana" w:hAnsi="Verdana"/>
          <w:sz w:val="20"/>
          <w:szCs w:val="20"/>
        </w:rPr>
        <w:t xml:space="preserve">, este Tribunal estima que los hechos sobre los cuales se alegan dichas afectaciones, ya han sido evaluados por esta Corte y se subsumen en </w:t>
      </w:r>
      <w:r w:rsidR="008149DB">
        <w:rPr>
          <w:rFonts w:ascii="Verdana" w:hAnsi="Verdana"/>
          <w:sz w:val="20"/>
          <w:szCs w:val="20"/>
        </w:rPr>
        <w:t>los</w:t>
      </w:r>
      <w:r>
        <w:rPr>
          <w:rFonts w:ascii="Verdana" w:hAnsi="Verdana"/>
          <w:sz w:val="20"/>
          <w:szCs w:val="20"/>
        </w:rPr>
        <w:t xml:space="preserve"> mismo</w:t>
      </w:r>
      <w:r w:rsidR="008149DB">
        <w:rPr>
          <w:rFonts w:ascii="Verdana" w:hAnsi="Verdana"/>
          <w:sz w:val="20"/>
          <w:szCs w:val="20"/>
        </w:rPr>
        <w:t>s</w:t>
      </w:r>
      <w:r>
        <w:rPr>
          <w:rFonts w:ascii="Verdana" w:hAnsi="Verdana"/>
          <w:sz w:val="20"/>
          <w:szCs w:val="20"/>
        </w:rPr>
        <w:t xml:space="preserve"> hecho</w:t>
      </w:r>
      <w:r w:rsidR="008149DB">
        <w:rPr>
          <w:rFonts w:ascii="Verdana" w:hAnsi="Verdana"/>
          <w:sz w:val="20"/>
          <w:szCs w:val="20"/>
        </w:rPr>
        <w:t>s</w:t>
      </w:r>
      <w:r>
        <w:rPr>
          <w:rFonts w:ascii="Verdana" w:hAnsi="Verdana"/>
          <w:sz w:val="20"/>
          <w:szCs w:val="20"/>
        </w:rPr>
        <w:t xml:space="preserve"> generador</w:t>
      </w:r>
      <w:r w:rsidR="008149DB">
        <w:rPr>
          <w:rFonts w:ascii="Verdana" w:hAnsi="Verdana"/>
          <w:sz w:val="20"/>
          <w:szCs w:val="20"/>
        </w:rPr>
        <w:t>es</w:t>
      </w:r>
      <w:r>
        <w:rPr>
          <w:rFonts w:ascii="Verdana" w:hAnsi="Verdana"/>
          <w:sz w:val="20"/>
          <w:szCs w:val="20"/>
        </w:rPr>
        <w:t xml:space="preserve"> (</w:t>
      </w:r>
      <w:r w:rsidR="00205AF7" w:rsidRPr="00205AF7">
        <w:rPr>
          <w:rFonts w:ascii="Verdana" w:hAnsi="Verdana"/>
          <w:i/>
          <w:sz w:val="20"/>
          <w:szCs w:val="20"/>
        </w:rPr>
        <w:t xml:space="preserve">supra </w:t>
      </w:r>
      <w:r w:rsidR="008149DB">
        <w:rPr>
          <w:rFonts w:ascii="Verdana" w:hAnsi="Verdana"/>
          <w:sz w:val="20"/>
          <w:szCs w:val="20"/>
        </w:rPr>
        <w:t>283</w:t>
      </w:r>
      <w:r>
        <w:rPr>
          <w:rFonts w:ascii="Verdana" w:hAnsi="Verdana"/>
          <w:sz w:val="20"/>
          <w:szCs w:val="20"/>
        </w:rPr>
        <w:t xml:space="preserve">), por lo que no encuentra autonomía o especificidad que requiera de una violación adicional a las ya declaradas. Lo anterior, sin perjuicio de poder ser valorados a manera de daños específicos en el capítulo de reparaciones. </w:t>
      </w:r>
    </w:p>
    <w:p w14:paraId="05560E85" w14:textId="5927D226" w:rsidR="009114A1" w:rsidRDefault="009114A1" w:rsidP="0057411A">
      <w:pPr>
        <w:pStyle w:val="Heading1"/>
        <w:rPr>
          <w:lang w:val="es-ES"/>
        </w:rPr>
      </w:pPr>
      <w:bookmarkStart w:id="321" w:name="_Toc526774177"/>
      <w:bookmarkStart w:id="322" w:name="_Toc526777513"/>
      <w:bookmarkStart w:id="323" w:name="_Toc526783816"/>
      <w:bookmarkStart w:id="324" w:name="_Toc532995396"/>
      <w:r>
        <w:rPr>
          <w:lang w:val="es-ES"/>
        </w:rPr>
        <w:t>VIII</w:t>
      </w:r>
      <w:bookmarkEnd w:id="321"/>
      <w:bookmarkEnd w:id="322"/>
      <w:bookmarkEnd w:id="323"/>
      <w:bookmarkEnd w:id="324"/>
    </w:p>
    <w:p w14:paraId="5177BA7D" w14:textId="77777777" w:rsidR="009114A1" w:rsidRPr="001020A5" w:rsidRDefault="009114A1" w:rsidP="0057411A">
      <w:pPr>
        <w:pStyle w:val="Heading1"/>
        <w:rPr>
          <w:lang w:val="es-ES"/>
        </w:rPr>
      </w:pPr>
      <w:bookmarkStart w:id="325" w:name="_Toc526774178"/>
      <w:bookmarkStart w:id="326" w:name="_Toc526777514"/>
      <w:bookmarkStart w:id="327" w:name="_Toc526783817"/>
      <w:bookmarkStart w:id="328" w:name="_Toc527561102"/>
      <w:bookmarkStart w:id="329" w:name="_Toc532995397"/>
      <w:r w:rsidRPr="001020A5">
        <w:rPr>
          <w:lang w:val="es-ES"/>
        </w:rPr>
        <w:t>REPARACIONES</w:t>
      </w:r>
      <w:bookmarkEnd w:id="325"/>
      <w:bookmarkEnd w:id="326"/>
      <w:bookmarkEnd w:id="327"/>
      <w:bookmarkEnd w:id="328"/>
      <w:bookmarkEnd w:id="329"/>
    </w:p>
    <w:p w14:paraId="6C26B1F0" w14:textId="1CBEBFB5" w:rsidR="009114A1" w:rsidRPr="006B6C63" w:rsidRDefault="009114A1" w:rsidP="0057411A">
      <w:pPr>
        <w:pStyle w:val="Heading1"/>
        <w:rPr>
          <w:i/>
          <w:lang w:val="es-ES"/>
        </w:rPr>
      </w:pPr>
      <w:bookmarkStart w:id="330" w:name="_Toc526774179"/>
      <w:bookmarkStart w:id="331" w:name="_Toc526777515"/>
      <w:bookmarkStart w:id="332" w:name="_Toc526780881"/>
      <w:bookmarkStart w:id="333" w:name="_Toc526783818"/>
      <w:bookmarkStart w:id="334" w:name="_Toc526785119"/>
      <w:bookmarkStart w:id="335" w:name="_Toc527561103"/>
      <w:bookmarkStart w:id="336" w:name="_Toc532995398"/>
      <w:r w:rsidRPr="001020A5">
        <w:rPr>
          <w:i/>
          <w:lang w:val="es-ES"/>
        </w:rPr>
        <w:t>(Aplicación del artículo 63.1 de la Convención Americana</w:t>
      </w:r>
      <w:r w:rsidR="00243654" w:rsidRPr="001020A5">
        <w:rPr>
          <w:rFonts w:cs="Times New Roman"/>
          <w:vertAlign w:val="superscript"/>
        </w:rPr>
        <w:footnoteReference w:id="519"/>
      </w:r>
      <w:r w:rsidRPr="001020A5">
        <w:rPr>
          <w:i/>
          <w:lang w:val="es-ES"/>
        </w:rPr>
        <w:t>)</w:t>
      </w:r>
      <w:bookmarkEnd w:id="330"/>
      <w:bookmarkEnd w:id="331"/>
      <w:bookmarkEnd w:id="332"/>
      <w:bookmarkEnd w:id="333"/>
      <w:bookmarkEnd w:id="334"/>
      <w:bookmarkEnd w:id="335"/>
      <w:bookmarkEnd w:id="336"/>
    </w:p>
    <w:p w14:paraId="70A199A6" w14:textId="536F784A" w:rsidR="009114A1" w:rsidRPr="00744CE4" w:rsidRDefault="009114A1" w:rsidP="00744CE4">
      <w:pPr>
        <w:widowControl w:val="0"/>
        <w:numPr>
          <w:ilvl w:val="0"/>
          <w:numId w:val="4"/>
        </w:numPr>
        <w:tabs>
          <w:tab w:val="left" w:pos="567"/>
        </w:tabs>
        <w:autoSpaceDE w:val="0"/>
        <w:autoSpaceDN w:val="0"/>
        <w:adjustRightInd w:val="0"/>
        <w:spacing w:before="120" w:after="120" w:line="240" w:lineRule="auto"/>
        <w:ind w:left="0" w:firstLine="0"/>
        <w:jc w:val="both"/>
        <w:textAlignment w:val="baseline"/>
        <w:rPr>
          <w:rFonts w:ascii="Verdana" w:hAnsi="Verdana" w:cs="Times New Roman"/>
          <w:sz w:val="20"/>
          <w:szCs w:val="20"/>
          <w:lang w:val="es-CR"/>
        </w:rPr>
      </w:pPr>
      <w:r w:rsidRPr="00744CE4">
        <w:rPr>
          <w:rFonts w:ascii="Verdana" w:hAnsi="Verdana" w:cs="Times New Roman"/>
          <w:sz w:val="20"/>
          <w:szCs w:val="20"/>
          <w:lang w:val="es-CR"/>
        </w:rPr>
        <w:t xml:space="preserve">Sobre la base de lo dispuesto en el artículo 63.1 de la Convención Americana, la Corte ha indicado que toda violación de una obligación internacional que haya producido daño, comporta el deber de repararlo adecuadamente y que esa disposición recoge una norma </w:t>
      </w:r>
      <w:r w:rsidRPr="00744CE4">
        <w:rPr>
          <w:rFonts w:ascii="Verdana" w:eastAsia="Times New Roman" w:hAnsi="Verdana" w:cs="Times New Roman"/>
          <w:bCs/>
          <w:sz w:val="20"/>
          <w:szCs w:val="20"/>
          <w:lang w:val="es-ES" w:eastAsia="es-ES"/>
        </w:rPr>
        <w:t>consuetudinaria</w:t>
      </w:r>
      <w:r w:rsidRPr="00744CE4">
        <w:rPr>
          <w:rFonts w:ascii="Verdana" w:hAnsi="Verdana" w:cs="Times New Roman"/>
          <w:sz w:val="20"/>
          <w:szCs w:val="20"/>
          <w:lang w:val="es-CR"/>
        </w:rPr>
        <w:t xml:space="preserve"> que constituye uno de los principios fundamentales del Derecho I</w:t>
      </w:r>
      <w:r w:rsidRPr="00432ABC">
        <w:rPr>
          <w:rFonts w:ascii="Verdana" w:hAnsi="Verdana" w:cs="Times New Roman"/>
          <w:sz w:val="20"/>
          <w:szCs w:val="20"/>
          <w:lang w:val="es-CR"/>
        </w:rPr>
        <w:t>nternacional contemporáneo sobre responsabilidad del Estado</w:t>
      </w:r>
      <w:r w:rsidRPr="00D6521F">
        <w:rPr>
          <w:rStyle w:val="FootnoteReference"/>
          <w:rFonts w:ascii="Verdana" w:hAnsi="Verdana"/>
          <w:sz w:val="20"/>
          <w:szCs w:val="20"/>
        </w:rPr>
        <w:footnoteReference w:id="520"/>
      </w:r>
      <w:r w:rsidRPr="00E74386">
        <w:rPr>
          <w:rFonts w:ascii="Verdana" w:hAnsi="Verdana" w:cs="Times New Roman"/>
          <w:sz w:val="20"/>
          <w:szCs w:val="20"/>
          <w:lang w:val="es-CR"/>
        </w:rPr>
        <w:t>.</w:t>
      </w:r>
    </w:p>
    <w:p w14:paraId="2B1C1FD3" w14:textId="7D986A07" w:rsidR="009114A1" w:rsidRPr="00744CE4" w:rsidRDefault="009114A1" w:rsidP="00744CE4">
      <w:pPr>
        <w:widowControl w:val="0"/>
        <w:numPr>
          <w:ilvl w:val="0"/>
          <w:numId w:val="4"/>
        </w:numPr>
        <w:tabs>
          <w:tab w:val="left" w:pos="567"/>
        </w:tabs>
        <w:autoSpaceDE w:val="0"/>
        <w:autoSpaceDN w:val="0"/>
        <w:adjustRightInd w:val="0"/>
        <w:spacing w:before="120" w:after="120" w:line="240" w:lineRule="auto"/>
        <w:ind w:left="0" w:firstLine="0"/>
        <w:jc w:val="both"/>
        <w:textAlignment w:val="baseline"/>
        <w:rPr>
          <w:rFonts w:ascii="Verdana" w:hAnsi="Verdana" w:cs="Times New Roman"/>
          <w:sz w:val="20"/>
          <w:szCs w:val="20"/>
          <w:lang w:val="es-CR"/>
        </w:rPr>
      </w:pPr>
      <w:r w:rsidRPr="00744CE4">
        <w:rPr>
          <w:rFonts w:ascii="Verdana" w:eastAsia="Times New Roman" w:hAnsi="Verdana" w:cs="Times New Roman"/>
          <w:bCs/>
          <w:sz w:val="20"/>
          <w:szCs w:val="20"/>
          <w:lang w:val="es-ES"/>
        </w:rPr>
        <w:t xml:space="preserve">La </w:t>
      </w:r>
      <w:r w:rsidRPr="00744CE4">
        <w:rPr>
          <w:rFonts w:ascii="Verdana" w:eastAsia="Times New Roman" w:hAnsi="Verdana" w:cs="Times New Roman"/>
          <w:sz w:val="20"/>
          <w:szCs w:val="20"/>
          <w:lang w:val="es-ES" w:eastAsia="es-ES"/>
        </w:rPr>
        <w:t>reparación</w:t>
      </w:r>
      <w:r w:rsidRPr="00744CE4">
        <w:rPr>
          <w:rFonts w:ascii="Verdana" w:eastAsia="Times New Roman" w:hAnsi="Verdana" w:cs="Times New Roman"/>
          <w:bCs/>
          <w:sz w:val="20"/>
          <w:szCs w:val="20"/>
          <w:lang w:val="es-ES"/>
        </w:rPr>
        <w:t xml:space="preserve"> del daño ocasionado por la </w:t>
      </w:r>
      <w:r w:rsidR="00205AF7" w:rsidRPr="00432ABC">
        <w:rPr>
          <w:rFonts w:ascii="Verdana" w:eastAsia="Times New Roman" w:hAnsi="Verdana"/>
          <w:sz w:val="20"/>
          <w:lang w:val="es-ES"/>
        </w:rPr>
        <w:t>infra</w:t>
      </w:r>
      <w:r w:rsidRPr="00432ABC">
        <w:rPr>
          <w:rFonts w:ascii="Verdana" w:eastAsia="Times New Roman" w:hAnsi="Verdana" w:cs="Times New Roman"/>
          <w:bCs/>
          <w:sz w:val="20"/>
          <w:szCs w:val="20"/>
          <w:lang w:val="es-ES"/>
        </w:rPr>
        <w:t>cción de una obligación internacional requiere, siempre que sea posible, la plena restitución (</w:t>
      </w:r>
      <w:r w:rsidRPr="00432ABC">
        <w:rPr>
          <w:rFonts w:ascii="Verdana" w:eastAsia="Times New Roman" w:hAnsi="Verdana" w:cs="Times New Roman"/>
          <w:bCs/>
          <w:i/>
          <w:sz w:val="20"/>
          <w:szCs w:val="20"/>
          <w:lang w:val="es-ES"/>
        </w:rPr>
        <w:t>restitutio in integrum</w:t>
      </w:r>
      <w:r w:rsidRPr="00432ABC">
        <w:rPr>
          <w:rFonts w:ascii="Verdana" w:eastAsia="Times New Roman" w:hAnsi="Verdana" w:cs="Times New Roman"/>
          <w:bCs/>
          <w:sz w:val="20"/>
          <w:szCs w:val="20"/>
          <w:lang w:val="es-ES"/>
        </w:rPr>
        <w:t>), que consiste en el restablec</w:t>
      </w:r>
      <w:r w:rsidRPr="002C462C">
        <w:rPr>
          <w:rFonts w:ascii="Verdana" w:eastAsia="Times New Roman" w:hAnsi="Verdana" w:cs="Times New Roman"/>
          <w:bCs/>
          <w:sz w:val="20"/>
          <w:szCs w:val="20"/>
          <w:lang w:val="es-ES"/>
        </w:rPr>
        <w:t xml:space="preserve">imiento de la situación anterior. De no ser esto factible, como ocurre en la mayoría de los casos de violaciones a derechos humanos, el Tribunal determinará medidas para garantizar los derechos conculcados y reparar las consecuencias que las </w:t>
      </w:r>
      <w:r w:rsidR="00205AF7" w:rsidRPr="00744CE4">
        <w:rPr>
          <w:rFonts w:ascii="Verdana" w:eastAsia="Times New Roman" w:hAnsi="Verdana" w:cs="Times New Roman"/>
          <w:bCs/>
          <w:sz w:val="20"/>
          <w:szCs w:val="20"/>
          <w:lang w:val="es-ES"/>
        </w:rPr>
        <w:t>i</w:t>
      </w:r>
      <w:r w:rsidR="00563842" w:rsidRPr="00744CE4">
        <w:rPr>
          <w:rFonts w:ascii="Verdana" w:eastAsia="Times New Roman" w:hAnsi="Verdana" w:cs="Times New Roman"/>
          <w:bCs/>
          <w:sz w:val="20"/>
          <w:szCs w:val="20"/>
          <w:lang w:val="es-ES"/>
        </w:rPr>
        <w:t>nfra</w:t>
      </w:r>
      <w:r w:rsidRPr="00744CE4">
        <w:rPr>
          <w:rFonts w:ascii="Verdana" w:eastAsia="Times New Roman" w:hAnsi="Verdana" w:cs="Times New Roman"/>
          <w:bCs/>
          <w:sz w:val="20"/>
          <w:szCs w:val="20"/>
          <w:lang w:val="es-ES"/>
        </w:rPr>
        <w:t>cciones produjeron</w:t>
      </w:r>
      <w:r w:rsidRPr="00744CE4">
        <w:rPr>
          <w:rStyle w:val="FootnoteReference"/>
          <w:rFonts w:ascii="Verdana" w:eastAsia="Times New Roman" w:hAnsi="Verdana"/>
          <w:bCs/>
          <w:sz w:val="20"/>
          <w:szCs w:val="20"/>
          <w:lang w:val="es-ES"/>
        </w:rPr>
        <w:footnoteReference w:id="521"/>
      </w:r>
      <w:r w:rsidRPr="00744CE4">
        <w:rPr>
          <w:rFonts w:ascii="Verdana" w:eastAsia="Times New Roman" w:hAnsi="Verdana" w:cs="Times New Roman"/>
          <w:bCs/>
          <w:sz w:val="20"/>
          <w:szCs w:val="20"/>
          <w:lang w:val="es-ES"/>
        </w:rPr>
        <w:t xml:space="preserve">. Por tanto, </w:t>
      </w:r>
      <w:r w:rsidRPr="00744CE4">
        <w:rPr>
          <w:rFonts w:ascii="Verdana" w:eastAsia="Times New Roman" w:hAnsi="Verdana" w:cs="Times New Roman"/>
          <w:sz w:val="20"/>
          <w:szCs w:val="20"/>
          <w:lang w:val="es-ES"/>
        </w:rPr>
        <w:t>la Corte ha considerado la necesidad de otorgar diversas medidas de reparación</w:t>
      </w:r>
      <w:r w:rsidR="00E74386">
        <w:rPr>
          <w:rFonts w:ascii="Verdana" w:eastAsia="Times New Roman" w:hAnsi="Verdana" w:cs="Times New Roman"/>
          <w:sz w:val="20"/>
          <w:szCs w:val="20"/>
          <w:lang w:val="es-ES"/>
        </w:rPr>
        <w:t xml:space="preserve"> </w:t>
      </w:r>
      <w:r w:rsidRPr="00744CE4">
        <w:rPr>
          <w:rFonts w:ascii="Verdana" w:eastAsia="Times New Roman" w:hAnsi="Verdana" w:cs="Times New Roman"/>
          <w:sz w:val="20"/>
          <w:szCs w:val="20"/>
          <w:lang w:val="es-ES"/>
        </w:rPr>
        <w:t>a fin de resarcir los daños de manera integral</w:t>
      </w:r>
      <w:r w:rsidR="00E74386">
        <w:rPr>
          <w:rFonts w:ascii="Verdana" w:eastAsia="Times New Roman" w:hAnsi="Verdana" w:cs="Times New Roman"/>
          <w:sz w:val="20"/>
          <w:szCs w:val="20"/>
          <w:lang w:val="es-ES"/>
        </w:rPr>
        <w:t>,</w:t>
      </w:r>
      <w:r w:rsidRPr="00744CE4">
        <w:rPr>
          <w:rFonts w:ascii="Verdana" w:eastAsia="Times New Roman" w:hAnsi="Verdana" w:cs="Times New Roman"/>
          <w:sz w:val="20"/>
          <w:szCs w:val="20"/>
          <w:lang w:val="es-ES"/>
        </w:rPr>
        <w:t xml:space="preserve"> por lo que, además de las compensaciones pecuniarias, las medidas de restitución, rehabilitación, satisfacción y garantías de no repetición tienen especial relevancia por los daños ocasionados</w:t>
      </w:r>
      <w:r w:rsidRPr="001B17CF">
        <w:rPr>
          <w:rStyle w:val="FootnoteReference"/>
          <w:rFonts w:ascii="Verdana" w:eastAsia="Times New Roman" w:hAnsi="Verdana"/>
          <w:sz w:val="20"/>
          <w:szCs w:val="20"/>
          <w:lang w:val="es-ES"/>
        </w:rPr>
        <w:footnoteReference w:id="522"/>
      </w:r>
      <w:r w:rsidRPr="001B17CF">
        <w:rPr>
          <w:rFonts w:ascii="Verdana" w:eastAsia="Times New Roman" w:hAnsi="Verdana" w:cs="Times New Roman"/>
          <w:sz w:val="20"/>
          <w:szCs w:val="20"/>
          <w:lang w:val="es-ES"/>
        </w:rPr>
        <w:t>.</w:t>
      </w:r>
    </w:p>
    <w:p w14:paraId="1358D248" w14:textId="5B1B9915" w:rsidR="009114A1" w:rsidRPr="00744CE4" w:rsidRDefault="009114A1" w:rsidP="00432ABC">
      <w:pPr>
        <w:widowControl w:val="0"/>
        <w:numPr>
          <w:ilvl w:val="0"/>
          <w:numId w:val="4"/>
        </w:numPr>
        <w:tabs>
          <w:tab w:val="left" w:pos="567"/>
        </w:tabs>
        <w:autoSpaceDE w:val="0"/>
        <w:autoSpaceDN w:val="0"/>
        <w:adjustRightInd w:val="0"/>
        <w:spacing w:before="120" w:after="120" w:line="240" w:lineRule="auto"/>
        <w:ind w:left="0" w:firstLine="0"/>
        <w:jc w:val="both"/>
        <w:textAlignment w:val="baseline"/>
        <w:rPr>
          <w:rFonts w:ascii="Verdana" w:hAnsi="Verdana" w:cs="Times New Roman"/>
          <w:sz w:val="20"/>
          <w:szCs w:val="20"/>
          <w:lang w:val="es-CR"/>
        </w:rPr>
      </w:pPr>
      <w:r w:rsidRPr="00744CE4">
        <w:rPr>
          <w:rFonts w:ascii="Verdana" w:hAnsi="Verdana" w:cs="Times New Roman"/>
          <w:sz w:val="20"/>
          <w:szCs w:val="20"/>
          <w:lang w:val="es-CR"/>
        </w:rPr>
        <w:t xml:space="preserve">La Corte ha establecido que las reparaciones deben tener un nexo causal con los hechos del caso, las violaciones declaradas y los daños acreditados, así como con las medidas </w:t>
      </w:r>
      <w:r w:rsidRPr="00432ABC">
        <w:rPr>
          <w:rFonts w:ascii="Verdana" w:eastAsia="Times New Roman" w:hAnsi="Verdana" w:cs="Times New Roman"/>
          <w:bCs/>
          <w:sz w:val="20"/>
          <w:szCs w:val="20"/>
          <w:lang w:val="es-ES" w:eastAsia="es-ES"/>
        </w:rPr>
        <w:t>solicitadas</w:t>
      </w:r>
      <w:r w:rsidRPr="00432ABC">
        <w:rPr>
          <w:rFonts w:ascii="Verdana" w:hAnsi="Verdana" w:cs="Times New Roman"/>
          <w:sz w:val="20"/>
          <w:szCs w:val="20"/>
          <w:lang w:val="es-CR"/>
        </w:rPr>
        <w:t xml:space="preserve"> para reparar los daños respectivos. Por lo tanto, la Corte deberá observar dicha concurrencia para pronunciarse debidamente y conforme a derecho</w:t>
      </w:r>
      <w:r w:rsidRPr="001B17CF">
        <w:rPr>
          <w:rStyle w:val="FootnoteReference"/>
          <w:rFonts w:ascii="Verdana" w:hAnsi="Verdana"/>
          <w:sz w:val="20"/>
          <w:szCs w:val="20"/>
        </w:rPr>
        <w:footnoteReference w:id="523"/>
      </w:r>
      <w:r w:rsidRPr="00441064">
        <w:rPr>
          <w:rFonts w:ascii="Verdana" w:hAnsi="Verdana" w:cs="Times New Roman"/>
          <w:sz w:val="20"/>
          <w:szCs w:val="20"/>
          <w:lang w:val="es-CR"/>
        </w:rPr>
        <w:t>.</w:t>
      </w:r>
      <w:r w:rsidRPr="00744CE4">
        <w:rPr>
          <w:rFonts w:ascii="Verdana" w:hAnsi="Verdana" w:cs="Times New Roman"/>
          <w:sz w:val="20"/>
          <w:szCs w:val="20"/>
          <w:lang w:val="es-CR"/>
        </w:rPr>
        <w:t xml:space="preserve"> </w:t>
      </w:r>
    </w:p>
    <w:p w14:paraId="732DD401" w14:textId="4E8B2E4B" w:rsidR="009114A1" w:rsidRPr="00744CE4" w:rsidRDefault="00441064" w:rsidP="00432ABC">
      <w:pPr>
        <w:widowControl w:val="0"/>
        <w:numPr>
          <w:ilvl w:val="0"/>
          <w:numId w:val="4"/>
        </w:numPr>
        <w:tabs>
          <w:tab w:val="left" w:pos="567"/>
        </w:tabs>
        <w:autoSpaceDE w:val="0"/>
        <w:autoSpaceDN w:val="0"/>
        <w:adjustRightInd w:val="0"/>
        <w:spacing w:before="120" w:after="120" w:line="240" w:lineRule="auto"/>
        <w:ind w:left="0" w:firstLine="0"/>
        <w:jc w:val="both"/>
        <w:textAlignment w:val="baseline"/>
        <w:rPr>
          <w:rFonts w:ascii="Verdana" w:hAnsi="Verdana" w:cs="Times New Roman"/>
          <w:i/>
          <w:sz w:val="20"/>
          <w:szCs w:val="20"/>
          <w:lang w:val="es-CR"/>
        </w:rPr>
      </w:pPr>
      <w:r>
        <w:rPr>
          <w:rFonts w:ascii="Verdana" w:hAnsi="Verdana" w:cs="Times New Roman"/>
          <w:sz w:val="20"/>
          <w:szCs w:val="20"/>
          <w:lang w:val="es-CR"/>
        </w:rPr>
        <w:t>Como</w:t>
      </w:r>
      <w:r w:rsidR="00C92AEF">
        <w:rPr>
          <w:rFonts w:ascii="Verdana" w:hAnsi="Verdana" w:cs="Times New Roman"/>
          <w:sz w:val="20"/>
          <w:szCs w:val="20"/>
          <w:lang w:val="es-CR"/>
        </w:rPr>
        <w:t xml:space="preserve"> consecuencia</w:t>
      </w:r>
      <w:r w:rsidR="00C92AEF" w:rsidRPr="00744CE4">
        <w:rPr>
          <w:rFonts w:ascii="Verdana" w:hAnsi="Verdana" w:cs="Times New Roman"/>
          <w:sz w:val="20"/>
          <w:szCs w:val="20"/>
          <w:lang w:val="es-CR"/>
        </w:rPr>
        <w:t xml:space="preserve"> </w:t>
      </w:r>
      <w:r>
        <w:rPr>
          <w:rFonts w:ascii="Verdana" w:hAnsi="Verdana" w:cs="Times New Roman"/>
          <w:sz w:val="20"/>
          <w:szCs w:val="20"/>
          <w:lang w:val="es-CR"/>
        </w:rPr>
        <w:t xml:space="preserve">de </w:t>
      </w:r>
      <w:r w:rsidR="009114A1" w:rsidRPr="00744CE4">
        <w:rPr>
          <w:rFonts w:ascii="Verdana" w:hAnsi="Verdana" w:cs="Times New Roman"/>
          <w:sz w:val="20"/>
          <w:szCs w:val="20"/>
          <w:lang w:val="es-CR"/>
        </w:rPr>
        <w:t>las violaciones declaradas en la presente Sentencia</w:t>
      </w:r>
      <w:r w:rsidR="009114A1" w:rsidRPr="00432ABC">
        <w:rPr>
          <w:rFonts w:ascii="Verdana" w:hAnsi="Verdana" w:cs="Times New Roman"/>
          <w:sz w:val="20"/>
          <w:szCs w:val="20"/>
          <w:lang w:val="es-CR"/>
        </w:rPr>
        <w:t xml:space="preserve">, la Corte procederá a analizar los argumentos de las partes y la Comisión, a la luz de los criterios fijados en su jurisprudencia en relación con la naturaleza y alcance de la obligación de reparación integral, con el objeto de disponer las medidas dirigidas a reparar los daños ocasionados a las </w:t>
      </w:r>
      <w:r w:rsidR="009114A1" w:rsidRPr="00432ABC">
        <w:rPr>
          <w:rFonts w:ascii="Verdana" w:hAnsi="Verdana" w:cs="Times New Roman"/>
          <w:sz w:val="20"/>
          <w:szCs w:val="20"/>
          <w:lang w:val="es-CR"/>
        </w:rPr>
        <w:lastRenderedPageBreak/>
        <w:t>víctimas</w:t>
      </w:r>
      <w:r w:rsidR="009114A1" w:rsidRPr="00744CE4">
        <w:rPr>
          <w:rStyle w:val="FootnoteReference"/>
          <w:rFonts w:ascii="Verdana" w:hAnsi="Verdana"/>
          <w:sz w:val="20"/>
          <w:szCs w:val="20"/>
        </w:rPr>
        <w:footnoteReference w:id="524"/>
      </w:r>
      <w:r w:rsidR="009114A1" w:rsidRPr="00744CE4">
        <w:rPr>
          <w:rFonts w:ascii="Verdana" w:hAnsi="Verdana" w:cs="Times New Roman"/>
          <w:sz w:val="20"/>
          <w:szCs w:val="20"/>
          <w:lang w:val="es-CR"/>
        </w:rPr>
        <w:t>.</w:t>
      </w:r>
    </w:p>
    <w:p w14:paraId="3F11334E" w14:textId="131E6860" w:rsidR="00C66BBA" w:rsidRPr="00834AED" w:rsidRDefault="00C66BBA" w:rsidP="00432ABC">
      <w:pPr>
        <w:widowControl w:val="0"/>
        <w:numPr>
          <w:ilvl w:val="0"/>
          <w:numId w:val="4"/>
        </w:numPr>
        <w:tabs>
          <w:tab w:val="left" w:pos="567"/>
        </w:tabs>
        <w:autoSpaceDE w:val="0"/>
        <w:autoSpaceDN w:val="0"/>
        <w:adjustRightInd w:val="0"/>
        <w:spacing w:before="120" w:after="120" w:line="240" w:lineRule="auto"/>
        <w:ind w:left="0" w:firstLine="0"/>
        <w:jc w:val="both"/>
        <w:textAlignment w:val="baseline"/>
        <w:rPr>
          <w:rFonts w:ascii="Verdana" w:hAnsi="Verdana"/>
          <w:sz w:val="20"/>
          <w:lang w:val="es-GT"/>
        </w:rPr>
      </w:pPr>
      <w:r w:rsidRPr="00834AED">
        <w:rPr>
          <w:rFonts w:ascii="Verdana" w:hAnsi="Verdana" w:cs="Times New Roman"/>
          <w:sz w:val="20"/>
          <w:szCs w:val="20"/>
          <w:lang w:val="es-CR"/>
        </w:rPr>
        <w:t>Por otro lado, en virtud del artículo 63.2 de la Convención</w:t>
      </w:r>
      <w:r w:rsidRPr="00834AED">
        <w:rPr>
          <w:rStyle w:val="FootnoteReference"/>
          <w:rFonts w:ascii="Verdana" w:hAnsi="Verdana"/>
          <w:sz w:val="20"/>
          <w:szCs w:val="20"/>
          <w:lang w:val="es-CR"/>
        </w:rPr>
        <w:footnoteReference w:id="525"/>
      </w:r>
      <w:r w:rsidRPr="00834AED">
        <w:rPr>
          <w:rFonts w:ascii="Verdana" w:hAnsi="Verdana" w:cs="Times New Roman"/>
          <w:sz w:val="20"/>
          <w:szCs w:val="20"/>
          <w:lang w:val="es-CR"/>
        </w:rPr>
        <w:t xml:space="preserve">, </w:t>
      </w:r>
      <w:r w:rsidRPr="00834AED">
        <w:rPr>
          <w:rFonts w:ascii="Verdana" w:hAnsi="Verdana"/>
          <w:sz w:val="20"/>
          <w:lang w:val="es-GT"/>
        </w:rPr>
        <w:t xml:space="preserve">la Corte nota que las medidas provisionales en el </w:t>
      </w:r>
      <w:r w:rsidRPr="00834AED">
        <w:rPr>
          <w:rFonts w:ascii="Verdana" w:hAnsi="Verdana"/>
          <w:i/>
          <w:sz w:val="20"/>
          <w:lang w:val="es-GT"/>
        </w:rPr>
        <w:t>Asunto Alvarado Reyes respecto de México</w:t>
      </w:r>
      <w:r w:rsidRPr="00834AED">
        <w:rPr>
          <w:rFonts w:ascii="Verdana" w:hAnsi="Verdana"/>
          <w:sz w:val="20"/>
          <w:lang w:val="es-GT"/>
        </w:rPr>
        <w:t xml:space="preserve"> se encuentra</w:t>
      </w:r>
      <w:r w:rsidR="0046374F" w:rsidRPr="00834AED">
        <w:rPr>
          <w:rFonts w:ascii="Verdana" w:hAnsi="Verdana"/>
          <w:sz w:val="20"/>
          <w:lang w:val="es-GT"/>
        </w:rPr>
        <w:t>n</w:t>
      </w:r>
      <w:r w:rsidRPr="00834AED">
        <w:rPr>
          <w:rFonts w:ascii="Verdana" w:hAnsi="Verdana"/>
          <w:sz w:val="20"/>
          <w:lang w:val="es-GT"/>
        </w:rPr>
        <w:t xml:space="preserve"> relacionad</w:t>
      </w:r>
      <w:r w:rsidR="0046374F" w:rsidRPr="00834AED">
        <w:rPr>
          <w:rFonts w:ascii="Verdana" w:hAnsi="Verdana"/>
          <w:sz w:val="20"/>
          <w:lang w:val="es-GT"/>
        </w:rPr>
        <w:t>as</w:t>
      </w:r>
      <w:r w:rsidRPr="00834AED">
        <w:rPr>
          <w:rFonts w:ascii="Verdana" w:hAnsi="Verdana"/>
          <w:sz w:val="20"/>
          <w:lang w:val="es-GT"/>
        </w:rPr>
        <w:t xml:space="preserve"> con el presente caso, y esta Corte ya se ha pronunciado en esta Sentencia sobre los hechos particulares que acontec</w:t>
      </w:r>
      <w:r w:rsidR="00CB7722" w:rsidRPr="00834AED">
        <w:rPr>
          <w:rFonts w:ascii="Verdana" w:hAnsi="Verdana"/>
          <w:sz w:val="20"/>
          <w:lang w:val="es-GT"/>
        </w:rPr>
        <w:t>i</w:t>
      </w:r>
      <w:r w:rsidRPr="00834AED">
        <w:rPr>
          <w:rFonts w:ascii="Verdana" w:hAnsi="Verdana"/>
          <w:sz w:val="20"/>
          <w:lang w:val="es-GT"/>
        </w:rPr>
        <w:t>e</w:t>
      </w:r>
      <w:r w:rsidR="00CB7722" w:rsidRPr="00834AED">
        <w:rPr>
          <w:rFonts w:ascii="Verdana" w:hAnsi="Verdana"/>
          <w:sz w:val="20"/>
          <w:lang w:val="es-GT"/>
        </w:rPr>
        <w:t>ro</w:t>
      </w:r>
      <w:r w:rsidRPr="00834AED">
        <w:rPr>
          <w:rFonts w:ascii="Verdana" w:hAnsi="Verdana"/>
          <w:sz w:val="20"/>
          <w:lang w:val="es-GT"/>
        </w:rPr>
        <w:t xml:space="preserve">n </w:t>
      </w:r>
      <w:r w:rsidR="00CB7722" w:rsidRPr="00834AED">
        <w:rPr>
          <w:rFonts w:ascii="Verdana" w:hAnsi="Verdana"/>
          <w:sz w:val="20"/>
          <w:lang w:val="es-GT"/>
        </w:rPr>
        <w:t xml:space="preserve">en </w:t>
      </w:r>
      <w:r w:rsidRPr="00834AED">
        <w:rPr>
          <w:rFonts w:ascii="Verdana" w:hAnsi="Verdana"/>
          <w:sz w:val="20"/>
          <w:lang w:val="es-GT"/>
        </w:rPr>
        <w:t>ambos procedimientos, los cuales derivaron en violaciones concretas a la Convención, así como en el incumplimiento integral en la adopción de tales medidas por parte del Estado (</w:t>
      </w:r>
      <w:r w:rsidR="00205AF7" w:rsidRPr="00834AED">
        <w:rPr>
          <w:rFonts w:ascii="Verdana" w:hAnsi="Verdana"/>
          <w:i/>
          <w:sz w:val="20"/>
          <w:lang w:val="es-GT"/>
        </w:rPr>
        <w:t xml:space="preserve">supra </w:t>
      </w:r>
      <w:r w:rsidRPr="00834AED">
        <w:rPr>
          <w:rFonts w:ascii="Verdana" w:hAnsi="Verdana"/>
          <w:sz w:val="20"/>
          <w:lang w:val="es-GT"/>
        </w:rPr>
        <w:t xml:space="preserve">párr. </w:t>
      </w:r>
      <w:r w:rsidR="006755BC">
        <w:rPr>
          <w:rFonts w:ascii="Verdana" w:hAnsi="Verdana"/>
          <w:sz w:val="20"/>
          <w:lang w:val="es-GT"/>
        </w:rPr>
        <w:t>283</w:t>
      </w:r>
      <w:r w:rsidRPr="00834AED">
        <w:rPr>
          <w:rFonts w:ascii="Verdana" w:hAnsi="Verdana"/>
          <w:sz w:val="20"/>
          <w:lang w:val="es-GT"/>
        </w:rPr>
        <w:t>)</w:t>
      </w:r>
      <w:r w:rsidRPr="00834AED">
        <w:rPr>
          <w:rStyle w:val="FootnoteReference"/>
          <w:rFonts w:ascii="Verdana" w:hAnsi="Verdana"/>
          <w:sz w:val="20"/>
          <w:lang w:val="es-GT"/>
        </w:rPr>
        <w:footnoteReference w:id="526"/>
      </w:r>
      <w:r w:rsidRPr="00834AED">
        <w:rPr>
          <w:rFonts w:ascii="Verdana" w:hAnsi="Verdana"/>
          <w:sz w:val="20"/>
          <w:lang w:val="es-GT"/>
        </w:rPr>
        <w:t>. Al respecto, la Corte recuerda que en el Derecho Internacional de los Derechos Humanos las medidas provisionales tienen un carácter no sólo cautelar, en el sentido de que preservan una situación jurídica, sino fundamentalmente tutelar, por cuanto protegen derechos humanos, en tanto que buscan evitar daños irreparables a las personas. Éstas se aplican siempre y cuando se reúnan los requisitos básicos de extrema gravedad y urgencia y de la prevención de daños irreparables a las personas</w:t>
      </w:r>
      <w:r w:rsidRPr="00834AED">
        <w:rPr>
          <w:rStyle w:val="FootnoteReference"/>
          <w:rFonts w:ascii="Verdana" w:hAnsi="Verdana"/>
          <w:sz w:val="20"/>
          <w:lang w:val="es-GT"/>
        </w:rPr>
        <w:footnoteReference w:id="527"/>
      </w:r>
      <w:r w:rsidRPr="00834AED">
        <w:rPr>
          <w:rFonts w:ascii="Verdana" w:hAnsi="Verdana"/>
          <w:sz w:val="20"/>
          <w:lang w:val="es-GT"/>
        </w:rPr>
        <w:t xml:space="preserve">. </w:t>
      </w:r>
    </w:p>
    <w:p w14:paraId="5C961206" w14:textId="0FB033BF" w:rsidR="00C66BBA" w:rsidRPr="00432ABC" w:rsidRDefault="00C66BBA" w:rsidP="00432ABC">
      <w:pPr>
        <w:widowControl w:val="0"/>
        <w:numPr>
          <w:ilvl w:val="0"/>
          <w:numId w:val="4"/>
        </w:numPr>
        <w:tabs>
          <w:tab w:val="left" w:pos="567"/>
        </w:tabs>
        <w:autoSpaceDE w:val="0"/>
        <w:autoSpaceDN w:val="0"/>
        <w:adjustRightInd w:val="0"/>
        <w:spacing w:before="120" w:after="120" w:line="240" w:lineRule="auto"/>
        <w:ind w:left="0" w:firstLine="0"/>
        <w:jc w:val="both"/>
        <w:textAlignment w:val="baseline"/>
        <w:rPr>
          <w:rFonts w:ascii="Verdana" w:hAnsi="Verdana" w:cs="Arial"/>
          <w:sz w:val="20"/>
          <w:szCs w:val="20"/>
          <w:lang w:val="es-CR"/>
        </w:rPr>
      </w:pPr>
      <w:r w:rsidRPr="00744CE4">
        <w:rPr>
          <w:rFonts w:ascii="Verdana" w:hAnsi="Verdana"/>
          <w:sz w:val="20"/>
          <w:szCs w:val="20"/>
          <w:lang w:val="es-CR"/>
        </w:rPr>
        <w:t>De esta manera, con la</w:t>
      </w:r>
      <w:r w:rsidRPr="00432ABC">
        <w:rPr>
          <w:rFonts w:ascii="Verdana" w:hAnsi="Verdana"/>
          <w:sz w:val="20"/>
          <w:szCs w:val="20"/>
          <w:lang w:val="es-CR"/>
        </w:rPr>
        <w:t xml:space="preserve"> presente Sentencia las medidas provisionales concluyen su carácter cautelar</w:t>
      </w:r>
      <w:r w:rsidRPr="00744CE4">
        <w:rPr>
          <w:rStyle w:val="FootnoteReference"/>
          <w:rFonts w:ascii="Verdana" w:hAnsi="Verdana" w:cs="Arial"/>
          <w:sz w:val="20"/>
          <w:szCs w:val="20"/>
          <w:lang w:val="es-CR"/>
        </w:rPr>
        <w:footnoteReference w:id="528"/>
      </w:r>
      <w:r w:rsidRPr="00744CE4">
        <w:rPr>
          <w:rFonts w:ascii="Verdana" w:hAnsi="Verdana" w:cs="Arial"/>
          <w:sz w:val="20"/>
          <w:szCs w:val="20"/>
          <w:lang w:val="es-CR"/>
        </w:rPr>
        <w:t>, puesto que éstas tenían por objeto precisamente preservar una situación jurídica que hiciera posible la emisión de la misma.</w:t>
      </w:r>
      <w:r w:rsidRPr="00744CE4">
        <w:rPr>
          <w:rFonts w:ascii="Verdana" w:hAnsi="Verdana"/>
          <w:sz w:val="20"/>
          <w:szCs w:val="20"/>
          <w:lang w:val="es-CR"/>
        </w:rPr>
        <w:t xml:space="preserve"> Sin embargo, </w:t>
      </w:r>
      <w:r w:rsidRPr="00432ABC">
        <w:rPr>
          <w:rFonts w:ascii="Verdana" w:hAnsi="Verdana"/>
          <w:sz w:val="20"/>
          <w:szCs w:val="20"/>
          <w:lang w:val="es-CR"/>
        </w:rPr>
        <w:t xml:space="preserve">con </w:t>
      </w:r>
      <w:r w:rsidRPr="00432ABC">
        <w:rPr>
          <w:rFonts w:ascii="Verdana" w:hAnsi="Verdana" w:cs="Arial"/>
          <w:sz w:val="20"/>
          <w:szCs w:val="20"/>
          <w:lang w:val="es-CR"/>
        </w:rPr>
        <w:t>e</w:t>
      </w:r>
      <w:r w:rsidR="00BB23BD" w:rsidRPr="00432ABC">
        <w:rPr>
          <w:rFonts w:ascii="Verdana" w:hAnsi="Verdana" w:cs="Arial"/>
          <w:sz w:val="20"/>
          <w:szCs w:val="20"/>
          <w:lang w:val="es-CR"/>
        </w:rPr>
        <w:t>sta Sentencia,</w:t>
      </w:r>
      <w:r w:rsidRPr="00432ABC">
        <w:rPr>
          <w:rFonts w:ascii="Verdana" w:hAnsi="Verdana" w:cs="Arial"/>
          <w:sz w:val="20"/>
          <w:szCs w:val="20"/>
          <w:lang w:val="es-CR"/>
        </w:rPr>
        <w:t xml:space="preserve"> el objeto y fin perseguidos con las medidas provisionales queda vigente a través de la obligación específica del Estado de “garantizar al lesionado en el goce de su derecho o libertad conculcados”, a la luz del artículo 63.1 de la Convención. </w:t>
      </w:r>
    </w:p>
    <w:p w14:paraId="6D98B0D6" w14:textId="28608CBE" w:rsidR="00C66BBA" w:rsidRPr="005B1C1B" w:rsidRDefault="00C66BBA" w:rsidP="002C462C">
      <w:pPr>
        <w:widowControl w:val="0"/>
        <w:numPr>
          <w:ilvl w:val="0"/>
          <w:numId w:val="4"/>
        </w:numPr>
        <w:tabs>
          <w:tab w:val="left" w:pos="567"/>
        </w:tabs>
        <w:autoSpaceDE w:val="0"/>
        <w:autoSpaceDN w:val="0"/>
        <w:adjustRightInd w:val="0"/>
        <w:spacing w:before="120" w:after="120" w:line="240" w:lineRule="auto"/>
        <w:ind w:left="0" w:firstLine="0"/>
        <w:jc w:val="both"/>
        <w:textAlignment w:val="baseline"/>
        <w:rPr>
          <w:rFonts w:ascii="Verdana" w:hAnsi="Verdana" w:cs="Times New Roman"/>
          <w:sz w:val="20"/>
          <w:szCs w:val="20"/>
          <w:lang w:val="es-CR"/>
        </w:rPr>
      </w:pPr>
      <w:r w:rsidRPr="005B1C1B">
        <w:rPr>
          <w:rFonts w:ascii="Verdana" w:hAnsi="Verdana"/>
          <w:sz w:val="20"/>
          <w:szCs w:val="20"/>
          <w:lang w:val="es-CR"/>
        </w:rPr>
        <w:t>En virtud de lo anterior, para efectos del presente caso, la Corte estima pertinente dejar sin efectos las medidas provisionales relacionadas, por lo que las medidas que sean pertinentes pasan a integrar las obligaciones del Estado en materia de reparación integral (</w:t>
      </w:r>
      <w:r w:rsidR="00205AF7" w:rsidRPr="005B1C1B">
        <w:rPr>
          <w:rFonts w:ascii="Verdana" w:hAnsi="Verdana"/>
          <w:i/>
          <w:sz w:val="20"/>
          <w:szCs w:val="20"/>
          <w:lang w:val="es-CR"/>
        </w:rPr>
        <w:t>infr</w:t>
      </w:r>
      <w:r w:rsidR="0008384F" w:rsidRPr="005B1C1B">
        <w:rPr>
          <w:rFonts w:ascii="Verdana" w:hAnsi="Verdana"/>
          <w:i/>
          <w:sz w:val="20"/>
          <w:szCs w:val="20"/>
          <w:lang w:val="es-CR"/>
        </w:rPr>
        <w:t>a</w:t>
      </w:r>
      <w:r w:rsidR="00205AF7" w:rsidRPr="005B1C1B">
        <w:rPr>
          <w:rFonts w:ascii="Verdana" w:hAnsi="Verdana"/>
          <w:i/>
          <w:sz w:val="20"/>
          <w:szCs w:val="20"/>
          <w:lang w:val="es-CR"/>
        </w:rPr>
        <w:t xml:space="preserve"> </w:t>
      </w:r>
      <w:r w:rsidRPr="005B1C1B">
        <w:rPr>
          <w:rFonts w:ascii="Verdana" w:hAnsi="Verdana"/>
          <w:sz w:val="20"/>
          <w:szCs w:val="20"/>
          <w:lang w:val="es-CR"/>
        </w:rPr>
        <w:t>pár</w:t>
      </w:r>
      <w:r w:rsidR="003552DF" w:rsidRPr="005B1C1B">
        <w:rPr>
          <w:rFonts w:ascii="Verdana" w:hAnsi="Verdana"/>
          <w:sz w:val="20"/>
          <w:szCs w:val="20"/>
          <w:lang w:val="es-CR"/>
        </w:rPr>
        <w:t>rs</w:t>
      </w:r>
      <w:r w:rsidRPr="005B1C1B">
        <w:rPr>
          <w:rFonts w:ascii="Verdana" w:hAnsi="Verdana"/>
          <w:sz w:val="20"/>
          <w:szCs w:val="20"/>
          <w:lang w:val="es-CR"/>
        </w:rPr>
        <w:t xml:space="preserve">. </w:t>
      </w:r>
      <w:r w:rsidR="00BB23BD" w:rsidRPr="005B1C1B">
        <w:rPr>
          <w:rFonts w:ascii="Verdana" w:hAnsi="Verdana"/>
          <w:sz w:val="20"/>
          <w:szCs w:val="20"/>
          <w:lang w:val="es-CR"/>
        </w:rPr>
        <w:t>3</w:t>
      </w:r>
      <w:r w:rsidR="0008384F" w:rsidRPr="005B1C1B">
        <w:rPr>
          <w:rFonts w:ascii="Verdana" w:hAnsi="Verdana"/>
          <w:sz w:val="20"/>
          <w:szCs w:val="20"/>
          <w:lang w:val="es-CR"/>
        </w:rPr>
        <w:t>29</w:t>
      </w:r>
      <w:r w:rsidR="00BB23BD" w:rsidRPr="005B1C1B">
        <w:rPr>
          <w:rFonts w:ascii="Verdana" w:hAnsi="Verdana"/>
          <w:sz w:val="20"/>
          <w:szCs w:val="20"/>
          <w:lang w:val="es-CR"/>
        </w:rPr>
        <w:t xml:space="preserve"> a 33</w:t>
      </w:r>
      <w:r w:rsidR="0008384F" w:rsidRPr="005B1C1B">
        <w:rPr>
          <w:rFonts w:ascii="Verdana" w:hAnsi="Verdana"/>
          <w:sz w:val="20"/>
          <w:szCs w:val="20"/>
          <w:lang w:val="es-CR"/>
        </w:rPr>
        <w:t>2</w:t>
      </w:r>
      <w:r w:rsidRPr="005B1C1B">
        <w:rPr>
          <w:rFonts w:ascii="Verdana" w:hAnsi="Verdana"/>
          <w:sz w:val="20"/>
          <w:szCs w:val="20"/>
          <w:lang w:val="es-CR"/>
        </w:rPr>
        <w:t>)</w:t>
      </w:r>
      <w:r w:rsidRPr="005B1C1B">
        <w:rPr>
          <w:rStyle w:val="FootnoteReference"/>
          <w:rFonts w:ascii="Verdana" w:hAnsi="Verdana"/>
          <w:sz w:val="20"/>
          <w:szCs w:val="20"/>
        </w:rPr>
        <w:footnoteReference w:id="529"/>
      </w:r>
      <w:r w:rsidRPr="005B1C1B">
        <w:rPr>
          <w:rFonts w:ascii="Verdana" w:hAnsi="Verdana"/>
          <w:sz w:val="20"/>
          <w:szCs w:val="20"/>
          <w:lang w:val="es-CR"/>
        </w:rPr>
        <w:t>.</w:t>
      </w:r>
    </w:p>
    <w:p w14:paraId="501030D3" w14:textId="3767A717" w:rsidR="009114A1" w:rsidRPr="00744CE4" w:rsidRDefault="00556FDB" w:rsidP="002C462C">
      <w:pPr>
        <w:pStyle w:val="ListParagraph"/>
        <w:keepNext/>
        <w:keepLines/>
        <w:numPr>
          <w:ilvl w:val="0"/>
          <w:numId w:val="29"/>
        </w:numPr>
        <w:spacing w:before="120" w:after="120" w:line="240" w:lineRule="auto"/>
        <w:contextualSpacing w:val="0"/>
        <w:jc w:val="both"/>
        <w:outlineLvl w:val="1"/>
        <w:rPr>
          <w:rFonts w:ascii="Verdana" w:eastAsia="Times New Roman" w:hAnsi="Verdana" w:cs="Times New Roman"/>
          <w:b/>
          <w:bCs/>
          <w:i/>
          <w:sz w:val="20"/>
          <w:szCs w:val="20"/>
          <w:lang w:val="es-ES"/>
        </w:rPr>
      </w:pPr>
      <w:bookmarkStart w:id="337" w:name="_Toc457464007"/>
      <w:bookmarkStart w:id="338" w:name="_Toc458175997"/>
      <w:bookmarkStart w:id="339" w:name="_Toc467060528"/>
      <w:bookmarkStart w:id="340" w:name="_Toc467060643"/>
      <w:bookmarkStart w:id="341" w:name="_Toc467060882"/>
      <w:bookmarkStart w:id="342" w:name="_Toc467060923"/>
      <w:bookmarkStart w:id="343" w:name="_Toc457464008"/>
      <w:bookmarkStart w:id="344" w:name="_Toc458175998"/>
      <w:bookmarkStart w:id="345" w:name="_Toc467060529"/>
      <w:bookmarkStart w:id="346" w:name="_Toc467060644"/>
      <w:bookmarkStart w:id="347" w:name="_Toc467060883"/>
      <w:bookmarkStart w:id="348" w:name="_Toc467060924"/>
      <w:bookmarkStart w:id="349" w:name="_Toc494271563"/>
      <w:bookmarkStart w:id="350" w:name="_Toc510702286"/>
      <w:bookmarkStart w:id="351" w:name="_Toc526774180"/>
      <w:bookmarkStart w:id="352" w:name="_Toc526777516"/>
      <w:bookmarkStart w:id="353" w:name="_Toc526783819"/>
      <w:bookmarkEnd w:id="337"/>
      <w:bookmarkEnd w:id="338"/>
      <w:bookmarkEnd w:id="339"/>
      <w:bookmarkEnd w:id="340"/>
      <w:bookmarkEnd w:id="341"/>
      <w:bookmarkEnd w:id="342"/>
      <w:bookmarkEnd w:id="343"/>
      <w:bookmarkEnd w:id="344"/>
      <w:bookmarkEnd w:id="345"/>
      <w:bookmarkEnd w:id="346"/>
      <w:bookmarkEnd w:id="347"/>
      <w:bookmarkEnd w:id="348"/>
      <w:r>
        <w:rPr>
          <w:rFonts w:ascii="Verdana" w:eastAsia="Times New Roman" w:hAnsi="Verdana" w:cs="Times New Roman"/>
          <w:b/>
          <w:bCs/>
          <w:i/>
          <w:sz w:val="20"/>
          <w:szCs w:val="20"/>
          <w:lang w:val="es-ES"/>
        </w:rPr>
        <w:t xml:space="preserve"> </w:t>
      </w:r>
      <w:bookmarkStart w:id="354" w:name="_Toc532995399"/>
      <w:r w:rsidR="009114A1" w:rsidRPr="00744CE4">
        <w:rPr>
          <w:rFonts w:ascii="Verdana" w:eastAsia="Times New Roman" w:hAnsi="Verdana" w:cs="Times New Roman"/>
          <w:b/>
          <w:bCs/>
          <w:i/>
          <w:sz w:val="20"/>
          <w:szCs w:val="20"/>
          <w:lang w:val="es-ES"/>
        </w:rPr>
        <w:t>Parte lesionada</w:t>
      </w:r>
      <w:bookmarkEnd w:id="349"/>
      <w:bookmarkEnd w:id="350"/>
      <w:bookmarkEnd w:id="351"/>
      <w:bookmarkEnd w:id="352"/>
      <w:bookmarkEnd w:id="353"/>
      <w:bookmarkEnd w:id="354"/>
    </w:p>
    <w:p w14:paraId="215BE1CD" w14:textId="2BEA4ABF" w:rsidR="002265E8" w:rsidRPr="005F54F6" w:rsidRDefault="009114A1" w:rsidP="003564A3">
      <w:pPr>
        <w:widowControl w:val="0"/>
        <w:numPr>
          <w:ilvl w:val="0"/>
          <w:numId w:val="4"/>
        </w:numPr>
        <w:tabs>
          <w:tab w:val="left" w:pos="567"/>
        </w:tabs>
        <w:autoSpaceDE w:val="0"/>
        <w:autoSpaceDN w:val="0"/>
        <w:adjustRightInd w:val="0"/>
        <w:spacing w:before="120" w:after="120" w:line="240" w:lineRule="auto"/>
        <w:ind w:left="0" w:firstLine="0"/>
        <w:jc w:val="both"/>
        <w:textAlignment w:val="baseline"/>
        <w:rPr>
          <w:rFonts w:ascii="Verdana" w:eastAsia="Times New Roman" w:hAnsi="Verdana" w:cs="Times New Roman"/>
          <w:sz w:val="20"/>
          <w:szCs w:val="20"/>
          <w:lang w:val="es-ES"/>
        </w:rPr>
      </w:pPr>
      <w:r w:rsidRPr="00744CE4">
        <w:rPr>
          <w:rFonts w:ascii="Verdana" w:eastAsia="Times New Roman" w:hAnsi="Verdana" w:cs="Times New Roman"/>
          <w:sz w:val="20"/>
          <w:szCs w:val="20"/>
          <w:lang w:val="es-ES"/>
        </w:rPr>
        <w:t>En los términos del artículo 63.1 de la Convención, e</w:t>
      </w:r>
      <w:r w:rsidRPr="00432ABC">
        <w:rPr>
          <w:rFonts w:ascii="Verdana" w:eastAsia="Times New Roman" w:hAnsi="Verdana" w:cs="Times New Roman"/>
          <w:sz w:val="20"/>
          <w:szCs w:val="20"/>
          <w:lang w:val="es-ES"/>
        </w:rPr>
        <w:t xml:space="preserve">ste Tribunal estima </w:t>
      </w:r>
      <w:r w:rsidRPr="00432ABC">
        <w:rPr>
          <w:rFonts w:ascii="Verdana" w:eastAsia="Times New Roman" w:hAnsi="Verdana" w:cs="Times New Roman"/>
          <w:sz w:val="20"/>
          <w:szCs w:val="20"/>
          <w:lang w:val="es-CO"/>
        </w:rPr>
        <w:t>“</w:t>
      </w:r>
      <w:r w:rsidRPr="00432ABC">
        <w:rPr>
          <w:rFonts w:ascii="Verdana" w:eastAsia="Times New Roman" w:hAnsi="Verdana" w:cs="Times New Roman"/>
          <w:sz w:val="20"/>
          <w:szCs w:val="20"/>
          <w:lang w:val="es-ES"/>
        </w:rPr>
        <w:t>parte lesionada” a quienes han sido declaradas víctimas de la violación de algún derecho reconocido en la misma. Por lo tanto, para efectos</w:t>
      </w:r>
      <w:r w:rsidRPr="002C462C">
        <w:rPr>
          <w:rFonts w:ascii="Verdana" w:eastAsia="Times New Roman" w:hAnsi="Verdana" w:cs="Times New Roman"/>
          <w:sz w:val="20"/>
          <w:szCs w:val="20"/>
          <w:lang w:val="es-ES"/>
        </w:rPr>
        <w:t xml:space="preserve"> de</w:t>
      </w:r>
      <w:r w:rsidR="00A83200">
        <w:rPr>
          <w:rFonts w:ascii="Verdana" w:eastAsia="Times New Roman" w:hAnsi="Verdana" w:cs="Times New Roman"/>
          <w:sz w:val="20"/>
          <w:szCs w:val="20"/>
          <w:lang w:val="es-ES"/>
        </w:rPr>
        <w:t>l presente</w:t>
      </w:r>
      <w:r w:rsidRPr="002C462C">
        <w:rPr>
          <w:rFonts w:ascii="Verdana" w:eastAsia="Times New Roman" w:hAnsi="Verdana" w:cs="Times New Roman"/>
          <w:sz w:val="20"/>
          <w:szCs w:val="20"/>
          <w:lang w:val="es-ES"/>
        </w:rPr>
        <w:t xml:space="preserve"> caso, </w:t>
      </w:r>
      <w:r w:rsidR="00D0318B">
        <w:rPr>
          <w:rFonts w:ascii="Verdana" w:eastAsia="Times New Roman" w:hAnsi="Verdana" w:cs="Times New Roman"/>
          <w:sz w:val="20"/>
          <w:szCs w:val="20"/>
          <w:lang w:val="es-ES"/>
        </w:rPr>
        <w:t>la</w:t>
      </w:r>
      <w:r w:rsidR="00D0318B" w:rsidRPr="002C462C">
        <w:rPr>
          <w:rFonts w:ascii="Verdana" w:eastAsia="Times New Roman" w:hAnsi="Verdana" w:cs="Times New Roman"/>
          <w:sz w:val="20"/>
          <w:szCs w:val="20"/>
          <w:lang w:val="es-ES"/>
        </w:rPr>
        <w:t xml:space="preserve"> </w:t>
      </w:r>
      <w:r w:rsidRPr="002C462C">
        <w:rPr>
          <w:rFonts w:ascii="Verdana" w:eastAsia="Times New Roman" w:hAnsi="Verdana" w:cs="Times New Roman"/>
          <w:sz w:val="20"/>
          <w:szCs w:val="20"/>
          <w:lang w:val="es-ES"/>
        </w:rPr>
        <w:t xml:space="preserve">Corte considera como parte lesionada a la señora Nitza Paola Alvarado Espinoza, </w:t>
      </w:r>
      <w:r w:rsidR="00507725" w:rsidRPr="002C462C">
        <w:rPr>
          <w:rFonts w:ascii="Verdana" w:eastAsia="Times New Roman" w:hAnsi="Verdana" w:cs="Times New Roman"/>
          <w:sz w:val="20"/>
          <w:szCs w:val="20"/>
          <w:lang w:val="es-ES"/>
        </w:rPr>
        <w:t xml:space="preserve">Rocío Irene Alvarado Reyes y </w:t>
      </w:r>
      <w:r w:rsidRPr="002C462C">
        <w:rPr>
          <w:rFonts w:ascii="Verdana" w:eastAsia="Times New Roman" w:hAnsi="Verdana" w:cs="Times New Roman"/>
          <w:sz w:val="20"/>
          <w:szCs w:val="20"/>
          <w:lang w:val="es-ES"/>
        </w:rPr>
        <w:t xml:space="preserve">José Ángel Alvarado Herrera y a </w:t>
      </w:r>
      <w:r w:rsidRPr="002C462C">
        <w:rPr>
          <w:rFonts w:ascii="Verdana" w:eastAsia="Times New Roman" w:hAnsi="Verdana" w:cs="Times New Roman"/>
          <w:sz w:val="20"/>
          <w:szCs w:val="20"/>
          <w:lang w:val="es-ES"/>
        </w:rPr>
        <w:lastRenderedPageBreak/>
        <w:t xml:space="preserve">sus familiares, </w:t>
      </w:r>
      <w:r w:rsidR="00E33422" w:rsidRPr="008D0846">
        <w:rPr>
          <w:rFonts w:ascii="Verdana" w:eastAsia="Times New Roman" w:hAnsi="Verdana" w:cs="Times New Roman"/>
          <w:sz w:val="20"/>
          <w:szCs w:val="20"/>
          <w:lang w:val="es-ES"/>
        </w:rPr>
        <w:t>los cuales se detallan a continuación:</w:t>
      </w:r>
    </w:p>
    <w:tbl>
      <w:tblPr>
        <w:tblStyle w:val="TableGrid"/>
        <w:tblW w:w="0" w:type="auto"/>
        <w:jc w:val="center"/>
        <w:tblLook w:val="04A0" w:firstRow="1" w:lastRow="0" w:firstColumn="1" w:lastColumn="0" w:noHBand="0" w:noVBand="1"/>
      </w:tblPr>
      <w:tblGrid>
        <w:gridCol w:w="3369"/>
        <w:gridCol w:w="5811"/>
      </w:tblGrid>
      <w:tr w:rsidR="00E33422" w14:paraId="6A4F875A" w14:textId="77777777" w:rsidTr="003564A3">
        <w:trPr>
          <w:jc w:val="center"/>
        </w:trPr>
        <w:tc>
          <w:tcPr>
            <w:tcW w:w="3369" w:type="dxa"/>
          </w:tcPr>
          <w:p w14:paraId="22F32E7F" w14:textId="77777777" w:rsidR="00E33422" w:rsidRPr="006E5414" w:rsidRDefault="00E33422" w:rsidP="002265E8">
            <w:pPr>
              <w:rPr>
                <w:rFonts w:ascii="Verdana" w:hAnsi="Verdana"/>
                <w:sz w:val="18"/>
                <w:szCs w:val="18"/>
                <w:lang w:val="es-CR"/>
              </w:rPr>
            </w:pPr>
          </w:p>
          <w:p w14:paraId="664B828B" w14:textId="77777777" w:rsidR="00E33422" w:rsidRPr="006E5414" w:rsidRDefault="00E33422" w:rsidP="002265E8">
            <w:pPr>
              <w:rPr>
                <w:rFonts w:ascii="Verdana" w:hAnsi="Verdana"/>
                <w:sz w:val="18"/>
                <w:szCs w:val="18"/>
                <w:lang w:val="es-CR"/>
              </w:rPr>
            </w:pPr>
          </w:p>
          <w:p w14:paraId="79DC087A" w14:textId="77777777" w:rsidR="00E33422" w:rsidRPr="006E5414" w:rsidRDefault="00E33422" w:rsidP="002265E8">
            <w:pPr>
              <w:rPr>
                <w:rFonts w:ascii="Verdana" w:hAnsi="Verdana"/>
                <w:sz w:val="18"/>
                <w:szCs w:val="18"/>
                <w:lang w:val="es-CR"/>
              </w:rPr>
            </w:pPr>
          </w:p>
          <w:p w14:paraId="093E2570" w14:textId="77777777" w:rsidR="00E33422" w:rsidRPr="006E5414" w:rsidRDefault="00E33422" w:rsidP="002265E8">
            <w:pPr>
              <w:rPr>
                <w:rFonts w:ascii="Verdana" w:hAnsi="Verdana"/>
                <w:sz w:val="18"/>
                <w:szCs w:val="18"/>
                <w:lang w:val="es-CR"/>
              </w:rPr>
            </w:pPr>
          </w:p>
          <w:p w14:paraId="302EE991" w14:textId="77777777" w:rsidR="00E33422" w:rsidRPr="006E5414" w:rsidRDefault="00E33422" w:rsidP="002265E8">
            <w:pPr>
              <w:rPr>
                <w:rFonts w:ascii="Verdana" w:hAnsi="Verdana"/>
                <w:sz w:val="18"/>
                <w:szCs w:val="18"/>
                <w:lang w:val="es-CR"/>
              </w:rPr>
            </w:pPr>
          </w:p>
          <w:p w14:paraId="12C33C24" w14:textId="77777777" w:rsidR="00E33422" w:rsidRPr="006E5414" w:rsidRDefault="00E33422" w:rsidP="002265E8">
            <w:pPr>
              <w:rPr>
                <w:rFonts w:ascii="Verdana" w:hAnsi="Verdana"/>
                <w:b/>
                <w:sz w:val="18"/>
                <w:szCs w:val="18"/>
                <w:lang w:val="es-CR"/>
              </w:rPr>
            </w:pPr>
            <w:r w:rsidRPr="006E5414">
              <w:rPr>
                <w:rFonts w:ascii="Verdana" w:hAnsi="Verdana"/>
                <w:b/>
                <w:sz w:val="18"/>
                <w:szCs w:val="18"/>
                <w:lang w:val="es-CR"/>
              </w:rPr>
              <w:t>Familiares de Nitza Paola Alvarado Espinoza</w:t>
            </w:r>
          </w:p>
        </w:tc>
        <w:tc>
          <w:tcPr>
            <w:tcW w:w="5811" w:type="dxa"/>
          </w:tcPr>
          <w:p w14:paraId="66E6EA19" w14:textId="77777777" w:rsidR="00E33422" w:rsidRPr="006E5414" w:rsidRDefault="00E33422" w:rsidP="00E33422">
            <w:pPr>
              <w:pStyle w:val="ListParagraph"/>
              <w:numPr>
                <w:ilvl w:val="0"/>
                <w:numId w:val="101"/>
              </w:numPr>
              <w:rPr>
                <w:rFonts w:ascii="Verdana" w:hAnsi="Verdana"/>
                <w:sz w:val="18"/>
                <w:szCs w:val="18"/>
                <w:lang w:val="es-CR"/>
              </w:rPr>
            </w:pPr>
            <w:r w:rsidRPr="006E5414">
              <w:rPr>
                <w:rFonts w:ascii="Verdana" w:hAnsi="Verdana"/>
                <w:sz w:val="18"/>
                <w:szCs w:val="18"/>
                <w:lang w:val="es-CR"/>
              </w:rPr>
              <w:t>María de Jesús Espinoza Peinado (madre)</w:t>
            </w:r>
          </w:p>
          <w:p w14:paraId="43AFA3B0" w14:textId="77777777" w:rsidR="00E33422" w:rsidRPr="006E5414" w:rsidRDefault="00E33422" w:rsidP="00E33422">
            <w:pPr>
              <w:pStyle w:val="ListParagraph"/>
              <w:numPr>
                <w:ilvl w:val="0"/>
                <w:numId w:val="101"/>
              </w:numPr>
              <w:rPr>
                <w:rFonts w:ascii="Verdana" w:hAnsi="Verdana"/>
                <w:sz w:val="18"/>
                <w:szCs w:val="18"/>
                <w:lang w:val="es-CR"/>
              </w:rPr>
            </w:pPr>
            <w:r w:rsidRPr="006E5414">
              <w:rPr>
                <w:rFonts w:ascii="Verdana" w:hAnsi="Verdana"/>
                <w:sz w:val="18"/>
                <w:szCs w:val="18"/>
                <w:lang w:val="es-CR"/>
              </w:rPr>
              <w:t>Ascensión Alvarado Fabela (padre)</w:t>
            </w:r>
          </w:p>
          <w:p w14:paraId="44277246" w14:textId="77777777" w:rsidR="00E33422" w:rsidRPr="006E5414" w:rsidRDefault="00E33422" w:rsidP="00E33422">
            <w:pPr>
              <w:pStyle w:val="ListParagraph"/>
              <w:numPr>
                <w:ilvl w:val="0"/>
                <w:numId w:val="101"/>
              </w:numPr>
              <w:rPr>
                <w:rFonts w:ascii="Verdana" w:hAnsi="Verdana"/>
                <w:sz w:val="18"/>
                <w:szCs w:val="18"/>
              </w:rPr>
            </w:pPr>
            <w:r w:rsidRPr="006E5414">
              <w:rPr>
                <w:rFonts w:ascii="Verdana" w:hAnsi="Verdana"/>
                <w:sz w:val="18"/>
                <w:szCs w:val="18"/>
              </w:rPr>
              <w:t>N.S.A.E. (hija)</w:t>
            </w:r>
          </w:p>
          <w:p w14:paraId="3857D161" w14:textId="77777777" w:rsidR="00E33422" w:rsidRPr="006E5414" w:rsidRDefault="00E33422" w:rsidP="00E33422">
            <w:pPr>
              <w:pStyle w:val="ListParagraph"/>
              <w:numPr>
                <w:ilvl w:val="0"/>
                <w:numId w:val="101"/>
              </w:numPr>
              <w:rPr>
                <w:rFonts w:ascii="Verdana" w:hAnsi="Verdana"/>
                <w:sz w:val="18"/>
                <w:szCs w:val="18"/>
              </w:rPr>
            </w:pPr>
            <w:r w:rsidRPr="006E5414">
              <w:rPr>
                <w:rFonts w:ascii="Verdana" w:hAnsi="Verdana"/>
                <w:sz w:val="18"/>
                <w:szCs w:val="18"/>
              </w:rPr>
              <w:t>M.P.A.E. (hija)</w:t>
            </w:r>
          </w:p>
          <w:p w14:paraId="1C0849F0" w14:textId="77777777" w:rsidR="00E33422" w:rsidRPr="006E5414" w:rsidRDefault="00E33422" w:rsidP="00E33422">
            <w:pPr>
              <w:pStyle w:val="ListParagraph"/>
              <w:numPr>
                <w:ilvl w:val="0"/>
                <w:numId w:val="101"/>
              </w:numPr>
              <w:rPr>
                <w:rFonts w:ascii="Verdana" w:hAnsi="Verdana"/>
                <w:sz w:val="18"/>
                <w:szCs w:val="18"/>
              </w:rPr>
            </w:pPr>
            <w:r w:rsidRPr="006E5414">
              <w:rPr>
                <w:rFonts w:ascii="Verdana" w:hAnsi="Verdana"/>
                <w:sz w:val="18"/>
                <w:szCs w:val="18"/>
              </w:rPr>
              <w:t>D.A.E. (hija)</w:t>
            </w:r>
          </w:p>
          <w:p w14:paraId="05092B8C" w14:textId="77777777" w:rsidR="00E33422" w:rsidRPr="006E5414" w:rsidRDefault="00E33422" w:rsidP="00E33422">
            <w:pPr>
              <w:pStyle w:val="ListParagraph"/>
              <w:numPr>
                <w:ilvl w:val="0"/>
                <w:numId w:val="101"/>
              </w:numPr>
              <w:rPr>
                <w:rFonts w:ascii="Verdana" w:hAnsi="Verdana"/>
                <w:sz w:val="18"/>
                <w:szCs w:val="18"/>
                <w:lang w:val="es-CR"/>
              </w:rPr>
            </w:pPr>
            <w:r w:rsidRPr="006E5414">
              <w:rPr>
                <w:rFonts w:ascii="Verdana" w:hAnsi="Verdana"/>
                <w:sz w:val="18"/>
                <w:szCs w:val="18"/>
                <w:lang w:val="es-CR"/>
              </w:rPr>
              <w:t>María de Jesús Alvarado Espinoza (hermana)</w:t>
            </w:r>
          </w:p>
          <w:p w14:paraId="4BD8458B" w14:textId="77777777" w:rsidR="00E33422" w:rsidRPr="006E5414" w:rsidRDefault="00E33422" w:rsidP="00E33422">
            <w:pPr>
              <w:pStyle w:val="ListParagraph"/>
              <w:numPr>
                <w:ilvl w:val="0"/>
                <w:numId w:val="101"/>
              </w:numPr>
              <w:rPr>
                <w:rFonts w:ascii="Verdana" w:hAnsi="Verdana"/>
                <w:sz w:val="18"/>
                <w:szCs w:val="18"/>
              </w:rPr>
            </w:pPr>
            <w:r w:rsidRPr="006E5414">
              <w:rPr>
                <w:rFonts w:ascii="Verdana" w:hAnsi="Verdana"/>
                <w:sz w:val="18"/>
                <w:szCs w:val="18"/>
              </w:rPr>
              <w:t>Rigoberto Ambriz Marrufo (cuñado)</w:t>
            </w:r>
          </w:p>
          <w:p w14:paraId="42F0BB5D" w14:textId="77777777" w:rsidR="00E33422" w:rsidRPr="006E5414" w:rsidRDefault="00E33422" w:rsidP="00E33422">
            <w:pPr>
              <w:pStyle w:val="ListParagraph"/>
              <w:numPr>
                <w:ilvl w:val="0"/>
                <w:numId w:val="101"/>
              </w:numPr>
              <w:rPr>
                <w:rFonts w:ascii="Verdana" w:hAnsi="Verdana"/>
                <w:sz w:val="18"/>
                <w:szCs w:val="18"/>
              </w:rPr>
            </w:pPr>
            <w:r w:rsidRPr="006E5414">
              <w:rPr>
                <w:rFonts w:ascii="Verdana" w:hAnsi="Verdana"/>
                <w:sz w:val="18"/>
                <w:szCs w:val="18"/>
              </w:rPr>
              <w:t>R.A.A. (sobrino)</w:t>
            </w:r>
          </w:p>
          <w:p w14:paraId="2850BEC5" w14:textId="77777777" w:rsidR="00E33422" w:rsidRPr="006E5414" w:rsidRDefault="00E33422" w:rsidP="00E33422">
            <w:pPr>
              <w:pStyle w:val="ListParagraph"/>
              <w:numPr>
                <w:ilvl w:val="0"/>
                <w:numId w:val="101"/>
              </w:numPr>
              <w:rPr>
                <w:rFonts w:ascii="Verdana" w:hAnsi="Verdana"/>
                <w:sz w:val="18"/>
                <w:szCs w:val="18"/>
                <w:lang w:val="es-CR"/>
              </w:rPr>
            </w:pPr>
            <w:r w:rsidRPr="006E5414">
              <w:rPr>
                <w:rFonts w:ascii="Verdana" w:hAnsi="Verdana"/>
                <w:sz w:val="18"/>
                <w:szCs w:val="18"/>
                <w:lang w:val="es-CR"/>
              </w:rPr>
              <w:t>I.A.A.A. (sobrino)</w:t>
            </w:r>
          </w:p>
          <w:p w14:paraId="3CB35931" w14:textId="77777777" w:rsidR="00E33422" w:rsidRPr="006E5414" w:rsidRDefault="00E33422" w:rsidP="00E33422">
            <w:pPr>
              <w:pStyle w:val="ListParagraph"/>
              <w:numPr>
                <w:ilvl w:val="0"/>
                <w:numId w:val="101"/>
              </w:numPr>
              <w:rPr>
                <w:rFonts w:ascii="Verdana" w:hAnsi="Verdana"/>
                <w:sz w:val="18"/>
                <w:szCs w:val="18"/>
                <w:lang w:val="es-CR"/>
              </w:rPr>
            </w:pPr>
            <w:r w:rsidRPr="006E5414">
              <w:rPr>
                <w:rFonts w:ascii="Verdana" w:hAnsi="Verdana"/>
                <w:sz w:val="18"/>
                <w:szCs w:val="18"/>
                <w:lang w:val="es-CR"/>
              </w:rPr>
              <w:t>J.E.A.A. (sobrino)</w:t>
            </w:r>
          </w:p>
          <w:p w14:paraId="47718D88" w14:textId="77777777" w:rsidR="00E33422" w:rsidRPr="006E5414" w:rsidRDefault="00E33422" w:rsidP="00E33422">
            <w:pPr>
              <w:pStyle w:val="ListParagraph"/>
              <w:numPr>
                <w:ilvl w:val="0"/>
                <w:numId w:val="101"/>
              </w:numPr>
              <w:rPr>
                <w:rFonts w:ascii="Verdana" w:hAnsi="Verdana"/>
                <w:sz w:val="18"/>
                <w:szCs w:val="18"/>
                <w:lang w:val="es-CR"/>
              </w:rPr>
            </w:pPr>
            <w:r w:rsidRPr="006E5414">
              <w:rPr>
                <w:rFonts w:ascii="Verdana" w:hAnsi="Verdana"/>
                <w:sz w:val="18"/>
                <w:szCs w:val="18"/>
                <w:lang w:val="es-CR"/>
              </w:rPr>
              <w:t>A.Y.A.A. (sobrino)</w:t>
            </w:r>
          </w:p>
        </w:tc>
      </w:tr>
      <w:tr w:rsidR="00E33422" w14:paraId="7D1F6E3D" w14:textId="77777777" w:rsidTr="003564A3">
        <w:trPr>
          <w:jc w:val="center"/>
        </w:trPr>
        <w:tc>
          <w:tcPr>
            <w:tcW w:w="3369" w:type="dxa"/>
          </w:tcPr>
          <w:p w14:paraId="08086596" w14:textId="77777777" w:rsidR="00E33422" w:rsidRPr="006E5414" w:rsidRDefault="00E33422" w:rsidP="002265E8">
            <w:pPr>
              <w:rPr>
                <w:rFonts w:ascii="Verdana" w:hAnsi="Verdana"/>
                <w:sz w:val="18"/>
                <w:szCs w:val="18"/>
                <w:lang w:val="es-CR"/>
              </w:rPr>
            </w:pPr>
          </w:p>
          <w:p w14:paraId="452DCF75" w14:textId="77777777" w:rsidR="00E33422" w:rsidRPr="006E5414" w:rsidRDefault="00E33422" w:rsidP="002265E8">
            <w:pPr>
              <w:rPr>
                <w:rFonts w:ascii="Verdana" w:hAnsi="Verdana"/>
                <w:sz w:val="18"/>
                <w:szCs w:val="18"/>
                <w:lang w:val="es-CR"/>
              </w:rPr>
            </w:pPr>
          </w:p>
          <w:p w14:paraId="097C9C8A" w14:textId="77777777" w:rsidR="00E33422" w:rsidRPr="006E5414" w:rsidRDefault="00E33422" w:rsidP="002265E8">
            <w:pPr>
              <w:rPr>
                <w:rFonts w:ascii="Verdana" w:hAnsi="Verdana"/>
                <w:sz w:val="18"/>
                <w:szCs w:val="18"/>
                <w:lang w:val="es-CR"/>
              </w:rPr>
            </w:pPr>
          </w:p>
          <w:p w14:paraId="0C8E163B" w14:textId="77777777" w:rsidR="00E33422" w:rsidRPr="006E5414" w:rsidRDefault="00E33422" w:rsidP="002265E8">
            <w:pPr>
              <w:rPr>
                <w:rFonts w:ascii="Verdana" w:hAnsi="Verdana"/>
                <w:b/>
                <w:sz w:val="18"/>
                <w:szCs w:val="18"/>
                <w:lang w:val="es-CR"/>
              </w:rPr>
            </w:pPr>
            <w:r w:rsidRPr="006E5414">
              <w:rPr>
                <w:rFonts w:ascii="Verdana" w:hAnsi="Verdana"/>
                <w:b/>
                <w:sz w:val="18"/>
                <w:szCs w:val="18"/>
                <w:lang w:val="es-CR"/>
              </w:rPr>
              <w:t>Familiares de Rocío Irene Alvarado Reyes</w:t>
            </w:r>
          </w:p>
        </w:tc>
        <w:tc>
          <w:tcPr>
            <w:tcW w:w="5811" w:type="dxa"/>
          </w:tcPr>
          <w:p w14:paraId="41F77C79" w14:textId="77777777" w:rsidR="00E33422" w:rsidRPr="006E5414" w:rsidRDefault="00E33422" w:rsidP="00E33422">
            <w:pPr>
              <w:pStyle w:val="ListParagraph"/>
              <w:numPr>
                <w:ilvl w:val="0"/>
                <w:numId w:val="102"/>
              </w:numPr>
              <w:rPr>
                <w:rFonts w:ascii="Verdana" w:hAnsi="Verdana"/>
                <w:sz w:val="18"/>
                <w:szCs w:val="18"/>
              </w:rPr>
            </w:pPr>
            <w:r w:rsidRPr="006E5414">
              <w:rPr>
                <w:rFonts w:ascii="Verdana" w:hAnsi="Verdana"/>
                <w:sz w:val="18"/>
                <w:szCs w:val="18"/>
              </w:rPr>
              <w:t>Patricia Reyes Rueda (madre)</w:t>
            </w:r>
          </w:p>
          <w:p w14:paraId="4E6EF9C9" w14:textId="77777777" w:rsidR="00E33422" w:rsidRPr="006E5414" w:rsidRDefault="00E33422" w:rsidP="00E33422">
            <w:pPr>
              <w:pStyle w:val="ListParagraph"/>
              <w:numPr>
                <w:ilvl w:val="0"/>
                <w:numId w:val="102"/>
              </w:numPr>
              <w:rPr>
                <w:rFonts w:ascii="Verdana" w:hAnsi="Verdana"/>
                <w:sz w:val="18"/>
                <w:szCs w:val="18"/>
              </w:rPr>
            </w:pPr>
            <w:r w:rsidRPr="006E5414">
              <w:rPr>
                <w:rFonts w:ascii="Verdana" w:hAnsi="Verdana"/>
                <w:sz w:val="18"/>
                <w:szCs w:val="18"/>
              </w:rPr>
              <w:t>A.M.U.A. (hija)</w:t>
            </w:r>
          </w:p>
          <w:p w14:paraId="127166F8" w14:textId="77777777" w:rsidR="00E33422" w:rsidRPr="006E5414" w:rsidRDefault="00E33422" w:rsidP="00E33422">
            <w:pPr>
              <w:pStyle w:val="ListParagraph"/>
              <w:numPr>
                <w:ilvl w:val="0"/>
                <w:numId w:val="102"/>
              </w:numPr>
              <w:rPr>
                <w:rFonts w:ascii="Verdana" w:hAnsi="Verdana"/>
                <w:sz w:val="18"/>
                <w:szCs w:val="18"/>
              </w:rPr>
            </w:pPr>
            <w:r w:rsidRPr="006E5414">
              <w:rPr>
                <w:rFonts w:ascii="Verdana" w:hAnsi="Verdana"/>
                <w:sz w:val="18"/>
                <w:szCs w:val="18"/>
              </w:rPr>
              <w:t>A.A.R. (hermano)</w:t>
            </w:r>
          </w:p>
          <w:p w14:paraId="2387EE7E" w14:textId="77777777" w:rsidR="00E33422" w:rsidRPr="006E5414" w:rsidRDefault="00E33422" w:rsidP="00E33422">
            <w:pPr>
              <w:pStyle w:val="ListParagraph"/>
              <w:numPr>
                <w:ilvl w:val="0"/>
                <w:numId w:val="102"/>
              </w:numPr>
              <w:rPr>
                <w:rFonts w:ascii="Verdana" w:hAnsi="Verdana"/>
                <w:sz w:val="18"/>
                <w:szCs w:val="18"/>
              </w:rPr>
            </w:pPr>
            <w:r w:rsidRPr="006E5414">
              <w:rPr>
                <w:rFonts w:ascii="Verdana" w:hAnsi="Verdana"/>
                <w:sz w:val="18"/>
                <w:szCs w:val="18"/>
              </w:rPr>
              <w:t>A.R.A.R. (hermano)</w:t>
            </w:r>
          </w:p>
          <w:p w14:paraId="30D52CAB" w14:textId="77777777" w:rsidR="00E33422" w:rsidRPr="006E5414" w:rsidRDefault="00E33422" w:rsidP="00E33422">
            <w:pPr>
              <w:pStyle w:val="ListParagraph"/>
              <w:numPr>
                <w:ilvl w:val="0"/>
                <w:numId w:val="102"/>
              </w:numPr>
              <w:rPr>
                <w:rFonts w:ascii="Verdana" w:hAnsi="Verdana"/>
                <w:sz w:val="18"/>
                <w:szCs w:val="18"/>
              </w:rPr>
            </w:pPr>
            <w:r w:rsidRPr="006E5414">
              <w:rPr>
                <w:rFonts w:ascii="Verdana" w:hAnsi="Verdana"/>
                <w:sz w:val="18"/>
                <w:szCs w:val="18"/>
              </w:rPr>
              <w:t>Manuel Reyes Lira (abuelo)</w:t>
            </w:r>
          </w:p>
        </w:tc>
      </w:tr>
      <w:tr w:rsidR="00E33422" w14:paraId="52AE99FA" w14:textId="77777777" w:rsidTr="003564A3">
        <w:trPr>
          <w:jc w:val="center"/>
        </w:trPr>
        <w:tc>
          <w:tcPr>
            <w:tcW w:w="3369" w:type="dxa"/>
          </w:tcPr>
          <w:p w14:paraId="39D51D5C" w14:textId="77777777" w:rsidR="00E33422" w:rsidRPr="006E5414" w:rsidRDefault="00E33422" w:rsidP="002265E8">
            <w:pPr>
              <w:rPr>
                <w:rFonts w:ascii="Verdana" w:hAnsi="Verdana"/>
                <w:b/>
                <w:sz w:val="18"/>
                <w:szCs w:val="18"/>
              </w:rPr>
            </w:pPr>
          </w:p>
          <w:p w14:paraId="3FD42E5C" w14:textId="77777777" w:rsidR="00E33422" w:rsidRPr="006E5414" w:rsidRDefault="00E33422" w:rsidP="002265E8">
            <w:pPr>
              <w:rPr>
                <w:rFonts w:ascii="Verdana" w:hAnsi="Verdana"/>
                <w:b/>
                <w:sz w:val="18"/>
                <w:szCs w:val="18"/>
              </w:rPr>
            </w:pPr>
          </w:p>
          <w:p w14:paraId="4A035464" w14:textId="77777777" w:rsidR="00E33422" w:rsidRPr="006E5414" w:rsidRDefault="00E33422" w:rsidP="002265E8">
            <w:pPr>
              <w:rPr>
                <w:rFonts w:ascii="Verdana" w:hAnsi="Verdana"/>
                <w:b/>
                <w:sz w:val="18"/>
                <w:szCs w:val="18"/>
              </w:rPr>
            </w:pPr>
          </w:p>
          <w:p w14:paraId="7CC9596A" w14:textId="77777777" w:rsidR="00E33422" w:rsidRPr="006E5414" w:rsidRDefault="00E33422" w:rsidP="002265E8">
            <w:pPr>
              <w:rPr>
                <w:rFonts w:ascii="Verdana" w:hAnsi="Verdana"/>
                <w:b/>
                <w:sz w:val="18"/>
                <w:szCs w:val="18"/>
              </w:rPr>
            </w:pPr>
          </w:p>
          <w:p w14:paraId="53783696" w14:textId="77777777" w:rsidR="00E33422" w:rsidRPr="006E5414" w:rsidRDefault="00E33422" w:rsidP="002265E8">
            <w:pPr>
              <w:rPr>
                <w:rFonts w:ascii="Verdana" w:hAnsi="Verdana"/>
                <w:b/>
                <w:sz w:val="18"/>
                <w:szCs w:val="18"/>
              </w:rPr>
            </w:pPr>
          </w:p>
          <w:p w14:paraId="45D2F4BB" w14:textId="77777777" w:rsidR="00E33422" w:rsidRPr="006E5414" w:rsidRDefault="00E33422" w:rsidP="002265E8">
            <w:pPr>
              <w:rPr>
                <w:rFonts w:ascii="Verdana" w:hAnsi="Verdana"/>
                <w:b/>
                <w:sz w:val="18"/>
                <w:szCs w:val="18"/>
              </w:rPr>
            </w:pPr>
          </w:p>
          <w:p w14:paraId="49037469" w14:textId="77777777" w:rsidR="00E33422" w:rsidRPr="006E5414" w:rsidRDefault="00E33422" w:rsidP="002265E8">
            <w:pPr>
              <w:rPr>
                <w:rFonts w:ascii="Verdana" w:hAnsi="Verdana"/>
                <w:b/>
                <w:sz w:val="18"/>
                <w:szCs w:val="18"/>
              </w:rPr>
            </w:pPr>
          </w:p>
          <w:p w14:paraId="2495CF1E" w14:textId="77777777" w:rsidR="00E33422" w:rsidRPr="006E5414" w:rsidRDefault="00E33422" w:rsidP="002265E8">
            <w:pPr>
              <w:rPr>
                <w:rFonts w:ascii="Verdana" w:hAnsi="Verdana"/>
                <w:b/>
                <w:sz w:val="18"/>
                <w:szCs w:val="18"/>
              </w:rPr>
            </w:pPr>
          </w:p>
          <w:p w14:paraId="223765C0" w14:textId="77777777" w:rsidR="00E33422" w:rsidRPr="006E5414" w:rsidRDefault="00E33422" w:rsidP="002265E8">
            <w:pPr>
              <w:rPr>
                <w:rFonts w:ascii="Verdana" w:hAnsi="Verdana" w:cs="Arial"/>
                <w:sz w:val="18"/>
                <w:szCs w:val="18"/>
                <w:rtl/>
              </w:rPr>
            </w:pPr>
            <w:r w:rsidRPr="006E5414">
              <w:rPr>
                <w:rFonts w:ascii="Verdana" w:hAnsi="Verdana"/>
                <w:b/>
                <w:sz w:val="18"/>
                <w:szCs w:val="18"/>
                <w:lang w:val="es-CR"/>
              </w:rPr>
              <w:t>Familiares de José Ángel Alvarado Herrera</w:t>
            </w:r>
          </w:p>
        </w:tc>
        <w:tc>
          <w:tcPr>
            <w:tcW w:w="5811" w:type="dxa"/>
          </w:tcPr>
          <w:p w14:paraId="432B16B4" w14:textId="77777777" w:rsidR="00E33422" w:rsidRPr="006E5414" w:rsidRDefault="00E33422" w:rsidP="00E33422">
            <w:pPr>
              <w:pStyle w:val="ListParagraph"/>
              <w:numPr>
                <w:ilvl w:val="0"/>
                <w:numId w:val="103"/>
              </w:numPr>
              <w:rPr>
                <w:rFonts w:ascii="Verdana" w:hAnsi="Verdana"/>
                <w:sz w:val="18"/>
                <w:szCs w:val="18"/>
                <w:lang w:val="es-CR"/>
              </w:rPr>
            </w:pPr>
            <w:r w:rsidRPr="006E5414">
              <w:rPr>
                <w:rFonts w:ascii="Verdana" w:hAnsi="Verdana"/>
                <w:sz w:val="18"/>
                <w:szCs w:val="18"/>
                <w:lang w:val="es-CR"/>
              </w:rPr>
              <w:t>Concepción Herrera Hernández (madre, fallecida en 2016)</w:t>
            </w:r>
          </w:p>
          <w:p w14:paraId="0A0697D1" w14:textId="7AEFFE08" w:rsidR="00D0318B" w:rsidRPr="006E5414" w:rsidRDefault="00D0318B" w:rsidP="00D0318B">
            <w:pPr>
              <w:pStyle w:val="ListParagraph"/>
              <w:numPr>
                <w:ilvl w:val="0"/>
                <w:numId w:val="103"/>
              </w:numPr>
              <w:rPr>
                <w:rFonts w:ascii="Verdana" w:hAnsi="Verdana"/>
                <w:sz w:val="18"/>
                <w:szCs w:val="18"/>
              </w:rPr>
            </w:pPr>
            <w:r w:rsidRPr="006E5414">
              <w:rPr>
                <w:rFonts w:ascii="Verdana" w:hAnsi="Verdana"/>
                <w:sz w:val="18"/>
                <w:szCs w:val="18"/>
                <w:lang w:val="es-CR"/>
              </w:rPr>
              <w:t>José Ángel Alvarado Fabela (padre)</w:t>
            </w:r>
          </w:p>
          <w:p w14:paraId="6712C77D" w14:textId="5B276129" w:rsidR="00E33422" w:rsidRPr="006E5414" w:rsidRDefault="00D0318B" w:rsidP="00E33422">
            <w:pPr>
              <w:pStyle w:val="ListParagraph"/>
              <w:numPr>
                <w:ilvl w:val="0"/>
                <w:numId w:val="103"/>
              </w:numPr>
              <w:rPr>
                <w:rFonts w:ascii="Verdana" w:hAnsi="Verdana"/>
                <w:sz w:val="18"/>
                <w:szCs w:val="18"/>
                <w:lang w:val="es-CR"/>
              </w:rPr>
            </w:pPr>
            <w:r w:rsidRPr="006E5414">
              <w:rPr>
                <w:rFonts w:ascii="Verdana" w:hAnsi="Verdana"/>
                <w:sz w:val="18"/>
                <w:szCs w:val="18"/>
              </w:rPr>
              <w:t>Obdulia Espinoza Beltrán (esposa)</w:t>
            </w:r>
          </w:p>
          <w:p w14:paraId="567BE6EB" w14:textId="77777777" w:rsidR="00E33422" w:rsidRPr="006E5414" w:rsidRDefault="00E33422" w:rsidP="00E33422">
            <w:pPr>
              <w:pStyle w:val="ListParagraph"/>
              <w:numPr>
                <w:ilvl w:val="0"/>
                <w:numId w:val="103"/>
              </w:numPr>
              <w:rPr>
                <w:rFonts w:ascii="Verdana" w:hAnsi="Verdana"/>
                <w:sz w:val="18"/>
                <w:szCs w:val="18"/>
              </w:rPr>
            </w:pPr>
            <w:r w:rsidRPr="006E5414">
              <w:rPr>
                <w:rFonts w:ascii="Verdana" w:hAnsi="Verdana"/>
                <w:sz w:val="18"/>
                <w:szCs w:val="18"/>
              </w:rPr>
              <w:t>J.A.E. (hija)</w:t>
            </w:r>
          </w:p>
          <w:p w14:paraId="6A569D69" w14:textId="77777777" w:rsidR="00E33422" w:rsidRPr="006E5414" w:rsidRDefault="00E33422" w:rsidP="00E33422">
            <w:pPr>
              <w:pStyle w:val="ListParagraph"/>
              <w:numPr>
                <w:ilvl w:val="0"/>
                <w:numId w:val="103"/>
              </w:numPr>
              <w:rPr>
                <w:rFonts w:ascii="Verdana" w:hAnsi="Verdana"/>
                <w:sz w:val="18"/>
                <w:szCs w:val="18"/>
              </w:rPr>
            </w:pPr>
            <w:r w:rsidRPr="006E5414">
              <w:rPr>
                <w:rFonts w:ascii="Verdana" w:hAnsi="Verdana"/>
                <w:sz w:val="18"/>
                <w:szCs w:val="18"/>
              </w:rPr>
              <w:t>J.A.A.E. (hijo)</w:t>
            </w:r>
          </w:p>
          <w:p w14:paraId="17E1AF65" w14:textId="77777777" w:rsidR="00E33422" w:rsidRPr="006E5414" w:rsidRDefault="00E33422" w:rsidP="00E33422">
            <w:pPr>
              <w:pStyle w:val="ListParagraph"/>
              <w:numPr>
                <w:ilvl w:val="0"/>
                <w:numId w:val="103"/>
              </w:numPr>
              <w:rPr>
                <w:rFonts w:ascii="Verdana" w:hAnsi="Verdana"/>
                <w:sz w:val="18"/>
                <w:szCs w:val="18"/>
              </w:rPr>
            </w:pPr>
            <w:r w:rsidRPr="006E5414">
              <w:rPr>
                <w:rFonts w:ascii="Verdana" w:hAnsi="Verdana"/>
                <w:sz w:val="18"/>
                <w:szCs w:val="18"/>
              </w:rPr>
              <w:t>A.E.B. (A.A.E.) (hija)</w:t>
            </w:r>
          </w:p>
          <w:p w14:paraId="48127EE5" w14:textId="77777777" w:rsidR="00E33422" w:rsidRPr="006E5414" w:rsidRDefault="00E33422" w:rsidP="00E33422">
            <w:pPr>
              <w:pStyle w:val="ListParagraph"/>
              <w:numPr>
                <w:ilvl w:val="0"/>
                <w:numId w:val="103"/>
              </w:numPr>
              <w:rPr>
                <w:rFonts w:ascii="Verdana" w:hAnsi="Verdana"/>
                <w:sz w:val="18"/>
                <w:szCs w:val="18"/>
              </w:rPr>
            </w:pPr>
            <w:r w:rsidRPr="006E5414">
              <w:rPr>
                <w:rFonts w:ascii="Verdana" w:hAnsi="Verdana"/>
                <w:sz w:val="18"/>
                <w:szCs w:val="18"/>
              </w:rPr>
              <w:t>Jaime Alvarado Herrera (hermano)</w:t>
            </w:r>
          </w:p>
          <w:p w14:paraId="089B02CB" w14:textId="77777777" w:rsidR="00E33422" w:rsidRPr="006E5414" w:rsidRDefault="00E33422" w:rsidP="00E33422">
            <w:pPr>
              <w:pStyle w:val="ListParagraph"/>
              <w:numPr>
                <w:ilvl w:val="0"/>
                <w:numId w:val="103"/>
              </w:numPr>
              <w:rPr>
                <w:rFonts w:ascii="Verdana" w:hAnsi="Verdana"/>
                <w:sz w:val="18"/>
                <w:szCs w:val="18"/>
                <w:lang w:val="es-CR"/>
              </w:rPr>
            </w:pPr>
            <w:r w:rsidRPr="006E5414">
              <w:rPr>
                <w:rFonts w:ascii="Verdana" w:hAnsi="Verdana"/>
                <w:sz w:val="18"/>
                <w:szCs w:val="18"/>
                <w:lang w:val="es-CR"/>
              </w:rPr>
              <w:t>Sandra Luz Rueda Quezada (cuñada)</w:t>
            </w:r>
          </w:p>
          <w:p w14:paraId="3DC6D2EE" w14:textId="77777777" w:rsidR="00E33422" w:rsidRPr="006E5414" w:rsidRDefault="00E33422" w:rsidP="00E33422">
            <w:pPr>
              <w:pStyle w:val="ListParagraph"/>
              <w:numPr>
                <w:ilvl w:val="0"/>
                <w:numId w:val="103"/>
              </w:numPr>
              <w:rPr>
                <w:rFonts w:ascii="Verdana" w:hAnsi="Verdana"/>
                <w:sz w:val="18"/>
                <w:szCs w:val="18"/>
                <w:lang w:val="es-CR"/>
              </w:rPr>
            </w:pPr>
            <w:r w:rsidRPr="006E5414">
              <w:rPr>
                <w:rFonts w:ascii="Verdana" w:hAnsi="Verdana"/>
                <w:sz w:val="18"/>
                <w:szCs w:val="18"/>
                <w:lang w:val="es-CR"/>
              </w:rPr>
              <w:t>J.O.A.R. (sobrino)</w:t>
            </w:r>
          </w:p>
          <w:p w14:paraId="0F96BC3F" w14:textId="77777777" w:rsidR="00E33422" w:rsidRPr="006E5414" w:rsidRDefault="00E33422" w:rsidP="00E33422">
            <w:pPr>
              <w:pStyle w:val="ListParagraph"/>
              <w:numPr>
                <w:ilvl w:val="0"/>
                <w:numId w:val="103"/>
              </w:numPr>
              <w:rPr>
                <w:rFonts w:ascii="Verdana" w:hAnsi="Verdana"/>
                <w:sz w:val="18"/>
                <w:szCs w:val="18"/>
                <w:lang w:val="es-CR"/>
              </w:rPr>
            </w:pPr>
            <w:r w:rsidRPr="006E5414">
              <w:rPr>
                <w:rFonts w:ascii="Verdana" w:hAnsi="Verdana"/>
                <w:sz w:val="18"/>
                <w:szCs w:val="18"/>
                <w:lang w:val="es-CR"/>
              </w:rPr>
              <w:t>R.G.A.R. (sobrina)</w:t>
            </w:r>
          </w:p>
          <w:p w14:paraId="24C070D0" w14:textId="77777777" w:rsidR="00E33422" w:rsidRPr="006E5414" w:rsidRDefault="00E33422" w:rsidP="00E33422">
            <w:pPr>
              <w:pStyle w:val="ListParagraph"/>
              <w:numPr>
                <w:ilvl w:val="0"/>
                <w:numId w:val="103"/>
              </w:numPr>
              <w:rPr>
                <w:rFonts w:ascii="Verdana" w:hAnsi="Verdana"/>
                <w:sz w:val="18"/>
                <w:szCs w:val="18"/>
                <w:lang w:val="es-CR"/>
              </w:rPr>
            </w:pPr>
            <w:r w:rsidRPr="006E5414">
              <w:rPr>
                <w:rFonts w:ascii="Verdana" w:hAnsi="Verdana"/>
                <w:sz w:val="18"/>
                <w:szCs w:val="18"/>
                <w:lang w:val="es-CR"/>
              </w:rPr>
              <w:t>C.N.A.R. (sobrina)</w:t>
            </w:r>
          </w:p>
          <w:p w14:paraId="05B4B0AF" w14:textId="77777777" w:rsidR="00E33422" w:rsidRPr="006E5414" w:rsidRDefault="00E33422" w:rsidP="00E33422">
            <w:pPr>
              <w:pStyle w:val="ListParagraph"/>
              <w:numPr>
                <w:ilvl w:val="0"/>
                <w:numId w:val="103"/>
              </w:numPr>
              <w:rPr>
                <w:rFonts w:ascii="Verdana" w:hAnsi="Verdana"/>
                <w:sz w:val="18"/>
                <w:szCs w:val="18"/>
                <w:lang w:val="es-CR"/>
              </w:rPr>
            </w:pPr>
            <w:r w:rsidRPr="006E5414">
              <w:rPr>
                <w:rFonts w:ascii="Verdana" w:hAnsi="Verdana"/>
                <w:sz w:val="18"/>
                <w:szCs w:val="18"/>
                <w:lang w:val="es-CR"/>
              </w:rPr>
              <w:t>J.E.A.R. (sobrino)</w:t>
            </w:r>
          </w:p>
          <w:p w14:paraId="7FEAEA3C" w14:textId="77777777" w:rsidR="00E33422" w:rsidRPr="006E5414" w:rsidRDefault="00E33422" w:rsidP="00E33422">
            <w:pPr>
              <w:pStyle w:val="ListParagraph"/>
              <w:numPr>
                <w:ilvl w:val="0"/>
                <w:numId w:val="103"/>
              </w:numPr>
              <w:rPr>
                <w:rFonts w:ascii="Verdana" w:hAnsi="Verdana"/>
                <w:sz w:val="18"/>
                <w:szCs w:val="18"/>
                <w:lang w:val="es-CR"/>
              </w:rPr>
            </w:pPr>
            <w:r w:rsidRPr="006E5414">
              <w:rPr>
                <w:rFonts w:ascii="Verdana" w:hAnsi="Verdana"/>
                <w:sz w:val="18"/>
                <w:szCs w:val="18"/>
                <w:lang w:val="es-CR"/>
              </w:rPr>
              <w:t>Rosa Olivia Alvarado Herrera (hermana)</w:t>
            </w:r>
          </w:p>
          <w:p w14:paraId="7228F6A1" w14:textId="77777777" w:rsidR="00E33422" w:rsidRPr="006E5414" w:rsidRDefault="00E33422" w:rsidP="00E33422">
            <w:pPr>
              <w:pStyle w:val="ListParagraph"/>
              <w:numPr>
                <w:ilvl w:val="0"/>
                <w:numId w:val="103"/>
              </w:numPr>
              <w:rPr>
                <w:rFonts w:ascii="Verdana" w:hAnsi="Verdana"/>
                <w:sz w:val="18"/>
                <w:szCs w:val="18"/>
              </w:rPr>
            </w:pPr>
            <w:r w:rsidRPr="006E5414">
              <w:rPr>
                <w:rFonts w:ascii="Verdana" w:hAnsi="Verdana"/>
                <w:sz w:val="18"/>
                <w:szCs w:val="18"/>
              </w:rPr>
              <w:t>Félix Garc</w:t>
            </w:r>
            <w:r w:rsidRPr="006E5414">
              <w:rPr>
                <w:rFonts w:ascii="Verdana" w:hAnsi="Verdana" w:cs="Arial"/>
                <w:sz w:val="18"/>
                <w:szCs w:val="18"/>
              </w:rPr>
              <w:t xml:space="preserve">ía García </w:t>
            </w:r>
            <w:r w:rsidRPr="006E5414">
              <w:rPr>
                <w:rFonts w:ascii="Verdana" w:hAnsi="Verdana"/>
                <w:sz w:val="18"/>
                <w:szCs w:val="18"/>
              </w:rPr>
              <w:t>(cuñado)</w:t>
            </w:r>
          </w:p>
          <w:p w14:paraId="288A81D7" w14:textId="77777777" w:rsidR="00E33422" w:rsidRPr="006E5414" w:rsidRDefault="00E33422" w:rsidP="00E33422">
            <w:pPr>
              <w:pStyle w:val="ListParagraph"/>
              <w:numPr>
                <w:ilvl w:val="0"/>
                <w:numId w:val="103"/>
              </w:numPr>
              <w:rPr>
                <w:rFonts w:ascii="Verdana" w:hAnsi="Verdana"/>
                <w:sz w:val="18"/>
                <w:szCs w:val="18"/>
                <w:lang w:val="es-CR"/>
              </w:rPr>
            </w:pPr>
            <w:r w:rsidRPr="006E5414">
              <w:rPr>
                <w:rFonts w:ascii="Verdana" w:hAnsi="Verdana"/>
                <w:sz w:val="18"/>
                <w:szCs w:val="18"/>
                <w:lang w:val="es-CR"/>
              </w:rPr>
              <w:t>Karina Paola Alvarado Espinoza (sobrina)</w:t>
            </w:r>
          </w:p>
          <w:p w14:paraId="64A3D89D" w14:textId="77777777" w:rsidR="00E33422" w:rsidRPr="006E5414" w:rsidRDefault="00E33422" w:rsidP="00E33422">
            <w:pPr>
              <w:pStyle w:val="ListParagraph"/>
              <w:numPr>
                <w:ilvl w:val="0"/>
                <w:numId w:val="103"/>
              </w:numPr>
              <w:rPr>
                <w:rFonts w:ascii="Verdana" w:hAnsi="Verdana"/>
                <w:sz w:val="18"/>
                <w:szCs w:val="18"/>
                <w:lang w:val="es-CR"/>
              </w:rPr>
            </w:pPr>
            <w:r w:rsidRPr="006E5414">
              <w:rPr>
                <w:rFonts w:ascii="Verdana" w:hAnsi="Verdana"/>
                <w:sz w:val="18"/>
                <w:szCs w:val="18"/>
                <w:lang w:val="es-CR"/>
              </w:rPr>
              <w:t>F.A.H. (sobrino, asesinado el 6 de febrero de 2018)</w:t>
            </w:r>
          </w:p>
          <w:p w14:paraId="7CB9F21F" w14:textId="10C7507E" w:rsidR="00E33422" w:rsidRPr="006E5414" w:rsidRDefault="00E33422" w:rsidP="00E33422">
            <w:pPr>
              <w:pStyle w:val="ListParagraph"/>
              <w:numPr>
                <w:ilvl w:val="0"/>
                <w:numId w:val="103"/>
              </w:numPr>
              <w:rPr>
                <w:rFonts w:ascii="Verdana" w:hAnsi="Verdana"/>
                <w:sz w:val="18"/>
                <w:szCs w:val="18"/>
              </w:rPr>
            </w:pPr>
            <w:r w:rsidRPr="006E5414">
              <w:rPr>
                <w:rFonts w:ascii="Verdana" w:hAnsi="Verdana"/>
                <w:sz w:val="18"/>
                <w:szCs w:val="18"/>
              </w:rPr>
              <w:t>J.G.A. (sobrin</w:t>
            </w:r>
            <w:r w:rsidR="000F1F65" w:rsidRPr="006E5414">
              <w:rPr>
                <w:rFonts w:ascii="Verdana" w:hAnsi="Verdana"/>
                <w:sz w:val="18"/>
                <w:szCs w:val="18"/>
              </w:rPr>
              <w:t>a</w:t>
            </w:r>
            <w:r w:rsidRPr="006E5414">
              <w:rPr>
                <w:rFonts w:ascii="Verdana" w:hAnsi="Verdana"/>
                <w:sz w:val="18"/>
                <w:szCs w:val="18"/>
              </w:rPr>
              <w:t>)</w:t>
            </w:r>
          </w:p>
          <w:p w14:paraId="048A8F78" w14:textId="77777777" w:rsidR="00E33422" w:rsidRPr="006E5414" w:rsidRDefault="00E33422" w:rsidP="00E33422">
            <w:pPr>
              <w:pStyle w:val="ListParagraph"/>
              <w:numPr>
                <w:ilvl w:val="0"/>
                <w:numId w:val="103"/>
              </w:numPr>
              <w:rPr>
                <w:rFonts w:ascii="Verdana" w:hAnsi="Verdana"/>
                <w:sz w:val="18"/>
                <w:szCs w:val="18"/>
              </w:rPr>
            </w:pPr>
            <w:r w:rsidRPr="006E5414">
              <w:rPr>
                <w:rFonts w:ascii="Verdana" w:hAnsi="Verdana"/>
                <w:sz w:val="18"/>
                <w:szCs w:val="18"/>
              </w:rPr>
              <w:t>A.G.A. (sobrino)</w:t>
            </w:r>
          </w:p>
        </w:tc>
      </w:tr>
    </w:tbl>
    <w:p w14:paraId="04822B81" w14:textId="28D0D333" w:rsidR="009114A1" w:rsidRPr="003564A3" w:rsidRDefault="005F54F6" w:rsidP="005F54F6">
      <w:pPr>
        <w:widowControl w:val="0"/>
        <w:numPr>
          <w:ilvl w:val="0"/>
          <w:numId w:val="4"/>
        </w:numPr>
        <w:tabs>
          <w:tab w:val="left" w:pos="567"/>
        </w:tabs>
        <w:autoSpaceDE w:val="0"/>
        <w:autoSpaceDN w:val="0"/>
        <w:adjustRightInd w:val="0"/>
        <w:spacing w:before="120" w:after="120" w:line="240" w:lineRule="auto"/>
        <w:ind w:left="0" w:firstLine="0"/>
        <w:jc w:val="both"/>
        <w:textAlignment w:val="baseline"/>
        <w:rPr>
          <w:rFonts w:ascii="Verdana" w:eastAsia="Times New Roman" w:hAnsi="Verdana" w:cs="Times New Roman"/>
          <w:sz w:val="20"/>
          <w:szCs w:val="20"/>
          <w:lang w:val="es-ES"/>
        </w:rPr>
      </w:pPr>
      <w:r>
        <w:rPr>
          <w:rFonts w:ascii="Verdana" w:eastAsia="Times New Roman" w:hAnsi="Verdana" w:cs="Times New Roman"/>
          <w:sz w:val="20"/>
          <w:szCs w:val="20"/>
          <w:lang w:val="es-ES"/>
        </w:rPr>
        <w:t xml:space="preserve">Para </w:t>
      </w:r>
      <w:r w:rsidR="002265E8">
        <w:rPr>
          <w:rFonts w:ascii="Verdana" w:eastAsia="Times New Roman" w:hAnsi="Verdana" w:cs="Times New Roman"/>
          <w:sz w:val="20"/>
          <w:szCs w:val="20"/>
          <w:lang w:val="es-ES"/>
        </w:rPr>
        <w:t>efectos d</w:t>
      </w:r>
      <w:r w:rsidR="009114A1" w:rsidRPr="003564A3">
        <w:rPr>
          <w:rFonts w:ascii="Verdana" w:eastAsia="Times New Roman" w:hAnsi="Verdana" w:cs="Times New Roman"/>
          <w:sz w:val="20"/>
          <w:szCs w:val="20"/>
          <w:lang w:val="es-ES"/>
        </w:rPr>
        <w:t xml:space="preserve">e las reparaciones ordenadas en este capítulo, la Corte toma nota que la señora Concepción Herrera Hernández falleció el </w:t>
      </w:r>
      <w:r w:rsidR="00984BB6" w:rsidRPr="003564A3">
        <w:rPr>
          <w:rFonts w:ascii="Verdana" w:eastAsia="Times New Roman" w:hAnsi="Verdana" w:cs="Times New Roman"/>
          <w:sz w:val="20"/>
          <w:szCs w:val="20"/>
        </w:rPr>
        <w:t>14 de enero de 2016</w:t>
      </w:r>
      <w:r w:rsidR="00984BB6" w:rsidRPr="00744CE4">
        <w:rPr>
          <w:rStyle w:val="FootnoteReference"/>
          <w:rFonts w:ascii="Verdana" w:eastAsia="Times New Roman" w:hAnsi="Verdana" w:cs="Times New Roman"/>
          <w:sz w:val="20"/>
          <w:szCs w:val="20"/>
        </w:rPr>
        <w:footnoteReference w:id="530"/>
      </w:r>
      <w:r w:rsidR="009114A1" w:rsidRPr="003564A3">
        <w:rPr>
          <w:rFonts w:ascii="Verdana" w:hAnsi="Verdana" w:cs="Times New Roman"/>
          <w:sz w:val="20"/>
          <w:szCs w:val="20"/>
          <w:lang w:val="es-CR"/>
        </w:rPr>
        <w:t xml:space="preserve">, el señor </w:t>
      </w:r>
      <w:r w:rsidR="009114A1" w:rsidRPr="003564A3">
        <w:rPr>
          <w:rFonts w:ascii="Verdana" w:eastAsia="Times New Roman" w:hAnsi="Verdana" w:cs="Times New Roman"/>
          <w:sz w:val="20"/>
          <w:szCs w:val="20"/>
          <w:lang w:val="es-ES"/>
        </w:rPr>
        <w:t>Manuel Reyes Lira falleció e</w:t>
      </w:r>
      <w:r w:rsidR="00927025" w:rsidRPr="003564A3">
        <w:rPr>
          <w:rFonts w:ascii="Verdana" w:eastAsia="Times New Roman" w:hAnsi="Verdana" w:cs="Times New Roman"/>
          <w:sz w:val="20"/>
          <w:szCs w:val="20"/>
          <w:lang w:val="es-ES"/>
        </w:rPr>
        <w:t xml:space="preserve">n </w:t>
      </w:r>
      <w:r w:rsidR="009114A1" w:rsidRPr="003564A3">
        <w:rPr>
          <w:rFonts w:ascii="Verdana" w:eastAsia="Times New Roman" w:hAnsi="Verdana" w:cs="Times New Roman"/>
          <w:sz w:val="20"/>
          <w:szCs w:val="20"/>
          <w:lang w:val="es-ES"/>
        </w:rPr>
        <w:t>201</w:t>
      </w:r>
      <w:r w:rsidR="00A0366A">
        <w:rPr>
          <w:rFonts w:ascii="Verdana" w:eastAsia="Times New Roman" w:hAnsi="Verdana" w:cs="Times New Roman"/>
          <w:sz w:val="20"/>
          <w:szCs w:val="20"/>
          <w:lang w:val="es-ES"/>
        </w:rPr>
        <w:t>5</w:t>
      </w:r>
      <w:r w:rsidR="00984BB6" w:rsidRPr="00744CE4">
        <w:rPr>
          <w:rStyle w:val="FootnoteReference"/>
          <w:rFonts w:ascii="Verdana" w:eastAsia="Times New Roman" w:hAnsi="Verdana" w:cs="Times New Roman"/>
          <w:sz w:val="20"/>
          <w:szCs w:val="20"/>
          <w:lang w:val="es-ES"/>
        </w:rPr>
        <w:footnoteReference w:id="531"/>
      </w:r>
      <w:r w:rsidR="009114A1" w:rsidRPr="003564A3">
        <w:rPr>
          <w:rFonts w:ascii="Verdana" w:eastAsia="Times New Roman" w:hAnsi="Verdana" w:cs="Times New Roman"/>
          <w:sz w:val="20"/>
          <w:szCs w:val="20"/>
          <w:lang w:val="es-ES"/>
        </w:rPr>
        <w:t xml:space="preserve"> y </w:t>
      </w:r>
      <w:r w:rsidR="009114A1" w:rsidRPr="003564A3">
        <w:rPr>
          <w:rFonts w:ascii="Verdana" w:hAnsi="Verdana" w:cs="Times New Roman"/>
          <w:sz w:val="20"/>
          <w:szCs w:val="20"/>
          <w:lang w:val="es-CR"/>
        </w:rPr>
        <w:t xml:space="preserve">el joven </w:t>
      </w:r>
      <w:r w:rsidR="009114A1" w:rsidRPr="003564A3">
        <w:rPr>
          <w:rFonts w:ascii="Verdana" w:eastAsia="Times New Roman" w:hAnsi="Verdana" w:cs="Times New Roman"/>
          <w:sz w:val="20"/>
          <w:szCs w:val="20"/>
          <w:lang w:val="es-ES"/>
        </w:rPr>
        <w:t>F.A.H. fue asesinado el 6 de febrero de 2018</w:t>
      </w:r>
      <w:r w:rsidR="009114A1" w:rsidRPr="00744CE4">
        <w:rPr>
          <w:rStyle w:val="FootnoteReference"/>
          <w:rFonts w:ascii="Verdana" w:eastAsia="Times New Roman" w:hAnsi="Verdana"/>
          <w:sz w:val="20"/>
          <w:szCs w:val="20"/>
          <w:lang w:val="es-ES"/>
        </w:rPr>
        <w:footnoteReference w:id="532"/>
      </w:r>
      <w:r w:rsidR="009114A1" w:rsidRPr="003564A3">
        <w:rPr>
          <w:rFonts w:ascii="Verdana" w:eastAsia="Times New Roman" w:hAnsi="Verdana" w:cs="Times New Roman"/>
          <w:sz w:val="20"/>
          <w:szCs w:val="20"/>
          <w:lang w:val="es-ES"/>
        </w:rPr>
        <w:t xml:space="preserve">. </w:t>
      </w:r>
      <w:bookmarkStart w:id="355" w:name="_Toc467060532"/>
      <w:bookmarkStart w:id="356" w:name="_Toc467060647"/>
      <w:bookmarkStart w:id="357" w:name="_Toc467060533"/>
      <w:bookmarkStart w:id="358" w:name="_Toc467060648"/>
      <w:bookmarkStart w:id="359" w:name="_Toc467060534"/>
      <w:bookmarkStart w:id="360" w:name="_Toc467060649"/>
      <w:bookmarkStart w:id="361" w:name="_Toc494271564"/>
      <w:bookmarkEnd w:id="355"/>
      <w:bookmarkEnd w:id="356"/>
      <w:bookmarkEnd w:id="357"/>
      <w:bookmarkEnd w:id="358"/>
      <w:bookmarkEnd w:id="359"/>
      <w:bookmarkEnd w:id="360"/>
    </w:p>
    <w:p w14:paraId="6DE87CE8" w14:textId="76C0EA3C" w:rsidR="009114A1" w:rsidRPr="00744CE4" w:rsidRDefault="00556FDB">
      <w:pPr>
        <w:pStyle w:val="ListParagraph"/>
        <w:keepNext/>
        <w:keepLines/>
        <w:numPr>
          <w:ilvl w:val="0"/>
          <w:numId w:val="29"/>
        </w:numPr>
        <w:spacing w:before="120" w:after="120" w:line="240" w:lineRule="auto"/>
        <w:contextualSpacing w:val="0"/>
        <w:jc w:val="both"/>
        <w:outlineLvl w:val="1"/>
        <w:rPr>
          <w:rFonts w:ascii="Verdana" w:eastAsia="Times New Roman" w:hAnsi="Verdana" w:cs="Times New Roman"/>
          <w:b/>
          <w:bCs/>
          <w:i/>
          <w:sz w:val="20"/>
          <w:szCs w:val="20"/>
          <w:lang w:val="es-ES"/>
        </w:rPr>
      </w:pPr>
      <w:bookmarkStart w:id="362" w:name="_Toc526774181"/>
      <w:bookmarkStart w:id="363" w:name="_Toc526777517"/>
      <w:bookmarkStart w:id="364" w:name="_Toc526783820"/>
      <w:r>
        <w:rPr>
          <w:rFonts w:ascii="Verdana" w:eastAsia="Times New Roman" w:hAnsi="Verdana" w:cs="Times New Roman"/>
          <w:b/>
          <w:bCs/>
          <w:i/>
          <w:sz w:val="20"/>
          <w:szCs w:val="20"/>
          <w:lang w:val="es-ES"/>
        </w:rPr>
        <w:t xml:space="preserve"> </w:t>
      </w:r>
      <w:bookmarkStart w:id="365" w:name="_Toc532995400"/>
      <w:r w:rsidR="009114A1" w:rsidRPr="00744CE4">
        <w:rPr>
          <w:rFonts w:ascii="Verdana" w:eastAsia="Times New Roman" w:hAnsi="Verdana" w:cs="Times New Roman"/>
          <w:b/>
          <w:bCs/>
          <w:i/>
          <w:sz w:val="20"/>
          <w:szCs w:val="20"/>
          <w:lang w:val="es-ES"/>
        </w:rPr>
        <w:t>Obligación de investigar los hechos e identificar y, en su caso, juzgar y sancionar a todos los responsables</w:t>
      </w:r>
      <w:bookmarkStart w:id="366" w:name="_Toc510702287"/>
      <w:bookmarkEnd w:id="362"/>
      <w:bookmarkEnd w:id="363"/>
      <w:bookmarkEnd w:id="364"/>
      <w:bookmarkEnd w:id="365"/>
    </w:p>
    <w:p w14:paraId="046DA4D2" w14:textId="621AB722" w:rsidR="009114A1" w:rsidRPr="00744CE4" w:rsidRDefault="009114A1" w:rsidP="00DB378B">
      <w:pPr>
        <w:widowControl w:val="0"/>
        <w:numPr>
          <w:ilvl w:val="0"/>
          <w:numId w:val="4"/>
        </w:numPr>
        <w:tabs>
          <w:tab w:val="left" w:pos="567"/>
        </w:tabs>
        <w:autoSpaceDE w:val="0"/>
        <w:autoSpaceDN w:val="0"/>
        <w:adjustRightInd w:val="0"/>
        <w:spacing w:before="120" w:after="120" w:line="240" w:lineRule="auto"/>
        <w:ind w:left="0" w:firstLine="0"/>
        <w:jc w:val="both"/>
        <w:textAlignment w:val="baseline"/>
        <w:rPr>
          <w:rFonts w:ascii="Verdana" w:eastAsia="Times New Roman" w:hAnsi="Verdana" w:cs="Times New Roman"/>
          <w:sz w:val="20"/>
          <w:szCs w:val="20"/>
          <w:lang w:val="es-ES"/>
        </w:rPr>
      </w:pPr>
      <w:r w:rsidRPr="00744CE4">
        <w:rPr>
          <w:rFonts w:ascii="Verdana" w:hAnsi="Verdana" w:cs="Times New Roman"/>
          <w:sz w:val="20"/>
          <w:szCs w:val="20"/>
          <w:lang w:val="es-EC"/>
        </w:rPr>
        <w:t xml:space="preserve">La </w:t>
      </w:r>
      <w:r w:rsidRPr="00744CE4">
        <w:rPr>
          <w:rFonts w:ascii="Verdana" w:hAnsi="Verdana" w:cs="Times New Roman"/>
          <w:b/>
          <w:i/>
          <w:sz w:val="20"/>
          <w:szCs w:val="20"/>
          <w:lang w:val="es-EC"/>
        </w:rPr>
        <w:t xml:space="preserve">Comisión </w:t>
      </w:r>
      <w:r w:rsidRPr="00744CE4">
        <w:rPr>
          <w:rFonts w:ascii="Verdana" w:hAnsi="Verdana" w:cs="Times New Roman"/>
          <w:sz w:val="20"/>
          <w:szCs w:val="20"/>
          <w:lang w:val="es-EC"/>
        </w:rPr>
        <w:t xml:space="preserve">solicitó a la Corte investigar de manera completa, imparcial y efectiva el </w:t>
      </w:r>
      <w:r w:rsidRPr="00744CE4">
        <w:rPr>
          <w:rFonts w:ascii="Verdana" w:hAnsi="Verdana" w:cs="Times New Roman"/>
          <w:sz w:val="20"/>
          <w:szCs w:val="20"/>
          <w:lang w:val="es-EC"/>
        </w:rPr>
        <w:lastRenderedPageBreak/>
        <w:t xml:space="preserve">paradero de </w:t>
      </w:r>
      <w:r w:rsidRPr="00432ABC">
        <w:rPr>
          <w:rFonts w:ascii="Verdana" w:hAnsi="Verdana" w:cs="Times New Roman"/>
          <w:sz w:val="20"/>
          <w:szCs w:val="20"/>
          <w:lang w:val="es-EC"/>
        </w:rPr>
        <w:t>los desaparecidos, y de ser el caso, adoptar las medidas necesarias para identificar y entregar a sus familiares sus restos mortales</w:t>
      </w:r>
      <w:r w:rsidRPr="00432ABC">
        <w:rPr>
          <w:rFonts w:ascii="Verdana" w:hAnsi="Verdana" w:cs="Times New Roman"/>
          <w:sz w:val="20"/>
          <w:szCs w:val="20"/>
          <w:lang w:val="es-AR"/>
        </w:rPr>
        <w:t xml:space="preserve">. Asimismo, solicitó que se le ordene al Estado llevar a cabo de manera imparcial, efectiva y dentro de un plazo razonable, los procedimientos internos relacionados con las </w:t>
      </w:r>
      <w:r w:rsidRPr="002C462C">
        <w:rPr>
          <w:rFonts w:ascii="Verdana" w:hAnsi="Verdana" w:cs="Times New Roman"/>
          <w:sz w:val="20"/>
          <w:szCs w:val="20"/>
          <w:lang w:val="es-AR"/>
        </w:rPr>
        <w:t xml:space="preserve">violaciones de los derechos humanos declaradas en el informe y conducir </w:t>
      </w:r>
      <w:r w:rsidRPr="00744CE4">
        <w:rPr>
          <w:rFonts w:ascii="Verdana" w:hAnsi="Verdana" w:cs="Times New Roman"/>
          <w:sz w:val="20"/>
          <w:szCs w:val="20"/>
          <w:lang w:val="es-EC"/>
        </w:rPr>
        <w:t xml:space="preserve">los procesos correspondientes por el delito de desaparición forzada de las presuntas víctimas, esto con la finalidad de esclarecer los hechos de forma completa, identificar a todos los responsables e imponer las respectivas sanciones. </w:t>
      </w:r>
    </w:p>
    <w:p w14:paraId="4F0407EB" w14:textId="56D7E3F7" w:rsidR="009114A1" w:rsidRPr="00744CE4" w:rsidRDefault="009114A1" w:rsidP="00DB378B">
      <w:pPr>
        <w:widowControl w:val="0"/>
        <w:numPr>
          <w:ilvl w:val="0"/>
          <w:numId w:val="4"/>
        </w:numPr>
        <w:tabs>
          <w:tab w:val="left" w:pos="567"/>
        </w:tabs>
        <w:autoSpaceDE w:val="0"/>
        <w:autoSpaceDN w:val="0"/>
        <w:adjustRightInd w:val="0"/>
        <w:spacing w:before="120" w:after="120" w:line="240" w:lineRule="auto"/>
        <w:ind w:left="0" w:firstLine="0"/>
        <w:jc w:val="both"/>
        <w:textAlignment w:val="baseline"/>
        <w:rPr>
          <w:rFonts w:ascii="Verdana" w:hAnsi="Verdana" w:cs="Times New Roman"/>
          <w:b/>
          <w:sz w:val="20"/>
          <w:szCs w:val="20"/>
          <w:lang w:val="es-EC"/>
        </w:rPr>
      </w:pPr>
      <w:r w:rsidRPr="00744CE4">
        <w:rPr>
          <w:rFonts w:ascii="Verdana" w:hAnsi="Verdana" w:cs="Times New Roman"/>
          <w:sz w:val="20"/>
          <w:szCs w:val="20"/>
          <w:lang w:val="es-EC"/>
        </w:rPr>
        <w:t xml:space="preserve">Las </w:t>
      </w:r>
      <w:r w:rsidR="00C96C12">
        <w:rPr>
          <w:rFonts w:ascii="Verdana" w:hAnsi="Verdana" w:cs="Times New Roman"/>
          <w:b/>
          <w:i/>
          <w:sz w:val="20"/>
          <w:szCs w:val="20"/>
          <w:lang w:val="es-EC"/>
        </w:rPr>
        <w:t>R</w:t>
      </w:r>
      <w:r w:rsidRPr="00744CE4">
        <w:rPr>
          <w:rFonts w:ascii="Verdana" w:hAnsi="Verdana" w:cs="Times New Roman"/>
          <w:b/>
          <w:i/>
          <w:sz w:val="20"/>
          <w:szCs w:val="20"/>
          <w:lang w:val="es-EC"/>
        </w:rPr>
        <w:t xml:space="preserve">epresentantes </w:t>
      </w:r>
      <w:r w:rsidRPr="00744CE4">
        <w:rPr>
          <w:rFonts w:ascii="Verdana" w:hAnsi="Verdana" w:cs="Times New Roman"/>
          <w:sz w:val="20"/>
          <w:szCs w:val="20"/>
          <w:lang w:val="es-EC"/>
        </w:rPr>
        <w:t>hicieron énfasis en la necesidad de encontrar el paradero de las víctimas de la desaparición, así como identificar, procesar, y sancionar los responsables de su desaparición y de la obstaculi</w:t>
      </w:r>
      <w:r w:rsidR="00845E22">
        <w:rPr>
          <w:rFonts w:ascii="Verdana" w:hAnsi="Verdana" w:cs="Times New Roman"/>
          <w:sz w:val="20"/>
          <w:szCs w:val="20"/>
          <w:lang w:val="es-EC"/>
        </w:rPr>
        <w:t>za</w:t>
      </w:r>
      <w:r w:rsidRPr="00744CE4">
        <w:rPr>
          <w:rFonts w:ascii="Verdana" w:hAnsi="Verdana" w:cs="Times New Roman"/>
          <w:sz w:val="20"/>
          <w:szCs w:val="20"/>
          <w:lang w:val="es-EC"/>
        </w:rPr>
        <w:t>c</w:t>
      </w:r>
      <w:r w:rsidR="00845E22">
        <w:rPr>
          <w:rFonts w:ascii="Verdana" w:hAnsi="Verdana" w:cs="Times New Roman"/>
          <w:sz w:val="20"/>
          <w:szCs w:val="20"/>
          <w:lang w:val="es-EC"/>
        </w:rPr>
        <w:t>ión</w:t>
      </w:r>
      <w:r w:rsidRPr="00744CE4">
        <w:rPr>
          <w:rFonts w:ascii="Verdana" w:hAnsi="Verdana" w:cs="Times New Roman"/>
          <w:sz w:val="20"/>
          <w:szCs w:val="20"/>
          <w:lang w:val="es-EC"/>
        </w:rPr>
        <w:t xml:space="preserve"> de las investigaciones</w:t>
      </w:r>
      <w:r w:rsidR="00026636">
        <w:rPr>
          <w:rFonts w:ascii="Verdana" w:hAnsi="Verdana" w:cs="Times New Roman"/>
          <w:sz w:val="20"/>
          <w:szCs w:val="20"/>
          <w:lang w:val="es-EC"/>
        </w:rPr>
        <w:t>.</w:t>
      </w:r>
    </w:p>
    <w:p w14:paraId="5E146ADE" w14:textId="2E72C647" w:rsidR="009114A1" w:rsidRPr="00744CE4" w:rsidRDefault="009114A1" w:rsidP="00DB378B">
      <w:pPr>
        <w:widowControl w:val="0"/>
        <w:numPr>
          <w:ilvl w:val="0"/>
          <w:numId w:val="4"/>
        </w:numPr>
        <w:tabs>
          <w:tab w:val="left" w:pos="567"/>
        </w:tabs>
        <w:autoSpaceDE w:val="0"/>
        <w:autoSpaceDN w:val="0"/>
        <w:adjustRightInd w:val="0"/>
        <w:spacing w:before="120" w:after="120" w:line="240" w:lineRule="auto"/>
        <w:ind w:left="0" w:firstLine="0"/>
        <w:jc w:val="both"/>
        <w:textAlignment w:val="baseline"/>
        <w:rPr>
          <w:rFonts w:ascii="Verdana" w:hAnsi="Verdana" w:cs="Times New Roman"/>
          <w:sz w:val="20"/>
          <w:szCs w:val="20"/>
          <w:lang w:val="es-AR"/>
        </w:rPr>
      </w:pPr>
      <w:r w:rsidRPr="00744CE4">
        <w:rPr>
          <w:rFonts w:ascii="Verdana" w:hAnsi="Verdana" w:cs="Times New Roman"/>
          <w:sz w:val="20"/>
          <w:szCs w:val="20"/>
          <w:lang w:val="es-EC"/>
        </w:rPr>
        <w:t>El</w:t>
      </w:r>
      <w:r w:rsidRPr="00744CE4">
        <w:rPr>
          <w:rFonts w:ascii="Verdana" w:hAnsi="Verdana" w:cs="Times New Roman"/>
          <w:sz w:val="20"/>
          <w:szCs w:val="20"/>
          <w:lang w:val="es-AR"/>
        </w:rPr>
        <w:t xml:space="preserve"> </w:t>
      </w:r>
      <w:r w:rsidRPr="00744CE4">
        <w:rPr>
          <w:rFonts w:ascii="Verdana" w:hAnsi="Verdana" w:cs="Times New Roman"/>
          <w:b/>
          <w:i/>
          <w:sz w:val="20"/>
          <w:szCs w:val="20"/>
          <w:lang w:val="es-AR"/>
        </w:rPr>
        <w:t>Estado</w:t>
      </w:r>
      <w:r w:rsidRPr="00744CE4">
        <w:rPr>
          <w:rFonts w:ascii="Verdana" w:hAnsi="Verdana" w:cs="Times New Roman"/>
          <w:b/>
          <w:sz w:val="20"/>
          <w:szCs w:val="20"/>
          <w:lang w:val="es-AR"/>
        </w:rPr>
        <w:t xml:space="preserve"> </w:t>
      </w:r>
      <w:r w:rsidRPr="00744CE4">
        <w:rPr>
          <w:rFonts w:ascii="Verdana" w:hAnsi="Verdana" w:cs="Times New Roman"/>
          <w:sz w:val="20"/>
          <w:szCs w:val="20"/>
          <w:lang w:val="es-AR"/>
        </w:rPr>
        <w:t>no se refirió de manera directa a las medidas de investigación, sin embargo, señaló que,</w:t>
      </w:r>
      <w:r w:rsidRPr="00744CE4">
        <w:rPr>
          <w:rFonts w:ascii="Verdana" w:hAnsi="Verdana" w:cs="Times New Roman"/>
          <w:b/>
          <w:sz w:val="20"/>
          <w:szCs w:val="20"/>
          <w:lang w:val="es-AR"/>
        </w:rPr>
        <w:t xml:space="preserve"> </w:t>
      </w:r>
      <w:r w:rsidRPr="00744CE4">
        <w:rPr>
          <w:rFonts w:ascii="Verdana" w:hAnsi="Verdana" w:cs="Times New Roman"/>
          <w:sz w:val="20"/>
          <w:szCs w:val="20"/>
          <w:lang w:val="es-AR"/>
        </w:rPr>
        <w:t>se deben tener en cuenta las medidas que ya han sido implementadas en el marco del cumplimiento de las medidas provisionales.</w:t>
      </w:r>
      <w:r w:rsidR="00C04F18">
        <w:rPr>
          <w:rFonts w:ascii="Verdana" w:hAnsi="Verdana" w:cs="Times New Roman"/>
          <w:b/>
          <w:sz w:val="20"/>
          <w:szCs w:val="20"/>
          <w:lang w:val="es-AR"/>
        </w:rPr>
        <w:t xml:space="preserve"> </w:t>
      </w:r>
      <w:r w:rsidRPr="00744CE4">
        <w:rPr>
          <w:rFonts w:ascii="Verdana" w:hAnsi="Verdana" w:cs="Times New Roman"/>
          <w:sz w:val="20"/>
          <w:szCs w:val="20"/>
          <w:lang w:val="es-AR"/>
        </w:rPr>
        <w:t xml:space="preserve">Por estas razones, el Estado destacó que la Corte debe intervenir solo en casos donde estas obligaciones no se hayan cumplido o no se haya hecho de manera </w:t>
      </w:r>
      <w:r w:rsidRPr="00C04F18">
        <w:rPr>
          <w:rFonts w:ascii="Verdana" w:hAnsi="Verdana" w:cs="Times New Roman"/>
          <w:sz w:val="20"/>
          <w:szCs w:val="20"/>
          <w:lang w:val="es-AR"/>
        </w:rPr>
        <w:t>adecuada</w:t>
      </w:r>
      <w:r w:rsidR="00C04F18" w:rsidRPr="00C04F18">
        <w:rPr>
          <w:rFonts w:ascii="Verdana" w:hAnsi="Verdana" w:cs="Times New Roman"/>
          <w:sz w:val="20"/>
          <w:szCs w:val="20"/>
          <w:lang w:val="es-AR"/>
        </w:rPr>
        <w:t>.</w:t>
      </w:r>
    </w:p>
    <w:p w14:paraId="5DF33B29" w14:textId="042D63FE" w:rsidR="009114A1" w:rsidRPr="00744CE4" w:rsidRDefault="009114A1" w:rsidP="00DB378B">
      <w:pPr>
        <w:widowControl w:val="0"/>
        <w:numPr>
          <w:ilvl w:val="0"/>
          <w:numId w:val="4"/>
        </w:numPr>
        <w:tabs>
          <w:tab w:val="left" w:pos="567"/>
        </w:tabs>
        <w:autoSpaceDE w:val="0"/>
        <w:autoSpaceDN w:val="0"/>
        <w:adjustRightInd w:val="0"/>
        <w:spacing w:before="120" w:after="120" w:line="240" w:lineRule="auto"/>
        <w:ind w:left="0" w:firstLine="0"/>
        <w:jc w:val="both"/>
        <w:textAlignment w:val="baseline"/>
        <w:rPr>
          <w:rFonts w:ascii="Verdana" w:hAnsi="Verdana" w:cs="Times New Roman"/>
          <w:sz w:val="20"/>
          <w:szCs w:val="20"/>
          <w:lang w:val="es-CR"/>
        </w:rPr>
      </w:pPr>
      <w:r w:rsidRPr="00744CE4">
        <w:rPr>
          <w:rFonts w:ascii="Verdana" w:hAnsi="Verdana" w:cs="Times New Roman"/>
          <w:sz w:val="20"/>
          <w:szCs w:val="20"/>
          <w:lang w:val="es-CR"/>
        </w:rPr>
        <w:t xml:space="preserve">La </w:t>
      </w:r>
      <w:r w:rsidRPr="00744CE4">
        <w:rPr>
          <w:rFonts w:ascii="Verdana" w:hAnsi="Verdana" w:cs="Times New Roman"/>
          <w:b/>
          <w:i/>
          <w:sz w:val="20"/>
          <w:szCs w:val="20"/>
          <w:lang w:val="es-CR"/>
        </w:rPr>
        <w:t>Corte</w:t>
      </w:r>
      <w:r w:rsidRPr="00744CE4">
        <w:rPr>
          <w:rFonts w:ascii="Verdana" w:hAnsi="Verdana" w:cs="Times New Roman"/>
          <w:sz w:val="20"/>
          <w:szCs w:val="20"/>
          <w:lang w:val="es-CR"/>
        </w:rPr>
        <w:t xml:space="preserve"> determinó en esta Sentencia la responsabilidad internacional del Estado por la desaparición forzada de las tres víctimas, así como la falta de investigación y esclarecimiento de los hechos en violación </w:t>
      </w:r>
      <w:r w:rsidR="00131EB5" w:rsidRPr="00744CE4">
        <w:rPr>
          <w:rFonts w:ascii="Verdana" w:hAnsi="Verdana" w:cs="Times New Roman"/>
          <w:sz w:val="20"/>
          <w:szCs w:val="20"/>
          <w:lang w:val="es-CR"/>
        </w:rPr>
        <w:t>d</w:t>
      </w:r>
      <w:r w:rsidRPr="00744CE4">
        <w:rPr>
          <w:rFonts w:ascii="Verdana" w:hAnsi="Verdana" w:cs="Times New Roman"/>
          <w:sz w:val="20"/>
          <w:szCs w:val="20"/>
          <w:lang w:val="es-CR"/>
        </w:rPr>
        <w:t xml:space="preserve">e los artículos 3, 4, 5, 7, 8, 25 y 2 de la Convención Americana y los correspondientes de la Convención Interamericana sobre Desaparición Forzada de Personas. Lo anterior representó </w:t>
      </w:r>
      <w:r w:rsidRPr="00744CE4">
        <w:rPr>
          <w:rFonts w:ascii="Verdana" w:hAnsi="Verdana"/>
          <w:sz w:val="20"/>
          <w:szCs w:val="20"/>
        </w:rPr>
        <w:t>la configuración de “violaciones graves a los derechos humanos”, las cuales tienen una connotación y consecuencias propias. En razón de lo anterior, la Corte dispondrá de los siguientes componentes de la medida de investigación frente a estos casos</w:t>
      </w:r>
      <w:r w:rsidR="00EF1A17">
        <w:rPr>
          <w:rFonts w:ascii="Verdana" w:hAnsi="Verdana"/>
          <w:sz w:val="20"/>
          <w:szCs w:val="20"/>
        </w:rPr>
        <w:t>.</w:t>
      </w:r>
      <w:r w:rsidRPr="00744CE4">
        <w:rPr>
          <w:rFonts w:ascii="Verdana" w:hAnsi="Verdana"/>
          <w:sz w:val="20"/>
          <w:szCs w:val="20"/>
        </w:rPr>
        <w:t xml:space="preserve"> </w:t>
      </w:r>
    </w:p>
    <w:p w14:paraId="46FE7A5E" w14:textId="20E18C52" w:rsidR="009114A1" w:rsidRPr="00744CE4" w:rsidRDefault="00E34BFF" w:rsidP="008D0846">
      <w:pPr>
        <w:pStyle w:val="Heading3"/>
        <w:numPr>
          <w:ilvl w:val="0"/>
          <w:numId w:val="96"/>
        </w:numPr>
        <w:spacing w:before="120" w:after="120"/>
        <w:ind w:left="2268" w:hanging="426"/>
        <w:contextualSpacing w:val="0"/>
        <w:rPr>
          <w:b w:val="0"/>
        </w:rPr>
      </w:pPr>
      <w:r>
        <w:rPr>
          <w:b w:val="0"/>
        </w:rPr>
        <w:t xml:space="preserve"> </w:t>
      </w:r>
      <w:bookmarkStart w:id="367" w:name="_Toc532995401"/>
      <w:r w:rsidR="009114A1" w:rsidRPr="00744CE4">
        <w:rPr>
          <w:b w:val="0"/>
        </w:rPr>
        <w:t>Determinación del paradero de las víctimas</w:t>
      </w:r>
      <w:bookmarkEnd w:id="367"/>
    </w:p>
    <w:p w14:paraId="7BF71020" w14:textId="35BA95EE" w:rsidR="00A81849" w:rsidRPr="00744CE4" w:rsidRDefault="009114A1" w:rsidP="00DB378B">
      <w:pPr>
        <w:widowControl w:val="0"/>
        <w:numPr>
          <w:ilvl w:val="0"/>
          <w:numId w:val="4"/>
        </w:numPr>
        <w:tabs>
          <w:tab w:val="left" w:pos="567"/>
        </w:tabs>
        <w:autoSpaceDE w:val="0"/>
        <w:autoSpaceDN w:val="0"/>
        <w:adjustRightInd w:val="0"/>
        <w:spacing w:before="120" w:after="120" w:line="240" w:lineRule="auto"/>
        <w:ind w:left="0" w:firstLine="0"/>
        <w:jc w:val="both"/>
        <w:textAlignment w:val="baseline"/>
        <w:rPr>
          <w:rFonts w:ascii="Verdana" w:hAnsi="Verdana" w:cs="Times New Roman"/>
          <w:sz w:val="20"/>
          <w:szCs w:val="20"/>
          <w:lang w:val="es-CR"/>
        </w:rPr>
      </w:pPr>
      <w:r w:rsidRPr="00744CE4">
        <w:rPr>
          <w:rFonts w:ascii="Verdana" w:hAnsi="Verdana" w:cs="Verdana"/>
          <w:sz w:val="20"/>
          <w:szCs w:val="20"/>
          <w:lang w:val="es-EC"/>
        </w:rPr>
        <w:t>C</w:t>
      </w:r>
      <w:r w:rsidRPr="00744CE4">
        <w:rPr>
          <w:rFonts w:ascii="Verdana" w:hAnsi="Verdana" w:cs="Verdana"/>
          <w:sz w:val="20"/>
          <w:szCs w:val="20"/>
          <w:lang w:val="es-CR"/>
        </w:rPr>
        <w:t>omo parte del deber de investigar el Estado debe realizar una búsqueda efectiva del paradero de las víctimas (</w:t>
      </w:r>
      <w:r w:rsidR="00205AF7" w:rsidRPr="00744CE4">
        <w:rPr>
          <w:rFonts w:ascii="Verdana" w:hAnsi="Verdana" w:cs="Verdana"/>
          <w:i/>
          <w:sz w:val="20"/>
          <w:szCs w:val="20"/>
          <w:lang w:val="es-CR"/>
        </w:rPr>
        <w:t xml:space="preserve">supra </w:t>
      </w:r>
      <w:r w:rsidRPr="00744CE4">
        <w:rPr>
          <w:rFonts w:ascii="Verdana" w:hAnsi="Verdana" w:cs="Verdana"/>
          <w:sz w:val="20"/>
          <w:szCs w:val="20"/>
          <w:lang w:val="es-CR"/>
        </w:rPr>
        <w:t xml:space="preserve">párr. </w:t>
      </w:r>
      <w:r w:rsidR="00897C61">
        <w:rPr>
          <w:rFonts w:ascii="Verdana" w:hAnsi="Verdana" w:cs="Verdana"/>
          <w:sz w:val="20"/>
          <w:szCs w:val="20"/>
          <w:lang w:val="es-CR"/>
        </w:rPr>
        <w:t>240</w:t>
      </w:r>
      <w:r w:rsidRPr="00744CE4">
        <w:rPr>
          <w:rFonts w:ascii="Verdana" w:hAnsi="Verdana" w:cs="Verdana"/>
          <w:sz w:val="20"/>
          <w:szCs w:val="20"/>
          <w:lang w:val="es-CR"/>
        </w:rPr>
        <w:t>), ya que el derecho de los familiares de conocer el paradero de la misma</w:t>
      </w:r>
      <w:r w:rsidRPr="00744CE4">
        <w:rPr>
          <w:rFonts w:ascii="Verdana" w:hAnsi="Verdana" w:cs="Arial"/>
          <w:sz w:val="20"/>
          <w:szCs w:val="20"/>
          <w:lang w:val="es-CR"/>
        </w:rPr>
        <w:t xml:space="preserve"> </w:t>
      </w:r>
      <w:r w:rsidRPr="00744CE4">
        <w:rPr>
          <w:rFonts w:ascii="Verdana" w:hAnsi="Verdana" w:cs="Verdana"/>
          <w:sz w:val="20"/>
          <w:szCs w:val="20"/>
          <w:lang w:val="es-CR"/>
        </w:rPr>
        <w:t>constituye una medida de reparación y, por tanto, una expectativa que el Estado debe satisfacer a éstos</w:t>
      </w:r>
      <w:r w:rsidRPr="00744CE4">
        <w:rPr>
          <w:rStyle w:val="FootnoteReference"/>
          <w:rFonts w:ascii="Verdana" w:hAnsi="Verdana"/>
          <w:sz w:val="20"/>
          <w:szCs w:val="20"/>
        </w:rPr>
        <w:footnoteReference w:id="533"/>
      </w:r>
      <w:r w:rsidRPr="00744CE4">
        <w:rPr>
          <w:rFonts w:ascii="Verdana" w:hAnsi="Verdana" w:cs="Verdana"/>
          <w:sz w:val="20"/>
          <w:szCs w:val="20"/>
          <w:lang w:val="es-CR"/>
        </w:rPr>
        <w:t>. A su vez, esto permite a los familiares aliviar la angustia y sufrimiento causados por dicha incertidumbre</w:t>
      </w:r>
      <w:r w:rsidRPr="00744CE4">
        <w:rPr>
          <w:rStyle w:val="FootnoteReference"/>
          <w:rFonts w:ascii="Verdana" w:hAnsi="Verdana"/>
          <w:sz w:val="20"/>
          <w:szCs w:val="20"/>
        </w:rPr>
        <w:footnoteReference w:id="534"/>
      </w:r>
      <w:r w:rsidRPr="00744CE4">
        <w:rPr>
          <w:rFonts w:ascii="Verdana" w:hAnsi="Verdana" w:cs="Verdana"/>
          <w:sz w:val="20"/>
          <w:szCs w:val="20"/>
          <w:lang w:val="es-CR"/>
        </w:rPr>
        <w:t>.</w:t>
      </w:r>
      <w:r w:rsidRPr="00744CE4">
        <w:rPr>
          <w:rFonts w:ascii="Verdana" w:hAnsi="Verdana" w:cs="Times New Roman"/>
          <w:sz w:val="20"/>
          <w:szCs w:val="20"/>
          <w:lang w:val="es-CR"/>
        </w:rPr>
        <w:t xml:space="preserve"> </w:t>
      </w:r>
    </w:p>
    <w:p w14:paraId="5CC7FB90" w14:textId="18775C83" w:rsidR="00243654" w:rsidRPr="002C462C" w:rsidRDefault="00243654" w:rsidP="00DB378B">
      <w:pPr>
        <w:widowControl w:val="0"/>
        <w:numPr>
          <w:ilvl w:val="0"/>
          <w:numId w:val="4"/>
        </w:numPr>
        <w:tabs>
          <w:tab w:val="left" w:pos="567"/>
        </w:tabs>
        <w:autoSpaceDE w:val="0"/>
        <w:autoSpaceDN w:val="0"/>
        <w:adjustRightInd w:val="0"/>
        <w:spacing w:before="120" w:after="120" w:line="240" w:lineRule="auto"/>
        <w:ind w:left="0" w:firstLine="0"/>
        <w:jc w:val="both"/>
        <w:textAlignment w:val="baseline"/>
        <w:rPr>
          <w:rFonts w:ascii="Verdana" w:hAnsi="Verdana" w:cs="Times New Roman"/>
          <w:sz w:val="20"/>
          <w:szCs w:val="20"/>
          <w:lang w:val="es-ES"/>
        </w:rPr>
      </w:pPr>
      <w:r w:rsidRPr="00432ABC">
        <w:rPr>
          <w:rFonts w:ascii="Verdana" w:hAnsi="Verdana" w:cs="Times New Roman"/>
          <w:sz w:val="20"/>
          <w:szCs w:val="20"/>
          <w:lang w:val="es-ES"/>
        </w:rPr>
        <w:t xml:space="preserve">En consecuencia, es necesario que el Estado extreme los esfuerzos de búsqueda exhaustiva por la vía judicial y/o administrativa adecuada, para determinar el paradero de los desaparecidos a la mayor brevedad, la cual deberá realizarse de manera sistemática y rigurosa, contar con los recursos humanos, técnicos y científicos adecuados e idóneos. Las referidas diligencias deberán ser informadas a sus familiares. </w:t>
      </w:r>
      <w:r w:rsidRPr="00432ABC">
        <w:rPr>
          <w:rFonts w:ascii="Verdana" w:hAnsi="Verdana" w:cs="Times New Roman"/>
          <w:sz w:val="20"/>
          <w:szCs w:val="20"/>
          <w:lang w:val="es-CR"/>
        </w:rPr>
        <w:t xml:space="preserve">En este sentido, el Estado deberá realizar un cronograma de búsqueda, y en su próximo informe anual reportar al Tribunal sobre el resultado de las acciones realizadas. </w:t>
      </w:r>
    </w:p>
    <w:p w14:paraId="7F8AA6F9" w14:textId="32C7BA6D" w:rsidR="009114A1" w:rsidRPr="00744CE4" w:rsidRDefault="009114A1" w:rsidP="00DB378B">
      <w:pPr>
        <w:widowControl w:val="0"/>
        <w:numPr>
          <w:ilvl w:val="0"/>
          <w:numId w:val="4"/>
        </w:numPr>
        <w:tabs>
          <w:tab w:val="left" w:pos="567"/>
        </w:tabs>
        <w:autoSpaceDE w:val="0"/>
        <w:autoSpaceDN w:val="0"/>
        <w:adjustRightInd w:val="0"/>
        <w:spacing w:before="120" w:after="120" w:line="240" w:lineRule="auto"/>
        <w:ind w:left="0" w:firstLine="0"/>
        <w:jc w:val="both"/>
        <w:textAlignment w:val="baseline"/>
        <w:rPr>
          <w:rFonts w:ascii="Verdana" w:hAnsi="Verdana" w:cs="Times New Roman"/>
          <w:sz w:val="20"/>
          <w:szCs w:val="20"/>
          <w:lang w:val="es-CR"/>
        </w:rPr>
      </w:pPr>
      <w:r w:rsidRPr="002C462C">
        <w:rPr>
          <w:rFonts w:ascii="Verdana" w:hAnsi="Verdana"/>
          <w:sz w:val="20"/>
          <w:szCs w:val="20"/>
          <w:lang w:val="es-CR"/>
        </w:rPr>
        <w:t>En el eventual caso, que las víctimas hayan fallecido, los restos mortales deben ser entregados a sus familiares, previa comprobación genética de filiación, a la</w:t>
      </w:r>
      <w:r w:rsidRPr="00744CE4">
        <w:rPr>
          <w:rFonts w:ascii="Verdana" w:hAnsi="Verdana"/>
          <w:sz w:val="20"/>
          <w:szCs w:val="20"/>
          <w:lang w:val="es-CR"/>
        </w:rPr>
        <w:t xml:space="preserve"> mayor brevedad posible y sin costo alguno. Además, el Estado deberá cubrir los gastos fúnebres, de común acuerdo con sus familiares</w:t>
      </w:r>
      <w:r w:rsidRPr="00744CE4">
        <w:rPr>
          <w:rStyle w:val="FootnoteReference"/>
          <w:rFonts w:ascii="Verdana" w:hAnsi="Verdana"/>
          <w:sz w:val="20"/>
          <w:szCs w:val="20"/>
        </w:rPr>
        <w:footnoteReference w:id="535"/>
      </w:r>
      <w:r w:rsidRPr="00744CE4">
        <w:rPr>
          <w:rFonts w:ascii="Verdana" w:hAnsi="Verdana"/>
          <w:sz w:val="20"/>
          <w:szCs w:val="20"/>
          <w:lang w:val="es-CR"/>
        </w:rPr>
        <w:t xml:space="preserve">. </w:t>
      </w:r>
    </w:p>
    <w:p w14:paraId="0CEC9500" w14:textId="67A91973" w:rsidR="00A81849" w:rsidRPr="00744CE4" w:rsidRDefault="00E34BFF" w:rsidP="008D0846">
      <w:pPr>
        <w:pStyle w:val="Heading3"/>
        <w:numPr>
          <w:ilvl w:val="0"/>
          <w:numId w:val="96"/>
        </w:numPr>
        <w:spacing w:before="120" w:after="120"/>
        <w:ind w:left="2268" w:hanging="426"/>
        <w:contextualSpacing w:val="0"/>
        <w:rPr>
          <w:b w:val="0"/>
        </w:rPr>
      </w:pPr>
      <w:r>
        <w:rPr>
          <w:b w:val="0"/>
        </w:rPr>
        <w:t xml:space="preserve"> </w:t>
      </w:r>
      <w:bookmarkStart w:id="368" w:name="_Toc532995402"/>
      <w:r w:rsidR="009114A1" w:rsidRPr="00744CE4">
        <w:rPr>
          <w:b w:val="0"/>
        </w:rPr>
        <w:t>Investigaciones y determinación de responsabilidades</w:t>
      </w:r>
      <w:bookmarkEnd w:id="368"/>
    </w:p>
    <w:p w14:paraId="7D25321C" w14:textId="52169A49" w:rsidR="00243654" w:rsidRPr="00744CE4" w:rsidRDefault="009114A1" w:rsidP="00DB378B">
      <w:pPr>
        <w:widowControl w:val="0"/>
        <w:numPr>
          <w:ilvl w:val="0"/>
          <w:numId w:val="4"/>
        </w:numPr>
        <w:tabs>
          <w:tab w:val="left" w:pos="567"/>
        </w:tabs>
        <w:autoSpaceDE w:val="0"/>
        <w:autoSpaceDN w:val="0"/>
        <w:adjustRightInd w:val="0"/>
        <w:spacing w:before="120" w:after="120" w:line="240" w:lineRule="auto"/>
        <w:ind w:left="0" w:firstLine="0"/>
        <w:jc w:val="both"/>
        <w:textAlignment w:val="baseline"/>
        <w:rPr>
          <w:rFonts w:ascii="Verdana" w:hAnsi="Verdana" w:cs="Times New Roman"/>
          <w:sz w:val="20"/>
          <w:szCs w:val="20"/>
          <w:lang w:val="es-ES"/>
        </w:rPr>
      </w:pPr>
      <w:r w:rsidRPr="00432ABC">
        <w:rPr>
          <w:rFonts w:ascii="Verdana" w:hAnsi="Verdana"/>
          <w:sz w:val="20"/>
          <w:szCs w:val="20"/>
          <w:lang w:val="es-CR"/>
        </w:rPr>
        <w:t>Teniendo en cuenta lo expuesto, así como la jurisprudencia de este Tribunal</w:t>
      </w:r>
      <w:r w:rsidRPr="00744CE4">
        <w:rPr>
          <w:rFonts w:ascii="Verdana" w:hAnsi="Verdana"/>
          <w:sz w:val="20"/>
          <w:szCs w:val="20"/>
          <w:vertAlign w:val="superscript"/>
          <w:lang w:val="es-CR"/>
        </w:rPr>
        <w:footnoteReference w:id="536"/>
      </w:r>
      <w:r w:rsidRPr="00744CE4">
        <w:rPr>
          <w:rFonts w:ascii="Verdana" w:hAnsi="Verdana"/>
          <w:sz w:val="20"/>
          <w:szCs w:val="20"/>
          <w:lang w:val="es-CR"/>
        </w:rPr>
        <w:t xml:space="preserve">, la Corte dispone que el Estado debe conducir eficazmente </w:t>
      </w:r>
      <w:r w:rsidR="00243654" w:rsidRPr="00744CE4">
        <w:rPr>
          <w:rFonts w:ascii="Verdana" w:hAnsi="Verdana"/>
          <w:sz w:val="20"/>
          <w:szCs w:val="20"/>
          <w:lang w:val="es-CR"/>
        </w:rPr>
        <w:t xml:space="preserve">y con la mayor diligencia </w:t>
      </w:r>
      <w:r w:rsidRPr="00744CE4">
        <w:rPr>
          <w:rFonts w:ascii="Verdana" w:hAnsi="Verdana"/>
          <w:sz w:val="20"/>
          <w:szCs w:val="20"/>
          <w:lang w:val="es-CR"/>
        </w:rPr>
        <w:t xml:space="preserve">la investigación que </w:t>
      </w:r>
      <w:r w:rsidRPr="00744CE4">
        <w:rPr>
          <w:rFonts w:ascii="Verdana" w:hAnsi="Verdana"/>
          <w:sz w:val="20"/>
          <w:szCs w:val="20"/>
          <w:lang w:val="es-CR"/>
        </w:rPr>
        <w:lastRenderedPageBreak/>
        <w:t xml:space="preserve">cursa en la jurisdicción interna sobre las desapariciones forzadas de </w:t>
      </w:r>
      <w:r w:rsidRPr="00744CE4">
        <w:rPr>
          <w:rFonts w:ascii="Verdana" w:hAnsi="Verdana" w:cs="Times New Roman"/>
          <w:sz w:val="20"/>
          <w:szCs w:val="20"/>
          <w:lang w:val="es-ES"/>
        </w:rPr>
        <w:t>Nitza Paola Alvarado Espinoza, José Ángel Alvarado Herrera y Rocío Ire</w:t>
      </w:r>
      <w:r w:rsidRPr="00432ABC">
        <w:rPr>
          <w:rFonts w:ascii="Verdana" w:hAnsi="Verdana" w:cs="Times New Roman"/>
          <w:sz w:val="20"/>
          <w:szCs w:val="20"/>
          <w:lang w:val="es-ES"/>
        </w:rPr>
        <w:t>ne Alvarado Reyes</w:t>
      </w:r>
      <w:r w:rsidRPr="00432ABC">
        <w:rPr>
          <w:rFonts w:ascii="Verdana" w:hAnsi="Verdana"/>
          <w:sz w:val="20"/>
          <w:szCs w:val="20"/>
          <w:lang w:val="es-CR"/>
        </w:rPr>
        <w:t xml:space="preserve"> y demás afectaciones a los familiares</w:t>
      </w:r>
      <w:r w:rsidRPr="00432ABC">
        <w:rPr>
          <w:rFonts w:ascii="Verdana" w:hAnsi="Verdana" w:cs="Times New Roman"/>
          <w:sz w:val="20"/>
          <w:szCs w:val="20"/>
          <w:lang w:val="es-ES"/>
        </w:rPr>
        <w:t>, a fin de</w:t>
      </w:r>
      <w:r w:rsidRPr="00432ABC">
        <w:rPr>
          <w:rFonts w:ascii="Verdana" w:hAnsi="Verdana"/>
          <w:sz w:val="20"/>
          <w:szCs w:val="20"/>
          <w:lang w:val="es-CR"/>
        </w:rPr>
        <w:t xml:space="preserve"> determinar a los responsables de los hechos de este caso y aplicar efectivamente las sanciones y consecuencias que la ley prevea. El Estado debe dirigir y concluir las investigaciones y proc</w:t>
      </w:r>
      <w:r w:rsidRPr="002C462C">
        <w:rPr>
          <w:rFonts w:ascii="Verdana" w:hAnsi="Verdana"/>
          <w:sz w:val="20"/>
          <w:szCs w:val="20"/>
          <w:lang w:val="es-CR"/>
        </w:rPr>
        <w:t xml:space="preserve">esos pertinentes en un plazo razonable, con el fin de establecer la verdad de los hechos, en atención a los criterios señalados sobre investigaciones en casos de desapariciones forzadas, removiendo todos los obstáculos, </w:t>
      </w:r>
      <w:r w:rsidRPr="00744CE4">
        <w:rPr>
          <w:rFonts w:ascii="Verdana" w:hAnsi="Verdana"/>
          <w:i/>
          <w:iCs/>
          <w:sz w:val="20"/>
          <w:szCs w:val="20"/>
          <w:lang w:val="es-CR"/>
        </w:rPr>
        <w:t>de facto y de jure</w:t>
      </w:r>
      <w:r w:rsidRPr="00744CE4">
        <w:rPr>
          <w:rFonts w:ascii="Verdana" w:hAnsi="Verdana"/>
          <w:sz w:val="20"/>
          <w:szCs w:val="20"/>
          <w:lang w:val="es-CR"/>
        </w:rPr>
        <w:t>, que mantienen la impunidad en este caso (</w:t>
      </w:r>
      <w:r w:rsidR="00205AF7" w:rsidRPr="00744CE4">
        <w:rPr>
          <w:rFonts w:ascii="Verdana" w:hAnsi="Verdana"/>
          <w:i/>
          <w:sz w:val="20"/>
          <w:szCs w:val="20"/>
          <w:lang w:val="es-CR"/>
        </w:rPr>
        <w:t xml:space="preserve">supra </w:t>
      </w:r>
      <w:r w:rsidRPr="00744CE4">
        <w:rPr>
          <w:rFonts w:ascii="Verdana" w:hAnsi="Verdana"/>
          <w:sz w:val="20"/>
          <w:szCs w:val="20"/>
          <w:lang w:val="es-CR"/>
        </w:rPr>
        <w:t>Cap</w:t>
      </w:r>
      <w:r w:rsidR="00790979">
        <w:rPr>
          <w:rFonts w:ascii="Verdana" w:hAnsi="Verdana"/>
          <w:sz w:val="20"/>
          <w:szCs w:val="20"/>
          <w:lang w:val="es-CR"/>
        </w:rPr>
        <w:t>í</w:t>
      </w:r>
      <w:r w:rsidRPr="00744CE4">
        <w:rPr>
          <w:rFonts w:ascii="Verdana" w:hAnsi="Verdana"/>
          <w:sz w:val="20"/>
          <w:szCs w:val="20"/>
          <w:lang w:val="es-CR"/>
        </w:rPr>
        <w:t>t</w:t>
      </w:r>
      <w:r w:rsidR="00790979">
        <w:rPr>
          <w:rFonts w:ascii="Verdana" w:hAnsi="Verdana"/>
          <w:sz w:val="20"/>
          <w:szCs w:val="20"/>
          <w:lang w:val="es-CR"/>
        </w:rPr>
        <w:t>ulo VII.2</w:t>
      </w:r>
      <w:r w:rsidRPr="00744CE4">
        <w:rPr>
          <w:rFonts w:ascii="Verdana" w:hAnsi="Verdana"/>
          <w:sz w:val="20"/>
          <w:szCs w:val="20"/>
          <w:lang w:val="es-CR"/>
        </w:rPr>
        <w:t xml:space="preserve">). </w:t>
      </w:r>
      <w:r w:rsidR="00243654" w:rsidRPr="00744CE4">
        <w:rPr>
          <w:rFonts w:ascii="Verdana" w:hAnsi="Verdana"/>
          <w:sz w:val="20"/>
          <w:szCs w:val="20"/>
          <w:lang w:val="es-ES"/>
        </w:rPr>
        <w:t xml:space="preserve">La debida diligencia en la investigación implica que todas las autoridades estatales correspondientes están obligadas a colaborar en la recolección de la prueba, por lo que deberán brindar a jueces, procuraduría u otra autoridad competentes toda la información que requiera y abstenerse de </w:t>
      </w:r>
      <w:r w:rsidR="00786607">
        <w:rPr>
          <w:rFonts w:ascii="Verdana" w:hAnsi="Verdana"/>
          <w:sz w:val="20"/>
          <w:szCs w:val="20"/>
          <w:lang w:val="es-ES"/>
        </w:rPr>
        <w:t xml:space="preserve">realizar </w:t>
      </w:r>
      <w:r w:rsidR="00243654" w:rsidRPr="00744CE4">
        <w:rPr>
          <w:rFonts w:ascii="Verdana" w:hAnsi="Verdana"/>
          <w:sz w:val="20"/>
          <w:szCs w:val="20"/>
          <w:lang w:val="es-ES"/>
        </w:rPr>
        <w:t xml:space="preserve">actos que impliquen la obstrucción para la marcha del proceso investigativo. </w:t>
      </w:r>
      <w:r w:rsidR="00243654" w:rsidRPr="00744CE4">
        <w:rPr>
          <w:rFonts w:ascii="Verdana" w:hAnsi="Verdana"/>
          <w:sz w:val="20"/>
          <w:szCs w:val="20"/>
          <w:lang w:val="es-CR"/>
        </w:rPr>
        <w:t>En particular, el Estado deberá velar porque la investigación abarque los siguientes criterios:</w:t>
      </w:r>
    </w:p>
    <w:p w14:paraId="6E16F473" w14:textId="35999E59" w:rsidR="00243654" w:rsidRPr="00744CE4" w:rsidRDefault="00256B09">
      <w:pPr>
        <w:pStyle w:val="ListParagraph"/>
        <w:numPr>
          <w:ilvl w:val="1"/>
          <w:numId w:val="77"/>
        </w:numPr>
        <w:spacing w:before="120" w:after="120" w:line="240" w:lineRule="auto"/>
        <w:ind w:left="993" w:hanging="284"/>
        <w:contextualSpacing w:val="0"/>
        <w:jc w:val="both"/>
        <w:rPr>
          <w:rFonts w:ascii="Verdana" w:hAnsi="Verdana" w:cs="Arial"/>
          <w:sz w:val="20"/>
          <w:szCs w:val="20"/>
          <w:lang w:val="es-CR"/>
        </w:rPr>
      </w:pPr>
      <w:r w:rsidRPr="00744CE4">
        <w:rPr>
          <w:rFonts w:ascii="Verdana" w:hAnsi="Verdana" w:cs="Arial"/>
          <w:sz w:val="20"/>
          <w:szCs w:val="20"/>
          <w:lang w:val="es-CR"/>
        </w:rPr>
        <w:t>r</w:t>
      </w:r>
      <w:r w:rsidR="00243654" w:rsidRPr="00744CE4">
        <w:rPr>
          <w:rFonts w:ascii="Verdana" w:hAnsi="Verdana" w:cs="Arial"/>
          <w:sz w:val="20"/>
          <w:szCs w:val="20"/>
          <w:lang w:val="es-CR"/>
        </w:rPr>
        <w:t>ealizar las investigaciones pertinentes tomando en cuenta el contexto del caso, evitando omisiones en la recolección de prueba y en el seguimiento de las líneas lógicas de investigación, así como integrarlas en una sola investigación que permita alcanzar resultados específicos;</w:t>
      </w:r>
    </w:p>
    <w:p w14:paraId="592B021D" w14:textId="0E35FC5B" w:rsidR="00D60ADB" w:rsidRPr="00744CE4" w:rsidRDefault="00243654">
      <w:pPr>
        <w:pStyle w:val="ListParagraph"/>
        <w:numPr>
          <w:ilvl w:val="1"/>
          <w:numId w:val="77"/>
        </w:numPr>
        <w:spacing w:before="120" w:after="120" w:line="240" w:lineRule="auto"/>
        <w:ind w:left="993" w:hanging="284"/>
        <w:contextualSpacing w:val="0"/>
        <w:jc w:val="both"/>
        <w:rPr>
          <w:rFonts w:ascii="Verdana" w:hAnsi="Verdana" w:cs="Arial"/>
          <w:sz w:val="20"/>
          <w:szCs w:val="20"/>
          <w:lang w:val="es-CR"/>
        </w:rPr>
      </w:pPr>
      <w:r w:rsidRPr="00744CE4">
        <w:rPr>
          <w:rFonts w:ascii="Verdana" w:hAnsi="Verdana" w:cs="Arial"/>
          <w:sz w:val="20"/>
          <w:szCs w:val="20"/>
          <w:lang w:val="es-CR"/>
        </w:rPr>
        <w:t>investigar con debida diligencia</w:t>
      </w:r>
      <w:r w:rsidR="005F4D21">
        <w:rPr>
          <w:rFonts w:ascii="Verdana" w:hAnsi="Verdana" w:cs="Arial"/>
          <w:sz w:val="20"/>
          <w:szCs w:val="20"/>
          <w:lang w:val="es-CR"/>
        </w:rPr>
        <w:t>,</w:t>
      </w:r>
      <w:r w:rsidRPr="00744CE4">
        <w:rPr>
          <w:rFonts w:ascii="Verdana" w:hAnsi="Verdana" w:cs="Arial"/>
          <w:sz w:val="20"/>
          <w:szCs w:val="20"/>
          <w:lang w:val="es-CR"/>
        </w:rPr>
        <w:t xml:space="preserve"> abarcando de forma integral los elementos que configuran la desaparición forzada;</w:t>
      </w:r>
    </w:p>
    <w:p w14:paraId="33A80679" w14:textId="4D20DD0C" w:rsidR="00D60ADB" w:rsidRPr="00744CE4" w:rsidRDefault="00243654">
      <w:pPr>
        <w:pStyle w:val="ListParagraph"/>
        <w:numPr>
          <w:ilvl w:val="1"/>
          <w:numId w:val="77"/>
        </w:numPr>
        <w:spacing w:before="120" w:after="120" w:line="240" w:lineRule="auto"/>
        <w:ind w:left="993" w:hanging="284"/>
        <w:contextualSpacing w:val="0"/>
        <w:jc w:val="both"/>
        <w:rPr>
          <w:rFonts w:ascii="Verdana" w:hAnsi="Verdana" w:cs="Arial"/>
          <w:sz w:val="20"/>
          <w:szCs w:val="20"/>
          <w:lang w:val="es-CR"/>
        </w:rPr>
      </w:pPr>
      <w:r w:rsidRPr="00744CE4">
        <w:rPr>
          <w:rFonts w:ascii="Verdana" w:hAnsi="Verdana"/>
          <w:sz w:val="20"/>
          <w:lang w:val="es-CR"/>
        </w:rPr>
        <w:t>identificar e individualizar a los autores materiales e intelectuales de la desaparición forzada de la</w:t>
      </w:r>
      <w:r w:rsidR="005F4D21">
        <w:rPr>
          <w:rFonts w:ascii="Verdana" w:hAnsi="Verdana"/>
          <w:sz w:val="20"/>
          <w:lang w:val="es-CR"/>
        </w:rPr>
        <w:t>s</w:t>
      </w:r>
      <w:r w:rsidRPr="00744CE4">
        <w:rPr>
          <w:rFonts w:ascii="Verdana" w:hAnsi="Verdana"/>
          <w:sz w:val="20"/>
          <w:lang w:val="es-CR"/>
        </w:rPr>
        <w:t xml:space="preserve"> víctima</w:t>
      </w:r>
      <w:r w:rsidR="005F4D21">
        <w:rPr>
          <w:rFonts w:ascii="Verdana" w:hAnsi="Verdana"/>
          <w:sz w:val="20"/>
          <w:lang w:val="es-CR"/>
        </w:rPr>
        <w:t>s</w:t>
      </w:r>
      <w:r w:rsidRPr="00744CE4">
        <w:rPr>
          <w:rFonts w:ascii="Verdana" w:hAnsi="Verdana"/>
          <w:sz w:val="20"/>
          <w:lang w:val="es-CR"/>
        </w:rPr>
        <w:t>;</w:t>
      </w:r>
    </w:p>
    <w:p w14:paraId="6B9586C8" w14:textId="6E01E918" w:rsidR="00D60ADB" w:rsidRPr="00744CE4" w:rsidRDefault="00243654">
      <w:pPr>
        <w:pStyle w:val="ListParagraph"/>
        <w:numPr>
          <w:ilvl w:val="1"/>
          <w:numId w:val="77"/>
        </w:numPr>
        <w:spacing w:before="120" w:after="120" w:line="240" w:lineRule="auto"/>
        <w:ind w:left="993" w:hanging="284"/>
        <w:contextualSpacing w:val="0"/>
        <w:jc w:val="both"/>
        <w:rPr>
          <w:rFonts w:ascii="Verdana" w:hAnsi="Verdana" w:cs="Arial"/>
          <w:sz w:val="20"/>
          <w:szCs w:val="20"/>
          <w:lang w:val="es-CR"/>
        </w:rPr>
      </w:pPr>
      <w:r w:rsidRPr="00744CE4">
        <w:rPr>
          <w:rFonts w:ascii="Verdana" w:hAnsi="Verdana"/>
          <w:sz w:val="20"/>
          <w:lang w:val="es-CR"/>
        </w:rPr>
        <w:t xml:space="preserve">asegurarse que las autoridades competentes realicen las investigaciones correspondientes </w:t>
      </w:r>
      <w:r w:rsidRPr="005F54F6">
        <w:rPr>
          <w:rFonts w:ascii="Verdana" w:hAnsi="Verdana"/>
          <w:i/>
          <w:sz w:val="20"/>
          <w:lang w:val="es-CR"/>
        </w:rPr>
        <w:t>ex officio</w:t>
      </w:r>
      <w:r w:rsidRPr="00744CE4">
        <w:rPr>
          <w:rFonts w:ascii="Verdana" w:hAnsi="Verdana"/>
          <w:sz w:val="20"/>
          <w:lang w:val="es-CR"/>
        </w:rPr>
        <w:t>, y que para tal efecto tengan a su alcance y utilicen todos los recursos logísticos y científicos necesarios para recabar y procesar las pruebas y, en particular, tengan las facultades para acceder a la documentación e información pertinentes para investigar los hechos denunciados y que las personas que participen en la investigación, entre ellas las víctimas o sus representantes, testigos y operadores de justicia, cuenten con las debidas garantías de seguridad;</w:t>
      </w:r>
    </w:p>
    <w:p w14:paraId="0F76B9B1" w14:textId="4829BFA8" w:rsidR="00D60ADB" w:rsidRPr="00744CE4" w:rsidRDefault="00243654">
      <w:pPr>
        <w:pStyle w:val="ListParagraph"/>
        <w:numPr>
          <w:ilvl w:val="1"/>
          <w:numId w:val="77"/>
        </w:numPr>
        <w:spacing w:before="120" w:after="120" w:line="240" w:lineRule="auto"/>
        <w:ind w:left="993" w:hanging="284"/>
        <w:contextualSpacing w:val="0"/>
        <w:jc w:val="both"/>
        <w:rPr>
          <w:rFonts w:ascii="Verdana" w:hAnsi="Verdana" w:cs="Arial"/>
          <w:sz w:val="20"/>
          <w:szCs w:val="20"/>
          <w:lang w:val="es-CR"/>
        </w:rPr>
      </w:pPr>
      <w:r w:rsidRPr="00744CE4">
        <w:rPr>
          <w:rFonts w:ascii="Verdana" w:hAnsi="Verdana"/>
          <w:sz w:val="20"/>
          <w:lang w:val="es-CR"/>
        </w:rPr>
        <w:t>por tratarse de una violación grave de derechos humanos, y en consideración del carácter permanente de la desaparición forzada cuyos efectos no cesan mientras no se establezca el paradero de la víctima o se identifiquen sus restos, el Estado debe abstenerse de recurrir a figuras como la amnistía en beneficio de los autores</w:t>
      </w:r>
      <w:r w:rsidR="00D92B48">
        <w:rPr>
          <w:rFonts w:ascii="Verdana" w:hAnsi="Verdana"/>
          <w:sz w:val="20"/>
          <w:lang w:val="es-CR"/>
        </w:rPr>
        <w:t xml:space="preserve"> de este tipo de violaciones</w:t>
      </w:r>
      <w:r w:rsidRPr="00744CE4">
        <w:rPr>
          <w:rFonts w:ascii="Verdana" w:hAnsi="Verdana"/>
          <w:sz w:val="20"/>
          <w:lang w:val="es-CR"/>
        </w:rPr>
        <w:t xml:space="preserve">, así como </w:t>
      </w:r>
      <w:r w:rsidR="005F4D21">
        <w:rPr>
          <w:rFonts w:ascii="Verdana" w:hAnsi="Verdana"/>
          <w:sz w:val="20"/>
          <w:lang w:val="es-CR"/>
        </w:rPr>
        <w:t>cualquier</w:t>
      </w:r>
      <w:r w:rsidR="005F4D21" w:rsidRPr="00744CE4">
        <w:rPr>
          <w:rFonts w:ascii="Verdana" w:hAnsi="Verdana"/>
          <w:sz w:val="20"/>
          <w:lang w:val="es-CR"/>
        </w:rPr>
        <w:t xml:space="preserve"> </w:t>
      </w:r>
      <w:r w:rsidRPr="00744CE4">
        <w:rPr>
          <w:rFonts w:ascii="Verdana" w:hAnsi="Verdana"/>
          <w:sz w:val="20"/>
          <w:lang w:val="es-CR"/>
        </w:rPr>
        <w:t xml:space="preserve">otra disposición análoga, irretroactividad de la ley penal, cosa juzgada, </w:t>
      </w:r>
      <w:r w:rsidRPr="00744CE4">
        <w:rPr>
          <w:rFonts w:ascii="Verdana" w:hAnsi="Verdana"/>
          <w:i/>
          <w:sz w:val="20"/>
          <w:lang w:val="es-CR"/>
        </w:rPr>
        <w:t>ne bis in idem</w:t>
      </w:r>
      <w:r w:rsidRPr="00744CE4">
        <w:rPr>
          <w:rFonts w:ascii="Verdana" w:hAnsi="Verdana"/>
          <w:sz w:val="20"/>
          <w:lang w:val="es-CR"/>
        </w:rPr>
        <w:t xml:space="preserve"> o cualquier eximente similar de responsabilidad, para excusarse de esta obligación</w:t>
      </w:r>
      <w:r w:rsidR="003C00B3" w:rsidRPr="00744CE4">
        <w:rPr>
          <w:rStyle w:val="FootnoteReference"/>
          <w:rFonts w:ascii="Verdana" w:hAnsi="Verdana" w:cs="Arial"/>
          <w:sz w:val="20"/>
          <w:szCs w:val="20"/>
          <w:lang w:val="es-CR"/>
        </w:rPr>
        <w:footnoteReference w:id="537"/>
      </w:r>
      <w:r w:rsidRPr="00744CE4">
        <w:rPr>
          <w:rFonts w:ascii="Verdana" w:hAnsi="Verdana"/>
          <w:sz w:val="20"/>
          <w:lang w:val="es-CR"/>
        </w:rPr>
        <w:t>;</w:t>
      </w:r>
    </w:p>
    <w:p w14:paraId="647717C3" w14:textId="33AFEF1E" w:rsidR="00D60ADB" w:rsidRPr="00432ABC" w:rsidRDefault="00243654">
      <w:pPr>
        <w:pStyle w:val="ListParagraph"/>
        <w:numPr>
          <w:ilvl w:val="1"/>
          <w:numId w:val="77"/>
        </w:numPr>
        <w:spacing w:before="120" w:after="120" w:line="240" w:lineRule="auto"/>
        <w:ind w:left="993" w:hanging="284"/>
        <w:contextualSpacing w:val="0"/>
        <w:jc w:val="both"/>
        <w:rPr>
          <w:rFonts w:ascii="Verdana" w:hAnsi="Verdana" w:cs="Arial"/>
          <w:sz w:val="20"/>
          <w:szCs w:val="20"/>
          <w:lang w:val="es-CR"/>
        </w:rPr>
      </w:pPr>
      <w:r w:rsidRPr="00744CE4">
        <w:rPr>
          <w:rFonts w:ascii="Verdana" w:hAnsi="Verdana"/>
          <w:sz w:val="20"/>
          <w:lang w:val="es-CR"/>
        </w:rPr>
        <w:t xml:space="preserve">garantizar que las investigaciones por los hechos constitutivos de la desaparición forzada del presente caso se mantengan, en todo momento, bajo conocimiento de la jurisdicción ordinaria, </w:t>
      </w:r>
      <w:r w:rsidR="00D60ADB" w:rsidRPr="00744CE4">
        <w:rPr>
          <w:rFonts w:ascii="Verdana" w:hAnsi="Verdana" w:cs="Arial"/>
          <w:sz w:val="20"/>
          <w:szCs w:val="20"/>
          <w:lang w:val="es-CR"/>
        </w:rPr>
        <w:t>e</w:t>
      </w:r>
      <w:r w:rsidRPr="00744CE4">
        <w:rPr>
          <w:rFonts w:ascii="Verdana" w:hAnsi="Verdana"/>
          <w:sz w:val="20"/>
          <w:lang w:val="es-CR"/>
        </w:rPr>
        <w:t xml:space="preserve"> </w:t>
      </w:r>
    </w:p>
    <w:p w14:paraId="3C176B91" w14:textId="04AA6168" w:rsidR="009114A1" w:rsidRPr="00744CE4" w:rsidRDefault="009114A1">
      <w:pPr>
        <w:pStyle w:val="ListParagraph"/>
        <w:numPr>
          <w:ilvl w:val="1"/>
          <w:numId w:val="77"/>
        </w:numPr>
        <w:spacing w:before="120" w:after="120" w:line="240" w:lineRule="auto"/>
        <w:ind w:left="993" w:hanging="284"/>
        <w:contextualSpacing w:val="0"/>
        <w:jc w:val="both"/>
        <w:rPr>
          <w:rFonts w:ascii="Verdana" w:hAnsi="Verdana"/>
          <w:sz w:val="20"/>
          <w:lang w:val="es-CR"/>
        </w:rPr>
      </w:pPr>
      <w:r w:rsidRPr="00432ABC">
        <w:rPr>
          <w:rFonts w:ascii="Verdana" w:hAnsi="Verdana"/>
          <w:sz w:val="20"/>
          <w:lang w:val="es-CR"/>
        </w:rPr>
        <w:t xml:space="preserve">iniciar las acciones disciplinarias, administrativas o penales, de acuerdo con </w:t>
      </w:r>
      <w:r w:rsidR="005F4D21">
        <w:rPr>
          <w:rFonts w:ascii="Verdana" w:hAnsi="Verdana"/>
          <w:sz w:val="20"/>
          <w:lang w:val="es-CR"/>
        </w:rPr>
        <w:t>la</w:t>
      </w:r>
      <w:r w:rsidRPr="00432ABC">
        <w:rPr>
          <w:rFonts w:ascii="Verdana" w:hAnsi="Verdana"/>
          <w:sz w:val="20"/>
          <w:lang w:val="es-CR"/>
        </w:rPr>
        <w:t xml:space="preserve"> legislación interna, contra las posibles autoridades del Estado que hayan obstaculizado e impedido la investigación debida de los hechos, así como contra los responsables de los hechos de ho</w:t>
      </w:r>
      <w:r w:rsidRPr="002C462C">
        <w:rPr>
          <w:rFonts w:ascii="Verdana" w:hAnsi="Verdana"/>
          <w:sz w:val="20"/>
          <w:lang w:val="es-CR"/>
        </w:rPr>
        <w:t>stigamiento</w:t>
      </w:r>
      <w:r w:rsidR="00243654" w:rsidRPr="00744CE4">
        <w:rPr>
          <w:rFonts w:ascii="Verdana" w:hAnsi="Verdana"/>
          <w:sz w:val="20"/>
          <w:lang w:val="es-CR"/>
        </w:rPr>
        <w:t xml:space="preserve"> y amenazas. </w:t>
      </w:r>
    </w:p>
    <w:p w14:paraId="1C120312" w14:textId="1767904D" w:rsidR="00A81849" w:rsidRPr="00744CE4" w:rsidRDefault="009114A1" w:rsidP="00DB378B">
      <w:pPr>
        <w:widowControl w:val="0"/>
        <w:numPr>
          <w:ilvl w:val="0"/>
          <w:numId w:val="4"/>
        </w:numPr>
        <w:tabs>
          <w:tab w:val="left" w:pos="567"/>
        </w:tabs>
        <w:autoSpaceDE w:val="0"/>
        <w:autoSpaceDN w:val="0"/>
        <w:adjustRightInd w:val="0"/>
        <w:spacing w:before="120" w:after="120" w:line="240" w:lineRule="auto"/>
        <w:ind w:left="0" w:firstLine="0"/>
        <w:jc w:val="both"/>
        <w:textAlignment w:val="baseline"/>
        <w:rPr>
          <w:rFonts w:ascii="Verdana" w:hAnsi="Verdana"/>
          <w:i/>
          <w:sz w:val="20"/>
          <w:szCs w:val="20"/>
          <w:lang w:val="es-CR"/>
        </w:rPr>
      </w:pPr>
      <w:r w:rsidRPr="00744CE4">
        <w:rPr>
          <w:rFonts w:ascii="Verdana" w:hAnsi="Verdana"/>
          <w:sz w:val="20"/>
          <w:szCs w:val="20"/>
          <w:lang w:val="es-CR"/>
        </w:rPr>
        <w:t>Este Tribunal considera necesario reiterar que conforme a la obligación de garantía consagrada en el artículo 1.1 de la Convención Americana, el Estado tiene el deber de evitar y combatir la impunidad (</w:t>
      </w:r>
      <w:r w:rsidR="00205AF7" w:rsidRPr="00744CE4">
        <w:rPr>
          <w:rFonts w:ascii="Verdana" w:hAnsi="Verdana"/>
          <w:i/>
          <w:sz w:val="20"/>
          <w:szCs w:val="20"/>
          <w:lang w:val="es-CR"/>
        </w:rPr>
        <w:t xml:space="preserve">supra </w:t>
      </w:r>
      <w:r w:rsidRPr="00744CE4">
        <w:rPr>
          <w:rFonts w:ascii="Verdana" w:hAnsi="Verdana"/>
          <w:sz w:val="20"/>
          <w:szCs w:val="20"/>
          <w:lang w:val="es-CR"/>
        </w:rPr>
        <w:t xml:space="preserve">párr. </w:t>
      </w:r>
      <w:r w:rsidR="006C6E14">
        <w:rPr>
          <w:rFonts w:ascii="Verdana" w:hAnsi="Verdana"/>
          <w:sz w:val="20"/>
          <w:szCs w:val="20"/>
          <w:lang w:val="es-CR"/>
        </w:rPr>
        <w:t>259</w:t>
      </w:r>
      <w:r w:rsidRPr="00744CE4">
        <w:rPr>
          <w:rFonts w:ascii="Verdana" w:hAnsi="Verdana"/>
          <w:sz w:val="20"/>
          <w:szCs w:val="20"/>
          <w:lang w:val="es-CR"/>
        </w:rPr>
        <w:t xml:space="preserve">). </w:t>
      </w:r>
      <w:r w:rsidRPr="00744CE4">
        <w:rPr>
          <w:rFonts w:ascii="Verdana" w:hAnsi="Verdana" w:cs="Helvetica"/>
          <w:sz w:val="20"/>
          <w:szCs w:val="20"/>
          <w:lang w:val="es-CR" w:bidi="en-US"/>
        </w:rPr>
        <w:t xml:space="preserve">Para cumplir con dicha </w:t>
      </w:r>
      <w:r w:rsidRPr="00744CE4">
        <w:rPr>
          <w:rFonts w:ascii="Verdana" w:hAnsi="Verdana"/>
          <w:sz w:val="20"/>
          <w:szCs w:val="20"/>
          <w:lang w:val="es-CR"/>
        </w:rPr>
        <w:t xml:space="preserve">obligación, el Estado debe combatirla por todos los medios legales disponibles, ya que la impunidad “propicia la repetición </w:t>
      </w:r>
      <w:r w:rsidRPr="00744CE4">
        <w:rPr>
          <w:rFonts w:ascii="Verdana" w:hAnsi="Verdana"/>
          <w:sz w:val="20"/>
          <w:szCs w:val="20"/>
          <w:lang w:val="es-CR"/>
        </w:rPr>
        <w:lastRenderedPageBreak/>
        <w:t>crónica de las violaciones de derechos humanos y la total indefensión de las víctimas y sus familiares”</w:t>
      </w:r>
      <w:bookmarkStart w:id="369" w:name="_Ref95385297"/>
      <w:r w:rsidRPr="00744CE4">
        <w:rPr>
          <w:rStyle w:val="FootnoteReference"/>
          <w:rFonts w:ascii="Verdana" w:hAnsi="Verdana"/>
          <w:sz w:val="20"/>
          <w:szCs w:val="20"/>
        </w:rPr>
        <w:footnoteReference w:id="538"/>
      </w:r>
      <w:bookmarkEnd w:id="369"/>
      <w:r w:rsidRPr="00744CE4">
        <w:rPr>
          <w:rFonts w:ascii="Verdana" w:hAnsi="Verdana"/>
          <w:sz w:val="20"/>
          <w:szCs w:val="20"/>
          <w:lang w:val="es-CR"/>
        </w:rPr>
        <w:t xml:space="preserve">. </w:t>
      </w:r>
    </w:p>
    <w:p w14:paraId="3AFB347C" w14:textId="7B179251" w:rsidR="00243654" w:rsidRPr="00744CE4" w:rsidRDefault="00243654" w:rsidP="00DB378B">
      <w:pPr>
        <w:widowControl w:val="0"/>
        <w:numPr>
          <w:ilvl w:val="0"/>
          <w:numId w:val="4"/>
        </w:numPr>
        <w:tabs>
          <w:tab w:val="left" w:pos="567"/>
        </w:tabs>
        <w:autoSpaceDE w:val="0"/>
        <w:autoSpaceDN w:val="0"/>
        <w:adjustRightInd w:val="0"/>
        <w:spacing w:before="120" w:after="120" w:line="240" w:lineRule="auto"/>
        <w:ind w:left="0" w:firstLine="0"/>
        <w:jc w:val="both"/>
        <w:textAlignment w:val="baseline"/>
        <w:rPr>
          <w:rFonts w:ascii="Verdana" w:eastAsia="Calibri" w:hAnsi="Verdana"/>
          <w:sz w:val="20"/>
          <w:szCs w:val="20"/>
          <w:lang w:val="es-CR"/>
        </w:rPr>
      </w:pPr>
      <w:r w:rsidRPr="00744CE4">
        <w:rPr>
          <w:rFonts w:ascii="Verdana" w:hAnsi="Verdana"/>
          <w:sz w:val="20"/>
          <w:szCs w:val="20"/>
          <w:lang w:val="es-CR"/>
        </w:rPr>
        <w:t xml:space="preserve">Conforme a su jurisprudencia constante, la Corte reitera que el Estado debe asegurar el pleno acceso y capacidad de actuar de las víctimas o sus familiares en todas las etapas de la investigación y el juzgamiento de los responsables. </w:t>
      </w:r>
      <w:r w:rsidR="006C6E14">
        <w:rPr>
          <w:rFonts w:ascii="Verdana" w:hAnsi="Verdana"/>
          <w:sz w:val="20"/>
          <w:szCs w:val="20"/>
          <w:lang w:val="es-CR"/>
        </w:rPr>
        <w:t>D</w:t>
      </w:r>
      <w:r w:rsidRPr="00744CE4">
        <w:rPr>
          <w:rFonts w:ascii="Verdana" w:hAnsi="Verdana"/>
          <w:sz w:val="20"/>
          <w:szCs w:val="20"/>
          <w:lang w:val="es-CR"/>
        </w:rPr>
        <w:t>icha participación deberá tener co</w:t>
      </w:r>
      <w:r w:rsidRPr="00432ABC">
        <w:rPr>
          <w:rFonts w:ascii="Verdana" w:hAnsi="Verdana"/>
          <w:sz w:val="20"/>
          <w:szCs w:val="20"/>
          <w:lang w:val="es-CR"/>
        </w:rPr>
        <w:t>mo finalidad el acceso a la justicia y el conocimiento de la verdad</w:t>
      </w:r>
      <w:r w:rsidRPr="00DB378B">
        <w:rPr>
          <w:rFonts w:ascii="Verdana" w:hAnsi="Verdana"/>
        </w:rPr>
        <w:t xml:space="preserve"> </w:t>
      </w:r>
      <w:r w:rsidRPr="00744CE4">
        <w:rPr>
          <w:rFonts w:ascii="Verdana" w:hAnsi="Verdana"/>
          <w:sz w:val="20"/>
          <w:szCs w:val="20"/>
        </w:rPr>
        <w:t>de lo ocurrido. Adicionalmente, los resultados de los procesos correspondientes deberán ser publicados para que la sociedad mexicana conozca los hechos objeto del presente caso, así como a sus responsables</w:t>
      </w:r>
      <w:r w:rsidRPr="00744CE4">
        <w:rPr>
          <w:rFonts w:ascii="Verdana" w:hAnsi="Verdana"/>
          <w:sz w:val="20"/>
          <w:szCs w:val="20"/>
          <w:vertAlign w:val="superscript"/>
          <w:lang w:val="es-ES"/>
        </w:rPr>
        <w:footnoteReference w:id="539"/>
      </w:r>
      <w:r w:rsidRPr="00744CE4">
        <w:rPr>
          <w:rFonts w:ascii="Verdana" w:hAnsi="Verdana"/>
          <w:sz w:val="20"/>
          <w:szCs w:val="20"/>
          <w:lang w:val="es-ES"/>
        </w:rPr>
        <w:t>.</w:t>
      </w:r>
      <w:r w:rsidRPr="00744CE4">
        <w:rPr>
          <w:rFonts w:ascii="Verdana" w:eastAsia="Calibri" w:hAnsi="Verdana"/>
          <w:sz w:val="20"/>
          <w:szCs w:val="20"/>
          <w:lang w:val="es-CR"/>
        </w:rPr>
        <w:t xml:space="preserve"> </w:t>
      </w:r>
    </w:p>
    <w:p w14:paraId="486E2A00" w14:textId="702B307D" w:rsidR="009114A1" w:rsidRPr="00744CE4" w:rsidRDefault="00556FDB">
      <w:pPr>
        <w:pStyle w:val="ListParagraph"/>
        <w:keepNext/>
        <w:keepLines/>
        <w:numPr>
          <w:ilvl w:val="0"/>
          <w:numId w:val="29"/>
        </w:numPr>
        <w:spacing w:before="120" w:after="120" w:line="240" w:lineRule="auto"/>
        <w:contextualSpacing w:val="0"/>
        <w:jc w:val="both"/>
        <w:outlineLvl w:val="1"/>
        <w:rPr>
          <w:rFonts w:ascii="Verdana" w:eastAsia="Times New Roman" w:hAnsi="Verdana" w:cs="Times New Roman"/>
          <w:b/>
          <w:bCs/>
          <w:i/>
          <w:sz w:val="20"/>
          <w:szCs w:val="20"/>
          <w:lang w:val="es-ES"/>
        </w:rPr>
      </w:pPr>
      <w:bookmarkStart w:id="370" w:name="_Toc526774182"/>
      <w:bookmarkStart w:id="371" w:name="_Toc526777518"/>
      <w:bookmarkStart w:id="372" w:name="_Toc526783821"/>
      <w:r>
        <w:rPr>
          <w:rFonts w:ascii="Verdana" w:eastAsia="Times New Roman" w:hAnsi="Verdana" w:cs="Times New Roman"/>
          <w:b/>
          <w:bCs/>
          <w:i/>
          <w:sz w:val="20"/>
          <w:szCs w:val="20"/>
          <w:lang w:val="es-ES"/>
        </w:rPr>
        <w:t xml:space="preserve"> </w:t>
      </w:r>
      <w:bookmarkStart w:id="373" w:name="_Toc532995403"/>
      <w:r w:rsidR="009114A1" w:rsidRPr="00744CE4">
        <w:rPr>
          <w:rFonts w:ascii="Verdana" w:eastAsia="Times New Roman" w:hAnsi="Verdana" w:cs="Times New Roman"/>
          <w:b/>
          <w:bCs/>
          <w:i/>
          <w:sz w:val="20"/>
          <w:szCs w:val="20"/>
          <w:lang w:val="es-ES"/>
        </w:rPr>
        <w:t>Rehabilitación</w:t>
      </w:r>
      <w:bookmarkEnd w:id="370"/>
      <w:bookmarkEnd w:id="371"/>
      <w:bookmarkEnd w:id="372"/>
      <w:bookmarkEnd w:id="373"/>
    </w:p>
    <w:p w14:paraId="471BEB07" w14:textId="266E6623" w:rsidR="00FE4568" w:rsidRPr="002C462C" w:rsidRDefault="009114A1" w:rsidP="00DB378B">
      <w:pPr>
        <w:widowControl w:val="0"/>
        <w:numPr>
          <w:ilvl w:val="0"/>
          <w:numId w:val="4"/>
        </w:numPr>
        <w:tabs>
          <w:tab w:val="left" w:pos="567"/>
        </w:tabs>
        <w:autoSpaceDE w:val="0"/>
        <w:autoSpaceDN w:val="0"/>
        <w:adjustRightInd w:val="0"/>
        <w:spacing w:before="120" w:after="120" w:line="240" w:lineRule="auto"/>
        <w:ind w:left="0" w:firstLine="0"/>
        <w:jc w:val="both"/>
        <w:textAlignment w:val="baseline"/>
        <w:rPr>
          <w:rFonts w:ascii="Verdana" w:eastAsia="Times New Roman" w:hAnsi="Verdana" w:cs="Times New Roman"/>
          <w:b/>
          <w:sz w:val="20"/>
          <w:szCs w:val="20"/>
          <w:lang w:val="es-ES"/>
        </w:rPr>
      </w:pPr>
      <w:r w:rsidRPr="00432ABC">
        <w:rPr>
          <w:rFonts w:ascii="Verdana" w:eastAsia="Times New Roman" w:hAnsi="Verdana" w:cs="Times New Roman"/>
          <w:bCs/>
          <w:sz w:val="20"/>
          <w:szCs w:val="20"/>
          <w:lang w:val="es-ES"/>
        </w:rPr>
        <w:t xml:space="preserve">La </w:t>
      </w:r>
      <w:r w:rsidRPr="00432ABC">
        <w:rPr>
          <w:rFonts w:ascii="Verdana" w:eastAsia="Times New Roman" w:hAnsi="Verdana" w:cs="Times New Roman"/>
          <w:b/>
          <w:bCs/>
          <w:i/>
          <w:sz w:val="20"/>
          <w:szCs w:val="20"/>
          <w:lang w:val="es-ES"/>
        </w:rPr>
        <w:t>Comisión</w:t>
      </w:r>
      <w:r w:rsidRPr="00432ABC">
        <w:rPr>
          <w:rFonts w:ascii="Verdana" w:eastAsia="Times New Roman" w:hAnsi="Verdana" w:cs="Times New Roman"/>
          <w:bCs/>
          <w:sz w:val="20"/>
          <w:szCs w:val="20"/>
          <w:lang w:val="es-ES"/>
        </w:rPr>
        <w:t xml:space="preserve"> solicitó </w:t>
      </w:r>
      <w:r w:rsidRPr="00432ABC">
        <w:rPr>
          <w:rFonts w:ascii="Verdana" w:hAnsi="Verdana" w:cs="Times New Roman"/>
          <w:sz w:val="20"/>
          <w:szCs w:val="20"/>
          <w:lang w:val="es-EC"/>
        </w:rPr>
        <w:t>la implementación de un programa adecuado de atención a los familiares de las víctimas.</w:t>
      </w:r>
    </w:p>
    <w:p w14:paraId="19A1BC63" w14:textId="3BB4C9C2" w:rsidR="009114A1" w:rsidRPr="00744CE4" w:rsidRDefault="009114A1" w:rsidP="00DB378B">
      <w:pPr>
        <w:widowControl w:val="0"/>
        <w:numPr>
          <w:ilvl w:val="0"/>
          <w:numId w:val="4"/>
        </w:numPr>
        <w:tabs>
          <w:tab w:val="left" w:pos="567"/>
        </w:tabs>
        <w:autoSpaceDE w:val="0"/>
        <w:autoSpaceDN w:val="0"/>
        <w:adjustRightInd w:val="0"/>
        <w:spacing w:before="120" w:after="120" w:line="240" w:lineRule="auto"/>
        <w:ind w:left="0" w:firstLine="0"/>
        <w:jc w:val="both"/>
        <w:textAlignment w:val="baseline"/>
        <w:rPr>
          <w:rFonts w:ascii="Verdana" w:eastAsia="Times New Roman" w:hAnsi="Verdana" w:cs="Times New Roman"/>
          <w:b/>
          <w:sz w:val="20"/>
          <w:szCs w:val="20"/>
          <w:lang w:val="es-ES"/>
        </w:rPr>
      </w:pPr>
      <w:r w:rsidRPr="00744CE4">
        <w:rPr>
          <w:rFonts w:ascii="Verdana" w:eastAsia="Times New Roman" w:hAnsi="Verdana" w:cs="Times New Roman"/>
          <w:bCs/>
          <w:sz w:val="20"/>
          <w:szCs w:val="20"/>
          <w:lang w:val="es-ES"/>
        </w:rPr>
        <w:t xml:space="preserve">Las </w:t>
      </w:r>
      <w:r w:rsidRPr="00744CE4">
        <w:rPr>
          <w:rFonts w:ascii="Verdana" w:eastAsia="Times New Roman" w:hAnsi="Verdana" w:cs="Times New Roman"/>
          <w:b/>
          <w:bCs/>
          <w:i/>
          <w:sz w:val="20"/>
          <w:szCs w:val="20"/>
          <w:lang w:val="es-ES"/>
        </w:rPr>
        <w:t xml:space="preserve">Representantes </w:t>
      </w:r>
      <w:r w:rsidRPr="00744CE4">
        <w:rPr>
          <w:rFonts w:ascii="Verdana" w:eastAsia="Times New Roman" w:hAnsi="Verdana" w:cs="Times New Roman"/>
          <w:bCs/>
          <w:sz w:val="20"/>
          <w:szCs w:val="20"/>
          <w:lang w:val="es-ES"/>
        </w:rPr>
        <w:t xml:space="preserve">solicitaron atención emocional y médica para sobrevivir con los efectos de la desaparición. </w:t>
      </w:r>
    </w:p>
    <w:p w14:paraId="590321C7" w14:textId="31CB8C52" w:rsidR="009114A1" w:rsidRPr="00432ABC" w:rsidRDefault="009114A1" w:rsidP="00DB378B">
      <w:pPr>
        <w:widowControl w:val="0"/>
        <w:numPr>
          <w:ilvl w:val="0"/>
          <w:numId w:val="4"/>
        </w:numPr>
        <w:tabs>
          <w:tab w:val="left" w:pos="567"/>
        </w:tabs>
        <w:autoSpaceDE w:val="0"/>
        <w:autoSpaceDN w:val="0"/>
        <w:adjustRightInd w:val="0"/>
        <w:spacing w:before="120" w:after="120" w:line="240" w:lineRule="auto"/>
        <w:ind w:left="0" w:firstLine="0"/>
        <w:jc w:val="both"/>
        <w:textAlignment w:val="baseline"/>
        <w:rPr>
          <w:rFonts w:ascii="Verdana" w:eastAsia="Times New Roman" w:hAnsi="Verdana" w:cs="Times New Roman"/>
          <w:b/>
          <w:sz w:val="20"/>
          <w:szCs w:val="20"/>
          <w:lang w:val="es-ES"/>
        </w:rPr>
      </w:pPr>
      <w:r w:rsidRPr="00744CE4">
        <w:rPr>
          <w:rFonts w:ascii="Verdana" w:eastAsia="Times New Roman" w:hAnsi="Verdana" w:cs="Times New Roman"/>
          <w:sz w:val="20"/>
          <w:szCs w:val="20"/>
          <w:lang w:val="es-ES"/>
        </w:rPr>
        <w:t xml:space="preserve">El </w:t>
      </w:r>
      <w:r w:rsidRPr="00744CE4">
        <w:rPr>
          <w:rFonts w:ascii="Verdana" w:eastAsia="Times New Roman" w:hAnsi="Verdana" w:cs="Times New Roman"/>
          <w:b/>
          <w:i/>
          <w:sz w:val="20"/>
          <w:szCs w:val="20"/>
          <w:lang w:val="es-ES"/>
        </w:rPr>
        <w:t xml:space="preserve">Estado </w:t>
      </w:r>
      <w:r w:rsidRPr="00744CE4">
        <w:rPr>
          <w:rFonts w:ascii="Verdana" w:eastAsia="Times New Roman" w:hAnsi="Verdana" w:cs="Times New Roman"/>
          <w:sz w:val="20"/>
          <w:szCs w:val="20"/>
          <w:lang w:val="es-ES"/>
        </w:rPr>
        <w:t xml:space="preserve">por su parte, </w:t>
      </w:r>
      <w:r w:rsidRPr="00744CE4">
        <w:rPr>
          <w:rFonts w:ascii="Verdana" w:eastAsiaTheme="minorHAnsi" w:hAnsi="Verdana" w:cs="Times New Roman"/>
          <w:sz w:val="20"/>
          <w:szCs w:val="20"/>
          <w:lang w:val="es-CR"/>
        </w:rPr>
        <w:t>reiteró su total disposición de otorgar ayudas en materia de salud con atención diferenciada, en favor de los familiares de las víctimas, en el marco de</w:t>
      </w:r>
      <w:r w:rsidR="006C6E14">
        <w:rPr>
          <w:rFonts w:ascii="Verdana" w:eastAsiaTheme="minorHAnsi" w:hAnsi="Verdana" w:cs="Times New Roman"/>
          <w:sz w:val="20"/>
          <w:szCs w:val="20"/>
          <w:lang w:val="es-CR"/>
        </w:rPr>
        <w:t>l</w:t>
      </w:r>
      <w:r w:rsidRPr="00744CE4">
        <w:rPr>
          <w:rFonts w:ascii="Verdana" w:eastAsiaTheme="minorHAnsi" w:hAnsi="Verdana" w:cs="Times New Roman"/>
          <w:sz w:val="20"/>
          <w:szCs w:val="20"/>
          <w:lang w:val="es-CR"/>
        </w:rPr>
        <w:t xml:space="preserve"> </w:t>
      </w:r>
      <w:r w:rsidRPr="008D0846">
        <w:rPr>
          <w:rFonts w:ascii="Verdana" w:eastAsiaTheme="minorHAnsi" w:hAnsi="Verdana" w:cs="Times New Roman"/>
          <w:i/>
          <w:sz w:val="20"/>
          <w:szCs w:val="20"/>
          <w:lang w:val="es-CR"/>
        </w:rPr>
        <w:t xml:space="preserve">Fondo de Atención a Niños y Niñas hijos de </w:t>
      </w:r>
      <w:r w:rsidR="0061315F" w:rsidRPr="008D0846">
        <w:rPr>
          <w:rFonts w:ascii="Verdana" w:eastAsiaTheme="minorHAnsi" w:hAnsi="Verdana" w:cs="Times New Roman"/>
          <w:i/>
          <w:sz w:val="20"/>
          <w:szCs w:val="20"/>
          <w:lang w:val="es-CR"/>
        </w:rPr>
        <w:t>V</w:t>
      </w:r>
      <w:r w:rsidRPr="008D0846">
        <w:rPr>
          <w:rFonts w:ascii="Verdana" w:eastAsiaTheme="minorHAnsi" w:hAnsi="Verdana" w:cs="Times New Roman"/>
          <w:i/>
          <w:sz w:val="20"/>
          <w:szCs w:val="20"/>
          <w:lang w:val="es-CR"/>
        </w:rPr>
        <w:t>íctimas de la Lucha contra el Crimen</w:t>
      </w:r>
      <w:r w:rsidRPr="00744CE4">
        <w:rPr>
          <w:rFonts w:ascii="Verdana" w:eastAsiaTheme="minorHAnsi" w:hAnsi="Verdana" w:cs="Times New Roman"/>
          <w:sz w:val="20"/>
          <w:szCs w:val="20"/>
          <w:lang w:val="es-CR"/>
        </w:rPr>
        <w:t xml:space="preserve">; </w:t>
      </w:r>
      <w:r w:rsidR="00C156B3">
        <w:rPr>
          <w:rFonts w:ascii="Verdana" w:eastAsiaTheme="minorHAnsi" w:hAnsi="Verdana" w:cs="Times New Roman"/>
          <w:sz w:val="20"/>
          <w:szCs w:val="20"/>
          <w:lang w:val="es-CR"/>
        </w:rPr>
        <w:t>“[</w:t>
      </w:r>
      <w:r w:rsidRPr="00744CE4">
        <w:rPr>
          <w:rFonts w:ascii="Verdana" w:eastAsiaTheme="minorHAnsi" w:hAnsi="Verdana" w:cs="Times New Roman"/>
          <w:sz w:val="20"/>
          <w:szCs w:val="20"/>
          <w:lang w:val="es-CR"/>
        </w:rPr>
        <w:t>e</w:t>
      </w:r>
      <w:r w:rsidR="00C156B3">
        <w:rPr>
          <w:rFonts w:ascii="Verdana" w:eastAsiaTheme="minorHAnsi" w:hAnsi="Verdana" w:cs="Times New Roman"/>
          <w:sz w:val="20"/>
          <w:szCs w:val="20"/>
          <w:lang w:val="es-CR"/>
        </w:rPr>
        <w:t>]</w:t>
      </w:r>
      <w:r w:rsidRPr="00744CE4">
        <w:rPr>
          <w:rFonts w:ascii="Verdana" w:eastAsiaTheme="minorHAnsi" w:hAnsi="Verdana" w:cs="Times New Roman"/>
          <w:sz w:val="20"/>
          <w:szCs w:val="20"/>
          <w:lang w:val="es-CR"/>
        </w:rPr>
        <w:t>llo, de manera genérica y como ya lo ha venido haciendo</w:t>
      </w:r>
      <w:r w:rsidR="00C156B3">
        <w:rPr>
          <w:rFonts w:ascii="Verdana" w:eastAsiaTheme="minorHAnsi" w:hAnsi="Verdana" w:cs="Times New Roman"/>
          <w:sz w:val="20"/>
          <w:szCs w:val="20"/>
          <w:lang w:val="es-CR"/>
        </w:rPr>
        <w:t>”</w:t>
      </w:r>
      <w:r w:rsidRPr="00744CE4">
        <w:rPr>
          <w:rFonts w:ascii="Verdana" w:eastAsiaTheme="minorHAnsi" w:hAnsi="Verdana" w:cs="Times New Roman"/>
          <w:sz w:val="20"/>
          <w:szCs w:val="20"/>
          <w:lang w:val="es-CR"/>
        </w:rPr>
        <w:t>.</w:t>
      </w:r>
      <w:r w:rsidR="006C6E14">
        <w:rPr>
          <w:rFonts w:ascii="Verdana" w:eastAsia="Calibri" w:hAnsi="Verdana" w:cs="Times New Roman"/>
          <w:b/>
          <w:sz w:val="20"/>
          <w:szCs w:val="20"/>
          <w:lang w:val="es-ES" w:eastAsia="es-ES"/>
        </w:rPr>
        <w:t xml:space="preserve"> </w:t>
      </w:r>
      <w:r w:rsidRPr="00744CE4">
        <w:rPr>
          <w:rFonts w:ascii="Verdana" w:eastAsia="Calibri" w:hAnsi="Verdana" w:cs="Times New Roman"/>
          <w:sz w:val="20"/>
          <w:szCs w:val="20"/>
          <w:lang w:val="es-ES" w:eastAsia="es-ES"/>
        </w:rPr>
        <w:t xml:space="preserve">Al mismo tiempo </w:t>
      </w:r>
      <w:r w:rsidR="00C156B3">
        <w:rPr>
          <w:rFonts w:ascii="Verdana" w:eastAsia="Calibri" w:hAnsi="Verdana" w:cs="Times New Roman"/>
          <w:sz w:val="20"/>
          <w:szCs w:val="20"/>
          <w:lang w:val="es-ES" w:eastAsia="es-ES"/>
        </w:rPr>
        <w:t>señal</w:t>
      </w:r>
      <w:r w:rsidR="00C156B3" w:rsidRPr="00744CE4">
        <w:rPr>
          <w:rFonts w:ascii="Verdana" w:eastAsia="Calibri" w:hAnsi="Verdana" w:cs="Times New Roman"/>
          <w:sz w:val="20"/>
          <w:szCs w:val="20"/>
          <w:lang w:val="es-ES" w:eastAsia="es-ES"/>
        </w:rPr>
        <w:t xml:space="preserve">ó </w:t>
      </w:r>
      <w:r w:rsidRPr="00744CE4">
        <w:rPr>
          <w:rFonts w:ascii="Verdana" w:eastAsia="Calibri" w:hAnsi="Verdana" w:cs="Times New Roman"/>
          <w:sz w:val="20"/>
          <w:szCs w:val="20"/>
          <w:lang w:val="es-ES" w:eastAsia="es-ES"/>
        </w:rPr>
        <w:t>que el acceso a servicios de salud de los familiares de la</w:t>
      </w:r>
      <w:r w:rsidRPr="00432ABC">
        <w:rPr>
          <w:rFonts w:ascii="Verdana" w:eastAsia="Calibri" w:hAnsi="Verdana" w:cs="Times New Roman"/>
          <w:sz w:val="20"/>
          <w:szCs w:val="20"/>
          <w:lang w:val="es-ES" w:eastAsia="es-ES"/>
        </w:rPr>
        <w:t xml:space="preserve">s personas desaparecidas ya se encuentra a su disposición. </w:t>
      </w:r>
    </w:p>
    <w:p w14:paraId="238CF0C3" w14:textId="68D2F270" w:rsidR="009114A1" w:rsidRPr="00744CE4" w:rsidRDefault="009114A1" w:rsidP="00DB378B">
      <w:pPr>
        <w:widowControl w:val="0"/>
        <w:numPr>
          <w:ilvl w:val="0"/>
          <w:numId w:val="4"/>
        </w:numPr>
        <w:tabs>
          <w:tab w:val="left" w:pos="567"/>
        </w:tabs>
        <w:autoSpaceDE w:val="0"/>
        <w:autoSpaceDN w:val="0"/>
        <w:adjustRightInd w:val="0"/>
        <w:spacing w:before="120" w:after="120" w:line="240" w:lineRule="auto"/>
        <w:ind w:left="0" w:firstLine="0"/>
        <w:jc w:val="both"/>
        <w:textAlignment w:val="baseline"/>
        <w:rPr>
          <w:rFonts w:ascii="Verdana" w:eastAsiaTheme="minorHAnsi" w:hAnsi="Verdana" w:cs="Times New Roman"/>
          <w:sz w:val="20"/>
          <w:szCs w:val="20"/>
          <w:lang w:val="es-CR"/>
        </w:rPr>
      </w:pPr>
      <w:r w:rsidRPr="002C462C">
        <w:rPr>
          <w:rFonts w:ascii="Verdana" w:eastAsia="Calibri" w:hAnsi="Verdana" w:cs="Times New Roman"/>
          <w:sz w:val="20"/>
          <w:szCs w:val="20"/>
          <w:lang w:val="es-ES" w:eastAsia="es-ES"/>
        </w:rPr>
        <w:t xml:space="preserve">La </w:t>
      </w:r>
      <w:r w:rsidRPr="002C462C">
        <w:rPr>
          <w:rFonts w:ascii="Verdana" w:eastAsia="Calibri" w:hAnsi="Verdana" w:cs="Times New Roman"/>
          <w:b/>
          <w:i/>
          <w:sz w:val="20"/>
          <w:szCs w:val="20"/>
          <w:lang w:val="es-ES" w:eastAsia="es-ES"/>
        </w:rPr>
        <w:t xml:space="preserve">Corte </w:t>
      </w:r>
      <w:r w:rsidRPr="00744CE4">
        <w:rPr>
          <w:rFonts w:ascii="Verdana" w:eastAsia="Calibri" w:hAnsi="Verdana" w:cs="Times New Roman"/>
          <w:sz w:val="20"/>
          <w:szCs w:val="20"/>
          <w:lang w:val="es-ES" w:eastAsia="es-ES"/>
        </w:rPr>
        <w:t xml:space="preserve">toma nota de las acciones emprendidas por el Estado y lo exhorta a continuar en esta tarea. No obstante, habiendo constatado </w:t>
      </w:r>
      <w:r w:rsidRPr="00744CE4">
        <w:rPr>
          <w:rFonts w:ascii="Verdana" w:eastAsia="Times" w:hAnsi="Verdana"/>
          <w:sz w:val="20"/>
          <w:szCs w:val="20"/>
          <w:lang w:val="es-CR" w:eastAsia="es-ES"/>
        </w:rPr>
        <w:t>el desgaste físico y emocional producto de los hechos y la búsqueda de justicia y el impacto negativo en la integridad personal de los familiares de las víctimas,</w:t>
      </w:r>
      <w:r w:rsidRPr="00744CE4">
        <w:rPr>
          <w:rFonts w:ascii="Verdana" w:eastAsia="Calibri" w:hAnsi="Verdana" w:cs="Times New Roman"/>
          <w:b/>
          <w:i/>
          <w:sz w:val="20"/>
          <w:szCs w:val="20"/>
          <w:lang w:val="es-ES" w:eastAsia="es-ES"/>
        </w:rPr>
        <w:t xml:space="preserve"> </w:t>
      </w:r>
      <w:r w:rsidRPr="00744CE4">
        <w:rPr>
          <w:rFonts w:ascii="Verdana" w:eastAsia="Calibri" w:hAnsi="Verdana" w:cs="Times New Roman"/>
          <w:sz w:val="20"/>
          <w:szCs w:val="20"/>
          <w:lang w:val="es-ES" w:eastAsia="es-ES"/>
        </w:rPr>
        <w:t xml:space="preserve">estima pertinente que, de ser solicitado por </w:t>
      </w:r>
      <w:r w:rsidR="00C156B3">
        <w:rPr>
          <w:rFonts w:ascii="Verdana" w:eastAsia="Calibri" w:hAnsi="Verdana" w:cs="Times New Roman"/>
          <w:sz w:val="20"/>
          <w:szCs w:val="20"/>
          <w:lang w:val="es-ES" w:eastAsia="es-ES"/>
        </w:rPr>
        <w:t>éstas</w:t>
      </w:r>
      <w:r w:rsidRPr="00744CE4">
        <w:rPr>
          <w:rFonts w:ascii="Verdana" w:eastAsia="Calibri" w:hAnsi="Verdana" w:cs="Times New Roman"/>
          <w:sz w:val="20"/>
          <w:szCs w:val="20"/>
          <w:lang w:val="es-ES" w:eastAsia="es-ES"/>
        </w:rPr>
        <w:t>, se les brinde atención psicológica</w:t>
      </w:r>
      <w:r w:rsidR="00C24C05" w:rsidRPr="00744CE4">
        <w:rPr>
          <w:rFonts w:ascii="Verdana" w:eastAsia="Calibri" w:hAnsi="Verdana" w:cs="Times New Roman"/>
          <w:sz w:val="20"/>
          <w:szCs w:val="20"/>
          <w:lang w:val="es-ES" w:eastAsia="es-ES"/>
        </w:rPr>
        <w:t xml:space="preserve"> y/o psiquiátrica</w:t>
      </w:r>
      <w:r w:rsidRPr="00744CE4">
        <w:rPr>
          <w:rFonts w:ascii="Verdana" w:eastAsia="Calibri" w:hAnsi="Verdana" w:cs="Times New Roman"/>
          <w:sz w:val="20"/>
          <w:szCs w:val="20"/>
          <w:lang w:val="es-ES" w:eastAsia="es-ES"/>
        </w:rPr>
        <w:t xml:space="preserve"> profesional como medida de rehabilitación de las afectaciones psicológicas y emocionales que sufrieron como consecuencia de los hechos del presente caso. Por lo tanto, la Corte dispone la obligación del Estado de brindar, a través de sus instituciones de salud, la atención médica psicológica </w:t>
      </w:r>
      <w:r w:rsidR="00C24C05" w:rsidRPr="00744CE4">
        <w:rPr>
          <w:rFonts w:ascii="Verdana" w:eastAsia="Calibri" w:hAnsi="Verdana" w:cs="Times New Roman"/>
          <w:sz w:val="20"/>
          <w:szCs w:val="20"/>
          <w:lang w:val="es-ES" w:eastAsia="es-ES"/>
        </w:rPr>
        <w:t xml:space="preserve">y/o psiquiátrica </w:t>
      </w:r>
      <w:r w:rsidRPr="00744CE4">
        <w:rPr>
          <w:rFonts w:ascii="Verdana" w:eastAsia="Calibri" w:hAnsi="Verdana" w:cs="Times New Roman"/>
          <w:sz w:val="20"/>
          <w:szCs w:val="20"/>
          <w:lang w:val="es-ES" w:eastAsia="es-ES"/>
        </w:rPr>
        <w:t xml:space="preserve">de manera gratuita e inmediata, por el plazo de cinco años, a las víctimas declaradas como parte lesionada, atendiendo sus necesidades específicas. Asimismo, los tratamientos deberán incluir la provisión de medicamentos y, en su caso, transporte y otros gastos directamente relacionados y estrictamente necesarios. Particularmente, dicho tratamiento </w:t>
      </w:r>
      <w:r w:rsidRPr="00744CE4">
        <w:rPr>
          <w:rFonts w:ascii="Verdana" w:eastAsiaTheme="minorHAnsi" w:hAnsi="Verdana" w:cs="Times New Roman"/>
          <w:sz w:val="20"/>
          <w:szCs w:val="20"/>
          <w:lang w:val="es-CR"/>
        </w:rPr>
        <w:t xml:space="preserve">se deberá brindar, en la medida de las posibilidades, en los centros más cercanos a su lugar de residencia. Las víctimas que soliciten esta medida de reparación, o sus representantes legales, disponen de un plazo de seis meses, contados a partir de la notificación de la presente Sentencia, para dar a conocer al Estado su intención de recibir esta atención psicológica </w:t>
      </w:r>
      <w:r w:rsidR="00C24C05" w:rsidRPr="00744CE4">
        <w:rPr>
          <w:rFonts w:ascii="Verdana" w:eastAsiaTheme="minorHAnsi" w:hAnsi="Verdana" w:cs="Times New Roman"/>
          <w:sz w:val="20"/>
          <w:szCs w:val="20"/>
          <w:lang w:val="es-CR"/>
        </w:rPr>
        <w:t>y/o</w:t>
      </w:r>
      <w:r w:rsidRPr="00744CE4">
        <w:rPr>
          <w:rFonts w:ascii="Verdana" w:eastAsiaTheme="minorHAnsi" w:hAnsi="Verdana" w:cs="Times New Roman"/>
          <w:sz w:val="20"/>
          <w:szCs w:val="20"/>
          <w:lang w:val="es-CR"/>
        </w:rPr>
        <w:t xml:space="preserve"> psiquiátrica. </w:t>
      </w:r>
    </w:p>
    <w:p w14:paraId="3E1968B6" w14:textId="4F8F7E89" w:rsidR="009114A1" w:rsidRPr="00744CE4" w:rsidRDefault="009114A1" w:rsidP="00DB378B">
      <w:pPr>
        <w:widowControl w:val="0"/>
        <w:numPr>
          <w:ilvl w:val="0"/>
          <w:numId w:val="4"/>
        </w:numPr>
        <w:tabs>
          <w:tab w:val="left" w:pos="567"/>
        </w:tabs>
        <w:autoSpaceDE w:val="0"/>
        <w:autoSpaceDN w:val="0"/>
        <w:adjustRightInd w:val="0"/>
        <w:spacing w:before="120" w:after="120" w:line="240" w:lineRule="auto"/>
        <w:ind w:left="0" w:firstLine="0"/>
        <w:jc w:val="both"/>
        <w:textAlignment w:val="baseline"/>
        <w:rPr>
          <w:rFonts w:ascii="Verdana" w:hAnsi="Verdana"/>
          <w:sz w:val="20"/>
          <w:szCs w:val="20"/>
        </w:rPr>
      </w:pPr>
      <w:r w:rsidRPr="00744CE4">
        <w:rPr>
          <w:rFonts w:ascii="Verdana" w:hAnsi="Verdana"/>
          <w:sz w:val="20"/>
          <w:szCs w:val="20"/>
        </w:rPr>
        <w:t xml:space="preserve">En </w:t>
      </w:r>
      <w:r w:rsidRPr="00744CE4">
        <w:rPr>
          <w:rFonts w:ascii="Verdana" w:eastAsia="Calibri" w:hAnsi="Verdana" w:cs="Times New Roman"/>
          <w:sz w:val="20"/>
          <w:szCs w:val="20"/>
          <w:lang w:val="es-ES" w:eastAsia="es-ES"/>
        </w:rPr>
        <w:t>cuanto</w:t>
      </w:r>
      <w:r w:rsidRPr="00744CE4">
        <w:rPr>
          <w:rFonts w:ascii="Verdana" w:hAnsi="Verdana"/>
          <w:sz w:val="20"/>
          <w:szCs w:val="20"/>
        </w:rPr>
        <w:t xml:space="preserve"> a los familiares que se encuentran viviendo fuera de México, la Corte ordena </w:t>
      </w:r>
      <w:r w:rsidR="006C6E14">
        <w:rPr>
          <w:rFonts w:ascii="Verdana" w:hAnsi="Verdana"/>
          <w:sz w:val="20"/>
          <w:szCs w:val="20"/>
        </w:rPr>
        <w:t xml:space="preserve">un monto </w:t>
      </w:r>
      <w:r w:rsidRPr="00744CE4">
        <w:rPr>
          <w:rFonts w:ascii="Verdana" w:hAnsi="Verdana"/>
          <w:sz w:val="20"/>
          <w:szCs w:val="20"/>
        </w:rPr>
        <w:t xml:space="preserve">en equidad </w:t>
      </w:r>
      <w:r w:rsidR="006C6E14">
        <w:rPr>
          <w:rFonts w:ascii="Verdana" w:hAnsi="Verdana"/>
          <w:sz w:val="20"/>
          <w:szCs w:val="20"/>
        </w:rPr>
        <w:t xml:space="preserve">correspondiente a </w:t>
      </w:r>
      <w:r w:rsidRPr="003564A3">
        <w:rPr>
          <w:rFonts w:ascii="Verdana" w:hAnsi="Verdana"/>
          <w:sz w:val="20"/>
          <w:szCs w:val="20"/>
        </w:rPr>
        <w:t>US</w:t>
      </w:r>
      <w:r w:rsidR="006C6E14">
        <w:rPr>
          <w:rFonts w:ascii="Verdana" w:hAnsi="Verdana"/>
          <w:sz w:val="20"/>
          <w:szCs w:val="20"/>
        </w:rPr>
        <w:t>D</w:t>
      </w:r>
      <w:r w:rsidRPr="003564A3">
        <w:rPr>
          <w:rFonts w:ascii="Verdana" w:hAnsi="Verdana"/>
          <w:sz w:val="20"/>
          <w:szCs w:val="20"/>
        </w:rPr>
        <w:t>$ 7</w:t>
      </w:r>
      <w:r w:rsidR="006C6E14">
        <w:rPr>
          <w:rFonts w:ascii="Verdana" w:hAnsi="Verdana"/>
          <w:sz w:val="20"/>
          <w:szCs w:val="20"/>
        </w:rPr>
        <w:t>,</w:t>
      </w:r>
      <w:r w:rsidRPr="003564A3">
        <w:rPr>
          <w:rFonts w:ascii="Verdana" w:hAnsi="Verdana"/>
          <w:sz w:val="20"/>
          <w:szCs w:val="20"/>
        </w:rPr>
        <w:t>000</w:t>
      </w:r>
      <w:r w:rsidRPr="00744CE4">
        <w:rPr>
          <w:rFonts w:ascii="Verdana" w:hAnsi="Verdana"/>
          <w:sz w:val="20"/>
          <w:szCs w:val="20"/>
        </w:rPr>
        <w:t xml:space="preserve"> (siete mil dólares de los Estados Unidos de América) a cada uno de ellos para que puedan cubrir los gastos de atención psicológica o psiquiátrica. Las víctimas que califiquen y soliciten esta medida de reparación, o sus representantes legales, disponen de un plazo de seis meses, contado a partir de la notificación de la presente Sentencia, para dar a conocer al Estado su intención de recibir la atención psicológica o psiquiátrica dentro del país y/o recibir </w:t>
      </w:r>
      <w:r w:rsidR="000F2A48">
        <w:rPr>
          <w:rFonts w:ascii="Verdana" w:hAnsi="Verdana"/>
          <w:sz w:val="20"/>
          <w:szCs w:val="20"/>
        </w:rPr>
        <w:t>dicho</w:t>
      </w:r>
      <w:r w:rsidR="000F2A48" w:rsidRPr="00744CE4">
        <w:rPr>
          <w:rFonts w:ascii="Verdana" w:hAnsi="Verdana"/>
          <w:sz w:val="20"/>
          <w:szCs w:val="20"/>
        </w:rPr>
        <w:t xml:space="preserve"> </w:t>
      </w:r>
      <w:r w:rsidRPr="00744CE4">
        <w:rPr>
          <w:rFonts w:ascii="Verdana" w:hAnsi="Verdana"/>
          <w:sz w:val="20"/>
          <w:szCs w:val="20"/>
        </w:rPr>
        <w:t xml:space="preserve">monto de compensación. </w:t>
      </w:r>
    </w:p>
    <w:p w14:paraId="09F9A998" w14:textId="5237D4F4" w:rsidR="009114A1" w:rsidRPr="00744CE4" w:rsidRDefault="00556FDB">
      <w:pPr>
        <w:pStyle w:val="ListParagraph"/>
        <w:keepNext/>
        <w:keepLines/>
        <w:numPr>
          <w:ilvl w:val="0"/>
          <w:numId w:val="29"/>
        </w:numPr>
        <w:spacing w:before="120" w:after="120" w:line="240" w:lineRule="auto"/>
        <w:contextualSpacing w:val="0"/>
        <w:jc w:val="both"/>
        <w:outlineLvl w:val="1"/>
        <w:rPr>
          <w:rFonts w:ascii="Verdana" w:hAnsi="Verdana" w:cs="Times New Roman"/>
          <w:color w:val="00B0F0"/>
          <w:sz w:val="20"/>
          <w:szCs w:val="20"/>
          <w:lang w:val="es-EC"/>
        </w:rPr>
      </w:pPr>
      <w:bookmarkStart w:id="374" w:name="_Toc526777519"/>
      <w:bookmarkStart w:id="375" w:name="_Toc526783822"/>
      <w:r>
        <w:rPr>
          <w:rFonts w:ascii="Verdana" w:eastAsia="Times New Roman" w:hAnsi="Verdana" w:cs="Times New Roman"/>
          <w:b/>
          <w:bCs/>
          <w:i/>
          <w:sz w:val="20"/>
          <w:szCs w:val="20"/>
          <w:lang w:val="es-ES"/>
        </w:rPr>
        <w:t xml:space="preserve"> </w:t>
      </w:r>
      <w:bookmarkStart w:id="376" w:name="_Toc532995404"/>
      <w:r w:rsidR="009114A1" w:rsidRPr="00744CE4">
        <w:rPr>
          <w:rFonts w:ascii="Verdana" w:eastAsia="Times New Roman" w:hAnsi="Verdana" w:cs="Times New Roman"/>
          <w:b/>
          <w:bCs/>
          <w:i/>
          <w:sz w:val="20"/>
          <w:szCs w:val="20"/>
          <w:lang w:val="es-ES"/>
        </w:rPr>
        <w:t>Medidas de satisfacción</w:t>
      </w:r>
      <w:bookmarkEnd w:id="361"/>
      <w:bookmarkEnd w:id="366"/>
      <w:bookmarkEnd w:id="374"/>
      <w:bookmarkEnd w:id="375"/>
      <w:bookmarkEnd w:id="376"/>
    </w:p>
    <w:p w14:paraId="76B29B33" w14:textId="554332DE" w:rsidR="009114A1" w:rsidRPr="00744CE4" w:rsidRDefault="009114A1" w:rsidP="00DB378B">
      <w:pPr>
        <w:widowControl w:val="0"/>
        <w:numPr>
          <w:ilvl w:val="0"/>
          <w:numId w:val="4"/>
        </w:numPr>
        <w:tabs>
          <w:tab w:val="left" w:pos="567"/>
        </w:tabs>
        <w:autoSpaceDE w:val="0"/>
        <w:autoSpaceDN w:val="0"/>
        <w:adjustRightInd w:val="0"/>
        <w:spacing w:before="120" w:after="120" w:line="240" w:lineRule="auto"/>
        <w:ind w:left="0" w:firstLine="0"/>
        <w:jc w:val="both"/>
        <w:textAlignment w:val="baseline"/>
        <w:rPr>
          <w:rFonts w:ascii="Verdana" w:hAnsi="Verdana"/>
          <w:sz w:val="20"/>
          <w:szCs w:val="20"/>
        </w:rPr>
      </w:pPr>
      <w:r w:rsidRPr="00744CE4">
        <w:rPr>
          <w:rFonts w:ascii="Verdana" w:eastAsia="Times New Roman" w:hAnsi="Verdana" w:cs="Times New Roman"/>
          <w:sz w:val="20"/>
          <w:szCs w:val="20"/>
          <w:lang w:val="es-ES"/>
        </w:rPr>
        <w:t xml:space="preserve">La </w:t>
      </w:r>
      <w:r w:rsidRPr="00744CE4">
        <w:rPr>
          <w:rFonts w:ascii="Verdana" w:eastAsia="Times New Roman" w:hAnsi="Verdana" w:cs="Times New Roman"/>
          <w:b/>
          <w:i/>
          <w:sz w:val="20"/>
          <w:szCs w:val="20"/>
          <w:lang w:val="es-ES"/>
        </w:rPr>
        <w:t>Comisión</w:t>
      </w:r>
      <w:r w:rsidRPr="00744CE4">
        <w:rPr>
          <w:rFonts w:ascii="Verdana" w:hAnsi="Verdana"/>
          <w:sz w:val="20"/>
          <w:szCs w:val="20"/>
        </w:rPr>
        <w:t xml:space="preserve"> </w:t>
      </w:r>
      <w:r w:rsidRPr="00744CE4">
        <w:rPr>
          <w:rFonts w:ascii="Verdana" w:hAnsi="Verdana" w:cs="Times New Roman"/>
          <w:sz w:val="20"/>
          <w:szCs w:val="20"/>
          <w:lang w:val="es-EC"/>
        </w:rPr>
        <w:t>solicitó:</w:t>
      </w:r>
      <w:r w:rsidRPr="00744CE4">
        <w:rPr>
          <w:rFonts w:ascii="Verdana" w:hAnsi="Verdana" w:cs="Times New Roman"/>
          <w:b/>
          <w:i/>
          <w:sz w:val="20"/>
          <w:szCs w:val="20"/>
          <w:lang w:val="es-EC"/>
        </w:rPr>
        <w:t xml:space="preserve"> </w:t>
      </w:r>
      <w:r w:rsidRPr="00744CE4">
        <w:rPr>
          <w:rFonts w:ascii="Verdana" w:hAnsi="Verdana" w:cs="Times New Roman"/>
          <w:sz w:val="20"/>
          <w:szCs w:val="20"/>
          <w:lang w:val="es-EC"/>
        </w:rPr>
        <w:t>i) el establecimiento y difusión de la verdad histórica de los hechos</w:t>
      </w:r>
      <w:r w:rsidR="00C156B3">
        <w:rPr>
          <w:rFonts w:ascii="Verdana" w:hAnsi="Verdana" w:cs="Times New Roman"/>
          <w:sz w:val="20"/>
          <w:szCs w:val="20"/>
          <w:lang w:val="es-EC"/>
        </w:rPr>
        <w:t>, y</w:t>
      </w:r>
      <w:r w:rsidRPr="00744CE4">
        <w:rPr>
          <w:rFonts w:ascii="Verdana" w:hAnsi="Verdana" w:cs="Times New Roman"/>
          <w:sz w:val="20"/>
          <w:szCs w:val="20"/>
          <w:lang w:val="es-EC"/>
        </w:rPr>
        <w:t xml:space="preserve"> ii) un acto público de reconocimiento de responsabilidad. Además, </w:t>
      </w:r>
      <w:r w:rsidRPr="00744CE4">
        <w:rPr>
          <w:rFonts w:ascii="Verdana" w:hAnsi="Verdana"/>
          <w:sz w:val="20"/>
          <w:szCs w:val="20"/>
        </w:rPr>
        <w:t xml:space="preserve">señaló que en el marco de medidas provisionales el Estado ha informado sucesivamente sobre una serie de propuestas y medidas implementadas a favor de algunos miembros de la familia Alvarado que incluyen </w:t>
      </w:r>
      <w:r w:rsidRPr="00744CE4">
        <w:rPr>
          <w:rFonts w:ascii="Verdana" w:hAnsi="Verdana"/>
          <w:sz w:val="20"/>
          <w:szCs w:val="20"/>
        </w:rPr>
        <w:lastRenderedPageBreak/>
        <w:t>“apoyos humanitarios y diversas formas de asistencia total en materia de salud, educación, proyectos productivos. […] y consideró que la misma puede ser evaluada oportunamente al momento de evaluar[las] respecto de eventuales componentes de las reparaciones […]</w:t>
      </w:r>
      <w:r w:rsidR="0040254F">
        <w:rPr>
          <w:rFonts w:ascii="Verdana" w:hAnsi="Verdana"/>
          <w:sz w:val="20"/>
          <w:szCs w:val="20"/>
        </w:rPr>
        <w:t>”</w:t>
      </w:r>
      <w:r w:rsidR="006C6E14">
        <w:rPr>
          <w:rFonts w:ascii="Verdana" w:hAnsi="Verdana"/>
          <w:sz w:val="20"/>
          <w:szCs w:val="20"/>
        </w:rPr>
        <w:t>.</w:t>
      </w:r>
    </w:p>
    <w:p w14:paraId="32A30199" w14:textId="4210993E" w:rsidR="009114A1" w:rsidRPr="00744CE4" w:rsidRDefault="009114A1" w:rsidP="00DB378B">
      <w:pPr>
        <w:widowControl w:val="0"/>
        <w:numPr>
          <w:ilvl w:val="0"/>
          <w:numId w:val="4"/>
        </w:numPr>
        <w:tabs>
          <w:tab w:val="left" w:pos="567"/>
        </w:tabs>
        <w:autoSpaceDE w:val="0"/>
        <w:autoSpaceDN w:val="0"/>
        <w:adjustRightInd w:val="0"/>
        <w:spacing w:before="120" w:after="120" w:line="240" w:lineRule="auto"/>
        <w:ind w:left="0" w:firstLine="0"/>
        <w:jc w:val="both"/>
        <w:textAlignment w:val="baseline"/>
        <w:rPr>
          <w:rFonts w:ascii="Verdana" w:eastAsia="Times New Roman" w:hAnsi="Verdana" w:cs="Times New Roman"/>
          <w:b/>
          <w:sz w:val="20"/>
          <w:szCs w:val="20"/>
          <w:lang w:val="es-ES"/>
        </w:rPr>
      </w:pPr>
      <w:r w:rsidRPr="00744CE4">
        <w:rPr>
          <w:rFonts w:ascii="Verdana" w:eastAsia="Times New Roman" w:hAnsi="Verdana" w:cs="Times New Roman"/>
          <w:sz w:val="20"/>
          <w:szCs w:val="20"/>
          <w:lang w:val="es-ES"/>
        </w:rPr>
        <w:t xml:space="preserve">Las </w:t>
      </w:r>
      <w:r w:rsidRPr="00744CE4">
        <w:rPr>
          <w:rFonts w:ascii="Verdana" w:eastAsia="Times New Roman" w:hAnsi="Verdana" w:cs="Times New Roman"/>
          <w:b/>
          <w:i/>
          <w:sz w:val="20"/>
          <w:szCs w:val="20"/>
          <w:lang w:val="es-ES"/>
        </w:rPr>
        <w:t>Representantes</w:t>
      </w:r>
      <w:r w:rsidRPr="00744CE4">
        <w:rPr>
          <w:rFonts w:ascii="Verdana" w:eastAsia="Times New Roman" w:hAnsi="Verdana" w:cs="Times New Roman"/>
          <w:sz w:val="20"/>
          <w:szCs w:val="20"/>
          <w:lang w:val="es-ES"/>
        </w:rPr>
        <w:t>, como medidas de satisfacción, entre otras, solicitaron: i) un acto público de reconocimiento de responsabilidad internacional y desagravio para las víctimas, el cual incluya una disculpa pública que debe ser dada por el titular del Poder Ejecutivo Federal de la República, así como de representantes del Poder Legislativo Federal y del Poder Judicial de la Federación; ii) publicación de la Sentencia en el Diario Oficial de la Federa</w:t>
      </w:r>
      <w:r w:rsidR="00375E37">
        <w:rPr>
          <w:rFonts w:ascii="Verdana" w:eastAsia="Times New Roman" w:hAnsi="Verdana" w:cs="Times New Roman"/>
          <w:sz w:val="20"/>
          <w:szCs w:val="20"/>
          <w:lang w:val="es-ES"/>
        </w:rPr>
        <w:t>ción</w:t>
      </w:r>
      <w:r w:rsidRPr="00744CE4">
        <w:rPr>
          <w:rFonts w:ascii="Verdana" w:eastAsia="Times New Roman" w:hAnsi="Verdana" w:cs="Times New Roman"/>
          <w:sz w:val="20"/>
          <w:szCs w:val="20"/>
          <w:lang w:val="es-ES"/>
        </w:rPr>
        <w:t>, en un medio de difusión al interior de las Fuerzas Armadas (especialmente de la Secretaría de la Defensa Nacional), un periódico de circulación nacional y otro de circulación en el Municipio de Buenaventura; iii) que el Estado asuma las consecuencias de la violación al proyecto de vida de las víctimas, así como adopción de becas para que varias de las víctimas puedan continuar sus estudios hasta los universitarios en escuelas reconocidas</w:t>
      </w:r>
      <w:r w:rsidR="000F2A48">
        <w:rPr>
          <w:rFonts w:ascii="Verdana" w:eastAsia="Times New Roman" w:hAnsi="Verdana" w:cs="Times New Roman"/>
          <w:sz w:val="20"/>
          <w:szCs w:val="20"/>
          <w:lang w:val="es-ES"/>
        </w:rPr>
        <w:t>.</w:t>
      </w:r>
    </w:p>
    <w:p w14:paraId="205EE966" w14:textId="4E50FE50" w:rsidR="009114A1" w:rsidRPr="00744CE4" w:rsidRDefault="009114A1" w:rsidP="00DB378B">
      <w:pPr>
        <w:widowControl w:val="0"/>
        <w:numPr>
          <w:ilvl w:val="0"/>
          <w:numId w:val="4"/>
        </w:numPr>
        <w:tabs>
          <w:tab w:val="left" w:pos="567"/>
        </w:tabs>
        <w:autoSpaceDE w:val="0"/>
        <w:autoSpaceDN w:val="0"/>
        <w:adjustRightInd w:val="0"/>
        <w:spacing w:before="120" w:after="120" w:line="240" w:lineRule="auto"/>
        <w:ind w:left="0" w:firstLine="0"/>
        <w:jc w:val="both"/>
        <w:textAlignment w:val="baseline"/>
        <w:rPr>
          <w:rFonts w:ascii="Verdana" w:eastAsia="Times New Roman" w:hAnsi="Verdana" w:cs="Times New Roman"/>
          <w:b/>
          <w:sz w:val="20"/>
          <w:szCs w:val="20"/>
          <w:lang w:val="es-ES"/>
        </w:rPr>
      </w:pPr>
      <w:r w:rsidRPr="00744CE4">
        <w:rPr>
          <w:rFonts w:ascii="Verdana" w:eastAsia="Times New Roman" w:hAnsi="Verdana" w:cs="Times New Roman"/>
          <w:sz w:val="20"/>
          <w:szCs w:val="20"/>
          <w:lang w:val="es-ES"/>
        </w:rPr>
        <w:t xml:space="preserve">Por su parte, el </w:t>
      </w:r>
      <w:r w:rsidRPr="00744CE4">
        <w:rPr>
          <w:rFonts w:ascii="Verdana" w:eastAsia="Times New Roman" w:hAnsi="Verdana" w:cs="Times New Roman"/>
          <w:b/>
          <w:i/>
          <w:sz w:val="20"/>
          <w:szCs w:val="20"/>
          <w:lang w:val="es-ES"/>
        </w:rPr>
        <w:t>Estado</w:t>
      </w:r>
      <w:r w:rsidRPr="00744CE4">
        <w:rPr>
          <w:rFonts w:ascii="Verdana" w:eastAsia="Times New Roman" w:hAnsi="Verdana" w:cs="Times New Roman"/>
          <w:sz w:val="20"/>
          <w:szCs w:val="20"/>
          <w:lang w:val="es-ES"/>
        </w:rPr>
        <w:t xml:space="preserve"> destacó que la Corte ha establecido que las reparaciones deben tener un nexo causal. </w:t>
      </w:r>
      <w:r w:rsidRPr="00744CE4">
        <w:rPr>
          <w:rFonts w:ascii="Verdana" w:eastAsia="Calibri" w:hAnsi="Verdana" w:cs="Times New Roman"/>
          <w:sz w:val="20"/>
          <w:szCs w:val="20"/>
          <w:lang w:val="es-ES" w:eastAsia="es-ES"/>
        </w:rPr>
        <w:t xml:space="preserve">En este sentido señaló que: i) la Corte ha considerado no pertinente ordenar el acto de reconocimiento público de responsabilidad, resaltando que la Sentencia </w:t>
      </w:r>
      <w:r w:rsidRPr="00744CE4">
        <w:rPr>
          <w:rFonts w:ascii="Verdana" w:eastAsia="Calibri" w:hAnsi="Verdana" w:cs="Times New Roman"/>
          <w:i/>
          <w:sz w:val="20"/>
          <w:szCs w:val="20"/>
          <w:lang w:val="es-ES" w:eastAsia="es-ES"/>
        </w:rPr>
        <w:t xml:space="preserve">per se </w:t>
      </w:r>
      <w:r w:rsidRPr="00744CE4">
        <w:rPr>
          <w:rFonts w:ascii="Verdana" w:eastAsia="Calibri" w:hAnsi="Verdana" w:cs="Times New Roman"/>
          <w:sz w:val="20"/>
          <w:szCs w:val="20"/>
          <w:lang w:val="es-ES" w:eastAsia="es-ES"/>
        </w:rPr>
        <w:t>es una forma de reparación suficiente y adecuada; también, destacó, que en los casos en que se lleva a cabo una disculpa pública, es el Estado el que debe designar a los funcionarios encargados de aquélla; ii) en cuanto a la publicación de la Sentencia, señaló que, en caso de que sea declarada su responsabilidad, esta sea publicada en la página de la Secretaría de Relaciones Exteriores y prop</w:t>
      </w:r>
      <w:r w:rsidR="00442DAD">
        <w:rPr>
          <w:rFonts w:ascii="Verdana" w:eastAsia="Calibri" w:hAnsi="Verdana" w:cs="Times New Roman"/>
          <w:sz w:val="20"/>
          <w:szCs w:val="20"/>
          <w:lang w:val="es-ES" w:eastAsia="es-ES"/>
        </w:rPr>
        <w:t>uso</w:t>
      </w:r>
      <w:r w:rsidRPr="00744CE4">
        <w:rPr>
          <w:rFonts w:ascii="Verdana" w:eastAsia="Calibri" w:hAnsi="Verdana" w:cs="Times New Roman"/>
          <w:sz w:val="20"/>
          <w:szCs w:val="20"/>
          <w:lang w:val="es-ES" w:eastAsia="es-ES"/>
        </w:rPr>
        <w:t xml:space="preserve"> que </w:t>
      </w:r>
      <w:r w:rsidR="00442DAD">
        <w:rPr>
          <w:rFonts w:ascii="Verdana" w:eastAsia="Calibri" w:hAnsi="Verdana" w:cs="Times New Roman"/>
          <w:sz w:val="20"/>
          <w:szCs w:val="20"/>
          <w:lang w:val="es-ES" w:eastAsia="es-ES"/>
        </w:rPr>
        <w:t>fuese</w:t>
      </w:r>
      <w:r w:rsidR="00442DAD" w:rsidRPr="00744CE4">
        <w:rPr>
          <w:rFonts w:ascii="Verdana" w:eastAsia="Calibri" w:hAnsi="Verdana" w:cs="Times New Roman"/>
          <w:sz w:val="20"/>
          <w:szCs w:val="20"/>
          <w:lang w:val="es-ES" w:eastAsia="es-ES"/>
        </w:rPr>
        <w:t xml:space="preserve"> </w:t>
      </w:r>
      <w:r w:rsidRPr="00744CE4">
        <w:rPr>
          <w:rFonts w:ascii="Verdana" w:eastAsia="Calibri" w:hAnsi="Verdana" w:cs="Times New Roman"/>
          <w:sz w:val="20"/>
          <w:szCs w:val="20"/>
          <w:lang w:val="es-ES" w:eastAsia="es-ES"/>
        </w:rPr>
        <w:t>realizada en una ocasión en el Semanario Judicial de la Federación y el Diario Oficial de la Federación</w:t>
      </w:r>
      <w:r w:rsidRPr="008D0846">
        <w:rPr>
          <w:rFonts w:ascii="Verdana" w:eastAsia="Calibri" w:hAnsi="Verdana" w:cs="Times New Roman"/>
          <w:sz w:val="20"/>
          <w:szCs w:val="20"/>
          <w:lang w:val="es-ES" w:eastAsia="es-ES"/>
        </w:rPr>
        <w:t>;</w:t>
      </w:r>
      <w:r w:rsidRPr="00744CE4">
        <w:rPr>
          <w:rFonts w:ascii="Verdana" w:eastAsia="Calibri" w:hAnsi="Verdana" w:cs="Times New Roman"/>
          <w:sz w:val="20"/>
          <w:szCs w:val="20"/>
          <w:lang w:val="es-ES" w:eastAsia="es-ES"/>
        </w:rPr>
        <w:t xml:space="preserve"> iii) en cuanto al daño a los proyectos de vida, becas y atención médica, resaltó que el Estado ya cuenta con un sistema para proporcionar a los familiares de las personas desaparecidas ayudas educativas y acceso a la salud y actualmente ya ha entregado dos proyectos económicos para atender los daños a su proyecto de vida, razón por la cual, esta medida ya está siendo implementada por el Estado</w:t>
      </w:r>
      <w:r w:rsidRPr="00744CE4">
        <w:rPr>
          <w:rStyle w:val="FootnoteReference"/>
          <w:rFonts w:ascii="Verdana" w:eastAsia="Calibri" w:hAnsi="Verdana"/>
          <w:sz w:val="20"/>
          <w:szCs w:val="20"/>
          <w:lang w:val="es-ES" w:eastAsia="es-ES"/>
        </w:rPr>
        <w:footnoteReference w:id="540"/>
      </w:r>
      <w:r w:rsidR="000F2A48">
        <w:rPr>
          <w:rFonts w:ascii="Verdana" w:eastAsia="Calibri" w:hAnsi="Verdana" w:cs="Times New Roman"/>
          <w:sz w:val="20"/>
          <w:szCs w:val="20"/>
          <w:lang w:val="es-ES" w:eastAsia="es-ES"/>
        </w:rPr>
        <w:t>.</w:t>
      </w:r>
    </w:p>
    <w:p w14:paraId="71B333C1" w14:textId="4B97AAE6" w:rsidR="009114A1" w:rsidRPr="00744CE4" w:rsidRDefault="00E34BFF" w:rsidP="008D0846">
      <w:pPr>
        <w:pStyle w:val="Heading3"/>
        <w:numPr>
          <w:ilvl w:val="0"/>
          <w:numId w:val="68"/>
        </w:numPr>
        <w:spacing w:before="120" w:after="120"/>
        <w:ind w:left="2268" w:hanging="426"/>
        <w:contextualSpacing w:val="0"/>
        <w:rPr>
          <w:b w:val="0"/>
        </w:rPr>
      </w:pPr>
      <w:bookmarkStart w:id="377" w:name="_Toc526783823"/>
      <w:r>
        <w:rPr>
          <w:b w:val="0"/>
        </w:rPr>
        <w:t xml:space="preserve"> </w:t>
      </w:r>
      <w:bookmarkStart w:id="378" w:name="_Toc532995405"/>
      <w:r w:rsidR="009114A1" w:rsidRPr="00744CE4">
        <w:rPr>
          <w:b w:val="0"/>
        </w:rPr>
        <w:t>Acto público de reconocimiento de responsabilidad internacional</w:t>
      </w:r>
      <w:bookmarkEnd w:id="377"/>
      <w:bookmarkEnd w:id="378"/>
      <w:r w:rsidR="009114A1" w:rsidRPr="00744CE4">
        <w:rPr>
          <w:b w:val="0"/>
        </w:rPr>
        <w:t xml:space="preserve"> </w:t>
      </w:r>
    </w:p>
    <w:p w14:paraId="4EA21F9B" w14:textId="713B7760" w:rsidR="009114A1" w:rsidRPr="002C462C" w:rsidRDefault="009114A1" w:rsidP="00DB378B">
      <w:pPr>
        <w:widowControl w:val="0"/>
        <w:numPr>
          <w:ilvl w:val="0"/>
          <w:numId w:val="4"/>
        </w:numPr>
        <w:tabs>
          <w:tab w:val="left" w:pos="567"/>
        </w:tabs>
        <w:autoSpaceDE w:val="0"/>
        <w:autoSpaceDN w:val="0"/>
        <w:adjustRightInd w:val="0"/>
        <w:spacing w:before="120" w:after="120" w:line="240" w:lineRule="auto"/>
        <w:ind w:left="0" w:firstLine="0"/>
        <w:jc w:val="both"/>
        <w:textAlignment w:val="baseline"/>
        <w:rPr>
          <w:rFonts w:ascii="Verdana" w:eastAsia="Times New Roman" w:hAnsi="Verdana" w:cs="Times New Roman"/>
          <w:b/>
          <w:sz w:val="20"/>
          <w:szCs w:val="20"/>
          <w:lang w:val="es-ES"/>
        </w:rPr>
      </w:pPr>
      <w:r w:rsidRPr="00744CE4">
        <w:rPr>
          <w:rFonts w:ascii="Verdana" w:hAnsi="Verdana" w:cs="Times New Roman"/>
          <w:spacing w:val="-2"/>
          <w:sz w:val="20"/>
          <w:szCs w:val="20"/>
          <w:lang w:val="es-ES"/>
        </w:rPr>
        <w:t xml:space="preserve">La </w:t>
      </w:r>
      <w:r w:rsidRPr="00C96C12">
        <w:rPr>
          <w:rFonts w:ascii="Verdana" w:hAnsi="Verdana" w:cs="Times New Roman"/>
          <w:b/>
          <w:i/>
          <w:spacing w:val="-2"/>
          <w:sz w:val="20"/>
          <w:szCs w:val="20"/>
          <w:lang w:val="es-ES"/>
        </w:rPr>
        <w:t>Corte</w:t>
      </w:r>
      <w:r w:rsidRPr="00744CE4">
        <w:rPr>
          <w:rFonts w:ascii="Verdana" w:hAnsi="Verdana" w:cs="Times New Roman"/>
          <w:b/>
          <w:i/>
          <w:spacing w:val="-2"/>
          <w:sz w:val="20"/>
          <w:szCs w:val="20"/>
          <w:lang w:val="es-ES"/>
        </w:rPr>
        <w:t xml:space="preserve"> </w:t>
      </w:r>
      <w:r w:rsidRPr="00432ABC">
        <w:rPr>
          <w:rFonts w:ascii="Verdana" w:hAnsi="Verdana" w:cs="Times New Roman"/>
          <w:spacing w:val="-2"/>
          <w:sz w:val="20"/>
          <w:szCs w:val="20"/>
          <w:lang w:val="es-ES"/>
        </w:rPr>
        <w:t xml:space="preserve">dispone, </w:t>
      </w:r>
      <w:r w:rsidRPr="00432ABC">
        <w:rPr>
          <w:rFonts w:ascii="Verdana" w:hAnsi="Verdana" w:cs="Times New Roman"/>
          <w:spacing w:val="-2"/>
          <w:sz w:val="20"/>
          <w:szCs w:val="20"/>
          <w:lang w:val="es-CR"/>
        </w:rPr>
        <w:t>como lo ha hecho en casos</w:t>
      </w:r>
      <w:r w:rsidR="00AF174E">
        <w:rPr>
          <w:rFonts w:ascii="Verdana" w:hAnsi="Verdana" w:cs="Times New Roman"/>
          <w:spacing w:val="-2"/>
          <w:sz w:val="20"/>
          <w:szCs w:val="20"/>
          <w:lang w:val="es-CR"/>
        </w:rPr>
        <w:t xml:space="preserve"> anteriores</w:t>
      </w:r>
      <w:r w:rsidRPr="00744CE4">
        <w:rPr>
          <w:rFonts w:ascii="Verdana" w:hAnsi="Verdana" w:cs="Times New Roman"/>
          <w:sz w:val="20"/>
          <w:szCs w:val="20"/>
          <w:vertAlign w:val="superscript"/>
        </w:rPr>
        <w:footnoteReference w:id="541"/>
      </w:r>
      <w:r w:rsidRPr="00744CE4">
        <w:rPr>
          <w:rFonts w:ascii="Verdana" w:hAnsi="Verdana" w:cs="Times New Roman"/>
          <w:spacing w:val="-2"/>
          <w:sz w:val="20"/>
          <w:szCs w:val="20"/>
          <w:lang w:val="es-CR"/>
        </w:rPr>
        <w:t>, y particularmente en casos de graves violaciones a derechos humanos, que el Estado deberá realizar un acto público de reconocimiento de responsabilidad internacional en México, en el cual deberá hacer referencia a las violaciones de derechos humanos declaradas en la presente Sentenci</w:t>
      </w:r>
      <w:r w:rsidRPr="00432ABC">
        <w:rPr>
          <w:rFonts w:ascii="Verdana" w:hAnsi="Verdana" w:cs="Times New Roman"/>
          <w:spacing w:val="-2"/>
          <w:sz w:val="20"/>
          <w:szCs w:val="20"/>
          <w:lang w:val="es-CR"/>
        </w:rPr>
        <w:t>a. Este acto deberá llevarse a cabo mediante una ceremonia pública en presencia de altos funcionarios del Estado, incluyendo de la Secretaría de la Defensa Nacional, Secretaría de Seguridad Pública</w:t>
      </w:r>
      <w:r w:rsidR="00291637">
        <w:rPr>
          <w:rFonts w:ascii="Verdana" w:hAnsi="Verdana" w:cs="Times New Roman"/>
          <w:spacing w:val="-2"/>
          <w:sz w:val="20"/>
          <w:szCs w:val="20"/>
          <w:lang w:val="es-CR"/>
        </w:rPr>
        <w:t xml:space="preserve"> y Protección Ciudadana</w:t>
      </w:r>
      <w:r w:rsidRPr="00432ABC">
        <w:rPr>
          <w:rFonts w:ascii="Verdana" w:hAnsi="Verdana" w:cs="Times New Roman"/>
          <w:spacing w:val="-2"/>
          <w:sz w:val="20"/>
          <w:szCs w:val="20"/>
          <w:lang w:val="es-CR"/>
        </w:rPr>
        <w:t xml:space="preserve"> y del Gobierno de Chihuahua; así como con la participación de las víctimas de este caso. El Estado deberá acordar con las víctimas o sus representantes la modalidad de cumplimiento del acto público de reconocimiento, así como las particularidades que se requieran, tales como el lugar y la fecha para su realización. Para ello, el Estado cuenta con el plazo de un año, contado a partir de la notificación de la presente Sentencia.</w:t>
      </w:r>
    </w:p>
    <w:p w14:paraId="64CB6D84" w14:textId="398E48A7" w:rsidR="009114A1" w:rsidRPr="00744CE4" w:rsidRDefault="00A81849" w:rsidP="008D0846">
      <w:pPr>
        <w:pStyle w:val="Heading3"/>
        <w:numPr>
          <w:ilvl w:val="0"/>
          <w:numId w:val="68"/>
        </w:numPr>
        <w:spacing w:before="120" w:after="120"/>
        <w:ind w:left="2268" w:hanging="426"/>
        <w:contextualSpacing w:val="0"/>
        <w:rPr>
          <w:b w:val="0"/>
          <w:lang w:val="es-ES"/>
        </w:rPr>
      </w:pPr>
      <w:r w:rsidRPr="002C462C">
        <w:rPr>
          <w:lang w:val="es-ES"/>
        </w:rPr>
        <w:t xml:space="preserve"> </w:t>
      </w:r>
      <w:bookmarkStart w:id="379" w:name="_Toc526783824"/>
      <w:bookmarkStart w:id="380" w:name="_Toc532995406"/>
      <w:r w:rsidR="009114A1" w:rsidRPr="00744CE4">
        <w:rPr>
          <w:b w:val="0"/>
          <w:lang w:val="es-ES"/>
        </w:rPr>
        <w:t>Publicación y difusión de la Sentencia</w:t>
      </w:r>
      <w:bookmarkEnd w:id="379"/>
      <w:bookmarkEnd w:id="380"/>
    </w:p>
    <w:p w14:paraId="77536A6D" w14:textId="1BBBFCF7" w:rsidR="009114A1" w:rsidRPr="00744CE4" w:rsidRDefault="009114A1" w:rsidP="00DB378B">
      <w:pPr>
        <w:widowControl w:val="0"/>
        <w:numPr>
          <w:ilvl w:val="0"/>
          <w:numId w:val="4"/>
        </w:numPr>
        <w:tabs>
          <w:tab w:val="left" w:pos="567"/>
        </w:tabs>
        <w:autoSpaceDE w:val="0"/>
        <w:autoSpaceDN w:val="0"/>
        <w:adjustRightInd w:val="0"/>
        <w:spacing w:before="120" w:after="120" w:line="240" w:lineRule="auto"/>
        <w:ind w:left="0" w:firstLine="0"/>
        <w:jc w:val="both"/>
        <w:textAlignment w:val="baseline"/>
        <w:rPr>
          <w:rFonts w:ascii="Verdana" w:hAnsi="Verdana" w:cs="Times New Roman"/>
          <w:sz w:val="20"/>
          <w:szCs w:val="20"/>
          <w:lang w:val="es-ES"/>
        </w:rPr>
      </w:pPr>
      <w:r w:rsidRPr="00744CE4">
        <w:rPr>
          <w:rFonts w:ascii="Verdana" w:hAnsi="Verdana" w:cs="Times New Roman"/>
          <w:spacing w:val="-2"/>
          <w:sz w:val="20"/>
          <w:szCs w:val="20"/>
          <w:lang w:val="es-CR"/>
        </w:rPr>
        <w:lastRenderedPageBreak/>
        <w:t xml:space="preserve">La </w:t>
      </w:r>
      <w:r w:rsidR="0095417D" w:rsidRPr="00C96C12">
        <w:rPr>
          <w:rFonts w:ascii="Verdana" w:hAnsi="Verdana" w:cs="Times New Roman"/>
          <w:b/>
          <w:i/>
          <w:spacing w:val="-2"/>
          <w:sz w:val="20"/>
          <w:szCs w:val="20"/>
          <w:lang w:val="es-CR"/>
        </w:rPr>
        <w:t>Cor</w:t>
      </w:r>
      <w:r w:rsidRPr="00C96C12">
        <w:rPr>
          <w:rFonts w:ascii="Verdana" w:hAnsi="Verdana" w:cs="Times New Roman"/>
          <w:b/>
          <w:i/>
          <w:spacing w:val="-2"/>
          <w:sz w:val="20"/>
          <w:szCs w:val="20"/>
          <w:lang w:val="es-CR"/>
        </w:rPr>
        <w:t>te</w:t>
      </w:r>
      <w:r w:rsidRPr="00744CE4">
        <w:rPr>
          <w:rFonts w:ascii="Verdana" w:hAnsi="Verdana" w:cs="Times New Roman"/>
          <w:spacing w:val="-2"/>
          <w:sz w:val="20"/>
          <w:szCs w:val="20"/>
          <w:lang w:val="es-CR"/>
        </w:rPr>
        <w:t xml:space="preserve"> estima, como lo ha dispuesto en otros casos</w:t>
      </w:r>
      <w:r w:rsidRPr="00744CE4">
        <w:rPr>
          <w:rStyle w:val="FootnoteReference"/>
          <w:rFonts w:ascii="Verdana" w:hAnsi="Verdana"/>
          <w:spacing w:val="-2"/>
          <w:sz w:val="20"/>
          <w:szCs w:val="20"/>
        </w:rPr>
        <w:footnoteReference w:id="542"/>
      </w:r>
      <w:r w:rsidRPr="00744CE4">
        <w:rPr>
          <w:rFonts w:ascii="Verdana" w:hAnsi="Verdana" w:cs="Times New Roman"/>
          <w:spacing w:val="-2"/>
          <w:sz w:val="20"/>
          <w:szCs w:val="20"/>
          <w:lang w:val="es-CR"/>
        </w:rPr>
        <w:t xml:space="preserve">, que el Estado deberá publicar en el plazo de seis meses, contado a partir de la notificación de la presente Sentencia: a) el resumen oficial de esta Sentencia elaborado por la Corte, por una sola vez, en el Diario Oficial de la Federación, </w:t>
      </w:r>
      <w:r w:rsidRPr="00744CE4">
        <w:rPr>
          <w:rFonts w:ascii="Verdana" w:eastAsia="Times New Roman" w:hAnsi="Verdana" w:cs="Times New Roman"/>
          <w:sz w:val="20"/>
          <w:szCs w:val="20"/>
          <w:lang w:val="es-ES"/>
        </w:rPr>
        <w:t>en el Semanario Judicial de la Federación</w:t>
      </w:r>
      <w:r w:rsidRPr="00744CE4">
        <w:rPr>
          <w:rFonts w:ascii="Verdana" w:hAnsi="Verdana" w:cs="Times New Roman"/>
          <w:spacing w:val="-2"/>
          <w:sz w:val="20"/>
          <w:szCs w:val="20"/>
          <w:lang w:val="es-CR"/>
        </w:rPr>
        <w:t xml:space="preserve"> </w:t>
      </w:r>
      <w:r w:rsidRPr="00432ABC">
        <w:rPr>
          <w:rFonts w:ascii="Verdana" w:hAnsi="Verdana" w:cs="Times New Roman"/>
          <w:spacing w:val="-2"/>
          <w:sz w:val="20"/>
          <w:szCs w:val="20"/>
          <w:lang w:val="es-CR"/>
        </w:rPr>
        <w:t xml:space="preserve">y, en un diario de amplia circulación nacional y en un tamaño de letra legible y adecuado, y b) la presente Sentencia en su integridad, disponible, por un período de un año, en  la página de la Secretaría de Relaciones Exteriores, en la página de la Secretaría de la Defensa Nacional, </w:t>
      </w:r>
      <w:r w:rsidR="00291637" w:rsidRPr="00432ABC">
        <w:rPr>
          <w:rFonts w:ascii="Verdana" w:hAnsi="Verdana" w:cs="Times New Roman"/>
          <w:spacing w:val="-2"/>
          <w:sz w:val="20"/>
          <w:szCs w:val="20"/>
          <w:lang w:val="es-CR"/>
        </w:rPr>
        <w:t>Secretaría de Seguridad Pública</w:t>
      </w:r>
      <w:r w:rsidR="00291637">
        <w:rPr>
          <w:rFonts w:ascii="Verdana" w:hAnsi="Verdana" w:cs="Times New Roman"/>
          <w:spacing w:val="-2"/>
          <w:sz w:val="20"/>
          <w:szCs w:val="20"/>
          <w:lang w:val="es-CR"/>
        </w:rPr>
        <w:t xml:space="preserve"> y Protección Ciudadana</w:t>
      </w:r>
      <w:r w:rsidRPr="00432ABC">
        <w:rPr>
          <w:rFonts w:ascii="Verdana" w:hAnsi="Verdana" w:cs="Times New Roman"/>
          <w:spacing w:val="-2"/>
          <w:sz w:val="20"/>
          <w:szCs w:val="20"/>
          <w:lang w:val="es-CR"/>
        </w:rPr>
        <w:t xml:space="preserve"> y del Gobierno de Chihuahua. </w:t>
      </w:r>
      <w:r w:rsidRPr="002C462C">
        <w:rPr>
          <w:rFonts w:ascii="Verdana" w:hAnsi="Verdana" w:cs="Times New Roman"/>
          <w:sz w:val="20"/>
          <w:szCs w:val="20"/>
          <w:lang w:val="es-ES"/>
        </w:rPr>
        <w:t xml:space="preserve">El Estado deberá informar de forma inmediata a esta Corte una vez que proceda a realizar cada una de las publicaciones dispuestas, independientemente del plazo de un año para presentar su primer informe dispuesto en el </w:t>
      </w:r>
      <w:r w:rsidRPr="00357EFC">
        <w:rPr>
          <w:rFonts w:ascii="Verdana" w:hAnsi="Verdana" w:cs="Times New Roman"/>
          <w:sz w:val="20"/>
          <w:szCs w:val="20"/>
          <w:lang w:val="es-ES"/>
        </w:rPr>
        <w:t xml:space="preserve">punto resolutivo </w:t>
      </w:r>
      <w:r w:rsidR="00357EFC">
        <w:rPr>
          <w:rFonts w:ascii="Verdana" w:hAnsi="Verdana" w:cs="Times New Roman"/>
          <w:sz w:val="20"/>
          <w:szCs w:val="20"/>
          <w:lang w:val="es-ES"/>
        </w:rPr>
        <w:t>22</w:t>
      </w:r>
      <w:r w:rsidRPr="00744CE4">
        <w:rPr>
          <w:rFonts w:ascii="Verdana" w:hAnsi="Verdana" w:cs="Times New Roman"/>
          <w:sz w:val="20"/>
          <w:szCs w:val="20"/>
          <w:lang w:val="es-ES"/>
        </w:rPr>
        <w:t xml:space="preserve"> de la Sentencia. </w:t>
      </w:r>
    </w:p>
    <w:p w14:paraId="2CB893A2" w14:textId="495F0B2E" w:rsidR="009114A1" w:rsidRPr="00744CE4" w:rsidRDefault="00DC15D5" w:rsidP="008D0846">
      <w:pPr>
        <w:pStyle w:val="Heading3"/>
        <w:numPr>
          <w:ilvl w:val="0"/>
          <w:numId w:val="68"/>
        </w:numPr>
        <w:spacing w:before="120" w:after="120"/>
        <w:ind w:left="2268" w:hanging="426"/>
        <w:contextualSpacing w:val="0"/>
        <w:rPr>
          <w:b w:val="0"/>
          <w:lang w:val="es-ES"/>
        </w:rPr>
      </w:pPr>
      <w:bookmarkStart w:id="381" w:name="_Toc526783825"/>
      <w:r w:rsidRPr="00744CE4">
        <w:rPr>
          <w:b w:val="0"/>
          <w:lang w:val="es-ES"/>
        </w:rPr>
        <w:t xml:space="preserve"> </w:t>
      </w:r>
      <w:bookmarkStart w:id="382" w:name="_Toc532995407"/>
      <w:r w:rsidR="009114A1" w:rsidRPr="00744CE4">
        <w:rPr>
          <w:b w:val="0"/>
          <w:lang w:val="es-ES"/>
        </w:rPr>
        <w:t>Daño a los proyectos de vida</w:t>
      </w:r>
      <w:bookmarkEnd w:id="381"/>
      <w:bookmarkEnd w:id="382"/>
      <w:r w:rsidR="009114A1" w:rsidRPr="00744CE4">
        <w:rPr>
          <w:b w:val="0"/>
          <w:lang w:val="es-ES"/>
        </w:rPr>
        <w:t xml:space="preserve"> </w:t>
      </w:r>
    </w:p>
    <w:p w14:paraId="064FA013" w14:textId="49A97400" w:rsidR="009114A1" w:rsidRPr="00BD721F" w:rsidRDefault="009114A1" w:rsidP="00DB378B">
      <w:pPr>
        <w:widowControl w:val="0"/>
        <w:numPr>
          <w:ilvl w:val="0"/>
          <w:numId w:val="4"/>
        </w:numPr>
        <w:tabs>
          <w:tab w:val="left" w:pos="567"/>
        </w:tabs>
        <w:autoSpaceDE w:val="0"/>
        <w:autoSpaceDN w:val="0"/>
        <w:adjustRightInd w:val="0"/>
        <w:spacing w:before="120" w:after="120" w:line="240" w:lineRule="auto"/>
        <w:ind w:left="0" w:firstLine="0"/>
        <w:jc w:val="both"/>
        <w:textAlignment w:val="baseline"/>
        <w:rPr>
          <w:rFonts w:ascii="Verdana" w:hAnsi="Verdana" w:cs="Times New Roman"/>
          <w:sz w:val="20"/>
          <w:szCs w:val="20"/>
          <w:lang w:val="es-CR"/>
        </w:rPr>
      </w:pPr>
      <w:r w:rsidRPr="00BD721F">
        <w:rPr>
          <w:rFonts w:ascii="Verdana" w:hAnsi="Verdana" w:cs="Times New Roman"/>
          <w:spacing w:val="-2"/>
          <w:sz w:val="20"/>
          <w:szCs w:val="20"/>
          <w:lang w:val="es-CR"/>
        </w:rPr>
        <w:t>Por</w:t>
      </w:r>
      <w:r w:rsidRPr="00BD721F">
        <w:rPr>
          <w:rFonts w:ascii="Verdana" w:hAnsi="Verdana" w:cs="Times New Roman"/>
          <w:sz w:val="20"/>
          <w:szCs w:val="20"/>
          <w:lang w:val="es-ES"/>
        </w:rPr>
        <w:t xml:space="preserve"> lo que respecta a la reclamación de daño al </w:t>
      </w:r>
      <w:r w:rsidRPr="000565DD">
        <w:rPr>
          <w:rFonts w:ascii="Verdana" w:hAnsi="Verdana" w:cs="Times New Roman"/>
          <w:sz w:val="20"/>
          <w:szCs w:val="20"/>
          <w:lang w:val="es-ES"/>
        </w:rPr>
        <w:t xml:space="preserve">“proyecto de vida”, la </w:t>
      </w:r>
      <w:r w:rsidRPr="00C96C12">
        <w:rPr>
          <w:rFonts w:ascii="Verdana" w:hAnsi="Verdana" w:cs="Times New Roman"/>
          <w:b/>
          <w:i/>
          <w:sz w:val="20"/>
          <w:szCs w:val="20"/>
          <w:lang w:val="es-ES"/>
        </w:rPr>
        <w:t>Corte</w:t>
      </w:r>
      <w:r w:rsidRPr="000565DD">
        <w:rPr>
          <w:rFonts w:ascii="Verdana" w:hAnsi="Verdana" w:cs="Times New Roman"/>
          <w:sz w:val="20"/>
          <w:szCs w:val="20"/>
          <w:lang w:val="es-ES"/>
        </w:rPr>
        <w:t xml:space="preserve"> recuerda su jurisprudencia constante en </w:t>
      </w:r>
      <w:r w:rsidRPr="00BD721F">
        <w:rPr>
          <w:rFonts w:ascii="Verdana" w:hAnsi="Verdana" w:cs="Times New Roman"/>
          <w:sz w:val="20"/>
          <w:szCs w:val="20"/>
          <w:lang w:val="es-CR"/>
        </w:rPr>
        <w:t>que ha especificado que el daño al proyecto de vida corresponde a una noción distinta del lucro cesante y del daño emergente</w:t>
      </w:r>
      <w:r w:rsidRPr="00BD721F">
        <w:rPr>
          <w:rStyle w:val="FootnoteReference"/>
          <w:rFonts w:ascii="Verdana" w:hAnsi="Verdana"/>
          <w:sz w:val="20"/>
          <w:szCs w:val="20"/>
        </w:rPr>
        <w:footnoteReference w:id="543"/>
      </w:r>
      <w:r w:rsidRPr="00BD721F">
        <w:rPr>
          <w:rFonts w:ascii="Verdana" w:hAnsi="Verdana" w:cs="Times New Roman"/>
          <w:sz w:val="20"/>
          <w:szCs w:val="20"/>
          <w:lang w:val="es-CR"/>
        </w:rPr>
        <w:t>. El daño al proyecto de vida, atiende a la realización integral de la persona afectada, considerando su vocación, aptitudes, circunstancias, potencialidades y aspiraciones, que le permiten fijarse razonablemente determinadas expectativas y acceder a ellas</w:t>
      </w:r>
      <w:r w:rsidRPr="00BD721F">
        <w:rPr>
          <w:rStyle w:val="FootnoteReference"/>
          <w:rFonts w:ascii="Verdana" w:hAnsi="Verdana"/>
          <w:sz w:val="20"/>
          <w:szCs w:val="20"/>
        </w:rPr>
        <w:footnoteReference w:id="544"/>
      </w:r>
      <w:r w:rsidRPr="00BD721F">
        <w:rPr>
          <w:rFonts w:ascii="Verdana" w:hAnsi="Verdana" w:cs="Times New Roman"/>
          <w:sz w:val="20"/>
          <w:szCs w:val="20"/>
          <w:lang w:val="es-CR"/>
        </w:rPr>
        <w:t>.  Por tanto, el proyecto de vida se expresa en las expectativas de desarrollo personal, profesional y familiar, posibles en condiciones normales</w:t>
      </w:r>
      <w:r w:rsidRPr="00BD721F">
        <w:rPr>
          <w:rStyle w:val="FootnoteReference"/>
          <w:rFonts w:ascii="Verdana" w:hAnsi="Verdana"/>
          <w:sz w:val="20"/>
          <w:szCs w:val="20"/>
        </w:rPr>
        <w:footnoteReference w:id="545"/>
      </w:r>
      <w:r w:rsidRPr="00BD721F">
        <w:rPr>
          <w:rFonts w:ascii="Verdana" w:hAnsi="Verdana" w:cs="Times New Roman"/>
          <w:sz w:val="20"/>
          <w:szCs w:val="20"/>
          <w:lang w:val="es-CR"/>
        </w:rPr>
        <w:t>. Esta Cor</w:t>
      </w:r>
      <w:r w:rsidR="000A5FEA" w:rsidRPr="00BD721F">
        <w:rPr>
          <w:rFonts w:ascii="Verdana" w:hAnsi="Verdana" w:cs="Times New Roman"/>
          <w:sz w:val="20"/>
          <w:szCs w:val="20"/>
          <w:lang w:val="es-CR"/>
        </w:rPr>
        <w:t>te, también ha señalado que el daño al proyecto de vida</w:t>
      </w:r>
      <w:r w:rsidRPr="00BD721F">
        <w:rPr>
          <w:rFonts w:ascii="Verdana" w:hAnsi="Verdana" w:cs="Times New Roman"/>
          <w:sz w:val="20"/>
          <w:szCs w:val="20"/>
          <w:lang w:val="es-CR"/>
        </w:rPr>
        <w:t xml:space="preserve"> implica la pérdida o el grave menoscabo de oportunidades de desarrollo personal, en forma irreparable o muy difícilmente reparable</w:t>
      </w:r>
      <w:r w:rsidRPr="00BD721F">
        <w:rPr>
          <w:rStyle w:val="FootnoteReference"/>
          <w:rFonts w:ascii="Verdana" w:hAnsi="Verdana"/>
          <w:sz w:val="20"/>
          <w:szCs w:val="20"/>
        </w:rPr>
        <w:footnoteReference w:id="546"/>
      </w:r>
      <w:r w:rsidR="00CA1F1C" w:rsidRPr="00BD721F">
        <w:rPr>
          <w:rFonts w:ascii="Verdana" w:hAnsi="Verdana" w:cs="Times New Roman"/>
          <w:sz w:val="20"/>
          <w:szCs w:val="20"/>
          <w:lang w:val="es-CR"/>
        </w:rPr>
        <w:t>, e</w:t>
      </w:r>
      <w:r w:rsidR="000A5FEA" w:rsidRPr="00BD721F">
        <w:rPr>
          <w:rFonts w:ascii="Verdana" w:hAnsi="Verdana" w:cs="Times New Roman"/>
          <w:sz w:val="20"/>
          <w:szCs w:val="20"/>
          <w:lang w:val="es-CR"/>
        </w:rPr>
        <w:t>n cuyos casos se han acreditado daños que afectan la libertad objetiva de la v</w:t>
      </w:r>
      <w:r w:rsidR="001563AF" w:rsidRPr="00BD721F">
        <w:rPr>
          <w:rFonts w:ascii="Verdana" w:hAnsi="Verdana" w:cs="Times New Roman"/>
          <w:sz w:val="20"/>
          <w:szCs w:val="20"/>
          <w:lang w:val="es-CR"/>
        </w:rPr>
        <w:t>íctima;</w:t>
      </w:r>
      <w:r w:rsidR="000A5FEA" w:rsidRPr="00BD721F">
        <w:rPr>
          <w:rFonts w:ascii="Verdana" w:hAnsi="Verdana" w:cs="Times New Roman"/>
          <w:sz w:val="20"/>
          <w:szCs w:val="20"/>
          <w:lang w:val="es-CR"/>
        </w:rPr>
        <w:t xml:space="preserve"> o </w:t>
      </w:r>
      <w:r w:rsidR="001563AF" w:rsidRPr="00BD721F">
        <w:rPr>
          <w:rFonts w:ascii="Verdana" w:hAnsi="Verdana" w:cs="Times New Roman"/>
          <w:sz w:val="20"/>
          <w:szCs w:val="20"/>
          <w:lang w:val="es-CR"/>
        </w:rPr>
        <w:t>los cuales</w:t>
      </w:r>
      <w:r w:rsidR="000A5FEA" w:rsidRPr="00BD721F">
        <w:rPr>
          <w:rFonts w:ascii="Verdana" w:hAnsi="Verdana" w:cs="Times New Roman"/>
          <w:sz w:val="20"/>
          <w:szCs w:val="20"/>
          <w:lang w:val="es-CR"/>
        </w:rPr>
        <w:t xml:space="preserve"> impidan desarrollar tal proyección, o bien </w:t>
      </w:r>
      <w:r w:rsidR="001563AF" w:rsidRPr="00BD721F">
        <w:rPr>
          <w:rFonts w:ascii="Verdana" w:hAnsi="Verdana" w:cs="Times New Roman"/>
          <w:sz w:val="20"/>
          <w:szCs w:val="20"/>
          <w:lang w:val="es-CR"/>
        </w:rPr>
        <w:t xml:space="preserve">que </w:t>
      </w:r>
      <w:r w:rsidR="000A5FEA" w:rsidRPr="00BD721F">
        <w:rPr>
          <w:rFonts w:ascii="Verdana" w:hAnsi="Verdana" w:cs="Times New Roman"/>
          <w:sz w:val="20"/>
          <w:szCs w:val="20"/>
          <w:lang w:val="es-CR"/>
        </w:rPr>
        <w:t xml:space="preserve">por omisión de un deber no se tenga la posibilidad </w:t>
      </w:r>
      <w:r w:rsidR="001563AF" w:rsidRPr="00BD721F">
        <w:rPr>
          <w:rFonts w:ascii="Verdana" w:hAnsi="Verdana" w:cs="Times New Roman"/>
          <w:sz w:val="20"/>
          <w:szCs w:val="20"/>
          <w:lang w:val="es-CR"/>
        </w:rPr>
        <w:t xml:space="preserve">siquiera </w:t>
      </w:r>
      <w:r w:rsidR="000A5FEA" w:rsidRPr="00BD721F">
        <w:rPr>
          <w:rFonts w:ascii="Verdana" w:hAnsi="Verdana" w:cs="Times New Roman"/>
          <w:sz w:val="20"/>
          <w:szCs w:val="20"/>
          <w:lang w:val="es-CR"/>
        </w:rPr>
        <w:t>de plantear un proyecto</w:t>
      </w:r>
      <w:r w:rsidR="001563AF" w:rsidRPr="00BD721F">
        <w:rPr>
          <w:rFonts w:ascii="Verdana" w:hAnsi="Verdana" w:cs="Times New Roman"/>
          <w:sz w:val="20"/>
          <w:szCs w:val="20"/>
          <w:lang w:val="es-CR"/>
        </w:rPr>
        <w:t xml:space="preserve"> de vida en sí</w:t>
      </w:r>
      <w:r w:rsidR="000A5FEA" w:rsidRPr="00BD721F">
        <w:rPr>
          <w:rFonts w:ascii="Verdana" w:hAnsi="Verdana" w:cs="Times New Roman"/>
          <w:sz w:val="20"/>
          <w:szCs w:val="20"/>
          <w:lang w:val="es-CR"/>
        </w:rPr>
        <w:t xml:space="preserve">. Dichos daños se </w:t>
      </w:r>
      <w:r w:rsidR="001563AF" w:rsidRPr="00BD721F">
        <w:rPr>
          <w:rFonts w:ascii="Verdana" w:hAnsi="Verdana" w:cs="Times New Roman"/>
          <w:sz w:val="20"/>
          <w:szCs w:val="20"/>
          <w:lang w:val="es-CR"/>
        </w:rPr>
        <w:t>han acreditado como ciertos, de gran</w:t>
      </w:r>
      <w:r w:rsidR="000A5FEA" w:rsidRPr="00BD721F">
        <w:rPr>
          <w:rFonts w:ascii="Verdana" w:hAnsi="Verdana" w:cs="Times New Roman"/>
          <w:sz w:val="20"/>
          <w:szCs w:val="20"/>
          <w:lang w:val="es-CR"/>
        </w:rPr>
        <w:t xml:space="preserve"> entidad, autónomos y reparables, </w:t>
      </w:r>
      <w:r w:rsidRPr="00BD721F">
        <w:rPr>
          <w:rFonts w:ascii="Verdana" w:hAnsi="Verdana" w:cs="Times New Roman"/>
          <w:sz w:val="20"/>
          <w:szCs w:val="20"/>
          <w:lang w:val="es-CR"/>
        </w:rPr>
        <w:t xml:space="preserve">por lo que, en casos particulares, </w:t>
      </w:r>
      <w:r w:rsidR="000A5FEA" w:rsidRPr="00BD721F">
        <w:rPr>
          <w:rFonts w:ascii="Verdana" w:hAnsi="Verdana" w:cs="Times New Roman"/>
          <w:sz w:val="20"/>
          <w:szCs w:val="20"/>
          <w:lang w:val="es-CR"/>
        </w:rPr>
        <w:t xml:space="preserve">se </w:t>
      </w:r>
      <w:r w:rsidRPr="00BD721F">
        <w:rPr>
          <w:rFonts w:ascii="Verdana" w:hAnsi="Verdana" w:cs="Times New Roman"/>
          <w:sz w:val="20"/>
          <w:szCs w:val="20"/>
          <w:lang w:val="es-CR"/>
        </w:rPr>
        <w:t>ha</w:t>
      </w:r>
      <w:r w:rsidR="00CA1F1C" w:rsidRPr="008D0846">
        <w:rPr>
          <w:rFonts w:ascii="Verdana" w:hAnsi="Verdana" w:cs="Times New Roman"/>
          <w:sz w:val="20"/>
          <w:szCs w:val="20"/>
          <w:lang w:val="es-CR"/>
        </w:rPr>
        <w:t>n</w:t>
      </w:r>
      <w:r w:rsidRPr="00BD721F">
        <w:rPr>
          <w:rFonts w:ascii="Verdana" w:hAnsi="Verdana" w:cs="Times New Roman"/>
          <w:sz w:val="20"/>
          <w:szCs w:val="20"/>
          <w:lang w:val="es-CR"/>
        </w:rPr>
        <w:t xml:space="preserve"> ordenado</w:t>
      </w:r>
      <w:r w:rsidR="00CA1F1C" w:rsidRPr="008D0846">
        <w:rPr>
          <w:rFonts w:ascii="Verdana" w:hAnsi="Verdana" w:cs="Times New Roman"/>
          <w:sz w:val="20"/>
          <w:szCs w:val="20"/>
          <w:lang w:val="es-CR"/>
        </w:rPr>
        <w:t>,</w:t>
      </w:r>
      <w:r w:rsidRPr="00BD721F">
        <w:rPr>
          <w:rFonts w:ascii="Verdana" w:hAnsi="Verdana" w:cs="Times New Roman"/>
          <w:sz w:val="20"/>
          <w:szCs w:val="20"/>
          <w:lang w:val="es-CR"/>
        </w:rPr>
        <w:t xml:space="preserve"> </w:t>
      </w:r>
      <w:r w:rsidR="00CA1F1C" w:rsidRPr="008D0846">
        <w:rPr>
          <w:rFonts w:ascii="Verdana" w:hAnsi="Verdana" w:cs="Times New Roman"/>
          <w:sz w:val="20"/>
          <w:szCs w:val="20"/>
          <w:lang w:val="es-CR"/>
        </w:rPr>
        <w:t xml:space="preserve">entre otras, </w:t>
      </w:r>
      <w:r w:rsidR="001563AF" w:rsidRPr="00BD721F">
        <w:rPr>
          <w:rFonts w:ascii="Verdana" w:hAnsi="Verdana" w:cs="Times New Roman"/>
          <w:sz w:val="20"/>
          <w:szCs w:val="20"/>
          <w:lang w:val="es-CR"/>
        </w:rPr>
        <w:t>medidas de carácter educativo,</w:t>
      </w:r>
      <w:r w:rsidRPr="00BD721F">
        <w:rPr>
          <w:rStyle w:val="FootnoteReference"/>
          <w:rFonts w:ascii="Verdana" w:hAnsi="Verdana"/>
          <w:sz w:val="20"/>
          <w:szCs w:val="20"/>
          <w:lang w:val="es-CR"/>
        </w:rPr>
        <w:footnoteReference w:id="547"/>
      </w:r>
      <w:r w:rsidRPr="00BD721F">
        <w:rPr>
          <w:rFonts w:ascii="Verdana" w:hAnsi="Verdana" w:cs="Times New Roman"/>
          <w:sz w:val="20"/>
          <w:szCs w:val="20"/>
          <w:lang w:val="es-CR"/>
        </w:rPr>
        <w:t>, así como compensaciones relativa</w:t>
      </w:r>
      <w:r w:rsidR="0095417D" w:rsidRPr="000565DD">
        <w:rPr>
          <w:rFonts w:ascii="Verdana" w:hAnsi="Verdana" w:cs="Times New Roman"/>
          <w:sz w:val="20"/>
          <w:szCs w:val="20"/>
          <w:lang w:val="es-CR"/>
        </w:rPr>
        <w:t>s</w:t>
      </w:r>
      <w:r w:rsidRPr="00C66632">
        <w:rPr>
          <w:rFonts w:ascii="Verdana" w:hAnsi="Verdana" w:cs="Times New Roman"/>
          <w:sz w:val="20"/>
          <w:szCs w:val="20"/>
          <w:lang w:val="es-CR"/>
        </w:rPr>
        <w:t xml:space="preserve"> a este tipo de daño</w:t>
      </w:r>
      <w:r w:rsidRPr="00BD721F">
        <w:rPr>
          <w:rStyle w:val="FootnoteReference"/>
          <w:rFonts w:ascii="Verdana" w:hAnsi="Verdana"/>
          <w:sz w:val="20"/>
          <w:szCs w:val="20"/>
        </w:rPr>
        <w:footnoteReference w:id="548"/>
      </w:r>
      <w:r w:rsidRPr="00BD721F">
        <w:rPr>
          <w:rFonts w:ascii="Verdana" w:hAnsi="Verdana" w:cs="Times New Roman"/>
          <w:sz w:val="20"/>
          <w:szCs w:val="20"/>
          <w:lang w:val="es-CR"/>
        </w:rPr>
        <w:t xml:space="preserve">. </w:t>
      </w:r>
    </w:p>
    <w:p w14:paraId="5D16AC6F" w14:textId="7A7224A6" w:rsidR="009114A1" w:rsidRPr="00744CE4" w:rsidRDefault="009114A1" w:rsidP="00DB378B">
      <w:pPr>
        <w:widowControl w:val="0"/>
        <w:numPr>
          <w:ilvl w:val="0"/>
          <w:numId w:val="4"/>
        </w:numPr>
        <w:tabs>
          <w:tab w:val="left" w:pos="567"/>
        </w:tabs>
        <w:autoSpaceDE w:val="0"/>
        <w:autoSpaceDN w:val="0"/>
        <w:adjustRightInd w:val="0"/>
        <w:spacing w:before="120" w:after="120" w:line="240" w:lineRule="auto"/>
        <w:ind w:left="0" w:firstLine="0"/>
        <w:jc w:val="both"/>
        <w:textAlignment w:val="baseline"/>
        <w:rPr>
          <w:rFonts w:ascii="Verdana" w:hAnsi="Verdana" w:cs="Times New Roman"/>
          <w:sz w:val="20"/>
          <w:szCs w:val="20"/>
          <w:lang w:val="es-CR"/>
        </w:rPr>
      </w:pPr>
      <w:r w:rsidRPr="00744CE4">
        <w:rPr>
          <w:rFonts w:ascii="Verdana" w:hAnsi="Verdana" w:cs="Times New Roman"/>
          <w:sz w:val="20"/>
          <w:szCs w:val="20"/>
          <w:lang w:val="es-CR"/>
        </w:rPr>
        <w:t xml:space="preserve">En la presente Sentencia se acreditaron diversas violaciones en perjuicio de los distintos grupos familiares, particularmente de los derechos reconocidos en los artículos 5, 22 y 17, </w:t>
      </w:r>
      <w:r w:rsidR="001563AF" w:rsidRPr="00432ABC">
        <w:rPr>
          <w:rFonts w:ascii="Verdana" w:hAnsi="Verdana" w:cs="Times New Roman"/>
          <w:sz w:val="20"/>
          <w:szCs w:val="20"/>
          <w:lang w:val="es-CR"/>
        </w:rPr>
        <w:t xml:space="preserve">ocasionado particularmente pérdida de oportunidades y de desarrollo derivadas principalmente del desplazamiento forzado; ello como daño cierto, de gran impacto, adicional a otras afectaciones económicas o psicológicas, y </w:t>
      </w:r>
      <w:r w:rsidR="00F55FBB" w:rsidRPr="00432ABC">
        <w:rPr>
          <w:rFonts w:ascii="Verdana" w:hAnsi="Verdana" w:cs="Times New Roman"/>
          <w:sz w:val="20"/>
          <w:szCs w:val="20"/>
          <w:lang w:val="es-CR"/>
        </w:rPr>
        <w:t xml:space="preserve">éste </w:t>
      </w:r>
      <w:r w:rsidR="001563AF" w:rsidRPr="00432ABC">
        <w:rPr>
          <w:rFonts w:ascii="Verdana" w:hAnsi="Verdana" w:cs="Times New Roman"/>
          <w:sz w:val="20"/>
          <w:szCs w:val="20"/>
          <w:lang w:val="es-CR"/>
        </w:rPr>
        <w:t>cuenta aún con aspectos reparables</w:t>
      </w:r>
      <w:r w:rsidRPr="00432ABC">
        <w:rPr>
          <w:rFonts w:ascii="Verdana" w:hAnsi="Verdana" w:cs="Times New Roman"/>
          <w:sz w:val="20"/>
          <w:szCs w:val="20"/>
          <w:lang w:val="es-CR"/>
        </w:rPr>
        <w:t xml:space="preserve">. En este sentido, la Corte toma nota de los proyectos reportados por el Estado, en particular del </w:t>
      </w:r>
      <w:r w:rsidR="00705E91">
        <w:rPr>
          <w:rFonts w:ascii="Verdana" w:eastAsiaTheme="minorHAnsi" w:hAnsi="Verdana" w:cs="Times New Roman"/>
          <w:sz w:val="20"/>
          <w:szCs w:val="20"/>
          <w:lang w:val="es-CR"/>
        </w:rPr>
        <w:t>f</w:t>
      </w:r>
      <w:r w:rsidRPr="002C462C">
        <w:rPr>
          <w:rFonts w:ascii="Verdana" w:eastAsiaTheme="minorHAnsi" w:hAnsi="Verdana" w:cs="Times New Roman"/>
          <w:sz w:val="20"/>
          <w:szCs w:val="20"/>
          <w:lang w:val="es-CR"/>
        </w:rPr>
        <w:t xml:space="preserve">ideicomiso denominado </w:t>
      </w:r>
      <w:r w:rsidR="00705E91">
        <w:rPr>
          <w:rFonts w:ascii="Verdana" w:eastAsiaTheme="minorHAnsi" w:hAnsi="Verdana" w:cs="Times New Roman"/>
          <w:sz w:val="20"/>
          <w:szCs w:val="20"/>
          <w:lang w:val="es-CR"/>
        </w:rPr>
        <w:t>“</w:t>
      </w:r>
      <w:r w:rsidRPr="008D0846">
        <w:rPr>
          <w:rFonts w:ascii="Verdana" w:eastAsiaTheme="minorHAnsi" w:hAnsi="Verdana" w:cs="Times New Roman"/>
          <w:i/>
          <w:sz w:val="20"/>
          <w:szCs w:val="20"/>
          <w:lang w:val="es-CR"/>
        </w:rPr>
        <w:t xml:space="preserve">Fondo de Atención a Niños y Niñas hijos de </w:t>
      </w:r>
      <w:r w:rsidR="00705E91" w:rsidRPr="008D0846">
        <w:rPr>
          <w:rFonts w:ascii="Verdana" w:eastAsiaTheme="minorHAnsi" w:hAnsi="Verdana" w:cs="Times New Roman"/>
          <w:i/>
          <w:sz w:val="20"/>
          <w:szCs w:val="20"/>
          <w:lang w:val="es-CR"/>
        </w:rPr>
        <w:t>V</w:t>
      </w:r>
      <w:r w:rsidRPr="008D0846">
        <w:rPr>
          <w:rFonts w:ascii="Verdana" w:eastAsiaTheme="minorHAnsi" w:hAnsi="Verdana" w:cs="Times New Roman"/>
          <w:i/>
          <w:sz w:val="20"/>
          <w:szCs w:val="20"/>
          <w:lang w:val="es-CR"/>
        </w:rPr>
        <w:t>íctimas de la Lucha contra el Crimen</w:t>
      </w:r>
      <w:r w:rsidR="00705E91" w:rsidRPr="008D0846">
        <w:rPr>
          <w:rFonts w:ascii="Verdana" w:eastAsiaTheme="minorHAnsi" w:hAnsi="Verdana" w:cs="Times New Roman"/>
          <w:i/>
          <w:sz w:val="20"/>
          <w:szCs w:val="20"/>
          <w:lang w:val="es-CR"/>
        </w:rPr>
        <w:t>”</w:t>
      </w:r>
      <w:r w:rsidRPr="008D0846">
        <w:rPr>
          <w:rFonts w:ascii="Verdana" w:eastAsiaTheme="minorHAnsi" w:hAnsi="Verdana" w:cs="Times New Roman"/>
          <w:i/>
          <w:sz w:val="20"/>
          <w:szCs w:val="20"/>
          <w:lang w:val="es-CR"/>
        </w:rPr>
        <w:t xml:space="preserve">, y los apoyos otorgados en el marco del </w:t>
      </w:r>
      <w:r w:rsidR="00705E91" w:rsidRPr="008D0846">
        <w:rPr>
          <w:rFonts w:ascii="Verdana" w:eastAsiaTheme="minorHAnsi" w:hAnsi="Verdana" w:cs="Times New Roman"/>
          <w:i/>
          <w:sz w:val="20"/>
          <w:szCs w:val="20"/>
          <w:lang w:val="es-CR"/>
        </w:rPr>
        <w:t>“</w:t>
      </w:r>
      <w:r w:rsidRPr="008D0846">
        <w:rPr>
          <w:rFonts w:ascii="Verdana" w:eastAsiaTheme="minorHAnsi" w:hAnsi="Verdana" w:cs="Times New Roman"/>
          <w:i/>
          <w:sz w:val="20"/>
          <w:szCs w:val="20"/>
          <w:lang w:val="es-CR"/>
        </w:rPr>
        <w:t xml:space="preserve">Programa de Autoempleo del </w:t>
      </w:r>
      <w:r w:rsidR="00705E91" w:rsidRPr="008D0846">
        <w:rPr>
          <w:rFonts w:ascii="Verdana" w:eastAsiaTheme="minorHAnsi" w:hAnsi="Verdana" w:cs="Times New Roman"/>
          <w:i/>
          <w:sz w:val="20"/>
          <w:szCs w:val="20"/>
          <w:lang w:val="es-CR"/>
        </w:rPr>
        <w:t>G</w:t>
      </w:r>
      <w:r w:rsidRPr="008D0846">
        <w:rPr>
          <w:rFonts w:ascii="Verdana" w:eastAsiaTheme="minorHAnsi" w:hAnsi="Verdana" w:cs="Times New Roman"/>
          <w:i/>
          <w:sz w:val="20"/>
          <w:szCs w:val="20"/>
          <w:lang w:val="es-CR"/>
        </w:rPr>
        <w:t xml:space="preserve">obierno del Estado de Chihuahua </w:t>
      </w:r>
      <w:r w:rsidR="00705E91" w:rsidRPr="008D0846">
        <w:rPr>
          <w:rFonts w:ascii="Verdana" w:eastAsiaTheme="minorHAnsi" w:hAnsi="Verdana" w:cs="Times New Roman"/>
          <w:i/>
          <w:sz w:val="20"/>
          <w:szCs w:val="20"/>
          <w:lang w:val="es-CR"/>
        </w:rPr>
        <w:t>‘</w:t>
      </w:r>
      <w:r w:rsidRPr="008D0846">
        <w:rPr>
          <w:rFonts w:ascii="Verdana" w:eastAsiaTheme="minorHAnsi" w:hAnsi="Verdana" w:cs="Times New Roman"/>
          <w:i/>
          <w:sz w:val="20"/>
          <w:szCs w:val="20"/>
          <w:lang w:val="es-CR"/>
        </w:rPr>
        <w:t>PAGECH</w:t>
      </w:r>
      <w:r w:rsidR="00705E91" w:rsidRPr="008D0846">
        <w:rPr>
          <w:rFonts w:ascii="Verdana" w:eastAsiaTheme="minorHAnsi" w:hAnsi="Verdana" w:cs="Times New Roman"/>
          <w:i/>
          <w:sz w:val="20"/>
          <w:szCs w:val="20"/>
          <w:lang w:val="es-CR"/>
        </w:rPr>
        <w:t>’</w:t>
      </w:r>
      <w:r w:rsidRPr="008D0846">
        <w:rPr>
          <w:rFonts w:ascii="Verdana" w:eastAsiaTheme="minorHAnsi" w:hAnsi="Verdana" w:cs="Times New Roman"/>
          <w:i/>
          <w:sz w:val="20"/>
          <w:szCs w:val="20"/>
          <w:lang w:val="es-CR"/>
        </w:rPr>
        <w:t>”.</w:t>
      </w:r>
      <w:r w:rsidRPr="002C462C">
        <w:rPr>
          <w:rFonts w:ascii="Verdana" w:eastAsiaTheme="minorHAnsi" w:hAnsi="Verdana" w:cs="Times New Roman"/>
          <w:sz w:val="20"/>
          <w:szCs w:val="20"/>
          <w:lang w:val="es-CR"/>
        </w:rPr>
        <w:t xml:space="preserve"> En atención a lo anterior, solicita al Estado que </w:t>
      </w:r>
      <w:r w:rsidR="00D50465" w:rsidRPr="00744CE4">
        <w:rPr>
          <w:rFonts w:ascii="Verdana" w:eastAsiaTheme="minorHAnsi" w:hAnsi="Verdana" w:cs="Times New Roman"/>
          <w:sz w:val="20"/>
          <w:szCs w:val="20"/>
          <w:lang w:val="es-CR"/>
        </w:rPr>
        <w:t xml:space="preserve">disponga </w:t>
      </w:r>
      <w:r w:rsidRPr="00744CE4">
        <w:rPr>
          <w:rFonts w:ascii="Verdana" w:eastAsiaTheme="minorHAnsi" w:hAnsi="Verdana" w:cs="Times New Roman"/>
          <w:sz w:val="20"/>
          <w:szCs w:val="20"/>
          <w:lang w:val="es-CR"/>
        </w:rPr>
        <w:t>a las dependencias correspondientes para que,</w:t>
      </w:r>
      <w:r w:rsidR="00D50465" w:rsidRPr="00744CE4">
        <w:rPr>
          <w:rFonts w:ascii="Verdana" w:eastAsiaTheme="minorHAnsi" w:hAnsi="Verdana" w:cs="Times New Roman"/>
          <w:sz w:val="20"/>
          <w:szCs w:val="20"/>
          <w:lang w:val="es-CR"/>
        </w:rPr>
        <w:t xml:space="preserve"> a su vez y</w:t>
      </w:r>
      <w:r w:rsidRPr="00744CE4">
        <w:rPr>
          <w:rFonts w:ascii="Verdana" w:eastAsiaTheme="minorHAnsi" w:hAnsi="Verdana" w:cs="Times New Roman"/>
          <w:sz w:val="20"/>
          <w:szCs w:val="20"/>
          <w:lang w:val="es-CR"/>
        </w:rPr>
        <w:t xml:space="preserve"> a través de estos programas u otros de </w:t>
      </w:r>
      <w:r w:rsidRPr="00744CE4">
        <w:rPr>
          <w:rFonts w:ascii="Verdana" w:eastAsiaTheme="minorHAnsi" w:hAnsi="Verdana" w:cs="Times New Roman"/>
          <w:sz w:val="20"/>
          <w:szCs w:val="20"/>
          <w:lang w:val="es-CR"/>
        </w:rPr>
        <w:lastRenderedPageBreak/>
        <w:t>naturaleza</w:t>
      </w:r>
      <w:r w:rsidR="00705E91">
        <w:rPr>
          <w:rFonts w:ascii="Verdana" w:eastAsiaTheme="minorHAnsi" w:hAnsi="Verdana" w:cs="Times New Roman"/>
          <w:sz w:val="20"/>
          <w:szCs w:val="20"/>
          <w:lang w:val="es-CR"/>
        </w:rPr>
        <w:t xml:space="preserve"> similar</w:t>
      </w:r>
      <w:r w:rsidRPr="00744CE4">
        <w:rPr>
          <w:rFonts w:ascii="Verdana" w:eastAsiaTheme="minorHAnsi" w:hAnsi="Verdana" w:cs="Times New Roman"/>
          <w:sz w:val="20"/>
          <w:szCs w:val="20"/>
          <w:lang w:val="es-CR"/>
        </w:rPr>
        <w:t>, así como la Ley General de Víctimas, brinden a los familiares</w:t>
      </w:r>
      <w:r w:rsidR="00D50465" w:rsidRPr="00744CE4">
        <w:rPr>
          <w:rFonts w:ascii="Verdana" w:eastAsiaTheme="minorHAnsi" w:hAnsi="Verdana" w:cs="Times New Roman"/>
          <w:sz w:val="20"/>
          <w:szCs w:val="20"/>
          <w:lang w:val="es-CR"/>
        </w:rPr>
        <w:t>,</w:t>
      </w:r>
      <w:r w:rsidRPr="00744CE4">
        <w:rPr>
          <w:rFonts w:ascii="Verdana" w:eastAsiaTheme="minorHAnsi" w:hAnsi="Verdana" w:cs="Times New Roman"/>
          <w:sz w:val="20"/>
          <w:szCs w:val="20"/>
          <w:lang w:val="es-CR"/>
        </w:rPr>
        <w:t xml:space="preserve"> que así lo soliciten, </w:t>
      </w:r>
      <w:r w:rsidR="000A5FEA" w:rsidRPr="00744CE4">
        <w:rPr>
          <w:rFonts w:ascii="Verdana" w:eastAsiaTheme="minorHAnsi" w:hAnsi="Verdana" w:cs="Times New Roman"/>
          <w:sz w:val="20"/>
          <w:szCs w:val="20"/>
          <w:lang w:val="es-CR"/>
        </w:rPr>
        <w:t xml:space="preserve">se </w:t>
      </w:r>
      <w:r w:rsidR="00D50465" w:rsidRPr="00744CE4">
        <w:rPr>
          <w:rFonts w:ascii="Verdana" w:eastAsiaTheme="minorHAnsi" w:hAnsi="Verdana" w:cs="Times New Roman"/>
          <w:sz w:val="20"/>
          <w:szCs w:val="20"/>
          <w:lang w:val="es-CR"/>
        </w:rPr>
        <w:t>incluyan</w:t>
      </w:r>
      <w:r w:rsidRPr="00744CE4">
        <w:rPr>
          <w:rFonts w:ascii="Verdana" w:eastAsiaTheme="minorHAnsi" w:hAnsi="Verdana" w:cs="Times New Roman"/>
          <w:sz w:val="20"/>
          <w:szCs w:val="20"/>
          <w:lang w:val="es-CR"/>
        </w:rPr>
        <w:t xml:space="preserve"> en dichos programas o beneficios con la intención de contribuir a reparar su proyecto de vida. La anterior solicitud deberá realizarse en el plazo de seis meses a partir de la notificación de la presente Sentencia. En el plazo de un año, el Estado deberá informar a esta Corte sobre los resultados alcanzados. </w:t>
      </w:r>
    </w:p>
    <w:p w14:paraId="7EA0C1EA" w14:textId="09B0776D" w:rsidR="009114A1" w:rsidRPr="00744CE4" w:rsidRDefault="00556FDB">
      <w:pPr>
        <w:pStyle w:val="ListParagraph"/>
        <w:keepNext/>
        <w:keepLines/>
        <w:numPr>
          <w:ilvl w:val="0"/>
          <w:numId w:val="29"/>
        </w:numPr>
        <w:spacing w:before="120" w:after="120" w:line="240" w:lineRule="auto"/>
        <w:contextualSpacing w:val="0"/>
        <w:jc w:val="both"/>
        <w:outlineLvl w:val="1"/>
        <w:rPr>
          <w:rFonts w:ascii="Verdana" w:eastAsia="Times New Roman" w:hAnsi="Verdana" w:cs="Times New Roman"/>
          <w:b/>
          <w:bCs/>
          <w:i/>
          <w:sz w:val="20"/>
          <w:szCs w:val="20"/>
          <w:lang w:val="es-ES"/>
        </w:rPr>
      </w:pPr>
      <w:bookmarkStart w:id="383" w:name="_Toc526777520"/>
      <w:bookmarkStart w:id="384" w:name="_Toc526783826"/>
      <w:r>
        <w:rPr>
          <w:rFonts w:ascii="Verdana" w:eastAsia="Times New Roman" w:hAnsi="Verdana" w:cs="Times New Roman"/>
          <w:b/>
          <w:bCs/>
          <w:i/>
          <w:sz w:val="20"/>
          <w:szCs w:val="20"/>
          <w:lang w:val="es-ES"/>
        </w:rPr>
        <w:t xml:space="preserve"> </w:t>
      </w:r>
      <w:bookmarkStart w:id="385" w:name="_Toc532995408"/>
      <w:r w:rsidR="009114A1" w:rsidRPr="00744CE4">
        <w:rPr>
          <w:rFonts w:ascii="Verdana" w:eastAsia="Times New Roman" w:hAnsi="Verdana" w:cs="Times New Roman"/>
          <w:b/>
          <w:bCs/>
          <w:i/>
          <w:sz w:val="20"/>
          <w:szCs w:val="20"/>
          <w:lang w:val="es-ES"/>
        </w:rPr>
        <w:t>Garantías de no repetición</w:t>
      </w:r>
      <w:bookmarkEnd w:id="383"/>
      <w:bookmarkEnd w:id="384"/>
      <w:bookmarkEnd w:id="385"/>
      <w:r w:rsidR="009114A1" w:rsidRPr="00744CE4">
        <w:rPr>
          <w:rFonts w:ascii="Verdana" w:eastAsia="Times New Roman" w:hAnsi="Verdana" w:cs="Times New Roman"/>
          <w:b/>
          <w:bCs/>
          <w:i/>
          <w:sz w:val="20"/>
          <w:szCs w:val="20"/>
          <w:lang w:val="es-ES"/>
        </w:rPr>
        <w:t xml:space="preserve"> </w:t>
      </w:r>
    </w:p>
    <w:p w14:paraId="38E7F23A" w14:textId="5C71927B" w:rsidR="009114A1" w:rsidRPr="00744CE4" w:rsidRDefault="009114A1" w:rsidP="00DB378B">
      <w:pPr>
        <w:widowControl w:val="0"/>
        <w:numPr>
          <w:ilvl w:val="0"/>
          <w:numId w:val="4"/>
        </w:numPr>
        <w:tabs>
          <w:tab w:val="left" w:pos="567"/>
        </w:tabs>
        <w:autoSpaceDE w:val="0"/>
        <w:autoSpaceDN w:val="0"/>
        <w:adjustRightInd w:val="0"/>
        <w:spacing w:before="120" w:after="120" w:line="240" w:lineRule="auto"/>
        <w:ind w:left="0" w:firstLine="0"/>
        <w:jc w:val="both"/>
        <w:textAlignment w:val="baseline"/>
        <w:rPr>
          <w:rFonts w:ascii="Verdana" w:eastAsiaTheme="minorHAnsi" w:hAnsi="Verdana" w:cs="Times New Roman"/>
          <w:sz w:val="20"/>
          <w:szCs w:val="20"/>
          <w:lang w:val="es-CR"/>
        </w:rPr>
      </w:pPr>
      <w:r w:rsidRPr="00744CE4">
        <w:rPr>
          <w:rFonts w:ascii="Verdana" w:hAnsi="Verdana" w:cs="Times New Roman"/>
          <w:sz w:val="20"/>
          <w:szCs w:val="20"/>
          <w:lang w:val="es-AR"/>
        </w:rPr>
        <w:t xml:space="preserve">La </w:t>
      </w:r>
      <w:r w:rsidRPr="00744CE4">
        <w:rPr>
          <w:rFonts w:ascii="Verdana" w:hAnsi="Verdana" w:cs="Times New Roman"/>
          <w:b/>
          <w:i/>
          <w:sz w:val="20"/>
          <w:szCs w:val="20"/>
          <w:lang w:val="es-AR"/>
        </w:rPr>
        <w:t>Comisión</w:t>
      </w:r>
      <w:r w:rsidRPr="00744CE4">
        <w:rPr>
          <w:rFonts w:ascii="Verdana" w:hAnsi="Verdana" w:cs="Times New Roman"/>
          <w:sz w:val="20"/>
          <w:szCs w:val="20"/>
          <w:lang w:val="es-AR"/>
        </w:rPr>
        <w:t xml:space="preserve"> por su parte</w:t>
      </w:r>
      <w:r w:rsidRPr="00744CE4">
        <w:rPr>
          <w:rFonts w:ascii="Verdana" w:hAnsi="Verdana" w:cs="Times New Roman"/>
          <w:sz w:val="20"/>
          <w:szCs w:val="20"/>
          <w:lang w:val="es-EC"/>
        </w:rPr>
        <w:t xml:space="preserve"> exhortó a adoptar medidas de no repetición necesarias para evitar que en el futuro se produzcan hechos similares, dentro de las cuales solicitaron incluir medidas legislativas, administrativas y de otra índole para: i) responder a la problemática de la desaparición forzada en México y su especial incidencia en el Estado de Chihuahua; ii) fortalecer la capacidad investigativa de casos de desaparición forzada de personas y atender los factores estructurales generadores de impunidad en estos casos, y iii) asegurar que las autoridades de la justicia penal militar se abstengan de obstaculizar investigaciones en casos de desaparición forzad</w:t>
      </w:r>
      <w:r w:rsidRPr="00291637">
        <w:rPr>
          <w:rFonts w:ascii="Verdana" w:hAnsi="Verdana" w:cs="Times New Roman"/>
          <w:sz w:val="20"/>
          <w:szCs w:val="20"/>
          <w:lang w:val="es-EC"/>
        </w:rPr>
        <w:t>a</w:t>
      </w:r>
      <w:r w:rsidR="00291637" w:rsidRPr="00291637">
        <w:rPr>
          <w:rFonts w:ascii="Verdana" w:hAnsi="Verdana" w:cs="Times New Roman"/>
          <w:sz w:val="20"/>
          <w:szCs w:val="20"/>
          <w:lang w:val="es-EC"/>
        </w:rPr>
        <w:t>.</w:t>
      </w:r>
    </w:p>
    <w:p w14:paraId="1F14D702" w14:textId="3B3A09B2" w:rsidR="009114A1" w:rsidRPr="00744CE4" w:rsidRDefault="009114A1" w:rsidP="00DB378B">
      <w:pPr>
        <w:widowControl w:val="0"/>
        <w:numPr>
          <w:ilvl w:val="0"/>
          <w:numId w:val="4"/>
        </w:numPr>
        <w:tabs>
          <w:tab w:val="left" w:pos="567"/>
        </w:tabs>
        <w:autoSpaceDE w:val="0"/>
        <w:autoSpaceDN w:val="0"/>
        <w:adjustRightInd w:val="0"/>
        <w:spacing w:before="120" w:after="120" w:line="240" w:lineRule="auto"/>
        <w:ind w:left="0" w:firstLine="0"/>
        <w:jc w:val="both"/>
        <w:textAlignment w:val="baseline"/>
        <w:rPr>
          <w:rFonts w:ascii="Verdana" w:eastAsia="Times New Roman" w:hAnsi="Verdana" w:cs="Times New Roman"/>
          <w:sz w:val="20"/>
          <w:szCs w:val="20"/>
          <w:lang w:val="es-ES"/>
        </w:rPr>
      </w:pPr>
      <w:r w:rsidRPr="00744CE4">
        <w:rPr>
          <w:rFonts w:ascii="Verdana" w:eastAsia="Times New Roman" w:hAnsi="Verdana" w:cs="Times New Roman"/>
          <w:sz w:val="20"/>
          <w:szCs w:val="20"/>
          <w:lang w:val="es-ES"/>
        </w:rPr>
        <w:t xml:space="preserve">Las </w:t>
      </w:r>
      <w:r w:rsidRPr="00744CE4">
        <w:rPr>
          <w:rFonts w:ascii="Verdana" w:eastAsia="Times New Roman" w:hAnsi="Verdana" w:cs="Times New Roman"/>
          <w:b/>
          <w:i/>
          <w:sz w:val="20"/>
          <w:szCs w:val="20"/>
          <w:lang w:val="es-ES"/>
        </w:rPr>
        <w:t>Representantes</w:t>
      </w:r>
      <w:r w:rsidRPr="00744CE4">
        <w:rPr>
          <w:rFonts w:ascii="Verdana" w:eastAsia="Times New Roman" w:hAnsi="Verdana" w:cs="Times New Roman"/>
          <w:sz w:val="20"/>
          <w:szCs w:val="20"/>
          <w:lang w:val="es-ES"/>
        </w:rPr>
        <w:t>, solicitaron como medidas de no repetición: i) legislación adecuada y no violatoria de derechos humanos en materia de desaparición y búsqueda de personas</w:t>
      </w:r>
      <w:r w:rsidRPr="00744CE4">
        <w:rPr>
          <w:rStyle w:val="FootnoteReference"/>
          <w:rFonts w:ascii="Verdana" w:eastAsia="Times New Roman" w:hAnsi="Verdana"/>
          <w:sz w:val="20"/>
          <w:szCs w:val="20"/>
          <w:lang w:val="es-ES"/>
        </w:rPr>
        <w:footnoteReference w:id="549"/>
      </w:r>
      <w:r w:rsidRPr="00744CE4">
        <w:rPr>
          <w:rFonts w:ascii="Verdana" w:eastAsia="Times New Roman" w:hAnsi="Verdana" w:cs="Times New Roman"/>
          <w:sz w:val="20"/>
          <w:szCs w:val="20"/>
          <w:lang w:val="es-ES"/>
        </w:rPr>
        <w:t>; ii) armonizar las disposiciones de la Ley de Amparo con la L</w:t>
      </w:r>
      <w:r w:rsidR="00705E91">
        <w:rPr>
          <w:rFonts w:ascii="Verdana" w:eastAsia="Times New Roman" w:hAnsi="Verdana" w:cs="Times New Roman"/>
          <w:sz w:val="20"/>
          <w:szCs w:val="20"/>
          <w:lang w:val="es-ES"/>
        </w:rPr>
        <w:t xml:space="preserve">ey </w:t>
      </w:r>
      <w:r w:rsidRPr="00744CE4">
        <w:rPr>
          <w:rFonts w:ascii="Verdana" w:eastAsia="Times New Roman" w:hAnsi="Verdana" w:cs="Times New Roman"/>
          <w:sz w:val="20"/>
          <w:szCs w:val="20"/>
          <w:lang w:val="es-ES"/>
        </w:rPr>
        <w:t>G</w:t>
      </w:r>
      <w:r w:rsidR="00705E91">
        <w:rPr>
          <w:rFonts w:ascii="Verdana" w:eastAsia="Times New Roman" w:hAnsi="Verdana" w:cs="Times New Roman"/>
          <w:sz w:val="20"/>
          <w:szCs w:val="20"/>
          <w:lang w:val="es-ES"/>
        </w:rPr>
        <w:t xml:space="preserve">eneral </w:t>
      </w:r>
      <w:r w:rsidR="00CE4C5A">
        <w:rPr>
          <w:rFonts w:ascii="Verdana" w:eastAsia="Times New Roman" w:hAnsi="Verdana" w:cs="Times New Roman"/>
          <w:sz w:val="20"/>
          <w:szCs w:val="20"/>
          <w:lang w:val="es-ES"/>
        </w:rPr>
        <w:t xml:space="preserve">sobre </w:t>
      </w:r>
      <w:r w:rsidRPr="00744CE4">
        <w:rPr>
          <w:rFonts w:ascii="Verdana" w:eastAsia="Times New Roman" w:hAnsi="Verdana" w:cs="Times New Roman"/>
          <w:sz w:val="20"/>
          <w:szCs w:val="20"/>
          <w:lang w:val="es-ES"/>
        </w:rPr>
        <w:t>D</w:t>
      </w:r>
      <w:r w:rsidR="00CE4C5A">
        <w:rPr>
          <w:rFonts w:ascii="Verdana" w:eastAsia="Times New Roman" w:hAnsi="Verdana" w:cs="Times New Roman"/>
          <w:sz w:val="20"/>
          <w:szCs w:val="20"/>
          <w:lang w:val="es-ES"/>
        </w:rPr>
        <w:t>esaparici</w:t>
      </w:r>
      <w:r w:rsidR="00D20A59">
        <w:rPr>
          <w:rFonts w:ascii="Verdana" w:eastAsia="Times New Roman" w:hAnsi="Verdana" w:cs="Times New Roman"/>
          <w:sz w:val="20"/>
          <w:szCs w:val="20"/>
          <w:lang w:val="es-ES"/>
        </w:rPr>
        <w:t xml:space="preserve">ón Forzada de Personas </w:t>
      </w:r>
      <w:r w:rsidR="003402A1">
        <w:rPr>
          <w:rFonts w:ascii="Verdana" w:eastAsia="Times New Roman" w:hAnsi="Verdana" w:cs="Times New Roman"/>
          <w:sz w:val="20"/>
          <w:szCs w:val="20"/>
          <w:lang w:val="es-ES"/>
        </w:rPr>
        <w:t xml:space="preserve">[sic] </w:t>
      </w:r>
      <w:r w:rsidR="00DD4570">
        <w:rPr>
          <w:rFonts w:ascii="Verdana" w:eastAsia="Times New Roman" w:hAnsi="Verdana" w:cs="Times New Roman"/>
          <w:sz w:val="20"/>
          <w:szCs w:val="20"/>
          <w:lang w:val="es-ES"/>
        </w:rPr>
        <w:t xml:space="preserve">(en lo sucesivo, “LGDFP”) </w:t>
      </w:r>
      <w:r w:rsidRPr="00744CE4">
        <w:rPr>
          <w:rFonts w:ascii="Verdana" w:eastAsia="Times New Roman" w:hAnsi="Verdana" w:cs="Times New Roman"/>
          <w:sz w:val="20"/>
          <w:szCs w:val="20"/>
          <w:lang w:val="es-ES"/>
        </w:rPr>
        <w:t xml:space="preserve">y, en general, asegurar que los jueces de </w:t>
      </w:r>
      <w:r w:rsidR="00291637">
        <w:rPr>
          <w:rFonts w:ascii="Verdana" w:eastAsia="Times New Roman" w:hAnsi="Verdana" w:cs="Times New Roman"/>
          <w:sz w:val="20"/>
          <w:szCs w:val="20"/>
          <w:lang w:val="es-ES"/>
        </w:rPr>
        <w:t>d</w:t>
      </w:r>
      <w:r w:rsidRPr="00744CE4">
        <w:rPr>
          <w:rFonts w:ascii="Verdana" w:eastAsia="Times New Roman" w:hAnsi="Verdana" w:cs="Times New Roman"/>
          <w:sz w:val="20"/>
          <w:szCs w:val="20"/>
          <w:lang w:val="es-ES"/>
        </w:rPr>
        <w:t>istrito cuenten con recursos para emprender operaciones de búsqueda eficaces, que no se limiten a la tramitación de oficios administrativos</w:t>
      </w:r>
      <w:r w:rsidR="00CE4C5A" w:rsidRPr="008D0846">
        <w:rPr>
          <w:rFonts w:ascii="Verdana" w:eastAsia="Times New Roman" w:hAnsi="Verdana" w:cs="Times New Roman"/>
          <w:sz w:val="20"/>
          <w:szCs w:val="20"/>
          <w:lang w:val="es-ES"/>
        </w:rPr>
        <w:t>;</w:t>
      </w:r>
      <w:r w:rsidRPr="00432ABC">
        <w:rPr>
          <w:rFonts w:ascii="Verdana" w:eastAsia="Times New Roman" w:hAnsi="Verdana" w:cs="Times New Roman"/>
          <w:b/>
          <w:sz w:val="20"/>
          <w:szCs w:val="20"/>
          <w:lang w:val="es-ES"/>
        </w:rPr>
        <w:t xml:space="preserve"> </w:t>
      </w:r>
      <w:r w:rsidR="00CE4C5A">
        <w:rPr>
          <w:rFonts w:ascii="Verdana" w:eastAsia="Times New Roman" w:hAnsi="Verdana" w:cs="Times New Roman"/>
          <w:sz w:val="20"/>
          <w:szCs w:val="20"/>
          <w:lang w:val="es-ES"/>
        </w:rPr>
        <w:t>i</w:t>
      </w:r>
      <w:r w:rsidRPr="00432ABC">
        <w:rPr>
          <w:rFonts w:ascii="Verdana" w:eastAsia="Times New Roman" w:hAnsi="Verdana" w:cs="Times New Roman"/>
          <w:sz w:val="20"/>
          <w:szCs w:val="20"/>
          <w:lang w:val="es-ES"/>
        </w:rPr>
        <w:t xml:space="preserve">ii) adecuación del </w:t>
      </w:r>
      <w:r w:rsidRPr="00432ABC">
        <w:rPr>
          <w:rFonts w:ascii="Verdana" w:hAnsi="Verdana" w:cs="Times New Roman"/>
          <w:sz w:val="20"/>
          <w:szCs w:val="20"/>
          <w:lang w:val="es-EC"/>
        </w:rPr>
        <w:t xml:space="preserve">Registro Nacional de Datos de Personas Extraviadas o Desaparecidas (adelante, </w:t>
      </w:r>
      <w:r w:rsidR="00206971">
        <w:rPr>
          <w:rFonts w:ascii="Verdana" w:hAnsi="Verdana" w:cs="Times New Roman"/>
          <w:sz w:val="20"/>
          <w:szCs w:val="20"/>
          <w:lang w:val="es-EC"/>
        </w:rPr>
        <w:t>“</w:t>
      </w:r>
      <w:r w:rsidRPr="00432ABC">
        <w:rPr>
          <w:rFonts w:ascii="Verdana" w:hAnsi="Verdana" w:cs="Times New Roman"/>
          <w:sz w:val="20"/>
          <w:szCs w:val="20"/>
          <w:lang w:val="es-EC"/>
        </w:rPr>
        <w:t>RNPED</w:t>
      </w:r>
      <w:r w:rsidR="00206971">
        <w:rPr>
          <w:rFonts w:ascii="Verdana" w:hAnsi="Verdana" w:cs="Times New Roman"/>
          <w:sz w:val="20"/>
          <w:szCs w:val="20"/>
          <w:lang w:val="es-EC"/>
        </w:rPr>
        <w:t>”</w:t>
      </w:r>
      <w:r w:rsidRPr="00432ABC">
        <w:rPr>
          <w:rFonts w:ascii="Verdana" w:hAnsi="Verdana" w:cs="Times New Roman"/>
          <w:sz w:val="20"/>
          <w:szCs w:val="20"/>
          <w:lang w:val="es-EC"/>
        </w:rPr>
        <w:t>)</w:t>
      </w:r>
      <w:r w:rsidRPr="00744CE4">
        <w:rPr>
          <w:rStyle w:val="FootnoteReference"/>
          <w:rFonts w:ascii="Verdana" w:eastAsia="Times New Roman" w:hAnsi="Verdana"/>
          <w:sz w:val="20"/>
          <w:szCs w:val="20"/>
          <w:lang w:val="es-ES"/>
        </w:rPr>
        <w:footnoteReference w:id="550"/>
      </w:r>
      <w:r w:rsidRPr="00744CE4">
        <w:rPr>
          <w:rFonts w:ascii="Verdana" w:eastAsia="Times New Roman" w:hAnsi="Verdana" w:cs="Times New Roman"/>
          <w:sz w:val="20"/>
          <w:szCs w:val="20"/>
          <w:lang w:val="es-ES"/>
        </w:rPr>
        <w:t xml:space="preserve"> para que se cumplan los criterios y recomendaciones que diversos organismos internacionales han señalado,</w:t>
      </w:r>
      <w:r w:rsidRPr="00744CE4">
        <w:rPr>
          <w:rFonts w:ascii="Verdana" w:hAnsi="Verdana" w:cs="Times New Roman"/>
          <w:sz w:val="20"/>
          <w:szCs w:val="20"/>
          <w:lang w:val="es-EC"/>
        </w:rPr>
        <w:t xml:space="preserve"> esto con el objetivo de que se identifique </w:t>
      </w:r>
      <w:r w:rsidR="00CE4C5A">
        <w:rPr>
          <w:rFonts w:ascii="Verdana" w:hAnsi="Verdana" w:cs="Times New Roman"/>
          <w:sz w:val="20"/>
          <w:szCs w:val="20"/>
          <w:lang w:val="es-EC"/>
        </w:rPr>
        <w:t>en qué casos de trata de</w:t>
      </w:r>
      <w:r w:rsidR="00CE4C5A" w:rsidRPr="00744CE4">
        <w:rPr>
          <w:rFonts w:ascii="Verdana" w:hAnsi="Verdana" w:cs="Times New Roman"/>
          <w:sz w:val="20"/>
          <w:szCs w:val="20"/>
          <w:lang w:val="es-EC"/>
        </w:rPr>
        <w:t xml:space="preserve"> </w:t>
      </w:r>
      <w:r w:rsidRPr="00744CE4">
        <w:rPr>
          <w:rFonts w:ascii="Verdana" w:hAnsi="Verdana" w:cs="Times New Roman"/>
          <w:sz w:val="20"/>
          <w:szCs w:val="20"/>
          <w:lang w:val="es-EC"/>
        </w:rPr>
        <w:t>desapariciones forzadas</w:t>
      </w:r>
      <w:r w:rsidR="006C7976" w:rsidRPr="008D0846">
        <w:rPr>
          <w:rFonts w:ascii="Verdana" w:hAnsi="Verdana" w:cs="Times New Roman"/>
          <w:sz w:val="20"/>
          <w:szCs w:val="20"/>
          <w:lang w:val="es-EC"/>
        </w:rPr>
        <w:t>,</w:t>
      </w:r>
      <w:r w:rsidR="006C7976">
        <w:rPr>
          <w:rFonts w:ascii="Verdana" w:hAnsi="Verdana" w:cs="Times New Roman"/>
          <w:b/>
          <w:sz w:val="20"/>
          <w:szCs w:val="20"/>
          <w:lang w:val="es-EC"/>
        </w:rPr>
        <w:t xml:space="preserve"> </w:t>
      </w:r>
      <w:r w:rsidR="006C7976" w:rsidRPr="008D0846">
        <w:rPr>
          <w:rFonts w:ascii="Verdana" w:hAnsi="Verdana" w:cs="Times New Roman"/>
          <w:sz w:val="20"/>
          <w:szCs w:val="20"/>
          <w:lang w:val="es-EC"/>
        </w:rPr>
        <w:t>y</w:t>
      </w:r>
      <w:r w:rsidR="006C7976">
        <w:rPr>
          <w:rFonts w:ascii="Verdana" w:hAnsi="Verdana" w:cs="Times New Roman"/>
          <w:sz w:val="20"/>
          <w:szCs w:val="20"/>
          <w:lang w:val="es-EC"/>
        </w:rPr>
        <w:t xml:space="preserve"> </w:t>
      </w:r>
      <w:r w:rsidRPr="00432ABC">
        <w:rPr>
          <w:rFonts w:ascii="Verdana" w:eastAsia="Times New Roman" w:hAnsi="Verdana" w:cs="Times New Roman"/>
          <w:sz w:val="20"/>
          <w:szCs w:val="20"/>
          <w:lang w:val="es-ES"/>
        </w:rPr>
        <w:t>i</w:t>
      </w:r>
      <w:r w:rsidR="00CE4C5A">
        <w:rPr>
          <w:rFonts w:ascii="Verdana" w:eastAsia="Times New Roman" w:hAnsi="Verdana" w:cs="Times New Roman"/>
          <w:sz w:val="20"/>
          <w:szCs w:val="20"/>
          <w:lang w:val="es-ES"/>
        </w:rPr>
        <w:t>v</w:t>
      </w:r>
      <w:r w:rsidRPr="00432ABC">
        <w:rPr>
          <w:rFonts w:ascii="Verdana" w:eastAsia="Times New Roman" w:hAnsi="Verdana" w:cs="Times New Roman"/>
          <w:sz w:val="20"/>
          <w:szCs w:val="20"/>
          <w:lang w:val="es-ES"/>
        </w:rPr>
        <w:t>) que el Estado se abstenga de continuar las discusiones relacionadas con la emisión de una Ley</w:t>
      </w:r>
      <w:r w:rsidRPr="002C462C">
        <w:rPr>
          <w:rFonts w:ascii="Verdana" w:eastAsia="Times New Roman" w:hAnsi="Verdana" w:cs="Times New Roman"/>
          <w:sz w:val="20"/>
          <w:szCs w:val="20"/>
          <w:lang w:val="es-ES"/>
        </w:rPr>
        <w:t xml:space="preserve"> de Seguridad Interior</w:t>
      </w:r>
      <w:r w:rsidRPr="00744CE4">
        <w:rPr>
          <w:rStyle w:val="FootnoteReference"/>
          <w:rFonts w:ascii="Verdana" w:eastAsia="Times New Roman" w:hAnsi="Verdana"/>
          <w:sz w:val="20"/>
          <w:szCs w:val="20"/>
          <w:lang w:val="es-ES"/>
        </w:rPr>
        <w:footnoteReference w:id="551"/>
      </w:r>
      <w:r w:rsidRPr="00744CE4">
        <w:rPr>
          <w:rFonts w:ascii="Verdana" w:eastAsia="Times New Roman" w:hAnsi="Verdana" w:cs="Times New Roman"/>
          <w:sz w:val="20"/>
          <w:szCs w:val="20"/>
          <w:lang w:val="es-ES"/>
        </w:rPr>
        <w:t xml:space="preserve">. </w:t>
      </w:r>
    </w:p>
    <w:p w14:paraId="5D174FC1" w14:textId="327316E6" w:rsidR="00731155" w:rsidRPr="00744CE4" w:rsidRDefault="009114A1" w:rsidP="00DB378B">
      <w:pPr>
        <w:widowControl w:val="0"/>
        <w:numPr>
          <w:ilvl w:val="0"/>
          <w:numId w:val="4"/>
        </w:numPr>
        <w:tabs>
          <w:tab w:val="left" w:pos="567"/>
        </w:tabs>
        <w:autoSpaceDE w:val="0"/>
        <w:autoSpaceDN w:val="0"/>
        <w:adjustRightInd w:val="0"/>
        <w:spacing w:before="120" w:after="120" w:line="240" w:lineRule="auto"/>
        <w:ind w:left="0" w:firstLine="0"/>
        <w:jc w:val="both"/>
        <w:textAlignment w:val="baseline"/>
        <w:rPr>
          <w:rFonts w:ascii="Verdana" w:eastAsia="Times New Roman" w:hAnsi="Verdana" w:cs="Times New Roman"/>
          <w:sz w:val="20"/>
          <w:szCs w:val="20"/>
          <w:lang w:val="es-ES"/>
        </w:rPr>
      </w:pPr>
      <w:r w:rsidRPr="00744CE4">
        <w:rPr>
          <w:rFonts w:ascii="Verdana" w:eastAsia="Times New Roman" w:hAnsi="Verdana" w:cs="Times New Roman"/>
          <w:sz w:val="20"/>
          <w:szCs w:val="20"/>
          <w:lang w:val="es-ES"/>
        </w:rPr>
        <w:t xml:space="preserve">Por su parte, el </w:t>
      </w:r>
      <w:r w:rsidRPr="00744CE4">
        <w:rPr>
          <w:rFonts w:ascii="Verdana" w:eastAsia="Times New Roman" w:hAnsi="Verdana" w:cs="Times New Roman"/>
          <w:b/>
          <w:i/>
          <w:sz w:val="20"/>
          <w:szCs w:val="20"/>
          <w:lang w:val="es-ES"/>
        </w:rPr>
        <w:t>Estado</w:t>
      </w:r>
      <w:r w:rsidRPr="00744CE4">
        <w:rPr>
          <w:rFonts w:ascii="Verdana" w:eastAsia="Times New Roman" w:hAnsi="Verdana" w:cs="Times New Roman"/>
          <w:sz w:val="20"/>
          <w:szCs w:val="20"/>
          <w:lang w:val="es-ES"/>
        </w:rPr>
        <w:t>, reiter</w:t>
      </w:r>
      <w:r w:rsidRPr="00432ABC">
        <w:rPr>
          <w:rFonts w:ascii="Verdana" w:eastAsia="Times New Roman" w:hAnsi="Verdana" w:cs="Times New Roman"/>
          <w:sz w:val="20"/>
          <w:szCs w:val="20"/>
          <w:lang w:val="es-ES"/>
        </w:rPr>
        <w:t>ó que el Estado Mexicano ya cuenta con instrumentos de legislación para adecuar su marco normativo respecto a la desaparición forzada. Del mismo modo, el Estado se refirió a medidas de no repetición solicitadas en cuanto a: i) legislación en materia de amparo,</w:t>
      </w:r>
      <w:r w:rsidRPr="00432ABC">
        <w:rPr>
          <w:rFonts w:ascii="Verdana" w:hAnsi="Verdana" w:cs="Times New Roman"/>
          <w:sz w:val="20"/>
          <w:szCs w:val="20"/>
          <w:lang w:val="es-EC"/>
        </w:rPr>
        <w:t xml:space="preserve"> </w:t>
      </w:r>
      <w:r w:rsidR="006C7976">
        <w:rPr>
          <w:rFonts w:ascii="Verdana" w:hAnsi="Verdana" w:cs="Times New Roman"/>
          <w:sz w:val="20"/>
          <w:szCs w:val="20"/>
          <w:lang w:val="es-EC"/>
        </w:rPr>
        <w:t xml:space="preserve">respecto de la cual </w:t>
      </w:r>
      <w:r w:rsidRPr="00432ABC">
        <w:rPr>
          <w:rFonts w:ascii="Verdana" w:hAnsi="Verdana" w:cs="Times New Roman"/>
          <w:sz w:val="20"/>
          <w:szCs w:val="20"/>
          <w:lang w:val="es-EC"/>
        </w:rPr>
        <w:t>afirmó que con la nueva Ley de Amparo</w:t>
      </w:r>
      <w:r w:rsidRPr="00744CE4">
        <w:rPr>
          <w:rFonts w:ascii="Verdana" w:eastAsia="Calibri" w:hAnsi="Verdana" w:cs="Times New Roman"/>
          <w:sz w:val="20"/>
          <w:szCs w:val="20"/>
          <w:vertAlign w:val="superscript"/>
          <w:lang w:val="es-ES" w:eastAsia="es-ES"/>
        </w:rPr>
        <w:footnoteReference w:id="552"/>
      </w:r>
      <w:r w:rsidRPr="00744CE4">
        <w:rPr>
          <w:rFonts w:ascii="Verdana" w:eastAsia="Calibri" w:hAnsi="Verdana" w:cs="Times New Roman"/>
          <w:sz w:val="20"/>
          <w:szCs w:val="20"/>
          <w:lang w:val="es-ES" w:eastAsia="es-ES"/>
        </w:rPr>
        <w:t xml:space="preserve">, </w:t>
      </w:r>
      <w:r w:rsidRPr="00744CE4">
        <w:rPr>
          <w:rFonts w:ascii="Verdana" w:hAnsi="Verdana" w:cs="Times New Roman"/>
          <w:sz w:val="20"/>
          <w:szCs w:val="20"/>
          <w:lang w:val="es-EC"/>
        </w:rPr>
        <w:t>se estableció un nuevo mecanismo para casos de desaparición, concluyendo el Estado</w:t>
      </w:r>
      <w:r w:rsidR="006C7976">
        <w:rPr>
          <w:rFonts w:ascii="Verdana" w:hAnsi="Verdana" w:cs="Times New Roman"/>
          <w:sz w:val="20"/>
          <w:szCs w:val="20"/>
          <w:lang w:val="es-EC"/>
        </w:rPr>
        <w:t xml:space="preserve"> que se</w:t>
      </w:r>
      <w:r w:rsidRPr="00744CE4">
        <w:rPr>
          <w:rFonts w:ascii="Verdana" w:hAnsi="Verdana" w:cs="Times New Roman"/>
          <w:sz w:val="20"/>
          <w:szCs w:val="20"/>
          <w:lang w:val="es-EC"/>
        </w:rPr>
        <w:t xml:space="preserve"> ha</w:t>
      </w:r>
      <w:r w:rsidR="006C7976">
        <w:rPr>
          <w:rFonts w:ascii="Verdana" w:hAnsi="Verdana" w:cs="Times New Roman"/>
          <w:sz w:val="20"/>
          <w:szCs w:val="20"/>
          <w:lang w:val="es-EC"/>
        </w:rPr>
        <w:t>n</w:t>
      </w:r>
      <w:r w:rsidRPr="00744CE4">
        <w:rPr>
          <w:rFonts w:ascii="Verdana" w:hAnsi="Verdana" w:cs="Times New Roman"/>
          <w:sz w:val="20"/>
          <w:szCs w:val="20"/>
          <w:lang w:val="es-EC"/>
        </w:rPr>
        <w:t xml:space="preserve"> realizado los cambios necesarios en materia de amparo</w:t>
      </w:r>
      <w:r w:rsidRPr="00432ABC">
        <w:rPr>
          <w:rFonts w:ascii="Verdana" w:hAnsi="Verdana" w:cs="Times New Roman"/>
          <w:sz w:val="20"/>
          <w:szCs w:val="20"/>
          <w:lang w:val="es-EC"/>
        </w:rPr>
        <w:t xml:space="preserve"> y desaparición de personas</w:t>
      </w:r>
      <w:r w:rsidRPr="00432ABC">
        <w:rPr>
          <w:rFonts w:ascii="Verdana" w:eastAsia="Times New Roman" w:hAnsi="Verdana" w:cs="Times New Roman"/>
          <w:sz w:val="20"/>
          <w:szCs w:val="20"/>
          <w:lang w:val="es-ES"/>
        </w:rPr>
        <w:t>; ii) respecto de avances en materia de desaparición de personas,</w:t>
      </w:r>
      <w:r w:rsidRPr="002C462C">
        <w:rPr>
          <w:rFonts w:ascii="Verdana" w:hAnsi="Verdana" w:cs="Times New Roman"/>
          <w:sz w:val="20"/>
          <w:szCs w:val="20"/>
          <w:lang w:val="es-EC"/>
        </w:rPr>
        <w:t xml:space="preserve"> destacó que al solicitar las representantes la </w:t>
      </w:r>
      <w:r w:rsidRPr="002C462C">
        <w:rPr>
          <w:rFonts w:ascii="Verdana" w:hAnsi="Verdana" w:cs="Times New Roman"/>
          <w:sz w:val="20"/>
          <w:szCs w:val="20"/>
          <w:lang w:val="es-EC"/>
        </w:rPr>
        <w:lastRenderedPageBreak/>
        <w:t xml:space="preserve">modificación al RNPED, </w:t>
      </w:r>
      <w:r w:rsidR="00D14F9A">
        <w:rPr>
          <w:rFonts w:ascii="Verdana" w:hAnsi="Verdana" w:cs="Times New Roman"/>
          <w:sz w:val="20"/>
          <w:szCs w:val="20"/>
          <w:lang w:val="es-EC"/>
        </w:rPr>
        <w:t>“</w:t>
      </w:r>
      <w:r w:rsidRPr="002C462C">
        <w:rPr>
          <w:rFonts w:ascii="Verdana" w:hAnsi="Verdana" w:cs="Times New Roman"/>
          <w:sz w:val="20"/>
          <w:szCs w:val="20"/>
          <w:lang w:val="es-EC"/>
        </w:rPr>
        <w:t>para que cumpla con recomendaciones internacionales</w:t>
      </w:r>
      <w:r w:rsidR="00D14F9A">
        <w:rPr>
          <w:rFonts w:ascii="Verdana" w:hAnsi="Verdana" w:cs="Times New Roman"/>
          <w:sz w:val="20"/>
          <w:szCs w:val="20"/>
          <w:lang w:val="es-EC"/>
        </w:rPr>
        <w:t>”</w:t>
      </w:r>
      <w:r w:rsidRPr="002C462C">
        <w:rPr>
          <w:rFonts w:ascii="Verdana" w:hAnsi="Verdana" w:cs="Times New Roman"/>
          <w:sz w:val="20"/>
          <w:szCs w:val="20"/>
          <w:lang w:val="es-EC"/>
        </w:rPr>
        <w:t>, no especificaron a cual</w:t>
      </w:r>
      <w:r w:rsidR="00D14F9A">
        <w:rPr>
          <w:rFonts w:ascii="Verdana" w:hAnsi="Verdana" w:cs="Times New Roman"/>
          <w:sz w:val="20"/>
          <w:szCs w:val="20"/>
          <w:lang w:val="es-EC"/>
        </w:rPr>
        <w:t>es</w:t>
      </w:r>
      <w:r w:rsidRPr="002C462C">
        <w:rPr>
          <w:rFonts w:ascii="Verdana" w:hAnsi="Verdana" w:cs="Times New Roman"/>
          <w:sz w:val="20"/>
          <w:szCs w:val="20"/>
          <w:lang w:val="es-EC"/>
        </w:rPr>
        <w:t xml:space="preserve"> </w:t>
      </w:r>
      <w:r w:rsidR="00D14F9A">
        <w:rPr>
          <w:rFonts w:ascii="Verdana" w:hAnsi="Verdana" w:cs="Times New Roman"/>
          <w:sz w:val="20"/>
          <w:szCs w:val="20"/>
          <w:lang w:val="es-EC"/>
        </w:rPr>
        <w:t xml:space="preserve">de dichas recomendaciones </w:t>
      </w:r>
      <w:r w:rsidRPr="002C462C">
        <w:rPr>
          <w:rFonts w:ascii="Verdana" w:hAnsi="Verdana" w:cs="Times New Roman"/>
          <w:sz w:val="20"/>
          <w:szCs w:val="20"/>
          <w:lang w:val="es-EC"/>
        </w:rPr>
        <w:t>se refiere</w:t>
      </w:r>
      <w:r w:rsidR="005401E7">
        <w:rPr>
          <w:rFonts w:ascii="Verdana" w:hAnsi="Verdana" w:cs="Times New Roman"/>
          <w:sz w:val="20"/>
          <w:szCs w:val="20"/>
          <w:lang w:val="es-EC"/>
        </w:rPr>
        <w:t>n</w:t>
      </w:r>
      <w:r w:rsidR="005401E7" w:rsidRPr="008D0846">
        <w:rPr>
          <w:rFonts w:ascii="Verdana" w:eastAsia="Times New Roman" w:hAnsi="Verdana" w:cs="Times New Roman"/>
          <w:sz w:val="20"/>
          <w:szCs w:val="20"/>
          <w:lang w:val="es-ES"/>
        </w:rPr>
        <w:t>.</w:t>
      </w:r>
      <w:r w:rsidRPr="00744CE4">
        <w:rPr>
          <w:rFonts w:ascii="Verdana" w:eastAsia="Times New Roman" w:hAnsi="Verdana" w:cs="Times New Roman"/>
          <w:sz w:val="20"/>
          <w:szCs w:val="20"/>
          <w:lang w:val="es-ES"/>
        </w:rPr>
        <w:t xml:space="preserve"> En cuanto a la solicitud relacionada con la Ley de Seguridad Interior, consideró que la función de legislar se relacion</w:t>
      </w:r>
      <w:r w:rsidR="005401E7">
        <w:rPr>
          <w:rFonts w:ascii="Verdana" w:eastAsia="Times New Roman" w:hAnsi="Verdana" w:cs="Times New Roman"/>
          <w:sz w:val="20"/>
          <w:szCs w:val="20"/>
          <w:lang w:val="es-ES"/>
        </w:rPr>
        <w:t>a</w:t>
      </w:r>
      <w:r w:rsidRPr="00744CE4">
        <w:rPr>
          <w:rFonts w:ascii="Verdana" w:eastAsia="Times New Roman" w:hAnsi="Verdana" w:cs="Times New Roman"/>
          <w:sz w:val="20"/>
          <w:szCs w:val="20"/>
          <w:lang w:val="es-ES"/>
        </w:rPr>
        <w:t xml:space="preserve"> con la soberanía con la que cuenta el Estado mexicano </w:t>
      </w:r>
      <w:r w:rsidR="005401E7">
        <w:rPr>
          <w:rFonts w:ascii="Verdana" w:eastAsia="Times New Roman" w:hAnsi="Verdana" w:cs="Times New Roman"/>
          <w:sz w:val="20"/>
          <w:szCs w:val="20"/>
          <w:lang w:val="es-ES"/>
        </w:rPr>
        <w:t xml:space="preserve">al respecto, </w:t>
      </w:r>
      <w:r w:rsidRPr="00744CE4">
        <w:rPr>
          <w:rFonts w:ascii="Verdana" w:eastAsia="Times New Roman" w:hAnsi="Verdana" w:cs="Times New Roman"/>
          <w:sz w:val="20"/>
          <w:szCs w:val="20"/>
          <w:lang w:val="es-ES"/>
        </w:rPr>
        <w:t xml:space="preserve">por lo que no sería viable que la Corte </w:t>
      </w:r>
      <w:r w:rsidR="005401E7">
        <w:rPr>
          <w:rFonts w:ascii="Verdana" w:eastAsia="Times New Roman" w:hAnsi="Verdana" w:cs="Times New Roman"/>
          <w:sz w:val="20"/>
          <w:szCs w:val="20"/>
          <w:lang w:val="es-ES"/>
        </w:rPr>
        <w:t xml:space="preserve">le </w:t>
      </w:r>
      <w:r w:rsidRPr="00744CE4">
        <w:rPr>
          <w:rFonts w:ascii="Verdana" w:eastAsia="Times New Roman" w:hAnsi="Verdana" w:cs="Times New Roman"/>
          <w:sz w:val="20"/>
          <w:szCs w:val="20"/>
          <w:lang w:val="es-ES"/>
        </w:rPr>
        <w:t>ordene abstenerse a legislar</w:t>
      </w:r>
      <w:r w:rsidRPr="00744CE4">
        <w:rPr>
          <w:rFonts w:ascii="Verdana" w:hAnsi="Verdana" w:cs="Times New Roman"/>
          <w:b/>
          <w:sz w:val="20"/>
          <w:szCs w:val="20"/>
          <w:lang w:val="es-EC"/>
        </w:rPr>
        <w:t xml:space="preserve"> </w:t>
      </w:r>
      <w:r w:rsidR="005401E7">
        <w:rPr>
          <w:rFonts w:ascii="Verdana" w:hAnsi="Verdana" w:cs="Times New Roman"/>
          <w:sz w:val="20"/>
          <w:szCs w:val="20"/>
          <w:lang w:val="es-EC"/>
        </w:rPr>
        <w:t xml:space="preserve">sobre </w:t>
      </w:r>
      <w:r w:rsidR="005401E7" w:rsidRPr="008D0846">
        <w:rPr>
          <w:rFonts w:ascii="Verdana" w:hAnsi="Verdana" w:cs="Times New Roman"/>
          <w:sz w:val="20"/>
          <w:szCs w:val="20"/>
          <w:lang w:val="es-EC"/>
        </w:rPr>
        <w:t>una materia</w:t>
      </w:r>
      <w:r w:rsidR="003D5316" w:rsidRPr="008D0846">
        <w:rPr>
          <w:rFonts w:ascii="Verdana" w:hAnsi="Verdana" w:cs="Times New Roman"/>
          <w:sz w:val="20"/>
          <w:szCs w:val="20"/>
          <w:lang w:val="es-EC"/>
        </w:rPr>
        <w:t>.</w:t>
      </w:r>
    </w:p>
    <w:p w14:paraId="6FB81DF9" w14:textId="134812EE" w:rsidR="009114A1" w:rsidRPr="00744CE4" w:rsidRDefault="009114A1" w:rsidP="00DB378B">
      <w:pPr>
        <w:widowControl w:val="0"/>
        <w:numPr>
          <w:ilvl w:val="0"/>
          <w:numId w:val="4"/>
        </w:numPr>
        <w:tabs>
          <w:tab w:val="left" w:pos="567"/>
        </w:tabs>
        <w:autoSpaceDE w:val="0"/>
        <w:autoSpaceDN w:val="0"/>
        <w:adjustRightInd w:val="0"/>
        <w:spacing w:before="120" w:after="120" w:line="240" w:lineRule="auto"/>
        <w:ind w:left="0" w:firstLine="0"/>
        <w:jc w:val="both"/>
        <w:textAlignment w:val="baseline"/>
        <w:rPr>
          <w:rFonts w:ascii="Verdana" w:eastAsia="Times New Roman" w:hAnsi="Verdana" w:cs="Times New Roman"/>
          <w:bCs/>
          <w:sz w:val="20"/>
          <w:szCs w:val="20"/>
          <w:lang w:val="es-ES"/>
        </w:rPr>
      </w:pPr>
      <w:r w:rsidRPr="00744CE4">
        <w:rPr>
          <w:rFonts w:ascii="Verdana" w:eastAsia="Times New Roman" w:hAnsi="Verdana" w:cs="Times New Roman"/>
          <w:sz w:val="20"/>
          <w:szCs w:val="20"/>
          <w:lang w:val="es-ES"/>
        </w:rPr>
        <w:t xml:space="preserve">La </w:t>
      </w:r>
      <w:r w:rsidRPr="00744CE4">
        <w:rPr>
          <w:rFonts w:ascii="Verdana" w:eastAsia="Times New Roman" w:hAnsi="Verdana" w:cs="Times New Roman"/>
          <w:b/>
          <w:i/>
          <w:sz w:val="20"/>
          <w:szCs w:val="20"/>
          <w:lang w:val="es-ES"/>
        </w:rPr>
        <w:t>Corte</w:t>
      </w:r>
      <w:r w:rsidRPr="00744CE4">
        <w:rPr>
          <w:rFonts w:ascii="Verdana" w:eastAsia="Times New Roman" w:hAnsi="Verdana" w:cs="Times New Roman"/>
          <w:sz w:val="20"/>
          <w:szCs w:val="20"/>
          <w:lang w:val="es-ES"/>
        </w:rPr>
        <w:t xml:space="preserve"> reitera que el Estado reconoció su responsabilidad internacional por la violación del artículo 2 de la Convención, debido a que: i) al momento de los hechos no existía legislación en materia de desaparición forzada que fuera compatible con los estándares interamericanos</w:t>
      </w:r>
      <w:r w:rsidR="005401E7">
        <w:rPr>
          <w:rFonts w:ascii="Verdana" w:eastAsia="Times New Roman" w:hAnsi="Verdana" w:cs="Times New Roman"/>
          <w:sz w:val="20"/>
          <w:szCs w:val="20"/>
          <w:lang w:val="es-ES"/>
        </w:rPr>
        <w:t>;</w:t>
      </w:r>
      <w:r w:rsidRPr="00744CE4">
        <w:rPr>
          <w:rFonts w:ascii="Verdana" w:eastAsia="Times New Roman" w:hAnsi="Verdana" w:cs="Times New Roman"/>
          <w:sz w:val="20"/>
          <w:szCs w:val="20"/>
          <w:lang w:val="es-ES"/>
        </w:rPr>
        <w:t xml:space="preserve"> ii) las investigaciones en el presente caso fueron atraídas </w:t>
      </w:r>
      <w:r w:rsidR="005401E7">
        <w:rPr>
          <w:rFonts w:ascii="Verdana" w:eastAsia="Times New Roman" w:hAnsi="Verdana" w:cs="Times New Roman"/>
          <w:sz w:val="20"/>
          <w:szCs w:val="20"/>
          <w:lang w:val="es-ES"/>
        </w:rPr>
        <w:t xml:space="preserve">en algún momento </w:t>
      </w:r>
      <w:r w:rsidRPr="00744CE4">
        <w:rPr>
          <w:rFonts w:ascii="Verdana" w:eastAsia="Times New Roman" w:hAnsi="Verdana" w:cs="Times New Roman"/>
          <w:sz w:val="20"/>
          <w:szCs w:val="20"/>
          <w:lang w:val="es-ES"/>
        </w:rPr>
        <w:t xml:space="preserve">por la jurisdicción militar, y iii) la normativa en materia de amparo </w:t>
      </w:r>
      <w:r w:rsidR="005401E7">
        <w:rPr>
          <w:rFonts w:ascii="Verdana" w:eastAsia="Times New Roman" w:hAnsi="Verdana" w:cs="Times New Roman"/>
          <w:sz w:val="20"/>
          <w:szCs w:val="20"/>
          <w:lang w:val="es-ES"/>
        </w:rPr>
        <w:t xml:space="preserve">entonces vigente </w:t>
      </w:r>
      <w:r w:rsidRPr="00744CE4">
        <w:rPr>
          <w:rFonts w:ascii="Verdana" w:eastAsia="Times New Roman" w:hAnsi="Verdana" w:cs="Times New Roman"/>
          <w:sz w:val="20"/>
          <w:szCs w:val="20"/>
          <w:lang w:val="es-ES"/>
        </w:rPr>
        <w:t>solicitaba la ratificación de la demanda de amparo (</w:t>
      </w:r>
      <w:r w:rsidR="005401E7" w:rsidRPr="008D0846">
        <w:rPr>
          <w:rFonts w:ascii="Verdana" w:eastAsia="Times New Roman" w:hAnsi="Verdana" w:cs="Times New Roman"/>
          <w:i/>
          <w:sz w:val="20"/>
          <w:szCs w:val="20"/>
          <w:lang w:val="es-ES"/>
        </w:rPr>
        <w:t>s</w:t>
      </w:r>
      <w:r w:rsidRPr="008D0846">
        <w:rPr>
          <w:rFonts w:ascii="Verdana" w:eastAsia="Times New Roman" w:hAnsi="Verdana" w:cs="Times New Roman"/>
          <w:i/>
          <w:sz w:val="20"/>
          <w:szCs w:val="20"/>
          <w:lang w:val="es-ES"/>
        </w:rPr>
        <w:t>up</w:t>
      </w:r>
      <w:r w:rsidR="005401E7" w:rsidRPr="008D0846">
        <w:rPr>
          <w:rFonts w:ascii="Verdana" w:eastAsia="Times New Roman" w:hAnsi="Verdana" w:cs="Times New Roman"/>
          <w:i/>
          <w:sz w:val="20"/>
          <w:szCs w:val="20"/>
          <w:lang w:val="es-ES"/>
        </w:rPr>
        <w:t>r</w:t>
      </w:r>
      <w:r w:rsidRPr="008D0846">
        <w:rPr>
          <w:rFonts w:ascii="Verdana" w:eastAsia="Times New Roman" w:hAnsi="Verdana" w:cs="Times New Roman"/>
          <w:i/>
          <w:sz w:val="20"/>
          <w:szCs w:val="20"/>
          <w:lang w:val="es-ES"/>
        </w:rPr>
        <w:t>a</w:t>
      </w:r>
      <w:r w:rsidRPr="00744CE4">
        <w:rPr>
          <w:rFonts w:ascii="Verdana" w:eastAsia="Times New Roman" w:hAnsi="Verdana" w:cs="Times New Roman"/>
          <w:sz w:val="20"/>
          <w:szCs w:val="20"/>
          <w:lang w:val="es-ES"/>
        </w:rPr>
        <w:t xml:space="preserve"> </w:t>
      </w:r>
      <w:r w:rsidR="005401E7">
        <w:rPr>
          <w:rFonts w:ascii="Verdana" w:eastAsia="Times New Roman" w:hAnsi="Verdana" w:cs="Times New Roman"/>
          <w:sz w:val="20"/>
          <w:szCs w:val="20"/>
          <w:lang w:val="es-ES"/>
        </w:rPr>
        <w:t>párr</w:t>
      </w:r>
      <w:r w:rsidR="000E1FB7">
        <w:rPr>
          <w:rFonts w:ascii="Verdana" w:eastAsia="Times New Roman" w:hAnsi="Verdana" w:cs="Times New Roman"/>
          <w:sz w:val="20"/>
          <w:szCs w:val="20"/>
          <w:lang w:val="es-ES"/>
        </w:rPr>
        <w:t>s</w:t>
      </w:r>
      <w:r w:rsidR="005401E7">
        <w:rPr>
          <w:rFonts w:ascii="Verdana" w:eastAsia="Times New Roman" w:hAnsi="Verdana" w:cs="Times New Roman"/>
          <w:sz w:val="20"/>
          <w:szCs w:val="20"/>
          <w:lang w:val="es-ES"/>
        </w:rPr>
        <w:t>.</w:t>
      </w:r>
      <w:r w:rsidR="000E1FB7">
        <w:rPr>
          <w:rFonts w:ascii="Verdana" w:eastAsia="Times New Roman" w:hAnsi="Verdana" w:cs="Times New Roman"/>
          <w:sz w:val="20"/>
          <w:szCs w:val="20"/>
          <w:lang w:val="es-ES"/>
        </w:rPr>
        <w:t xml:space="preserve"> 19, 21 y 23</w:t>
      </w:r>
      <w:r w:rsidRPr="00744CE4">
        <w:rPr>
          <w:rFonts w:ascii="Verdana" w:eastAsia="Times New Roman" w:hAnsi="Verdana" w:cs="Times New Roman"/>
          <w:sz w:val="20"/>
          <w:szCs w:val="20"/>
          <w:lang w:val="es-ES"/>
        </w:rPr>
        <w:t xml:space="preserve">). En vista de lo anterior, en el </w:t>
      </w:r>
      <w:r w:rsidR="005401E7">
        <w:rPr>
          <w:rFonts w:ascii="Verdana" w:eastAsia="Times New Roman" w:hAnsi="Verdana" w:cs="Times New Roman"/>
          <w:sz w:val="20"/>
          <w:szCs w:val="20"/>
          <w:lang w:val="es-ES"/>
        </w:rPr>
        <w:t>C</w:t>
      </w:r>
      <w:r w:rsidRPr="00744CE4">
        <w:rPr>
          <w:rFonts w:ascii="Verdana" w:eastAsia="Times New Roman" w:hAnsi="Verdana" w:cs="Times New Roman"/>
          <w:sz w:val="20"/>
          <w:szCs w:val="20"/>
          <w:lang w:val="es-ES"/>
        </w:rPr>
        <w:t xml:space="preserve">apítulo </w:t>
      </w:r>
      <w:r w:rsidR="005401E7">
        <w:rPr>
          <w:rFonts w:ascii="Verdana" w:eastAsia="Times New Roman" w:hAnsi="Verdana" w:cs="Times New Roman"/>
          <w:sz w:val="20"/>
          <w:szCs w:val="20"/>
          <w:lang w:val="es-ES"/>
        </w:rPr>
        <w:t>VII.2</w:t>
      </w:r>
      <w:r w:rsidR="005401E7" w:rsidRPr="00744CE4">
        <w:rPr>
          <w:rFonts w:ascii="Verdana" w:eastAsia="Times New Roman" w:hAnsi="Verdana" w:cs="Times New Roman"/>
          <w:sz w:val="20"/>
          <w:szCs w:val="20"/>
          <w:lang w:val="es-ES"/>
        </w:rPr>
        <w:t xml:space="preserve"> </w:t>
      </w:r>
      <w:r w:rsidRPr="00744CE4">
        <w:rPr>
          <w:rFonts w:ascii="Verdana" w:eastAsia="Times New Roman" w:hAnsi="Verdana" w:cs="Times New Roman"/>
          <w:sz w:val="20"/>
          <w:szCs w:val="20"/>
          <w:lang w:val="es-ES"/>
        </w:rPr>
        <w:t xml:space="preserve">de </w:t>
      </w:r>
      <w:r w:rsidR="00041675">
        <w:rPr>
          <w:rFonts w:ascii="Verdana" w:eastAsia="Times New Roman" w:hAnsi="Verdana" w:cs="Times New Roman"/>
          <w:sz w:val="20"/>
          <w:szCs w:val="20"/>
          <w:lang w:val="es-ES"/>
        </w:rPr>
        <w:t>la Sentencia</w:t>
      </w:r>
      <w:r w:rsidRPr="00744CE4">
        <w:rPr>
          <w:rFonts w:ascii="Verdana" w:eastAsia="Times New Roman" w:hAnsi="Verdana" w:cs="Times New Roman"/>
          <w:sz w:val="20"/>
          <w:szCs w:val="20"/>
          <w:lang w:val="es-ES"/>
        </w:rPr>
        <w:t xml:space="preserve">, la Corte se pronunció al respecto, por lo que en este apartado se referirá de manera puntual a las reparaciones ordenadas en la materia. </w:t>
      </w:r>
    </w:p>
    <w:p w14:paraId="3D40087D" w14:textId="27DD8BF9" w:rsidR="00135675" w:rsidRPr="00744CE4" w:rsidRDefault="00E34BFF" w:rsidP="008D0846">
      <w:pPr>
        <w:pStyle w:val="Heading3"/>
        <w:numPr>
          <w:ilvl w:val="0"/>
          <w:numId w:val="70"/>
        </w:numPr>
        <w:spacing w:before="120" w:after="120"/>
        <w:ind w:left="2268" w:hanging="426"/>
        <w:contextualSpacing w:val="0"/>
        <w:rPr>
          <w:b w:val="0"/>
          <w:lang w:val="es-ES"/>
        </w:rPr>
      </w:pPr>
      <w:bookmarkStart w:id="386" w:name="_Toc526783827"/>
      <w:r>
        <w:rPr>
          <w:b w:val="0"/>
          <w:lang w:val="es-ES"/>
        </w:rPr>
        <w:t xml:space="preserve"> </w:t>
      </w:r>
      <w:bookmarkStart w:id="387" w:name="_Toc532995409"/>
      <w:r w:rsidR="009114A1" w:rsidRPr="00744CE4">
        <w:rPr>
          <w:b w:val="0"/>
          <w:lang w:val="es-ES"/>
        </w:rPr>
        <w:t>Sobre la Ley General sobre Desaparición Forzada de Personas</w:t>
      </w:r>
      <w:bookmarkEnd w:id="386"/>
      <w:bookmarkEnd w:id="387"/>
    </w:p>
    <w:p w14:paraId="66E16446" w14:textId="7BE4E866" w:rsidR="009114A1" w:rsidRPr="00744CE4" w:rsidRDefault="009114A1" w:rsidP="00DB378B">
      <w:pPr>
        <w:widowControl w:val="0"/>
        <w:numPr>
          <w:ilvl w:val="0"/>
          <w:numId w:val="4"/>
        </w:numPr>
        <w:tabs>
          <w:tab w:val="left" w:pos="567"/>
        </w:tabs>
        <w:autoSpaceDE w:val="0"/>
        <w:autoSpaceDN w:val="0"/>
        <w:adjustRightInd w:val="0"/>
        <w:spacing w:before="120" w:after="120" w:line="240" w:lineRule="auto"/>
        <w:ind w:left="0" w:firstLine="0"/>
        <w:jc w:val="both"/>
        <w:textAlignment w:val="baseline"/>
        <w:rPr>
          <w:rFonts w:ascii="Verdana" w:hAnsi="Verdana" w:cs="Times New Roman"/>
          <w:b/>
          <w:sz w:val="20"/>
          <w:szCs w:val="20"/>
          <w:lang w:val="es-EC"/>
        </w:rPr>
      </w:pPr>
      <w:r w:rsidRPr="00744CE4">
        <w:rPr>
          <w:rFonts w:ascii="Verdana" w:hAnsi="Verdana" w:cs="Times New Roman"/>
          <w:sz w:val="20"/>
          <w:szCs w:val="20"/>
          <w:lang w:val="es-AR"/>
        </w:rPr>
        <w:t xml:space="preserve">La </w:t>
      </w:r>
      <w:r w:rsidRPr="00744CE4">
        <w:rPr>
          <w:rFonts w:ascii="Verdana" w:hAnsi="Verdana" w:cs="Times New Roman"/>
          <w:b/>
          <w:i/>
          <w:sz w:val="20"/>
          <w:szCs w:val="20"/>
          <w:lang w:val="es-AR"/>
        </w:rPr>
        <w:t xml:space="preserve">Corte </w:t>
      </w:r>
      <w:r w:rsidRPr="00744CE4">
        <w:rPr>
          <w:rFonts w:ascii="Verdana" w:eastAsia="Times New Roman" w:hAnsi="Verdana" w:cs="Times New Roman"/>
          <w:sz w:val="20"/>
          <w:szCs w:val="20"/>
          <w:lang w:val="es-ES"/>
        </w:rPr>
        <w:t>toma</w:t>
      </w:r>
      <w:r w:rsidRPr="00744CE4">
        <w:rPr>
          <w:rFonts w:ascii="Verdana" w:hAnsi="Verdana" w:cs="Times New Roman"/>
          <w:sz w:val="20"/>
          <w:szCs w:val="20"/>
          <w:lang w:val="es-AR"/>
        </w:rPr>
        <w:t xml:space="preserve"> nota </w:t>
      </w:r>
      <w:r w:rsidR="002861AF">
        <w:rPr>
          <w:rFonts w:ascii="Verdana" w:hAnsi="Verdana" w:cs="Times New Roman"/>
          <w:sz w:val="20"/>
          <w:szCs w:val="20"/>
          <w:lang w:val="es-AR"/>
        </w:rPr>
        <w:t xml:space="preserve">de </w:t>
      </w:r>
      <w:r w:rsidRPr="00744CE4">
        <w:rPr>
          <w:rFonts w:ascii="Verdana" w:hAnsi="Verdana" w:cs="Times New Roman"/>
          <w:sz w:val="20"/>
          <w:szCs w:val="20"/>
          <w:lang w:val="es-AR"/>
        </w:rPr>
        <w:t>que</w:t>
      </w:r>
      <w:r w:rsidR="002861AF">
        <w:rPr>
          <w:rFonts w:ascii="Verdana" w:hAnsi="Verdana" w:cs="Times New Roman"/>
          <w:sz w:val="20"/>
          <w:szCs w:val="20"/>
          <w:lang w:val="es-EC"/>
        </w:rPr>
        <w:t xml:space="preserve"> </w:t>
      </w:r>
      <w:r w:rsidRPr="00744CE4">
        <w:rPr>
          <w:rFonts w:ascii="Verdana" w:hAnsi="Verdana" w:cs="Times New Roman"/>
          <w:sz w:val="20"/>
          <w:szCs w:val="20"/>
          <w:lang w:val="es-EC"/>
        </w:rPr>
        <w:t>e</w:t>
      </w:r>
      <w:r w:rsidR="002861AF">
        <w:rPr>
          <w:rFonts w:ascii="Verdana" w:hAnsi="Verdana" w:cs="Times New Roman"/>
          <w:sz w:val="20"/>
          <w:szCs w:val="20"/>
          <w:lang w:val="es-EC"/>
        </w:rPr>
        <w:t>l</w:t>
      </w:r>
      <w:r w:rsidR="00512324">
        <w:rPr>
          <w:rFonts w:ascii="Verdana" w:hAnsi="Verdana" w:cs="Times New Roman"/>
          <w:sz w:val="20"/>
          <w:szCs w:val="20"/>
          <w:lang w:val="es-EC"/>
        </w:rPr>
        <w:t xml:space="preserve"> 17 de noviembre de</w:t>
      </w:r>
      <w:r w:rsidRPr="00744CE4">
        <w:rPr>
          <w:rFonts w:ascii="Verdana" w:hAnsi="Verdana" w:cs="Times New Roman"/>
          <w:sz w:val="20"/>
          <w:szCs w:val="20"/>
          <w:lang w:val="es-EC"/>
        </w:rPr>
        <w:t xml:space="preserve"> 2017 fue </w:t>
      </w:r>
      <w:r w:rsidR="00512324">
        <w:rPr>
          <w:rFonts w:ascii="Verdana" w:hAnsi="Verdana" w:cs="Times New Roman"/>
          <w:sz w:val="20"/>
          <w:szCs w:val="20"/>
          <w:lang w:val="es-EC"/>
        </w:rPr>
        <w:t xml:space="preserve">publicada la </w:t>
      </w:r>
      <w:r w:rsidRPr="00744CE4">
        <w:rPr>
          <w:rFonts w:ascii="Verdana" w:hAnsi="Verdana" w:cs="Times New Roman"/>
          <w:sz w:val="20"/>
          <w:szCs w:val="20"/>
          <w:lang w:val="es-EC"/>
        </w:rPr>
        <w:t xml:space="preserve">la </w:t>
      </w:r>
      <w:r w:rsidR="00D20A59">
        <w:rPr>
          <w:rFonts w:ascii="Verdana" w:hAnsi="Verdana" w:cs="Times New Roman"/>
          <w:sz w:val="20"/>
          <w:szCs w:val="20"/>
          <w:lang w:val="es-EC"/>
        </w:rPr>
        <w:t>“</w:t>
      </w:r>
      <w:r w:rsidRPr="008D0846">
        <w:rPr>
          <w:rFonts w:ascii="Verdana" w:hAnsi="Verdana" w:cs="Times New Roman"/>
          <w:sz w:val="20"/>
          <w:szCs w:val="20"/>
          <w:lang w:val="es-EC"/>
        </w:rPr>
        <w:t xml:space="preserve">Ley </w:t>
      </w:r>
      <w:hyperlink r:id="rId12" w:history="1">
        <w:r w:rsidR="00512324" w:rsidRPr="008D0846">
          <w:rPr>
            <w:rStyle w:val="Hyperlink"/>
            <w:rFonts w:ascii="Verdana" w:hAnsi="Verdana" w:cs="Times New Roman"/>
            <w:bCs/>
            <w:color w:val="auto"/>
            <w:sz w:val="20"/>
            <w:szCs w:val="20"/>
            <w:u w:val="none"/>
            <w:lang w:val="es-ES"/>
          </w:rPr>
          <w:t>General en Materia de Desaparición Forzada de Personas, Desaparición Cometida por Particulares y del Sistema Nacional de Búsqueda de Personas</w:t>
        </w:r>
      </w:hyperlink>
      <w:r w:rsidR="00D20A59">
        <w:rPr>
          <w:rFonts w:ascii="Verdana" w:hAnsi="Verdana" w:cs="Times New Roman"/>
          <w:sz w:val="20"/>
          <w:szCs w:val="20"/>
          <w:lang w:val="es-EC"/>
        </w:rPr>
        <w:t>”</w:t>
      </w:r>
      <w:r w:rsidR="00290903">
        <w:rPr>
          <w:rStyle w:val="FootnoteReference"/>
          <w:rFonts w:ascii="Verdana" w:hAnsi="Verdana" w:cs="Times New Roman"/>
          <w:sz w:val="20"/>
          <w:szCs w:val="20"/>
          <w:lang w:val="es-EC"/>
        </w:rPr>
        <w:footnoteReference w:id="553"/>
      </w:r>
      <w:r w:rsidRPr="00744CE4">
        <w:rPr>
          <w:rFonts w:ascii="Verdana" w:hAnsi="Verdana" w:cs="Times New Roman"/>
          <w:sz w:val="20"/>
          <w:szCs w:val="20"/>
          <w:lang w:val="es-EC"/>
        </w:rPr>
        <w:t>, la cual permite establecer una nueva política pública enfocada en la búsqueda y localización de personas desaparecidas y plantea la creación de cuatro instrumentos básicos: i) el Sistema Nacional de Búsqueda; ii) el Registro Nacional de Personas Desaparecidas y No Localizadas; iii) el Registro Nacional Forense</w:t>
      </w:r>
      <w:r w:rsidR="00D20A59">
        <w:rPr>
          <w:rFonts w:ascii="Verdana" w:hAnsi="Verdana" w:cs="Times New Roman"/>
          <w:sz w:val="20"/>
          <w:szCs w:val="20"/>
          <w:lang w:val="es-EC"/>
        </w:rPr>
        <w:t>,</w:t>
      </w:r>
      <w:r w:rsidRPr="00744CE4">
        <w:rPr>
          <w:rFonts w:ascii="Verdana" w:hAnsi="Verdana" w:cs="Times New Roman"/>
          <w:sz w:val="20"/>
          <w:szCs w:val="20"/>
          <w:lang w:val="es-EC"/>
        </w:rPr>
        <w:t xml:space="preserve"> y iv) el Consejo Nacional Ciudadano.</w:t>
      </w:r>
      <w:r w:rsidRPr="00744CE4">
        <w:rPr>
          <w:rFonts w:ascii="Verdana" w:hAnsi="Verdana" w:cs="Times New Roman"/>
          <w:b/>
          <w:sz w:val="20"/>
          <w:szCs w:val="20"/>
          <w:lang w:val="es-EC"/>
        </w:rPr>
        <w:t xml:space="preserve"> </w:t>
      </w:r>
      <w:r w:rsidRPr="00744CE4">
        <w:rPr>
          <w:rFonts w:ascii="Verdana" w:hAnsi="Verdana" w:cs="Times New Roman"/>
          <w:sz w:val="20"/>
          <w:szCs w:val="20"/>
          <w:lang w:val="es-EC"/>
        </w:rPr>
        <w:t xml:space="preserve"> </w:t>
      </w:r>
    </w:p>
    <w:p w14:paraId="7BCBFE10" w14:textId="35C18DEF" w:rsidR="00A81849" w:rsidRPr="00744CE4" w:rsidRDefault="009114A1" w:rsidP="00DB378B">
      <w:pPr>
        <w:widowControl w:val="0"/>
        <w:numPr>
          <w:ilvl w:val="0"/>
          <w:numId w:val="4"/>
        </w:numPr>
        <w:tabs>
          <w:tab w:val="left" w:pos="567"/>
        </w:tabs>
        <w:autoSpaceDE w:val="0"/>
        <w:autoSpaceDN w:val="0"/>
        <w:adjustRightInd w:val="0"/>
        <w:spacing w:before="120" w:after="120" w:line="240" w:lineRule="auto"/>
        <w:ind w:left="0" w:firstLine="0"/>
        <w:jc w:val="both"/>
        <w:textAlignment w:val="baseline"/>
        <w:rPr>
          <w:rFonts w:ascii="Verdana" w:hAnsi="Verdana" w:cs="Times New Roman"/>
          <w:b/>
          <w:sz w:val="20"/>
          <w:szCs w:val="20"/>
          <w:lang w:val="es-EC"/>
        </w:rPr>
      </w:pPr>
      <w:r w:rsidRPr="00744CE4">
        <w:rPr>
          <w:rFonts w:ascii="Verdana" w:hAnsi="Verdana" w:cs="Times New Roman"/>
          <w:sz w:val="20"/>
          <w:szCs w:val="20"/>
          <w:lang w:val="es-EC"/>
        </w:rPr>
        <w:t xml:space="preserve">En virtud de lo anterior, la Corte considera que con la aprobación de la mencionada Ley y sus mecanismos el Estado ha </w:t>
      </w:r>
      <w:r w:rsidR="0059159E" w:rsidRPr="00744CE4">
        <w:rPr>
          <w:rFonts w:ascii="Verdana" w:hAnsi="Verdana" w:cs="Times New Roman"/>
          <w:sz w:val="20"/>
          <w:szCs w:val="20"/>
          <w:lang w:val="es-EC"/>
        </w:rPr>
        <w:t>atendido</w:t>
      </w:r>
      <w:r w:rsidR="00A9714E">
        <w:rPr>
          <w:rFonts w:ascii="Verdana" w:hAnsi="Verdana" w:cs="Times New Roman"/>
          <w:sz w:val="20"/>
          <w:szCs w:val="20"/>
          <w:lang w:val="es-EC"/>
        </w:rPr>
        <w:t>, en lo pertinente,</w:t>
      </w:r>
      <w:r w:rsidR="0059159E" w:rsidRPr="00744CE4">
        <w:rPr>
          <w:rFonts w:ascii="Verdana" w:hAnsi="Verdana" w:cs="Times New Roman"/>
          <w:sz w:val="20"/>
          <w:szCs w:val="20"/>
          <w:lang w:val="es-EC"/>
        </w:rPr>
        <w:t xml:space="preserve"> </w:t>
      </w:r>
      <w:r w:rsidRPr="00744CE4">
        <w:rPr>
          <w:rFonts w:ascii="Verdana" w:hAnsi="Verdana" w:cs="Times New Roman"/>
          <w:sz w:val="20"/>
          <w:szCs w:val="20"/>
          <w:lang w:val="es-EC"/>
        </w:rPr>
        <w:t>la violación previamente acreditada al respecto.</w:t>
      </w:r>
    </w:p>
    <w:p w14:paraId="020B44E0" w14:textId="350DFD8D" w:rsidR="009114A1" w:rsidRPr="00744CE4" w:rsidRDefault="00E34BFF" w:rsidP="008D0846">
      <w:pPr>
        <w:pStyle w:val="Heading3"/>
        <w:numPr>
          <w:ilvl w:val="0"/>
          <w:numId w:val="70"/>
        </w:numPr>
        <w:spacing w:before="120" w:after="120"/>
        <w:ind w:left="2268" w:hanging="426"/>
        <w:contextualSpacing w:val="0"/>
        <w:rPr>
          <w:b w:val="0"/>
          <w:lang w:val="es-ES"/>
        </w:rPr>
      </w:pPr>
      <w:bookmarkStart w:id="388" w:name="_Toc526783828"/>
      <w:r>
        <w:rPr>
          <w:b w:val="0"/>
          <w:lang w:val="es-ES"/>
        </w:rPr>
        <w:t xml:space="preserve"> </w:t>
      </w:r>
      <w:bookmarkStart w:id="389" w:name="_Toc532995410"/>
      <w:r w:rsidR="009114A1" w:rsidRPr="00744CE4">
        <w:rPr>
          <w:b w:val="0"/>
          <w:lang w:val="es-ES"/>
        </w:rPr>
        <w:t>Ley de Amparo</w:t>
      </w:r>
      <w:bookmarkEnd w:id="388"/>
      <w:bookmarkEnd w:id="389"/>
    </w:p>
    <w:p w14:paraId="7ECAAFC4" w14:textId="6393C68F" w:rsidR="009114A1" w:rsidRPr="00744CE4" w:rsidRDefault="009114A1" w:rsidP="00DB378B">
      <w:pPr>
        <w:widowControl w:val="0"/>
        <w:numPr>
          <w:ilvl w:val="0"/>
          <w:numId w:val="4"/>
        </w:numPr>
        <w:tabs>
          <w:tab w:val="left" w:pos="567"/>
        </w:tabs>
        <w:autoSpaceDE w:val="0"/>
        <w:autoSpaceDN w:val="0"/>
        <w:adjustRightInd w:val="0"/>
        <w:spacing w:before="120" w:after="120" w:line="240" w:lineRule="auto"/>
        <w:ind w:left="0" w:firstLine="0"/>
        <w:jc w:val="both"/>
        <w:textAlignment w:val="baseline"/>
        <w:rPr>
          <w:rFonts w:ascii="Verdana" w:hAnsi="Verdana" w:cs="Times New Roman"/>
          <w:b/>
          <w:sz w:val="20"/>
          <w:szCs w:val="20"/>
          <w:lang w:val="es-EC"/>
        </w:rPr>
      </w:pPr>
      <w:r w:rsidRPr="00744CE4">
        <w:rPr>
          <w:rFonts w:ascii="Verdana" w:hAnsi="Verdana"/>
          <w:sz w:val="20"/>
          <w:szCs w:val="16"/>
          <w:lang w:val="es-CR"/>
        </w:rPr>
        <w:t xml:space="preserve">Por una parte, la </w:t>
      </w:r>
      <w:r w:rsidRPr="00437446">
        <w:rPr>
          <w:rFonts w:ascii="Verdana" w:hAnsi="Verdana"/>
          <w:b/>
          <w:i/>
          <w:sz w:val="20"/>
          <w:szCs w:val="16"/>
          <w:lang w:val="es-CR"/>
        </w:rPr>
        <w:t>Corte</w:t>
      </w:r>
      <w:r w:rsidRPr="00744CE4">
        <w:rPr>
          <w:rFonts w:ascii="Verdana" w:hAnsi="Verdana"/>
          <w:sz w:val="20"/>
          <w:szCs w:val="16"/>
          <w:lang w:val="es-CR"/>
        </w:rPr>
        <w:t xml:space="preserve"> coincide con la Comisión y las representantes en cuanto a que es necesario que las autoridades judiciales cuenten con recursos suficientes para que la búsqueda de las víctimas sea eficaz y oportuna, y que la misma no se limite a un diálogo epistolar entre funcionarios públicos que solamente abone al ocultamiento de aquéllas.</w:t>
      </w:r>
      <w:r w:rsidRPr="00744CE4">
        <w:rPr>
          <w:rFonts w:ascii="Verdana" w:hAnsi="Verdana"/>
          <w:sz w:val="20"/>
          <w:szCs w:val="20"/>
          <w:lang w:val="es-CR"/>
        </w:rPr>
        <w:t xml:space="preserve"> </w:t>
      </w:r>
    </w:p>
    <w:p w14:paraId="048C87FA" w14:textId="442F84CC" w:rsidR="009114A1" w:rsidRPr="00432ABC" w:rsidRDefault="009114A1" w:rsidP="00DB378B">
      <w:pPr>
        <w:widowControl w:val="0"/>
        <w:numPr>
          <w:ilvl w:val="0"/>
          <w:numId w:val="4"/>
        </w:numPr>
        <w:tabs>
          <w:tab w:val="left" w:pos="567"/>
        </w:tabs>
        <w:autoSpaceDE w:val="0"/>
        <w:autoSpaceDN w:val="0"/>
        <w:adjustRightInd w:val="0"/>
        <w:spacing w:before="120" w:after="120" w:line="240" w:lineRule="auto"/>
        <w:ind w:left="0" w:firstLine="0"/>
        <w:jc w:val="both"/>
        <w:textAlignment w:val="baseline"/>
        <w:rPr>
          <w:rFonts w:ascii="Verdana" w:hAnsi="Verdana" w:cs="Times New Roman"/>
          <w:b/>
          <w:sz w:val="20"/>
          <w:szCs w:val="20"/>
          <w:lang w:val="es-EC"/>
        </w:rPr>
      </w:pPr>
      <w:r w:rsidRPr="00744CE4">
        <w:rPr>
          <w:rFonts w:ascii="Verdana" w:hAnsi="Verdana"/>
          <w:sz w:val="20"/>
          <w:szCs w:val="20"/>
          <w:lang w:val="es-CR"/>
        </w:rPr>
        <w:t xml:space="preserve">Sin perjuicio de lo anterior, este Tribunal concluye que no se aportaron elementos ni argumentos suficientes que le permitieran advertir los motivos para considerar que la actual redacción de la Ley de Amparo llevaría, necesariamente, a condenar dicho recurso a la ineficiencia en materia de desapariciones forzadas. Sobre todo, tomando en cuenta que el último párrafo del artículo 15 de la referida ley señala que </w:t>
      </w:r>
      <w:r w:rsidR="00DD4570">
        <w:rPr>
          <w:rFonts w:ascii="Verdana" w:hAnsi="Verdana"/>
          <w:sz w:val="20"/>
          <w:szCs w:val="20"/>
          <w:lang w:val="es-CR"/>
        </w:rPr>
        <w:t>“</w:t>
      </w:r>
      <w:r w:rsidRPr="00744CE4">
        <w:rPr>
          <w:rFonts w:ascii="Verdana" w:hAnsi="Verdana"/>
          <w:sz w:val="20"/>
          <w:szCs w:val="20"/>
          <w:lang w:val="es-CR"/>
        </w:rPr>
        <w:t xml:space="preserve">en los casos de desaparición forzada de personas el juez tiene </w:t>
      </w:r>
      <w:r w:rsidR="00DD4570">
        <w:rPr>
          <w:rFonts w:ascii="Verdana" w:hAnsi="Verdana"/>
          <w:sz w:val="20"/>
          <w:szCs w:val="20"/>
          <w:lang w:val="es-CR"/>
        </w:rPr>
        <w:t>[</w:t>
      </w:r>
      <w:r w:rsidRPr="00744CE4">
        <w:rPr>
          <w:rFonts w:ascii="Verdana" w:hAnsi="Verdana"/>
          <w:sz w:val="20"/>
          <w:szCs w:val="20"/>
          <w:lang w:val="es-CR"/>
        </w:rPr>
        <w:t>24</w:t>
      </w:r>
      <w:r w:rsidR="00DD4570">
        <w:rPr>
          <w:rFonts w:ascii="Verdana" w:hAnsi="Verdana"/>
          <w:sz w:val="20"/>
          <w:szCs w:val="20"/>
          <w:lang w:val="es-CR"/>
        </w:rPr>
        <w:t>]</w:t>
      </w:r>
      <w:r w:rsidRPr="00744CE4">
        <w:rPr>
          <w:rFonts w:ascii="Verdana" w:hAnsi="Verdana"/>
          <w:sz w:val="20"/>
          <w:szCs w:val="20"/>
          <w:lang w:val="es-CR"/>
        </w:rPr>
        <w:t xml:space="preserve"> horas para darle trámite al amparo, dictar la suspensión de los actos reclamados, y requerir a las autoridades correspondientes toda la información que pueda resultar conducente para la localización y liberación de la probable víctima”, agregando, además que “ninguna autoridad podrá […] negarse a practicar las diligencias que de ellas se soliciten o sean ordenadas”</w:t>
      </w:r>
      <w:r w:rsidRPr="00744CE4">
        <w:rPr>
          <w:rStyle w:val="FootnoteReference"/>
          <w:rFonts w:ascii="Verdana" w:hAnsi="Verdana"/>
          <w:sz w:val="20"/>
          <w:szCs w:val="20"/>
        </w:rPr>
        <w:footnoteReference w:id="554"/>
      </w:r>
      <w:r w:rsidRPr="00744CE4">
        <w:rPr>
          <w:rFonts w:ascii="Verdana" w:hAnsi="Verdana"/>
          <w:sz w:val="20"/>
          <w:szCs w:val="20"/>
          <w:lang w:val="es-CR"/>
        </w:rPr>
        <w:t xml:space="preserve">; es decir, la ley ordena una actuación inmediata y prevé mecanismos para que los juzgadores puedan obtener la presentación de las </w:t>
      </w:r>
      <w:r w:rsidR="00DD4570">
        <w:rPr>
          <w:rFonts w:ascii="Verdana" w:hAnsi="Verdana"/>
          <w:sz w:val="20"/>
          <w:szCs w:val="20"/>
          <w:lang w:val="es-CR"/>
        </w:rPr>
        <w:t xml:space="preserve">probables </w:t>
      </w:r>
      <w:r w:rsidRPr="00744CE4">
        <w:rPr>
          <w:rFonts w:ascii="Verdana" w:hAnsi="Verdana"/>
          <w:sz w:val="20"/>
          <w:szCs w:val="20"/>
          <w:lang w:val="es-CR"/>
        </w:rPr>
        <w:t xml:space="preserve">víctimas de desaparición. </w:t>
      </w:r>
      <w:r w:rsidR="00DD4570">
        <w:rPr>
          <w:rFonts w:ascii="Verdana" w:hAnsi="Verdana"/>
          <w:sz w:val="20"/>
          <w:szCs w:val="16"/>
        </w:rPr>
        <w:t>De esta forma</w:t>
      </w:r>
      <w:r w:rsidR="00590A16" w:rsidRPr="00744CE4">
        <w:rPr>
          <w:rFonts w:ascii="Verdana" w:hAnsi="Verdana"/>
          <w:sz w:val="20"/>
          <w:szCs w:val="16"/>
        </w:rPr>
        <w:t xml:space="preserve">, </w:t>
      </w:r>
      <w:r w:rsidR="00DD4570">
        <w:rPr>
          <w:rFonts w:ascii="Verdana" w:hAnsi="Verdana"/>
          <w:sz w:val="20"/>
          <w:szCs w:val="16"/>
        </w:rPr>
        <w:t xml:space="preserve">esta Corte </w:t>
      </w:r>
      <w:r w:rsidR="00590A16" w:rsidRPr="00744CE4">
        <w:rPr>
          <w:rFonts w:ascii="Verdana" w:hAnsi="Verdana"/>
          <w:sz w:val="20"/>
          <w:szCs w:val="16"/>
        </w:rPr>
        <w:t xml:space="preserve">no encuentra motivo para considerar que la actual configuración del </w:t>
      </w:r>
      <w:r w:rsidR="00DD4570">
        <w:rPr>
          <w:rFonts w:ascii="Verdana" w:hAnsi="Verdana"/>
          <w:sz w:val="20"/>
          <w:szCs w:val="16"/>
        </w:rPr>
        <w:t xml:space="preserve">juicio de </w:t>
      </w:r>
      <w:r w:rsidR="00590A16" w:rsidRPr="00744CE4">
        <w:rPr>
          <w:rFonts w:ascii="Verdana" w:hAnsi="Verdana"/>
          <w:sz w:val="20"/>
          <w:szCs w:val="16"/>
        </w:rPr>
        <w:t xml:space="preserve">amparo no </w:t>
      </w:r>
      <w:r w:rsidR="00DD4570">
        <w:rPr>
          <w:rFonts w:ascii="Verdana" w:hAnsi="Verdana"/>
          <w:sz w:val="20"/>
          <w:szCs w:val="16"/>
        </w:rPr>
        <w:t xml:space="preserve">constituya un recurso </w:t>
      </w:r>
      <w:r w:rsidR="00590A16" w:rsidRPr="00744CE4">
        <w:rPr>
          <w:rFonts w:ascii="Verdana" w:hAnsi="Verdana"/>
          <w:sz w:val="20"/>
          <w:szCs w:val="16"/>
        </w:rPr>
        <w:t xml:space="preserve">efectivo para tales efectos o que existan contradicciones entre dicha </w:t>
      </w:r>
      <w:r w:rsidR="00CC4AD8">
        <w:rPr>
          <w:rFonts w:ascii="Verdana" w:hAnsi="Verdana"/>
          <w:sz w:val="20"/>
          <w:szCs w:val="16"/>
        </w:rPr>
        <w:t>l</w:t>
      </w:r>
      <w:r w:rsidR="00590A16" w:rsidRPr="00744CE4">
        <w:rPr>
          <w:rFonts w:ascii="Verdana" w:hAnsi="Verdana"/>
          <w:sz w:val="20"/>
          <w:szCs w:val="16"/>
        </w:rPr>
        <w:t>ey y la LGDFP</w:t>
      </w:r>
      <w:r w:rsidR="00590A16" w:rsidRPr="00744CE4">
        <w:rPr>
          <w:rFonts w:ascii="Verdana" w:eastAsia="Calibri" w:hAnsi="Verdana" w:cs="Times New Roman"/>
          <w:sz w:val="20"/>
          <w:szCs w:val="20"/>
          <w:lang w:val="es-CR"/>
        </w:rPr>
        <w:t>.</w:t>
      </w:r>
      <w:r w:rsidRPr="00744CE4">
        <w:rPr>
          <w:rFonts w:ascii="Verdana" w:hAnsi="Verdana"/>
          <w:sz w:val="20"/>
          <w:szCs w:val="20"/>
          <w:lang w:val="es-CR"/>
        </w:rPr>
        <w:t xml:space="preserve"> </w:t>
      </w:r>
    </w:p>
    <w:p w14:paraId="7AD347AA" w14:textId="7363444E" w:rsidR="009114A1" w:rsidRPr="00744CE4" w:rsidRDefault="00CC4AD8" w:rsidP="00DB378B">
      <w:pPr>
        <w:widowControl w:val="0"/>
        <w:numPr>
          <w:ilvl w:val="0"/>
          <w:numId w:val="4"/>
        </w:numPr>
        <w:tabs>
          <w:tab w:val="left" w:pos="567"/>
        </w:tabs>
        <w:autoSpaceDE w:val="0"/>
        <w:autoSpaceDN w:val="0"/>
        <w:adjustRightInd w:val="0"/>
        <w:spacing w:before="120" w:after="120" w:line="240" w:lineRule="auto"/>
        <w:ind w:left="0" w:firstLine="0"/>
        <w:jc w:val="both"/>
        <w:textAlignment w:val="baseline"/>
        <w:rPr>
          <w:rFonts w:ascii="Verdana" w:hAnsi="Verdana" w:cs="Times New Roman"/>
          <w:b/>
          <w:sz w:val="20"/>
          <w:szCs w:val="20"/>
          <w:lang w:val="es-EC"/>
        </w:rPr>
      </w:pPr>
      <w:r>
        <w:rPr>
          <w:rFonts w:ascii="Verdana" w:hAnsi="Verdana" w:cs="Times New Roman"/>
          <w:sz w:val="20"/>
          <w:szCs w:val="20"/>
          <w:lang w:val="es-EC"/>
        </w:rPr>
        <w:lastRenderedPageBreak/>
        <w:t>Por lo anterior</w:t>
      </w:r>
      <w:r w:rsidR="009114A1" w:rsidRPr="00432ABC">
        <w:rPr>
          <w:rFonts w:ascii="Verdana" w:hAnsi="Verdana" w:cs="Times New Roman"/>
          <w:sz w:val="20"/>
          <w:szCs w:val="20"/>
          <w:lang w:val="es-EC"/>
        </w:rPr>
        <w:t>, la Corte estima que</w:t>
      </w:r>
      <w:r w:rsidR="009114A1" w:rsidRPr="00432ABC">
        <w:rPr>
          <w:rFonts w:ascii="Verdana" w:eastAsia="Calibri" w:hAnsi="Verdana"/>
          <w:sz w:val="20"/>
          <w:szCs w:val="20"/>
          <w:lang w:val="es-CR"/>
        </w:rPr>
        <w:t xml:space="preserve"> con las modificaciones a la ley de amparo y su mecanismo para casos de desaparición forzada en coordinación con la LGD</w:t>
      </w:r>
      <w:r>
        <w:rPr>
          <w:rFonts w:ascii="Verdana" w:eastAsia="Calibri" w:hAnsi="Verdana"/>
          <w:sz w:val="20"/>
          <w:szCs w:val="20"/>
          <w:lang w:val="es-CR"/>
        </w:rPr>
        <w:t>F</w:t>
      </w:r>
      <w:r w:rsidR="009114A1" w:rsidRPr="00432ABC">
        <w:rPr>
          <w:rFonts w:ascii="Verdana" w:eastAsia="Calibri" w:hAnsi="Verdana"/>
          <w:sz w:val="20"/>
          <w:szCs w:val="20"/>
          <w:lang w:val="es-CR"/>
        </w:rPr>
        <w:t xml:space="preserve">P, el Estado </w:t>
      </w:r>
      <w:r w:rsidR="0059159E" w:rsidRPr="002C462C">
        <w:rPr>
          <w:rFonts w:ascii="Verdana" w:eastAsia="Calibri" w:hAnsi="Verdana"/>
          <w:sz w:val="20"/>
          <w:szCs w:val="20"/>
          <w:lang w:val="es-CR"/>
        </w:rPr>
        <w:t>ha atendido</w:t>
      </w:r>
      <w:r w:rsidR="00A9714E">
        <w:rPr>
          <w:rFonts w:ascii="Verdana" w:eastAsia="Calibri" w:hAnsi="Verdana"/>
          <w:sz w:val="20"/>
          <w:szCs w:val="20"/>
          <w:lang w:val="es-CR"/>
        </w:rPr>
        <w:t xml:space="preserve">, en lo pertinente, </w:t>
      </w:r>
      <w:r w:rsidR="009114A1" w:rsidRPr="002C462C">
        <w:rPr>
          <w:rFonts w:ascii="Verdana" w:hAnsi="Verdana" w:cs="Times New Roman"/>
          <w:sz w:val="20"/>
          <w:szCs w:val="20"/>
          <w:lang w:val="es-EC"/>
        </w:rPr>
        <w:t>la violación previamente acreditada al respecto.</w:t>
      </w:r>
      <w:r w:rsidR="0059159E" w:rsidRPr="00744CE4">
        <w:rPr>
          <w:rFonts w:ascii="Verdana" w:hAnsi="Verdana" w:cs="Times New Roman"/>
          <w:sz w:val="20"/>
          <w:szCs w:val="20"/>
          <w:lang w:val="es-EC"/>
        </w:rPr>
        <w:t xml:space="preserve"> </w:t>
      </w:r>
    </w:p>
    <w:p w14:paraId="2F9FAC7F" w14:textId="35552F72" w:rsidR="00135675" w:rsidRPr="00744CE4" w:rsidRDefault="00E34BFF" w:rsidP="008D0846">
      <w:pPr>
        <w:pStyle w:val="Heading3"/>
        <w:numPr>
          <w:ilvl w:val="0"/>
          <w:numId w:val="70"/>
        </w:numPr>
        <w:spacing w:before="120" w:after="120"/>
        <w:ind w:left="2268" w:hanging="426"/>
        <w:contextualSpacing w:val="0"/>
        <w:rPr>
          <w:b w:val="0"/>
          <w:lang w:val="es-EC"/>
        </w:rPr>
      </w:pPr>
      <w:bookmarkStart w:id="390" w:name="_Toc526783829"/>
      <w:r>
        <w:rPr>
          <w:b w:val="0"/>
          <w:lang w:val="es-EC"/>
        </w:rPr>
        <w:t xml:space="preserve"> </w:t>
      </w:r>
      <w:bookmarkStart w:id="391" w:name="_Toc532995411"/>
      <w:r w:rsidR="009114A1" w:rsidRPr="00744CE4">
        <w:rPr>
          <w:b w:val="0"/>
          <w:lang w:val="es-EC"/>
        </w:rPr>
        <w:t>Registro Nacional de Datos de Personas Extraviadas o Desaparecidas</w:t>
      </w:r>
      <w:bookmarkEnd w:id="390"/>
      <w:bookmarkEnd w:id="391"/>
    </w:p>
    <w:p w14:paraId="03E32C00" w14:textId="38A912F9" w:rsidR="00244830" w:rsidRPr="000E0384" w:rsidRDefault="00244830" w:rsidP="003564A3">
      <w:pPr>
        <w:widowControl w:val="0"/>
        <w:numPr>
          <w:ilvl w:val="0"/>
          <w:numId w:val="4"/>
        </w:numPr>
        <w:tabs>
          <w:tab w:val="left" w:pos="567"/>
        </w:tabs>
        <w:autoSpaceDE w:val="0"/>
        <w:autoSpaceDN w:val="0"/>
        <w:adjustRightInd w:val="0"/>
        <w:spacing w:before="120" w:after="120" w:line="240" w:lineRule="auto"/>
        <w:ind w:left="0" w:firstLine="0"/>
        <w:jc w:val="both"/>
        <w:textAlignment w:val="baseline"/>
        <w:rPr>
          <w:rFonts w:ascii="Verdana" w:eastAsia="Times New Roman" w:hAnsi="Verdana"/>
          <w:bCs/>
          <w:sz w:val="20"/>
          <w:szCs w:val="20"/>
          <w:lang w:val="es-ES"/>
        </w:rPr>
      </w:pPr>
      <w:r w:rsidRPr="000E0384">
        <w:rPr>
          <w:rFonts w:ascii="Verdana" w:hAnsi="Verdana"/>
          <w:sz w:val="20"/>
          <w:szCs w:val="20"/>
          <w:lang w:val="es-EC"/>
        </w:rPr>
        <w:t xml:space="preserve">Si bien las representantes no fueron claras en su alegato respecto de esta medida de no repetición, la </w:t>
      </w:r>
      <w:r w:rsidRPr="00C96C12">
        <w:rPr>
          <w:rFonts w:ascii="Verdana" w:hAnsi="Verdana"/>
          <w:b/>
          <w:i/>
          <w:sz w:val="20"/>
          <w:szCs w:val="20"/>
          <w:lang w:val="es-EC"/>
        </w:rPr>
        <w:t>Corte</w:t>
      </w:r>
      <w:r w:rsidRPr="00C96C12">
        <w:rPr>
          <w:rFonts w:ascii="Verdana" w:hAnsi="Verdana"/>
          <w:sz w:val="20"/>
          <w:szCs w:val="20"/>
          <w:lang w:val="es-ES"/>
        </w:rPr>
        <w:t xml:space="preserve"> </w:t>
      </w:r>
      <w:r w:rsidRPr="008D0846">
        <w:rPr>
          <w:rFonts w:ascii="Verdana" w:hAnsi="Verdana"/>
          <w:sz w:val="20"/>
          <w:szCs w:val="20"/>
          <w:lang w:val="es-ES"/>
        </w:rPr>
        <w:t>recomienda</w:t>
      </w:r>
      <w:r w:rsidRPr="008D0846">
        <w:rPr>
          <w:rStyle w:val="FootnoteReference"/>
          <w:rFonts w:ascii="Verdana" w:hAnsi="Verdana"/>
          <w:sz w:val="20"/>
          <w:szCs w:val="20"/>
          <w:lang w:val="es-ES"/>
        </w:rPr>
        <w:footnoteReference w:id="555"/>
      </w:r>
      <w:r w:rsidRPr="008D0846">
        <w:rPr>
          <w:rFonts w:ascii="Verdana" w:hAnsi="Verdana"/>
          <w:sz w:val="20"/>
          <w:szCs w:val="20"/>
          <w:lang w:val="es-ES"/>
        </w:rPr>
        <w:t xml:space="preserve"> </w:t>
      </w:r>
      <w:r w:rsidRPr="000E0384">
        <w:rPr>
          <w:rFonts w:ascii="Verdana" w:hAnsi="Verdana"/>
          <w:sz w:val="20"/>
          <w:szCs w:val="20"/>
          <w:lang w:val="es-ES"/>
        </w:rPr>
        <w:t xml:space="preserve">al Estado, que dentro del marco </w:t>
      </w:r>
      <w:r w:rsidRPr="008D0846">
        <w:rPr>
          <w:rFonts w:ascii="Verdana" w:hAnsi="Verdana"/>
          <w:sz w:val="20"/>
          <w:szCs w:val="20"/>
          <w:lang w:val="es-ES"/>
        </w:rPr>
        <w:t xml:space="preserve">normativo </w:t>
      </w:r>
      <w:r w:rsidRPr="000E0384">
        <w:rPr>
          <w:rFonts w:ascii="Verdana" w:hAnsi="Verdana"/>
          <w:sz w:val="20"/>
          <w:szCs w:val="20"/>
          <w:lang w:val="es-ES"/>
        </w:rPr>
        <w:t xml:space="preserve">existente, </w:t>
      </w:r>
      <w:r w:rsidRPr="008D0846">
        <w:rPr>
          <w:rFonts w:ascii="Verdana" w:hAnsi="Verdana"/>
          <w:sz w:val="20"/>
          <w:szCs w:val="20"/>
          <w:lang w:val="es-ES"/>
        </w:rPr>
        <w:t xml:space="preserve">analice </w:t>
      </w:r>
      <w:r w:rsidRPr="000E0384">
        <w:rPr>
          <w:rFonts w:ascii="Verdana" w:hAnsi="Verdana"/>
          <w:sz w:val="20"/>
          <w:szCs w:val="20"/>
          <w:lang w:val="es-ES"/>
        </w:rPr>
        <w:t>las medidas adecuadas para la creación de un registro</w:t>
      </w:r>
      <w:r w:rsidRPr="00034B1F">
        <w:rPr>
          <w:rFonts w:ascii="Verdana" w:hAnsi="Verdana"/>
          <w:sz w:val="20"/>
          <w:szCs w:val="20"/>
          <w:lang w:val="es-ES"/>
        </w:rPr>
        <w:t xml:space="preserve"> único y actualizado de personas desaparecidas que permita la generación de datos estadísticos, desagregados por sexo, edad, lugar y autoridades presuntamente involucradas, que permita determinar claramente en qué casos se trata de “desapariciones forzadas</w:t>
      </w:r>
      <w:r w:rsidRPr="000105E6">
        <w:rPr>
          <w:rFonts w:ascii="Verdana" w:hAnsi="Verdana"/>
          <w:sz w:val="20"/>
          <w:szCs w:val="20"/>
          <w:lang w:val="es-ES"/>
        </w:rPr>
        <w:t xml:space="preserve">”, con miras a desarrollar políticas integrales y coordinadas encaminadas a prevenir, investigar, sancionar y erradicar esta práctica. Para ello, </w:t>
      </w:r>
      <w:r w:rsidRPr="008D0846">
        <w:rPr>
          <w:rFonts w:ascii="Verdana" w:hAnsi="Verdana"/>
          <w:sz w:val="20"/>
          <w:szCs w:val="20"/>
          <w:lang w:val="es-ES"/>
        </w:rPr>
        <w:t xml:space="preserve">en su informe anual, </w:t>
      </w:r>
      <w:r w:rsidRPr="000E0384">
        <w:rPr>
          <w:rFonts w:ascii="Verdana" w:hAnsi="Verdana"/>
          <w:sz w:val="20"/>
          <w:szCs w:val="20"/>
          <w:lang w:val="es-ES"/>
        </w:rPr>
        <w:t xml:space="preserve">el Estado </w:t>
      </w:r>
      <w:r w:rsidRPr="008D0846">
        <w:rPr>
          <w:rFonts w:ascii="Verdana" w:hAnsi="Verdana"/>
          <w:sz w:val="20"/>
          <w:szCs w:val="20"/>
          <w:lang w:val="es-ES"/>
        </w:rPr>
        <w:t xml:space="preserve">deberá </w:t>
      </w:r>
      <w:r w:rsidR="00474CC9" w:rsidRPr="008D0846">
        <w:rPr>
          <w:rFonts w:ascii="Verdana" w:hAnsi="Verdana"/>
          <w:sz w:val="20"/>
          <w:szCs w:val="20"/>
          <w:lang w:val="es-ES"/>
        </w:rPr>
        <w:t xml:space="preserve">reportar </w:t>
      </w:r>
      <w:r w:rsidRPr="008D0846">
        <w:rPr>
          <w:rFonts w:ascii="Verdana" w:hAnsi="Verdana"/>
          <w:sz w:val="20"/>
          <w:szCs w:val="20"/>
          <w:lang w:val="es-ES"/>
        </w:rPr>
        <w:t>a la Corte sobre la adopción de</w:t>
      </w:r>
      <w:r w:rsidR="00474CC9" w:rsidRPr="008D0846">
        <w:rPr>
          <w:rFonts w:ascii="Verdana" w:hAnsi="Verdana"/>
          <w:sz w:val="20"/>
          <w:szCs w:val="20"/>
          <w:lang w:val="es-ES"/>
        </w:rPr>
        <w:t xml:space="preserve"> tales</w:t>
      </w:r>
      <w:r w:rsidRPr="008D0846">
        <w:rPr>
          <w:rFonts w:ascii="Verdana" w:hAnsi="Verdana"/>
          <w:sz w:val="20"/>
          <w:szCs w:val="20"/>
          <w:lang w:val="es-ES"/>
        </w:rPr>
        <w:t xml:space="preserve"> medidas</w:t>
      </w:r>
      <w:r w:rsidR="00474CC9" w:rsidRPr="008D0846">
        <w:rPr>
          <w:rFonts w:ascii="Verdana" w:hAnsi="Verdana"/>
          <w:sz w:val="20"/>
          <w:szCs w:val="20"/>
          <w:lang w:val="es-ES"/>
        </w:rPr>
        <w:t xml:space="preserve">. </w:t>
      </w:r>
    </w:p>
    <w:p w14:paraId="148BA639" w14:textId="674ECD87" w:rsidR="00A13565" w:rsidRPr="00744CE4" w:rsidRDefault="00E34BFF" w:rsidP="008D0846">
      <w:pPr>
        <w:pStyle w:val="Heading3"/>
        <w:numPr>
          <w:ilvl w:val="0"/>
          <w:numId w:val="70"/>
        </w:numPr>
        <w:spacing w:before="120" w:after="120"/>
        <w:ind w:left="2268" w:hanging="426"/>
        <w:contextualSpacing w:val="0"/>
        <w:rPr>
          <w:b w:val="0"/>
          <w:lang w:val="es-ES"/>
        </w:rPr>
      </w:pPr>
      <w:bookmarkStart w:id="392" w:name="_Toc529192756"/>
      <w:bookmarkEnd w:id="392"/>
      <w:r>
        <w:rPr>
          <w:b w:val="0"/>
          <w:lang w:val="es-ES"/>
        </w:rPr>
        <w:t xml:space="preserve"> </w:t>
      </w:r>
      <w:bookmarkStart w:id="393" w:name="_Toc532995412"/>
      <w:r w:rsidR="00A13565" w:rsidRPr="002C462C">
        <w:rPr>
          <w:b w:val="0"/>
          <w:lang w:val="es-ES"/>
        </w:rPr>
        <w:t>C</w:t>
      </w:r>
      <w:r w:rsidR="00A13565" w:rsidRPr="00744CE4">
        <w:rPr>
          <w:b w:val="0"/>
          <w:lang w:val="es-ES"/>
        </w:rPr>
        <w:t>apacitaciones</w:t>
      </w:r>
      <w:bookmarkEnd w:id="393"/>
      <w:r w:rsidR="00A13565" w:rsidRPr="00744CE4">
        <w:rPr>
          <w:b w:val="0"/>
          <w:lang w:val="es-ES"/>
        </w:rPr>
        <w:t xml:space="preserve"> </w:t>
      </w:r>
    </w:p>
    <w:p w14:paraId="3B7AD860" w14:textId="1914BAF6" w:rsidR="009114A1" w:rsidRPr="00744CE4" w:rsidRDefault="009114A1" w:rsidP="00DB378B">
      <w:pPr>
        <w:widowControl w:val="0"/>
        <w:numPr>
          <w:ilvl w:val="0"/>
          <w:numId w:val="4"/>
        </w:numPr>
        <w:tabs>
          <w:tab w:val="left" w:pos="567"/>
        </w:tabs>
        <w:autoSpaceDE w:val="0"/>
        <w:autoSpaceDN w:val="0"/>
        <w:adjustRightInd w:val="0"/>
        <w:spacing w:before="120" w:after="120" w:line="240" w:lineRule="auto"/>
        <w:ind w:left="0" w:firstLine="0"/>
        <w:jc w:val="both"/>
        <w:textAlignment w:val="baseline"/>
        <w:rPr>
          <w:rFonts w:ascii="Verdana" w:hAnsi="Verdana" w:cs="Times New Roman"/>
          <w:b/>
          <w:sz w:val="20"/>
          <w:szCs w:val="20"/>
          <w:lang w:val="es-EC"/>
        </w:rPr>
      </w:pPr>
      <w:r w:rsidRPr="00744CE4">
        <w:rPr>
          <w:rFonts w:ascii="Verdana" w:eastAsia="Times New Roman" w:hAnsi="Verdana" w:cs="Times New Roman"/>
          <w:sz w:val="20"/>
          <w:szCs w:val="20"/>
          <w:lang w:val="es-ES"/>
        </w:rPr>
        <w:t>La</w:t>
      </w:r>
      <w:r w:rsidRPr="00744CE4">
        <w:rPr>
          <w:rFonts w:ascii="Verdana" w:hAnsi="Verdana" w:cs="Times New Roman"/>
          <w:sz w:val="20"/>
          <w:szCs w:val="20"/>
          <w:lang w:val="es-EC"/>
        </w:rPr>
        <w:t xml:space="preserve"> </w:t>
      </w:r>
      <w:r w:rsidRPr="00C96C12">
        <w:rPr>
          <w:rFonts w:ascii="Verdana" w:hAnsi="Verdana" w:cs="Times New Roman"/>
          <w:b/>
          <w:i/>
          <w:sz w:val="20"/>
          <w:szCs w:val="20"/>
          <w:lang w:val="es-EC"/>
        </w:rPr>
        <w:t>Corte</w:t>
      </w:r>
      <w:r w:rsidRPr="00744CE4">
        <w:rPr>
          <w:rFonts w:ascii="Verdana" w:hAnsi="Verdana" w:cs="Times New Roman"/>
          <w:sz w:val="20"/>
          <w:szCs w:val="20"/>
          <w:lang w:val="es-EC"/>
        </w:rPr>
        <w:t xml:space="preserve"> toma nota de la información del Estado en el sentido que, en materia de desaparición de personas</w:t>
      </w:r>
      <w:r w:rsidR="00034B1F">
        <w:rPr>
          <w:rFonts w:ascii="Verdana" w:hAnsi="Verdana" w:cs="Times New Roman"/>
          <w:sz w:val="20"/>
          <w:szCs w:val="20"/>
          <w:lang w:val="es-EC"/>
        </w:rPr>
        <w:t>,</w:t>
      </w:r>
      <w:r w:rsidRPr="00744CE4">
        <w:rPr>
          <w:rFonts w:ascii="Verdana" w:hAnsi="Verdana" w:cs="Times New Roman"/>
          <w:sz w:val="20"/>
          <w:szCs w:val="20"/>
          <w:lang w:val="es-EC"/>
        </w:rPr>
        <w:t xml:space="preserve"> ya ha implementado una serie de medidas estructurales encaminadas a evitar la repetición de los hechos, a saber: i) la </w:t>
      </w:r>
      <w:r w:rsidRPr="00744CE4">
        <w:rPr>
          <w:rFonts w:ascii="Verdana" w:hAnsi="Verdana" w:cs="Times New Roman"/>
          <w:sz w:val="20"/>
          <w:szCs w:val="20"/>
          <w:lang w:val="es-CR"/>
        </w:rPr>
        <w:t>Secretaria de l</w:t>
      </w:r>
      <w:r w:rsidR="00034B1F">
        <w:rPr>
          <w:rFonts w:ascii="Verdana" w:hAnsi="Verdana" w:cs="Times New Roman"/>
          <w:sz w:val="20"/>
          <w:szCs w:val="20"/>
          <w:lang w:val="es-CR"/>
        </w:rPr>
        <w:t>a</w:t>
      </w:r>
      <w:r w:rsidRPr="00744CE4">
        <w:rPr>
          <w:rFonts w:ascii="Verdana" w:hAnsi="Verdana" w:cs="Times New Roman"/>
          <w:sz w:val="20"/>
          <w:szCs w:val="20"/>
          <w:lang w:val="es-CR"/>
        </w:rPr>
        <w:t xml:space="preserve"> Defensa Nacional de México</w:t>
      </w:r>
      <w:r w:rsidRPr="00744CE4">
        <w:rPr>
          <w:rFonts w:ascii="Verdana" w:hAnsi="Verdana" w:cs="Times New Roman"/>
          <w:sz w:val="20"/>
          <w:szCs w:val="20"/>
          <w:lang w:val="es-EC"/>
        </w:rPr>
        <w:t xml:space="preserve"> (SEDENA</w:t>
      </w:r>
      <w:r w:rsidRPr="00744CE4">
        <w:rPr>
          <w:rFonts w:ascii="Verdana" w:hAnsi="Verdana" w:cs="Times New Roman"/>
          <w:sz w:val="20"/>
          <w:szCs w:val="20"/>
          <w:lang w:val="es-CR"/>
        </w:rPr>
        <w:t>)</w:t>
      </w:r>
      <w:r w:rsidR="00034B1F">
        <w:rPr>
          <w:rFonts w:ascii="Verdana" w:hAnsi="Verdana" w:cs="Times New Roman"/>
          <w:sz w:val="20"/>
          <w:szCs w:val="20"/>
          <w:lang w:val="es-EC"/>
        </w:rPr>
        <w:t>,</w:t>
      </w:r>
      <w:r w:rsidR="00034B1F" w:rsidRPr="00034B1F">
        <w:rPr>
          <w:rFonts w:ascii="Verdana" w:hAnsi="Verdana"/>
          <w:sz w:val="20"/>
          <w:szCs w:val="20"/>
          <w:lang w:val="es-ES"/>
        </w:rPr>
        <w:t xml:space="preserve"> “</w:t>
      </w:r>
      <w:r w:rsidRPr="00744CE4">
        <w:rPr>
          <w:rFonts w:ascii="Verdana" w:hAnsi="Verdana" w:cs="Times New Roman"/>
          <w:sz w:val="20"/>
          <w:szCs w:val="20"/>
          <w:lang w:val="es-EC"/>
        </w:rPr>
        <w:t xml:space="preserve">ha implementado academias, conferencias, talleres, diplomados y cursos, a través de dos grandes sistemas: Educativo Militar y </w:t>
      </w:r>
      <w:r w:rsidR="00034B1F">
        <w:rPr>
          <w:rFonts w:ascii="Verdana" w:hAnsi="Verdana" w:cs="Times New Roman"/>
          <w:sz w:val="20"/>
          <w:szCs w:val="20"/>
          <w:lang w:val="es-EC"/>
        </w:rPr>
        <w:t>[</w:t>
      </w:r>
      <w:r w:rsidRPr="00744CE4">
        <w:rPr>
          <w:rFonts w:ascii="Verdana" w:hAnsi="Verdana" w:cs="Times New Roman"/>
          <w:sz w:val="20"/>
          <w:szCs w:val="20"/>
          <w:lang w:val="es-EC"/>
        </w:rPr>
        <w:t>d</w:t>
      </w:r>
      <w:r w:rsidR="00034B1F">
        <w:rPr>
          <w:rFonts w:ascii="Verdana" w:hAnsi="Verdana" w:cs="Times New Roman"/>
          <w:sz w:val="20"/>
          <w:szCs w:val="20"/>
          <w:lang w:val="es-EC"/>
        </w:rPr>
        <w:t>]</w:t>
      </w:r>
      <w:r w:rsidRPr="00744CE4">
        <w:rPr>
          <w:rFonts w:ascii="Verdana" w:hAnsi="Verdana" w:cs="Times New Roman"/>
          <w:sz w:val="20"/>
          <w:szCs w:val="20"/>
          <w:lang w:val="es-EC"/>
        </w:rPr>
        <w:t>e Adiestramiento</w:t>
      </w:r>
      <w:r w:rsidR="00034B1F">
        <w:rPr>
          <w:rFonts w:ascii="Verdana" w:hAnsi="Verdana" w:cs="Times New Roman"/>
          <w:sz w:val="20"/>
          <w:szCs w:val="20"/>
          <w:lang w:val="es-EC"/>
        </w:rPr>
        <w:t>”, y</w:t>
      </w:r>
      <w:r w:rsidRPr="00744CE4">
        <w:rPr>
          <w:rFonts w:ascii="Verdana" w:hAnsi="Verdana" w:cs="Times New Roman"/>
          <w:sz w:val="20"/>
          <w:szCs w:val="20"/>
          <w:lang w:val="es-EC"/>
        </w:rPr>
        <w:t xml:space="preserve"> ii) también ha buscado colaborar con diversas instituciones, celebrando distintos convenios para robustecer lo implementado por la propia </w:t>
      </w:r>
      <w:r w:rsidR="00034B1F">
        <w:rPr>
          <w:rFonts w:ascii="Verdana" w:hAnsi="Verdana" w:cs="Times New Roman"/>
          <w:sz w:val="20"/>
          <w:szCs w:val="20"/>
          <w:lang w:val="es-EC"/>
        </w:rPr>
        <w:t>SEDENA</w:t>
      </w:r>
      <w:r w:rsidRPr="00744CE4">
        <w:rPr>
          <w:rFonts w:ascii="Verdana" w:hAnsi="Verdana" w:cs="Times New Roman"/>
          <w:sz w:val="20"/>
          <w:szCs w:val="20"/>
          <w:lang w:val="es-EC"/>
        </w:rPr>
        <w:t xml:space="preserve">. </w:t>
      </w:r>
    </w:p>
    <w:p w14:paraId="0D0B94B5" w14:textId="411B36B6" w:rsidR="009114A1" w:rsidRPr="00744CE4" w:rsidRDefault="009114A1" w:rsidP="00DB378B">
      <w:pPr>
        <w:widowControl w:val="0"/>
        <w:numPr>
          <w:ilvl w:val="0"/>
          <w:numId w:val="4"/>
        </w:numPr>
        <w:tabs>
          <w:tab w:val="left" w:pos="567"/>
        </w:tabs>
        <w:autoSpaceDE w:val="0"/>
        <w:autoSpaceDN w:val="0"/>
        <w:adjustRightInd w:val="0"/>
        <w:spacing w:before="120" w:after="120" w:line="240" w:lineRule="auto"/>
        <w:ind w:left="0" w:firstLine="0"/>
        <w:jc w:val="both"/>
        <w:textAlignment w:val="baseline"/>
        <w:rPr>
          <w:rFonts w:ascii="Verdana" w:hAnsi="Verdana" w:cs="Times New Roman"/>
          <w:b/>
          <w:sz w:val="20"/>
          <w:szCs w:val="20"/>
          <w:lang w:val="es-EC"/>
        </w:rPr>
      </w:pPr>
      <w:r w:rsidRPr="00744CE4">
        <w:rPr>
          <w:rFonts w:ascii="Verdana" w:hAnsi="Verdana" w:cs="Times New Roman"/>
          <w:sz w:val="20"/>
          <w:szCs w:val="20"/>
          <w:lang w:val="es-CR"/>
        </w:rPr>
        <w:t xml:space="preserve">Esta </w:t>
      </w:r>
      <w:r w:rsidRPr="00C96C12">
        <w:rPr>
          <w:rFonts w:ascii="Verdana" w:hAnsi="Verdana" w:cs="Times New Roman"/>
          <w:sz w:val="20"/>
          <w:szCs w:val="20"/>
          <w:lang w:val="es-CR"/>
        </w:rPr>
        <w:t>Corte</w:t>
      </w:r>
      <w:r w:rsidRPr="00744CE4">
        <w:rPr>
          <w:rFonts w:ascii="Verdana" w:hAnsi="Verdana" w:cs="Times New Roman"/>
          <w:sz w:val="20"/>
          <w:szCs w:val="20"/>
          <w:lang w:val="es-CR"/>
        </w:rPr>
        <w:t xml:space="preserve"> ha establecido que la capacitación de funcionarios públicos es una medida importante para garantizar la no repetición de los hechos que generaron las violaciones</w:t>
      </w:r>
      <w:r w:rsidRPr="00744CE4">
        <w:rPr>
          <w:rStyle w:val="FootnoteReference"/>
          <w:rFonts w:ascii="Verdana" w:hAnsi="Verdana"/>
          <w:sz w:val="20"/>
          <w:szCs w:val="20"/>
        </w:rPr>
        <w:footnoteReference w:id="556"/>
      </w:r>
      <w:r w:rsidRPr="00744CE4">
        <w:rPr>
          <w:rFonts w:ascii="Verdana" w:hAnsi="Verdana" w:cs="Times New Roman"/>
          <w:sz w:val="20"/>
          <w:szCs w:val="20"/>
          <w:lang w:val="es-CR"/>
        </w:rPr>
        <w:t xml:space="preserve">. </w:t>
      </w:r>
      <w:r w:rsidRPr="00744CE4">
        <w:rPr>
          <w:rFonts w:ascii="Verdana" w:hAnsi="Verdana" w:cs="Times New Roman"/>
          <w:sz w:val="20"/>
          <w:szCs w:val="20"/>
          <w:lang w:val="es-CR" w:bidi="en-US"/>
        </w:rPr>
        <w:t>Es así que la capacitación, como sistema de formación continua, se debe extender durante un lapso importante para cumplir sus objetivo</w:t>
      </w:r>
      <w:r w:rsidRPr="00295DD9">
        <w:rPr>
          <w:rFonts w:ascii="Verdana" w:hAnsi="Verdana" w:cs="Times New Roman"/>
          <w:sz w:val="20"/>
          <w:szCs w:val="20"/>
          <w:lang w:val="es-CR" w:bidi="en-US"/>
        </w:rPr>
        <w:t>s</w:t>
      </w:r>
      <w:r w:rsidRPr="008D0846">
        <w:rPr>
          <w:rStyle w:val="Caracteresdenotaalpie"/>
          <w:rFonts w:ascii="Verdana" w:hAnsi="Verdana" w:cs="Times New Roman"/>
          <w:sz w:val="20"/>
          <w:szCs w:val="20"/>
          <w:lang w:bidi="en-US"/>
        </w:rPr>
        <w:footnoteReference w:id="557"/>
      </w:r>
      <w:r w:rsidRPr="00295DD9">
        <w:rPr>
          <w:rFonts w:ascii="Verdana" w:hAnsi="Verdana" w:cs="Times New Roman"/>
          <w:sz w:val="20"/>
          <w:szCs w:val="20"/>
          <w:lang w:val="es-CR" w:bidi="en-US"/>
        </w:rPr>
        <w:t>.</w:t>
      </w:r>
      <w:r w:rsidRPr="00744CE4">
        <w:rPr>
          <w:rFonts w:ascii="Verdana" w:hAnsi="Verdana" w:cs="Times New Roman"/>
          <w:sz w:val="20"/>
          <w:szCs w:val="20"/>
          <w:lang w:val="es-CR" w:bidi="en-US"/>
        </w:rPr>
        <w:t xml:space="preserve"> </w:t>
      </w:r>
    </w:p>
    <w:p w14:paraId="172C5044" w14:textId="4B552BD5" w:rsidR="009114A1" w:rsidRPr="00744CE4" w:rsidRDefault="009114A1" w:rsidP="00DB378B">
      <w:pPr>
        <w:widowControl w:val="0"/>
        <w:numPr>
          <w:ilvl w:val="0"/>
          <w:numId w:val="4"/>
        </w:numPr>
        <w:tabs>
          <w:tab w:val="left" w:pos="567"/>
        </w:tabs>
        <w:autoSpaceDE w:val="0"/>
        <w:autoSpaceDN w:val="0"/>
        <w:adjustRightInd w:val="0"/>
        <w:spacing w:before="120" w:after="120" w:line="240" w:lineRule="auto"/>
        <w:ind w:left="0" w:firstLine="0"/>
        <w:jc w:val="both"/>
        <w:textAlignment w:val="baseline"/>
        <w:rPr>
          <w:rFonts w:ascii="Verdana" w:hAnsi="Verdana" w:cs="Times New Roman"/>
          <w:b/>
          <w:sz w:val="20"/>
          <w:szCs w:val="20"/>
          <w:lang w:val="es-EC"/>
        </w:rPr>
      </w:pPr>
      <w:r w:rsidRPr="00744CE4">
        <w:rPr>
          <w:rFonts w:ascii="Verdana" w:hAnsi="Verdana" w:cs="Times New Roman"/>
          <w:sz w:val="20"/>
          <w:szCs w:val="20"/>
          <w:lang w:val="es-CR" w:bidi="en-US"/>
        </w:rPr>
        <w:t>E</w:t>
      </w:r>
      <w:r w:rsidR="0059159E" w:rsidRPr="00744CE4">
        <w:rPr>
          <w:rFonts w:ascii="Verdana" w:hAnsi="Verdana" w:cs="Times New Roman"/>
          <w:sz w:val="20"/>
          <w:szCs w:val="20"/>
          <w:lang w:val="es-CR" w:bidi="en-US"/>
        </w:rPr>
        <w:t>n</w:t>
      </w:r>
      <w:r w:rsidRPr="00744CE4">
        <w:rPr>
          <w:rFonts w:ascii="Verdana" w:hAnsi="Verdana" w:cs="Times New Roman"/>
          <w:sz w:val="20"/>
          <w:szCs w:val="20"/>
          <w:lang w:val="es-CR" w:bidi="en-US"/>
        </w:rPr>
        <w:t xml:space="preserve"> razón de lo anterior, l</w:t>
      </w:r>
      <w:r w:rsidRPr="00432ABC">
        <w:rPr>
          <w:rFonts w:ascii="Verdana" w:hAnsi="Verdana" w:cs="Times New Roman"/>
          <w:sz w:val="20"/>
          <w:szCs w:val="20"/>
          <w:lang w:val="es-CR" w:bidi="en-US"/>
        </w:rPr>
        <w:t xml:space="preserve">a Corte exhorta al Estado continuar con los esfuerzos seguidos actualmente en materia de capacitación en derechos humanos dirigidos a las Fuerzas Armadas y </w:t>
      </w:r>
      <w:r w:rsidR="00C730B4">
        <w:rPr>
          <w:rFonts w:ascii="Verdana" w:hAnsi="Verdana" w:cs="Times New Roman"/>
          <w:sz w:val="20"/>
          <w:szCs w:val="20"/>
          <w:lang w:val="es-CR" w:bidi="en-US"/>
        </w:rPr>
        <w:t xml:space="preserve">la </w:t>
      </w:r>
      <w:r w:rsidRPr="00432ABC">
        <w:rPr>
          <w:rFonts w:ascii="Verdana" w:hAnsi="Verdana" w:cs="Times New Roman"/>
          <w:sz w:val="20"/>
          <w:szCs w:val="20"/>
          <w:lang w:val="es-CR" w:bidi="en-US"/>
        </w:rPr>
        <w:t xml:space="preserve">Policía. En este sentido, </w:t>
      </w:r>
      <w:r w:rsidR="00C730B4">
        <w:rPr>
          <w:rFonts w:ascii="Verdana" w:hAnsi="Verdana" w:cs="Times New Roman"/>
          <w:sz w:val="20"/>
          <w:szCs w:val="20"/>
          <w:lang w:val="es-CR" w:bidi="en-US"/>
        </w:rPr>
        <w:t xml:space="preserve">se </w:t>
      </w:r>
      <w:r w:rsidRPr="00432ABC">
        <w:rPr>
          <w:rFonts w:ascii="Verdana" w:hAnsi="Verdana" w:cs="Times New Roman"/>
          <w:sz w:val="20"/>
          <w:szCs w:val="20"/>
          <w:lang w:val="es-CR" w:bidi="en-US"/>
        </w:rPr>
        <w:t>requiere que en dichas capacitaciones se incorporen los estándares desarrollados en esta Sentencia, con especial enfoque en las salvaguard</w:t>
      </w:r>
      <w:r w:rsidR="00C730B4">
        <w:rPr>
          <w:rFonts w:ascii="Verdana" w:hAnsi="Verdana" w:cs="Times New Roman"/>
          <w:sz w:val="20"/>
          <w:szCs w:val="20"/>
          <w:lang w:val="es-CR" w:bidi="en-US"/>
        </w:rPr>
        <w:t>i</w:t>
      </w:r>
      <w:r w:rsidRPr="00432ABC">
        <w:rPr>
          <w:rFonts w:ascii="Verdana" w:hAnsi="Verdana" w:cs="Times New Roman"/>
          <w:sz w:val="20"/>
          <w:szCs w:val="20"/>
          <w:lang w:val="es-CR" w:bidi="en-US"/>
        </w:rPr>
        <w:t>as frente a la participación de ambas corporaciones en labores de seguridad ciuda</w:t>
      </w:r>
      <w:r w:rsidR="00C730B4">
        <w:rPr>
          <w:rFonts w:ascii="Verdana" w:hAnsi="Verdana" w:cs="Times New Roman"/>
          <w:sz w:val="20"/>
          <w:szCs w:val="20"/>
          <w:lang w:val="es-CR" w:bidi="en-US"/>
        </w:rPr>
        <w:t>da</w:t>
      </w:r>
      <w:r w:rsidRPr="00432ABC">
        <w:rPr>
          <w:rFonts w:ascii="Verdana" w:hAnsi="Verdana" w:cs="Times New Roman"/>
          <w:sz w:val="20"/>
          <w:szCs w:val="20"/>
          <w:lang w:val="es-CR" w:bidi="en-US"/>
        </w:rPr>
        <w:t>na</w:t>
      </w:r>
      <w:r w:rsidR="00A9714E">
        <w:rPr>
          <w:rFonts w:ascii="Verdana" w:hAnsi="Verdana" w:cs="Times New Roman"/>
          <w:sz w:val="20"/>
          <w:szCs w:val="20"/>
          <w:lang w:val="es-CR" w:bidi="en-US"/>
        </w:rPr>
        <w:t xml:space="preserve"> (</w:t>
      </w:r>
      <w:r w:rsidR="00A9714E">
        <w:rPr>
          <w:rFonts w:ascii="Verdana" w:hAnsi="Verdana" w:cs="Times New Roman"/>
          <w:i/>
          <w:sz w:val="20"/>
          <w:szCs w:val="20"/>
          <w:lang w:val="es-CR" w:bidi="en-US"/>
        </w:rPr>
        <w:t xml:space="preserve">supra </w:t>
      </w:r>
      <w:r w:rsidR="00A9714E">
        <w:rPr>
          <w:rFonts w:ascii="Verdana" w:hAnsi="Verdana" w:cs="Times New Roman"/>
          <w:sz w:val="20"/>
          <w:szCs w:val="20"/>
          <w:lang w:val="es-CR" w:bidi="en-US"/>
        </w:rPr>
        <w:t>párrs. 177 a 183)</w:t>
      </w:r>
      <w:r w:rsidRPr="00432ABC">
        <w:rPr>
          <w:rFonts w:ascii="Verdana" w:hAnsi="Verdana" w:cs="Times New Roman"/>
          <w:sz w:val="20"/>
          <w:szCs w:val="20"/>
          <w:lang w:val="es-CR" w:bidi="en-US"/>
        </w:rPr>
        <w:t>. Asimismo, resalta la importancia de implementar un sistema de formación continua, por lo que requiere al Estado que comun</w:t>
      </w:r>
      <w:r w:rsidR="0059159E" w:rsidRPr="002C462C">
        <w:rPr>
          <w:rFonts w:ascii="Verdana" w:hAnsi="Verdana" w:cs="Times New Roman"/>
          <w:sz w:val="20"/>
          <w:szCs w:val="20"/>
          <w:lang w:val="es-CR" w:bidi="en-US"/>
        </w:rPr>
        <w:t>ique</w:t>
      </w:r>
      <w:r w:rsidRPr="002C462C">
        <w:rPr>
          <w:rFonts w:ascii="Verdana" w:hAnsi="Verdana" w:cs="Times New Roman"/>
          <w:sz w:val="20"/>
          <w:szCs w:val="20"/>
          <w:lang w:val="es-CR" w:bidi="en-US"/>
        </w:rPr>
        <w:t xml:space="preserve"> a esta Corte por medio de infor</w:t>
      </w:r>
      <w:r w:rsidRPr="00744CE4">
        <w:rPr>
          <w:rFonts w:ascii="Verdana" w:hAnsi="Verdana" w:cs="Times New Roman"/>
          <w:sz w:val="20"/>
          <w:szCs w:val="20"/>
          <w:lang w:val="es-CR" w:bidi="en-US"/>
        </w:rPr>
        <w:t>mes anuales, y por un periodo de tres años, sobre la implementación de dichas capacitaciones.</w:t>
      </w:r>
    </w:p>
    <w:p w14:paraId="287F8093" w14:textId="28C8D004" w:rsidR="00135675" w:rsidRPr="00744CE4" w:rsidRDefault="00E34BFF" w:rsidP="008D0846">
      <w:pPr>
        <w:pStyle w:val="Heading3"/>
        <w:numPr>
          <w:ilvl w:val="0"/>
          <w:numId w:val="70"/>
        </w:numPr>
        <w:spacing w:before="120" w:after="120"/>
        <w:ind w:left="2268" w:hanging="426"/>
        <w:contextualSpacing w:val="0"/>
        <w:rPr>
          <w:rFonts w:eastAsia="Times New Roman"/>
          <w:b w:val="0"/>
          <w:lang w:val="es-CR"/>
        </w:rPr>
      </w:pPr>
      <w:bookmarkStart w:id="394" w:name="_Toc526783832"/>
      <w:r>
        <w:rPr>
          <w:b w:val="0"/>
          <w:lang w:val="es-ES"/>
        </w:rPr>
        <w:lastRenderedPageBreak/>
        <w:t xml:space="preserve"> </w:t>
      </w:r>
      <w:bookmarkStart w:id="395" w:name="_Toc532995413"/>
      <w:r w:rsidR="00A81849" w:rsidRPr="00744CE4">
        <w:rPr>
          <w:b w:val="0"/>
          <w:lang w:val="es-ES"/>
        </w:rPr>
        <w:t>A</w:t>
      </w:r>
      <w:r w:rsidR="009114A1" w:rsidRPr="00744CE4">
        <w:rPr>
          <w:b w:val="0"/>
          <w:lang w:val="es-ES"/>
        </w:rPr>
        <w:t xml:space="preserve">dopción de medidas de </w:t>
      </w:r>
      <w:r w:rsidR="00A13565" w:rsidRPr="00744CE4">
        <w:rPr>
          <w:b w:val="0"/>
          <w:lang w:val="es-ES"/>
        </w:rPr>
        <w:t xml:space="preserve">prevención </w:t>
      </w:r>
      <w:r w:rsidR="009114A1" w:rsidRPr="00744CE4">
        <w:rPr>
          <w:b w:val="0"/>
          <w:lang w:val="es-ES"/>
        </w:rPr>
        <w:t>y garantías de retorno.</w:t>
      </w:r>
      <w:bookmarkEnd w:id="394"/>
      <w:bookmarkEnd w:id="395"/>
      <w:r w:rsidR="009114A1" w:rsidRPr="00744CE4">
        <w:rPr>
          <w:rFonts w:eastAsia="Times New Roman"/>
          <w:b w:val="0"/>
          <w:lang w:val="es-CR"/>
        </w:rPr>
        <w:t xml:space="preserve"> </w:t>
      </w:r>
    </w:p>
    <w:p w14:paraId="172914E6" w14:textId="3E900359" w:rsidR="009114A1" w:rsidRPr="00744CE4" w:rsidRDefault="009114A1" w:rsidP="00DB378B">
      <w:pPr>
        <w:widowControl w:val="0"/>
        <w:numPr>
          <w:ilvl w:val="0"/>
          <w:numId w:val="4"/>
        </w:numPr>
        <w:tabs>
          <w:tab w:val="left" w:pos="567"/>
        </w:tabs>
        <w:autoSpaceDE w:val="0"/>
        <w:autoSpaceDN w:val="0"/>
        <w:adjustRightInd w:val="0"/>
        <w:spacing w:before="120" w:after="120" w:line="240" w:lineRule="auto"/>
        <w:ind w:left="0" w:firstLine="0"/>
        <w:jc w:val="both"/>
        <w:textAlignment w:val="baseline"/>
        <w:rPr>
          <w:rFonts w:ascii="Verdana" w:eastAsia="Times New Roman" w:hAnsi="Verdana" w:cs="Times New Roman"/>
          <w:sz w:val="20"/>
          <w:szCs w:val="20"/>
          <w:lang w:val="es-ES"/>
        </w:rPr>
      </w:pPr>
      <w:r w:rsidRPr="00744CE4">
        <w:rPr>
          <w:rFonts w:ascii="Verdana" w:eastAsia="Times New Roman" w:hAnsi="Verdana" w:cs="Times New Roman"/>
          <w:sz w:val="20"/>
          <w:szCs w:val="20"/>
          <w:lang w:val="es-ES"/>
        </w:rPr>
        <w:t xml:space="preserve">La </w:t>
      </w:r>
      <w:r w:rsidRPr="005053BD">
        <w:rPr>
          <w:rFonts w:ascii="Verdana" w:hAnsi="Verdana" w:cs="Times New Roman"/>
          <w:b/>
          <w:i/>
          <w:sz w:val="20"/>
          <w:szCs w:val="20"/>
          <w:lang w:val="es-ES"/>
        </w:rPr>
        <w:t>Corte</w:t>
      </w:r>
      <w:r w:rsidRPr="00744CE4">
        <w:rPr>
          <w:rFonts w:ascii="Verdana" w:eastAsia="Times New Roman" w:hAnsi="Verdana" w:cs="Times New Roman"/>
          <w:sz w:val="20"/>
          <w:szCs w:val="20"/>
          <w:lang w:val="es-ES"/>
        </w:rPr>
        <w:t xml:space="preserve"> declaró las violaciones a los derechos reconocidos en los artículos 5 y 22 de la Convención, con motivo del riesgo derivado de las desapariciones y amenazas, así como de los desplazamientos y falta de garantías de retorno (</w:t>
      </w:r>
      <w:r w:rsidR="00B64267">
        <w:rPr>
          <w:rFonts w:ascii="Verdana" w:eastAsia="Times New Roman" w:hAnsi="Verdana" w:cs="Times New Roman"/>
          <w:sz w:val="20"/>
          <w:szCs w:val="20"/>
          <w:lang w:val="es-ES"/>
        </w:rPr>
        <w:t>C</w:t>
      </w:r>
      <w:r w:rsidRPr="00744CE4">
        <w:rPr>
          <w:rFonts w:ascii="Verdana" w:eastAsia="Times New Roman" w:hAnsi="Verdana" w:cs="Times New Roman"/>
          <w:sz w:val="20"/>
          <w:szCs w:val="20"/>
          <w:lang w:val="es-ES"/>
        </w:rPr>
        <w:t xml:space="preserve">apítulo VII.3).  </w:t>
      </w:r>
    </w:p>
    <w:p w14:paraId="6E4BECE6" w14:textId="1F6501E0" w:rsidR="009114A1" w:rsidRPr="00432ABC" w:rsidRDefault="009114A1" w:rsidP="00DB378B">
      <w:pPr>
        <w:widowControl w:val="0"/>
        <w:numPr>
          <w:ilvl w:val="0"/>
          <w:numId w:val="4"/>
        </w:numPr>
        <w:tabs>
          <w:tab w:val="left" w:pos="567"/>
        </w:tabs>
        <w:autoSpaceDE w:val="0"/>
        <w:autoSpaceDN w:val="0"/>
        <w:adjustRightInd w:val="0"/>
        <w:spacing w:before="120" w:after="120" w:line="240" w:lineRule="auto"/>
        <w:ind w:left="0" w:firstLine="0"/>
        <w:jc w:val="both"/>
        <w:textAlignment w:val="baseline"/>
        <w:rPr>
          <w:rFonts w:ascii="Verdana" w:hAnsi="Verdana"/>
          <w:b/>
          <w:sz w:val="20"/>
          <w:szCs w:val="20"/>
          <w:lang w:val="es-CR"/>
        </w:rPr>
      </w:pPr>
      <w:r w:rsidRPr="00744CE4">
        <w:rPr>
          <w:rFonts w:ascii="Verdana" w:eastAsia="Times New Roman" w:hAnsi="Verdana" w:cs="Times New Roman"/>
          <w:sz w:val="20"/>
          <w:szCs w:val="20"/>
          <w:lang w:val="es-ES"/>
        </w:rPr>
        <w:t xml:space="preserve">En este sentido, por un lado, </w:t>
      </w:r>
      <w:r w:rsidRPr="00744CE4">
        <w:rPr>
          <w:rFonts w:ascii="Verdana" w:hAnsi="Verdana"/>
          <w:sz w:val="20"/>
          <w:szCs w:val="20"/>
          <w:lang w:val="es-CR"/>
        </w:rPr>
        <w:t>el Estado deberá adoptar, de forma inmediata, las medidas que sean suficientes y necesarias a fin de proteger la vida e integridad personal de las víctimas del caso, a la luz de diagnósticos actualizados sobre la situación de riesgo y las necesidades particulares e impactos diferenciados, de común acuerdo con las víctimas o sus representantes</w:t>
      </w:r>
      <w:r w:rsidRPr="00744CE4">
        <w:rPr>
          <w:rStyle w:val="FootnoteReference"/>
          <w:rFonts w:ascii="Verdana" w:hAnsi="Verdana"/>
          <w:sz w:val="20"/>
          <w:szCs w:val="20"/>
          <w:lang w:val="es-CR"/>
        </w:rPr>
        <w:footnoteReference w:id="558"/>
      </w:r>
      <w:r w:rsidRPr="00744CE4">
        <w:rPr>
          <w:rFonts w:ascii="Verdana" w:hAnsi="Verdana"/>
          <w:sz w:val="20"/>
          <w:szCs w:val="20"/>
          <w:lang w:val="es-CR"/>
        </w:rPr>
        <w:t xml:space="preserve">. </w:t>
      </w:r>
      <w:r w:rsidR="002637F4" w:rsidRPr="00744CE4">
        <w:rPr>
          <w:rFonts w:ascii="Verdana" w:hAnsi="Verdana"/>
          <w:sz w:val="20"/>
          <w:szCs w:val="20"/>
          <w:lang w:val="es-CR"/>
        </w:rPr>
        <w:t xml:space="preserve">Para ello, el Estado deberá informar a la Corte sobre las medidas adoptadas en relación con la situación de riesgo, en el plazo de 6 meses </w:t>
      </w:r>
      <w:r w:rsidR="00A64184" w:rsidRPr="00432ABC">
        <w:rPr>
          <w:rFonts w:ascii="Verdana" w:hAnsi="Verdana"/>
          <w:sz w:val="20"/>
          <w:szCs w:val="20"/>
          <w:lang w:val="es-CR"/>
        </w:rPr>
        <w:t>contados</w:t>
      </w:r>
      <w:r w:rsidR="002637F4" w:rsidRPr="00432ABC">
        <w:rPr>
          <w:rFonts w:ascii="Verdana" w:hAnsi="Verdana"/>
          <w:sz w:val="20"/>
          <w:szCs w:val="20"/>
          <w:lang w:val="es-CR"/>
        </w:rPr>
        <w:t xml:space="preserve"> a partir de la notificación de </w:t>
      </w:r>
      <w:r w:rsidR="00FA27D7">
        <w:rPr>
          <w:rFonts w:ascii="Verdana" w:hAnsi="Verdana"/>
          <w:sz w:val="20"/>
          <w:szCs w:val="20"/>
          <w:lang w:val="es-CR"/>
        </w:rPr>
        <w:t>est</w:t>
      </w:r>
      <w:r w:rsidR="002637F4" w:rsidRPr="00432ABC">
        <w:rPr>
          <w:rFonts w:ascii="Verdana" w:hAnsi="Verdana"/>
          <w:sz w:val="20"/>
          <w:szCs w:val="20"/>
          <w:lang w:val="es-CR"/>
        </w:rPr>
        <w:t xml:space="preserve">a Sentencia. </w:t>
      </w:r>
    </w:p>
    <w:p w14:paraId="3F4409BF" w14:textId="0AF361A3" w:rsidR="009114A1" w:rsidRPr="00744CE4" w:rsidRDefault="009114A1" w:rsidP="00DB378B">
      <w:pPr>
        <w:widowControl w:val="0"/>
        <w:numPr>
          <w:ilvl w:val="0"/>
          <w:numId w:val="4"/>
        </w:numPr>
        <w:tabs>
          <w:tab w:val="left" w:pos="567"/>
        </w:tabs>
        <w:autoSpaceDE w:val="0"/>
        <w:autoSpaceDN w:val="0"/>
        <w:adjustRightInd w:val="0"/>
        <w:spacing w:before="120" w:after="120" w:line="240" w:lineRule="auto"/>
        <w:ind w:left="0" w:firstLine="0"/>
        <w:jc w:val="both"/>
        <w:textAlignment w:val="baseline"/>
        <w:rPr>
          <w:rFonts w:ascii="Verdana" w:hAnsi="Verdana"/>
          <w:sz w:val="20"/>
          <w:szCs w:val="20"/>
          <w:lang w:val="es-CR"/>
        </w:rPr>
      </w:pPr>
      <w:r w:rsidRPr="002C462C">
        <w:rPr>
          <w:rFonts w:ascii="Verdana" w:hAnsi="Verdana"/>
          <w:sz w:val="20"/>
          <w:szCs w:val="20"/>
          <w:lang w:val="es-CR"/>
        </w:rPr>
        <w:t>Por otra parte, la Corte toma nota y valora que el Estado reportó a la Corte medidas para reubicar de manera consensuada a algunos familiares (</w:t>
      </w:r>
      <w:r w:rsidR="00205AF7" w:rsidRPr="00744CE4">
        <w:rPr>
          <w:rFonts w:ascii="Verdana" w:hAnsi="Verdana"/>
          <w:i/>
          <w:sz w:val="20"/>
          <w:szCs w:val="20"/>
          <w:lang w:val="es-CR"/>
        </w:rPr>
        <w:t xml:space="preserve">supra </w:t>
      </w:r>
      <w:r w:rsidR="00FA27D7">
        <w:rPr>
          <w:rFonts w:ascii="Verdana" w:hAnsi="Verdana"/>
          <w:sz w:val="20"/>
          <w:szCs w:val="20"/>
          <w:lang w:val="es-CR"/>
        </w:rPr>
        <w:t>párr</w:t>
      </w:r>
      <w:r w:rsidR="005F18EB">
        <w:rPr>
          <w:rFonts w:ascii="Verdana" w:hAnsi="Verdana"/>
          <w:sz w:val="20"/>
          <w:szCs w:val="20"/>
          <w:lang w:val="es-CR"/>
        </w:rPr>
        <w:t>s</w:t>
      </w:r>
      <w:r w:rsidR="00FA27D7">
        <w:rPr>
          <w:rFonts w:ascii="Verdana" w:hAnsi="Verdana"/>
          <w:sz w:val="20"/>
          <w:szCs w:val="20"/>
          <w:lang w:val="es-CR"/>
        </w:rPr>
        <w:t xml:space="preserve">. </w:t>
      </w:r>
      <w:r w:rsidR="005F18EB">
        <w:rPr>
          <w:rFonts w:ascii="Verdana" w:hAnsi="Verdana"/>
          <w:sz w:val="20"/>
          <w:szCs w:val="20"/>
          <w:lang w:val="es-CR"/>
        </w:rPr>
        <w:t>152.ii</w:t>
      </w:r>
      <w:r w:rsidR="008017AB">
        <w:rPr>
          <w:rFonts w:ascii="Verdana" w:hAnsi="Verdana"/>
          <w:sz w:val="20"/>
          <w:szCs w:val="20"/>
          <w:lang w:val="es-CR"/>
        </w:rPr>
        <w:t>, 155</w:t>
      </w:r>
      <w:r w:rsidR="005F18EB">
        <w:rPr>
          <w:rFonts w:ascii="Verdana" w:hAnsi="Verdana"/>
          <w:sz w:val="20"/>
          <w:szCs w:val="20"/>
          <w:lang w:val="es-CR"/>
        </w:rPr>
        <w:t xml:space="preserve"> y 262</w:t>
      </w:r>
      <w:r w:rsidR="005F18EB" w:rsidRPr="00744CE4">
        <w:rPr>
          <w:rFonts w:ascii="Verdana" w:hAnsi="Verdana"/>
          <w:sz w:val="20"/>
          <w:szCs w:val="20"/>
          <w:lang w:val="es-CR"/>
        </w:rPr>
        <w:t xml:space="preserve">). </w:t>
      </w:r>
      <w:r w:rsidRPr="00744CE4">
        <w:rPr>
          <w:rFonts w:ascii="Verdana" w:hAnsi="Verdana"/>
          <w:sz w:val="20"/>
          <w:szCs w:val="20"/>
          <w:lang w:val="es-CR"/>
        </w:rPr>
        <w:t xml:space="preserve">En este sentido, el Estado deberá brindar garantías de retorno o reubicación a las víctimas desplazadas que así lo requieran, mediante el otorgamiento de medidas de seguridad efectivas </w:t>
      </w:r>
      <w:r w:rsidR="0041743B">
        <w:rPr>
          <w:rFonts w:ascii="Verdana" w:hAnsi="Verdana"/>
          <w:sz w:val="20"/>
          <w:szCs w:val="20"/>
          <w:lang w:val="es-CR"/>
        </w:rPr>
        <w:t xml:space="preserve">para un </w:t>
      </w:r>
      <w:r w:rsidRPr="00744CE4">
        <w:rPr>
          <w:rFonts w:ascii="Verdana" w:hAnsi="Verdana"/>
          <w:sz w:val="20"/>
          <w:szCs w:val="20"/>
        </w:rPr>
        <w:t>retorno digno a su lugar de residencia habitual</w:t>
      </w:r>
      <w:r w:rsidR="0041743B">
        <w:rPr>
          <w:rFonts w:ascii="Verdana" w:hAnsi="Verdana"/>
          <w:sz w:val="20"/>
          <w:szCs w:val="20"/>
        </w:rPr>
        <w:t>,</w:t>
      </w:r>
      <w:r w:rsidRPr="00744CE4">
        <w:rPr>
          <w:rFonts w:ascii="Verdana" w:hAnsi="Verdana"/>
          <w:sz w:val="20"/>
          <w:szCs w:val="20"/>
        </w:rPr>
        <w:t xml:space="preserve"> o </w:t>
      </w:r>
      <w:r w:rsidR="0041743B">
        <w:rPr>
          <w:rFonts w:ascii="Verdana" w:hAnsi="Verdana"/>
          <w:sz w:val="20"/>
          <w:szCs w:val="20"/>
        </w:rPr>
        <w:t xml:space="preserve">bien </w:t>
      </w:r>
      <w:r w:rsidRPr="00744CE4">
        <w:rPr>
          <w:rFonts w:ascii="Verdana" w:hAnsi="Verdana"/>
          <w:sz w:val="20"/>
          <w:szCs w:val="20"/>
        </w:rPr>
        <w:t>su reasentamiento voluntario en otra parte del país. Lo anterior,</w:t>
      </w:r>
      <w:r w:rsidRPr="00744CE4">
        <w:rPr>
          <w:rFonts w:ascii="Verdana" w:hAnsi="Verdana"/>
          <w:sz w:val="20"/>
          <w:szCs w:val="20"/>
          <w:lang w:val="es-CR"/>
        </w:rPr>
        <w:t xml:space="preserve"> de común acuerdo con las víctimas o sus representantes</w:t>
      </w:r>
      <w:r w:rsidRPr="00744CE4">
        <w:rPr>
          <w:rStyle w:val="FootnoteReference"/>
          <w:rFonts w:ascii="Verdana" w:hAnsi="Verdana"/>
          <w:sz w:val="20"/>
          <w:szCs w:val="20"/>
          <w:lang w:val="es-CR"/>
        </w:rPr>
        <w:footnoteReference w:id="559"/>
      </w:r>
      <w:r w:rsidRPr="00744CE4">
        <w:rPr>
          <w:rFonts w:ascii="Verdana" w:hAnsi="Verdana"/>
          <w:sz w:val="20"/>
          <w:szCs w:val="20"/>
          <w:lang w:val="es-CR"/>
        </w:rPr>
        <w:t xml:space="preserve">. </w:t>
      </w:r>
    </w:p>
    <w:p w14:paraId="3C6F284C" w14:textId="6C917023" w:rsidR="009114A1" w:rsidRPr="00744CE4" w:rsidRDefault="009114A1" w:rsidP="00DB378B">
      <w:pPr>
        <w:widowControl w:val="0"/>
        <w:numPr>
          <w:ilvl w:val="0"/>
          <w:numId w:val="4"/>
        </w:numPr>
        <w:tabs>
          <w:tab w:val="left" w:pos="567"/>
        </w:tabs>
        <w:autoSpaceDE w:val="0"/>
        <w:autoSpaceDN w:val="0"/>
        <w:adjustRightInd w:val="0"/>
        <w:spacing w:before="120" w:after="120" w:line="240" w:lineRule="auto"/>
        <w:ind w:left="0" w:firstLine="0"/>
        <w:jc w:val="both"/>
        <w:textAlignment w:val="baseline"/>
        <w:rPr>
          <w:rFonts w:ascii="Verdana" w:hAnsi="Verdana"/>
          <w:sz w:val="20"/>
          <w:szCs w:val="20"/>
          <w:lang w:val="es-CR"/>
        </w:rPr>
      </w:pPr>
      <w:r w:rsidRPr="00744CE4">
        <w:rPr>
          <w:rFonts w:ascii="Verdana" w:hAnsi="Verdana"/>
          <w:sz w:val="20"/>
          <w:szCs w:val="20"/>
          <w:lang w:val="es-CR"/>
        </w:rPr>
        <w:t xml:space="preserve">Dichas personas cuentan con un plazo de un año, contado a partir de la notificación de la presente Sentencia, para dar a conocer al Estado su intención de retornar o reubicarse, de ser el caso. Si dentro de este plazo las víctimas manifiestan su voluntad de volver a sus lugares de residencia, </w:t>
      </w:r>
      <w:r w:rsidR="00C454B2" w:rsidRPr="00744CE4">
        <w:rPr>
          <w:rFonts w:ascii="Verdana" w:hAnsi="Verdana"/>
          <w:sz w:val="20"/>
          <w:szCs w:val="20"/>
          <w:lang w:val="es-CR"/>
        </w:rPr>
        <w:t>en ese momento</w:t>
      </w:r>
      <w:r w:rsidR="0041743B">
        <w:rPr>
          <w:rFonts w:ascii="Verdana" w:hAnsi="Verdana"/>
          <w:sz w:val="20"/>
          <w:szCs w:val="20"/>
          <w:lang w:val="es-CR"/>
        </w:rPr>
        <w:t>,</w:t>
      </w:r>
      <w:r w:rsidRPr="00744CE4">
        <w:rPr>
          <w:rFonts w:ascii="Verdana" w:hAnsi="Verdana"/>
          <w:sz w:val="20"/>
          <w:szCs w:val="20"/>
          <w:lang w:val="es-CR"/>
        </w:rPr>
        <w:t xml:space="preserve"> empezará a contar un plazo de dos años para que las víctimas y el Estado acuerden lo pertinente</w:t>
      </w:r>
      <w:r w:rsidR="0041743B">
        <w:rPr>
          <w:rFonts w:ascii="Verdana" w:hAnsi="Verdana"/>
          <w:sz w:val="20"/>
          <w:szCs w:val="20"/>
          <w:lang w:val="es-CR"/>
        </w:rPr>
        <w:t>,</w:t>
      </w:r>
      <w:r w:rsidRPr="00744CE4">
        <w:rPr>
          <w:rFonts w:ascii="Verdana" w:hAnsi="Verdana"/>
          <w:sz w:val="20"/>
          <w:szCs w:val="20"/>
          <w:lang w:val="es-CR"/>
        </w:rPr>
        <w:t xml:space="preserve"> a fin de que éste pueda cumplir con </w:t>
      </w:r>
      <w:r w:rsidR="0041743B">
        <w:rPr>
          <w:rFonts w:ascii="Verdana" w:hAnsi="Verdana"/>
          <w:sz w:val="20"/>
          <w:szCs w:val="20"/>
          <w:lang w:val="es-CR"/>
        </w:rPr>
        <w:t>dicha</w:t>
      </w:r>
      <w:r w:rsidR="0041743B" w:rsidRPr="00744CE4">
        <w:rPr>
          <w:rFonts w:ascii="Verdana" w:hAnsi="Verdana"/>
          <w:sz w:val="20"/>
          <w:szCs w:val="20"/>
          <w:lang w:val="es-CR"/>
        </w:rPr>
        <w:t xml:space="preserve"> </w:t>
      </w:r>
      <w:r w:rsidRPr="00744CE4">
        <w:rPr>
          <w:rFonts w:ascii="Verdana" w:hAnsi="Verdana"/>
          <w:sz w:val="20"/>
          <w:szCs w:val="20"/>
          <w:lang w:val="es-CR"/>
        </w:rPr>
        <w:t>medida de reparación, entre otr</w:t>
      </w:r>
      <w:r w:rsidR="0041743B">
        <w:rPr>
          <w:rFonts w:ascii="Verdana" w:hAnsi="Verdana"/>
          <w:sz w:val="20"/>
          <w:szCs w:val="20"/>
          <w:lang w:val="es-CR"/>
        </w:rPr>
        <w:t>a</w:t>
      </w:r>
      <w:r w:rsidRPr="00744CE4">
        <w:rPr>
          <w:rFonts w:ascii="Verdana" w:hAnsi="Verdana"/>
          <w:sz w:val="20"/>
          <w:szCs w:val="20"/>
          <w:lang w:val="es-CR"/>
        </w:rPr>
        <w:t>, pagando los gastos de traslado</w:t>
      </w:r>
      <w:r w:rsidRPr="00432ABC">
        <w:rPr>
          <w:rFonts w:ascii="Verdana" w:hAnsi="Verdana"/>
          <w:sz w:val="20"/>
          <w:szCs w:val="20"/>
          <w:lang w:val="es-CR"/>
        </w:rPr>
        <w:t xml:space="preserve"> de los miembros de la familia y de sus bienes. Por el contrario, si dentro del plazo de un año referido, las víctimas no manifiestan su voluntad de retornar, la Corte entenderá que éstas han renunciado a esta medida de reparación</w:t>
      </w:r>
      <w:r w:rsidRPr="00744CE4">
        <w:rPr>
          <w:rStyle w:val="FootnoteReference"/>
          <w:rFonts w:ascii="Verdana" w:hAnsi="Verdana"/>
          <w:sz w:val="20"/>
          <w:szCs w:val="20"/>
          <w:lang w:val="es-CR"/>
        </w:rPr>
        <w:footnoteReference w:id="560"/>
      </w:r>
      <w:r w:rsidRPr="00744CE4">
        <w:rPr>
          <w:rFonts w:ascii="Verdana" w:hAnsi="Verdana"/>
          <w:sz w:val="20"/>
          <w:szCs w:val="20"/>
          <w:lang w:val="es-CR"/>
        </w:rPr>
        <w:t>.</w:t>
      </w:r>
    </w:p>
    <w:p w14:paraId="68EDD141" w14:textId="3981B227" w:rsidR="009114A1" w:rsidRPr="00744CE4" w:rsidRDefault="00556FDB">
      <w:pPr>
        <w:pStyle w:val="ListParagraph"/>
        <w:keepNext/>
        <w:keepLines/>
        <w:numPr>
          <w:ilvl w:val="0"/>
          <w:numId w:val="29"/>
        </w:numPr>
        <w:spacing w:before="120" w:after="120" w:line="240" w:lineRule="auto"/>
        <w:contextualSpacing w:val="0"/>
        <w:jc w:val="both"/>
        <w:outlineLvl w:val="1"/>
        <w:rPr>
          <w:rFonts w:ascii="Verdana" w:eastAsia="Times New Roman" w:hAnsi="Verdana" w:cs="Times New Roman"/>
          <w:b/>
          <w:i/>
          <w:sz w:val="20"/>
          <w:szCs w:val="20"/>
          <w:lang w:val="es-ES"/>
        </w:rPr>
      </w:pPr>
      <w:bookmarkStart w:id="396" w:name="_Toc526777521"/>
      <w:bookmarkStart w:id="397" w:name="_Toc526783833"/>
      <w:r>
        <w:rPr>
          <w:rFonts w:ascii="Verdana" w:eastAsia="Times New Roman" w:hAnsi="Verdana" w:cs="Times New Roman"/>
          <w:b/>
          <w:i/>
          <w:sz w:val="20"/>
          <w:szCs w:val="20"/>
          <w:lang w:val="es-ES"/>
        </w:rPr>
        <w:t xml:space="preserve"> </w:t>
      </w:r>
      <w:bookmarkStart w:id="398" w:name="_Toc532995414"/>
      <w:r w:rsidR="009114A1" w:rsidRPr="00744CE4">
        <w:rPr>
          <w:rFonts w:ascii="Verdana" w:eastAsia="Times New Roman" w:hAnsi="Verdana" w:cs="Times New Roman"/>
          <w:b/>
          <w:i/>
          <w:sz w:val="20"/>
          <w:szCs w:val="20"/>
          <w:lang w:val="es-ES"/>
        </w:rPr>
        <w:t>Otras medidas de solicitadas</w:t>
      </w:r>
      <w:bookmarkEnd w:id="396"/>
      <w:bookmarkEnd w:id="397"/>
      <w:bookmarkEnd w:id="398"/>
    </w:p>
    <w:p w14:paraId="2F4F7EA2" w14:textId="544DEB2E" w:rsidR="0030739A" w:rsidRPr="00744CE4" w:rsidRDefault="009114A1" w:rsidP="00DB378B">
      <w:pPr>
        <w:widowControl w:val="0"/>
        <w:numPr>
          <w:ilvl w:val="0"/>
          <w:numId w:val="4"/>
        </w:numPr>
        <w:tabs>
          <w:tab w:val="left" w:pos="567"/>
        </w:tabs>
        <w:autoSpaceDE w:val="0"/>
        <w:autoSpaceDN w:val="0"/>
        <w:adjustRightInd w:val="0"/>
        <w:spacing w:before="120" w:after="120" w:line="240" w:lineRule="auto"/>
        <w:ind w:left="0" w:firstLine="0"/>
        <w:jc w:val="both"/>
        <w:textAlignment w:val="baseline"/>
        <w:rPr>
          <w:rFonts w:ascii="Verdana" w:hAnsi="Verdana"/>
          <w:color w:val="00B0F0"/>
          <w:sz w:val="20"/>
          <w:szCs w:val="20"/>
          <w:lang w:val="es-CR"/>
        </w:rPr>
      </w:pPr>
      <w:r w:rsidRPr="00744CE4">
        <w:rPr>
          <w:rFonts w:ascii="Verdana" w:eastAsia="Times New Roman" w:hAnsi="Verdana"/>
          <w:sz w:val="20"/>
          <w:szCs w:val="20"/>
          <w:lang w:val="es-ES"/>
        </w:rPr>
        <w:t xml:space="preserve">Las </w:t>
      </w:r>
      <w:r w:rsidRPr="00744CE4">
        <w:rPr>
          <w:rFonts w:ascii="Verdana" w:eastAsia="Times New Roman" w:hAnsi="Verdana"/>
          <w:b/>
          <w:i/>
          <w:sz w:val="20"/>
          <w:szCs w:val="20"/>
          <w:lang w:val="es-ES"/>
        </w:rPr>
        <w:t>Representantes</w:t>
      </w:r>
      <w:r w:rsidRPr="00744CE4">
        <w:rPr>
          <w:rFonts w:ascii="Verdana" w:eastAsia="Times New Roman" w:hAnsi="Verdana"/>
          <w:sz w:val="20"/>
          <w:szCs w:val="20"/>
          <w:lang w:val="es-ES"/>
        </w:rPr>
        <w:t xml:space="preserve"> solicitaron adicionalmente como medidas de satisfacción las siguientes: i) la construcción de un lugar simbólico donde se pueda recuperar la memoria de los nombres </w:t>
      </w:r>
      <w:r w:rsidR="00EF151C">
        <w:rPr>
          <w:rFonts w:ascii="Verdana" w:eastAsia="Times New Roman" w:hAnsi="Verdana"/>
          <w:sz w:val="20"/>
          <w:szCs w:val="20"/>
          <w:lang w:val="es-ES"/>
        </w:rPr>
        <w:t xml:space="preserve">[sic] </w:t>
      </w:r>
      <w:r w:rsidRPr="00744CE4">
        <w:rPr>
          <w:rFonts w:ascii="Verdana" w:eastAsia="Times New Roman" w:hAnsi="Verdana"/>
          <w:sz w:val="20"/>
          <w:szCs w:val="20"/>
          <w:lang w:val="es-ES"/>
        </w:rPr>
        <w:t>de las personas desaparecidas en México; ii) la construcción de un</w:t>
      </w:r>
      <w:r w:rsidRPr="00432ABC">
        <w:rPr>
          <w:rFonts w:ascii="Verdana" w:eastAsia="Times New Roman" w:hAnsi="Verdana"/>
          <w:sz w:val="20"/>
          <w:szCs w:val="20"/>
          <w:lang w:val="es-ES"/>
        </w:rPr>
        <w:t xml:space="preserve">a escuela para alumnos de primaria que lleve el nombre de José Ángel Alvarado Herrera, Nitza Paola Alvarado Espinoza y Rocío Irene Alvarado Reyes; iii) la adopción de una política pública para familiares de personas desaparecidas, esto con el objetivo de crear </w:t>
      </w:r>
      <w:r w:rsidR="00EF151C">
        <w:rPr>
          <w:rFonts w:ascii="Verdana" w:eastAsia="Times New Roman" w:hAnsi="Verdana"/>
          <w:sz w:val="20"/>
          <w:szCs w:val="20"/>
          <w:lang w:val="es-ES"/>
        </w:rPr>
        <w:t>c</w:t>
      </w:r>
      <w:r w:rsidRPr="00432ABC">
        <w:rPr>
          <w:rFonts w:ascii="Verdana" w:eastAsia="Times New Roman" w:hAnsi="Verdana"/>
          <w:sz w:val="20"/>
          <w:szCs w:val="20"/>
          <w:lang w:val="es-ES"/>
        </w:rPr>
        <w:t xml:space="preserve">línicas para </w:t>
      </w:r>
      <w:r w:rsidR="00EF151C">
        <w:rPr>
          <w:rFonts w:ascii="Verdana" w:eastAsia="Times New Roman" w:hAnsi="Verdana"/>
          <w:sz w:val="20"/>
          <w:szCs w:val="20"/>
          <w:lang w:val="es-ES"/>
        </w:rPr>
        <w:t xml:space="preserve">familiares de </w:t>
      </w:r>
      <w:r w:rsidRPr="00432ABC">
        <w:rPr>
          <w:rFonts w:ascii="Verdana" w:eastAsia="Times New Roman" w:hAnsi="Verdana"/>
          <w:sz w:val="20"/>
          <w:szCs w:val="20"/>
          <w:lang w:val="es-ES"/>
        </w:rPr>
        <w:t>personas</w:t>
      </w:r>
      <w:r w:rsidR="00EF151C">
        <w:rPr>
          <w:rFonts w:ascii="Verdana" w:eastAsia="Times New Roman" w:hAnsi="Verdana"/>
          <w:sz w:val="20"/>
          <w:szCs w:val="20"/>
          <w:lang w:val="es-ES"/>
        </w:rPr>
        <w:t xml:space="preserve"> desaparecidas</w:t>
      </w:r>
      <w:r w:rsidRPr="00432ABC">
        <w:rPr>
          <w:rFonts w:ascii="Verdana" w:eastAsia="Times New Roman" w:hAnsi="Verdana"/>
          <w:sz w:val="20"/>
          <w:szCs w:val="20"/>
          <w:lang w:val="es-ES"/>
        </w:rPr>
        <w:t xml:space="preserve">; iv) la existencia de una clínica en Benito Juárez con doctores permanentes y un centro </w:t>
      </w:r>
      <w:r w:rsidR="00812F1A">
        <w:rPr>
          <w:rFonts w:ascii="Verdana" w:eastAsia="Times New Roman" w:hAnsi="Verdana"/>
          <w:sz w:val="20"/>
          <w:szCs w:val="20"/>
          <w:lang w:val="es-ES"/>
        </w:rPr>
        <w:t>d</w:t>
      </w:r>
      <w:r w:rsidRPr="00432ABC">
        <w:rPr>
          <w:rFonts w:ascii="Verdana" w:eastAsia="Times New Roman" w:hAnsi="Verdana"/>
          <w:sz w:val="20"/>
          <w:szCs w:val="20"/>
          <w:lang w:val="es-ES"/>
        </w:rPr>
        <w:t>e apoyo comunitario que pueda</w:t>
      </w:r>
      <w:r w:rsidR="00C72765">
        <w:rPr>
          <w:rFonts w:ascii="Verdana" w:eastAsia="Times New Roman" w:hAnsi="Verdana"/>
          <w:sz w:val="20"/>
          <w:szCs w:val="20"/>
          <w:lang w:val="es-ES"/>
        </w:rPr>
        <w:t>n</w:t>
      </w:r>
      <w:r w:rsidRPr="00432ABC">
        <w:rPr>
          <w:rFonts w:ascii="Verdana" w:eastAsia="Times New Roman" w:hAnsi="Verdana"/>
          <w:sz w:val="20"/>
          <w:szCs w:val="20"/>
          <w:lang w:val="es-ES"/>
        </w:rPr>
        <w:t xml:space="preserve"> hacer frente a las consecuencias médicas y psicológicas que sufren las personas a partir de violaciones de derechos humanos</w:t>
      </w:r>
      <w:r w:rsidR="00C72765">
        <w:rPr>
          <w:rFonts w:ascii="Verdana" w:eastAsia="Times New Roman" w:hAnsi="Verdana"/>
          <w:sz w:val="20"/>
          <w:szCs w:val="20"/>
          <w:lang w:val="es-ES"/>
        </w:rPr>
        <w:t>.</w:t>
      </w:r>
      <w:r w:rsidRPr="00432ABC">
        <w:rPr>
          <w:rFonts w:ascii="Verdana" w:eastAsia="Times New Roman" w:hAnsi="Verdana"/>
          <w:sz w:val="20"/>
          <w:szCs w:val="20"/>
          <w:lang w:val="es-ES"/>
        </w:rPr>
        <w:t xml:space="preserve"> </w:t>
      </w:r>
      <w:r w:rsidR="00C72765">
        <w:rPr>
          <w:rFonts w:ascii="Verdana" w:eastAsia="Times New Roman" w:hAnsi="Verdana"/>
          <w:sz w:val="20"/>
          <w:szCs w:val="20"/>
          <w:lang w:val="es-ES"/>
        </w:rPr>
        <w:t>C</w:t>
      </w:r>
      <w:r w:rsidRPr="00432ABC">
        <w:rPr>
          <w:rFonts w:ascii="Verdana" w:eastAsia="Times New Roman" w:hAnsi="Verdana"/>
          <w:sz w:val="20"/>
          <w:szCs w:val="20"/>
          <w:lang w:val="es-ES"/>
        </w:rPr>
        <w:t xml:space="preserve">omo parte de sus alegatos finales, las representantes solicitaron que el Estado, como medida de prevención, proponga programas anti-adicciones y otras medidas pertinentes como las contenidas en el peritaje del </w:t>
      </w:r>
      <w:r w:rsidRPr="002C462C">
        <w:rPr>
          <w:rFonts w:ascii="Verdana" w:eastAsia="Times New Roman" w:hAnsi="Verdana"/>
          <w:sz w:val="20"/>
          <w:szCs w:val="20"/>
          <w:lang w:val="es-ES"/>
        </w:rPr>
        <w:t>G</w:t>
      </w:r>
      <w:r w:rsidR="00C72765">
        <w:rPr>
          <w:rFonts w:ascii="Verdana" w:eastAsia="Times New Roman" w:hAnsi="Verdana"/>
          <w:sz w:val="20"/>
          <w:szCs w:val="20"/>
          <w:lang w:val="es-ES"/>
        </w:rPr>
        <w:t xml:space="preserve">rupo </w:t>
      </w:r>
      <w:r w:rsidRPr="002C462C">
        <w:rPr>
          <w:rFonts w:ascii="Verdana" w:eastAsia="Times New Roman" w:hAnsi="Verdana"/>
          <w:sz w:val="20"/>
          <w:szCs w:val="20"/>
          <w:lang w:val="es-ES"/>
        </w:rPr>
        <w:t>I</w:t>
      </w:r>
      <w:r w:rsidR="00C72765">
        <w:rPr>
          <w:rFonts w:ascii="Verdana" w:eastAsia="Times New Roman" w:hAnsi="Verdana"/>
          <w:sz w:val="20"/>
          <w:szCs w:val="20"/>
          <w:lang w:val="es-ES"/>
        </w:rPr>
        <w:t xml:space="preserve">nterdisciplinario de </w:t>
      </w:r>
      <w:r w:rsidRPr="002C462C">
        <w:rPr>
          <w:rFonts w:ascii="Verdana" w:eastAsia="Times New Roman" w:hAnsi="Verdana"/>
          <w:sz w:val="20"/>
          <w:szCs w:val="20"/>
          <w:lang w:val="es-ES"/>
        </w:rPr>
        <w:t>A</w:t>
      </w:r>
      <w:r w:rsidR="00C72765">
        <w:rPr>
          <w:rFonts w:ascii="Verdana" w:eastAsia="Times New Roman" w:hAnsi="Verdana"/>
          <w:sz w:val="20"/>
          <w:szCs w:val="20"/>
          <w:lang w:val="es-ES"/>
        </w:rPr>
        <w:t xml:space="preserve">ntropología </w:t>
      </w:r>
      <w:r w:rsidRPr="002C462C">
        <w:rPr>
          <w:rFonts w:ascii="Verdana" w:eastAsia="Times New Roman" w:hAnsi="Verdana"/>
          <w:sz w:val="20"/>
          <w:szCs w:val="20"/>
          <w:lang w:val="es-ES"/>
        </w:rPr>
        <w:t>S</w:t>
      </w:r>
      <w:r w:rsidR="00C72765">
        <w:rPr>
          <w:rFonts w:ascii="Verdana" w:eastAsia="Times New Roman" w:hAnsi="Verdana"/>
          <w:sz w:val="20"/>
          <w:szCs w:val="20"/>
          <w:lang w:val="es-ES"/>
        </w:rPr>
        <w:t xml:space="preserve">ocial y </w:t>
      </w:r>
      <w:r w:rsidRPr="002C462C">
        <w:rPr>
          <w:rFonts w:ascii="Verdana" w:eastAsia="Times New Roman" w:hAnsi="Verdana"/>
          <w:sz w:val="20"/>
          <w:szCs w:val="20"/>
          <w:lang w:val="es-ES"/>
        </w:rPr>
        <w:t>F</w:t>
      </w:r>
      <w:r w:rsidR="00C72765">
        <w:rPr>
          <w:rFonts w:ascii="Verdana" w:eastAsia="Times New Roman" w:hAnsi="Verdana"/>
          <w:sz w:val="20"/>
          <w:szCs w:val="20"/>
          <w:lang w:val="es-ES"/>
        </w:rPr>
        <w:t>orense (GIASF).</w:t>
      </w:r>
    </w:p>
    <w:p w14:paraId="17B9E857" w14:textId="440956A6" w:rsidR="0030739A" w:rsidRPr="00744CE4" w:rsidRDefault="0030739A" w:rsidP="00DB378B">
      <w:pPr>
        <w:widowControl w:val="0"/>
        <w:numPr>
          <w:ilvl w:val="0"/>
          <w:numId w:val="4"/>
        </w:numPr>
        <w:tabs>
          <w:tab w:val="left" w:pos="567"/>
        </w:tabs>
        <w:autoSpaceDE w:val="0"/>
        <w:autoSpaceDN w:val="0"/>
        <w:adjustRightInd w:val="0"/>
        <w:spacing w:before="120" w:after="120" w:line="240" w:lineRule="auto"/>
        <w:ind w:left="0" w:firstLine="0"/>
        <w:jc w:val="both"/>
        <w:textAlignment w:val="baseline"/>
        <w:rPr>
          <w:rFonts w:ascii="Verdana" w:eastAsia="Calibri" w:hAnsi="Verdana"/>
          <w:sz w:val="20"/>
          <w:szCs w:val="20"/>
          <w:lang w:val="es-ES" w:eastAsia="es-ES"/>
        </w:rPr>
      </w:pPr>
      <w:r w:rsidRPr="00744CE4">
        <w:rPr>
          <w:rFonts w:ascii="Verdana" w:eastAsia="Times New Roman" w:hAnsi="Verdana"/>
          <w:sz w:val="20"/>
          <w:szCs w:val="20"/>
          <w:lang w:val="es-ES"/>
        </w:rPr>
        <w:t xml:space="preserve">Por su parte, el </w:t>
      </w:r>
      <w:r w:rsidRPr="00744CE4">
        <w:rPr>
          <w:rFonts w:ascii="Verdana" w:eastAsia="Times New Roman" w:hAnsi="Verdana"/>
          <w:b/>
          <w:i/>
          <w:sz w:val="20"/>
          <w:szCs w:val="20"/>
          <w:lang w:val="es-ES"/>
        </w:rPr>
        <w:t>Estado</w:t>
      </w:r>
      <w:r w:rsidRPr="00744CE4">
        <w:rPr>
          <w:rFonts w:ascii="Verdana" w:eastAsia="Times New Roman" w:hAnsi="Verdana"/>
          <w:sz w:val="20"/>
          <w:szCs w:val="20"/>
          <w:lang w:val="es-ES"/>
        </w:rPr>
        <w:t xml:space="preserve">, destacó que la Corte ha establecido que las reparaciones deben tener un nexo causal. </w:t>
      </w:r>
      <w:r w:rsidRPr="00744CE4">
        <w:rPr>
          <w:rFonts w:ascii="Verdana" w:eastAsia="Calibri" w:hAnsi="Verdana"/>
          <w:sz w:val="20"/>
          <w:szCs w:val="20"/>
          <w:lang w:val="es-ES" w:eastAsia="es-ES"/>
        </w:rPr>
        <w:t>En este sentido: i) consider</w:t>
      </w:r>
      <w:r w:rsidR="008B31F4">
        <w:rPr>
          <w:rFonts w:ascii="Verdana" w:eastAsia="Calibri" w:hAnsi="Verdana"/>
          <w:sz w:val="20"/>
          <w:szCs w:val="20"/>
          <w:lang w:val="es-ES" w:eastAsia="es-ES"/>
        </w:rPr>
        <w:t>ó</w:t>
      </w:r>
      <w:r w:rsidRPr="00744CE4">
        <w:rPr>
          <w:rFonts w:ascii="Verdana" w:eastAsia="Calibri" w:hAnsi="Verdana"/>
          <w:sz w:val="20"/>
          <w:szCs w:val="20"/>
          <w:lang w:val="es-ES" w:eastAsia="es-ES"/>
        </w:rPr>
        <w:t xml:space="preserve"> que el establecimiento de un memorial sobre las personas desaparecidas en México, no guarda relación con los hechos del caso y no es congruente con el nexo causal que debe existir entre estos, y que en su caso, la construcción de un memorial debe ser específica en señalar a las </w:t>
      </w:r>
      <w:r w:rsidR="00C72765">
        <w:rPr>
          <w:rFonts w:ascii="Verdana" w:eastAsia="Calibri" w:hAnsi="Verdana"/>
          <w:sz w:val="20"/>
          <w:szCs w:val="20"/>
          <w:lang w:val="es-ES" w:eastAsia="es-ES"/>
        </w:rPr>
        <w:t xml:space="preserve">personas </w:t>
      </w:r>
      <w:r w:rsidRPr="00744CE4">
        <w:rPr>
          <w:rFonts w:ascii="Verdana" w:eastAsia="Calibri" w:hAnsi="Verdana"/>
          <w:sz w:val="20"/>
          <w:szCs w:val="20"/>
          <w:lang w:val="es-ES" w:eastAsia="es-ES"/>
        </w:rPr>
        <w:t xml:space="preserve">que se determine como víctimas de </w:t>
      </w:r>
      <w:r w:rsidRPr="00744CE4">
        <w:rPr>
          <w:rFonts w:ascii="Verdana" w:eastAsia="Calibri" w:hAnsi="Verdana"/>
          <w:sz w:val="20"/>
          <w:szCs w:val="20"/>
          <w:lang w:val="es-ES" w:eastAsia="es-ES"/>
        </w:rPr>
        <w:lastRenderedPageBreak/>
        <w:t>los hechos en estudio</w:t>
      </w:r>
      <w:r w:rsidR="00DC0243">
        <w:rPr>
          <w:rFonts w:ascii="Verdana" w:eastAsia="Calibri" w:hAnsi="Verdana"/>
          <w:sz w:val="20"/>
          <w:szCs w:val="20"/>
          <w:lang w:val="es-ES" w:eastAsia="es-ES"/>
        </w:rPr>
        <w:t xml:space="preserve">; </w:t>
      </w:r>
      <w:r w:rsidRPr="00744CE4">
        <w:rPr>
          <w:rFonts w:ascii="Verdana" w:eastAsia="Calibri" w:hAnsi="Verdana"/>
          <w:sz w:val="20"/>
          <w:szCs w:val="20"/>
          <w:lang w:val="es-ES" w:eastAsia="es-ES"/>
        </w:rPr>
        <w:t xml:space="preserve">ii) en cuanto a la adopción de una política pública y la </w:t>
      </w:r>
      <w:r w:rsidR="00DC0243">
        <w:rPr>
          <w:rFonts w:ascii="Verdana" w:eastAsia="Calibri" w:hAnsi="Verdana"/>
          <w:sz w:val="20"/>
          <w:szCs w:val="20"/>
          <w:lang w:val="es-ES" w:eastAsia="es-ES"/>
        </w:rPr>
        <w:t xml:space="preserve">existencia de una </w:t>
      </w:r>
      <w:r w:rsidRPr="00744CE4">
        <w:rPr>
          <w:rFonts w:ascii="Verdana" w:eastAsia="Calibri" w:hAnsi="Verdana"/>
          <w:sz w:val="20"/>
          <w:szCs w:val="20"/>
          <w:lang w:val="es-ES" w:eastAsia="es-ES"/>
        </w:rPr>
        <w:t>clínica en Benito Juárez, el Estado señaló que la creación de una institución se debe dar cuando sus funciones no sean cubiertas por las propias del Estado e indicó que no observa la relación que guarda</w:t>
      </w:r>
      <w:r w:rsidR="00DC0243">
        <w:rPr>
          <w:rFonts w:ascii="Verdana" w:eastAsia="Calibri" w:hAnsi="Verdana"/>
          <w:sz w:val="20"/>
          <w:szCs w:val="20"/>
          <w:lang w:val="es-ES" w:eastAsia="es-ES"/>
        </w:rPr>
        <w:t>ría</w:t>
      </w:r>
      <w:r w:rsidRPr="00744CE4">
        <w:rPr>
          <w:rFonts w:ascii="Verdana" w:eastAsia="Calibri" w:hAnsi="Verdana"/>
          <w:sz w:val="20"/>
          <w:szCs w:val="20"/>
          <w:lang w:val="es-ES" w:eastAsia="es-ES"/>
        </w:rPr>
        <w:t xml:space="preserve"> </w:t>
      </w:r>
      <w:r w:rsidR="00DC0243" w:rsidRPr="00744CE4">
        <w:rPr>
          <w:rFonts w:ascii="Verdana" w:eastAsia="Calibri" w:hAnsi="Verdana"/>
          <w:sz w:val="20"/>
          <w:szCs w:val="20"/>
          <w:lang w:val="es-ES" w:eastAsia="es-ES"/>
        </w:rPr>
        <w:t xml:space="preserve">con los hechos de caso </w:t>
      </w:r>
      <w:r w:rsidRPr="00744CE4">
        <w:rPr>
          <w:rFonts w:ascii="Verdana" w:eastAsia="Calibri" w:hAnsi="Verdana"/>
          <w:sz w:val="20"/>
          <w:szCs w:val="20"/>
          <w:lang w:val="es-ES" w:eastAsia="es-ES"/>
        </w:rPr>
        <w:t>la construcción de un clínica</w:t>
      </w:r>
      <w:r w:rsidR="00DC0243">
        <w:rPr>
          <w:rFonts w:ascii="Verdana" w:eastAsia="Calibri" w:hAnsi="Verdana"/>
          <w:sz w:val="20"/>
          <w:szCs w:val="20"/>
          <w:lang w:val="es-ES" w:eastAsia="es-ES"/>
        </w:rPr>
        <w:t>, y</w:t>
      </w:r>
      <w:r w:rsidRPr="00744CE4">
        <w:rPr>
          <w:rFonts w:ascii="Verdana" w:eastAsia="Calibri" w:hAnsi="Verdana"/>
          <w:sz w:val="20"/>
          <w:szCs w:val="20"/>
          <w:lang w:val="es-ES" w:eastAsia="es-ES"/>
        </w:rPr>
        <w:t xml:space="preserve"> iii) en cuanto a la adopción de la política pública</w:t>
      </w:r>
      <w:r w:rsidR="00DC0243">
        <w:rPr>
          <w:rFonts w:ascii="Verdana" w:eastAsia="Calibri" w:hAnsi="Verdana"/>
          <w:sz w:val="20"/>
          <w:szCs w:val="20"/>
          <w:lang w:val="es-ES" w:eastAsia="es-ES"/>
        </w:rPr>
        <w:t>,</w:t>
      </w:r>
      <w:r w:rsidRPr="00744CE4">
        <w:rPr>
          <w:rFonts w:ascii="Verdana" w:eastAsia="Calibri" w:hAnsi="Verdana"/>
          <w:sz w:val="20"/>
          <w:szCs w:val="20"/>
          <w:lang w:val="es-ES" w:eastAsia="es-ES"/>
        </w:rPr>
        <w:t xml:space="preserve"> el Estado inform</w:t>
      </w:r>
      <w:r w:rsidR="00DC0243">
        <w:rPr>
          <w:rFonts w:ascii="Verdana" w:eastAsia="Calibri" w:hAnsi="Verdana"/>
          <w:sz w:val="20"/>
          <w:szCs w:val="20"/>
          <w:lang w:val="es-ES" w:eastAsia="es-ES"/>
        </w:rPr>
        <w:t>ó</w:t>
      </w:r>
      <w:r w:rsidRPr="00744CE4">
        <w:rPr>
          <w:rFonts w:ascii="Verdana" w:eastAsia="Calibri" w:hAnsi="Verdana"/>
          <w:sz w:val="20"/>
          <w:szCs w:val="20"/>
          <w:lang w:val="es-ES" w:eastAsia="es-ES"/>
        </w:rPr>
        <w:t xml:space="preserve"> que ya cuenta con diversos programas en materia de salud en los cuales </w:t>
      </w:r>
      <w:r w:rsidR="00DC0243">
        <w:rPr>
          <w:rFonts w:ascii="Verdana" w:eastAsia="Calibri" w:hAnsi="Verdana"/>
          <w:sz w:val="20"/>
          <w:szCs w:val="20"/>
          <w:lang w:val="es-ES" w:eastAsia="es-ES"/>
        </w:rPr>
        <w:t xml:space="preserve">se </w:t>
      </w:r>
      <w:r w:rsidRPr="00744CE4">
        <w:rPr>
          <w:rFonts w:ascii="Verdana" w:eastAsia="Calibri" w:hAnsi="Verdana"/>
          <w:sz w:val="20"/>
          <w:szCs w:val="20"/>
          <w:lang w:val="es-ES" w:eastAsia="es-ES"/>
        </w:rPr>
        <w:t xml:space="preserve">atiende </w:t>
      </w:r>
      <w:r w:rsidR="00DC0243" w:rsidRPr="00744CE4">
        <w:rPr>
          <w:rFonts w:ascii="Verdana" w:eastAsia="Calibri" w:hAnsi="Verdana"/>
          <w:sz w:val="20"/>
          <w:szCs w:val="20"/>
          <w:lang w:val="es-ES" w:eastAsia="es-ES"/>
        </w:rPr>
        <w:t xml:space="preserve">de manera diferenciada </w:t>
      </w:r>
      <w:r w:rsidRPr="00744CE4">
        <w:rPr>
          <w:rFonts w:ascii="Verdana" w:eastAsia="Calibri" w:hAnsi="Verdana"/>
          <w:sz w:val="20"/>
          <w:szCs w:val="20"/>
          <w:lang w:val="es-ES" w:eastAsia="es-ES"/>
        </w:rPr>
        <w:t xml:space="preserve">a personas que sufren alguna violación de derechos humanos. </w:t>
      </w:r>
    </w:p>
    <w:p w14:paraId="52132320" w14:textId="354DF0A7" w:rsidR="0030739A" w:rsidRPr="00744CE4" w:rsidRDefault="0030739A" w:rsidP="00DB378B">
      <w:pPr>
        <w:widowControl w:val="0"/>
        <w:numPr>
          <w:ilvl w:val="0"/>
          <w:numId w:val="4"/>
        </w:numPr>
        <w:tabs>
          <w:tab w:val="left" w:pos="567"/>
        </w:tabs>
        <w:autoSpaceDE w:val="0"/>
        <w:autoSpaceDN w:val="0"/>
        <w:adjustRightInd w:val="0"/>
        <w:spacing w:before="120" w:after="120" w:line="240" w:lineRule="auto"/>
        <w:ind w:left="0" w:firstLine="0"/>
        <w:jc w:val="both"/>
        <w:textAlignment w:val="baseline"/>
        <w:rPr>
          <w:rFonts w:ascii="Verdana" w:hAnsi="Verdana"/>
          <w:sz w:val="20"/>
          <w:szCs w:val="20"/>
          <w:lang w:val="es-ES"/>
        </w:rPr>
      </w:pPr>
      <w:r w:rsidRPr="00744CE4">
        <w:rPr>
          <w:rFonts w:ascii="Verdana" w:eastAsia="Times New Roman" w:hAnsi="Verdana"/>
          <w:sz w:val="20"/>
          <w:szCs w:val="20"/>
          <w:lang w:val="es-ES"/>
        </w:rPr>
        <w:t xml:space="preserve">En </w:t>
      </w:r>
      <w:r w:rsidRPr="00744CE4">
        <w:rPr>
          <w:rFonts w:ascii="Verdana" w:hAnsi="Verdana"/>
          <w:sz w:val="20"/>
          <w:szCs w:val="20"/>
          <w:lang w:val="es-ES"/>
        </w:rPr>
        <w:t>relación</w:t>
      </w:r>
      <w:r w:rsidRPr="00744CE4">
        <w:rPr>
          <w:rFonts w:ascii="Verdana" w:eastAsia="Times New Roman" w:hAnsi="Verdana"/>
          <w:sz w:val="20"/>
          <w:szCs w:val="20"/>
          <w:lang w:val="es-ES"/>
        </w:rPr>
        <w:t xml:space="preserve"> con las demás medidas de reparación solicitadas, </w:t>
      </w:r>
      <w:r w:rsidRPr="008D0846">
        <w:rPr>
          <w:rFonts w:ascii="Verdana" w:eastAsia="Times New Roman" w:hAnsi="Verdana"/>
          <w:sz w:val="20"/>
          <w:szCs w:val="20"/>
          <w:lang w:val="es-ES"/>
        </w:rPr>
        <w:t xml:space="preserve">la </w:t>
      </w:r>
      <w:r w:rsidRPr="005053BD">
        <w:rPr>
          <w:rFonts w:ascii="Verdana" w:eastAsia="Times New Roman" w:hAnsi="Verdana"/>
          <w:b/>
          <w:i/>
          <w:sz w:val="20"/>
          <w:szCs w:val="20"/>
          <w:lang w:val="es-ES"/>
        </w:rPr>
        <w:t>Corte</w:t>
      </w:r>
      <w:r w:rsidRPr="00DC0243">
        <w:rPr>
          <w:rFonts w:ascii="Verdana" w:eastAsia="Times New Roman" w:hAnsi="Verdana"/>
          <w:sz w:val="20"/>
          <w:szCs w:val="20"/>
          <w:lang w:val="es-ES"/>
        </w:rPr>
        <w:t xml:space="preserve"> </w:t>
      </w:r>
      <w:r w:rsidRPr="00744CE4">
        <w:rPr>
          <w:rFonts w:ascii="Verdana" w:eastAsia="Times New Roman" w:hAnsi="Verdana"/>
          <w:sz w:val="20"/>
          <w:szCs w:val="20"/>
          <w:lang w:val="es-ES"/>
        </w:rPr>
        <w:t xml:space="preserve">considera que la emisión de la presente Sentencia y las reparaciones ordenadas en este </w:t>
      </w:r>
      <w:r w:rsidR="00DC0243">
        <w:rPr>
          <w:rFonts w:ascii="Verdana" w:eastAsia="Times New Roman" w:hAnsi="Verdana"/>
          <w:sz w:val="20"/>
          <w:szCs w:val="20"/>
          <w:lang w:val="es-ES"/>
        </w:rPr>
        <w:t>C</w:t>
      </w:r>
      <w:r w:rsidR="00DC0243" w:rsidRPr="00744CE4">
        <w:rPr>
          <w:rFonts w:ascii="Verdana" w:eastAsia="Times New Roman" w:hAnsi="Verdana"/>
          <w:sz w:val="20"/>
          <w:szCs w:val="20"/>
          <w:lang w:val="es-ES"/>
        </w:rPr>
        <w:t xml:space="preserve">apítulo </w:t>
      </w:r>
      <w:r w:rsidRPr="00744CE4">
        <w:rPr>
          <w:rFonts w:ascii="Verdana" w:eastAsia="Times New Roman" w:hAnsi="Verdana"/>
          <w:sz w:val="20"/>
          <w:szCs w:val="20"/>
          <w:lang w:val="es-ES"/>
        </w:rPr>
        <w:t>resultan suficientes y adecuadas para remediar las violaciones sufridas por las víctimas y no estima necesario ordenar medidas adicionales</w:t>
      </w:r>
      <w:r w:rsidR="005B15E3">
        <w:rPr>
          <w:rFonts w:ascii="Verdana" w:eastAsia="Times New Roman" w:hAnsi="Verdana"/>
          <w:sz w:val="20"/>
          <w:szCs w:val="20"/>
          <w:lang w:val="es-ES"/>
        </w:rPr>
        <w:t>, aunado a la carencia de nexo causal de algunas de ellas</w:t>
      </w:r>
      <w:r w:rsidRPr="00744CE4">
        <w:rPr>
          <w:rStyle w:val="FootnoteReference"/>
          <w:rFonts w:ascii="Verdana" w:eastAsia="Times New Roman" w:hAnsi="Verdana"/>
          <w:sz w:val="20"/>
          <w:szCs w:val="20"/>
          <w:lang w:val="es-ES"/>
        </w:rPr>
        <w:footnoteReference w:id="561"/>
      </w:r>
      <w:r w:rsidR="00CC61EB" w:rsidRPr="00DB378B">
        <w:rPr>
          <w:rFonts w:ascii="Verdana" w:hAnsi="Verdana" w:cs="Times New Roman"/>
          <w:sz w:val="20"/>
          <w:szCs w:val="20"/>
          <w:lang w:val="es-EC"/>
        </w:rPr>
        <w:t>.</w:t>
      </w:r>
    </w:p>
    <w:p w14:paraId="43377471" w14:textId="20719A96" w:rsidR="0030739A" w:rsidRPr="00744CE4" w:rsidRDefault="00556FDB">
      <w:pPr>
        <w:pStyle w:val="ListParagraph"/>
        <w:keepNext/>
        <w:keepLines/>
        <w:numPr>
          <w:ilvl w:val="0"/>
          <w:numId w:val="29"/>
        </w:numPr>
        <w:spacing w:before="120" w:after="120" w:line="240" w:lineRule="auto"/>
        <w:contextualSpacing w:val="0"/>
        <w:jc w:val="both"/>
        <w:outlineLvl w:val="1"/>
        <w:rPr>
          <w:rFonts w:ascii="Verdana" w:eastAsia="Times New Roman" w:hAnsi="Verdana" w:cs="Times New Roman"/>
          <w:b/>
          <w:bCs/>
          <w:i/>
          <w:sz w:val="20"/>
          <w:szCs w:val="20"/>
          <w:lang w:val="es-ES"/>
        </w:rPr>
      </w:pPr>
      <w:r>
        <w:rPr>
          <w:rFonts w:ascii="Verdana" w:eastAsia="Times New Roman" w:hAnsi="Verdana" w:cs="Times New Roman"/>
          <w:b/>
          <w:bCs/>
          <w:i/>
          <w:sz w:val="20"/>
          <w:szCs w:val="20"/>
          <w:lang w:val="es-ES"/>
        </w:rPr>
        <w:t xml:space="preserve"> </w:t>
      </w:r>
      <w:bookmarkStart w:id="399" w:name="_Toc532995415"/>
      <w:r w:rsidR="0030739A" w:rsidRPr="00744CE4">
        <w:rPr>
          <w:rFonts w:ascii="Verdana" w:eastAsia="Times New Roman" w:hAnsi="Verdana" w:cs="Times New Roman"/>
          <w:b/>
          <w:bCs/>
          <w:i/>
          <w:sz w:val="20"/>
          <w:szCs w:val="20"/>
          <w:lang w:val="es-ES"/>
        </w:rPr>
        <w:t>Indemnización Compensatoria</w:t>
      </w:r>
      <w:bookmarkEnd w:id="399"/>
    </w:p>
    <w:p w14:paraId="417AE985" w14:textId="0A16020D" w:rsidR="0030739A" w:rsidRPr="002C462C" w:rsidRDefault="0030739A" w:rsidP="00DB378B">
      <w:pPr>
        <w:widowControl w:val="0"/>
        <w:numPr>
          <w:ilvl w:val="0"/>
          <w:numId w:val="4"/>
        </w:numPr>
        <w:tabs>
          <w:tab w:val="left" w:pos="567"/>
        </w:tabs>
        <w:autoSpaceDE w:val="0"/>
        <w:autoSpaceDN w:val="0"/>
        <w:adjustRightInd w:val="0"/>
        <w:spacing w:before="120" w:after="120" w:line="240" w:lineRule="auto"/>
        <w:ind w:left="0" w:firstLine="0"/>
        <w:jc w:val="both"/>
        <w:textAlignment w:val="baseline"/>
        <w:rPr>
          <w:rFonts w:ascii="Verdana" w:eastAsia="Times New Roman" w:hAnsi="Verdana" w:cs="Times New Roman"/>
          <w:b/>
          <w:sz w:val="20"/>
          <w:szCs w:val="20"/>
          <w:lang w:val="es-ES"/>
        </w:rPr>
      </w:pPr>
      <w:r w:rsidRPr="00432ABC">
        <w:rPr>
          <w:rFonts w:ascii="Verdana" w:eastAsia="Times New Roman" w:hAnsi="Verdana" w:cs="Times New Roman"/>
          <w:sz w:val="20"/>
          <w:szCs w:val="20"/>
          <w:lang w:val="es-ES"/>
        </w:rPr>
        <w:t xml:space="preserve">La </w:t>
      </w:r>
      <w:r w:rsidRPr="00432ABC">
        <w:rPr>
          <w:rFonts w:ascii="Verdana" w:eastAsia="Times New Roman" w:hAnsi="Verdana" w:cs="Times New Roman"/>
          <w:b/>
          <w:i/>
          <w:sz w:val="20"/>
          <w:szCs w:val="20"/>
          <w:lang w:val="es-ES"/>
        </w:rPr>
        <w:t>Comisión</w:t>
      </w:r>
      <w:r w:rsidRPr="00432ABC">
        <w:rPr>
          <w:rFonts w:ascii="Verdana" w:eastAsia="Times New Roman" w:hAnsi="Verdana" w:cs="Times New Roman"/>
          <w:sz w:val="20"/>
          <w:szCs w:val="20"/>
          <w:lang w:val="es-ES"/>
        </w:rPr>
        <w:t xml:space="preserve"> solicitó reparar adecuadamente las violaciones de derechos humanos declaradas incluyendo una justa compensación.</w:t>
      </w:r>
      <w:r w:rsidRPr="002C462C">
        <w:rPr>
          <w:rFonts w:ascii="Verdana" w:eastAsia="Times New Roman" w:hAnsi="Verdana" w:cs="Times New Roman"/>
          <w:b/>
          <w:sz w:val="20"/>
          <w:szCs w:val="20"/>
          <w:lang w:val="es-ES"/>
        </w:rPr>
        <w:t xml:space="preserve"> </w:t>
      </w:r>
    </w:p>
    <w:p w14:paraId="235D5E52" w14:textId="33058853" w:rsidR="0030739A" w:rsidRPr="00F74BFF" w:rsidRDefault="0030739A" w:rsidP="00DB378B">
      <w:pPr>
        <w:widowControl w:val="0"/>
        <w:numPr>
          <w:ilvl w:val="0"/>
          <w:numId w:val="4"/>
        </w:numPr>
        <w:tabs>
          <w:tab w:val="left" w:pos="567"/>
        </w:tabs>
        <w:autoSpaceDE w:val="0"/>
        <w:autoSpaceDN w:val="0"/>
        <w:adjustRightInd w:val="0"/>
        <w:spacing w:before="120" w:after="120" w:line="240" w:lineRule="auto"/>
        <w:ind w:left="0" w:firstLine="0"/>
        <w:jc w:val="both"/>
        <w:textAlignment w:val="baseline"/>
        <w:rPr>
          <w:rFonts w:ascii="Verdana" w:eastAsia="Times New Roman" w:hAnsi="Verdana" w:cs="Times New Roman"/>
          <w:color w:val="00B0F0"/>
          <w:sz w:val="20"/>
          <w:szCs w:val="20"/>
          <w:lang w:val="es-ES"/>
        </w:rPr>
      </w:pPr>
      <w:r w:rsidRPr="00744CE4">
        <w:rPr>
          <w:rFonts w:ascii="Verdana" w:hAnsi="Verdana" w:cs="Times New Roman"/>
          <w:sz w:val="20"/>
          <w:szCs w:val="20"/>
          <w:lang w:val="es-ES"/>
        </w:rPr>
        <w:t>Las</w:t>
      </w:r>
      <w:r w:rsidRPr="00744CE4">
        <w:rPr>
          <w:rFonts w:ascii="Verdana" w:hAnsi="Verdana" w:cs="Times New Roman"/>
          <w:b/>
          <w:sz w:val="20"/>
          <w:szCs w:val="20"/>
          <w:lang w:val="es-ES"/>
        </w:rPr>
        <w:t xml:space="preserve"> </w:t>
      </w:r>
      <w:r w:rsidR="0041528D">
        <w:rPr>
          <w:rFonts w:ascii="Verdana" w:hAnsi="Verdana" w:cs="Times New Roman"/>
          <w:b/>
          <w:i/>
          <w:sz w:val="20"/>
          <w:szCs w:val="20"/>
          <w:lang w:val="es-ES"/>
        </w:rPr>
        <w:t>R</w:t>
      </w:r>
      <w:r w:rsidRPr="00744CE4">
        <w:rPr>
          <w:rFonts w:ascii="Verdana" w:hAnsi="Verdana" w:cs="Times New Roman"/>
          <w:b/>
          <w:i/>
          <w:sz w:val="20"/>
          <w:szCs w:val="20"/>
          <w:lang w:val="es-ES"/>
        </w:rPr>
        <w:t>epresentantes</w:t>
      </w:r>
      <w:r w:rsidRPr="00744CE4">
        <w:rPr>
          <w:rFonts w:ascii="Verdana" w:hAnsi="Verdana" w:cs="Times New Roman"/>
          <w:b/>
          <w:sz w:val="20"/>
          <w:szCs w:val="20"/>
          <w:lang w:val="es-ES"/>
        </w:rPr>
        <w:t>,</w:t>
      </w:r>
      <w:r w:rsidRPr="00744CE4">
        <w:rPr>
          <w:rFonts w:ascii="Verdana" w:hAnsi="Verdana" w:cs="Times New Roman"/>
          <w:sz w:val="20"/>
          <w:szCs w:val="20"/>
          <w:lang w:val="es-ES"/>
        </w:rPr>
        <w:t xml:space="preserve"> en lo que respecta al lucro cesante de las presuntas víctimas, solicitaron </w:t>
      </w:r>
      <w:r w:rsidRPr="00744CE4">
        <w:rPr>
          <w:rFonts w:ascii="Verdana" w:eastAsia="Times New Roman" w:hAnsi="Verdana" w:cs="Times New Roman"/>
          <w:sz w:val="20"/>
          <w:szCs w:val="20"/>
          <w:lang w:val="es-ES"/>
        </w:rPr>
        <w:t xml:space="preserve">que se les fije una cantidad de dinero con base </w:t>
      </w:r>
      <w:r w:rsidR="00DC0243">
        <w:rPr>
          <w:rFonts w:ascii="Verdana" w:eastAsia="Times New Roman" w:hAnsi="Verdana" w:cs="Times New Roman"/>
          <w:sz w:val="20"/>
          <w:szCs w:val="20"/>
          <w:lang w:val="es-ES"/>
        </w:rPr>
        <w:t>en e</w:t>
      </w:r>
      <w:r w:rsidRPr="00744CE4">
        <w:rPr>
          <w:rFonts w:ascii="Verdana" w:eastAsia="Times New Roman" w:hAnsi="Verdana" w:cs="Times New Roman"/>
          <w:sz w:val="20"/>
          <w:szCs w:val="20"/>
          <w:lang w:val="es-ES"/>
        </w:rPr>
        <w:t xml:space="preserve">l cálculo que </w:t>
      </w:r>
      <w:r w:rsidR="00DC0243">
        <w:rPr>
          <w:rFonts w:ascii="Verdana" w:eastAsia="Times New Roman" w:hAnsi="Verdana" w:cs="Times New Roman"/>
          <w:sz w:val="20"/>
          <w:szCs w:val="20"/>
          <w:lang w:val="es-ES"/>
        </w:rPr>
        <w:t>e</w:t>
      </w:r>
      <w:r w:rsidRPr="00744CE4">
        <w:rPr>
          <w:rFonts w:ascii="Verdana" w:eastAsia="Times New Roman" w:hAnsi="Verdana" w:cs="Times New Roman"/>
          <w:sz w:val="20"/>
          <w:szCs w:val="20"/>
          <w:lang w:val="es-ES"/>
        </w:rPr>
        <w:t xml:space="preserve">sta Corte ha realizado y de acuerdo con la </w:t>
      </w:r>
      <w:r w:rsidRPr="00F74BFF">
        <w:rPr>
          <w:rFonts w:ascii="Verdana" w:eastAsia="Times New Roman" w:hAnsi="Verdana" w:cs="Times New Roman"/>
          <w:sz w:val="20"/>
          <w:szCs w:val="20"/>
          <w:lang w:val="es-ES"/>
        </w:rPr>
        <w:t>documentación que se presentó</w:t>
      </w:r>
      <w:r w:rsidR="005B15E3">
        <w:rPr>
          <w:rFonts w:ascii="Verdana" w:eastAsia="Times New Roman" w:hAnsi="Verdana" w:cs="Times New Roman"/>
          <w:sz w:val="20"/>
          <w:szCs w:val="20"/>
          <w:lang w:val="es-ES"/>
        </w:rPr>
        <w:t>.</w:t>
      </w:r>
      <w:r w:rsidR="00DC0243">
        <w:rPr>
          <w:rFonts w:ascii="Verdana" w:eastAsia="Times New Roman" w:hAnsi="Verdana" w:cs="Times New Roman"/>
          <w:sz w:val="20"/>
          <w:szCs w:val="20"/>
          <w:lang w:val="es-ES"/>
        </w:rPr>
        <w:t xml:space="preserve"> </w:t>
      </w:r>
      <w:r w:rsidRPr="00F74BFF">
        <w:rPr>
          <w:rFonts w:ascii="Verdana" w:hAnsi="Verdana" w:cs="Times New Roman"/>
          <w:sz w:val="20"/>
          <w:szCs w:val="20"/>
          <w:lang w:val="es-ES"/>
        </w:rPr>
        <w:t>Solicitaron</w:t>
      </w:r>
      <w:r w:rsidR="003B1A87" w:rsidRPr="00F74BFF">
        <w:rPr>
          <w:rFonts w:ascii="Verdana" w:hAnsi="Verdana" w:cs="Times New Roman"/>
          <w:sz w:val="20"/>
          <w:szCs w:val="20"/>
          <w:lang w:val="es-ES"/>
        </w:rPr>
        <w:t xml:space="preserve"> </w:t>
      </w:r>
      <w:r w:rsidR="003B1A87" w:rsidRPr="008D0846">
        <w:rPr>
          <w:rFonts w:ascii="Verdana" w:hAnsi="Verdana"/>
          <w:sz w:val="20"/>
          <w:szCs w:val="20"/>
        </w:rPr>
        <w:t>que</w:t>
      </w:r>
      <w:r w:rsidR="003B1A87" w:rsidRPr="005F54F6">
        <w:rPr>
          <w:rFonts w:ascii="Verdana" w:hAnsi="Verdana"/>
          <w:b/>
          <w:sz w:val="20"/>
          <w:szCs w:val="20"/>
        </w:rPr>
        <w:t xml:space="preserve"> </w:t>
      </w:r>
      <w:r w:rsidR="003B1A87" w:rsidRPr="008D0846">
        <w:rPr>
          <w:rFonts w:ascii="Verdana" w:hAnsi="Verdana"/>
          <w:sz w:val="20"/>
          <w:szCs w:val="20"/>
        </w:rPr>
        <w:t>se tomara en cuenta que</w:t>
      </w:r>
      <w:r w:rsidRPr="00F74BFF">
        <w:rPr>
          <w:rFonts w:ascii="Verdana" w:hAnsi="Verdana" w:cs="Times New Roman"/>
          <w:sz w:val="20"/>
          <w:szCs w:val="20"/>
          <w:lang w:val="es-ES"/>
        </w:rPr>
        <w:t xml:space="preserve"> al momento de los hechos </w:t>
      </w:r>
      <w:r w:rsidR="003B1A87" w:rsidRPr="008D0846">
        <w:rPr>
          <w:rFonts w:ascii="Verdana" w:hAnsi="Verdana"/>
          <w:sz w:val="20"/>
          <w:szCs w:val="20"/>
        </w:rPr>
        <w:t>Nitza Paola Alvarado Espinoza</w:t>
      </w:r>
      <w:r w:rsidR="003B1A87" w:rsidRPr="00DC0243">
        <w:rPr>
          <w:rFonts w:ascii="Verdana" w:hAnsi="Verdana"/>
          <w:sz w:val="20"/>
          <w:szCs w:val="20"/>
        </w:rPr>
        <w:t xml:space="preserve"> </w:t>
      </w:r>
      <w:r w:rsidRPr="00F74BFF">
        <w:rPr>
          <w:rFonts w:ascii="Verdana" w:hAnsi="Verdana" w:cs="Times New Roman"/>
          <w:sz w:val="20"/>
          <w:szCs w:val="20"/>
          <w:lang w:val="es-ES"/>
        </w:rPr>
        <w:t>presentaba una discapacidad motora en su mano y pierna derecha, generada por un derrame cerebral, por lo que se encontraba pensionada por el Instituto Mexicano de Seguro Social</w:t>
      </w:r>
      <w:r w:rsidR="005B15E3">
        <w:rPr>
          <w:rFonts w:ascii="Verdana" w:hAnsi="Verdana" w:cs="Times New Roman"/>
          <w:sz w:val="20"/>
          <w:szCs w:val="20"/>
          <w:lang w:val="es-ES"/>
        </w:rPr>
        <w:t>,</w:t>
      </w:r>
      <w:r w:rsidRPr="00F74BFF">
        <w:rPr>
          <w:rFonts w:ascii="Verdana" w:hAnsi="Verdana" w:cs="Times New Roman"/>
          <w:sz w:val="20"/>
          <w:szCs w:val="20"/>
          <w:lang w:val="es-ES"/>
        </w:rPr>
        <w:t xml:space="preserve"> </w:t>
      </w:r>
      <w:r w:rsidR="003B1A87" w:rsidRPr="008D0846">
        <w:rPr>
          <w:rFonts w:ascii="Verdana" w:hAnsi="Verdana"/>
          <w:sz w:val="20"/>
          <w:szCs w:val="20"/>
        </w:rPr>
        <w:t>recibiendo una pensión mensual de MX$2,500</w:t>
      </w:r>
      <w:r w:rsidR="003B1A87" w:rsidRPr="005F54F6">
        <w:rPr>
          <w:rFonts w:ascii="Verdana" w:hAnsi="Verdana"/>
          <w:sz w:val="20"/>
          <w:szCs w:val="20"/>
        </w:rPr>
        <w:t xml:space="preserve"> </w:t>
      </w:r>
      <w:r w:rsidR="00037841">
        <w:rPr>
          <w:rFonts w:ascii="Verdana" w:hAnsi="Verdana"/>
          <w:sz w:val="20"/>
          <w:szCs w:val="20"/>
        </w:rPr>
        <w:t xml:space="preserve">(dos </w:t>
      </w:r>
      <w:r w:rsidR="005B15E3">
        <w:rPr>
          <w:rFonts w:ascii="Verdana" w:hAnsi="Verdana"/>
          <w:sz w:val="20"/>
          <w:szCs w:val="20"/>
        </w:rPr>
        <w:t>mil quinientos pesos mexicanos)</w:t>
      </w:r>
      <w:r w:rsidR="00037841" w:rsidRPr="008D0846">
        <w:rPr>
          <w:rFonts w:ascii="Verdana" w:eastAsia="Times New Roman" w:hAnsi="Verdana" w:cs="Times New Roman"/>
          <w:sz w:val="20"/>
          <w:szCs w:val="20"/>
          <w:lang w:val="es-ES"/>
        </w:rPr>
        <w:t>.</w:t>
      </w:r>
      <w:r w:rsidRPr="00D3239A">
        <w:rPr>
          <w:rFonts w:ascii="Verdana" w:eastAsia="Times New Roman" w:hAnsi="Verdana" w:cs="Times New Roman"/>
          <w:sz w:val="20"/>
          <w:szCs w:val="20"/>
          <w:lang w:val="es-ES"/>
        </w:rPr>
        <w:t xml:space="preserve"> </w:t>
      </w:r>
      <w:r w:rsidR="003B1A87" w:rsidRPr="008D0846">
        <w:rPr>
          <w:rFonts w:ascii="Verdana" w:eastAsia="Times New Roman" w:hAnsi="Verdana"/>
          <w:sz w:val="20"/>
          <w:szCs w:val="20"/>
        </w:rPr>
        <w:t>Además, indicaron que l</w:t>
      </w:r>
      <w:r w:rsidR="003B1A87" w:rsidRPr="00037841">
        <w:rPr>
          <w:rFonts w:ascii="Verdana" w:eastAsia="Times New Roman" w:hAnsi="Verdana"/>
          <w:sz w:val="20"/>
          <w:szCs w:val="20"/>
        </w:rPr>
        <w:t>a</w:t>
      </w:r>
      <w:r w:rsidRPr="00F74BFF">
        <w:rPr>
          <w:rFonts w:ascii="Verdana" w:eastAsia="Times New Roman" w:hAnsi="Verdana" w:cs="Times New Roman"/>
          <w:sz w:val="20"/>
          <w:szCs w:val="20"/>
          <w:lang w:val="es-ES"/>
        </w:rPr>
        <w:t xml:space="preserve"> expectativa de vida para una mujer en México en 1978 era de 69 años</w:t>
      </w:r>
      <w:r w:rsidRPr="00F74BFF">
        <w:rPr>
          <w:rStyle w:val="FootnoteReference"/>
          <w:rFonts w:ascii="Verdana" w:eastAsia="Times New Roman" w:hAnsi="Verdana" w:cs="Times New Roman"/>
          <w:sz w:val="20"/>
          <w:szCs w:val="20"/>
          <w:lang w:val="es-ES"/>
        </w:rPr>
        <w:footnoteReference w:id="562"/>
      </w:r>
      <w:r w:rsidRPr="00F74BFF">
        <w:rPr>
          <w:rFonts w:ascii="Verdana" w:eastAsia="Times New Roman" w:hAnsi="Verdana" w:cs="Times New Roman"/>
          <w:sz w:val="20"/>
          <w:szCs w:val="20"/>
          <w:lang w:val="es-ES"/>
        </w:rPr>
        <w:t xml:space="preserve">. El salario mínimo para 2017 en el </w:t>
      </w:r>
      <w:r w:rsidR="00037841">
        <w:rPr>
          <w:rFonts w:ascii="Verdana" w:eastAsia="Times New Roman" w:hAnsi="Verdana" w:cs="Times New Roman"/>
          <w:sz w:val="20"/>
          <w:szCs w:val="20"/>
          <w:lang w:val="es-ES"/>
        </w:rPr>
        <w:t>Á</w:t>
      </w:r>
      <w:r w:rsidRPr="00F74BFF">
        <w:rPr>
          <w:rFonts w:ascii="Verdana" w:eastAsia="Times New Roman" w:hAnsi="Verdana" w:cs="Times New Roman"/>
          <w:sz w:val="20"/>
          <w:szCs w:val="20"/>
          <w:lang w:val="es-ES"/>
        </w:rPr>
        <w:t xml:space="preserve">rea </w:t>
      </w:r>
      <w:r w:rsidR="00037841">
        <w:rPr>
          <w:rFonts w:ascii="Verdana" w:eastAsia="Times New Roman" w:hAnsi="Verdana" w:cs="Times New Roman"/>
          <w:sz w:val="20"/>
          <w:szCs w:val="20"/>
          <w:lang w:val="es-ES"/>
        </w:rPr>
        <w:t>G</w:t>
      </w:r>
      <w:r w:rsidRPr="00F74BFF">
        <w:rPr>
          <w:rFonts w:ascii="Verdana" w:eastAsia="Times New Roman" w:hAnsi="Verdana" w:cs="Times New Roman"/>
          <w:sz w:val="20"/>
          <w:szCs w:val="20"/>
          <w:lang w:val="es-ES"/>
        </w:rPr>
        <w:t>eográfica Única de México e</w:t>
      </w:r>
      <w:r w:rsidR="00037841">
        <w:rPr>
          <w:rFonts w:ascii="Verdana" w:eastAsia="Times New Roman" w:hAnsi="Verdana" w:cs="Times New Roman"/>
          <w:sz w:val="20"/>
          <w:szCs w:val="20"/>
          <w:lang w:val="es-ES"/>
        </w:rPr>
        <w:t>ra de</w:t>
      </w:r>
      <w:r w:rsidRPr="00F74BFF">
        <w:rPr>
          <w:rFonts w:ascii="Verdana" w:eastAsia="Times New Roman" w:hAnsi="Verdana" w:cs="Times New Roman"/>
          <w:sz w:val="20"/>
          <w:szCs w:val="20"/>
          <w:lang w:val="es-ES"/>
        </w:rPr>
        <w:t xml:space="preserve"> </w:t>
      </w:r>
      <w:r w:rsidR="00037841">
        <w:rPr>
          <w:rFonts w:ascii="Verdana" w:eastAsia="Times New Roman" w:hAnsi="Verdana" w:cs="Times New Roman"/>
          <w:sz w:val="20"/>
          <w:szCs w:val="20"/>
          <w:lang w:val="es-ES"/>
        </w:rPr>
        <w:t>MX</w:t>
      </w:r>
      <w:r w:rsidRPr="00F74BFF">
        <w:rPr>
          <w:rFonts w:ascii="Verdana" w:eastAsia="Times New Roman" w:hAnsi="Verdana" w:cs="Times New Roman"/>
          <w:sz w:val="20"/>
          <w:szCs w:val="20"/>
          <w:lang w:val="es-ES"/>
        </w:rPr>
        <w:t xml:space="preserve">$80.04 </w:t>
      </w:r>
      <w:r w:rsidR="00037841">
        <w:rPr>
          <w:rFonts w:ascii="Verdana" w:eastAsia="Times New Roman" w:hAnsi="Verdana" w:cs="Times New Roman"/>
          <w:sz w:val="20"/>
          <w:szCs w:val="20"/>
          <w:lang w:val="es-ES"/>
        </w:rPr>
        <w:t xml:space="preserve">diarios (ochenta punto cero cuatro </w:t>
      </w:r>
      <w:r w:rsidRPr="00F74BFF">
        <w:rPr>
          <w:rFonts w:ascii="Verdana" w:eastAsia="Times New Roman" w:hAnsi="Verdana" w:cs="Times New Roman"/>
          <w:sz w:val="20"/>
          <w:szCs w:val="20"/>
          <w:lang w:val="es-ES"/>
        </w:rPr>
        <w:t>pesos mexicanos</w:t>
      </w:r>
      <w:r w:rsidR="00037841">
        <w:rPr>
          <w:rFonts w:ascii="Verdana" w:eastAsia="Times New Roman" w:hAnsi="Verdana" w:cs="Times New Roman"/>
          <w:sz w:val="20"/>
          <w:szCs w:val="20"/>
          <w:lang w:val="es-ES"/>
        </w:rPr>
        <w:t>)</w:t>
      </w:r>
      <w:r w:rsidR="005B15E3" w:rsidRPr="008D0846">
        <w:rPr>
          <w:rFonts w:ascii="Verdana" w:eastAsia="Times New Roman" w:hAnsi="Verdana" w:cs="Times New Roman"/>
          <w:sz w:val="20"/>
          <w:szCs w:val="20"/>
          <w:lang w:val="es-ES"/>
        </w:rPr>
        <w:t>.</w:t>
      </w:r>
    </w:p>
    <w:p w14:paraId="4FF842CF" w14:textId="22329D54" w:rsidR="0030739A" w:rsidRPr="00432ABC" w:rsidRDefault="0030739A" w:rsidP="00DB378B">
      <w:pPr>
        <w:widowControl w:val="0"/>
        <w:numPr>
          <w:ilvl w:val="0"/>
          <w:numId w:val="4"/>
        </w:numPr>
        <w:tabs>
          <w:tab w:val="left" w:pos="567"/>
        </w:tabs>
        <w:autoSpaceDE w:val="0"/>
        <w:autoSpaceDN w:val="0"/>
        <w:adjustRightInd w:val="0"/>
        <w:spacing w:before="120" w:after="120" w:line="240" w:lineRule="auto"/>
        <w:ind w:left="0" w:firstLine="0"/>
        <w:jc w:val="both"/>
        <w:textAlignment w:val="baseline"/>
        <w:rPr>
          <w:rFonts w:ascii="Verdana" w:eastAsia="Times New Roman" w:hAnsi="Verdana" w:cs="Times New Roman"/>
          <w:b/>
          <w:sz w:val="20"/>
          <w:szCs w:val="20"/>
          <w:lang w:val="es-ES"/>
        </w:rPr>
      </w:pPr>
      <w:r w:rsidRPr="00432ABC">
        <w:rPr>
          <w:rFonts w:ascii="Verdana" w:eastAsia="Times New Roman" w:hAnsi="Verdana" w:cs="Times New Roman"/>
          <w:sz w:val="20"/>
          <w:szCs w:val="20"/>
          <w:lang w:val="es-ES"/>
        </w:rPr>
        <w:t>En cuanto al daño emergente, las representantes solicitaron el reintegro de los gastos concernientes a: i) transporte para realizar búsqueda o hacer diligencias ministeriales y judiciales</w:t>
      </w:r>
      <w:r w:rsidR="005E20B6">
        <w:rPr>
          <w:rFonts w:ascii="Verdana" w:eastAsia="Times New Roman" w:hAnsi="Verdana" w:cs="Times New Roman"/>
          <w:sz w:val="20"/>
          <w:szCs w:val="20"/>
          <w:lang w:val="es-ES"/>
        </w:rPr>
        <w:t>;</w:t>
      </w:r>
      <w:r w:rsidRPr="00432ABC">
        <w:rPr>
          <w:rFonts w:ascii="Verdana" w:eastAsia="Times New Roman" w:hAnsi="Verdana" w:cs="Times New Roman"/>
          <w:sz w:val="20"/>
          <w:szCs w:val="20"/>
          <w:lang w:val="es-ES"/>
        </w:rPr>
        <w:t xml:space="preserve"> ii) </w:t>
      </w:r>
      <w:r w:rsidR="005E20B6">
        <w:rPr>
          <w:rFonts w:ascii="Verdana" w:eastAsia="Times New Roman" w:hAnsi="Verdana" w:cs="Times New Roman"/>
          <w:sz w:val="20"/>
          <w:szCs w:val="20"/>
          <w:lang w:val="es-ES"/>
        </w:rPr>
        <w:t xml:space="preserve">los </w:t>
      </w:r>
      <w:r w:rsidRPr="00432ABC">
        <w:rPr>
          <w:rFonts w:ascii="Verdana" w:eastAsia="Times New Roman" w:hAnsi="Verdana" w:cs="Times New Roman"/>
          <w:sz w:val="20"/>
          <w:szCs w:val="20"/>
          <w:lang w:val="es-ES"/>
        </w:rPr>
        <w:t xml:space="preserve">gastos de salud; iii) los pagos realizados con motivo del desplazamiento forzado </w:t>
      </w:r>
      <w:r w:rsidR="005E20B6">
        <w:rPr>
          <w:rFonts w:ascii="Verdana" w:eastAsia="Times New Roman" w:hAnsi="Verdana" w:cs="Times New Roman"/>
          <w:sz w:val="20"/>
          <w:szCs w:val="20"/>
          <w:lang w:val="es-ES"/>
        </w:rPr>
        <w:t xml:space="preserve">de los familiares </w:t>
      </w:r>
      <w:r w:rsidRPr="00432ABC">
        <w:rPr>
          <w:rFonts w:ascii="Verdana" w:eastAsia="Times New Roman" w:hAnsi="Verdana" w:cs="Times New Roman"/>
          <w:sz w:val="20"/>
          <w:szCs w:val="20"/>
          <w:lang w:val="es-ES"/>
        </w:rPr>
        <w:t>a causa de las amenazas en su contra</w:t>
      </w:r>
      <w:r w:rsidRPr="00744CE4">
        <w:rPr>
          <w:rStyle w:val="FootnoteReference"/>
          <w:rFonts w:ascii="Verdana" w:eastAsia="Times New Roman" w:hAnsi="Verdana"/>
          <w:sz w:val="20"/>
          <w:szCs w:val="20"/>
          <w:lang w:val="es-ES"/>
        </w:rPr>
        <w:footnoteReference w:id="563"/>
      </w:r>
      <w:r w:rsidRPr="00744CE4">
        <w:rPr>
          <w:rFonts w:ascii="Verdana" w:eastAsia="Times New Roman" w:hAnsi="Verdana" w:cs="Times New Roman"/>
          <w:sz w:val="20"/>
          <w:szCs w:val="20"/>
          <w:lang w:val="es-ES"/>
        </w:rPr>
        <w:t>; iv) todo lo relativo con las solicitudes de asilo</w:t>
      </w:r>
      <w:r w:rsidRPr="00744CE4">
        <w:rPr>
          <w:rStyle w:val="FootnoteReference"/>
          <w:rFonts w:ascii="Verdana" w:eastAsia="Times New Roman" w:hAnsi="Verdana"/>
          <w:sz w:val="20"/>
          <w:szCs w:val="20"/>
          <w:lang w:val="es-ES"/>
        </w:rPr>
        <w:footnoteReference w:id="564"/>
      </w:r>
      <w:r w:rsidRPr="00744CE4">
        <w:rPr>
          <w:rFonts w:ascii="Verdana" w:eastAsia="Times New Roman" w:hAnsi="Verdana" w:cs="Times New Roman"/>
          <w:sz w:val="20"/>
          <w:szCs w:val="20"/>
          <w:lang w:val="es-ES"/>
        </w:rPr>
        <w:t xml:space="preserve">; v) la </w:t>
      </w:r>
      <w:r w:rsidR="001307F1">
        <w:rPr>
          <w:rFonts w:ascii="Verdana" w:eastAsia="Times New Roman" w:hAnsi="Verdana" w:cs="Times New Roman"/>
          <w:sz w:val="20"/>
          <w:szCs w:val="20"/>
          <w:lang w:val="es-ES"/>
        </w:rPr>
        <w:t>“</w:t>
      </w:r>
      <w:r w:rsidRPr="00744CE4">
        <w:rPr>
          <w:rFonts w:ascii="Verdana" w:eastAsia="Times New Roman" w:hAnsi="Verdana" w:cs="Times New Roman"/>
          <w:sz w:val="20"/>
          <w:szCs w:val="20"/>
          <w:lang w:val="es-ES"/>
        </w:rPr>
        <w:t>recuperación de la camioneta robada al momento de la desaparición</w:t>
      </w:r>
      <w:r w:rsidR="005E20B6">
        <w:rPr>
          <w:rFonts w:ascii="Verdana" w:eastAsia="Times New Roman" w:hAnsi="Verdana" w:cs="Times New Roman"/>
          <w:sz w:val="20"/>
          <w:szCs w:val="20"/>
          <w:lang w:val="es-ES"/>
        </w:rPr>
        <w:t>”</w:t>
      </w:r>
      <w:r w:rsidRPr="00744CE4">
        <w:rPr>
          <w:rFonts w:ascii="Verdana" w:eastAsia="Times New Roman" w:hAnsi="Verdana" w:cs="Times New Roman"/>
          <w:sz w:val="20"/>
          <w:szCs w:val="20"/>
          <w:lang w:val="es-ES"/>
        </w:rPr>
        <w:t>; y vi) los daños a las viviendas y otros más</w:t>
      </w:r>
      <w:r w:rsidR="005E20B6">
        <w:rPr>
          <w:rFonts w:ascii="Verdana" w:eastAsia="Times New Roman" w:hAnsi="Verdana" w:cs="Times New Roman"/>
          <w:sz w:val="20"/>
          <w:szCs w:val="20"/>
          <w:lang w:val="es-ES"/>
        </w:rPr>
        <w:t>, i</w:t>
      </w:r>
      <w:r w:rsidRPr="00744CE4">
        <w:rPr>
          <w:rFonts w:ascii="Verdana" w:eastAsia="Times New Roman" w:hAnsi="Verdana" w:cs="Times New Roman"/>
          <w:sz w:val="20"/>
          <w:szCs w:val="20"/>
          <w:lang w:val="es-ES"/>
        </w:rPr>
        <w:t>ncluyendo en estos gastos los incurridos por parte de la familia Spector</w:t>
      </w:r>
      <w:r w:rsidR="005E20B6">
        <w:rPr>
          <w:rFonts w:ascii="Verdana" w:eastAsia="Times New Roman" w:hAnsi="Verdana" w:cs="Times New Roman"/>
          <w:sz w:val="20"/>
          <w:szCs w:val="20"/>
          <w:lang w:val="es-ES"/>
        </w:rPr>
        <w:t xml:space="preserve">, la cual </w:t>
      </w:r>
      <w:r w:rsidRPr="00744CE4">
        <w:rPr>
          <w:rFonts w:ascii="Verdana" w:eastAsia="Times New Roman" w:hAnsi="Verdana" w:cs="Times New Roman"/>
          <w:sz w:val="20"/>
          <w:szCs w:val="20"/>
          <w:lang w:val="es-ES"/>
        </w:rPr>
        <w:t>di</w:t>
      </w:r>
      <w:r w:rsidR="005E20B6">
        <w:rPr>
          <w:rFonts w:ascii="Verdana" w:eastAsia="Times New Roman" w:hAnsi="Verdana" w:cs="Times New Roman"/>
          <w:sz w:val="20"/>
          <w:szCs w:val="20"/>
          <w:lang w:val="es-ES"/>
        </w:rPr>
        <w:t>o</w:t>
      </w:r>
      <w:r w:rsidRPr="00744CE4">
        <w:rPr>
          <w:rFonts w:ascii="Verdana" w:eastAsia="Times New Roman" w:hAnsi="Verdana" w:cs="Times New Roman"/>
          <w:sz w:val="20"/>
          <w:szCs w:val="20"/>
          <w:lang w:val="es-ES"/>
        </w:rPr>
        <w:t xml:space="preserve"> hospedaje a las hijas de Nitza Paola </w:t>
      </w:r>
      <w:r w:rsidR="005E20B6">
        <w:rPr>
          <w:rFonts w:ascii="Verdana" w:eastAsia="Times New Roman" w:hAnsi="Verdana" w:cs="Times New Roman"/>
          <w:sz w:val="20"/>
          <w:szCs w:val="20"/>
          <w:lang w:val="es-ES"/>
        </w:rPr>
        <w:t xml:space="preserve">Alvarado </w:t>
      </w:r>
      <w:r w:rsidRPr="00744CE4">
        <w:rPr>
          <w:rFonts w:ascii="Verdana" w:eastAsia="Times New Roman" w:hAnsi="Verdana" w:cs="Times New Roman"/>
          <w:sz w:val="20"/>
          <w:szCs w:val="20"/>
          <w:lang w:val="es-ES"/>
        </w:rPr>
        <w:t xml:space="preserve">mientras avanzaba </w:t>
      </w:r>
      <w:r w:rsidR="005E20B6">
        <w:rPr>
          <w:rFonts w:ascii="Verdana" w:eastAsia="Times New Roman" w:hAnsi="Verdana" w:cs="Times New Roman"/>
          <w:sz w:val="20"/>
          <w:szCs w:val="20"/>
          <w:lang w:val="es-ES"/>
        </w:rPr>
        <w:t xml:space="preserve">el </w:t>
      </w:r>
      <w:r w:rsidRPr="00744CE4">
        <w:rPr>
          <w:rFonts w:ascii="Verdana" w:eastAsia="Times New Roman" w:hAnsi="Verdana" w:cs="Times New Roman"/>
          <w:sz w:val="20"/>
          <w:szCs w:val="20"/>
          <w:lang w:val="es-ES"/>
        </w:rPr>
        <w:t xml:space="preserve">proceso legal </w:t>
      </w:r>
      <w:r w:rsidR="005E20B6">
        <w:rPr>
          <w:rFonts w:ascii="Verdana" w:eastAsia="Times New Roman" w:hAnsi="Verdana" w:cs="Times New Roman"/>
          <w:sz w:val="20"/>
          <w:szCs w:val="20"/>
          <w:lang w:val="es-ES"/>
        </w:rPr>
        <w:t xml:space="preserve">de aquéllas </w:t>
      </w:r>
      <w:r w:rsidRPr="00744CE4">
        <w:rPr>
          <w:rFonts w:ascii="Verdana" w:eastAsia="Times New Roman" w:hAnsi="Verdana" w:cs="Times New Roman"/>
          <w:sz w:val="20"/>
          <w:szCs w:val="20"/>
          <w:lang w:val="es-ES"/>
        </w:rPr>
        <w:t xml:space="preserve">en </w:t>
      </w:r>
      <w:r w:rsidR="005E20B6">
        <w:rPr>
          <w:rFonts w:ascii="Verdana" w:eastAsia="Times New Roman" w:hAnsi="Verdana" w:cs="Times New Roman"/>
          <w:sz w:val="20"/>
          <w:szCs w:val="20"/>
          <w:lang w:val="es-ES"/>
        </w:rPr>
        <w:t xml:space="preserve">los </w:t>
      </w:r>
      <w:r w:rsidRPr="00744CE4">
        <w:rPr>
          <w:rFonts w:ascii="Verdana" w:eastAsia="Times New Roman" w:hAnsi="Verdana" w:cs="Times New Roman"/>
          <w:sz w:val="20"/>
          <w:szCs w:val="20"/>
          <w:lang w:val="es-ES"/>
        </w:rPr>
        <w:t xml:space="preserve">Estados Unidos. </w:t>
      </w:r>
    </w:p>
    <w:p w14:paraId="0227E2EF" w14:textId="0622FDF5" w:rsidR="0030739A" w:rsidRPr="00744CE4" w:rsidRDefault="0030739A" w:rsidP="00DB378B">
      <w:pPr>
        <w:widowControl w:val="0"/>
        <w:numPr>
          <w:ilvl w:val="0"/>
          <w:numId w:val="4"/>
        </w:numPr>
        <w:tabs>
          <w:tab w:val="left" w:pos="567"/>
        </w:tabs>
        <w:autoSpaceDE w:val="0"/>
        <w:autoSpaceDN w:val="0"/>
        <w:adjustRightInd w:val="0"/>
        <w:spacing w:before="120" w:after="120" w:line="240" w:lineRule="auto"/>
        <w:ind w:left="0" w:firstLine="0"/>
        <w:jc w:val="both"/>
        <w:textAlignment w:val="baseline"/>
        <w:rPr>
          <w:rFonts w:ascii="Verdana" w:eastAsia="Times New Roman" w:hAnsi="Verdana" w:cs="Times New Roman"/>
          <w:sz w:val="20"/>
          <w:szCs w:val="20"/>
          <w:lang w:val="es-ES"/>
        </w:rPr>
      </w:pPr>
      <w:r w:rsidRPr="00432ABC">
        <w:rPr>
          <w:rFonts w:ascii="Verdana" w:eastAsia="Times New Roman" w:hAnsi="Verdana" w:cs="Times New Roman"/>
          <w:sz w:val="20"/>
          <w:szCs w:val="20"/>
          <w:lang w:val="es-ES"/>
        </w:rPr>
        <w:t>En cuanto al daño inmaterial, las</w:t>
      </w:r>
      <w:r w:rsidRPr="00432ABC">
        <w:rPr>
          <w:rFonts w:ascii="Verdana" w:eastAsia="Times New Roman" w:hAnsi="Verdana" w:cs="Times New Roman"/>
          <w:b/>
          <w:sz w:val="20"/>
          <w:szCs w:val="20"/>
          <w:lang w:val="es-ES"/>
        </w:rPr>
        <w:t xml:space="preserve"> </w:t>
      </w:r>
      <w:r w:rsidR="000C553D">
        <w:rPr>
          <w:rFonts w:ascii="Verdana" w:eastAsia="Times New Roman" w:hAnsi="Verdana" w:cs="Times New Roman"/>
          <w:sz w:val="20"/>
          <w:szCs w:val="20"/>
          <w:lang w:val="es-ES"/>
        </w:rPr>
        <w:t>r</w:t>
      </w:r>
      <w:r w:rsidRPr="000C553D">
        <w:rPr>
          <w:rFonts w:ascii="Verdana" w:eastAsia="Times New Roman" w:hAnsi="Verdana" w:cs="Times New Roman"/>
          <w:sz w:val="20"/>
          <w:szCs w:val="20"/>
          <w:lang w:val="es-ES"/>
        </w:rPr>
        <w:t xml:space="preserve">epresentantes </w:t>
      </w:r>
      <w:r w:rsidRPr="00432ABC">
        <w:rPr>
          <w:rFonts w:ascii="Verdana" w:hAnsi="Verdana" w:cs="Times New Roman"/>
          <w:sz w:val="20"/>
          <w:szCs w:val="20"/>
          <w:lang w:val="es-AR"/>
        </w:rPr>
        <w:t xml:space="preserve">ofrecieron como prueba: i) </w:t>
      </w:r>
      <w:r w:rsidRPr="002C462C">
        <w:rPr>
          <w:rFonts w:ascii="Verdana" w:hAnsi="Verdana" w:cs="Times New Roman"/>
          <w:sz w:val="20"/>
          <w:szCs w:val="20"/>
          <w:lang w:val="es-EC"/>
        </w:rPr>
        <w:t xml:space="preserve">un peritaje de impacto psicosocial dando cuenta de los daños y consecuencias negativas que los hechos del caso, la impunidad en que se mantienen los mismos, los riesgos por la exigencia de verdad, justicia y reparación así como la incertidumbre del paradero de Nitza Paola, </w:t>
      </w:r>
      <w:r w:rsidR="006F0E70" w:rsidRPr="002C462C">
        <w:rPr>
          <w:rFonts w:ascii="Verdana" w:hAnsi="Verdana" w:cs="Times New Roman"/>
          <w:sz w:val="20"/>
          <w:szCs w:val="20"/>
          <w:lang w:val="es-EC"/>
        </w:rPr>
        <w:t>José Ángel</w:t>
      </w:r>
      <w:r w:rsidR="006F0E70">
        <w:rPr>
          <w:rFonts w:ascii="Verdana" w:hAnsi="Verdana" w:cs="Times New Roman"/>
          <w:sz w:val="20"/>
          <w:szCs w:val="20"/>
          <w:lang w:val="es-EC"/>
        </w:rPr>
        <w:t xml:space="preserve"> </w:t>
      </w:r>
      <w:r w:rsidR="006F0E70" w:rsidRPr="002C462C">
        <w:rPr>
          <w:rFonts w:ascii="Verdana" w:hAnsi="Verdana" w:cs="Times New Roman"/>
          <w:sz w:val="20"/>
          <w:szCs w:val="20"/>
          <w:lang w:val="es-EC"/>
        </w:rPr>
        <w:t xml:space="preserve">y </w:t>
      </w:r>
      <w:r w:rsidRPr="002C462C">
        <w:rPr>
          <w:rFonts w:ascii="Verdana" w:hAnsi="Verdana" w:cs="Times New Roman"/>
          <w:sz w:val="20"/>
          <w:szCs w:val="20"/>
          <w:lang w:val="es-EC"/>
        </w:rPr>
        <w:t xml:space="preserve">Rocío </w:t>
      </w:r>
      <w:r w:rsidRPr="002C462C">
        <w:rPr>
          <w:rFonts w:ascii="Verdana" w:hAnsi="Verdana" w:cs="Times New Roman"/>
          <w:sz w:val="20"/>
          <w:szCs w:val="20"/>
          <w:lang w:val="es-EC"/>
        </w:rPr>
        <w:lastRenderedPageBreak/>
        <w:t xml:space="preserve">Irene </w:t>
      </w:r>
      <w:r w:rsidR="006F0E70">
        <w:rPr>
          <w:rFonts w:ascii="Verdana" w:hAnsi="Verdana" w:cs="Times New Roman"/>
          <w:sz w:val="20"/>
          <w:szCs w:val="20"/>
          <w:lang w:val="es-EC"/>
        </w:rPr>
        <w:t>Alvarado</w:t>
      </w:r>
      <w:r w:rsidRPr="002C462C">
        <w:rPr>
          <w:rFonts w:ascii="Verdana" w:hAnsi="Verdana" w:cs="Times New Roman"/>
          <w:sz w:val="20"/>
          <w:szCs w:val="20"/>
          <w:lang w:val="es-EC"/>
        </w:rPr>
        <w:t xml:space="preserve"> ha</w:t>
      </w:r>
      <w:r w:rsidR="006F0E70">
        <w:rPr>
          <w:rFonts w:ascii="Verdana" w:hAnsi="Verdana" w:cs="Times New Roman"/>
          <w:sz w:val="20"/>
          <w:szCs w:val="20"/>
          <w:lang w:val="es-EC"/>
        </w:rPr>
        <w:t>n</w:t>
      </w:r>
      <w:r w:rsidRPr="002C462C">
        <w:rPr>
          <w:rFonts w:ascii="Verdana" w:hAnsi="Verdana" w:cs="Times New Roman"/>
          <w:sz w:val="20"/>
          <w:szCs w:val="20"/>
          <w:lang w:val="es-EC"/>
        </w:rPr>
        <w:t xml:space="preserve"> tenido en sus respectivos núcleo</w:t>
      </w:r>
      <w:r w:rsidRPr="00744CE4">
        <w:rPr>
          <w:rFonts w:ascii="Verdana" w:hAnsi="Verdana" w:cs="Times New Roman"/>
          <w:sz w:val="20"/>
          <w:szCs w:val="20"/>
          <w:lang w:val="es-EC"/>
        </w:rPr>
        <w:t>s familiares</w:t>
      </w:r>
      <w:r w:rsidRPr="00744CE4">
        <w:rPr>
          <w:rStyle w:val="FootnoteReference"/>
          <w:rFonts w:ascii="Verdana" w:hAnsi="Verdana"/>
          <w:sz w:val="20"/>
          <w:szCs w:val="20"/>
          <w:lang w:val="es-EC"/>
        </w:rPr>
        <w:footnoteReference w:id="565"/>
      </w:r>
      <w:r w:rsidRPr="00744CE4">
        <w:rPr>
          <w:rFonts w:ascii="Verdana" w:hAnsi="Verdana" w:cs="Times New Roman"/>
          <w:sz w:val="20"/>
          <w:szCs w:val="20"/>
          <w:lang w:val="es-EC"/>
        </w:rPr>
        <w:t xml:space="preserve">. De igual manera, presentaron testimonios </w:t>
      </w:r>
      <w:r w:rsidR="001307F1">
        <w:rPr>
          <w:rFonts w:ascii="Verdana" w:hAnsi="Verdana" w:cs="Times New Roman"/>
          <w:sz w:val="20"/>
          <w:szCs w:val="20"/>
          <w:lang w:val="es-EC"/>
        </w:rPr>
        <w:t>“</w:t>
      </w:r>
      <w:r w:rsidRPr="00744CE4">
        <w:rPr>
          <w:rFonts w:ascii="Verdana" w:hAnsi="Verdana" w:cs="Times New Roman"/>
          <w:sz w:val="20"/>
          <w:szCs w:val="20"/>
          <w:lang w:val="es-EC"/>
        </w:rPr>
        <w:t>para fortalecer lo anteriormente mencionado</w:t>
      </w:r>
      <w:r w:rsidR="001307F1">
        <w:rPr>
          <w:rFonts w:ascii="Verdana" w:hAnsi="Verdana" w:cs="Times New Roman"/>
          <w:sz w:val="20"/>
          <w:szCs w:val="20"/>
          <w:lang w:val="es-EC"/>
        </w:rPr>
        <w:t>”,</w:t>
      </w:r>
      <w:r w:rsidRPr="00744CE4">
        <w:rPr>
          <w:rFonts w:ascii="Verdana" w:hAnsi="Verdana" w:cs="Times New Roman"/>
          <w:sz w:val="20"/>
          <w:szCs w:val="20"/>
          <w:lang w:val="es-EC"/>
        </w:rPr>
        <w:t xml:space="preserve"> y ii) la tasación monetaria del daño moral tanto por las violaciones de derecho humanos directas para las tres víctimas desaparecidas y a la indemnización a sus familiares. </w:t>
      </w:r>
    </w:p>
    <w:p w14:paraId="4F39953C" w14:textId="49EF9EBD" w:rsidR="0030739A" w:rsidRPr="00744CE4" w:rsidRDefault="004573CE" w:rsidP="00DB378B">
      <w:pPr>
        <w:widowControl w:val="0"/>
        <w:numPr>
          <w:ilvl w:val="0"/>
          <w:numId w:val="4"/>
        </w:numPr>
        <w:tabs>
          <w:tab w:val="left" w:pos="567"/>
        </w:tabs>
        <w:autoSpaceDE w:val="0"/>
        <w:autoSpaceDN w:val="0"/>
        <w:adjustRightInd w:val="0"/>
        <w:spacing w:before="120" w:after="120" w:line="240" w:lineRule="auto"/>
        <w:ind w:left="0" w:firstLine="0"/>
        <w:jc w:val="both"/>
        <w:textAlignment w:val="baseline"/>
        <w:rPr>
          <w:rFonts w:ascii="Verdana" w:eastAsia="Calibri" w:hAnsi="Verdana" w:cs="Times New Roman"/>
          <w:i/>
          <w:sz w:val="20"/>
          <w:szCs w:val="20"/>
          <w:lang w:val="es-ES" w:eastAsia="es-ES"/>
        </w:rPr>
      </w:pPr>
      <w:r>
        <w:rPr>
          <w:rFonts w:ascii="Verdana" w:eastAsia="Times New Roman" w:hAnsi="Verdana" w:cs="Times New Roman"/>
          <w:sz w:val="20"/>
          <w:szCs w:val="20"/>
          <w:lang w:val="es-ES"/>
        </w:rPr>
        <w:t>E</w:t>
      </w:r>
      <w:r w:rsidR="0030739A" w:rsidRPr="00432ABC">
        <w:rPr>
          <w:rFonts w:ascii="Verdana" w:eastAsia="Calibri" w:hAnsi="Verdana" w:cs="Times New Roman"/>
          <w:sz w:val="20"/>
          <w:szCs w:val="20"/>
          <w:lang w:val="es-ES" w:eastAsia="es-ES"/>
        </w:rPr>
        <w:t xml:space="preserve">l </w:t>
      </w:r>
      <w:r w:rsidR="0030739A" w:rsidRPr="00432ABC">
        <w:rPr>
          <w:rFonts w:ascii="Verdana" w:eastAsia="Calibri" w:hAnsi="Verdana" w:cs="Times New Roman"/>
          <w:b/>
          <w:i/>
          <w:sz w:val="20"/>
          <w:szCs w:val="20"/>
          <w:lang w:val="es-ES" w:eastAsia="es-ES"/>
        </w:rPr>
        <w:t>Estado</w:t>
      </w:r>
      <w:r w:rsidR="0030739A" w:rsidRPr="00432ABC">
        <w:rPr>
          <w:rFonts w:ascii="Verdana" w:eastAsia="Calibri" w:hAnsi="Verdana" w:cs="Times New Roman"/>
          <w:sz w:val="20"/>
          <w:szCs w:val="20"/>
          <w:lang w:val="es-ES" w:eastAsia="es-ES"/>
        </w:rPr>
        <w:t xml:space="preserve">, respecto del daño material, solicitó que en caso de que la Corte determine la responsabilidad del Estado mexicano, no tome en cuenta rubros sobre los cuales las representantes no han presentado de </w:t>
      </w:r>
      <w:r w:rsidR="0030739A" w:rsidRPr="002C462C">
        <w:rPr>
          <w:rFonts w:ascii="Verdana" w:eastAsia="Calibri" w:hAnsi="Verdana" w:cs="Times New Roman"/>
          <w:sz w:val="20"/>
          <w:szCs w:val="20"/>
          <w:lang w:val="es-ES" w:eastAsia="es-ES"/>
        </w:rPr>
        <w:t xml:space="preserve">manera contundente y detallada el nexo causal entre la reparación solicitada y las violaciones alegadas, y en su lugar, dicte una cantidad en </w:t>
      </w:r>
      <w:r w:rsidR="001307F1">
        <w:rPr>
          <w:rFonts w:ascii="Verdana" w:eastAsia="Calibri" w:hAnsi="Verdana" w:cs="Times New Roman"/>
          <w:sz w:val="20"/>
          <w:szCs w:val="20"/>
          <w:lang w:val="es-ES" w:eastAsia="es-ES"/>
        </w:rPr>
        <w:t>atención</w:t>
      </w:r>
      <w:r w:rsidR="001307F1" w:rsidRPr="002C462C">
        <w:rPr>
          <w:rFonts w:ascii="Verdana" w:eastAsia="Calibri" w:hAnsi="Verdana" w:cs="Times New Roman"/>
          <w:sz w:val="20"/>
          <w:szCs w:val="20"/>
          <w:lang w:val="es-ES" w:eastAsia="es-ES"/>
        </w:rPr>
        <w:t xml:space="preserve"> </w:t>
      </w:r>
      <w:r w:rsidR="001307F1">
        <w:rPr>
          <w:rFonts w:ascii="Verdana" w:eastAsia="Calibri" w:hAnsi="Verdana" w:cs="Times New Roman"/>
          <w:sz w:val="20"/>
          <w:szCs w:val="20"/>
          <w:lang w:val="es-ES" w:eastAsia="es-ES"/>
        </w:rPr>
        <w:t>a</w:t>
      </w:r>
      <w:r w:rsidR="001307F1" w:rsidRPr="002C462C">
        <w:rPr>
          <w:rFonts w:ascii="Verdana" w:eastAsia="Calibri" w:hAnsi="Verdana" w:cs="Times New Roman"/>
          <w:sz w:val="20"/>
          <w:szCs w:val="20"/>
          <w:lang w:val="es-ES" w:eastAsia="es-ES"/>
        </w:rPr>
        <w:t xml:space="preserve">l </w:t>
      </w:r>
      <w:r w:rsidR="0030739A" w:rsidRPr="002C462C">
        <w:rPr>
          <w:rFonts w:ascii="Verdana" w:eastAsia="Calibri" w:hAnsi="Verdana" w:cs="Times New Roman"/>
          <w:sz w:val="20"/>
          <w:szCs w:val="20"/>
          <w:lang w:val="es-ES" w:eastAsia="es-ES"/>
        </w:rPr>
        <w:t xml:space="preserve">principio de equidad. </w:t>
      </w:r>
    </w:p>
    <w:p w14:paraId="6F1EF14B" w14:textId="61F3A0A9" w:rsidR="0030739A" w:rsidRPr="000105E6" w:rsidRDefault="0030739A" w:rsidP="001307F1">
      <w:pPr>
        <w:widowControl w:val="0"/>
        <w:numPr>
          <w:ilvl w:val="0"/>
          <w:numId w:val="4"/>
        </w:numPr>
        <w:tabs>
          <w:tab w:val="left" w:pos="567"/>
        </w:tabs>
        <w:autoSpaceDE w:val="0"/>
        <w:autoSpaceDN w:val="0"/>
        <w:adjustRightInd w:val="0"/>
        <w:spacing w:before="120" w:after="120" w:line="240" w:lineRule="auto"/>
        <w:ind w:left="0" w:firstLine="0"/>
        <w:jc w:val="both"/>
        <w:textAlignment w:val="baseline"/>
        <w:rPr>
          <w:rFonts w:ascii="Verdana" w:eastAsia="Calibri" w:hAnsi="Verdana" w:cs="Times New Roman"/>
          <w:b/>
          <w:sz w:val="20"/>
          <w:szCs w:val="20"/>
          <w:lang w:val="es-ES" w:eastAsia="es-ES"/>
        </w:rPr>
      </w:pPr>
      <w:r w:rsidRPr="001307F1">
        <w:rPr>
          <w:rFonts w:ascii="Verdana" w:eastAsia="Calibri" w:hAnsi="Verdana" w:cs="Times New Roman"/>
          <w:sz w:val="20"/>
          <w:szCs w:val="20"/>
          <w:lang w:val="es-ES" w:eastAsia="es-ES"/>
        </w:rPr>
        <w:t>Con respecto al daño emergente,</w:t>
      </w:r>
      <w:r w:rsidRPr="001307F1">
        <w:rPr>
          <w:rFonts w:ascii="Verdana" w:eastAsia="Calibri" w:hAnsi="Verdana" w:cs="Times New Roman"/>
          <w:i/>
          <w:sz w:val="20"/>
          <w:szCs w:val="20"/>
          <w:lang w:val="es-ES" w:eastAsia="es-ES"/>
        </w:rPr>
        <w:t xml:space="preserve"> </w:t>
      </w:r>
      <w:r w:rsidRPr="001307F1">
        <w:rPr>
          <w:rFonts w:ascii="Verdana" w:eastAsia="Calibri" w:hAnsi="Verdana" w:cs="Times New Roman"/>
          <w:sz w:val="20"/>
          <w:szCs w:val="20"/>
          <w:lang w:val="es-ES" w:eastAsia="es-ES"/>
        </w:rPr>
        <w:t xml:space="preserve">el Estado resaltó que no es responsable internacionalmente por el desplazamiento de los familiares. En cuanto a </w:t>
      </w:r>
      <w:r w:rsidRPr="000105E6">
        <w:rPr>
          <w:rFonts w:ascii="Verdana" w:eastAsia="Calibri" w:hAnsi="Verdana" w:cs="Times New Roman"/>
          <w:sz w:val="20"/>
          <w:szCs w:val="20"/>
          <w:lang w:val="es-ES" w:eastAsia="es-ES"/>
        </w:rPr>
        <w:t>los gastos incurridos por la familia Spector, el Estado resalt</w:t>
      </w:r>
      <w:r w:rsidR="001307F1" w:rsidRPr="000105E6">
        <w:rPr>
          <w:rFonts w:ascii="Verdana" w:eastAsia="Calibri" w:hAnsi="Verdana" w:cs="Times New Roman"/>
          <w:sz w:val="20"/>
          <w:szCs w:val="20"/>
          <w:lang w:val="es-ES" w:eastAsia="es-ES"/>
        </w:rPr>
        <w:t>ó</w:t>
      </w:r>
      <w:r w:rsidRPr="000105E6">
        <w:rPr>
          <w:rFonts w:ascii="Verdana" w:eastAsia="Calibri" w:hAnsi="Verdana" w:cs="Times New Roman"/>
          <w:sz w:val="20"/>
          <w:szCs w:val="20"/>
          <w:lang w:val="es-ES" w:eastAsia="es-ES"/>
        </w:rPr>
        <w:t xml:space="preserve"> que esta familia no </w:t>
      </w:r>
      <w:r w:rsidR="001307F1" w:rsidRPr="000105E6">
        <w:rPr>
          <w:rFonts w:ascii="Verdana" w:eastAsia="Calibri" w:hAnsi="Verdana" w:cs="Times New Roman"/>
          <w:sz w:val="20"/>
          <w:szCs w:val="20"/>
          <w:lang w:val="es-ES" w:eastAsia="es-ES"/>
        </w:rPr>
        <w:t xml:space="preserve">fue </w:t>
      </w:r>
      <w:r w:rsidRPr="000105E6">
        <w:rPr>
          <w:rFonts w:ascii="Verdana" w:eastAsia="Calibri" w:hAnsi="Verdana" w:cs="Times New Roman"/>
          <w:sz w:val="20"/>
          <w:szCs w:val="20"/>
          <w:lang w:val="es-ES" w:eastAsia="es-ES"/>
        </w:rPr>
        <w:t xml:space="preserve">identificada por la Comisión como presunta víctima de los hechos del presente caso, </w:t>
      </w:r>
      <w:r w:rsidR="001307F1" w:rsidRPr="000105E6">
        <w:rPr>
          <w:rFonts w:ascii="Verdana" w:eastAsia="Calibri" w:hAnsi="Verdana" w:cs="Times New Roman"/>
          <w:sz w:val="20"/>
          <w:szCs w:val="20"/>
          <w:lang w:val="es-ES" w:eastAsia="es-ES"/>
        </w:rPr>
        <w:t xml:space="preserve">por lo que </w:t>
      </w:r>
      <w:r w:rsidR="001307F1">
        <w:rPr>
          <w:rFonts w:ascii="Verdana" w:eastAsia="Calibri" w:hAnsi="Verdana" w:cs="Times New Roman"/>
          <w:sz w:val="20"/>
          <w:szCs w:val="20"/>
          <w:lang w:val="es-ES" w:eastAsia="es-ES"/>
        </w:rPr>
        <w:t xml:space="preserve">al </w:t>
      </w:r>
      <w:r w:rsidR="001307F1" w:rsidRPr="001307F1">
        <w:rPr>
          <w:rFonts w:ascii="Verdana" w:eastAsia="Calibri" w:hAnsi="Verdana" w:cs="Times New Roman"/>
          <w:sz w:val="20"/>
          <w:szCs w:val="20"/>
          <w:lang w:eastAsia="es-ES"/>
        </w:rPr>
        <w:t>no exist</w:t>
      </w:r>
      <w:r w:rsidR="001307F1">
        <w:rPr>
          <w:rFonts w:ascii="Verdana" w:eastAsia="Calibri" w:hAnsi="Verdana" w:cs="Times New Roman"/>
          <w:sz w:val="20"/>
          <w:szCs w:val="20"/>
          <w:lang w:eastAsia="es-ES"/>
        </w:rPr>
        <w:t xml:space="preserve">ir </w:t>
      </w:r>
      <w:r w:rsidR="001307F1" w:rsidRPr="008D0846">
        <w:rPr>
          <w:rFonts w:ascii="Verdana" w:eastAsia="Calibri" w:hAnsi="Verdana" w:cs="Times New Roman"/>
          <w:sz w:val="20"/>
          <w:szCs w:val="20"/>
          <w:lang w:eastAsia="es-ES"/>
        </w:rPr>
        <w:t>un nexo causal</w:t>
      </w:r>
      <w:r w:rsidR="001307F1">
        <w:rPr>
          <w:rFonts w:ascii="Verdana" w:eastAsia="Calibri" w:hAnsi="Verdana" w:cs="Times New Roman"/>
          <w:sz w:val="20"/>
          <w:szCs w:val="20"/>
          <w:lang w:eastAsia="es-ES"/>
        </w:rPr>
        <w:t>,</w:t>
      </w:r>
      <w:r w:rsidR="001307F1" w:rsidRPr="008D0846">
        <w:rPr>
          <w:rFonts w:ascii="Verdana" w:eastAsia="Calibri" w:hAnsi="Verdana" w:cs="Times New Roman"/>
          <w:sz w:val="20"/>
          <w:szCs w:val="20"/>
          <w:lang w:eastAsia="es-ES"/>
        </w:rPr>
        <w:t xml:space="preserve"> </w:t>
      </w:r>
      <w:r w:rsidRPr="001307F1">
        <w:rPr>
          <w:rFonts w:ascii="Verdana" w:eastAsia="Calibri" w:hAnsi="Verdana" w:cs="Times New Roman"/>
          <w:sz w:val="20"/>
          <w:szCs w:val="20"/>
          <w:lang w:val="es-ES" w:eastAsia="es-ES"/>
        </w:rPr>
        <w:t xml:space="preserve">resolver lo contrario significaría transgredir el derecho de defensa del Estado mexicano.  </w:t>
      </w:r>
    </w:p>
    <w:p w14:paraId="111BBA91" w14:textId="42EFEA95" w:rsidR="0030739A" w:rsidRPr="00432ABC" w:rsidRDefault="0030739A" w:rsidP="00DB378B">
      <w:pPr>
        <w:widowControl w:val="0"/>
        <w:numPr>
          <w:ilvl w:val="0"/>
          <w:numId w:val="4"/>
        </w:numPr>
        <w:tabs>
          <w:tab w:val="left" w:pos="567"/>
        </w:tabs>
        <w:autoSpaceDE w:val="0"/>
        <w:autoSpaceDN w:val="0"/>
        <w:adjustRightInd w:val="0"/>
        <w:spacing w:before="120" w:after="120" w:line="240" w:lineRule="auto"/>
        <w:ind w:left="0" w:firstLine="0"/>
        <w:jc w:val="both"/>
        <w:textAlignment w:val="baseline"/>
        <w:rPr>
          <w:rFonts w:ascii="Verdana" w:eastAsia="Times New Roman" w:hAnsi="Verdana" w:cs="Times New Roman"/>
          <w:b/>
          <w:sz w:val="20"/>
          <w:szCs w:val="20"/>
          <w:lang w:val="es-ES"/>
        </w:rPr>
      </w:pPr>
      <w:r w:rsidRPr="00744CE4">
        <w:rPr>
          <w:rFonts w:ascii="Verdana" w:eastAsia="Times New Roman" w:hAnsi="Verdana" w:cs="Times New Roman"/>
          <w:sz w:val="20"/>
          <w:szCs w:val="20"/>
          <w:lang w:val="es-ES"/>
        </w:rPr>
        <w:t xml:space="preserve">El </w:t>
      </w:r>
      <w:r w:rsidRPr="005053BD">
        <w:rPr>
          <w:rFonts w:ascii="Verdana" w:eastAsia="Times New Roman" w:hAnsi="Verdana" w:cs="Times New Roman"/>
          <w:sz w:val="20"/>
          <w:szCs w:val="20"/>
          <w:lang w:val="es-ES"/>
        </w:rPr>
        <w:t>Estado</w:t>
      </w:r>
      <w:r w:rsidRPr="00744CE4">
        <w:rPr>
          <w:rFonts w:ascii="Verdana" w:eastAsia="Times New Roman" w:hAnsi="Verdana" w:cs="Times New Roman"/>
          <w:sz w:val="20"/>
          <w:szCs w:val="20"/>
          <w:lang w:val="es-ES"/>
        </w:rPr>
        <w:t xml:space="preserve"> recordó que la Corte ha valorado la existencia de planes integrales de reparación, que reconoce</w:t>
      </w:r>
      <w:r w:rsidR="00F25037">
        <w:rPr>
          <w:rFonts w:ascii="Verdana" w:eastAsia="Times New Roman" w:hAnsi="Verdana" w:cs="Times New Roman"/>
          <w:sz w:val="20"/>
          <w:szCs w:val="20"/>
          <w:lang w:val="es-ES"/>
        </w:rPr>
        <w:t>n</w:t>
      </w:r>
      <w:r w:rsidRPr="00744CE4">
        <w:rPr>
          <w:rFonts w:ascii="Verdana" w:eastAsia="Times New Roman" w:hAnsi="Verdana" w:cs="Times New Roman"/>
          <w:sz w:val="20"/>
          <w:szCs w:val="20"/>
          <w:lang w:val="es-ES"/>
        </w:rPr>
        <w:t xml:space="preserve"> reparaciones colectivas y simbólicas en temas de salud, educación, acceso habitacional, restitución de derechos, así como reparaciones económicas para víctimas. Recordó al respecto que cuenta con el </w:t>
      </w:r>
      <w:r w:rsidR="00F25037">
        <w:rPr>
          <w:rFonts w:ascii="Verdana" w:eastAsia="Times New Roman" w:hAnsi="Verdana" w:cs="Times New Roman"/>
          <w:sz w:val="20"/>
          <w:szCs w:val="20"/>
          <w:lang w:val="es-ES"/>
        </w:rPr>
        <w:t>“</w:t>
      </w:r>
      <w:r w:rsidRPr="00744CE4">
        <w:rPr>
          <w:rFonts w:ascii="Verdana" w:eastAsia="Times New Roman" w:hAnsi="Verdana" w:cs="Times New Roman"/>
          <w:sz w:val="20"/>
          <w:szCs w:val="20"/>
          <w:lang w:val="es-ES"/>
        </w:rPr>
        <w:t>Fideicomiso para el Cumplimiento de las Obligaciones en Materia de los Derechos Humanos</w:t>
      </w:r>
      <w:r w:rsidR="00F25037">
        <w:rPr>
          <w:rFonts w:ascii="Verdana" w:eastAsia="Times New Roman" w:hAnsi="Verdana" w:cs="Times New Roman"/>
          <w:sz w:val="20"/>
          <w:szCs w:val="20"/>
          <w:lang w:val="es-ES"/>
        </w:rPr>
        <w:t>”</w:t>
      </w:r>
      <w:r w:rsidRPr="00744CE4">
        <w:rPr>
          <w:rFonts w:ascii="Verdana" w:eastAsia="Times New Roman" w:hAnsi="Verdana" w:cs="Times New Roman"/>
          <w:sz w:val="20"/>
          <w:szCs w:val="20"/>
          <w:lang w:val="es-ES"/>
        </w:rPr>
        <w:t xml:space="preserve">, cuyo objetivo principal es cubrir las reparaciones derivadas de las Sentencias de la Corte y las </w:t>
      </w:r>
      <w:r w:rsidR="0041528D">
        <w:rPr>
          <w:rFonts w:ascii="Verdana" w:eastAsia="Times New Roman" w:hAnsi="Verdana" w:cs="Times New Roman"/>
          <w:sz w:val="20"/>
          <w:szCs w:val="20"/>
          <w:lang w:val="es-ES"/>
        </w:rPr>
        <w:t>M</w:t>
      </w:r>
      <w:r w:rsidRPr="00744CE4">
        <w:rPr>
          <w:rFonts w:ascii="Verdana" w:eastAsia="Times New Roman" w:hAnsi="Verdana" w:cs="Times New Roman"/>
          <w:sz w:val="20"/>
          <w:szCs w:val="20"/>
          <w:lang w:val="es-ES"/>
        </w:rPr>
        <w:t xml:space="preserve">edidas </w:t>
      </w:r>
      <w:r w:rsidR="0041528D">
        <w:rPr>
          <w:rFonts w:ascii="Verdana" w:eastAsia="Times New Roman" w:hAnsi="Verdana" w:cs="Times New Roman"/>
          <w:sz w:val="20"/>
          <w:szCs w:val="20"/>
          <w:lang w:val="es-ES"/>
        </w:rPr>
        <w:t>P</w:t>
      </w:r>
      <w:r w:rsidRPr="00744CE4">
        <w:rPr>
          <w:rFonts w:ascii="Verdana" w:eastAsia="Times New Roman" w:hAnsi="Verdana" w:cs="Times New Roman"/>
          <w:sz w:val="20"/>
          <w:szCs w:val="20"/>
          <w:lang w:val="es-ES"/>
        </w:rPr>
        <w:t xml:space="preserve">rovisionales dictadas por la misma. </w:t>
      </w:r>
      <w:r w:rsidR="00F25037">
        <w:rPr>
          <w:rFonts w:ascii="Verdana" w:eastAsia="Times New Roman" w:hAnsi="Verdana" w:cs="Times New Roman"/>
          <w:sz w:val="20"/>
          <w:szCs w:val="20"/>
          <w:lang w:val="es-ES"/>
        </w:rPr>
        <w:t xml:space="preserve">Por lo tanto, alegó que </w:t>
      </w:r>
      <w:r w:rsidRPr="00744CE4">
        <w:rPr>
          <w:rFonts w:ascii="Verdana" w:eastAsia="Times New Roman" w:hAnsi="Verdana" w:cs="Times New Roman"/>
          <w:sz w:val="20"/>
          <w:szCs w:val="20"/>
          <w:lang w:val="es-ES"/>
        </w:rPr>
        <w:t>en caso de que ésta Corte determin</w:t>
      </w:r>
      <w:r w:rsidR="00F25037">
        <w:rPr>
          <w:rFonts w:ascii="Verdana" w:eastAsia="Times New Roman" w:hAnsi="Verdana" w:cs="Times New Roman"/>
          <w:sz w:val="20"/>
          <w:szCs w:val="20"/>
          <w:lang w:val="es-ES"/>
        </w:rPr>
        <w:t>ara</w:t>
      </w:r>
      <w:r w:rsidRPr="00744CE4">
        <w:rPr>
          <w:rFonts w:ascii="Verdana" w:eastAsia="Times New Roman" w:hAnsi="Verdana" w:cs="Times New Roman"/>
          <w:sz w:val="20"/>
          <w:szCs w:val="20"/>
          <w:lang w:val="es-ES"/>
        </w:rPr>
        <w:t xml:space="preserve"> que el Estado es responsable</w:t>
      </w:r>
      <w:r w:rsidR="00A7244C">
        <w:rPr>
          <w:rFonts w:ascii="Verdana" w:eastAsia="Times New Roman" w:hAnsi="Verdana" w:cs="Times New Roman"/>
          <w:sz w:val="20"/>
          <w:szCs w:val="20"/>
          <w:lang w:val="es-ES"/>
        </w:rPr>
        <w:t xml:space="preserve"> </w:t>
      </w:r>
      <w:r w:rsidR="00A7244C" w:rsidRPr="008D0846">
        <w:rPr>
          <w:rFonts w:ascii="Verdana" w:eastAsiaTheme="minorHAnsi" w:hAnsi="Verdana" w:cs="Times New Roman"/>
          <w:sz w:val="20"/>
          <w:szCs w:val="20"/>
        </w:rPr>
        <w:t>por algún concepto de violación</w:t>
      </w:r>
      <w:r w:rsidRPr="00432ABC">
        <w:rPr>
          <w:rFonts w:ascii="Verdana" w:eastAsia="Times New Roman" w:hAnsi="Verdana" w:cs="Times New Roman"/>
          <w:sz w:val="20"/>
          <w:szCs w:val="20"/>
          <w:lang w:val="es-ES"/>
        </w:rPr>
        <w:t>, se pronunci</w:t>
      </w:r>
      <w:r w:rsidR="00A7244C">
        <w:rPr>
          <w:rFonts w:ascii="Verdana" w:eastAsia="Times New Roman" w:hAnsi="Verdana" w:cs="Times New Roman"/>
          <w:sz w:val="20"/>
          <w:szCs w:val="20"/>
          <w:lang w:val="es-ES"/>
        </w:rPr>
        <w:t xml:space="preserve">ara </w:t>
      </w:r>
      <w:r w:rsidRPr="00432ABC">
        <w:rPr>
          <w:rFonts w:ascii="Verdana" w:eastAsia="Times New Roman" w:hAnsi="Verdana" w:cs="Times New Roman"/>
          <w:sz w:val="20"/>
          <w:szCs w:val="20"/>
          <w:lang w:val="es-ES"/>
        </w:rPr>
        <w:t xml:space="preserve">sobre la vía que ya existe a nivel interno para cumplir con el rubro de indemnización, a través de </w:t>
      </w:r>
      <w:r w:rsidR="00A7244C">
        <w:rPr>
          <w:rFonts w:ascii="Verdana" w:eastAsia="Times New Roman" w:hAnsi="Verdana" w:cs="Times New Roman"/>
          <w:sz w:val="20"/>
          <w:szCs w:val="20"/>
          <w:lang w:val="es-ES"/>
        </w:rPr>
        <w:t>dicho “</w:t>
      </w:r>
      <w:r w:rsidRPr="00432ABC">
        <w:rPr>
          <w:rFonts w:ascii="Verdana" w:eastAsia="Times New Roman" w:hAnsi="Verdana" w:cs="Times New Roman"/>
          <w:sz w:val="20"/>
          <w:szCs w:val="20"/>
          <w:lang w:val="es-ES"/>
        </w:rPr>
        <w:t>Fideicomiso</w:t>
      </w:r>
      <w:r w:rsidR="00A7244C">
        <w:rPr>
          <w:rFonts w:ascii="Verdana" w:eastAsia="Times New Roman" w:hAnsi="Verdana" w:cs="Times New Roman"/>
          <w:sz w:val="20"/>
          <w:szCs w:val="20"/>
          <w:lang w:val="es-ES"/>
        </w:rPr>
        <w:t>”</w:t>
      </w:r>
      <w:r w:rsidRPr="00432ABC">
        <w:rPr>
          <w:rFonts w:ascii="Verdana" w:eastAsia="Times New Roman" w:hAnsi="Verdana" w:cs="Times New Roman"/>
          <w:sz w:val="20"/>
          <w:szCs w:val="20"/>
          <w:lang w:val="es-ES"/>
        </w:rPr>
        <w:t xml:space="preserve">. </w:t>
      </w:r>
    </w:p>
    <w:p w14:paraId="6FD10AF0" w14:textId="012859B9" w:rsidR="0030739A" w:rsidRPr="00432ABC" w:rsidRDefault="00556FDB">
      <w:pPr>
        <w:pStyle w:val="Subtitle"/>
        <w:keepNext w:val="0"/>
        <w:keepLines w:val="0"/>
        <w:widowControl/>
        <w:numPr>
          <w:ilvl w:val="0"/>
          <w:numId w:val="33"/>
        </w:numPr>
        <w:tabs>
          <w:tab w:val="left" w:pos="1276"/>
        </w:tabs>
        <w:adjustRightInd/>
        <w:ind w:left="1560" w:hanging="426"/>
        <w:contextualSpacing w:val="0"/>
        <w:textAlignment w:val="auto"/>
        <w:outlineLvl w:val="2"/>
        <w:rPr>
          <w:b w:val="0"/>
          <w:lang w:val="es-ES"/>
        </w:rPr>
      </w:pPr>
      <w:r>
        <w:rPr>
          <w:b w:val="0"/>
          <w:lang w:val="es-ES"/>
        </w:rPr>
        <w:t xml:space="preserve"> </w:t>
      </w:r>
      <w:bookmarkStart w:id="400" w:name="_Toc532995416"/>
      <w:r w:rsidR="0030739A" w:rsidRPr="00432ABC">
        <w:rPr>
          <w:b w:val="0"/>
          <w:lang w:val="es-ES"/>
        </w:rPr>
        <w:t>Daño Material</w:t>
      </w:r>
      <w:bookmarkEnd w:id="400"/>
    </w:p>
    <w:p w14:paraId="419D9738" w14:textId="77777777" w:rsidR="0030739A" w:rsidRPr="00744CE4" w:rsidRDefault="0030739A" w:rsidP="00DB378B">
      <w:pPr>
        <w:widowControl w:val="0"/>
        <w:numPr>
          <w:ilvl w:val="0"/>
          <w:numId w:val="4"/>
        </w:numPr>
        <w:tabs>
          <w:tab w:val="left" w:pos="567"/>
        </w:tabs>
        <w:autoSpaceDE w:val="0"/>
        <w:autoSpaceDN w:val="0"/>
        <w:adjustRightInd w:val="0"/>
        <w:spacing w:before="120" w:after="120" w:line="240" w:lineRule="auto"/>
        <w:ind w:left="0" w:firstLine="0"/>
        <w:jc w:val="both"/>
        <w:textAlignment w:val="baseline"/>
        <w:rPr>
          <w:rFonts w:ascii="Verdana" w:hAnsi="Verdana" w:cs="Times New Roman"/>
          <w:sz w:val="20"/>
          <w:szCs w:val="20"/>
          <w:lang w:val="es-ES"/>
        </w:rPr>
      </w:pPr>
      <w:r w:rsidRPr="002C462C">
        <w:rPr>
          <w:rFonts w:ascii="Verdana" w:hAnsi="Verdana" w:cs="Times New Roman"/>
          <w:sz w:val="20"/>
          <w:szCs w:val="20"/>
          <w:lang w:val="es-ES" w:bidi="en-US"/>
        </w:rPr>
        <w:t>L</w:t>
      </w:r>
      <w:r w:rsidRPr="002C462C">
        <w:rPr>
          <w:rFonts w:ascii="Verdana" w:hAnsi="Verdana" w:cs="Times New Roman"/>
          <w:sz w:val="20"/>
          <w:szCs w:val="20"/>
          <w:lang w:val="es-CR" w:bidi="en-US"/>
        </w:rPr>
        <w:t xml:space="preserve">a </w:t>
      </w:r>
      <w:r w:rsidRPr="00744CE4">
        <w:rPr>
          <w:rFonts w:ascii="Verdana" w:hAnsi="Verdana" w:cs="Times New Roman"/>
          <w:b/>
          <w:i/>
          <w:sz w:val="20"/>
          <w:szCs w:val="20"/>
          <w:lang w:val="es-CR" w:bidi="en-US"/>
        </w:rPr>
        <w:t>Corte</w:t>
      </w:r>
      <w:r w:rsidRPr="00744CE4">
        <w:rPr>
          <w:rFonts w:ascii="Verdana" w:hAnsi="Verdana" w:cs="Times New Roman"/>
          <w:sz w:val="20"/>
          <w:szCs w:val="20"/>
          <w:lang w:val="es-CR" w:bidi="en-US"/>
        </w:rPr>
        <w:t xml:space="preserve"> ha desarrollado en su jurisprudencia el concepto de daño material y </w:t>
      </w:r>
      <w:r w:rsidRPr="00744CE4">
        <w:rPr>
          <w:rFonts w:ascii="Verdana" w:hAnsi="Verdana" w:cs="Times New Roman"/>
          <w:bCs/>
          <w:sz w:val="20"/>
          <w:szCs w:val="20"/>
          <w:lang w:val="es-CR"/>
        </w:rPr>
        <w:t>ha establecido que supone “la pérdida o detrimento de los ingresos de las víctimas, los gastos efectuados con motivo de los hechos y las consecuencias de carácter pecuniario que tengan un nexo causal con los hechos del caso”</w:t>
      </w:r>
      <w:r w:rsidRPr="00744CE4">
        <w:rPr>
          <w:rStyle w:val="FootnoteReference"/>
          <w:rFonts w:ascii="Verdana" w:hAnsi="Verdana"/>
          <w:bCs/>
          <w:sz w:val="20"/>
          <w:szCs w:val="20"/>
          <w:lang w:val="es-CR"/>
        </w:rPr>
        <w:footnoteReference w:id="566"/>
      </w:r>
      <w:r w:rsidRPr="00744CE4">
        <w:rPr>
          <w:rFonts w:ascii="Verdana" w:hAnsi="Verdana" w:cs="Times New Roman"/>
          <w:bCs/>
          <w:sz w:val="20"/>
          <w:szCs w:val="20"/>
          <w:lang w:val="es-CR"/>
        </w:rPr>
        <w:t xml:space="preserve">. </w:t>
      </w:r>
    </w:p>
    <w:p w14:paraId="55BF06C0" w14:textId="7EAD6D86" w:rsidR="0030739A" w:rsidRPr="008D0846" w:rsidRDefault="0030739A" w:rsidP="00DB378B">
      <w:pPr>
        <w:widowControl w:val="0"/>
        <w:numPr>
          <w:ilvl w:val="0"/>
          <w:numId w:val="4"/>
        </w:numPr>
        <w:tabs>
          <w:tab w:val="left" w:pos="567"/>
        </w:tabs>
        <w:autoSpaceDE w:val="0"/>
        <w:autoSpaceDN w:val="0"/>
        <w:adjustRightInd w:val="0"/>
        <w:spacing w:before="120" w:after="120" w:line="240" w:lineRule="auto"/>
        <w:ind w:left="0" w:firstLine="0"/>
        <w:jc w:val="both"/>
        <w:textAlignment w:val="baseline"/>
        <w:rPr>
          <w:rFonts w:ascii="Verdana" w:hAnsi="Verdana"/>
          <w:sz w:val="20"/>
          <w:szCs w:val="20"/>
        </w:rPr>
      </w:pPr>
      <w:r w:rsidRPr="00744CE4">
        <w:rPr>
          <w:rFonts w:ascii="Verdana" w:hAnsi="Verdana" w:cs="Times New Roman"/>
          <w:sz w:val="20"/>
          <w:szCs w:val="20"/>
        </w:rPr>
        <w:t xml:space="preserve">En virtud de que el Estado fue encontrado responsable por violaciones acreditadas a los artículos </w:t>
      </w:r>
      <w:r w:rsidR="0041528D">
        <w:rPr>
          <w:rFonts w:ascii="Verdana" w:hAnsi="Verdana" w:cs="Times New Roman"/>
          <w:sz w:val="20"/>
          <w:szCs w:val="20"/>
        </w:rPr>
        <w:t xml:space="preserve">1.1, 2, </w:t>
      </w:r>
      <w:r w:rsidRPr="00744CE4">
        <w:rPr>
          <w:rFonts w:ascii="Verdana" w:hAnsi="Verdana" w:cs="Times New Roman"/>
          <w:sz w:val="20"/>
          <w:szCs w:val="20"/>
        </w:rPr>
        <w:t>3, 4, 5 y 7</w:t>
      </w:r>
      <w:r w:rsidRPr="00432ABC">
        <w:rPr>
          <w:rFonts w:ascii="Verdana" w:hAnsi="Verdana" w:cs="Times New Roman"/>
          <w:sz w:val="20"/>
          <w:szCs w:val="20"/>
        </w:rPr>
        <w:t xml:space="preserve">, </w:t>
      </w:r>
      <w:r w:rsidRPr="00432ABC">
        <w:rPr>
          <w:rFonts w:ascii="Verdana" w:hAnsi="Verdana"/>
          <w:sz w:val="20"/>
          <w:szCs w:val="20"/>
        </w:rPr>
        <w:t>la Corte considera, como lo ha hecho en otros casos sobre desapariciones forzadas</w:t>
      </w:r>
      <w:r w:rsidRPr="00744CE4">
        <w:rPr>
          <w:rStyle w:val="FootnoteReference"/>
          <w:rFonts w:ascii="Verdana" w:hAnsi="Verdana"/>
          <w:sz w:val="20"/>
          <w:szCs w:val="20"/>
          <w:lang w:val="es-ES"/>
        </w:rPr>
        <w:footnoteReference w:id="567"/>
      </w:r>
      <w:r w:rsidRPr="00744CE4">
        <w:rPr>
          <w:rFonts w:ascii="Verdana" w:hAnsi="Verdana"/>
          <w:sz w:val="20"/>
          <w:szCs w:val="20"/>
        </w:rPr>
        <w:t xml:space="preserve">, que en este caso, en que se desconoce el paradero de las víctimas, es posible aplicar los criterios de compensación por la pérdida de ingresos de éstas, lo cual comprende los ingresos que habrían percibido durante su vida probable. </w:t>
      </w:r>
      <w:r w:rsidR="00946CA0">
        <w:rPr>
          <w:rFonts w:ascii="Verdana" w:hAnsi="Verdana"/>
          <w:sz w:val="20"/>
          <w:szCs w:val="20"/>
        </w:rPr>
        <w:t>Lo anterior, t</w:t>
      </w:r>
      <w:r w:rsidRPr="00744CE4">
        <w:rPr>
          <w:rFonts w:ascii="Verdana" w:hAnsi="Verdana"/>
          <w:sz w:val="20"/>
          <w:szCs w:val="20"/>
        </w:rPr>
        <w:t xml:space="preserve">eniendo en cuenta la edad de las víctimas al inicio de su desaparición, las actividades que desarrollaban, así como </w:t>
      </w:r>
      <w:r w:rsidR="002F5DEC">
        <w:rPr>
          <w:rFonts w:ascii="Verdana" w:hAnsi="Verdana"/>
          <w:sz w:val="20"/>
          <w:szCs w:val="20"/>
        </w:rPr>
        <w:t xml:space="preserve">su respectiva </w:t>
      </w:r>
      <w:r w:rsidRPr="000105E6">
        <w:rPr>
          <w:rFonts w:ascii="Verdana" w:hAnsi="Verdana"/>
          <w:sz w:val="20"/>
          <w:szCs w:val="20"/>
        </w:rPr>
        <w:t xml:space="preserve">esperanza de vida en México </w:t>
      </w:r>
      <w:r w:rsidR="000A04B5">
        <w:rPr>
          <w:rFonts w:ascii="Verdana" w:hAnsi="Verdana"/>
          <w:sz w:val="20"/>
          <w:szCs w:val="20"/>
        </w:rPr>
        <w:t>al momento de los hechos</w:t>
      </w:r>
      <w:r w:rsidRPr="000105E6">
        <w:rPr>
          <w:rFonts w:ascii="Verdana" w:hAnsi="Verdana"/>
          <w:sz w:val="20"/>
          <w:szCs w:val="20"/>
        </w:rPr>
        <w:t xml:space="preserve">. </w:t>
      </w:r>
    </w:p>
    <w:p w14:paraId="1C72D190" w14:textId="7F855A71" w:rsidR="0030739A" w:rsidRPr="008D0846" w:rsidRDefault="0030739A" w:rsidP="00DB378B">
      <w:pPr>
        <w:widowControl w:val="0"/>
        <w:numPr>
          <w:ilvl w:val="0"/>
          <w:numId w:val="4"/>
        </w:numPr>
        <w:tabs>
          <w:tab w:val="left" w:pos="567"/>
        </w:tabs>
        <w:autoSpaceDE w:val="0"/>
        <w:autoSpaceDN w:val="0"/>
        <w:adjustRightInd w:val="0"/>
        <w:spacing w:before="120" w:after="120" w:line="240" w:lineRule="auto"/>
        <w:ind w:left="0" w:firstLine="0"/>
        <w:jc w:val="both"/>
        <w:textAlignment w:val="baseline"/>
        <w:rPr>
          <w:rFonts w:ascii="Verdana" w:hAnsi="Verdana"/>
          <w:sz w:val="20"/>
          <w:szCs w:val="20"/>
        </w:rPr>
      </w:pPr>
      <w:r w:rsidRPr="008B075D">
        <w:rPr>
          <w:rFonts w:ascii="Verdana" w:hAnsi="Verdana"/>
          <w:sz w:val="20"/>
          <w:szCs w:val="20"/>
        </w:rPr>
        <w:t>En vista de lo anterior, la Corte estima razonable fijar la cantidad de</w:t>
      </w:r>
      <w:r w:rsidR="003B1A87" w:rsidRPr="008D0846">
        <w:rPr>
          <w:rFonts w:ascii="Verdana" w:hAnsi="Verdana"/>
          <w:sz w:val="20"/>
          <w:szCs w:val="20"/>
        </w:rPr>
        <w:t>:</w:t>
      </w:r>
      <w:r w:rsidRPr="008B075D">
        <w:rPr>
          <w:rFonts w:ascii="Verdana" w:hAnsi="Verdana"/>
          <w:sz w:val="20"/>
          <w:szCs w:val="20"/>
        </w:rPr>
        <w:t xml:space="preserve"> </w:t>
      </w:r>
      <w:r w:rsidR="003B1A87" w:rsidRPr="008D0846">
        <w:rPr>
          <w:rFonts w:ascii="Verdana" w:hAnsi="Verdana"/>
          <w:sz w:val="20"/>
          <w:szCs w:val="20"/>
        </w:rPr>
        <w:t>US</w:t>
      </w:r>
      <w:r w:rsidR="00A45345" w:rsidRPr="008B075D">
        <w:rPr>
          <w:rFonts w:ascii="Verdana" w:hAnsi="Verdana"/>
          <w:sz w:val="20"/>
          <w:szCs w:val="20"/>
        </w:rPr>
        <w:t>D</w:t>
      </w:r>
      <w:r w:rsidR="003B1A87" w:rsidRPr="008D0846">
        <w:rPr>
          <w:rFonts w:ascii="Verdana" w:hAnsi="Verdana"/>
          <w:sz w:val="20"/>
          <w:szCs w:val="20"/>
        </w:rPr>
        <w:t xml:space="preserve">$70,000 (setenta mil dólares de los Estados Unidos de América) </w:t>
      </w:r>
      <w:r w:rsidRPr="008B075D">
        <w:rPr>
          <w:rFonts w:ascii="Verdana" w:hAnsi="Verdana"/>
          <w:sz w:val="20"/>
          <w:szCs w:val="20"/>
        </w:rPr>
        <w:t xml:space="preserve"> por concepto de lucro cesante: a favor de Nitza Paola Alvarado Espinoza</w:t>
      </w:r>
      <w:r w:rsidR="000105E6" w:rsidRPr="008B075D">
        <w:rPr>
          <w:rStyle w:val="FootnoteReference"/>
          <w:rFonts w:ascii="Verdana" w:hAnsi="Verdana"/>
          <w:sz w:val="20"/>
          <w:szCs w:val="20"/>
        </w:rPr>
        <w:footnoteReference w:id="568"/>
      </w:r>
      <w:r w:rsidR="00D34CD7" w:rsidRPr="008D0846">
        <w:rPr>
          <w:rFonts w:ascii="Verdana" w:hAnsi="Verdana"/>
          <w:sz w:val="20"/>
          <w:szCs w:val="20"/>
        </w:rPr>
        <w:t>;</w:t>
      </w:r>
      <w:r w:rsidRPr="008B075D">
        <w:rPr>
          <w:rFonts w:ascii="Verdana" w:hAnsi="Verdana"/>
          <w:sz w:val="20"/>
          <w:szCs w:val="20"/>
        </w:rPr>
        <w:t xml:space="preserve"> la cantidad de </w:t>
      </w:r>
      <w:r w:rsidR="00D34CD7" w:rsidRPr="008D0846">
        <w:rPr>
          <w:rFonts w:ascii="Verdana" w:hAnsi="Verdana"/>
          <w:sz w:val="20"/>
          <w:szCs w:val="20"/>
        </w:rPr>
        <w:t>US</w:t>
      </w:r>
      <w:r w:rsidR="00A45345" w:rsidRPr="008B075D">
        <w:rPr>
          <w:rFonts w:ascii="Verdana" w:hAnsi="Verdana"/>
          <w:sz w:val="20"/>
          <w:szCs w:val="20"/>
        </w:rPr>
        <w:t>D</w:t>
      </w:r>
      <w:r w:rsidR="00D34CD7" w:rsidRPr="008D0846">
        <w:rPr>
          <w:rFonts w:ascii="Verdana" w:hAnsi="Verdana"/>
          <w:sz w:val="20"/>
          <w:szCs w:val="20"/>
        </w:rPr>
        <w:t>$3</w:t>
      </w:r>
      <w:r w:rsidR="00D3239A" w:rsidRPr="008D0846">
        <w:rPr>
          <w:rFonts w:ascii="Verdana" w:hAnsi="Verdana"/>
          <w:sz w:val="20"/>
          <w:szCs w:val="20"/>
        </w:rPr>
        <w:t>1</w:t>
      </w:r>
      <w:r w:rsidR="00D34CD7" w:rsidRPr="008D0846">
        <w:rPr>
          <w:rFonts w:ascii="Verdana" w:hAnsi="Verdana"/>
          <w:sz w:val="20"/>
          <w:szCs w:val="20"/>
        </w:rPr>
        <w:t xml:space="preserve">,000 (treinta </w:t>
      </w:r>
      <w:r w:rsidR="005F54F6" w:rsidRPr="008D0846">
        <w:rPr>
          <w:rFonts w:ascii="Verdana" w:hAnsi="Verdana"/>
          <w:sz w:val="20"/>
          <w:szCs w:val="20"/>
        </w:rPr>
        <w:t xml:space="preserve">y un </w:t>
      </w:r>
      <w:r w:rsidR="00D34CD7" w:rsidRPr="008D0846">
        <w:rPr>
          <w:rFonts w:ascii="Verdana" w:hAnsi="Verdana"/>
          <w:sz w:val="20"/>
          <w:szCs w:val="20"/>
        </w:rPr>
        <w:t xml:space="preserve">mil dólares de los </w:t>
      </w:r>
      <w:r w:rsidR="00D34CD7" w:rsidRPr="008D0846">
        <w:rPr>
          <w:rFonts w:ascii="Verdana" w:hAnsi="Verdana"/>
          <w:sz w:val="20"/>
          <w:szCs w:val="20"/>
        </w:rPr>
        <w:lastRenderedPageBreak/>
        <w:t xml:space="preserve">Estados Unidos de América) </w:t>
      </w:r>
      <w:r w:rsidRPr="008B075D">
        <w:rPr>
          <w:rFonts w:ascii="Verdana" w:hAnsi="Verdana"/>
          <w:sz w:val="20"/>
          <w:szCs w:val="20"/>
        </w:rPr>
        <w:t>a favor de José Ángel Alvarado Herrera</w:t>
      </w:r>
      <w:r w:rsidR="000105E6" w:rsidRPr="008B075D">
        <w:rPr>
          <w:rStyle w:val="FootnoteReference"/>
          <w:rFonts w:ascii="Verdana" w:hAnsi="Verdana"/>
          <w:sz w:val="20"/>
          <w:szCs w:val="20"/>
        </w:rPr>
        <w:footnoteReference w:id="569"/>
      </w:r>
      <w:r w:rsidRPr="008B075D">
        <w:rPr>
          <w:rFonts w:ascii="Verdana" w:hAnsi="Verdana"/>
          <w:sz w:val="20"/>
          <w:szCs w:val="20"/>
        </w:rPr>
        <w:t>,</w:t>
      </w:r>
      <w:r w:rsidRPr="000105E6">
        <w:rPr>
          <w:rFonts w:ascii="Verdana" w:hAnsi="Verdana"/>
          <w:sz w:val="20"/>
          <w:szCs w:val="20"/>
        </w:rPr>
        <w:t xml:space="preserve"> y la cantidad de </w:t>
      </w:r>
      <w:r w:rsidR="00D34CD7" w:rsidRPr="008D0846">
        <w:rPr>
          <w:rFonts w:ascii="Verdana" w:hAnsi="Verdana"/>
          <w:sz w:val="20"/>
          <w:szCs w:val="20"/>
        </w:rPr>
        <w:t>US</w:t>
      </w:r>
      <w:r w:rsidR="00A45345">
        <w:rPr>
          <w:rFonts w:ascii="Verdana" w:hAnsi="Verdana"/>
          <w:sz w:val="20"/>
          <w:szCs w:val="20"/>
        </w:rPr>
        <w:t>D</w:t>
      </w:r>
      <w:r w:rsidR="00D34CD7" w:rsidRPr="008D0846">
        <w:rPr>
          <w:rFonts w:ascii="Verdana" w:hAnsi="Verdana"/>
          <w:sz w:val="20"/>
          <w:szCs w:val="20"/>
        </w:rPr>
        <w:t>$4</w:t>
      </w:r>
      <w:r w:rsidR="00D3239A" w:rsidRPr="008D0846">
        <w:rPr>
          <w:rFonts w:ascii="Verdana" w:hAnsi="Verdana"/>
          <w:sz w:val="20"/>
          <w:szCs w:val="20"/>
        </w:rPr>
        <w:t>3</w:t>
      </w:r>
      <w:r w:rsidR="00D34CD7" w:rsidRPr="008D0846">
        <w:rPr>
          <w:rFonts w:ascii="Verdana" w:hAnsi="Verdana"/>
          <w:sz w:val="20"/>
          <w:szCs w:val="20"/>
        </w:rPr>
        <w:t xml:space="preserve">,000 (cuarenta y </w:t>
      </w:r>
      <w:r w:rsidR="005F54F6" w:rsidRPr="008D0846">
        <w:rPr>
          <w:rFonts w:ascii="Verdana" w:hAnsi="Verdana"/>
          <w:sz w:val="20"/>
          <w:szCs w:val="20"/>
        </w:rPr>
        <w:t>tres</w:t>
      </w:r>
      <w:r w:rsidR="00D34CD7" w:rsidRPr="008D0846">
        <w:rPr>
          <w:rFonts w:ascii="Verdana" w:hAnsi="Verdana"/>
          <w:sz w:val="20"/>
          <w:szCs w:val="20"/>
        </w:rPr>
        <w:t xml:space="preserve"> mil dólares de los Estados Unidos de América) </w:t>
      </w:r>
      <w:r w:rsidRPr="000105E6">
        <w:rPr>
          <w:rFonts w:ascii="Verdana" w:hAnsi="Verdana"/>
          <w:sz w:val="20"/>
          <w:szCs w:val="20"/>
        </w:rPr>
        <w:t>a favor de Rocío Irene Alvarado Reyes</w:t>
      </w:r>
      <w:r w:rsidR="000105E6" w:rsidRPr="000105E6">
        <w:rPr>
          <w:rStyle w:val="FootnoteReference"/>
          <w:rFonts w:ascii="Verdana" w:hAnsi="Verdana"/>
          <w:sz w:val="20"/>
          <w:szCs w:val="20"/>
        </w:rPr>
        <w:footnoteReference w:id="570"/>
      </w:r>
      <w:r w:rsidRPr="000105E6">
        <w:rPr>
          <w:rFonts w:ascii="Verdana" w:hAnsi="Verdana"/>
          <w:sz w:val="20"/>
          <w:szCs w:val="20"/>
        </w:rPr>
        <w:t>.</w:t>
      </w:r>
    </w:p>
    <w:p w14:paraId="7BDE44AB" w14:textId="7BA4478E" w:rsidR="0030739A" w:rsidRPr="000105E6" w:rsidRDefault="0030739A" w:rsidP="00DB378B">
      <w:pPr>
        <w:widowControl w:val="0"/>
        <w:numPr>
          <w:ilvl w:val="0"/>
          <w:numId w:val="4"/>
        </w:numPr>
        <w:tabs>
          <w:tab w:val="left" w:pos="567"/>
        </w:tabs>
        <w:autoSpaceDE w:val="0"/>
        <w:autoSpaceDN w:val="0"/>
        <w:adjustRightInd w:val="0"/>
        <w:spacing w:before="120" w:after="120" w:line="240" w:lineRule="auto"/>
        <w:ind w:left="0" w:firstLine="0"/>
        <w:jc w:val="both"/>
        <w:textAlignment w:val="baseline"/>
        <w:rPr>
          <w:rFonts w:ascii="Verdana" w:hAnsi="Verdana"/>
          <w:sz w:val="20"/>
          <w:szCs w:val="20"/>
        </w:rPr>
      </w:pPr>
      <w:r w:rsidRPr="000105E6">
        <w:rPr>
          <w:rFonts w:ascii="Verdana" w:hAnsi="Verdana" w:cs="Times New Roman"/>
          <w:sz w:val="20"/>
          <w:szCs w:val="20"/>
        </w:rPr>
        <w:t>En cuanto a los familiares de las víctimas des</w:t>
      </w:r>
      <w:r w:rsidR="008B075D">
        <w:rPr>
          <w:rFonts w:ascii="Verdana" w:hAnsi="Verdana" w:cs="Times New Roman"/>
          <w:sz w:val="20"/>
          <w:szCs w:val="20"/>
        </w:rPr>
        <w:t>a</w:t>
      </w:r>
      <w:r w:rsidRPr="000105E6">
        <w:rPr>
          <w:rFonts w:ascii="Verdana" w:hAnsi="Verdana" w:cs="Times New Roman"/>
          <w:sz w:val="20"/>
          <w:szCs w:val="20"/>
        </w:rPr>
        <w:t xml:space="preserve">parecidas, en virtud de que el </w:t>
      </w:r>
      <w:r w:rsidR="000105E6" w:rsidRPr="000105E6">
        <w:rPr>
          <w:rFonts w:ascii="Verdana" w:hAnsi="Verdana" w:cs="Times New Roman"/>
          <w:sz w:val="20"/>
          <w:szCs w:val="20"/>
        </w:rPr>
        <w:t>E</w:t>
      </w:r>
      <w:r w:rsidRPr="000105E6">
        <w:rPr>
          <w:rFonts w:ascii="Verdana" w:hAnsi="Verdana" w:cs="Times New Roman"/>
          <w:sz w:val="20"/>
          <w:szCs w:val="20"/>
        </w:rPr>
        <w:t xml:space="preserve">stado fue encontrado responsable por violaciones a los artículos 8, 17, 22 y 25, </w:t>
      </w:r>
      <w:r w:rsidRPr="001105C4">
        <w:rPr>
          <w:rFonts w:ascii="Verdana" w:hAnsi="Verdana" w:cs="Times New Roman"/>
          <w:sz w:val="20"/>
          <w:szCs w:val="20"/>
        </w:rPr>
        <w:t>la Corte reconoce, como lo ha hecho en otros casos</w:t>
      </w:r>
      <w:r w:rsidRPr="001105C4">
        <w:rPr>
          <w:rStyle w:val="FootnoteReference"/>
          <w:rFonts w:ascii="Verdana" w:hAnsi="Verdana" w:cs="Times New Roman"/>
          <w:sz w:val="20"/>
          <w:szCs w:val="20"/>
        </w:rPr>
        <w:footnoteReference w:id="571"/>
      </w:r>
      <w:r w:rsidRPr="001105C4">
        <w:rPr>
          <w:rFonts w:ascii="Verdana" w:hAnsi="Verdana" w:cs="Times New Roman"/>
          <w:sz w:val="20"/>
          <w:szCs w:val="20"/>
        </w:rPr>
        <w:t xml:space="preserve">, que </w:t>
      </w:r>
      <w:r w:rsidRPr="00616002">
        <w:rPr>
          <w:rFonts w:ascii="Verdana" w:hAnsi="Verdana" w:cs="Times New Roman"/>
          <w:sz w:val="20"/>
          <w:szCs w:val="20"/>
        </w:rPr>
        <w:t xml:space="preserve">las acciones y gestiones realizadas por los familiares de las víctimas desaparecidas, generaron gastos que deben ser considerados como daño emergente, por lo que fija un monto razonable de </w:t>
      </w:r>
      <w:r w:rsidR="00D34CD7" w:rsidRPr="008D0846">
        <w:rPr>
          <w:rFonts w:ascii="Verdana" w:hAnsi="Verdana"/>
          <w:sz w:val="20"/>
          <w:szCs w:val="20"/>
        </w:rPr>
        <w:t>USD$15,000 (quince mil dólares de los Estados Unidos de América)</w:t>
      </w:r>
      <w:r w:rsidR="00D34CD7" w:rsidRPr="00616002">
        <w:rPr>
          <w:rFonts w:ascii="Verdana" w:hAnsi="Verdana"/>
          <w:sz w:val="20"/>
          <w:szCs w:val="20"/>
        </w:rPr>
        <w:t xml:space="preserve"> </w:t>
      </w:r>
      <w:r w:rsidR="00D34CD7" w:rsidRPr="008D0846">
        <w:rPr>
          <w:rFonts w:ascii="Verdana" w:hAnsi="Verdana"/>
          <w:sz w:val="20"/>
          <w:szCs w:val="20"/>
        </w:rPr>
        <w:t xml:space="preserve">al grupo familiar de Nitza Paola Alvarado Espinoza, </w:t>
      </w:r>
      <w:r w:rsidR="00D3239A" w:rsidRPr="008D0846">
        <w:rPr>
          <w:rFonts w:ascii="Verdana" w:hAnsi="Verdana"/>
          <w:sz w:val="20"/>
          <w:szCs w:val="20"/>
        </w:rPr>
        <w:t>siendo que sí se acreditaron debidamente algunos gastos</w:t>
      </w:r>
      <w:r w:rsidR="000105E6" w:rsidRPr="008D0846">
        <w:rPr>
          <w:rStyle w:val="FootnoteReference"/>
          <w:rFonts w:ascii="Verdana" w:hAnsi="Verdana"/>
          <w:sz w:val="20"/>
          <w:szCs w:val="20"/>
        </w:rPr>
        <w:footnoteReference w:id="572"/>
      </w:r>
      <w:r w:rsidR="00D3239A" w:rsidRPr="008D0846">
        <w:rPr>
          <w:rFonts w:ascii="Verdana" w:hAnsi="Verdana"/>
          <w:sz w:val="20"/>
          <w:szCs w:val="20"/>
        </w:rPr>
        <w:t>. Asimismo, se otorga una cantidad de</w:t>
      </w:r>
      <w:r w:rsidR="00D34CD7" w:rsidRPr="000105E6">
        <w:rPr>
          <w:rFonts w:ascii="Verdana" w:hAnsi="Verdana"/>
          <w:sz w:val="20"/>
          <w:szCs w:val="20"/>
        </w:rPr>
        <w:t xml:space="preserve"> </w:t>
      </w:r>
      <w:r w:rsidR="00D34CD7" w:rsidRPr="008D0846">
        <w:rPr>
          <w:rFonts w:ascii="Verdana" w:hAnsi="Verdana"/>
          <w:sz w:val="20"/>
          <w:szCs w:val="20"/>
        </w:rPr>
        <w:t>USD$5,000 (cinco mil dólares de los Estados Unidos de América)</w:t>
      </w:r>
      <w:r w:rsidR="00D34CD7" w:rsidRPr="000105E6">
        <w:rPr>
          <w:rFonts w:ascii="Verdana" w:hAnsi="Verdana"/>
          <w:sz w:val="20"/>
          <w:szCs w:val="20"/>
        </w:rPr>
        <w:t xml:space="preserve"> para</w:t>
      </w:r>
      <w:r w:rsidR="00D34CD7" w:rsidRPr="008D0846">
        <w:rPr>
          <w:rFonts w:ascii="Verdana" w:hAnsi="Verdana"/>
          <w:sz w:val="20"/>
          <w:szCs w:val="20"/>
        </w:rPr>
        <w:t xml:space="preserve"> cada uno de los grupos familiares de Rocío</w:t>
      </w:r>
      <w:r w:rsidR="000105E6" w:rsidRPr="008D0846">
        <w:rPr>
          <w:rFonts w:ascii="Verdana" w:hAnsi="Verdana"/>
          <w:sz w:val="20"/>
          <w:szCs w:val="20"/>
        </w:rPr>
        <w:t xml:space="preserve"> Irene Alvarado Reyes</w:t>
      </w:r>
      <w:r w:rsidR="00D34CD7" w:rsidRPr="008D0846">
        <w:rPr>
          <w:rFonts w:ascii="Verdana" w:hAnsi="Verdana"/>
          <w:sz w:val="20"/>
          <w:szCs w:val="20"/>
        </w:rPr>
        <w:t xml:space="preserve"> y José Angel</w:t>
      </w:r>
      <w:r w:rsidR="000105E6" w:rsidRPr="008D0846">
        <w:rPr>
          <w:rFonts w:ascii="Verdana" w:hAnsi="Verdana"/>
          <w:sz w:val="20"/>
          <w:szCs w:val="20"/>
        </w:rPr>
        <w:t xml:space="preserve"> Alvarado Herrera</w:t>
      </w:r>
      <w:r w:rsidR="00F854D3" w:rsidRPr="008D0846">
        <w:rPr>
          <w:rFonts w:ascii="Verdana" w:hAnsi="Verdana"/>
          <w:sz w:val="20"/>
          <w:szCs w:val="20"/>
        </w:rPr>
        <w:t>, siendo que no se acreditaron debidamente los gastos</w:t>
      </w:r>
      <w:r w:rsidR="000105E6" w:rsidRPr="008D0846">
        <w:rPr>
          <w:rStyle w:val="FootnoteReference"/>
          <w:rFonts w:ascii="Verdana" w:hAnsi="Verdana"/>
          <w:sz w:val="20"/>
          <w:szCs w:val="20"/>
        </w:rPr>
        <w:footnoteReference w:id="573"/>
      </w:r>
      <w:r w:rsidR="00915AC1">
        <w:rPr>
          <w:rFonts w:ascii="Verdana" w:hAnsi="Verdana" w:cs="Times New Roman"/>
          <w:sz w:val="20"/>
          <w:szCs w:val="20"/>
        </w:rPr>
        <w:t>.</w:t>
      </w:r>
      <w:r w:rsidRPr="000105E6">
        <w:rPr>
          <w:rFonts w:ascii="Verdana" w:hAnsi="Verdana" w:cs="Times New Roman"/>
          <w:sz w:val="20"/>
          <w:szCs w:val="20"/>
        </w:rPr>
        <w:t xml:space="preserve"> Esta cantidad deberá ser entregada </w:t>
      </w:r>
      <w:r w:rsidR="008B2BAB" w:rsidRPr="008D0846">
        <w:rPr>
          <w:rFonts w:ascii="Verdana" w:hAnsi="Verdana" w:cs="Times New Roman"/>
          <w:sz w:val="20"/>
          <w:szCs w:val="20"/>
        </w:rPr>
        <w:t xml:space="preserve">de conformidad con </w:t>
      </w:r>
      <w:r w:rsidR="000105E6" w:rsidRPr="008D0846">
        <w:rPr>
          <w:rFonts w:ascii="Verdana" w:hAnsi="Verdana" w:cs="Times New Roman"/>
          <w:sz w:val="20"/>
          <w:szCs w:val="20"/>
        </w:rPr>
        <w:t xml:space="preserve">lo establecido en </w:t>
      </w:r>
      <w:r w:rsidR="008B2BAB" w:rsidRPr="008D0846">
        <w:rPr>
          <w:rFonts w:ascii="Verdana" w:hAnsi="Verdana" w:cs="Times New Roman"/>
          <w:sz w:val="20"/>
          <w:szCs w:val="20"/>
        </w:rPr>
        <w:t xml:space="preserve">el párrafo </w:t>
      </w:r>
      <w:r w:rsidR="00B607AE" w:rsidRPr="008D0846">
        <w:rPr>
          <w:rFonts w:ascii="Verdana" w:hAnsi="Verdana" w:cs="Times New Roman"/>
          <w:sz w:val="20"/>
          <w:szCs w:val="20"/>
        </w:rPr>
        <w:t>345</w:t>
      </w:r>
      <w:r w:rsidRPr="00B607AE">
        <w:rPr>
          <w:rFonts w:ascii="Verdana" w:hAnsi="Verdana" w:cs="Times New Roman"/>
          <w:sz w:val="20"/>
          <w:szCs w:val="20"/>
        </w:rPr>
        <w:t>.</w:t>
      </w:r>
      <w:r w:rsidRPr="000105E6">
        <w:rPr>
          <w:rFonts w:ascii="Verdana" w:hAnsi="Verdana" w:cs="Times New Roman"/>
          <w:sz w:val="20"/>
          <w:szCs w:val="20"/>
        </w:rPr>
        <w:t xml:space="preserve"> </w:t>
      </w:r>
    </w:p>
    <w:p w14:paraId="18FD5FA4" w14:textId="77777777" w:rsidR="0030739A" w:rsidRPr="00DB378B" w:rsidRDefault="0030739A" w:rsidP="00DB378B">
      <w:pPr>
        <w:widowControl w:val="0"/>
        <w:numPr>
          <w:ilvl w:val="0"/>
          <w:numId w:val="4"/>
        </w:numPr>
        <w:tabs>
          <w:tab w:val="left" w:pos="567"/>
        </w:tabs>
        <w:autoSpaceDE w:val="0"/>
        <w:autoSpaceDN w:val="0"/>
        <w:adjustRightInd w:val="0"/>
        <w:spacing w:before="120" w:after="120" w:line="240" w:lineRule="auto"/>
        <w:ind w:left="0" w:firstLine="0"/>
        <w:jc w:val="both"/>
        <w:textAlignment w:val="baseline"/>
        <w:rPr>
          <w:rFonts w:ascii="Verdana" w:hAnsi="Verdana"/>
          <w:szCs w:val="20"/>
        </w:rPr>
      </w:pPr>
      <w:r w:rsidRPr="00744CE4">
        <w:rPr>
          <w:rFonts w:ascii="Verdana" w:hAnsi="Verdana" w:cs="Times New Roman"/>
          <w:sz w:val="20"/>
          <w:szCs w:val="20"/>
        </w:rPr>
        <w:t xml:space="preserve">Por último, la Corte nota que con relación a los gastos incurridos por la familia Spector, las representantes dentro de escrito de argumentos y pruebas, lo incluyeron dentro de los apartados correspondientes a daño emergente y también en costas y gastos. Ante esto, la Corte se referirá al respecto en el apartado de costas y gastos. </w:t>
      </w:r>
    </w:p>
    <w:p w14:paraId="4B4AD24C" w14:textId="30B2C20F" w:rsidR="0030739A" w:rsidRPr="00744CE4" w:rsidRDefault="00556FDB">
      <w:pPr>
        <w:pStyle w:val="Subtitle"/>
        <w:keepNext w:val="0"/>
        <w:keepLines w:val="0"/>
        <w:widowControl/>
        <w:numPr>
          <w:ilvl w:val="0"/>
          <w:numId w:val="33"/>
        </w:numPr>
        <w:tabs>
          <w:tab w:val="left" w:pos="1276"/>
        </w:tabs>
        <w:adjustRightInd/>
        <w:ind w:left="1560" w:hanging="426"/>
        <w:contextualSpacing w:val="0"/>
        <w:textAlignment w:val="auto"/>
        <w:outlineLvl w:val="2"/>
        <w:rPr>
          <w:rFonts w:eastAsia="Times New Roman" w:cs="Times New Roman"/>
          <w:b w:val="0"/>
          <w:lang w:val="es-ES"/>
        </w:rPr>
      </w:pPr>
      <w:r>
        <w:rPr>
          <w:rFonts w:eastAsia="Times New Roman" w:cs="Times New Roman"/>
          <w:b w:val="0"/>
          <w:lang w:val="es-ES"/>
        </w:rPr>
        <w:t xml:space="preserve"> </w:t>
      </w:r>
      <w:bookmarkStart w:id="401" w:name="_Toc532995417"/>
      <w:r w:rsidR="0030739A" w:rsidRPr="00744CE4">
        <w:rPr>
          <w:rFonts w:eastAsia="Times New Roman" w:cs="Times New Roman"/>
          <w:b w:val="0"/>
          <w:lang w:val="es-ES"/>
        </w:rPr>
        <w:t>Daño inmaterial</w:t>
      </w:r>
      <w:bookmarkEnd w:id="401"/>
    </w:p>
    <w:p w14:paraId="10727E89" w14:textId="77777777" w:rsidR="0030739A" w:rsidRPr="00744CE4" w:rsidRDefault="0030739A" w:rsidP="00DB378B">
      <w:pPr>
        <w:widowControl w:val="0"/>
        <w:numPr>
          <w:ilvl w:val="0"/>
          <w:numId w:val="4"/>
        </w:numPr>
        <w:tabs>
          <w:tab w:val="left" w:pos="567"/>
        </w:tabs>
        <w:autoSpaceDE w:val="0"/>
        <w:autoSpaceDN w:val="0"/>
        <w:adjustRightInd w:val="0"/>
        <w:spacing w:before="120" w:after="120" w:line="240" w:lineRule="auto"/>
        <w:ind w:left="0" w:firstLine="0"/>
        <w:jc w:val="both"/>
        <w:textAlignment w:val="baseline"/>
        <w:rPr>
          <w:rFonts w:ascii="Verdana" w:eastAsia="Times New Roman" w:hAnsi="Verdana" w:cs="Times New Roman"/>
          <w:b/>
          <w:sz w:val="20"/>
          <w:szCs w:val="20"/>
          <w:lang w:val="es-ES"/>
        </w:rPr>
      </w:pPr>
      <w:r w:rsidRPr="00744CE4">
        <w:rPr>
          <w:rFonts w:ascii="Verdana" w:hAnsi="Verdana" w:cs="Times New Roman"/>
          <w:sz w:val="20"/>
          <w:szCs w:val="20"/>
          <w:lang w:val="es-CR" w:bidi="en-US"/>
        </w:rPr>
        <w:t xml:space="preserve">En cuanto al daño inmaterial, este </w:t>
      </w:r>
      <w:r w:rsidRPr="000C553D">
        <w:rPr>
          <w:rFonts w:ascii="Verdana" w:hAnsi="Verdana" w:cs="Times New Roman"/>
          <w:b/>
          <w:i/>
          <w:sz w:val="20"/>
          <w:szCs w:val="20"/>
          <w:lang w:val="es-CR" w:bidi="en-US"/>
        </w:rPr>
        <w:t>Tribunal</w:t>
      </w:r>
      <w:r w:rsidRPr="00744CE4">
        <w:rPr>
          <w:rFonts w:ascii="Verdana" w:hAnsi="Verdana" w:cs="Times New Roman"/>
          <w:b/>
          <w:sz w:val="20"/>
          <w:szCs w:val="20"/>
          <w:lang w:val="es-CR" w:bidi="en-US"/>
        </w:rPr>
        <w:t xml:space="preserve"> </w:t>
      </w:r>
      <w:r w:rsidRPr="00432ABC">
        <w:rPr>
          <w:rFonts w:ascii="Verdana" w:hAnsi="Verdana" w:cs="Times New Roman"/>
          <w:sz w:val="20"/>
          <w:szCs w:val="20"/>
          <w:lang w:val="es-CR" w:bidi="en-US"/>
        </w:rPr>
        <w:t>ha determinado que</w:t>
      </w:r>
      <w:r w:rsidRPr="00432ABC">
        <w:rPr>
          <w:rFonts w:ascii="Verdana" w:hAnsi="Verdana" w:cs="Times New Roman"/>
          <w:sz w:val="20"/>
          <w:szCs w:val="20"/>
          <w:lang w:val="es-CR"/>
        </w:rPr>
        <w:t xml:space="preserve"> “puede comprender tanto los sufrimientos y las aflicciones causados a la víctima directa y a sus allegados, el menoscabo de valores muy significativos para las personas, así como las alteraciones, de carácter no pecuniario, en las condiciones de existencia de la víctima o su familia”</w:t>
      </w:r>
      <w:r w:rsidRPr="00744CE4">
        <w:rPr>
          <w:rStyle w:val="FootnoteReference"/>
          <w:rFonts w:ascii="Verdana" w:hAnsi="Verdana"/>
          <w:sz w:val="20"/>
          <w:szCs w:val="20"/>
        </w:rPr>
        <w:footnoteReference w:id="574"/>
      </w:r>
      <w:r w:rsidRPr="00744CE4">
        <w:rPr>
          <w:rFonts w:ascii="Verdana" w:hAnsi="Verdana" w:cs="Times New Roman"/>
          <w:sz w:val="20"/>
          <w:szCs w:val="20"/>
          <w:lang w:val="es-CR" w:bidi="en-US"/>
        </w:rPr>
        <w:t>.</w:t>
      </w:r>
    </w:p>
    <w:p w14:paraId="136D07D8" w14:textId="6C110E38" w:rsidR="0030739A" w:rsidRPr="00744CE4" w:rsidRDefault="0030739A" w:rsidP="00DB378B">
      <w:pPr>
        <w:widowControl w:val="0"/>
        <w:numPr>
          <w:ilvl w:val="0"/>
          <w:numId w:val="4"/>
        </w:numPr>
        <w:tabs>
          <w:tab w:val="left" w:pos="567"/>
        </w:tabs>
        <w:autoSpaceDE w:val="0"/>
        <w:autoSpaceDN w:val="0"/>
        <w:adjustRightInd w:val="0"/>
        <w:spacing w:before="120" w:after="120" w:line="240" w:lineRule="auto"/>
        <w:ind w:left="0" w:firstLine="0"/>
        <w:jc w:val="both"/>
        <w:textAlignment w:val="baseline"/>
        <w:rPr>
          <w:rFonts w:ascii="Verdana" w:hAnsi="Verdana"/>
          <w:sz w:val="20"/>
          <w:szCs w:val="20"/>
          <w:lang w:val="es-CR"/>
        </w:rPr>
      </w:pPr>
      <w:r w:rsidRPr="00744CE4">
        <w:rPr>
          <w:rFonts w:ascii="Verdana" w:hAnsi="Verdana"/>
          <w:sz w:val="20"/>
          <w:szCs w:val="20"/>
          <w:lang w:val="es-CR"/>
        </w:rPr>
        <w:t xml:space="preserve">En consideración de las circunstancias del presente caso, las violaciones cometidas, los sufrimientos ocasionados </w:t>
      </w:r>
      <w:r w:rsidRPr="00432ABC">
        <w:rPr>
          <w:rFonts w:ascii="Verdana" w:hAnsi="Verdana"/>
          <w:sz w:val="20"/>
          <w:szCs w:val="20"/>
          <w:lang w:val="es-CR"/>
        </w:rPr>
        <w:t>y experimentados en diferentes grados, el tiempo transcurrido</w:t>
      </w:r>
      <w:r w:rsidR="00AB2FCB" w:rsidRPr="00432ABC">
        <w:rPr>
          <w:rFonts w:ascii="Verdana" w:hAnsi="Verdana"/>
          <w:sz w:val="20"/>
          <w:szCs w:val="20"/>
          <w:lang w:val="es-CR"/>
        </w:rPr>
        <w:t xml:space="preserve">, </w:t>
      </w:r>
      <w:r w:rsidRPr="00432ABC">
        <w:rPr>
          <w:rFonts w:ascii="Verdana" w:hAnsi="Verdana"/>
          <w:sz w:val="20"/>
          <w:szCs w:val="20"/>
          <w:lang w:val="es-CR"/>
        </w:rPr>
        <w:t>la denegación de la justicia (</w:t>
      </w:r>
      <w:r w:rsidRPr="00432ABC">
        <w:rPr>
          <w:rFonts w:ascii="Verdana" w:hAnsi="Verdana"/>
          <w:i/>
          <w:sz w:val="20"/>
          <w:szCs w:val="20"/>
          <w:lang w:val="es-CR"/>
        </w:rPr>
        <w:t xml:space="preserve">supra </w:t>
      </w:r>
      <w:r w:rsidR="00F4716E">
        <w:rPr>
          <w:rFonts w:ascii="Verdana" w:hAnsi="Verdana"/>
          <w:sz w:val="20"/>
          <w:szCs w:val="20"/>
          <w:lang w:val="es-CR"/>
        </w:rPr>
        <w:t>párr</w:t>
      </w:r>
      <w:r w:rsidR="00A17D88">
        <w:rPr>
          <w:rFonts w:ascii="Verdana" w:hAnsi="Verdana"/>
          <w:sz w:val="20"/>
          <w:szCs w:val="20"/>
          <w:lang w:val="es-CR"/>
        </w:rPr>
        <w:t>s</w:t>
      </w:r>
      <w:r w:rsidR="00F4716E">
        <w:rPr>
          <w:rFonts w:ascii="Verdana" w:hAnsi="Verdana"/>
          <w:sz w:val="20"/>
          <w:szCs w:val="20"/>
          <w:lang w:val="es-CR"/>
        </w:rPr>
        <w:t xml:space="preserve">. </w:t>
      </w:r>
      <w:r w:rsidR="00A17D88">
        <w:rPr>
          <w:rFonts w:ascii="Verdana" w:hAnsi="Verdana"/>
          <w:sz w:val="20"/>
          <w:szCs w:val="20"/>
          <w:lang w:val="es-CR"/>
        </w:rPr>
        <w:t xml:space="preserve">253 y </w:t>
      </w:r>
      <w:r w:rsidR="00DC4767">
        <w:rPr>
          <w:rFonts w:ascii="Verdana" w:hAnsi="Verdana"/>
          <w:sz w:val="20"/>
          <w:szCs w:val="20"/>
          <w:lang w:val="es-CR"/>
        </w:rPr>
        <w:t>254</w:t>
      </w:r>
      <w:r w:rsidR="00DC4767" w:rsidRPr="00432ABC">
        <w:rPr>
          <w:rFonts w:ascii="Verdana" w:hAnsi="Verdana"/>
          <w:sz w:val="20"/>
          <w:szCs w:val="20"/>
          <w:lang w:val="es-CR"/>
        </w:rPr>
        <w:t xml:space="preserve">), </w:t>
      </w:r>
      <w:r w:rsidRPr="00432ABC">
        <w:rPr>
          <w:rFonts w:ascii="Verdana" w:hAnsi="Verdana"/>
          <w:sz w:val="20"/>
          <w:szCs w:val="20"/>
          <w:lang w:val="es-CR"/>
        </w:rPr>
        <w:t>así como el cambio en las condiciones de vida de algunos familiares, a través del desplazamiento (</w:t>
      </w:r>
      <w:r w:rsidRPr="002C462C">
        <w:rPr>
          <w:rFonts w:ascii="Verdana" w:hAnsi="Verdana"/>
          <w:i/>
          <w:sz w:val="20"/>
          <w:szCs w:val="20"/>
          <w:lang w:val="es-CR"/>
        </w:rPr>
        <w:t xml:space="preserve">supra </w:t>
      </w:r>
      <w:r w:rsidR="00F4716E">
        <w:rPr>
          <w:rFonts w:ascii="Verdana" w:hAnsi="Verdana"/>
          <w:sz w:val="20"/>
          <w:szCs w:val="20"/>
          <w:lang w:val="es-CR"/>
        </w:rPr>
        <w:t xml:space="preserve">párr. </w:t>
      </w:r>
      <w:r w:rsidR="00DC4767" w:rsidRPr="008D0846">
        <w:rPr>
          <w:rFonts w:ascii="Verdana" w:hAnsi="Verdana"/>
          <w:sz w:val="20"/>
          <w:szCs w:val="20"/>
          <w:lang w:val="es-CR"/>
        </w:rPr>
        <w:t>282</w:t>
      </w:r>
      <w:r w:rsidRPr="00744CE4">
        <w:rPr>
          <w:rFonts w:ascii="Verdana" w:hAnsi="Verdana"/>
          <w:sz w:val="20"/>
          <w:szCs w:val="20"/>
          <w:lang w:val="es-CR"/>
        </w:rPr>
        <w:t>), las comprobadas afectaciones a la integridad personal de los familiares de las víctimas (</w:t>
      </w:r>
      <w:r w:rsidRPr="00744CE4">
        <w:rPr>
          <w:rFonts w:ascii="Verdana" w:hAnsi="Verdana"/>
          <w:i/>
          <w:sz w:val="20"/>
          <w:szCs w:val="20"/>
          <w:lang w:val="es-CR"/>
        </w:rPr>
        <w:t xml:space="preserve">supra </w:t>
      </w:r>
      <w:r w:rsidR="00F4716E">
        <w:rPr>
          <w:rFonts w:ascii="Verdana" w:hAnsi="Verdana"/>
          <w:sz w:val="20"/>
          <w:szCs w:val="20"/>
          <w:lang w:val="es-CR"/>
        </w:rPr>
        <w:t xml:space="preserve">párr. </w:t>
      </w:r>
      <w:r w:rsidR="00DC4767">
        <w:rPr>
          <w:rFonts w:ascii="Verdana" w:hAnsi="Verdana"/>
          <w:sz w:val="20"/>
          <w:szCs w:val="20"/>
          <w:lang w:val="es-CR"/>
        </w:rPr>
        <w:t>283</w:t>
      </w:r>
      <w:r w:rsidR="00DC4767" w:rsidRPr="00744CE4">
        <w:rPr>
          <w:rFonts w:ascii="Verdana" w:hAnsi="Verdana"/>
          <w:sz w:val="20"/>
          <w:szCs w:val="20"/>
          <w:lang w:val="es-CR"/>
        </w:rPr>
        <w:t xml:space="preserve">) </w:t>
      </w:r>
      <w:r w:rsidRPr="00744CE4">
        <w:rPr>
          <w:rFonts w:ascii="Verdana" w:hAnsi="Verdana"/>
          <w:sz w:val="20"/>
          <w:szCs w:val="20"/>
          <w:lang w:val="es-CR"/>
        </w:rPr>
        <w:t>y las restantes consecuencias de orden inmaterial que sufrieron, el Tribunal p</w:t>
      </w:r>
      <w:r w:rsidR="00F4716E">
        <w:rPr>
          <w:rFonts w:ascii="Verdana" w:hAnsi="Verdana"/>
          <w:sz w:val="20"/>
          <w:szCs w:val="20"/>
          <w:lang w:val="es-CR"/>
        </w:rPr>
        <w:t xml:space="preserve">rocede </w:t>
      </w:r>
      <w:r w:rsidRPr="00744CE4">
        <w:rPr>
          <w:rFonts w:ascii="Verdana" w:hAnsi="Verdana"/>
          <w:sz w:val="20"/>
          <w:szCs w:val="20"/>
          <w:lang w:val="es-CR"/>
        </w:rPr>
        <w:t>a fijar las indemnizaciones por daño inmaterial a favor de las víctimas.</w:t>
      </w:r>
    </w:p>
    <w:p w14:paraId="58D2942D" w14:textId="655B674A" w:rsidR="0030739A" w:rsidRPr="005F54F6" w:rsidRDefault="0030739A" w:rsidP="00CF59F3">
      <w:pPr>
        <w:widowControl w:val="0"/>
        <w:numPr>
          <w:ilvl w:val="0"/>
          <w:numId w:val="4"/>
        </w:numPr>
        <w:tabs>
          <w:tab w:val="left" w:pos="567"/>
        </w:tabs>
        <w:autoSpaceDE w:val="0"/>
        <w:autoSpaceDN w:val="0"/>
        <w:adjustRightInd w:val="0"/>
        <w:spacing w:before="120" w:after="120" w:line="240" w:lineRule="auto"/>
        <w:ind w:left="0" w:firstLine="0"/>
        <w:jc w:val="both"/>
        <w:textAlignment w:val="baseline"/>
        <w:rPr>
          <w:rFonts w:ascii="Verdana" w:hAnsi="Verdana" w:cs="Times New Roman"/>
          <w:sz w:val="20"/>
          <w:szCs w:val="20"/>
          <w:lang w:val="es-CR"/>
        </w:rPr>
      </w:pPr>
      <w:r w:rsidRPr="005F54F6">
        <w:rPr>
          <w:rFonts w:ascii="Verdana" w:hAnsi="Verdana" w:cs="Times New Roman"/>
          <w:sz w:val="20"/>
          <w:szCs w:val="20"/>
          <w:lang w:val="es-CR"/>
        </w:rPr>
        <w:lastRenderedPageBreak/>
        <w:t xml:space="preserve">De conformidad con los criterios desarrollados por la Corte sobre el concepto de </w:t>
      </w:r>
      <w:r w:rsidRPr="008D0846">
        <w:rPr>
          <w:rFonts w:ascii="Verdana" w:hAnsi="Verdana" w:cs="Times New Roman"/>
          <w:sz w:val="20"/>
          <w:szCs w:val="20"/>
          <w:lang w:val="es-CR"/>
        </w:rPr>
        <w:t>daño inmaterial</w:t>
      </w:r>
      <w:r w:rsidRPr="00FE50DD">
        <w:rPr>
          <w:rFonts w:ascii="Verdana" w:hAnsi="Verdana" w:cs="Times New Roman"/>
          <w:sz w:val="20"/>
          <w:szCs w:val="20"/>
          <w:lang w:val="es-CR"/>
        </w:rPr>
        <w:t xml:space="preserve"> </w:t>
      </w:r>
      <w:r w:rsidRPr="005F54F6">
        <w:rPr>
          <w:rFonts w:ascii="Verdana" w:hAnsi="Verdana" w:cs="Times New Roman"/>
          <w:sz w:val="20"/>
          <w:szCs w:val="20"/>
          <w:lang w:val="es-CR"/>
        </w:rPr>
        <w:t>y atendiendo a las circunstancias del presente caso, el carácter y la gravedad de las violaciones cometidas</w:t>
      </w:r>
      <w:r w:rsidRPr="00AB43D9">
        <w:rPr>
          <w:rFonts w:ascii="Verdana" w:hAnsi="Verdana" w:cs="Times New Roman"/>
          <w:sz w:val="20"/>
          <w:szCs w:val="20"/>
          <w:lang w:val="es-CR"/>
        </w:rPr>
        <w:t xml:space="preserve">, la Corte fija en equidad el monto de </w:t>
      </w:r>
      <w:r w:rsidR="00D34CD7" w:rsidRPr="008D0846">
        <w:rPr>
          <w:rFonts w:ascii="Verdana" w:hAnsi="Verdana"/>
          <w:sz w:val="20"/>
          <w:szCs w:val="20"/>
          <w:lang w:val="es-CR"/>
        </w:rPr>
        <w:t>US</w:t>
      </w:r>
      <w:r w:rsidR="00A45345" w:rsidRPr="00AB43D9">
        <w:rPr>
          <w:rFonts w:ascii="Verdana" w:hAnsi="Verdana"/>
          <w:sz w:val="20"/>
          <w:szCs w:val="20"/>
          <w:lang w:val="es-CR"/>
        </w:rPr>
        <w:t>D</w:t>
      </w:r>
      <w:r w:rsidR="00D34CD7" w:rsidRPr="008D0846">
        <w:rPr>
          <w:rFonts w:ascii="Verdana" w:hAnsi="Verdana"/>
          <w:sz w:val="20"/>
          <w:szCs w:val="20"/>
          <w:lang w:val="es-CR"/>
        </w:rPr>
        <w:t>$100,000 (cien mil dólares de los Estados Unidos de América)</w:t>
      </w:r>
      <w:r w:rsidR="00D34CD7" w:rsidRPr="00AB43D9">
        <w:rPr>
          <w:rFonts w:ascii="Verdana" w:hAnsi="Verdana"/>
          <w:sz w:val="20"/>
          <w:szCs w:val="20"/>
          <w:lang w:val="es-CR"/>
        </w:rPr>
        <w:t xml:space="preserve"> </w:t>
      </w:r>
      <w:r w:rsidR="00D34CD7" w:rsidRPr="008D0846">
        <w:rPr>
          <w:rFonts w:ascii="Verdana" w:hAnsi="Verdana"/>
          <w:sz w:val="20"/>
          <w:szCs w:val="20"/>
          <w:lang w:val="es-CR"/>
        </w:rPr>
        <w:t xml:space="preserve">a favor de cada una </w:t>
      </w:r>
      <w:r w:rsidR="005F54F6" w:rsidRPr="008D0846">
        <w:rPr>
          <w:rFonts w:ascii="Verdana" w:hAnsi="Verdana"/>
          <w:sz w:val="20"/>
          <w:szCs w:val="20"/>
          <w:lang w:val="es-CR"/>
        </w:rPr>
        <w:t xml:space="preserve">de las víctimas desaparecidas: </w:t>
      </w:r>
      <w:r w:rsidR="00D34CD7" w:rsidRPr="008D0846">
        <w:rPr>
          <w:rFonts w:ascii="Verdana" w:eastAsia="Times New Roman" w:hAnsi="Verdana"/>
          <w:i/>
          <w:sz w:val="20"/>
          <w:szCs w:val="20"/>
        </w:rPr>
        <w:t>Nitza Paola Alvarado Espinoza,</w:t>
      </w:r>
      <w:r w:rsidR="00D34CD7" w:rsidRPr="008D0846">
        <w:rPr>
          <w:rFonts w:ascii="Verdana" w:hAnsi="Verdana"/>
          <w:sz w:val="20"/>
          <w:szCs w:val="20"/>
          <w:lang w:val="es-CR"/>
        </w:rPr>
        <w:t xml:space="preserve"> </w:t>
      </w:r>
      <w:r w:rsidR="00D34CD7" w:rsidRPr="008D0846">
        <w:rPr>
          <w:rFonts w:ascii="Verdana" w:eastAsia="Times New Roman" w:hAnsi="Verdana"/>
          <w:i/>
          <w:sz w:val="20"/>
          <w:szCs w:val="20"/>
        </w:rPr>
        <w:t>José Ángel Alvarado Herrera y Rocío Irene Alvarado</w:t>
      </w:r>
      <w:r w:rsidR="001105C4" w:rsidRPr="008D0846">
        <w:rPr>
          <w:rFonts w:ascii="Verdana" w:eastAsia="Times New Roman" w:hAnsi="Verdana"/>
          <w:i/>
          <w:sz w:val="20"/>
          <w:szCs w:val="20"/>
        </w:rPr>
        <w:t xml:space="preserve"> Reyes</w:t>
      </w:r>
      <w:r w:rsidR="00D34CD7" w:rsidRPr="008D0846">
        <w:rPr>
          <w:rFonts w:ascii="Verdana" w:hAnsi="Verdana"/>
          <w:sz w:val="20"/>
          <w:szCs w:val="20"/>
          <w:lang w:val="es-CR"/>
        </w:rPr>
        <w:t xml:space="preserve">. </w:t>
      </w:r>
      <w:r w:rsidRPr="00AB43D9">
        <w:rPr>
          <w:rFonts w:ascii="Verdana" w:hAnsi="Verdana" w:cs="Times New Roman"/>
          <w:sz w:val="20"/>
          <w:szCs w:val="20"/>
          <w:lang w:val="es-CR"/>
        </w:rPr>
        <w:t xml:space="preserve">El monto establecido por la Corte deberá ser entregado en el plazo de un año a partir de la notificación de la </w:t>
      </w:r>
      <w:r w:rsidR="001105C4" w:rsidRPr="003003CE">
        <w:rPr>
          <w:rFonts w:ascii="Verdana" w:hAnsi="Verdana" w:cs="Times New Roman"/>
          <w:sz w:val="20"/>
          <w:szCs w:val="20"/>
          <w:lang w:val="es-CR"/>
        </w:rPr>
        <w:t xml:space="preserve">presente </w:t>
      </w:r>
      <w:r w:rsidRPr="00125E41">
        <w:rPr>
          <w:rFonts w:ascii="Verdana" w:hAnsi="Verdana" w:cs="Times New Roman"/>
          <w:sz w:val="20"/>
          <w:szCs w:val="20"/>
          <w:lang w:val="es-CR"/>
        </w:rPr>
        <w:t>Sentencia</w:t>
      </w:r>
      <w:r w:rsidR="003003CE" w:rsidRPr="007460FD">
        <w:rPr>
          <w:rStyle w:val="FootnoteReference"/>
          <w:rFonts w:ascii="Verdana" w:hAnsi="Verdana" w:cs="Times New Roman"/>
          <w:sz w:val="20"/>
          <w:szCs w:val="20"/>
          <w:lang w:val="es-CR"/>
        </w:rPr>
        <w:footnoteReference w:id="575"/>
      </w:r>
      <w:r w:rsidR="00EB1A11">
        <w:rPr>
          <w:rFonts w:ascii="Verdana" w:hAnsi="Verdana" w:cs="Times New Roman"/>
          <w:sz w:val="20"/>
          <w:szCs w:val="20"/>
          <w:lang w:val="es-CR"/>
        </w:rPr>
        <w:t>,</w:t>
      </w:r>
      <w:r w:rsidRPr="005F54F6">
        <w:rPr>
          <w:rFonts w:ascii="Verdana" w:hAnsi="Verdana" w:cs="Times New Roman"/>
          <w:sz w:val="20"/>
          <w:szCs w:val="20"/>
          <w:lang w:val="es-CR"/>
        </w:rPr>
        <w:t xml:space="preserve">  </w:t>
      </w:r>
    </w:p>
    <w:p w14:paraId="30C47163" w14:textId="69E4D2E5" w:rsidR="003564A3" w:rsidRPr="008D0846" w:rsidRDefault="008D073B" w:rsidP="00CF59F3">
      <w:pPr>
        <w:widowControl w:val="0"/>
        <w:numPr>
          <w:ilvl w:val="0"/>
          <w:numId w:val="4"/>
        </w:numPr>
        <w:tabs>
          <w:tab w:val="left" w:pos="567"/>
        </w:tabs>
        <w:autoSpaceDE w:val="0"/>
        <w:autoSpaceDN w:val="0"/>
        <w:adjustRightInd w:val="0"/>
        <w:spacing w:before="120" w:after="120" w:line="240" w:lineRule="auto"/>
        <w:ind w:left="0" w:firstLine="0"/>
        <w:jc w:val="both"/>
        <w:textAlignment w:val="baseline"/>
        <w:rPr>
          <w:rFonts w:ascii="Verdana" w:hAnsi="Verdana"/>
          <w:sz w:val="20"/>
          <w:szCs w:val="20"/>
        </w:rPr>
      </w:pPr>
      <w:r w:rsidRPr="008D0846">
        <w:rPr>
          <w:rFonts w:ascii="Verdana" w:hAnsi="Verdana"/>
          <w:sz w:val="20"/>
          <w:szCs w:val="20"/>
        </w:rPr>
        <w:t xml:space="preserve">Los montos dispuestos a favor de </w:t>
      </w:r>
      <w:r w:rsidR="009C73DC" w:rsidRPr="008D0846">
        <w:rPr>
          <w:rFonts w:ascii="Verdana" w:hAnsi="Verdana"/>
          <w:sz w:val="20"/>
          <w:szCs w:val="20"/>
        </w:rPr>
        <w:t xml:space="preserve">las </w:t>
      </w:r>
      <w:r w:rsidRPr="008D0846">
        <w:rPr>
          <w:rFonts w:ascii="Verdana" w:hAnsi="Verdana"/>
          <w:sz w:val="20"/>
          <w:szCs w:val="20"/>
        </w:rPr>
        <w:t>personas desaparecidas forzadamente (</w:t>
      </w:r>
      <w:r w:rsidRPr="008D0846">
        <w:rPr>
          <w:rFonts w:ascii="Verdana" w:hAnsi="Verdana"/>
          <w:i/>
          <w:iCs/>
          <w:sz w:val="20"/>
          <w:szCs w:val="20"/>
        </w:rPr>
        <w:t xml:space="preserve">supra </w:t>
      </w:r>
      <w:r w:rsidRPr="008D0846">
        <w:rPr>
          <w:rFonts w:ascii="Verdana" w:hAnsi="Verdana"/>
          <w:sz w:val="20"/>
          <w:szCs w:val="20"/>
        </w:rPr>
        <w:t>párr</w:t>
      </w:r>
      <w:r w:rsidR="00207613">
        <w:rPr>
          <w:rFonts w:ascii="Verdana" w:hAnsi="Verdana"/>
          <w:sz w:val="20"/>
          <w:szCs w:val="20"/>
        </w:rPr>
        <w:t>s</w:t>
      </w:r>
      <w:r w:rsidR="002633C8">
        <w:rPr>
          <w:rFonts w:ascii="Verdana" w:hAnsi="Verdana"/>
          <w:sz w:val="20"/>
          <w:szCs w:val="20"/>
        </w:rPr>
        <w:t>.</w:t>
      </w:r>
      <w:r w:rsidRPr="008D0846">
        <w:rPr>
          <w:rFonts w:ascii="Verdana" w:hAnsi="Verdana"/>
          <w:sz w:val="20"/>
          <w:szCs w:val="20"/>
        </w:rPr>
        <w:t xml:space="preserve"> </w:t>
      </w:r>
      <w:r w:rsidR="002633C8" w:rsidRPr="008D0846">
        <w:rPr>
          <w:rFonts w:ascii="Verdana" w:hAnsi="Verdana"/>
          <w:sz w:val="20"/>
          <w:szCs w:val="20"/>
        </w:rPr>
        <w:t>3</w:t>
      </w:r>
      <w:r w:rsidR="00207613">
        <w:rPr>
          <w:rFonts w:ascii="Verdana" w:hAnsi="Verdana"/>
          <w:sz w:val="20"/>
          <w:szCs w:val="20"/>
        </w:rPr>
        <w:t>45 y 3</w:t>
      </w:r>
      <w:r w:rsidR="002633C8" w:rsidRPr="008D0846">
        <w:rPr>
          <w:rFonts w:ascii="Verdana" w:hAnsi="Verdana"/>
          <w:sz w:val="20"/>
          <w:szCs w:val="20"/>
        </w:rPr>
        <w:t>50</w:t>
      </w:r>
      <w:r w:rsidRPr="008D0846">
        <w:rPr>
          <w:rFonts w:ascii="Verdana" w:hAnsi="Verdana"/>
          <w:sz w:val="20"/>
          <w:szCs w:val="20"/>
        </w:rPr>
        <w:t>)  deben ser liquidadas de acuerdo con los siguientes criterios</w:t>
      </w:r>
      <w:r w:rsidR="001105C4" w:rsidRPr="008D0846">
        <w:rPr>
          <w:rStyle w:val="FootnoteReference"/>
          <w:rFonts w:ascii="Verdana" w:hAnsi="Verdana"/>
          <w:sz w:val="20"/>
          <w:szCs w:val="20"/>
        </w:rPr>
        <w:footnoteReference w:id="576"/>
      </w:r>
      <w:r w:rsidRPr="008D0846">
        <w:rPr>
          <w:rFonts w:ascii="Verdana" w:hAnsi="Verdana"/>
          <w:sz w:val="20"/>
          <w:szCs w:val="20"/>
        </w:rPr>
        <w:t xml:space="preserve">:  </w:t>
      </w:r>
    </w:p>
    <w:p w14:paraId="656361AC" w14:textId="30DB50D2" w:rsidR="008D073B" w:rsidRPr="008D0846" w:rsidRDefault="008D073B" w:rsidP="00CF59F3">
      <w:pPr>
        <w:pStyle w:val="BodyText"/>
        <w:numPr>
          <w:ilvl w:val="1"/>
          <w:numId w:val="104"/>
        </w:numPr>
        <w:overflowPunct w:val="0"/>
        <w:autoSpaceDE w:val="0"/>
        <w:autoSpaceDN w:val="0"/>
        <w:spacing w:before="120" w:line="240" w:lineRule="auto"/>
        <w:ind w:left="720"/>
        <w:rPr>
          <w:sz w:val="20"/>
          <w:szCs w:val="20"/>
        </w:rPr>
      </w:pPr>
      <w:r w:rsidRPr="008D0846">
        <w:rPr>
          <w:sz w:val="20"/>
          <w:szCs w:val="20"/>
        </w:rPr>
        <w:t xml:space="preserve">el cincuenta por ciento (50%) de la indemnización se repartirá, por partes iguales, entre los hijos de la víctima. Si uno o varios de los hijos de la víctima hubieren fallecido ya, la parte que le o les corresponda será entregada a sus hijos o cónyuges si existieren, o si no existieren, la parte que le o les corresponda acrecerá a las de los demás hijos de la misma víctima; </w:t>
      </w:r>
    </w:p>
    <w:p w14:paraId="10EC5822" w14:textId="68B84979" w:rsidR="008D073B" w:rsidRPr="008D0846" w:rsidRDefault="008D073B" w:rsidP="00CF59F3">
      <w:pPr>
        <w:pStyle w:val="BodyText"/>
        <w:numPr>
          <w:ilvl w:val="1"/>
          <w:numId w:val="104"/>
        </w:numPr>
        <w:overflowPunct w:val="0"/>
        <w:autoSpaceDE w:val="0"/>
        <w:autoSpaceDN w:val="0"/>
        <w:spacing w:before="120" w:line="240" w:lineRule="auto"/>
        <w:ind w:left="720"/>
        <w:rPr>
          <w:sz w:val="20"/>
          <w:szCs w:val="20"/>
        </w:rPr>
      </w:pPr>
      <w:r w:rsidRPr="008D0846">
        <w:rPr>
          <w:sz w:val="20"/>
          <w:szCs w:val="20"/>
        </w:rPr>
        <w:t>el cincuenta por ciento (50%) de la indemnización deberá ser entregada a quien fuera cónyuge, compañero o compañera permanente de la víctima, al momento del inicio de la desaparición forzada de esta;</w:t>
      </w:r>
    </w:p>
    <w:p w14:paraId="029C35B6" w14:textId="00E7A836" w:rsidR="008D073B" w:rsidRPr="008D0846" w:rsidRDefault="008D073B" w:rsidP="00CF59F3">
      <w:pPr>
        <w:pStyle w:val="BodyText"/>
        <w:numPr>
          <w:ilvl w:val="1"/>
          <w:numId w:val="104"/>
        </w:numPr>
        <w:overflowPunct w:val="0"/>
        <w:autoSpaceDE w:val="0"/>
        <w:autoSpaceDN w:val="0"/>
        <w:spacing w:before="120" w:line="240" w:lineRule="auto"/>
        <w:ind w:left="720"/>
        <w:rPr>
          <w:sz w:val="20"/>
          <w:szCs w:val="20"/>
        </w:rPr>
      </w:pPr>
      <w:r w:rsidRPr="008D0846">
        <w:rPr>
          <w:sz w:val="20"/>
          <w:szCs w:val="20"/>
        </w:rPr>
        <w:t>en el evento que no existieren familiares en alguna de las categorías definidas en los literales anteriores, lo que hubiere correspondido a los familiares ubicados en esa categoría, acrecerá a la parte que le corresponda a la otra categoría;</w:t>
      </w:r>
    </w:p>
    <w:p w14:paraId="5060422C" w14:textId="522CDFC1" w:rsidR="008D073B" w:rsidRPr="008D0846" w:rsidRDefault="008D073B" w:rsidP="00CF59F3">
      <w:pPr>
        <w:pStyle w:val="BodyText"/>
        <w:numPr>
          <w:ilvl w:val="1"/>
          <w:numId w:val="104"/>
        </w:numPr>
        <w:overflowPunct w:val="0"/>
        <w:autoSpaceDE w:val="0"/>
        <w:autoSpaceDN w:val="0"/>
        <w:spacing w:before="120" w:line="240" w:lineRule="auto"/>
        <w:ind w:left="720"/>
        <w:rPr>
          <w:sz w:val="20"/>
          <w:szCs w:val="20"/>
        </w:rPr>
      </w:pPr>
      <w:r w:rsidRPr="008D0846">
        <w:rPr>
          <w:sz w:val="20"/>
          <w:szCs w:val="20"/>
        </w:rPr>
        <w:t>en el caso de que la víctima no tuviere hijos ni cónyuge ni compañera o compañero permanente, la indemnización del daño material será entregado a sus padres, y</w:t>
      </w:r>
    </w:p>
    <w:p w14:paraId="7C43428D" w14:textId="339BEA75" w:rsidR="009C73DC" w:rsidRPr="00E42B72" w:rsidRDefault="008D073B" w:rsidP="00CF59F3">
      <w:pPr>
        <w:pStyle w:val="BodyText"/>
        <w:numPr>
          <w:ilvl w:val="1"/>
          <w:numId w:val="104"/>
        </w:numPr>
        <w:overflowPunct w:val="0"/>
        <w:autoSpaceDE w:val="0"/>
        <w:autoSpaceDN w:val="0"/>
        <w:spacing w:before="120" w:line="240" w:lineRule="auto"/>
        <w:ind w:left="720"/>
        <w:rPr>
          <w:sz w:val="20"/>
          <w:szCs w:val="20"/>
          <w:lang w:eastAsia="en-US"/>
        </w:rPr>
      </w:pPr>
      <w:r w:rsidRPr="008D0846">
        <w:rPr>
          <w:sz w:val="20"/>
          <w:szCs w:val="20"/>
        </w:rPr>
        <w:t xml:space="preserve">en el evento que no existieren familiares en alguna o algunas de las categorías definidas en los literales anteriores, la indemnización deberá ser pagada a los herederos de </w:t>
      </w:r>
      <w:r w:rsidRPr="00E42B72">
        <w:rPr>
          <w:sz w:val="20"/>
          <w:szCs w:val="20"/>
        </w:rPr>
        <w:t>acuerdo con el derecho sucesorio interno.</w:t>
      </w:r>
    </w:p>
    <w:p w14:paraId="218B70B8" w14:textId="0A7B7C3A" w:rsidR="0030739A" w:rsidRPr="00E42B72" w:rsidRDefault="0030739A" w:rsidP="00CF59F3">
      <w:pPr>
        <w:widowControl w:val="0"/>
        <w:numPr>
          <w:ilvl w:val="0"/>
          <w:numId w:val="4"/>
        </w:numPr>
        <w:tabs>
          <w:tab w:val="left" w:pos="567"/>
        </w:tabs>
        <w:autoSpaceDE w:val="0"/>
        <w:autoSpaceDN w:val="0"/>
        <w:adjustRightInd w:val="0"/>
        <w:spacing w:before="120" w:after="120" w:line="240" w:lineRule="auto"/>
        <w:ind w:left="0" w:firstLine="0"/>
        <w:jc w:val="both"/>
        <w:textAlignment w:val="baseline"/>
        <w:rPr>
          <w:rFonts w:ascii="Verdana" w:hAnsi="Verdana" w:cs="Times New Roman"/>
          <w:sz w:val="20"/>
          <w:szCs w:val="20"/>
          <w:lang w:val="es-CR"/>
        </w:rPr>
      </w:pPr>
      <w:r w:rsidRPr="00E42B72">
        <w:rPr>
          <w:rFonts w:ascii="Verdana" w:hAnsi="Verdana" w:cs="Times New Roman"/>
          <w:sz w:val="20"/>
          <w:szCs w:val="20"/>
          <w:lang w:val="es-CR"/>
        </w:rPr>
        <w:t>Adicionalmente, en vista de la</w:t>
      </w:r>
      <w:r w:rsidR="00AE53D3" w:rsidRPr="00E42B72">
        <w:rPr>
          <w:rFonts w:ascii="Verdana" w:hAnsi="Verdana" w:cs="Times New Roman"/>
          <w:sz w:val="20"/>
          <w:szCs w:val="20"/>
          <w:lang w:val="es-CR"/>
        </w:rPr>
        <w:t>s</w:t>
      </w:r>
      <w:r w:rsidRPr="00E42B72">
        <w:rPr>
          <w:rFonts w:ascii="Verdana" w:hAnsi="Verdana" w:cs="Times New Roman"/>
          <w:sz w:val="20"/>
          <w:szCs w:val="20"/>
          <w:lang w:val="es-CR"/>
        </w:rPr>
        <w:t xml:space="preserve"> violaci</w:t>
      </w:r>
      <w:r w:rsidR="00AE53D3" w:rsidRPr="00E42B72">
        <w:rPr>
          <w:rFonts w:ascii="Verdana" w:hAnsi="Verdana" w:cs="Times New Roman"/>
          <w:sz w:val="20"/>
          <w:szCs w:val="20"/>
          <w:lang w:val="es-CR"/>
        </w:rPr>
        <w:t>o</w:t>
      </w:r>
      <w:r w:rsidRPr="00E42B72">
        <w:rPr>
          <w:rFonts w:ascii="Verdana" w:hAnsi="Verdana" w:cs="Times New Roman"/>
          <w:sz w:val="20"/>
          <w:szCs w:val="20"/>
          <w:lang w:val="es-CR"/>
        </w:rPr>
        <w:t>n</w:t>
      </w:r>
      <w:r w:rsidR="00AE53D3" w:rsidRPr="00E42B72">
        <w:rPr>
          <w:rFonts w:ascii="Verdana" w:hAnsi="Verdana" w:cs="Times New Roman"/>
          <w:sz w:val="20"/>
          <w:szCs w:val="20"/>
          <w:lang w:val="es-CR"/>
        </w:rPr>
        <w:t>es</w:t>
      </w:r>
      <w:r w:rsidRPr="00E42B72">
        <w:rPr>
          <w:rFonts w:ascii="Verdana" w:hAnsi="Verdana" w:cs="Times New Roman"/>
          <w:sz w:val="20"/>
          <w:szCs w:val="20"/>
          <w:lang w:val="es-CR"/>
        </w:rPr>
        <w:t xml:space="preserve"> acreditada</w:t>
      </w:r>
      <w:r w:rsidR="00AE53D3" w:rsidRPr="00E42B72">
        <w:rPr>
          <w:rFonts w:ascii="Verdana" w:hAnsi="Verdana" w:cs="Times New Roman"/>
          <w:sz w:val="20"/>
          <w:szCs w:val="20"/>
          <w:lang w:val="es-CR"/>
        </w:rPr>
        <w:t>s</w:t>
      </w:r>
      <w:r w:rsidRPr="00E42B72">
        <w:rPr>
          <w:rFonts w:ascii="Verdana" w:hAnsi="Verdana" w:cs="Times New Roman"/>
          <w:sz w:val="20"/>
          <w:szCs w:val="20"/>
          <w:lang w:val="es-CR"/>
        </w:rPr>
        <w:t xml:space="preserve"> en perjuicio de los familiares, que derivaron en afectaciones en su integridad física, moral y psicológica, </w:t>
      </w:r>
      <w:r w:rsidR="00125E41" w:rsidRPr="00E42B72">
        <w:rPr>
          <w:rFonts w:ascii="Verdana" w:hAnsi="Verdana" w:cs="Times New Roman"/>
          <w:sz w:val="20"/>
          <w:szCs w:val="20"/>
        </w:rPr>
        <w:t xml:space="preserve">de conformidad con los criterios desarrollados sobre el concepto de daño inmaterial, </w:t>
      </w:r>
      <w:r w:rsidRPr="00E42B72">
        <w:rPr>
          <w:rFonts w:ascii="Verdana" w:hAnsi="Verdana" w:cs="Times New Roman"/>
          <w:sz w:val="20"/>
          <w:szCs w:val="20"/>
          <w:lang w:val="es-CR"/>
        </w:rPr>
        <w:t>la Corte fija en equidad, las siguientes sumas de dinero</w:t>
      </w:r>
      <w:r w:rsidRPr="00E42B72">
        <w:rPr>
          <w:rStyle w:val="FootnoteReference"/>
          <w:rFonts w:ascii="Verdana" w:hAnsi="Verdana"/>
          <w:sz w:val="20"/>
          <w:szCs w:val="20"/>
        </w:rPr>
        <w:footnoteReference w:id="577"/>
      </w:r>
      <w:r w:rsidRPr="00E42B72">
        <w:rPr>
          <w:rFonts w:ascii="Verdana" w:hAnsi="Verdana" w:cs="Times New Roman"/>
          <w:sz w:val="20"/>
          <w:szCs w:val="20"/>
          <w:lang w:val="es-CR"/>
        </w:rPr>
        <w:t xml:space="preserve">: </w:t>
      </w:r>
    </w:p>
    <w:p w14:paraId="3D1AB33B" w14:textId="58DC858B" w:rsidR="003C2E5D" w:rsidRPr="00842C80" w:rsidRDefault="008C3A57" w:rsidP="008C3A57">
      <w:pPr>
        <w:pStyle w:val="ListParagraph"/>
        <w:numPr>
          <w:ilvl w:val="0"/>
          <w:numId w:val="53"/>
        </w:numPr>
        <w:spacing w:before="120" w:after="120" w:line="240" w:lineRule="auto"/>
        <w:contextualSpacing w:val="0"/>
        <w:jc w:val="both"/>
        <w:rPr>
          <w:rFonts w:ascii="Verdana" w:hAnsi="Verdana"/>
          <w:sz w:val="20"/>
          <w:szCs w:val="20"/>
          <w:lang w:val="es-CR"/>
        </w:rPr>
      </w:pPr>
      <w:r w:rsidRPr="000F7594">
        <w:rPr>
          <w:rFonts w:ascii="Verdana" w:hAnsi="Verdana"/>
          <w:sz w:val="20"/>
          <w:szCs w:val="20"/>
          <w:lang w:val="es-CR"/>
        </w:rPr>
        <w:t xml:space="preserve">Respecto del grupo familiar de </w:t>
      </w:r>
      <w:r w:rsidRPr="008D0846">
        <w:rPr>
          <w:rFonts w:ascii="Verdana" w:hAnsi="Verdana"/>
          <w:sz w:val="20"/>
          <w:szCs w:val="20"/>
          <w:lang w:val="es-CR"/>
        </w:rPr>
        <w:t>Nitza Paola Alvarado Espinoza</w:t>
      </w:r>
      <w:r w:rsidRPr="00842C80">
        <w:rPr>
          <w:rFonts w:ascii="Verdana" w:hAnsi="Verdana"/>
          <w:sz w:val="20"/>
          <w:szCs w:val="20"/>
          <w:lang w:val="es-CR"/>
        </w:rPr>
        <w:t xml:space="preserve">, la suma </w:t>
      </w:r>
      <w:r w:rsidRPr="008D0846">
        <w:rPr>
          <w:rFonts w:ascii="Verdana" w:hAnsi="Verdana"/>
          <w:sz w:val="20"/>
          <w:szCs w:val="20"/>
          <w:lang w:val="es-CR"/>
        </w:rPr>
        <w:t xml:space="preserve">de </w:t>
      </w:r>
      <w:r w:rsidR="00CF59F3" w:rsidRPr="008D0846">
        <w:rPr>
          <w:rFonts w:ascii="Verdana" w:hAnsi="Verdana"/>
          <w:sz w:val="20"/>
          <w:szCs w:val="20"/>
          <w:lang w:val="es-CR"/>
        </w:rPr>
        <w:t>USD</w:t>
      </w:r>
      <w:r w:rsidRPr="008D0846">
        <w:rPr>
          <w:rFonts w:ascii="Verdana" w:hAnsi="Verdana"/>
          <w:sz w:val="20"/>
          <w:szCs w:val="20"/>
          <w:lang w:val="es-CR"/>
        </w:rPr>
        <w:t>$</w:t>
      </w:r>
      <w:r w:rsidR="00F74BFF" w:rsidRPr="008D0846">
        <w:rPr>
          <w:rFonts w:ascii="Verdana" w:hAnsi="Verdana"/>
          <w:sz w:val="20"/>
          <w:szCs w:val="20"/>
          <w:lang w:val="es-CR"/>
        </w:rPr>
        <w:t>6</w:t>
      </w:r>
      <w:r w:rsidRPr="008D0846">
        <w:rPr>
          <w:rFonts w:ascii="Verdana" w:hAnsi="Verdana"/>
          <w:sz w:val="20"/>
          <w:szCs w:val="20"/>
          <w:lang w:val="es-CR"/>
        </w:rPr>
        <w:t>0,000</w:t>
      </w:r>
      <w:r w:rsidR="00CF59F3" w:rsidRPr="008D0846">
        <w:rPr>
          <w:rFonts w:ascii="Verdana" w:hAnsi="Verdana"/>
          <w:sz w:val="20"/>
          <w:szCs w:val="20"/>
          <w:lang w:val="es-CR"/>
        </w:rPr>
        <w:t xml:space="preserve"> (sesenta mil dólares de los Estados Unidos de América)</w:t>
      </w:r>
      <w:r w:rsidRPr="008D0846">
        <w:rPr>
          <w:rFonts w:ascii="Verdana" w:hAnsi="Verdana"/>
          <w:sz w:val="20"/>
          <w:szCs w:val="20"/>
          <w:lang w:val="es-CR"/>
        </w:rPr>
        <w:t xml:space="preserve"> para </w:t>
      </w:r>
      <w:r w:rsidRPr="00842C80">
        <w:rPr>
          <w:rFonts w:ascii="Verdana" w:hAnsi="Verdana"/>
          <w:sz w:val="20"/>
          <w:szCs w:val="20"/>
          <w:lang w:val="es-CR"/>
        </w:rPr>
        <w:t xml:space="preserve">para </w:t>
      </w:r>
      <w:r w:rsidRPr="008D0846">
        <w:rPr>
          <w:rFonts w:ascii="Verdana" w:hAnsi="Verdana"/>
          <w:sz w:val="20"/>
          <w:szCs w:val="20"/>
          <w:lang w:val="es-CR"/>
        </w:rPr>
        <w:t>María de Jesús Alvarado Espinoza</w:t>
      </w:r>
      <w:r w:rsidRPr="00842C80">
        <w:rPr>
          <w:rFonts w:ascii="Verdana" w:hAnsi="Verdana"/>
          <w:sz w:val="20"/>
          <w:szCs w:val="20"/>
          <w:lang w:val="es-CR"/>
        </w:rPr>
        <w:t xml:space="preserve"> (hermana); </w:t>
      </w:r>
      <w:r w:rsidR="00CF59F3" w:rsidRPr="008D0846">
        <w:rPr>
          <w:rFonts w:ascii="Verdana" w:hAnsi="Verdana"/>
          <w:sz w:val="20"/>
          <w:szCs w:val="20"/>
          <w:lang w:val="es-CR"/>
        </w:rPr>
        <w:t>USD</w:t>
      </w:r>
      <w:r w:rsidRPr="008D0846">
        <w:rPr>
          <w:rFonts w:ascii="Verdana" w:hAnsi="Verdana"/>
          <w:sz w:val="20"/>
          <w:szCs w:val="20"/>
          <w:lang w:val="es-CR"/>
        </w:rPr>
        <w:t>$</w:t>
      </w:r>
      <w:r w:rsidR="00F74BFF" w:rsidRPr="008D0846">
        <w:rPr>
          <w:rFonts w:ascii="Verdana" w:hAnsi="Verdana"/>
          <w:sz w:val="20"/>
          <w:szCs w:val="20"/>
          <w:lang w:val="es-CR"/>
        </w:rPr>
        <w:t>6</w:t>
      </w:r>
      <w:r w:rsidRPr="008D0846">
        <w:rPr>
          <w:rFonts w:ascii="Verdana" w:hAnsi="Verdana"/>
          <w:sz w:val="20"/>
          <w:szCs w:val="20"/>
          <w:lang w:val="es-CR"/>
        </w:rPr>
        <w:t xml:space="preserve">0,000 </w:t>
      </w:r>
      <w:r w:rsidR="00CF59F3" w:rsidRPr="008D0846">
        <w:rPr>
          <w:rFonts w:ascii="Verdana" w:hAnsi="Verdana"/>
          <w:sz w:val="20"/>
          <w:szCs w:val="20"/>
          <w:lang w:val="es-CR"/>
        </w:rPr>
        <w:t xml:space="preserve">(sesenta mil dólares de los Estados Unidos de América) </w:t>
      </w:r>
      <w:r w:rsidRPr="00842C80">
        <w:rPr>
          <w:rFonts w:ascii="Verdana" w:hAnsi="Verdana"/>
          <w:sz w:val="20"/>
          <w:szCs w:val="20"/>
          <w:lang w:val="es-CR"/>
        </w:rPr>
        <w:t>para cada una de sus hijas: M.P.A.E., N.S.A.E., y D.A.E.;</w:t>
      </w:r>
      <w:r w:rsidR="00CF59F3" w:rsidRPr="008D0846">
        <w:rPr>
          <w:rFonts w:ascii="Verdana" w:hAnsi="Verdana"/>
          <w:sz w:val="20"/>
          <w:szCs w:val="20"/>
          <w:lang w:val="es-CR"/>
        </w:rPr>
        <w:t xml:space="preserve"> USD</w:t>
      </w:r>
      <w:r w:rsidRPr="008D0846">
        <w:rPr>
          <w:rFonts w:ascii="Verdana" w:hAnsi="Verdana"/>
          <w:sz w:val="20"/>
          <w:szCs w:val="20"/>
          <w:lang w:val="es-CR"/>
        </w:rPr>
        <w:t>$</w:t>
      </w:r>
      <w:r w:rsidR="00F74BFF" w:rsidRPr="008D0846">
        <w:rPr>
          <w:rFonts w:ascii="Verdana" w:hAnsi="Verdana"/>
          <w:sz w:val="20"/>
          <w:szCs w:val="20"/>
          <w:lang w:val="es-CR"/>
        </w:rPr>
        <w:t>50</w:t>
      </w:r>
      <w:r w:rsidRPr="008D0846">
        <w:rPr>
          <w:rFonts w:ascii="Verdana" w:hAnsi="Verdana"/>
          <w:sz w:val="20"/>
          <w:szCs w:val="20"/>
          <w:lang w:val="es-CR"/>
        </w:rPr>
        <w:t>,0</w:t>
      </w:r>
      <w:r w:rsidR="00CF59F3" w:rsidRPr="008D0846">
        <w:rPr>
          <w:rFonts w:ascii="Verdana" w:hAnsi="Verdana"/>
          <w:sz w:val="20"/>
          <w:szCs w:val="20"/>
          <w:lang w:val="es-CR"/>
        </w:rPr>
        <w:t>00 (cincuenta mil dólares de</w:t>
      </w:r>
      <w:r w:rsidR="009E0FFD">
        <w:rPr>
          <w:rFonts w:ascii="Verdana" w:hAnsi="Verdana"/>
          <w:sz w:val="20"/>
          <w:szCs w:val="20"/>
          <w:lang w:val="es-CR"/>
        </w:rPr>
        <w:t xml:space="preserve"> los Estados Unidos de América)</w:t>
      </w:r>
      <w:r w:rsidRPr="00842C80">
        <w:rPr>
          <w:rFonts w:ascii="Verdana" w:hAnsi="Verdana"/>
          <w:sz w:val="20"/>
          <w:szCs w:val="20"/>
          <w:lang w:val="es-CR"/>
        </w:rPr>
        <w:t xml:space="preserve"> para cada uno de sus padres</w:t>
      </w:r>
      <w:r w:rsidR="00AE53D3" w:rsidRPr="000F7594">
        <w:rPr>
          <w:rFonts w:ascii="Verdana" w:hAnsi="Verdana"/>
          <w:sz w:val="20"/>
          <w:szCs w:val="20"/>
          <w:lang w:val="es-CR"/>
        </w:rPr>
        <w:t>:</w:t>
      </w:r>
      <w:r w:rsidRPr="000F7594">
        <w:rPr>
          <w:rFonts w:ascii="Verdana" w:hAnsi="Verdana"/>
          <w:sz w:val="20"/>
          <w:szCs w:val="20"/>
          <w:lang w:val="es-CR"/>
        </w:rPr>
        <w:t xml:space="preserve"> María de Jesús Espinoza Peinado </w:t>
      </w:r>
      <w:r w:rsidR="00AE53D3" w:rsidRPr="000F7594">
        <w:rPr>
          <w:rFonts w:ascii="Verdana" w:hAnsi="Verdana"/>
          <w:sz w:val="20"/>
          <w:szCs w:val="20"/>
          <w:lang w:val="es-CR"/>
        </w:rPr>
        <w:t>(madre</w:t>
      </w:r>
      <w:r w:rsidR="00AE53D3" w:rsidRPr="00EC6AC8">
        <w:rPr>
          <w:rFonts w:ascii="Verdana" w:hAnsi="Verdana"/>
          <w:sz w:val="20"/>
          <w:szCs w:val="20"/>
          <w:lang w:val="es-CR"/>
        </w:rPr>
        <w:t xml:space="preserve">) </w:t>
      </w:r>
      <w:r w:rsidRPr="005740DE">
        <w:rPr>
          <w:rFonts w:ascii="Verdana" w:hAnsi="Verdana"/>
          <w:sz w:val="20"/>
          <w:szCs w:val="20"/>
          <w:lang w:val="es-CR"/>
        </w:rPr>
        <w:t xml:space="preserve">y Ascensión Alvarado Fabela (padre), en relación con lo resuelto en los párrafos </w:t>
      </w:r>
      <w:r w:rsidR="009A0068">
        <w:rPr>
          <w:rFonts w:ascii="Verdana" w:hAnsi="Verdana"/>
          <w:sz w:val="20"/>
          <w:szCs w:val="20"/>
          <w:lang w:val="es-CR"/>
        </w:rPr>
        <w:t>265</w:t>
      </w:r>
      <w:r w:rsidR="000D65FE">
        <w:rPr>
          <w:rFonts w:ascii="Verdana" w:hAnsi="Verdana"/>
          <w:sz w:val="20"/>
          <w:szCs w:val="20"/>
        </w:rPr>
        <w:t>,</w:t>
      </w:r>
      <w:r w:rsidRPr="00E173D9">
        <w:rPr>
          <w:rFonts w:ascii="Verdana" w:hAnsi="Verdana"/>
          <w:sz w:val="20"/>
          <w:szCs w:val="20"/>
        </w:rPr>
        <w:t xml:space="preserve"> </w:t>
      </w:r>
      <w:r w:rsidR="009A0068">
        <w:rPr>
          <w:rFonts w:ascii="Verdana" w:hAnsi="Verdana"/>
          <w:sz w:val="20"/>
          <w:szCs w:val="20"/>
        </w:rPr>
        <w:t>267</w:t>
      </w:r>
      <w:r w:rsidRPr="00842C80">
        <w:rPr>
          <w:rFonts w:ascii="Verdana" w:hAnsi="Verdana"/>
          <w:sz w:val="20"/>
          <w:szCs w:val="20"/>
        </w:rPr>
        <w:t xml:space="preserve"> </w:t>
      </w:r>
      <w:r w:rsidR="000D65FE">
        <w:rPr>
          <w:rFonts w:ascii="Verdana" w:hAnsi="Verdana"/>
          <w:sz w:val="20"/>
          <w:szCs w:val="20"/>
        </w:rPr>
        <w:t xml:space="preserve">y 283 </w:t>
      </w:r>
      <w:r w:rsidRPr="00842C80">
        <w:rPr>
          <w:rFonts w:ascii="Verdana" w:hAnsi="Verdana"/>
          <w:sz w:val="20"/>
          <w:szCs w:val="20"/>
          <w:lang w:val="es-CR"/>
        </w:rPr>
        <w:t>de esta Sentencia</w:t>
      </w:r>
      <w:r w:rsidR="000F7594">
        <w:rPr>
          <w:rFonts w:ascii="Verdana" w:hAnsi="Verdana"/>
          <w:sz w:val="20"/>
          <w:szCs w:val="20"/>
          <w:lang w:val="es-CR"/>
        </w:rPr>
        <w:t>;</w:t>
      </w:r>
    </w:p>
    <w:p w14:paraId="7D700BAC" w14:textId="391EBAB9" w:rsidR="0030739A" w:rsidRPr="00842C80" w:rsidRDefault="003C2E5D">
      <w:pPr>
        <w:spacing w:before="120" w:after="120" w:line="240" w:lineRule="auto"/>
        <w:ind w:left="708"/>
        <w:jc w:val="both"/>
        <w:rPr>
          <w:rFonts w:ascii="Verdana" w:hAnsi="Verdana"/>
          <w:sz w:val="20"/>
          <w:szCs w:val="20"/>
          <w:lang w:val="es-CR"/>
        </w:rPr>
      </w:pPr>
      <w:r w:rsidRPr="00842C80">
        <w:rPr>
          <w:rFonts w:ascii="Verdana" w:hAnsi="Verdana"/>
          <w:sz w:val="20"/>
          <w:szCs w:val="20"/>
          <w:lang w:val="es-CR"/>
        </w:rPr>
        <w:lastRenderedPageBreak/>
        <w:t>i.a</w:t>
      </w:r>
      <w:r w:rsidR="00707EE0" w:rsidRPr="00842C80">
        <w:rPr>
          <w:rFonts w:ascii="Verdana" w:hAnsi="Verdana"/>
          <w:sz w:val="20"/>
          <w:szCs w:val="20"/>
          <w:lang w:val="es-CR"/>
        </w:rPr>
        <w:t xml:space="preserve"> </w:t>
      </w:r>
      <w:r w:rsidR="008C3A57" w:rsidRPr="00842C80">
        <w:rPr>
          <w:rFonts w:ascii="Verdana" w:hAnsi="Verdana"/>
          <w:sz w:val="20"/>
          <w:szCs w:val="20"/>
          <w:lang w:val="es-CR"/>
        </w:rPr>
        <w:t xml:space="preserve">La cantidad de </w:t>
      </w:r>
      <w:r w:rsidR="00700E63" w:rsidRPr="008D0846">
        <w:rPr>
          <w:rFonts w:ascii="Verdana" w:hAnsi="Verdana"/>
          <w:sz w:val="20"/>
          <w:szCs w:val="20"/>
          <w:lang w:val="es-CR"/>
        </w:rPr>
        <w:t>USD$</w:t>
      </w:r>
      <w:r w:rsidR="008C3A57" w:rsidRPr="008D0846">
        <w:rPr>
          <w:rFonts w:ascii="Verdana" w:hAnsi="Verdana"/>
          <w:sz w:val="20"/>
          <w:szCs w:val="20"/>
          <w:lang w:val="es-CR"/>
        </w:rPr>
        <w:t>20,000 (veinte mil dólares de los Estados Unidos de América)</w:t>
      </w:r>
      <w:r w:rsidR="008C3A57" w:rsidRPr="00842C80">
        <w:rPr>
          <w:rFonts w:ascii="Verdana" w:hAnsi="Verdana"/>
          <w:sz w:val="20"/>
          <w:szCs w:val="20"/>
          <w:lang w:val="es-CR"/>
        </w:rPr>
        <w:t>, para el grupo familiar de</w:t>
      </w:r>
      <w:r w:rsidR="008C3A57" w:rsidRPr="008D0846">
        <w:rPr>
          <w:rFonts w:ascii="Verdana" w:hAnsi="Verdana"/>
          <w:sz w:val="20"/>
          <w:szCs w:val="20"/>
          <w:lang w:val="es-CR"/>
        </w:rPr>
        <w:t xml:space="preserve"> </w:t>
      </w:r>
      <w:r w:rsidR="008C3A57" w:rsidRPr="00842C80">
        <w:rPr>
          <w:rFonts w:ascii="Verdana" w:hAnsi="Verdana"/>
          <w:sz w:val="20"/>
          <w:szCs w:val="20"/>
          <w:lang w:val="es-CR"/>
        </w:rPr>
        <w:t xml:space="preserve">Rigoberto Ambriz Marrufo (cuñado) y R.A.A., I.A.A.A., J.E.A.A. y A.Y.A.A. (sobrinos), en relación con lo resuelto en el párrafo </w:t>
      </w:r>
      <w:r w:rsidR="009A0068">
        <w:rPr>
          <w:rFonts w:ascii="Verdana" w:hAnsi="Verdana"/>
          <w:sz w:val="20"/>
          <w:szCs w:val="20"/>
          <w:lang w:val="es-CR"/>
        </w:rPr>
        <w:t>283</w:t>
      </w:r>
      <w:r w:rsidR="008C3A57" w:rsidRPr="00842C80">
        <w:rPr>
          <w:rFonts w:ascii="Verdana" w:hAnsi="Verdana"/>
          <w:sz w:val="20"/>
          <w:szCs w:val="20"/>
          <w:lang w:val="es-CR"/>
        </w:rPr>
        <w:t xml:space="preserve"> de esta Sentencia</w:t>
      </w:r>
      <w:r w:rsidR="000F7594">
        <w:rPr>
          <w:rFonts w:ascii="Verdana" w:hAnsi="Verdana"/>
          <w:sz w:val="20"/>
          <w:szCs w:val="20"/>
          <w:lang w:val="es-CR"/>
        </w:rPr>
        <w:t>.</w:t>
      </w:r>
      <w:r w:rsidR="008C3A57" w:rsidRPr="00842C80">
        <w:rPr>
          <w:rFonts w:ascii="Verdana" w:hAnsi="Verdana"/>
          <w:sz w:val="20"/>
          <w:szCs w:val="20"/>
          <w:lang w:val="es-CR"/>
        </w:rPr>
        <w:t xml:space="preserve"> </w:t>
      </w:r>
    </w:p>
    <w:p w14:paraId="5C4777BE" w14:textId="0E26B9CA" w:rsidR="008C3A57" w:rsidRPr="008E770A" w:rsidRDefault="008C3A57" w:rsidP="00700E63">
      <w:pPr>
        <w:pStyle w:val="ListParagraph"/>
        <w:numPr>
          <w:ilvl w:val="0"/>
          <w:numId w:val="53"/>
        </w:numPr>
        <w:spacing w:before="120" w:after="120" w:line="240" w:lineRule="auto"/>
        <w:contextualSpacing w:val="0"/>
        <w:jc w:val="both"/>
        <w:rPr>
          <w:rFonts w:ascii="Verdana" w:hAnsi="Verdana"/>
          <w:sz w:val="20"/>
          <w:szCs w:val="20"/>
          <w:lang w:val="es-CR"/>
        </w:rPr>
      </w:pPr>
      <w:r w:rsidRPr="00842C80">
        <w:rPr>
          <w:rFonts w:ascii="Verdana" w:hAnsi="Verdana"/>
          <w:sz w:val="20"/>
          <w:szCs w:val="20"/>
          <w:lang w:val="es-CR"/>
        </w:rPr>
        <w:t xml:space="preserve">Respecto del grupo familiar de </w:t>
      </w:r>
      <w:r w:rsidRPr="008D0846">
        <w:rPr>
          <w:rFonts w:ascii="Verdana" w:hAnsi="Verdana"/>
          <w:sz w:val="20"/>
          <w:szCs w:val="20"/>
          <w:lang w:val="es-CR"/>
        </w:rPr>
        <w:t>Rocío Irene Alvarado Reyes</w:t>
      </w:r>
      <w:r w:rsidRPr="00842C80">
        <w:rPr>
          <w:rFonts w:ascii="Verdana" w:hAnsi="Verdana"/>
          <w:sz w:val="20"/>
          <w:szCs w:val="20"/>
          <w:lang w:val="es-CR"/>
        </w:rPr>
        <w:t xml:space="preserve">, la suma </w:t>
      </w:r>
      <w:r w:rsidRPr="009E0FFD">
        <w:rPr>
          <w:rFonts w:ascii="Verdana" w:hAnsi="Verdana"/>
          <w:sz w:val="20"/>
          <w:szCs w:val="20"/>
          <w:lang w:val="es-CR"/>
        </w:rPr>
        <w:t>de US</w:t>
      </w:r>
      <w:r w:rsidR="00700E63" w:rsidRPr="009E0FFD">
        <w:rPr>
          <w:rFonts w:ascii="Verdana" w:hAnsi="Verdana"/>
          <w:sz w:val="20"/>
          <w:szCs w:val="20"/>
          <w:lang w:val="es-CR"/>
        </w:rPr>
        <w:t>D$</w:t>
      </w:r>
      <w:r w:rsidRPr="009E0FFD">
        <w:rPr>
          <w:rFonts w:ascii="Verdana" w:hAnsi="Verdana"/>
          <w:sz w:val="20"/>
          <w:szCs w:val="20"/>
          <w:lang w:val="es-CR"/>
        </w:rPr>
        <w:t>50,000</w:t>
      </w:r>
      <w:r w:rsidR="00700E63" w:rsidRPr="008D0846">
        <w:rPr>
          <w:rFonts w:ascii="Verdana" w:hAnsi="Verdana"/>
          <w:sz w:val="20"/>
          <w:szCs w:val="20"/>
          <w:lang w:val="es-CR"/>
        </w:rPr>
        <w:t xml:space="preserve"> (cincuenta mil dólares de los Estados Unidos de América) </w:t>
      </w:r>
      <w:r w:rsidRPr="008D0846">
        <w:rPr>
          <w:rFonts w:ascii="Verdana" w:hAnsi="Verdana"/>
          <w:sz w:val="20"/>
          <w:szCs w:val="20"/>
          <w:lang w:val="es-CR"/>
        </w:rPr>
        <w:t xml:space="preserve">para Patricia Reyes Rueda (madre); </w:t>
      </w:r>
      <w:r w:rsidR="00700E63" w:rsidRPr="008D0846">
        <w:rPr>
          <w:rFonts w:ascii="Verdana" w:hAnsi="Verdana"/>
          <w:sz w:val="20"/>
          <w:szCs w:val="20"/>
          <w:lang w:val="es-CR"/>
        </w:rPr>
        <w:t>USD</w:t>
      </w:r>
      <w:r w:rsidRPr="008D0846">
        <w:rPr>
          <w:rFonts w:ascii="Verdana" w:hAnsi="Verdana"/>
          <w:sz w:val="20"/>
          <w:szCs w:val="20"/>
          <w:lang w:val="es-CR"/>
        </w:rPr>
        <w:t>$</w:t>
      </w:r>
      <w:r w:rsidR="00F74BFF" w:rsidRPr="008D0846">
        <w:rPr>
          <w:rFonts w:ascii="Verdana" w:hAnsi="Verdana"/>
          <w:sz w:val="20"/>
          <w:szCs w:val="20"/>
          <w:lang w:val="es-CR"/>
        </w:rPr>
        <w:t>6</w:t>
      </w:r>
      <w:r w:rsidRPr="008D0846">
        <w:rPr>
          <w:rFonts w:ascii="Verdana" w:hAnsi="Verdana"/>
          <w:sz w:val="20"/>
          <w:szCs w:val="20"/>
          <w:lang w:val="es-CR"/>
        </w:rPr>
        <w:t xml:space="preserve">0,000 </w:t>
      </w:r>
      <w:r w:rsidR="00700E63" w:rsidRPr="008D0846">
        <w:rPr>
          <w:rFonts w:ascii="Verdana" w:hAnsi="Verdana"/>
          <w:sz w:val="20"/>
          <w:szCs w:val="20"/>
          <w:lang w:val="es-CR"/>
        </w:rPr>
        <w:t xml:space="preserve">(sesenta mil dólares de los Estados Unidos de América) </w:t>
      </w:r>
      <w:r w:rsidRPr="00842C80">
        <w:rPr>
          <w:rFonts w:ascii="Verdana" w:hAnsi="Verdana"/>
          <w:sz w:val="20"/>
          <w:szCs w:val="20"/>
          <w:lang w:val="es-CR"/>
        </w:rPr>
        <w:t xml:space="preserve">para </w:t>
      </w:r>
      <w:r w:rsidRPr="00842C80">
        <w:rPr>
          <w:rFonts w:ascii="Verdana" w:eastAsia="Times New Roman" w:hAnsi="Verdana"/>
          <w:sz w:val="20"/>
          <w:szCs w:val="20"/>
        </w:rPr>
        <w:t>A.M.U.A</w:t>
      </w:r>
      <w:r w:rsidRPr="00842C80">
        <w:rPr>
          <w:rFonts w:ascii="Verdana" w:hAnsi="Verdana"/>
          <w:sz w:val="20"/>
          <w:szCs w:val="20"/>
          <w:lang w:val="es-CR"/>
        </w:rPr>
        <w:t xml:space="preserve"> (hija), y </w:t>
      </w:r>
      <w:r w:rsidR="00700E63" w:rsidRPr="008E770A">
        <w:rPr>
          <w:rFonts w:ascii="Verdana" w:hAnsi="Verdana"/>
          <w:sz w:val="20"/>
          <w:szCs w:val="20"/>
          <w:lang w:val="es-CR"/>
        </w:rPr>
        <w:t>USD$</w:t>
      </w:r>
      <w:r w:rsidR="008E770A" w:rsidRPr="008E770A">
        <w:rPr>
          <w:rFonts w:ascii="Verdana" w:hAnsi="Verdana"/>
          <w:sz w:val="20"/>
          <w:szCs w:val="20"/>
          <w:lang w:val="es-CR"/>
        </w:rPr>
        <w:t>25</w:t>
      </w:r>
      <w:r w:rsidRPr="008E770A">
        <w:rPr>
          <w:rFonts w:ascii="Verdana" w:hAnsi="Verdana"/>
          <w:sz w:val="20"/>
          <w:szCs w:val="20"/>
          <w:lang w:val="es-CR"/>
        </w:rPr>
        <w:t>,000</w:t>
      </w:r>
      <w:r w:rsidR="00700E63" w:rsidRPr="008E770A">
        <w:rPr>
          <w:rFonts w:ascii="Verdana" w:hAnsi="Verdana"/>
          <w:sz w:val="20"/>
          <w:szCs w:val="20"/>
          <w:lang w:val="es-CR"/>
        </w:rPr>
        <w:t xml:space="preserve"> (</w:t>
      </w:r>
      <w:r w:rsidR="008E770A" w:rsidRPr="008E770A">
        <w:rPr>
          <w:rFonts w:ascii="Verdana" w:hAnsi="Verdana"/>
          <w:sz w:val="20"/>
          <w:szCs w:val="20"/>
          <w:lang w:val="es-CR"/>
        </w:rPr>
        <w:t xml:space="preserve">veinticinco </w:t>
      </w:r>
      <w:r w:rsidR="00700E63" w:rsidRPr="008E770A">
        <w:rPr>
          <w:rFonts w:ascii="Verdana" w:hAnsi="Verdana"/>
          <w:sz w:val="20"/>
          <w:szCs w:val="20"/>
          <w:lang w:val="es-CR"/>
        </w:rPr>
        <w:t xml:space="preserve">mil dólares de los Estados Unidos de América) </w:t>
      </w:r>
      <w:r w:rsidRPr="008E770A">
        <w:rPr>
          <w:rFonts w:ascii="Verdana" w:hAnsi="Verdana"/>
          <w:sz w:val="20"/>
          <w:szCs w:val="20"/>
          <w:lang w:val="es-CR"/>
        </w:rPr>
        <w:t xml:space="preserve">para cada uno de sus hermanos </w:t>
      </w:r>
      <w:r w:rsidRPr="008E770A">
        <w:rPr>
          <w:rFonts w:ascii="Verdana" w:eastAsia="Times New Roman" w:hAnsi="Verdana"/>
          <w:sz w:val="20"/>
          <w:szCs w:val="20"/>
        </w:rPr>
        <w:t>A.A.R. y A.R.A.R</w:t>
      </w:r>
      <w:r w:rsidR="000F7594" w:rsidRPr="008E770A">
        <w:rPr>
          <w:rFonts w:ascii="Verdana" w:hAnsi="Verdana"/>
          <w:sz w:val="20"/>
          <w:szCs w:val="20"/>
          <w:lang w:val="es-CR"/>
        </w:rPr>
        <w:t>.,</w:t>
      </w:r>
      <w:r w:rsidRPr="008E770A">
        <w:rPr>
          <w:rFonts w:ascii="Verdana" w:hAnsi="Verdana"/>
          <w:sz w:val="20"/>
          <w:szCs w:val="20"/>
          <w:lang w:val="es-CR"/>
        </w:rPr>
        <w:t xml:space="preserve"> de conformidad con lo resuelto en los párrafos </w:t>
      </w:r>
      <w:r w:rsidR="000D65FE" w:rsidRPr="008E770A">
        <w:rPr>
          <w:rFonts w:ascii="Verdana" w:hAnsi="Verdana"/>
          <w:sz w:val="20"/>
          <w:szCs w:val="20"/>
          <w:lang w:val="es-CR"/>
        </w:rPr>
        <w:t>265</w:t>
      </w:r>
      <w:r w:rsidR="000D65FE" w:rsidRPr="008E770A">
        <w:rPr>
          <w:rFonts w:ascii="Verdana" w:hAnsi="Verdana"/>
          <w:sz w:val="20"/>
          <w:szCs w:val="20"/>
        </w:rPr>
        <w:t xml:space="preserve">, 267 y 283 </w:t>
      </w:r>
      <w:r w:rsidRPr="008E770A">
        <w:rPr>
          <w:rFonts w:ascii="Verdana" w:hAnsi="Verdana"/>
          <w:sz w:val="20"/>
          <w:szCs w:val="20"/>
          <w:lang w:val="es-CR"/>
        </w:rPr>
        <w:t>de esta Sentencia</w:t>
      </w:r>
      <w:r w:rsidR="000F7594" w:rsidRPr="008E770A">
        <w:rPr>
          <w:rFonts w:ascii="Verdana" w:hAnsi="Verdana"/>
          <w:sz w:val="20"/>
          <w:szCs w:val="20"/>
          <w:lang w:val="es-CR"/>
        </w:rPr>
        <w:t>;</w:t>
      </w:r>
    </w:p>
    <w:p w14:paraId="099E59F5" w14:textId="43DED34C" w:rsidR="008C3A57" w:rsidRPr="008E770A" w:rsidRDefault="00707EE0">
      <w:pPr>
        <w:pStyle w:val="ListParagraph"/>
        <w:spacing w:before="120" w:after="120" w:line="240" w:lineRule="auto"/>
        <w:contextualSpacing w:val="0"/>
        <w:jc w:val="both"/>
        <w:rPr>
          <w:rFonts w:ascii="Verdana" w:hAnsi="Verdana"/>
          <w:b/>
          <w:sz w:val="20"/>
          <w:szCs w:val="20"/>
          <w:lang w:val="es-CR"/>
        </w:rPr>
      </w:pPr>
      <w:r w:rsidRPr="008E770A">
        <w:rPr>
          <w:rFonts w:ascii="Verdana" w:hAnsi="Verdana"/>
          <w:sz w:val="20"/>
          <w:szCs w:val="20"/>
          <w:lang w:val="es-CR"/>
        </w:rPr>
        <w:t>i</w:t>
      </w:r>
      <w:r w:rsidR="00742E0D" w:rsidRPr="008E770A">
        <w:rPr>
          <w:rFonts w:ascii="Verdana" w:hAnsi="Verdana"/>
          <w:sz w:val="20"/>
          <w:szCs w:val="20"/>
          <w:lang w:val="es-CR"/>
        </w:rPr>
        <w:t>i.a</w:t>
      </w:r>
      <w:r w:rsidR="00742E0D" w:rsidRPr="008E770A">
        <w:rPr>
          <w:rFonts w:ascii="Verdana" w:hAnsi="Verdana"/>
          <w:sz w:val="20"/>
          <w:szCs w:val="20"/>
          <w:lang w:val="es-CR"/>
        </w:rPr>
        <w:tab/>
      </w:r>
      <w:r w:rsidR="008C3A57" w:rsidRPr="008E770A">
        <w:rPr>
          <w:rFonts w:ascii="Verdana" w:hAnsi="Verdana"/>
          <w:sz w:val="20"/>
          <w:szCs w:val="20"/>
          <w:lang w:val="es-CR"/>
        </w:rPr>
        <w:t>La cantidad de US</w:t>
      </w:r>
      <w:r w:rsidR="00700E63" w:rsidRPr="008E770A">
        <w:rPr>
          <w:rFonts w:ascii="Verdana" w:hAnsi="Verdana"/>
          <w:sz w:val="20"/>
          <w:szCs w:val="20"/>
          <w:lang w:val="es-CR"/>
        </w:rPr>
        <w:t>D$</w:t>
      </w:r>
      <w:r w:rsidR="00F74BFF" w:rsidRPr="008E770A">
        <w:rPr>
          <w:rFonts w:ascii="Verdana" w:hAnsi="Verdana"/>
          <w:sz w:val="20"/>
          <w:szCs w:val="20"/>
          <w:lang w:val="es-CR"/>
        </w:rPr>
        <w:t>15</w:t>
      </w:r>
      <w:r w:rsidR="008C3A57" w:rsidRPr="008E770A">
        <w:rPr>
          <w:rFonts w:ascii="Verdana" w:hAnsi="Verdana"/>
          <w:sz w:val="20"/>
          <w:szCs w:val="20"/>
          <w:lang w:val="es-CR"/>
        </w:rPr>
        <w:t>,000 (</w:t>
      </w:r>
      <w:r w:rsidR="00700E63" w:rsidRPr="008E770A">
        <w:rPr>
          <w:rFonts w:ascii="Verdana" w:hAnsi="Verdana"/>
          <w:sz w:val="20"/>
          <w:szCs w:val="20"/>
          <w:lang w:val="es-CR"/>
        </w:rPr>
        <w:t>quince</w:t>
      </w:r>
      <w:r w:rsidR="008C3A57" w:rsidRPr="008E770A">
        <w:rPr>
          <w:rFonts w:ascii="Verdana" w:hAnsi="Verdana"/>
          <w:sz w:val="20"/>
          <w:szCs w:val="20"/>
          <w:lang w:val="es-CR"/>
        </w:rPr>
        <w:t xml:space="preserve"> mil dólares de los Estados Unidos de América) para </w:t>
      </w:r>
      <w:r w:rsidR="00842C80" w:rsidRPr="008E770A">
        <w:rPr>
          <w:rFonts w:ascii="Verdana" w:hAnsi="Verdana"/>
          <w:sz w:val="20"/>
          <w:szCs w:val="20"/>
          <w:lang w:val="es-CR"/>
        </w:rPr>
        <w:t>cada uno de sus</w:t>
      </w:r>
      <w:r w:rsidR="008C3A57" w:rsidRPr="008E770A">
        <w:rPr>
          <w:rFonts w:ascii="Verdana" w:hAnsi="Verdana"/>
          <w:sz w:val="20"/>
          <w:szCs w:val="20"/>
          <w:lang w:val="es-CR"/>
        </w:rPr>
        <w:t xml:space="preserve"> abuelos</w:t>
      </w:r>
      <w:r w:rsidR="00842C80" w:rsidRPr="008E770A">
        <w:rPr>
          <w:rFonts w:ascii="Verdana" w:hAnsi="Verdana"/>
          <w:sz w:val="20"/>
          <w:szCs w:val="20"/>
          <w:lang w:val="es-CR"/>
        </w:rPr>
        <w:t>:</w:t>
      </w:r>
      <w:r w:rsidR="008C3A57" w:rsidRPr="008E770A">
        <w:rPr>
          <w:rFonts w:ascii="Verdana" w:hAnsi="Verdana"/>
          <w:sz w:val="20"/>
          <w:szCs w:val="20"/>
          <w:lang w:val="es-CR"/>
        </w:rPr>
        <w:t xml:space="preserve"> Manuel Alvarado Reyes (abuelo) y María de Jesús Rueda Villanueva (abuela), en relación con lo resuelto en el párrafo </w:t>
      </w:r>
      <w:r w:rsidR="009A0068" w:rsidRPr="008E770A">
        <w:rPr>
          <w:rFonts w:ascii="Verdana" w:hAnsi="Verdana"/>
          <w:sz w:val="20"/>
          <w:szCs w:val="20"/>
          <w:lang w:val="es-CR"/>
        </w:rPr>
        <w:t>283</w:t>
      </w:r>
      <w:r w:rsidR="008C3A57" w:rsidRPr="008E770A">
        <w:rPr>
          <w:rFonts w:ascii="Verdana" w:hAnsi="Verdana"/>
          <w:sz w:val="20"/>
          <w:szCs w:val="20"/>
          <w:lang w:val="es-CR"/>
        </w:rPr>
        <w:t xml:space="preserve"> de esta Sentencia</w:t>
      </w:r>
      <w:r w:rsidR="000F7594" w:rsidRPr="008E770A">
        <w:rPr>
          <w:rFonts w:ascii="Verdana" w:hAnsi="Verdana"/>
          <w:sz w:val="20"/>
          <w:szCs w:val="20"/>
          <w:lang w:val="es-CR"/>
        </w:rPr>
        <w:t>.</w:t>
      </w:r>
    </w:p>
    <w:p w14:paraId="346D5E2F" w14:textId="36F8C8ED" w:rsidR="008C3A57" w:rsidRPr="008D0846" w:rsidRDefault="008C3A57" w:rsidP="000F7594">
      <w:pPr>
        <w:pStyle w:val="ListParagraph"/>
        <w:numPr>
          <w:ilvl w:val="0"/>
          <w:numId w:val="53"/>
        </w:numPr>
        <w:spacing w:before="120" w:after="120" w:line="240" w:lineRule="auto"/>
        <w:contextualSpacing w:val="0"/>
        <w:jc w:val="both"/>
        <w:rPr>
          <w:rFonts w:ascii="Verdana" w:hAnsi="Verdana"/>
          <w:sz w:val="20"/>
          <w:szCs w:val="20"/>
          <w:lang w:val="es-CR"/>
        </w:rPr>
      </w:pPr>
      <w:r w:rsidRPr="008E770A">
        <w:rPr>
          <w:rFonts w:ascii="Verdana" w:hAnsi="Verdana"/>
          <w:sz w:val="20"/>
          <w:szCs w:val="20"/>
          <w:lang w:val="es-CR"/>
        </w:rPr>
        <w:t xml:space="preserve">Respecto del grupo familiar de José Ángel Alvarado Herrera, la suma de </w:t>
      </w:r>
      <w:r w:rsidR="00700E63" w:rsidRPr="008E770A">
        <w:rPr>
          <w:rFonts w:ascii="Verdana" w:hAnsi="Verdana"/>
          <w:sz w:val="20"/>
          <w:szCs w:val="20"/>
          <w:lang w:val="es-CR"/>
        </w:rPr>
        <w:t>USD</w:t>
      </w:r>
      <w:r w:rsidRPr="008E770A">
        <w:rPr>
          <w:rFonts w:ascii="Verdana" w:hAnsi="Verdana"/>
          <w:sz w:val="20"/>
          <w:szCs w:val="20"/>
          <w:lang w:val="es-CR"/>
        </w:rPr>
        <w:t>$</w:t>
      </w:r>
      <w:r w:rsidR="00F74BFF" w:rsidRPr="008E770A">
        <w:rPr>
          <w:rFonts w:ascii="Verdana" w:hAnsi="Verdana"/>
          <w:sz w:val="20"/>
          <w:szCs w:val="20"/>
          <w:lang w:val="es-CR"/>
        </w:rPr>
        <w:t>6</w:t>
      </w:r>
      <w:r w:rsidRPr="008E770A">
        <w:rPr>
          <w:rFonts w:ascii="Verdana" w:hAnsi="Verdana"/>
          <w:sz w:val="20"/>
          <w:szCs w:val="20"/>
          <w:lang w:val="es-CR"/>
        </w:rPr>
        <w:t>0,000</w:t>
      </w:r>
      <w:r w:rsidR="00700E63" w:rsidRPr="008E770A">
        <w:rPr>
          <w:rFonts w:ascii="Verdana" w:hAnsi="Verdana"/>
          <w:sz w:val="20"/>
          <w:szCs w:val="20"/>
          <w:lang w:val="es-CR"/>
        </w:rPr>
        <w:t xml:space="preserve"> (sesenta mil dólares de los Estados Unidos de América)</w:t>
      </w:r>
      <w:r w:rsidRPr="008E770A">
        <w:rPr>
          <w:rFonts w:ascii="Verdana" w:hAnsi="Verdana"/>
          <w:sz w:val="20"/>
          <w:szCs w:val="20"/>
          <w:lang w:val="es-CR"/>
        </w:rPr>
        <w:t xml:space="preserve"> para José Ángel Alvarado Fabela (padre); </w:t>
      </w:r>
      <w:r w:rsidR="00700E63" w:rsidRPr="008E770A">
        <w:rPr>
          <w:rFonts w:ascii="Verdana" w:hAnsi="Verdana"/>
          <w:sz w:val="20"/>
          <w:szCs w:val="20"/>
          <w:lang w:val="es-CR"/>
        </w:rPr>
        <w:t>USD</w:t>
      </w:r>
      <w:r w:rsidRPr="008E770A">
        <w:rPr>
          <w:rFonts w:ascii="Verdana" w:hAnsi="Verdana"/>
          <w:sz w:val="20"/>
          <w:szCs w:val="20"/>
          <w:lang w:val="es-CR"/>
        </w:rPr>
        <w:t>$</w:t>
      </w:r>
      <w:r w:rsidR="00F74BFF" w:rsidRPr="008E770A">
        <w:rPr>
          <w:rFonts w:ascii="Verdana" w:hAnsi="Verdana"/>
          <w:sz w:val="20"/>
          <w:szCs w:val="20"/>
          <w:lang w:val="es-CR"/>
        </w:rPr>
        <w:t>6</w:t>
      </w:r>
      <w:r w:rsidRPr="008E770A">
        <w:rPr>
          <w:rFonts w:ascii="Verdana" w:hAnsi="Verdana"/>
          <w:sz w:val="20"/>
          <w:szCs w:val="20"/>
          <w:lang w:val="es-CR"/>
        </w:rPr>
        <w:t xml:space="preserve">0,000 </w:t>
      </w:r>
      <w:r w:rsidR="00700E63" w:rsidRPr="008E770A">
        <w:rPr>
          <w:rFonts w:ascii="Verdana" w:hAnsi="Verdana"/>
          <w:sz w:val="20"/>
          <w:szCs w:val="20"/>
          <w:lang w:val="es-CR"/>
        </w:rPr>
        <w:t>(sesenta mil dólares de los Estados Unidos de América)</w:t>
      </w:r>
      <w:r w:rsidR="000F7594" w:rsidRPr="008E770A">
        <w:rPr>
          <w:rFonts w:ascii="Verdana" w:hAnsi="Verdana"/>
          <w:sz w:val="20"/>
          <w:szCs w:val="20"/>
          <w:lang w:val="es-CR"/>
        </w:rPr>
        <w:t xml:space="preserve"> para </w:t>
      </w:r>
      <w:r w:rsidRPr="008E770A">
        <w:rPr>
          <w:rFonts w:ascii="Verdana" w:hAnsi="Verdana"/>
          <w:sz w:val="20"/>
          <w:szCs w:val="20"/>
          <w:lang w:val="es-CR"/>
        </w:rPr>
        <w:t xml:space="preserve">Jaime Alvarado Herrera (hermano); </w:t>
      </w:r>
      <w:r w:rsidR="00700E63" w:rsidRPr="008E770A">
        <w:rPr>
          <w:rFonts w:ascii="Verdana" w:hAnsi="Verdana"/>
          <w:sz w:val="20"/>
          <w:szCs w:val="20"/>
          <w:lang w:val="es-CR"/>
        </w:rPr>
        <w:t>USD</w:t>
      </w:r>
      <w:r w:rsidRPr="008E770A">
        <w:rPr>
          <w:rFonts w:ascii="Verdana" w:hAnsi="Verdana"/>
          <w:sz w:val="20"/>
          <w:szCs w:val="20"/>
          <w:lang w:val="es-CR"/>
        </w:rPr>
        <w:t>$</w:t>
      </w:r>
      <w:r w:rsidR="009E0FFD" w:rsidRPr="008E770A">
        <w:rPr>
          <w:rFonts w:ascii="Verdana" w:hAnsi="Verdana"/>
          <w:sz w:val="20"/>
          <w:szCs w:val="20"/>
          <w:lang w:val="es-CR"/>
        </w:rPr>
        <w:t>6</w:t>
      </w:r>
      <w:r w:rsidRPr="008E770A">
        <w:rPr>
          <w:rFonts w:ascii="Verdana" w:hAnsi="Verdana"/>
          <w:sz w:val="20"/>
          <w:szCs w:val="20"/>
          <w:lang w:val="es-CR"/>
        </w:rPr>
        <w:t xml:space="preserve">0,000 </w:t>
      </w:r>
      <w:r w:rsidR="00700E63" w:rsidRPr="008E770A">
        <w:rPr>
          <w:rFonts w:ascii="Verdana" w:hAnsi="Verdana"/>
          <w:sz w:val="20"/>
          <w:szCs w:val="20"/>
          <w:lang w:val="es-CR"/>
        </w:rPr>
        <w:t>(</w:t>
      </w:r>
      <w:r w:rsidR="008E770A" w:rsidRPr="008E770A">
        <w:rPr>
          <w:rFonts w:ascii="Verdana" w:hAnsi="Verdana"/>
          <w:sz w:val="20"/>
          <w:szCs w:val="20"/>
          <w:lang w:val="es-CR"/>
        </w:rPr>
        <w:t>sesenta</w:t>
      </w:r>
      <w:r w:rsidR="00700E63" w:rsidRPr="008E770A">
        <w:rPr>
          <w:rFonts w:ascii="Verdana" w:hAnsi="Verdana"/>
          <w:sz w:val="20"/>
          <w:szCs w:val="20"/>
          <w:lang w:val="es-CR"/>
        </w:rPr>
        <w:t xml:space="preserve"> mil dólares de los Estados Unidos de América) </w:t>
      </w:r>
      <w:r w:rsidRPr="008E770A">
        <w:rPr>
          <w:rFonts w:ascii="Verdana" w:hAnsi="Verdana"/>
          <w:sz w:val="20"/>
          <w:szCs w:val="20"/>
          <w:lang w:val="es-CR"/>
        </w:rPr>
        <w:t xml:space="preserve">para cada </w:t>
      </w:r>
      <w:r w:rsidR="000F7594" w:rsidRPr="008E770A">
        <w:rPr>
          <w:rFonts w:ascii="Verdana" w:hAnsi="Verdana"/>
          <w:sz w:val="20"/>
          <w:szCs w:val="20"/>
          <w:lang w:val="es-CR"/>
        </w:rPr>
        <w:t xml:space="preserve">una de sus </w:t>
      </w:r>
      <w:r w:rsidRPr="008E770A">
        <w:rPr>
          <w:rFonts w:ascii="Verdana" w:hAnsi="Verdana"/>
          <w:sz w:val="20"/>
          <w:szCs w:val="20"/>
          <w:lang w:val="es-CR"/>
        </w:rPr>
        <w:t>hij</w:t>
      </w:r>
      <w:r w:rsidR="000F7594" w:rsidRPr="008E770A">
        <w:rPr>
          <w:rFonts w:ascii="Verdana" w:hAnsi="Verdana"/>
          <w:sz w:val="20"/>
          <w:szCs w:val="20"/>
          <w:lang w:val="es-CR"/>
        </w:rPr>
        <w:t xml:space="preserve">as e hijo: </w:t>
      </w:r>
      <w:r w:rsidR="000F7594" w:rsidRPr="008E770A">
        <w:rPr>
          <w:rFonts w:ascii="Verdana" w:eastAsia="Times New Roman" w:hAnsi="Verdana"/>
          <w:sz w:val="20"/>
          <w:szCs w:val="20"/>
        </w:rPr>
        <w:t xml:space="preserve">J.A.E., J.A.A.E. y A.E.B., </w:t>
      </w:r>
      <w:r w:rsidRPr="008E770A">
        <w:rPr>
          <w:rFonts w:ascii="Verdana" w:hAnsi="Verdana"/>
          <w:sz w:val="20"/>
          <w:szCs w:val="20"/>
          <w:lang w:val="es-CR"/>
        </w:rPr>
        <w:t xml:space="preserve">y esposa: </w:t>
      </w:r>
      <w:r w:rsidRPr="008E770A">
        <w:rPr>
          <w:rFonts w:ascii="Verdana" w:eastAsia="Times New Roman" w:hAnsi="Verdana"/>
          <w:sz w:val="20"/>
          <w:szCs w:val="20"/>
        </w:rPr>
        <w:t>Obdulia Espinoza Beltrán</w:t>
      </w:r>
      <w:r w:rsidRPr="008E770A">
        <w:rPr>
          <w:rFonts w:ascii="Verdana" w:hAnsi="Verdana"/>
          <w:sz w:val="20"/>
          <w:szCs w:val="20"/>
          <w:lang w:val="es-CR"/>
        </w:rPr>
        <w:t>;</w:t>
      </w:r>
      <w:r w:rsidR="00700E63" w:rsidRPr="008E770A">
        <w:rPr>
          <w:rFonts w:ascii="Verdana" w:hAnsi="Verdana"/>
          <w:sz w:val="20"/>
          <w:szCs w:val="20"/>
          <w:lang w:val="es-CR"/>
        </w:rPr>
        <w:t xml:space="preserve"> USD</w:t>
      </w:r>
      <w:r w:rsidRPr="008E770A">
        <w:rPr>
          <w:rFonts w:ascii="Verdana" w:hAnsi="Verdana"/>
          <w:sz w:val="20"/>
          <w:szCs w:val="20"/>
          <w:lang w:val="es-CR"/>
        </w:rPr>
        <w:t>$</w:t>
      </w:r>
      <w:r w:rsidR="008E770A" w:rsidRPr="008E770A">
        <w:rPr>
          <w:rFonts w:ascii="Verdana" w:hAnsi="Verdana"/>
          <w:sz w:val="20"/>
          <w:szCs w:val="20"/>
          <w:lang w:val="es-CR"/>
        </w:rPr>
        <w:t>25</w:t>
      </w:r>
      <w:r w:rsidRPr="008E770A">
        <w:rPr>
          <w:rFonts w:ascii="Verdana" w:hAnsi="Verdana"/>
          <w:sz w:val="20"/>
          <w:szCs w:val="20"/>
          <w:lang w:val="es-CR"/>
        </w:rPr>
        <w:t xml:space="preserve">,000 </w:t>
      </w:r>
      <w:r w:rsidR="00700E63" w:rsidRPr="008E770A">
        <w:rPr>
          <w:rFonts w:ascii="Verdana" w:hAnsi="Verdana"/>
          <w:sz w:val="20"/>
          <w:szCs w:val="20"/>
          <w:lang w:val="es-CR"/>
        </w:rPr>
        <w:t>(</w:t>
      </w:r>
      <w:r w:rsidR="008E770A" w:rsidRPr="008E770A">
        <w:rPr>
          <w:rFonts w:ascii="Verdana" w:hAnsi="Verdana"/>
          <w:sz w:val="20"/>
          <w:szCs w:val="20"/>
          <w:lang w:val="es-CR"/>
        </w:rPr>
        <w:t>veinticinco</w:t>
      </w:r>
      <w:r w:rsidR="00700E63" w:rsidRPr="008E770A">
        <w:rPr>
          <w:rFonts w:ascii="Verdana" w:hAnsi="Verdana"/>
          <w:sz w:val="20"/>
          <w:szCs w:val="20"/>
          <w:lang w:val="es-CR"/>
        </w:rPr>
        <w:t xml:space="preserve"> mil dólares de los Estados Unidos de América) </w:t>
      </w:r>
      <w:r w:rsidRPr="008E770A">
        <w:rPr>
          <w:rFonts w:ascii="Verdana" w:hAnsi="Verdana"/>
          <w:sz w:val="20"/>
          <w:szCs w:val="20"/>
          <w:lang w:val="es-CR"/>
        </w:rPr>
        <w:t>para su hermana Rosa Olivia Alvarado Herrera, y</w:t>
      </w:r>
      <w:r w:rsidRPr="000F7594">
        <w:rPr>
          <w:rFonts w:ascii="Verdana" w:hAnsi="Verdana"/>
          <w:sz w:val="20"/>
          <w:szCs w:val="20"/>
          <w:lang w:val="es-CR"/>
        </w:rPr>
        <w:t xml:space="preserve"> </w:t>
      </w:r>
      <w:r w:rsidR="00700E63" w:rsidRPr="008D0846">
        <w:rPr>
          <w:rFonts w:ascii="Verdana" w:hAnsi="Verdana"/>
          <w:sz w:val="20"/>
          <w:szCs w:val="20"/>
          <w:lang w:val="es-CR"/>
        </w:rPr>
        <w:t>USD</w:t>
      </w:r>
      <w:r w:rsidRPr="008D0846">
        <w:rPr>
          <w:rFonts w:ascii="Verdana" w:hAnsi="Verdana"/>
          <w:sz w:val="20"/>
          <w:szCs w:val="20"/>
          <w:lang w:val="es-CR"/>
        </w:rPr>
        <w:t>$</w:t>
      </w:r>
      <w:r w:rsidR="00F74BFF" w:rsidRPr="008D0846">
        <w:rPr>
          <w:rFonts w:ascii="Verdana" w:hAnsi="Verdana"/>
          <w:sz w:val="20"/>
          <w:szCs w:val="20"/>
          <w:lang w:val="es-CR"/>
        </w:rPr>
        <w:t>50</w:t>
      </w:r>
      <w:r w:rsidRPr="008D0846">
        <w:rPr>
          <w:rFonts w:ascii="Verdana" w:hAnsi="Verdana"/>
          <w:sz w:val="20"/>
          <w:szCs w:val="20"/>
          <w:lang w:val="es-CR"/>
        </w:rPr>
        <w:t xml:space="preserve">,000 </w:t>
      </w:r>
      <w:r w:rsidR="00700E63" w:rsidRPr="008D0846">
        <w:rPr>
          <w:rFonts w:ascii="Verdana" w:hAnsi="Verdana"/>
          <w:sz w:val="20"/>
          <w:szCs w:val="20"/>
          <w:lang w:val="es-CR"/>
        </w:rPr>
        <w:t xml:space="preserve">(cincuenta mil dólares de los Estados Unidos de América) </w:t>
      </w:r>
      <w:r w:rsidRPr="000F7594">
        <w:rPr>
          <w:rFonts w:ascii="Verdana" w:hAnsi="Verdana"/>
          <w:sz w:val="20"/>
          <w:szCs w:val="20"/>
          <w:lang w:val="es-CR"/>
        </w:rPr>
        <w:t>para su madre</w:t>
      </w:r>
      <w:r w:rsidRPr="008D0846">
        <w:rPr>
          <w:rFonts w:ascii="Verdana" w:hAnsi="Verdana"/>
          <w:sz w:val="20"/>
          <w:szCs w:val="20"/>
          <w:lang w:val="es-CR"/>
        </w:rPr>
        <w:t xml:space="preserve"> </w:t>
      </w:r>
      <w:r w:rsidRPr="000F7594">
        <w:rPr>
          <w:rFonts w:ascii="Verdana" w:hAnsi="Verdana"/>
          <w:sz w:val="20"/>
          <w:szCs w:val="20"/>
          <w:lang w:val="es-CR"/>
        </w:rPr>
        <w:t>Concepción Herrera Hernández</w:t>
      </w:r>
      <w:r w:rsidR="00E173D9">
        <w:rPr>
          <w:rFonts w:ascii="Verdana" w:hAnsi="Verdana"/>
          <w:sz w:val="20"/>
          <w:szCs w:val="20"/>
          <w:lang w:val="es-CR"/>
        </w:rPr>
        <w:t xml:space="preserve">, </w:t>
      </w:r>
      <w:r w:rsidRPr="000F7594">
        <w:rPr>
          <w:rFonts w:ascii="Verdana" w:hAnsi="Verdana"/>
          <w:sz w:val="20"/>
          <w:szCs w:val="20"/>
          <w:lang w:val="es-CR"/>
        </w:rPr>
        <w:t>en relación con lo resuelto en los párrafos</w:t>
      </w:r>
      <w:r w:rsidR="00700E63" w:rsidRPr="000F7594">
        <w:rPr>
          <w:rFonts w:ascii="Verdana" w:hAnsi="Verdana"/>
          <w:sz w:val="20"/>
          <w:szCs w:val="20"/>
          <w:lang w:val="es-CR"/>
        </w:rPr>
        <w:t xml:space="preserve"> </w:t>
      </w:r>
      <w:r w:rsidR="0011764F" w:rsidRPr="0011764F">
        <w:rPr>
          <w:rFonts w:ascii="Verdana" w:hAnsi="Verdana"/>
          <w:sz w:val="20"/>
          <w:szCs w:val="20"/>
          <w:lang w:val="es-CR"/>
        </w:rPr>
        <w:t>265</w:t>
      </w:r>
      <w:r w:rsidR="0011764F" w:rsidRPr="0011764F">
        <w:rPr>
          <w:rFonts w:ascii="Verdana" w:hAnsi="Verdana"/>
          <w:sz w:val="20"/>
          <w:szCs w:val="20"/>
        </w:rPr>
        <w:t xml:space="preserve">, 267 y 283 </w:t>
      </w:r>
      <w:r w:rsidR="00700E63" w:rsidRPr="008D0846">
        <w:rPr>
          <w:rFonts w:ascii="Verdana" w:hAnsi="Verdana"/>
          <w:sz w:val="20"/>
          <w:szCs w:val="20"/>
          <w:lang w:val="es-CR"/>
        </w:rPr>
        <w:t>de esta Sentencia</w:t>
      </w:r>
      <w:r w:rsidR="000F7594" w:rsidRPr="008D0846">
        <w:rPr>
          <w:rFonts w:ascii="Verdana" w:hAnsi="Verdana"/>
          <w:sz w:val="20"/>
          <w:szCs w:val="20"/>
          <w:lang w:val="es-CR"/>
        </w:rPr>
        <w:t>;</w:t>
      </w:r>
    </w:p>
    <w:p w14:paraId="500DA854" w14:textId="571FDB50" w:rsidR="008C3A57" w:rsidRPr="008D0846" w:rsidRDefault="00707EE0">
      <w:pPr>
        <w:pStyle w:val="ListParagraph"/>
        <w:widowControl w:val="0"/>
        <w:tabs>
          <w:tab w:val="left" w:pos="567"/>
        </w:tabs>
        <w:autoSpaceDE w:val="0"/>
        <w:autoSpaceDN w:val="0"/>
        <w:adjustRightInd w:val="0"/>
        <w:spacing w:before="120" w:after="120" w:line="240" w:lineRule="auto"/>
        <w:contextualSpacing w:val="0"/>
        <w:jc w:val="both"/>
        <w:textAlignment w:val="baseline"/>
        <w:rPr>
          <w:rFonts w:ascii="Verdana" w:hAnsi="Verdana"/>
          <w:sz w:val="20"/>
          <w:szCs w:val="20"/>
          <w:lang w:val="es-CR"/>
        </w:rPr>
      </w:pPr>
      <w:r w:rsidRPr="000F7594">
        <w:rPr>
          <w:rFonts w:ascii="Verdana" w:hAnsi="Verdana"/>
          <w:sz w:val="20"/>
          <w:szCs w:val="20"/>
          <w:lang w:val="es-CR"/>
        </w:rPr>
        <w:t>i</w:t>
      </w:r>
      <w:r w:rsidR="000F7594" w:rsidRPr="000F7594">
        <w:rPr>
          <w:rFonts w:ascii="Verdana" w:hAnsi="Verdana"/>
          <w:sz w:val="20"/>
          <w:szCs w:val="20"/>
          <w:lang w:val="es-CR"/>
        </w:rPr>
        <w:t>i</w:t>
      </w:r>
      <w:r w:rsidRPr="000F7594">
        <w:rPr>
          <w:rFonts w:ascii="Verdana" w:hAnsi="Verdana"/>
          <w:sz w:val="20"/>
          <w:szCs w:val="20"/>
          <w:lang w:val="es-CR"/>
        </w:rPr>
        <w:t>i.a</w:t>
      </w:r>
      <w:r w:rsidRPr="000F7594">
        <w:rPr>
          <w:rFonts w:ascii="Verdana" w:hAnsi="Verdana"/>
          <w:sz w:val="20"/>
          <w:szCs w:val="20"/>
          <w:lang w:val="es-CR"/>
        </w:rPr>
        <w:tab/>
      </w:r>
      <w:r w:rsidR="008C3A57" w:rsidRPr="000F7594">
        <w:rPr>
          <w:rFonts w:ascii="Verdana" w:hAnsi="Verdana"/>
          <w:sz w:val="20"/>
          <w:szCs w:val="20"/>
          <w:lang w:val="es-CR"/>
        </w:rPr>
        <w:t xml:space="preserve">La cantidad de </w:t>
      </w:r>
      <w:r w:rsidR="00700E63" w:rsidRPr="008D0846">
        <w:rPr>
          <w:rFonts w:ascii="Verdana" w:hAnsi="Verdana"/>
          <w:sz w:val="20"/>
          <w:szCs w:val="20"/>
          <w:lang w:val="es-CR"/>
        </w:rPr>
        <w:t>USD</w:t>
      </w:r>
      <w:r w:rsidR="008C3A57" w:rsidRPr="008D0846">
        <w:rPr>
          <w:rFonts w:ascii="Verdana" w:hAnsi="Verdana"/>
          <w:sz w:val="20"/>
          <w:szCs w:val="20"/>
          <w:lang w:val="es-CR"/>
        </w:rPr>
        <w:t>$2</w:t>
      </w:r>
      <w:r w:rsidR="001D7FFE">
        <w:rPr>
          <w:rFonts w:ascii="Verdana" w:hAnsi="Verdana"/>
          <w:sz w:val="20"/>
          <w:szCs w:val="20"/>
          <w:lang w:val="es-CR"/>
        </w:rPr>
        <w:t>0</w:t>
      </w:r>
      <w:r w:rsidR="008C3A57" w:rsidRPr="008D0846">
        <w:rPr>
          <w:rFonts w:ascii="Verdana" w:hAnsi="Verdana"/>
          <w:sz w:val="20"/>
          <w:szCs w:val="20"/>
          <w:lang w:val="es-CR"/>
        </w:rPr>
        <w:t>,000</w:t>
      </w:r>
      <w:r w:rsidR="008C3A57" w:rsidRPr="000F7594">
        <w:rPr>
          <w:rFonts w:ascii="Verdana" w:hAnsi="Verdana"/>
          <w:sz w:val="20"/>
          <w:szCs w:val="20"/>
          <w:lang w:val="es-CR"/>
        </w:rPr>
        <w:t xml:space="preserve"> </w:t>
      </w:r>
      <w:r w:rsidR="000C553D">
        <w:rPr>
          <w:rFonts w:ascii="Verdana" w:hAnsi="Verdana"/>
          <w:sz w:val="20"/>
          <w:szCs w:val="20"/>
          <w:lang w:val="es-CR"/>
        </w:rPr>
        <w:t>(veinte</w:t>
      </w:r>
      <w:r w:rsidR="00700E63" w:rsidRPr="008D0846">
        <w:rPr>
          <w:rFonts w:ascii="Verdana" w:hAnsi="Verdana"/>
          <w:sz w:val="20"/>
          <w:szCs w:val="20"/>
          <w:lang w:val="es-CR"/>
        </w:rPr>
        <w:t xml:space="preserve"> mil dólares de los Estados Unidos de América) </w:t>
      </w:r>
      <w:r w:rsidR="008C3A57" w:rsidRPr="000F7594">
        <w:rPr>
          <w:rFonts w:ascii="Verdana" w:hAnsi="Verdana"/>
          <w:sz w:val="20"/>
          <w:szCs w:val="20"/>
          <w:lang w:val="es-CR"/>
        </w:rPr>
        <w:t xml:space="preserve">para el grupo familiar </w:t>
      </w:r>
      <w:r w:rsidR="00E173D9">
        <w:rPr>
          <w:rFonts w:ascii="Verdana" w:hAnsi="Verdana"/>
          <w:sz w:val="20"/>
          <w:szCs w:val="20"/>
          <w:lang w:val="es-CR"/>
        </w:rPr>
        <w:t xml:space="preserve">compuesto por </w:t>
      </w:r>
      <w:r w:rsidR="008C3A57" w:rsidRPr="000F7594">
        <w:rPr>
          <w:rFonts w:ascii="Verdana" w:hAnsi="Verdana"/>
          <w:sz w:val="20"/>
          <w:szCs w:val="20"/>
          <w:lang w:val="es-CR"/>
        </w:rPr>
        <w:t>J.O.A.R, R.G.A.R., C.N.A.R Y J.E.A.R (</w:t>
      </w:r>
      <w:r w:rsidR="00E173D9">
        <w:rPr>
          <w:rFonts w:ascii="Verdana" w:hAnsi="Verdana"/>
          <w:sz w:val="20"/>
          <w:szCs w:val="20"/>
          <w:lang w:val="es-CR"/>
        </w:rPr>
        <w:t xml:space="preserve">sobrinas y </w:t>
      </w:r>
      <w:r w:rsidR="008C3A57" w:rsidRPr="000F7594">
        <w:rPr>
          <w:rFonts w:ascii="Verdana" w:hAnsi="Verdana"/>
          <w:sz w:val="20"/>
          <w:szCs w:val="20"/>
          <w:lang w:val="es-CR"/>
        </w:rPr>
        <w:t>sobrinos)</w:t>
      </w:r>
      <w:r w:rsidR="000F7594" w:rsidRPr="000F7594">
        <w:rPr>
          <w:rFonts w:ascii="Verdana" w:hAnsi="Verdana"/>
          <w:sz w:val="20"/>
          <w:szCs w:val="20"/>
          <w:lang w:val="es-CR"/>
        </w:rPr>
        <w:t xml:space="preserve">, y </w:t>
      </w:r>
      <w:r w:rsidR="00700E63" w:rsidRPr="008D0846">
        <w:rPr>
          <w:rFonts w:ascii="Verdana" w:hAnsi="Verdana"/>
          <w:sz w:val="20"/>
          <w:szCs w:val="20"/>
          <w:lang w:val="es-CR"/>
        </w:rPr>
        <w:t>USD</w:t>
      </w:r>
      <w:r w:rsidR="001D7FFE">
        <w:rPr>
          <w:rFonts w:ascii="Verdana" w:hAnsi="Verdana"/>
          <w:sz w:val="20"/>
          <w:szCs w:val="20"/>
          <w:lang w:val="es-CR"/>
        </w:rPr>
        <w:t>$20</w:t>
      </w:r>
      <w:r w:rsidR="008C3A57" w:rsidRPr="008D0846">
        <w:rPr>
          <w:rFonts w:ascii="Verdana" w:hAnsi="Verdana"/>
          <w:sz w:val="20"/>
          <w:szCs w:val="20"/>
          <w:lang w:val="es-CR"/>
        </w:rPr>
        <w:t>,000</w:t>
      </w:r>
      <w:r w:rsidR="008C3A57" w:rsidRPr="000F7594">
        <w:rPr>
          <w:rFonts w:ascii="Verdana" w:hAnsi="Verdana"/>
          <w:sz w:val="20"/>
          <w:szCs w:val="20"/>
          <w:lang w:val="es-CR"/>
        </w:rPr>
        <w:t xml:space="preserve"> </w:t>
      </w:r>
      <w:r w:rsidR="000C553D">
        <w:rPr>
          <w:rFonts w:ascii="Verdana" w:hAnsi="Verdana"/>
          <w:sz w:val="20"/>
          <w:szCs w:val="20"/>
          <w:lang w:val="es-CR"/>
        </w:rPr>
        <w:t>(veinte</w:t>
      </w:r>
      <w:r w:rsidR="00700E63" w:rsidRPr="008D0846">
        <w:rPr>
          <w:rFonts w:ascii="Verdana" w:hAnsi="Verdana"/>
          <w:sz w:val="20"/>
          <w:szCs w:val="20"/>
          <w:lang w:val="es-CR"/>
        </w:rPr>
        <w:t xml:space="preserve"> mil dólares de los Estados Unidos de América) </w:t>
      </w:r>
      <w:r w:rsidR="008C3A57" w:rsidRPr="000F7594">
        <w:rPr>
          <w:rFonts w:ascii="Verdana" w:hAnsi="Verdana"/>
          <w:sz w:val="20"/>
          <w:szCs w:val="20"/>
          <w:lang w:val="es-CR"/>
        </w:rPr>
        <w:t xml:space="preserve">para el grupo familiar </w:t>
      </w:r>
      <w:r w:rsidR="00E173D9">
        <w:rPr>
          <w:rFonts w:ascii="Verdana" w:hAnsi="Verdana"/>
          <w:sz w:val="20"/>
          <w:szCs w:val="20"/>
          <w:lang w:val="es-CR"/>
        </w:rPr>
        <w:t xml:space="preserve">compuesto por </w:t>
      </w:r>
      <w:r w:rsidR="008C3A57" w:rsidRPr="000F7594">
        <w:rPr>
          <w:rFonts w:ascii="Verdana" w:hAnsi="Verdana"/>
          <w:sz w:val="20"/>
          <w:szCs w:val="20"/>
          <w:lang w:val="es-CR"/>
        </w:rPr>
        <w:t xml:space="preserve">Karina Paola Alvarado Espinoza, </w:t>
      </w:r>
      <w:r w:rsidR="009E0FFD">
        <w:rPr>
          <w:rFonts w:ascii="Verdana" w:hAnsi="Verdana"/>
          <w:sz w:val="20"/>
          <w:szCs w:val="20"/>
          <w:lang w:val="es-CR"/>
        </w:rPr>
        <w:t>(</w:t>
      </w:r>
      <w:r w:rsidR="008C3A57" w:rsidRPr="000F7594">
        <w:rPr>
          <w:rFonts w:ascii="Verdana" w:hAnsi="Verdana"/>
          <w:sz w:val="20"/>
          <w:szCs w:val="20"/>
          <w:lang w:val="es-CR"/>
        </w:rPr>
        <w:t>F.A.H</w:t>
      </w:r>
      <w:r w:rsidR="009E0FFD">
        <w:rPr>
          <w:rFonts w:ascii="Verdana" w:hAnsi="Verdana"/>
          <w:sz w:val="20"/>
          <w:szCs w:val="20"/>
          <w:lang w:val="es-CR"/>
        </w:rPr>
        <w:t>)</w:t>
      </w:r>
      <w:r w:rsidR="008C3A57" w:rsidRPr="000F7594">
        <w:rPr>
          <w:rFonts w:ascii="Verdana" w:hAnsi="Verdana"/>
          <w:sz w:val="20"/>
          <w:szCs w:val="20"/>
          <w:lang w:val="es-CR"/>
        </w:rPr>
        <w:t>, J.G.A y A.G.A</w:t>
      </w:r>
      <w:r w:rsidR="00E173D9">
        <w:rPr>
          <w:rFonts w:ascii="Verdana" w:hAnsi="Verdana"/>
          <w:sz w:val="20"/>
          <w:szCs w:val="20"/>
          <w:lang w:val="es-CR"/>
        </w:rPr>
        <w:t xml:space="preserve"> </w:t>
      </w:r>
      <w:r w:rsidR="00E173D9" w:rsidRPr="000F7594">
        <w:rPr>
          <w:rFonts w:ascii="Verdana" w:hAnsi="Verdana"/>
          <w:sz w:val="20"/>
          <w:szCs w:val="20"/>
          <w:lang w:val="es-CR"/>
        </w:rPr>
        <w:t>(</w:t>
      </w:r>
      <w:r w:rsidR="00E173D9">
        <w:rPr>
          <w:rFonts w:ascii="Verdana" w:hAnsi="Verdana"/>
          <w:sz w:val="20"/>
          <w:szCs w:val="20"/>
          <w:lang w:val="es-CR"/>
        </w:rPr>
        <w:t xml:space="preserve">sobrina y </w:t>
      </w:r>
      <w:r w:rsidR="00E173D9" w:rsidRPr="000F7594">
        <w:rPr>
          <w:rFonts w:ascii="Verdana" w:hAnsi="Verdana"/>
          <w:sz w:val="20"/>
          <w:szCs w:val="20"/>
          <w:lang w:val="es-CR"/>
        </w:rPr>
        <w:t>sobrinos)</w:t>
      </w:r>
      <w:r w:rsidR="008C3A57" w:rsidRPr="000F7594">
        <w:rPr>
          <w:rFonts w:ascii="Verdana" w:hAnsi="Verdana"/>
          <w:sz w:val="20"/>
          <w:szCs w:val="20"/>
          <w:lang w:val="es-CR"/>
        </w:rPr>
        <w:t xml:space="preserve">, en relación con lo resuelto en el párrafo </w:t>
      </w:r>
      <w:r w:rsidR="009A0068">
        <w:rPr>
          <w:rFonts w:ascii="Verdana" w:hAnsi="Verdana"/>
          <w:sz w:val="20"/>
          <w:szCs w:val="20"/>
          <w:lang w:val="es-CR"/>
        </w:rPr>
        <w:t>283</w:t>
      </w:r>
      <w:r w:rsidR="008C3A57" w:rsidRPr="000F7594">
        <w:rPr>
          <w:rFonts w:ascii="Verdana" w:hAnsi="Verdana"/>
          <w:sz w:val="20"/>
          <w:szCs w:val="20"/>
          <w:lang w:val="es-CR"/>
        </w:rPr>
        <w:t xml:space="preserve"> de esta Sentencia</w:t>
      </w:r>
      <w:r w:rsidR="000F7594" w:rsidRPr="008D0846">
        <w:rPr>
          <w:rFonts w:ascii="Verdana" w:hAnsi="Verdana"/>
          <w:sz w:val="20"/>
          <w:szCs w:val="20"/>
          <w:lang w:val="es-CR"/>
        </w:rPr>
        <w:t>.</w:t>
      </w:r>
    </w:p>
    <w:p w14:paraId="076D93B4" w14:textId="0A2CD385" w:rsidR="0030739A" w:rsidRPr="00744CE4" w:rsidRDefault="005740DE" w:rsidP="008D0846">
      <w:pPr>
        <w:pStyle w:val="ListParagraph"/>
        <w:widowControl w:val="0"/>
        <w:numPr>
          <w:ilvl w:val="0"/>
          <w:numId w:val="29"/>
        </w:numPr>
        <w:tabs>
          <w:tab w:val="left" w:pos="567"/>
        </w:tabs>
        <w:autoSpaceDE w:val="0"/>
        <w:autoSpaceDN w:val="0"/>
        <w:adjustRightInd w:val="0"/>
        <w:spacing w:before="120" w:after="120" w:line="240" w:lineRule="auto"/>
        <w:contextualSpacing w:val="0"/>
        <w:jc w:val="both"/>
        <w:textAlignment w:val="baseline"/>
        <w:rPr>
          <w:rFonts w:ascii="Verdana" w:eastAsia="Times New Roman" w:hAnsi="Verdana" w:cs="Times New Roman"/>
          <w:b/>
          <w:bCs/>
          <w:i/>
          <w:sz w:val="20"/>
          <w:szCs w:val="20"/>
          <w:lang w:val="es-ES"/>
        </w:rPr>
      </w:pPr>
      <w:r>
        <w:rPr>
          <w:rFonts w:ascii="Verdana" w:eastAsia="Times New Roman" w:hAnsi="Verdana" w:cs="Times New Roman"/>
          <w:b/>
          <w:bCs/>
          <w:i/>
          <w:sz w:val="20"/>
          <w:szCs w:val="20"/>
          <w:lang w:val="es-ES"/>
        </w:rPr>
        <w:t>Costas</w:t>
      </w:r>
      <w:r w:rsidRPr="00744CE4">
        <w:rPr>
          <w:rFonts w:ascii="Verdana" w:eastAsia="Times New Roman" w:hAnsi="Verdana" w:cs="Times New Roman"/>
          <w:b/>
          <w:bCs/>
          <w:i/>
          <w:sz w:val="20"/>
          <w:szCs w:val="20"/>
          <w:lang w:val="es-ES"/>
        </w:rPr>
        <w:t xml:space="preserve"> </w:t>
      </w:r>
      <w:r>
        <w:rPr>
          <w:rFonts w:ascii="Verdana" w:eastAsia="Times New Roman" w:hAnsi="Verdana" w:cs="Times New Roman"/>
          <w:b/>
          <w:bCs/>
          <w:i/>
          <w:sz w:val="20"/>
          <w:szCs w:val="20"/>
          <w:lang w:val="es-ES"/>
        </w:rPr>
        <w:t xml:space="preserve">y </w:t>
      </w:r>
      <w:r w:rsidR="0030739A" w:rsidRPr="00744CE4">
        <w:rPr>
          <w:rFonts w:ascii="Verdana" w:eastAsia="Times New Roman" w:hAnsi="Verdana" w:cs="Times New Roman"/>
          <w:b/>
          <w:bCs/>
          <w:i/>
          <w:sz w:val="20"/>
          <w:szCs w:val="20"/>
          <w:lang w:val="es-ES"/>
        </w:rPr>
        <w:t xml:space="preserve">Gastos </w:t>
      </w:r>
      <w:r>
        <w:rPr>
          <w:rFonts w:ascii="Verdana" w:eastAsia="Times New Roman" w:hAnsi="Verdana" w:cs="Times New Roman"/>
          <w:b/>
          <w:bCs/>
          <w:i/>
          <w:sz w:val="20"/>
          <w:szCs w:val="20"/>
          <w:lang w:val="es-ES"/>
        </w:rPr>
        <w:t xml:space="preserve"> </w:t>
      </w:r>
    </w:p>
    <w:p w14:paraId="11C80376" w14:textId="77777777" w:rsidR="0030739A" w:rsidRPr="00744CE4" w:rsidRDefault="0030739A" w:rsidP="00DB378B">
      <w:pPr>
        <w:widowControl w:val="0"/>
        <w:numPr>
          <w:ilvl w:val="0"/>
          <w:numId w:val="4"/>
        </w:numPr>
        <w:tabs>
          <w:tab w:val="left" w:pos="567"/>
        </w:tabs>
        <w:autoSpaceDE w:val="0"/>
        <w:autoSpaceDN w:val="0"/>
        <w:adjustRightInd w:val="0"/>
        <w:spacing w:before="120" w:after="120" w:line="240" w:lineRule="auto"/>
        <w:ind w:left="0" w:firstLine="0"/>
        <w:jc w:val="both"/>
        <w:textAlignment w:val="baseline"/>
        <w:rPr>
          <w:rFonts w:ascii="Verdana" w:hAnsi="Verdana" w:cs="Times New Roman"/>
          <w:sz w:val="20"/>
          <w:szCs w:val="20"/>
          <w:lang w:val="es-EC"/>
        </w:rPr>
      </w:pPr>
      <w:r w:rsidRPr="00744CE4">
        <w:rPr>
          <w:rFonts w:ascii="Verdana" w:eastAsia="Times New Roman" w:hAnsi="Verdana" w:cs="Times New Roman"/>
          <w:sz w:val="20"/>
          <w:szCs w:val="20"/>
          <w:lang w:val="es-ES"/>
        </w:rPr>
        <w:t xml:space="preserve">La </w:t>
      </w:r>
      <w:r w:rsidRPr="00744CE4">
        <w:rPr>
          <w:rFonts w:ascii="Verdana" w:eastAsia="Times New Roman" w:hAnsi="Verdana" w:cs="Times New Roman"/>
          <w:b/>
          <w:i/>
          <w:sz w:val="20"/>
          <w:szCs w:val="20"/>
          <w:lang w:val="es-ES"/>
        </w:rPr>
        <w:t>Comisión</w:t>
      </w:r>
      <w:r w:rsidRPr="00744CE4">
        <w:rPr>
          <w:rFonts w:ascii="Verdana" w:eastAsia="Times New Roman" w:hAnsi="Verdana" w:cs="Times New Roman"/>
          <w:sz w:val="20"/>
          <w:szCs w:val="20"/>
          <w:lang w:val="es-ES"/>
        </w:rPr>
        <w:t xml:space="preserve"> </w:t>
      </w:r>
      <w:r w:rsidRPr="00744CE4">
        <w:rPr>
          <w:rFonts w:ascii="Verdana" w:hAnsi="Verdana" w:cs="Times New Roman"/>
          <w:sz w:val="20"/>
          <w:szCs w:val="20"/>
          <w:lang w:val="es-EC"/>
        </w:rPr>
        <w:t>no se pronunció al respecto.</w:t>
      </w:r>
    </w:p>
    <w:p w14:paraId="413979A5" w14:textId="3A9C07B8" w:rsidR="0030739A" w:rsidRPr="00744CE4" w:rsidRDefault="0030739A" w:rsidP="00DB378B">
      <w:pPr>
        <w:widowControl w:val="0"/>
        <w:numPr>
          <w:ilvl w:val="0"/>
          <w:numId w:val="4"/>
        </w:numPr>
        <w:tabs>
          <w:tab w:val="left" w:pos="567"/>
        </w:tabs>
        <w:autoSpaceDE w:val="0"/>
        <w:autoSpaceDN w:val="0"/>
        <w:adjustRightInd w:val="0"/>
        <w:spacing w:before="120" w:after="120" w:line="240" w:lineRule="auto"/>
        <w:ind w:left="0" w:firstLine="0"/>
        <w:jc w:val="both"/>
        <w:textAlignment w:val="baseline"/>
        <w:rPr>
          <w:rFonts w:ascii="Verdana" w:hAnsi="Verdana" w:cs="Times New Roman"/>
          <w:color w:val="00B0F0"/>
          <w:sz w:val="20"/>
          <w:szCs w:val="20"/>
          <w:lang w:val="es-CR"/>
        </w:rPr>
      </w:pPr>
      <w:r w:rsidRPr="00744CE4">
        <w:rPr>
          <w:rFonts w:ascii="Verdana" w:eastAsia="Times New Roman" w:hAnsi="Verdana" w:cs="Times New Roman"/>
          <w:sz w:val="20"/>
          <w:szCs w:val="20"/>
          <w:lang w:val="es-ES"/>
        </w:rPr>
        <w:t xml:space="preserve">Las </w:t>
      </w:r>
      <w:r w:rsidRPr="00744CE4">
        <w:rPr>
          <w:rFonts w:ascii="Verdana" w:eastAsia="Times New Roman" w:hAnsi="Verdana" w:cs="Times New Roman"/>
          <w:b/>
          <w:i/>
          <w:sz w:val="20"/>
          <w:szCs w:val="20"/>
          <w:lang w:val="es-ES"/>
        </w:rPr>
        <w:t>Representantes</w:t>
      </w:r>
      <w:r w:rsidRPr="00744CE4">
        <w:rPr>
          <w:rFonts w:ascii="Verdana" w:eastAsia="Times New Roman" w:hAnsi="Verdana" w:cs="Times New Roman"/>
          <w:sz w:val="20"/>
          <w:szCs w:val="20"/>
          <w:lang w:val="es-ES"/>
        </w:rPr>
        <w:t xml:space="preserve"> </w:t>
      </w:r>
      <w:r w:rsidRPr="00744CE4">
        <w:rPr>
          <w:rFonts w:ascii="Verdana" w:hAnsi="Verdana" w:cs="Times New Roman"/>
          <w:sz w:val="20"/>
          <w:szCs w:val="20"/>
          <w:lang w:val="es-AR"/>
        </w:rPr>
        <w:t xml:space="preserve">solicitaron la cantidad de </w:t>
      </w:r>
      <w:r w:rsidR="00700E63">
        <w:rPr>
          <w:rFonts w:ascii="Verdana" w:hAnsi="Verdana" w:cs="Times New Roman"/>
          <w:sz w:val="20"/>
          <w:szCs w:val="20"/>
          <w:lang w:val="es-AR"/>
        </w:rPr>
        <w:t>MXN</w:t>
      </w:r>
      <w:r w:rsidRPr="00744CE4">
        <w:rPr>
          <w:rFonts w:ascii="Verdana" w:hAnsi="Verdana" w:cs="Times New Roman"/>
          <w:sz w:val="20"/>
          <w:szCs w:val="20"/>
          <w:lang w:val="es-AR"/>
        </w:rPr>
        <w:t xml:space="preserve">$1,957,740.87 </w:t>
      </w:r>
      <w:r w:rsidR="007561E3">
        <w:rPr>
          <w:rFonts w:ascii="Verdana" w:hAnsi="Verdana" w:cs="Times New Roman"/>
          <w:sz w:val="20"/>
          <w:szCs w:val="20"/>
          <w:lang w:val="es-AR"/>
        </w:rPr>
        <w:t>(un millón novecientos cincuenta y siete mil, setecientos cuarenta punto ochenta y siete p</w:t>
      </w:r>
      <w:r w:rsidRPr="00744CE4">
        <w:rPr>
          <w:rFonts w:ascii="Verdana" w:hAnsi="Verdana" w:cs="Times New Roman"/>
          <w:sz w:val="20"/>
          <w:szCs w:val="20"/>
          <w:lang w:val="es-AR"/>
        </w:rPr>
        <w:t>esos mexicanos</w:t>
      </w:r>
      <w:r w:rsidR="007561E3">
        <w:rPr>
          <w:rFonts w:ascii="Verdana" w:hAnsi="Verdana" w:cs="Times New Roman"/>
          <w:sz w:val="20"/>
          <w:szCs w:val="20"/>
          <w:lang w:val="es-AR"/>
        </w:rPr>
        <w:t>)</w:t>
      </w:r>
      <w:r w:rsidRPr="00744CE4">
        <w:rPr>
          <w:rFonts w:ascii="Verdana" w:hAnsi="Verdana" w:cs="Times New Roman"/>
          <w:sz w:val="20"/>
          <w:szCs w:val="20"/>
          <w:lang w:val="es-AR"/>
        </w:rPr>
        <w:t xml:space="preserve">, lo que equivale a </w:t>
      </w:r>
      <w:r w:rsidR="00700E63">
        <w:rPr>
          <w:rFonts w:ascii="Verdana" w:hAnsi="Verdana" w:cs="Times New Roman"/>
          <w:sz w:val="20"/>
          <w:szCs w:val="20"/>
          <w:lang w:val="es-AR"/>
        </w:rPr>
        <w:t>USD</w:t>
      </w:r>
      <w:r w:rsidRPr="00744CE4">
        <w:rPr>
          <w:rFonts w:ascii="Verdana" w:hAnsi="Verdana" w:cs="Times New Roman"/>
          <w:sz w:val="20"/>
          <w:szCs w:val="20"/>
          <w:lang w:val="es-AR"/>
        </w:rPr>
        <w:t xml:space="preserve">$108,070.52 </w:t>
      </w:r>
      <w:r w:rsidR="007561E3">
        <w:rPr>
          <w:rFonts w:ascii="Verdana" w:hAnsi="Verdana" w:cs="Times New Roman"/>
          <w:sz w:val="20"/>
          <w:szCs w:val="20"/>
          <w:lang w:val="es-AR"/>
        </w:rPr>
        <w:t xml:space="preserve">(ciento ocho mil, setenta punto cincuenta y dos </w:t>
      </w:r>
      <w:r w:rsidR="00EC6AC8">
        <w:rPr>
          <w:rFonts w:ascii="Verdana" w:hAnsi="Verdana" w:cs="Times New Roman"/>
          <w:sz w:val="20"/>
          <w:szCs w:val="20"/>
          <w:lang w:val="es-AR"/>
        </w:rPr>
        <w:t>d</w:t>
      </w:r>
      <w:r w:rsidRPr="00744CE4">
        <w:rPr>
          <w:rFonts w:ascii="Verdana" w:hAnsi="Verdana" w:cs="Times New Roman"/>
          <w:sz w:val="20"/>
          <w:szCs w:val="20"/>
          <w:lang w:val="es-AR"/>
        </w:rPr>
        <w:t>ólares estadounidenses</w:t>
      </w:r>
      <w:r w:rsidR="007561E3">
        <w:rPr>
          <w:rFonts w:ascii="Verdana" w:hAnsi="Verdana" w:cs="Times New Roman"/>
          <w:sz w:val="20"/>
          <w:szCs w:val="20"/>
          <w:lang w:val="es-AR"/>
        </w:rPr>
        <w:t>)</w:t>
      </w:r>
      <w:r w:rsidRPr="00744CE4">
        <w:rPr>
          <w:rStyle w:val="FootnoteReference"/>
          <w:rFonts w:ascii="Verdana" w:hAnsi="Verdana"/>
          <w:sz w:val="20"/>
          <w:szCs w:val="20"/>
          <w:lang w:val="es-AR"/>
        </w:rPr>
        <w:footnoteReference w:id="578"/>
      </w:r>
      <w:r w:rsidRPr="00744CE4">
        <w:rPr>
          <w:rFonts w:ascii="Verdana" w:hAnsi="Verdana" w:cs="Times New Roman"/>
          <w:sz w:val="20"/>
          <w:szCs w:val="20"/>
          <w:lang w:val="es-AR"/>
        </w:rPr>
        <w:t>. La anterior suma</w:t>
      </w:r>
      <w:r w:rsidR="00EC6AC8">
        <w:rPr>
          <w:rFonts w:ascii="Verdana" w:hAnsi="Verdana" w:cs="Times New Roman"/>
          <w:sz w:val="20"/>
          <w:szCs w:val="20"/>
          <w:lang w:val="es-AR"/>
        </w:rPr>
        <w:t>,</w:t>
      </w:r>
      <w:r w:rsidRPr="00744CE4">
        <w:rPr>
          <w:rFonts w:ascii="Verdana" w:hAnsi="Verdana" w:cs="Times New Roman"/>
          <w:sz w:val="20"/>
          <w:szCs w:val="20"/>
          <w:lang w:val="es-AR"/>
        </w:rPr>
        <w:t xml:space="preserve"> por concepto de viajes, apoyo en efectivo a l</w:t>
      </w:r>
      <w:r w:rsidR="00A06354">
        <w:rPr>
          <w:rFonts w:ascii="Verdana" w:hAnsi="Verdana" w:cs="Times New Roman"/>
          <w:sz w:val="20"/>
          <w:szCs w:val="20"/>
          <w:lang w:val="es-AR"/>
        </w:rPr>
        <w:t>o</w:t>
      </w:r>
      <w:r w:rsidRPr="00744CE4">
        <w:rPr>
          <w:rFonts w:ascii="Verdana" w:hAnsi="Verdana" w:cs="Times New Roman"/>
          <w:sz w:val="20"/>
          <w:szCs w:val="20"/>
          <w:lang w:val="es-AR"/>
        </w:rPr>
        <w:t xml:space="preserve">s familiares, gastos </w:t>
      </w:r>
      <w:r w:rsidR="00A06354">
        <w:rPr>
          <w:rFonts w:ascii="Verdana" w:hAnsi="Verdana" w:cs="Times New Roman"/>
          <w:sz w:val="20"/>
          <w:szCs w:val="20"/>
          <w:lang w:val="es-AR"/>
        </w:rPr>
        <w:t xml:space="preserve">diversos </w:t>
      </w:r>
      <w:r w:rsidRPr="00744CE4">
        <w:rPr>
          <w:rFonts w:ascii="Verdana" w:hAnsi="Verdana" w:cs="Times New Roman"/>
          <w:sz w:val="20"/>
          <w:szCs w:val="20"/>
          <w:lang w:val="es-AR"/>
        </w:rPr>
        <w:t xml:space="preserve">y por los gastos incurridos por el abogado Carlos Spector en </w:t>
      </w:r>
      <w:r w:rsidRPr="00432ABC">
        <w:rPr>
          <w:rFonts w:ascii="Verdana" w:hAnsi="Verdana" w:cs="Times New Roman"/>
          <w:sz w:val="20"/>
          <w:szCs w:val="20"/>
          <w:lang w:val="es-AR"/>
        </w:rPr>
        <w:t xml:space="preserve">el proceso de residencia legal permanente, gastos derivados de cruce en el puente internacional, y por los casos sobre asilo político. </w:t>
      </w:r>
      <w:r w:rsidRPr="00432ABC">
        <w:rPr>
          <w:rFonts w:ascii="Verdana" w:hAnsi="Verdana" w:cs="Times New Roman"/>
          <w:sz w:val="20"/>
          <w:szCs w:val="20"/>
          <w:lang w:val="es-CR"/>
        </w:rPr>
        <w:t>Por último, en sus alegatos finales, l</w:t>
      </w:r>
      <w:r w:rsidR="00A06354">
        <w:rPr>
          <w:rFonts w:ascii="Verdana" w:hAnsi="Verdana" w:cs="Times New Roman"/>
          <w:sz w:val="20"/>
          <w:szCs w:val="20"/>
          <w:lang w:val="es-CR"/>
        </w:rPr>
        <w:t>a</w:t>
      </w:r>
      <w:r w:rsidRPr="00432ABC">
        <w:rPr>
          <w:rFonts w:ascii="Verdana" w:hAnsi="Verdana" w:cs="Times New Roman"/>
          <w:sz w:val="20"/>
          <w:szCs w:val="20"/>
          <w:lang w:val="es-CR"/>
        </w:rPr>
        <w:t xml:space="preserve">s representantes </w:t>
      </w:r>
      <w:r w:rsidRPr="002C462C">
        <w:rPr>
          <w:rFonts w:ascii="Verdana" w:hAnsi="Verdana" w:cs="Times New Roman"/>
          <w:sz w:val="20"/>
          <w:szCs w:val="20"/>
          <w:lang w:val="es-CR"/>
        </w:rPr>
        <w:t xml:space="preserve">aumentaron el monto estimado inicialmente para incluir gastos adicionales posteriores a la presentación del escrito de </w:t>
      </w:r>
      <w:r w:rsidR="00A06354">
        <w:rPr>
          <w:rFonts w:ascii="Verdana" w:hAnsi="Verdana" w:cs="Times New Roman"/>
          <w:sz w:val="20"/>
          <w:szCs w:val="20"/>
          <w:lang w:val="es-CR"/>
        </w:rPr>
        <w:t xml:space="preserve">solicitudes, </w:t>
      </w:r>
      <w:r w:rsidRPr="002C462C">
        <w:rPr>
          <w:rFonts w:ascii="Verdana" w:hAnsi="Verdana" w:cs="Times New Roman"/>
          <w:sz w:val="20"/>
          <w:szCs w:val="20"/>
          <w:lang w:val="es-CR"/>
        </w:rPr>
        <w:t xml:space="preserve">argumentos y pruebas, por una suma igual a </w:t>
      </w:r>
      <w:r w:rsidR="00700E63">
        <w:rPr>
          <w:rFonts w:ascii="Verdana" w:hAnsi="Verdana" w:cs="Times New Roman"/>
          <w:sz w:val="20"/>
          <w:szCs w:val="20"/>
          <w:lang w:val="es-CR"/>
        </w:rPr>
        <w:t>MX</w:t>
      </w:r>
      <w:r w:rsidRPr="002C462C">
        <w:rPr>
          <w:rFonts w:ascii="Verdana" w:hAnsi="Verdana" w:cs="Times New Roman"/>
          <w:sz w:val="20"/>
          <w:szCs w:val="20"/>
          <w:lang w:val="es-CR"/>
        </w:rPr>
        <w:t xml:space="preserve">$516,000.47 </w:t>
      </w:r>
      <w:r w:rsidR="007561E3">
        <w:rPr>
          <w:rFonts w:ascii="Verdana" w:hAnsi="Verdana" w:cs="Times New Roman"/>
          <w:sz w:val="20"/>
          <w:szCs w:val="20"/>
          <w:lang w:val="es-CR"/>
        </w:rPr>
        <w:t xml:space="preserve">(quinientos dieciséis mil punto cuarenta y siete </w:t>
      </w:r>
      <w:r w:rsidRPr="002C462C">
        <w:rPr>
          <w:rFonts w:ascii="Verdana" w:hAnsi="Verdana" w:cs="Times New Roman"/>
          <w:sz w:val="20"/>
          <w:szCs w:val="20"/>
          <w:lang w:val="es-CR"/>
        </w:rPr>
        <w:t>pesos mexicanos</w:t>
      </w:r>
      <w:r w:rsidR="007561E3">
        <w:rPr>
          <w:rFonts w:ascii="Verdana" w:hAnsi="Verdana" w:cs="Times New Roman"/>
          <w:sz w:val="20"/>
          <w:szCs w:val="20"/>
          <w:lang w:val="es-CR"/>
        </w:rPr>
        <w:t>)</w:t>
      </w:r>
      <w:r w:rsidR="00597F8F">
        <w:rPr>
          <w:rFonts w:ascii="Verdana" w:hAnsi="Verdana" w:cs="Times New Roman"/>
          <w:sz w:val="20"/>
          <w:szCs w:val="20"/>
          <w:lang w:val="es-CR"/>
        </w:rPr>
        <w:t>,</w:t>
      </w:r>
      <w:r w:rsidRPr="00744CE4">
        <w:rPr>
          <w:rFonts w:ascii="Verdana" w:hAnsi="Verdana" w:cs="Times New Roman"/>
          <w:sz w:val="20"/>
          <w:szCs w:val="20"/>
          <w:lang w:val="es-CR"/>
        </w:rPr>
        <w:t xml:space="preserve"> lo que equivale a </w:t>
      </w:r>
      <w:r w:rsidR="0089368F">
        <w:rPr>
          <w:rFonts w:ascii="Verdana" w:hAnsi="Verdana" w:cs="Times New Roman"/>
          <w:sz w:val="20"/>
          <w:szCs w:val="20"/>
          <w:lang w:val="es-CR"/>
        </w:rPr>
        <w:t xml:space="preserve">un aproximado de </w:t>
      </w:r>
      <w:r w:rsidR="00700E63">
        <w:rPr>
          <w:rFonts w:ascii="Verdana" w:hAnsi="Verdana" w:cs="Times New Roman"/>
          <w:sz w:val="20"/>
          <w:szCs w:val="20"/>
          <w:lang w:val="es-CR"/>
        </w:rPr>
        <w:t>US</w:t>
      </w:r>
      <w:r w:rsidR="00E307D4">
        <w:rPr>
          <w:rFonts w:ascii="Verdana" w:hAnsi="Verdana" w:cs="Times New Roman"/>
          <w:sz w:val="20"/>
          <w:szCs w:val="20"/>
          <w:lang w:val="es-CR"/>
        </w:rPr>
        <w:t>D</w:t>
      </w:r>
      <w:r w:rsidRPr="00744CE4">
        <w:rPr>
          <w:rFonts w:ascii="Verdana" w:hAnsi="Verdana" w:cs="Times New Roman"/>
          <w:sz w:val="20"/>
          <w:szCs w:val="20"/>
          <w:lang w:val="es-CR"/>
        </w:rPr>
        <w:t xml:space="preserve">$26,379.62 </w:t>
      </w:r>
      <w:r w:rsidR="007561E3">
        <w:rPr>
          <w:rFonts w:ascii="Verdana" w:hAnsi="Verdana" w:cs="Times New Roman"/>
          <w:sz w:val="20"/>
          <w:szCs w:val="20"/>
          <w:lang w:val="es-CR"/>
        </w:rPr>
        <w:t xml:space="preserve">(veintiséis mil trescientos setenta y nueve punto </w:t>
      </w:r>
      <w:r w:rsidR="007561E3">
        <w:rPr>
          <w:rFonts w:ascii="Verdana" w:hAnsi="Verdana" w:cs="Times New Roman"/>
          <w:sz w:val="20"/>
          <w:szCs w:val="20"/>
          <w:lang w:val="es-CR"/>
        </w:rPr>
        <w:lastRenderedPageBreak/>
        <w:t xml:space="preserve">sesenta y dos </w:t>
      </w:r>
      <w:r w:rsidRPr="00744CE4">
        <w:rPr>
          <w:rFonts w:ascii="Verdana" w:hAnsi="Verdana" w:cs="Times New Roman"/>
          <w:sz w:val="20"/>
          <w:szCs w:val="20"/>
          <w:lang w:val="es-CR"/>
        </w:rPr>
        <w:t>dólares estadounidenses</w:t>
      </w:r>
      <w:r w:rsidR="007561E3">
        <w:rPr>
          <w:rFonts w:ascii="Verdana" w:hAnsi="Verdana" w:cs="Times New Roman"/>
          <w:sz w:val="20"/>
          <w:szCs w:val="20"/>
          <w:lang w:val="es-CR"/>
        </w:rPr>
        <w:t>)</w:t>
      </w:r>
      <w:r w:rsidR="00597F8F" w:rsidRPr="00744CE4">
        <w:rPr>
          <w:rStyle w:val="FootnoteReference"/>
          <w:rFonts w:ascii="Verdana" w:hAnsi="Verdana"/>
          <w:sz w:val="20"/>
          <w:szCs w:val="20"/>
          <w:lang w:val="es-CR"/>
        </w:rPr>
        <w:footnoteReference w:id="579"/>
      </w:r>
      <w:r w:rsidRPr="00744CE4">
        <w:rPr>
          <w:rFonts w:ascii="Verdana" w:hAnsi="Verdana" w:cs="Times New Roman"/>
          <w:sz w:val="20"/>
          <w:szCs w:val="20"/>
          <w:lang w:val="es-CR"/>
        </w:rPr>
        <w:t xml:space="preserve">, por concepto de recursos humanos, viajes y otros gastos, para un total de </w:t>
      </w:r>
      <w:r w:rsidR="00700E63">
        <w:rPr>
          <w:rFonts w:ascii="Verdana" w:hAnsi="Verdana" w:cs="Times New Roman"/>
          <w:sz w:val="20"/>
          <w:szCs w:val="20"/>
          <w:lang w:val="es-CR"/>
        </w:rPr>
        <w:t>US</w:t>
      </w:r>
      <w:r w:rsidR="00E307D4">
        <w:rPr>
          <w:rFonts w:ascii="Verdana" w:hAnsi="Verdana" w:cs="Times New Roman"/>
          <w:sz w:val="20"/>
          <w:szCs w:val="20"/>
          <w:lang w:val="es-CR"/>
        </w:rPr>
        <w:t>D</w:t>
      </w:r>
      <w:r w:rsidRPr="00744CE4">
        <w:rPr>
          <w:rFonts w:ascii="Verdana" w:hAnsi="Verdana" w:cs="Times New Roman"/>
          <w:sz w:val="20"/>
          <w:szCs w:val="20"/>
          <w:lang w:val="es-CR"/>
        </w:rPr>
        <w:t xml:space="preserve">$134,395.775 </w:t>
      </w:r>
      <w:r w:rsidR="007561E3">
        <w:rPr>
          <w:rFonts w:ascii="Verdana" w:hAnsi="Verdana" w:cs="Times New Roman"/>
          <w:sz w:val="20"/>
          <w:szCs w:val="20"/>
          <w:lang w:val="es-CR"/>
        </w:rPr>
        <w:t>(ciento treinta y cuatro mil trescientos noventa y cinco</w:t>
      </w:r>
      <w:r w:rsidR="008143D6">
        <w:rPr>
          <w:rFonts w:ascii="Verdana" w:hAnsi="Verdana" w:cs="Times New Roman"/>
          <w:sz w:val="20"/>
          <w:szCs w:val="20"/>
          <w:lang w:val="es-CR"/>
        </w:rPr>
        <w:t>,</w:t>
      </w:r>
      <w:r w:rsidR="007561E3">
        <w:rPr>
          <w:rFonts w:ascii="Verdana" w:hAnsi="Verdana" w:cs="Times New Roman"/>
          <w:sz w:val="20"/>
          <w:szCs w:val="20"/>
          <w:lang w:val="es-CR"/>
        </w:rPr>
        <w:t xml:space="preserve"> punto setecientos setenta y cinco </w:t>
      </w:r>
      <w:r w:rsidRPr="00744CE4">
        <w:rPr>
          <w:rFonts w:ascii="Verdana" w:hAnsi="Verdana" w:cs="Times New Roman"/>
          <w:sz w:val="20"/>
          <w:szCs w:val="20"/>
          <w:lang w:val="es-CR"/>
        </w:rPr>
        <w:t>dólares estadounidenses</w:t>
      </w:r>
      <w:r w:rsidR="007561E3">
        <w:rPr>
          <w:rFonts w:ascii="Verdana" w:hAnsi="Verdana" w:cs="Times New Roman"/>
          <w:sz w:val="20"/>
          <w:szCs w:val="20"/>
          <w:lang w:val="es-CR"/>
        </w:rPr>
        <w:t>)</w:t>
      </w:r>
      <w:r w:rsidRPr="00744CE4">
        <w:rPr>
          <w:rStyle w:val="FootnoteReference"/>
          <w:rFonts w:ascii="Verdana" w:hAnsi="Verdana"/>
          <w:sz w:val="20"/>
          <w:szCs w:val="20"/>
          <w:lang w:val="es-CR"/>
        </w:rPr>
        <w:footnoteReference w:id="580"/>
      </w:r>
      <w:r w:rsidRPr="00744CE4">
        <w:rPr>
          <w:rFonts w:ascii="Verdana" w:hAnsi="Verdana" w:cs="Times New Roman"/>
          <w:sz w:val="20"/>
          <w:szCs w:val="20"/>
          <w:lang w:val="es-CR"/>
        </w:rPr>
        <w:t xml:space="preserve">. </w:t>
      </w:r>
    </w:p>
    <w:p w14:paraId="54FC761F" w14:textId="415031B8" w:rsidR="0030739A" w:rsidRPr="00744CE4" w:rsidRDefault="0030739A" w:rsidP="00DB378B">
      <w:pPr>
        <w:widowControl w:val="0"/>
        <w:numPr>
          <w:ilvl w:val="0"/>
          <w:numId w:val="4"/>
        </w:numPr>
        <w:tabs>
          <w:tab w:val="left" w:pos="567"/>
        </w:tabs>
        <w:autoSpaceDE w:val="0"/>
        <w:autoSpaceDN w:val="0"/>
        <w:adjustRightInd w:val="0"/>
        <w:spacing w:before="120" w:after="120" w:line="240" w:lineRule="auto"/>
        <w:ind w:left="0" w:firstLine="0"/>
        <w:jc w:val="both"/>
        <w:textAlignment w:val="baseline"/>
        <w:rPr>
          <w:rFonts w:ascii="Verdana" w:hAnsi="Verdana" w:cs="Times New Roman"/>
          <w:strike/>
          <w:sz w:val="20"/>
          <w:szCs w:val="20"/>
          <w:lang w:val="es-CR"/>
        </w:rPr>
      </w:pPr>
      <w:r w:rsidRPr="00744CE4">
        <w:rPr>
          <w:rFonts w:ascii="Verdana" w:eastAsia="Times New Roman" w:hAnsi="Verdana" w:cs="Times New Roman"/>
          <w:sz w:val="20"/>
          <w:szCs w:val="20"/>
          <w:lang w:val="es-ES"/>
        </w:rPr>
        <w:t xml:space="preserve">El </w:t>
      </w:r>
      <w:r w:rsidRPr="00744CE4">
        <w:rPr>
          <w:rFonts w:ascii="Verdana" w:eastAsia="Times New Roman" w:hAnsi="Verdana" w:cs="Times New Roman"/>
          <w:b/>
          <w:i/>
          <w:sz w:val="20"/>
          <w:szCs w:val="20"/>
          <w:lang w:val="es-ES"/>
        </w:rPr>
        <w:t>Estado</w:t>
      </w:r>
      <w:r w:rsidRPr="00744CE4">
        <w:rPr>
          <w:rFonts w:ascii="Verdana" w:eastAsia="Times New Roman" w:hAnsi="Verdana" w:cs="Times New Roman"/>
          <w:sz w:val="20"/>
          <w:szCs w:val="20"/>
          <w:lang w:val="es-ES"/>
        </w:rPr>
        <w:t xml:space="preserve"> recordó que los estándares interamericanos disponen que en cuanto a gastos y costas se debe tratar de montos razo</w:t>
      </w:r>
      <w:r w:rsidRPr="00432ABC">
        <w:rPr>
          <w:rFonts w:ascii="Verdana" w:eastAsia="Times New Roman" w:hAnsi="Verdana" w:cs="Times New Roman"/>
          <w:sz w:val="20"/>
          <w:szCs w:val="20"/>
          <w:lang w:val="es-ES"/>
        </w:rPr>
        <w:t>nables, debidamente comprobados, que tengan relación directa con el caso concreto y corresponderá a la Corte apreciar prudentemente su alcance. Asimismo deberá prevalecer el principio de equidad</w:t>
      </w:r>
      <w:r w:rsidRPr="00744CE4">
        <w:rPr>
          <w:rFonts w:ascii="Verdana" w:eastAsia="Times New Roman" w:hAnsi="Verdana" w:cs="Times New Roman"/>
          <w:sz w:val="20"/>
          <w:szCs w:val="20"/>
          <w:lang w:val="es-ES"/>
        </w:rPr>
        <w:t>. Agregó que si bien la representación</w:t>
      </w:r>
      <w:r w:rsidR="008143D6">
        <w:rPr>
          <w:rFonts w:ascii="Verdana" w:eastAsia="Times New Roman" w:hAnsi="Verdana" w:cs="Times New Roman"/>
          <w:sz w:val="20"/>
          <w:szCs w:val="20"/>
          <w:lang w:val="es-ES"/>
        </w:rPr>
        <w:t xml:space="preserve"> de las víctimas</w:t>
      </w:r>
      <w:r w:rsidRPr="00744CE4">
        <w:rPr>
          <w:rFonts w:ascii="Verdana" w:eastAsia="Times New Roman" w:hAnsi="Verdana" w:cs="Times New Roman"/>
          <w:sz w:val="20"/>
          <w:szCs w:val="20"/>
          <w:lang w:val="es-ES"/>
        </w:rPr>
        <w:t xml:space="preserve"> expone cantidades por las cuales solicita el pago de gastos y costas, </w:t>
      </w:r>
      <w:r w:rsidR="00850315">
        <w:rPr>
          <w:rFonts w:ascii="Verdana" w:eastAsia="Times New Roman" w:hAnsi="Verdana" w:cs="Times New Roman"/>
          <w:sz w:val="20"/>
          <w:szCs w:val="20"/>
          <w:lang w:val="es-ES"/>
        </w:rPr>
        <w:t>no obstante</w:t>
      </w:r>
      <w:r w:rsidRPr="00744CE4">
        <w:rPr>
          <w:rFonts w:ascii="Verdana" w:eastAsia="Times New Roman" w:hAnsi="Verdana" w:cs="Times New Roman"/>
          <w:sz w:val="20"/>
          <w:szCs w:val="20"/>
          <w:lang w:val="es-ES"/>
        </w:rPr>
        <w:t>, ésta no ha realizado ninguna</w:t>
      </w:r>
      <w:r w:rsidR="00C454B2" w:rsidRPr="00744CE4">
        <w:rPr>
          <w:rFonts w:ascii="Verdana" w:eastAsia="Times New Roman" w:hAnsi="Verdana" w:cs="Times New Roman"/>
          <w:sz w:val="20"/>
          <w:szCs w:val="20"/>
          <w:lang w:val="es-ES"/>
        </w:rPr>
        <w:t xml:space="preserve"> </w:t>
      </w:r>
      <w:r w:rsidRPr="00744CE4">
        <w:rPr>
          <w:rFonts w:ascii="Verdana" w:eastAsia="Times New Roman" w:hAnsi="Verdana" w:cs="Times New Roman"/>
          <w:sz w:val="20"/>
          <w:szCs w:val="20"/>
          <w:lang w:val="es-ES"/>
        </w:rPr>
        <w:t xml:space="preserve">explicación sobre el desembolso y su relación al asunto. </w:t>
      </w:r>
      <w:r w:rsidRPr="00432ABC">
        <w:rPr>
          <w:rFonts w:ascii="Verdana" w:eastAsia="Times New Roman" w:hAnsi="Verdana" w:cs="Times New Roman"/>
          <w:sz w:val="20"/>
          <w:szCs w:val="20"/>
          <w:lang w:val="es-ES"/>
        </w:rPr>
        <w:t xml:space="preserve">Respecto </w:t>
      </w:r>
      <w:r w:rsidR="008143D6">
        <w:rPr>
          <w:rFonts w:ascii="Verdana" w:eastAsia="Times New Roman" w:hAnsi="Verdana" w:cs="Times New Roman"/>
          <w:sz w:val="20"/>
          <w:szCs w:val="20"/>
          <w:lang w:val="es-ES"/>
        </w:rPr>
        <w:t>de</w:t>
      </w:r>
      <w:r w:rsidRPr="00432ABC">
        <w:rPr>
          <w:rFonts w:ascii="Verdana" w:eastAsia="Times New Roman" w:hAnsi="Verdana" w:cs="Times New Roman"/>
          <w:sz w:val="20"/>
          <w:szCs w:val="20"/>
          <w:lang w:val="es-ES"/>
        </w:rPr>
        <w:t xml:space="preserve"> la suma solicitada por las representantes a favor de la familia Spector</w:t>
      </w:r>
      <w:r w:rsidR="00C76D12" w:rsidRPr="00432ABC">
        <w:rPr>
          <w:rFonts w:ascii="Verdana" w:eastAsia="Times New Roman" w:hAnsi="Verdana" w:cs="Times New Roman"/>
          <w:sz w:val="20"/>
          <w:szCs w:val="20"/>
          <w:lang w:val="es-ES"/>
        </w:rPr>
        <w:t xml:space="preserve"> por los procesos de asilo seguidos por los familiares de las víctimas en los Estados Unidos</w:t>
      </w:r>
      <w:r w:rsidRPr="002C462C">
        <w:rPr>
          <w:rFonts w:ascii="Verdana" w:eastAsia="Times New Roman" w:hAnsi="Verdana" w:cs="Times New Roman"/>
          <w:sz w:val="20"/>
          <w:szCs w:val="20"/>
          <w:lang w:val="es-ES"/>
        </w:rPr>
        <w:t xml:space="preserve">, el Estado </w:t>
      </w:r>
      <w:r w:rsidR="00C76D12" w:rsidRPr="002C462C">
        <w:rPr>
          <w:rFonts w:ascii="Verdana" w:eastAsia="Times New Roman" w:hAnsi="Verdana" w:cs="Times New Roman"/>
          <w:sz w:val="20"/>
          <w:szCs w:val="20"/>
          <w:lang w:val="es-ES"/>
        </w:rPr>
        <w:t xml:space="preserve">consideró que estos procesos </w:t>
      </w:r>
      <w:r w:rsidR="002F39DD" w:rsidRPr="00744CE4">
        <w:rPr>
          <w:rFonts w:ascii="Verdana" w:eastAsia="Times New Roman" w:hAnsi="Verdana" w:cs="Times New Roman"/>
          <w:sz w:val="20"/>
          <w:szCs w:val="20"/>
          <w:lang w:val="es-ES"/>
        </w:rPr>
        <w:t>no tienen vínculo con el presente caso y el Estado no puede ser obligado a cubrir gastos llevados a cabo fuera del territorio mexicano en aplicación extraterritorial de la Convención.</w:t>
      </w:r>
      <w:r w:rsidRPr="00744CE4">
        <w:rPr>
          <w:rFonts w:ascii="Verdana" w:eastAsia="Times New Roman" w:hAnsi="Verdana" w:cs="Times New Roman"/>
          <w:sz w:val="20"/>
          <w:szCs w:val="20"/>
          <w:lang w:val="es-ES"/>
        </w:rPr>
        <w:t xml:space="preserve"> </w:t>
      </w:r>
    </w:p>
    <w:p w14:paraId="744C7287" w14:textId="02B16F62" w:rsidR="0030739A" w:rsidRPr="00744CE4" w:rsidRDefault="0030739A" w:rsidP="00DB378B">
      <w:pPr>
        <w:widowControl w:val="0"/>
        <w:numPr>
          <w:ilvl w:val="0"/>
          <w:numId w:val="4"/>
        </w:numPr>
        <w:tabs>
          <w:tab w:val="left" w:pos="567"/>
        </w:tabs>
        <w:autoSpaceDE w:val="0"/>
        <w:autoSpaceDN w:val="0"/>
        <w:adjustRightInd w:val="0"/>
        <w:spacing w:before="120" w:after="120" w:line="240" w:lineRule="auto"/>
        <w:ind w:left="0" w:firstLine="0"/>
        <w:jc w:val="both"/>
        <w:textAlignment w:val="baseline"/>
        <w:rPr>
          <w:rFonts w:ascii="Verdana" w:hAnsi="Verdana" w:cs="Times New Roman"/>
          <w:sz w:val="20"/>
          <w:szCs w:val="20"/>
          <w:lang w:val="es-CR"/>
        </w:rPr>
      </w:pPr>
      <w:r w:rsidRPr="00744CE4">
        <w:rPr>
          <w:rFonts w:ascii="Verdana" w:hAnsi="Verdana" w:cs="Times New Roman"/>
          <w:sz w:val="20"/>
          <w:szCs w:val="20"/>
          <w:lang w:val="es-CR"/>
        </w:rPr>
        <w:t xml:space="preserve">La </w:t>
      </w:r>
      <w:r w:rsidRPr="005053BD">
        <w:rPr>
          <w:rFonts w:ascii="Verdana" w:hAnsi="Verdana" w:cs="Times New Roman"/>
          <w:b/>
          <w:i/>
          <w:sz w:val="20"/>
          <w:szCs w:val="20"/>
          <w:lang w:val="es-CR"/>
        </w:rPr>
        <w:t>Corte</w:t>
      </w:r>
      <w:r w:rsidRPr="00744CE4">
        <w:rPr>
          <w:rFonts w:ascii="Verdana" w:hAnsi="Verdana" w:cs="Times New Roman"/>
          <w:sz w:val="20"/>
          <w:szCs w:val="20"/>
          <w:lang w:val="es-CR"/>
        </w:rPr>
        <w:t xml:space="preserve"> reitera que, conforme a su jurisprudencia</w:t>
      </w:r>
      <w:r w:rsidRPr="00744CE4">
        <w:rPr>
          <w:rFonts w:ascii="Verdana" w:hAnsi="Verdana" w:cs="Times New Roman"/>
          <w:sz w:val="20"/>
          <w:szCs w:val="20"/>
          <w:vertAlign w:val="superscript"/>
          <w:lang w:val="es-CR"/>
        </w:rPr>
        <w:footnoteReference w:id="581"/>
      </w:r>
      <w:r w:rsidRPr="00744CE4">
        <w:rPr>
          <w:rFonts w:ascii="Verdana" w:hAnsi="Verdana" w:cs="Times New Roman"/>
          <w:sz w:val="20"/>
          <w:szCs w:val="20"/>
          <w:lang w:val="es-CR"/>
        </w:rPr>
        <w:t xml:space="preserve">, las costas y gastos hacen parte del concepto de reparación, toda vez que la actividad desplegada por las víctimas con el fin de obtener justicia, tanto a nivel nacional como internacional, implica erogaciones que deben ser compensadas cuando la responsabilidad internacional del Estado es declarada mediante una sentencia condenatoria. En cuanto al reembolso de las costas y gastos, corresponde al Tribunal apreciar prudentemente su alcance, el cual comprende los gastos generados ante las autoridades de la jurisdicción interna, así como los generados en el curso del proceso ante el </w:t>
      </w:r>
      <w:r w:rsidR="005740DE">
        <w:rPr>
          <w:rFonts w:ascii="Verdana" w:hAnsi="Verdana" w:cs="Times New Roman"/>
          <w:sz w:val="20"/>
          <w:szCs w:val="20"/>
          <w:lang w:val="es-CR"/>
        </w:rPr>
        <w:t>S</w:t>
      </w:r>
      <w:r w:rsidRPr="00744CE4">
        <w:rPr>
          <w:rFonts w:ascii="Verdana" w:hAnsi="Verdana" w:cs="Times New Roman"/>
          <w:sz w:val="20"/>
          <w:szCs w:val="20"/>
          <w:lang w:val="es-CR"/>
        </w:rPr>
        <w:t xml:space="preserve">istema </w:t>
      </w:r>
      <w:r w:rsidR="005740DE">
        <w:rPr>
          <w:rFonts w:ascii="Verdana" w:hAnsi="Verdana" w:cs="Times New Roman"/>
          <w:sz w:val="20"/>
          <w:szCs w:val="20"/>
          <w:lang w:val="es-CR"/>
        </w:rPr>
        <w:t>I</w:t>
      </w:r>
      <w:r w:rsidRPr="00744CE4">
        <w:rPr>
          <w:rFonts w:ascii="Verdana" w:hAnsi="Verdana" w:cs="Times New Roman"/>
          <w:sz w:val="20"/>
          <w:szCs w:val="20"/>
          <w:lang w:val="es-CR"/>
        </w:rPr>
        <w:t>nteramericano, teniendo en cuenta las circunstancias del caso concreto y la naturaleza de la jurisdicción internacional de protección de derechos humanos. Esta apreciación debe ser realizada tomando en cuenta los gastos señalados por</w:t>
      </w:r>
      <w:r w:rsidRPr="00432ABC">
        <w:rPr>
          <w:rFonts w:ascii="Verdana" w:hAnsi="Verdana" w:cs="Times New Roman"/>
          <w:sz w:val="20"/>
          <w:szCs w:val="20"/>
          <w:lang w:val="es-CR"/>
        </w:rPr>
        <w:t xml:space="preserve"> las partes, siempre que su </w:t>
      </w:r>
      <w:r w:rsidRPr="00432ABC">
        <w:rPr>
          <w:rFonts w:ascii="Verdana" w:hAnsi="Verdana" w:cs="Times New Roman"/>
          <w:i/>
          <w:sz w:val="20"/>
          <w:szCs w:val="20"/>
          <w:lang w:val="es-CR"/>
        </w:rPr>
        <w:t>quantum</w:t>
      </w:r>
      <w:r w:rsidRPr="00432ABC">
        <w:rPr>
          <w:rFonts w:ascii="Verdana" w:hAnsi="Verdana" w:cs="Times New Roman"/>
          <w:sz w:val="20"/>
          <w:szCs w:val="20"/>
          <w:lang w:val="es-CR"/>
        </w:rPr>
        <w:t xml:space="preserve"> sea razonable</w:t>
      </w:r>
      <w:r w:rsidRPr="00744CE4">
        <w:rPr>
          <w:rFonts w:ascii="Verdana" w:hAnsi="Verdana" w:cs="Times New Roman"/>
          <w:sz w:val="20"/>
          <w:szCs w:val="20"/>
          <w:vertAlign w:val="superscript"/>
          <w:lang w:val="es-CR"/>
        </w:rPr>
        <w:footnoteReference w:id="582"/>
      </w:r>
      <w:r w:rsidRPr="00744CE4">
        <w:rPr>
          <w:rFonts w:ascii="Verdana" w:hAnsi="Verdana" w:cs="Times New Roman"/>
          <w:sz w:val="20"/>
          <w:szCs w:val="20"/>
          <w:lang w:val="es-CR"/>
        </w:rPr>
        <w:t xml:space="preserve">. </w:t>
      </w:r>
    </w:p>
    <w:p w14:paraId="33D29B22" w14:textId="77777777" w:rsidR="0030739A" w:rsidRPr="00744CE4" w:rsidRDefault="0030739A" w:rsidP="00DB378B">
      <w:pPr>
        <w:widowControl w:val="0"/>
        <w:numPr>
          <w:ilvl w:val="0"/>
          <w:numId w:val="4"/>
        </w:numPr>
        <w:tabs>
          <w:tab w:val="left" w:pos="567"/>
        </w:tabs>
        <w:autoSpaceDE w:val="0"/>
        <w:autoSpaceDN w:val="0"/>
        <w:adjustRightInd w:val="0"/>
        <w:spacing w:before="120" w:after="120" w:line="240" w:lineRule="auto"/>
        <w:ind w:left="0" w:firstLine="0"/>
        <w:jc w:val="both"/>
        <w:textAlignment w:val="baseline"/>
        <w:rPr>
          <w:rFonts w:ascii="Verdana" w:hAnsi="Verdana" w:cs="Times New Roman"/>
          <w:sz w:val="20"/>
          <w:szCs w:val="20"/>
          <w:lang w:val="es-CR"/>
        </w:rPr>
      </w:pPr>
      <w:r w:rsidRPr="00744CE4">
        <w:rPr>
          <w:rFonts w:ascii="Verdana" w:hAnsi="Verdana" w:cs="Times New Roman"/>
          <w:sz w:val="20"/>
          <w:szCs w:val="20"/>
          <w:lang w:val="es-CR"/>
        </w:rPr>
        <w:t>Este</w:t>
      </w:r>
      <w:r w:rsidRPr="00744CE4">
        <w:rPr>
          <w:rFonts w:ascii="Verdana" w:hAnsi="Verdana" w:cs="Times New Roman"/>
          <w:spacing w:val="-2"/>
          <w:sz w:val="20"/>
          <w:szCs w:val="20"/>
          <w:lang w:val="es-CR"/>
        </w:rPr>
        <w:t xml:space="preserve"> Tribunal </w:t>
      </w:r>
      <w:r w:rsidRPr="00744CE4">
        <w:rPr>
          <w:rFonts w:ascii="Verdana" w:eastAsia="Verdana" w:hAnsi="Verdana" w:cs="Times New Roman"/>
          <w:spacing w:val="1"/>
          <w:sz w:val="20"/>
          <w:szCs w:val="20"/>
          <w:lang w:val="es-CR"/>
        </w:rPr>
        <w:t>h</w:t>
      </w:r>
      <w:r w:rsidRPr="00432ABC">
        <w:rPr>
          <w:rFonts w:ascii="Verdana" w:eastAsia="Verdana" w:hAnsi="Verdana" w:cs="Times New Roman"/>
          <w:sz w:val="20"/>
          <w:szCs w:val="20"/>
          <w:lang w:val="es-CR"/>
        </w:rPr>
        <w:t>a</w:t>
      </w:r>
      <w:r w:rsidRPr="00432ABC">
        <w:rPr>
          <w:rFonts w:ascii="Verdana" w:eastAsia="Verdana" w:hAnsi="Verdana" w:cs="Times New Roman"/>
          <w:spacing w:val="59"/>
          <w:sz w:val="20"/>
          <w:szCs w:val="20"/>
          <w:lang w:val="es-CR"/>
        </w:rPr>
        <w:t xml:space="preserve"> </w:t>
      </w:r>
      <w:r w:rsidRPr="00432ABC">
        <w:rPr>
          <w:rFonts w:ascii="Verdana" w:eastAsia="Verdana" w:hAnsi="Verdana" w:cs="Times New Roman"/>
          <w:sz w:val="20"/>
          <w:szCs w:val="20"/>
          <w:lang w:val="es-CR"/>
        </w:rPr>
        <w:t>s</w:t>
      </w:r>
      <w:r w:rsidRPr="00432ABC">
        <w:rPr>
          <w:rFonts w:ascii="Verdana" w:eastAsia="Verdana" w:hAnsi="Verdana" w:cs="Times New Roman"/>
          <w:spacing w:val="-2"/>
          <w:sz w:val="20"/>
          <w:szCs w:val="20"/>
          <w:lang w:val="es-CR"/>
        </w:rPr>
        <w:t>e</w:t>
      </w:r>
      <w:r w:rsidRPr="00432ABC">
        <w:rPr>
          <w:rFonts w:ascii="Verdana" w:eastAsia="Verdana" w:hAnsi="Verdana" w:cs="Times New Roman"/>
          <w:spacing w:val="1"/>
          <w:sz w:val="20"/>
          <w:szCs w:val="20"/>
          <w:lang w:val="es-CR"/>
        </w:rPr>
        <w:t>ñ</w:t>
      </w:r>
      <w:r w:rsidRPr="00432ABC">
        <w:rPr>
          <w:rFonts w:ascii="Verdana" w:eastAsia="Verdana" w:hAnsi="Verdana" w:cs="Times New Roman"/>
          <w:sz w:val="20"/>
          <w:szCs w:val="20"/>
          <w:lang w:val="es-CR"/>
        </w:rPr>
        <w:t>a</w:t>
      </w:r>
      <w:r w:rsidRPr="002C462C">
        <w:rPr>
          <w:rFonts w:ascii="Verdana" w:eastAsia="Verdana" w:hAnsi="Verdana" w:cs="Times New Roman"/>
          <w:spacing w:val="3"/>
          <w:sz w:val="20"/>
          <w:szCs w:val="20"/>
          <w:lang w:val="es-CR"/>
        </w:rPr>
        <w:t>l</w:t>
      </w:r>
      <w:r w:rsidRPr="002C462C">
        <w:rPr>
          <w:rFonts w:ascii="Verdana" w:eastAsia="Verdana" w:hAnsi="Verdana" w:cs="Times New Roman"/>
          <w:sz w:val="20"/>
          <w:szCs w:val="20"/>
          <w:lang w:val="es-CR"/>
        </w:rPr>
        <w:t>a</w:t>
      </w:r>
      <w:r w:rsidRPr="00744CE4">
        <w:rPr>
          <w:rFonts w:ascii="Verdana" w:eastAsia="Verdana" w:hAnsi="Verdana" w:cs="Times New Roman"/>
          <w:spacing w:val="-1"/>
          <w:sz w:val="20"/>
          <w:szCs w:val="20"/>
          <w:lang w:val="es-CR"/>
        </w:rPr>
        <w:t>d</w:t>
      </w:r>
      <w:r w:rsidRPr="00744CE4">
        <w:rPr>
          <w:rFonts w:ascii="Verdana" w:eastAsia="Verdana" w:hAnsi="Verdana" w:cs="Times New Roman"/>
          <w:sz w:val="20"/>
          <w:szCs w:val="20"/>
          <w:lang w:val="es-CR"/>
        </w:rPr>
        <w:t>o</w:t>
      </w:r>
      <w:r w:rsidRPr="00744CE4">
        <w:rPr>
          <w:rFonts w:ascii="Verdana" w:eastAsia="Verdana" w:hAnsi="Verdana" w:cs="Times New Roman"/>
          <w:spacing w:val="51"/>
          <w:sz w:val="20"/>
          <w:szCs w:val="20"/>
          <w:lang w:val="es-CR"/>
        </w:rPr>
        <w:t xml:space="preserve"> </w:t>
      </w:r>
      <w:r w:rsidRPr="00744CE4">
        <w:rPr>
          <w:rFonts w:ascii="Verdana" w:eastAsia="Verdana" w:hAnsi="Verdana" w:cs="Times New Roman"/>
          <w:spacing w:val="1"/>
          <w:sz w:val="20"/>
          <w:szCs w:val="20"/>
          <w:lang w:val="es-CR"/>
        </w:rPr>
        <w:t>qu</w:t>
      </w:r>
      <w:r w:rsidRPr="00744CE4">
        <w:rPr>
          <w:rFonts w:ascii="Verdana" w:eastAsia="Verdana" w:hAnsi="Verdana" w:cs="Times New Roman"/>
          <w:sz w:val="20"/>
          <w:szCs w:val="20"/>
          <w:lang w:val="es-CR"/>
        </w:rPr>
        <w:t>e</w:t>
      </w:r>
      <w:r w:rsidRPr="00744CE4">
        <w:rPr>
          <w:rFonts w:ascii="Verdana" w:eastAsia="Verdana" w:hAnsi="Verdana" w:cs="Times New Roman"/>
          <w:spacing w:val="59"/>
          <w:sz w:val="20"/>
          <w:szCs w:val="20"/>
          <w:lang w:val="es-CR"/>
        </w:rPr>
        <w:t xml:space="preserve"> </w:t>
      </w:r>
      <w:r w:rsidRPr="00744CE4">
        <w:rPr>
          <w:rFonts w:ascii="Verdana" w:eastAsia="Verdana" w:hAnsi="Verdana" w:cs="Times New Roman"/>
          <w:sz w:val="20"/>
          <w:szCs w:val="20"/>
          <w:lang w:val="es-CR"/>
        </w:rPr>
        <w:t>“</w:t>
      </w:r>
      <w:r w:rsidRPr="00744CE4">
        <w:rPr>
          <w:rFonts w:ascii="Verdana" w:eastAsia="Verdana" w:hAnsi="Verdana" w:cs="Times New Roman"/>
          <w:spacing w:val="3"/>
          <w:sz w:val="20"/>
          <w:szCs w:val="20"/>
          <w:lang w:val="es-CR"/>
        </w:rPr>
        <w:t>l</w:t>
      </w:r>
      <w:r w:rsidRPr="00744CE4">
        <w:rPr>
          <w:rFonts w:ascii="Verdana" w:eastAsia="Verdana" w:hAnsi="Verdana" w:cs="Times New Roman"/>
          <w:sz w:val="20"/>
          <w:szCs w:val="20"/>
          <w:lang w:val="es-CR"/>
        </w:rPr>
        <w:t>as</w:t>
      </w:r>
      <w:r w:rsidRPr="00744CE4">
        <w:rPr>
          <w:rFonts w:ascii="Verdana" w:eastAsia="Verdana" w:hAnsi="Verdana" w:cs="Times New Roman"/>
          <w:spacing w:val="58"/>
          <w:sz w:val="20"/>
          <w:szCs w:val="20"/>
          <w:lang w:val="es-CR"/>
        </w:rPr>
        <w:t xml:space="preserve"> </w:t>
      </w:r>
      <w:r w:rsidRPr="00744CE4">
        <w:rPr>
          <w:rFonts w:ascii="Verdana" w:eastAsia="Verdana" w:hAnsi="Verdana" w:cs="Times New Roman"/>
          <w:spacing w:val="1"/>
          <w:sz w:val="20"/>
          <w:szCs w:val="20"/>
          <w:lang w:val="es-CR"/>
        </w:rPr>
        <w:t>p</w:t>
      </w:r>
      <w:r w:rsidRPr="00744CE4">
        <w:rPr>
          <w:rFonts w:ascii="Verdana" w:eastAsia="Verdana" w:hAnsi="Verdana" w:cs="Times New Roman"/>
          <w:spacing w:val="-1"/>
          <w:sz w:val="20"/>
          <w:szCs w:val="20"/>
          <w:lang w:val="es-CR"/>
        </w:rPr>
        <w:t>re</w:t>
      </w:r>
      <w:r w:rsidRPr="00744CE4">
        <w:rPr>
          <w:rFonts w:ascii="Verdana" w:eastAsia="Verdana" w:hAnsi="Verdana" w:cs="Times New Roman"/>
          <w:spacing w:val="3"/>
          <w:sz w:val="20"/>
          <w:szCs w:val="20"/>
          <w:lang w:val="es-CR"/>
        </w:rPr>
        <w:t>t</w:t>
      </w:r>
      <w:r w:rsidRPr="00744CE4">
        <w:rPr>
          <w:rFonts w:ascii="Verdana" w:eastAsia="Verdana" w:hAnsi="Verdana" w:cs="Times New Roman"/>
          <w:spacing w:val="-1"/>
          <w:sz w:val="20"/>
          <w:szCs w:val="20"/>
          <w:lang w:val="es-CR"/>
        </w:rPr>
        <w:t>e</w:t>
      </w:r>
      <w:r w:rsidRPr="00744CE4">
        <w:rPr>
          <w:rFonts w:ascii="Verdana" w:eastAsia="Verdana" w:hAnsi="Verdana" w:cs="Times New Roman"/>
          <w:spacing w:val="1"/>
          <w:sz w:val="20"/>
          <w:szCs w:val="20"/>
          <w:lang w:val="es-CR"/>
        </w:rPr>
        <w:t>n</w:t>
      </w:r>
      <w:r w:rsidRPr="00744CE4">
        <w:rPr>
          <w:rFonts w:ascii="Verdana" w:eastAsia="Verdana" w:hAnsi="Verdana" w:cs="Times New Roman"/>
          <w:sz w:val="20"/>
          <w:szCs w:val="20"/>
          <w:lang w:val="es-CR"/>
        </w:rPr>
        <w:t>s</w:t>
      </w:r>
      <w:r w:rsidRPr="00744CE4">
        <w:rPr>
          <w:rFonts w:ascii="Verdana" w:eastAsia="Verdana" w:hAnsi="Verdana" w:cs="Times New Roman"/>
          <w:spacing w:val="2"/>
          <w:sz w:val="20"/>
          <w:szCs w:val="20"/>
          <w:lang w:val="es-CR"/>
        </w:rPr>
        <w:t>i</w:t>
      </w:r>
      <w:r w:rsidRPr="00744CE4">
        <w:rPr>
          <w:rFonts w:ascii="Verdana" w:eastAsia="Verdana" w:hAnsi="Verdana" w:cs="Times New Roman"/>
          <w:spacing w:val="-1"/>
          <w:sz w:val="20"/>
          <w:szCs w:val="20"/>
          <w:lang w:val="es-CR"/>
        </w:rPr>
        <w:t>o</w:t>
      </w:r>
      <w:r w:rsidRPr="00744CE4">
        <w:rPr>
          <w:rFonts w:ascii="Verdana" w:eastAsia="Verdana" w:hAnsi="Verdana" w:cs="Times New Roman"/>
          <w:spacing w:val="1"/>
          <w:sz w:val="20"/>
          <w:szCs w:val="20"/>
          <w:lang w:val="es-CR"/>
        </w:rPr>
        <w:t>ne</w:t>
      </w:r>
      <w:r w:rsidRPr="00744CE4">
        <w:rPr>
          <w:rFonts w:ascii="Verdana" w:eastAsia="Verdana" w:hAnsi="Verdana" w:cs="Times New Roman"/>
          <w:sz w:val="20"/>
          <w:szCs w:val="20"/>
          <w:lang w:val="es-CR"/>
        </w:rPr>
        <w:t>s</w:t>
      </w:r>
      <w:r w:rsidRPr="00744CE4">
        <w:rPr>
          <w:rFonts w:ascii="Verdana" w:eastAsia="Verdana" w:hAnsi="Verdana" w:cs="Times New Roman"/>
          <w:spacing w:val="48"/>
          <w:sz w:val="20"/>
          <w:szCs w:val="20"/>
          <w:lang w:val="es-CR"/>
        </w:rPr>
        <w:t xml:space="preserve"> </w:t>
      </w:r>
      <w:r w:rsidRPr="00744CE4">
        <w:rPr>
          <w:rFonts w:ascii="Verdana" w:eastAsia="Verdana" w:hAnsi="Verdana" w:cs="Times New Roman"/>
          <w:spacing w:val="1"/>
          <w:sz w:val="20"/>
          <w:szCs w:val="20"/>
          <w:lang w:val="es-CR"/>
        </w:rPr>
        <w:t>d</w:t>
      </w:r>
      <w:r w:rsidRPr="00744CE4">
        <w:rPr>
          <w:rFonts w:ascii="Verdana" w:eastAsia="Verdana" w:hAnsi="Verdana" w:cs="Times New Roman"/>
          <w:sz w:val="20"/>
          <w:szCs w:val="20"/>
          <w:lang w:val="es-CR"/>
        </w:rPr>
        <w:t>e</w:t>
      </w:r>
      <w:r w:rsidRPr="00744CE4">
        <w:rPr>
          <w:rFonts w:ascii="Verdana" w:eastAsia="Verdana" w:hAnsi="Verdana" w:cs="Times New Roman"/>
          <w:spacing w:val="58"/>
          <w:sz w:val="20"/>
          <w:szCs w:val="20"/>
          <w:lang w:val="es-CR"/>
        </w:rPr>
        <w:t xml:space="preserve"> </w:t>
      </w:r>
      <w:r w:rsidRPr="00744CE4">
        <w:rPr>
          <w:rFonts w:ascii="Verdana" w:eastAsia="Verdana" w:hAnsi="Verdana" w:cs="Times New Roman"/>
          <w:spacing w:val="3"/>
          <w:sz w:val="20"/>
          <w:szCs w:val="20"/>
          <w:lang w:val="es-CR"/>
        </w:rPr>
        <w:t>l</w:t>
      </w:r>
      <w:r w:rsidRPr="00744CE4">
        <w:rPr>
          <w:rFonts w:ascii="Verdana" w:eastAsia="Verdana" w:hAnsi="Verdana" w:cs="Times New Roman"/>
          <w:sz w:val="20"/>
          <w:szCs w:val="20"/>
          <w:lang w:val="es-CR"/>
        </w:rPr>
        <w:t>as</w:t>
      </w:r>
      <w:r w:rsidRPr="00744CE4">
        <w:rPr>
          <w:rFonts w:ascii="Verdana" w:eastAsia="Verdana" w:hAnsi="Verdana" w:cs="Times New Roman"/>
          <w:spacing w:val="59"/>
          <w:sz w:val="20"/>
          <w:szCs w:val="20"/>
          <w:lang w:val="es-CR"/>
        </w:rPr>
        <w:t xml:space="preserve"> </w:t>
      </w:r>
      <w:r w:rsidRPr="00744CE4">
        <w:rPr>
          <w:rFonts w:ascii="Verdana" w:eastAsia="Verdana" w:hAnsi="Verdana" w:cs="Times New Roman"/>
          <w:sz w:val="20"/>
          <w:szCs w:val="20"/>
          <w:lang w:val="es-CR"/>
        </w:rPr>
        <w:t>v</w:t>
      </w:r>
      <w:r w:rsidRPr="00744CE4">
        <w:rPr>
          <w:rFonts w:ascii="Verdana" w:eastAsia="Verdana" w:hAnsi="Verdana" w:cs="Times New Roman"/>
          <w:spacing w:val="3"/>
          <w:sz w:val="20"/>
          <w:szCs w:val="20"/>
          <w:lang w:val="es-CR"/>
        </w:rPr>
        <w:t>í</w:t>
      </w:r>
      <w:r w:rsidRPr="00744CE4">
        <w:rPr>
          <w:rFonts w:ascii="Verdana" w:eastAsia="Verdana" w:hAnsi="Verdana" w:cs="Times New Roman"/>
          <w:sz w:val="20"/>
          <w:szCs w:val="20"/>
          <w:lang w:val="es-CR"/>
        </w:rPr>
        <w:t>ct</w:t>
      </w:r>
      <w:r w:rsidRPr="00744CE4">
        <w:rPr>
          <w:rFonts w:ascii="Verdana" w:eastAsia="Verdana" w:hAnsi="Verdana" w:cs="Times New Roman"/>
          <w:spacing w:val="3"/>
          <w:sz w:val="20"/>
          <w:szCs w:val="20"/>
          <w:lang w:val="es-CR"/>
        </w:rPr>
        <w:t>i</w:t>
      </w:r>
      <w:r w:rsidRPr="00744CE4">
        <w:rPr>
          <w:rFonts w:ascii="Verdana" w:eastAsia="Verdana" w:hAnsi="Verdana" w:cs="Times New Roman"/>
          <w:sz w:val="20"/>
          <w:szCs w:val="20"/>
          <w:lang w:val="es-CR"/>
        </w:rPr>
        <w:t>m</w:t>
      </w:r>
      <w:r w:rsidRPr="00744CE4">
        <w:rPr>
          <w:rFonts w:ascii="Verdana" w:eastAsia="Verdana" w:hAnsi="Verdana" w:cs="Times New Roman"/>
          <w:spacing w:val="1"/>
          <w:sz w:val="20"/>
          <w:szCs w:val="20"/>
          <w:lang w:val="es-CR"/>
        </w:rPr>
        <w:t>a</w:t>
      </w:r>
      <w:r w:rsidRPr="00744CE4">
        <w:rPr>
          <w:rFonts w:ascii="Verdana" w:eastAsia="Verdana" w:hAnsi="Verdana" w:cs="Times New Roman"/>
          <w:sz w:val="20"/>
          <w:szCs w:val="20"/>
          <w:lang w:val="es-CR"/>
        </w:rPr>
        <w:t>s</w:t>
      </w:r>
      <w:r w:rsidRPr="00744CE4">
        <w:rPr>
          <w:rFonts w:ascii="Verdana" w:eastAsia="Verdana" w:hAnsi="Verdana" w:cs="Times New Roman"/>
          <w:spacing w:val="52"/>
          <w:sz w:val="20"/>
          <w:szCs w:val="20"/>
          <w:lang w:val="es-CR"/>
        </w:rPr>
        <w:t xml:space="preserve"> </w:t>
      </w:r>
      <w:r w:rsidRPr="00744CE4">
        <w:rPr>
          <w:rFonts w:ascii="Verdana" w:eastAsia="Verdana" w:hAnsi="Verdana" w:cs="Times New Roman"/>
          <w:sz w:val="20"/>
          <w:szCs w:val="20"/>
          <w:lang w:val="es-CR"/>
        </w:rPr>
        <w:t>o</w:t>
      </w:r>
      <w:r w:rsidRPr="00744CE4">
        <w:rPr>
          <w:rFonts w:ascii="Verdana" w:eastAsia="Verdana" w:hAnsi="Verdana" w:cs="Times New Roman"/>
          <w:spacing w:val="59"/>
          <w:sz w:val="20"/>
          <w:szCs w:val="20"/>
          <w:lang w:val="es-CR"/>
        </w:rPr>
        <w:t xml:space="preserve"> </w:t>
      </w:r>
      <w:r w:rsidRPr="00744CE4">
        <w:rPr>
          <w:rFonts w:ascii="Verdana" w:eastAsia="Verdana" w:hAnsi="Verdana" w:cs="Times New Roman"/>
          <w:spacing w:val="2"/>
          <w:sz w:val="20"/>
          <w:szCs w:val="20"/>
          <w:lang w:val="es-CR"/>
        </w:rPr>
        <w:t>s</w:t>
      </w:r>
      <w:r w:rsidRPr="00744CE4">
        <w:rPr>
          <w:rFonts w:ascii="Verdana" w:eastAsia="Verdana" w:hAnsi="Verdana" w:cs="Times New Roman"/>
          <w:spacing w:val="1"/>
          <w:sz w:val="20"/>
          <w:szCs w:val="20"/>
          <w:lang w:val="es-CR"/>
        </w:rPr>
        <w:t>u</w:t>
      </w:r>
      <w:r w:rsidRPr="00744CE4">
        <w:rPr>
          <w:rFonts w:ascii="Verdana" w:eastAsia="Verdana" w:hAnsi="Verdana" w:cs="Times New Roman"/>
          <w:sz w:val="20"/>
          <w:szCs w:val="20"/>
          <w:lang w:val="es-CR"/>
        </w:rPr>
        <w:t>s</w:t>
      </w:r>
      <w:r w:rsidRPr="00744CE4">
        <w:rPr>
          <w:rFonts w:ascii="Verdana" w:eastAsia="Verdana" w:hAnsi="Verdana" w:cs="Times New Roman"/>
          <w:spacing w:val="57"/>
          <w:sz w:val="20"/>
          <w:szCs w:val="20"/>
          <w:lang w:val="es-CR"/>
        </w:rPr>
        <w:t xml:space="preserve"> </w:t>
      </w:r>
      <w:r w:rsidRPr="00744CE4">
        <w:rPr>
          <w:rFonts w:ascii="Verdana" w:eastAsia="Verdana" w:hAnsi="Verdana" w:cs="Times New Roman"/>
          <w:spacing w:val="1"/>
          <w:sz w:val="20"/>
          <w:szCs w:val="20"/>
          <w:lang w:val="es-CR"/>
        </w:rPr>
        <w:t>r</w:t>
      </w:r>
      <w:r w:rsidRPr="00744CE4">
        <w:rPr>
          <w:rFonts w:ascii="Verdana" w:eastAsia="Verdana" w:hAnsi="Verdana" w:cs="Times New Roman"/>
          <w:spacing w:val="-1"/>
          <w:sz w:val="20"/>
          <w:szCs w:val="20"/>
          <w:lang w:val="es-CR"/>
        </w:rPr>
        <w:t>e</w:t>
      </w:r>
      <w:r w:rsidRPr="00744CE4">
        <w:rPr>
          <w:rFonts w:ascii="Verdana" w:eastAsia="Verdana" w:hAnsi="Verdana" w:cs="Times New Roman"/>
          <w:spacing w:val="1"/>
          <w:sz w:val="20"/>
          <w:szCs w:val="20"/>
          <w:lang w:val="es-CR"/>
        </w:rPr>
        <w:t>pr</w:t>
      </w:r>
      <w:r w:rsidRPr="00744CE4">
        <w:rPr>
          <w:rFonts w:ascii="Verdana" w:eastAsia="Verdana" w:hAnsi="Verdana" w:cs="Times New Roman"/>
          <w:spacing w:val="-1"/>
          <w:sz w:val="20"/>
          <w:szCs w:val="20"/>
          <w:lang w:val="es-CR"/>
        </w:rPr>
        <w:t>e</w:t>
      </w:r>
      <w:r w:rsidRPr="00744CE4">
        <w:rPr>
          <w:rFonts w:ascii="Verdana" w:eastAsia="Verdana" w:hAnsi="Verdana" w:cs="Times New Roman"/>
          <w:spacing w:val="2"/>
          <w:sz w:val="20"/>
          <w:szCs w:val="20"/>
          <w:lang w:val="es-CR"/>
        </w:rPr>
        <w:t>s</w:t>
      </w:r>
      <w:r w:rsidRPr="00744CE4">
        <w:rPr>
          <w:rFonts w:ascii="Verdana" w:eastAsia="Verdana" w:hAnsi="Verdana" w:cs="Times New Roman"/>
          <w:spacing w:val="-1"/>
          <w:sz w:val="20"/>
          <w:szCs w:val="20"/>
          <w:lang w:val="es-CR"/>
        </w:rPr>
        <w:t>e</w:t>
      </w:r>
      <w:r w:rsidRPr="00744CE4">
        <w:rPr>
          <w:rFonts w:ascii="Verdana" w:eastAsia="Verdana" w:hAnsi="Verdana" w:cs="Times New Roman"/>
          <w:spacing w:val="1"/>
          <w:sz w:val="20"/>
          <w:szCs w:val="20"/>
          <w:lang w:val="es-CR"/>
        </w:rPr>
        <w:t>nt</w:t>
      </w:r>
      <w:r w:rsidRPr="00744CE4">
        <w:rPr>
          <w:rFonts w:ascii="Verdana" w:eastAsia="Verdana" w:hAnsi="Verdana" w:cs="Times New Roman"/>
          <w:sz w:val="20"/>
          <w:szCs w:val="20"/>
          <w:lang w:val="es-CR"/>
        </w:rPr>
        <w:t>a</w:t>
      </w:r>
      <w:r w:rsidRPr="00744CE4">
        <w:rPr>
          <w:rFonts w:ascii="Verdana" w:eastAsia="Verdana" w:hAnsi="Verdana" w:cs="Times New Roman"/>
          <w:spacing w:val="1"/>
          <w:sz w:val="20"/>
          <w:szCs w:val="20"/>
          <w:lang w:val="es-CR"/>
        </w:rPr>
        <w:t>nt</w:t>
      </w:r>
      <w:r w:rsidRPr="00744CE4">
        <w:rPr>
          <w:rFonts w:ascii="Verdana" w:eastAsia="Verdana" w:hAnsi="Verdana" w:cs="Times New Roman"/>
          <w:spacing w:val="-1"/>
          <w:sz w:val="20"/>
          <w:szCs w:val="20"/>
          <w:lang w:val="es-CR"/>
        </w:rPr>
        <w:t>e</w:t>
      </w:r>
      <w:r w:rsidRPr="00744CE4">
        <w:rPr>
          <w:rFonts w:ascii="Verdana" w:eastAsia="Verdana" w:hAnsi="Verdana" w:cs="Times New Roman"/>
          <w:sz w:val="20"/>
          <w:szCs w:val="20"/>
          <w:lang w:val="es-CR"/>
        </w:rPr>
        <w:t>s</w:t>
      </w:r>
      <w:r w:rsidRPr="00744CE4">
        <w:rPr>
          <w:rFonts w:ascii="Verdana" w:eastAsia="Verdana" w:hAnsi="Verdana" w:cs="Times New Roman"/>
          <w:spacing w:val="48"/>
          <w:sz w:val="20"/>
          <w:szCs w:val="20"/>
          <w:lang w:val="es-CR"/>
        </w:rPr>
        <w:t xml:space="preserve"> </w:t>
      </w:r>
      <w:r w:rsidRPr="00744CE4">
        <w:rPr>
          <w:rFonts w:ascii="Verdana" w:eastAsia="Verdana" w:hAnsi="Verdana" w:cs="Times New Roman"/>
          <w:spacing w:val="-1"/>
          <w:sz w:val="20"/>
          <w:szCs w:val="20"/>
          <w:lang w:val="es-CR"/>
        </w:rPr>
        <w:t>e</w:t>
      </w:r>
      <w:r w:rsidRPr="00744CE4">
        <w:rPr>
          <w:rFonts w:ascii="Verdana" w:eastAsia="Verdana" w:hAnsi="Verdana" w:cs="Times New Roman"/>
          <w:sz w:val="20"/>
          <w:szCs w:val="20"/>
          <w:lang w:val="es-CR"/>
        </w:rPr>
        <w:t>n m</w:t>
      </w:r>
      <w:r w:rsidRPr="00744CE4">
        <w:rPr>
          <w:rFonts w:ascii="Verdana" w:eastAsia="Verdana" w:hAnsi="Verdana" w:cs="Times New Roman"/>
          <w:spacing w:val="1"/>
          <w:sz w:val="20"/>
          <w:szCs w:val="20"/>
          <w:lang w:val="es-CR"/>
        </w:rPr>
        <w:t>at</w:t>
      </w:r>
      <w:r w:rsidRPr="00744CE4">
        <w:rPr>
          <w:rFonts w:ascii="Verdana" w:eastAsia="Verdana" w:hAnsi="Verdana" w:cs="Times New Roman"/>
          <w:spacing w:val="-1"/>
          <w:sz w:val="20"/>
          <w:szCs w:val="20"/>
          <w:lang w:val="es-CR"/>
        </w:rPr>
        <w:t>er</w:t>
      </w:r>
      <w:r w:rsidRPr="00744CE4">
        <w:rPr>
          <w:rFonts w:ascii="Verdana" w:eastAsia="Verdana" w:hAnsi="Verdana" w:cs="Times New Roman"/>
          <w:spacing w:val="3"/>
          <w:sz w:val="20"/>
          <w:szCs w:val="20"/>
          <w:lang w:val="es-CR"/>
        </w:rPr>
        <w:t>i</w:t>
      </w:r>
      <w:r w:rsidRPr="00744CE4">
        <w:rPr>
          <w:rFonts w:ascii="Verdana" w:eastAsia="Verdana" w:hAnsi="Verdana" w:cs="Times New Roman"/>
          <w:sz w:val="20"/>
          <w:szCs w:val="20"/>
          <w:lang w:val="es-CR"/>
        </w:rPr>
        <w:t>a</w:t>
      </w:r>
      <w:r w:rsidRPr="00744CE4">
        <w:rPr>
          <w:rFonts w:ascii="Verdana" w:eastAsia="Verdana" w:hAnsi="Verdana" w:cs="Times New Roman"/>
          <w:spacing w:val="6"/>
          <w:sz w:val="20"/>
          <w:szCs w:val="20"/>
          <w:lang w:val="es-CR"/>
        </w:rPr>
        <w:t xml:space="preserve"> </w:t>
      </w:r>
      <w:r w:rsidRPr="00744CE4">
        <w:rPr>
          <w:rFonts w:ascii="Verdana" w:eastAsia="Verdana" w:hAnsi="Verdana" w:cs="Times New Roman"/>
          <w:spacing w:val="1"/>
          <w:sz w:val="20"/>
          <w:szCs w:val="20"/>
          <w:lang w:val="es-CR"/>
        </w:rPr>
        <w:t>d</w:t>
      </w:r>
      <w:r w:rsidRPr="00744CE4">
        <w:rPr>
          <w:rFonts w:ascii="Verdana" w:eastAsia="Verdana" w:hAnsi="Verdana" w:cs="Times New Roman"/>
          <w:sz w:val="20"/>
          <w:szCs w:val="20"/>
          <w:lang w:val="es-CR"/>
        </w:rPr>
        <w:t>e</w:t>
      </w:r>
      <w:r w:rsidRPr="00744CE4">
        <w:rPr>
          <w:rFonts w:ascii="Verdana" w:eastAsia="Verdana" w:hAnsi="Verdana" w:cs="Times New Roman"/>
          <w:spacing w:val="10"/>
          <w:sz w:val="20"/>
          <w:szCs w:val="20"/>
          <w:lang w:val="es-CR"/>
        </w:rPr>
        <w:t xml:space="preserve"> </w:t>
      </w:r>
      <w:r w:rsidRPr="00744CE4">
        <w:rPr>
          <w:rFonts w:ascii="Verdana" w:eastAsia="Verdana" w:hAnsi="Verdana" w:cs="Times New Roman"/>
          <w:sz w:val="20"/>
          <w:szCs w:val="20"/>
          <w:lang w:val="es-CR"/>
        </w:rPr>
        <w:t>c</w:t>
      </w:r>
      <w:r w:rsidRPr="00744CE4">
        <w:rPr>
          <w:rFonts w:ascii="Verdana" w:eastAsia="Verdana" w:hAnsi="Verdana" w:cs="Times New Roman"/>
          <w:spacing w:val="3"/>
          <w:sz w:val="20"/>
          <w:szCs w:val="20"/>
          <w:lang w:val="es-CR"/>
        </w:rPr>
        <w:t>o</w:t>
      </w:r>
      <w:r w:rsidRPr="00744CE4">
        <w:rPr>
          <w:rFonts w:ascii="Verdana" w:eastAsia="Verdana" w:hAnsi="Verdana" w:cs="Times New Roman"/>
          <w:sz w:val="20"/>
          <w:szCs w:val="20"/>
          <w:lang w:val="es-CR"/>
        </w:rPr>
        <w:t>stas</w:t>
      </w:r>
      <w:r w:rsidRPr="00744CE4">
        <w:rPr>
          <w:rFonts w:ascii="Verdana" w:eastAsia="Verdana" w:hAnsi="Verdana" w:cs="Times New Roman"/>
          <w:spacing w:val="8"/>
          <w:sz w:val="20"/>
          <w:szCs w:val="20"/>
          <w:lang w:val="es-CR"/>
        </w:rPr>
        <w:t xml:space="preserve"> </w:t>
      </w:r>
      <w:r w:rsidRPr="00744CE4">
        <w:rPr>
          <w:rFonts w:ascii="Verdana" w:eastAsia="Verdana" w:hAnsi="Verdana" w:cs="Times New Roman"/>
          <w:sz w:val="20"/>
          <w:szCs w:val="20"/>
          <w:lang w:val="es-CR"/>
        </w:rPr>
        <w:t>y</w:t>
      </w:r>
      <w:r w:rsidRPr="00744CE4">
        <w:rPr>
          <w:rFonts w:ascii="Verdana" w:eastAsia="Verdana" w:hAnsi="Verdana" w:cs="Times New Roman"/>
          <w:spacing w:val="13"/>
          <w:sz w:val="20"/>
          <w:szCs w:val="20"/>
          <w:lang w:val="es-CR"/>
        </w:rPr>
        <w:t xml:space="preserve"> </w:t>
      </w:r>
      <w:r w:rsidRPr="00744CE4">
        <w:rPr>
          <w:rFonts w:ascii="Verdana" w:eastAsia="Verdana" w:hAnsi="Verdana" w:cs="Times New Roman"/>
          <w:spacing w:val="1"/>
          <w:sz w:val="20"/>
          <w:szCs w:val="20"/>
          <w:lang w:val="es-CR"/>
        </w:rPr>
        <w:t>g</w:t>
      </w:r>
      <w:r w:rsidRPr="00744CE4">
        <w:rPr>
          <w:rFonts w:ascii="Verdana" w:eastAsia="Verdana" w:hAnsi="Verdana" w:cs="Times New Roman"/>
          <w:spacing w:val="2"/>
          <w:sz w:val="20"/>
          <w:szCs w:val="20"/>
          <w:lang w:val="es-CR"/>
        </w:rPr>
        <w:t>a</w:t>
      </w:r>
      <w:r w:rsidRPr="00744CE4">
        <w:rPr>
          <w:rFonts w:ascii="Verdana" w:eastAsia="Verdana" w:hAnsi="Verdana" w:cs="Times New Roman"/>
          <w:sz w:val="20"/>
          <w:szCs w:val="20"/>
          <w:lang w:val="es-CR"/>
        </w:rPr>
        <w:t>st</w:t>
      </w:r>
      <w:r w:rsidRPr="00744CE4">
        <w:rPr>
          <w:rFonts w:ascii="Verdana" w:eastAsia="Verdana" w:hAnsi="Verdana" w:cs="Times New Roman"/>
          <w:spacing w:val="-1"/>
          <w:sz w:val="20"/>
          <w:szCs w:val="20"/>
          <w:lang w:val="es-CR"/>
        </w:rPr>
        <w:t>o</w:t>
      </w:r>
      <w:r w:rsidRPr="00744CE4">
        <w:rPr>
          <w:rFonts w:ascii="Verdana" w:eastAsia="Verdana" w:hAnsi="Verdana" w:cs="Times New Roman"/>
          <w:spacing w:val="2"/>
          <w:sz w:val="20"/>
          <w:szCs w:val="20"/>
          <w:lang w:val="es-CR"/>
        </w:rPr>
        <w:t>s</w:t>
      </w:r>
      <w:r w:rsidRPr="00744CE4">
        <w:rPr>
          <w:rFonts w:ascii="Verdana" w:eastAsia="Verdana" w:hAnsi="Verdana" w:cs="Times New Roman"/>
          <w:sz w:val="20"/>
          <w:szCs w:val="20"/>
          <w:lang w:val="es-CR"/>
        </w:rPr>
        <w:t>,</w:t>
      </w:r>
      <w:r w:rsidRPr="00744CE4">
        <w:rPr>
          <w:rFonts w:ascii="Verdana" w:eastAsia="Verdana" w:hAnsi="Verdana" w:cs="Times New Roman"/>
          <w:spacing w:val="7"/>
          <w:sz w:val="20"/>
          <w:szCs w:val="20"/>
          <w:lang w:val="es-CR"/>
        </w:rPr>
        <w:t xml:space="preserve"> </w:t>
      </w:r>
      <w:r w:rsidRPr="00744CE4">
        <w:rPr>
          <w:rFonts w:ascii="Verdana" w:eastAsia="Verdana" w:hAnsi="Verdana" w:cs="Times New Roman"/>
          <w:sz w:val="20"/>
          <w:szCs w:val="20"/>
          <w:lang w:val="es-CR"/>
        </w:rPr>
        <w:t>y</w:t>
      </w:r>
      <w:r w:rsidRPr="00744CE4">
        <w:rPr>
          <w:rFonts w:ascii="Verdana" w:eastAsia="Verdana" w:hAnsi="Verdana" w:cs="Times New Roman"/>
          <w:spacing w:val="13"/>
          <w:sz w:val="20"/>
          <w:szCs w:val="20"/>
          <w:lang w:val="es-CR"/>
        </w:rPr>
        <w:t xml:space="preserve"> </w:t>
      </w:r>
      <w:r w:rsidRPr="00744CE4">
        <w:rPr>
          <w:rFonts w:ascii="Verdana" w:eastAsia="Verdana" w:hAnsi="Verdana" w:cs="Times New Roman"/>
          <w:spacing w:val="3"/>
          <w:sz w:val="20"/>
          <w:szCs w:val="20"/>
          <w:lang w:val="es-CR"/>
        </w:rPr>
        <w:t>l</w:t>
      </w:r>
      <w:r w:rsidRPr="00744CE4">
        <w:rPr>
          <w:rFonts w:ascii="Verdana" w:eastAsia="Verdana" w:hAnsi="Verdana" w:cs="Times New Roman"/>
          <w:sz w:val="20"/>
          <w:szCs w:val="20"/>
          <w:lang w:val="es-CR"/>
        </w:rPr>
        <w:t>as</w:t>
      </w:r>
      <w:r w:rsidRPr="00744CE4">
        <w:rPr>
          <w:rFonts w:ascii="Verdana" w:eastAsia="Verdana" w:hAnsi="Verdana" w:cs="Times New Roman"/>
          <w:spacing w:val="11"/>
          <w:sz w:val="20"/>
          <w:szCs w:val="20"/>
          <w:lang w:val="es-CR"/>
        </w:rPr>
        <w:t xml:space="preserve"> </w:t>
      </w:r>
      <w:r w:rsidRPr="00744CE4">
        <w:rPr>
          <w:rFonts w:ascii="Verdana" w:eastAsia="Verdana" w:hAnsi="Verdana" w:cs="Times New Roman"/>
          <w:spacing w:val="1"/>
          <w:sz w:val="20"/>
          <w:szCs w:val="20"/>
          <w:lang w:val="es-CR"/>
        </w:rPr>
        <w:t>p</w:t>
      </w:r>
      <w:r w:rsidRPr="00744CE4">
        <w:rPr>
          <w:rFonts w:ascii="Verdana" w:eastAsia="Verdana" w:hAnsi="Verdana" w:cs="Times New Roman"/>
          <w:spacing w:val="-1"/>
          <w:sz w:val="20"/>
          <w:szCs w:val="20"/>
          <w:lang w:val="es-CR"/>
        </w:rPr>
        <w:t>r</w:t>
      </w:r>
      <w:r w:rsidRPr="00744CE4">
        <w:rPr>
          <w:rFonts w:ascii="Verdana" w:eastAsia="Verdana" w:hAnsi="Verdana" w:cs="Times New Roman"/>
          <w:spacing w:val="1"/>
          <w:sz w:val="20"/>
          <w:szCs w:val="20"/>
          <w:lang w:val="es-CR"/>
        </w:rPr>
        <w:t>u</w:t>
      </w:r>
      <w:r w:rsidRPr="00744CE4">
        <w:rPr>
          <w:rFonts w:ascii="Verdana" w:eastAsia="Verdana" w:hAnsi="Verdana" w:cs="Times New Roman"/>
          <w:spacing w:val="-1"/>
          <w:sz w:val="20"/>
          <w:szCs w:val="20"/>
          <w:lang w:val="es-CR"/>
        </w:rPr>
        <w:t>e</w:t>
      </w:r>
      <w:r w:rsidRPr="00744CE4">
        <w:rPr>
          <w:rFonts w:ascii="Verdana" w:eastAsia="Verdana" w:hAnsi="Verdana" w:cs="Times New Roman"/>
          <w:spacing w:val="1"/>
          <w:sz w:val="20"/>
          <w:szCs w:val="20"/>
          <w:lang w:val="es-CR"/>
        </w:rPr>
        <w:t>b</w:t>
      </w:r>
      <w:r w:rsidRPr="00744CE4">
        <w:rPr>
          <w:rFonts w:ascii="Verdana" w:eastAsia="Verdana" w:hAnsi="Verdana" w:cs="Times New Roman"/>
          <w:sz w:val="20"/>
          <w:szCs w:val="20"/>
          <w:lang w:val="es-CR"/>
        </w:rPr>
        <w:t>as</w:t>
      </w:r>
      <w:r w:rsidRPr="00744CE4">
        <w:rPr>
          <w:rFonts w:ascii="Verdana" w:eastAsia="Verdana" w:hAnsi="Verdana" w:cs="Times New Roman"/>
          <w:spacing w:val="6"/>
          <w:sz w:val="20"/>
          <w:szCs w:val="20"/>
          <w:lang w:val="es-CR"/>
        </w:rPr>
        <w:t xml:space="preserve"> </w:t>
      </w:r>
      <w:r w:rsidRPr="00744CE4">
        <w:rPr>
          <w:rFonts w:ascii="Verdana" w:eastAsia="Verdana" w:hAnsi="Verdana" w:cs="Times New Roman"/>
          <w:spacing w:val="1"/>
          <w:sz w:val="20"/>
          <w:szCs w:val="20"/>
          <w:lang w:val="es-CR"/>
        </w:rPr>
        <w:t>qu</w:t>
      </w:r>
      <w:r w:rsidRPr="00744CE4">
        <w:rPr>
          <w:rFonts w:ascii="Verdana" w:eastAsia="Verdana" w:hAnsi="Verdana" w:cs="Times New Roman"/>
          <w:sz w:val="20"/>
          <w:szCs w:val="20"/>
          <w:lang w:val="es-CR"/>
        </w:rPr>
        <w:t>e</w:t>
      </w:r>
      <w:r w:rsidRPr="00744CE4">
        <w:rPr>
          <w:rFonts w:ascii="Verdana" w:eastAsia="Verdana" w:hAnsi="Verdana" w:cs="Times New Roman"/>
          <w:spacing w:val="11"/>
          <w:sz w:val="20"/>
          <w:szCs w:val="20"/>
          <w:lang w:val="es-CR"/>
        </w:rPr>
        <w:t xml:space="preserve"> </w:t>
      </w:r>
      <w:r w:rsidRPr="00744CE4">
        <w:rPr>
          <w:rFonts w:ascii="Verdana" w:eastAsia="Verdana" w:hAnsi="Verdana" w:cs="Times New Roman"/>
          <w:spacing w:val="3"/>
          <w:sz w:val="20"/>
          <w:szCs w:val="20"/>
          <w:lang w:val="es-CR"/>
        </w:rPr>
        <w:t>l</w:t>
      </w:r>
      <w:r w:rsidRPr="00744CE4">
        <w:rPr>
          <w:rFonts w:ascii="Verdana" w:eastAsia="Verdana" w:hAnsi="Verdana" w:cs="Times New Roman"/>
          <w:sz w:val="20"/>
          <w:szCs w:val="20"/>
          <w:lang w:val="es-CR"/>
        </w:rPr>
        <w:t>as</w:t>
      </w:r>
      <w:r w:rsidRPr="00744CE4">
        <w:rPr>
          <w:rFonts w:ascii="Verdana" w:eastAsia="Verdana" w:hAnsi="Verdana" w:cs="Times New Roman"/>
          <w:spacing w:val="11"/>
          <w:sz w:val="20"/>
          <w:szCs w:val="20"/>
          <w:lang w:val="es-CR"/>
        </w:rPr>
        <w:t xml:space="preserve"> </w:t>
      </w:r>
      <w:r w:rsidRPr="00744CE4">
        <w:rPr>
          <w:rFonts w:ascii="Verdana" w:eastAsia="Verdana" w:hAnsi="Verdana" w:cs="Times New Roman"/>
          <w:sz w:val="20"/>
          <w:szCs w:val="20"/>
          <w:lang w:val="es-CR"/>
        </w:rPr>
        <w:t>sust</w:t>
      </w:r>
      <w:r w:rsidRPr="00744CE4">
        <w:rPr>
          <w:rFonts w:ascii="Verdana" w:eastAsia="Verdana" w:hAnsi="Verdana" w:cs="Times New Roman"/>
          <w:spacing w:val="-1"/>
          <w:sz w:val="20"/>
          <w:szCs w:val="20"/>
          <w:lang w:val="es-CR"/>
        </w:rPr>
        <w:t>e</w:t>
      </w:r>
      <w:r w:rsidRPr="00744CE4">
        <w:rPr>
          <w:rFonts w:ascii="Verdana" w:eastAsia="Verdana" w:hAnsi="Verdana" w:cs="Times New Roman"/>
          <w:spacing w:val="1"/>
          <w:sz w:val="20"/>
          <w:szCs w:val="20"/>
          <w:lang w:val="es-CR"/>
        </w:rPr>
        <w:t>nt</w:t>
      </w:r>
      <w:r w:rsidRPr="00744CE4">
        <w:rPr>
          <w:rFonts w:ascii="Verdana" w:eastAsia="Verdana" w:hAnsi="Verdana" w:cs="Times New Roman"/>
          <w:sz w:val="20"/>
          <w:szCs w:val="20"/>
          <w:lang w:val="es-CR"/>
        </w:rPr>
        <w:t>a</w:t>
      </w:r>
      <w:r w:rsidRPr="00744CE4">
        <w:rPr>
          <w:rFonts w:ascii="Verdana" w:eastAsia="Verdana" w:hAnsi="Verdana" w:cs="Times New Roman"/>
          <w:spacing w:val="1"/>
          <w:sz w:val="20"/>
          <w:szCs w:val="20"/>
          <w:lang w:val="es-CR"/>
        </w:rPr>
        <w:t>n</w:t>
      </w:r>
      <w:r w:rsidRPr="00744CE4">
        <w:rPr>
          <w:rFonts w:ascii="Verdana" w:eastAsia="Verdana" w:hAnsi="Verdana" w:cs="Times New Roman"/>
          <w:sz w:val="20"/>
          <w:szCs w:val="20"/>
          <w:lang w:val="es-CR"/>
        </w:rPr>
        <w:t>,</w:t>
      </w:r>
      <w:r w:rsidRPr="00744CE4">
        <w:rPr>
          <w:rFonts w:ascii="Verdana" w:eastAsia="Verdana" w:hAnsi="Verdana" w:cs="Times New Roman"/>
          <w:spacing w:val="3"/>
          <w:sz w:val="20"/>
          <w:szCs w:val="20"/>
          <w:lang w:val="es-CR"/>
        </w:rPr>
        <w:t xml:space="preserve"> </w:t>
      </w:r>
      <w:r w:rsidRPr="00744CE4">
        <w:rPr>
          <w:rFonts w:ascii="Verdana" w:eastAsia="Verdana" w:hAnsi="Verdana" w:cs="Times New Roman"/>
          <w:spacing w:val="1"/>
          <w:sz w:val="20"/>
          <w:szCs w:val="20"/>
          <w:lang w:val="es-CR"/>
        </w:rPr>
        <w:t>d</w:t>
      </w:r>
      <w:r w:rsidRPr="00744CE4">
        <w:rPr>
          <w:rFonts w:ascii="Verdana" w:eastAsia="Verdana" w:hAnsi="Verdana" w:cs="Times New Roman"/>
          <w:spacing w:val="-1"/>
          <w:sz w:val="20"/>
          <w:szCs w:val="20"/>
          <w:lang w:val="es-CR"/>
        </w:rPr>
        <w:t>e</w:t>
      </w:r>
      <w:r w:rsidRPr="00744CE4">
        <w:rPr>
          <w:rFonts w:ascii="Verdana" w:eastAsia="Verdana" w:hAnsi="Verdana" w:cs="Times New Roman"/>
          <w:spacing w:val="1"/>
          <w:sz w:val="20"/>
          <w:szCs w:val="20"/>
          <w:lang w:val="es-CR"/>
        </w:rPr>
        <w:t>b</w:t>
      </w:r>
      <w:r w:rsidRPr="00744CE4">
        <w:rPr>
          <w:rFonts w:ascii="Verdana" w:eastAsia="Verdana" w:hAnsi="Verdana" w:cs="Times New Roman"/>
          <w:spacing w:val="-1"/>
          <w:sz w:val="20"/>
          <w:szCs w:val="20"/>
          <w:lang w:val="es-CR"/>
        </w:rPr>
        <w:t>e</w:t>
      </w:r>
      <w:r w:rsidRPr="00744CE4">
        <w:rPr>
          <w:rFonts w:ascii="Verdana" w:eastAsia="Verdana" w:hAnsi="Verdana" w:cs="Times New Roman"/>
          <w:sz w:val="20"/>
          <w:szCs w:val="20"/>
          <w:lang w:val="es-CR"/>
        </w:rPr>
        <w:t>n</w:t>
      </w:r>
      <w:r w:rsidRPr="00744CE4">
        <w:rPr>
          <w:rFonts w:ascii="Verdana" w:eastAsia="Verdana" w:hAnsi="Verdana" w:cs="Times New Roman"/>
          <w:spacing w:val="9"/>
          <w:sz w:val="20"/>
          <w:szCs w:val="20"/>
          <w:lang w:val="es-CR"/>
        </w:rPr>
        <w:t xml:space="preserve"> </w:t>
      </w:r>
      <w:r w:rsidRPr="00744CE4">
        <w:rPr>
          <w:rFonts w:ascii="Verdana" w:eastAsia="Verdana" w:hAnsi="Verdana" w:cs="Times New Roman"/>
          <w:spacing w:val="1"/>
          <w:sz w:val="20"/>
          <w:szCs w:val="20"/>
          <w:lang w:val="es-CR"/>
        </w:rPr>
        <w:t>p</w:t>
      </w:r>
      <w:r w:rsidRPr="00744CE4">
        <w:rPr>
          <w:rFonts w:ascii="Verdana" w:eastAsia="Verdana" w:hAnsi="Verdana" w:cs="Times New Roman"/>
          <w:spacing w:val="-1"/>
          <w:sz w:val="20"/>
          <w:szCs w:val="20"/>
          <w:lang w:val="es-CR"/>
        </w:rPr>
        <w:t>r</w:t>
      </w:r>
      <w:r w:rsidRPr="00744CE4">
        <w:rPr>
          <w:rFonts w:ascii="Verdana" w:eastAsia="Verdana" w:hAnsi="Verdana" w:cs="Times New Roman"/>
          <w:spacing w:val="1"/>
          <w:sz w:val="20"/>
          <w:szCs w:val="20"/>
          <w:lang w:val="es-CR"/>
        </w:rPr>
        <w:t>e</w:t>
      </w:r>
      <w:r w:rsidRPr="00744CE4">
        <w:rPr>
          <w:rFonts w:ascii="Verdana" w:eastAsia="Verdana" w:hAnsi="Verdana" w:cs="Times New Roman"/>
          <w:sz w:val="20"/>
          <w:szCs w:val="20"/>
          <w:lang w:val="es-CR"/>
        </w:rPr>
        <w:t>s</w:t>
      </w:r>
      <w:r w:rsidRPr="00744CE4">
        <w:rPr>
          <w:rFonts w:ascii="Verdana" w:eastAsia="Verdana" w:hAnsi="Verdana" w:cs="Times New Roman"/>
          <w:spacing w:val="-2"/>
          <w:sz w:val="20"/>
          <w:szCs w:val="20"/>
          <w:lang w:val="es-CR"/>
        </w:rPr>
        <w:t>e</w:t>
      </w:r>
      <w:r w:rsidRPr="00744CE4">
        <w:rPr>
          <w:rFonts w:ascii="Verdana" w:eastAsia="Verdana" w:hAnsi="Verdana" w:cs="Times New Roman"/>
          <w:spacing w:val="1"/>
          <w:sz w:val="20"/>
          <w:szCs w:val="20"/>
          <w:lang w:val="es-CR"/>
        </w:rPr>
        <w:t>nt</w:t>
      </w:r>
      <w:r w:rsidRPr="00744CE4">
        <w:rPr>
          <w:rFonts w:ascii="Verdana" w:eastAsia="Verdana" w:hAnsi="Verdana" w:cs="Times New Roman"/>
          <w:sz w:val="20"/>
          <w:szCs w:val="20"/>
          <w:lang w:val="es-CR"/>
        </w:rPr>
        <w:t>a</w:t>
      </w:r>
      <w:r w:rsidRPr="00744CE4">
        <w:rPr>
          <w:rFonts w:ascii="Verdana" w:eastAsia="Verdana" w:hAnsi="Verdana" w:cs="Times New Roman"/>
          <w:spacing w:val="2"/>
          <w:sz w:val="20"/>
          <w:szCs w:val="20"/>
          <w:lang w:val="es-CR"/>
        </w:rPr>
        <w:t>r</w:t>
      </w:r>
      <w:r w:rsidRPr="00744CE4">
        <w:rPr>
          <w:rFonts w:ascii="Verdana" w:eastAsia="Verdana" w:hAnsi="Verdana" w:cs="Times New Roman"/>
          <w:sz w:val="20"/>
          <w:szCs w:val="20"/>
          <w:lang w:val="es-CR"/>
        </w:rPr>
        <w:t>se a</w:t>
      </w:r>
      <w:r w:rsidRPr="00744CE4">
        <w:rPr>
          <w:rFonts w:ascii="Verdana" w:eastAsia="Verdana" w:hAnsi="Verdana" w:cs="Times New Roman"/>
          <w:spacing w:val="13"/>
          <w:sz w:val="20"/>
          <w:szCs w:val="20"/>
          <w:lang w:val="es-CR"/>
        </w:rPr>
        <w:t xml:space="preserve"> </w:t>
      </w:r>
      <w:r w:rsidRPr="00744CE4">
        <w:rPr>
          <w:rFonts w:ascii="Verdana" w:eastAsia="Verdana" w:hAnsi="Verdana" w:cs="Times New Roman"/>
          <w:spacing w:val="3"/>
          <w:sz w:val="20"/>
          <w:szCs w:val="20"/>
          <w:lang w:val="es-CR"/>
        </w:rPr>
        <w:t>l</w:t>
      </w:r>
      <w:r w:rsidRPr="00744CE4">
        <w:rPr>
          <w:rFonts w:ascii="Verdana" w:eastAsia="Verdana" w:hAnsi="Verdana" w:cs="Times New Roman"/>
          <w:sz w:val="20"/>
          <w:szCs w:val="20"/>
          <w:lang w:val="es-CR"/>
        </w:rPr>
        <w:t>a</w:t>
      </w:r>
      <w:r w:rsidRPr="00744CE4">
        <w:rPr>
          <w:rFonts w:ascii="Verdana" w:eastAsia="Verdana" w:hAnsi="Verdana" w:cs="Times New Roman"/>
          <w:spacing w:val="12"/>
          <w:sz w:val="20"/>
          <w:szCs w:val="20"/>
          <w:lang w:val="es-CR"/>
        </w:rPr>
        <w:t xml:space="preserve"> </w:t>
      </w:r>
      <w:r w:rsidRPr="00744CE4">
        <w:rPr>
          <w:rFonts w:ascii="Verdana" w:eastAsia="Verdana" w:hAnsi="Verdana" w:cs="Times New Roman"/>
          <w:sz w:val="20"/>
          <w:szCs w:val="20"/>
          <w:lang w:val="es-CR"/>
        </w:rPr>
        <w:t>C</w:t>
      </w:r>
      <w:r w:rsidRPr="00744CE4">
        <w:rPr>
          <w:rFonts w:ascii="Verdana" w:eastAsia="Verdana" w:hAnsi="Verdana" w:cs="Times New Roman"/>
          <w:spacing w:val="-1"/>
          <w:sz w:val="20"/>
          <w:szCs w:val="20"/>
          <w:lang w:val="es-CR"/>
        </w:rPr>
        <w:t>or</w:t>
      </w:r>
      <w:r w:rsidRPr="00744CE4">
        <w:rPr>
          <w:rFonts w:ascii="Verdana" w:eastAsia="Verdana" w:hAnsi="Verdana" w:cs="Times New Roman"/>
          <w:spacing w:val="3"/>
          <w:sz w:val="20"/>
          <w:szCs w:val="20"/>
          <w:lang w:val="es-CR"/>
        </w:rPr>
        <w:t>t</w:t>
      </w:r>
      <w:r w:rsidRPr="00744CE4">
        <w:rPr>
          <w:rFonts w:ascii="Verdana" w:eastAsia="Verdana" w:hAnsi="Verdana" w:cs="Times New Roman"/>
          <w:sz w:val="20"/>
          <w:szCs w:val="20"/>
          <w:lang w:val="es-CR"/>
        </w:rPr>
        <w:t>e</w:t>
      </w:r>
      <w:r w:rsidRPr="00744CE4">
        <w:rPr>
          <w:rFonts w:ascii="Verdana" w:eastAsia="Verdana" w:hAnsi="Verdana" w:cs="Times New Roman"/>
          <w:spacing w:val="9"/>
          <w:sz w:val="20"/>
          <w:szCs w:val="20"/>
          <w:lang w:val="es-CR"/>
        </w:rPr>
        <w:t xml:space="preserve"> </w:t>
      </w:r>
      <w:r w:rsidRPr="00744CE4">
        <w:rPr>
          <w:rFonts w:ascii="Verdana" w:eastAsia="Verdana" w:hAnsi="Verdana" w:cs="Times New Roman"/>
          <w:spacing w:val="-1"/>
          <w:sz w:val="20"/>
          <w:szCs w:val="20"/>
          <w:lang w:val="es-CR"/>
        </w:rPr>
        <w:t>e</w:t>
      </w:r>
      <w:r w:rsidRPr="00744CE4">
        <w:rPr>
          <w:rFonts w:ascii="Verdana" w:eastAsia="Verdana" w:hAnsi="Verdana" w:cs="Times New Roman"/>
          <w:sz w:val="20"/>
          <w:szCs w:val="20"/>
          <w:lang w:val="es-CR"/>
        </w:rPr>
        <w:t>n</w:t>
      </w:r>
      <w:r w:rsidRPr="00744CE4">
        <w:rPr>
          <w:rFonts w:ascii="Verdana" w:eastAsia="Verdana" w:hAnsi="Verdana" w:cs="Times New Roman"/>
          <w:spacing w:val="12"/>
          <w:sz w:val="20"/>
          <w:szCs w:val="20"/>
          <w:lang w:val="es-CR"/>
        </w:rPr>
        <w:t xml:space="preserve"> </w:t>
      </w:r>
      <w:r w:rsidRPr="00744CE4">
        <w:rPr>
          <w:rFonts w:ascii="Verdana" w:eastAsia="Verdana" w:hAnsi="Verdana" w:cs="Times New Roman"/>
          <w:spacing w:val="-1"/>
          <w:sz w:val="20"/>
          <w:szCs w:val="20"/>
          <w:lang w:val="es-CR"/>
        </w:rPr>
        <w:t>e</w:t>
      </w:r>
      <w:r w:rsidRPr="00744CE4">
        <w:rPr>
          <w:rFonts w:ascii="Verdana" w:eastAsia="Verdana" w:hAnsi="Verdana" w:cs="Times New Roman"/>
          <w:sz w:val="20"/>
          <w:szCs w:val="20"/>
          <w:lang w:val="es-CR"/>
        </w:rPr>
        <w:t xml:space="preserve">l </w:t>
      </w:r>
      <w:r w:rsidRPr="00744CE4">
        <w:rPr>
          <w:rFonts w:ascii="Verdana" w:eastAsia="Verdana" w:hAnsi="Verdana" w:cs="Times New Roman"/>
          <w:spacing w:val="1"/>
          <w:sz w:val="20"/>
          <w:szCs w:val="20"/>
          <w:lang w:val="es-CR"/>
        </w:rPr>
        <w:t>p</w:t>
      </w:r>
      <w:r w:rsidRPr="00744CE4">
        <w:rPr>
          <w:rFonts w:ascii="Verdana" w:eastAsia="Verdana" w:hAnsi="Verdana" w:cs="Times New Roman"/>
          <w:spacing w:val="-1"/>
          <w:sz w:val="20"/>
          <w:szCs w:val="20"/>
          <w:lang w:val="es-CR"/>
        </w:rPr>
        <w:t>r</w:t>
      </w:r>
      <w:r w:rsidRPr="00744CE4">
        <w:rPr>
          <w:rFonts w:ascii="Verdana" w:eastAsia="Verdana" w:hAnsi="Verdana" w:cs="Times New Roman"/>
          <w:spacing w:val="3"/>
          <w:sz w:val="20"/>
          <w:szCs w:val="20"/>
          <w:lang w:val="es-CR"/>
        </w:rPr>
        <w:t>i</w:t>
      </w:r>
      <w:r w:rsidRPr="00744CE4">
        <w:rPr>
          <w:rFonts w:ascii="Verdana" w:eastAsia="Verdana" w:hAnsi="Verdana" w:cs="Times New Roman"/>
          <w:sz w:val="20"/>
          <w:szCs w:val="20"/>
          <w:lang w:val="es-CR"/>
        </w:rPr>
        <w:t>mer</w:t>
      </w:r>
      <w:r w:rsidRPr="00744CE4">
        <w:rPr>
          <w:rFonts w:ascii="Verdana" w:eastAsia="Verdana" w:hAnsi="Verdana" w:cs="Times New Roman"/>
          <w:spacing w:val="-5"/>
          <w:sz w:val="20"/>
          <w:szCs w:val="20"/>
          <w:lang w:val="es-CR"/>
        </w:rPr>
        <w:t xml:space="preserve"> </w:t>
      </w:r>
      <w:r w:rsidRPr="00744CE4">
        <w:rPr>
          <w:rFonts w:ascii="Verdana" w:eastAsia="Verdana" w:hAnsi="Verdana" w:cs="Times New Roman"/>
          <w:sz w:val="20"/>
          <w:szCs w:val="20"/>
          <w:lang w:val="es-CR"/>
        </w:rPr>
        <w:t>mo</w:t>
      </w:r>
      <w:r w:rsidRPr="00744CE4">
        <w:rPr>
          <w:rFonts w:ascii="Verdana" w:eastAsia="Verdana" w:hAnsi="Verdana" w:cs="Times New Roman"/>
          <w:spacing w:val="3"/>
          <w:sz w:val="20"/>
          <w:szCs w:val="20"/>
          <w:lang w:val="es-CR"/>
        </w:rPr>
        <w:t>m</w:t>
      </w:r>
      <w:r w:rsidRPr="00744CE4">
        <w:rPr>
          <w:rFonts w:ascii="Verdana" w:eastAsia="Verdana" w:hAnsi="Verdana" w:cs="Times New Roman"/>
          <w:spacing w:val="-1"/>
          <w:sz w:val="20"/>
          <w:szCs w:val="20"/>
          <w:lang w:val="es-CR"/>
        </w:rPr>
        <w:t>e</w:t>
      </w:r>
      <w:r w:rsidRPr="00744CE4">
        <w:rPr>
          <w:rFonts w:ascii="Verdana" w:eastAsia="Verdana" w:hAnsi="Verdana" w:cs="Times New Roman"/>
          <w:spacing w:val="1"/>
          <w:sz w:val="20"/>
          <w:szCs w:val="20"/>
          <w:lang w:val="es-CR"/>
        </w:rPr>
        <w:t>nt</w:t>
      </w:r>
      <w:r w:rsidRPr="00744CE4">
        <w:rPr>
          <w:rFonts w:ascii="Verdana" w:eastAsia="Verdana" w:hAnsi="Verdana" w:cs="Times New Roman"/>
          <w:sz w:val="20"/>
          <w:szCs w:val="20"/>
          <w:lang w:val="es-CR"/>
        </w:rPr>
        <w:t>o</w:t>
      </w:r>
      <w:r w:rsidRPr="00744CE4">
        <w:rPr>
          <w:rFonts w:ascii="Verdana" w:eastAsia="Verdana" w:hAnsi="Verdana" w:cs="Times New Roman"/>
          <w:spacing w:val="-7"/>
          <w:sz w:val="20"/>
          <w:szCs w:val="20"/>
          <w:lang w:val="es-CR"/>
        </w:rPr>
        <w:t xml:space="preserve"> </w:t>
      </w:r>
      <w:r w:rsidRPr="00744CE4">
        <w:rPr>
          <w:rFonts w:ascii="Verdana" w:eastAsia="Verdana" w:hAnsi="Verdana" w:cs="Times New Roman"/>
          <w:spacing w:val="1"/>
          <w:sz w:val="20"/>
          <w:szCs w:val="20"/>
          <w:lang w:val="es-CR"/>
        </w:rPr>
        <w:t>p</w:t>
      </w:r>
      <w:r w:rsidRPr="00744CE4">
        <w:rPr>
          <w:rFonts w:ascii="Verdana" w:eastAsia="Verdana" w:hAnsi="Verdana" w:cs="Times New Roman"/>
          <w:spacing w:val="-1"/>
          <w:sz w:val="20"/>
          <w:szCs w:val="20"/>
          <w:lang w:val="es-CR"/>
        </w:rPr>
        <w:t>r</w:t>
      </w:r>
      <w:r w:rsidRPr="00744CE4">
        <w:rPr>
          <w:rFonts w:ascii="Verdana" w:eastAsia="Verdana" w:hAnsi="Verdana" w:cs="Times New Roman"/>
          <w:spacing w:val="1"/>
          <w:sz w:val="20"/>
          <w:szCs w:val="20"/>
          <w:lang w:val="es-CR"/>
        </w:rPr>
        <w:t>o</w:t>
      </w:r>
      <w:r w:rsidRPr="00744CE4">
        <w:rPr>
          <w:rFonts w:ascii="Verdana" w:eastAsia="Verdana" w:hAnsi="Verdana" w:cs="Times New Roman"/>
          <w:sz w:val="20"/>
          <w:szCs w:val="20"/>
          <w:lang w:val="es-CR"/>
        </w:rPr>
        <w:t>ce</w:t>
      </w:r>
      <w:r w:rsidRPr="00744CE4">
        <w:rPr>
          <w:rFonts w:ascii="Verdana" w:eastAsia="Verdana" w:hAnsi="Verdana" w:cs="Times New Roman"/>
          <w:spacing w:val="2"/>
          <w:sz w:val="20"/>
          <w:szCs w:val="20"/>
          <w:lang w:val="es-CR"/>
        </w:rPr>
        <w:t>s</w:t>
      </w:r>
      <w:r w:rsidRPr="00744CE4">
        <w:rPr>
          <w:rFonts w:ascii="Verdana" w:eastAsia="Verdana" w:hAnsi="Verdana" w:cs="Times New Roman"/>
          <w:sz w:val="20"/>
          <w:szCs w:val="20"/>
          <w:lang w:val="es-CR"/>
        </w:rPr>
        <w:t>al</w:t>
      </w:r>
      <w:r w:rsidRPr="00744CE4">
        <w:rPr>
          <w:rFonts w:ascii="Verdana" w:eastAsia="Verdana" w:hAnsi="Verdana" w:cs="Times New Roman"/>
          <w:spacing w:val="-4"/>
          <w:sz w:val="20"/>
          <w:szCs w:val="20"/>
          <w:lang w:val="es-CR"/>
        </w:rPr>
        <w:t xml:space="preserve"> </w:t>
      </w:r>
      <w:r w:rsidRPr="00744CE4">
        <w:rPr>
          <w:rFonts w:ascii="Verdana" w:eastAsia="Verdana" w:hAnsi="Verdana" w:cs="Times New Roman"/>
          <w:spacing w:val="1"/>
          <w:sz w:val="20"/>
          <w:szCs w:val="20"/>
          <w:lang w:val="es-CR"/>
        </w:rPr>
        <w:t>qu</w:t>
      </w:r>
      <w:r w:rsidRPr="00744CE4">
        <w:rPr>
          <w:rFonts w:ascii="Verdana" w:eastAsia="Verdana" w:hAnsi="Verdana" w:cs="Times New Roman"/>
          <w:sz w:val="20"/>
          <w:szCs w:val="20"/>
          <w:lang w:val="es-CR"/>
        </w:rPr>
        <w:t>e</w:t>
      </w:r>
      <w:r w:rsidRPr="00744CE4">
        <w:rPr>
          <w:rFonts w:ascii="Verdana" w:eastAsia="Verdana" w:hAnsi="Verdana" w:cs="Times New Roman"/>
          <w:spacing w:val="-1"/>
          <w:sz w:val="20"/>
          <w:szCs w:val="20"/>
          <w:lang w:val="es-CR"/>
        </w:rPr>
        <w:t xml:space="preserve"> </w:t>
      </w:r>
      <w:r w:rsidRPr="00744CE4">
        <w:rPr>
          <w:rFonts w:ascii="Verdana" w:eastAsia="Verdana" w:hAnsi="Verdana" w:cs="Times New Roman"/>
          <w:sz w:val="20"/>
          <w:szCs w:val="20"/>
          <w:lang w:val="es-CR"/>
        </w:rPr>
        <w:t xml:space="preserve">se </w:t>
      </w:r>
      <w:r w:rsidRPr="00744CE4">
        <w:rPr>
          <w:rFonts w:ascii="Verdana" w:eastAsia="Verdana" w:hAnsi="Verdana" w:cs="Times New Roman"/>
          <w:spacing w:val="3"/>
          <w:sz w:val="20"/>
          <w:szCs w:val="20"/>
          <w:lang w:val="es-CR"/>
        </w:rPr>
        <w:t>l</w:t>
      </w:r>
      <w:r w:rsidRPr="00744CE4">
        <w:rPr>
          <w:rFonts w:ascii="Verdana" w:eastAsia="Verdana" w:hAnsi="Verdana" w:cs="Times New Roman"/>
          <w:spacing w:val="-1"/>
          <w:sz w:val="20"/>
          <w:szCs w:val="20"/>
          <w:lang w:val="es-CR"/>
        </w:rPr>
        <w:t>e</w:t>
      </w:r>
      <w:r w:rsidRPr="00744CE4">
        <w:rPr>
          <w:rFonts w:ascii="Verdana" w:eastAsia="Verdana" w:hAnsi="Verdana" w:cs="Times New Roman"/>
          <w:sz w:val="20"/>
          <w:szCs w:val="20"/>
          <w:lang w:val="es-CR"/>
        </w:rPr>
        <w:t>s c</w:t>
      </w:r>
      <w:r w:rsidRPr="00744CE4">
        <w:rPr>
          <w:rFonts w:ascii="Verdana" w:eastAsia="Verdana" w:hAnsi="Verdana" w:cs="Times New Roman"/>
          <w:spacing w:val="-2"/>
          <w:sz w:val="20"/>
          <w:szCs w:val="20"/>
          <w:lang w:val="es-CR"/>
        </w:rPr>
        <w:t>o</w:t>
      </w:r>
      <w:r w:rsidRPr="00744CE4">
        <w:rPr>
          <w:rFonts w:ascii="Verdana" w:eastAsia="Verdana" w:hAnsi="Verdana" w:cs="Times New Roman"/>
          <w:spacing w:val="1"/>
          <w:sz w:val="20"/>
          <w:szCs w:val="20"/>
          <w:lang w:val="es-CR"/>
        </w:rPr>
        <w:t>n</w:t>
      </w:r>
      <w:r w:rsidRPr="00744CE4">
        <w:rPr>
          <w:rFonts w:ascii="Verdana" w:eastAsia="Verdana" w:hAnsi="Verdana" w:cs="Times New Roman"/>
          <w:sz w:val="20"/>
          <w:szCs w:val="20"/>
          <w:lang w:val="es-CR"/>
        </w:rPr>
        <w:t>c</w:t>
      </w:r>
      <w:r w:rsidRPr="00744CE4">
        <w:rPr>
          <w:rFonts w:ascii="Verdana" w:eastAsia="Verdana" w:hAnsi="Verdana" w:cs="Times New Roman"/>
          <w:spacing w:val="-2"/>
          <w:sz w:val="20"/>
          <w:szCs w:val="20"/>
          <w:lang w:val="es-CR"/>
        </w:rPr>
        <w:t>e</w:t>
      </w:r>
      <w:r w:rsidRPr="00744CE4">
        <w:rPr>
          <w:rFonts w:ascii="Verdana" w:eastAsia="Verdana" w:hAnsi="Verdana" w:cs="Times New Roman"/>
          <w:spacing w:val="3"/>
          <w:sz w:val="20"/>
          <w:szCs w:val="20"/>
          <w:lang w:val="es-CR"/>
        </w:rPr>
        <w:t>d</w:t>
      </w:r>
      <w:r w:rsidRPr="00744CE4">
        <w:rPr>
          <w:rFonts w:ascii="Verdana" w:eastAsia="Verdana" w:hAnsi="Verdana" w:cs="Times New Roman"/>
          <w:spacing w:val="-1"/>
          <w:sz w:val="20"/>
          <w:szCs w:val="20"/>
          <w:lang w:val="es-CR"/>
        </w:rPr>
        <w:t>e</w:t>
      </w:r>
      <w:r w:rsidRPr="00744CE4">
        <w:rPr>
          <w:rFonts w:ascii="Verdana" w:eastAsia="Verdana" w:hAnsi="Verdana" w:cs="Times New Roman"/>
          <w:sz w:val="20"/>
          <w:szCs w:val="20"/>
          <w:lang w:val="es-CR"/>
        </w:rPr>
        <w:t>,</w:t>
      </w:r>
      <w:r w:rsidRPr="00744CE4">
        <w:rPr>
          <w:rFonts w:ascii="Verdana" w:eastAsia="Verdana" w:hAnsi="Verdana" w:cs="Times New Roman"/>
          <w:spacing w:val="-3"/>
          <w:sz w:val="20"/>
          <w:szCs w:val="20"/>
          <w:lang w:val="es-CR"/>
        </w:rPr>
        <w:t xml:space="preserve"> </w:t>
      </w:r>
      <w:r w:rsidRPr="00744CE4">
        <w:rPr>
          <w:rFonts w:ascii="Verdana" w:eastAsia="Verdana" w:hAnsi="Verdana" w:cs="Times New Roman"/>
          <w:spacing w:val="1"/>
          <w:sz w:val="20"/>
          <w:szCs w:val="20"/>
          <w:lang w:val="es-CR"/>
        </w:rPr>
        <w:t>e</w:t>
      </w:r>
      <w:r w:rsidRPr="00744CE4">
        <w:rPr>
          <w:rFonts w:ascii="Verdana" w:eastAsia="Verdana" w:hAnsi="Verdana" w:cs="Times New Roman"/>
          <w:sz w:val="20"/>
          <w:szCs w:val="20"/>
          <w:lang w:val="es-CR"/>
        </w:rPr>
        <w:t>sto</w:t>
      </w:r>
      <w:r w:rsidRPr="00744CE4">
        <w:rPr>
          <w:rFonts w:ascii="Verdana" w:eastAsia="Verdana" w:hAnsi="Verdana" w:cs="Times New Roman"/>
          <w:spacing w:val="-1"/>
          <w:sz w:val="20"/>
          <w:szCs w:val="20"/>
          <w:lang w:val="es-CR"/>
        </w:rPr>
        <w:t xml:space="preserve"> </w:t>
      </w:r>
      <w:r w:rsidRPr="00744CE4">
        <w:rPr>
          <w:rFonts w:ascii="Verdana" w:eastAsia="Verdana" w:hAnsi="Verdana" w:cs="Times New Roman"/>
          <w:spacing w:val="1"/>
          <w:sz w:val="20"/>
          <w:szCs w:val="20"/>
          <w:lang w:val="es-CR"/>
        </w:rPr>
        <w:t>e</w:t>
      </w:r>
      <w:r w:rsidRPr="00744CE4">
        <w:rPr>
          <w:rFonts w:ascii="Verdana" w:eastAsia="Verdana" w:hAnsi="Verdana" w:cs="Times New Roman"/>
          <w:sz w:val="20"/>
          <w:szCs w:val="20"/>
          <w:lang w:val="es-CR"/>
        </w:rPr>
        <w:t xml:space="preserve">s, </w:t>
      </w:r>
      <w:r w:rsidRPr="00744CE4">
        <w:rPr>
          <w:rFonts w:ascii="Verdana" w:eastAsia="Verdana" w:hAnsi="Verdana" w:cs="Times New Roman"/>
          <w:spacing w:val="-1"/>
          <w:sz w:val="20"/>
          <w:szCs w:val="20"/>
          <w:lang w:val="es-CR"/>
        </w:rPr>
        <w:t>e</w:t>
      </w:r>
      <w:r w:rsidRPr="00744CE4">
        <w:rPr>
          <w:rFonts w:ascii="Verdana" w:eastAsia="Verdana" w:hAnsi="Verdana" w:cs="Times New Roman"/>
          <w:sz w:val="20"/>
          <w:szCs w:val="20"/>
          <w:lang w:val="es-CR"/>
        </w:rPr>
        <w:t>n</w:t>
      </w:r>
      <w:r w:rsidRPr="00744CE4">
        <w:rPr>
          <w:rFonts w:ascii="Verdana" w:eastAsia="Verdana" w:hAnsi="Verdana" w:cs="Times New Roman"/>
          <w:spacing w:val="3"/>
          <w:sz w:val="20"/>
          <w:szCs w:val="20"/>
          <w:lang w:val="es-CR"/>
        </w:rPr>
        <w:t xml:space="preserve"> </w:t>
      </w:r>
      <w:r w:rsidRPr="00744CE4">
        <w:rPr>
          <w:rFonts w:ascii="Verdana" w:eastAsia="Verdana" w:hAnsi="Verdana" w:cs="Times New Roman"/>
          <w:spacing w:val="-1"/>
          <w:sz w:val="20"/>
          <w:szCs w:val="20"/>
          <w:lang w:val="es-CR"/>
        </w:rPr>
        <w:t>e</w:t>
      </w:r>
      <w:r w:rsidRPr="00744CE4">
        <w:rPr>
          <w:rFonts w:ascii="Verdana" w:eastAsia="Verdana" w:hAnsi="Verdana" w:cs="Times New Roman"/>
          <w:sz w:val="20"/>
          <w:szCs w:val="20"/>
          <w:lang w:val="es-CR"/>
        </w:rPr>
        <w:t>l</w:t>
      </w:r>
      <w:r w:rsidRPr="00744CE4">
        <w:rPr>
          <w:rFonts w:ascii="Verdana" w:eastAsia="Verdana" w:hAnsi="Verdana" w:cs="Times New Roman"/>
          <w:spacing w:val="4"/>
          <w:sz w:val="20"/>
          <w:szCs w:val="20"/>
          <w:lang w:val="es-CR"/>
        </w:rPr>
        <w:t xml:space="preserve"> </w:t>
      </w:r>
      <w:r w:rsidRPr="00744CE4">
        <w:rPr>
          <w:rFonts w:ascii="Verdana" w:eastAsia="Verdana" w:hAnsi="Verdana" w:cs="Times New Roman"/>
          <w:spacing w:val="-1"/>
          <w:sz w:val="20"/>
          <w:szCs w:val="20"/>
          <w:lang w:val="es-CR"/>
        </w:rPr>
        <w:t>e</w:t>
      </w:r>
      <w:r w:rsidRPr="00744CE4">
        <w:rPr>
          <w:rFonts w:ascii="Verdana" w:eastAsia="Verdana" w:hAnsi="Verdana" w:cs="Times New Roman"/>
          <w:sz w:val="20"/>
          <w:szCs w:val="20"/>
          <w:lang w:val="es-CR"/>
        </w:rPr>
        <w:t>s</w:t>
      </w:r>
      <w:r w:rsidRPr="00744CE4">
        <w:rPr>
          <w:rFonts w:ascii="Verdana" w:eastAsia="Verdana" w:hAnsi="Verdana" w:cs="Times New Roman"/>
          <w:spacing w:val="1"/>
          <w:sz w:val="20"/>
          <w:szCs w:val="20"/>
          <w:lang w:val="es-CR"/>
        </w:rPr>
        <w:t>c</w:t>
      </w:r>
      <w:r w:rsidRPr="00744CE4">
        <w:rPr>
          <w:rFonts w:ascii="Verdana" w:eastAsia="Verdana" w:hAnsi="Verdana" w:cs="Times New Roman"/>
          <w:spacing w:val="-1"/>
          <w:sz w:val="20"/>
          <w:szCs w:val="20"/>
          <w:lang w:val="es-CR"/>
        </w:rPr>
        <w:t>r</w:t>
      </w:r>
      <w:r w:rsidRPr="00744CE4">
        <w:rPr>
          <w:rFonts w:ascii="Verdana" w:eastAsia="Verdana" w:hAnsi="Verdana" w:cs="Times New Roman"/>
          <w:spacing w:val="3"/>
          <w:sz w:val="20"/>
          <w:szCs w:val="20"/>
          <w:lang w:val="es-CR"/>
        </w:rPr>
        <w:t>i</w:t>
      </w:r>
      <w:r w:rsidRPr="00744CE4">
        <w:rPr>
          <w:rFonts w:ascii="Verdana" w:eastAsia="Verdana" w:hAnsi="Verdana" w:cs="Times New Roman"/>
          <w:spacing w:val="1"/>
          <w:sz w:val="20"/>
          <w:szCs w:val="20"/>
          <w:lang w:val="es-CR"/>
        </w:rPr>
        <w:t>t</w:t>
      </w:r>
      <w:r w:rsidRPr="00744CE4">
        <w:rPr>
          <w:rFonts w:ascii="Verdana" w:eastAsia="Verdana" w:hAnsi="Verdana" w:cs="Times New Roman"/>
          <w:sz w:val="20"/>
          <w:szCs w:val="20"/>
          <w:lang w:val="es-CR"/>
        </w:rPr>
        <w:t>o</w:t>
      </w:r>
      <w:r w:rsidRPr="00744CE4">
        <w:rPr>
          <w:rFonts w:ascii="Verdana" w:eastAsia="Verdana" w:hAnsi="Verdana" w:cs="Times New Roman"/>
          <w:spacing w:val="-4"/>
          <w:sz w:val="20"/>
          <w:szCs w:val="20"/>
          <w:lang w:val="es-CR"/>
        </w:rPr>
        <w:t xml:space="preserve"> </w:t>
      </w:r>
      <w:r w:rsidRPr="00744CE4">
        <w:rPr>
          <w:rFonts w:ascii="Verdana" w:eastAsia="Verdana" w:hAnsi="Verdana" w:cs="Times New Roman"/>
          <w:spacing w:val="1"/>
          <w:sz w:val="20"/>
          <w:szCs w:val="20"/>
          <w:lang w:val="es-CR"/>
        </w:rPr>
        <w:t>d</w:t>
      </w:r>
      <w:r w:rsidRPr="00744CE4">
        <w:rPr>
          <w:rFonts w:ascii="Verdana" w:eastAsia="Verdana" w:hAnsi="Verdana" w:cs="Times New Roman"/>
          <w:sz w:val="20"/>
          <w:szCs w:val="20"/>
          <w:lang w:val="es-CR"/>
        </w:rPr>
        <w:t>e</w:t>
      </w:r>
      <w:r w:rsidRPr="00744CE4">
        <w:rPr>
          <w:rFonts w:ascii="Verdana" w:eastAsia="Verdana" w:hAnsi="Verdana" w:cs="Times New Roman"/>
          <w:spacing w:val="1"/>
          <w:sz w:val="20"/>
          <w:szCs w:val="20"/>
          <w:lang w:val="es-CR"/>
        </w:rPr>
        <w:t xml:space="preserve"> </w:t>
      </w:r>
      <w:r w:rsidRPr="00744CE4">
        <w:rPr>
          <w:rFonts w:ascii="Verdana" w:eastAsia="Verdana" w:hAnsi="Verdana" w:cs="Times New Roman"/>
          <w:sz w:val="20"/>
          <w:szCs w:val="20"/>
          <w:lang w:val="es-CR"/>
        </w:rPr>
        <w:t>s</w:t>
      </w:r>
      <w:r w:rsidRPr="00744CE4">
        <w:rPr>
          <w:rFonts w:ascii="Verdana" w:eastAsia="Verdana" w:hAnsi="Verdana" w:cs="Times New Roman"/>
          <w:spacing w:val="-2"/>
          <w:sz w:val="20"/>
          <w:szCs w:val="20"/>
          <w:lang w:val="es-CR"/>
        </w:rPr>
        <w:t>o</w:t>
      </w:r>
      <w:r w:rsidRPr="00744CE4">
        <w:rPr>
          <w:rFonts w:ascii="Verdana" w:eastAsia="Verdana" w:hAnsi="Verdana" w:cs="Times New Roman"/>
          <w:spacing w:val="3"/>
          <w:sz w:val="20"/>
          <w:szCs w:val="20"/>
          <w:lang w:val="es-CR"/>
        </w:rPr>
        <w:t>li</w:t>
      </w:r>
      <w:r w:rsidRPr="00744CE4">
        <w:rPr>
          <w:rFonts w:ascii="Verdana" w:eastAsia="Verdana" w:hAnsi="Verdana" w:cs="Times New Roman"/>
          <w:spacing w:val="-3"/>
          <w:sz w:val="20"/>
          <w:szCs w:val="20"/>
          <w:lang w:val="es-CR"/>
        </w:rPr>
        <w:t>c</w:t>
      </w:r>
      <w:r w:rsidRPr="00744CE4">
        <w:rPr>
          <w:rFonts w:ascii="Verdana" w:eastAsia="Verdana" w:hAnsi="Verdana" w:cs="Times New Roman"/>
          <w:spacing w:val="3"/>
          <w:sz w:val="20"/>
          <w:szCs w:val="20"/>
          <w:lang w:val="es-CR"/>
        </w:rPr>
        <w:t>i</w:t>
      </w:r>
      <w:r w:rsidRPr="00744CE4">
        <w:rPr>
          <w:rFonts w:ascii="Verdana" w:eastAsia="Verdana" w:hAnsi="Verdana" w:cs="Times New Roman"/>
          <w:spacing w:val="1"/>
          <w:sz w:val="20"/>
          <w:szCs w:val="20"/>
          <w:lang w:val="es-CR"/>
        </w:rPr>
        <w:t>tud</w:t>
      </w:r>
      <w:r w:rsidRPr="00744CE4">
        <w:rPr>
          <w:rFonts w:ascii="Verdana" w:eastAsia="Verdana" w:hAnsi="Verdana" w:cs="Times New Roman"/>
          <w:spacing w:val="-1"/>
          <w:sz w:val="20"/>
          <w:szCs w:val="20"/>
          <w:lang w:val="es-CR"/>
        </w:rPr>
        <w:t>e</w:t>
      </w:r>
      <w:r w:rsidRPr="00744CE4">
        <w:rPr>
          <w:rFonts w:ascii="Verdana" w:eastAsia="Verdana" w:hAnsi="Verdana" w:cs="Times New Roman"/>
          <w:sz w:val="20"/>
          <w:szCs w:val="20"/>
          <w:lang w:val="es-CR"/>
        </w:rPr>
        <w:t>s</w:t>
      </w:r>
      <w:r w:rsidRPr="00744CE4">
        <w:rPr>
          <w:rFonts w:ascii="Verdana" w:eastAsia="Verdana" w:hAnsi="Verdana" w:cs="Times New Roman"/>
          <w:spacing w:val="-7"/>
          <w:sz w:val="20"/>
          <w:szCs w:val="20"/>
          <w:lang w:val="es-CR"/>
        </w:rPr>
        <w:t xml:space="preserve"> </w:t>
      </w:r>
      <w:r w:rsidRPr="00744CE4">
        <w:rPr>
          <w:rFonts w:ascii="Verdana" w:eastAsia="Verdana" w:hAnsi="Verdana" w:cs="Times New Roman"/>
          <w:sz w:val="20"/>
          <w:szCs w:val="20"/>
          <w:lang w:val="es-CR"/>
        </w:rPr>
        <w:t>y</w:t>
      </w:r>
      <w:r w:rsidRPr="00744CE4">
        <w:rPr>
          <w:rFonts w:ascii="Verdana" w:eastAsia="Verdana" w:hAnsi="Verdana" w:cs="Times New Roman"/>
          <w:spacing w:val="3"/>
          <w:sz w:val="20"/>
          <w:szCs w:val="20"/>
          <w:lang w:val="es-CR"/>
        </w:rPr>
        <w:t xml:space="preserve"> </w:t>
      </w:r>
      <w:r w:rsidRPr="00744CE4">
        <w:rPr>
          <w:rFonts w:ascii="Verdana" w:eastAsia="Verdana" w:hAnsi="Verdana" w:cs="Times New Roman"/>
          <w:sz w:val="20"/>
          <w:szCs w:val="20"/>
          <w:lang w:val="es-CR"/>
        </w:rPr>
        <w:t>a</w:t>
      </w:r>
      <w:r w:rsidRPr="00744CE4">
        <w:rPr>
          <w:rFonts w:ascii="Verdana" w:eastAsia="Verdana" w:hAnsi="Verdana" w:cs="Times New Roman"/>
          <w:spacing w:val="-1"/>
          <w:sz w:val="20"/>
          <w:szCs w:val="20"/>
          <w:lang w:val="es-CR"/>
        </w:rPr>
        <w:t>r</w:t>
      </w:r>
      <w:r w:rsidRPr="00744CE4">
        <w:rPr>
          <w:rFonts w:ascii="Verdana" w:eastAsia="Verdana" w:hAnsi="Verdana" w:cs="Times New Roman"/>
          <w:spacing w:val="1"/>
          <w:sz w:val="20"/>
          <w:szCs w:val="20"/>
          <w:lang w:val="es-CR"/>
        </w:rPr>
        <w:t>gu</w:t>
      </w:r>
      <w:r w:rsidRPr="00744CE4">
        <w:rPr>
          <w:rFonts w:ascii="Verdana" w:eastAsia="Verdana" w:hAnsi="Verdana" w:cs="Times New Roman"/>
          <w:sz w:val="20"/>
          <w:szCs w:val="20"/>
          <w:lang w:val="es-CR"/>
        </w:rPr>
        <w:t>men</w:t>
      </w:r>
      <w:r w:rsidRPr="00744CE4">
        <w:rPr>
          <w:rFonts w:ascii="Verdana" w:eastAsia="Verdana" w:hAnsi="Verdana" w:cs="Times New Roman"/>
          <w:spacing w:val="1"/>
          <w:sz w:val="20"/>
          <w:szCs w:val="20"/>
          <w:lang w:val="es-CR"/>
        </w:rPr>
        <w:t>t</w:t>
      </w:r>
      <w:r w:rsidRPr="00744CE4">
        <w:rPr>
          <w:rFonts w:ascii="Verdana" w:eastAsia="Verdana" w:hAnsi="Verdana" w:cs="Times New Roman"/>
          <w:spacing w:val="-1"/>
          <w:sz w:val="20"/>
          <w:szCs w:val="20"/>
          <w:lang w:val="es-CR"/>
        </w:rPr>
        <w:t>o</w:t>
      </w:r>
      <w:r w:rsidRPr="00744CE4">
        <w:rPr>
          <w:rFonts w:ascii="Verdana" w:eastAsia="Verdana" w:hAnsi="Verdana" w:cs="Times New Roman"/>
          <w:sz w:val="20"/>
          <w:szCs w:val="20"/>
          <w:lang w:val="es-CR"/>
        </w:rPr>
        <w:t>s,</w:t>
      </w:r>
      <w:r w:rsidRPr="00744CE4">
        <w:rPr>
          <w:rFonts w:ascii="Verdana" w:eastAsia="Verdana" w:hAnsi="Verdana" w:cs="Times New Roman"/>
          <w:spacing w:val="-10"/>
          <w:sz w:val="20"/>
          <w:szCs w:val="20"/>
          <w:lang w:val="es-CR"/>
        </w:rPr>
        <w:t xml:space="preserve"> </w:t>
      </w:r>
      <w:r w:rsidRPr="00744CE4">
        <w:rPr>
          <w:rFonts w:ascii="Verdana" w:eastAsia="Verdana" w:hAnsi="Verdana" w:cs="Times New Roman"/>
          <w:sz w:val="20"/>
          <w:szCs w:val="20"/>
          <w:lang w:val="es-CR"/>
        </w:rPr>
        <w:t>s</w:t>
      </w:r>
      <w:r w:rsidRPr="00744CE4">
        <w:rPr>
          <w:rFonts w:ascii="Verdana" w:eastAsia="Verdana" w:hAnsi="Verdana" w:cs="Times New Roman"/>
          <w:spacing w:val="2"/>
          <w:sz w:val="20"/>
          <w:szCs w:val="20"/>
          <w:lang w:val="es-CR"/>
        </w:rPr>
        <w:t>i</w:t>
      </w:r>
      <w:r w:rsidRPr="00744CE4">
        <w:rPr>
          <w:rFonts w:ascii="Verdana" w:eastAsia="Verdana" w:hAnsi="Verdana" w:cs="Times New Roman"/>
          <w:sz w:val="20"/>
          <w:szCs w:val="20"/>
          <w:lang w:val="es-CR"/>
        </w:rPr>
        <w:t xml:space="preserve">n </w:t>
      </w:r>
      <w:r w:rsidRPr="00744CE4">
        <w:rPr>
          <w:rFonts w:ascii="Verdana" w:eastAsia="Verdana" w:hAnsi="Verdana" w:cs="Times New Roman"/>
          <w:spacing w:val="1"/>
          <w:sz w:val="20"/>
          <w:szCs w:val="20"/>
          <w:lang w:val="es-CR"/>
        </w:rPr>
        <w:t>p</w:t>
      </w:r>
      <w:r w:rsidRPr="00744CE4">
        <w:rPr>
          <w:rFonts w:ascii="Verdana" w:eastAsia="Verdana" w:hAnsi="Verdana" w:cs="Times New Roman"/>
          <w:spacing w:val="-1"/>
          <w:sz w:val="20"/>
          <w:szCs w:val="20"/>
          <w:lang w:val="es-CR"/>
        </w:rPr>
        <w:t>er</w:t>
      </w:r>
      <w:r w:rsidRPr="00744CE4">
        <w:rPr>
          <w:rFonts w:ascii="Verdana" w:eastAsia="Verdana" w:hAnsi="Verdana" w:cs="Times New Roman"/>
          <w:spacing w:val="1"/>
          <w:sz w:val="20"/>
          <w:szCs w:val="20"/>
          <w:lang w:val="es-CR"/>
        </w:rPr>
        <w:t>ju</w:t>
      </w:r>
      <w:r w:rsidRPr="00744CE4">
        <w:rPr>
          <w:rFonts w:ascii="Verdana" w:eastAsia="Verdana" w:hAnsi="Verdana" w:cs="Times New Roman"/>
          <w:spacing w:val="3"/>
          <w:sz w:val="20"/>
          <w:szCs w:val="20"/>
          <w:lang w:val="es-CR"/>
        </w:rPr>
        <w:t>i</w:t>
      </w:r>
      <w:r w:rsidRPr="00744CE4">
        <w:rPr>
          <w:rFonts w:ascii="Verdana" w:eastAsia="Verdana" w:hAnsi="Verdana" w:cs="Times New Roman"/>
          <w:sz w:val="20"/>
          <w:szCs w:val="20"/>
          <w:lang w:val="es-CR"/>
        </w:rPr>
        <w:t>c</w:t>
      </w:r>
      <w:r w:rsidRPr="00744CE4">
        <w:rPr>
          <w:rFonts w:ascii="Verdana" w:eastAsia="Verdana" w:hAnsi="Verdana" w:cs="Times New Roman"/>
          <w:spacing w:val="2"/>
          <w:sz w:val="20"/>
          <w:szCs w:val="20"/>
          <w:lang w:val="es-CR"/>
        </w:rPr>
        <w:t>i</w:t>
      </w:r>
      <w:r w:rsidRPr="00744CE4">
        <w:rPr>
          <w:rFonts w:ascii="Verdana" w:eastAsia="Verdana" w:hAnsi="Verdana" w:cs="Times New Roman"/>
          <w:sz w:val="20"/>
          <w:szCs w:val="20"/>
          <w:lang w:val="es-CR"/>
        </w:rPr>
        <w:t>o</w:t>
      </w:r>
      <w:r w:rsidRPr="00744CE4">
        <w:rPr>
          <w:rFonts w:ascii="Verdana" w:eastAsia="Verdana" w:hAnsi="Verdana" w:cs="Times New Roman"/>
          <w:spacing w:val="1"/>
          <w:sz w:val="20"/>
          <w:szCs w:val="20"/>
          <w:lang w:val="es-CR"/>
        </w:rPr>
        <w:t xml:space="preserve"> d</w:t>
      </w:r>
      <w:r w:rsidRPr="00744CE4">
        <w:rPr>
          <w:rFonts w:ascii="Verdana" w:eastAsia="Verdana" w:hAnsi="Verdana" w:cs="Times New Roman"/>
          <w:sz w:val="20"/>
          <w:szCs w:val="20"/>
          <w:lang w:val="es-CR"/>
        </w:rPr>
        <w:t>e</w:t>
      </w:r>
      <w:r w:rsidRPr="00744CE4">
        <w:rPr>
          <w:rFonts w:ascii="Verdana" w:eastAsia="Verdana" w:hAnsi="Verdana" w:cs="Times New Roman"/>
          <w:spacing w:val="7"/>
          <w:sz w:val="20"/>
          <w:szCs w:val="20"/>
          <w:lang w:val="es-CR"/>
        </w:rPr>
        <w:t xml:space="preserve"> </w:t>
      </w:r>
      <w:r w:rsidRPr="00744CE4">
        <w:rPr>
          <w:rFonts w:ascii="Verdana" w:eastAsia="Verdana" w:hAnsi="Verdana" w:cs="Times New Roman"/>
          <w:spacing w:val="1"/>
          <w:sz w:val="20"/>
          <w:szCs w:val="20"/>
          <w:lang w:val="es-CR"/>
        </w:rPr>
        <w:t>qu</w:t>
      </w:r>
      <w:r w:rsidRPr="00744CE4">
        <w:rPr>
          <w:rFonts w:ascii="Verdana" w:eastAsia="Verdana" w:hAnsi="Verdana" w:cs="Times New Roman"/>
          <w:sz w:val="20"/>
          <w:szCs w:val="20"/>
          <w:lang w:val="es-CR"/>
        </w:rPr>
        <w:t>e</w:t>
      </w:r>
      <w:r w:rsidRPr="00744CE4">
        <w:rPr>
          <w:rFonts w:ascii="Verdana" w:eastAsia="Verdana" w:hAnsi="Verdana" w:cs="Times New Roman"/>
          <w:spacing w:val="6"/>
          <w:sz w:val="20"/>
          <w:szCs w:val="20"/>
          <w:lang w:val="es-CR"/>
        </w:rPr>
        <w:t xml:space="preserve"> </w:t>
      </w:r>
      <w:r w:rsidRPr="00744CE4">
        <w:rPr>
          <w:rFonts w:ascii="Verdana" w:eastAsia="Verdana" w:hAnsi="Verdana" w:cs="Times New Roman"/>
          <w:spacing w:val="1"/>
          <w:sz w:val="20"/>
          <w:szCs w:val="20"/>
          <w:lang w:val="es-CR"/>
        </w:rPr>
        <w:t>t</w:t>
      </w:r>
      <w:r w:rsidRPr="00744CE4">
        <w:rPr>
          <w:rFonts w:ascii="Verdana" w:eastAsia="Verdana" w:hAnsi="Verdana" w:cs="Times New Roman"/>
          <w:sz w:val="20"/>
          <w:szCs w:val="20"/>
          <w:lang w:val="es-CR"/>
        </w:rPr>
        <w:t>a</w:t>
      </w:r>
      <w:r w:rsidRPr="00744CE4">
        <w:rPr>
          <w:rFonts w:ascii="Verdana" w:eastAsia="Verdana" w:hAnsi="Verdana" w:cs="Times New Roman"/>
          <w:spacing w:val="3"/>
          <w:sz w:val="20"/>
          <w:szCs w:val="20"/>
          <w:lang w:val="es-CR"/>
        </w:rPr>
        <w:t>l</w:t>
      </w:r>
      <w:r w:rsidRPr="00744CE4">
        <w:rPr>
          <w:rFonts w:ascii="Verdana" w:eastAsia="Verdana" w:hAnsi="Verdana" w:cs="Times New Roman"/>
          <w:spacing w:val="-1"/>
          <w:sz w:val="20"/>
          <w:szCs w:val="20"/>
          <w:lang w:val="es-CR"/>
        </w:rPr>
        <w:t>e</w:t>
      </w:r>
      <w:r w:rsidRPr="00744CE4">
        <w:rPr>
          <w:rFonts w:ascii="Verdana" w:eastAsia="Verdana" w:hAnsi="Verdana" w:cs="Times New Roman"/>
          <w:sz w:val="20"/>
          <w:szCs w:val="20"/>
          <w:lang w:val="es-CR"/>
        </w:rPr>
        <w:t>s</w:t>
      </w:r>
      <w:r w:rsidRPr="00744CE4">
        <w:rPr>
          <w:rFonts w:ascii="Verdana" w:eastAsia="Verdana" w:hAnsi="Verdana" w:cs="Times New Roman"/>
          <w:spacing w:val="5"/>
          <w:sz w:val="20"/>
          <w:szCs w:val="20"/>
          <w:lang w:val="es-CR"/>
        </w:rPr>
        <w:t xml:space="preserve"> </w:t>
      </w:r>
      <w:r w:rsidRPr="00744CE4">
        <w:rPr>
          <w:rFonts w:ascii="Verdana" w:eastAsia="Verdana" w:hAnsi="Verdana" w:cs="Times New Roman"/>
          <w:spacing w:val="3"/>
          <w:sz w:val="20"/>
          <w:szCs w:val="20"/>
          <w:lang w:val="es-CR"/>
        </w:rPr>
        <w:t>p</w:t>
      </w:r>
      <w:r w:rsidRPr="00744CE4">
        <w:rPr>
          <w:rFonts w:ascii="Verdana" w:eastAsia="Verdana" w:hAnsi="Verdana" w:cs="Times New Roman"/>
          <w:spacing w:val="-1"/>
          <w:sz w:val="20"/>
          <w:szCs w:val="20"/>
          <w:lang w:val="es-CR"/>
        </w:rPr>
        <w:t>re</w:t>
      </w:r>
      <w:r w:rsidRPr="00744CE4">
        <w:rPr>
          <w:rFonts w:ascii="Verdana" w:eastAsia="Verdana" w:hAnsi="Verdana" w:cs="Times New Roman"/>
          <w:spacing w:val="3"/>
          <w:sz w:val="20"/>
          <w:szCs w:val="20"/>
          <w:lang w:val="es-CR"/>
        </w:rPr>
        <w:t>t</w:t>
      </w:r>
      <w:r w:rsidRPr="00744CE4">
        <w:rPr>
          <w:rFonts w:ascii="Verdana" w:eastAsia="Verdana" w:hAnsi="Verdana" w:cs="Times New Roman"/>
          <w:spacing w:val="-1"/>
          <w:sz w:val="20"/>
          <w:szCs w:val="20"/>
          <w:lang w:val="es-CR"/>
        </w:rPr>
        <w:t>e</w:t>
      </w:r>
      <w:r w:rsidRPr="00744CE4">
        <w:rPr>
          <w:rFonts w:ascii="Verdana" w:eastAsia="Verdana" w:hAnsi="Verdana" w:cs="Times New Roman"/>
          <w:spacing w:val="1"/>
          <w:sz w:val="20"/>
          <w:szCs w:val="20"/>
          <w:lang w:val="es-CR"/>
        </w:rPr>
        <w:t>n</w:t>
      </w:r>
      <w:r w:rsidRPr="00744CE4">
        <w:rPr>
          <w:rFonts w:ascii="Verdana" w:eastAsia="Verdana" w:hAnsi="Verdana" w:cs="Times New Roman"/>
          <w:sz w:val="20"/>
          <w:szCs w:val="20"/>
          <w:lang w:val="es-CR"/>
        </w:rPr>
        <w:t>s</w:t>
      </w:r>
      <w:r w:rsidRPr="00744CE4">
        <w:rPr>
          <w:rFonts w:ascii="Verdana" w:eastAsia="Verdana" w:hAnsi="Verdana" w:cs="Times New Roman"/>
          <w:spacing w:val="2"/>
          <w:sz w:val="20"/>
          <w:szCs w:val="20"/>
          <w:lang w:val="es-CR"/>
        </w:rPr>
        <w:t>i</w:t>
      </w:r>
      <w:r w:rsidRPr="00744CE4">
        <w:rPr>
          <w:rFonts w:ascii="Verdana" w:eastAsia="Verdana" w:hAnsi="Verdana" w:cs="Times New Roman"/>
          <w:spacing w:val="-1"/>
          <w:sz w:val="20"/>
          <w:szCs w:val="20"/>
          <w:lang w:val="es-CR"/>
        </w:rPr>
        <w:t>o</w:t>
      </w:r>
      <w:r w:rsidRPr="00744CE4">
        <w:rPr>
          <w:rFonts w:ascii="Verdana" w:eastAsia="Verdana" w:hAnsi="Verdana" w:cs="Times New Roman"/>
          <w:spacing w:val="1"/>
          <w:sz w:val="20"/>
          <w:szCs w:val="20"/>
          <w:lang w:val="es-CR"/>
        </w:rPr>
        <w:t>n</w:t>
      </w:r>
      <w:r w:rsidRPr="00744CE4">
        <w:rPr>
          <w:rFonts w:ascii="Verdana" w:eastAsia="Verdana" w:hAnsi="Verdana" w:cs="Times New Roman"/>
          <w:spacing w:val="-1"/>
          <w:sz w:val="20"/>
          <w:szCs w:val="20"/>
          <w:lang w:val="es-CR"/>
        </w:rPr>
        <w:t>e</w:t>
      </w:r>
      <w:r w:rsidRPr="00744CE4">
        <w:rPr>
          <w:rFonts w:ascii="Verdana" w:eastAsia="Verdana" w:hAnsi="Verdana" w:cs="Times New Roman"/>
          <w:sz w:val="20"/>
          <w:szCs w:val="20"/>
          <w:lang w:val="es-CR"/>
        </w:rPr>
        <w:t xml:space="preserve">s </w:t>
      </w:r>
      <w:r w:rsidRPr="00744CE4">
        <w:rPr>
          <w:rFonts w:ascii="Verdana" w:eastAsia="Verdana" w:hAnsi="Verdana" w:cs="Times New Roman"/>
          <w:spacing w:val="2"/>
          <w:sz w:val="20"/>
          <w:szCs w:val="20"/>
          <w:lang w:val="es-CR"/>
        </w:rPr>
        <w:t>s</w:t>
      </w:r>
      <w:r w:rsidRPr="00744CE4">
        <w:rPr>
          <w:rFonts w:ascii="Verdana" w:eastAsia="Verdana" w:hAnsi="Verdana" w:cs="Times New Roman"/>
          <w:sz w:val="20"/>
          <w:szCs w:val="20"/>
          <w:lang w:val="es-CR"/>
        </w:rPr>
        <w:t>e</w:t>
      </w:r>
      <w:r w:rsidRPr="00744CE4">
        <w:rPr>
          <w:rFonts w:ascii="Verdana" w:eastAsia="Verdana" w:hAnsi="Verdana" w:cs="Times New Roman"/>
          <w:spacing w:val="8"/>
          <w:sz w:val="20"/>
          <w:szCs w:val="20"/>
          <w:lang w:val="es-CR"/>
        </w:rPr>
        <w:t xml:space="preserve"> </w:t>
      </w:r>
      <w:r w:rsidRPr="00744CE4">
        <w:rPr>
          <w:rFonts w:ascii="Verdana" w:eastAsia="Verdana" w:hAnsi="Verdana" w:cs="Times New Roman"/>
          <w:sz w:val="20"/>
          <w:szCs w:val="20"/>
          <w:lang w:val="es-CR"/>
        </w:rPr>
        <w:t>act</w:t>
      </w:r>
      <w:r w:rsidRPr="00744CE4">
        <w:rPr>
          <w:rFonts w:ascii="Verdana" w:eastAsia="Verdana" w:hAnsi="Verdana" w:cs="Times New Roman"/>
          <w:spacing w:val="2"/>
          <w:sz w:val="20"/>
          <w:szCs w:val="20"/>
          <w:lang w:val="es-CR"/>
        </w:rPr>
        <w:t>u</w:t>
      </w:r>
      <w:r w:rsidRPr="00744CE4">
        <w:rPr>
          <w:rFonts w:ascii="Verdana" w:eastAsia="Verdana" w:hAnsi="Verdana" w:cs="Times New Roman"/>
          <w:sz w:val="20"/>
          <w:szCs w:val="20"/>
          <w:lang w:val="es-CR"/>
        </w:rPr>
        <w:t>a</w:t>
      </w:r>
      <w:r w:rsidRPr="00744CE4">
        <w:rPr>
          <w:rFonts w:ascii="Verdana" w:eastAsia="Verdana" w:hAnsi="Verdana" w:cs="Times New Roman"/>
          <w:spacing w:val="3"/>
          <w:sz w:val="20"/>
          <w:szCs w:val="20"/>
          <w:lang w:val="es-CR"/>
        </w:rPr>
        <w:t>li</w:t>
      </w:r>
      <w:r w:rsidRPr="00744CE4">
        <w:rPr>
          <w:rFonts w:ascii="Verdana" w:eastAsia="Verdana" w:hAnsi="Verdana" w:cs="Times New Roman"/>
          <w:sz w:val="20"/>
          <w:szCs w:val="20"/>
          <w:lang w:val="es-CR"/>
        </w:rPr>
        <w:t>c</w:t>
      </w:r>
      <w:r w:rsidRPr="00744CE4">
        <w:rPr>
          <w:rFonts w:ascii="Verdana" w:eastAsia="Verdana" w:hAnsi="Verdana" w:cs="Times New Roman"/>
          <w:spacing w:val="-2"/>
          <w:sz w:val="20"/>
          <w:szCs w:val="20"/>
          <w:lang w:val="es-CR"/>
        </w:rPr>
        <w:t>e</w:t>
      </w:r>
      <w:r w:rsidRPr="00744CE4">
        <w:rPr>
          <w:rFonts w:ascii="Verdana" w:eastAsia="Verdana" w:hAnsi="Verdana" w:cs="Times New Roman"/>
          <w:sz w:val="20"/>
          <w:szCs w:val="20"/>
          <w:lang w:val="es-CR"/>
        </w:rPr>
        <w:t>n</w:t>
      </w:r>
      <w:r w:rsidRPr="00744CE4">
        <w:rPr>
          <w:rFonts w:ascii="Verdana" w:eastAsia="Verdana" w:hAnsi="Verdana" w:cs="Times New Roman"/>
          <w:spacing w:val="2"/>
          <w:sz w:val="20"/>
          <w:szCs w:val="20"/>
          <w:lang w:val="es-CR"/>
        </w:rPr>
        <w:t xml:space="preserve"> </w:t>
      </w:r>
      <w:r w:rsidRPr="00744CE4">
        <w:rPr>
          <w:rFonts w:ascii="Verdana" w:eastAsia="Verdana" w:hAnsi="Verdana" w:cs="Times New Roman"/>
          <w:spacing w:val="-1"/>
          <w:sz w:val="20"/>
          <w:szCs w:val="20"/>
          <w:lang w:val="es-CR"/>
        </w:rPr>
        <w:t>e</w:t>
      </w:r>
      <w:r w:rsidRPr="00744CE4">
        <w:rPr>
          <w:rFonts w:ascii="Verdana" w:eastAsia="Verdana" w:hAnsi="Verdana" w:cs="Times New Roman"/>
          <w:sz w:val="20"/>
          <w:szCs w:val="20"/>
          <w:lang w:val="es-CR"/>
        </w:rPr>
        <w:t>n</w:t>
      </w:r>
      <w:r w:rsidRPr="00744CE4">
        <w:rPr>
          <w:rFonts w:ascii="Verdana" w:eastAsia="Verdana" w:hAnsi="Verdana" w:cs="Times New Roman"/>
          <w:spacing w:val="9"/>
          <w:sz w:val="20"/>
          <w:szCs w:val="20"/>
          <w:lang w:val="es-CR"/>
        </w:rPr>
        <w:t xml:space="preserve"> </w:t>
      </w:r>
      <w:r w:rsidRPr="00744CE4">
        <w:rPr>
          <w:rFonts w:ascii="Verdana" w:eastAsia="Verdana" w:hAnsi="Verdana" w:cs="Times New Roman"/>
          <w:spacing w:val="1"/>
          <w:sz w:val="20"/>
          <w:szCs w:val="20"/>
          <w:lang w:val="es-CR"/>
        </w:rPr>
        <w:t>u</w:t>
      </w:r>
      <w:r w:rsidRPr="00744CE4">
        <w:rPr>
          <w:rFonts w:ascii="Verdana" w:eastAsia="Verdana" w:hAnsi="Verdana" w:cs="Times New Roman"/>
          <w:sz w:val="20"/>
          <w:szCs w:val="20"/>
          <w:lang w:val="es-CR"/>
        </w:rPr>
        <w:t>n</w:t>
      </w:r>
      <w:r w:rsidRPr="00744CE4">
        <w:rPr>
          <w:rFonts w:ascii="Verdana" w:eastAsia="Verdana" w:hAnsi="Verdana" w:cs="Times New Roman"/>
          <w:spacing w:val="9"/>
          <w:sz w:val="20"/>
          <w:szCs w:val="20"/>
          <w:lang w:val="es-CR"/>
        </w:rPr>
        <w:t xml:space="preserve"> </w:t>
      </w:r>
      <w:r w:rsidRPr="00744CE4">
        <w:rPr>
          <w:rFonts w:ascii="Verdana" w:eastAsia="Verdana" w:hAnsi="Verdana" w:cs="Times New Roman"/>
          <w:sz w:val="20"/>
          <w:szCs w:val="20"/>
          <w:lang w:val="es-CR"/>
        </w:rPr>
        <w:t>mo</w:t>
      </w:r>
      <w:r w:rsidRPr="00744CE4">
        <w:rPr>
          <w:rFonts w:ascii="Verdana" w:eastAsia="Verdana" w:hAnsi="Verdana" w:cs="Times New Roman"/>
          <w:spacing w:val="3"/>
          <w:sz w:val="20"/>
          <w:szCs w:val="20"/>
          <w:lang w:val="es-CR"/>
        </w:rPr>
        <w:t>m</w:t>
      </w:r>
      <w:r w:rsidRPr="00744CE4">
        <w:rPr>
          <w:rFonts w:ascii="Verdana" w:eastAsia="Verdana" w:hAnsi="Verdana" w:cs="Times New Roman"/>
          <w:spacing w:val="-1"/>
          <w:sz w:val="20"/>
          <w:szCs w:val="20"/>
          <w:lang w:val="es-CR"/>
        </w:rPr>
        <w:t>e</w:t>
      </w:r>
      <w:r w:rsidRPr="00744CE4">
        <w:rPr>
          <w:rFonts w:ascii="Verdana" w:eastAsia="Verdana" w:hAnsi="Verdana" w:cs="Times New Roman"/>
          <w:spacing w:val="1"/>
          <w:sz w:val="20"/>
          <w:szCs w:val="20"/>
          <w:lang w:val="es-CR"/>
        </w:rPr>
        <w:t>nt</w:t>
      </w:r>
      <w:r w:rsidRPr="00744CE4">
        <w:rPr>
          <w:rFonts w:ascii="Verdana" w:eastAsia="Verdana" w:hAnsi="Verdana" w:cs="Times New Roman"/>
          <w:sz w:val="20"/>
          <w:szCs w:val="20"/>
          <w:lang w:val="es-CR"/>
        </w:rPr>
        <w:t>o</w:t>
      </w:r>
      <w:r w:rsidRPr="00744CE4">
        <w:rPr>
          <w:rFonts w:ascii="Verdana" w:eastAsia="Verdana" w:hAnsi="Verdana" w:cs="Times New Roman"/>
          <w:spacing w:val="2"/>
          <w:sz w:val="20"/>
          <w:szCs w:val="20"/>
          <w:lang w:val="es-CR"/>
        </w:rPr>
        <w:t xml:space="preserve"> </w:t>
      </w:r>
      <w:r w:rsidRPr="00744CE4">
        <w:rPr>
          <w:rFonts w:ascii="Verdana" w:eastAsia="Verdana" w:hAnsi="Verdana" w:cs="Times New Roman"/>
          <w:spacing w:val="1"/>
          <w:sz w:val="20"/>
          <w:szCs w:val="20"/>
          <w:lang w:val="es-CR"/>
        </w:rPr>
        <w:t>po</w:t>
      </w:r>
      <w:r w:rsidRPr="00744CE4">
        <w:rPr>
          <w:rFonts w:ascii="Verdana" w:eastAsia="Verdana" w:hAnsi="Verdana" w:cs="Times New Roman"/>
          <w:sz w:val="20"/>
          <w:szCs w:val="20"/>
          <w:lang w:val="es-CR"/>
        </w:rPr>
        <w:t>st</w:t>
      </w:r>
      <w:r w:rsidRPr="00744CE4">
        <w:rPr>
          <w:rFonts w:ascii="Verdana" w:eastAsia="Verdana" w:hAnsi="Verdana" w:cs="Times New Roman"/>
          <w:spacing w:val="-1"/>
          <w:sz w:val="20"/>
          <w:szCs w:val="20"/>
          <w:lang w:val="es-CR"/>
        </w:rPr>
        <w:t>er</w:t>
      </w:r>
      <w:r w:rsidRPr="00744CE4">
        <w:rPr>
          <w:rFonts w:ascii="Verdana" w:eastAsia="Verdana" w:hAnsi="Verdana" w:cs="Times New Roman"/>
          <w:spacing w:val="3"/>
          <w:sz w:val="20"/>
          <w:szCs w:val="20"/>
          <w:lang w:val="es-CR"/>
        </w:rPr>
        <w:t>i</w:t>
      </w:r>
      <w:r w:rsidRPr="00744CE4">
        <w:rPr>
          <w:rFonts w:ascii="Verdana" w:eastAsia="Verdana" w:hAnsi="Verdana" w:cs="Times New Roman"/>
          <w:spacing w:val="-1"/>
          <w:sz w:val="20"/>
          <w:szCs w:val="20"/>
          <w:lang w:val="es-CR"/>
        </w:rPr>
        <w:t>o</w:t>
      </w:r>
      <w:r w:rsidRPr="00744CE4">
        <w:rPr>
          <w:rFonts w:ascii="Verdana" w:eastAsia="Verdana" w:hAnsi="Verdana" w:cs="Times New Roman"/>
          <w:spacing w:val="10"/>
          <w:sz w:val="20"/>
          <w:szCs w:val="20"/>
          <w:lang w:val="es-CR"/>
        </w:rPr>
        <w:t>r</w:t>
      </w:r>
      <w:r w:rsidRPr="00744CE4">
        <w:rPr>
          <w:rFonts w:ascii="Verdana" w:eastAsia="Verdana" w:hAnsi="Verdana" w:cs="Times New Roman"/>
          <w:sz w:val="20"/>
          <w:szCs w:val="20"/>
          <w:lang w:val="es-CR"/>
        </w:rPr>
        <w:t xml:space="preserve">, </w:t>
      </w:r>
      <w:r w:rsidRPr="00744CE4">
        <w:rPr>
          <w:rFonts w:ascii="Verdana" w:eastAsia="Verdana" w:hAnsi="Verdana" w:cs="Times New Roman"/>
          <w:spacing w:val="2"/>
          <w:sz w:val="20"/>
          <w:szCs w:val="20"/>
          <w:lang w:val="es-CR"/>
        </w:rPr>
        <w:t>c</w:t>
      </w:r>
      <w:r w:rsidRPr="00744CE4">
        <w:rPr>
          <w:rFonts w:ascii="Verdana" w:eastAsia="Verdana" w:hAnsi="Verdana" w:cs="Times New Roman"/>
          <w:spacing w:val="-1"/>
          <w:sz w:val="20"/>
          <w:szCs w:val="20"/>
          <w:lang w:val="es-CR"/>
        </w:rPr>
        <w:t>o</w:t>
      </w:r>
      <w:r w:rsidRPr="00744CE4">
        <w:rPr>
          <w:rFonts w:ascii="Verdana" w:eastAsia="Verdana" w:hAnsi="Verdana" w:cs="Times New Roman"/>
          <w:spacing w:val="1"/>
          <w:sz w:val="20"/>
          <w:szCs w:val="20"/>
          <w:lang w:val="es-CR"/>
        </w:rPr>
        <w:t>n</w:t>
      </w:r>
      <w:r w:rsidRPr="00744CE4">
        <w:rPr>
          <w:rFonts w:ascii="Verdana" w:eastAsia="Verdana" w:hAnsi="Verdana" w:cs="Times New Roman"/>
          <w:spacing w:val="2"/>
          <w:sz w:val="20"/>
          <w:szCs w:val="20"/>
          <w:lang w:val="es-CR"/>
        </w:rPr>
        <w:t>f</w:t>
      </w:r>
      <w:r w:rsidRPr="00744CE4">
        <w:rPr>
          <w:rFonts w:ascii="Verdana" w:eastAsia="Verdana" w:hAnsi="Verdana" w:cs="Times New Roman"/>
          <w:spacing w:val="-1"/>
          <w:sz w:val="20"/>
          <w:szCs w:val="20"/>
          <w:lang w:val="es-CR"/>
        </w:rPr>
        <w:t>or</w:t>
      </w:r>
      <w:r w:rsidRPr="00744CE4">
        <w:rPr>
          <w:rFonts w:ascii="Verdana" w:eastAsia="Verdana" w:hAnsi="Verdana" w:cs="Times New Roman"/>
          <w:spacing w:val="3"/>
          <w:sz w:val="20"/>
          <w:szCs w:val="20"/>
          <w:lang w:val="es-CR"/>
        </w:rPr>
        <w:t>m</w:t>
      </w:r>
      <w:r w:rsidRPr="00744CE4">
        <w:rPr>
          <w:rFonts w:ascii="Verdana" w:eastAsia="Verdana" w:hAnsi="Verdana" w:cs="Times New Roman"/>
          <w:sz w:val="20"/>
          <w:szCs w:val="20"/>
          <w:lang w:val="es-CR"/>
        </w:rPr>
        <w:t>e a</w:t>
      </w:r>
      <w:r w:rsidRPr="00744CE4">
        <w:rPr>
          <w:rFonts w:ascii="Verdana" w:eastAsia="Verdana" w:hAnsi="Verdana" w:cs="Times New Roman"/>
          <w:spacing w:val="12"/>
          <w:sz w:val="20"/>
          <w:szCs w:val="20"/>
          <w:lang w:val="es-CR"/>
        </w:rPr>
        <w:t xml:space="preserve"> </w:t>
      </w:r>
      <w:r w:rsidRPr="00744CE4">
        <w:rPr>
          <w:rFonts w:ascii="Verdana" w:eastAsia="Verdana" w:hAnsi="Verdana" w:cs="Times New Roman"/>
          <w:spacing w:val="3"/>
          <w:sz w:val="20"/>
          <w:szCs w:val="20"/>
          <w:lang w:val="es-CR"/>
        </w:rPr>
        <w:t>l</w:t>
      </w:r>
      <w:r w:rsidRPr="00744CE4">
        <w:rPr>
          <w:rFonts w:ascii="Verdana" w:eastAsia="Verdana" w:hAnsi="Verdana" w:cs="Times New Roman"/>
          <w:sz w:val="20"/>
          <w:szCs w:val="20"/>
          <w:lang w:val="es-CR"/>
        </w:rPr>
        <w:t>as</w:t>
      </w:r>
      <w:r w:rsidRPr="00744CE4">
        <w:rPr>
          <w:rFonts w:ascii="Verdana" w:eastAsia="Verdana" w:hAnsi="Verdana" w:cs="Times New Roman"/>
          <w:spacing w:val="8"/>
          <w:sz w:val="20"/>
          <w:szCs w:val="20"/>
          <w:lang w:val="es-CR"/>
        </w:rPr>
        <w:t xml:space="preserve"> </w:t>
      </w:r>
      <w:r w:rsidRPr="00744CE4">
        <w:rPr>
          <w:rFonts w:ascii="Verdana" w:eastAsia="Verdana" w:hAnsi="Verdana" w:cs="Times New Roman"/>
          <w:spacing w:val="1"/>
          <w:sz w:val="20"/>
          <w:szCs w:val="20"/>
          <w:lang w:val="es-CR"/>
        </w:rPr>
        <w:t>nu</w:t>
      </w:r>
      <w:r w:rsidRPr="00744CE4">
        <w:rPr>
          <w:rFonts w:ascii="Verdana" w:eastAsia="Verdana" w:hAnsi="Verdana" w:cs="Times New Roman"/>
          <w:spacing w:val="-1"/>
          <w:sz w:val="20"/>
          <w:szCs w:val="20"/>
          <w:lang w:val="es-CR"/>
        </w:rPr>
        <w:t>e</w:t>
      </w:r>
      <w:r w:rsidRPr="00744CE4">
        <w:rPr>
          <w:rFonts w:ascii="Verdana" w:eastAsia="Verdana" w:hAnsi="Verdana" w:cs="Times New Roman"/>
          <w:sz w:val="20"/>
          <w:szCs w:val="20"/>
          <w:lang w:val="es-CR"/>
        </w:rPr>
        <w:t>v</w:t>
      </w:r>
      <w:r w:rsidRPr="00744CE4">
        <w:rPr>
          <w:rFonts w:ascii="Verdana" w:eastAsia="Verdana" w:hAnsi="Verdana" w:cs="Times New Roman"/>
          <w:spacing w:val="2"/>
          <w:sz w:val="20"/>
          <w:szCs w:val="20"/>
          <w:lang w:val="es-CR"/>
        </w:rPr>
        <w:t>a</w:t>
      </w:r>
      <w:r w:rsidRPr="00744CE4">
        <w:rPr>
          <w:rFonts w:ascii="Verdana" w:eastAsia="Verdana" w:hAnsi="Verdana" w:cs="Times New Roman"/>
          <w:sz w:val="20"/>
          <w:szCs w:val="20"/>
          <w:lang w:val="es-CR"/>
        </w:rPr>
        <w:t>s c</w:t>
      </w:r>
      <w:r w:rsidRPr="00744CE4">
        <w:rPr>
          <w:rFonts w:ascii="Verdana" w:eastAsia="Verdana" w:hAnsi="Verdana" w:cs="Times New Roman"/>
          <w:spacing w:val="-2"/>
          <w:sz w:val="20"/>
          <w:szCs w:val="20"/>
          <w:lang w:val="es-CR"/>
        </w:rPr>
        <w:t>o</w:t>
      </w:r>
      <w:r w:rsidRPr="00744CE4">
        <w:rPr>
          <w:rFonts w:ascii="Verdana" w:eastAsia="Verdana" w:hAnsi="Verdana" w:cs="Times New Roman"/>
          <w:sz w:val="20"/>
          <w:szCs w:val="20"/>
          <w:lang w:val="es-CR"/>
        </w:rPr>
        <w:t>st</w:t>
      </w:r>
      <w:r w:rsidRPr="00744CE4">
        <w:rPr>
          <w:rFonts w:ascii="Verdana" w:eastAsia="Verdana" w:hAnsi="Verdana" w:cs="Times New Roman"/>
          <w:spacing w:val="3"/>
          <w:sz w:val="20"/>
          <w:szCs w:val="20"/>
          <w:lang w:val="es-CR"/>
        </w:rPr>
        <w:t>a</w:t>
      </w:r>
      <w:r w:rsidRPr="00744CE4">
        <w:rPr>
          <w:rFonts w:ascii="Verdana" w:eastAsia="Verdana" w:hAnsi="Verdana" w:cs="Times New Roman"/>
          <w:sz w:val="20"/>
          <w:szCs w:val="20"/>
          <w:lang w:val="es-CR"/>
        </w:rPr>
        <w:t>s</w:t>
      </w:r>
      <w:r w:rsidRPr="00744CE4">
        <w:rPr>
          <w:rFonts w:ascii="Verdana" w:eastAsia="Verdana" w:hAnsi="Verdana" w:cs="Times New Roman"/>
          <w:spacing w:val="8"/>
          <w:sz w:val="20"/>
          <w:szCs w:val="20"/>
          <w:lang w:val="es-CR"/>
        </w:rPr>
        <w:t xml:space="preserve"> </w:t>
      </w:r>
      <w:r w:rsidRPr="00744CE4">
        <w:rPr>
          <w:rFonts w:ascii="Verdana" w:eastAsia="Verdana" w:hAnsi="Verdana" w:cs="Times New Roman"/>
          <w:sz w:val="20"/>
          <w:szCs w:val="20"/>
          <w:lang w:val="es-CR"/>
        </w:rPr>
        <w:t>y</w:t>
      </w:r>
      <w:r w:rsidRPr="00744CE4">
        <w:rPr>
          <w:rFonts w:ascii="Verdana" w:eastAsia="Verdana" w:hAnsi="Verdana" w:cs="Times New Roman"/>
          <w:spacing w:val="13"/>
          <w:sz w:val="20"/>
          <w:szCs w:val="20"/>
          <w:lang w:val="es-CR"/>
        </w:rPr>
        <w:t xml:space="preserve"> </w:t>
      </w:r>
      <w:r w:rsidRPr="00744CE4">
        <w:rPr>
          <w:rFonts w:ascii="Verdana" w:eastAsia="Verdana" w:hAnsi="Verdana" w:cs="Times New Roman"/>
          <w:spacing w:val="1"/>
          <w:sz w:val="20"/>
          <w:szCs w:val="20"/>
          <w:lang w:val="es-CR"/>
        </w:rPr>
        <w:t>g</w:t>
      </w:r>
      <w:r w:rsidRPr="00744CE4">
        <w:rPr>
          <w:rFonts w:ascii="Verdana" w:eastAsia="Verdana" w:hAnsi="Verdana" w:cs="Times New Roman"/>
          <w:sz w:val="20"/>
          <w:szCs w:val="20"/>
          <w:lang w:val="es-CR"/>
        </w:rPr>
        <w:t>astos</w:t>
      </w:r>
      <w:r w:rsidRPr="00744CE4">
        <w:rPr>
          <w:rFonts w:ascii="Verdana" w:eastAsia="Verdana" w:hAnsi="Verdana" w:cs="Times New Roman"/>
          <w:spacing w:val="10"/>
          <w:sz w:val="20"/>
          <w:szCs w:val="20"/>
          <w:lang w:val="es-CR"/>
        </w:rPr>
        <w:t xml:space="preserve"> </w:t>
      </w:r>
      <w:r w:rsidRPr="00744CE4">
        <w:rPr>
          <w:rFonts w:ascii="Verdana" w:eastAsia="Verdana" w:hAnsi="Verdana" w:cs="Times New Roman"/>
          <w:spacing w:val="-1"/>
          <w:sz w:val="20"/>
          <w:szCs w:val="20"/>
          <w:lang w:val="es-CR"/>
        </w:rPr>
        <w:t>e</w:t>
      </w:r>
      <w:r w:rsidRPr="00744CE4">
        <w:rPr>
          <w:rFonts w:ascii="Verdana" w:eastAsia="Verdana" w:hAnsi="Verdana" w:cs="Times New Roman"/>
          <w:sz w:val="20"/>
          <w:szCs w:val="20"/>
          <w:lang w:val="es-CR"/>
        </w:rPr>
        <w:t>n</w:t>
      </w:r>
      <w:r w:rsidRPr="00744CE4">
        <w:rPr>
          <w:rFonts w:ascii="Verdana" w:eastAsia="Verdana" w:hAnsi="Verdana" w:cs="Times New Roman"/>
          <w:spacing w:val="14"/>
          <w:sz w:val="20"/>
          <w:szCs w:val="20"/>
          <w:lang w:val="es-CR"/>
        </w:rPr>
        <w:t xml:space="preserve"> </w:t>
      </w:r>
      <w:r w:rsidRPr="00744CE4">
        <w:rPr>
          <w:rFonts w:ascii="Verdana" w:eastAsia="Verdana" w:hAnsi="Verdana" w:cs="Times New Roman"/>
          <w:spacing w:val="1"/>
          <w:sz w:val="20"/>
          <w:szCs w:val="20"/>
          <w:lang w:val="es-CR"/>
        </w:rPr>
        <w:t>qu</w:t>
      </w:r>
      <w:r w:rsidRPr="00744CE4">
        <w:rPr>
          <w:rFonts w:ascii="Verdana" w:eastAsia="Verdana" w:hAnsi="Verdana" w:cs="Times New Roman"/>
          <w:sz w:val="20"/>
          <w:szCs w:val="20"/>
          <w:lang w:val="es-CR"/>
        </w:rPr>
        <w:t>e</w:t>
      </w:r>
      <w:r w:rsidRPr="00744CE4">
        <w:rPr>
          <w:rFonts w:ascii="Verdana" w:eastAsia="Verdana" w:hAnsi="Verdana" w:cs="Times New Roman"/>
          <w:spacing w:val="11"/>
          <w:sz w:val="20"/>
          <w:szCs w:val="20"/>
          <w:lang w:val="es-CR"/>
        </w:rPr>
        <w:t xml:space="preserve"> </w:t>
      </w:r>
      <w:r w:rsidRPr="00744CE4">
        <w:rPr>
          <w:rFonts w:ascii="Verdana" w:eastAsia="Verdana" w:hAnsi="Verdana" w:cs="Times New Roman"/>
          <w:sz w:val="20"/>
          <w:szCs w:val="20"/>
          <w:lang w:val="es-CR"/>
        </w:rPr>
        <w:t>se</w:t>
      </w:r>
      <w:r w:rsidRPr="00744CE4">
        <w:rPr>
          <w:rFonts w:ascii="Verdana" w:eastAsia="Verdana" w:hAnsi="Verdana" w:cs="Times New Roman"/>
          <w:spacing w:val="11"/>
          <w:sz w:val="20"/>
          <w:szCs w:val="20"/>
          <w:lang w:val="es-CR"/>
        </w:rPr>
        <w:t xml:space="preserve"> </w:t>
      </w:r>
      <w:r w:rsidRPr="00744CE4">
        <w:rPr>
          <w:rFonts w:ascii="Verdana" w:eastAsia="Verdana" w:hAnsi="Verdana" w:cs="Times New Roman"/>
          <w:spacing w:val="1"/>
          <w:sz w:val="20"/>
          <w:szCs w:val="20"/>
          <w:lang w:val="es-CR"/>
        </w:rPr>
        <w:t>h</w:t>
      </w:r>
      <w:r w:rsidRPr="00744CE4">
        <w:rPr>
          <w:rFonts w:ascii="Verdana" w:eastAsia="Verdana" w:hAnsi="Verdana" w:cs="Times New Roman"/>
          <w:sz w:val="20"/>
          <w:szCs w:val="20"/>
          <w:lang w:val="es-CR"/>
        </w:rPr>
        <w:t>aya</w:t>
      </w:r>
      <w:r w:rsidRPr="00744CE4">
        <w:rPr>
          <w:rFonts w:ascii="Verdana" w:eastAsia="Verdana" w:hAnsi="Verdana" w:cs="Times New Roman"/>
          <w:spacing w:val="10"/>
          <w:sz w:val="20"/>
          <w:szCs w:val="20"/>
          <w:lang w:val="es-CR"/>
        </w:rPr>
        <w:t xml:space="preserve"> </w:t>
      </w:r>
      <w:r w:rsidRPr="00744CE4">
        <w:rPr>
          <w:rFonts w:ascii="Verdana" w:eastAsia="Verdana" w:hAnsi="Verdana" w:cs="Times New Roman"/>
          <w:spacing w:val="3"/>
          <w:sz w:val="20"/>
          <w:szCs w:val="20"/>
          <w:lang w:val="es-CR"/>
        </w:rPr>
        <w:t>i</w:t>
      </w:r>
      <w:r w:rsidRPr="00744CE4">
        <w:rPr>
          <w:rFonts w:ascii="Verdana" w:eastAsia="Verdana" w:hAnsi="Verdana" w:cs="Times New Roman"/>
          <w:spacing w:val="1"/>
          <w:sz w:val="20"/>
          <w:szCs w:val="20"/>
          <w:lang w:val="es-CR"/>
        </w:rPr>
        <w:t>n</w:t>
      </w:r>
      <w:r w:rsidRPr="00744CE4">
        <w:rPr>
          <w:rFonts w:ascii="Verdana" w:eastAsia="Verdana" w:hAnsi="Verdana" w:cs="Times New Roman"/>
          <w:sz w:val="20"/>
          <w:szCs w:val="20"/>
          <w:lang w:val="es-CR"/>
        </w:rPr>
        <w:t>cur</w:t>
      </w:r>
      <w:r w:rsidRPr="00744CE4">
        <w:rPr>
          <w:rFonts w:ascii="Verdana" w:eastAsia="Verdana" w:hAnsi="Verdana" w:cs="Times New Roman"/>
          <w:spacing w:val="-2"/>
          <w:sz w:val="20"/>
          <w:szCs w:val="20"/>
          <w:lang w:val="es-CR"/>
        </w:rPr>
        <w:t>r</w:t>
      </w:r>
      <w:r w:rsidRPr="00744CE4">
        <w:rPr>
          <w:rFonts w:ascii="Verdana" w:eastAsia="Verdana" w:hAnsi="Verdana" w:cs="Times New Roman"/>
          <w:spacing w:val="3"/>
          <w:sz w:val="20"/>
          <w:szCs w:val="20"/>
          <w:lang w:val="es-CR"/>
        </w:rPr>
        <w:t>i</w:t>
      </w:r>
      <w:r w:rsidRPr="00744CE4">
        <w:rPr>
          <w:rFonts w:ascii="Verdana" w:eastAsia="Verdana" w:hAnsi="Verdana" w:cs="Times New Roman"/>
          <w:spacing w:val="1"/>
          <w:sz w:val="20"/>
          <w:szCs w:val="20"/>
          <w:lang w:val="es-CR"/>
        </w:rPr>
        <w:t>d</w:t>
      </w:r>
      <w:r w:rsidRPr="00744CE4">
        <w:rPr>
          <w:rFonts w:ascii="Verdana" w:eastAsia="Verdana" w:hAnsi="Verdana" w:cs="Times New Roman"/>
          <w:sz w:val="20"/>
          <w:szCs w:val="20"/>
          <w:lang w:val="es-CR"/>
        </w:rPr>
        <w:t>o</w:t>
      </w:r>
      <w:r w:rsidRPr="00744CE4">
        <w:rPr>
          <w:rFonts w:ascii="Verdana" w:eastAsia="Verdana" w:hAnsi="Verdana" w:cs="Times New Roman"/>
          <w:spacing w:val="5"/>
          <w:sz w:val="20"/>
          <w:szCs w:val="20"/>
          <w:lang w:val="es-CR"/>
        </w:rPr>
        <w:t xml:space="preserve"> </w:t>
      </w:r>
      <w:r w:rsidRPr="00744CE4">
        <w:rPr>
          <w:rFonts w:ascii="Verdana" w:eastAsia="Verdana" w:hAnsi="Verdana" w:cs="Times New Roman"/>
          <w:sz w:val="20"/>
          <w:szCs w:val="20"/>
          <w:lang w:val="es-CR"/>
        </w:rPr>
        <w:t>c</w:t>
      </w:r>
      <w:r w:rsidRPr="00744CE4">
        <w:rPr>
          <w:rFonts w:ascii="Verdana" w:eastAsia="Verdana" w:hAnsi="Verdana" w:cs="Times New Roman"/>
          <w:spacing w:val="-2"/>
          <w:sz w:val="20"/>
          <w:szCs w:val="20"/>
          <w:lang w:val="es-CR"/>
        </w:rPr>
        <w:t>o</w:t>
      </w:r>
      <w:r w:rsidRPr="00744CE4">
        <w:rPr>
          <w:rFonts w:ascii="Verdana" w:eastAsia="Verdana" w:hAnsi="Verdana" w:cs="Times New Roman"/>
          <w:sz w:val="20"/>
          <w:szCs w:val="20"/>
          <w:lang w:val="es-CR"/>
        </w:rPr>
        <w:t>n</w:t>
      </w:r>
      <w:r w:rsidRPr="00744CE4">
        <w:rPr>
          <w:rFonts w:ascii="Verdana" w:eastAsia="Verdana" w:hAnsi="Verdana" w:cs="Times New Roman"/>
          <w:spacing w:val="13"/>
          <w:sz w:val="20"/>
          <w:szCs w:val="20"/>
          <w:lang w:val="es-CR"/>
        </w:rPr>
        <w:t xml:space="preserve"> </w:t>
      </w:r>
      <w:r w:rsidRPr="00744CE4">
        <w:rPr>
          <w:rFonts w:ascii="Verdana" w:eastAsia="Verdana" w:hAnsi="Verdana" w:cs="Times New Roman"/>
          <w:spacing w:val="-1"/>
          <w:sz w:val="20"/>
          <w:szCs w:val="20"/>
          <w:lang w:val="es-CR"/>
        </w:rPr>
        <w:t>o</w:t>
      </w:r>
      <w:r w:rsidRPr="00744CE4">
        <w:rPr>
          <w:rFonts w:ascii="Verdana" w:eastAsia="Verdana" w:hAnsi="Verdana" w:cs="Times New Roman"/>
          <w:sz w:val="20"/>
          <w:szCs w:val="20"/>
          <w:lang w:val="es-CR"/>
        </w:rPr>
        <w:t>ca</w:t>
      </w:r>
      <w:r w:rsidRPr="00744CE4">
        <w:rPr>
          <w:rFonts w:ascii="Verdana" w:eastAsia="Verdana" w:hAnsi="Verdana" w:cs="Times New Roman"/>
          <w:spacing w:val="-1"/>
          <w:sz w:val="20"/>
          <w:szCs w:val="20"/>
          <w:lang w:val="es-CR"/>
        </w:rPr>
        <w:t>s</w:t>
      </w:r>
      <w:r w:rsidRPr="00744CE4">
        <w:rPr>
          <w:rFonts w:ascii="Verdana" w:eastAsia="Verdana" w:hAnsi="Verdana" w:cs="Times New Roman"/>
          <w:spacing w:val="3"/>
          <w:sz w:val="20"/>
          <w:szCs w:val="20"/>
          <w:lang w:val="es-CR"/>
        </w:rPr>
        <w:t>i</w:t>
      </w:r>
      <w:r w:rsidRPr="00744CE4">
        <w:rPr>
          <w:rFonts w:ascii="Verdana" w:eastAsia="Verdana" w:hAnsi="Verdana" w:cs="Times New Roman"/>
          <w:spacing w:val="-1"/>
          <w:sz w:val="20"/>
          <w:szCs w:val="20"/>
          <w:lang w:val="es-CR"/>
        </w:rPr>
        <w:t>ó</w:t>
      </w:r>
      <w:r w:rsidRPr="00744CE4">
        <w:rPr>
          <w:rFonts w:ascii="Verdana" w:eastAsia="Verdana" w:hAnsi="Verdana" w:cs="Times New Roman"/>
          <w:sz w:val="20"/>
          <w:szCs w:val="20"/>
          <w:lang w:val="es-CR"/>
        </w:rPr>
        <w:t>n</w:t>
      </w:r>
      <w:r w:rsidRPr="00744CE4">
        <w:rPr>
          <w:rFonts w:ascii="Verdana" w:eastAsia="Verdana" w:hAnsi="Verdana" w:cs="Times New Roman"/>
          <w:spacing w:val="9"/>
          <w:sz w:val="20"/>
          <w:szCs w:val="20"/>
          <w:lang w:val="es-CR"/>
        </w:rPr>
        <w:t xml:space="preserve"> </w:t>
      </w:r>
      <w:r w:rsidRPr="00744CE4">
        <w:rPr>
          <w:rFonts w:ascii="Verdana" w:eastAsia="Verdana" w:hAnsi="Verdana" w:cs="Times New Roman"/>
          <w:spacing w:val="1"/>
          <w:sz w:val="20"/>
          <w:szCs w:val="20"/>
          <w:lang w:val="es-CR"/>
        </w:rPr>
        <w:t>d</w:t>
      </w:r>
      <w:r w:rsidRPr="00744CE4">
        <w:rPr>
          <w:rFonts w:ascii="Verdana" w:eastAsia="Verdana" w:hAnsi="Verdana" w:cs="Times New Roman"/>
          <w:spacing w:val="-1"/>
          <w:sz w:val="20"/>
          <w:szCs w:val="20"/>
          <w:lang w:val="es-CR"/>
        </w:rPr>
        <w:t>e</w:t>
      </w:r>
      <w:r w:rsidRPr="00744CE4">
        <w:rPr>
          <w:rFonts w:ascii="Verdana" w:eastAsia="Verdana" w:hAnsi="Verdana" w:cs="Times New Roman"/>
          <w:sz w:val="20"/>
          <w:szCs w:val="20"/>
          <w:lang w:val="es-CR"/>
        </w:rPr>
        <w:t>l</w:t>
      </w:r>
      <w:r w:rsidRPr="00744CE4">
        <w:rPr>
          <w:rFonts w:ascii="Verdana" w:eastAsia="Verdana" w:hAnsi="Verdana" w:cs="Times New Roman"/>
          <w:spacing w:val="15"/>
          <w:sz w:val="20"/>
          <w:szCs w:val="20"/>
          <w:lang w:val="es-CR"/>
        </w:rPr>
        <w:t xml:space="preserve"> </w:t>
      </w:r>
      <w:r w:rsidRPr="00744CE4">
        <w:rPr>
          <w:rFonts w:ascii="Verdana" w:eastAsia="Verdana" w:hAnsi="Verdana" w:cs="Times New Roman"/>
          <w:spacing w:val="1"/>
          <w:sz w:val="20"/>
          <w:szCs w:val="20"/>
          <w:lang w:val="es-CR"/>
        </w:rPr>
        <w:t>p</w:t>
      </w:r>
      <w:r w:rsidRPr="00744CE4">
        <w:rPr>
          <w:rFonts w:ascii="Verdana" w:eastAsia="Verdana" w:hAnsi="Verdana" w:cs="Times New Roman"/>
          <w:spacing w:val="-1"/>
          <w:sz w:val="20"/>
          <w:szCs w:val="20"/>
          <w:lang w:val="es-CR"/>
        </w:rPr>
        <w:t>ro</w:t>
      </w:r>
      <w:r w:rsidRPr="00744CE4">
        <w:rPr>
          <w:rFonts w:ascii="Verdana" w:eastAsia="Verdana" w:hAnsi="Verdana" w:cs="Times New Roman"/>
          <w:sz w:val="20"/>
          <w:szCs w:val="20"/>
          <w:lang w:val="es-CR"/>
        </w:rPr>
        <w:t>c</w:t>
      </w:r>
      <w:r w:rsidRPr="00744CE4">
        <w:rPr>
          <w:rFonts w:ascii="Verdana" w:eastAsia="Verdana" w:hAnsi="Verdana" w:cs="Times New Roman"/>
          <w:spacing w:val="-2"/>
          <w:sz w:val="20"/>
          <w:szCs w:val="20"/>
          <w:lang w:val="es-CR"/>
        </w:rPr>
        <w:t>e</w:t>
      </w:r>
      <w:r w:rsidRPr="00744CE4">
        <w:rPr>
          <w:rFonts w:ascii="Verdana" w:eastAsia="Verdana" w:hAnsi="Verdana" w:cs="Times New Roman"/>
          <w:spacing w:val="1"/>
          <w:sz w:val="20"/>
          <w:szCs w:val="20"/>
          <w:lang w:val="es-CR"/>
        </w:rPr>
        <w:t>d</w:t>
      </w:r>
      <w:r w:rsidRPr="00744CE4">
        <w:rPr>
          <w:rFonts w:ascii="Verdana" w:eastAsia="Verdana" w:hAnsi="Verdana" w:cs="Times New Roman"/>
          <w:spacing w:val="3"/>
          <w:sz w:val="20"/>
          <w:szCs w:val="20"/>
          <w:lang w:val="es-CR"/>
        </w:rPr>
        <w:t>i</w:t>
      </w:r>
      <w:r w:rsidRPr="00744CE4">
        <w:rPr>
          <w:rFonts w:ascii="Verdana" w:eastAsia="Verdana" w:hAnsi="Verdana" w:cs="Times New Roman"/>
          <w:sz w:val="20"/>
          <w:szCs w:val="20"/>
          <w:lang w:val="es-CR"/>
        </w:rPr>
        <w:t>m</w:t>
      </w:r>
      <w:r w:rsidRPr="00744CE4">
        <w:rPr>
          <w:rFonts w:ascii="Verdana" w:eastAsia="Verdana" w:hAnsi="Verdana" w:cs="Times New Roman"/>
          <w:spacing w:val="3"/>
          <w:sz w:val="20"/>
          <w:szCs w:val="20"/>
          <w:lang w:val="es-CR"/>
        </w:rPr>
        <w:t>i</w:t>
      </w:r>
      <w:r w:rsidRPr="00744CE4">
        <w:rPr>
          <w:rFonts w:ascii="Verdana" w:eastAsia="Verdana" w:hAnsi="Verdana" w:cs="Times New Roman"/>
          <w:spacing w:val="-1"/>
          <w:sz w:val="20"/>
          <w:szCs w:val="20"/>
          <w:lang w:val="es-CR"/>
        </w:rPr>
        <w:t>e</w:t>
      </w:r>
      <w:r w:rsidRPr="00744CE4">
        <w:rPr>
          <w:rFonts w:ascii="Verdana" w:eastAsia="Verdana" w:hAnsi="Verdana" w:cs="Times New Roman"/>
          <w:spacing w:val="1"/>
          <w:sz w:val="20"/>
          <w:szCs w:val="20"/>
          <w:lang w:val="es-CR"/>
        </w:rPr>
        <w:t>nt</w:t>
      </w:r>
      <w:r w:rsidRPr="00744CE4">
        <w:rPr>
          <w:rFonts w:ascii="Verdana" w:eastAsia="Verdana" w:hAnsi="Verdana" w:cs="Times New Roman"/>
          <w:sz w:val="20"/>
          <w:szCs w:val="20"/>
          <w:lang w:val="es-CR"/>
        </w:rPr>
        <w:t>o a</w:t>
      </w:r>
      <w:r w:rsidRPr="00744CE4">
        <w:rPr>
          <w:rFonts w:ascii="Verdana" w:eastAsia="Verdana" w:hAnsi="Verdana" w:cs="Times New Roman"/>
          <w:spacing w:val="1"/>
          <w:sz w:val="20"/>
          <w:szCs w:val="20"/>
          <w:lang w:val="es-CR"/>
        </w:rPr>
        <w:t>nt</w:t>
      </w:r>
      <w:r w:rsidRPr="00744CE4">
        <w:rPr>
          <w:rFonts w:ascii="Verdana" w:eastAsia="Verdana" w:hAnsi="Verdana" w:cs="Times New Roman"/>
          <w:sz w:val="20"/>
          <w:szCs w:val="20"/>
          <w:lang w:val="es-CR"/>
        </w:rPr>
        <w:t>e</w:t>
      </w:r>
      <w:r w:rsidRPr="00744CE4">
        <w:rPr>
          <w:rFonts w:ascii="Verdana" w:eastAsia="Verdana" w:hAnsi="Verdana" w:cs="Times New Roman"/>
          <w:spacing w:val="10"/>
          <w:sz w:val="20"/>
          <w:szCs w:val="20"/>
          <w:lang w:val="es-CR"/>
        </w:rPr>
        <w:t xml:space="preserve"> </w:t>
      </w:r>
      <w:r w:rsidRPr="00744CE4">
        <w:rPr>
          <w:rFonts w:ascii="Verdana" w:eastAsia="Verdana" w:hAnsi="Verdana" w:cs="Times New Roman"/>
          <w:spacing w:val="-1"/>
          <w:sz w:val="20"/>
          <w:szCs w:val="20"/>
          <w:lang w:val="es-CR"/>
        </w:rPr>
        <w:t>e</w:t>
      </w:r>
      <w:r w:rsidRPr="00744CE4">
        <w:rPr>
          <w:rFonts w:ascii="Verdana" w:eastAsia="Verdana" w:hAnsi="Verdana" w:cs="Times New Roman"/>
          <w:sz w:val="20"/>
          <w:szCs w:val="20"/>
          <w:lang w:val="es-CR"/>
        </w:rPr>
        <w:t>sta</w:t>
      </w:r>
      <w:r w:rsidRPr="00744CE4">
        <w:rPr>
          <w:rFonts w:ascii="Verdana" w:eastAsia="Verdana" w:hAnsi="Verdana" w:cs="Times New Roman"/>
          <w:spacing w:val="11"/>
          <w:sz w:val="20"/>
          <w:szCs w:val="20"/>
          <w:lang w:val="es-CR"/>
        </w:rPr>
        <w:t xml:space="preserve"> </w:t>
      </w:r>
      <w:r w:rsidRPr="00744CE4">
        <w:rPr>
          <w:rFonts w:ascii="Verdana" w:eastAsia="Verdana" w:hAnsi="Verdana" w:cs="Times New Roman"/>
          <w:sz w:val="20"/>
          <w:szCs w:val="20"/>
          <w:lang w:val="es-CR"/>
        </w:rPr>
        <w:t>C</w:t>
      </w:r>
      <w:r w:rsidRPr="00744CE4">
        <w:rPr>
          <w:rFonts w:ascii="Verdana" w:eastAsia="Verdana" w:hAnsi="Verdana" w:cs="Times New Roman"/>
          <w:spacing w:val="-1"/>
          <w:sz w:val="20"/>
          <w:szCs w:val="20"/>
          <w:lang w:val="es-CR"/>
        </w:rPr>
        <w:t>or</w:t>
      </w:r>
      <w:r w:rsidRPr="00744CE4">
        <w:rPr>
          <w:rFonts w:ascii="Verdana" w:eastAsia="Verdana" w:hAnsi="Verdana" w:cs="Times New Roman"/>
          <w:spacing w:val="3"/>
          <w:sz w:val="20"/>
          <w:szCs w:val="20"/>
          <w:lang w:val="es-CR"/>
        </w:rPr>
        <w:t>t</w:t>
      </w:r>
      <w:r w:rsidRPr="00744CE4">
        <w:rPr>
          <w:rFonts w:ascii="Verdana" w:eastAsia="Verdana" w:hAnsi="Verdana" w:cs="Times New Roman"/>
          <w:spacing w:val="-1"/>
          <w:sz w:val="20"/>
          <w:szCs w:val="20"/>
          <w:lang w:val="es-CR"/>
        </w:rPr>
        <w:t>e</w:t>
      </w:r>
      <w:r w:rsidRPr="00744CE4">
        <w:rPr>
          <w:rFonts w:ascii="Verdana" w:eastAsia="Verdana" w:hAnsi="Verdana" w:cs="Times New Roman"/>
          <w:spacing w:val="11"/>
          <w:sz w:val="20"/>
          <w:szCs w:val="20"/>
          <w:lang w:val="es-CR"/>
        </w:rPr>
        <w:t>”</w:t>
      </w:r>
      <w:r w:rsidRPr="00744CE4">
        <w:rPr>
          <w:rFonts w:ascii="Verdana" w:eastAsia="Verdana" w:hAnsi="Verdana" w:cs="Times New Roman"/>
          <w:spacing w:val="11"/>
          <w:sz w:val="20"/>
          <w:szCs w:val="20"/>
          <w:vertAlign w:val="superscript"/>
          <w:lang w:val="es-CR"/>
        </w:rPr>
        <w:footnoteReference w:id="583"/>
      </w:r>
      <w:r w:rsidRPr="00744CE4">
        <w:rPr>
          <w:rFonts w:ascii="Verdana" w:eastAsia="Verdana" w:hAnsi="Verdana" w:cs="Times New Roman"/>
          <w:sz w:val="20"/>
          <w:szCs w:val="20"/>
          <w:lang w:val="es-CR"/>
        </w:rPr>
        <w:t>. As</w:t>
      </w:r>
      <w:r w:rsidRPr="00744CE4">
        <w:rPr>
          <w:rFonts w:ascii="Verdana" w:eastAsia="Verdana" w:hAnsi="Verdana" w:cs="Times New Roman"/>
          <w:spacing w:val="3"/>
          <w:sz w:val="20"/>
          <w:szCs w:val="20"/>
          <w:lang w:val="es-CR"/>
        </w:rPr>
        <w:t>i</w:t>
      </w:r>
      <w:r w:rsidRPr="00744CE4">
        <w:rPr>
          <w:rFonts w:ascii="Verdana" w:eastAsia="Verdana" w:hAnsi="Verdana" w:cs="Times New Roman"/>
          <w:spacing w:val="-2"/>
          <w:sz w:val="20"/>
          <w:szCs w:val="20"/>
          <w:lang w:val="es-CR"/>
        </w:rPr>
        <w:t>m</w:t>
      </w:r>
      <w:r w:rsidRPr="00744CE4">
        <w:rPr>
          <w:rFonts w:ascii="Verdana" w:eastAsia="Verdana" w:hAnsi="Verdana" w:cs="Times New Roman"/>
          <w:spacing w:val="3"/>
          <w:sz w:val="20"/>
          <w:szCs w:val="20"/>
          <w:lang w:val="es-CR"/>
        </w:rPr>
        <w:t>i</w:t>
      </w:r>
      <w:r w:rsidRPr="00744CE4">
        <w:rPr>
          <w:rFonts w:ascii="Verdana" w:eastAsia="Verdana" w:hAnsi="Verdana" w:cs="Times New Roman"/>
          <w:sz w:val="20"/>
          <w:szCs w:val="20"/>
          <w:lang w:val="es-CR"/>
        </w:rPr>
        <w:t>sm</w:t>
      </w:r>
      <w:r w:rsidRPr="00744CE4">
        <w:rPr>
          <w:rFonts w:ascii="Verdana" w:eastAsia="Verdana" w:hAnsi="Verdana" w:cs="Times New Roman"/>
          <w:spacing w:val="-1"/>
          <w:sz w:val="20"/>
          <w:szCs w:val="20"/>
          <w:lang w:val="es-CR"/>
        </w:rPr>
        <w:t>o</w:t>
      </w:r>
      <w:r w:rsidRPr="00432ABC">
        <w:rPr>
          <w:rFonts w:ascii="Verdana" w:eastAsia="Verdana" w:hAnsi="Verdana" w:cs="Times New Roman"/>
          <w:sz w:val="20"/>
          <w:szCs w:val="20"/>
          <w:lang w:val="es-CR"/>
        </w:rPr>
        <w:t>,</w:t>
      </w:r>
      <w:r w:rsidRPr="00432ABC">
        <w:rPr>
          <w:rFonts w:ascii="Verdana" w:eastAsia="Verdana" w:hAnsi="Verdana" w:cs="Times New Roman"/>
          <w:spacing w:val="1"/>
          <w:sz w:val="20"/>
          <w:szCs w:val="20"/>
          <w:lang w:val="es-CR"/>
        </w:rPr>
        <w:t xml:space="preserve"> </w:t>
      </w:r>
      <w:r w:rsidRPr="00432ABC">
        <w:rPr>
          <w:rFonts w:ascii="Verdana" w:eastAsia="Verdana" w:hAnsi="Verdana" w:cs="Times New Roman"/>
          <w:spacing w:val="3"/>
          <w:sz w:val="20"/>
          <w:szCs w:val="20"/>
          <w:lang w:val="es-CR"/>
        </w:rPr>
        <w:t>l</w:t>
      </w:r>
      <w:r w:rsidRPr="00432ABC">
        <w:rPr>
          <w:rFonts w:ascii="Verdana" w:eastAsia="Verdana" w:hAnsi="Verdana" w:cs="Times New Roman"/>
          <w:sz w:val="20"/>
          <w:szCs w:val="20"/>
          <w:lang w:val="es-CR"/>
        </w:rPr>
        <w:t>a</w:t>
      </w:r>
      <w:r w:rsidRPr="00432ABC">
        <w:rPr>
          <w:rFonts w:ascii="Verdana" w:eastAsia="Verdana" w:hAnsi="Verdana" w:cs="Times New Roman"/>
          <w:spacing w:val="9"/>
          <w:sz w:val="20"/>
          <w:szCs w:val="20"/>
          <w:lang w:val="es-CR"/>
        </w:rPr>
        <w:t xml:space="preserve"> </w:t>
      </w:r>
      <w:r w:rsidRPr="00432ABC">
        <w:rPr>
          <w:rFonts w:ascii="Verdana" w:eastAsia="Verdana" w:hAnsi="Verdana" w:cs="Times New Roman"/>
          <w:sz w:val="20"/>
          <w:szCs w:val="20"/>
          <w:lang w:val="es-CR"/>
        </w:rPr>
        <w:t>C</w:t>
      </w:r>
      <w:r w:rsidRPr="002C462C">
        <w:rPr>
          <w:rFonts w:ascii="Verdana" w:eastAsia="Verdana" w:hAnsi="Verdana" w:cs="Times New Roman"/>
          <w:spacing w:val="-1"/>
          <w:sz w:val="20"/>
          <w:szCs w:val="20"/>
          <w:lang w:val="es-CR"/>
        </w:rPr>
        <w:t>or</w:t>
      </w:r>
      <w:r w:rsidRPr="002C462C">
        <w:rPr>
          <w:rFonts w:ascii="Verdana" w:eastAsia="Verdana" w:hAnsi="Verdana" w:cs="Times New Roman"/>
          <w:spacing w:val="3"/>
          <w:sz w:val="20"/>
          <w:szCs w:val="20"/>
          <w:lang w:val="es-CR"/>
        </w:rPr>
        <w:t>t</w:t>
      </w:r>
      <w:r w:rsidRPr="00744CE4">
        <w:rPr>
          <w:rFonts w:ascii="Verdana" w:eastAsia="Verdana" w:hAnsi="Verdana" w:cs="Times New Roman"/>
          <w:sz w:val="20"/>
          <w:szCs w:val="20"/>
          <w:lang w:val="es-CR"/>
        </w:rPr>
        <w:t>e</w:t>
      </w:r>
      <w:r w:rsidRPr="00744CE4">
        <w:rPr>
          <w:rFonts w:ascii="Verdana" w:eastAsia="Verdana" w:hAnsi="Verdana" w:cs="Times New Roman"/>
          <w:spacing w:val="7"/>
          <w:sz w:val="20"/>
          <w:szCs w:val="20"/>
          <w:lang w:val="es-CR"/>
        </w:rPr>
        <w:t xml:space="preserve"> </w:t>
      </w:r>
      <w:r w:rsidRPr="00744CE4">
        <w:rPr>
          <w:rFonts w:ascii="Verdana" w:eastAsia="Verdana" w:hAnsi="Verdana" w:cs="Times New Roman"/>
          <w:spacing w:val="-1"/>
          <w:sz w:val="20"/>
          <w:szCs w:val="20"/>
          <w:lang w:val="es-CR"/>
        </w:rPr>
        <w:t>re</w:t>
      </w:r>
      <w:r w:rsidRPr="00744CE4">
        <w:rPr>
          <w:rFonts w:ascii="Verdana" w:eastAsia="Verdana" w:hAnsi="Verdana" w:cs="Times New Roman"/>
          <w:spacing w:val="3"/>
          <w:sz w:val="20"/>
          <w:szCs w:val="20"/>
          <w:lang w:val="es-CR"/>
        </w:rPr>
        <w:t>i</w:t>
      </w:r>
      <w:r w:rsidRPr="00744CE4">
        <w:rPr>
          <w:rFonts w:ascii="Verdana" w:eastAsia="Verdana" w:hAnsi="Verdana" w:cs="Times New Roman"/>
          <w:spacing w:val="1"/>
          <w:sz w:val="20"/>
          <w:szCs w:val="20"/>
          <w:lang w:val="es-CR"/>
        </w:rPr>
        <w:t>t</w:t>
      </w:r>
      <w:r w:rsidRPr="00744CE4">
        <w:rPr>
          <w:rFonts w:ascii="Verdana" w:eastAsia="Verdana" w:hAnsi="Verdana" w:cs="Times New Roman"/>
          <w:spacing w:val="-1"/>
          <w:sz w:val="20"/>
          <w:szCs w:val="20"/>
          <w:lang w:val="es-CR"/>
        </w:rPr>
        <w:t>er</w:t>
      </w:r>
      <w:r w:rsidRPr="00744CE4">
        <w:rPr>
          <w:rFonts w:ascii="Verdana" w:eastAsia="Verdana" w:hAnsi="Verdana" w:cs="Times New Roman"/>
          <w:sz w:val="20"/>
          <w:szCs w:val="20"/>
          <w:lang w:val="es-CR"/>
        </w:rPr>
        <w:t>a</w:t>
      </w:r>
      <w:r w:rsidRPr="00744CE4">
        <w:rPr>
          <w:rFonts w:ascii="Verdana" w:eastAsia="Verdana" w:hAnsi="Verdana" w:cs="Times New Roman"/>
          <w:spacing w:val="7"/>
          <w:sz w:val="20"/>
          <w:szCs w:val="20"/>
          <w:lang w:val="es-CR"/>
        </w:rPr>
        <w:t xml:space="preserve"> </w:t>
      </w:r>
      <w:r w:rsidRPr="00744CE4">
        <w:rPr>
          <w:rFonts w:ascii="Verdana" w:eastAsia="Verdana" w:hAnsi="Verdana" w:cs="Times New Roman"/>
          <w:spacing w:val="1"/>
          <w:sz w:val="20"/>
          <w:szCs w:val="20"/>
          <w:lang w:val="es-CR"/>
        </w:rPr>
        <w:t>qu</w:t>
      </w:r>
      <w:r w:rsidRPr="00744CE4">
        <w:rPr>
          <w:rFonts w:ascii="Verdana" w:eastAsia="Verdana" w:hAnsi="Verdana" w:cs="Times New Roman"/>
          <w:sz w:val="20"/>
          <w:szCs w:val="20"/>
          <w:lang w:val="es-CR"/>
        </w:rPr>
        <w:t>e</w:t>
      </w:r>
      <w:r w:rsidRPr="00744CE4">
        <w:rPr>
          <w:rFonts w:ascii="Verdana" w:eastAsia="Verdana" w:hAnsi="Verdana" w:cs="Times New Roman"/>
          <w:spacing w:val="6"/>
          <w:sz w:val="20"/>
          <w:szCs w:val="20"/>
          <w:lang w:val="es-CR"/>
        </w:rPr>
        <w:t xml:space="preserve"> </w:t>
      </w:r>
      <w:r w:rsidRPr="00744CE4">
        <w:rPr>
          <w:rFonts w:ascii="Verdana" w:eastAsia="Verdana" w:hAnsi="Verdana" w:cs="Times New Roman"/>
          <w:spacing w:val="1"/>
          <w:sz w:val="20"/>
          <w:szCs w:val="20"/>
          <w:lang w:val="es-CR"/>
        </w:rPr>
        <w:t>n</w:t>
      </w:r>
      <w:r w:rsidRPr="00744CE4">
        <w:rPr>
          <w:rFonts w:ascii="Verdana" w:eastAsia="Verdana" w:hAnsi="Verdana" w:cs="Times New Roman"/>
          <w:sz w:val="20"/>
          <w:szCs w:val="20"/>
          <w:lang w:val="es-CR"/>
        </w:rPr>
        <w:t>o</w:t>
      </w:r>
      <w:r w:rsidRPr="00744CE4">
        <w:rPr>
          <w:rFonts w:ascii="Verdana" w:eastAsia="Verdana" w:hAnsi="Verdana" w:cs="Times New Roman"/>
          <w:spacing w:val="10"/>
          <w:sz w:val="20"/>
          <w:szCs w:val="20"/>
          <w:lang w:val="es-CR"/>
        </w:rPr>
        <w:t xml:space="preserve"> </w:t>
      </w:r>
      <w:r w:rsidRPr="00744CE4">
        <w:rPr>
          <w:rFonts w:ascii="Verdana" w:eastAsia="Verdana" w:hAnsi="Verdana" w:cs="Times New Roman"/>
          <w:spacing w:val="1"/>
          <w:sz w:val="20"/>
          <w:szCs w:val="20"/>
          <w:lang w:val="es-CR"/>
        </w:rPr>
        <w:t>e</w:t>
      </w:r>
      <w:r w:rsidRPr="00744CE4">
        <w:rPr>
          <w:rFonts w:ascii="Verdana" w:eastAsia="Verdana" w:hAnsi="Verdana" w:cs="Times New Roman"/>
          <w:sz w:val="20"/>
          <w:szCs w:val="20"/>
          <w:lang w:val="es-CR"/>
        </w:rPr>
        <w:t>s</w:t>
      </w:r>
      <w:r w:rsidRPr="00744CE4">
        <w:rPr>
          <w:rFonts w:ascii="Verdana" w:eastAsia="Verdana" w:hAnsi="Verdana" w:cs="Times New Roman"/>
          <w:spacing w:val="8"/>
          <w:sz w:val="20"/>
          <w:szCs w:val="20"/>
          <w:lang w:val="es-CR"/>
        </w:rPr>
        <w:t xml:space="preserve"> </w:t>
      </w:r>
      <w:r w:rsidRPr="00744CE4">
        <w:rPr>
          <w:rFonts w:ascii="Verdana" w:eastAsia="Verdana" w:hAnsi="Verdana" w:cs="Times New Roman"/>
          <w:sz w:val="20"/>
          <w:szCs w:val="20"/>
          <w:lang w:val="es-CR"/>
        </w:rPr>
        <w:t>suf</w:t>
      </w:r>
      <w:r w:rsidRPr="00744CE4">
        <w:rPr>
          <w:rFonts w:ascii="Verdana" w:eastAsia="Verdana" w:hAnsi="Verdana" w:cs="Times New Roman"/>
          <w:spacing w:val="3"/>
          <w:sz w:val="20"/>
          <w:szCs w:val="20"/>
          <w:lang w:val="es-CR"/>
        </w:rPr>
        <w:t>i</w:t>
      </w:r>
      <w:r w:rsidRPr="00744CE4">
        <w:rPr>
          <w:rFonts w:ascii="Verdana" w:eastAsia="Verdana" w:hAnsi="Verdana" w:cs="Times New Roman"/>
          <w:sz w:val="20"/>
          <w:szCs w:val="20"/>
          <w:lang w:val="es-CR"/>
        </w:rPr>
        <w:t>c</w:t>
      </w:r>
      <w:r w:rsidRPr="00744CE4">
        <w:rPr>
          <w:rFonts w:ascii="Verdana" w:eastAsia="Verdana" w:hAnsi="Verdana" w:cs="Times New Roman"/>
          <w:spacing w:val="2"/>
          <w:sz w:val="20"/>
          <w:szCs w:val="20"/>
          <w:lang w:val="es-CR"/>
        </w:rPr>
        <w:t>i</w:t>
      </w:r>
      <w:r w:rsidRPr="00744CE4">
        <w:rPr>
          <w:rFonts w:ascii="Verdana" w:eastAsia="Verdana" w:hAnsi="Verdana" w:cs="Times New Roman"/>
          <w:spacing w:val="-1"/>
          <w:sz w:val="20"/>
          <w:szCs w:val="20"/>
          <w:lang w:val="es-CR"/>
        </w:rPr>
        <w:t>e</w:t>
      </w:r>
      <w:r w:rsidRPr="00744CE4">
        <w:rPr>
          <w:rFonts w:ascii="Verdana" w:eastAsia="Verdana" w:hAnsi="Verdana" w:cs="Times New Roman"/>
          <w:spacing w:val="1"/>
          <w:sz w:val="20"/>
          <w:szCs w:val="20"/>
          <w:lang w:val="es-CR"/>
        </w:rPr>
        <w:t>nt</w:t>
      </w:r>
      <w:r w:rsidRPr="00744CE4">
        <w:rPr>
          <w:rFonts w:ascii="Verdana" w:eastAsia="Verdana" w:hAnsi="Verdana" w:cs="Times New Roman"/>
          <w:sz w:val="20"/>
          <w:szCs w:val="20"/>
          <w:lang w:val="es-CR"/>
        </w:rPr>
        <w:t xml:space="preserve">e </w:t>
      </w:r>
      <w:r w:rsidRPr="00744CE4">
        <w:rPr>
          <w:rFonts w:ascii="Verdana" w:eastAsia="Verdana" w:hAnsi="Verdana" w:cs="Times New Roman"/>
          <w:spacing w:val="3"/>
          <w:sz w:val="20"/>
          <w:szCs w:val="20"/>
          <w:lang w:val="es-CR"/>
        </w:rPr>
        <w:t>l</w:t>
      </w:r>
      <w:r w:rsidRPr="00744CE4">
        <w:rPr>
          <w:rFonts w:ascii="Verdana" w:eastAsia="Verdana" w:hAnsi="Verdana" w:cs="Times New Roman"/>
          <w:sz w:val="20"/>
          <w:szCs w:val="20"/>
          <w:lang w:val="es-CR"/>
        </w:rPr>
        <w:t>a</w:t>
      </w:r>
      <w:r w:rsidRPr="00744CE4">
        <w:rPr>
          <w:rFonts w:ascii="Verdana" w:eastAsia="Verdana" w:hAnsi="Verdana" w:cs="Times New Roman"/>
          <w:spacing w:val="9"/>
          <w:sz w:val="20"/>
          <w:szCs w:val="20"/>
          <w:lang w:val="es-CR"/>
        </w:rPr>
        <w:t xml:space="preserve"> </w:t>
      </w:r>
      <w:r w:rsidRPr="00744CE4">
        <w:rPr>
          <w:rFonts w:ascii="Verdana" w:eastAsia="Verdana" w:hAnsi="Verdana" w:cs="Times New Roman"/>
          <w:spacing w:val="-1"/>
          <w:sz w:val="20"/>
          <w:szCs w:val="20"/>
          <w:lang w:val="es-CR"/>
        </w:rPr>
        <w:t>re</w:t>
      </w:r>
      <w:r w:rsidRPr="00744CE4">
        <w:rPr>
          <w:rFonts w:ascii="Verdana" w:eastAsia="Verdana" w:hAnsi="Verdana" w:cs="Times New Roman"/>
          <w:sz w:val="20"/>
          <w:szCs w:val="20"/>
          <w:lang w:val="es-CR"/>
        </w:rPr>
        <w:t>m</w:t>
      </w:r>
      <w:r w:rsidRPr="00744CE4">
        <w:rPr>
          <w:rFonts w:ascii="Verdana" w:eastAsia="Verdana" w:hAnsi="Verdana" w:cs="Times New Roman"/>
          <w:spacing w:val="3"/>
          <w:sz w:val="20"/>
          <w:szCs w:val="20"/>
          <w:lang w:val="es-CR"/>
        </w:rPr>
        <w:t>i</w:t>
      </w:r>
      <w:r w:rsidRPr="00744CE4">
        <w:rPr>
          <w:rFonts w:ascii="Verdana" w:eastAsia="Verdana" w:hAnsi="Verdana" w:cs="Times New Roman"/>
          <w:sz w:val="20"/>
          <w:szCs w:val="20"/>
          <w:lang w:val="es-CR"/>
        </w:rPr>
        <w:t>s</w:t>
      </w:r>
      <w:r w:rsidRPr="00744CE4">
        <w:rPr>
          <w:rFonts w:ascii="Verdana" w:eastAsia="Verdana" w:hAnsi="Verdana" w:cs="Times New Roman"/>
          <w:spacing w:val="2"/>
          <w:sz w:val="20"/>
          <w:szCs w:val="20"/>
          <w:lang w:val="es-CR"/>
        </w:rPr>
        <w:t>i</w:t>
      </w:r>
      <w:r w:rsidRPr="00744CE4">
        <w:rPr>
          <w:rFonts w:ascii="Verdana" w:eastAsia="Verdana" w:hAnsi="Verdana" w:cs="Times New Roman"/>
          <w:spacing w:val="-1"/>
          <w:sz w:val="20"/>
          <w:szCs w:val="20"/>
          <w:lang w:val="es-CR"/>
        </w:rPr>
        <w:t>ó</w:t>
      </w:r>
      <w:r w:rsidRPr="00744CE4">
        <w:rPr>
          <w:rFonts w:ascii="Verdana" w:eastAsia="Verdana" w:hAnsi="Verdana" w:cs="Times New Roman"/>
          <w:sz w:val="20"/>
          <w:szCs w:val="20"/>
          <w:lang w:val="es-CR"/>
        </w:rPr>
        <w:t>n</w:t>
      </w:r>
      <w:r w:rsidRPr="00744CE4">
        <w:rPr>
          <w:rFonts w:ascii="Verdana" w:eastAsia="Verdana" w:hAnsi="Verdana" w:cs="Times New Roman"/>
          <w:spacing w:val="3"/>
          <w:sz w:val="20"/>
          <w:szCs w:val="20"/>
          <w:lang w:val="es-CR"/>
        </w:rPr>
        <w:t xml:space="preserve"> </w:t>
      </w:r>
      <w:r w:rsidRPr="00744CE4">
        <w:rPr>
          <w:rFonts w:ascii="Verdana" w:eastAsia="Verdana" w:hAnsi="Verdana" w:cs="Times New Roman"/>
          <w:spacing w:val="1"/>
          <w:sz w:val="20"/>
          <w:szCs w:val="20"/>
          <w:lang w:val="es-CR"/>
        </w:rPr>
        <w:t>d</w:t>
      </w:r>
      <w:r w:rsidRPr="00744CE4">
        <w:rPr>
          <w:rFonts w:ascii="Verdana" w:eastAsia="Verdana" w:hAnsi="Verdana" w:cs="Times New Roman"/>
          <w:sz w:val="20"/>
          <w:szCs w:val="20"/>
          <w:lang w:val="es-CR"/>
        </w:rPr>
        <w:t>e</w:t>
      </w:r>
      <w:r w:rsidRPr="00744CE4">
        <w:rPr>
          <w:rFonts w:ascii="Verdana" w:eastAsia="Verdana" w:hAnsi="Verdana" w:cs="Times New Roman"/>
          <w:spacing w:val="8"/>
          <w:sz w:val="20"/>
          <w:szCs w:val="20"/>
          <w:lang w:val="es-CR"/>
        </w:rPr>
        <w:t xml:space="preserve"> </w:t>
      </w:r>
      <w:r w:rsidRPr="00744CE4">
        <w:rPr>
          <w:rFonts w:ascii="Verdana" w:eastAsia="Verdana" w:hAnsi="Verdana" w:cs="Times New Roman"/>
          <w:spacing w:val="1"/>
          <w:sz w:val="20"/>
          <w:szCs w:val="20"/>
          <w:lang w:val="es-CR"/>
        </w:rPr>
        <w:t>d</w:t>
      </w:r>
      <w:r w:rsidRPr="00744CE4">
        <w:rPr>
          <w:rFonts w:ascii="Verdana" w:eastAsia="Verdana" w:hAnsi="Verdana" w:cs="Times New Roman"/>
          <w:spacing w:val="-1"/>
          <w:sz w:val="20"/>
          <w:szCs w:val="20"/>
          <w:lang w:val="es-CR"/>
        </w:rPr>
        <w:t>o</w:t>
      </w:r>
      <w:r w:rsidRPr="00744CE4">
        <w:rPr>
          <w:rFonts w:ascii="Verdana" w:eastAsia="Verdana" w:hAnsi="Verdana" w:cs="Times New Roman"/>
          <w:sz w:val="20"/>
          <w:szCs w:val="20"/>
          <w:lang w:val="es-CR"/>
        </w:rPr>
        <w:t>cu</w:t>
      </w:r>
      <w:r w:rsidRPr="00744CE4">
        <w:rPr>
          <w:rFonts w:ascii="Verdana" w:eastAsia="Verdana" w:hAnsi="Verdana" w:cs="Times New Roman"/>
          <w:spacing w:val="3"/>
          <w:sz w:val="20"/>
          <w:szCs w:val="20"/>
          <w:lang w:val="es-CR"/>
        </w:rPr>
        <w:t>m</w:t>
      </w:r>
      <w:r w:rsidRPr="00744CE4">
        <w:rPr>
          <w:rFonts w:ascii="Verdana" w:eastAsia="Verdana" w:hAnsi="Verdana" w:cs="Times New Roman"/>
          <w:spacing w:val="1"/>
          <w:sz w:val="20"/>
          <w:szCs w:val="20"/>
          <w:lang w:val="es-CR"/>
        </w:rPr>
        <w:t>ent</w:t>
      </w:r>
      <w:r w:rsidRPr="00744CE4">
        <w:rPr>
          <w:rFonts w:ascii="Verdana" w:eastAsia="Verdana" w:hAnsi="Verdana" w:cs="Times New Roman"/>
          <w:spacing w:val="-1"/>
          <w:sz w:val="20"/>
          <w:szCs w:val="20"/>
          <w:lang w:val="es-CR"/>
        </w:rPr>
        <w:t>o</w:t>
      </w:r>
      <w:r w:rsidRPr="00744CE4">
        <w:rPr>
          <w:rFonts w:ascii="Verdana" w:eastAsia="Verdana" w:hAnsi="Verdana" w:cs="Times New Roman"/>
          <w:sz w:val="20"/>
          <w:szCs w:val="20"/>
          <w:lang w:val="es-CR"/>
        </w:rPr>
        <w:t>s</w:t>
      </w:r>
      <w:r w:rsidRPr="00744CE4">
        <w:rPr>
          <w:rFonts w:ascii="Verdana" w:eastAsia="Verdana" w:hAnsi="Verdana" w:cs="Times New Roman"/>
          <w:spacing w:val="-2"/>
          <w:sz w:val="20"/>
          <w:szCs w:val="20"/>
          <w:lang w:val="es-CR"/>
        </w:rPr>
        <w:t xml:space="preserve"> </w:t>
      </w:r>
      <w:r w:rsidRPr="00744CE4">
        <w:rPr>
          <w:rFonts w:ascii="Verdana" w:eastAsia="Verdana" w:hAnsi="Verdana" w:cs="Times New Roman"/>
          <w:spacing w:val="1"/>
          <w:sz w:val="20"/>
          <w:szCs w:val="20"/>
          <w:lang w:val="es-CR"/>
        </w:rPr>
        <w:t>pr</w:t>
      </w:r>
      <w:r w:rsidRPr="00744CE4">
        <w:rPr>
          <w:rFonts w:ascii="Verdana" w:eastAsia="Verdana" w:hAnsi="Verdana" w:cs="Times New Roman"/>
          <w:spacing w:val="-1"/>
          <w:sz w:val="20"/>
          <w:szCs w:val="20"/>
          <w:lang w:val="es-CR"/>
        </w:rPr>
        <w:t>o</w:t>
      </w:r>
      <w:r w:rsidRPr="00744CE4">
        <w:rPr>
          <w:rFonts w:ascii="Verdana" w:eastAsia="Verdana" w:hAnsi="Verdana" w:cs="Times New Roman"/>
          <w:spacing w:val="1"/>
          <w:sz w:val="20"/>
          <w:szCs w:val="20"/>
          <w:lang w:val="es-CR"/>
        </w:rPr>
        <w:t>b</w:t>
      </w:r>
      <w:r w:rsidRPr="00744CE4">
        <w:rPr>
          <w:rFonts w:ascii="Verdana" w:eastAsia="Verdana" w:hAnsi="Verdana" w:cs="Times New Roman"/>
          <w:sz w:val="20"/>
          <w:szCs w:val="20"/>
          <w:lang w:val="es-CR"/>
        </w:rPr>
        <w:t>a</w:t>
      </w:r>
      <w:r w:rsidRPr="00744CE4">
        <w:rPr>
          <w:rFonts w:ascii="Verdana" w:eastAsia="Verdana" w:hAnsi="Verdana" w:cs="Times New Roman"/>
          <w:spacing w:val="1"/>
          <w:sz w:val="20"/>
          <w:szCs w:val="20"/>
          <w:lang w:val="es-CR"/>
        </w:rPr>
        <w:t>to</w:t>
      </w:r>
      <w:r w:rsidRPr="00744CE4">
        <w:rPr>
          <w:rFonts w:ascii="Verdana" w:eastAsia="Verdana" w:hAnsi="Verdana" w:cs="Times New Roman"/>
          <w:spacing w:val="-1"/>
          <w:sz w:val="20"/>
          <w:szCs w:val="20"/>
          <w:lang w:val="es-CR"/>
        </w:rPr>
        <w:t>r</w:t>
      </w:r>
      <w:r w:rsidRPr="00744CE4">
        <w:rPr>
          <w:rFonts w:ascii="Verdana" w:eastAsia="Verdana" w:hAnsi="Verdana" w:cs="Times New Roman"/>
          <w:spacing w:val="3"/>
          <w:sz w:val="20"/>
          <w:szCs w:val="20"/>
          <w:lang w:val="es-CR"/>
        </w:rPr>
        <w:t>i</w:t>
      </w:r>
      <w:r w:rsidRPr="00744CE4">
        <w:rPr>
          <w:rFonts w:ascii="Verdana" w:eastAsia="Verdana" w:hAnsi="Verdana" w:cs="Times New Roman"/>
          <w:spacing w:val="-1"/>
          <w:sz w:val="20"/>
          <w:szCs w:val="20"/>
          <w:lang w:val="es-CR"/>
        </w:rPr>
        <w:t>o</w:t>
      </w:r>
      <w:r w:rsidRPr="00744CE4">
        <w:rPr>
          <w:rFonts w:ascii="Verdana" w:eastAsia="Verdana" w:hAnsi="Verdana" w:cs="Times New Roman"/>
          <w:sz w:val="20"/>
          <w:szCs w:val="20"/>
          <w:lang w:val="es-CR"/>
        </w:rPr>
        <w:t>s,</w:t>
      </w:r>
      <w:r w:rsidRPr="00744CE4">
        <w:rPr>
          <w:rFonts w:ascii="Verdana" w:eastAsia="Verdana" w:hAnsi="Verdana" w:cs="Times New Roman"/>
          <w:spacing w:val="1"/>
          <w:sz w:val="20"/>
          <w:szCs w:val="20"/>
          <w:lang w:val="es-CR"/>
        </w:rPr>
        <w:t xml:space="preserve"> </w:t>
      </w:r>
      <w:r w:rsidRPr="00744CE4">
        <w:rPr>
          <w:rFonts w:ascii="Verdana" w:eastAsia="Verdana" w:hAnsi="Verdana" w:cs="Times New Roman"/>
          <w:sz w:val="20"/>
          <w:szCs w:val="20"/>
          <w:lang w:val="es-CR"/>
        </w:rPr>
        <w:t>s</w:t>
      </w:r>
      <w:r w:rsidRPr="00744CE4">
        <w:rPr>
          <w:rFonts w:ascii="Verdana" w:eastAsia="Verdana" w:hAnsi="Verdana" w:cs="Times New Roman"/>
          <w:spacing w:val="2"/>
          <w:sz w:val="20"/>
          <w:szCs w:val="20"/>
          <w:lang w:val="es-CR"/>
        </w:rPr>
        <w:t>i</w:t>
      </w:r>
      <w:r w:rsidRPr="00744CE4">
        <w:rPr>
          <w:rFonts w:ascii="Verdana" w:eastAsia="Verdana" w:hAnsi="Verdana" w:cs="Times New Roman"/>
          <w:spacing w:val="1"/>
          <w:sz w:val="20"/>
          <w:szCs w:val="20"/>
          <w:lang w:val="es-CR"/>
        </w:rPr>
        <w:t>n</w:t>
      </w:r>
      <w:r w:rsidRPr="00744CE4">
        <w:rPr>
          <w:rFonts w:ascii="Verdana" w:eastAsia="Verdana" w:hAnsi="Verdana" w:cs="Times New Roman"/>
          <w:sz w:val="20"/>
          <w:szCs w:val="20"/>
          <w:lang w:val="es-CR"/>
        </w:rPr>
        <w:t>o</w:t>
      </w:r>
      <w:r w:rsidRPr="00744CE4">
        <w:rPr>
          <w:rFonts w:ascii="Verdana" w:eastAsia="Verdana" w:hAnsi="Verdana" w:cs="Times New Roman"/>
          <w:spacing w:val="6"/>
          <w:sz w:val="20"/>
          <w:szCs w:val="20"/>
          <w:lang w:val="es-CR"/>
        </w:rPr>
        <w:t xml:space="preserve"> </w:t>
      </w:r>
      <w:r w:rsidRPr="00744CE4">
        <w:rPr>
          <w:rFonts w:ascii="Verdana" w:eastAsia="Verdana" w:hAnsi="Verdana" w:cs="Times New Roman"/>
          <w:spacing w:val="1"/>
          <w:sz w:val="20"/>
          <w:szCs w:val="20"/>
          <w:lang w:val="es-CR"/>
        </w:rPr>
        <w:t>qu</w:t>
      </w:r>
      <w:r w:rsidRPr="00744CE4">
        <w:rPr>
          <w:rFonts w:ascii="Verdana" w:eastAsia="Verdana" w:hAnsi="Verdana" w:cs="Times New Roman"/>
          <w:sz w:val="20"/>
          <w:szCs w:val="20"/>
          <w:lang w:val="es-CR"/>
        </w:rPr>
        <w:t>e</w:t>
      </w:r>
      <w:r w:rsidRPr="00744CE4">
        <w:rPr>
          <w:rFonts w:ascii="Verdana" w:eastAsia="Verdana" w:hAnsi="Verdana" w:cs="Times New Roman"/>
          <w:spacing w:val="6"/>
          <w:sz w:val="20"/>
          <w:szCs w:val="20"/>
          <w:lang w:val="es-CR"/>
        </w:rPr>
        <w:t xml:space="preserve"> </w:t>
      </w:r>
      <w:r w:rsidRPr="00744CE4">
        <w:rPr>
          <w:rFonts w:ascii="Verdana" w:eastAsia="Verdana" w:hAnsi="Verdana" w:cs="Times New Roman"/>
          <w:spacing w:val="2"/>
          <w:sz w:val="20"/>
          <w:szCs w:val="20"/>
          <w:lang w:val="es-CR"/>
        </w:rPr>
        <w:t>s</w:t>
      </w:r>
      <w:r w:rsidRPr="00744CE4">
        <w:rPr>
          <w:rFonts w:ascii="Verdana" w:eastAsia="Verdana" w:hAnsi="Verdana" w:cs="Times New Roman"/>
          <w:sz w:val="20"/>
          <w:szCs w:val="20"/>
          <w:lang w:val="es-CR"/>
        </w:rPr>
        <w:t xml:space="preserve">e </w:t>
      </w:r>
      <w:r w:rsidRPr="00744CE4">
        <w:rPr>
          <w:rFonts w:ascii="Verdana" w:eastAsia="Verdana" w:hAnsi="Verdana" w:cs="Times New Roman"/>
          <w:spacing w:val="-1"/>
          <w:sz w:val="20"/>
          <w:szCs w:val="20"/>
          <w:lang w:val="es-CR"/>
        </w:rPr>
        <w:t>re</w:t>
      </w:r>
      <w:r w:rsidRPr="00744CE4">
        <w:rPr>
          <w:rFonts w:ascii="Verdana" w:eastAsia="Verdana" w:hAnsi="Verdana" w:cs="Times New Roman"/>
          <w:spacing w:val="1"/>
          <w:sz w:val="20"/>
          <w:szCs w:val="20"/>
          <w:lang w:val="es-CR"/>
        </w:rPr>
        <w:t>qu</w:t>
      </w:r>
      <w:r w:rsidRPr="00744CE4">
        <w:rPr>
          <w:rFonts w:ascii="Verdana" w:eastAsia="Verdana" w:hAnsi="Verdana" w:cs="Times New Roman"/>
          <w:spacing w:val="3"/>
          <w:sz w:val="20"/>
          <w:szCs w:val="20"/>
          <w:lang w:val="es-CR"/>
        </w:rPr>
        <w:t>i</w:t>
      </w:r>
      <w:r w:rsidRPr="00744CE4">
        <w:rPr>
          <w:rFonts w:ascii="Verdana" w:eastAsia="Verdana" w:hAnsi="Verdana" w:cs="Times New Roman"/>
          <w:spacing w:val="-1"/>
          <w:sz w:val="20"/>
          <w:szCs w:val="20"/>
          <w:lang w:val="es-CR"/>
        </w:rPr>
        <w:t>e</w:t>
      </w:r>
      <w:r w:rsidRPr="00744CE4">
        <w:rPr>
          <w:rFonts w:ascii="Verdana" w:eastAsia="Verdana" w:hAnsi="Verdana" w:cs="Times New Roman"/>
          <w:spacing w:val="1"/>
          <w:sz w:val="20"/>
          <w:szCs w:val="20"/>
          <w:lang w:val="es-CR"/>
        </w:rPr>
        <w:t>r</w:t>
      </w:r>
      <w:r w:rsidRPr="00744CE4">
        <w:rPr>
          <w:rFonts w:ascii="Verdana" w:eastAsia="Verdana" w:hAnsi="Verdana" w:cs="Times New Roman"/>
          <w:sz w:val="20"/>
          <w:szCs w:val="20"/>
          <w:lang w:val="es-CR"/>
        </w:rPr>
        <w:t>e</w:t>
      </w:r>
      <w:r w:rsidRPr="00744CE4">
        <w:rPr>
          <w:rFonts w:ascii="Verdana" w:eastAsia="Verdana" w:hAnsi="Verdana" w:cs="Times New Roman"/>
          <w:spacing w:val="33"/>
          <w:sz w:val="20"/>
          <w:szCs w:val="20"/>
          <w:lang w:val="es-CR"/>
        </w:rPr>
        <w:t xml:space="preserve"> </w:t>
      </w:r>
      <w:r w:rsidRPr="00744CE4">
        <w:rPr>
          <w:rFonts w:ascii="Verdana" w:eastAsia="Verdana" w:hAnsi="Verdana" w:cs="Times New Roman"/>
          <w:spacing w:val="1"/>
          <w:sz w:val="20"/>
          <w:szCs w:val="20"/>
          <w:lang w:val="es-CR"/>
        </w:rPr>
        <w:t>qu</w:t>
      </w:r>
      <w:r w:rsidRPr="00744CE4">
        <w:rPr>
          <w:rFonts w:ascii="Verdana" w:eastAsia="Verdana" w:hAnsi="Verdana" w:cs="Times New Roman"/>
          <w:sz w:val="20"/>
          <w:szCs w:val="20"/>
          <w:lang w:val="es-CR"/>
        </w:rPr>
        <w:t>e</w:t>
      </w:r>
      <w:r w:rsidRPr="00744CE4">
        <w:rPr>
          <w:rFonts w:ascii="Verdana" w:eastAsia="Verdana" w:hAnsi="Verdana" w:cs="Times New Roman"/>
          <w:spacing w:val="38"/>
          <w:sz w:val="20"/>
          <w:szCs w:val="20"/>
          <w:lang w:val="es-CR"/>
        </w:rPr>
        <w:t xml:space="preserve"> </w:t>
      </w:r>
      <w:r w:rsidRPr="00744CE4">
        <w:rPr>
          <w:rFonts w:ascii="Verdana" w:eastAsia="Verdana" w:hAnsi="Verdana" w:cs="Times New Roman"/>
          <w:spacing w:val="3"/>
          <w:sz w:val="20"/>
          <w:szCs w:val="20"/>
          <w:lang w:val="es-CR"/>
        </w:rPr>
        <w:t>l</w:t>
      </w:r>
      <w:r w:rsidRPr="00744CE4">
        <w:rPr>
          <w:rFonts w:ascii="Verdana" w:eastAsia="Verdana" w:hAnsi="Verdana" w:cs="Times New Roman"/>
          <w:sz w:val="20"/>
          <w:szCs w:val="20"/>
          <w:lang w:val="es-CR"/>
        </w:rPr>
        <w:t>as</w:t>
      </w:r>
      <w:r w:rsidRPr="00744CE4">
        <w:rPr>
          <w:rFonts w:ascii="Verdana" w:eastAsia="Verdana" w:hAnsi="Verdana" w:cs="Times New Roman"/>
          <w:spacing w:val="40"/>
          <w:sz w:val="20"/>
          <w:szCs w:val="20"/>
          <w:lang w:val="es-CR"/>
        </w:rPr>
        <w:t xml:space="preserve"> </w:t>
      </w:r>
      <w:r w:rsidRPr="00744CE4">
        <w:rPr>
          <w:rFonts w:ascii="Verdana" w:eastAsia="Verdana" w:hAnsi="Verdana" w:cs="Times New Roman"/>
          <w:spacing w:val="1"/>
          <w:sz w:val="20"/>
          <w:szCs w:val="20"/>
          <w:lang w:val="es-CR"/>
        </w:rPr>
        <w:t>p</w:t>
      </w:r>
      <w:r w:rsidRPr="00744CE4">
        <w:rPr>
          <w:rFonts w:ascii="Verdana" w:eastAsia="Verdana" w:hAnsi="Verdana" w:cs="Times New Roman"/>
          <w:sz w:val="20"/>
          <w:szCs w:val="20"/>
          <w:lang w:val="es-CR"/>
        </w:rPr>
        <w:t>a</w:t>
      </w:r>
      <w:r w:rsidRPr="00744CE4">
        <w:rPr>
          <w:rFonts w:ascii="Verdana" w:eastAsia="Verdana" w:hAnsi="Verdana" w:cs="Times New Roman"/>
          <w:spacing w:val="-1"/>
          <w:sz w:val="20"/>
          <w:szCs w:val="20"/>
          <w:lang w:val="es-CR"/>
        </w:rPr>
        <w:t>r</w:t>
      </w:r>
      <w:r w:rsidRPr="00744CE4">
        <w:rPr>
          <w:rFonts w:ascii="Verdana" w:eastAsia="Verdana" w:hAnsi="Verdana" w:cs="Times New Roman"/>
          <w:spacing w:val="1"/>
          <w:sz w:val="20"/>
          <w:szCs w:val="20"/>
          <w:lang w:val="es-CR"/>
        </w:rPr>
        <w:t>te</w:t>
      </w:r>
      <w:r w:rsidRPr="00744CE4">
        <w:rPr>
          <w:rFonts w:ascii="Verdana" w:eastAsia="Verdana" w:hAnsi="Verdana" w:cs="Times New Roman"/>
          <w:sz w:val="20"/>
          <w:szCs w:val="20"/>
          <w:lang w:val="es-CR"/>
        </w:rPr>
        <w:t>s</w:t>
      </w:r>
      <w:r w:rsidRPr="00744CE4">
        <w:rPr>
          <w:rFonts w:ascii="Verdana" w:eastAsia="Verdana" w:hAnsi="Verdana" w:cs="Times New Roman"/>
          <w:spacing w:val="37"/>
          <w:sz w:val="20"/>
          <w:szCs w:val="20"/>
          <w:lang w:val="es-CR"/>
        </w:rPr>
        <w:t xml:space="preserve"> </w:t>
      </w:r>
      <w:r w:rsidRPr="00744CE4">
        <w:rPr>
          <w:rFonts w:ascii="Verdana" w:eastAsia="Verdana" w:hAnsi="Verdana" w:cs="Times New Roman"/>
          <w:spacing w:val="1"/>
          <w:sz w:val="20"/>
          <w:szCs w:val="20"/>
          <w:lang w:val="es-CR"/>
        </w:rPr>
        <w:t>h</w:t>
      </w:r>
      <w:r w:rsidRPr="00744CE4">
        <w:rPr>
          <w:rFonts w:ascii="Verdana" w:eastAsia="Verdana" w:hAnsi="Verdana" w:cs="Times New Roman"/>
          <w:sz w:val="20"/>
          <w:szCs w:val="20"/>
          <w:lang w:val="es-CR"/>
        </w:rPr>
        <w:t>a</w:t>
      </w:r>
      <w:r w:rsidRPr="00744CE4">
        <w:rPr>
          <w:rFonts w:ascii="Verdana" w:eastAsia="Verdana" w:hAnsi="Verdana" w:cs="Times New Roman"/>
          <w:spacing w:val="1"/>
          <w:sz w:val="20"/>
          <w:szCs w:val="20"/>
          <w:lang w:val="es-CR"/>
        </w:rPr>
        <w:t>g</w:t>
      </w:r>
      <w:r w:rsidRPr="00744CE4">
        <w:rPr>
          <w:rFonts w:ascii="Verdana" w:eastAsia="Verdana" w:hAnsi="Verdana" w:cs="Times New Roman"/>
          <w:sz w:val="20"/>
          <w:szCs w:val="20"/>
          <w:lang w:val="es-CR"/>
        </w:rPr>
        <w:t>an</w:t>
      </w:r>
      <w:r w:rsidRPr="00744CE4">
        <w:rPr>
          <w:rFonts w:ascii="Verdana" w:eastAsia="Verdana" w:hAnsi="Verdana" w:cs="Times New Roman"/>
          <w:spacing w:val="37"/>
          <w:sz w:val="20"/>
          <w:szCs w:val="20"/>
          <w:lang w:val="es-CR"/>
        </w:rPr>
        <w:t xml:space="preserve"> </w:t>
      </w:r>
      <w:r w:rsidRPr="00744CE4">
        <w:rPr>
          <w:rFonts w:ascii="Verdana" w:eastAsia="Verdana" w:hAnsi="Verdana" w:cs="Times New Roman"/>
          <w:spacing w:val="1"/>
          <w:sz w:val="20"/>
          <w:szCs w:val="20"/>
          <w:lang w:val="es-CR"/>
        </w:rPr>
        <w:t>un</w:t>
      </w:r>
      <w:r w:rsidRPr="00744CE4">
        <w:rPr>
          <w:rFonts w:ascii="Verdana" w:eastAsia="Verdana" w:hAnsi="Verdana" w:cs="Times New Roman"/>
          <w:sz w:val="20"/>
          <w:szCs w:val="20"/>
          <w:lang w:val="es-CR"/>
        </w:rPr>
        <w:t>a</w:t>
      </w:r>
      <w:r w:rsidRPr="00744CE4">
        <w:rPr>
          <w:rFonts w:ascii="Verdana" w:eastAsia="Verdana" w:hAnsi="Verdana" w:cs="Times New Roman"/>
          <w:spacing w:val="39"/>
          <w:sz w:val="20"/>
          <w:szCs w:val="20"/>
          <w:lang w:val="es-CR"/>
        </w:rPr>
        <w:t xml:space="preserve"> </w:t>
      </w:r>
      <w:r w:rsidRPr="00744CE4">
        <w:rPr>
          <w:rFonts w:ascii="Verdana" w:eastAsia="Verdana" w:hAnsi="Verdana" w:cs="Times New Roman"/>
          <w:sz w:val="20"/>
          <w:szCs w:val="20"/>
          <w:lang w:val="es-CR"/>
        </w:rPr>
        <w:t>a</w:t>
      </w:r>
      <w:r w:rsidRPr="00744CE4">
        <w:rPr>
          <w:rFonts w:ascii="Verdana" w:eastAsia="Verdana" w:hAnsi="Verdana" w:cs="Times New Roman"/>
          <w:spacing w:val="-1"/>
          <w:sz w:val="20"/>
          <w:szCs w:val="20"/>
          <w:lang w:val="es-CR"/>
        </w:rPr>
        <w:t>r</w:t>
      </w:r>
      <w:r w:rsidRPr="00744CE4">
        <w:rPr>
          <w:rFonts w:ascii="Verdana" w:eastAsia="Verdana" w:hAnsi="Verdana" w:cs="Times New Roman"/>
          <w:spacing w:val="1"/>
          <w:sz w:val="20"/>
          <w:szCs w:val="20"/>
          <w:lang w:val="es-CR"/>
        </w:rPr>
        <w:t>gu</w:t>
      </w:r>
      <w:r w:rsidRPr="00744CE4">
        <w:rPr>
          <w:rFonts w:ascii="Verdana" w:eastAsia="Verdana" w:hAnsi="Verdana" w:cs="Times New Roman"/>
          <w:sz w:val="20"/>
          <w:szCs w:val="20"/>
          <w:lang w:val="es-CR"/>
        </w:rPr>
        <w:t>men</w:t>
      </w:r>
      <w:r w:rsidRPr="00744CE4">
        <w:rPr>
          <w:rFonts w:ascii="Verdana" w:eastAsia="Verdana" w:hAnsi="Verdana" w:cs="Times New Roman"/>
          <w:spacing w:val="1"/>
          <w:sz w:val="20"/>
          <w:szCs w:val="20"/>
          <w:lang w:val="es-CR"/>
        </w:rPr>
        <w:t>t</w:t>
      </w:r>
      <w:r w:rsidRPr="00744CE4">
        <w:rPr>
          <w:rFonts w:ascii="Verdana" w:eastAsia="Verdana" w:hAnsi="Verdana" w:cs="Times New Roman"/>
          <w:spacing w:val="6"/>
          <w:sz w:val="20"/>
          <w:szCs w:val="20"/>
          <w:lang w:val="es-CR"/>
        </w:rPr>
        <w:t>a</w:t>
      </w:r>
      <w:r w:rsidRPr="00744CE4">
        <w:rPr>
          <w:rFonts w:ascii="Verdana" w:eastAsia="Verdana" w:hAnsi="Verdana" w:cs="Times New Roman"/>
          <w:sz w:val="20"/>
          <w:szCs w:val="20"/>
          <w:lang w:val="es-CR"/>
        </w:rPr>
        <w:t>c</w:t>
      </w:r>
      <w:r w:rsidRPr="00744CE4">
        <w:rPr>
          <w:rFonts w:ascii="Verdana" w:eastAsia="Verdana" w:hAnsi="Verdana" w:cs="Times New Roman"/>
          <w:spacing w:val="2"/>
          <w:sz w:val="20"/>
          <w:szCs w:val="20"/>
          <w:lang w:val="es-CR"/>
        </w:rPr>
        <w:t>i</w:t>
      </w:r>
      <w:r w:rsidRPr="00744CE4">
        <w:rPr>
          <w:rFonts w:ascii="Verdana" w:eastAsia="Verdana" w:hAnsi="Verdana" w:cs="Times New Roman"/>
          <w:spacing w:val="-1"/>
          <w:sz w:val="20"/>
          <w:szCs w:val="20"/>
          <w:lang w:val="es-CR"/>
        </w:rPr>
        <w:t>ó</w:t>
      </w:r>
      <w:r w:rsidRPr="00744CE4">
        <w:rPr>
          <w:rFonts w:ascii="Verdana" w:eastAsia="Verdana" w:hAnsi="Verdana" w:cs="Times New Roman"/>
          <w:sz w:val="20"/>
          <w:szCs w:val="20"/>
          <w:lang w:val="es-CR"/>
        </w:rPr>
        <w:t>n</w:t>
      </w:r>
      <w:r w:rsidRPr="00744CE4">
        <w:rPr>
          <w:rFonts w:ascii="Verdana" w:eastAsia="Verdana" w:hAnsi="Verdana" w:cs="Times New Roman"/>
          <w:spacing w:val="28"/>
          <w:sz w:val="20"/>
          <w:szCs w:val="20"/>
          <w:lang w:val="es-CR"/>
        </w:rPr>
        <w:t xml:space="preserve"> </w:t>
      </w:r>
      <w:r w:rsidRPr="00744CE4">
        <w:rPr>
          <w:rFonts w:ascii="Verdana" w:eastAsia="Verdana" w:hAnsi="Verdana" w:cs="Times New Roman"/>
          <w:spacing w:val="1"/>
          <w:sz w:val="20"/>
          <w:szCs w:val="20"/>
          <w:lang w:val="es-CR"/>
        </w:rPr>
        <w:t>qu</w:t>
      </w:r>
      <w:r w:rsidRPr="00744CE4">
        <w:rPr>
          <w:rFonts w:ascii="Verdana" w:eastAsia="Verdana" w:hAnsi="Verdana" w:cs="Times New Roman"/>
          <w:sz w:val="20"/>
          <w:szCs w:val="20"/>
          <w:lang w:val="es-CR"/>
        </w:rPr>
        <w:t>e</w:t>
      </w:r>
      <w:r w:rsidRPr="00744CE4">
        <w:rPr>
          <w:rFonts w:ascii="Verdana" w:eastAsia="Verdana" w:hAnsi="Verdana" w:cs="Times New Roman"/>
          <w:spacing w:val="38"/>
          <w:sz w:val="20"/>
          <w:szCs w:val="20"/>
          <w:lang w:val="es-CR"/>
        </w:rPr>
        <w:t xml:space="preserve"> </w:t>
      </w:r>
      <w:r w:rsidRPr="00744CE4">
        <w:rPr>
          <w:rFonts w:ascii="Verdana" w:eastAsia="Verdana" w:hAnsi="Verdana" w:cs="Times New Roman"/>
          <w:spacing w:val="-1"/>
          <w:sz w:val="20"/>
          <w:szCs w:val="20"/>
          <w:lang w:val="es-CR"/>
        </w:rPr>
        <w:t>re</w:t>
      </w:r>
      <w:r w:rsidRPr="00744CE4">
        <w:rPr>
          <w:rFonts w:ascii="Verdana" w:eastAsia="Verdana" w:hAnsi="Verdana" w:cs="Times New Roman"/>
          <w:spacing w:val="3"/>
          <w:sz w:val="20"/>
          <w:szCs w:val="20"/>
          <w:lang w:val="es-CR"/>
        </w:rPr>
        <w:t>l</w:t>
      </w:r>
      <w:r w:rsidRPr="00744CE4">
        <w:rPr>
          <w:rFonts w:ascii="Verdana" w:eastAsia="Verdana" w:hAnsi="Verdana" w:cs="Times New Roman"/>
          <w:sz w:val="20"/>
          <w:szCs w:val="20"/>
          <w:lang w:val="es-CR"/>
        </w:rPr>
        <w:t>ac</w:t>
      </w:r>
      <w:r w:rsidRPr="00744CE4">
        <w:rPr>
          <w:rFonts w:ascii="Verdana" w:eastAsia="Verdana" w:hAnsi="Verdana" w:cs="Times New Roman"/>
          <w:spacing w:val="3"/>
          <w:sz w:val="20"/>
          <w:szCs w:val="20"/>
          <w:lang w:val="es-CR"/>
        </w:rPr>
        <w:t>i</w:t>
      </w:r>
      <w:r w:rsidRPr="00744CE4">
        <w:rPr>
          <w:rFonts w:ascii="Verdana" w:eastAsia="Verdana" w:hAnsi="Verdana" w:cs="Times New Roman"/>
          <w:spacing w:val="-1"/>
          <w:sz w:val="20"/>
          <w:szCs w:val="20"/>
          <w:lang w:val="es-CR"/>
        </w:rPr>
        <w:t>o</w:t>
      </w:r>
      <w:r w:rsidRPr="00744CE4">
        <w:rPr>
          <w:rFonts w:ascii="Verdana" w:eastAsia="Verdana" w:hAnsi="Verdana" w:cs="Times New Roman"/>
          <w:spacing w:val="1"/>
          <w:sz w:val="20"/>
          <w:szCs w:val="20"/>
          <w:lang w:val="es-CR"/>
        </w:rPr>
        <w:t>n</w:t>
      </w:r>
      <w:r w:rsidRPr="00744CE4">
        <w:rPr>
          <w:rFonts w:ascii="Verdana" w:eastAsia="Verdana" w:hAnsi="Verdana" w:cs="Times New Roman"/>
          <w:sz w:val="20"/>
          <w:szCs w:val="20"/>
          <w:lang w:val="es-CR"/>
        </w:rPr>
        <w:t>e</w:t>
      </w:r>
      <w:r w:rsidRPr="00744CE4">
        <w:rPr>
          <w:rFonts w:ascii="Verdana" w:eastAsia="Verdana" w:hAnsi="Verdana" w:cs="Times New Roman"/>
          <w:spacing w:val="32"/>
          <w:sz w:val="20"/>
          <w:szCs w:val="20"/>
          <w:lang w:val="es-CR"/>
        </w:rPr>
        <w:t xml:space="preserve"> </w:t>
      </w:r>
      <w:r w:rsidRPr="00744CE4">
        <w:rPr>
          <w:rFonts w:ascii="Verdana" w:eastAsia="Verdana" w:hAnsi="Verdana" w:cs="Times New Roman"/>
          <w:spacing w:val="3"/>
          <w:sz w:val="20"/>
          <w:szCs w:val="20"/>
          <w:lang w:val="es-CR"/>
        </w:rPr>
        <w:t>l</w:t>
      </w:r>
      <w:r w:rsidRPr="00744CE4">
        <w:rPr>
          <w:rFonts w:ascii="Verdana" w:eastAsia="Verdana" w:hAnsi="Verdana" w:cs="Times New Roman"/>
          <w:sz w:val="20"/>
          <w:szCs w:val="20"/>
          <w:lang w:val="es-CR"/>
        </w:rPr>
        <w:t>a</w:t>
      </w:r>
      <w:r w:rsidRPr="00744CE4">
        <w:rPr>
          <w:rFonts w:ascii="Verdana" w:eastAsia="Verdana" w:hAnsi="Verdana" w:cs="Times New Roman"/>
          <w:spacing w:val="41"/>
          <w:sz w:val="20"/>
          <w:szCs w:val="20"/>
          <w:lang w:val="es-CR"/>
        </w:rPr>
        <w:t xml:space="preserve"> </w:t>
      </w:r>
      <w:r w:rsidRPr="00744CE4">
        <w:rPr>
          <w:rFonts w:ascii="Verdana" w:eastAsia="Verdana" w:hAnsi="Verdana" w:cs="Times New Roman"/>
          <w:spacing w:val="-2"/>
          <w:sz w:val="20"/>
          <w:szCs w:val="20"/>
          <w:lang w:val="es-CR"/>
        </w:rPr>
        <w:t>p</w:t>
      </w:r>
      <w:r w:rsidRPr="00744CE4">
        <w:rPr>
          <w:rFonts w:ascii="Verdana" w:eastAsia="Verdana" w:hAnsi="Verdana" w:cs="Times New Roman"/>
          <w:spacing w:val="-1"/>
          <w:sz w:val="20"/>
          <w:szCs w:val="20"/>
          <w:lang w:val="es-CR"/>
        </w:rPr>
        <w:t>r</w:t>
      </w:r>
      <w:r w:rsidRPr="00744CE4">
        <w:rPr>
          <w:rFonts w:ascii="Verdana" w:eastAsia="Verdana" w:hAnsi="Verdana" w:cs="Times New Roman"/>
          <w:spacing w:val="1"/>
          <w:sz w:val="20"/>
          <w:szCs w:val="20"/>
          <w:lang w:val="es-CR"/>
        </w:rPr>
        <w:t>u</w:t>
      </w:r>
      <w:r w:rsidRPr="00744CE4">
        <w:rPr>
          <w:rFonts w:ascii="Verdana" w:eastAsia="Verdana" w:hAnsi="Verdana" w:cs="Times New Roman"/>
          <w:spacing w:val="-1"/>
          <w:sz w:val="20"/>
          <w:szCs w:val="20"/>
          <w:lang w:val="es-CR"/>
        </w:rPr>
        <w:t>e</w:t>
      </w:r>
      <w:r w:rsidRPr="00744CE4">
        <w:rPr>
          <w:rFonts w:ascii="Verdana" w:eastAsia="Verdana" w:hAnsi="Verdana" w:cs="Times New Roman"/>
          <w:spacing w:val="1"/>
          <w:sz w:val="20"/>
          <w:szCs w:val="20"/>
          <w:lang w:val="es-CR"/>
        </w:rPr>
        <w:t>b</w:t>
      </w:r>
      <w:r w:rsidRPr="00744CE4">
        <w:rPr>
          <w:rFonts w:ascii="Verdana" w:eastAsia="Verdana" w:hAnsi="Verdana" w:cs="Times New Roman"/>
          <w:sz w:val="20"/>
          <w:szCs w:val="20"/>
          <w:lang w:val="es-CR"/>
        </w:rPr>
        <w:t>a</w:t>
      </w:r>
      <w:r w:rsidRPr="00744CE4">
        <w:rPr>
          <w:rFonts w:ascii="Verdana" w:eastAsia="Verdana" w:hAnsi="Verdana" w:cs="Times New Roman"/>
          <w:spacing w:val="35"/>
          <w:sz w:val="20"/>
          <w:szCs w:val="20"/>
          <w:lang w:val="es-CR"/>
        </w:rPr>
        <w:t xml:space="preserve"> </w:t>
      </w:r>
      <w:r w:rsidRPr="00744CE4">
        <w:rPr>
          <w:rFonts w:ascii="Verdana" w:eastAsia="Verdana" w:hAnsi="Verdana" w:cs="Times New Roman"/>
          <w:spacing w:val="2"/>
          <w:sz w:val="20"/>
          <w:szCs w:val="20"/>
          <w:lang w:val="es-CR"/>
        </w:rPr>
        <w:t>c</w:t>
      </w:r>
      <w:r w:rsidRPr="00744CE4">
        <w:rPr>
          <w:rFonts w:ascii="Verdana" w:eastAsia="Verdana" w:hAnsi="Verdana" w:cs="Times New Roman"/>
          <w:spacing w:val="-1"/>
          <w:sz w:val="20"/>
          <w:szCs w:val="20"/>
          <w:lang w:val="es-CR"/>
        </w:rPr>
        <w:t>o</w:t>
      </w:r>
      <w:r w:rsidRPr="00744CE4">
        <w:rPr>
          <w:rFonts w:ascii="Verdana" w:eastAsia="Verdana" w:hAnsi="Verdana" w:cs="Times New Roman"/>
          <w:sz w:val="20"/>
          <w:szCs w:val="20"/>
          <w:lang w:val="es-CR"/>
        </w:rPr>
        <w:t>n</w:t>
      </w:r>
      <w:r w:rsidRPr="00744CE4">
        <w:rPr>
          <w:rFonts w:ascii="Verdana" w:eastAsia="Verdana" w:hAnsi="Verdana" w:cs="Times New Roman"/>
          <w:spacing w:val="40"/>
          <w:sz w:val="20"/>
          <w:szCs w:val="20"/>
          <w:lang w:val="es-CR"/>
        </w:rPr>
        <w:t xml:space="preserve"> </w:t>
      </w:r>
      <w:r w:rsidRPr="00744CE4">
        <w:rPr>
          <w:rFonts w:ascii="Verdana" w:eastAsia="Verdana" w:hAnsi="Verdana" w:cs="Times New Roman"/>
          <w:spacing w:val="-1"/>
          <w:sz w:val="20"/>
          <w:szCs w:val="20"/>
          <w:lang w:val="es-CR"/>
        </w:rPr>
        <w:t>e</w:t>
      </w:r>
      <w:r w:rsidRPr="00744CE4">
        <w:rPr>
          <w:rFonts w:ascii="Verdana" w:eastAsia="Verdana" w:hAnsi="Verdana" w:cs="Times New Roman"/>
          <w:sz w:val="20"/>
          <w:szCs w:val="20"/>
          <w:lang w:val="es-CR"/>
        </w:rPr>
        <w:t>l</w:t>
      </w:r>
      <w:r w:rsidRPr="00744CE4">
        <w:rPr>
          <w:rFonts w:ascii="Verdana" w:eastAsia="Verdana" w:hAnsi="Verdana" w:cs="Times New Roman"/>
          <w:spacing w:val="43"/>
          <w:sz w:val="20"/>
          <w:szCs w:val="20"/>
          <w:lang w:val="es-CR"/>
        </w:rPr>
        <w:t xml:space="preserve"> </w:t>
      </w:r>
      <w:r w:rsidRPr="00744CE4">
        <w:rPr>
          <w:rFonts w:ascii="Verdana" w:eastAsia="Verdana" w:hAnsi="Verdana" w:cs="Times New Roman"/>
          <w:spacing w:val="1"/>
          <w:sz w:val="20"/>
          <w:szCs w:val="20"/>
          <w:lang w:val="es-CR"/>
        </w:rPr>
        <w:t>h</w:t>
      </w:r>
      <w:r w:rsidRPr="00744CE4">
        <w:rPr>
          <w:rFonts w:ascii="Verdana" w:eastAsia="Verdana" w:hAnsi="Verdana" w:cs="Times New Roman"/>
          <w:spacing w:val="-1"/>
          <w:sz w:val="20"/>
          <w:szCs w:val="20"/>
          <w:lang w:val="es-CR"/>
        </w:rPr>
        <w:t>e</w:t>
      </w:r>
      <w:r w:rsidRPr="00744CE4">
        <w:rPr>
          <w:rFonts w:ascii="Verdana" w:eastAsia="Verdana" w:hAnsi="Verdana" w:cs="Times New Roman"/>
          <w:sz w:val="20"/>
          <w:szCs w:val="20"/>
          <w:lang w:val="es-CR"/>
        </w:rPr>
        <w:t>cho</w:t>
      </w:r>
      <w:r w:rsidRPr="00744CE4">
        <w:rPr>
          <w:rFonts w:ascii="Verdana" w:eastAsia="Verdana" w:hAnsi="Verdana" w:cs="Times New Roman"/>
          <w:spacing w:val="35"/>
          <w:sz w:val="20"/>
          <w:szCs w:val="20"/>
          <w:lang w:val="es-CR"/>
        </w:rPr>
        <w:t xml:space="preserve"> </w:t>
      </w:r>
      <w:r w:rsidRPr="00744CE4">
        <w:rPr>
          <w:rFonts w:ascii="Verdana" w:eastAsia="Verdana" w:hAnsi="Verdana" w:cs="Times New Roman"/>
          <w:spacing w:val="1"/>
          <w:sz w:val="20"/>
          <w:szCs w:val="20"/>
          <w:lang w:val="es-CR"/>
        </w:rPr>
        <w:t>q</w:t>
      </w:r>
      <w:r w:rsidRPr="00744CE4">
        <w:rPr>
          <w:rFonts w:ascii="Verdana" w:eastAsia="Verdana" w:hAnsi="Verdana" w:cs="Times New Roman"/>
          <w:spacing w:val="3"/>
          <w:sz w:val="20"/>
          <w:szCs w:val="20"/>
          <w:lang w:val="es-CR"/>
        </w:rPr>
        <w:t>u</w:t>
      </w:r>
      <w:r w:rsidRPr="00744CE4">
        <w:rPr>
          <w:rFonts w:ascii="Verdana" w:eastAsia="Verdana" w:hAnsi="Verdana" w:cs="Times New Roman"/>
          <w:sz w:val="20"/>
          <w:szCs w:val="20"/>
          <w:lang w:val="es-CR"/>
        </w:rPr>
        <w:t>e</w:t>
      </w:r>
      <w:r w:rsidRPr="00744CE4">
        <w:rPr>
          <w:rFonts w:ascii="Verdana" w:eastAsia="Verdana" w:hAnsi="Verdana" w:cs="Times New Roman"/>
          <w:spacing w:val="38"/>
          <w:sz w:val="20"/>
          <w:szCs w:val="20"/>
          <w:lang w:val="es-CR"/>
        </w:rPr>
        <w:t xml:space="preserve"> </w:t>
      </w:r>
      <w:r w:rsidRPr="00744CE4">
        <w:rPr>
          <w:rFonts w:ascii="Verdana" w:eastAsia="Verdana" w:hAnsi="Verdana" w:cs="Times New Roman"/>
          <w:spacing w:val="2"/>
          <w:sz w:val="20"/>
          <w:szCs w:val="20"/>
          <w:lang w:val="es-CR"/>
        </w:rPr>
        <w:t>s</w:t>
      </w:r>
      <w:r w:rsidRPr="00744CE4">
        <w:rPr>
          <w:rFonts w:ascii="Verdana" w:eastAsia="Verdana" w:hAnsi="Verdana" w:cs="Times New Roman"/>
          <w:sz w:val="20"/>
          <w:szCs w:val="20"/>
          <w:lang w:val="es-CR"/>
        </w:rPr>
        <w:t>e c</w:t>
      </w:r>
      <w:r w:rsidRPr="00744CE4">
        <w:rPr>
          <w:rFonts w:ascii="Verdana" w:eastAsia="Verdana" w:hAnsi="Verdana" w:cs="Times New Roman"/>
          <w:spacing w:val="-2"/>
          <w:sz w:val="20"/>
          <w:szCs w:val="20"/>
          <w:lang w:val="es-CR"/>
        </w:rPr>
        <w:t>o</w:t>
      </w:r>
      <w:r w:rsidRPr="00744CE4">
        <w:rPr>
          <w:rFonts w:ascii="Verdana" w:eastAsia="Verdana" w:hAnsi="Verdana" w:cs="Times New Roman"/>
          <w:spacing w:val="1"/>
          <w:sz w:val="20"/>
          <w:szCs w:val="20"/>
          <w:lang w:val="es-CR"/>
        </w:rPr>
        <w:t>n</w:t>
      </w:r>
      <w:r w:rsidRPr="00744CE4">
        <w:rPr>
          <w:rFonts w:ascii="Verdana" w:eastAsia="Verdana" w:hAnsi="Verdana" w:cs="Times New Roman"/>
          <w:sz w:val="20"/>
          <w:szCs w:val="20"/>
          <w:lang w:val="es-CR"/>
        </w:rPr>
        <w:t>s</w:t>
      </w:r>
      <w:r w:rsidRPr="00744CE4">
        <w:rPr>
          <w:rFonts w:ascii="Verdana" w:eastAsia="Verdana" w:hAnsi="Verdana" w:cs="Times New Roman"/>
          <w:spacing w:val="2"/>
          <w:sz w:val="20"/>
          <w:szCs w:val="20"/>
          <w:lang w:val="es-CR"/>
        </w:rPr>
        <w:t>i</w:t>
      </w:r>
      <w:r w:rsidRPr="00744CE4">
        <w:rPr>
          <w:rFonts w:ascii="Verdana" w:eastAsia="Verdana" w:hAnsi="Verdana" w:cs="Times New Roman"/>
          <w:spacing w:val="1"/>
          <w:sz w:val="20"/>
          <w:szCs w:val="20"/>
          <w:lang w:val="es-CR"/>
        </w:rPr>
        <w:t>d</w:t>
      </w:r>
      <w:r w:rsidRPr="00744CE4">
        <w:rPr>
          <w:rFonts w:ascii="Verdana" w:eastAsia="Verdana" w:hAnsi="Verdana" w:cs="Times New Roman"/>
          <w:spacing w:val="-1"/>
          <w:sz w:val="20"/>
          <w:szCs w:val="20"/>
          <w:lang w:val="es-CR"/>
        </w:rPr>
        <w:t>er</w:t>
      </w:r>
      <w:r w:rsidRPr="00744CE4">
        <w:rPr>
          <w:rFonts w:ascii="Verdana" w:eastAsia="Verdana" w:hAnsi="Verdana" w:cs="Times New Roman"/>
          <w:sz w:val="20"/>
          <w:szCs w:val="20"/>
          <w:lang w:val="es-CR"/>
        </w:rPr>
        <w:t>a</w:t>
      </w:r>
      <w:r w:rsidRPr="00744CE4">
        <w:rPr>
          <w:rFonts w:ascii="Verdana" w:eastAsia="Verdana" w:hAnsi="Verdana" w:cs="Times New Roman"/>
          <w:spacing w:val="-6"/>
          <w:sz w:val="20"/>
          <w:szCs w:val="20"/>
          <w:lang w:val="es-CR"/>
        </w:rPr>
        <w:t xml:space="preserve"> </w:t>
      </w:r>
      <w:r w:rsidRPr="00744CE4">
        <w:rPr>
          <w:rFonts w:ascii="Verdana" w:eastAsia="Verdana" w:hAnsi="Verdana" w:cs="Times New Roman"/>
          <w:spacing w:val="-1"/>
          <w:sz w:val="20"/>
          <w:szCs w:val="20"/>
          <w:lang w:val="es-CR"/>
        </w:rPr>
        <w:t>re</w:t>
      </w:r>
      <w:r w:rsidRPr="00744CE4">
        <w:rPr>
          <w:rFonts w:ascii="Verdana" w:eastAsia="Verdana" w:hAnsi="Verdana" w:cs="Times New Roman"/>
          <w:spacing w:val="3"/>
          <w:sz w:val="20"/>
          <w:szCs w:val="20"/>
          <w:lang w:val="es-CR"/>
        </w:rPr>
        <w:t>p</w:t>
      </w:r>
      <w:r w:rsidRPr="00744CE4">
        <w:rPr>
          <w:rFonts w:ascii="Verdana" w:eastAsia="Verdana" w:hAnsi="Verdana" w:cs="Times New Roman"/>
          <w:spacing w:val="-1"/>
          <w:sz w:val="20"/>
          <w:szCs w:val="20"/>
          <w:lang w:val="es-CR"/>
        </w:rPr>
        <w:t>r</w:t>
      </w:r>
      <w:r w:rsidRPr="00744CE4">
        <w:rPr>
          <w:rFonts w:ascii="Verdana" w:eastAsia="Verdana" w:hAnsi="Verdana" w:cs="Times New Roman"/>
          <w:spacing w:val="1"/>
          <w:sz w:val="20"/>
          <w:szCs w:val="20"/>
          <w:lang w:val="es-CR"/>
        </w:rPr>
        <w:t>e</w:t>
      </w:r>
      <w:r w:rsidRPr="00744CE4">
        <w:rPr>
          <w:rFonts w:ascii="Verdana" w:eastAsia="Verdana" w:hAnsi="Verdana" w:cs="Times New Roman"/>
          <w:sz w:val="20"/>
          <w:szCs w:val="20"/>
          <w:lang w:val="es-CR"/>
        </w:rPr>
        <w:t>s</w:t>
      </w:r>
      <w:r w:rsidRPr="00744CE4">
        <w:rPr>
          <w:rFonts w:ascii="Verdana" w:eastAsia="Verdana" w:hAnsi="Verdana" w:cs="Times New Roman"/>
          <w:spacing w:val="-2"/>
          <w:sz w:val="20"/>
          <w:szCs w:val="20"/>
          <w:lang w:val="es-CR"/>
        </w:rPr>
        <w:t>e</w:t>
      </w:r>
      <w:r w:rsidRPr="00744CE4">
        <w:rPr>
          <w:rFonts w:ascii="Verdana" w:eastAsia="Verdana" w:hAnsi="Verdana" w:cs="Times New Roman"/>
          <w:spacing w:val="1"/>
          <w:sz w:val="20"/>
          <w:szCs w:val="20"/>
          <w:lang w:val="es-CR"/>
        </w:rPr>
        <w:t>nt</w:t>
      </w:r>
      <w:r w:rsidRPr="00744CE4">
        <w:rPr>
          <w:rFonts w:ascii="Verdana" w:eastAsia="Verdana" w:hAnsi="Verdana" w:cs="Times New Roman"/>
          <w:sz w:val="20"/>
          <w:szCs w:val="20"/>
          <w:lang w:val="es-CR"/>
        </w:rPr>
        <w:t>a</w:t>
      </w:r>
      <w:r w:rsidRPr="00744CE4">
        <w:rPr>
          <w:rFonts w:ascii="Verdana" w:eastAsia="Verdana" w:hAnsi="Verdana" w:cs="Times New Roman"/>
          <w:spacing w:val="3"/>
          <w:sz w:val="20"/>
          <w:szCs w:val="20"/>
          <w:lang w:val="es-CR"/>
        </w:rPr>
        <w:t>d</w:t>
      </w:r>
      <w:r w:rsidRPr="00744CE4">
        <w:rPr>
          <w:rFonts w:ascii="Verdana" w:eastAsia="Verdana" w:hAnsi="Verdana" w:cs="Times New Roman"/>
          <w:spacing w:val="-1"/>
          <w:sz w:val="20"/>
          <w:szCs w:val="20"/>
          <w:lang w:val="es-CR"/>
        </w:rPr>
        <w:t>o</w:t>
      </w:r>
      <w:r w:rsidRPr="00744CE4">
        <w:rPr>
          <w:rFonts w:ascii="Verdana" w:eastAsia="Verdana" w:hAnsi="Verdana" w:cs="Times New Roman"/>
          <w:sz w:val="20"/>
          <w:szCs w:val="20"/>
          <w:lang w:val="es-CR"/>
        </w:rPr>
        <w:t>,</w:t>
      </w:r>
      <w:r w:rsidRPr="00744CE4">
        <w:rPr>
          <w:rFonts w:ascii="Verdana" w:eastAsia="Verdana" w:hAnsi="Verdana" w:cs="Times New Roman"/>
          <w:spacing w:val="-11"/>
          <w:sz w:val="20"/>
          <w:szCs w:val="20"/>
          <w:lang w:val="es-CR"/>
        </w:rPr>
        <w:t xml:space="preserve"> </w:t>
      </w:r>
      <w:r w:rsidRPr="00744CE4">
        <w:rPr>
          <w:rFonts w:ascii="Verdana" w:eastAsia="Verdana" w:hAnsi="Verdana" w:cs="Times New Roman"/>
          <w:sz w:val="20"/>
          <w:szCs w:val="20"/>
          <w:lang w:val="es-CR"/>
        </w:rPr>
        <w:t xml:space="preserve">y </w:t>
      </w:r>
      <w:r w:rsidRPr="00744CE4">
        <w:rPr>
          <w:rFonts w:ascii="Verdana" w:eastAsia="Verdana" w:hAnsi="Verdana" w:cs="Times New Roman"/>
          <w:spacing w:val="1"/>
          <w:sz w:val="20"/>
          <w:szCs w:val="20"/>
          <w:lang w:val="es-CR"/>
        </w:rPr>
        <w:t>qu</w:t>
      </w:r>
      <w:r w:rsidRPr="00744CE4">
        <w:rPr>
          <w:rFonts w:ascii="Verdana" w:eastAsia="Verdana" w:hAnsi="Verdana" w:cs="Times New Roman"/>
          <w:spacing w:val="-1"/>
          <w:sz w:val="20"/>
          <w:szCs w:val="20"/>
          <w:lang w:val="es-CR"/>
        </w:rPr>
        <w:t>e</w:t>
      </w:r>
      <w:r w:rsidRPr="00744CE4">
        <w:rPr>
          <w:rFonts w:ascii="Verdana" w:eastAsia="Verdana" w:hAnsi="Verdana" w:cs="Times New Roman"/>
          <w:sz w:val="20"/>
          <w:szCs w:val="20"/>
          <w:lang w:val="es-CR"/>
        </w:rPr>
        <w:t>,</w:t>
      </w:r>
      <w:r w:rsidRPr="00744CE4">
        <w:rPr>
          <w:rFonts w:ascii="Verdana" w:eastAsia="Verdana" w:hAnsi="Verdana" w:cs="Times New Roman"/>
          <w:spacing w:val="-3"/>
          <w:sz w:val="20"/>
          <w:szCs w:val="20"/>
          <w:lang w:val="es-CR"/>
        </w:rPr>
        <w:t xml:space="preserve"> </w:t>
      </w:r>
      <w:r w:rsidRPr="00744CE4">
        <w:rPr>
          <w:rFonts w:ascii="Verdana" w:eastAsia="Verdana" w:hAnsi="Verdana" w:cs="Times New Roman"/>
          <w:sz w:val="20"/>
          <w:szCs w:val="20"/>
          <w:lang w:val="es-CR"/>
        </w:rPr>
        <w:t>al</w:t>
      </w:r>
      <w:r w:rsidRPr="00744CE4">
        <w:rPr>
          <w:rFonts w:ascii="Verdana" w:eastAsia="Verdana" w:hAnsi="Verdana" w:cs="Times New Roman"/>
          <w:spacing w:val="2"/>
          <w:sz w:val="20"/>
          <w:szCs w:val="20"/>
          <w:lang w:val="es-CR"/>
        </w:rPr>
        <w:t xml:space="preserve"> </w:t>
      </w:r>
      <w:r w:rsidRPr="00744CE4">
        <w:rPr>
          <w:rFonts w:ascii="Verdana" w:eastAsia="Verdana" w:hAnsi="Verdana" w:cs="Times New Roman"/>
          <w:spacing w:val="1"/>
          <w:sz w:val="20"/>
          <w:szCs w:val="20"/>
          <w:lang w:val="es-CR"/>
        </w:rPr>
        <w:t>t</w:t>
      </w:r>
      <w:r w:rsidRPr="00744CE4">
        <w:rPr>
          <w:rFonts w:ascii="Verdana" w:eastAsia="Verdana" w:hAnsi="Verdana" w:cs="Times New Roman"/>
          <w:spacing w:val="-1"/>
          <w:sz w:val="20"/>
          <w:szCs w:val="20"/>
          <w:lang w:val="es-CR"/>
        </w:rPr>
        <w:t>r</w:t>
      </w:r>
      <w:r w:rsidRPr="00744CE4">
        <w:rPr>
          <w:rFonts w:ascii="Verdana" w:eastAsia="Verdana" w:hAnsi="Verdana" w:cs="Times New Roman"/>
          <w:sz w:val="20"/>
          <w:szCs w:val="20"/>
          <w:lang w:val="es-CR"/>
        </w:rPr>
        <w:t>a</w:t>
      </w:r>
      <w:r w:rsidRPr="00744CE4">
        <w:rPr>
          <w:rFonts w:ascii="Verdana" w:eastAsia="Verdana" w:hAnsi="Verdana" w:cs="Times New Roman"/>
          <w:spacing w:val="1"/>
          <w:sz w:val="20"/>
          <w:szCs w:val="20"/>
          <w:lang w:val="es-CR"/>
        </w:rPr>
        <w:t>t</w:t>
      </w:r>
      <w:r w:rsidRPr="00744CE4">
        <w:rPr>
          <w:rFonts w:ascii="Verdana" w:eastAsia="Verdana" w:hAnsi="Verdana" w:cs="Times New Roman"/>
          <w:sz w:val="20"/>
          <w:szCs w:val="20"/>
          <w:lang w:val="es-CR"/>
        </w:rPr>
        <w:t>a</w:t>
      </w:r>
      <w:r w:rsidRPr="00744CE4">
        <w:rPr>
          <w:rFonts w:ascii="Verdana" w:eastAsia="Verdana" w:hAnsi="Verdana" w:cs="Times New Roman"/>
          <w:spacing w:val="-1"/>
          <w:sz w:val="20"/>
          <w:szCs w:val="20"/>
          <w:lang w:val="es-CR"/>
        </w:rPr>
        <w:t>r</w:t>
      </w:r>
      <w:r w:rsidRPr="00744CE4">
        <w:rPr>
          <w:rFonts w:ascii="Verdana" w:eastAsia="Verdana" w:hAnsi="Verdana" w:cs="Times New Roman"/>
          <w:sz w:val="20"/>
          <w:szCs w:val="20"/>
          <w:lang w:val="es-CR"/>
        </w:rPr>
        <w:t>se</w:t>
      </w:r>
      <w:r w:rsidRPr="00744CE4">
        <w:rPr>
          <w:rFonts w:ascii="Verdana" w:eastAsia="Verdana" w:hAnsi="Verdana" w:cs="Times New Roman"/>
          <w:spacing w:val="-8"/>
          <w:sz w:val="20"/>
          <w:szCs w:val="20"/>
          <w:lang w:val="es-CR"/>
        </w:rPr>
        <w:t xml:space="preserve"> </w:t>
      </w:r>
      <w:r w:rsidRPr="00744CE4">
        <w:rPr>
          <w:rFonts w:ascii="Verdana" w:eastAsia="Verdana" w:hAnsi="Verdana" w:cs="Times New Roman"/>
          <w:spacing w:val="1"/>
          <w:sz w:val="20"/>
          <w:szCs w:val="20"/>
          <w:lang w:val="es-CR"/>
        </w:rPr>
        <w:t>d</w:t>
      </w:r>
      <w:r w:rsidRPr="00744CE4">
        <w:rPr>
          <w:rFonts w:ascii="Verdana" w:eastAsia="Verdana" w:hAnsi="Verdana" w:cs="Times New Roman"/>
          <w:sz w:val="20"/>
          <w:szCs w:val="20"/>
          <w:lang w:val="es-CR"/>
        </w:rPr>
        <w:t>e</w:t>
      </w:r>
      <w:r w:rsidRPr="00744CE4">
        <w:rPr>
          <w:rFonts w:ascii="Verdana" w:eastAsia="Verdana" w:hAnsi="Verdana" w:cs="Times New Roman"/>
          <w:spacing w:val="-2"/>
          <w:sz w:val="20"/>
          <w:szCs w:val="20"/>
          <w:lang w:val="es-CR"/>
        </w:rPr>
        <w:t xml:space="preserve"> </w:t>
      </w:r>
      <w:r w:rsidRPr="00744CE4">
        <w:rPr>
          <w:rFonts w:ascii="Verdana" w:eastAsia="Verdana" w:hAnsi="Verdana" w:cs="Times New Roman"/>
          <w:sz w:val="20"/>
          <w:szCs w:val="20"/>
          <w:lang w:val="es-CR"/>
        </w:rPr>
        <w:t>a</w:t>
      </w:r>
      <w:r w:rsidRPr="00744CE4">
        <w:rPr>
          <w:rFonts w:ascii="Verdana" w:eastAsia="Verdana" w:hAnsi="Verdana" w:cs="Times New Roman"/>
          <w:spacing w:val="3"/>
          <w:sz w:val="20"/>
          <w:szCs w:val="20"/>
          <w:lang w:val="es-CR"/>
        </w:rPr>
        <w:t>l</w:t>
      </w:r>
      <w:r w:rsidRPr="00744CE4">
        <w:rPr>
          <w:rFonts w:ascii="Verdana" w:eastAsia="Verdana" w:hAnsi="Verdana" w:cs="Times New Roman"/>
          <w:spacing w:val="-1"/>
          <w:sz w:val="20"/>
          <w:szCs w:val="20"/>
          <w:lang w:val="es-CR"/>
        </w:rPr>
        <w:t>e</w:t>
      </w:r>
      <w:r w:rsidRPr="00744CE4">
        <w:rPr>
          <w:rFonts w:ascii="Verdana" w:eastAsia="Verdana" w:hAnsi="Verdana" w:cs="Times New Roman"/>
          <w:spacing w:val="1"/>
          <w:sz w:val="20"/>
          <w:szCs w:val="20"/>
          <w:lang w:val="es-CR"/>
        </w:rPr>
        <w:t>g</w:t>
      </w:r>
      <w:r w:rsidRPr="00744CE4">
        <w:rPr>
          <w:rFonts w:ascii="Verdana" w:eastAsia="Verdana" w:hAnsi="Verdana" w:cs="Times New Roman"/>
          <w:sz w:val="20"/>
          <w:szCs w:val="20"/>
          <w:lang w:val="es-CR"/>
        </w:rPr>
        <w:t>a</w:t>
      </w:r>
      <w:r w:rsidRPr="00744CE4">
        <w:rPr>
          <w:rFonts w:ascii="Verdana" w:eastAsia="Verdana" w:hAnsi="Verdana" w:cs="Times New Roman"/>
          <w:spacing w:val="1"/>
          <w:sz w:val="20"/>
          <w:szCs w:val="20"/>
          <w:lang w:val="es-CR"/>
        </w:rPr>
        <w:t>do</w:t>
      </w:r>
      <w:r w:rsidRPr="00744CE4">
        <w:rPr>
          <w:rFonts w:ascii="Verdana" w:eastAsia="Verdana" w:hAnsi="Verdana" w:cs="Times New Roman"/>
          <w:sz w:val="20"/>
          <w:szCs w:val="20"/>
          <w:lang w:val="es-CR"/>
        </w:rPr>
        <w:t>s</w:t>
      </w:r>
      <w:r w:rsidRPr="00744CE4">
        <w:rPr>
          <w:rFonts w:ascii="Verdana" w:eastAsia="Verdana" w:hAnsi="Verdana" w:cs="Times New Roman"/>
          <w:spacing w:val="-8"/>
          <w:sz w:val="20"/>
          <w:szCs w:val="20"/>
          <w:lang w:val="es-CR"/>
        </w:rPr>
        <w:t xml:space="preserve"> </w:t>
      </w:r>
      <w:r w:rsidRPr="00744CE4">
        <w:rPr>
          <w:rFonts w:ascii="Verdana" w:eastAsia="Verdana" w:hAnsi="Verdana" w:cs="Times New Roman"/>
          <w:spacing w:val="1"/>
          <w:sz w:val="20"/>
          <w:szCs w:val="20"/>
          <w:lang w:val="es-CR"/>
        </w:rPr>
        <w:t>d</w:t>
      </w:r>
      <w:r w:rsidRPr="00744CE4">
        <w:rPr>
          <w:rFonts w:ascii="Verdana" w:eastAsia="Verdana" w:hAnsi="Verdana" w:cs="Times New Roman"/>
          <w:spacing w:val="-1"/>
          <w:sz w:val="20"/>
          <w:szCs w:val="20"/>
          <w:lang w:val="es-CR"/>
        </w:rPr>
        <w:t>e</w:t>
      </w:r>
      <w:r w:rsidRPr="00744CE4">
        <w:rPr>
          <w:rFonts w:ascii="Verdana" w:eastAsia="Verdana" w:hAnsi="Verdana" w:cs="Times New Roman"/>
          <w:spacing w:val="2"/>
          <w:sz w:val="20"/>
          <w:szCs w:val="20"/>
          <w:lang w:val="es-CR"/>
        </w:rPr>
        <w:t>s</w:t>
      </w:r>
      <w:r w:rsidRPr="00744CE4">
        <w:rPr>
          <w:rFonts w:ascii="Verdana" w:eastAsia="Verdana" w:hAnsi="Verdana" w:cs="Times New Roman"/>
          <w:spacing w:val="-1"/>
          <w:sz w:val="20"/>
          <w:szCs w:val="20"/>
          <w:lang w:val="es-CR"/>
        </w:rPr>
        <w:t>e</w:t>
      </w:r>
      <w:r w:rsidRPr="00744CE4">
        <w:rPr>
          <w:rFonts w:ascii="Verdana" w:eastAsia="Verdana" w:hAnsi="Verdana" w:cs="Times New Roman"/>
          <w:sz w:val="20"/>
          <w:szCs w:val="20"/>
          <w:lang w:val="es-CR"/>
        </w:rPr>
        <w:t>m</w:t>
      </w:r>
      <w:r w:rsidRPr="00744CE4">
        <w:rPr>
          <w:rFonts w:ascii="Verdana" w:eastAsia="Verdana" w:hAnsi="Verdana" w:cs="Times New Roman"/>
          <w:spacing w:val="3"/>
          <w:sz w:val="20"/>
          <w:szCs w:val="20"/>
          <w:lang w:val="es-CR"/>
        </w:rPr>
        <w:t>b</w:t>
      </w:r>
      <w:r w:rsidRPr="00744CE4">
        <w:rPr>
          <w:rFonts w:ascii="Verdana" w:eastAsia="Verdana" w:hAnsi="Verdana" w:cs="Times New Roman"/>
          <w:spacing w:val="-1"/>
          <w:sz w:val="20"/>
          <w:szCs w:val="20"/>
          <w:lang w:val="es-CR"/>
        </w:rPr>
        <w:t>o</w:t>
      </w:r>
      <w:r w:rsidRPr="00744CE4">
        <w:rPr>
          <w:rFonts w:ascii="Verdana" w:eastAsia="Verdana" w:hAnsi="Verdana" w:cs="Times New Roman"/>
          <w:spacing w:val="3"/>
          <w:sz w:val="20"/>
          <w:szCs w:val="20"/>
          <w:lang w:val="es-CR"/>
        </w:rPr>
        <w:t>l</w:t>
      </w:r>
      <w:r w:rsidRPr="00744CE4">
        <w:rPr>
          <w:rFonts w:ascii="Verdana" w:eastAsia="Verdana" w:hAnsi="Verdana" w:cs="Times New Roman"/>
          <w:sz w:val="20"/>
          <w:szCs w:val="20"/>
          <w:lang w:val="es-CR"/>
        </w:rPr>
        <w:t>s</w:t>
      </w:r>
      <w:r w:rsidRPr="00744CE4">
        <w:rPr>
          <w:rFonts w:ascii="Verdana" w:eastAsia="Verdana" w:hAnsi="Verdana" w:cs="Times New Roman"/>
          <w:spacing w:val="-2"/>
          <w:sz w:val="20"/>
          <w:szCs w:val="20"/>
          <w:lang w:val="es-CR"/>
        </w:rPr>
        <w:t>o</w:t>
      </w:r>
      <w:r w:rsidRPr="00744CE4">
        <w:rPr>
          <w:rFonts w:ascii="Verdana" w:eastAsia="Verdana" w:hAnsi="Verdana" w:cs="Times New Roman"/>
          <w:sz w:val="20"/>
          <w:szCs w:val="20"/>
          <w:lang w:val="es-CR"/>
        </w:rPr>
        <w:t>s</w:t>
      </w:r>
      <w:r w:rsidRPr="00744CE4">
        <w:rPr>
          <w:rFonts w:ascii="Verdana" w:eastAsia="Verdana" w:hAnsi="Verdana" w:cs="Times New Roman"/>
          <w:spacing w:val="-12"/>
          <w:sz w:val="20"/>
          <w:szCs w:val="20"/>
          <w:lang w:val="es-CR"/>
        </w:rPr>
        <w:t xml:space="preserve"> </w:t>
      </w:r>
      <w:r w:rsidRPr="00744CE4">
        <w:rPr>
          <w:rFonts w:ascii="Verdana" w:eastAsia="Verdana" w:hAnsi="Verdana" w:cs="Times New Roman"/>
          <w:spacing w:val="1"/>
          <w:sz w:val="20"/>
          <w:szCs w:val="20"/>
          <w:lang w:val="es-CR"/>
        </w:rPr>
        <w:t>e</w:t>
      </w:r>
      <w:r w:rsidRPr="00744CE4">
        <w:rPr>
          <w:rFonts w:ascii="Verdana" w:eastAsia="Verdana" w:hAnsi="Verdana" w:cs="Times New Roman"/>
          <w:spacing w:val="2"/>
          <w:sz w:val="20"/>
          <w:szCs w:val="20"/>
          <w:lang w:val="es-CR"/>
        </w:rPr>
        <w:t>c</w:t>
      </w:r>
      <w:r w:rsidRPr="00744CE4">
        <w:rPr>
          <w:rFonts w:ascii="Verdana" w:eastAsia="Verdana" w:hAnsi="Verdana" w:cs="Times New Roman"/>
          <w:spacing w:val="-1"/>
          <w:sz w:val="20"/>
          <w:szCs w:val="20"/>
          <w:lang w:val="es-CR"/>
        </w:rPr>
        <w:t>o</w:t>
      </w:r>
      <w:r w:rsidRPr="00744CE4">
        <w:rPr>
          <w:rFonts w:ascii="Verdana" w:eastAsia="Verdana" w:hAnsi="Verdana" w:cs="Times New Roman"/>
          <w:spacing w:val="1"/>
          <w:sz w:val="20"/>
          <w:szCs w:val="20"/>
          <w:lang w:val="es-CR"/>
        </w:rPr>
        <w:t>n</w:t>
      </w:r>
      <w:r w:rsidRPr="00744CE4">
        <w:rPr>
          <w:rFonts w:ascii="Verdana" w:eastAsia="Verdana" w:hAnsi="Verdana" w:cs="Times New Roman"/>
          <w:spacing w:val="-1"/>
          <w:sz w:val="20"/>
          <w:szCs w:val="20"/>
          <w:lang w:val="es-CR"/>
        </w:rPr>
        <w:t>ó</w:t>
      </w:r>
      <w:r w:rsidRPr="00744CE4">
        <w:rPr>
          <w:rFonts w:ascii="Verdana" w:eastAsia="Verdana" w:hAnsi="Verdana" w:cs="Times New Roman"/>
          <w:sz w:val="20"/>
          <w:szCs w:val="20"/>
          <w:lang w:val="es-CR"/>
        </w:rPr>
        <w:t>m</w:t>
      </w:r>
      <w:r w:rsidRPr="00744CE4">
        <w:rPr>
          <w:rFonts w:ascii="Verdana" w:eastAsia="Verdana" w:hAnsi="Verdana" w:cs="Times New Roman"/>
          <w:spacing w:val="3"/>
          <w:sz w:val="20"/>
          <w:szCs w:val="20"/>
          <w:lang w:val="es-CR"/>
        </w:rPr>
        <w:t>i</w:t>
      </w:r>
      <w:r w:rsidRPr="00744CE4">
        <w:rPr>
          <w:rFonts w:ascii="Verdana" w:eastAsia="Verdana" w:hAnsi="Verdana" w:cs="Times New Roman"/>
          <w:sz w:val="20"/>
          <w:szCs w:val="20"/>
          <w:lang w:val="es-CR"/>
        </w:rPr>
        <w:t>c</w:t>
      </w:r>
      <w:r w:rsidRPr="00744CE4">
        <w:rPr>
          <w:rFonts w:ascii="Verdana" w:eastAsia="Verdana" w:hAnsi="Verdana" w:cs="Times New Roman"/>
          <w:spacing w:val="-2"/>
          <w:sz w:val="20"/>
          <w:szCs w:val="20"/>
          <w:lang w:val="es-CR"/>
        </w:rPr>
        <w:t>o</w:t>
      </w:r>
      <w:r w:rsidRPr="00744CE4">
        <w:rPr>
          <w:rFonts w:ascii="Verdana" w:eastAsia="Verdana" w:hAnsi="Verdana" w:cs="Times New Roman"/>
          <w:spacing w:val="2"/>
          <w:sz w:val="20"/>
          <w:szCs w:val="20"/>
          <w:lang w:val="es-CR"/>
        </w:rPr>
        <w:t>s</w:t>
      </w:r>
      <w:r w:rsidRPr="00744CE4">
        <w:rPr>
          <w:rFonts w:ascii="Verdana" w:eastAsia="Verdana" w:hAnsi="Verdana" w:cs="Times New Roman"/>
          <w:sz w:val="20"/>
          <w:szCs w:val="20"/>
          <w:lang w:val="es-CR"/>
        </w:rPr>
        <w:t>,</w:t>
      </w:r>
      <w:r w:rsidRPr="00744CE4">
        <w:rPr>
          <w:rFonts w:ascii="Verdana" w:eastAsia="Verdana" w:hAnsi="Verdana" w:cs="Times New Roman"/>
          <w:spacing w:val="-11"/>
          <w:sz w:val="20"/>
          <w:szCs w:val="20"/>
          <w:lang w:val="es-CR"/>
        </w:rPr>
        <w:t xml:space="preserve"> </w:t>
      </w:r>
      <w:r w:rsidRPr="00744CE4">
        <w:rPr>
          <w:rFonts w:ascii="Verdana" w:eastAsia="Verdana" w:hAnsi="Verdana" w:cs="Times New Roman"/>
          <w:sz w:val="20"/>
          <w:szCs w:val="20"/>
          <w:lang w:val="es-CR"/>
        </w:rPr>
        <w:t xml:space="preserve">se </w:t>
      </w:r>
      <w:r w:rsidRPr="00744CE4">
        <w:rPr>
          <w:rFonts w:ascii="Verdana" w:eastAsia="Verdana" w:hAnsi="Verdana" w:cs="Times New Roman"/>
          <w:spacing w:val="-1"/>
          <w:sz w:val="20"/>
          <w:szCs w:val="20"/>
          <w:lang w:val="es-CR"/>
        </w:rPr>
        <w:t>e</w:t>
      </w:r>
      <w:r w:rsidRPr="00744CE4">
        <w:rPr>
          <w:rFonts w:ascii="Verdana" w:eastAsia="Verdana" w:hAnsi="Verdana" w:cs="Times New Roman"/>
          <w:sz w:val="20"/>
          <w:szCs w:val="20"/>
          <w:lang w:val="es-CR"/>
        </w:rPr>
        <w:t>sta</w:t>
      </w:r>
      <w:r w:rsidRPr="00744CE4">
        <w:rPr>
          <w:rFonts w:ascii="Verdana" w:eastAsia="Verdana" w:hAnsi="Verdana" w:cs="Times New Roman"/>
          <w:spacing w:val="1"/>
          <w:sz w:val="20"/>
          <w:szCs w:val="20"/>
          <w:lang w:val="es-CR"/>
        </w:rPr>
        <w:t>b</w:t>
      </w:r>
      <w:r w:rsidRPr="00744CE4">
        <w:rPr>
          <w:rFonts w:ascii="Verdana" w:eastAsia="Verdana" w:hAnsi="Verdana" w:cs="Times New Roman"/>
          <w:spacing w:val="3"/>
          <w:sz w:val="20"/>
          <w:szCs w:val="20"/>
          <w:lang w:val="es-CR"/>
        </w:rPr>
        <w:t>l</w:t>
      </w:r>
      <w:r w:rsidRPr="00744CE4">
        <w:rPr>
          <w:rFonts w:ascii="Verdana" w:eastAsia="Verdana" w:hAnsi="Verdana" w:cs="Times New Roman"/>
          <w:spacing w:val="-1"/>
          <w:sz w:val="20"/>
          <w:szCs w:val="20"/>
          <w:lang w:val="es-CR"/>
        </w:rPr>
        <w:t>e</w:t>
      </w:r>
      <w:r w:rsidRPr="00744CE4">
        <w:rPr>
          <w:rFonts w:ascii="Verdana" w:eastAsia="Verdana" w:hAnsi="Verdana" w:cs="Times New Roman"/>
          <w:spacing w:val="1"/>
          <w:sz w:val="20"/>
          <w:szCs w:val="20"/>
          <w:lang w:val="es-CR"/>
        </w:rPr>
        <w:t>z</w:t>
      </w:r>
      <w:r w:rsidRPr="00744CE4">
        <w:rPr>
          <w:rFonts w:ascii="Verdana" w:eastAsia="Verdana" w:hAnsi="Verdana" w:cs="Times New Roman"/>
          <w:sz w:val="20"/>
          <w:szCs w:val="20"/>
          <w:lang w:val="es-CR"/>
        </w:rPr>
        <w:t>c</w:t>
      </w:r>
      <w:r w:rsidRPr="00744CE4">
        <w:rPr>
          <w:rFonts w:ascii="Verdana" w:eastAsia="Verdana" w:hAnsi="Verdana" w:cs="Times New Roman"/>
          <w:spacing w:val="2"/>
          <w:sz w:val="20"/>
          <w:szCs w:val="20"/>
          <w:lang w:val="es-CR"/>
        </w:rPr>
        <w:t>a</w:t>
      </w:r>
      <w:r w:rsidRPr="00744CE4">
        <w:rPr>
          <w:rFonts w:ascii="Verdana" w:eastAsia="Verdana" w:hAnsi="Verdana" w:cs="Times New Roman"/>
          <w:sz w:val="20"/>
          <w:szCs w:val="20"/>
          <w:lang w:val="es-CR"/>
        </w:rPr>
        <w:t>n</w:t>
      </w:r>
      <w:r w:rsidRPr="00744CE4">
        <w:rPr>
          <w:rFonts w:ascii="Verdana" w:eastAsia="Verdana" w:hAnsi="Verdana" w:cs="Times New Roman"/>
          <w:spacing w:val="-10"/>
          <w:sz w:val="20"/>
          <w:szCs w:val="20"/>
          <w:lang w:val="es-CR"/>
        </w:rPr>
        <w:t xml:space="preserve"> </w:t>
      </w:r>
      <w:r w:rsidRPr="00744CE4">
        <w:rPr>
          <w:rFonts w:ascii="Verdana" w:eastAsia="Verdana" w:hAnsi="Verdana" w:cs="Times New Roman"/>
          <w:sz w:val="20"/>
          <w:szCs w:val="20"/>
          <w:lang w:val="es-CR"/>
        </w:rPr>
        <w:t>c</w:t>
      </w:r>
      <w:r w:rsidRPr="00744CE4">
        <w:rPr>
          <w:rFonts w:ascii="Verdana" w:eastAsia="Verdana" w:hAnsi="Verdana" w:cs="Times New Roman"/>
          <w:spacing w:val="-2"/>
          <w:sz w:val="20"/>
          <w:szCs w:val="20"/>
          <w:lang w:val="es-CR"/>
        </w:rPr>
        <w:t>o</w:t>
      </w:r>
      <w:r w:rsidRPr="00744CE4">
        <w:rPr>
          <w:rFonts w:ascii="Verdana" w:eastAsia="Verdana" w:hAnsi="Verdana" w:cs="Times New Roman"/>
          <w:sz w:val="20"/>
          <w:szCs w:val="20"/>
          <w:lang w:val="es-CR"/>
        </w:rPr>
        <w:t>n c</w:t>
      </w:r>
      <w:r w:rsidRPr="00744CE4">
        <w:rPr>
          <w:rFonts w:ascii="Verdana" w:eastAsia="Verdana" w:hAnsi="Verdana" w:cs="Times New Roman"/>
          <w:spacing w:val="2"/>
          <w:sz w:val="20"/>
          <w:szCs w:val="20"/>
          <w:lang w:val="es-CR"/>
        </w:rPr>
        <w:t>l</w:t>
      </w:r>
      <w:r w:rsidRPr="00744CE4">
        <w:rPr>
          <w:rFonts w:ascii="Verdana" w:eastAsia="Verdana" w:hAnsi="Verdana" w:cs="Times New Roman"/>
          <w:sz w:val="20"/>
          <w:szCs w:val="20"/>
          <w:lang w:val="es-CR"/>
        </w:rPr>
        <w:t>a</w:t>
      </w:r>
      <w:r w:rsidRPr="00744CE4">
        <w:rPr>
          <w:rFonts w:ascii="Verdana" w:eastAsia="Verdana" w:hAnsi="Verdana" w:cs="Times New Roman"/>
          <w:spacing w:val="-1"/>
          <w:sz w:val="20"/>
          <w:szCs w:val="20"/>
          <w:lang w:val="es-CR"/>
        </w:rPr>
        <w:t>r</w:t>
      </w:r>
      <w:r w:rsidRPr="00744CE4">
        <w:rPr>
          <w:rFonts w:ascii="Verdana" w:eastAsia="Verdana" w:hAnsi="Verdana" w:cs="Times New Roman"/>
          <w:spacing w:val="3"/>
          <w:sz w:val="20"/>
          <w:szCs w:val="20"/>
          <w:lang w:val="es-CR"/>
        </w:rPr>
        <w:t>i</w:t>
      </w:r>
      <w:r w:rsidRPr="00744CE4">
        <w:rPr>
          <w:rFonts w:ascii="Verdana" w:eastAsia="Verdana" w:hAnsi="Verdana" w:cs="Times New Roman"/>
          <w:spacing w:val="1"/>
          <w:sz w:val="20"/>
          <w:szCs w:val="20"/>
          <w:lang w:val="es-CR"/>
        </w:rPr>
        <w:t>d</w:t>
      </w:r>
      <w:r w:rsidRPr="00744CE4">
        <w:rPr>
          <w:rFonts w:ascii="Verdana" w:eastAsia="Verdana" w:hAnsi="Verdana" w:cs="Times New Roman"/>
          <w:sz w:val="20"/>
          <w:szCs w:val="20"/>
          <w:lang w:val="es-CR"/>
        </w:rPr>
        <w:t>ad</w:t>
      </w:r>
      <w:r w:rsidRPr="00744CE4">
        <w:rPr>
          <w:rFonts w:ascii="Verdana" w:eastAsia="Verdana" w:hAnsi="Verdana" w:cs="Times New Roman"/>
          <w:spacing w:val="-10"/>
          <w:sz w:val="20"/>
          <w:szCs w:val="20"/>
          <w:lang w:val="es-CR"/>
        </w:rPr>
        <w:t xml:space="preserve"> </w:t>
      </w:r>
      <w:r w:rsidRPr="00744CE4">
        <w:rPr>
          <w:rFonts w:ascii="Verdana" w:eastAsia="Verdana" w:hAnsi="Verdana" w:cs="Times New Roman"/>
          <w:spacing w:val="3"/>
          <w:sz w:val="20"/>
          <w:szCs w:val="20"/>
          <w:lang w:val="es-CR"/>
        </w:rPr>
        <w:t>l</w:t>
      </w:r>
      <w:r w:rsidRPr="00744CE4">
        <w:rPr>
          <w:rFonts w:ascii="Verdana" w:eastAsia="Verdana" w:hAnsi="Verdana" w:cs="Times New Roman"/>
          <w:spacing w:val="-1"/>
          <w:sz w:val="20"/>
          <w:szCs w:val="20"/>
          <w:lang w:val="es-CR"/>
        </w:rPr>
        <w:t>o</w:t>
      </w:r>
      <w:r w:rsidRPr="00744CE4">
        <w:rPr>
          <w:rFonts w:ascii="Verdana" w:eastAsia="Verdana" w:hAnsi="Verdana" w:cs="Times New Roman"/>
          <w:sz w:val="20"/>
          <w:szCs w:val="20"/>
          <w:lang w:val="es-CR"/>
        </w:rPr>
        <w:t>s</w:t>
      </w:r>
      <w:r w:rsidRPr="00744CE4">
        <w:rPr>
          <w:rFonts w:ascii="Verdana" w:eastAsia="Verdana" w:hAnsi="Verdana" w:cs="Times New Roman"/>
          <w:spacing w:val="-4"/>
          <w:sz w:val="20"/>
          <w:szCs w:val="20"/>
          <w:lang w:val="es-CR"/>
        </w:rPr>
        <w:t xml:space="preserve"> </w:t>
      </w:r>
      <w:r w:rsidRPr="00744CE4">
        <w:rPr>
          <w:rFonts w:ascii="Verdana" w:eastAsia="Verdana" w:hAnsi="Verdana" w:cs="Times New Roman"/>
          <w:spacing w:val="-1"/>
          <w:sz w:val="20"/>
          <w:szCs w:val="20"/>
          <w:lang w:val="es-CR"/>
        </w:rPr>
        <w:t>r</w:t>
      </w:r>
      <w:r w:rsidRPr="00744CE4">
        <w:rPr>
          <w:rFonts w:ascii="Verdana" w:eastAsia="Verdana" w:hAnsi="Verdana" w:cs="Times New Roman"/>
          <w:spacing w:val="1"/>
          <w:sz w:val="20"/>
          <w:szCs w:val="20"/>
          <w:lang w:val="es-CR"/>
        </w:rPr>
        <w:t>ubr</w:t>
      </w:r>
      <w:r w:rsidRPr="00744CE4">
        <w:rPr>
          <w:rFonts w:ascii="Verdana" w:eastAsia="Verdana" w:hAnsi="Verdana" w:cs="Times New Roman"/>
          <w:spacing w:val="-1"/>
          <w:sz w:val="20"/>
          <w:szCs w:val="20"/>
          <w:lang w:val="es-CR"/>
        </w:rPr>
        <w:t>o</w:t>
      </w:r>
      <w:r w:rsidRPr="00744CE4">
        <w:rPr>
          <w:rFonts w:ascii="Verdana" w:eastAsia="Verdana" w:hAnsi="Verdana" w:cs="Times New Roman"/>
          <w:sz w:val="20"/>
          <w:szCs w:val="20"/>
          <w:lang w:val="es-CR"/>
        </w:rPr>
        <w:t>s</w:t>
      </w:r>
      <w:r w:rsidRPr="00744CE4">
        <w:rPr>
          <w:rFonts w:ascii="Verdana" w:eastAsia="Verdana" w:hAnsi="Verdana" w:cs="Times New Roman"/>
          <w:spacing w:val="-5"/>
          <w:sz w:val="20"/>
          <w:szCs w:val="20"/>
          <w:lang w:val="es-CR"/>
        </w:rPr>
        <w:t xml:space="preserve"> </w:t>
      </w:r>
      <w:r w:rsidRPr="00744CE4">
        <w:rPr>
          <w:rFonts w:ascii="Verdana" w:eastAsia="Verdana" w:hAnsi="Verdana" w:cs="Times New Roman"/>
          <w:sz w:val="20"/>
          <w:szCs w:val="20"/>
          <w:lang w:val="es-CR"/>
        </w:rPr>
        <w:t>y</w:t>
      </w:r>
      <w:r w:rsidRPr="00744CE4">
        <w:rPr>
          <w:rFonts w:ascii="Verdana" w:eastAsia="Verdana" w:hAnsi="Verdana" w:cs="Times New Roman"/>
          <w:spacing w:val="-2"/>
          <w:sz w:val="20"/>
          <w:szCs w:val="20"/>
          <w:lang w:val="es-CR"/>
        </w:rPr>
        <w:t xml:space="preserve"> </w:t>
      </w:r>
      <w:r w:rsidRPr="00744CE4">
        <w:rPr>
          <w:rFonts w:ascii="Verdana" w:eastAsia="Verdana" w:hAnsi="Verdana" w:cs="Times New Roman"/>
          <w:spacing w:val="3"/>
          <w:sz w:val="20"/>
          <w:szCs w:val="20"/>
          <w:lang w:val="es-CR"/>
        </w:rPr>
        <w:t>l</w:t>
      </w:r>
      <w:r w:rsidRPr="00744CE4">
        <w:rPr>
          <w:rFonts w:ascii="Verdana" w:eastAsia="Verdana" w:hAnsi="Verdana" w:cs="Times New Roman"/>
          <w:sz w:val="20"/>
          <w:szCs w:val="20"/>
          <w:lang w:val="es-CR"/>
        </w:rPr>
        <w:t>a</w:t>
      </w:r>
      <w:r w:rsidRPr="00744CE4">
        <w:rPr>
          <w:rFonts w:ascii="Verdana" w:eastAsia="Verdana" w:hAnsi="Verdana" w:cs="Times New Roman"/>
          <w:spacing w:val="-2"/>
          <w:sz w:val="20"/>
          <w:szCs w:val="20"/>
          <w:lang w:val="es-CR"/>
        </w:rPr>
        <w:t xml:space="preserve"> </w:t>
      </w:r>
      <w:r w:rsidRPr="00744CE4">
        <w:rPr>
          <w:rFonts w:ascii="Verdana" w:eastAsia="Verdana" w:hAnsi="Verdana" w:cs="Times New Roman"/>
          <w:spacing w:val="1"/>
          <w:sz w:val="20"/>
          <w:szCs w:val="20"/>
          <w:lang w:val="es-CR"/>
        </w:rPr>
        <w:t>ju</w:t>
      </w:r>
      <w:r w:rsidRPr="00744CE4">
        <w:rPr>
          <w:rFonts w:ascii="Verdana" w:eastAsia="Verdana" w:hAnsi="Verdana" w:cs="Times New Roman"/>
          <w:sz w:val="20"/>
          <w:szCs w:val="20"/>
          <w:lang w:val="es-CR"/>
        </w:rPr>
        <w:t>st</w:t>
      </w:r>
      <w:r w:rsidRPr="00744CE4">
        <w:rPr>
          <w:rFonts w:ascii="Verdana" w:eastAsia="Verdana" w:hAnsi="Verdana" w:cs="Times New Roman"/>
          <w:spacing w:val="3"/>
          <w:sz w:val="20"/>
          <w:szCs w:val="20"/>
          <w:lang w:val="es-CR"/>
        </w:rPr>
        <w:t>i</w:t>
      </w:r>
      <w:r w:rsidRPr="00744CE4">
        <w:rPr>
          <w:rFonts w:ascii="Verdana" w:eastAsia="Verdana" w:hAnsi="Verdana" w:cs="Times New Roman"/>
          <w:spacing w:val="-3"/>
          <w:sz w:val="20"/>
          <w:szCs w:val="20"/>
          <w:lang w:val="es-CR"/>
        </w:rPr>
        <w:t>f</w:t>
      </w:r>
      <w:r w:rsidRPr="00744CE4">
        <w:rPr>
          <w:rFonts w:ascii="Verdana" w:eastAsia="Verdana" w:hAnsi="Verdana" w:cs="Times New Roman"/>
          <w:spacing w:val="3"/>
          <w:sz w:val="20"/>
          <w:szCs w:val="20"/>
          <w:lang w:val="es-CR"/>
        </w:rPr>
        <w:t>i</w:t>
      </w:r>
      <w:r w:rsidRPr="00744CE4">
        <w:rPr>
          <w:rFonts w:ascii="Verdana" w:eastAsia="Verdana" w:hAnsi="Verdana" w:cs="Times New Roman"/>
          <w:sz w:val="20"/>
          <w:szCs w:val="20"/>
          <w:lang w:val="es-CR"/>
        </w:rPr>
        <w:t>ca</w:t>
      </w:r>
      <w:r w:rsidRPr="00744CE4">
        <w:rPr>
          <w:rFonts w:ascii="Verdana" w:eastAsia="Verdana" w:hAnsi="Verdana" w:cs="Times New Roman"/>
          <w:spacing w:val="-1"/>
          <w:sz w:val="20"/>
          <w:szCs w:val="20"/>
          <w:lang w:val="es-CR"/>
        </w:rPr>
        <w:t>c</w:t>
      </w:r>
      <w:r w:rsidRPr="00744CE4">
        <w:rPr>
          <w:rFonts w:ascii="Verdana" w:eastAsia="Verdana" w:hAnsi="Verdana" w:cs="Times New Roman"/>
          <w:spacing w:val="3"/>
          <w:sz w:val="20"/>
          <w:szCs w:val="20"/>
          <w:lang w:val="es-CR"/>
        </w:rPr>
        <w:t>i</w:t>
      </w:r>
      <w:r w:rsidRPr="00744CE4">
        <w:rPr>
          <w:rFonts w:ascii="Verdana" w:eastAsia="Verdana" w:hAnsi="Verdana" w:cs="Times New Roman"/>
          <w:spacing w:val="-1"/>
          <w:sz w:val="20"/>
          <w:szCs w:val="20"/>
          <w:lang w:val="es-CR"/>
        </w:rPr>
        <w:t>ó</w:t>
      </w:r>
      <w:r w:rsidRPr="00744CE4">
        <w:rPr>
          <w:rFonts w:ascii="Verdana" w:eastAsia="Verdana" w:hAnsi="Verdana" w:cs="Times New Roman"/>
          <w:sz w:val="20"/>
          <w:szCs w:val="20"/>
          <w:lang w:val="es-CR"/>
        </w:rPr>
        <w:t>n</w:t>
      </w:r>
      <w:r w:rsidRPr="00744CE4">
        <w:rPr>
          <w:rFonts w:ascii="Verdana" w:eastAsia="Verdana" w:hAnsi="Verdana" w:cs="Times New Roman"/>
          <w:spacing w:val="-11"/>
          <w:sz w:val="20"/>
          <w:szCs w:val="20"/>
          <w:lang w:val="es-CR"/>
        </w:rPr>
        <w:t xml:space="preserve"> </w:t>
      </w:r>
      <w:r w:rsidRPr="00744CE4">
        <w:rPr>
          <w:rFonts w:ascii="Verdana" w:eastAsia="Verdana" w:hAnsi="Verdana" w:cs="Times New Roman"/>
          <w:sz w:val="20"/>
          <w:szCs w:val="20"/>
          <w:lang w:val="es-CR"/>
        </w:rPr>
        <w:t>de</w:t>
      </w:r>
      <w:r w:rsidRPr="00744CE4">
        <w:rPr>
          <w:rFonts w:ascii="Verdana" w:eastAsia="Verdana" w:hAnsi="Verdana" w:cs="Times New Roman"/>
          <w:spacing w:val="-3"/>
          <w:sz w:val="20"/>
          <w:szCs w:val="20"/>
          <w:lang w:val="es-CR"/>
        </w:rPr>
        <w:t xml:space="preserve"> </w:t>
      </w:r>
      <w:r w:rsidRPr="00744CE4">
        <w:rPr>
          <w:rFonts w:ascii="Verdana" w:eastAsia="Verdana" w:hAnsi="Verdana" w:cs="Times New Roman"/>
          <w:spacing w:val="2"/>
          <w:sz w:val="20"/>
          <w:szCs w:val="20"/>
          <w:lang w:val="es-CR"/>
        </w:rPr>
        <w:t>l</w:t>
      </w:r>
      <w:r w:rsidRPr="00744CE4">
        <w:rPr>
          <w:rFonts w:ascii="Verdana" w:eastAsia="Verdana" w:hAnsi="Verdana" w:cs="Times New Roman"/>
          <w:spacing w:val="-1"/>
          <w:sz w:val="20"/>
          <w:szCs w:val="20"/>
          <w:lang w:val="es-CR"/>
        </w:rPr>
        <w:t>o</w:t>
      </w:r>
      <w:r w:rsidRPr="00744CE4">
        <w:rPr>
          <w:rFonts w:ascii="Verdana" w:eastAsia="Verdana" w:hAnsi="Verdana" w:cs="Times New Roman"/>
          <w:sz w:val="20"/>
          <w:szCs w:val="20"/>
          <w:lang w:val="es-CR"/>
        </w:rPr>
        <w:t>s</w:t>
      </w:r>
      <w:r w:rsidRPr="00744CE4">
        <w:rPr>
          <w:rFonts w:ascii="Verdana" w:eastAsia="Verdana" w:hAnsi="Verdana" w:cs="Times New Roman"/>
          <w:spacing w:val="-4"/>
          <w:sz w:val="20"/>
          <w:szCs w:val="20"/>
          <w:lang w:val="es-CR"/>
        </w:rPr>
        <w:t xml:space="preserve"> </w:t>
      </w:r>
      <w:r w:rsidRPr="00744CE4">
        <w:rPr>
          <w:rFonts w:ascii="Verdana" w:eastAsia="Verdana" w:hAnsi="Verdana" w:cs="Times New Roman"/>
          <w:sz w:val="20"/>
          <w:szCs w:val="20"/>
          <w:lang w:val="es-CR"/>
        </w:rPr>
        <w:t>m</w:t>
      </w:r>
      <w:r w:rsidRPr="00744CE4">
        <w:rPr>
          <w:rFonts w:ascii="Verdana" w:eastAsia="Verdana" w:hAnsi="Verdana" w:cs="Times New Roman"/>
          <w:spacing w:val="3"/>
          <w:sz w:val="20"/>
          <w:szCs w:val="20"/>
          <w:lang w:val="es-CR"/>
        </w:rPr>
        <w:t>i</w:t>
      </w:r>
      <w:r w:rsidRPr="00744CE4">
        <w:rPr>
          <w:rFonts w:ascii="Verdana" w:eastAsia="Verdana" w:hAnsi="Verdana" w:cs="Times New Roman"/>
          <w:sz w:val="20"/>
          <w:szCs w:val="20"/>
          <w:lang w:val="es-CR"/>
        </w:rPr>
        <w:t>sm</w:t>
      </w:r>
      <w:r w:rsidRPr="00744CE4">
        <w:rPr>
          <w:rFonts w:ascii="Verdana" w:eastAsia="Verdana" w:hAnsi="Verdana" w:cs="Times New Roman"/>
          <w:spacing w:val="-1"/>
          <w:sz w:val="20"/>
          <w:szCs w:val="20"/>
          <w:lang w:val="es-CR"/>
        </w:rPr>
        <w:t>o</w:t>
      </w:r>
      <w:r w:rsidRPr="00744CE4">
        <w:rPr>
          <w:rFonts w:ascii="Verdana" w:eastAsia="Verdana" w:hAnsi="Verdana" w:cs="Times New Roman"/>
          <w:spacing w:val="7"/>
          <w:sz w:val="20"/>
          <w:szCs w:val="20"/>
          <w:lang w:val="es-CR"/>
        </w:rPr>
        <w:t>s</w:t>
      </w:r>
      <w:r w:rsidRPr="00744CE4">
        <w:rPr>
          <w:rFonts w:ascii="Verdana" w:eastAsia="Verdana" w:hAnsi="Verdana" w:cs="Times New Roman"/>
          <w:spacing w:val="7"/>
          <w:sz w:val="20"/>
          <w:szCs w:val="20"/>
          <w:vertAlign w:val="superscript"/>
          <w:lang w:val="es-CR"/>
        </w:rPr>
        <w:footnoteReference w:id="584"/>
      </w:r>
      <w:r w:rsidRPr="00744CE4">
        <w:rPr>
          <w:rFonts w:ascii="Verdana" w:eastAsia="Verdana" w:hAnsi="Verdana" w:cs="Times New Roman"/>
          <w:sz w:val="20"/>
          <w:szCs w:val="20"/>
          <w:lang w:val="es-CR"/>
        </w:rPr>
        <w:t>.</w:t>
      </w:r>
      <w:r w:rsidRPr="00744CE4">
        <w:rPr>
          <w:rFonts w:ascii="Verdana" w:hAnsi="Verdana" w:cs="Times New Roman"/>
          <w:sz w:val="20"/>
          <w:szCs w:val="20"/>
          <w:lang w:val="es-CR"/>
        </w:rPr>
        <w:t xml:space="preserve"> </w:t>
      </w:r>
    </w:p>
    <w:p w14:paraId="31962505" w14:textId="6F6B6C4B" w:rsidR="0030739A" w:rsidRPr="005740DE" w:rsidRDefault="0030739A" w:rsidP="00DB378B">
      <w:pPr>
        <w:widowControl w:val="0"/>
        <w:numPr>
          <w:ilvl w:val="0"/>
          <w:numId w:val="4"/>
        </w:numPr>
        <w:tabs>
          <w:tab w:val="left" w:pos="567"/>
        </w:tabs>
        <w:autoSpaceDE w:val="0"/>
        <w:autoSpaceDN w:val="0"/>
        <w:adjustRightInd w:val="0"/>
        <w:spacing w:before="120" w:after="120" w:line="240" w:lineRule="auto"/>
        <w:ind w:left="0" w:firstLine="0"/>
        <w:jc w:val="both"/>
        <w:textAlignment w:val="baseline"/>
        <w:rPr>
          <w:rFonts w:ascii="Verdana" w:hAnsi="Verdana" w:cs="Times New Roman"/>
          <w:sz w:val="20"/>
          <w:szCs w:val="20"/>
          <w:lang w:val="es-CR"/>
        </w:rPr>
      </w:pPr>
      <w:r w:rsidRPr="005740DE">
        <w:rPr>
          <w:rFonts w:ascii="Verdana" w:hAnsi="Verdana" w:cs="Times New Roman"/>
          <w:sz w:val="20"/>
          <w:szCs w:val="20"/>
          <w:lang w:val="es-CR"/>
        </w:rPr>
        <w:t>En el presente caso, la Corte constata que l</w:t>
      </w:r>
      <w:r w:rsidR="005740DE" w:rsidRPr="005740DE">
        <w:rPr>
          <w:rFonts w:ascii="Verdana" w:hAnsi="Verdana" w:cs="Times New Roman"/>
          <w:sz w:val="20"/>
          <w:szCs w:val="20"/>
          <w:lang w:val="es-CR"/>
        </w:rPr>
        <w:t>a</w:t>
      </w:r>
      <w:r w:rsidRPr="005740DE">
        <w:rPr>
          <w:rFonts w:ascii="Verdana" w:hAnsi="Verdana" w:cs="Times New Roman"/>
          <w:sz w:val="20"/>
          <w:szCs w:val="20"/>
          <w:lang w:val="es-CR"/>
        </w:rPr>
        <w:t xml:space="preserve">s representantes incurrieron en gastos relacionados con la tramitación del presente caso ante la Comisión </w:t>
      </w:r>
      <w:r w:rsidRPr="00C05494">
        <w:rPr>
          <w:rFonts w:ascii="Verdana" w:hAnsi="Verdana" w:cs="Times New Roman"/>
          <w:sz w:val="20"/>
          <w:szCs w:val="20"/>
          <w:lang w:val="es-CR"/>
        </w:rPr>
        <w:t>y ante este Tribunal relativos a transporte, mensajería, servicios</w:t>
      </w:r>
      <w:r w:rsidRPr="007561E3">
        <w:rPr>
          <w:rFonts w:ascii="Verdana" w:hAnsi="Verdana" w:cs="Times New Roman"/>
          <w:sz w:val="20"/>
          <w:szCs w:val="20"/>
          <w:lang w:val="es-CR"/>
        </w:rPr>
        <w:t xml:space="preserve"> de comunicación y servicios de notariado, entre otros, y </w:t>
      </w:r>
      <w:r w:rsidRPr="007561E3">
        <w:rPr>
          <w:rFonts w:ascii="Verdana" w:hAnsi="Verdana" w:cs="Times New Roman"/>
          <w:sz w:val="20"/>
          <w:szCs w:val="20"/>
          <w:lang w:val="es-CR"/>
        </w:rPr>
        <w:lastRenderedPageBreak/>
        <w:t>remitieron los comprobantes de dichos gastos. Asimismo, l</w:t>
      </w:r>
      <w:r w:rsidR="005740DE" w:rsidRPr="008143D6">
        <w:rPr>
          <w:rFonts w:ascii="Verdana" w:hAnsi="Verdana" w:cs="Times New Roman"/>
          <w:sz w:val="20"/>
          <w:szCs w:val="20"/>
          <w:lang w:val="es-CR"/>
        </w:rPr>
        <w:t>a</w:t>
      </w:r>
      <w:r w:rsidRPr="008143D6">
        <w:rPr>
          <w:rFonts w:ascii="Verdana" w:hAnsi="Verdana" w:cs="Times New Roman"/>
          <w:sz w:val="20"/>
          <w:szCs w:val="20"/>
          <w:lang w:val="es-CR"/>
        </w:rPr>
        <w:t>s representantes solicitaron el pago de honorarios</w:t>
      </w:r>
      <w:r w:rsidR="00C454B2" w:rsidRPr="008143D6">
        <w:rPr>
          <w:rStyle w:val="FootnoteReference"/>
          <w:rFonts w:ascii="Verdana" w:hAnsi="Verdana" w:cs="Times New Roman"/>
          <w:sz w:val="20"/>
          <w:szCs w:val="20"/>
          <w:lang w:val="es-CR"/>
        </w:rPr>
        <w:footnoteReference w:id="585"/>
      </w:r>
      <w:r w:rsidRPr="008143D6">
        <w:rPr>
          <w:rFonts w:ascii="Verdana" w:hAnsi="Verdana" w:cs="Times New Roman"/>
          <w:sz w:val="20"/>
          <w:szCs w:val="20"/>
          <w:lang w:val="es-CR"/>
        </w:rPr>
        <w:t xml:space="preserve">. </w:t>
      </w:r>
      <w:r w:rsidR="00F854D3" w:rsidRPr="008D0846">
        <w:rPr>
          <w:rFonts w:ascii="Verdana" w:hAnsi="Verdana" w:cs="Times New Roman"/>
          <w:sz w:val="20"/>
          <w:szCs w:val="20"/>
          <w:lang w:val="es-CR"/>
        </w:rPr>
        <w:t>Cabe señalar, que algunos</w:t>
      </w:r>
      <w:r w:rsidR="00AF5E48" w:rsidRPr="008D0846">
        <w:rPr>
          <w:rFonts w:ascii="Verdana" w:hAnsi="Verdana" w:cs="Times New Roman"/>
          <w:sz w:val="20"/>
          <w:szCs w:val="20"/>
          <w:lang w:val="es-CR"/>
        </w:rPr>
        <w:t xml:space="preserve"> de esos gastos no fueron justificados debidamente o no guardan relación con el caso. Respecto de los gastos relacionados con el proceso de asilo, </w:t>
      </w:r>
      <w:r w:rsidR="00F854D3" w:rsidRPr="008D0846">
        <w:rPr>
          <w:rFonts w:ascii="Verdana" w:hAnsi="Verdana" w:cs="Times New Roman"/>
          <w:sz w:val="20"/>
          <w:szCs w:val="20"/>
          <w:lang w:val="es-CR"/>
        </w:rPr>
        <w:t>éstos no fueron</w:t>
      </w:r>
      <w:r w:rsidR="00AF5E48" w:rsidRPr="008D0846">
        <w:rPr>
          <w:rFonts w:ascii="Verdana" w:hAnsi="Verdana" w:cs="Times New Roman"/>
          <w:sz w:val="20"/>
          <w:szCs w:val="20"/>
          <w:lang w:val="es-CR"/>
        </w:rPr>
        <w:t xml:space="preserve"> justificaron debidamente</w:t>
      </w:r>
      <w:r w:rsidR="005740DE" w:rsidRPr="008D0846">
        <w:rPr>
          <w:rStyle w:val="FootnoteReference"/>
          <w:rFonts w:ascii="Verdana" w:hAnsi="Verdana" w:cs="Times New Roman"/>
          <w:sz w:val="20"/>
          <w:szCs w:val="20"/>
          <w:lang w:val="es-CR"/>
        </w:rPr>
        <w:footnoteReference w:id="586"/>
      </w:r>
      <w:r w:rsidR="00AF5E48" w:rsidRPr="008D0846">
        <w:rPr>
          <w:rFonts w:ascii="Verdana" w:hAnsi="Verdana" w:cs="Times New Roman"/>
          <w:sz w:val="20"/>
          <w:szCs w:val="20"/>
          <w:lang w:val="es-CR"/>
        </w:rPr>
        <w:t xml:space="preserve">. </w:t>
      </w:r>
    </w:p>
    <w:p w14:paraId="6816F719" w14:textId="71A629A6" w:rsidR="0030739A" w:rsidRPr="00623998" w:rsidRDefault="0030739A" w:rsidP="00696914">
      <w:pPr>
        <w:widowControl w:val="0"/>
        <w:numPr>
          <w:ilvl w:val="0"/>
          <w:numId w:val="4"/>
        </w:numPr>
        <w:tabs>
          <w:tab w:val="left" w:pos="567"/>
        </w:tabs>
        <w:autoSpaceDE w:val="0"/>
        <w:autoSpaceDN w:val="0"/>
        <w:adjustRightInd w:val="0"/>
        <w:spacing w:before="120" w:after="120" w:line="240" w:lineRule="auto"/>
        <w:ind w:left="0" w:firstLine="0"/>
        <w:jc w:val="both"/>
        <w:textAlignment w:val="baseline"/>
        <w:rPr>
          <w:rFonts w:ascii="Verdana" w:hAnsi="Verdana" w:cs="Times New Roman"/>
          <w:sz w:val="20"/>
          <w:szCs w:val="20"/>
          <w:lang w:val="es-CR" w:bidi="en-US"/>
        </w:rPr>
      </w:pPr>
      <w:r w:rsidRPr="00A2555B">
        <w:rPr>
          <w:rFonts w:ascii="Verdana" w:hAnsi="Verdana" w:cs="Times New Roman"/>
          <w:sz w:val="20"/>
          <w:szCs w:val="20"/>
          <w:lang w:val="es-CR"/>
        </w:rPr>
        <w:t xml:space="preserve">En consideración de todo lo anterior, </w:t>
      </w:r>
      <w:r w:rsidRPr="00A2555B">
        <w:rPr>
          <w:rFonts w:ascii="Verdana" w:hAnsi="Verdana" w:cs="Times New Roman"/>
          <w:sz w:val="20"/>
          <w:szCs w:val="20"/>
          <w:lang w:val="es-CR" w:bidi="en-US"/>
        </w:rPr>
        <w:t>la Corte fija un monto razonable de</w:t>
      </w:r>
      <w:r w:rsidRPr="008D0846">
        <w:rPr>
          <w:rFonts w:ascii="Verdana" w:hAnsi="Verdana" w:cs="Times New Roman"/>
          <w:sz w:val="20"/>
          <w:szCs w:val="20"/>
          <w:lang w:val="es-CR" w:bidi="en-US"/>
        </w:rPr>
        <w:t xml:space="preserve"> US</w:t>
      </w:r>
      <w:r w:rsidR="00DA3E10" w:rsidRPr="008D0846">
        <w:rPr>
          <w:rFonts w:ascii="Verdana" w:hAnsi="Verdana" w:cs="Times New Roman"/>
          <w:sz w:val="20"/>
          <w:szCs w:val="20"/>
          <w:lang w:val="es-CR" w:bidi="en-US"/>
        </w:rPr>
        <w:t>D</w:t>
      </w:r>
      <w:r w:rsidRPr="008D0846">
        <w:rPr>
          <w:rFonts w:ascii="Verdana" w:hAnsi="Verdana" w:cs="Times New Roman"/>
          <w:sz w:val="20"/>
          <w:szCs w:val="20"/>
          <w:lang w:val="es-CR" w:bidi="en-US"/>
        </w:rPr>
        <w:t>$</w:t>
      </w:r>
      <w:r w:rsidR="00AF5E48" w:rsidRPr="008D0846">
        <w:rPr>
          <w:rFonts w:ascii="Verdana" w:hAnsi="Verdana" w:cs="Times New Roman"/>
          <w:sz w:val="20"/>
          <w:szCs w:val="20"/>
          <w:lang w:val="es-CR" w:bidi="en-US"/>
        </w:rPr>
        <w:t xml:space="preserve">30,000 </w:t>
      </w:r>
      <w:r w:rsidRPr="008D0846">
        <w:rPr>
          <w:rFonts w:ascii="Verdana" w:hAnsi="Verdana" w:cs="Times New Roman"/>
          <w:sz w:val="20"/>
          <w:szCs w:val="20"/>
          <w:lang w:val="es-CR" w:bidi="en-US"/>
        </w:rPr>
        <w:t>(</w:t>
      </w:r>
      <w:r w:rsidR="00DA3E10" w:rsidRPr="008D0846">
        <w:rPr>
          <w:rFonts w:ascii="Verdana" w:hAnsi="Verdana" w:cs="Times New Roman"/>
          <w:sz w:val="20"/>
          <w:szCs w:val="20"/>
          <w:lang w:val="es-CR" w:bidi="en-US"/>
        </w:rPr>
        <w:t>treinta mil</w:t>
      </w:r>
      <w:r w:rsidRPr="008D0846">
        <w:rPr>
          <w:rFonts w:ascii="Verdana" w:hAnsi="Verdana" w:cs="Times New Roman"/>
          <w:i/>
          <w:sz w:val="20"/>
          <w:szCs w:val="20"/>
          <w:lang w:val="es-CR" w:bidi="en-US"/>
        </w:rPr>
        <w:t xml:space="preserve"> </w:t>
      </w:r>
      <w:r w:rsidRPr="008D0846">
        <w:rPr>
          <w:rFonts w:ascii="Verdana" w:hAnsi="Verdana" w:cs="Times New Roman"/>
          <w:sz w:val="20"/>
          <w:szCs w:val="20"/>
          <w:lang w:val="es-CR" w:bidi="en-US"/>
        </w:rPr>
        <w:t>dólares de los Estados Unidos de América)</w:t>
      </w:r>
      <w:r w:rsidRPr="00A2555B">
        <w:rPr>
          <w:rFonts w:ascii="Verdana" w:hAnsi="Verdana" w:cs="Times New Roman"/>
          <w:sz w:val="20"/>
          <w:szCs w:val="20"/>
          <w:lang w:val="es-CR" w:bidi="en-US"/>
        </w:rPr>
        <w:t xml:space="preserve"> por concepto de costas y gastos en el litigio del presente caso</w:t>
      </w:r>
      <w:r w:rsidR="00AF5E48" w:rsidRPr="00A2555B">
        <w:rPr>
          <w:rFonts w:ascii="Verdana" w:hAnsi="Verdana" w:cs="Times New Roman"/>
          <w:sz w:val="20"/>
          <w:szCs w:val="20"/>
          <w:lang w:val="es-CR" w:bidi="en-US"/>
        </w:rPr>
        <w:t xml:space="preserve"> </w:t>
      </w:r>
      <w:r w:rsidR="00AF5E48" w:rsidRPr="008D0846">
        <w:rPr>
          <w:rFonts w:ascii="Verdana" w:hAnsi="Verdana" w:cs="Times New Roman"/>
          <w:sz w:val="20"/>
          <w:szCs w:val="20"/>
          <w:lang w:val="es-CR" w:bidi="en-US"/>
        </w:rPr>
        <w:t>a favor</w:t>
      </w:r>
      <w:r w:rsidR="00F854D3" w:rsidRPr="008D0846">
        <w:rPr>
          <w:rFonts w:ascii="Verdana" w:hAnsi="Verdana" w:cs="Times New Roman"/>
          <w:sz w:val="20"/>
          <w:szCs w:val="20"/>
          <w:lang w:val="es-CR" w:bidi="en-US"/>
        </w:rPr>
        <w:t xml:space="preserve"> de</w:t>
      </w:r>
      <w:r w:rsidR="00A2555B" w:rsidRPr="008D0846">
        <w:rPr>
          <w:rFonts w:ascii="Verdana" w:hAnsi="Verdana" w:cs="Times New Roman"/>
          <w:sz w:val="20"/>
          <w:szCs w:val="20"/>
          <w:lang w:val="es-CR" w:bidi="en-US"/>
        </w:rPr>
        <w:t>l</w:t>
      </w:r>
      <w:r w:rsidR="00AF5E48" w:rsidRPr="008D0846">
        <w:rPr>
          <w:rFonts w:ascii="Verdana" w:hAnsi="Verdana" w:cs="Times New Roman"/>
          <w:sz w:val="20"/>
          <w:szCs w:val="20"/>
          <w:lang w:val="es-CR" w:bidi="en-US"/>
        </w:rPr>
        <w:t xml:space="preserve"> </w:t>
      </w:r>
      <w:r w:rsidR="00F854D3" w:rsidRPr="008D0846">
        <w:rPr>
          <w:rFonts w:ascii="Verdana" w:hAnsi="Verdana" w:cs="Times New Roman"/>
          <w:sz w:val="20"/>
          <w:szCs w:val="20"/>
          <w:lang w:val="es-CR" w:bidi="en-US"/>
        </w:rPr>
        <w:t>CEDEHM (</w:t>
      </w:r>
      <w:r w:rsidR="00AF5E48" w:rsidRPr="008D0846">
        <w:rPr>
          <w:rFonts w:ascii="Verdana" w:hAnsi="Verdana" w:cs="Times New Roman"/>
          <w:sz w:val="20"/>
          <w:szCs w:val="20"/>
          <w:lang w:val="es-CR" w:bidi="en-US"/>
        </w:rPr>
        <w:t>quienes participaron a nivel interno e internacional</w:t>
      </w:r>
      <w:r w:rsidR="00F854D3" w:rsidRPr="008D0846">
        <w:rPr>
          <w:rFonts w:ascii="Verdana" w:hAnsi="Verdana" w:cs="Times New Roman"/>
          <w:sz w:val="20"/>
          <w:szCs w:val="20"/>
          <w:lang w:val="es-CR" w:bidi="en-US"/>
        </w:rPr>
        <w:t>)</w:t>
      </w:r>
      <w:r w:rsidR="00AF5E48" w:rsidRPr="008D0846">
        <w:rPr>
          <w:rFonts w:ascii="Verdana" w:hAnsi="Verdana" w:cs="Times New Roman"/>
          <w:sz w:val="20"/>
          <w:szCs w:val="20"/>
          <w:lang w:val="es-CR" w:bidi="en-US"/>
        </w:rPr>
        <w:t xml:space="preserve">, </w:t>
      </w:r>
      <w:r w:rsidR="00DA3E10" w:rsidRPr="008D0846">
        <w:rPr>
          <w:rFonts w:ascii="Verdana" w:hAnsi="Verdana" w:cs="Times New Roman"/>
          <w:sz w:val="20"/>
          <w:szCs w:val="20"/>
          <w:lang w:val="es-CR" w:bidi="en-US"/>
        </w:rPr>
        <w:t xml:space="preserve">así como un monto razonable de </w:t>
      </w:r>
      <w:r w:rsidR="00AF5E48" w:rsidRPr="008D0846">
        <w:rPr>
          <w:rFonts w:ascii="Verdana" w:hAnsi="Verdana" w:cs="Times New Roman"/>
          <w:sz w:val="20"/>
          <w:szCs w:val="20"/>
          <w:lang w:val="es-CR" w:bidi="en-US"/>
        </w:rPr>
        <w:t>US</w:t>
      </w:r>
      <w:r w:rsidR="00DA3E10" w:rsidRPr="008D0846">
        <w:rPr>
          <w:rFonts w:ascii="Verdana" w:hAnsi="Verdana" w:cs="Times New Roman"/>
          <w:sz w:val="20"/>
          <w:szCs w:val="20"/>
          <w:lang w:val="es-CR" w:bidi="en-US"/>
        </w:rPr>
        <w:t>D$</w:t>
      </w:r>
      <w:r w:rsidR="00AF5E48" w:rsidRPr="008D0846">
        <w:rPr>
          <w:rFonts w:ascii="Verdana" w:hAnsi="Verdana" w:cs="Times New Roman"/>
          <w:sz w:val="20"/>
          <w:szCs w:val="20"/>
          <w:lang w:val="es-CR" w:bidi="en-US"/>
        </w:rPr>
        <w:t>5,000</w:t>
      </w:r>
      <w:r w:rsidR="00DA3E10" w:rsidRPr="008D0846">
        <w:rPr>
          <w:rFonts w:ascii="Verdana" w:hAnsi="Verdana" w:cs="Times New Roman"/>
          <w:sz w:val="20"/>
          <w:szCs w:val="20"/>
          <w:lang w:val="es-CR" w:bidi="en-US"/>
        </w:rPr>
        <w:t xml:space="preserve"> (cinco mil dólares de los Estados Unidos de América</w:t>
      </w:r>
      <w:r w:rsidR="00F854D3" w:rsidRPr="008D0846">
        <w:rPr>
          <w:rFonts w:ascii="Verdana" w:hAnsi="Verdana" w:cs="Times New Roman"/>
          <w:sz w:val="20"/>
          <w:szCs w:val="20"/>
          <w:lang w:val="es-CR" w:bidi="en-US"/>
        </w:rPr>
        <w:t>)</w:t>
      </w:r>
      <w:r w:rsidR="00AF5E48" w:rsidRPr="008D0846">
        <w:rPr>
          <w:rFonts w:ascii="Verdana" w:hAnsi="Verdana" w:cs="Times New Roman"/>
          <w:sz w:val="20"/>
          <w:szCs w:val="20"/>
          <w:lang w:val="es-CR" w:bidi="en-US"/>
        </w:rPr>
        <w:t xml:space="preserve"> </w:t>
      </w:r>
      <w:r w:rsidR="00F854D3" w:rsidRPr="008D0846">
        <w:rPr>
          <w:rFonts w:ascii="Verdana" w:hAnsi="Verdana" w:cs="Times New Roman"/>
          <w:sz w:val="20"/>
          <w:szCs w:val="20"/>
          <w:lang w:val="es-CR" w:bidi="en-US"/>
        </w:rPr>
        <w:t>derivado de</w:t>
      </w:r>
      <w:r w:rsidR="00AF5E48" w:rsidRPr="008D0846">
        <w:rPr>
          <w:rFonts w:ascii="Verdana" w:hAnsi="Verdana" w:cs="Times New Roman"/>
          <w:sz w:val="20"/>
          <w:szCs w:val="20"/>
          <w:lang w:val="es-CR" w:bidi="en-US"/>
        </w:rPr>
        <w:t>l proceso de asilo</w:t>
      </w:r>
      <w:r w:rsidRPr="00A2555B">
        <w:rPr>
          <w:rFonts w:ascii="Verdana" w:hAnsi="Verdana" w:cs="Times New Roman"/>
          <w:sz w:val="20"/>
          <w:szCs w:val="20"/>
          <w:lang w:val="es-CR" w:bidi="en-US"/>
        </w:rPr>
        <w:t>. Dicha cantidad deberá ser liquidada por el Estado a las víctimas, la</w:t>
      </w:r>
      <w:r w:rsidR="00F854D3" w:rsidRPr="00C05494">
        <w:rPr>
          <w:rFonts w:ascii="Verdana" w:hAnsi="Verdana" w:cs="Times New Roman"/>
          <w:sz w:val="20"/>
          <w:szCs w:val="20"/>
          <w:lang w:val="es-CR" w:bidi="en-US"/>
        </w:rPr>
        <w:t>s</w:t>
      </w:r>
      <w:r w:rsidRPr="00C05494">
        <w:rPr>
          <w:rFonts w:ascii="Verdana" w:hAnsi="Verdana" w:cs="Times New Roman"/>
          <w:sz w:val="20"/>
          <w:szCs w:val="20"/>
          <w:lang w:val="es-CR" w:bidi="en-US"/>
        </w:rPr>
        <w:t xml:space="preserve"> cual</w:t>
      </w:r>
      <w:r w:rsidR="00F854D3" w:rsidRPr="00C05494">
        <w:rPr>
          <w:rFonts w:ascii="Verdana" w:hAnsi="Verdana" w:cs="Times New Roman"/>
          <w:sz w:val="20"/>
          <w:szCs w:val="20"/>
          <w:lang w:val="es-CR" w:bidi="en-US"/>
        </w:rPr>
        <w:t>es</w:t>
      </w:r>
      <w:r w:rsidRPr="00C05494">
        <w:rPr>
          <w:rFonts w:ascii="Verdana" w:hAnsi="Verdana" w:cs="Times New Roman"/>
          <w:sz w:val="20"/>
          <w:szCs w:val="20"/>
          <w:lang w:val="es-CR" w:bidi="en-US"/>
        </w:rPr>
        <w:t xml:space="preserve"> las entregará</w:t>
      </w:r>
      <w:r w:rsidR="00F854D3" w:rsidRPr="00C05494">
        <w:rPr>
          <w:rFonts w:ascii="Verdana" w:hAnsi="Verdana" w:cs="Times New Roman"/>
          <w:sz w:val="20"/>
          <w:szCs w:val="20"/>
          <w:lang w:val="es-CR" w:bidi="en-US"/>
        </w:rPr>
        <w:t>n</w:t>
      </w:r>
      <w:r w:rsidRPr="00C05494">
        <w:rPr>
          <w:rFonts w:ascii="Verdana" w:hAnsi="Verdana" w:cs="Times New Roman"/>
          <w:sz w:val="20"/>
          <w:szCs w:val="20"/>
          <w:lang w:val="es-CR" w:bidi="en-US"/>
        </w:rPr>
        <w:t xml:space="preserve"> a quienes corresponda</w:t>
      </w:r>
      <w:r w:rsidRPr="00C05494">
        <w:rPr>
          <w:rStyle w:val="FootnoteReference"/>
          <w:rFonts w:ascii="Verdana" w:hAnsi="Verdana"/>
          <w:spacing w:val="-2"/>
          <w:sz w:val="20"/>
          <w:szCs w:val="20"/>
        </w:rPr>
        <w:footnoteReference w:id="587"/>
      </w:r>
      <w:r w:rsidRPr="00623998">
        <w:rPr>
          <w:rFonts w:ascii="Verdana" w:hAnsi="Verdana" w:cs="Times New Roman"/>
          <w:sz w:val="20"/>
          <w:szCs w:val="20"/>
          <w:lang w:val="es-CR" w:bidi="en-US"/>
        </w:rPr>
        <w:t xml:space="preserve">. </w:t>
      </w:r>
    </w:p>
    <w:p w14:paraId="54126275" w14:textId="07267867" w:rsidR="0030739A" w:rsidRPr="00744CE4" w:rsidRDefault="0030739A" w:rsidP="00DB378B">
      <w:pPr>
        <w:widowControl w:val="0"/>
        <w:numPr>
          <w:ilvl w:val="0"/>
          <w:numId w:val="4"/>
        </w:numPr>
        <w:tabs>
          <w:tab w:val="left" w:pos="567"/>
        </w:tabs>
        <w:autoSpaceDE w:val="0"/>
        <w:autoSpaceDN w:val="0"/>
        <w:adjustRightInd w:val="0"/>
        <w:spacing w:before="120" w:after="120" w:line="240" w:lineRule="auto"/>
        <w:ind w:left="0" w:firstLine="0"/>
        <w:jc w:val="both"/>
        <w:textAlignment w:val="baseline"/>
        <w:rPr>
          <w:rFonts w:ascii="Verdana" w:hAnsi="Verdana" w:cs="Times New Roman"/>
          <w:sz w:val="20"/>
          <w:szCs w:val="20"/>
          <w:lang w:val="es-CR"/>
        </w:rPr>
      </w:pPr>
      <w:r w:rsidRPr="00744CE4">
        <w:rPr>
          <w:rFonts w:ascii="Verdana" w:hAnsi="Verdana" w:cs="Times New Roman"/>
          <w:sz w:val="20"/>
          <w:szCs w:val="20"/>
          <w:lang w:val="es-CR"/>
        </w:rPr>
        <w:t>Como lo ha hecho en otros casos</w:t>
      </w:r>
      <w:r w:rsidRPr="00744CE4">
        <w:rPr>
          <w:rFonts w:ascii="Verdana" w:hAnsi="Verdana" w:cs="Times New Roman"/>
          <w:sz w:val="20"/>
          <w:szCs w:val="20"/>
          <w:vertAlign w:val="superscript"/>
          <w:lang w:val="es-CR"/>
        </w:rPr>
        <w:footnoteReference w:id="588"/>
      </w:r>
      <w:r w:rsidRPr="00744CE4">
        <w:rPr>
          <w:rFonts w:ascii="Verdana" w:hAnsi="Verdana" w:cs="Times New Roman"/>
          <w:sz w:val="20"/>
          <w:szCs w:val="20"/>
          <w:lang w:val="es-CR"/>
        </w:rPr>
        <w:t>, en la etapa de supervisión de cumplimiento de la presente Sentencia, la Corte podrá disponer el reembolso por parte del Estado a las víctimas o sus representantes de gastos posteriores razonable y debidamente comprobados.</w:t>
      </w:r>
    </w:p>
    <w:p w14:paraId="6057FD51" w14:textId="180C6389" w:rsidR="0030739A" w:rsidRPr="00744CE4" w:rsidRDefault="00556FDB">
      <w:pPr>
        <w:pStyle w:val="ListParagraph"/>
        <w:keepNext/>
        <w:keepLines/>
        <w:numPr>
          <w:ilvl w:val="0"/>
          <w:numId w:val="29"/>
        </w:numPr>
        <w:spacing w:before="120" w:after="120" w:line="240" w:lineRule="auto"/>
        <w:contextualSpacing w:val="0"/>
        <w:jc w:val="both"/>
        <w:outlineLvl w:val="1"/>
        <w:rPr>
          <w:rFonts w:ascii="Verdana" w:hAnsi="Verdana" w:cs="Times New Roman"/>
          <w:b/>
          <w:i/>
          <w:sz w:val="20"/>
          <w:szCs w:val="20"/>
          <w:lang w:val="es-CR" w:bidi="en-US"/>
        </w:rPr>
      </w:pPr>
      <w:r>
        <w:rPr>
          <w:rFonts w:ascii="Verdana" w:hAnsi="Verdana" w:cs="Times New Roman"/>
          <w:b/>
          <w:i/>
          <w:iCs/>
          <w:sz w:val="20"/>
          <w:szCs w:val="20"/>
          <w:lang w:val="es-CR" w:bidi="en-US"/>
        </w:rPr>
        <w:t xml:space="preserve"> </w:t>
      </w:r>
      <w:bookmarkStart w:id="402" w:name="_Toc532995418"/>
      <w:r w:rsidR="0030739A" w:rsidRPr="00744CE4">
        <w:rPr>
          <w:rFonts w:ascii="Verdana" w:hAnsi="Verdana" w:cs="Times New Roman"/>
          <w:b/>
          <w:i/>
          <w:iCs/>
          <w:sz w:val="20"/>
          <w:szCs w:val="20"/>
          <w:lang w:val="es-CR" w:bidi="en-US"/>
        </w:rPr>
        <w:t>Reintegro de los gastos al Fondo de Asistencia Legal de Víctimas</w:t>
      </w:r>
      <w:bookmarkEnd w:id="402"/>
      <w:r w:rsidR="0030739A" w:rsidRPr="00744CE4">
        <w:rPr>
          <w:rFonts w:ascii="Verdana" w:hAnsi="Verdana" w:cs="Times New Roman"/>
          <w:b/>
          <w:i/>
          <w:iCs/>
          <w:sz w:val="20"/>
          <w:szCs w:val="20"/>
          <w:lang w:val="es-CR" w:bidi="en-US"/>
        </w:rPr>
        <w:t xml:space="preserve"> </w:t>
      </w:r>
    </w:p>
    <w:p w14:paraId="2A9DEBF6" w14:textId="2EA9E492" w:rsidR="0030739A" w:rsidRPr="00744CE4" w:rsidRDefault="0030739A" w:rsidP="00DB378B">
      <w:pPr>
        <w:widowControl w:val="0"/>
        <w:numPr>
          <w:ilvl w:val="0"/>
          <w:numId w:val="4"/>
        </w:numPr>
        <w:tabs>
          <w:tab w:val="left" w:pos="567"/>
        </w:tabs>
        <w:autoSpaceDE w:val="0"/>
        <w:autoSpaceDN w:val="0"/>
        <w:adjustRightInd w:val="0"/>
        <w:spacing w:before="120" w:after="120" w:line="240" w:lineRule="auto"/>
        <w:ind w:left="0" w:firstLine="0"/>
        <w:jc w:val="both"/>
        <w:textAlignment w:val="baseline"/>
        <w:rPr>
          <w:rFonts w:ascii="Verdana" w:hAnsi="Verdana"/>
          <w:sz w:val="20"/>
          <w:szCs w:val="20"/>
          <w:lang w:val="es-ES"/>
        </w:rPr>
      </w:pPr>
      <w:r w:rsidRPr="00432ABC">
        <w:rPr>
          <w:rFonts w:ascii="Verdana" w:hAnsi="Verdana"/>
          <w:snapToGrid w:val="0"/>
          <w:sz w:val="20"/>
          <w:szCs w:val="20"/>
          <w:lang w:val="es-ES" w:eastAsia="es-ES"/>
        </w:rPr>
        <w:t xml:space="preserve">En el presente caso se otorgó con cargo a dicho Fondo la asistencia económica necesaria para cubrir </w:t>
      </w:r>
      <w:r w:rsidRPr="00432ABC">
        <w:rPr>
          <w:rFonts w:ascii="Verdana" w:hAnsi="Verdana"/>
          <w:sz w:val="20"/>
          <w:szCs w:val="20"/>
          <w:lang w:val="es-ES"/>
        </w:rPr>
        <w:t xml:space="preserve">los gastos de viaje y estadía necesarios para que los testigos María de Jesús Alvarado Espinoza y Jaime Alvarado Herrera, y el perito Salvador Salazar Gutiérrez,  pudieran participar en la audiencia pública, así como los gastos razonables de formalización y envío de </w:t>
      </w:r>
      <w:r w:rsidR="002E2B86" w:rsidRPr="002E2B86">
        <w:rPr>
          <w:rFonts w:ascii="Verdana" w:hAnsi="Verdana"/>
          <w:i/>
          <w:sz w:val="20"/>
          <w:szCs w:val="20"/>
          <w:lang w:val="es-ES"/>
        </w:rPr>
        <w:t>affidávit</w:t>
      </w:r>
      <w:r w:rsidRPr="00432ABC">
        <w:rPr>
          <w:rFonts w:ascii="Verdana" w:hAnsi="Verdana"/>
          <w:sz w:val="20"/>
          <w:szCs w:val="20"/>
          <w:lang w:val="es-ES"/>
        </w:rPr>
        <w:t xml:space="preserve"> de dos declarantes propuestos </w:t>
      </w:r>
      <w:r w:rsidRPr="002C462C">
        <w:rPr>
          <w:rFonts w:ascii="Verdana" w:hAnsi="Verdana"/>
          <w:sz w:val="20"/>
          <w:szCs w:val="20"/>
          <w:lang w:val="es-ES"/>
        </w:rPr>
        <w:t>por las representantes</w:t>
      </w:r>
      <w:r w:rsidR="00C05494">
        <w:rPr>
          <w:rStyle w:val="FootnoteReference"/>
          <w:rFonts w:ascii="Verdana" w:hAnsi="Verdana"/>
          <w:sz w:val="20"/>
          <w:szCs w:val="20"/>
          <w:lang w:val="es-ES"/>
        </w:rPr>
        <w:footnoteReference w:id="589"/>
      </w:r>
      <w:r w:rsidRPr="002C462C">
        <w:rPr>
          <w:rFonts w:ascii="Verdana" w:hAnsi="Verdana"/>
          <w:sz w:val="20"/>
          <w:szCs w:val="20"/>
          <w:lang w:val="es-ES"/>
        </w:rPr>
        <w:t xml:space="preserve">. </w:t>
      </w:r>
    </w:p>
    <w:p w14:paraId="0772068D" w14:textId="67E2DB35" w:rsidR="0030739A" w:rsidRPr="00744CE4" w:rsidRDefault="0030739A" w:rsidP="00DB378B">
      <w:pPr>
        <w:widowControl w:val="0"/>
        <w:numPr>
          <w:ilvl w:val="0"/>
          <w:numId w:val="4"/>
        </w:numPr>
        <w:tabs>
          <w:tab w:val="left" w:pos="567"/>
        </w:tabs>
        <w:autoSpaceDE w:val="0"/>
        <w:autoSpaceDN w:val="0"/>
        <w:adjustRightInd w:val="0"/>
        <w:spacing w:before="120" w:after="120" w:line="240" w:lineRule="auto"/>
        <w:ind w:left="0" w:firstLine="0"/>
        <w:jc w:val="both"/>
        <w:textAlignment w:val="baseline"/>
        <w:rPr>
          <w:rFonts w:ascii="Verdana" w:eastAsiaTheme="minorHAnsi" w:hAnsi="Verdana" w:cs="43rni"/>
          <w:sz w:val="20"/>
          <w:szCs w:val="20"/>
          <w:lang w:val="es-CR"/>
        </w:rPr>
      </w:pPr>
      <w:r w:rsidRPr="00744CE4">
        <w:rPr>
          <w:rFonts w:ascii="Verdana" w:hAnsi="Verdana"/>
          <w:snapToGrid w:val="0"/>
          <w:sz w:val="20"/>
          <w:szCs w:val="20"/>
          <w:lang w:val="es-ES" w:eastAsia="es-ES"/>
        </w:rPr>
        <w:t>El Estado tuvo la oportunidad de presentar sus observaciones sobre las erogaciones realizadas en el presente caso</w:t>
      </w:r>
      <w:r w:rsidR="00654518">
        <w:rPr>
          <w:rFonts w:ascii="Verdana" w:hAnsi="Verdana"/>
          <w:snapToGrid w:val="0"/>
          <w:sz w:val="20"/>
          <w:szCs w:val="20"/>
          <w:lang w:val="es-ES" w:eastAsia="es-ES"/>
        </w:rPr>
        <w:t xml:space="preserve">. </w:t>
      </w:r>
      <w:r w:rsidRPr="00744CE4">
        <w:rPr>
          <w:rFonts w:ascii="Verdana" w:hAnsi="Verdana"/>
          <w:snapToGrid w:val="0"/>
          <w:sz w:val="20"/>
          <w:szCs w:val="20"/>
          <w:lang w:val="es-ES" w:eastAsia="es-ES"/>
        </w:rPr>
        <w:t xml:space="preserve">El Estado indicó </w:t>
      </w:r>
      <w:r w:rsidRPr="00744CE4">
        <w:rPr>
          <w:rFonts w:ascii="Verdana" w:eastAsiaTheme="minorHAnsi" w:hAnsi="Verdana" w:cs="43rni"/>
          <w:sz w:val="20"/>
          <w:szCs w:val="20"/>
          <w:lang w:val="es-CR"/>
        </w:rPr>
        <w:t xml:space="preserve">no tener observaciones al informe sobre el Fondo de Asistencia Legal de Víctimas </w:t>
      </w:r>
      <w:r w:rsidR="00623998">
        <w:rPr>
          <w:rFonts w:ascii="Verdana" w:eastAsiaTheme="minorHAnsi" w:hAnsi="Verdana" w:cs="43rni"/>
          <w:sz w:val="20"/>
          <w:szCs w:val="20"/>
          <w:lang w:val="es-CR"/>
        </w:rPr>
        <w:t xml:space="preserve">(“el Fondo”) </w:t>
      </w:r>
      <w:r w:rsidRPr="00744CE4">
        <w:rPr>
          <w:rFonts w:ascii="Verdana" w:eastAsiaTheme="minorHAnsi" w:hAnsi="Verdana" w:cs="43rni"/>
          <w:sz w:val="20"/>
          <w:szCs w:val="20"/>
          <w:lang w:val="es-CR"/>
        </w:rPr>
        <w:t>en el presente caso</w:t>
      </w:r>
      <w:r w:rsidR="00623998">
        <w:rPr>
          <w:rFonts w:ascii="Verdana" w:eastAsiaTheme="minorHAnsi" w:hAnsi="Verdana" w:cs="43rni"/>
          <w:sz w:val="20"/>
          <w:szCs w:val="20"/>
          <w:lang w:val="es-CR"/>
        </w:rPr>
        <w:t>.</w:t>
      </w:r>
      <w:r w:rsidRPr="00744CE4">
        <w:rPr>
          <w:rFonts w:ascii="Verdana" w:hAnsi="Verdana"/>
          <w:snapToGrid w:val="0"/>
          <w:sz w:val="20"/>
          <w:szCs w:val="20"/>
          <w:lang w:val="es-ES" w:eastAsia="es-ES"/>
        </w:rPr>
        <w:t xml:space="preserve"> </w:t>
      </w:r>
    </w:p>
    <w:p w14:paraId="3C71FBF5" w14:textId="0A1AEDED" w:rsidR="0030739A" w:rsidRPr="00744CE4" w:rsidRDefault="0030739A" w:rsidP="00DB378B">
      <w:pPr>
        <w:widowControl w:val="0"/>
        <w:numPr>
          <w:ilvl w:val="0"/>
          <w:numId w:val="4"/>
        </w:numPr>
        <w:tabs>
          <w:tab w:val="left" w:pos="567"/>
        </w:tabs>
        <w:autoSpaceDE w:val="0"/>
        <w:autoSpaceDN w:val="0"/>
        <w:adjustRightInd w:val="0"/>
        <w:spacing w:before="120" w:after="120" w:line="240" w:lineRule="auto"/>
        <w:ind w:left="0" w:firstLine="0"/>
        <w:jc w:val="both"/>
        <w:textAlignment w:val="baseline"/>
        <w:rPr>
          <w:rFonts w:ascii="Verdana" w:hAnsi="Verdana"/>
          <w:snapToGrid w:val="0"/>
          <w:sz w:val="20"/>
          <w:szCs w:val="20"/>
          <w:lang w:val="es-ES" w:eastAsia="es-ES"/>
        </w:rPr>
      </w:pPr>
      <w:r w:rsidRPr="00744CE4">
        <w:rPr>
          <w:rFonts w:ascii="Verdana" w:hAnsi="Verdana"/>
          <w:snapToGrid w:val="0"/>
          <w:sz w:val="20"/>
          <w:szCs w:val="20"/>
          <w:lang w:val="es-ES" w:eastAsia="es-ES"/>
        </w:rPr>
        <w:t>A la luz del artículo 5 del Reglamento del Fondo, en razón de las violaciones declaradas en la presente Sentencia y que se cumplió con los requisitos para acogerse al Fondo, la Corte ordena al Estado el reintegro a dicho Fondo de la cantidad de US</w:t>
      </w:r>
      <w:r w:rsidR="00E307D4">
        <w:rPr>
          <w:rFonts w:ascii="Verdana" w:hAnsi="Verdana"/>
          <w:snapToGrid w:val="0"/>
          <w:sz w:val="20"/>
          <w:szCs w:val="20"/>
          <w:lang w:val="es-ES" w:eastAsia="es-ES"/>
        </w:rPr>
        <w:t>D</w:t>
      </w:r>
      <w:r w:rsidR="00623998" w:rsidRPr="008D0846">
        <w:rPr>
          <w:rFonts w:ascii="Verdana" w:hAnsi="Verdana"/>
          <w:snapToGrid w:val="0"/>
          <w:sz w:val="20"/>
          <w:szCs w:val="20"/>
          <w:lang w:val="es-ES" w:eastAsia="es-ES"/>
        </w:rPr>
        <w:t>$5,574.73</w:t>
      </w:r>
      <w:r w:rsidRPr="00744CE4">
        <w:rPr>
          <w:rFonts w:ascii="Verdana" w:hAnsi="Verdana"/>
          <w:snapToGrid w:val="0"/>
          <w:sz w:val="20"/>
          <w:szCs w:val="20"/>
          <w:lang w:val="es-ES" w:eastAsia="es-ES"/>
        </w:rPr>
        <w:t xml:space="preserve"> </w:t>
      </w:r>
      <w:r w:rsidRPr="00744CE4">
        <w:rPr>
          <w:rFonts w:ascii="Verdana" w:hAnsi="Verdana"/>
          <w:sz w:val="20"/>
          <w:szCs w:val="20"/>
          <w:lang w:val="es-ES"/>
        </w:rPr>
        <w:t>(</w:t>
      </w:r>
      <w:r w:rsidR="00623998">
        <w:rPr>
          <w:rFonts w:ascii="Verdana" w:hAnsi="Verdana"/>
          <w:snapToGrid w:val="0"/>
          <w:sz w:val="20"/>
          <w:szCs w:val="20"/>
          <w:lang w:val="es-ES" w:eastAsia="es-ES"/>
        </w:rPr>
        <w:t xml:space="preserve">cinco mil quinientos setenta y cuatro punto setenta y tres </w:t>
      </w:r>
      <w:r w:rsidR="00623998" w:rsidRPr="00744CE4">
        <w:rPr>
          <w:rFonts w:ascii="Verdana" w:hAnsi="Verdana"/>
          <w:snapToGrid w:val="0"/>
          <w:sz w:val="20"/>
          <w:szCs w:val="20"/>
          <w:lang w:val="es-ES" w:eastAsia="es-ES"/>
        </w:rPr>
        <w:t xml:space="preserve">dólares </w:t>
      </w:r>
      <w:r w:rsidRPr="00744CE4">
        <w:rPr>
          <w:rFonts w:ascii="Verdana" w:hAnsi="Verdana"/>
          <w:sz w:val="20"/>
          <w:szCs w:val="20"/>
          <w:lang w:val="es-ES"/>
        </w:rPr>
        <w:t xml:space="preserve">de los Estados Unidos de América) </w:t>
      </w:r>
      <w:r w:rsidRPr="00744CE4">
        <w:rPr>
          <w:rFonts w:ascii="Verdana" w:hAnsi="Verdana"/>
          <w:snapToGrid w:val="0"/>
          <w:sz w:val="20"/>
          <w:szCs w:val="20"/>
          <w:lang w:val="es-ES" w:eastAsia="es-ES"/>
        </w:rPr>
        <w:t xml:space="preserve">por </w:t>
      </w:r>
      <w:r w:rsidRPr="00744CE4">
        <w:rPr>
          <w:rFonts w:ascii="Verdana" w:hAnsi="Verdana"/>
          <w:snapToGrid w:val="0"/>
          <w:sz w:val="20"/>
          <w:szCs w:val="20"/>
          <w:lang w:val="es-ES" w:eastAsia="es-ES"/>
        </w:rPr>
        <w:lastRenderedPageBreak/>
        <w:t xml:space="preserve">concepto de los gastos necesarios realizados para la comparecencia de </w:t>
      </w:r>
      <w:r w:rsidR="00361707" w:rsidRPr="00DB378B">
        <w:rPr>
          <w:rFonts w:ascii="Verdana" w:hAnsi="Verdana"/>
          <w:snapToGrid w:val="0"/>
          <w:sz w:val="20"/>
          <w:szCs w:val="20"/>
          <w:lang w:val="es-ES" w:eastAsia="es-ES"/>
        </w:rPr>
        <w:t>los declarantes</w:t>
      </w:r>
      <w:r w:rsidRPr="00744CE4">
        <w:rPr>
          <w:rFonts w:ascii="Verdana" w:hAnsi="Verdana"/>
          <w:snapToGrid w:val="0"/>
          <w:sz w:val="20"/>
          <w:szCs w:val="20"/>
          <w:lang w:val="es-ES" w:eastAsia="es-ES"/>
        </w:rPr>
        <w:t xml:space="preserve"> en la audiencia pública del presente caso. Dicha cantidad deberá ser reintegrada en el plazo de noventa días, contados a partir de la notificación del presente Fallo.</w:t>
      </w:r>
    </w:p>
    <w:p w14:paraId="7BDBAA56" w14:textId="3B8AE484" w:rsidR="0030739A" w:rsidRPr="00744CE4" w:rsidRDefault="00556FDB">
      <w:pPr>
        <w:pStyle w:val="ListParagraph"/>
        <w:keepNext/>
        <w:keepLines/>
        <w:numPr>
          <w:ilvl w:val="0"/>
          <w:numId w:val="29"/>
        </w:numPr>
        <w:spacing w:before="120" w:after="120" w:line="240" w:lineRule="auto"/>
        <w:contextualSpacing w:val="0"/>
        <w:jc w:val="both"/>
        <w:outlineLvl w:val="1"/>
        <w:rPr>
          <w:rFonts w:ascii="Verdana" w:hAnsi="Verdana" w:cs="Times New Roman"/>
          <w:b/>
          <w:i/>
          <w:sz w:val="20"/>
          <w:szCs w:val="20"/>
          <w:lang w:val="es-CR"/>
        </w:rPr>
      </w:pPr>
      <w:r>
        <w:rPr>
          <w:rFonts w:ascii="Verdana" w:hAnsi="Verdana" w:cs="Times New Roman"/>
          <w:b/>
          <w:i/>
          <w:sz w:val="20"/>
          <w:szCs w:val="20"/>
          <w:lang w:val="es-CR"/>
        </w:rPr>
        <w:t xml:space="preserve"> </w:t>
      </w:r>
      <w:bookmarkStart w:id="403" w:name="_Toc532995419"/>
      <w:r w:rsidR="0030739A" w:rsidRPr="00744CE4">
        <w:rPr>
          <w:rFonts w:ascii="Verdana" w:hAnsi="Verdana" w:cs="Times New Roman"/>
          <w:b/>
          <w:i/>
          <w:sz w:val="20"/>
          <w:szCs w:val="20"/>
          <w:lang w:val="es-CR"/>
        </w:rPr>
        <w:t>Modalidad de cumplimiento de los pagos ordenados</w:t>
      </w:r>
      <w:bookmarkEnd w:id="403"/>
      <w:r w:rsidR="0030739A" w:rsidRPr="00744CE4">
        <w:rPr>
          <w:rFonts w:ascii="Verdana" w:hAnsi="Verdana" w:cs="Times New Roman"/>
          <w:b/>
          <w:i/>
          <w:sz w:val="20"/>
          <w:szCs w:val="20"/>
          <w:lang w:val="es-CR"/>
        </w:rPr>
        <w:t xml:space="preserve"> </w:t>
      </w:r>
    </w:p>
    <w:p w14:paraId="35229842" w14:textId="77777777" w:rsidR="0030739A" w:rsidRPr="00744CE4" w:rsidRDefault="0030739A" w:rsidP="00DB378B">
      <w:pPr>
        <w:widowControl w:val="0"/>
        <w:numPr>
          <w:ilvl w:val="0"/>
          <w:numId w:val="4"/>
        </w:numPr>
        <w:tabs>
          <w:tab w:val="left" w:pos="567"/>
        </w:tabs>
        <w:autoSpaceDE w:val="0"/>
        <w:autoSpaceDN w:val="0"/>
        <w:adjustRightInd w:val="0"/>
        <w:spacing w:before="120" w:after="120" w:line="240" w:lineRule="auto"/>
        <w:ind w:left="0" w:firstLine="0"/>
        <w:jc w:val="both"/>
        <w:textAlignment w:val="baseline"/>
        <w:rPr>
          <w:rFonts w:ascii="Verdana" w:hAnsi="Verdana" w:cs="Times New Roman"/>
          <w:sz w:val="20"/>
          <w:szCs w:val="20"/>
          <w:lang w:val="es-CR"/>
        </w:rPr>
      </w:pPr>
      <w:r w:rsidRPr="00744CE4">
        <w:rPr>
          <w:rFonts w:ascii="Verdana" w:hAnsi="Verdana" w:cs="Times New Roman"/>
          <w:sz w:val="20"/>
          <w:szCs w:val="20"/>
          <w:lang w:val="es-ES"/>
        </w:rPr>
        <w:t xml:space="preserve">El </w:t>
      </w:r>
      <w:r w:rsidRPr="00744CE4">
        <w:rPr>
          <w:rFonts w:ascii="Verdana" w:hAnsi="Verdana" w:cs="Times New Roman"/>
          <w:snapToGrid w:val="0"/>
          <w:sz w:val="20"/>
          <w:szCs w:val="20"/>
          <w:lang w:val="es-ES" w:eastAsia="es-ES"/>
        </w:rPr>
        <w:t>Estado</w:t>
      </w:r>
      <w:r w:rsidRPr="00744CE4">
        <w:rPr>
          <w:rFonts w:ascii="Verdana" w:hAnsi="Verdana" w:cs="Times New Roman"/>
          <w:sz w:val="20"/>
          <w:szCs w:val="20"/>
          <w:lang w:val="es-ES"/>
        </w:rPr>
        <w:t xml:space="preserve"> deberá efectuar el pago de las indemnizaciones por concepto de daño material e inmaterial y el reintegro de costas y gastos establecidos en la presente Sentencia directamente a las personas y organizaciones indicadas en la misma, dentro del plazo de un año, contado a partir de la notificación del presente Fallo, en los términos de los siguientes párrafos.</w:t>
      </w:r>
    </w:p>
    <w:p w14:paraId="0B37EEED" w14:textId="77777777" w:rsidR="0030739A" w:rsidRPr="00744CE4" w:rsidRDefault="0030739A" w:rsidP="00DB378B">
      <w:pPr>
        <w:widowControl w:val="0"/>
        <w:numPr>
          <w:ilvl w:val="0"/>
          <w:numId w:val="4"/>
        </w:numPr>
        <w:tabs>
          <w:tab w:val="left" w:pos="567"/>
        </w:tabs>
        <w:autoSpaceDE w:val="0"/>
        <w:autoSpaceDN w:val="0"/>
        <w:adjustRightInd w:val="0"/>
        <w:spacing w:before="120" w:after="120" w:line="240" w:lineRule="auto"/>
        <w:ind w:left="0" w:firstLine="0"/>
        <w:jc w:val="both"/>
        <w:textAlignment w:val="baseline"/>
        <w:rPr>
          <w:rFonts w:ascii="Verdana" w:hAnsi="Verdana" w:cs="Times New Roman"/>
          <w:sz w:val="20"/>
          <w:szCs w:val="20"/>
          <w:lang w:val="es-CR"/>
        </w:rPr>
      </w:pPr>
      <w:r w:rsidRPr="00744CE4">
        <w:rPr>
          <w:rFonts w:ascii="Verdana" w:hAnsi="Verdana" w:cs="Times New Roman"/>
          <w:sz w:val="20"/>
          <w:szCs w:val="20"/>
          <w:lang w:val="es-ES"/>
        </w:rPr>
        <w:t xml:space="preserve">En caso de que los beneficiarios hayan fallecido o fallezcan antes de que les sea entregada la indemnización respectiva, ésta se efectuará directamente a sus derechohabientes, conforme al derecho interno aplicable. </w:t>
      </w:r>
    </w:p>
    <w:p w14:paraId="7BD5B07E" w14:textId="462658D1" w:rsidR="0030739A" w:rsidRPr="00744CE4" w:rsidRDefault="0030739A" w:rsidP="00DB378B">
      <w:pPr>
        <w:widowControl w:val="0"/>
        <w:numPr>
          <w:ilvl w:val="0"/>
          <w:numId w:val="4"/>
        </w:numPr>
        <w:tabs>
          <w:tab w:val="left" w:pos="567"/>
        </w:tabs>
        <w:autoSpaceDE w:val="0"/>
        <w:autoSpaceDN w:val="0"/>
        <w:adjustRightInd w:val="0"/>
        <w:spacing w:before="120" w:after="120" w:line="240" w:lineRule="auto"/>
        <w:ind w:left="0" w:firstLine="0"/>
        <w:jc w:val="both"/>
        <w:textAlignment w:val="baseline"/>
        <w:rPr>
          <w:rFonts w:ascii="Verdana" w:hAnsi="Verdana" w:cs="Times New Roman"/>
          <w:sz w:val="20"/>
          <w:szCs w:val="20"/>
          <w:lang w:val="es-CR"/>
        </w:rPr>
      </w:pPr>
      <w:r w:rsidRPr="00744CE4">
        <w:rPr>
          <w:rFonts w:ascii="Verdana" w:hAnsi="Verdana" w:cs="Times New Roman"/>
          <w:sz w:val="20"/>
          <w:szCs w:val="20"/>
          <w:lang w:val="es-ES"/>
        </w:rPr>
        <w:t xml:space="preserve">El Estado debe cumplir sus obligaciones monetarias mediante el pago en dólares de los Estados Unidos de América o en su equivalente en pesos mexicanos utilizando para el cálculo respectivo el tipo de cambio que esté vigente en la </w:t>
      </w:r>
      <w:r w:rsidR="00AB6242">
        <w:rPr>
          <w:rFonts w:ascii="Verdana" w:hAnsi="Verdana" w:cs="Times New Roman"/>
          <w:sz w:val="20"/>
          <w:szCs w:val="20"/>
          <w:lang w:val="es-ES"/>
        </w:rPr>
        <w:t>B</w:t>
      </w:r>
      <w:r w:rsidRPr="00744CE4">
        <w:rPr>
          <w:rFonts w:ascii="Verdana" w:hAnsi="Verdana" w:cs="Times New Roman"/>
          <w:sz w:val="20"/>
          <w:szCs w:val="20"/>
          <w:lang w:val="es-ES"/>
        </w:rPr>
        <w:t>olsa de Nueva York, Estados Unidos de América, el día anterior al pago.</w:t>
      </w:r>
    </w:p>
    <w:p w14:paraId="4FE0CD08" w14:textId="77777777" w:rsidR="0030739A" w:rsidRPr="00744CE4" w:rsidRDefault="0030739A" w:rsidP="00DB378B">
      <w:pPr>
        <w:widowControl w:val="0"/>
        <w:numPr>
          <w:ilvl w:val="0"/>
          <w:numId w:val="4"/>
        </w:numPr>
        <w:tabs>
          <w:tab w:val="left" w:pos="567"/>
        </w:tabs>
        <w:autoSpaceDE w:val="0"/>
        <w:autoSpaceDN w:val="0"/>
        <w:adjustRightInd w:val="0"/>
        <w:spacing w:before="120" w:after="120" w:line="240" w:lineRule="auto"/>
        <w:ind w:left="0" w:firstLine="0"/>
        <w:jc w:val="both"/>
        <w:textAlignment w:val="baseline"/>
        <w:rPr>
          <w:rFonts w:ascii="Verdana" w:hAnsi="Verdana" w:cs="Times New Roman"/>
          <w:sz w:val="20"/>
          <w:szCs w:val="20"/>
          <w:lang w:val="es-CR"/>
        </w:rPr>
      </w:pPr>
      <w:r w:rsidRPr="00744CE4">
        <w:rPr>
          <w:rFonts w:ascii="Verdana" w:hAnsi="Verdana" w:cs="Times New Roman"/>
          <w:sz w:val="20"/>
          <w:szCs w:val="20"/>
          <w:lang w:val="es-ES"/>
        </w:rPr>
        <w:t>Si por causas atribuibles a los beneficiarios de las indemnizaciones o a sus derechohabientes no fuese posible el pago de las cantidades determinadas dentro del plazo indicado, el Estado consignará dichos montos a su favor en una cuenta o certificado de depósito en una institución financiera mexicana solvente, en dólares estadounidenses, y en las condiciones financieras más favorables que permitan la legislación y la práctica bancaria. Si no se reclama la indemnización correspondiente una vez transcurridos diez años, las cantidades serán devueltas al Estado con los intereses devengados.</w:t>
      </w:r>
    </w:p>
    <w:p w14:paraId="7E267E19" w14:textId="77777777" w:rsidR="0030739A" w:rsidRPr="00744CE4" w:rsidRDefault="0030739A" w:rsidP="00DB378B">
      <w:pPr>
        <w:widowControl w:val="0"/>
        <w:numPr>
          <w:ilvl w:val="0"/>
          <w:numId w:val="4"/>
        </w:numPr>
        <w:tabs>
          <w:tab w:val="left" w:pos="567"/>
        </w:tabs>
        <w:autoSpaceDE w:val="0"/>
        <w:autoSpaceDN w:val="0"/>
        <w:adjustRightInd w:val="0"/>
        <w:spacing w:before="120" w:after="120" w:line="240" w:lineRule="auto"/>
        <w:ind w:left="0" w:firstLine="0"/>
        <w:jc w:val="both"/>
        <w:textAlignment w:val="baseline"/>
        <w:rPr>
          <w:rFonts w:ascii="Verdana" w:hAnsi="Verdana" w:cs="Times New Roman"/>
          <w:sz w:val="20"/>
          <w:szCs w:val="20"/>
          <w:lang w:val="es-CR"/>
        </w:rPr>
      </w:pPr>
      <w:r w:rsidRPr="00744CE4">
        <w:rPr>
          <w:rFonts w:ascii="Verdana" w:hAnsi="Verdana" w:cs="Times New Roman"/>
          <w:sz w:val="20"/>
          <w:szCs w:val="20"/>
          <w:lang w:val="es-ES"/>
        </w:rPr>
        <w:t>Las cantidades asignadas en la presente Sentencia como indemnización y como reintegro de costas y gastos deberán ser entregadas a las personas y organizaciones indicadas en forma íntegra, conforme a lo establecido en esta Sentencia, sin reducciones derivadas de eventuales cargas fiscales.</w:t>
      </w:r>
    </w:p>
    <w:p w14:paraId="717FC56B" w14:textId="4E9E67EB" w:rsidR="00545B0E" w:rsidRPr="00EA23AB" w:rsidRDefault="0030739A" w:rsidP="00545B0E">
      <w:pPr>
        <w:widowControl w:val="0"/>
        <w:numPr>
          <w:ilvl w:val="0"/>
          <w:numId w:val="4"/>
        </w:numPr>
        <w:tabs>
          <w:tab w:val="left" w:pos="567"/>
        </w:tabs>
        <w:autoSpaceDE w:val="0"/>
        <w:autoSpaceDN w:val="0"/>
        <w:adjustRightInd w:val="0"/>
        <w:spacing w:before="120" w:after="120" w:line="240" w:lineRule="auto"/>
        <w:ind w:left="0" w:firstLine="0"/>
        <w:jc w:val="both"/>
        <w:textAlignment w:val="baseline"/>
        <w:rPr>
          <w:rFonts w:ascii="Verdana" w:hAnsi="Verdana"/>
        </w:rPr>
      </w:pPr>
      <w:r w:rsidRPr="00744CE4">
        <w:rPr>
          <w:rFonts w:ascii="Verdana" w:hAnsi="Verdana" w:cs="Times New Roman"/>
          <w:spacing w:val="-2"/>
          <w:sz w:val="20"/>
          <w:szCs w:val="20"/>
          <w:lang w:val="es-CR"/>
        </w:rPr>
        <w:t xml:space="preserve">En caso de que el Estado incurriera en mora, incluyendo en el reintegro de los gastos al Fondo de Asistencia Legal de Víctimas, deberá pagar un interés sobre la cantidad adeudada, correspondiente al interés </w:t>
      </w:r>
      <w:r w:rsidRPr="00744CE4">
        <w:rPr>
          <w:rFonts w:ascii="Verdana" w:hAnsi="Verdana"/>
          <w:sz w:val="20"/>
          <w:szCs w:val="20"/>
        </w:rPr>
        <w:t>bancario</w:t>
      </w:r>
      <w:r w:rsidRPr="00744CE4">
        <w:rPr>
          <w:rFonts w:ascii="Verdana" w:hAnsi="Verdana" w:cs="Times New Roman"/>
          <w:spacing w:val="-2"/>
          <w:sz w:val="20"/>
          <w:szCs w:val="20"/>
          <w:lang w:val="es-CR"/>
        </w:rPr>
        <w:t xml:space="preserve"> moratorio en los Estados Unidos Mexicanos.</w:t>
      </w:r>
    </w:p>
    <w:p w14:paraId="002944A8" w14:textId="4EFA7DCB" w:rsidR="00C454B2" w:rsidRPr="00C90B3F" w:rsidRDefault="005D4977" w:rsidP="00BD6DD9">
      <w:pPr>
        <w:pStyle w:val="Heading1"/>
      </w:pPr>
      <w:bookmarkStart w:id="404" w:name="_Toc532995420"/>
      <w:r w:rsidRPr="00C90B3F">
        <w:t>IX</w:t>
      </w:r>
      <w:bookmarkEnd w:id="404"/>
    </w:p>
    <w:p w14:paraId="4DC58B63" w14:textId="1EB12A4E" w:rsidR="00545B0E" w:rsidRPr="00545B0E" w:rsidRDefault="00950A4B" w:rsidP="00EA23AB">
      <w:pPr>
        <w:pStyle w:val="Heading1"/>
      </w:pPr>
      <w:bookmarkStart w:id="405" w:name="_Toc532995421"/>
      <w:r w:rsidRPr="00C90B3F">
        <w:t>PUNTOS RESOLUTIVOS</w:t>
      </w:r>
      <w:bookmarkEnd w:id="405"/>
      <w:r w:rsidRPr="00C90B3F">
        <w:t xml:space="preserve"> </w:t>
      </w:r>
    </w:p>
    <w:p w14:paraId="1C060CA2" w14:textId="482A1AD9" w:rsidR="001A7B52" w:rsidRPr="005053BD" w:rsidRDefault="00887745" w:rsidP="008D0846">
      <w:pPr>
        <w:widowControl w:val="0"/>
        <w:numPr>
          <w:ilvl w:val="0"/>
          <w:numId w:val="4"/>
        </w:numPr>
        <w:tabs>
          <w:tab w:val="left" w:pos="567"/>
        </w:tabs>
        <w:autoSpaceDE w:val="0"/>
        <w:autoSpaceDN w:val="0"/>
        <w:adjustRightInd w:val="0"/>
        <w:spacing w:before="120" w:after="120" w:line="240" w:lineRule="auto"/>
        <w:ind w:left="0" w:firstLine="0"/>
        <w:jc w:val="both"/>
        <w:textAlignment w:val="baseline"/>
        <w:rPr>
          <w:spacing w:val="-2"/>
          <w:sz w:val="20"/>
          <w:szCs w:val="20"/>
          <w:lang w:val="es-CR"/>
        </w:rPr>
      </w:pPr>
      <w:r w:rsidRPr="0089411D">
        <w:rPr>
          <w:rFonts w:ascii="Verdana" w:hAnsi="Verdana" w:cs="Times New Roman"/>
          <w:spacing w:val="-2"/>
          <w:sz w:val="20"/>
          <w:szCs w:val="20"/>
          <w:lang w:val="es-CR"/>
        </w:rPr>
        <w:t>Por</w:t>
      </w:r>
      <w:r w:rsidRPr="0089411D">
        <w:rPr>
          <w:rFonts w:ascii="Verdana" w:hAnsi="Verdana"/>
          <w:spacing w:val="-2"/>
          <w:sz w:val="20"/>
          <w:szCs w:val="20"/>
          <w:lang w:val="es-CR"/>
        </w:rPr>
        <w:t xml:space="preserve"> tanto, </w:t>
      </w:r>
    </w:p>
    <w:p w14:paraId="4A1C79FB" w14:textId="77777777" w:rsidR="005053BD" w:rsidRPr="00E40B4F" w:rsidRDefault="005053BD" w:rsidP="005053BD">
      <w:pPr>
        <w:widowControl w:val="0"/>
        <w:tabs>
          <w:tab w:val="left" w:pos="567"/>
        </w:tabs>
        <w:autoSpaceDE w:val="0"/>
        <w:autoSpaceDN w:val="0"/>
        <w:adjustRightInd w:val="0"/>
        <w:spacing w:before="120" w:after="120" w:line="240" w:lineRule="auto"/>
        <w:jc w:val="both"/>
        <w:textAlignment w:val="baseline"/>
        <w:rPr>
          <w:spacing w:val="-2"/>
          <w:sz w:val="20"/>
          <w:szCs w:val="20"/>
          <w:lang w:val="es-CR"/>
        </w:rPr>
      </w:pPr>
    </w:p>
    <w:p w14:paraId="29076A32" w14:textId="367D96FC" w:rsidR="00887745" w:rsidRPr="0089411D" w:rsidRDefault="00887745" w:rsidP="00DB378B">
      <w:pPr>
        <w:pStyle w:val="Default"/>
        <w:jc w:val="both"/>
        <w:rPr>
          <w:spacing w:val="-2"/>
          <w:sz w:val="20"/>
          <w:szCs w:val="20"/>
          <w:lang w:val="es-CR"/>
        </w:rPr>
      </w:pPr>
      <w:r w:rsidRPr="006E7FD3">
        <w:rPr>
          <w:b/>
          <w:bCs/>
          <w:spacing w:val="-2"/>
          <w:sz w:val="20"/>
          <w:szCs w:val="20"/>
          <w:lang w:val="es-CR"/>
        </w:rPr>
        <w:t xml:space="preserve">LA CORTE </w:t>
      </w:r>
    </w:p>
    <w:p w14:paraId="76434A20" w14:textId="77777777" w:rsidR="00361707" w:rsidRDefault="00361707" w:rsidP="00DB378B">
      <w:pPr>
        <w:pStyle w:val="Default"/>
        <w:jc w:val="both"/>
        <w:rPr>
          <w:b/>
          <w:bCs/>
          <w:spacing w:val="-2"/>
          <w:sz w:val="20"/>
          <w:szCs w:val="20"/>
          <w:lang w:val="es-CR"/>
        </w:rPr>
      </w:pPr>
    </w:p>
    <w:p w14:paraId="43A969FD" w14:textId="0701C271" w:rsidR="00887745" w:rsidRDefault="00887745" w:rsidP="00DB378B">
      <w:pPr>
        <w:pStyle w:val="Default"/>
        <w:jc w:val="both"/>
        <w:rPr>
          <w:b/>
          <w:bCs/>
          <w:spacing w:val="-2"/>
          <w:sz w:val="20"/>
          <w:szCs w:val="20"/>
          <w:lang w:val="es-CR"/>
        </w:rPr>
      </w:pPr>
      <w:r w:rsidRPr="006E7FD3">
        <w:rPr>
          <w:b/>
          <w:bCs/>
          <w:spacing w:val="-2"/>
          <w:sz w:val="20"/>
          <w:szCs w:val="20"/>
          <w:lang w:val="es-CR"/>
        </w:rPr>
        <w:t xml:space="preserve">DECIDE, </w:t>
      </w:r>
    </w:p>
    <w:p w14:paraId="4923ADBA" w14:textId="2CE4DF88" w:rsidR="00A0093F" w:rsidRPr="006E7FD3" w:rsidRDefault="00A0093F" w:rsidP="00A0093F">
      <w:pPr>
        <w:tabs>
          <w:tab w:val="left" w:pos="720"/>
        </w:tabs>
        <w:spacing w:before="120" w:after="120" w:line="240" w:lineRule="auto"/>
        <w:jc w:val="both"/>
        <w:rPr>
          <w:rFonts w:ascii="Verdana" w:hAnsi="Verdana" w:cs="Verdana"/>
          <w:color w:val="000000"/>
          <w:spacing w:val="-2"/>
          <w:sz w:val="20"/>
          <w:szCs w:val="20"/>
          <w:lang w:val="es-EC"/>
        </w:rPr>
      </w:pPr>
      <w:r w:rsidRPr="006E7FD3">
        <w:rPr>
          <w:rFonts w:ascii="Verdana" w:hAnsi="Verdana" w:cs="Verdana"/>
          <w:color w:val="000000"/>
          <w:spacing w:val="-2"/>
          <w:sz w:val="20"/>
          <w:szCs w:val="20"/>
          <w:lang w:val="es-EC"/>
        </w:rPr>
        <w:t xml:space="preserve">por </w:t>
      </w:r>
      <w:r w:rsidR="0014352D">
        <w:rPr>
          <w:rFonts w:ascii="Verdana" w:hAnsi="Verdana"/>
          <w:spacing w:val="-2"/>
          <w:sz w:val="20"/>
          <w:szCs w:val="20"/>
          <w:lang w:val="es-AR"/>
        </w:rPr>
        <w:t>unanimidad</w:t>
      </w:r>
      <w:r w:rsidRPr="006E7FD3">
        <w:rPr>
          <w:rFonts w:ascii="Verdana" w:hAnsi="Verdana" w:cs="Verdana"/>
          <w:color w:val="000000"/>
          <w:spacing w:val="-2"/>
          <w:sz w:val="20"/>
          <w:szCs w:val="20"/>
          <w:lang w:val="es-EC"/>
        </w:rPr>
        <w:t xml:space="preserve"> que:</w:t>
      </w:r>
    </w:p>
    <w:p w14:paraId="0E866A2C" w14:textId="5BD31CC6" w:rsidR="00887745" w:rsidRPr="0089411D" w:rsidRDefault="00887745" w:rsidP="0089411D">
      <w:pPr>
        <w:pStyle w:val="Default"/>
        <w:numPr>
          <w:ilvl w:val="0"/>
          <w:numId w:val="84"/>
        </w:numPr>
        <w:tabs>
          <w:tab w:val="left" w:pos="567"/>
        </w:tabs>
        <w:spacing w:before="120" w:after="120"/>
        <w:ind w:left="0" w:firstLine="0"/>
        <w:jc w:val="both"/>
        <w:rPr>
          <w:spacing w:val="-2"/>
          <w:sz w:val="20"/>
          <w:szCs w:val="20"/>
          <w:lang w:val="es-AR"/>
        </w:rPr>
      </w:pPr>
      <w:r w:rsidRPr="006E7FD3">
        <w:rPr>
          <w:spacing w:val="-2"/>
          <w:sz w:val="20"/>
          <w:szCs w:val="20"/>
          <w:lang w:val="es-AR"/>
        </w:rPr>
        <w:t xml:space="preserve">Aceptar el reconocimiento de responsabilidad internacional efectuado por el Estado, en los términos de los párrafos </w:t>
      </w:r>
      <w:r w:rsidR="00EE2C64">
        <w:rPr>
          <w:spacing w:val="-2"/>
          <w:sz w:val="20"/>
          <w:szCs w:val="20"/>
          <w:lang w:val="es-AR"/>
        </w:rPr>
        <w:t>31</w:t>
      </w:r>
      <w:r w:rsidRPr="006E7FD3">
        <w:rPr>
          <w:spacing w:val="-2"/>
          <w:sz w:val="20"/>
          <w:szCs w:val="20"/>
          <w:lang w:val="es-AR"/>
        </w:rPr>
        <w:t xml:space="preserve"> a 4</w:t>
      </w:r>
      <w:r w:rsidR="00EE2C64">
        <w:rPr>
          <w:spacing w:val="-2"/>
          <w:sz w:val="20"/>
          <w:szCs w:val="20"/>
          <w:lang w:val="es-AR"/>
        </w:rPr>
        <w:t>4</w:t>
      </w:r>
      <w:r w:rsidRPr="006E7FD3">
        <w:rPr>
          <w:spacing w:val="-2"/>
          <w:sz w:val="20"/>
          <w:szCs w:val="20"/>
          <w:lang w:val="es-AR"/>
        </w:rPr>
        <w:t xml:space="preserve"> de la presente Sentencia. </w:t>
      </w:r>
    </w:p>
    <w:p w14:paraId="599BF8F4" w14:textId="4F079816" w:rsidR="00887745" w:rsidRDefault="00887745" w:rsidP="00DB378B">
      <w:pPr>
        <w:tabs>
          <w:tab w:val="num" w:pos="630"/>
          <w:tab w:val="left" w:pos="720"/>
        </w:tabs>
        <w:spacing w:after="0"/>
        <w:jc w:val="both"/>
        <w:rPr>
          <w:rFonts w:ascii="Verdana" w:hAnsi="Verdana" w:cs="Verdana"/>
          <w:b/>
          <w:color w:val="000000"/>
          <w:spacing w:val="-2"/>
          <w:sz w:val="20"/>
          <w:szCs w:val="20"/>
          <w:lang w:val="es-EC"/>
        </w:rPr>
      </w:pPr>
      <w:r w:rsidRPr="006E7FD3">
        <w:rPr>
          <w:rFonts w:ascii="Verdana" w:hAnsi="Verdana" w:cs="Verdana"/>
          <w:b/>
          <w:color w:val="000000"/>
          <w:spacing w:val="-2"/>
          <w:sz w:val="20"/>
          <w:szCs w:val="20"/>
          <w:lang w:val="es-EC"/>
        </w:rPr>
        <w:t>DECLARA,</w:t>
      </w:r>
    </w:p>
    <w:p w14:paraId="35BA320C" w14:textId="63601C87" w:rsidR="00A0093F" w:rsidRPr="006E7FD3" w:rsidRDefault="00A0093F" w:rsidP="00A0093F">
      <w:pPr>
        <w:tabs>
          <w:tab w:val="left" w:pos="720"/>
        </w:tabs>
        <w:spacing w:before="120" w:after="120" w:line="240" w:lineRule="auto"/>
        <w:jc w:val="both"/>
        <w:rPr>
          <w:rFonts w:ascii="Verdana" w:hAnsi="Verdana" w:cs="Verdana"/>
          <w:color w:val="000000"/>
          <w:spacing w:val="-2"/>
          <w:sz w:val="20"/>
          <w:szCs w:val="20"/>
          <w:lang w:val="es-EC"/>
        </w:rPr>
      </w:pPr>
      <w:r w:rsidRPr="006E7FD3">
        <w:rPr>
          <w:rFonts w:ascii="Verdana" w:hAnsi="Verdana" w:cs="Verdana"/>
          <w:color w:val="000000"/>
          <w:spacing w:val="-2"/>
          <w:sz w:val="20"/>
          <w:szCs w:val="20"/>
          <w:lang w:val="es-EC"/>
        </w:rPr>
        <w:t xml:space="preserve">por </w:t>
      </w:r>
      <w:r w:rsidR="0014352D">
        <w:rPr>
          <w:rFonts w:ascii="Verdana" w:hAnsi="Verdana"/>
          <w:spacing w:val="-2"/>
          <w:sz w:val="20"/>
          <w:szCs w:val="20"/>
          <w:lang w:val="es-AR"/>
        </w:rPr>
        <w:t>unanimidad</w:t>
      </w:r>
      <w:r w:rsidRPr="006E7FD3">
        <w:rPr>
          <w:rFonts w:ascii="Verdana" w:hAnsi="Verdana" w:cs="Verdana"/>
          <w:color w:val="000000"/>
          <w:spacing w:val="-2"/>
          <w:sz w:val="20"/>
          <w:szCs w:val="20"/>
          <w:lang w:val="es-EC"/>
        </w:rPr>
        <w:t xml:space="preserve"> que:</w:t>
      </w:r>
    </w:p>
    <w:p w14:paraId="6ED81FA4" w14:textId="0A51E798" w:rsidR="00887745" w:rsidRPr="00BD6DD9" w:rsidRDefault="00887745" w:rsidP="0089411D">
      <w:pPr>
        <w:pStyle w:val="Default"/>
        <w:numPr>
          <w:ilvl w:val="0"/>
          <w:numId w:val="84"/>
        </w:numPr>
        <w:tabs>
          <w:tab w:val="left" w:pos="567"/>
        </w:tabs>
        <w:spacing w:before="120" w:after="120"/>
        <w:ind w:left="0" w:firstLine="0"/>
        <w:jc w:val="both"/>
        <w:rPr>
          <w:sz w:val="20"/>
          <w:szCs w:val="20"/>
          <w:lang w:val="es-ES"/>
        </w:rPr>
      </w:pPr>
      <w:r w:rsidRPr="006E7FD3">
        <w:rPr>
          <w:sz w:val="20"/>
          <w:szCs w:val="20"/>
          <w:lang w:val="es-CR" w:eastAsia="es-CR"/>
        </w:rPr>
        <w:t xml:space="preserve">El Estado es responsable </w:t>
      </w:r>
      <w:r w:rsidRPr="006E7FD3">
        <w:rPr>
          <w:sz w:val="20"/>
          <w:szCs w:val="20"/>
          <w:lang w:val="es-ES"/>
        </w:rPr>
        <w:t xml:space="preserve">por la desaparición forzada de Nitza Paola Alvarado Espinoza, José Ángel Alvarado Herrera y Rocío Irene Alvarado Reyes y, en consecuencia, por la violación de los derechos al reconocimiento de la personalidad jurídica, a la vida, a la integridad personal y a la libertad personal, reconocidos en los artículos 3, 4.1, 5.1, 5.2 y 7 de la Convención Americana, en relación con el artículo 1.1 de la misma y con lo dispuesto en el artículo I.a de la </w:t>
      </w:r>
      <w:r w:rsidRPr="006E7FD3">
        <w:rPr>
          <w:sz w:val="20"/>
          <w:szCs w:val="20"/>
          <w:lang w:val="es-ES"/>
        </w:rPr>
        <w:lastRenderedPageBreak/>
        <w:t xml:space="preserve">Convención Interamericana sobre Desaparición Forzada, en perjuicio de </w:t>
      </w:r>
      <w:r w:rsidR="00EE2C64">
        <w:rPr>
          <w:sz w:val="20"/>
          <w:szCs w:val="20"/>
          <w:lang w:val="es-ES"/>
        </w:rPr>
        <w:t>los desaparecidos</w:t>
      </w:r>
      <w:r w:rsidRPr="006E7FD3">
        <w:rPr>
          <w:sz w:val="20"/>
          <w:szCs w:val="20"/>
          <w:lang w:val="es-ES"/>
        </w:rPr>
        <w:t xml:space="preserve">, en los términos de los párrafos </w:t>
      </w:r>
      <w:r w:rsidR="00EE2C64">
        <w:rPr>
          <w:sz w:val="20"/>
          <w:szCs w:val="20"/>
          <w:lang w:val="es-ES"/>
        </w:rPr>
        <w:t>164</w:t>
      </w:r>
      <w:r w:rsidRPr="006E7FD3">
        <w:rPr>
          <w:sz w:val="20"/>
          <w:szCs w:val="20"/>
          <w:lang w:val="es-ES"/>
        </w:rPr>
        <w:t xml:space="preserve"> a </w:t>
      </w:r>
      <w:r w:rsidR="00EE2C64">
        <w:rPr>
          <w:sz w:val="20"/>
          <w:szCs w:val="20"/>
          <w:lang w:val="es-ES"/>
        </w:rPr>
        <w:t>205</w:t>
      </w:r>
      <w:r w:rsidRPr="006E7FD3">
        <w:rPr>
          <w:sz w:val="20"/>
          <w:szCs w:val="20"/>
          <w:lang w:val="es-ES"/>
        </w:rPr>
        <w:t xml:space="preserve"> de esta Sentencia. </w:t>
      </w:r>
    </w:p>
    <w:p w14:paraId="60AC456E" w14:textId="282536A3" w:rsidR="00887745" w:rsidRPr="00B85CF1" w:rsidRDefault="00887745" w:rsidP="00B85CF1">
      <w:pPr>
        <w:pStyle w:val="Default"/>
        <w:numPr>
          <w:ilvl w:val="0"/>
          <w:numId w:val="84"/>
        </w:numPr>
        <w:tabs>
          <w:tab w:val="left" w:pos="567"/>
        </w:tabs>
        <w:spacing w:before="120" w:after="120"/>
        <w:ind w:left="0" w:firstLine="0"/>
        <w:jc w:val="both"/>
        <w:rPr>
          <w:spacing w:val="-2"/>
          <w:sz w:val="20"/>
          <w:szCs w:val="20"/>
          <w:lang w:val="es-PR"/>
        </w:rPr>
      </w:pPr>
      <w:r w:rsidRPr="00B85CF1">
        <w:rPr>
          <w:sz w:val="20"/>
          <w:szCs w:val="20"/>
          <w:lang w:val="es-CR" w:eastAsia="es-CR"/>
        </w:rPr>
        <w:t xml:space="preserve">El </w:t>
      </w:r>
      <w:r w:rsidRPr="00B85CF1">
        <w:rPr>
          <w:sz w:val="20"/>
          <w:szCs w:val="20"/>
          <w:lang w:val="es-ES"/>
        </w:rPr>
        <w:t xml:space="preserve">Estado es responsable por la violación </w:t>
      </w:r>
      <w:r w:rsidR="00D914DE">
        <w:rPr>
          <w:sz w:val="20"/>
          <w:szCs w:val="20"/>
          <w:lang w:val="es-ES"/>
        </w:rPr>
        <w:t>al acceso a la justicia, de conformidad con</w:t>
      </w:r>
      <w:r w:rsidR="00B85CF1">
        <w:rPr>
          <w:sz w:val="20"/>
          <w:szCs w:val="20"/>
          <w:lang w:val="es-ES"/>
        </w:rPr>
        <w:t xml:space="preserve"> los derechos a las garantías judiciales y protección judicial, reconocidos en los </w:t>
      </w:r>
      <w:r w:rsidR="00B85CF1" w:rsidRPr="00B85CF1">
        <w:rPr>
          <w:sz w:val="20"/>
          <w:szCs w:val="20"/>
          <w:lang w:val="es-ES"/>
        </w:rPr>
        <w:t xml:space="preserve">artículos 8 y 25 </w:t>
      </w:r>
      <w:r w:rsidR="00AB74B2">
        <w:rPr>
          <w:sz w:val="20"/>
          <w:szCs w:val="20"/>
          <w:lang w:val="es-ES"/>
        </w:rPr>
        <w:t xml:space="preserve">de la Convención Americana, así como del </w:t>
      </w:r>
      <w:r w:rsidRPr="00B85CF1">
        <w:rPr>
          <w:sz w:val="20"/>
          <w:szCs w:val="20"/>
          <w:lang w:val="es-ES"/>
        </w:rPr>
        <w:t>deber de adoptar medidas</w:t>
      </w:r>
      <w:r w:rsidR="00D914DE">
        <w:rPr>
          <w:sz w:val="20"/>
          <w:szCs w:val="20"/>
          <w:lang w:val="es-ES"/>
        </w:rPr>
        <w:t xml:space="preserve"> internas</w:t>
      </w:r>
      <w:r w:rsidRPr="00B85CF1">
        <w:rPr>
          <w:sz w:val="20"/>
          <w:szCs w:val="20"/>
          <w:lang w:val="es-ES"/>
        </w:rPr>
        <w:t>, reconocido en el artículo 2 de la Convención Americana</w:t>
      </w:r>
      <w:r w:rsidR="00AB74B2">
        <w:rPr>
          <w:sz w:val="20"/>
          <w:szCs w:val="20"/>
          <w:lang w:val="es-ES"/>
        </w:rPr>
        <w:t>,</w:t>
      </w:r>
      <w:r w:rsidR="00361707">
        <w:rPr>
          <w:sz w:val="20"/>
          <w:szCs w:val="20"/>
          <w:lang w:val="es-ES"/>
        </w:rPr>
        <w:t xml:space="preserve"> </w:t>
      </w:r>
      <w:r w:rsidR="00361707" w:rsidRPr="0012282C">
        <w:rPr>
          <w:sz w:val="20"/>
          <w:szCs w:val="20"/>
          <w:lang w:val="es-ES"/>
        </w:rPr>
        <w:t>y los artículos I.b y IX de la Convención Interamericana sobre Desaparición Forzada de Personas,</w:t>
      </w:r>
      <w:r w:rsidRPr="00B85CF1">
        <w:rPr>
          <w:sz w:val="20"/>
          <w:szCs w:val="20"/>
          <w:lang w:val="es-ES"/>
        </w:rPr>
        <w:t xml:space="preserve"> en perjuicio de </w:t>
      </w:r>
      <w:r w:rsidR="00262F3F" w:rsidRPr="00B85CF1">
        <w:rPr>
          <w:sz w:val="20"/>
          <w:szCs w:val="20"/>
          <w:lang w:val="es-ES"/>
        </w:rPr>
        <w:t>las personas desaparecidas</w:t>
      </w:r>
      <w:r w:rsidRPr="00B85CF1">
        <w:rPr>
          <w:sz w:val="20"/>
          <w:szCs w:val="20"/>
          <w:lang w:val="es-ES"/>
        </w:rPr>
        <w:t xml:space="preserve">, en los términos de los párrafos </w:t>
      </w:r>
      <w:r w:rsidR="00E36F10">
        <w:rPr>
          <w:sz w:val="20"/>
          <w:szCs w:val="20"/>
          <w:lang w:val="es-ES"/>
        </w:rPr>
        <w:t>212</w:t>
      </w:r>
      <w:r w:rsidRPr="00B85CF1">
        <w:rPr>
          <w:sz w:val="20"/>
          <w:szCs w:val="20"/>
          <w:lang w:val="es-ES"/>
        </w:rPr>
        <w:t xml:space="preserve"> a </w:t>
      </w:r>
      <w:r w:rsidR="00E36F10">
        <w:rPr>
          <w:sz w:val="20"/>
          <w:szCs w:val="20"/>
          <w:lang w:val="es-ES"/>
        </w:rPr>
        <w:t>259</w:t>
      </w:r>
      <w:r w:rsidRPr="00B85CF1">
        <w:rPr>
          <w:sz w:val="20"/>
          <w:szCs w:val="20"/>
          <w:lang w:val="es-ES"/>
        </w:rPr>
        <w:t xml:space="preserve"> de esta Sentencia.  </w:t>
      </w:r>
    </w:p>
    <w:p w14:paraId="613D60F9" w14:textId="1B4B0EB1" w:rsidR="00887745" w:rsidRPr="0089411D" w:rsidRDefault="00887745" w:rsidP="0089411D">
      <w:pPr>
        <w:pStyle w:val="Default"/>
        <w:numPr>
          <w:ilvl w:val="0"/>
          <w:numId w:val="84"/>
        </w:numPr>
        <w:tabs>
          <w:tab w:val="left" w:pos="567"/>
        </w:tabs>
        <w:spacing w:before="120" w:after="120"/>
        <w:ind w:left="0" w:firstLine="0"/>
        <w:jc w:val="both"/>
        <w:rPr>
          <w:spacing w:val="-2"/>
          <w:sz w:val="20"/>
          <w:szCs w:val="20"/>
          <w:lang w:val="es-PR"/>
        </w:rPr>
      </w:pPr>
      <w:r w:rsidRPr="006E7FD3">
        <w:rPr>
          <w:sz w:val="20"/>
          <w:szCs w:val="20"/>
          <w:lang w:val="es-CR" w:eastAsia="es-CR"/>
        </w:rPr>
        <w:t xml:space="preserve">El </w:t>
      </w:r>
      <w:r w:rsidRPr="006E7FD3">
        <w:rPr>
          <w:sz w:val="20"/>
          <w:szCs w:val="20"/>
          <w:lang w:val="es-ES"/>
        </w:rPr>
        <w:t>Estado es responsable por la violación del derecho a la integridad personal, reconocido en el artículo 5.1 de la Convención Americana, en relación con el artículo 1.1 de la misma, en perjuicio de</w:t>
      </w:r>
      <w:r w:rsidR="00BD6DD9">
        <w:rPr>
          <w:sz w:val="20"/>
          <w:szCs w:val="20"/>
          <w:lang w:val="es-ES"/>
        </w:rPr>
        <w:t xml:space="preserve"> </w:t>
      </w:r>
      <w:r w:rsidRPr="006E7FD3">
        <w:rPr>
          <w:sz w:val="20"/>
          <w:szCs w:val="20"/>
          <w:lang w:val="es-ES"/>
        </w:rPr>
        <w:t>los familiares directos de las víctimas desaparecidas</w:t>
      </w:r>
      <w:r w:rsidR="00262F3F">
        <w:rPr>
          <w:sz w:val="20"/>
          <w:szCs w:val="20"/>
          <w:lang w:val="es-ES"/>
        </w:rPr>
        <w:t xml:space="preserve"> </w:t>
      </w:r>
      <w:r w:rsidR="00262F3F" w:rsidRPr="006E7FD3">
        <w:rPr>
          <w:sz w:val="20"/>
          <w:szCs w:val="20"/>
          <w:lang w:val="es-ES"/>
        </w:rPr>
        <w:t>identificados</w:t>
      </w:r>
      <w:r w:rsidR="00A57D94">
        <w:rPr>
          <w:sz w:val="20"/>
          <w:szCs w:val="20"/>
          <w:lang w:val="es-ES"/>
        </w:rPr>
        <w:t>,</w:t>
      </w:r>
      <w:r w:rsidR="00262F3F" w:rsidRPr="006E7FD3">
        <w:rPr>
          <w:sz w:val="20"/>
          <w:szCs w:val="20"/>
          <w:lang w:val="es-ES"/>
        </w:rPr>
        <w:t xml:space="preserve"> </w:t>
      </w:r>
      <w:r w:rsidR="00EC25B7" w:rsidRPr="006E7FD3">
        <w:rPr>
          <w:sz w:val="20"/>
          <w:szCs w:val="20"/>
          <w:lang w:val="es-ES"/>
        </w:rPr>
        <w:t xml:space="preserve">en los términos de los párrafos </w:t>
      </w:r>
      <w:r w:rsidR="00E36F10">
        <w:rPr>
          <w:sz w:val="20"/>
          <w:szCs w:val="20"/>
          <w:lang w:val="es-ES"/>
        </w:rPr>
        <w:t>265</w:t>
      </w:r>
      <w:r w:rsidR="00EC25B7" w:rsidRPr="006E7FD3">
        <w:rPr>
          <w:sz w:val="20"/>
          <w:szCs w:val="20"/>
          <w:lang w:val="es-ES"/>
        </w:rPr>
        <w:t xml:space="preserve"> a </w:t>
      </w:r>
      <w:r w:rsidR="00E36F10">
        <w:rPr>
          <w:sz w:val="20"/>
          <w:szCs w:val="20"/>
          <w:lang w:val="es-ES"/>
        </w:rPr>
        <w:t>267</w:t>
      </w:r>
      <w:r w:rsidR="00EC25B7" w:rsidRPr="006E7FD3">
        <w:rPr>
          <w:sz w:val="20"/>
          <w:szCs w:val="20"/>
          <w:lang w:val="es-ES"/>
        </w:rPr>
        <w:t xml:space="preserve"> de esta Sentencia</w:t>
      </w:r>
      <w:r w:rsidR="00262F3F" w:rsidRPr="006E7FD3">
        <w:rPr>
          <w:sz w:val="20"/>
          <w:szCs w:val="20"/>
          <w:lang w:val="es-ES"/>
        </w:rPr>
        <w:t xml:space="preserve">, </w:t>
      </w:r>
      <w:r w:rsidR="00262F3F">
        <w:rPr>
          <w:sz w:val="20"/>
          <w:szCs w:val="20"/>
          <w:lang w:val="es-ES"/>
        </w:rPr>
        <w:t>así como</w:t>
      </w:r>
      <w:r w:rsidR="00BD6DD9">
        <w:rPr>
          <w:sz w:val="20"/>
          <w:szCs w:val="20"/>
          <w:lang w:val="es-ES"/>
        </w:rPr>
        <w:t xml:space="preserve"> </w:t>
      </w:r>
      <w:r w:rsidR="00EC25B7">
        <w:rPr>
          <w:sz w:val="20"/>
          <w:szCs w:val="20"/>
          <w:lang w:val="es-ES"/>
        </w:rPr>
        <w:t xml:space="preserve">en lo particular </w:t>
      </w:r>
      <w:r w:rsidR="00BD6DD9" w:rsidRPr="006E7FD3">
        <w:rPr>
          <w:sz w:val="20"/>
          <w:szCs w:val="20"/>
          <w:lang w:val="es-ES"/>
        </w:rPr>
        <w:t>de José Ángel Alvarado Fa</w:t>
      </w:r>
      <w:r w:rsidR="00B82930">
        <w:rPr>
          <w:sz w:val="20"/>
          <w:szCs w:val="20"/>
          <w:lang w:val="es-ES"/>
        </w:rPr>
        <w:t>b</w:t>
      </w:r>
      <w:r w:rsidR="00BD6DD9" w:rsidRPr="006E7FD3">
        <w:rPr>
          <w:sz w:val="20"/>
          <w:szCs w:val="20"/>
          <w:lang w:val="es-ES"/>
        </w:rPr>
        <w:t xml:space="preserve">ela y Jaime Alvarado, </w:t>
      </w:r>
      <w:r w:rsidR="00262F3F">
        <w:rPr>
          <w:sz w:val="20"/>
          <w:szCs w:val="20"/>
          <w:lang w:val="es-ES"/>
        </w:rPr>
        <w:t>y</w:t>
      </w:r>
      <w:r w:rsidR="00BD6DD9" w:rsidRPr="006E7FD3">
        <w:rPr>
          <w:sz w:val="20"/>
          <w:szCs w:val="20"/>
          <w:lang w:val="es-ES"/>
        </w:rPr>
        <w:t xml:space="preserve"> de sus grupos familiares</w:t>
      </w:r>
      <w:r w:rsidRPr="006E7FD3">
        <w:rPr>
          <w:sz w:val="20"/>
          <w:szCs w:val="20"/>
          <w:lang w:val="es-ES"/>
        </w:rPr>
        <w:t xml:space="preserve">, en los términos de los párrafos </w:t>
      </w:r>
      <w:r w:rsidR="00E36F10">
        <w:rPr>
          <w:sz w:val="20"/>
          <w:szCs w:val="20"/>
          <w:lang w:val="es-ES"/>
        </w:rPr>
        <w:t>268</w:t>
      </w:r>
      <w:r w:rsidRPr="006E7FD3">
        <w:rPr>
          <w:sz w:val="20"/>
          <w:szCs w:val="20"/>
          <w:lang w:val="es-ES"/>
        </w:rPr>
        <w:t xml:space="preserve"> a </w:t>
      </w:r>
      <w:r w:rsidR="00E36F10">
        <w:rPr>
          <w:sz w:val="20"/>
          <w:szCs w:val="20"/>
          <w:lang w:val="es-ES"/>
        </w:rPr>
        <w:t>271</w:t>
      </w:r>
      <w:r w:rsidRPr="006E7FD3">
        <w:rPr>
          <w:sz w:val="20"/>
          <w:szCs w:val="20"/>
          <w:lang w:val="es-ES"/>
        </w:rPr>
        <w:t xml:space="preserve"> de esta Sentencia.</w:t>
      </w:r>
    </w:p>
    <w:p w14:paraId="6A91C859" w14:textId="1F748B46" w:rsidR="00887745" w:rsidRPr="0089411D" w:rsidRDefault="00887745" w:rsidP="0089411D">
      <w:pPr>
        <w:pStyle w:val="Default"/>
        <w:numPr>
          <w:ilvl w:val="0"/>
          <w:numId w:val="84"/>
        </w:numPr>
        <w:tabs>
          <w:tab w:val="left" w:pos="567"/>
        </w:tabs>
        <w:spacing w:before="120" w:after="120"/>
        <w:ind w:left="0" w:firstLine="0"/>
        <w:jc w:val="both"/>
        <w:rPr>
          <w:spacing w:val="-2"/>
          <w:sz w:val="20"/>
          <w:szCs w:val="20"/>
          <w:lang w:val="es-PR"/>
        </w:rPr>
      </w:pPr>
      <w:r w:rsidRPr="006E7FD3">
        <w:rPr>
          <w:sz w:val="20"/>
          <w:szCs w:val="20"/>
          <w:lang w:val="es-CR" w:eastAsia="es-CR"/>
        </w:rPr>
        <w:t xml:space="preserve">El </w:t>
      </w:r>
      <w:r w:rsidRPr="006E7FD3">
        <w:rPr>
          <w:sz w:val="20"/>
          <w:szCs w:val="20"/>
          <w:lang w:val="es-ES"/>
        </w:rPr>
        <w:t xml:space="preserve">Estado es responsable por la violación de los derechos de circulación y residencia, reconocidos en los artículos 22 y 17 de la Convención Americana, en perjuicio de los grupos familiares identificados, en los términos de los párrafos </w:t>
      </w:r>
      <w:r w:rsidR="00E36F10">
        <w:rPr>
          <w:sz w:val="20"/>
          <w:szCs w:val="20"/>
          <w:lang w:val="es-ES"/>
        </w:rPr>
        <w:t>273</w:t>
      </w:r>
      <w:r w:rsidRPr="006E7FD3">
        <w:rPr>
          <w:sz w:val="20"/>
          <w:szCs w:val="20"/>
          <w:lang w:val="es-ES"/>
        </w:rPr>
        <w:t xml:space="preserve"> a </w:t>
      </w:r>
      <w:r w:rsidR="00E36F10">
        <w:rPr>
          <w:sz w:val="20"/>
          <w:szCs w:val="20"/>
          <w:lang w:val="es-ES"/>
        </w:rPr>
        <w:t>283</w:t>
      </w:r>
      <w:r w:rsidRPr="006E7FD3">
        <w:rPr>
          <w:sz w:val="20"/>
          <w:szCs w:val="20"/>
          <w:lang w:val="es-ES"/>
        </w:rPr>
        <w:t xml:space="preserve"> de esta Sentencia. </w:t>
      </w:r>
    </w:p>
    <w:p w14:paraId="760CB07B" w14:textId="3517EE51" w:rsidR="00887745" w:rsidRPr="00605079" w:rsidRDefault="00887745" w:rsidP="0089411D">
      <w:pPr>
        <w:pStyle w:val="Default"/>
        <w:numPr>
          <w:ilvl w:val="0"/>
          <w:numId w:val="84"/>
        </w:numPr>
        <w:tabs>
          <w:tab w:val="left" w:pos="567"/>
        </w:tabs>
        <w:spacing w:before="120" w:after="120"/>
        <w:ind w:left="0" w:firstLine="0"/>
        <w:jc w:val="both"/>
        <w:rPr>
          <w:spacing w:val="-2"/>
          <w:sz w:val="20"/>
          <w:szCs w:val="20"/>
          <w:lang w:val="es-PR"/>
        </w:rPr>
      </w:pPr>
      <w:r w:rsidRPr="00605079">
        <w:rPr>
          <w:sz w:val="20"/>
          <w:szCs w:val="20"/>
          <w:lang w:val="es-CR" w:eastAsia="es-CR"/>
        </w:rPr>
        <w:t xml:space="preserve">El </w:t>
      </w:r>
      <w:r w:rsidRPr="00605079">
        <w:rPr>
          <w:sz w:val="20"/>
          <w:szCs w:val="20"/>
          <w:lang w:val="es-ES"/>
        </w:rPr>
        <w:t xml:space="preserve">Estado es responsable por el incumplimiento del artículo 63.2 de la Convención Americana, en los términos del párrafo </w:t>
      </w:r>
      <w:r w:rsidR="00E36F10" w:rsidRPr="00605079">
        <w:rPr>
          <w:sz w:val="20"/>
          <w:szCs w:val="20"/>
          <w:lang w:val="es-ES"/>
        </w:rPr>
        <w:t>283</w:t>
      </w:r>
      <w:r w:rsidRPr="00C368C2">
        <w:rPr>
          <w:sz w:val="20"/>
          <w:szCs w:val="20"/>
          <w:lang w:val="es-ES"/>
        </w:rPr>
        <w:t xml:space="preserve"> de esta Sentencia. </w:t>
      </w:r>
    </w:p>
    <w:p w14:paraId="5D3BCE7C" w14:textId="77777777" w:rsidR="000C553D" w:rsidRPr="000C553D" w:rsidRDefault="00887745" w:rsidP="000C553D">
      <w:pPr>
        <w:pStyle w:val="Default"/>
        <w:numPr>
          <w:ilvl w:val="0"/>
          <w:numId w:val="84"/>
        </w:numPr>
        <w:tabs>
          <w:tab w:val="left" w:pos="567"/>
        </w:tabs>
        <w:spacing w:before="120" w:after="120"/>
        <w:ind w:left="0" w:firstLine="0"/>
        <w:jc w:val="both"/>
        <w:rPr>
          <w:spacing w:val="-2"/>
          <w:sz w:val="20"/>
          <w:szCs w:val="20"/>
          <w:lang w:val="es-PR"/>
        </w:rPr>
      </w:pPr>
      <w:r w:rsidRPr="006E7FD3">
        <w:rPr>
          <w:sz w:val="20"/>
          <w:szCs w:val="20"/>
          <w:lang w:val="es-CR" w:eastAsia="es-CR"/>
        </w:rPr>
        <w:t xml:space="preserve">El </w:t>
      </w:r>
      <w:r w:rsidRPr="006E7FD3">
        <w:rPr>
          <w:sz w:val="20"/>
          <w:szCs w:val="20"/>
          <w:lang w:val="es-ES"/>
        </w:rPr>
        <w:t xml:space="preserve">Estado no es responsable por la violación a los derechos a la protección de la honra y de la dignidad y derechos del niño, reconocidos en los artículos 11 y 19 de la Convención Americana, </w:t>
      </w:r>
      <w:r w:rsidR="00F55FBB" w:rsidRPr="006E7FD3">
        <w:rPr>
          <w:sz w:val="20"/>
          <w:szCs w:val="20"/>
          <w:lang w:val="es-ES"/>
        </w:rPr>
        <w:t xml:space="preserve">en los términos del párrafo </w:t>
      </w:r>
      <w:r w:rsidR="00E36F10">
        <w:rPr>
          <w:sz w:val="20"/>
          <w:szCs w:val="20"/>
          <w:lang w:val="es-ES"/>
        </w:rPr>
        <w:t>284</w:t>
      </w:r>
      <w:r w:rsidR="00F55FBB" w:rsidRPr="006E7FD3">
        <w:rPr>
          <w:sz w:val="20"/>
          <w:szCs w:val="20"/>
          <w:lang w:val="es-ES"/>
        </w:rPr>
        <w:t xml:space="preserve"> de esta Sentencia. </w:t>
      </w:r>
      <w:r w:rsidR="00F55FBB">
        <w:rPr>
          <w:sz w:val="20"/>
          <w:szCs w:val="20"/>
          <w:lang w:val="es-ES"/>
        </w:rPr>
        <w:t>Tampoco en relación con el artículo 7 de la Convención Interamericana para Prevenir, Sancionar y Erradicar la Violencia contra la Mujer</w:t>
      </w:r>
      <w:r w:rsidR="00E36F10">
        <w:rPr>
          <w:sz w:val="20"/>
          <w:szCs w:val="20"/>
          <w:lang w:val="es-ES"/>
        </w:rPr>
        <w:t>, en los términos del párrafo 248 de la misma</w:t>
      </w:r>
      <w:r w:rsidR="00F55FBB">
        <w:rPr>
          <w:sz w:val="20"/>
          <w:szCs w:val="20"/>
          <w:lang w:val="es-ES"/>
        </w:rPr>
        <w:t xml:space="preserve">. </w:t>
      </w:r>
    </w:p>
    <w:p w14:paraId="261E3318" w14:textId="5A6D4F00" w:rsidR="00887745" w:rsidRPr="000C553D" w:rsidRDefault="00887745" w:rsidP="000C553D">
      <w:pPr>
        <w:pStyle w:val="Default"/>
        <w:tabs>
          <w:tab w:val="left" w:pos="567"/>
        </w:tabs>
        <w:spacing w:before="120" w:after="120"/>
        <w:jc w:val="both"/>
        <w:rPr>
          <w:spacing w:val="-2"/>
          <w:sz w:val="20"/>
          <w:szCs w:val="20"/>
          <w:lang w:val="es-PR"/>
        </w:rPr>
      </w:pPr>
      <w:r w:rsidRPr="000C553D">
        <w:rPr>
          <w:b/>
          <w:spacing w:val="-2"/>
          <w:sz w:val="20"/>
          <w:szCs w:val="20"/>
          <w:lang w:val="es-GT"/>
        </w:rPr>
        <w:t>Y DISPONE,</w:t>
      </w:r>
    </w:p>
    <w:p w14:paraId="6F9AE074" w14:textId="3E94CC8A" w:rsidR="00887745" w:rsidRPr="006E7FD3" w:rsidRDefault="00887745" w:rsidP="0089411D">
      <w:pPr>
        <w:tabs>
          <w:tab w:val="left" w:pos="720"/>
        </w:tabs>
        <w:spacing w:before="120" w:after="120" w:line="240" w:lineRule="auto"/>
        <w:jc w:val="both"/>
        <w:rPr>
          <w:rFonts w:ascii="Verdana" w:hAnsi="Verdana" w:cs="Verdana"/>
          <w:color w:val="000000"/>
          <w:spacing w:val="-2"/>
          <w:sz w:val="20"/>
          <w:szCs w:val="20"/>
          <w:lang w:val="es-EC"/>
        </w:rPr>
      </w:pPr>
      <w:r w:rsidRPr="006E7FD3">
        <w:rPr>
          <w:rFonts w:ascii="Verdana" w:hAnsi="Verdana" w:cs="Verdana"/>
          <w:color w:val="000000"/>
          <w:spacing w:val="-2"/>
          <w:sz w:val="20"/>
          <w:szCs w:val="20"/>
          <w:lang w:val="es-EC"/>
        </w:rPr>
        <w:t xml:space="preserve">por </w:t>
      </w:r>
      <w:r w:rsidR="0014352D">
        <w:rPr>
          <w:rFonts w:ascii="Verdana" w:hAnsi="Verdana"/>
          <w:spacing w:val="-2"/>
          <w:sz w:val="20"/>
          <w:szCs w:val="20"/>
          <w:lang w:val="es-AR"/>
        </w:rPr>
        <w:t xml:space="preserve">unanimidad </w:t>
      </w:r>
      <w:r w:rsidRPr="006E7FD3">
        <w:rPr>
          <w:rFonts w:ascii="Verdana" w:hAnsi="Verdana" w:cs="Verdana"/>
          <w:color w:val="000000"/>
          <w:spacing w:val="-2"/>
          <w:sz w:val="20"/>
          <w:szCs w:val="20"/>
          <w:lang w:val="es-EC"/>
        </w:rPr>
        <w:t>que:</w:t>
      </w:r>
    </w:p>
    <w:p w14:paraId="0F4D7FDB" w14:textId="01344696" w:rsidR="00887745" w:rsidRDefault="00887745" w:rsidP="0089411D">
      <w:pPr>
        <w:pStyle w:val="Default"/>
        <w:numPr>
          <w:ilvl w:val="0"/>
          <w:numId w:val="84"/>
        </w:numPr>
        <w:tabs>
          <w:tab w:val="left" w:pos="567"/>
        </w:tabs>
        <w:spacing w:before="120" w:after="120"/>
        <w:ind w:left="0" w:firstLine="0"/>
        <w:jc w:val="both"/>
        <w:rPr>
          <w:spacing w:val="-2"/>
          <w:sz w:val="20"/>
          <w:szCs w:val="20"/>
          <w:lang w:val="es-PR"/>
        </w:rPr>
      </w:pPr>
      <w:r w:rsidRPr="006E7FD3">
        <w:rPr>
          <w:spacing w:val="-2"/>
          <w:sz w:val="20"/>
          <w:szCs w:val="20"/>
          <w:lang w:val="es-PR"/>
        </w:rPr>
        <w:t xml:space="preserve">Esta </w:t>
      </w:r>
      <w:r w:rsidRPr="006E7FD3">
        <w:rPr>
          <w:spacing w:val="-2"/>
          <w:sz w:val="20"/>
          <w:szCs w:val="20"/>
          <w:lang w:val="es-GT" w:eastAsia="es-ES"/>
        </w:rPr>
        <w:t>Sentencia</w:t>
      </w:r>
      <w:r w:rsidRPr="006E7FD3">
        <w:rPr>
          <w:spacing w:val="-2"/>
          <w:sz w:val="20"/>
          <w:szCs w:val="20"/>
          <w:lang w:val="es-PR"/>
        </w:rPr>
        <w:t xml:space="preserve"> constituye </w:t>
      </w:r>
      <w:r w:rsidRPr="006E7FD3">
        <w:rPr>
          <w:i/>
          <w:spacing w:val="-2"/>
          <w:sz w:val="20"/>
          <w:szCs w:val="20"/>
          <w:lang w:val="es-PR"/>
        </w:rPr>
        <w:t>per se</w:t>
      </w:r>
      <w:r w:rsidRPr="006E7FD3">
        <w:rPr>
          <w:spacing w:val="-2"/>
          <w:sz w:val="20"/>
          <w:szCs w:val="20"/>
          <w:lang w:val="es-PR"/>
        </w:rPr>
        <w:t xml:space="preserve"> una forma de reparación. </w:t>
      </w:r>
    </w:p>
    <w:p w14:paraId="4BBFDE81" w14:textId="685859D0" w:rsidR="00654518" w:rsidRPr="00BD6DD9" w:rsidRDefault="00654518" w:rsidP="0089411D">
      <w:pPr>
        <w:pStyle w:val="Default"/>
        <w:numPr>
          <w:ilvl w:val="0"/>
          <w:numId w:val="84"/>
        </w:numPr>
        <w:tabs>
          <w:tab w:val="left" w:pos="567"/>
        </w:tabs>
        <w:spacing w:before="120" w:after="120"/>
        <w:ind w:left="0" w:firstLine="0"/>
        <w:jc w:val="both"/>
        <w:rPr>
          <w:spacing w:val="-2"/>
          <w:sz w:val="20"/>
          <w:szCs w:val="20"/>
          <w:lang w:val="es-PR"/>
        </w:rPr>
      </w:pPr>
      <w:r>
        <w:rPr>
          <w:spacing w:val="-2"/>
          <w:sz w:val="20"/>
          <w:szCs w:val="20"/>
          <w:lang w:val="es-PR"/>
        </w:rPr>
        <w:t xml:space="preserve">Dejar sin efecto las Medidas Provisionales en el </w:t>
      </w:r>
      <w:r w:rsidRPr="008D0846">
        <w:rPr>
          <w:i/>
          <w:spacing w:val="-2"/>
          <w:sz w:val="20"/>
          <w:szCs w:val="20"/>
          <w:lang w:val="es-PR"/>
        </w:rPr>
        <w:t>Asunto Alvarado Reyes respecto de México</w:t>
      </w:r>
      <w:r>
        <w:rPr>
          <w:spacing w:val="-2"/>
          <w:sz w:val="20"/>
          <w:szCs w:val="20"/>
          <w:lang w:val="es-PR"/>
        </w:rPr>
        <w:t xml:space="preserve">, en los términos de los párrafos 289 a 291. </w:t>
      </w:r>
    </w:p>
    <w:p w14:paraId="3B6F2AB9" w14:textId="210D733F" w:rsidR="00887745" w:rsidRPr="0089411D" w:rsidRDefault="00887745" w:rsidP="0089411D">
      <w:pPr>
        <w:pStyle w:val="Default"/>
        <w:numPr>
          <w:ilvl w:val="0"/>
          <w:numId w:val="84"/>
        </w:numPr>
        <w:tabs>
          <w:tab w:val="left" w:pos="567"/>
        </w:tabs>
        <w:spacing w:before="120" w:after="120"/>
        <w:ind w:left="0" w:firstLine="0"/>
        <w:jc w:val="both"/>
        <w:rPr>
          <w:spacing w:val="-2"/>
          <w:sz w:val="20"/>
          <w:szCs w:val="20"/>
          <w:lang w:val="es-PR"/>
        </w:rPr>
      </w:pPr>
      <w:r w:rsidRPr="006E7FD3">
        <w:rPr>
          <w:spacing w:val="-2"/>
          <w:sz w:val="20"/>
          <w:szCs w:val="20"/>
          <w:lang w:val="es-PR"/>
        </w:rPr>
        <w:t>E</w:t>
      </w:r>
      <w:r w:rsidRPr="006E7FD3">
        <w:rPr>
          <w:spacing w:val="-2"/>
          <w:sz w:val="20"/>
          <w:szCs w:val="20"/>
          <w:lang w:val="es-CR"/>
        </w:rPr>
        <w:t xml:space="preserve">l Estado debe </w:t>
      </w:r>
      <w:r w:rsidR="00BD6DD9">
        <w:rPr>
          <w:rFonts w:cs="Times New Roman"/>
          <w:sz w:val="20"/>
          <w:szCs w:val="20"/>
          <w:lang w:val="es-ES"/>
        </w:rPr>
        <w:t xml:space="preserve">realizar, a la mayor brevedad, una búsqueda rigurosa, sistemática y con los recursos humanos, técnicos y económicos adecuados, en la cual realice todos los esfuerzos para determinar el paradero de </w:t>
      </w:r>
      <w:r w:rsidR="00D42571">
        <w:rPr>
          <w:rFonts w:cs="Times New Roman"/>
          <w:sz w:val="20"/>
          <w:szCs w:val="20"/>
          <w:lang w:val="es-ES"/>
        </w:rPr>
        <w:t xml:space="preserve">Nitza Paola Alvarado Espinoza, Rocío Irene Alvarado Reyes y José Ángel Alvarado Herrera, </w:t>
      </w:r>
      <w:r w:rsidRPr="006E7FD3">
        <w:rPr>
          <w:rFonts w:cs="Times New Roman"/>
          <w:sz w:val="20"/>
          <w:szCs w:val="20"/>
          <w:lang w:val="es-CR"/>
        </w:rPr>
        <w:t>en los tér</w:t>
      </w:r>
      <w:r w:rsidR="00D42571">
        <w:rPr>
          <w:rFonts w:cs="Times New Roman"/>
          <w:sz w:val="20"/>
          <w:szCs w:val="20"/>
          <w:lang w:val="es-CR"/>
        </w:rPr>
        <w:t xml:space="preserve">minos de los párrafos </w:t>
      </w:r>
      <w:r w:rsidR="00654518">
        <w:rPr>
          <w:rFonts w:cs="Times New Roman"/>
          <w:sz w:val="20"/>
          <w:szCs w:val="20"/>
          <w:lang w:val="es-CR"/>
        </w:rPr>
        <w:t>247</w:t>
      </w:r>
      <w:r w:rsidRPr="006E7FD3">
        <w:rPr>
          <w:rFonts w:cs="Times New Roman"/>
          <w:sz w:val="20"/>
          <w:szCs w:val="20"/>
          <w:lang w:val="es-CR"/>
        </w:rPr>
        <w:t xml:space="preserve"> y </w:t>
      </w:r>
      <w:r w:rsidR="00654518">
        <w:rPr>
          <w:rFonts w:cs="Times New Roman"/>
          <w:sz w:val="20"/>
          <w:szCs w:val="20"/>
          <w:lang w:val="es-CR"/>
        </w:rPr>
        <w:t>300</w:t>
      </w:r>
      <w:r w:rsidRPr="006E7FD3">
        <w:rPr>
          <w:rFonts w:cs="Times New Roman"/>
          <w:sz w:val="20"/>
          <w:szCs w:val="20"/>
          <w:lang w:val="es-CR"/>
        </w:rPr>
        <w:t xml:space="preserve"> de esta Sentencia.  </w:t>
      </w:r>
    </w:p>
    <w:p w14:paraId="0E7DFAD7" w14:textId="380DBC15" w:rsidR="00887745" w:rsidRPr="0089411D" w:rsidRDefault="00887745" w:rsidP="0089411D">
      <w:pPr>
        <w:pStyle w:val="Default"/>
        <w:numPr>
          <w:ilvl w:val="0"/>
          <w:numId w:val="84"/>
        </w:numPr>
        <w:tabs>
          <w:tab w:val="left" w:pos="567"/>
        </w:tabs>
        <w:spacing w:before="120" w:after="120"/>
        <w:ind w:left="0" w:firstLine="0"/>
        <w:jc w:val="both"/>
        <w:rPr>
          <w:spacing w:val="-2"/>
          <w:sz w:val="20"/>
          <w:szCs w:val="20"/>
          <w:lang w:val="es-GT" w:eastAsia="es-CR"/>
        </w:rPr>
      </w:pPr>
      <w:r w:rsidRPr="006E7FD3">
        <w:rPr>
          <w:spacing w:val="-2"/>
          <w:sz w:val="20"/>
          <w:szCs w:val="20"/>
          <w:lang w:val="es-GT" w:eastAsia="es-CR"/>
        </w:rPr>
        <w:t xml:space="preserve">El Estado </w:t>
      </w:r>
      <w:r w:rsidRPr="006E7FD3">
        <w:rPr>
          <w:spacing w:val="-2"/>
          <w:sz w:val="20"/>
          <w:szCs w:val="20"/>
          <w:lang w:val="es-GT" w:eastAsia="es-ES"/>
        </w:rPr>
        <w:t xml:space="preserve">debe </w:t>
      </w:r>
      <w:r w:rsidR="00D42571">
        <w:rPr>
          <w:spacing w:val="-2"/>
          <w:sz w:val="20"/>
          <w:szCs w:val="20"/>
          <w:lang w:val="es-GT" w:eastAsia="es-ES"/>
        </w:rPr>
        <w:t xml:space="preserve">continuar y llevar a cabo, en un plazo razonable y con la mayor diligencia, las investigaciones que sean necesarias para identificar, juzgar y, en su caso, sancionar a los responsables de la desaparición forzada de </w:t>
      </w:r>
      <w:r w:rsidR="00D42571">
        <w:rPr>
          <w:rFonts w:cs="Times New Roman"/>
          <w:sz w:val="20"/>
          <w:szCs w:val="20"/>
          <w:lang w:val="es-ES"/>
        </w:rPr>
        <w:t>Nitza Paola Alvarado Espinoza, Rocío Irene Alvarado Reyes y José Ángel Alvarado Herrera</w:t>
      </w:r>
      <w:r w:rsidRPr="006E7FD3">
        <w:rPr>
          <w:sz w:val="20"/>
          <w:szCs w:val="20"/>
          <w:lang w:val="es-CR"/>
        </w:rPr>
        <w:t>, en los términos de</w:t>
      </w:r>
      <w:r w:rsidR="00640D3C">
        <w:rPr>
          <w:sz w:val="20"/>
          <w:szCs w:val="20"/>
          <w:lang w:val="es-CR"/>
        </w:rPr>
        <w:t xml:space="preserve"> </w:t>
      </w:r>
      <w:r w:rsidRPr="006E7FD3">
        <w:rPr>
          <w:sz w:val="20"/>
          <w:szCs w:val="20"/>
          <w:lang w:val="es-CR"/>
        </w:rPr>
        <w:t>l</w:t>
      </w:r>
      <w:r w:rsidR="00640D3C">
        <w:rPr>
          <w:sz w:val="20"/>
          <w:szCs w:val="20"/>
          <w:lang w:val="es-CR"/>
        </w:rPr>
        <w:t>os</w:t>
      </w:r>
      <w:r w:rsidRPr="006E7FD3">
        <w:rPr>
          <w:sz w:val="20"/>
          <w:szCs w:val="20"/>
          <w:lang w:val="es-CR"/>
        </w:rPr>
        <w:t xml:space="preserve"> párrafo</w:t>
      </w:r>
      <w:r w:rsidR="00640D3C">
        <w:rPr>
          <w:sz w:val="20"/>
          <w:szCs w:val="20"/>
          <w:lang w:val="es-CR"/>
        </w:rPr>
        <w:t>s</w:t>
      </w:r>
      <w:r w:rsidRPr="006E7FD3">
        <w:rPr>
          <w:sz w:val="20"/>
          <w:szCs w:val="20"/>
          <w:lang w:val="es-CR"/>
        </w:rPr>
        <w:t xml:space="preserve"> </w:t>
      </w:r>
      <w:r w:rsidR="00640D3C">
        <w:rPr>
          <w:sz w:val="20"/>
          <w:szCs w:val="20"/>
          <w:lang w:val="es-CR"/>
        </w:rPr>
        <w:t>301</w:t>
      </w:r>
      <w:r w:rsidR="00262F3F">
        <w:rPr>
          <w:sz w:val="20"/>
          <w:szCs w:val="20"/>
          <w:lang w:val="es-CR"/>
        </w:rPr>
        <w:t xml:space="preserve"> a </w:t>
      </w:r>
      <w:r w:rsidR="00640D3C">
        <w:rPr>
          <w:sz w:val="20"/>
          <w:szCs w:val="20"/>
          <w:lang w:val="es-CR"/>
        </w:rPr>
        <w:t>303</w:t>
      </w:r>
      <w:r w:rsidR="00262F3F">
        <w:rPr>
          <w:sz w:val="20"/>
          <w:szCs w:val="20"/>
          <w:lang w:val="es-CR"/>
        </w:rPr>
        <w:t xml:space="preserve"> </w:t>
      </w:r>
      <w:r w:rsidRPr="006E7FD3">
        <w:rPr>
          <w:sz w:val="20"/>
          <w:szCs w:val="20"/>
          <w:lang w:val="es-CR"/>
        </w:rPr>
        <w:t xml:space="preserve">de esta Sentencia. </w:t>
      </w:r>
    </w:p>
    <w:p w14:paraId="7029D03A" w14:textId="37800D3F" w:rsidR="00887745" w:rsidRPr="00BD6DD9" w:rsidRDefault="00887745" w:rsidP="0089411D">
      <w:pPr>
        <w:pStyle w:val="Default"/>
        <w:numPr>
          <w:ilvl w:val="0"/>
          <w:numId w:val="84"/>
        </w:numPr>
        <w:tabs>
          <w:tab w:val="left" w:pos="567"/>
        </w:tabs>
        <w:spacing w:before="120" w:after="120"/>
        <w:ind w:left="0" w:firstLine="0"/>
        <w:jc w:val="both"/>
        <w:rPr>
          <w:spacing w:val="-2"/>
          <w:sz w:val="20"/>
          <w:szCs w:val="20"/>
          <w:lang w:val="es-GT" w:eastAsia="es-CR"/>
        </w:rPr>
      </w:pPr>
      <w:r w:rsidRPr="006E7FD3">
        <w:rPr>
          <w:spacing w:val="-2"/>
          <w:sz w:val="20"/>
          <w:szCs w:val="20"/>
          <w:lang w:val="es-GT" w:eastAsia="es-CR"/>
        </w:rPr>
        <w:t xml:space="preserve">El Estado debe brindar el tratamiento psicológico y/o psiquiátrico, a las víctimas que así lo soliciten en los términos de los párrafos </w:t>
      </w:r>
      <w:r w:rsidR="00640D3C">
        <w:rPr>
          <w:spacing w:val="-2"/>
          <w:sz w:val="20"/>
          <w:szCs w:val="20"/>
          <w:lang w:val="es-GT" w:eastAsia="es-CR"/>
        </w:rPr>
        <w:t>307</w:t>
      </w:r>
      <w:r w:rsidRPr="006E7FD3">
        <w:rPr>
          <w:spacing w:val="-2"/>
          <w:sz w:val="20"/>
          <w:szCs w:val="20"/>
          <w:lang w:val="es-GT" w:eastAsia="es-CR"/>
        </w:rPr>
        <w:t xml:space="preserve"> y </w:t>
      </w:r>
      <w:r w:rsidR="00640D3C">
        <w:rPr>
          <w:spacing w:val="-2"/>
          <w:sz w:val="20"/>
          <w:szCs w:val="20"/>
          <w:lang w:val="es-GT" w:eastAsia="es-CR"/>
        </w:rPr>
        <w:t>308</w:t>
      </w:r>
      <w:r w:rsidRPr="006E7FD3">
        <w:rPr>
          <w:spacing w:val="-2"/>
          <w:sz w:val="20"/>
          <w:szCs w:val="20"/>
          <w:lang w:val="es-GT" w:eastAsia="es-CR"/>
        </w:rPr>
        <w:t xml:space="preserve"> de esta Sentencia. </w:t>
      </w:r>
    </w:p>
    <w:p w14:paraId="47D420EC" w14:textId="4688EBFA" w:rsidR="00887745" w:rsidRPr="0089411D" w:rsidRDefault="00887745" w:rsidP="0089411D">
      <w:pPr>
        <w:pStyle w:val="Default"/>
        <w:numPr>
          <w:ilvl w:val="0"/>
          <w:numId w:val="84"/>
        </w:numPr>
        <w:tabs>
          <w:tab w:val="left" w:pos="567"/>
        </w:tabs>
        <w:spacing w:before="120" w:after="120"/>
        <w:ind w:left="0" w:firstLine="0"/>
        <w:jc w:val="both"/>
        <w:rPr>
          <w:spacing w:val="-2"/>
          <w:sz w:val="20"/>
          <w:szCs w:val="20"/>
          <w:lang w:val="es-ES" w:eastAsia="es-CR"/>
        </w:rPr>
      </w:pPr>
      <w:r w:rsidRPr="006E7FD3">
        <w:rPr>
          <w:spacing w:val="-2"/>
          <w:sz w:val="20"/>
          <w:szCs w:val="20"/>
          <w:lang w:val="es-ES" w:eastAsia="es-CR"/>
        </w:rPr>
        <w:t xml:space="preserve">El Estado debe realizar un acto público de reconocimiento de responsabilidad internacional, en relación con los hechos de este caso, en los términos del párrafo </w:t>
      </w:r>
      <w:r w:rsidR="00640D3C">
        <w:rPr>
          <w:spacing w:val="-2"/>
          <w:sz w:val="20"/>
          <w:szCs w:val="20"/>
          <w:lang w:val="es-ES" w:eastAsia="es-CR"/>
        </w:rPr>
        <w:t>312</w:t>
      </w:r>
      <w:r w:rsidRPr="006E7FD3">
        <w:rPr>
          <w:spacing w:val="-2"/>
          <w:sz w:val="20"/>
          <w:szCs w:val="20"/>
          <w:lang w:val="es-ES" w:eastAsia="es-CR"/>
        </w:rPr>
        <w:t xml:space="preserve"> de esta Sentencia. </w:t>
      </w:r>
    </w:p>
    <w:p w14:paraId="069EC153" w14:textId="0DD1A83F" w:rsidR="00887745" w:rsidRPr="0089411D" w:rsidRDefault="00887745" w:rsidP="0089411D">
      <w:pPr>
        <w:pStyle w:val="Default"/>
        <w:numPr>
          <w:ilvl w:val="0"/>
          <w:numId w:val="84"/>
        </w:numPr>
        <w:tabs>
          <w:tab w:val="left" w:pos="567"/>
        </w:tabs>
        <w:spacing w:before="120" w:after="120"/>
        <w:ind w:left="0" w:firstLine="0"/>
        <w:jc w:val="both"/>
        <w:rPr>
          <w:spacing w:val="-2"/>
          <w:sz w:val="20"/>
          <w:szCs w:val="20"/>
          <w:lang w:val="es-ES" w:eastAsia="es-CR"/>
        </w:rPr>
      </w:pPr>
      <w:r w:rsidRPr="006E7FD3">
        <w:rPr>
          <w:spacing w:val="-2"/>
          <w:sz w:val="20"/>
          <w:szCs w:val="20"/>
          <w:lang w:val="es-ES" w:eastAsia="es-CR"/>
        </w:rPr>
        <w:t xml:space="preserve">El Estado, en el plazo de seis meses, debe realizar las publicaciones indicadas en el párrafo </w:t>
      </w:r>
      <w:r w:rsidR="00640D3C">
        <w:rPr>
          <w:spacing w:val="-2"/>
          <w:sz w:val="20"/>
          <w:szCs w:val="20"/>
          <w:lang w:val="es-ES" w:eastAsia="es-CR"/>
        </w:rPr>
        <w:t>313</w:t>
      </w:r>
      <w:r w:rsidRPr="006E7FD3">
        <w:rPr>
          <w:spacing w:val="-2"/>
          <w:sz w:val="20"/>
          <w:szCs w:val="20"/>
          <w:lang w:val="es-ES" w:eastAsia="es-CR"/>
        </w:rPr>
        <w:t xml:space="preserve"> de esta Sentencia, de conformidad con lo establecido en dicho párrafo.  </w:t>
      </w:r>
    </w:p>
    <w:p w14:paraId="16F9B6E0" w14:textId="35034A64" w:rsidR="00887745" w:rsidRPr="0089411D" w:rsidRDefault="00887745" w:rsidP="0089411D">
      <w:pPr>
        <w:pStyle w:val="Default"/>
        <w:numPr>
          <w:ilvl w:val="0"/>
          <w:numId w:val="84"/>
        </w:numPr>
        <w:tabs>
          <w:tab w:val="left" w:pos="567"/>
        </w:tabs>
        <w:spacing w:before="120" w:after="120"/>
        <w:ind w:left="0" w:firstLine="0"/>
        <w:jc w:val="both"/>
        <w:rPr>
          <w:rFonts w:cs="Times New Roman"/>
          <w:sz w:val="20"/>
          <w:szCs w:val="20"/>
          <w:lang w:val="es-CR"/>
        </w:rPr>
      </w:pPr>
      <w:r w:rsidRPr="006E7FD3">
        <w:rPr>
          <w:spacing w:val="-2"/>
          <w:sz w:val="20"/>
          <w:szCs w:val="20"/>
          <w:lang w:val="es-ES" w:eastAsia="es-CR"/>
        </w:rPr>
        <w:t xml:space="preserve">El Estado, en el plazo de seis meses, debe </w:t>
      </w:r>
      <w:r w:rsidRPr="008D0846">
        <w:rPr>
          <w:rFonts w:cs="Times New Roman"/>
          <w:sz w:val="20"/>
          <w:szCs w:val="20"/>
          <w:lang w:val="es-CR"/>
        </w:rPr>
        <w:t>brind</w:t>
      </w:r>
      <w:r w:rsidR="00361707" w:rsidRPr="008D0846">
        <w:rPr>
          <w:rFonts w:cs="Times New Roman"/>
          <w:sz w:val="20"/>
          <w:szCs w:val="20"/>
          <w:lang w:val="es-CR"/>
        </w:rPr>
        <w:t>ar</w:t>
      </w:r>
      <w:r w:rsidRPr="006E7FD3">
        <w:rPr>
          <w:rFonts w:cs="Times New Roman"/>
          <w:sz w:val="20"/>
          <w:szCs w:val="20"/>
          <w:lang w:val="es-CR"/>
        </w:rPr>
        <w:t xml:space="preserve"> a los familiares o sus representantes, que así lo soliciten, la inclusión en programas o beneficios con la intención de contribuir a reparar su proyecto de vida, en los términos de los párrafos </w:t>
      </w:r>
      <w:r w:rsidR="00640D3C">
        <w:rPr>
          <w:rFonts w:cs="Times New Roman"/>
          <w:sz w:val="20"/>
          <w:szCs w:val="20"/>
          <w:lang w:val="es-CR"/>
        </w:rPr>
        <w:t>314</w:t>
      </w:r>
      <w:r w:rsidRPr="006E7FD3">
        <w:rPr>
          <w:rFonts w:cs="Times New Roman"/>
          <w:sz w:val="20"/>
          <w:szCs w:val="20"/>
          <w:lang w:val="es-CR"/>
        </w:rPr>
        <w:t xml:space="preserve"> y </w:t>
      </w:r>
      <w:r w:rsidR="00640D3C">
        <w:rPr>
          <w:rFonts w:cs="Times New Roman"/>
          <w:sz w:val="20"/>
          <w:szCs w:val="20"/>
          <w:lang w:val="es-CR"/>
        </w:rPr>
        <w:t>315</w:t>
      </w:r>
      <w:r w:rsidRPr="006E7FD3">
        <w:rPr>
          <w:rFonts w:cs="Times New Roman"/>
          <w:sz w:val="20"/>
          <w:szCs w:val="20"/>
          <w:lang w:val="es-CR"/>
        </w:rPr>
        <w:t xml:space="preserve"> de esta Sentencia. </w:t>
      </w:r>
    </w:p>
    <w:p w14:paraId="0A5C6188" w14:textId="5A49ADD3" w:rsidR="00887745" w:rsidRPr="0089411D" w:rsidRDefault="00887745" w:rsidP="0089411D">
      <w:pPr>
        <w:pStyle w:val="Default"/>
        <w:numPr>
          <w:ilvl w:val="0"/>
          <w:numId w:val="84"/>
        </w:numPr>
        <w:tabs>
          <w:tab w:val="left" w:pos="567"/>
        </w:tabs>
        <w:spacing w:before="120" w:after="120"/>
        <w:ind w:left="0" w:firstLine="0"/>
        <w:jc w:val="both"/>
        <w:rPr>
          <w:rFonts w:cs="Times New Roman"/>
          <w:sz w:val="20"/>
          <w:szCs w:val="20"/>
          <w:lang w:val="es-CR"/>
        </w:rPr>
      </w:pPr>
      <w:r w:rsidRPr="006E7FD3">
        <w:rPr>
          <w:sz w:val="20"/>
          <w:szCs w:val="20"/>
          <w:lang w:val="es-ES"/>
        </w:rPr>
        <w:lastRenderedPageBreak/>
        <w:t xml:space="preserve">El Estado debe </w:t>
      </w:r>
      <w:r w:rsidR="00924A46" w:rsidRPr="008D0846">
        <w:rPr>
          <w:sz w:val="20"/>
          <w:szCs w:val="20"/>
          <w:lang w:val="es-ES"/>
        </w:rPr>
        <w:t>analizar</w:t>
      </w:r>
      <w:r w:rsidR="00924A46">
        <w:rPr>
          <w:sz w:val="20"/>
          <w:szCs w:val="20"/>
          <w:lang w:val="es-ES"/>
        </w:rPr>
        <w:t xml:space="preserve"> </w:t>
      </w:r>
      <w:r w:rsidRPr="006E7FD3">
        <w:rPr>
          <w:sz w:val="20"/>
          <w:szCs w:val="20"/>
          <w:lang w:val="es-ES"/>
        </w:rPr>
        <w:t xml:space="preserve">las medidas adecuadas para la creación de un registro único y actualizado de personas desaparecidas que </w:t>
      </w:r>
      <w:r w:rsidR="001263C1">
        <w:rPr>
          <w:sz w:val="20"/>
          <w:szCs w:val="20"/>
          <w:lang w:val="es-ES"/>
        </w:rPr>
        <w:t>genere</w:t>
      </w:r>
      <w:r w:rsidRPr="006E7FD3">
        <w:rPr>
          <w:sz w:val="20"/>
          <w:szCs w:val="20"/>
          <w:lang w:val="es-ES"/>
        </w:rPr>
        <w:t xml:space="preserve"> datos estadísticos que permitan determinar claramente en qué casos se trata de “desapariciones forzadas”, en los términos del párrafo </w:t>
      </w:r>
      <w:r w:rsidR="00640D3C">
        <w:rPr>
          <w:sz w:val="20"/>
          <w:szCs w:val="20"/>
          <w:lang w:val="es-ES"/>
        </w:rPr>
        <w:t>325</w:t>
      </w:r>
      <w:r w:rsidRPr="006E7FD3">
        <w:rPr>
          <w:sz w:val="20"/>
          <w:szCs w:val="20"/>
          <w:lang w:val="es-ES"/>
        </w:rPr>
        <w:t xml:space="preserve"> de esta Sentencia. </w:t>
      </w:r>
    </w:p>
    <w:p w14:paraId="15D42B51" w14:textId="73CDD0B9" w:rsidR="00887745" w:rsidRPr="0089411D" w:rsidRDefault="00887745" w:rsidP="0089411D">
      <w:pPr>
        <w:pStyle w:val="Default"/>
        <w:numPr>
          <w:ilvl w:val="0"/>
          <w:numId w:val="84"/>
        </w:numPr>
        <w:tabs>
          <w:tab w:val="left" w:pos="567"/>
        </w:tabs>
        <w:spacing w:before="120" w:after="120"/>
        <w:ind w:left="0" w:firstLine="0"/>
        <w:jc w:val="both"/>
        <w:rPr>
          <w:spacing w:val="-2"/>
          <w:sz w:val="20"/>
          <w:szCs w:val="20"/>
          <w:lang w:val="es-ES" w:eastAsia="es-CR"/>
        </w:rPr>
      </w:pPr>
      <w:r w:rsidRPr="006E7FD3">
        <w:rPr>
          <w:rFonts w:cs="Times New Roman"/>
          <w:sz w:val="20"/>
          <w:szCs w:val="20"/>
          <w:lang w:val="es-CR"/>
        </w:rPr>
        <w:t xml:space="preserve">El Estado </w:t>
      </w:r>
      <w:r w:rsidRPr="006E7FD3">
        <w:rPr>
          <w:rFonts w:cs="Times New Roman"/>
          <w:sz w:val="20"/>
          <w:szCs w:val="20"/>
          <w:lang w:val="es-CR" w:bidi="en-US"/>
        </w:rPr>
        <w:t xml:space="preserve">debe continuar con </w:t>
      </w:r>
      <w:r w:rsidR="004150DE">
        <w:rPr>
          <w:rFonts w:cs="Times New Roman"/>
          <w:sz w:val="20"/>
          <w:szCs w:val="20"/>
          <w:lang w:val="es-CR" w:bidi="en-US"/>
        </w:rPr>
        <w:t xml:space="preserve">las </w:t>
      </w:r>
      <w:r w:rsidRPr="006E7FD3">
        <w:rPr>
          <w:rFonts w:cs="Times New Roman"/>
          <w:sz w:val="20"/>
          <w:szCs w:val="20"/>
          <w:lang w:val="es-CR" w:bidi="en-US"/>
        </w:rPr>
        <w:t>capacitac</w:t>
      </w:r>
      <w:r w:rsidR="004150DE">
        <w:rPr>
          <w:rFonts w:cs="Times New Roman"/>
          <w:sz w:val="20"/>
          <w:szCs w:val="20"/>
          <w:lang w:val="es-CR" w:bidi="en-US"/>
        </w:rPr>
        <w:t>iones</w:t>
      </w:r>
      <w:r w:rsidRPr="006E7FD3">
        <w:rPr>
          <w:rFonts w:cs="Times New Roman"/>
          <w:sz w:val="20"/>
          <w:szCs w:val="20"/>
          <w:lang w:val="es-CR" w:bidi="en-US"/>
        </w:rPr>
        <w:t xml:space="preserve"> en derechos humanos dirigid</w:t>
      </w:r>
      <w:r w:rsidR="004150DE">
        <w:rPr>
          <w:rFonts w:cs="Times New Roman"/>
          <w:sz w:val="20"/>
          <w:szCs w:val="20"/>
          <w:lang w:val="es-CR" w:bidi="en-US"/>
        </w:rPr>
        <w:t>a</w:t>
      </w:r>
      <w:r w:rsidRPr="006E7FD3">
        <w:rPr>
          <w:rFonts w:cs="Times New Roman"/>
          <w:sz w:val="20"/>
          <w:szCs w:val="20"/>
          <w:lang w:val="es-CR" w:bidi="en-US"/>
        </w:rPr>
        <w:t xml:space="preserve">s a las Fuerzas Armadas y Policía, </w:t>
      </w:r>
      <w:r w:rsidR="004150DE" w:rsidRPr="008D0846">
        <w:rPr>
          <w:rFonts w:cs="Times New Roman"/>
          <w:sz w:val="20"/>
          <w:szCs w:val="20"/>
          <w:lang w:val="es-CR" w:bidi="en-US"/>
        </w:rPr>
        <w:t>incorporando los estándares sobre las salvaguardas en materia de seguridad ciudadana,</w:t>
      </w:r>
      <w:r w:rsidR="004150DE">
        <w:rPr>
          <w:rFonts w:cs="Times New Roman"/>
          <w:sz w:val="20"/>
          <w:szCs w:val="20"/>
          <w:lang w:val="es-CR" w:bidi="en-US"/>
        </w:rPr>
        <w:t xml:space="preserve"> </w:t>
      </w:r>
      <w:r w:rsidR="00D914DE">
        <w:rPr>
          <w:rFonts w:cs="Times New Roman"/>
          <w:sz w:val="20"/>
          <w:szCs w:val="20"/>
          <w:lang w:val="es-CR" w:bidi="en-US"/>
        </w:rPr>
        <w:t>e inform</w:t>
      </w:r>
      <w:r w:rsidR="004150DE">
        <w:rPr>
          <w:rFonts w:cs="Times New Roman"/>
          <w:sz w:val="20"/>
          <w:szCs w:val="20"/>
          <w:lang w:val="es-CR" w:bidi="en-US"/>
        </w:rPr>
        <w:t>ar</w:t>
      </w:r>
      <w:r w:rsidR="00D914DE">
        <w:rPr>
          <w:rFonts w:cs="Times New Roman"/>
          <w:sz w:val="20"/>
          <w:szCs w:val="20"/>
          <w:lang w:val="es-CR" w:bidi="en-US"/>
        </w:rPr>
        <w:t xml:space="preserve"> a la Corte, </w:t>
      </w:r>
      <w:r w:rsidRPr="006E7FD3">
        <w:rPr>
          <w:rFonts w:cs="Times New Roman"/>
          <w:sz w:val="20"/>
          <w:szCs w:val="20"/>
          <w:lang w:val="es-CR" w:bidi="en-US"/>
        </w:rPr>
        <w:t xml:space="preserve">en los términos de los párrafos </w:t>
      </w:r>
      <w:r w:rsidR="00640D3C">
        <w:rPr>
          <w:rFonts w:cs="Times New Roman"/>
          <w:sz w:val="20"/>
          <w:szCs w:val="20"/>
          <w:lang w:val="es-CR" w:bidi="en-US"/>
        </w:rPr>
        <w:t>327</w:t>
      </w:r>
      <w:r w:rsidRPr="006E7FD3">
        <w:rPr>
          <w:rFonts w:cs="Times New Roman"/>
          <w:sz w:val="20"/>
          <w:szCs w:val="20"/>
          <w:lang w:val="es-CR" w:bidi="en-US"/>
        </w:rPr>
        <w:t xml:space="preserve"> a </w:t>
      </w:r>
      <w:r w:rsidR="00640D3C">
        <w:rPr>
          <w:rFonts w:cs="Times New Roman"/>
          <w:sz w:val="20"/>
          <w:szCs w:val="20"/>
          <w:lang w:val="es-CR" w:bidi="en-US"/>
        </w:rPr>
        <w:t>328</w:t>
      </w:r>
      <w:r w:rsidRPr="006E7FD3">
        <w:rPr>
          <w:rFonts w:cs="Times New Roman"/>
          <w:sz w:val="20"/>
          <w:szCs w:val="20"/>
          <w:lang w:val="es-CR" w:bidi="en-US"/>
        </w:rPr>
        <w:t xml:space="preserve"> de esa Sentencia.  </w:t>
      </w:r>
    </w:p>
    <w:p w14:paraId="7EB10399" w14:textId="39CD3075" w:rsidR="00887745" w:rsidRPr="0089411D" w:rsidRDefault="00887745" w:rsidP="0089411D">
      <w:pPr>
        <w:pStyle w:val="Default"/>
        <w:numPr>
          <w:ilvl w:val="0"/>
          <w:numId w:val="84"/>
        </w:numPr>
        <w:tabs>
          <w:tab w:val="left" w:pos="567"/>
        </w:tabs>
        <w:spacing w:before="120" w:after="120"/>
        <w:ind w:left="0" w:firstLine="0"/>
        <w:jc w:val="both"/>
        <w:rPr>
          <w:spacing w:val="-2"/>
          <w:sz w:val="20"/>
          <w:szCs w:val="20"/>
          <w:lang w:val="es-ES" w:eastAsia="es-CR"/>
        </w:rPr>
      </w:pPr>
      <w:r w:rsidRPr="006E7FD3">
        <w:rPr>
          <w:spacing w:val="-2"/>
          <w:sz w:val="20"/>
          <w:szCs w:val="20"/>
          <w:lang w:val="es-ES" w:eastAsia="es-CR"/>
        </w:rPr>
        <w:t xml:space="preserve">El Estado </w:t>
      </w:r>
      <w:r w:rsidRPr="006E7FD3">
        <w:rPr>
          <w:sz w:val="20"/>
          <w:szCs w:val="20"/>
          <w:lang w:val="es-CR"/>
        </w:rPr>
        <w:t xml:space="preserve">debe adoptar, de forma inmediata, las medidas que sean suficientes y necesarias a fin de proteger la vida e integridad personal de las víctimas del caso, a la luz de diagnósticos actualizados sobre la situación de riesgo y las necesidades particulares e impactos diferenciados, de común acuerdo con las víctimas o sus representantes, en los términos del párrafo </w:t>
      </w:r>
      <w:r w:rsidR="00640D3C">
        <w:rPr>
          <w:sz w:val="20"/>
          <w:szCs w:val="20"/>
          <w:lang w:val="es-CR"/>
        </w:rPr>
        <w:t>330</w:t>
      </w:r>
      <w:r w:rsidRPr="006E7FD3">
        <w:rPr>
          <w:sz w:val="20"/>
          <w:szCs w:val="20"/>
          <w:lang w:val="es-CR"/>
        </w:rPr>
        <w:t xml:space="preserve"> de esta Sentencia. </w:t>
      </w:r>
    </w:p>
    <w:p w14:paraId="33C04BF0" w14:textId="27F4F7BA" w:rsidR="00887745" w:rsidRPr="0089411D" w:rsidRDefault="00887745" w:rsidP="0089411D">
      <w:pPr>
        <w:pStyle w:val="Default"/>
        <w:numPr>
          <w:ilvl w:val="0"/>
          <w:numId w:val="84"/>
        </w:numPr>
        <w:tabs>
          <w:tab w:val="left" w:pos="567"/>
        </w:tabs>
        <w:spacing w:before="120" w:after="120"/>
        <w:ind w:left="0" w:firstLine="0"/>
        <w:jc w:val="both"/>
        <w:rPr>
          <w:spacing w:val="-2"/>
          <w:sz w:val="20"/>
          <w:szCs w:val="20"/>
          <w:lang w:val="es-ES" w:eastAsia="es-CR"/>
        </w:rPr>
      </w:pPr>
      <w:r w:rsidRPr="006E7FD3">
        <w:rPr>
          <w:spacing w:val="-2"/>
          <w:sz w:val="20"/>
          <w:szCs w:val="20"/>
          <w:lang w:val="es-ES" w:eastAsia="es-CR"/>
        </w:rPr>
        <w:t xml:space="preserve">El Estado </w:t>
      </w:r>
      <w:r w:rsidRPr="006E7FD3">
        <w:rPr>
          <w:sz w:val="20"/>
          <w:szCs w:val="20"/>
          <w:lang w:val="es-CR"/>
        </w:rPr>
        <w:t xml:space="preserve">debe brindar garantías de retorno o reubicación a las víctimas desplazadas que así lo requieran, en los términos de los párrafos </w:t>
      </w:r>
      <w:r w:rsidR="00640D3C">
        <w:rPr>
          <w:sz w:val="20"/>
          <w:szCs w:val="20"/>
          <w:lang w:val="es-CR"/>
        </w:rPr>
        <w:t>331</w:t>
      </w:r>
      <w:r w:rsidRPr="006E7FD3">
        <w:rPr>
          <w:sz w:val="20"/>
          <w:szCs w:val="20"/>
          <w:lang w:val="es-CR"/>
        </w:rPr>
        <w:t xml:space="preserve"> y </w:t>
      </w:r>
      <w:r w:rsidR="00640D3C">
        <w:rPr>
          <w:sz w:val="20"/>
          <w:szCs w:val="20"/>
          <w:lang w:val="es-CR"/>
        </w:rPr>
        <w:t>332</w:t>
      </w:r>
      <w:r w:rsidRPr="006E7FD3">
        <w:rPr>
          <w:sz w:val="20"/>
          <w:szCs w:val="20"/>
          <w:lang w:val="es-CR"/>
        </w:rPr>
        <w:t xml:space="preserve">. </w:t>
      </w:r>
    </w:p>
    <w:p w14:paraId="468BEC59" w14:textId="5071ACEE" w:rsidR="00887745" w:rsidRPr="0089411D" w:rsidRDefault="00887745" w:rsidP="0089411D">
      <w:pPr>
        <w:pStyle w:val="Default"/>
        <w:numPr>
          <w:ilvl w:val="0"/>
          <w:numId w:val="84"/>
        </w:numPr>
        <w:tabs>
          <w:tab w:val="left" w:pos="567"/>
        </w:tabs>
        <w:spacing w:before="120" w:after="120"/>
        <w:ind w:left="0" w:firstLine="0"/>
        <w:jc w:val="both"/>
        <w:rPr>
          <w:spacing w:val="-2"/>
          <w:sz w:val="20"/>
          <w:szCs w:val="20"/>
          <w:lang w:val="es-ES" w:eastAsia="es-CR"/>
        </w:rPr>
      </w:pPr>
      <w:r w:rsidRPr="006E7FD3">
        <w:rPr>
          <w:spacing w:val="-2"/>
          <w:sz w:val="20"/>
          <w:szCs w:val="20"/>
          <w:lang w:val="es-ES" w:eastAsia="es-CR"/>
        </w:rPr>
        <w:t xml:space="preserve">El Estado debe pagar las cantidades fijadas en los párrafos </w:t>
      </w:r>
      <w:r w:rsidR="00640D3C">
        <w:rPr>
          <w:spacing w:val="-2"/>
          <w:sz w:val="20"/>
          <w:szCs w:val="20"/>
          <w:lang w:val="es-ES" w:eastAsia="es-CR"/>
        </w:rPr>
        <w:t>345</w:t>
      </w:r>
      <w:r w:rsidRPr="006E7FD3">
        <w:rPr>
          <w:spacing w:val="-2"/>
          <w:sz w:val="20"/>
          <w:szCs w:val="20"/>
          <w:lang w:val="es-ES" w:eastAsia="es-CR"/>
        </w:rPr>
        <w:t xml:space="preserve">, </w:t>
      </w:r>
      <w:r w:rsidR="00640D3C">
        <w:rPr>
          <w:spacing w:val="-2"/>
          <w:sz w:val="20"/>
          <w:szCs w:val="20"/>
          <w:lang w:val="es-ES" w:eastAsia="es-CR"/>
        </w:rPr>
        <w:t>346</w:t>
      </w:r>
      <w:r w:rsidR="00D42571">
        <w:rPr>
          <w:spacing w:val="-2"/>
          <w:sz w:val="20"/>
          <w:szCs w:val="20"/>
          <w:lang w:val="es-ES" w:eastAsia="es-CR"/>
        </w:rPr>
        <w:t xml:space="preserve">, </w:t>
      </w:r>
      <w:r w:rsidR="00640D3C">
        <w:rPr>
          <w:spacing w:val="-2"/>
          <w:sz w:val="20"/>
          <w:szCs w:val="20"/>
          <w:lang w:val="es-ES" w:eastAsia="es-CR"/>
        </w:rPr>
        <w:t>350</w:t>
      </w:r>
      <w:r w:rsidRPr="006E7FD3">
        <w:rPr>
          <w:spacing w:val="-2"/>
          <w:sz w:val="20"/>
          <w:szCs w:val="20"/>
          <w:lang w:val="es-ES" w:eastAsia="es-CR"/>
        </w:rPr>
        <w:t xml:space="preserve">, </w:t>
      </w:r>
      <w:r w:rsidR="00640D3C">
        <w:rPr>
          <w:spacing w:val="-2"/>
          <w:sz w:val="20"/>
          <w:szCs w:val="20"/>
          <w:lang w:val="es-ES" w:eastAsia="es-CR"/>
        </w:rPr>
        <w:t>352</w:t>
      </w:r>
      <w:r w:rsidRPr="006E7FD3">
        <w:rPr>
          <w:spacing w:val="-2"/>
          <w:sz w:val="20"/>
          <w:szCs w:val="20"/>
          <w:lang w:val="es-ES" w:eastAsia="es-CR"/>
        </w:rPr>
        <w:t xml:space="preserve"> y </w:t>
      </w:r>
      <w:r w:rsidR="00640D3C">
        <w:rPr>
          <w:spacing w:val="-2"/>
          <w:sz w:val="20"/>
          <w:szCs w:val="20"/>
          <w:lang w:val="es-ES" w:eastAsia="es-CR"/>
        </w:rPr>
        <w:t>359</w:t>
      </w:r>
      <w:r w:rsidRPr="006E7FD3">
        <w:rPr>
          <w:spacing w:val="-2"/>
          <w:sz w:val="20"/>
          <w:szCs w:val="20"/>
          <w:lang w:val="es-ES" w:eastAsia="es-CR"/>
        </w:rPr>
        <w:t xml:space="preserve"> de la presente Sentencia, por concepto de indemnizaciones por daños materiales e inmateriales y por el reintegro de cosas y gastos, en los términos de los referidos párrafos y de los párrafos </w:t>
      </w:r>
      <w:r w:rsidR="00640D3C">
        <w:rPr>
          <w:spacing w:val="-2"/>
          <w:sz w:val="20"/>
          <w:szCs w:val="20"/>
          <w:lang w:val="es-ES" w:eastAsia="es-CR"/>
        </w:rPr>
        <w:t>351 y 364 a 369</w:t>
      </w:r>
      <w:r w:rsidRPr="006E7FD3">
        <w:rPr>
          <w:spacing w:val="-2"/>
          <w:sz w:val="20"/>
          <w:szCs w:val="20"/>
          <w:lang w:val="es-ES" w:eastAsia="es-CR"/>
        </w:rPr>
        <w:t xml:space="preserve"> de esta Sentencia.  </w:t>
      </w:r>
    </w:p>
    <w:p w14:paraId="1BEBE45E" w14:textId="7330E58A" w:rsidR="00887745" w:rsidRPr="008D0846" w:rsidRDefault="00887745" w:rsidP="0089411D">
      <w:pPr>
        <w:pStyle w:val="Default"/>
        <w:numPr>
          <w:ilvl w:val="0"/>
          <w:numId w:val="84"/>
        </w:numPr>
        <w:tabs>
          <w:tab w:val="left" w:pos="567"/>
        </w:tabs>
        <w:spacing w:before="120" w:after="120"/>
        <w:ind w:left="0" w:firstLine="0"/>
        <w:jc w:val="both"/>
        <w:rPr>
          <w:spacing w:val="-2"/>
          <w:sz w:val="20"/>
          <w:szCs w:val="20"/>
          <w:lang w:val="es-ES" w:eastAsia="es-CR"/>
        </w:rPr>
      </w:pPr>
      <w:r w:rsidRPr="006E7FD3">
        <w:rPr>
          <w:spacing w:val="-2"/>
          <w:sz w:val="20"/>
          <w:szCs w:val="20"/>
          <w:lang w:val="es-ES" w:eastAsia="es-CR"/>
        </w:rPr>
        <w:t xml:space="preserve">El </w:t>
      </w:r>
      <w:r w:rsidRPr="006E7FD3">
        <w:rPr>
          <w:sz w:val="20"/>
          <w:szCs w:val="20"/>
        </w:rPr>
        <w:t xml:space="preserve">Estado debe reintegrar al Fondo de Asistencia Legal de Víctimas de la Corte Interamericana de Derechos Humanos la cantidad erogada durante la tramitación del presente caso, en los términos de lo establecido en </w:t>
      </w:r>
      <w:r w:rsidR="00640D3C">
        <w:rPr>
          <w:sz w:val="20"/>
          <w:szCs w:val="20"/>
        </w:rPr>
        <w:t>el</w:t>
      </w:r>
      <w:r w:rsidRPr="006E7FD3">
        <w:rPr>
          <w:sz w:val="20"/>
          <w:szCs w:val="20"/>
        </w:rPr>
        <w:t xml:space="preserve"> párrafo</w:t>
      </w:r>
      <w:r w:rsidR="00640D3C">
        <w:rPr>
          <w:sz w:val="20"/>
          <w:szCs w:val="20"/>
        </w:rPr>
        <w:t xml:space="preserve"> 363</w:t>
      </w:r>
      <w:r w:rsidRPr="006E7FD3">
        <w:rPr>
          <w:sz w:val="20"/>
          <w:szCs w:val="20"/>
        </w:rPr>
        <w:t xml:space="preserve"> de esta Sentencia.</w:t>
      </w:r>
    </w:p>
    <w:p w14:paraId="6C90BDB0" w14:textId="02E0ACD9" w:rsidR="00640D3C" w:rsidRPr="00640D3C" w:rsidRDefault="00640D3C" w:rsidP="008D0846">
      <w:pPr>
        <w:pStyle w:val="Default"/>
        <w:numPr>
          <w:ilvl w:val="0"/>
          <w:numId w:val="84"/>
        </w:numPr>
        <w:tabs>
          <w:tab w:val="left" w:pos="567"/>
        </w:tabs>
        <w:spacing w:before="120" w:after="120"/>
        <w:ind w:left="0" w:firstLine="0"/>
        <w:jc w:val="both"/>
        <w:rPr>
          <w:spacing w:val="-2"/>
          <w:sz w:val="20"/>
          <w:szCs w:val="20"/>
          <w:lang w:val="es-ES" w:eastAsia="es-CR"/>
        </w:rPr>
      </w:pPr>
      <w:r w:rsidRPr="008D0846">
        <w:rPr>
          <w:sz w:val="20"/>
          <w:szCs w:val="20"/>
        </w:rPr>
        <w:t>El Estado debe, dentro del plazo de un año contado a partir de la notificación de esta Sentencia, rendir al Tribunal un informe sobre las medidas adoptadas para cumplir con la misma, sin perjuicio de lo</w:t>
      </w:r>
      <w:r w:rsidR="00CC5767">
        <w:rPr>
          <w:sz w:val="20"/>
          <w:szCs w:val="20"/>
        </w:rPr>
        <w:t xml:space="preserve"> establecido en el párrafo</w:t>
      </w:r>
      <w:r>
        <w:rPr>
          <w:sz w:val="20"/>
          <w:szCs w:val="20"/>
        </w:rPr>
        <w:t xml:space="preserve"> </w:t>
      </w:r>
      <w:r w:rsidR="00CC5767">
        <w:rPr>
          <w:sz w:val="20"/>
          <w:szCs w:val="20"/>
        </w:rPr>
        <w:t>313</w:t>
      </w:r>
      <w:r w:rsidRPr="008D0846">
        <w:rPr>
          <w:sz w:val="20"/>
          <w:szCs w:val="20"/>
        </w:rPr>
        <w:t xml:space="preserve"> de la presente Sentencia.</w:t>
      </w:r>
    </w:p>
    <w:p w14:paraId="07AE0CED" w14:textId="193FCF37" w:rsidR="00F74BFF" w:rsidRPr="008D0846" w:rsidRDefault="00F74BFF" w:rsidP="005F54F6">
      <w:pPr>
        <w:pStyle w:val="Default"/>
        <w:numPr>
          <w:ilvl w:val="0"/>
          <w:numId w:val="84"/>
        </w:numPr>
        <w:tabs>
          <w:tab w:val="left" w:pos="567"/>
        </w:tabs>
        <w:spacing w:before="120" w:after="120"/>
        <w:ind w:left="0" w:firstLine="0"/>
        <w:jc w:val="both"/>
        <w:rPr>
          <w:spacing w:val="-2"/>
          <w:sz w:val="20"/>
          <w:szCs w:val="20"/>
          <w:lang w:val="es-ES" w:eastAsia="es-CR"/>
        </w:rPr>
      </w:pPr>
      <w:r w:rsidRPr="008D0846">
        <w:rPr>
          <w:spacing w:val="-2"/>
          <w:sz w:val="20"/>
          <w:szCs w:val="20"/>
          <w:lang w:val="es-ES" w:eastAsia="es-CR"/>
        </w:rPr>
        <w:t>La Corte supervisará el cumplimiento de esta Sentencia, en ejercicio de sus atribuciones y en cumplimiento de sus deberes conforme a la Convención Americana sobre Derechos Humanos, y dará por concluido el presente caso una vez que el Estado haya dado cabal cumplimiento a lo dispuesto.</w:t>
      </w:r>
    </w:p>
    <w:p w14:paraId="494A25DE" w14:textId="77777777" w:rsidR="00887745" w:rsidRPr="006E7FD3" w:rsidRDefault="00887745" w:rsidP="0089411D">
      <w:pPr>
        <w:spacing w:before="120" w:after="120" w:line="240" w:lineRule="auto"/>
        <w:jc w:val="both"/>
        <w:rPr>
          <w:rFonts w:ascii="Verdana" w:hAnsi="Verdana"/>
          <w:sz w:val="20"/>
          <w:szCs w:val="20"/>
        </w:rPr>
      </w:pPr>
    </w:p>
    <w:p w14:paraId="0FA771DB" w14:textId="0382A753" w:rsidR="009114A1" w:rsidRDefault="00203661" w:rsidP="005F54F6">
      <w:pPr>
        <w:spacing w:before="120" w:after="120" w:line="240" w:lineRule="auto"/>
        <w:jc w:val="both"/>
        <w:rPr>
          <w:rFonts w:ascii="Verdana" w:hAnsi="Verdana"/>
          <w:sz w:val="20"/>
          <w:szCs w:val="20"/>
        </w:rPr>
      </w:pPr>
      <w:r>
        <w:rPr>
          <w:rFonts w:ascii="Verdana" w:hAnsi="Verdana"/>
          <w:sz w:val="20"/>
          <w:szCs w:val="20"/>
        </w:rPr>
        <w:t>Emitida</w:t>
      </w:r>
      <w:r w:rsidR="00887745" w:rsidRPr="006E7FD3">
        <w:rPr>
          <w:rFonts w:ascii="Verdana" w:hAnsi="Verdana"/>
          <w:sz w:val="20"/>
          <w:szCs w:val="20"/>
        </w:rPr>
        <w:t xml:space="preserve"> en español en San José, Costa Rica, </w:t>
      </w:r>
      <w:r w:rsidR="00361707">
        <w:rPr>
          <w:rFonts w:ascii="Verdana" w:hAnsi="Verdana"/>
          <w:sz w:val="20"/>
          <w:szCs w:val="20"/>
        </w:rPr>
        <w:t xml:space="preserve">el </w:t>
      </w:r>
      <w:r w:rsidR="004E24E3">
        <w:rPr>
          <w:rFonts w:ascii="Verdana" w:hAnsi="Verdana"/>
          <w:sz w:val="20"/>
          <w:szCs w:val="20"/>
        </w:rPr>
        <w:t>28</w:t>
      </w:r>
      <w:r>
        <w:rPr>
          <w:rFonts w:ascii="Verdana" w:hAnsi="Verdana"/>
          <w:sz w:val="20"/>
          <w:szCs w:val="20"/>
        </w:rPr>
        <w:t xml:space="preserve"> de </w:t>
      </w:r>
      <w:r w:rsidR="00FE36CA">
        <w:rPr>
          <w:rFonts w:ascii="Verdana" w:hAnsi="Verdana"/>
          <w:sz w:val="20"/>
          <w:szCs w:val="20"/>
        </w:rPr>
        <w:t>noviembre de 2018</w:t>
      </w:r>
      <w:r w:rsidR="00887745" w:rsidRPr="00203661">
        <w:rPr>
          <w:rFonts w:ascii="Verdana" w:hAnsi="Verdana"/>
          <w:sz w:val="20"/>
          <w:szCs w:val="20"/>
        </w:rPr>
        <w:t>.</w:t>
      </w:r>
    </w:p>
    <w:p w14:paraId="57FD02D0" w14:textId="77777777" w:rsidR="00AD4D6A" w:rsidRDefault="00AD4D6A" w:rsidP="005F54F6">
      <w:pPr>
        <w:spacing w:before="120" w:after="120" w:line="240" w:lineRule="auto"/>
        <w:jc w:val="both"/>
        <w:rPr>
          <w:rFonts w:ascii="Verdana" w:hAnsi="Verdana"/>
          <w:sz w:val="20"/>
          <w:szCs w:val="20"/>
        </w:rPr>
      </w:pPr>
    </w:p>
    <w:p w14:paraId="2061CB9E" w14:textId="77777777" w:rsidR="00AD4D6A" w:rsidRDefault="00AD4D6A" w:rsidP="005F54F6">
      <w:pPr>
        <w:spacing w:before="120" w:after="120" w:line="240" w:lineRule="auto"/>
        <w:jc w:val="both"/>
        <w:rPr>
          <w:rFonts w:ascii="Verdana" w:hAnsi="Verdana"/>
          <w:sz w:val="20"/>
          <w:szCs w:val="20"/>
        </w:rPr>
      </w:pPr>
    </w:p>
    <w:p w14:paraId="62CD2F02" w14:textId="77777777" w:rsidR="00AD4D6A" w:rsidRDefault="00AD4D6A" w:rsidP="005F54F6">
      <w:pPr>
        <w:spacing w:before="120" w:after="120" w:line="240" w:lineRule="auto"/>
        <w:jc w:val="both"/>
        <w:rPr>
          <w:rFonts w:ascii="Verdana" w:hAnsi="Verdana"/>
          <w:sz w:val="20"/>
          <w:szCs w:val="20"/>
        </w:rPr>
      </w:pPr>
    </w:p>
    <w:p w14:paraId="74914BEC" w14:textId="77777777" w:rsidR="00AD4D6A" w:rsidRDefault="00AD4D6A" w:rsidP="005F54F6">
      <w:pPr>
        <w:spacing w:before="120" w:after="120" w:line="240" w:lineRule="auto"/>
        <w:jc w:val="both"/>
        <w:rPr>
          <w:rFonts w:ascii="Verdana" w:hAnsi="Verdana"/>
          <w:sz w:val="20"/>
          <w:szCs w:val="20"/>
        </w:rPr>
      </w:pPr>
    </w:p>
    <w:p w14:paraId="051A81AB" w14:textId="77777777" w:rsidR="00AD4D6A" w:rsidRDefault="00AD4D6A" w:rsidP="005F54F6">
      <w:pPr>
        <w:spacing w:before="120" w:after="120" w:line="240" w:lineRule="auto"/>
        <w:jc w:val="both"/>
        <w:rPr>
          <w:rFonts w:ascii="Verdana" w:hAnsi="Verdana"/>
          <w:sz w:val="20"/>
          <w:szCs w:val="20"/>
        </w:rPr>
      </w:pPr>
    </w:p>
    <w:p w14:paraId="64ED2402" w14:textId="77777777" w:rsidR="00AD4D6A" w:rsidRDefault="00AD4D6A" w:rsidP="005F54F6">
      <w:pPr>
        <w:spacing w:before="120" w:after="120" w:line="240" w:lineRule="auto"/>
        <w:jc w:val="both"/>
        <w:rPr>
          <w:rFonts w:ascii="Verdana" w:hAnsi="Verdana"/>
          <w:sz w:val="20"/>
          <w:szCs w:val="20"/>
        </w:rPr>
      </w:pPr>
    </w:p>
    <w:p w14:paraId="788B44FA" w14:textId="77777777" w:rsidR="00AD4D6A" w:rsidRDefault="00AD4D6A" w:rsidP="005F54F6">
      <w:pPr>
        <w:spacing w:before="120" w:after="120" w:line="240" w:lineRule="auto"/>
        <w:jc w:val="both"/>
        <w:rPr>
          <w:rFonts w:ascii="Verdana" w:hAnsi="Verdana"/>
          <w:sz w:val="20"/>
          <w:szCs w:val="20"/>
        </w:rPr>
      </w:pPr>
    </w:p>
    <w:p w14:paraId="11E22C60" w14:textId="77777777" w:rsidR="00AD4D6A" w:rsidRDefault="00AD4D6A" w:rsidP="005F54F6">
      <w:pPr>
        <w:spacing w:before="120" w:after="120" w:line="240" w:lineRule="auto"/>
        <w:jc w:val="both"/>
        <w:rPr>
          <w:rFonts w:ascii="Verdana" w:hAnsi="Verdana"/>
          <w:sz w:val="20"/>
          <w:szCs w:val="20"/>
        </w:rPr>
      </w:pPr>
    </w:p>
    <w:p w14:paraId="2CCD149A" w14:textId="77777777" w:rsidR="00AD4D6A" w:rsidRDefault="00AD4D6A" w:rsidP="005F54F6">
      <w:pPr>
        <w:spacing w:before="120" w:after="120" w:line="240" w:lineRule="auto"/>
        <w:jc w:val="both"/>
        <w:rPr>
          <w:rFonts w:ascii="Verdana" w:hAnsi="Verdana"/>
          <w:sz w:val="20"/>
          <w:szCs w:val="20"/>
        </w:rPr>
      </w:pPr>
    </w:p>
    <w:p w14:paraId="3D9E66EB" w14:textId="77777777" w:rsidR="00562E34" w:rsidRDefault="00562E34" w:rsidP="005F54F6">
      <w:pPr>
        <w:spacing w:before="120" w:after="120" w:line="240" w:lineRule="auto"/>
        <w:jc w:val="both"/>
        <w:rPr>
          <w:rFonts w:ascii="Verdana" w:hAnsi="Verdana"/>
          <w:sz w:val="20"/>
          <w:szCs w:val="20"/>
        </w:rPr>
      </w:pPr>
    </w:p>
    <w:p w14:paraId="00DF1E2A" w14:textId="77777777" w:rsidR="00562E34" w:rsidRDefault="00562E34" w:rsidP="005F54F6">
      <w:pPr>
        <w:spacing w:before="120" w:after="120" w:line="240" w:lineRule="auto"/>
        <w:jc w:val="both"/>
        <w:rPr>
          <w:rFonts w:ascii="Verdana" w:hAnsi="Verdana"/>
          <w:sz w:val="20"/>
          <w:szCs w:val="20"/>
        </w:rPr>
      </w:pPr>
    </w:p>
    <w:p w14:paraId="0A94EE1A" w14:textId="77777777" w:rsidR="00562E34" w:rsidRDefault="00562E34" w:rsidP="005F54F6">
      <w:pPr>
        <w:spacing w:before="120" w:after="120" w:line="240" w:lineRule="auto"/>
        <w:jc w:val="both"/>
        <w:rPr>
          <w:rFonts w:ascii="Verdana" w:hAnsi="Verdana"/>
          <w:sz w:val="20"/>
          <w:szCs w:val="20"/>
        </w:rPr>
      </w:pPr>
    </w:p>
    <w:p w14:paraId="529C147D" w14:textId="77777777" w:rsidR="00AD4D6A" w:rsidRDefault="00AD4D6A" w:rsidP="005F54F6">
      <w:pPr>
        <w:spacing w:before="120" w:after="120" w:line="240" w:lineRule="auto"/>
        <w:jc w:val="both"/>
        <w:rPr>
          <w:rFonts w:ascii="Verdana" w:hAnsi="Verdana"/>
          <w:sz w:val="20"/>
          <w:szCs w:val="20"/>
        </w:rPr>
      </w:pPr>
    </w:p>
    <w:p w14:paraId="27A44D71" w14:textId="77777777" w:rsidR="00AD4D6A" w:rsidRDefault="00AD4D6A" w:rsidP="00AD4D6A">
      <w:pPr>
        <w:spacing w:after="0" w:line="240" w:lineRule="auto"/>
        <w:jc w:val="both"/>
        <w:rPr>
          <w:rFonts w:ascii="Verdana" w:hAnsi="Verdana"/>
          <w:sz w:val="20"/>
        </w:rPr>
      </w:pPr>
      <w:r>
        <w:rPr>
          <w:rFonts w:ascii="Verdana" w:hAnsi="Verdana"/>
          <w:sz w:val="20"/>
          <w:lang w:val="es-CR"/>
        </w:rPr>
        <w:lastRenderedPageBreak/>
        <w:t xml:space="preserve">Corte IDH. Caso </w:t>
      </w:r>
      <w:r>
        <w:rPr>
          <w:rFonts w:ascii="Verdana" w:hAnsi="Verdana"/>
          <w:i/>
          <w:sz w:val="20"/>
          <w:lang w:val="es-CR"/>
        </w:rPr>
        <w:t>Alvarado Espinoza y otros Vs. México.</w:t>
      </w:r>
      <w:r>
        <w:rPr>
          <w:rFonts w:ascii="Verdana" w:hAnsi="Verdana"/>
          <w:sz w:val="20"/>
          <w:lang w:val="es-CR"/>
        </w:rPr>
        <w:t xml:space="preserve"> Fondo, Reparaciones y Costas. Sentencia de 28 de noviembre de 2018.</w:t>
      </w:r>
    </w:p>
    <w:p w14:paraId="653BBD3E" w14:textId="77777777" w:rsidR="00AD4D6A" w:rsidRDefault="00AD4D6A" w:rsidP="00AD4D6A">
      <w:pPr>
        <w:spacing w:after="0" w:line="240" w:lineRule="auto"/>
        <w:rPr>
          <w:rFonts w:ascii="Verdana" w:hAnsi="Verdana"/>
          <w:sz w:val="20"/>
        </w:rPr>
      </w:pPr>
    </w:p>
    <w:p w14:paraId="3FD7E185" w14:textId="77777777" w:rsidR="00AD4D6A" w:rsidRDefault="00AD4D6A" w:rsidP="00AD4D6A">
      <w:pPr>
        <w:spacing w:after="0" w:line="240" w:lineRule="auto"/>
        <w:rPr>
          <w:rFonts w:ascii="Verdana" w:hAnsi="Verdana"/>
          <w:sz w:val="20"/>
        </w:rPr>
      </w:pPr>
    </w:p>
    <w:p w14:paraId="44AC2CF6" w14:textId="77777777" w:rsidR="00AD4D6A" w:rsidRDefault="00AD4D6A" w:rsidP="00AD4D6A">
      <w:pPr>
        <w:spacing w:after="0" w:line="240" w:lineRule="auto"/>
        <w:rPr>
          <w:rFonts w:ascii="Verdana" w:hAnsi="Verdana"/>
          <w:sz w:val="20"/>
        </w:rPr>
      </w:pPr>
    </w:p>
    <w:p w14:paraId="4F8060E0" w14:textId="77777777" w:rsidR="00AD4D6A" w:rsidRDefault="00AD4D6A" w:rsidP="00AD4D6A">
      <w:pPr>
        <w:spacing w:after="0" w:line="240" w:lineRule="auto"/>
        <w:rPr>
          <w:rFonts w:ascii="Verdana" w:hAnsi="Verdana"/>
          <w:sz w:val="20"/>
        </w:rPr>
      </w:pPr>
    </w:p>
    <w:p w14:paraId="1C45B0E3" w14:textId="77777777" w:rsidR="00AD4D6A" w:rsidRDefault="00AD4D6A" w:rsidP="00AD4D6A">
      <w:pPr>
        <w:spacing w:after="0" w:line="240" w:lineRule="auto"/>
        <w:jc w:val="center"/>
        <w:rPr>
          <w:rFonts w:ascii="Verdana" w:hAnsi="Verdana"/>
          <w:sz w:val="20"/>
        </w:rPr>
      </w:pPr>
      <w:r>
        <w:rPr>
          <w:rFonts w:ascii="Verdana" w:hAnsi="Verdana"/>
          <w:sz w:val="20"/>
          <w:lang w:val="es-CR"/>
        </w:rPr>
        <w:t>Eduardo Vio Grossi</w:t>
      </w:r>
    </w:p>
    <w:p w14:paraId="389FADF0" w14:textId="77777777" w:rsidR="00AD4D6A" w:rsidRDefault="00AD4D6A" w:rsidP="00AD4D6A">
      <w:pPr>
        <w:spacing w:after="0" w:line="240" w:lineRule="auto"/>
        <w:jc w:val="center"/>
        <w:rPr>
          <w:rFonts w:ascii="Verdana" w:hAnsi="Verdana"/>
          <w:sz w:val="20"/>
        </w:rPr>
      </w:pPr>
      <w:r>
        <w:rPr>
          <w:rFonts w:ascii="Verdana" w:hAnsi="Verdana"/>
          <w:sz w:val="20"/>
        </w:rPr>
        <w:t>Presidente en Ejercicio</w:t>
      </w:r>
    </w:p>
    <w:p w14:paraId="60E08FE0" w14:textId="77777777" w:rsidR="00AD4D6A" w:rsidRDefault="00AD4D6A" w:rsidP="00AD4D6A">
      <w:pPr>
        <w:spacing w:after="0" w:line="240" w:lineRule="auto"/>
        <w:jc w:val="both"/>
        <w:rPr>
          <w:rFonts w:ascii="Verdana" w:hAnsi="Verdana"/>
          <w:sz w:val="20"/>
        </w:rPr>
      </w:pPr>
    </w:p>
    <w:p w14:paraId="21FC6D5A" w14:textId="77777777" w:rsidR="00AD4D6A" w:rsidRDefault="00AD4D6A" w:rsidP="00AD4D6A">
      <w:pPr>
        <w:spacing w:after="0" w:line="240" w:lineRule="auto"/>
        <w:jc w:val="both"/>
        <w:rPr>
          <w:rFonts w:ascii="Verdana" w:hAnsi="Verdana"/>
          <w:sz w:val="20"/>
        </w:rPr>
      </w:pPr>
    </w:p>
    <w:p w14:paraId="3821AEF9" w14:textId="77777777" w:rsidR="00AD4D6A" w:rsidRDefault="00AD4D6A" w:rsidP="00AD4D6A">
      <w:pPr>
        <w:spacing w:after="0" w:line="240" w:lineRule="auto"/>
        <w:jc w:val="both"/>
        <w:rPr>
          <w:rFonts w:ascii="Verdana" w:hAnsi="Verdana"/>
          <w:sz w:val="20"/>
        </w:rPr>
      </w:pPr>
    </w:p>
    <w:p w14:paraId="7F4253B4" w14:textId="77777777" w:rsidR="00AD4D6A" w:rsidRDefault="00AD4D6A" w:rsidP="00AD4D6A">
      <w:pPr>
        <w:spacing w:after="0" w:line="240" w:lineRule="auto"/>
        <w:jc w:val="both"/>
        <w:rPr>
          <w:rFonts w:ascii="Verdana" w:hAnsi="Verdana"/>
          <w:sz w:val="20"/>
        </w:rPr>
      </w:pPr>
    </w:p>
    <w:p w14:paraId="2E922B02" w14:textId="77777777" w:rsidR="00AD4D6A" w:rsidRPr="003D7CEE" w:rsidRDefault="00AD4D6A" w:rsidP="00AD4D6A">
      <w:pPr>
        <w:spacing w:after="0" w:line="240" w:lineRule="auto"/>
        <w:jc w:val="both"/>
        <w:rPr>
          <w:rFonts w:ascii="Verdana" w:hAnsi="Verdana"/>
          <w:sz w:val="20"/>
          <w:lang w:val="es-CR"/>
        </w:rPr>
      </w:pPr>
      <w:r>
        <w:rPr>
          <w:rFonts w:ascii="Verdana" w:hAnsi="Verdana"/>
          <w:sz w:val="20"/>
          <w:lang w:val="es-CR"/>
        </w:rPr>
        <w:t>Humberto A. Sierra Porto</w:t>
      </w:r>
      <w:r>
        <w:rPr>
          <w:rFonts w:ascii="Verdana" w:hAnsi="Verdana"/>
          <w:sz w:val="20"/>
          <w:lang w:val="es-CR"/>
        </w:rPr>
        <w:tab/>
      </w:r>
      <w:r>
        <w:rPr>
          <w:rFonts w:ascii="Verdana" w:hAnsi="Verdana"/>
          <w:sz w:val="20"/>
          <w:lang w:val="es-CR"/>
        </w:rPr>
        <w:tab/>
      </w:r>
      <w:r>
        <w:rPr>
          <w:rFonts w:ascii="Verdana" w:hAnsi="Verdana"/>
          <w:sz w:val="20"/>
          <w:lang w:val="es-CR"/>
        </w:rPr>
        <w:tab/>
      </w:r>
      <w:r>
        <w:rPr>
          <w:rFonts w:ascii="Verdana" w:hAnsi="Verdana"/>
          <w:sz w:val="20"/>
          <w:lang w:val="es-CR"/>
        </w:rPr>
        <w:tab/>
      </w:r>
      <w:r>
        <w:rPr>
          <w:rFonts w:ascii="Verdana" w:hAnsi="Verdana"/>
          <w:sz w:val="20"/>
          <w:lang w:val="es-CR"/>
        </w:rPr>
        <w:tab/>
      </w:r>
      <w:r>
        <w:rPr>
          <w:rFonts w:ascii="Verdana" w:hAnsi="Verdana"/>
          <w:sz w:val="20"/>
          <w:lang w:val="es-CR"/>
        </w:rPr>
        <w:tab/>
      </w:r>
      <w:r>
        <w:rPr>
          <w:rFonts w:ascii="Verdana" w:hAnsi="Verdana"/>
          <w:sz w:val="20"/>
          <w:lang w:val="es-CR"/>
        </w:rPr>
        <w:tab/>
        <w:t xml:space="preserve"> Elizabeth Odio Benito</w:t>
      </w:r>
    </w:p>
    <w:p w14:paraId="3888C6EA" w14:textId="77777777" w:rsidR="00AD4D6A" w:rsidRDefault="00AD4D6A" w:rsidP="00AD4D6A">
      <w:pPr>
        <w:spacing w:after="0" w:line="240" w:lineRule="auto"/>
        <w:jc w:val="center"/>
        <w:rPr>
          <w:rFonts w:ascii="Verdana" w:hAnsi="Verdana"/>
          <w:sz w:val="20"/>
        </w:rPr>
      </w:pPr>
    </w:p>
    <w:p w14:paraId="7243DB04" w14:textId="77777777" w:rsidR="00AD4D6A" w:rsidRDefault="00AD4D6A" w:rsidP="00AD4D6A">
      <w:pPr>
        <w:spacing w:after="0" w:line="240" w:lineRule="auto"/>
        <w:jc w:val="center"/>
        <w:rPr>
          <w:rFonts w:ascii="Verdana" w:hAnsi="Verdana"/>
          <w:sz w:val="20"/>
        </w:rPr>
      </w:pPr>
    </w:p>
    <w:p w14:paraId="30362AC1" w14:textId="77777777" w:rsidR="00AD4D6A" w:rsidRDefault="00AD4D6A" w:rsidP="00AD4D6A">
      <w:pPr>
        <w:spacing w:after="0" w:line="240" w:lineRule="auto"/>
        <w:jc w:val="center"/>
        <w:rPr>
          <w:rFonts w:ascii="Verdana" w:hAnsi="Verdana"/>
          <w:sz w:val="20"/>
        </w:rPr>
      </w:pPr>
    </w:p>
    <w:p w14:paraId="29130329" w14:textId="77777777" w:rsidR="00AD4D6A" w:rsidRDefault="00AD4D6A" w:rsidP="00AD4D6A">
      <w:pPr>
        <w:spacing w:after="0" w:line="240" w:lineRule="auto"/>
        <w:jc w:val="center"/>
        <w:rPr>
          <w:rFonts w:ascii="Verdana" w:hAnsi="Verdana"/>
          <w:sz w:val="20"/>
        </w:rPr>
      </w:pPr>
    </w:p>
    <w:p w14:paraId="596CF597" w14:textId="77777777" w:rsidR="00AD4D6A" w:rsidRDefault="00AD4D6A" w:rsidP="00AD4D6A">
      <w:pPr>
        <w:spacing w:after="0" w:line="240" w:lineRule="auto"/>
        <w:rPr>
          <w:rFonts w:ascii="Verdana" w:hAnsi="Verdana"/>
          <w:sz w:val="20"/>
          <w:lang w:val="es-CR"/>
        </w:rPr>
      </w:pPr>
    </w:p>
    <w:p w14:paraId="44167673" w14:textId="77777777" w:rsidR="00AD4D6A" w:rsidRDefault="00AD4D6A" w:rsidP="00AD4D6A">
      <w:pPr>
        <w:spacing w:after="0" w:line="240" w:lineRule="auto"/>
        <w:rPr>
          <w:rFonts w:ascii="Verdana" w:hAnsi="Verdana"/>
          <w:sz w:val="20"/>
          <w:lang w:val="es-CR"/>
        </w:rPr>
      </w:pPr>
      <w:r>
        <w:rPr>
          <w:rFonts w:ascii="Verdana" w:hAnsi="Verdana"/>
          <w:sz w:val="20"/>
          <w:lang w:val="es-CR"/>
        </w:rPr>
        <w:t>Eugenio Raúl Zaffaroni</w:t>
      </w:r>
      <w:r>
        <w:rPr>
          <w:rFonts w:ascii="Verdana" w:hAnsi="Verdana"/>
          <w:sz w:val="20"/>
          <w:lang w:val="es-CR"/>
        </w:rPr>
        <w:tab/>
      </w:r>
      <w:r>
        <w:rPr>
          <w:rFonts w:ascii="Verdana" w:hAnsi="Verdana"/>
          <w:sz w:val="20"/>
          <w:lang w:val="es-CR"/>
        </w:rPr>
        <w:tab/>
      </w:r>
      <w:r>
        <w:rPr>
          <w:rFonts w:ascii="Verdana" w:hAnsi="Verdana"/>
          <w:sz w:val="20"/>
          <w:lang w:val="es-CR"/>
        </w:rPr>
        <w:tab/>
      </w:r>
      <w:r>
        <w:rPr>
          <w:rFonts w:ascii="Verdana" w:hAnsi="Verdana"/>
          <w:sz w:val="20"/>
          <w:lang w:val="es-CR"/>
        </w:rPr>
        <w:tab/>
      </w:r>
      <w:r>
        <w:rPr>
          <w:rFonts w:ascii="Verdana" w:hAnsi="Verdana"/>
          <w:sz w:val="20"/>
          <w:lang w:val="es-CR"/>
        </w:rPr>
        <w:tab/>
        <w:t xml:space="preserve">                L. Patricio Pazmiño Freire</w:t>
      </w:r>
    </w:p>
    <w:p w14:paraId="2CCAF664" w14:textId="77777777" w:rsidR="00AD4D6A" w:rsidRDefault="00AD4D6A" w:rsidP="00AD4D6A">
      <w:pPr>
        <w:spacing w:after="0" w:line="240" w:lineRule="auto"/>
        <w:rPr>
          <w:rFonts w:ascii="Verdana" w:hAnsi="Verdana"/>
          <w:sz w:val="20"/>
          <w:lang w:val="es-CR"/>
        </w:rPr>
      </w:pPr>
      <w:r>
        <w:rPr>
          <w:rFonts w:ascii="Verdana" w:hAnsi="Verdana"/>
          <w:sz w:val="20"/>
          <w:lang w:val="es-CR"/>
        </w:rPr>
        <w:tab/>
      </w:r>
      <w:r>
        <w:rPr>
          <w:rFonts w:ascii="Verdana" w:hAnsi="Verdana"/>
          <w:sz w:val="20"/>
          <w:lang w:val="es-CR"/>
        </w:rPr>
        <w:tab/>
      </w:r>
      <w:r>
        <w:rPr>
          <w:rFonts w:ascii="Verdana" w:hAnsi="Verdana"/>
          <w:sz w:val="20"/>
          <w:lang w:val="es-CR"/>
        </w:rPr>
        <w:tab/>
      </w:r>
    </w:p>
    <w:p w14:paraId="015B214A" w14:textId="77777777" w:rsidR="00AD4D6A" w:rsidRDefault="00AD4D6A" w:rsidP="00AD4D6A">
      <w:pPr>
        <w:spacing w:after="0" w:line="240" w:lineRule="auto"/>
        <w:rPr>
          <w:rFonts w:ascii="Verdana" w:hAnsi="Verdana"/>
          <w:sz w:val="20"/>
          <w:lang w:val="es-CR"/>
        </w:rPr>
      </w:pPr>
    </w:p>
    <w:p w14:paraId="71B90530" w14:textId="77777777" w:rsidR="00AD4D6A" w:rsidRDefault="00AD4D6A" w:rsidP="00AD4D6A">
      <w:pPr>
        <w:tabs>
          <w:tab w:val="left" w:pos="8460"/>
          <w:tab w:val="left" w:pos="8640"/>
        </w:tabs>
        <w:spacing w:after="0" w:line="240" w:lineRule="auto"/>
        <w:jc w:val="both"/>
        <w:rPr>
          <w:rFonts w:ascii="Verdana" w:hAnsi="Verdana"/>
          <w:sz w:val="20"/>
          <w:lang w:val="es-CR"/>
        </w:rPr>
      </w:pPr>
    </w:p>
    <w:p w14:paraId="6208F0D8" w14:textId="77777777" w:rsidR="00AD4D6A" w:rsidRPr="00274D2F" w:rsidRDefault="00AD4D6A" w:rsidP="00AD4D6A">
      <w:pPr>
        <w:tabs>
          <w:tab w:val="left" w:pos="8460"/>
          <w:tab w:val="left" w:pos="8640"/>
        </w:tabs>
        <w:spacing w:after="0" w:line="240" w:lineRule="auto"/>
        <w:jc w:val="both"/>
        <w:rPr>
          <w:rFonts w:ascii="Verdana" w:hAnsi="Verdana"/>
          <w:sz w:val="20"/>
          <w:lang w:val="es-CR"/>
        </w:rPr>
      </w:pPr>
    </w:p>
    <w:p w14:paraId="0C0C6E01" w14:textId="77777777" w:rsidR="00AD4D6A" w:rsidRDefault="00AD4D6A" w:rsidP="00AD4D6A">
      <w:pPr>
        <w:tabs>
          <w:tab w:val="left" w:pos="8460"/>
          <w:tab w:val="left" w:pos="8640"/>
        </w:tabs>
        <w:spacing w:after="0" w:line="240" w:lineRule="auto"/>
        <w:jc w:val="center"/>
        <w:rPr>
          <w:rFonts w:ascii="Verdana" w:hAnsi="Verdana"/>
          <w:sz w:val="20"/>
        </w:rPr>
      </w:pPr>
      <w:r>
        <w:rPr>
          <w:rFonts w:ascii="Verdana" w:hAnsi="Verdana"/>
          <w:sz w:val="20"/>
        </w:rPr>
        <w:t>Pablo Saavedra Alessandri</w:t>
      </w:r>
    </w:p>
    <w:p w14:paraId="53E4E68B" w14:textId="77777777" w:rsidR="00AD4D6A" w:rsidRDefault="00AD4D6A" w:rsidP="00AD4D6A">
      <w:pPr>
        <w:tabs>
          <w:tab w:val="left" w:pos="8460"/>
          <w:tab w:val="left" w:pos="8640"/>
        </w:tabs>
        <w:spacing w:after="0" w:line="240" w:lineRule="auto"/>
        <w:jc w:val="center"/>
        <w:rPr>
          <w:rFonts w:ascii="Verdana" w:hAnsi="Verdana"/>
          <w:sz w:val="20"/>
        </w:rPr>
      </w:pPr>
      <w:r>
        <w:rPr>
          <w:rFonts w:ascii="Verdana" w:hAnsi="Verdana"/>
          <w:sz w:val="20"/>
        </w:rPr>
        <w:t>Secretario</w:t>
      </w:r>
    </w:p>
    <w:p w14:paraId="0F6D3598" w14:textId="77777777" w:rsidR="00AD4D6A" w:rsidRDefault="00AD4D6A" w:rsidP="00AD4D6A">
      <w:pPr>
        <w:tabs>
          <w:tab w:val="left" w:pos="8460"/>
          <w:tab w:val="left" w:pos="8640"/>
        </w:tabs>
        <w:spacing w:after="0" w:line="240" w:lineRule="auto"/>
        <w:jc w:val="both"/>
        <w:rPr>
          <w:rFonts w:ascii="Verdana" w:hAnsi="Verdana"/>
          <w:sz w:val="20"/>
        </w:rPr>
      </w:pPr>
    </w:p>
    <w:p w14:paraId="6BADCC8D" w14:textId="77777777" w:rsidR="00AD4D6A" w:rsidRDefault="00AD4D6A" w:rsidP="00AD4D6A">
      <w:pPr>
        <w:spacing w:after="0" w:line="240" w:lineRule="auto"/>
        <w:jc w:val="both"/>
        <w:rPr>
          <w:rFonts w:ascii="Verdana" w:hAnsi="Verdana"/>
          <w:sz w:val="20"/>
        </w:rPr>
      </w:pPr>
    </w:p>
    <w:p w14:paraId="058D303E" w14:textId="77777777" w:rsidR="00AD4D6A" w:rsidRDefault="00AD4D6A" w:rsidP="00AD4D6A">
      <w:pPr>
        <w:tabs>
          <w:tab w:val="left" w:pos="8460"/>
          <w:tab w:val="left" w:pos="8640"/>
        </w:tabs>
        <w:spacing w:after="0" w:line="240" w:lineRule="auto"/>
        <w:jc w:val="both"/>
        <w:rPr>
          <w:rFonts w:ascii="Verdana" w:hAnsi="Verdana"/>
          <w:sz w:val="20"/>
        </w:rPr>
      </w:pPr>
      <w:r>
        <w:rPr>
          <w:rFonts w:ascii="Verdana" w:hAnsi="Verdana"/>
          <w:sz w:val="20"/>
        </w:rPr>
        <w:t>Comuníquese y ejecútese,</w:t>
      </w:r>
    </w:p>
    <w:p w14:paraId="1480671C" w14:textId="77777777" w:rsidR="00AD4D6A" w:rsidRDefault="00AD4D6A" w:rsidP="00AD4D6A">
      <w:pPr>
        <w:tabs>
          <w:tab w:val="left" w:pos="8460"/>
          <w:tab w:val="left" w:pos="8640"/>
        </w:tabs>
        <w:spacing w:after="0" w:line="240" w:lineRule="auto"/>
        <w:jc w:val="both"/>
        <w:rPr>
          <w:rFonts w:ascii="Verdana" w:hAnsi="Verdana"/>
          <w:sz w:val="20"/>
        </w:rPr>
      </w:pPr>
    </w:p>
    <w:p w14:paraId="1D005393" w14:textId="77777777" w:rsidR="00AD4D6A" w:rsidRDefault="00AD4D6A" w:rsidP="00AD4D6A">
      <w:pPr>
        <w:tabs>
          <w:tab w:val="left" w:pos="8460"/>
          <w:tab w:val="left" w:pos="8640"/>
        </w:tabs>
        <w:spacing w:after="0" w:line="240" w:lineRule="auto"/>
        <w:jc w:val="both"/>
        <w:rPr>
          <w:rFonts w:ascii="Verdana" w:hAnsi="Verdana"/>
          <w:sz w:val="20"/>
        </w:rPr>
      </w:pPr>
    </w:p>
    <w:p w14:paraId="3092DCEF" w14:textId="77777777" w:rsidR="00AD4D6A" w:rsidRDefault="00AD4D6A" w:rsidP="00AD4D6A">
      <w:pPr>
        <w:tabs>
          <w:tab w:val="left" w:pos="8460"/>
          <w:tab w:val="left" w:pos="8640"/>
        </w:tabs>
        <w:spacing w:after="0" w:line="240" w:lineRule="auto"/>
        <w:jc w:val="right"/>
        <w:rPr>
          <w:rFonts w:ascii="Verdana" w:hAnsi="Verdana"/>
          <w:sz w:val="20"/>
        </w:rPr>
      </w:pPr>
    </w:p>
    <w:p w14:paraId="0D328EF3" w14:textId="77777777" w:rsidR="00AD4D6A" w:rsidRDefault="00AD4D6A" w:rsidP="00AD4D6A">
      <w:pPr>
        <w:spacing w:after="0" w:line="240" w:lineRule="auto"/>
        <w:ind w:left="6480" w:firstLine="720"/>
        <w:jc w:val="center"/>
        <w:rPr>
          <w:rFonts w:ascii="Verdana" w:hAnsi="Verdana"/>
          <w:sz w:val="20"/>
        </w:rPr>
      </w:pPr>
      <w:r>
        <w:rPr>
          <w:rFonts w:ascii="Verdana" w:hAnsi="Verdana"/>
          <w:sz w:val="20"/>
          <w:lang w:val="es-CR"/>
        </w:rPr>
        <w:t>Eduardo Vio Grossi</w:t>
      </w:r>
    </w:p>
    <w:p w14:paraId="67A2B6C0" w14:textId="77777777" w:rsidR="00AD4D6A" w:rsidRDefault="00AD4D6A" w:rsidP="00AD4D6A">
      <w:pPr>
        <w:spacing w:after="0" w:line="240" w:lineRule="auto"/>
        <w:jc w:val="right"/>
        <w:rPr>
          <w:rFonts w:ascii="Verdana" w:hAnsi="Verdana"/>
          <w:sz w:val="20"/>
        </w:rPr>
      </w:pPr>
      <w:r>
        <w:rPr>
          <w:rFonts w:ascii="Verdana" w:hAnsi="Verdana"/>
          <w:sz w:val="20"/>
        </w:rPr>
        <w:t>Presidente en Ejercicio</w:t>
      </w:r>
    </w:p>
    <w:p w14:paraId="6849BF9C" w14:textId="77777777" w:rsidR="00AD4D6A" w:rsidRDefault="00AD4D6A" w:rsidP="00AD4D6A">
      <w:pPr>
        <w:spacing w:after="0" w:line="240" w:lineRule="auto"/>
        <w:ind w:left="5760"/>
        <w:jc w:val="center"/>
        <w:rPr>
          <w:rFonts w:ascii="Verdana" w:hAnsi="Verdana"/>
          <w:sz w:val="20"/>
        </w:rPr>
      </w:pPr>
    </w:p>
    <w:p w14:paraId="7048B808" w14:textId="77777777" w:rsidR="00AD4D6A" w:rsidRDefault="00AD4D6A" w:rsidP="00AD4D6A">
      <w:pPr>
        <w:tabs>
          <w:tab w:val="left" w:pos="8460"/>
          <w:tab w:val="left" w:pos="8640"/>
        </w:tabs>
        <w:spacing w:after="0" w:line="240" w:lineRule="auto"/>
        <w:jc w:val="both"/>
        <w:rPr>
          <w:rFonts w:ascii="Verdana" w:hAnsi="Verdana"/>
          <w:sz w:val="20"/>
        </w:rPr>
      </w:pPr>
    </w:p>
    <w:p w14:paraId="2C3D5D07" w14:textId="77777777" w:rsidR="00AD4D6A" w:rsidRDefault="00AD4D6A" w:rsidP="00AD4D6A">
      <w:pPr>
        <w:tabs>
          <w:tab w:val="left" w:pos="8460"/>
          <w:tab w:val="left" w:pos="8640"/>
        </w:tabs>
        <w:spacing w:after="0" w:line="240" w:lineRule="auto"/>
        <w:jc w:val="both"/>
        <w:rPr>
          <w:rFonts w:ascii="Verdana" w:hAnsi="Verdana"/>
          <w:sz w:val="20"/>
        </w:rPr>
      </w:pPr>
    </w:p>
    <w:p w14:paraId="49268EF0" w14:textId="77777777" w:rsidR="00AD4D6A" w:rsidRDefault="00AD4D6A" w:rsidP="00AD4D6A">
      <w:pPr>
        <w:tabs>
          <w:tab w:val="left" w:pos="8460"/>
          <w:tab w:val="left" w:pos="8640"/>
        </w:tabs>
        <w:spacing w:after="0" w:line="240" w:lineRule="auto"/>
        <w:jc w:val="both"/>
        <w:rPr>
          <w:rFonts w:ascii="Verdana" w:hAnsi="Verdana"/>
          <w:sz w:val="20"/>
        </w:rPr>
      </w:pPr>
      <w:r>
        <w:rPr>
          <w:rFonts w:ascii="Verdana" w:hAnsi="Verdana"/>
          <w:sz w:val="20"/>
        </w:rPr>
        <w:t>Pablo Saavedra Alessandri</w:t>
      </w:r>
    </w:p>
    <w:p w14:paraId="67466C45" w14:textId="77777777" w:rsidR="00AD4D6A" w:rsidRDefault="00AD4D6A" w:rsidP="00AD4D6A">
      <w:pPr>
        <w:tabs>
          <w:tab w:val="left" w:pos="8640"/>
        </w:tabs>
        <w:spacing w:after="0" w:line="240" w:lineRule="auto"/>
        <w:ind w:left="720"/>
        <w:rPr>
          <w:rFonts w:ascii="Verdana" w:hAnsi="Verdana"/>
          <w:sz w:val="20"/>
        </w:rPr>
      </w:pPr>
      <w:r>
        <w:rPr>
          <w:rFonts w:ascii="Verdana" w:hAnsi="Verdana"/>
          <w:sz w:val="20"/>
        </w:rPr>
        <w:t xml:space="preserve">  Secretario</w:t>
      </w:r>
    </w:p>
    <w:p w14:paraId="13B4802A" w14:textId="77777777" w:rsidR="00AD4D6A" w:rsidRDefault="00AD4D6A" w:rsidP="00AD4D6A">
      <w:pPr>
        <w:tabs>
          <w:tab w:val="left" w:pos="8640"/>
        </w:tabs>
        <w:ind w:left="720"/>
        <w:rPr>
          <w:rFonts w:ascii="Verdana" w:hAnsi="Verdana"/>
          <w:sz w:val="20"/>
        </w:rPr>
      </w:pPr>
    </w:p>
    <w:p w14:paraId="0EA590B8" w14:textId="77777777" w:rsidR="00AD4D6A" w:rsidRDefault="00AD4D6A" w:rsidP="00AD4D6A">
      <w:pPr>
        <w:tabs>
          <w:tab w:val="left" w:pos="8640"/>
        </w:tabs>
        <w:ind w:left="720"/>
        <w:rPr>
          <w:rFonts w:ascii="Verdana" w:hAnsi="Verdana"/>
          <w:sz w:val="20"/>
        </w:rPr>
      </w:pPr>
    </w:p>
    <w:p w14:paraId="00ADA4EF" w14:textId="77777777" w:rsidR="00AD4D6A" w:rsidRDefault="00AD4D6A" w:rsidP="00AD4D6A">
      <w:pPr>
        <w:tabs>
          <w:tab w:val="left" w:pos="8640"/>
        </w:tabs>
        <w:ind w:left="720"/>
        <w:rPr>
          <w:rFonts w:ascii="Verdana" w:hAnsi="Verdana"/>
          <w:sz w:val="20"/>
        </w:rPr>
      </w:pPr>
    </w:p>
    <w:p w14:paraId="209D203F" w14:textId="77777777" w:rsidR="00AD4D6A" w:rsidRDefault="00AD4D6A" w:rsidP="00AD4D6A">
      <w:pPr>
        <w:tabs>
          <w:tab w:val="left" w:pos="8640"/>
        </w:tabs>
        <w:ind w:left="720"/>
        <w:rPr>
          <w:rFonts w:ascii="Verdana" w:hAnsi="Verdana"/>
          <w:sz w:val="20"/>
        </w:rPr>
      </w:pPr>
    </w:p>
    <w:p w14:paraId="48CAD042" w14:textId="77777777" w:rsidR="00AD4D6A" w:rsidRPr="0089411D" w:rsidRDefault="00AD4D6A" w:rsidP="005F54F6">
      <w:pPr>
        <w:spacing w:before="120" w:after="120" w:line="240" w:lineRule="auto"/>
        <w:jc w:val="both"/>
        <w:rPr>
          <w:rFonts w:ascii="Verdana" w:hAnsi="Verdana"/>
          <w:sz w:val="20"/>
          <w:szCs w:val="20"/>
        </w:rPr>
      </w:pPr>
    </w:p>
    <w:sectPr w:rsidR="00AD4D6A" w:rsidRPr="0089411D" w:rsidSect="008D0846">
      <w:headerReference w:type="default" r:id="rId13"/>
      <w:headerReference w:type="first" r:id="rId14"/>
      <w:pgSz w:w="12240" w:h="15840"/>
      <w:pgMar w:top="1247" w:right="1191" w:bottom="1191" w:left="1247"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464EDB" w14:textId="77777777" w:rsidR="00146958" w:rsidRDefault="00146958" w:rsidP="002E1C85">
      <w:pPr>
        <w:spacing w:after="0" w:line="240" w:lineRule="auto"/>
      </w:pPr>
      <w:r>
        <w:separator/>
      </w:r>
    </w:p>
  </w:endnote>
  <w:endnote w:type="continuationSeparator" w:id="0">
    <w:p w14:paraId="7B1E62EB" w14:textId="77777777" w:rsidR="00146958" w:rsidRDefault="00146958" w:rsidP="002E1C85">
      <w:pPr>
        <w:spacing w:after="0" w:line="240" w:lineRule="auto"/>
      </w:pPr>
      <w:r>
        <w:continuationSeparator/>
      </w:r>
    </w:p>
  </w:endnote>
  <w:endnote w:type="continuationNotice" w:id="1">
    <w:p w14:paraId="5A425D2E" w14:textId="77777777" w:rsidR="00146958" w:rsidRDefault="0014695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Italic">
    <w:charset w:val="00"/>
    <w:family w:val="auto"/>
    <w:pitch w:val="variable"/>
    <w:sig w:usb0="A10006FF" w:usb1="4000205B" w:usb2="00000010" w:usb3="00000000" w:csb0="0000019F"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Palatino-Italic">
    <w:altName w:val="Arial Unicode MS"/>
    <w:charset w:val="00"/>
    <w:family w:val="roman"/>
    <w:pitch w:val="variable"/>
    <w:sig w:usb0="00000001" w:usb1="7800205A" w:usb2="14600000" w:usb3="00000000" w:csb0="00000193" w:csb1="00000000"/>
  </w:font>
  <w:font w:name="MS ????">
    <w:panose1 w:val="00000000000000000000"/>
    <w:charset w:val="80"/>
    <w:family w:val="auto"/>
    <w:notTrueType/>
    <w:pitch w:val="variable"/>
    <w:sig w:usb0="00000001" w:usb1="08070000" w:usb2="00000010" w:usb3="00000000" w:csb0="00020000" w:csb1="00000000"/>
  </w:font>
  <w:font w:name="PMingLiU">
    <w:altName w:val="新細明體"/>
    <w:panose1 w:val="02020500000000000000"/>
    <w:charset w:val="88"/>
    <w:family w:val="roman"/>
    <w:pitch w:val="variable"/>
    <w:sig w:usb0="A00002FF" w:usb1="28CFFCFA" w:usb2="00000016" w:usb3="00000000" w:csb0="00100001" w:csb1="00000000"/>
  </w:font>
  <w:font w:name="ヒラギノ角ゴ Pro W3">
    <w:altName w:val="MS Mincho"/>
    <w:charset w:val="80"/>
    <w:family w:val="auto"/>
    <w:pitch w:val="variable"/>
    <w:sig w:usb0="00000000" w:usb1="7AC7FFFF" w:usb2="00000012" w:usb3="00000000" w:csb0="0002000D" w:csb1="00000000"/>
  </w:font>
  <w:font w:name="Cambria,Italic">
    <w:panose1 w:val="00000000000000000000"/>
    <w:charset w:val="00"/>
    <w:family w:val="auto"/>
    <w:notTrueType/>
    <w:pitch w:val="default"/>
    <w:sig w:usb0="00000003" w:usb1="00000000" w:usb2="00000000" w:usb3="00000000" w:csb0="00000001" w:csb1="00000000"/>
  </w:font>
  <w:font w:name="AmnestyTradeGothic">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MT">
    <w:altName w:val="Arial"/>
    <w:panose1 w:val="00000000000000000000"/>
    <w:charset w:val="4D"/>
    <w:family w:val="swiss"/>
    <w:notTrueType/>
    <w:pitch w:val="default"/>
    <w:sig w:usb0="00000003" w:usb1="08070000" w:usb2="00000010" w:usb3="00000000" w:csb0="00020001" w:csb1="00000000"/>
  </w:font>
  <w:font w:name="*Microsoft Sans Serif-5550-Iden">
    <w:panose1 w:val="00000000000000000000"/>
    <w:charset w:val="00"/>
    <w:family w:val="auto"/>
    <w:notTrueType/>
    <w:pitch w:val="default"/>
    <w:sig w:usb0="00000003" w:usb1="00000000" w:usb2="00000000" w:usb3="00000000" w:csb0="00000001" w:csb1="00000000"/>
  </w:font>
  <w:font w:name="43rni">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C378FE" w14:textId="77777777" w:rsidR="00146958" w:rsidRDefault="00146958" w:rsidP="002E1C85">
      <w:pPr>
        <w:spacing w:after="0" w:line="240" w:lineRule="auto"/>
      </w:pPr>
      <w:r>
        <w:separator/>
      </w:r>
    </w:p>
  </w:footnote>
  <w:footnote w:type="continuationSeparator" w:id="0">
    <w:p w14:paraId="3D0B3887" w14:textId="77777777" w:rsidR="00146958" w:rsidRDefault="00146958" w:rsidP="002E1C85">
      <w:pPr>
        <w:spacing w:after="0" w:line="240" w:lineRule="auto"/>
      </w:pPr>
      <w:r>
        <w:continuationSeparator/>
      </w:r>
    </w:p>
  </w:footnote>
  <w:footnote w:type="continuationNotice" w:id="1">
    <w:p w14:paraId="5D7A29F6" w14:textId="77777777" w:rsidR="00146958" w:rsidRDefault="00146958">
      <w:pPr>
        <w:spacing w:after="0" w:line="240" w:lineRule="auto"/>
      </w:pPr>
    </w:p>
  </w:footnote>
  <w:footnote w:id="2">
    <w:p w14:paraId="64AA6129" w14:textId="10638E1B" w:rsidR="00146958" w:rsidRPr="00432ABC" w:rsidRDefault="00146958" w:rsidP="00432ABC">
      <w:pPr>
        <w:pStyle w:val="FootnoteText"/>
        <w:jc w:val="both"/>
        <w:rPr>
          <w:rFonts w:ascii="Verdana" w:hAnsi="Verdana" w:cs="Times"/>
          <w:sz w:val="16"/>
          <w:szCs w:val="16"/>
        </w:rPr>
      </w:pPr>
      <w:r w:rsidRPr="00432ABC">
        <w:rPr>
          <w:rStyle w:val="FootnoteReference"/>
          <w:rFonts w:ascii="Verdana" w:hAnsi="Verdana"/>
          <w:sz w:val="16"/>
          <w:szCs w:val="16"/>
          <w:lang w:val="es-CR"/>
        </w:rPr>
        <w:t>*</w:t>
      </w:r>
      <w:r w:rsidRPr="00432ABC">
        <w:rPr>
          <w:rFonts w:ascii="Verdana" w:hAnsi="Verdana"/>
          <w:sz w:val="16"/>
          <w:szCs w:val="16"/>
          <w:lang w:val="es-CR"/>
        </w:rPr>
        <w:t xml:space="preserve"> </w:t>
      </w:r>
      <w:r w:rsidRPr="00432ABC">
        <w:rPr>
          <w:rFonts w:ascii="Verdana" w:hAnsi="Verdana"/>
          <w:sz w:val="16"/>
          <w:szCs w:val="16"/>
          <w:lang w:val="es-CR"/>
        </w:rPr>
        <w:tab/>
      </w:r>
      <w:r w:rsidRPr="00432ABC">
        <w:rPr>
          <w:rFonts w:ascii="Verdana" w:hAnsi="Verdana"/>
          <w:sz w:val="16"/>
          <w:szCs w:val="16"/>
        </w:rPr>
        <w:t xml:space="preserve">El Juez Eduardo Ferrer Mac-Gregor Poisot, de nacionalidad mexicana, no participó en la tramitación del presente caso ni en la deliberación y firma de esta Sentencia, de conformidad con lo dispuesto en </w:t>
      </w:r>
      <w:r>
        <w:rPr>
          <w:rFonts w:ascii="Verdana" w:hAnsi="Verdana"/>
          <w:sz w:val="16"/>
          <w:szCs w:val="16"/>
        </w:rPr>
        <w:t>el</w:t>
      </w:r>
      <w:r w:rsidRPr="00432ABC">
        <w:rPr>
          <w:rFonts w:ascii="Verdana" w:hAnsi="Verdana"/>
          <w:sz w:val="16"/>
          <w:szCs w:val="16"/>
        </w:rPr>
        <w:t xml:space="preserve"> artículo </w:t>
      </w:r>
      <w:r>
        <w:rPr>
          <w:rFonts w:ascii="Verdana" w:hAnsi="Verdana"/>
          <w:sz w:val="16"/>
          <w:szCs w:val="16"/>
        </w:rPr>
        <w:t>19</w:t>
      </w:r>
      <w:r w:rsidRPr="00432ABC">
        <w:rPr>
          <w:rFonts w:ascii="Verdana" w:hAnsi="Verdana"/>
          <w:sz w:val="16"/>
          <w:szCs w:val="16"/>
        </w:rPr>
        <w:t xml:space="preserve"> del Reglamento de la Corte.</w:t>
      </w:r>
    </w:p>
  </w:footnote>
  <w:footnote w:id="3">
    <w:p w14:paraId="0C48BFFA" w14:textId="59AD5614" w:rsidR="00146958" w:rsidRPr="00024D8E" w:rsidRDefault="00146958" w:rsidP="00531EF3">
      <w:pPr>
        <w:pStyle w:val="FootnoteText"/>
        <w:jc w:val="both"/>
        <w:rPr>
          <w:rFonts w:ascii="Verdana" w:hAnsi="Verdana"/>
          <w:sz w:val="16"/>
          <w:szCs w:val="16"/>
        </w:rPr>
      </w:pPr>
      <w:r w:rsidRPr="00024D8E">
        <w:rPr>
          <w:rStyle w:val="FootnoteReference"/>
          <w:rFonts w:ascii="Verdana" w:hAnsi="Verdana"/>
          <w:sz w:val="16"/>
          <w:szCs w:val="16"/>
        </w:rPr>
        <w:footnoteRef/>
      </w:r>
      <w:r w:rsidRPr="00024D8E">
        <w:rPr>
          <w:rFonts w:ascii="Verdana" w:hAnsi="Verdana"/>
          <w:sz w:val="16"/>
          <w:szCs w:val="16"/>
        </w:rPr>
        <w:t xml:space="preserve"> </w:t>
      </w:r>
      <w:r w:rsidRPr="008D0846">
        <w:rPr>
          <w:rFonts w:ascii="Verdana" w:eastAsia="Verdana" w:hAnsi="Verdana" w:cs="Verdana"/>
          <w:position w:val="-1"/>
          <w:sz w:val="16"/>
          <w:szCs w:val="16"/>
          <w:lang w:val="es-ES"/>
        </w:rPr>
        <w:t>La Corte hace notar que, en vista de lo manifestado por los representantes de las presuntas víctimas, no fueron incluidos como víctimas del caso ante esta Corte los siguientes familiares:</w:t>
      </w:r>
      <w:r w:rsidRPr="008D0846">
        <w:rPr>
          <w:rFonts w:ascii="Verdana" w:eastAsiaTheme="minorHAnsi" w:hAnsi="Verdana" w:cs="Arial"/>
          <w:sz w:val="16"/>
          <w:szCs w:val="16"/>
        </w:rPr>
        <w:t xml:space="preserve"> i) María de Jesús Rueda Villanueva (abuela de Rocío Irene Alvarado Reyes), ii) Manuel Melquiades Alvarado Herrera (hermano de José Ángel Alvarado Herrera); iii) Mayra Daniela Salais Rodríguez (esposa de Manuel Melquiades y cuñada de José Ángel Alvarado Herrera); y iv) D.J.A.S. y X.A.S., (ambas sobrinas de José Ángel Alvarado Herrera)</w:t>
      </w:r>
      <w:r w:rsidRPr="008D0846">
        <w:rPr>
          <w:rFonts w:ascii="Verdana" w:hAnsi="Verdana" w:cs="Arial"/>
          <w:sz w:val="16"/>
          <w:szCs w:val="16"/>
        </w:rPr>
        <w:t>.</w:t>
      </w:r>
      <w:r w:rsidRPr="00024D8E">
        <w:rPr>
          <w:rFonts w:ascii="Verdana" w:hAnsi="Verdana" w:cs="Arial"/>
          <w:sz w:val="16"/>
          <w:szCs w:val="16"/>
        </w:rPr>
        <w:t xml:space="preserve"> Lo anterior, siendo que, m</w:t>
      </w:r>
      <w:r w:rsidRPr="00024D8E">
        <w:rPr>
          <w:rFonts w:ascii="Verdana" w:hAnsi="Verdana"/>
          <w:sz w:val="16"/>
          <w:szCs w:val="16"/>
        </w:rPr>
        <w:t xml:space="preserve">ediante escrito de 2 de marzo de 2017 de las representantes en el trámite del presente caso, informaron a la Corte que: “[…] </w:t>
      </w:r>
      <w:r w:rsidRPr="00024D8E">
        <w:rPr>
          <w:rFonts w:ascii="Verdana" w:eastAsiaTheme="minorHAnsi" w:hAnsi="Verdana" w:cs="Arial"/>
          <w:sz w:val="16"/>
          <w:szCs w:val="16"/>
        </w:rPr>
        <w:t>existen cinco personas a las cuales hemos buscado durante todo el procedimiento internacional y nunca han dado respuesta a las diversas solicitudes que les hemos hecho sobre la importancia de vincularse a este proceso</w:t>
      </w:r>
      <w:r>
        <w:rPr>
          <w:rFonts w:ascii="Verdana" w:eastAsiaTheme="minorHAnsi" w:hAnsi="Verdana" w:cs="Arial"/>
          <w:sz w:val="16"/>
          <w:szCs w:val="16"/>
        </w:rPr>
        <w:t>”</w:t>
      </w:r>
      <w:r w:rsidRPr="00024D8E">
        <w:rPr>
          <w:rFonts w:ascii="Verdana" w:eastAsiaTheme="minorHAnsi" w:hAnsi="Verdana" w:cs="Arial"/>
          <w:sz w:val="16"/>
          <w:szCs w:val="16"/>
        </w:rPr>
        <w:t xml:space="preserve">. Manifestaron que </w:t>
      </w:r>
      <w:r w:rsidRPr="00024D8E">
        <w:rPr>
          <w:rFonts w:ascii="Verdana" w:eastAsiaTheme="minorHAnsi" w:hAnsi="Verdana" w:cs="Arial"/>
          <w:sz w:val="16"/>
          <w:szCs w:val="16"/>
          <w:lang w:val="es-CR"/>
        </w:rPr>
        <w:t xml:space="preserve">por esta razón no se aportaron poderes de dichas personas </w:t>
      </w:r>
      <w:r w:rsidRPr="008D0846">
        <w:rPr>
          <w:rFonts w:ascii="Verdana" w:eastAsiaTheme="minorHAnsi" w:hAnsi="Verdana" w:cs="Arial"/>
          <w:sz w:val="16"/>
          <w:szCs w:val="16"/>
          <w:lang w:val="es-CR"/>
        </w:rPr>
        <w:t>(expediente de fondo, f. 131).</w:t>
      </w:r>
      <w:r w:rsidRPr="00024D8E">
        <w:rPr>
          <w:rFonts w:ascii="Verdana" w:eastAsiaTheme="minorHAnsi" w:hAnsi="Verdana" w:cs="Arial"/>
          <w:b/>
          <w:sz w:val="16"/>
          <w:szCs w:val="16"/>
          <w:lang w:val="es-CR"/>
        </w:rPr>
        <w:t xml:space="preserve"> </w:t>
      </w:r>
      <w:r w:rsidRPr="00024D8E">
        <w:rPr>
          <w:rFonts w:ascii="Verdana" w:eastAsiaTheme="minorHAnsi" w:hAnsi="Verdana" w:cs="Arial"/>
          <w:sz w:val="16"/>
          <w:szCs w:val="16"/>
          <w:lang w:val="es-CR"/>
        </w:rPr>
        <w:t xml:space="preserve">Por otro lado, dentro del </w:t>
      </w:r>
      <w:r w:rsidRPr="00024D8E">
        <w:rPr>
          <w:rFonts w:ascii="Verdana" w:hAnsi="Verdana"/>
          <w:sz w:val="16"/>
          <w:szCs w:val="16"/>
        </w:rPr>
        <w:t xml:space="preserve">trámite de medidas provisionales en el asunto </w:t>
      </w:r>
      <w:r w:rsidRPr="00024D8E">
        <w:rPr>
          <w:rFonts w:ascii="Verdana" w:hAnsi="Verdana"/>
          <w:i/>
          <w:sz w:val="16"/>
          <w:szCs w:val="16"/>
        </w:rPr>
        <w:t>Alvarado Reyes y otros respecto de México</w:t>
      </w:r>
      <w:r w:rsidRPr="00024D8E">
        <w:rPr>
          <w:rFonts w:ascii="Verdana" w:hAnsi="Verdana"/>
          <w:sz w:val="16"/>
          <w:szCs w:val="16"/>
        </w:rPr>
        <w:t>, la Comisión Nacional de los Derechos Humanos (CNDH) señaló en su Informe de Riesgo solicitado por este Tribunal en su resolución de Medidas Provisionales de 14 de noviembre de 2017</w:t>
      </w:r>
      <w:r>
        <w:rPr>
          <w:rFonts w:ascii="Verdana" w:hAnsi="Verdana"/>
          <w:sz w:val="16"/>
          <w:szCs w:val="16"/>
        </w:rPr>
        <w:t xml:space="preserve"> que</w:t>
      </w:r>
      <w:r w:rsidRPr="00024D8E">
        <w:rPr>
          <w:rFonts w:ascii="Verdana" w:hAnsi="Verdana"/>
          <w:sz w:val="16"/>
          <w:szCs w:val="16"/>
        </w:rPr>
        <w:t xml:space="preserve">: “[…] </w:t>
      </w:r>
      <w:r w:rsidRPr="00024D8E">
        <w:rPr>
          <w:rFonts w:ascii="Verdana" w:eastAsiaTheme="minorHAnsi" w:hAnsi="Verdana" w:cs="Arial"/>
          <w:sz w:val="16"/>
          <w:szCs w:val="16"/>
        </w:rPr>
        <w:t xml:space="preserve">La Comisión Nacional de los Derechos Humanos hace constar que los representantes de los beneficiarios señalaron que el señor Manuel [Melquiades] Alvarado Herrera (hermano de José Ángel Alvarado Herrera), su esposa y sus hijas no deseaban involucrarse de ninguna manera en el proceso del caso contencioso o en las medidas provisionales relativas al asunto </w:t>
      </w:r>
      <w:r w:rsidRPr="00024D8E">
        <w:rPr>
          <w:rFonts w:ascii="Verdana" w:eastAsiaTheme="minorHAnsi" w:hAnsi="Verdana" w:cs="Arial"/>
          <w:i/>
          <w:iCs/>
          <w:sz w:val="16"/>
          <w:szCs w:val="16"/>
        </w:rPr>
        <w:t>Alvarado Reyes</w:t>
      </w:r>
      <w:r w:rsidRPr="00024D8E">
        <w:rPr>
          <w:rFonts w:ascii="Verdana" w:eastAsiaTheme="minorHAnsi" w:hAnsi="Verdana" w:cs="Arial"/>
          <w:iCs/>
          <w:sz w:val="16"/>
          <w:szCs w:val="16"/>
        </w:rPr>
        <w:t xml:space="preserve"> […]”</w:t>
      </w:r>
      <w:r w:rsidRPr="00024D8E">
        <w:rPr>
          <w:rFonts w:ascii="Verdana" w:hAnsi="Verdana"/>
          <w:sz w:val="16"/>
          <w:szCs w:val="16"/>
        </w:rPr>
        <w:t>. (</w:t>
      </w:r>
      <w:r w:rsidRPr="00024D8E">
        <w:rPr>
          <w:rFonts w:ascii="Verdana" w:hAnsi="Verdana"/>
          <w:i/>
          <w:sz w:val="16"/>
          <w:szCs w:val="16"/>
        </w:rPr>
        <w:t>Asunto Alvarado Reyes y otros respecto de México</w:t>
      </w:r>
      <w:r w:rsidRPr="00024D8E">
        <w:rPr>
          <w:rFonts w:ascii="Verdana" w:hAnsi="Verdana"/>
          <w:sz w:val="16"/>
          <w:szCs w:val="16"/>
        </w:rPr>
        <w:t>, expediente de trámite, f. 3226). Asimismo, mediante comunicación de 8 de noviembre de 2018, la C</w:t>
      </w:r>
      <w:r>
        <w:rPr>
          <w:rFonts w:ascii="Verdana" w:hAnsi="Verdana"/>
          <w:sz w:val="16"/>
          <w:szCs w:val="16"/>
        </w:rPr>
        <w:t>omisión</w:t>
      </w:r>
      <w:r w:rsidRPr="00024D8E">
        <w:rPr>
          <w:rFonts w:ascii="Verdana" w:hAnsi="Verdana"/>
          <w:sz w:val="16"/>
          <w:szCs w:val="16"/>
        </w:rPr>
        <w:t xml:space="preserve"> manifestó que: “[…]  nota que el núcleo familiar del [s]eñor Manuel [Melquiades] Alvarado Herrera, por medio de sus representantes, informó a la CNDH que no desea[ba]n involucrarse con los procesos de medidas provisionales” (</w:t>
      </w:r>
      <w:r w:rsidRPr="00024D8E">
        <w:rPr>
          <w:rFonts w:ascii="Verdana" w:hAnsi="Verdana"/>
          <w:i/>
          <w:sz w:val="16"/>
          <w:szCs w:val="16"/>
        </w:rPr>
        <w:t>Asunto Alvarado Reyes y otros respecto de México</w:t>
      </w:r>
      <w:r w:rsidRPr="00024D8E">
        <w:rPr>
          <w:rFonts w:ascii="Verdana" w:hAnsi="Verdana"/>
          <w:sz w:val="16"/>
          <w:szCs w:val="16"/>
        </w:rPr>
        <w:t xml:space="preserve">, </w:t>
      </w:r>
      <w:r w:rsidRPr="00024D8E">
        <w:rPr>
          <w:rFonts w:ascii="Verdana" w:hAnsi="Verdana"/>
          <w:i/>
          <w:sz w:val="16"/>
          <w:szCs w:val="16"/>
        </w:rPr>
        <w:t xml:space="preserve">supra, </w:t>
      </w:r>
      <w:r w:rsidRPr="006A53BB">
        <w:rPr>
          <w:rFonts w:ascii="Verdana" w:hAnsi="Verdana"/>
          <w:sz w:val="16"/>
          <w:szCs w:val="16"/>
        </w:rPr>
        <w:t xml:space="preserve">f. </w:t>
      </w:r>
      <w:r>
        <w:rPr>
          <w:rFonts w:ascii="Verdana" w:hAnsi="Verdana"/>
          <w:sz w:val="16"/>
          <w:szCs w:val="16"/>
        </w:rPr>
        <w:t>3598</w:t>
      </w:r>
      <w:r w:rsidRPr="006A53BB">
        <w:rPr>
          <w:rFonts w:ascii="Verdana" w:hAnsi="Verdana"/>
          <w:sz w:val="16"/>
          <w:szCs w:val="16"/>
        </w:rPr>
        <w:t>).</w:t>
      </w:r>
    </w:p>
  </w:footnote>
  <w:footnote w:id="4">
    <w:p w14:paraId="64AA612E" w14:textId="2132F9AF" w:rsidR="00146958" w:rsidRPr="00432ABC" w:rsidRDefault="00146958" w:rsidP="00432ABC">
      <w:pPr>
        <w:pStyle w:val="FootnoteText"/>
        <w:jc w:val="both"/>
        <w:rPr>
          <w:rFonts w:ascii="Verdana" w:hAnsi="Verdana"/>
          <w:sz w:val="16"/>
          <w:szCs w:val="16"/>
        </w:rPr>
      </w:pPr>
      <w:r w:rsidRPr="00432ABC">
        <w:rPr>
          <w:rStyle w:val="FootnoteReference"/>
          <w:rFonts w:ascii="Verdana" w:hAnsi="Verdana"/>
          <w:sz w:val="16"/>
          <w:szCs w:val="16"/>
        </w:rPr>
        <w:footnoteRef/>
      </w:r>
      <w:r w:rsidRPr="00432ABC">
        <w:rPr>
          <w:rFonts w:ascii="Verdana" w:hAnsi="Verdana"/>
          <w:sz w:val="16"/>
          <w:szCs w:val="16"/>
        </w:rPr>
        <w:t xml:space="preserve"> </w:t>
      </w:r>
      <w:r w:rsidRPr="00432ABC">
        <w:rPr>
          <w:rFonts w:ascii="Verdana" w:hAnsi="Verdana"/>
          <w:sz w:val="16"/>
          <w:szCs w:val="16"/>
        </w:rPr>
        <w:tab/>
        <w:t xml:space="preserve">En dicho informe, la Comisión decidió que la petición era admisible respecto de la presunta violación de los derechos reconocidos en los artículos 3, 4, 5, 7, 8, 11, 19 y 25 de la Convención Americana, en relación con los artículos 1.1 y 2 del mismo instrumento; de los artículos I y XI de la Convención Interamericana sobre Desaparición Forzada de Personas y el artículo 7 de la Convención </w:t>
      </w:r>
      <w:r>
        <w:rPr>
          <w:rFonts w:ascii="Verdana" w:hAnsi="Verdana"/>
          <w:sz w:val="16"/>
          <w:szCs w:val="16"/>
        </w:rPr>
        <w:t xml:space="preserve">Interamericana para Prevenir, Sancionar y Erradicar la Violencia contra la Mujer (“Convención </w:t>
      </w:r>
      <w:r w:rsidRPr="00432ABC">
        <w:rPr>
          <w:rFonts w:ascii="Verdana" w:hAnsi="Verdana"/>
          <w:sz w:val="16"/>
          <w:szCs w:val="16"/>
        </w:rPr>
        <w:t>de Belém do Pará</w:t>
      </w:r>
      <w:r>
        <w:rPr>
          <w:rFonts w:ascii="Verdana" w:hAnsi="Verdana"/>
          <w:sz w:val="16"/>
          <w:szCs w:val="16"/>
        </w:rPr>
        <w:t>”),</w:t>
      </w:r>
      <w:r w:rsidRPr="00432ABC">
        <w:rPr>
          <w:rFonts w:ascii="Verdana" w:hAnsi="Verdana"/>
          <w:sz w:val="16"/>
          <w:szCs w:val="16"/>
        </w:rPr>
        <w:t xml:space="preserve"> </w:t>
      </w:r>
      <w:r w:rsidRPr="00432ABC">
        <w:rPr>
          <w:rFonts w:ascii="Verdana" w:hAnsi="Verdana" w:cs="Verdana"/>
          <w:sz w:val="16"/>
          <w:szCs w:val="16"/>
        </w:rPr>
        <w:t>(expediente de trámite ante la Comisión, f</w:t>
      </w:r>
      <w:r>
        <w:rPr>
          <w:rFonts w:ascii="Verdana" w:hAnsi="Verdana" w:cs="Verdana"/>
          <w:sz w:val="16"/>
          <w:szCs w:val="16"/>
        </w:rPr>
        <w:t>f.</w:t>
      </w:r>
      <w:r w:rsidRPr="00432ABC">
        <w:rPr>
          <w:rFonts w:ascii="Verdana" w:hAnsi="Verdana" w:cs="Verdana"/>
          <w:sz w:val="16"/>
          <w:szCs w:val="16"/>
        </w:rPr>
        <w:t xml:space="preserve"> 2810 a 2821).</w:t>
      </w:r>
    </w:p>
  </w:footnote>
  <w:footnote w:id="5">
    <w:p w14:paraId="64AA612F" w14:textId="77777777" w:rsidR="00146958" w:rsidRPr="00432ABC" w:rsidRDefault="00146958" w:rsidP="00432ABC">
      <w:pPr>
        <w:pStyle w:val="FootnoteText"/>
        <w:jc w:val="both"/>
        <w:rPr>
          <w:rFonts w:ascii="Verdana" w:eastAsia="Verdana" w:hAnsi="Verdana" w:cs="Verdana"/>
          <w:sz w:val="16"/>
          <w:szCs w:val="16"/>
          <w:lang w:val="es-ES" w:eastAsia="es-CR"/>
        </w:rPr>
      </w:pPr>
      <w:r w:rsidRPr="00432ABC">
        <w:rPr>
          <w:rStyle w:val="FootnoteReference"/>
          <w:rFonts w:ascii="Verdana" w:hAnsi="Verdana"/>
          <w:sz w:val="16"/>
          <w:szCs w:val="16"/>
        </w:rPr>
        <w:footnoteRef/>
      </w:r>
      <w:r w:rsidRPr="00432ABC">
        <w:rPr>
          <w:rFonts w:ascii="Verdana" w:hAnsi="Verdana"/>
          <w:sz w:val="16"/>
          <w:szCs w:val="16"/>
        </w:rPr>
        <w:t xml:space="preserve"> </w:t>
      </w:r>
      <w:r w:rsidRPr="00432ABC">
        <w:rPr>
          <w:rFonts w:ascii="Verdana" w:hAnsi="Verdana"/>
          <w:sz w:val="16"/>
          <w:szCs w:val="16"/>
        </w:rPr>
        <w:tab/>
      </w:r>
      <w:r w:rsidRPr="00432ABC">
        <w:rPr>
          <w:rFonts w:ascii="Verdana" w:eastAsia="Verdana" w:hAnsi="Verdana" w:cs="Verdana"/>
          <w:i/>
          <w:sz w:val="16"/>
          <w:szCs w:val="16"/>
          <w:lang w:val="es-ES" w:eastAsia="es-CR"/>
        </w:rPr>
        <w:t xml:space="preserve">Conclusiones. – </w:t>
      </w:r>
      <w:r w:rsidRPr="00432ABC">
        <w:rPr>
          <w:rFonts w:ascii="Verdana" w:eastAsia="Verdana" w:hAnsi="Verdana" w:cs="Verdana"/>
          <w:sz w:val="16"/>
          <w:szCs w:val="16"/>
          <w:lang w:val="es-ES" w:eastAsia="es-CR"/>
        </w:rPr>
        <w:t xml:space="preserve">La Comisión concluyó que el Estado era responsable por la violación de los derechos establecidos en </w:t>
      </w:r>
      <w:r w:rsidRPr="00432ABC">
        <w:rPr>
          <w:rFonts w:ascii="Verdana" w:eastAsia="Times New Roman" w:hAnsi="Verdana" w:cs="Times New Roman"/>
          <w:sz w:val="16"/>
          <w:szCs w:val="16"/>
          <w:lang w:val="es-ES" w:eastAsia="es-CR"/>
        </w:rPr>
        <w:t xml:space="preserve">los artículos 3, 4, 5, 7, 8, 11, 19, 22 y 25 de la Convención Americana, en relación con los artículos 1.1 y 2 del mismo instrumento; y de los artículos I.A., I.B. y IX de la </w:t>
      </w:r>
      <w:r w:rsidRPr="00432ABC">
        <w:rPr>
          <w:rFonts w:ascii="Verdana" w:eastAsia="Times New Roman" w:hAnsi="Verdana"/>
          <w:sz w:val="16"/>
          <w:szCs w:val="16"/>
          <w:lang w:val="es-ES"/>
        </w:rPr>
        <w:t>Convención Interamericana sobre Desaparición Forzada de Personas</w:t>
      </w:r>
      <w:r w:rsidRPr="00432ABC">
        <w:rPr>
          <w:rFonts w:ascii="Verdana" w:eastAsia="Times New Roman" w:hAnsi="Verdana" w:cs="Times New Roman"/>
          <w:sz w:val="16"/>
          <w:szCs w:val="16"/>
          <w:lang w:val="es-ES" w:eastAsia="es-CR"/>
        </w:rPr>
        <w:t>, en perjuicio de las personas que se indican a lo largo del informe</w:t>
      </w:r>
      <w:r w:rsidRPr="00432ABC">
        <w:rPr>
          <w:rFonts w:ascii="Verdana" w:eastAsia="Times New Roman" w:hAnsi="Verdana" w:cs="Times New Roman"/>
          <w:sz w:val="16"/>
          <w:szCs w:val="16"/>
          <w:vertAlign w:val="superscript"/>
          <w:lang w:val="es-ES" w:eastAsia="es-CR"/>
        </w:rPr>
        <w:footnoteRef/>
      </w:r>
      <w:r w:rsidRPr="00432ABC">
        <w:rPr>
          <w:rFonts w:ascii="Verdana" w:eastAsia="Times New Roman" w:hAnsi="Verdana" w:cs="Times New Roman"/>
          <w:sz w:val="16"/>
          <w:szCs w:val="16"/>
          <w:lang w:val="es-ES" w:eastAsia="es-CR"/>
        </w:rPr>
        <w:t>.</w:t>
      </w:r>
    </w:p>
    <w:p w14:paraId="64AA6130" w14:textId="77777777" w:rsidR="00146958" w:rsidRPr="00432ABC" w:rsidRDefault="00146958" w:rsidP="00432ABC">
      <w:pPr>
        <w:pStyle w:val="FootnoteText"/>
        <w:jc w:val="both"/>
        <w:rPr>
          <w:rFonts w:ascii="Verdana" w:eastAsia="Verdana" w:hAnsi="Verdana" w:cs="Verdana"/>
          <w:sz w:val="16"/>
          <w:szCs w:val="16"/>
          <w:lang w:val="es-ES" w:eastAsia="es-CR"/>
        </w:rPr>
      </w:pPr>
      <w:r w:rsidRPr="00432ABC">
        <w:rPr>
          <w:rFonts w:ascii="Verdana" w:eastAsia="Verdana" w:hAnsi="Verdana" w:cs="Verdana"/>
          <w:i/>
          <w:sz w:val="16"/>
          <w:szCs w:val="16"/>
          <w:lang w:val="es-ES" w:eastAsia="es-CR"/>
        </w:rPr>
        <w:t xml:space="preserve">Recomendaciones. – </w:t>
      </w:r>
      <w:r w:rsidRPr="00432ABC">
        <w:rPr>
          <w:rFonts w:ascii="Verdana" w:eastAsia="Verdana" w:hAnsi="Verdana" w:cs="Verdana"/>
          <w:sz w:val="16"/>
          <w:szCs w:val="16"/>
          <w:lang w:val="es-ES" w:eastAsia="es-CR"/>
        </w:rPr>
        <w:t>En consecuencia, la Comisión hizo al Estado una serie de recomendaciones:</w:t>
      </w:r>
    </w:p>
    <w:p w14:paraId="64AA6131" w14:textId="77777777" w:rsidR="00146958" w:rsidRPr="00432ABC" w:rsidRDefault="00146958" w:rsidP="00432ABC">
      <w:pPr>
        <w:pStyle w:val="FootnoteText"/>
        <w:jc w:val="both"/>
        <w:rPr>
          <w:rFonts w:ascii="Verdana" w:eastAsia="Times New Roman" w:hAnsi="Verdana" w:cs="Times New Roman"/>
          <w:sz w:val="16"/>
          <w:szCs w:val="16"/>
          <w:lang w:val="es-ES" w:eastAsia="es-CR"/>
        </w:rPr>
      </w:pPr>
      <w:r w:rsidRPr="00432ABC">
        <w:rPr>
          <w:rFonts w:ascii="Verdana" w:eastAsia="Times New Roman" w:hAnsi="Verdana" w:cs="Times New Roman"/>
          <w:sz w:val="16"/>
          <w:szCs w:val="16"/>
          <w:lang w:val="es-ES" w:eastAsia="es-CR"/>
        </w:rPr>
        <w:t>Investigar de manera completa, imparcial y efectiva el paradero de Nitza Paola Alvarado Espinoza, José Ángel Alvarado Herrera y Rocío Irene Alvarado Reyes, y de ser el caso, adoptar las medidas necesarias para identificar y entregar a sus familiares los restos mortales según sus deseos[;]</w:t>
      </w:r>
    </w:p>
    <w:p w14:paraId="64AA6132" w14:textId="77777777" w:rsidR="00146958" w:rsidRPr="00432ABC" w:rsidRDefault="00146958" w:rsidP="00432ABC">
      <w:pPr>
        <w:pStyle w:val="FootnoteText"/>
        <w:jc w:val="both"/>
        <w:rPr>
          <w:rFonts w:ascii="Verdana" w:eastAsia="Times New Roman" w:hAnsi="Verdana" w:cs="Times New Roman"/>
          <w:sz w:val="16"/>
          <w:szCs w:val="16"/>
          <w:lang w:val="es-ES" w:eastAsia="es-CR"/>
        </w:rPr>
      </w:pPr>
      <w:r w:rsidRPr="00432ABC">
        <w:rPr>
          <w:rFonts w:ascii="Verdana" w:eastAsia="Times New Roman" w:hAnsi="Verdana" w:cs="Times New Roman"/>
          <w:sz w:val="16"/>
          <w:szCs w:val="16"/>
          <w:lang w:val="es-ES" w:eastAsia="es-CR"/>
        </w:rPr>
        <w:t>[l]levar a cabo los procedimientos internos relacionados con las violaciones a los derechos humanos declaradas en el presente informe y conducir los procesos correspondientes por el delito de desaparición forzada de Nitza Paola Alvarado Espinoza, José Ángel Alvarado Herrera y Rocío Irene Alvarado Reyes, de manera imparcial, efectiva y dentro de un plazo razonable, con el objeto de esclarecer los hechos en forma completa, identificar a todos los responsables e imponer las sanciones que correspondan[;]</w:t>
      </w:r>
    </w:p>
    <w:p w14:paraId="64AA6133" w14:textId="77777777" w:rsidR="00146958" w:rsidRPr="00432ABC" w:rsidRDefault="00146958" w:rsidP="00432ABC">
      <w:pPr>
        <w:pStyle w:val="FootnoteText"/>
        <w:jc w:val="both"/>
        <w:rPr>
          <w:rFonts w:ascii="Verdana" w:eastAsia="Times New Roman" w:hAnsi="Verdana" w:cs="Times New Roman"/>
          <w:sz w:val="16"/>
          <w:szCs w:val="16"/>
          <w:lang w:val="es-ES" w:eastAsia="es-CR"/>
        </w:rPr>
      </w:pPr>
      <w:r w:rsidRPr="00432ABC">
        <w:rPr>
          <w:rFonts w:ascii="Verdana" w:eastAsia="Times New Roman" w:hAnsi="Verdana" w:cs="Times New Roman"/>
          <w:sz w:val="16"/>
          <w:szCs w:val="16"/>
          <w:lang w:val="es-ES" w:eastAsia="es-CR"/>
        </w:rPr>
        <w:t>[r]eparar adecuadamente las violaciones de derechos humanos declaradas en el presente informe tanto en el aspecto material como moral, incluyendo una justa compensación, el establecimiento y difusión de la verdad histórica de los hechos, un acto público de reconocimiento de responsabilidad y la implementación de un programa adecuado de atención a sus familiares[;]</w:t>
      </w:r>
    </w:p>
    <w:p w14:paraId="64AA6134" w14:textId="77777777" w:rsidR="00146958" w:rsidRPr="00432ABC" w:rsidRDefault="00146958" w:rsidP="00432ABC">
      <w:pPr>
        <w:pStyle w:val="FootnoteText"/>
        <w:jc w:val="both"/>
        <w:rPr>
          <w:rFonts w:ascii="Verdana" w:eastAsia="Times New Roman" w:hAnsi="Verdana" w:cs="Times New Roman"/>
          <w:sz w:val="16"/>
          <w:szCs w:val="16"/>
          <w:lang w:val="es-ES" w:eastAsia="es-CR"/>
        </w:rPr>
      </w:pPr>
      <w:r w:rsidRPr="00432ABC">
        <w:rPr>
          <w:rFonts w:ascii="Verdana" w:eastAsia="Times New Roman" w:hAnsi="Verdana" w:cs="Times New Roman"/>
          <w:sz w:val="16"/>
          <w:szCs w:val="16"/>
          <w:lang w:val="es-ES" w:eastAsia="es-CR"/>
        </w:rPr>
        <w:t>[d]isponer las medidas administrativas, disciplinarias o penales correspondientes frente a las acciones u omisiones de los funcionarios estatales que contribuyeron a la denegación de justicia e impunidad en la que se encuentran los hechos del caso, incluyendo las acciones u omisiones de autoridades que hubieren obstaculizado la realización de diligencias de investigación[, y]</w:t>
      </w:r>
    </w:p>
    <w:p w14:paraId="64AA6135" w14:textId="3BA17070" w:rsidR="00146958" w:rsidRPr="00432ABC" w:rsidRDefault="00146958" w:rsidP="00432ABC">
      <w:pPr>
        <w:pStyle w:val="FootnoteText"/>
        <w:jc w:val="both"/>
        <w:rPr>
          <w:rFonts w:ascii="Verdana" w:eastAsia="Times New Roman" w:hAnsi="Verdana" w:cs="Times New Roman"/>
          <w:sz w:val="16"/>
          <w:szCs w:val="16"/>
          <w:lang w:val="es-ES" w:eastAsia="es-CR"/>
        </w:rPr>
      </w:pPr>
      <w:r w:rsidRPr="00432ABC">
        <w:rPr>
          <w:rFonts w:ascii="Verdana" w:eastAsia="Times New Roman" w:hAnsi="Verdana" w:cs="Times New Roman"/>
          <w:sz w:val="16"/>
          <w:szCs w:val="16"/>
          <w:lang w:val="es-ES" w:eastAsia="es-CR"/>
        </w:rPr>
        <w:t>[a]doptar medidas de no repetición necesarias para evitar que en el futuro se produzcan hechos similares. Las medidas de no repetición en el presente caso deberán incluir medidas legislativas, administrativas y de otra índole para responder a la problemática de la desaparición forzada en México y su especial incidencia en el Estado de Chihuahua. Asimismo, medidas legislativas, administrativas y de otra índole para fortalecer la capacidad investigativa e</w:t>
      </w:r>
      <w:r>
        <w:rPr>
          <w:rFonts w:ascii="Verdana" w:eastAsia="Times New Roman" w:hAnsi="Verdana" w:cs="Times New Roman"/>
          <w:sz w:val="16"/>
          <w:szCs w:val="16"/>
          <w:lang w:val="es-ES" w:eastAsia="es-CR"/>
        </w:rPr>
        <w:t>n</w:t>
      </w:r>
      <w:r w:rsidRPr="00432ABC">
        <w:rPr>
          <w:rFonts w:ascii="Verdana" w:eastAsia="Times New Roman" w:hAnsi="Verdana" w:cs="Times New Roman"/>
          <w:sz w:val="16"/>
          <w:szCs w:val="16"/>
          <w:lang w:val="es-ES" w:eastAsia="es-CR"/>
        </w:rPr>
        <w:t xml:space="preserve"> casos de desaparición forzada de personas y atender los factores estructurales generadores de impunidad en estos casos. Igualmente, medidas legislativas, administrativas y de otra índole para asegurar que las autoridades de la justicia penal militar se abstengan de obstaculizar investigaciones en casos de desaparición forzada.</w:t>
      </w:r>
    </w:p>
  </w:footnote>
  <w:footnote w:id="6">
    <w:p w14:paraId="64AA6136" w14:textId="7E954BBC" w:rsidR="00146958" w:rsidRPr="00432ABC" w:rsidRDefault="00146958" w:rsidP="00432ABC">
      <w:pPr>
        <w:pStyle w:val="FootnoteText"/>
        <w:jc w:val="both"/>
        <w:rPr>
          <w:rFonts w:ascii="Verdana" w:hAnsi="Verdana"/>
          <w:sz w:val="16"/>
          <w:szCs w:val="16"/>
          <w:lang w:val="es-CR"/>
        </w:rPr>
      </w:pPr>
      <w:r w:rsidRPr="00432ABC">
        <w:rPr>
          <w:rStyle w:val="FootnoteReference"/>
          <w:rFonts w:ascii="Verdana" w:hAnsi="Verdana"/>
          <w:sz w:val="16"/>
          <w:szCs w:val="16"/>
          <w:lang w:val="es-CR"/>
        </w:rPr>
        <w:footnoteRef/>
      </w:r>
      <w:r w:rsidRPr="00432ABC">
        <w:rPr>
          <w:rFonts w:ascii="Verdana" w:hAnsi="Verdana"/>
          <w:sz w:val="16"/>
          <w:szCs w:val="16"/>
          <w:lang w:val="es-CR"/>
        </w:rPr>
        <w:t xml:space="preserve"> </w:t>
      </w:r>
      <w:r w:rsidRPr="00432ABC">
        <w:rPr>
          <w:rFonts w:ascii="Verdana" w:hAnsi="Verdana"/>
          <w:sz w:val="16"/>
          <w:szCs w:val="16"/>
          <w:lang w:val="es-CR"/>
        </w:rPr>
        <w:tab/>
        <w:t>La Comisión designó, como sus delegados ante la Corte, al Comisionado Enrique Gil Botero y al Secretario Ejecutivo Paulo Abrão. Asimismo, designó, como asesores legales, a la señora Elizabeth Abi-Mershed, Secretaria Ejecutiva Adjunta, a la señora Silvia Serrano Guzmán y al señor Christian González Chacón, abogad</w:t>
      </w:r>
      <w:r>
        <w:rPr>
          <w:rFonts w:ascii="Verdana" w:hAnsi="Verdana"/>
          <w:sz w:val="16"/>
          <w:szCs w:val="16"/>
          <w:lang w:val="es-CR"/>
        </w:rPr>
        <w:t>os</w:t>
      </w:r>
      <w:r w:rsidRPr="00432ABC">
        <w:rPr>
          <w:rFonts w:ascii="Verdana" w:hAnsi="Verdana"/>
          <w:sz w:val="16"/>
          <w:szCs w:val="16"/>
          <w:lang w:val="es-CR"/>
        </w:rPr>
        <w:t xml:space="preserve"> de la Secretaría Ejecutiva.</w:t>
      </w:r>
    </w:p>
  </w:footnote>
  <w:footnote w:id="7">
    <w:p w14:paraId="64AA6137" w14:textId="3A94290B" w:rsidR="00146958" w:rsidRPr="00F66526" w:rsidRDefault="00146958" w:rsidP="00432ABC">
      <w:pPr>
        <w:pStyle w:val="FootnoteText"/>
        <w:jc w:val="both"/>
        <w:rPr>
          <w:rFonts w:ascii="Verdana" w:hAnsi="Verdana"/>
          <w:sz w:val="16"/>
          <w:szCs w:val="16"/>
          <w:lang w:val="es-CR"/>
        </w:rPr>
      </w:pPr>
      <w:r w:rsidRPr="00F66526">
        <w:rPr>
          <w:rStyle w:val="FootnoteReference"/>
          <w:rFonts w:ascii="Verdana" w:hAnsi="Verdana"/>
          <w:sz w:val="16"/>
          <w:szCs w:val="16"/>
        </w:rPr>
        <w:footnoteRef/>
      </w:r>
      <w:r w:rsidRPr="00F66526">
        <w:rPr>
          <w:rFonts w:ascii="Verdana" w:hAnsi="Verdana"/>
          <w:sz w:val="16"/>
          <w:szCs w:val="16"/>
        </w:rPr>
        <w:t xml:space="preserve"> </w:t>
      </w:r>
      <w:r w:rsidRPr="00F66526">
        <w:rPr>
          <w:rFonts w:ascii="Verdana" w:hAnsi="Verdana"/>
          <w:sz w:val="16"/>
          <w:szCs w:val="16"/>
        </w:rPr>
        <w:tab/>
      </w:r>
      <w:r>
        <w:rPr>
          <w:rFonts w:ascii="Verdana" w:hAnsi="Verdana"/>
          <w:sz w:val="16"/>
          <w:szCs w:val="16"/>
        </w:rPr>
        <w:t>La d</w:t>
      </w:r>
      <w:r w:rsidRPr="00F66526">
        <w:rPr>
          <w:rFonts w:ascii="Verdana" w:hAnsi="Verdana"/>
          <w:sz w:val="16"/>
          <w:szCs w:val="16"/>
        </w:rPr>
        <w:t>iferencia de fecha es por la fecha de recepción del DHL (expediente de fondo, ff.</w:t>
      </w:r>
      <w:r>
        <w:rPr>
          <w:rFonts w:ascii="Verdana" w:hAnsi="Verdana"/>
          <w:sz w:val="16"/>
          <w:szCs w:val="16"/>
        </w:rPr>
        <w:t xml:space="preserve"> </w:t>
      </w:r>
      <w:r w:rsidRPr="008D0846">
        <w:rPr>
          <w:rFonts w:ascii="Verdana" w:hAnsi="Verdana"/>
          <w:sz w:val="16"/>
          <w:szCs w:val="16"/>
        </w:rPr>
        <w:t>160 y 170).</w:t>
      </w:r>
    </w:p>
  </w:footnote>
  <w:footnote w:id="8">
    <w:p w14:paraId="64AA6138" w14:textId="3DDB30B6" w:rsidR="00146958" w:rsidRPr="00F66526" w:rsidRDefault="00146958" w:rsidP="00244830">
      <w:pPr>
        <w:pStyle w:val="FootnoteText"/>
        <w:jc w:val="both"/>
        <w:rPr>
          <w:rFonts w:ascii="Verdana" w:hAnsi="Verdana"/>
          <w:sz w:val="16"/>
          <w:szCs w:val="16"/>
        </w:rPr>
      </w:pPr>
      <w:r w:rsidRPr="00F66526">
        <w:rPr>
          <w:rFonts w:ascii="Verdana" w:hAnsi="Verdana"/>
          <w:sz w:val="16"/>
          <w:szCs w:val="16"/>
          <w:vertAlign w:val="superscript"/>
          <w:lang w:val="es-CR"/>
        </w:rPr>
        <w:footnoteRef/>
      </w:r>
      <w:r w:rsidRPr="00F66526">
        <w:rPr>
          <w:rFonts w:ascii="Verdana" w:hAnsi="Verdana"/>
          <w:sz w:val="16"/>
          <w:szCs w:val="16"/>
          <w:vertAlign w:val="superscript"/>
          <w:lang w:val="es-CR"/>
        </w:rPr>
        <w:t xml:space="preserve"> </w:t>
      </w:r>
      <w:r w:rsidRPr="00F66526">
        <w:rPr>
          <w:rFonts w:ascii="Verdana" w:hAnsi="Verdana"/>
          <w:sz w:val="16"/>
          <w:szCs w:val="16"/>
          <w:lang w:val="es-CR"/>
        </w:rPr>
        <w:tab/>
      </w:r>
      <w:r w:rsidRPr="00CD5C54">
        <w:rPr>
          <w:rFonts w:ascii="Verdana" w:hAnsi="Verdana"/>
          <w:i/>
          <w:sz w:val="16"/>
          <w:szCs w:val="16"/>
          <w:lang w:val="es-CR"/>
        </w:rPr>
        <w:t>Cfr.</w:t>
      </w:r>
      <w:r w:rsidRPr="00F66526">
        <w:rPr>
          <w:rFonts w:ascii="Verdana" w:hAnsi="Verdana"/>
          <w:i/>
          <w:sz w:val="16"/>
          <w:szCs w:val="16"/>
          <w:lang w:val="es-CR"/>
        </w:rPr>
        <w:t xml:space="preserve"> Caso Alvarado Espinoza y otros Vs. México. Fondo de Asistencia Legal de Víctimas.</w:t>
      </w:r>
      <w:r w:rsidRPr="00F66526">
        <w:rPr>
          <w:rFonts w:ascii="Verdana" w:hAnsi="Verdana"/>
          <w:sz w:val="16"/>
          <w:szCs w:val="16"/>
          <w:lang w:val="es-CR"/>
        </w:rPr>
        <w:t xml:space="preserve"> Resolución del Presidente de la Corte </w:t>
      </w:r>
      <w:r>
        <w:rPr>
          <w:rFonts w:ascii="Verdana" w:hAnsi="Verdana"/>
          <w:sz w:val="16"/>
          <w:szCs w:val="16"/>
          <w:lang w:val="es-CR"/>
        </w:rPr>
        <w:t>IDH</w:t>
      </w:r>
      <w:r w:rsidRPr="00F66526">
        <w:rPr>
          <w:rFonts w:ascii="Verdana" w:hAnsi="Verdana"/>
          <w:sz w:val="16"/>
          <w:szCs w:val="16"/>
          <w:lang w:val="es-CR"/>
        </w:rPr>
        <w:t xml:space="preserve"> de 14 de diciembre de 2017. Disponible en: </w:t>
      </w:r>
      <w:hyperlink r:id="rId1" w:history="1">
        <w:r w:rsidRPr="00F66526">
          <w:rPr>
            <w:rStyle w:val="Hyperlink"/>
            <w:rFonts w:ascii="Verdana" w:hAnsi="Verdana"/>
            <w:sz w:val="16"/>
            <w:szCs w:val="16"/>
            <w:lang w:val="es-CR"/>
          </w:rPr>
          <w:t>http://www.corteidh.or.cr/docs/asuntos/alvaradoes_fv_17.pdf</w:t>
        </w:r>
      </w:hyperlink>
      <w:r w:rsidRPr="00F66526">
        <w:rPr>
          <w:rFonts w:ascii="Verdana" w:hAnsi="Verdana"/>
          <w:sz w:val="16"/>
          <w:szCs w:val="16"/>
          <w:lang w:val="es-CR"/>
        </w:rPr>
        <w:t xml:space="preserve"> </w:t>
      </w:r>
    </w:p>
  </w:footnote>
  <w:footnote w:id="9">
    <w:p w14:paraId="64AA6139" w14:textId="2271C5E3" w:rsidR="00146958" w:rsidRPr="008D0846" w:rsidRDefault="00146958" w:rsidP="0012282C">
      <w:pPr>
        <w:spacing w:after="0" w:line="240" w:lineRule="auto"/>
        <w:jc w:val="both"/>
        <w:rPr>
          <w:rFonts w:ascii="Verdana" w:hAnsi="Verdana"/>
          <w:sz w:val="16"/>
          <w:szCs w:val="16"/>
        </w:rPr>
      </w:pPr>
      <w:r w:rsidRPr="00F66526">
        <w:rPr>
          <w:rStyle w:val="FootnoteReference"/>
          <w:rFonts w:ascii="Verdana" w:hAnsi="Verdana"/>
          <w:sz w:val="16"/>
          <w:szCs w:val="16"/>
          <w:lang w:val="es-CR"/>
        </w:rPr>
        <w:footnoteRef/>
      </w:r>
      <w:r w:rsidRPr="00F66526">
        <w:rPr>
          <w:rFonts w:ascii="Verdana" w:hAnsi="Verdana"/>
          <w:sz w:val="16"/>
          <w:szCs w:val="16"/>
          <w:lang w:val="es-CR"/>
        </w:rPr>
        <w:t xml:space="preserve"> </w:t>
      </w:r>
      <w:r w:rsidRPr="00F66526">
        <w:rPr>
          <w:rFonts w:ascii="Verdana" w:hAnsi="Verdana"/>
          <w:sz w:val="16"/>
          <w:szCs w:val="16"/>
          <w:lang w:val="es-CR"/>
        </w:rPr>
        <w:tab/>
      </w:r>
      <w:r w:rsidRPr="008D0846">
        <w:rPr>
          <w:rFonts w:ascii="Verdana" w:hAnsi="Verdana"/>
          <w:sz w:val="16"/>
          <w:szCs w:val="16"/>
        </w:rPr>
        <w:t>El Estado designó como agentes al Embajador de México en Costa Rica, Melquíades Morales Flores</w:t>
      </w:r>
      <w:r w:rsidRPr="008D0846">
        <w:rPr>
          <w:rFonts w:ascii="Verdana" w:hAnsi="Verdana"/>
          <w:sz w:val="16"/>
          <w:szCs w:val="16"/>
          <w:lang w:val="es-ES"/>
        </w:rPr>
        <w:t>; al señor Miguel Ruíz Cabañas Izquierdo, Subsecretario para Asuntos Multilaterales y Derechos Humanos de la Secretaría de Relaciones Exteriores; al Mtro. Alejandro Alday González, Consultor Jurídico de la Secretaría de Relaciones Exteriores y al Dr. Erasmo A. Lara Cabrera, Director General de Derechos Humanos y Democracia de la Secretaría de Relaciones Exteriores</w:t>
      </w:r>
      <w:r w:rsidRPr="008D0846">
        <w:rPr>
          <w:rFonts w:ascii="Verdana" w:hAnsi="Verdana"/>
          <w:sz w:val="16"/>
          <w:szCs w:val="16"/>
        </w:rPr>
        <w:t>.</w:t>
      </w:r>
    </w:p>
  </w:footnote>
  <w:footnote w:id="10">
    <w:p w14:paraId="64AA613A" w14:textId="1F270FDA" w:rsidR="00146958" w:rsidRPr="00F66526" w:rsidRDefault="00146958" w:rsidP="003564A3">
      <w:pPr>
        <w:pStyle w:val="FootnoteText"/>
        <w:jc w:val="both"/>
        <w:rPr>
          <w:rFonts w:ascii="Verdana" w:hAnsi="Verdana"/>
          <w:sz w:val="16"/>
          <w:szCs w:val="16"/>
          <w:lang w:val="es-CR"/>
        </w:rPr>
      </w:pPr>
      <w:r w:rsidRPr="00F66526">
        <w:rPr>
          <w:rStyle w:val="FootnoteReference"/>
          <w:rFonts w:ascii="Verdana" w:hAnsi="Verdana"/>
          <w:sz w:val="16"/>
          <w:szCs w:val="16"/>
          <w:lang w:val="es-CR"/>
        </w:rPr>
        <w:footnoteRef/>
      </w:r>
      <w:r w:rsidRPr="00F66526">
        <w:rPr>
          <w:rFonts w:ascii="Verdana" w:hAnsi="Verdana"/>
          <w:sz w:val="16"/>
          <w:szCs w:val="16"/>
          <w:lang w:val="es-CR"/>
        </w:rPr>
        <w:t xml:space="preserve"> </w:t>
      </w:r>
      <w:r w:rsidRPr="00F66526">
        <w:rPr>
          <w:rFonts w:ascii="Verdana" w:hAnsi="Verdana"/>
          <w:sz w:val="16"/>
          <w:szCs w:val="16"/>
          <w:lang w:val="es-CR"/>
        </w:rPr>
        <w:tab/>
      </w:r>
      <w:r w:rsidRPr="00CD5C54">
        <w:rPr>
          <w:rFonts w:ascii="Verdana" w:hAnsi="Verdana"/>
          <w:i/>
          <w:sz w:val="16"/>
          <w:szCs w:val="16"/>
          <w:lang w:val="es-CR"/>
        </w:rPr>
        <w:t>Cfr.</w:t>
      </w:r>
      <w:r w:rsidRPr="00F66526">
        <w:rPr>
          <w:rFonts w:ascii="Verdana" w:hAnsi="Verdana"/>
          <w:i/>
          <w:sz w:val="16"/>
          <w:szCs w:val="16"/>
          <w:lang w:val="es-CR"/>
        </w:rPr>
        <w:t xml:space="preserve"> Alvarado Espinoza y otros Vs. México. Convocatoria a audiencia.</w:t>
      </w:r>
      <w:r w:rsidRPr="00F66526">
        <w:rPr>
          <w:rFonts w:ascii="Verdana" w:hAnsi="Verdana"/>
          <w:sz w:val="16"/>
          <w:szCs w:val="16"/>
          <w:lang w:val="es-CR"/>
        </w:rPr>
        <w:t xml:space="preserve"> Resolución del Presidente en ejercicio de la Corte Interamericana de Derechos Humanos de 23 de marzo de 2018. Disponible en: </w:t>
      </w:r>
      <w:hyperlink r:id="rId2" w:history="1">
        <w:r w:rsidRPr="00F66526">
          <w:rPr>
            <w:rStyle w:val="Hyperlink"/>
            <w:rFonts w:ascii="Verdana" w:hAnsi="Verdana"/>
            <w:sz w:val="16"/>
            <w:szCs w:val="16"/>
            <w:lang w:val="es-CR"/>
          </w:rPr>
          <w:t>http://www.corteidh.or.cr/docs/asuntos/alvarado_23_03_18.pdf</w:t>
        </w:r>
      </w:hyperlink>
      <w:r w:rsidRPr="00F66526">
        <w:rPr>
          <w:rFonts w:ascii="Verdana" w:hAnsi="Verdana"/>
          <w:sz w:val="16"/>
          <w:szCs w:val="16"/>
          <w:lang w:val="es-CR"/>
        </w:rPr>
        <w:t xml:space="preserve"> </w:t>
      </w:r>
    </w:p>
  </w:footnote>
  <w:footnote w:id="11">
    <w:p w14:paraId="64AA613B" w14:textId="379D93C1" w:rsidR="00146958" w:rsidRPr="003B4EBE" w:rsidRDefault="00146958" w:rsidP="002C462C">
      <w:pPr>
        <w:pStyle w:val="FootnoteText"/>
        <w:jc w:val="both"/>
        <w:rPr>
          <w:rFonts w:ascii="Verdana" w:hAnsi="Verdana"/>
          <w:sz w:val="16"/>
          <w:szCs w:val="16"/>
        </w:rPr>
      </w:pPr>
      <w:r w:rsidRPr="00F66526">
        <w:rPr>
          <w:rStyle w:val="FootnoteReference"/>
          <w:rFonts w:ascii="Verdana" w:hAnsi="Verdana"/>
          <w:sz w:val="16"/>
          <w:szCs w:val="16"/>
        </w:rPr>
        <w:footnoteRef/>
      </w:r>
      <w:r w:rsidRPr="00F66526">
        <w:rPr>
          <w:rFonts w:ascii="Verdana" w:hAnsi="Verdana"/>
          <w:sz w:val="16"/>
          <w:szCs w:val="16"/>
        </w:rPr>
        <w:t xml:space="preserve"> </w:t>
      </w:r>
      <w:r w:rsidRPr="00F66526">
        <w:rPr>
          <w:rFonts w:ascii="Verdana" w:hAnsi="Verdana"/>
          <w:sz w:val="16"/>
          <w:szCs w:val="16"/>
        </w:rPr>
        <w:tab/>
      </w:r>
      <w:r w:rsidRPr="00CD5C54">
        <w:rPr>
          <w:rFonts w:ascii="Verdana" w:hAnsi="Verdana"/>
          <w:i/>
          <w:sz w:val="16"/>
          <w:szCs w:val="16"/>
          <w:lang w:val="es-CR"/>
        </w:rPr>
        <w:t>Cfr.</w:t>
      </w:r>
      <w:r w:rsidRPr="00F66526">
        <w:rPr>
          <w:rFonts w:ascii="Verdana" w:hAnsi="Verdana"/>
          <w:i/>
          <w:sz w:val="16"/>
          <w:szCs w:val="16"/>
          <w:lang w:val="es-CR"/>
        </w:rPr>
        <w:t xml:space="preserve"> Alvarado Espinoza y otros Vs. México. Reconsideración de Convocatoria a audiencia.</w:t>
      </w:r>
      <w:r w:rsidRPr="00F66526">
        <w:rPr>
          <w:rFonts w:ascii="Verdana" w:hAnsi="Verdana"/>
          <w:sz w:val="16"/>
          <w:szCs w:val="16"/>
          <w:lang w:val="es-CR"/>
        </w:rPr>
        <w:t xml:space="preserve"> Resolución de la Corte </w:t>
      </w:r>
      <w:r>
        <w:rPr>
          <w:rFonts w:ascii="Verdana" w:hAnsi="Verdana"/>
          <w:sz w:val="16"/>
          <w:szCs w:val="16"/>
          <w:lang w:val="es-CR"/>
        </w:rPr>
        <w:t>IDH</w:t>
      </w:r>
      <w:r w:rsidRPr="00F66526">
        <w:rPr>
          <w:rFonts w:ascii="Verdana" w:hAnsi="Verdana"/>
          <w:sz w:val="16"/>
          <w:szCs w:val="16"/>
          <w:lang w:val="es-CR"/>
        </w:rPr>
        <w:t xml:space="preserve"> de 23 de abril de 2018. Disponible en: </w:t>
      </w:r>
      <w:hyperlink r:id="rId3" w:history="1">
        <w:r w:rsidRPr="00F66526">
          <w:rPr>
            <w:rStyle w:val="Hyperlink"/>
            <w:rFonts w:ascii="Verdana" w:hAnsi="Verdana"/>
            <w:sz w:val="16"/>
            <w:szCs w:val="16"/>
            <w:lang w:val="es-CR"/>
          </w:rPr>
          <w:t>http://www.corteidh.or.cr/docs/asuntos/alvarado_23_04_18.pdf</w:t>
        </w:r>
      </w:hyperlink>
      <w:r w:rsidRPr="00531EF3">
        <w:rPr>
          <w:rFonts w:ascii="Verdana" w:hAnsi="Verdana"/>
          <w:sz w:val="16"/>
          <w:szCs w:val="16"/>
          <w:lang w:val="es-CR"/>
        </w:rPr>
        <w:t xml:space="preserve"> </w:t>
      </w:r>
    </w:p>
  </w:footnote>
  <w:footnote w:id="12">
    <w:p w14:paraId="64AA613C" w14:textId="77777777" w:rsidR="00146958" w:rsidRPr="00432ABC" w:rsidRDefault="00146958" w:rsidP="00757DF0">
      <w:pPr>
        <w:pStyle w:val="FootnoteText"/>
        <w:jc w:val="both"/>
        <w:rPr>
          <w:rFonts w:ascii="Verdana" w:hAnsi="Verdana"/>
          <w:sz w:val="16"/>
          <w:szCs w:val="16"/>
        </w:rPr>
      </w:pPr>
      <w:r w:rsidRPr="00432ABC">
        <w:rPr>
          <w:rStyle w:val="FootnoteReference"/>
          <w:rFonts w:ascii="Verdana" w:hAnsi="Verdana"/>
          <w:sz w:val="16"/>
          <w:szCs w:val="16"/>
        </w:rPr>
        <w:footnoteRef/>
      </w:r>
      <w:r w:rsidRPr="00432ABC">
        <w:rPr>
          <w:rFonts w:ascii="Verdana" w:hAnsi="Verdana"/>
          <w:sz w:val="16"/>
          <w:szCs w:val="16"/>
        </w:rPr>
        <w:t xml:space="preserve"> </w:t>
      </w:r>
      <w:r w:rsidRPr="00432ABC">
        <w:rPr>
          <w:rFonts w:ascii="Verdana" w:hAnsi="Verdana"/>
          <w:sz w:val="16"/>
          <w:szCs w:val="16"/>
        </w:rPr>
        <w:tab/>
        <w:t>A esta audiencia comparecieron: a) por la Comisión Interamericana:</w:t>
      </w:r>
      <w:r w:rsidRPr="00432ABC">
        <w:rPr>
          <w:rFonts w:ascii="Verdana" w:hAnsi="Verdana"/>
          <w:sz w:val="16"/>
          <w:szCs w:val="16"/>
          <w:lang w:eastAsia="es-ES"/>
        </w:rPr>
        <w:t xml:space="preserve"> la Presidenta de la Comisión, Margarette May Macaulay</w:t>
      </w:r>
      <w:r w:rsidRPr="002C462C">
        <w:rPr>
          <w:rFonts w:ascii="Verdana" w:hAnsi="Verdana"/>
          <w:sz w:val="16"/>
          <w:szCs w:val="16"/>
        </w:rPr>
        <w:t>, y la abogada de la Secretaría Ejecutiva, Silvia Serrano Guzmán y el abogado Christian González Chacón; b) por las representantes de las presuntas víctimas: la señora Ruth Fierro Pineda, CEDEHM; el señor Gabino Gómez Escárcega, CEDEHM; la señora María Alejandra Nuño Ruiz Velasco, CEDEHM; el señor Pbro. Oscar Enríquez Pérez, CDHPN;</w:t>
      </w:r>
      <w:r w:rsidRPr="00432ABC">
        <w:rPr>
          <w:rFonts w:ascii="Verdana" w:hAnsi="Verdana"/>
          <w:sz w:val="16"/>
          <w:szCs w:val="16"/>
        </w:rPr>
        <w:t xml:space="preserve"> el señor Cesario Tarín Valdés, CDHPN; y el señor Carlos Spector, MexenExs, y c) por el Estado de México: el señor Melquíades Morales Flores, Embajador de México y Agente; el señor Alejandro Alday González, Consultor Jurídico de la Secretaría de Relaciones Exteriores y  Agente; el señor Erasmo A. Lara Cabrera, Director General de Derechos Humanos y Democracia de la Secretaría de Relaciones Exteriores y Agente; la señora Mariana Salazar Albornoz, Coordinadora de Derecho Internacional Público, Consultoría Jurídica, Secretaría de Relaciones Exteriores; el señor Carlos Uriel Salas Segovia, Director de Casos de la Secretaría de Relaciones Exteriores; el señor Carlos Antonio Cruz Carrillo, Jefe de Departamento de Casos de la Secretaría de Relaciones Exteriores; la señora Rosalinda Salinas Durán, Directora General Adjunta de la Unidad de Derechos Humanos de la Secretaría de Gobernación; la señora Viridiana Monserrat González Muñiz, Subdirectora del Área de la Unidad de Derechos Humanos de la Secretaría de Gobernación; el General de Brigada de Justicia Militar Carlos Beltrán Benites, Director General de Derechos Humanos de la Secretaría de la Defensa Nacional; el Mayor Rogelio Gutiérrez, Dirección General de Derechos Humanos de la Secretaría de la Defensa Nacional; la señora Sara Irene Herrerías Guerra, Subprocuradora de Derechos Humanos de la Procuraduría General de la República;  el señor Guillermo Fonseca Leal, Coordinador de Asuntos Internacionales y Agregadurías de la Procuraduría General de la República; la señora Miriam Heredia Zertuche, Directora General Adjunta de Asuntos Internacionales de la Procuraduría General de la República; el señor José Antonio Pérez Bravo, Coordinador de Asesores de la Subprocuraduría de Derechos Humanos, Prevención del Delito y Servicios a la Comunidad de la Procuraduría General de la República; el señor Genaro Adrián Alzate Bahena, Fiscal Coordinador Mixto de la Unidad para la Implementación del Sistema Procesal Penal Acusatorio de la Procuraduría General de la República; el señor Sergio Castro Guevara, Agente del Ministerio Público Especializado en Litigación Oral de la Fiscalía General de Chihuahua, y el señor Óscar Francisco Holguín González, encargado de asuntos políticos, jurídicos y de prensa de la embajada de México.</w:t>
      </w:r>
    </w:p>
  </w:footnote>
  <w:footnote w:id="13">
    <w:p w14:paraId="64AA613D" w14:textId="2EEC1FAC" w:rsidR="00146958" w:rsidRPr="00757DF0" w:rsidRDefault="00146958" w:rsidP="00757DF0">
      <w:pPr>
        <w:pStyle w:val="FootnoteText"/>
        <w:jc w:val="both"/>
        <w:rPr>
          <w:rFonts w:ascii="Verdana" w:hAnsi="Verdana" w:cstheme="minorHAnsi"/>
          <w:sz w:val="16"/>
          <w:szCs w:val="16"/>
        </w:rPr>
      </w:pPr>
      <w:r w:rsidRPr="00432ABC">
        <w:rPr>
          <w:rStyle w:val="FootnoteReference"/>
          <w:rFonts w:ascii="Verdana" w:hAnsi="Verdana"/>
          <w:sz w:val="16"/>
          <w:szCs w:val="16"/>
        </w:rPr>
        <w:footnoteRef/>
      </w:r>
      <w:r w:rsidRPr="00432ABC">
        <w:rPr>
          <w:rFonts w:ascii="Verdana" w:hAnsi="Verdana"/>
          <w:sz w:val="16"/>
          <w:szCs w:val="16"/>
        </w:rPr>
        <w:t xml:space="preserve"> </w:t>
      </w:r>
      <w:r w:rsidRPr="00432ABC">
        <w:rPr>
          <w:rFonts w:ascii="Verdana" w:hAnsi="Verdana" w:cstheme="minorHAnsi"/>
          <w:sz w:val="16"/>
          <w:szCs w:val="16"/>
        </w:rPr>
        <w:tab/>
      </w:r>
      <w:r w:rsidRPr="00757DF0">
        <w:rPr>
          <w:rFonts w:ascii="Verdana" w:hAnsi="Verdana" w:cstheme="minorHAnsi"/>
          <w:sz w:val="16"/>
          <w:szCs w:val="16"/>
        </w:rPr>
        <w:t>El escrito presenta un análisis al derecho a la verdad en el marco de desapariciones forzadas y aborda la problemática de no contar con un concepto un</w:t>
      </w:r>
      <w:r w:rsidRPr="0063619F">
        <w:rPr>
          <w:rFonts w:ascii="Verdana" w:hAnsi="Verdana" w:cstheme="minorHAnsi"/>
          <w:sz w:val="16"/>
          <w:szCs w:val="16"/>
        </w:rPr>
        <w:t xml:space="preserve">ánime a nivel internacional de “víctima”, resultando una medida gravosa para los familiares el tener que demostrar </w:t>
      </w:r>
      <w:r w:rsidRPr="005E5714">
        <w:rPr>
          <w:rFonts w:ascii="Verdana" w:hAnsi="Verdana" w:cstheme="minorHAnsi"/>
          <w:sz w:val="16"/>
          <w:szCs w:val="16"/>
        </w:rPr>
        <w:t>“su grado de afectación o da</w:t>
      </w:r>
      <w:r w:rsidRPr="00061E19">
        <w:rPr>
          <w:rFonts w:ascii="Verdana" w:hAnsi="Verdana" w:cstheme="minorHAnsi"/>
          <w:sz w:val="16"/>
          <w:szCs w:val="16"/>
        </w:rPr>
        <w:t>ño” para ser considerados víctimas indirectas</w:t>
      </w:r>
      <w:r w:rsidRPr="009F0486">
        <w:rPr>
          <w:rFonts w:ascii="Verdana" w:hAnsi="Verdana" w:cstheme="minorHAnsi"/>
          <w:sz w:val="16"/>
          <w:szCs w:val="16"/>
        </w:rPr>
        <w:t>. Se puntualiza la necesidad de fijar estándares internacio</w:t>
      </w:r>
      <w:r w:rsidRPr="00FA3B0E">
        <w:rPr>
          <w:rFonts w:ascii="Verdana" w:hAnsi="Verdana" w:cstheme="minorHAnsi"/>
          <w:sz w:val="16"/>
          <w:szCs w:val="16"/>
        </w:rPr>
        <w:t xml:space="preserve">nales en materia de reparación. </w:t>
      </w:r>
    </w:p>
  </w:footnote>
  <w:footnote w:id="14">
    <w:p w14:paraId="64AA613E" w14:textId="73FFCEE5" w:rsidR="00146958" w:rsidRPr="0063619F" w:rsidRDefault="00146958" w:rsidP="00757DF0">
      <w:pPr>
        <w:pStyle w:val="FootnoteText"/>
        <w:jc w:val="both"/>
        <w:rPr>
          <w:rFonts w:ascii="Verdana" w:hAnsi="Verdana" w:cstheme="minorHAnsi"/>
          <w:iCs/>
          <w:sz w:val="16"/>
          <w:szCs w:val="16"/>
        </w:rPr>
      </w:pPr>
      <w:r w:rsidRPr="00757DF0">
        <w:rPr>
          <w:rStyle w:val="FootnoteReference"/>
          <w:rFonts w:ascii="Verdana" w:hAnsi="Verdana" w:cstheme="minorHAnsi"/>
          <w:sz w:val="16"/>
          <w:szCs w:val="16"/>
        </w:rPr>
        <w:footnoteRef/>
      </w:r>
      <w:r w:rsidRPr="00757DF0">
        <w:rPr>
          <w:rFonts w:ascii="Verdana" w:hAnsi="Verdana" w:cstheme="minorHAnsi"/>
          <w:sz w:val="16"/>
          <w:szCs w:val="16"/>
        </w:rPr>
        <w:t xml:space="preserve"> </w:t>
      </w:r>
      <w:r w:rsidRPr="00757DF0">
        <w:rPr>
          <w:rFonts w:ascii="Verdana" w:hAnsi="Verdana" w:cstheme="minorHAnsi"/>
          <w:sz w:val="16"/>
          <w:szCs w:val="16"/>
        </w:rPr>
        <w:tab/>
      </w:r>
      <w:r w:rsidRPr="00757DF0">
        <w:rPr>
          <w:rFonts w:ascii="Verdana" w:hAnsi="Verdana" w:cstheme="minorHAnsi"/>
          <w:iCs/>
          <w:sz w:val="16"/>
          <w:szCs w:val="16"/>
        </w:rPr>
        <w:t xml:space="preserve">El escrito trata de la militarización y violencia durante el Operativo Conjunto Chihuahua. Detalla que las reformas del Código de Justicia Militar y la Ley de Seguridad </w:t>
      </w:r>
      <w:r>
        <w:rPr>
          <w:rFonts w:ascii="Verdana" w:hAnsi="Verdana" w:cstheme="minorHAnsi"/>
          <w:iCs/>
          <w:sz w:val="16"/>
          <w:szCs w:val="16"/>
        </w:rPr>
        <w:t xml:space="preserve">Interior </w:t>
      </w:r>
      <w:r w:rsidRPr="00757DF0">
        <w:rPr>
          <w:rFonts w:ascii="Verdana" w:hAnsi="Verdana" w:cstheme="minorHAnsi"/>
          <w:iCs/>
          <w:sz w:val="16"/>
          <w:szCs w:val="16"/>
        </w:rPr>
        <w:t xml:space="preserve">son incompatibles con los estándares interamericanos </w:t>
      </w:r>
      <w:r>
        <w:rPr>
          <w:rFonts w:ascii="Verdana" w:hAnsi="Verdana" w:cstheme="minorHAnsi"/>
          <w:iCs/>
          <w:sz w:val="16"/>
          <w:szCs w:val="16"/>
        </w:rPr>
        <w:t xml:space="preserve">sobre </w:t>
      </w:r>
      <w:r w:rsidRPr="00757DF0">
        <w:rPr>
          <w:rFonts w:ascii="Verdana" w:hAnsi="Verdana" w:cstheme="minorHAnsi"/>
          <w:iCs/>
          <w:sz w:val="16"/>
          <w:szCs w:val="16"/>
        </w:rPr>
        <w:t xml:space="preserve">el uso de la fuerza. </w:t>
      </w:r>
    </w:p>
  </w:footnote>
  <w:footnote w:id="15">
    <w:p w14:paraId="64AA613F" w14:textId="0A2C114C" w:rsidR="00146958" w:rsidRPr="00757DF0" w:rsidRDefault="00146958" w:rsidP="00757DF0">
      <w:pPr>
        <w:pStyle w:val="FootnoteText"/>
        <w:jc w:val="both"/>
        <w:rPr>
          <w:rFonts w:ascii="Verdana" w:hAnsi="Verdana" w:cstheme="minorHAnsi"/>
          <w:iCs/>
          <w:sz w:val="16"/>
          <w:szCs w:val="16"/>
        </w:rPr>
      </w:pPr>
      <w:r w:rsidRPr="00757DF0">
        <w:rPr>
          <w:rStyle w:val="FootnoteReference"/>
          <w:rFonts w:ascii="Verdana" w:hAnsi="Verdana" w:cstheme="minorHAnsi"/>
          <w:sz w:val="16"/>
          <w:szCs w:val="16"/>
        </w:rPr>
        <w:footnoteRef/>
      </w:r>
      <w:r w:rsidRPr="00757DF0">
        <w:rPr>
          <w:rFonts w:ascii="Verdana" w:hAnsi="Verdana" w:cstheme="minorHAnsi"/>
          <w:sz w:val="16"/>
          <w:szCs w:val="16"/>
        </w:rPr>
        <w:t xml:space="preserve"> </w:t>
      </w:r>
      <w:r w:rsidRPr="00757DF0">
        <w:rPr>
          <w:rFonts w:ascii="Verdana" w:hAnsi="Verdana" w:cstheme="minorHAnsi"/>
          <w:sz w:val="16"/>
          <w:szCs w:val="16"/>
        </w:rPr>
        <w:tab/>
      </w:r>
      <w:r w:rsidRPr="00757DF0">
        <w:rPr>
          <w:rFonts w:ascii="Verdana" w:hAnsi="Verdana" w:cstheme="minorHAnsi"/>
          <w:iCs/>
          <w:sz w:val="16"/>
          <w:szCs w:val="16"/>
        </w:rPr>
        <w:t>El escrito trata de la supuesta militarización y eventuales graves violaciones a derechos humanos en M</w:t>
      </w:r>
      <w:r w:rsidRPr="008D0846">
        <w:rPr>
          <w:rFonts w:ascii="Verdana" w:hAnsi="Verdana" w:cs="Arial"/>
          <w:iCs/>
          <w:sz w:val="16"/>
          <w:szCs w:val="16"/>
        </w:rPr>
        <w:t>éxico que habría</w:t>
      </w:r>
      <w:r>
        <w:rPr>
          <w:rFonts w:ascii="Verdana" w:hAnsi="Verdana" w:cs="Arial"/>
          <w:iCs/>
          <w:sz w:val="16"/>
          <w:szCs w:val="16"/>
        </w:rPr>
        <w:t xml:space="preserve"> traído consigo. Adicionalmente aborda la manera diferenciada en que se ve afectada la población femenina y masculina, debido al patrón de violencia y desigualdad de género en dicho contexto.</w:t>
      </w:r>
      <w:r w:rsidRPr="008D0846">
        <w:rPr>
          <w:rFonts w:ascii="Verdana" w:hAnsi="Verdana" w:cs="Arial"/>
          <w:iCs/>
          <w:sz w:val="16"/>
          <w:szCs w:val="16"/>
        </w:rPr>
        <w:t xml:space="preserve"> </w:t>
      </w:r>
    </w:p>
  </w:footnote>
  <w:footnote w:id="16">
    <w:p w14:paraId="64AA6140" w14:textId="77777777" w:rsidR="00146958" w:rsidRPr="0063619F" w:rsidRDefault="00146958" w:rsidP="00757DF0">
      <w:pPr>
        <w:pStyle w:val="FootnoteText"/>
        <w:jc w:val="both"/>
        <w:rPr>
          <w:rFonts w:ascii="Verdana" w:hAnsi="Verdana" w:cstheme="minorHAnsi"/>
          <w:sz w:val="16"/>
          <w:szCs w:val="16"/>
        </w:rPr>
      </w:pPr>
      <w:r w:rsidRPr="00757DF0">
        <w:rPr>
          <w:rStyle w:val="FootnoteReference"/>
          <w:rFonts w:ascii="Verdana" w:hAnsi="Verdana" w:cstheme="minorHAnsi"/>
          <w:sz w:val="16"/>
          <w:szCs w:val="16"/>
        </w:rPr>
        <w:footnoteRef/>
      </w:r>
      <w:r w:rsidRPr="00757DF0">
        <w:rPr>
          <w:rFonts w:ascii="Verdana" w:hAnsi="Verdana" w:cstheme="minorHAnsi"/>
          <w:sz w:val="16"/>
          <w:szCs w:val="16"/>
        </w:rPr>
        <w:t xml:space="preserve"> </w:t>
      </w:r>
      <w:r w:rsidRPr="00757DF0">
        <w:rPr>
          <w:rFonts w:ascii="Verdana" w:hAnsi="Verdana" w:cstheme="minorHAnsi"/>
          <w:sz w:val="16"/>
          <w:szCs w:val="16"/>
        </w:rPr>
        <w:tab/>
        <w:t xml:space="preserve">El escrito versa sobre la falta de límites para el uso de la fuerza militar de la Ley de Seguridad Interior y el riesgo que representa para los derechos de civiles que puedan ser violados  por parte de los militares durante la lucha contra la delincuencia </w:t>
      </w:r>
      <w:r w:rsidRPr="0063619F">
        <w:rPr>
          <w:rFonts w:ascii="Verdana" w:hAnsi="Verdana" w:cstheme="minorHAnsi"/>
          <w:sz w:val="16"/>
          <w:szCs w:val="16"/>
        </w:rPr>
        <w:t xml:space="preserve">organizada. </w:t>
      </w:r>
    </w:p>
  </w:footnote>
  <w:footnote w:id="17">
    <w:p w14:paraId="64AA6141" w14:textId="3B1309A5" w:rsidR="00146958" w:rsidRPr="00432ABC" w:rsidRDefault="00146958" w:rsidP="00757DF0">
      <w:pPr>
        <w:pStyle w:val="FootnoteText"/>
        <w:jc w:val="both"/>
        <w:rPr>
          <w:rFonts w:ascii="Verdana" w:hAnsi="Verdana" w:cstheme="minorHAnsi"/>
          <w:sz w:val="16"/>
          <w:szCs w:val="16"/>
        </w:rPr>
      </w:pPr>
      <w:r w:rsidRPr="00757DF0">
        <w:rPr>
          <w:rStyle w:val="FootnoteReference"/>
          <w:rFonts w:ascii="Verdana" w:hAnsi="Verdana" w:cstheme="minorHAnsi"/>
          <w:sz w:val="16"/>
          <w:szCs w:val="16"/>
        </w:rPr>
        <w:footnoteRef/>
      </w:r>
      <w:r w:rsidRPr="00757DF0">
        <w:rPr>
          <w:rFonts w:ascii="Verdana" w:hAnsi="Verdana" w:cstheme="minorHAnsi"/>
          <w:sz w:val="16"/>
          <w:szCs w:val="16"/>
        </w:rPr>
        <w:t xml:space="preserve"> </w:t>
      </w:r>
      <w:r w:rsidRPr="00757DF0">
        <w:rPr>
          <w:rFonts w:ascii="Verdana" w:hAnsi="Verdana" w:cstheme="minorHAnsi"/>
          <w:sz w:val="16"/>
          <w:szCs w:val="16"/>
        </w:rPr>
        <w:tab/>
        <w:t>El escrito analiza la correlación entre el despliegue de las fuerzas armadas, la violencia y las violaciones de los derechos humanos. Además destaca un patrón de impunidad por parte del Estado mexicano.</w:t>
      </w:r>
      <w:r w:rsidRPr="00432ABC">
        <w:rPr>
          <w:rFonts w:ascii="Verdana" w:hAnsi="Verdana" w:cstheme="minorHAnsi"/>
          <w:sz w:val="16"/>
          <w:szCs w:val="16"/>
        </w:rPr>
        <w:t xml:space="preserve">  </w:t>
      </w:r>
    </w:p>
  </w:footnote>
  <w:footnote w:id="18">
    <w:p w14:paraId="64AA6142" w14:textId="6465E55E" w:rsidR="00146958" w:rsidRPr="0063619F" w:rsidRDefault="00146958" w:rsidP="0063619F">
      <w:pPr>
        <w:pStyle w:val="FootnoteText"/>
        <w:jc w:val="both"/>
        <w:rPr>
          <w:rFonts w:ascii="Verdana" w:hAnsi="Verdana" w:cstheme="minorHAnsi"/>
          <w:sz w:val="16"/>
          <w:szCs w:val="16"/>
        </w:rPr>
      </w:pPr>
      <w:r w:rsidRPr="00432ABC">
        <w:rPr>
          <w:rStyle w:val="FootnoteReference"/>
          <w:rFonts w:ascii="Verdana" w:hAnsi="Verdana" w:cstheme="minorHAnsi"/>
          <w:sz w:val="16"/>
          <w:szCs w:val="16"/>
        </w:rPr>
        <w:footnoteRef/>
      </w:r>
      <w:r w:rsidRPr="00432ABC">
        <w:rPr>
          <w:rFonts w:ascii="Verdana" w:hAnsi="Verdana" w:cstheme="minorHAnsi"/>
          <w:sz w:val="16"/>
          <w:szCs w:val="16"/>
        </w:rPr>
        <w:t xml:space="preserve"> </w:t>
      </w:r>
      <w:r w:rsidRPr="00432ABC">
        <w:rPr>
          <w:rFonts w:ascii="Verdana" w:hAnsi="Verdana" w:cstheme="minorHAnsi"/>
          <w:sz w:val="16"/>
          <w:szCs w:val="16"/>
        </w:rPr>
        <w:tab/>
      </w:r>
      <w:r w:rsidRPr="0063619F">
        <w:rPr>
          <w:rFonts w:ascii="Verdana" w:hAnsi="Verdana" w:cstheme="minorHAnsi"/>
          <w:sz w:val="16"/>
          <w:szCs w:val="16"/>
        </w:rPr>
        <w:t xml:space="preserve">El escrito trata sobre las obligaciones de los Estados de proteger los derechos a la seguridad pública y la seguridad personal, específicamente, destaca dicha responsabilidad para las mujeres que son vulnerables al abuso de estos derechos por el ámbito sociocultural. </w:t>
      </w:r>
    </w:p>
  </w:footnote>
  <w:footnote w:id="19">
    <w:p w14:paraId="64AA6143" w14:textId="77777777" w:rsidR="00146958" w:rsidRPr="00061E19" w:rsidRDefault="00146958" w:rsidP="0063619F">
      <w:pPr>
        <w:pStyle w:val="FootnoteText"/>
        <w:jc w:val="both"/>
        <w:rPr>
          <w:rFonts w:ascii="Verdana" w:hAnsi="Verdana" w:cstheme="minorHAnsi"/>
          <w:sz w:val="16"/>
          <w:szCs w:val="16"/>
        </w:rPr>
      </w:pPr>
      <w:r w:rsidRPr="0063619F">
        <w:rPr>
          <w:rStyle w:val="FootnoteReference"/>
          <w:rFonts w:ascii="Verdana" w:hAnsi="Verdana" w:cstheme="minorHAnsi"/>
          <w:sz w:val="16"/>
          <w:szCs w:val="16"/>
        </w:rPr>
        <w:footnoteRef/>
      </w:r>
      <w:r w:rsidRPr="0063619F">
        <w:rPr>
          <w:rFonts w:ascii="Verdana" w:hAnsi="Verdana" w:cstheme="minorHAnsi"/>
          <w:sz w:val="16"/>
          <w:szCs w:val="16"/>
        </w:rPr>
        <w:t xml:space="preserve"> </w:t>
      </w:r>
      <w:r w:rsidRPr="0063619F">
        <w:rPr>
          <w:rFonts w:ascii="Verdana" w:hAnsi="Verdana" w:cstheme="minorHAnsi"/>
          <w:sz w:val="16"/>
          <w:szCs w:val="16"/>
        </w:rPr>
        <w:tab/>
        <w:t xml:space="preserve">El escrito realiza una crítica a la Ley de Seguridad Interior por la falta de garantía a los derechos humanos en los casos de desaparición forzada, y sugiere que el amparo o un sistema parecido a </w:t>
      </w:r>
      <w:r w:rsidRPr="008D0846">
        <w:rPr>
          <w:rFonts w:ascii="Verdana" w:hAnsi="Verdana" w:cstheme="minorHAnsi"/>
          <w:i/>
          <w:sz w:val="16"/>
          <w:szCs w:val="16"/>
        </w:rPr>
        <w:t>Habeas Corpus</w:t>
      </w:r>
      <w:r w:rsidRPr="0063619F">
        <w:rPr>
          <w:rFonts w:ascii="Verdana" w:hAnsi="Verdana" w:cstheme="minorHAnsi"/>
          <w:sz w:val="16"/>
          <w:szCs w:val="16"/>
        </w:rPr>
        <w:t xml:space="preserve"> aumenten el poder de los tribunales para ayudar en la</w:t>
      </w:r>
      <w:r w:rsidRPr="005E5714">
        <w:rPr>
          <w:rFonts w:ascii="Verdana" w:hAnsi="Verdana" w:cstheme="minorHAnsi"/>
          <w:sz w:val="16"/>
          <w:szCs w:val="16"/>
        </w:rPr>
        <w:t xml:space="preserve"> búsqueda efectiva de los desap</w:t>
      </w:r>
      <w:r w:rsidRPr="00061E19">
        <w:rPr>
          <w:rFonts w:ascii="Verdana" w:hAnsi="Verdana" w:cstheme="minorHAnsi"/>
          <w:sz w:val="16"/>
          <w:szCs w:val="16"/>
        </w:rPr>
        <w:t>arecidos.</w:t>
      </w:r>
    </w:p>
  </w:footnote>
  <w:footnote w:id="20">
    <w:p w14:paraId="64AA6144" w14:textId="14735993" w:rsidR="00146958" w:rsidRPr="0063619F" w:rsidRDefault="00146958" w:rsidP="0063619F">
      <w:pPr>
        <w:pStyle w:val="FootnoteText"/>
        <w:jc w:val="both"/>
        <w:rPr>
          <w:rFonts w:ascii="Verdana" w:hAnsi="Verdana" w:cstheme="minorHAnsi"/>
          <w:sz w:val="16"/>
          <w:szCs w:val="16"/>
        </w:rPr>
      </w:pPr>
      <w:r w:rsidRPr="0063619F">
        <w:rPr>
          <w:rStyle w:val="FootnoteReference"/>
          <w:rFonts w:ascii="Verdana" w:hAnsi="Verdana" w:cstheme="minorHAnsi"/>
          <w:sz w:val="16"/>
          <w:szCs w:val="16"/>
        </w:rPr>
        <w:footnoteRef/>
      </w:r>
      <w:r w:rsidRPr="0063619F">
        <w:rPr>
          <w:rFonts w:ascii="Verdana" w:hAnsi="Verdana" w:cstheme="minorHAnsi"/>
          <w:sz w:val="16"/>
          <w:szCs w:val="16"/>
        </w:rPr>
        <w:t xml:space="preserve"> </w:t>
      </w:r>
      <w:r w:rsidRPr="0063619F">
        <w:rPr>
          <w:rFonts w:ascii="Verdana" w:hAnsi="Verdana" w:cstheme="minorHAnsi"/>
          <w:sz w:val="16"/>
          <w:szCs w:val="16"/>
        </w:rPr>
        <w:tab/>
        <w:t xml:space="preserve">El escrito establece que la Ley de Seguridad Interior aún sigue perpetuando un patrón de violaciones a los derechos humanos porque no pone límites a las fuerzas armadas con respecto al tiempo que se puedan utilizar, a dónde pueden ir o términos específicos que detallen sus responsabilidades, límites territoriales ni una misión claramente definida para limitar las tareas de las fuerzas armadas. </w:t>
      </w:r>
    </w:p>
  </w:footnote>
  <w:footnote w:id="21">
    <w:p w14:paraId="64AA6145" w14:textId="57248B18" w:rsidR="00146958" w:rsidRPr="00880A3E" w:rsidRDefault="00146958" w:rsidP="0063619F">
      <w:pPr>
        <w:pStyle w:val="FootnoteText"/>
        <w:jc w:val="both"/>
        <w:rPr>
          <w:rFonts w:ascii="Verdana" w:hAnsi="Verdana" w:cstheme="minorHAnsi"/>
          <w:sz w:val="16"/>
          <w:szCs w:val="16"/>
        </w:rPr>
      </w:pPr>
      <w:r w:rsidRPr="0063619F">
        <w:rPr>
          <w:rStyle w:val="FootnoteReference"/>
          <w:rFonts w:ascii="Verdana" w:hAnsi="Verdana" w:cstheme="minorHAnsi"/>
          <w:sz w:val="16"/>
          <w:szCs w:val="16"/>
        </w:rPr>
        <w:footnoteRef/>
      </w:r>
      <w:r w:rsidRPr="0063619F">
        <w:rPr>
          <w:rFonts w:ascii="Verdana" w:hAnsi="Verdana" w:cstheme="minorHAnsi"/>
          <w:sz w:val="16"/>
          <w:szCs w:val="16"/>
        </w:rPr>
        <w:t xml:space="preserve"> </w:t>
      </w:r>
      <w:r w:rsidRPr="0063619F">
        <w:rPr>
          <w:rFonts w:ascii="Verdana" w:hAnsi="Verdana" w:cstheme="minorHAnsi"/>
          <w:sz w:val="16"/>
          <w:szCs w:val="16"/>
        </w:rPr>
        <w:tab/>
        <w:t>El escrito analiza la Ley General en Materia de Desaparición Forzada de Personas, Desaparición Cometida por Particulares y del Sistema Nacional de Búsqueda de Personas. Se menciona que dicha ley “fue influenciada” por el “Movimiento</w:t>
      </w:r>
      <w:r w:rsidRPr="005E5714">
        <w:rPr>
          <w:rFonts w:ascii="Verdana" w:hAnsi="Verdana" w:cstheme="minorHAnsi"/>
          <w:sz w:val="16"/>
          <w:szCs w:val="16"/>
        </w:rPr>
        <w:t xml:space="preserve"> por Nuestros Desaparecidos en M</w:t>
      </w:r>
      <w:r w:rsidRPr="00061E19">
        <w:rPr>
          <w:rFonts w:ascii="Verdana" w:hAnsi="Verdana" w:cstheme="minorHAnsi"/>
          <w:sz w:val="16"/>
          <w:szCs w:val="16"/>
        </w:rPr>
        <w:t>éxico”</w:t>
      </w:r>
      <w:r>
        <w:rPr>
          <w:rFonts w:ascii="Verdana" w:hAnsi="Verdana" w:cstheme="minorHAnsi"/>
          <w:sz w:val="16"/>
          <w:szCs w:val="16"/>
        </w:rPr>
        <w:t xml:space="preserve">. </w:t>
      </w:r>
      <w:r w:rsidRPr="00FA3B0E">
        <w:rPr>
          <w:rFonts w:ascii="Verdana" w:hAnsi="Verdana" w:cstheme="minorHAnsi"/>
          <w:sz w:val="16"/>
          <w:szCs w:val="16"/>
        </w:rPr>
        <w:t xml:space="preserve">El </w:t>
      </w:r>
      <w:r w:rsidRPr="0063619F">
        <w:rPr>
          <w:rFonts w:ascii="Verdana" w:hAnsi="Verdana" w:cstheme="minorHAnsi"/>
          <w:sz w:val="16"/>
          <w:szCs w:val="16"/>
        </w:rPr>
        <w:t>objeto de la mencionada ley era “coordinar métodos para prevenir, sancionar y erradicar la desaparición forzada”, así como y garantizar la reparación a las víctimas y la no repetición de tales hechos. Sin embargo, el “Movimiento” señala que existe una falta de inter</w:t>
      </w:r>
      <w:r w:rsidRPr="008D0846">
        <w:rPr>
          <w:rFonts w:ascii="Verdana" w:hAnsi="Verdana" w:cs="Arial"/>
          <w:sz w:val="16"/>
          <w:szCs w:val="16"/>
        </w:rPr>
        <w:t xml:space="preserve">és, </w:t>
      </w:r>
      <w:r w:rsidRPr="0063619F">
        <w:rPr>
          <w:rFonts w:ascii="Verdana" w:hAnsi="Verdana" w:cstheme="minorHAnsi"/>
          <w:sz w:val="16"/>
          <w:szCs w:val="16"/>
        </w:rPr>
        <w:t>coordinación, colaboración e intercambio de información entre l</w:t>
      </w:r>
      <w:r w:rsidRPr="00880A3E">
        <w:rPr>
          <w:rFonts w:ascii="Verdana" w:hAnsi="Verdana" w:cstheme="minorHAnsi"/>
          <w:sz w:val="16"/>
          <w:szCs w:val="16"/>
        </w:rPr>
        <w:t xml:space="preserve">as autoridades. </w:t>
      </w:r>
    </w:p>
  </w:footnote>
  <w:footnote w:id="22">
    <w:p w14:paraId="64AA6146" w14:textId="77777777" w:rsidR="00146958" w:rsidRPr="00061E19" w:rsidRDefault="00146958" w:rsidP="0063619F">
      <w:pPr>
        <w:pStyle w:val="FootnoteText"/>
        <w:jc w:val="both"/>
        <w:rPr>
          <w:rFonts w:ascii="Verdana" w:hAnsi="Verdana" w:cstheme="minorHAnsi"/>
          <w:sz w:val="16"/>
          <w:szCs w:val="16"/>
        </w:rPr>
      </w:pPr>
      <w:r w:rsidRPr="0063619F">
        <w:rPr>
          <w:rStyle w:val="FootnoteReference"/>
          <w:rFonts w:ascii="Verdana" w:hAnsi="Verdana" w:cstheme="minorHAnsi"/>
          <w:sz w:val="16"/>
          <w:szCs w:val="16"/>
        </w:rPr>
        <w:footnoteRef/>
      </w:r>
      <w:r w:rsidRPr="0063619F">
        <w:rPr>
          <w:rFonts w:ascii="Verdana" w:hAnsi="Verdana" w:cstheme="minorHAnsi"/>
          <w:sz w:val="16"/>
          <w:szCs w:val="16"/>
        </w:rPr>
        <w:t xml:space="preserve"> </w:t>
      </w:r>
      <w:r w:rsidRPr="0063619F">
        <w:rPr>
          <w:rFonts w:ascii="Verdana" w:hAnsi="Verdana" w:cstheme="minorHAnsi"/>
          <w:sz w:val="16"/>
          <w:szCs w:val="16"/>
        </w:rPr>
        <w:tab/>
        <w:t>El escrito se enfoca en las violaciones a los derechos humanos  en México y su relación con las fuerzas militares y la seguridad pública. Esta situación ha provocado impunidad de los responsables y la falta de investigaciones imparciales, independient</w:t>
      </w:r>
      <w:r w:rsidRPr="005E5714">
        <w:rPr>
          <w:rFonts w:ascii="Verdana" w:hAnsi="Verdana" w:cstheme="minorHAnsi"/>
          <w:sz w:val="16"/>
          <w:szCs w:val="16"/>
        </w:rPr>
        <w:t>es y com</w:t>
      </w:r>
      <w:r w:rsidRPr="00061E19">
        <w:rPr>
          <w:rFonts w:ascii="Verdana" w:hAnsi="Verdana" w:cstheme="minorHAnsi"/>
          <w:sz w:val="16"/>
          <w:szCs w:val="16"/>
        </w:rPr>
        <w:t xml:space="preserve">pletas. </w:t>
      </w:r>
    </w:p>
  </w:footnote>
  <w:footnote w:id="23">
    <w:p w14:paraId="64AA6147" w14:textId="71EFD991" w:rsidR="00146958" w:rsidRPr="00880A3E" w:rsidRDefault="00146958">
      <w:pPr>
        <w:pStyle w:val="FootnoteText"/>
        <w:jc w:val="both"/>
        <w:rPr>
          <w:rFonts w:ascii="Verdana" w:hAnsi="Verdana" w:cstheme="minorHAnsi"/>
          <w:sz w:val="16"/>
          <w:szCs w:val="16"/>
        </w:rPr>
      </w:pPr>
      <w:r w:rsidRPr="0063619F">
        <w:rPr>
          <w:rStyle w:val="FootnoteReference"/>
          <w:rFonts w:ascii="Verdana" w:hAnsi="Verdana" w:cstheme="minorHAnsi"/>
          <w:sz w:val="16"/>
          <w:szCs w:val="16"/>
        </w:rPr>
        <w:footnoteRef/>
      </w:r>
      <w:r w:rsidRPr="0063619F">
        <w:rPr>
          <w:rFonts w:ascii="Verdana" w:hAnsi="Verdana" w:cstheme="minorHAnsi"/>
          <w:sz w:val="16"/>
          <w:szCs w:val="16"/>
        </w:rPr>
        <w:t xml:space="preserve"> </w:t>
      </w:r>
      <w:r w:rsidRPr="0063619F">
        <w:rPr>
          <w:rFonts w:ascii="Verdana" w:hAnsi="Verdana" w:cstheme="minorHAnsi"/>
          <w:sz w:val="16"/>
          <w:szCs w:val="16"/>
        </w:rPr>
        <w:tab/>
        <w:t>El escrito describe el contexto del “Operativ</w:t>
      </w:r>
      <w:r w:rsidRPr="00880A3E">
        <w:rPr>
          <w:rFonts w:ascii="Verdana" w:hAnsi="Verdana" w:cstheme="minorHAnsi"/>
          <w:sz w:val="16"/>
          <w:szCs w:val="16"/>
        </w:rPr>
        <w:t>o Conjunto Chihuahua” y las supuestas violaciones a derechos humanos que desencadenó. Señala que la Ley de Seguridad Interior “da autorización a las fuerzas armadas para realizar operativos de seguridad id</w:t>
      </w:r>
      <w:r w:rsidRPr="008D0846">
        <w:rPr>
          <w:rFonts w:ascii="Verdana" w:hAnsi="Verdana" w:cs="Arial"/>
          <w:sz w:val="16"/>
          <w:szCs w:val="16"/>
        </w:rPr>
        <w:t>énticos al Operativo Conjunto Chihuahua”</w:t>
      </w:r>
      <w:r w:rsidRPr="0063619F">
        <w:rPr>
          <w:rFonts w:ascii="Verdana" w:hAnsi="Verdana" w:cstheme="minorHAnsi"/>
          <w:sz w:val="16"/>
          <w:szCs w:val="16"/>
        </w:rPr>
        <w:t>.</w:t>
      </w:r>
    </w:p>
  </w:footnote>
  <w:footnote w:id="24">
    <w:p w14:paraId="64AA6148" w14:textId="1FCB6AC0" w:rsidR="00146958" w:rsidRPr="00880A3E" w:rsidRDefault="00146958">
      <w:pPr>
        <w:pStyle w:val="FootnoteText"/>
        <w:jc w:val="both"/>
        <w:rPr>
          <w:rFonts w:ascii="Verdana" w:hAnsi="Verdana" w:cstheme="minorHAnsi"/>
          <w:sz w:val="16"/>
          <w:szCs w:val="16"/>
        </w:rPr>
      </w:pPr>
      <w:r w:rsidRPr="0063619F">
        <w:rPr>
          <w:rStyle w:val="FootnoteReference"/>
          <w:rFonts w:ascii="Verdana" w:hAnsi="Verdana" w:cstheme="minorHAnsi"/>
          <w:sz w:val="16"/>
          <w:szCs w:val="16"/>
        </w:rPr>
        <w:footnoteRef/>
      </w:r>
      <w:r w:rsidRPr="0063619F">
        <w:rPr>
          <w:rFonts w:ascii="Verdana" w:hAnsi="Verdana" w:cstheme="minorHAnsi"/>
          <w:sz w:val="16"/>
          <w:szCs w:val="16"/>
        </w:rPr>
        <w:t xml:space="preserve"> </w:t>
      </w:r>
      <w:r w:rsidRPr="0063619F">
        <w:rPr>
          <w:rFonts w:ascii="Verdana" w:hAnsi="Verdana" w:cstheme="minorHAnsi"/>
          <w:sz w:val="16"/>
          <w:szCs w:val="16"/>
        </w:rPr>
        <w:tab/>
        <w:t>El escrito</w:t>
      </w:r>
      <w:r>
        <w:rPr>
          <w:rFonts w:ascii="Verdana" w:hAnsi="Verdana" w:cstheme="minorHAnsi"/>
          <w:sz w:val="16"/>
          <w:szCs w:val="16"/>
        </w:rPr>
        <w:t>, firmado por Alma Guadalupe Melgarito Rocha</w:t>
      </w:r>
      <w:r w:rsidRPr="0063619F">
        <w:rPr>
          <w:rFonts w:ascii="Verdana" w:hAnsi="Verdana" w:cstheme="minorHAnsi"/>
          <w:sz w:val="16"/>
          <w:szCs w:val="16"/>
        </w:rPr>
        <w:t xml:space="preserve"> </w:t>
      </w:r>
      <w:r>
        <w:rPr>
          <w:rFonts w:ascii="Verdana" w:hAnsi="Verdana" w:cstheme="minorHAnsi"/>
          <w:sz w:val="16"/>
          <w:szCs w:val="16"/>
        </w:rPr>
        <w:t xml:space="preserve">señala </w:t>
      </w:r>
      <w:r w:rsidRPr="0063619F">
        <w:rPr>
          <w:rFonts w:ascii="Verdana" w:hAnsi="Verdana" w:cstheme="minorHAnsi"/>
          <w:sz w:val="16"/>
          <w:szCs w:val="16"/>
        </w:rPr>
        <w:t xml:space="preserve">el deber </w:t>
      </w:r>
      <w:r>
        <w:rPr>
          <w:rFonts w:ascii="Verdana" w:hAnsi="Verdana" w:cstheme="minorHAnsi"/>
          <w:sz w:val="16"/>
          <w:szCs w:val="16"/>
        </w:rPr>
        <w:t xml:space="preserve">que tiene el Estado </w:t>
      </w:r>
      <w:r w:rsidRPr="0063619F">
        <w:rPr>
          <w:rFonts w:ascii="Verdana" w:hAnsi="Verdana" w:cstheme="minorHAnsi"/>
          <w:sz w:val="16"/>
          <w:szCs w:val="16"/>
        </w:rPr>
        <w:t>mexicano para prevenir, investigar y sancionar en materia de desaparición forzada</w:t>
      </w:r>
      <w:r>
        <w:rPr>
          <w:rFonts w:ascii="Verdana" w:hAnsi="Verdana" w:cstheme="minorHAnsi"/>
          <w:sz w:val="16"/>
          <w:szCs w:val="16"/>
        </w:rPr>
        <w:t xml:space="preserve"> de personas. Menciona que</w:t>
      </w:r>
      <w:r w:rsidRPr="0063619F">
        <w:rPr>
          <w:rFonts w:ascii="Verdana" w:hAnsi="Verdana" w:cstheme="minorHAnsi"/>
          <w:sz w:val="16"/>
          <w:szCs w:val="16"/>
        </w:rPr>
        <w:t xml:space="preserve"> las fuerzas militares </w:t>
      </w:r>
      <w:r>
        <w:rPr>
          <w:rFonts w:ascii="Verdana" w:hAnsi="Verdana" w:cstheme="minorHAnsi"/>
          <w:sz w:val="16"/>
          <w:szCs w:val="16"/>
        </w:rPr>
        <w:t>“pueden contribuir en labores de seguridad pública bajo los principios de excepcionalidad, en auxilio y con un mando civil” [sic], en todo momento bajo supervisión.</w:t>
      </w:r>
      <w:r w:rsidRPr="00880A3E">
        <w:rPr>
          <w:rFonts w:ascii="Verdana" w:hAnsi="Verdana" w:cstheme="minorHAnsi"/>
          <w:sz w:val="16"/>
          <w:szCs w:val="16"/>
        </w:rPr>
        <w:t xml:space="preserve"> </w:t>
      </w:r>
    </w:p>
  </w:footnote>
  <w:footnote w:id="25">
    <w:p w14:paraId="64AA6149" w14:textId="28A605A7" w:rsidR="00146958" w:rsidRPr="00432ABC" w:rsidRDefault="00146958">
      <w:pPr>
        <w:pStyle w:val="FootnoteText"/>
        <w:jc w:val="both"/>
        <w:rPr>
          <w:rFonts w:ascii="Verdana" w:hAnsi="Verdana" w:cstheme="minorHAnsi"/>
          <w:sz w:val="16"/>
          <w:szCs w:val="16"/>
        </w:rPr>
      </w:pPr>
      <w:r w:rsidRPr="0063619F">
        <w:rPr>
          <w:rStyle w:val="FootnoteReference"/>
          <w:rFonts w:ascii="Verdana" w:hAnsi="Verdana" w:cstheme="minorHAnsi"/>
          <w:sz w:val="16"/>
          <w:szCs w:val="16"/>
        </w:rPr>
        <w:footnoteRef/>
      </w:r>
      <w:r w:rsidRPr="0063619F">
        <w:rPr>
          <w:rFonts w:ascii="Verdana" w:hAnsi="Verdana" w:cstheme="minorHAnsi"/>
          <w:sz w:val="16"/>
          <w:szCs w:val="16"/>
        </w:rPr>
        <w:t xml:space="preserve"> </w:t>
      </w:r>
      <w:r w:rsidRPr="0063619F">
        <w:rPr>
          <w:rFonts w:ascii="Verdana" w:hAnsi="Verdana" w:cstheme="minorHAnsi"/>
          <w:sz w:val="16"/>
          <w:szCs w:val="16"/>
        </w:rPr>
        <w:tab/>
        <w:t xml:space="preserve">El escrito </w:t>
      </w:r>
      <w:r>
        <w:rPr>
          <w:rFonts w:ascii="Verdana" w:hAnsi="Verdana" w:cstheme="minorHAnsi"/>
          <w:sz w:val="16"/>
          <w:szCs w:val="16"/>
        </w:rPr>
        <w:t>señala que “no hay una adecuada clasificación de la desaparición forzada” en la legislación mexicana, que las reformas al Código de Justicia Militar de 2014 resultaron insufcientes para excluir al fuero militar del conocimiento de violaciones a derechos humanos. De igual manera, las presuntas víctimas se enfrentan con la “falta de voluntad y capacidad […] de las autoridades encargadas de investigar, procesar y sancionar graves crímenes”, como en casos de desapariciones forzadas.</w:t>
      </w:r>
      <w:r w:rsidRPr="00432ABC">
        <w:rPr>
          <w:rFonts w:ascii="Verdana" w:hAnsi="Verdana" w:cstheme="minorHAnsi"/>
          <w:sz w:val="16"/>
          <w:szCs w:val="16"/>
        </w:rPr>
        <w:t xml:space="preserve"> </w:t>
      </w:r>
    </w:p>
  </w:footnote>
  <w:footnote w:id="26">
    <w:p w14:paraId="64AA614A" w14:textId="32C024E9" w:rsidR="00146958" w:rsidRPr="00432ABC" w:rsidRDefault="00146958">
      <w:pPr>
        <w:pStyle w:val="FootnoteText"/>
        <w:jc w:val="both"/>
        <w:rPr>
          <w:rFonts w:ascii="Verdana" w:hAnsi="Verdana"/>
          <w:sz w:val="16"/>
          <w:szCs w:val="16"/>
          <w:lang w:val="es-CR"/>
        </w:rPr>
      </w:pPr>
      <w:r w:rsidRPr="00432ABC">
        <w:rPr>
          <w:rStyle w:val="FootnoteReference"/>
          <w:rFonts w:ascii="Verdana" w:hAnsi="Verdana"/>
          <w:sz w:val="16"/>
          <w:szCs w:val="16"/>
        </w:rPr>
        <w:footnoteRef/>
      </w:r>
      <w:r w:rsidRPr="00432ABC">
        <w:rPr>
          <w:rFonts w:ascii="Verdana" w:hAnsi="Verdana"/>
          <w:sz w:val="16"/>
          <w:szCs w:val="16"/>
        </w:rPr>
        <w:t xml:space="preserve"> </w:t>
      </w:r>
      <w:r w:rsidRPr="00432ABC">
        <w:rPr>
          <w:rFonts w:ascii="Verdana" w:hAnsi="Verdana"/>
          <w:sz w:val="16"/>
          <w:szCs w:val="16"/>
          <w:lang w:val="es-CR"/>
        </w:rPr>
        <w:tab/>
        <w:t xml:space="preserve">En sus observaciones a los anexos a los alegatos finales y </w:t>
      </w:r>
      <w:r w:rsidRPr="002C462C">
        <w:rPr>
          <w:rFonts w:ascii="Verdana" w:hAnsi="Verdana"/>
          <w:i/>
          <w:sz w:val="16"/>
          <w:lang w:val="es-CR"/>
        </w:rPr>
        <w:t>amicus curiae</w:t>
      </w:r>
      <w:r w:rsidRPr="002C462C">
        <w:rPr>
          <w:rFonts w:ascii="Verdana" w:hAnsi="Verdana"/>
          <w:sz w:val="16"/>
          <w:szCs w:val="16"/>
          <w:lang w:val="es-CR"/>
        </w:rPr>
        <w:t>, el Estado alegó que los amicus curiae presentados por la Clínica de Interés Público contra la Trata de Personas del Inst</w:t>
      </w:r>
      <w:r w:rsidRPr="00432ABC">
        <w:rPr>
          <w:rFonts w:ascii="Verdana" w:hAnsi="Verdana"/>
          <w:sz w:val="16"/>
          <w:szCs w:val="16"/>
          <w:lang w:val="es-CR"/>
        </w:rPr>
        <w:t xml:space="preserve">ituto Tecnológico Autónomo de México, el Grupo de Trabajo sobre Desapariciones Forzadas o Involuntarias de la ONU, Carlos María Pelayo Moller, Dra. Alma Guadalupe Melgarito </w:t>
      </w:r>
      <w:r>
        <w:rPr>
          <w:rFonts w:ascii="Verdana" w:hAnsi="Verdana"/>
          <w:sz w:val="16"/>
          <w:szCs w:val="16"/>
          <w:lang w:val="es-CR"/>
        </w:rPr>
        <w:t>Roch</w:t>
      </w:r>
      <w:r w:rsidRPr="00432ABC">
        <w:rPr>
          <w:rFonts w:ascii="Verdana" w:hAnsi="Verdana"/>
          <w:sz w:val="16"/>
          <w:szCs w:val="16"/>
          <w:lang w:val="es-CR"/>
        </w:rPr>
        <w:t xml:space="preserve">a de la Asociación Nuestramerica de Estudios Interdisciplinarios de Crítica Jurídica, México Unido contra la Delincuencia, Facultad de Derecho, Ciencias Políticas y Criminología de la Universidad </w:t>
      </w:r>
      <w:r>
        <w:rPr>
          <w:rFonts w:ascii="Verdana" w:hAnsi="Verdana"/>
          <w:sz w:val="16"/>
          <w:szCs w:val="16"/>
          <w:lang w:val="es-CR"/>
        </w:rPr>
        <w:t>A</w:t>
      </w:r>
      <w:r w:rsidRPr="00432ABC">
        <w:rPr>
          <w:rFonts w:ascii="Verdana" w:hAnsi="Verdana"/>
          <w:sz w:val="16"/>
          <w:szCs w:val="16"/>
          <w:lang w:val="es-CR"/>
        </w:rPr>
        <w:t xml:space="preserve">utónoma de Tlaxcala y MTS Edwin Eric Urizar Rodas fueron presentados fuera del plazo fijado para tal fin. La Corte nota que los amicus curiae presentados el 14 de mayo de 2018 llegaron dentro del plazo requerido por la Corte, al ser el primer día hábil después de los 15 días posteriores a la audiencia pública. Respecto de los amicus curiae presentados el 15 de mayo de 2018, la Corte constata que mediante notas de </w:t>
      </w:r>
      <w:r>
        <w:rPr>
          <w:rFonts w:ascii="Verdana" w:hAnsi="Verdana"/>
          <w:sz w:val="16"/>
          <w:szCs w:val="16"/>
          <w:lang w:val="es-CR"/>
        </w:rPr>
        <w:t>S</w:t>
      </w:r>
      <w:r w:rsidRPr="00432ABC">
        <w:rPr>
          <w:rFonts w:ascii="Verdana" w:hAnsi="Verdana"/>
          <w:sz w:val="16"/>
          <w:szCs w:val="16"/>
          <w:lang w:val="es-CR"/>
        </w:rPr>
        <w:t xml:space="preserve">ecretaría de 1 de junio de 2018 dichos escritos no fueron admitidos al ser recibidos en el tribunal de manera extemporánea </w:t>
      </w:r>
      <w:r>
        <w:rPr>
          <w:rFonts w:ascii="Verdana" w:hAnsi="Verdana"/>
          <w:sz w:val="16"/>
          <w:szCs w:val="16"/>
          <w:lang w:val="es-CR"/>
        </w:rPr>
        <w:t>(expediente de fondo, ff. 2185-2197).</w:t>
      </w:r>
      <w:r w:rsidRPr="00DB378B">
        <w:rPr>
          <w:rFonts w:ascii="Verdana" w:hAnsi="Verdana"/>
          <w:b/>
          <w:sz w:val="16"/>
          <w:szCs w:val="16"/>
          <w:lang w:val="es-CR"/>
        </w:rPr>
        <w:t xml:space="preserve">  </w:t>
      </w:r>
    </w:p>
  </w:footnote>
  <w:footnote w:id="27">
    <w:p w14:paraId="64AA614B" w14:textId="73FCD5BB" w:rsidR="00146958" w:rsidRPr="00432ABC" w:rsidRDefault="00146958" w:rsidP="00531EF3">
      <w:pPr>
        <w:pStyle w:val="FootnoteText"/>
        <w:jc w:val="both"/>
        <w:rPr>
          <w:rFonts w:ascii="Verdana" w:hAnsi="Verdana" w:cs="Arial"/>
          <w:sz w:val="16"/>
          <w:szCs w:val="16"/>
          <w:lang w:val="es-EC"/>
        </w:rPr>
      </w:pPr>
      <w:r w:rsidRPr="00432ABC">
        <w:rPr>
          <w:rStyle w:val="FootnoteReference"/>
          <w:rFonts w:ascii="Verdana" w:hAnsi="Verdana"/>
          <w:sz w:val="16"/>
          <w:szCs w:val="16"/>
        </w:rPr>
        <w:footnoteRef/>
      </w:r>
      <w:r w:rsidRPr="00432ABC">
        <w:rPr>
          <w:rFonts w:ascii="Verdana" w:hAnsi="Verdana"/>
          <w:sz w:val="16"/>
          <w:szCs w:val="16"/>
          <w:lang w:val="es-AR"/>
        </w:rPr>
        <w:t xml:space="preserve"> </w:t>
      </w:r>
      <w:r w:rsidRPr="00432ABC">
        <w:rPr>
          <w:rFonts w:ascii="Verdana" w:hAnsi="Verdana"/>
          <w:sz w:val="16"/>
          <w:szCs w:val="16"/>
          <w:lang w:val="es-AR"/>
        </w:rPr>
        <w:tab/>
      </w:r>
      <w:r w:rsidRPr="002C462C">
        <w:rPr>
          <w:rFonts w:ascii="Verdana" w:hAnsi="Verdana"/>
          <w:sz w:val="16"/>
          <w:szCs w:val="16"/>
          <w:lang w:val="es-AR"/>
        </w:rPr>
        <w:t>“</w:t>
      </w:r>
      <w:r w:rsidRPr="002C462C">
        <w:rPr>
          <w:rFonts w:ascii="Verdana" w:hAnsi="Verdana" w:cs="Arial"/>
          <w:sz w:val="16"/>
          <w:szCs w:val="16"/>
          <w:lang w:val="es-EC"/>
        </w:rPr>
        <w:t>La Ley General en Materia de Desaparición Forzada de Person</w:t>
      </w:r>
      <w:r w:rsidRPr="00432ABC">
        <w:rPr>
          <w:rFonts w:ascii="Verdana" w:hAnsi="Verdana" w:cs="Arial"/>
          <w:sz w:val="16"/>
          <w:szCs w:val="16"/>
          <w:lang w:val="es-EC"/>
        </w:rPr>
        <w:t>as, Desaparición cometida por Particulares y del Sistema Nacional de Búsqueda de Personas fue promulgada por el</w:t>
      </w:r>
      <w:r>
        <w:rPr>
          <w:rFonts w:ascii="Verdana" w:hAnsi="Verdana" w:cs="Arial"/>
          <w:sz w:val="16"/>
          <w:szCs w:val="16"/>
          <w:lang w:val="es-EC"/>
        </w:rPr>
        <w:t xml:space="preserve"> [titular del]</w:t>
      </w:r>
      <w:r w:rsidRPr="00432ABC">
        <w:rPr>
          <w:rFonts w:ascii="Verdana" w:hAnsi="Verdana" w:cs="Arial"/>
          <w:sz w:val="16"/>
          <w:szCs w:val="16"/>
          <w:lang w:val="es-EC"/>
        </w:rPr>
        <w:t xml:space="preserve"> Ejecutivo Federal el 16 de noviembre de 2017, publicada en el Diario Oficial de la Federación y, de acuerdo con sus transitorios, entrará en vigencia a partir del 16 de enero del presente año” </w:t>
      </w:r>
      <w:r w:rsidRPr="00432ABC">
        <w:rPr>
          <w:rFonts w:ascii="Verdana" w:hAnsi="Verdana"/>
          <w:sz w:val="16"/>
          <w:szCs w:val="16"/>
          <w:lang w:val="es-AR"/>
        </w:rPr>
        <w:t>(</w:t>
      </w:r>
      <w:r>
        <w:rPr>
          <w:rFonts w:ascii="Verdana" w:hAnsi="Verdana"/>
          <w:sz w:val="16"/>
          <w:szCs w:val="16"/>
          <w:lang w:val="es-AR"/>
        </w:rPr>
        <w:t>expediente de fondo,</w:t>
      </w:r>
      <w:r w:rsidRPr="00432ABC">
        <w:rPr>
          <w:rFonts w:ascii="Verdana" w:hAnsi="Verdana"/>
          <w:sz w:val="16"/>
          <w:szCs w:val="16"/>
          <w:lang w:val="es-AR"/>
        </w:rPr>
        <w:t xml:space="preserve"> f. 758).</w:t>
      </w:r>
    </w:p>
  </w:footnote>
  <w:footnote w:id="28">
    <w:p w14:paraId="64AA614C" w14:textId="5996616A" w:rsidR="00146958" w:rsidRPr="00432ABC" w:rsidRDefault="00146958">
      <w:pPr>
        <w:pStyle w:val="FootnoteText"/>
        <w:jc w:val="both"/>
        <w:rPr>
          <w:rFonts w:ascii="Verdana" w:hAnsi="Verdana"/>
          <w:i/>
          <w:sz w:val="16"/>
          <w:szCs w:val="16"/>
          <w:lang w:val="es-AR"/>
        </w:rPr>
      </w:pPr>
      <w:r w:rsidRPr="00432ABC">
        <w:rPr>
          <w:rStyle w:val="FootnoteReference"/>
          <w:rFonts w:ascii="Verdana" w:hAnsi="Verdana"/>
          <w:sz w:val="16"/>
          <w:szCs w:val="16"/>
        </w:rPr>
        <w:footnoteRef/>
      </w:r>
      <w:r w:rsidRPr="00432ABC">
        <w:rPr>
          <w:rFonts w:ascii="Verdana" w:hAnsi="Verdana"/>
          <w:sz w:val="16"/>
          <w:szCs w:val="16"/>
          <w:lang w:val="es-AR"/>
        </w:rPr>
        <w:t xml:space="preserve"> </w:t>
      </w:r>
      <w:r w:rsidRPr="00432ABC">
        <w:rPr>
          <w:rFonts w:ascii="Verdana" w:hAnsi="Verdana"/>
          <w:sz w:val="16"/>
          <w:szCs w:val="16"/>
          <w:lang w:val="es-AR"/>
        </w:rPr>
        <w:tab/>
      </w:r>
      <w:r w:rsidRPr="00CD5C54">
        <w:rPr>
          <w:rFonts w:ascii="Verdana" w:hAnsi="Verdana"/>
          <w:i/>
          <w:sz w:val="16"/>
          <w:szCs w:val="16"/>
          <w:lang w:val="es-AR"/>
        </w:rPr>
        <w:t>Cfr.</w:t>
      </w:r>
      <w:r w:rsidRPr="002C462C">
        <w:rPr>
          <w:rFonts w:ascii="Verdana" w:hAnsi="Verdana"/>
          <w:sz w:val="16"/>
          <w:szCs w:val="16"/>
          <w:lang w:val="es-AR"/>
        </w:rPr>
        <w:t xml:space="preserve"> </w:t>
      </w:r>
      <w:r w:rsidRPr="00432ABC">
        <w:rPr>
          <w:rFonts w:ascii="Verdana" w:hAnsi="Verdana"/>
          <w:i/>
          <w:sz w:val="16"/>
          <w:szCs w:val="16"/>
          <w:lang w:val="es-AR"/>
        </w:rPr>
        <w:t xml:space="preserve">Caso Radilla Pacheco Vs. </w:t>
      </w:r>
      <w:r>
        <w:rPr>
          <w:rFonts w:ascii="Verdana" w:hAnsi="Verdana"/>
          <w:i/>
          <w:sz w:val="16"/>
          <w:szCs w:val="16"/>
          <w:lang w:val="es-AR"/>
        </w:rPr>
        <w:t>México</w:t>
      </w:r>
      <w:r w:rsidRPr="00432ABC">
        <w:rPr>
          <w:rFonts w:ascii="Verdana" w:hAnsi="Verdana"/>
          <w:sz w:val="16"/>
          <w:szCs w:val="16"/>
          <w:lang w:val="es-AR"/>
        </w:rPr>
        <w:t xml:space="preserve">. </w:t>
      </w:r>
      <w:r w:rsidRPr="00432ABC">
        <w:rPr>
          <w:rFonts w:ascii="Verdana" w:hAnsi="Verdana"/>
          <w:i/>
          <w:sz w:val="16"/>
          <w:szCs w:val="16"/>
          <w:lang w:val="es-AR"/>
        </w:rPr>
        <w:t>Excepciones Preliminares, Fondo, Reparaciones y Costas.</w:t>
      </w:r>
      <w:r w:rsidRPr="00432ABC">
        <w:rPr>
          <w:rFonts w:ascii="Verdana" w:hAnsi="Verdana"/>
          <w:sz w:val="16"/>
          <w:szCs w:val="16"/>
          <w:lang w:val="es-AR"/>
        </w:rPr>
        <w:t xml:space="preserve"> Sentencia de 23 de noviembre de 2009. </w:t>
      </w:r>
      <w:r w:rsidRPr="00432ABC">
        <w:rPr>
          <w:rFonts w:ascii="Verdana" w:hAnsi="Verdana"/>
          <w:sz w:val="16"/>
          <w:szCs w:val="16"/>
          <w:lang w:val="es-CR"/>
        </w:rPr>
        <w:t>Serie C No. 209, párr. 324.</w:t>
      </w:r>
    </w:p>
  </w:footnote>
  <w:footnote w:id="29">
    <w:p w14:paraId="64AA614D" w14:textId="7763377F" w:rsidR="00146958" w:rsidRPr="00432ABC" w:rsidRDefault="00146958">
      <w:pPr>
        <w:pStyle w:val="FootnoteText"/>
        <w:jc w:val="both"/>
        <w:rPr>
          <w:rFonts w:ascii="Verdana" w:hAnsi="Verdana"/>
          <w:sz w:val="16"/>
          <w:szCs w:val="16"/>
          <w:lang w:val="es-CR"/>
        </w:rPr>
      </w:pPr>
      <w:r w:rsidRPr="00432ABC">
        <w:rPr>
          <w:rStyle w:val="FootnoteReference"/>
          <w:rFonts w:ascii="Verdana" w:eastAsia="Calibri" w:hAnsi="Verdana"/>
          <w:sz w:val="16"/>
          <w:szCs w:val="16"/>
        </w:rPr>
        <w:footnoteRef/>
      </w:r>
      <w:r w:rsidRPr="00432ABC">
        <w:rPr>
          <w:rFonts w:ascii="Verdana" w:hAnsi="Verdana"/>
          <w:sz w:val="16"/>
          <w:szCs w:val="16"/>
        </w:rPr>
        <w:t xml:space="preserve"> </w:t>
      </w:r>
      <w:r w:rsidRPr="00432ABC">
        <w:rPr>
          <w:rFonts w:ascii="Verdana" w:hAnsi="Verdana"/>
          <w:sz w:val="16"/>
          <w:szCs w:val="16"/>
        </w:rPr>
        <w:tab/>
      </w:r>
      <w:r w:rsidRPr="00CD5C54">
        <w:rPr>
          <w:rFonts w:ascii="Verdana" w:hAnsi="Verdana"/>
          <w:i/>
          <w:iCs/>
          <w:sz w:val="16"/>
          <w:szCs w:val="16"/>
        </w:rPr>
        <w:t>Cfr.</w:t>
      </w:r>
      <w:r w:rsidRPr="002C462C">
        <w:rPr>
          <w:rFonts w:ascii="Verdana" w:hAnsi="Verdana"/>
          <w:i/>
          <w:iCs/>
          <w:sz w:val="16"/>
          <w:szCs w:val="16"/>
        </w:rPr>
        <w:t xml:space="preserve"> </w:t>
      </w:r>
      <w:r w:rsidRPr="00432ABC">
        <w:rPr>
          <w:rFonts w:ascii="Verdana" w:hAnsi="Verdana"/>
          <w:i/>
          <w:sz w:val="16"/>
          <w:szCs w:val="16"/>
        </w:rPr>
        <w:t xml:space="preserve">Caso Benavides Cevallos Vs. Ecuador. Fondo, Reparaciones y Costas. </w:t>
      </w:r>
      <w:r w:rsidRPr="00432ABC">
        <w:rPr>
          <w:rFonts w:ascii="Verdana" w:hAnsi="Verdana"/>
          <w:sz w:val="16"/>
          <w:szCs w:val="16"/>
        </w:rPr>
        <w:t>Sentencia de 19 de junio de 1998. Serie C N</w:t>
      </w:r>
      <w:r w:rsidRPr="00432ABC">
        <w:rPr>
          <w:rFonts w:ascii="Verdana" w:hAnsi="Verdana"/>
          <w:sz w:val="16"/>
          <w:szCs w:val="16"/>
          <w:lang w:val="es-EC"/>
        </w:rPr>
        <w:t xml:space="preserve">o. 38, párr. 57, </w:t>
      </w:r>
      <w:r w:rsidRPr="00432ABC">
        <w:rPr>
          <w:rFonts w:ascii="Verdana" w:hAnsi="Verdana"/>
          <w:sz w:val="16"/>
          <w:szCs w:val="16"/>
        </w:rPr>
        <w:t>y</w:t>
      </w:r>
      <w:r w:rsidRPr="00432ABC">
        <w:rPr>
          <w:rFonts w:ascii="Verdana" w:hAnsi="Verdana"/>
          <w:i/>
          <w:sz w:val="16"/>
          <w:szCs w:val="16"/>
        </w:rPr>
        <w:t xml:space="preserve"> </w:t>
      </w:r>
      <w:r w:rsidRPr="00432ABC">
        <w:rPr>
          <w:rFonts w:ascii="Verdana" w:hAnsi="Verdana"/>
          <w:bCs/>
          <w:i/>
          <w:sz w:val="16"/>
          <w:szCs w:val="16"/>
          <w:lang w:val="es-CR"/>
        </w:rPr>
        <w:t xml:space="preserve">Caso </w:t>
      </w:r>
      <w:r>
        <w:rPr>
          <w:rFonts w:ascii="Verdana" w:hAnsi="Verdana"/>
          <w:bCs/>
          <w:i/>
          <w:sz w:val="16"/>
          <w:szCs w:val="16"/>
          <w:lang w:val="es-CR"/>
        </w:rPr>
        <w:t xml:space="preserve">López Soto y otros Vs. Venezuela. Fondo, Reparaciones y Costas. </w:t>
      </w:r>
      <w:r w:rsidRPr="00073C9D">
        <w:rPr>
          <w:rFonts w:ascii="Verdana" w:hAnsi="Verdana"/>
          <w:bCs/>
          <w:sz w:val="16"/>
          <w:szCs w:val="16"/>
          <w:lang w:val="es-CR"/>
        </w:rPr>
        <w:t>Sentencia de 26 de septiembre de 2018. Serie C No. 362, párr.34</w:t>
      </w:r>
      <w:r w:rsidRPr="00432ABC">
        <w:rPr>
          <w:rFonts w:ascii="Verdana" w:hAnsi="Verdana"/>
          <w:bCs/>
          <w:sz w:val="16"/>
          <w:szCs w:val="16"/>
          <w:lang w:val="es-CR"/>
        </w:rPr>
        <w:t>.</w:t>
      </w:r>
      <w:r w:rsidRPr="00432ABC">
        <w:rPr>
          <w:rFonts w:ascii="Verdana" w:hAnsi="Verdana"/>
          <w:bCs/>
          <w:i/>
          <w:sz w:val="16"/>
          <w:szCs w:val="16"/>
          <w:lang w:val="es-CR"/>
        </w:rPr>
        <w:t xml:space="preserve"> </w:t>
      </w:r>
    </w:p>
  </w:footnote>
  <w:footnote w:id="30">
    <w:p w14:paraId="64AA614E" w14:textId="3B7C7D37" w:rsidR="00146958" w:rsidRPr="00432ABC" w:rsidRDefault="00146958">
      <w:pPr>
        <w:pStyle w:val="FootnoteText"/>
        <w:jc w:val="both"/>
        <w:rPr>
          <w:rFonts w:ascii="Verdana" w:hAnsi="Verdana"/>
          <w:sz w:val="16"/>
          <w:szCs w:val="16"/>
          <w:lang w:val="es-CR"/>
        </w:rPr>
      </w:pPr>
      <w:r w:rsidRPr="00432ABC">
        <w:rPr>
          <w:rStyle w:val="FootnoteReference"/>
          <w:rFonts w:ascii="Verdana" w:eastAsia="Calibri" w:hAnsi="Verdana"/>
          <w:sz w:val="16"/>
          <w:szCs w:val="16"/>
        </w:rPr>
        <w:footnoteRef/>
      </w:r>
      <w:r w:rsidRPr="00432ABC">
        <w:rPr>
          <w:rFonts w:ascii="Verdana" w:hAnsi="Verdana"/>
          <w:sz w:val="16"/>
          <w:szCs w:val="16"/>
        </w:rPr>
        <w:t xml:space="preserve"> </w:t>
      </w:r>
      <w:r w:rsidRPr="00432ABC">
        <w:rPr>
          <w:rFonts w:ascii="Verdana" w:hAnsi="Verdana"/>
          <w:sz w:val="16"/>
          <w:szCs w:val="16"/>
        </w:rPr>
        <w:tab/>
      </w:r>
      <w:r w:rsidRPr="00CD5C54">
        <w:rPr>
          <w:rFonts w:ascii="Verdana" w:hAnsi="Verdana"/>
          <w:i/>
          <w:sz w:val="16"/>
          <w:szCs w:val="16"/>
          <w:lang w:val="es-CR"/>
        </w:rPr>
        <w:t>Cfr.</w:t>
      </w:r>
      <w:r w:rsidRPr="002C462C">
        <w:rPr>
          <w:rFonts w:ascii="Verdana" w:hAnsi="Verdana"/>
          <w:sz w:val="16"/>
          <w:szCs w:val="16"/>
          <w:lang w:val="es-CR"/>
        </w:rPr>
        <w:t xml:space="preserve"> </w:t>
      </w:r>
      <w:r w:rsidRPr="00432ABC">
        <w:rPr>
          <w:rFonts w:ascii="Verdana" w:hAnsi="Verdana"/>
          <w:i/>
          <w:sz w:val="16"/>
          <w:szCs w:val="16"/>
          <w:lang w:val="es-CR"/>
        </w:rPr>
        <w:t>Caso Acevedo Jaramillo y otros Vs. Perú. Excepciones Preliminares, Fondo, Reparaciones y Costas</w:t>
      </w:r>
      <w:r w:rsidRPr="00432ABC">
        <w:rPr>
          <w:rFonts w:ascii="Verdana" w:hAnsi="Verdana"/>
          <w:sz w:val="16"/>
          <w:szCs w:val="16"/>
          <w:lang w:val="es-CR"/>
        </w:rPr>
        <w:t>. Sentencia de 7 de febrero de 2006. Serie C No. 144, p</w:t>
      </w:r>
      <w:r>
        <w:rPr>
          <w:rFonts w:ascii="Verdana" w:hAnsi="Verdana"/>
          <w:sz w:val="16"/>
          <w:szCs w:val="16"/>
          <w:lang w:val="es-CR"/>
        </w:rPr>
        <w:t>á</w:t>
      </w:r>
      <w:r w:rsidRPr="00432ABC">
        <w:rPr>
          <w:rFonts w:ascii="Verdana" w:hAnsi="Verdana"/>
          <w:sz w:val="16"/>
          <w:szCs w:val="16"/>
          <w:lang w:val="es-CR"/>
        </w:rPr>
        <w:t xml:space="preserve">rrs. 176 a 180, y </w:t>
      </w:r>
      <w:r w:rsidRPr="00432ABC">
        <w:rPr>
          <w:rFonts w:ascii="Verdana" w:hAnsi="Verdana"/>
          <w:bCs/>
          <w:i/>
          <w:sz w:val="16"/>
          <w:szCs w:val="16"/>
          <w:lang w:val="es-CR"/>
        </w:rPr>
        <w:t xml:space="preserve">Caso </w:t>
      </w:r>
      <w:r>
        <w:rPr>
          <w:rFonts w:ascii="Verdana" w:hAnsi="Verdana"/>
          <w:bCs/>
          <w:i/>
          <w:sz w:val="16"/>
          <w:szCs w:val="16"/>
          <w:lang w:val="es-CR"/>
        </w:rPr>
        <w:t xml:space="preserve">López Soto y otros Vs. Venezuela, supra </w:t>
      </w:r>
      <w:r w:rsidRPr="008D0846">
        <w:rPr>
          <w:rFonts w:ascii="Verdana" w:hAnsi="Verdana"/>
          <w:bCs/>
          <w:sz w:val="16"/>
          <w:szCs w:val="16"/>
          <w:lang w:val="es-CR"/>
        </w:rPr>
        <w:t>párr. 35</w:t>
      </w:r>
      <w:r w:rsidRPr="00E40B4F">
        <w:rPr>
          <w:rFonts w:ascii="Verdana" w:hAnsi="Verdana"/>
          <w:bCs/>
          <w:sz w:val="16"/>
          <w:szCs w:val="16"/>
          <w:lang w:val="es-CR"/>
        </w:rPr>
        <w:t>.</w:t>
      </w:r>
      <w:r w:rsidRPr="00432ABC">
        <w:rPr>
          <w:rFonts w:ascii="Verdana" w:hAnsi="Verdana"/>
          <w:bCs/>
          <w:sz w:val="16"/>
          <w:szCs w:val="16"/>
          <w:lang w:val="es-CR"/>
        </w:rPr>
        <w:t xml:space="preserve"> </w:t>
      </w:r>
    </w:p>
  </w:footnote>
  <w:footnote w:id="31">
    <w:p w14:paraId="64AA614F" w14:textId="77777777" w:rsidR="00146958" w:rsidRPr="002C462C" w:rsidRDefault="00146958">
      <w:pPr>
        <w:pStyle w:val="FootnoteText"/>
        <w:jc w:val="both"/>
        <w:rPr>
          <w:rFonts w:ascii="Verdana" w:hAnsi="Verdana"/>
          <w:sz w:val="16"/>
          <w:szCs w:val="16"/>
        </w:rPr>
      </w:pPr>
      <w:r w:rsidRPr="00432ABC">
        <w:rPr>
          <w:rStyle w:val="FootnoteReference"/>
          <w:rFonts w:ascii="Verdana" w:eastAsia="Calibri" w:hAnsi="Verdana"/>
          <w:sz w:val="16"/>
          <w:szCs w:val="16"/>
        </w:rPr>
        <w:footnoteRef/>
      </w:r>
      <w:r w:rsidRPr="00432ABC">
        <w:rPr>
          <w:rFonts w:ascii="Verdana" w:hAnsi="Verdana"/>
          <w:sz w:val="16"/>
          <w:szCs w:val="16"/>
        </w:rPr>
        <w:t xml:space="preserve"> </w:t>
      </w:r>
      <w:r w:rsidRPr="00432ABC">
        <w:rPr>
          <w:rFonts w:ascii="Verdana" w:hAnsi="Verdana"/>
          <w:sz w:val="16"/>
          <w:szCs w:val="16"/>
        </w:rPr>
        <w:tab/>
        <w:t>Artículo 62. Reconocimiento. Si el demandado comunicare a la Corte su aceptación de los hechos o su allanamiento total o parcial a las pretensiones que constan en el sometimiento del caso o en el escrito de las presuntas víctimas o sus representantes, la Corte, oído el parecer de los demás intervinientes en el</w:t>
      </w:r>
      <w:r w:rsidRPr="002C462C">
        <w:rPr>
          <w:rFonts w:ascii="Verdana" w:hAnsi="Verdana"/>
          <w:sz w:val="16"/>
          <w:szCs w:val="16"/>
        </w:rPr>
        <w:t xml:space="preserve"> proceso, resolverá, en el momento procesal oportuno, sobre su procedencia y sus efectos jurídicos.</w:t>
      </w:r>
    </w:p>
  </w:footnote>
  <w:footnote w:id="32">
    <w:p w14:paraId="64AA6150" w14:textId="77777777" w:rsidR="00146958" w:rsidRPr="00432ABC" w:rsidRDefault="00146958">
      <w:pPr>
        <w:pStyle w:val="FootnoteText"/>
        <w:jc w:val="both"/>
        <w:rPr>
          <w:rFonts w:ascii="Verdana" w:hAnsi="Verdana"/>
          <w:sz w:val="16"/>
          <w:szCs w:val="16"/>
        </w:rPr>
      </w:pPr>
      <w:r w:rsidRPr="00432ABC">
        <w:rPr>
          <w:rStyle w:val="FootnoteReference"/>
          <w:rFonts w:ascii="Verdana" w:eastAsia="Calibri" w:hAnsi="Verdana"/>
          <w:sz w:val="16"/>
          <w:szCs w:val="16"/>
        </w:rPr>
        <w:footnoteRef/>
      </w:r>
      <w:r w:rsidRPr="00432ABC">
        <w:rPr>
          <w:rFonts w:ascii="Verdana" w:hAnsi="Verdana"/>
          <w:sz w:val="16"/>
          <w:szCs w:val="16"/>
        </w:rPr>
        <w:t xml:space="preserve"> </w:t>
      </w:r>
      <w:r w:rsidRPr="00432ABC">
        <w:rPr>
          <w:rFonts w:ascii="Verdana" w:hAnsi="Verdana"/>
          <w:sz w:val="16"/>
          <w:szCs w:val="16"/>
        </w:rPr>
        <w:tab/>
        <w:t xml:space="preserve">Artículo 64. Prosecución del examen del caso. La Corte, teniendo en cuenta las responsabilidades que le incumben de proteger los derechos humanos, podrá decidir que prosiga el examen del caso, aun en presencia de los supuestos señalados en los artículos precedentes. </w:t>
      </w:r>
    </w:p>
  </w:footnote>
  <w:footnote w:id="33">
    <w:p w14:paraId="64AA6151" w14:textId="74635D28" w:rsidR="00146958" w:rsidRPr="00432ABC" w:rsidRDefault="00146958">
      <w:pPr>
        <w:pStyle w:val="FootnoteText"/>
        <w:jc w:val="both"/>
        <w:rPr>
          <w:rFonts w:ascii="Verdana" w:hAnsi="Verdana" w:cs="Courier New"/>
          <w:noProof/>
          <w:sz w:val="16"/>
          <w:szCs w:val="16"/>
        </w:rPr>
      </w:pPr>
      <w:r w:rsidRPr="00432ABC">
        <w:rPr>
          <w:rStyle w:val="FootnoteReference"/>
          <w:rFonts w:ascii="Verdana" w:eastAsia="Calibri" w:hAnsi="Verdana"/>
          <w:sz w:val="16"/>
          <w:szCs w:val="16"/>
        </w:rPr>
        <w:footnoteRef/>
      </w:r>
      <w:r w:rsidRPr="00432ABC">
        <w:rPr>
          <w:rFonts w:ascii="Verdana" w:hAnsi="Verdana"/>
          <w:sz w:val="16"/>
          <w:szCs w:val="16"/>
        </w:rPr>
        <w:t xml:space="preserve"> </w:t>
      </w:r>
      <w:r w:rsidRPr="00432ABC">
        <w:rPr>
          <w:rFonts w:ascii="Verdana" w:hAnsi="Verdana"/>
          <w:sz w:val="16"/>
          <w:szCs w:val="16"/>
        </w:rPr>
        <w:tab/>
      </w:r>
      <w:r w:rsidRPr="00CD5C54">
        <w:rPr>
          <w:rFonts w:ascii="Verdana" w:hAnsi="Verdana"/>
          <w:i/>
          <w:sz w:val="16"/>
          <w:szCs w:val="16"/>
          <w:lang w:val="es-AR"/>
        </w:rPr>
        <w:t>Cfr.</w:t>
      </w:r>
      <w:r w:rsidRPr="002C462C">
        <w:rPr>
          <w:rFonts w:ascii="Verdana" w:hAnsi="Verdana"/>
          <w:b/>
          <w:i/>
          <w:sz w:val="16"/>
          <w:szCs w:val="16"/>
          <w:lang w:val="es-AR"/>
        </w:rPr>
        <w:t xml:space="preserve"> </w:t>
      </w:r>
      <w:r w:rsidRPr="002C462C">
        <w:rPr>
          <w:rFonts w:ascii="Verdana" w:hAnsi="Verdana"/>
          <w:bCs/>
          <w:i/>
          <w:sz w:val="16"/>
          <w:szCs w:val="16"/>
          <w:lang w:val="es-AR"/>
        </w:rPr>
        <w:t xml:space="preserve">Caso Kimel Vs. Argentina. </w:t>
      </w:r>
      <w:r w:rsidRPr="00432ABC">
        <w:rPr>
          <w:rFonts w:ascii="Verdana" w:hAnsi="Verdana"/>
          <w:i/>
          <w:sz w:val="16"/>
          <w:szCs w:val="16"/>
          <w:lang w:val="es-AR"/>
        </w:rPr>
        <w:t>Fondo, Reparaciones y Costas.</w:t>
      </w:r>
      <w:r w:rsidRPr="00432ABC">
        <w:rPr>
          <w:rFonts w:ascii="Verdana" w:hAnsi="Verdana"/>
          <w:sz w:val="16"/>
          <w:szCs w:val="16"/>
          <w:lang w:val="es-AR"/>
        </w:rPr>
        <w:t xml:space="preserve"> Sentencia de 2 de mayo de 2008. Serie C No. 177, párr. 24, y </w:t>
      </w:r>
      <w:r w:rsidRPr="00432ABC">
        <w:rPr>
          <w:rFonts w:ascii="Verdana" w:hAnsi="Verdana" w:cs="Courier New"/>
          <w:bCs/>
          <w:i/>
          <w:noProof/>
          <w:sz w:val="16"/>
          <w:szCs w:val="16"/>
        </w:rPr>
        <w:t>Caso</w:t>
      </w:r>
      <w:r>
        <w:rPr>
          <w:rFonts w:ascii="Verdana" w:hAnsi="Verdana" w:cs="Courier New"/>
          <w:bCs/>
          <w:i/>
          <w:noProof/>
          <w:sz w:val="16"/>
          <w:szCs w:val="16"/>
        </w:rPr>
        <w:t xml:space="preserve"> Poblete Vilches y otros Vs. Chile. Fondo, Reparaciones y Costas. </w:t>
      </w:r>
      <w:r w:rsidRPr="00073C9D">
        <w:rPr>
          <w:rFonts w:ascii="Verdana" w:hAnsi="Verdana" w:cs="Courier New"/>
          <w:bCs/>
          <w:noProof/>
          <w:sz w:val="16"/>
          <w:szCs w:val="16"/>
        </w:rPr>
        <w:t>Sentencia de 8 de marzo de 2018. Serie C No. 349, párr. 26</w:t>
      </w:r>
      <w:r w:rsidRPr="00432ABC">
        <w:rPr>
          <w:rFonts w:ascii="Verdana" w:hAnsi="Verdana" w:cs="Courier New"/>
          <w:bCs/>
          <w:noProof/>
          <w:sz w:val="16"/>
          <w:szCs w:val="16"/>
        </w:rPr>
        <w:t>.</w:t>
      </w:r>
    </w:p>
  </w:footnote>
  <w:footnote w:id="34">
    <w:p w14:paraId="64AA6152" w14:textId="5FB8D3C6" w:rsidR="00146958" w:rsidRPr="00432ABC" w:rsidRDefault="00146958">
      <w:pPr>
        <w:pStyle w:val="FootnoteText"/>
        <w:jc w:val="both"/>
        <w:rPr>
          <w:rFonts w:ascii="Verdana" w:hAnsi="Verdana"/>
          <w:sz w:val="16"/>
          <w:szCs w:val="16"/>
          <w:lang w:val="es-AR"/>
        </w:rPr>
      </w:pPr>
      <w:r w:rsidRPr="00432ABC">
        <w:rPr>
          <w:rStyle w:val="FootnoteReference"/>
          <w:rFonts w:ascii="Verdana" w:eastAsia="Calibri" w:hAnsi="Verdana"/>
          <w:sz w:val="16"/>
          <w:szCs w:val="16"/>
        </w:rPr>
        <w:footnoteRef/>
      </w:r>
      <w:r w:rsidRPr="00432ABC">
        <w:rPr>
          <w:rFonts w:ascii="Verdana" w:hAnsi="Verdana"/>
          <w:sz w:val="16"/>
          <w:szCs w:val="16"/>
        </w:rPr>
        <w:t xml:space="preserve"> </w:t>
      </w:r>
      <w:r w:rsidRPr="00432ABC">
        <w:rPr>
          <w:rFonts w:ascii="Verdana" w:hAnsi="Verdana"/>
          <w:sz w:val="16"/>
          <w:szCs w:val="16"/>
        </w:rPr>
        <w:tab/>
      </w:r>
      <w:r w:rsidRPr="00CD5C54">
        <w:rPr>
          <w:rFonts w:ascii="Verdana" w:hAnsi="Verdana"/>
          <w:i/>
          <w:sz w:val="16"/>
          <w:szCs w:val="16"/>
        </w:rPr>
        <w:t>Cfr.</w:t>
      </w:r>
      <w:r w:rsidRPr="002C462C">
        <w:rPr>
          <w:rFonts w:ascii="Verdana" w:hAnsi="Verdana"/>
          <w:b/>
          <w:i/>
          <w:sz w:val="16"/>
          <w:szCs w:val="16"/>
        </w:rPr>
        <w:t xml:space="preserve"> </w:t>
      </w:r>
      <w:r w:rsidRPr="002C462C">
        <w:rPr>
          <w:rFonts w:ascii="Verdana" w:hAnsi="Verdana"/>
          <w:bCs/>
          <w:i/>
          <w:sz w:val="16"/>
          <w:szCs w:val="16"/>
        </w:rPr>
        <w:t xml:space="preserve">Caso Manuel Cepeda Vargas Vs. </w:t>
      </w:r>
      <w:r w:rsidRPr="00432ABC">
        <w:rPr>
          <w:rFonts w:ascii="Verdana" w:hAnsi="Verdana"/>
          <w:bCs/>
          <w:i/>
          <w:sz w:val="16"/>
          <w:szCs w:val="16"/>
          <w:lang w:val="es-AR"/>
        </w:rPr>
        <w:t xml:space="preserve">Colombia. </w:t>
      </w:r>
      <w:r w:rsidRPr="00432ABC">
        <w:rPr>
          <w:rFonts w:ascii="Verdana" w:hAnsi="Verdana"/>
          <w:i/>
          <w:sz w:val="16"/>
          <w:szCs w:val="16"/>
          <w:lang w:val="es-AR"/>
        </w:rPr>
        <w:t>Excepciones Preliminares, Fondo, Reparaciones y Costas.</w:t>
      </w:r>
      <w:r w:rsidRPr="00432ABC">
        <w:rPr>
          <w:rFonts w:ascii="Verdana" w:hAnsi="Verdana"/>
          <w:sz w:val="16"/>
          <w:szCs w:val="16"/>
          <w:lang w:val="es-AR"/>
        </w:rPr>
        <w:t xml:space="preserve"> Sentencia de 26 de mayo de 2010. Serie C No. 213, párr. 17, y </w:t>
      </w:r>
      <w:r w:rsidRPr="00432ABC">
        <w:rPr>
          <w:rFonts w:ascii="Verdana" w:hAnsi="Verdana" w:cs="Courier New"/>
          <w:bCs/>
          <w:i/>
          <w:noProof/>
          <w:sz w:val="16"/>
          <w:szCs w:val="16"/>
        </w:rPr>
        <w:t xml:space="preserve">Caso </w:t>
      </w:r>
      <w:r>
        <w:rPr>
          <w:rFonts w:ascii="Verdana" w:hAnsi="Verdana" w:cs="Courier New"/>
          <w:bCs/>
          <w:i/>
          <w:noProof/>
          <w:sz w:val="16"/>
          <w:szCs w:val="16"/>
        </w:rPr>
        <w:t xml:space="preserve">Poblete Vilches y otros Vs. Chile, </w:t>
      </w:r>
      <w:r w:rsidRPr="00432ABC">
        <w:rPr>
          <w:rFonts w:ascii="Verdana" w:hAnsi="Verdana" w:cs="Courier New"/>
          <w:bCs/>
          <w:i/>
          <w:noProof/>
          <w:sz w:val="16"/>
          <w:szCs w:val="16"/>
        </w:rPr>
        <w:t>supra</w:t>
      </w:r>
      <w:r>
        <w:rPr>
          <w:rFonts w:ascii="Verdana" w:hAnsi="Verdana" w:cs="Courier New"/>
          <w:bCs/>
          <w:i/>
          <w:noProof/>
          <w:sz w:val="16"/>
          <w:szCs w:val="16"/>
        </w:rPr>
        <w:t>,</w:t>
      </w:r>
      <w:r w:rsidRPr="00432ABC">
        <w:rPr>
          <w:rFonts w:ascii="Verdana" w:hAnsi="Verdana" w:cs="Courier New"/>
          <w:bCs/>
          <w:noProof/>
          <w:sz w:val="16"/>
          <w:szCs w:val="16"/>
        </w:rPr>
        <w:t xml:space="preserve"> párr. 2</w:t>
      </w:r>
      <w:r>
        <w:rPr>
          <w:rFonts w:ascii="Verdana" w:hAnsi="Verdana" w:cs="Courier New"/>
          <w:bCs/>
          <w:noProof/>
          <w:sz w:val="16"/>
          <w:szCs w:val="16"/>
        </w:rPr>
        <w:t>6</w:t>
      </w:r>
      <w:r w:rsidRPr="00432ABC">
        <w:rPr>
          <w:rFonts w:ascii="Verdana" w:hAnsi="Verdana" w:cs="Courier New"/>
          <w:bCs/>
          <w:noProof/>
          <w:sz w:val="16"/>
          <w:szCs w:val="16"/>
        </w:rPr>
        <w:t xml:space="preserve">. </w:t>
      </w:r>
      <w:r w:rsidRPr="00432ABC">
        <w:rPr>
          <w:rFonts w:ascii="Verdana" w:hAnsi="Verdana" w:cs="Courier New"/>
          <w:bCs/>
          <w:i/>
          <w:noProof/>
          <w:sz w:val="16"/>
          <w:szCs w:val="16"/>
        </w:rPr>
        <w:t xml:space="preserve"> </w:t>
      </w:r>
    </w:p>
  </w:footnote>
  <w:footnote w:id="35">
    <w:p w14:paraId="64AA6153" w14:textId="77777777" w:rsidR="00146958" w:rsidRPr="00432ABC" w:rsidRDefault="00146958">
      <w:pPr>
        <w:pStyle w:val="FootnoteText"/>
        <w:jc w:val="both"/>
        <w:rPr>
          <w:rFonts w:ascii="Verdana" w:hAnsi="Verdana"/>
          <w:sz w:val="16"/>
          <w:szCs w:val="16"/>
        </w:rPr>
      </w:pPr>
      <w:r w:rsidRPr="00432ABC">
        <w:rPr>
          <w:rStyle w:val="FootnoteReference"/>
          <w:rFonts w:ascii="Verdana" w:eastAsia="Calibri" w:hAnsi="Verdana"/>
          <w:sz w:val="16"/>
          <w:szCs w:val="16"/>
        </w:rPr>
        <w:footnoteRef/>
      </w:r>
      <w:r w:rsidRPr="00432ABC">
        <w:rPr>
          <w:rFonts w:ascii="Verdana" w:hAnsi="Verdana"/>
          <w:sz w:val="16"/>
          <w:szCs w:val="16"/>
        </w:rPr>
        <w:t xml:space="preserve"> </w:t>
      </w:r>
      <w:r w:rsidRPr="00432ABC">
        <w:rPr>
          <w:rFonts w:ascii="Verdana" w:hAnsi="Verdana"/>
          <w:sz w:val="16"/>
          <w:szCs w:val="16"/>
        </w:rPr>
        <w:tab/>
        <w:t>El artículo 62.3 de la Convención</w:t>
      </w:r>
      <w:r w:rsidRPr="00432ABC">
        <w:rPr>
          <w:rFonts w:ascii="Verdana" w:hAnsi="Verdana"/>
          <w:sz w:val="16"/>
          <w:szCs w:val="16"/>
          <w:lang w:val="es-CO"/>
        </w:rPr>
        <w:t xml:space="preserve"> establece: “[l]a Corte tiene competencia para conocer de cualquier caso relativo a la interpretación y aplicación de las disposiciones de esta Convención que le sea sometido, siempre que los Estados Partes en e</w:t>
      </w:r>
      <w:r w:rsidRPr="002C462C">
        <w:rPr>
          <w:rFonts w:ascii="Verdana" w:hAnsi="Verdana"/>
          <w:sz w:val="16"/>
          <w:szCs w:val="16"/>
          <w:lang w:val="es-CO"/>
        </w:rPr>
        <w:t>l caso hayan reconocido o reconozcan dicha competencia, ora por declaración especial, como se indica en los incisos anteriores, ora por convención especial”.</w:t>
      </w:r>
    </w:p>
  </w:footnote>
  <w:footnote w:id="36">
    <w:p w14:paraId="64AA6154" w14:textId="77777777" w:rsidR="00146958" w:rsidRPr="00432ABC" w:rsidRDefault="00146958">
      <w:pPr>
        <w:pStyle w:val="FootnoteText"/>
        <w:jc w:val="both"/>
        <w:rPr>
          <w:rFonts w:ascii="Verdana" w:hAnsi="Verdana"/>
          <w:sz w:val="16"/>
          <w:szCs w:val="16"/>
          <w:lang w:val="es-CO"/>
        </w:rPr>
      </w:pPr>
      <w:r w:rsidRPr="00432ABC">
        <w:rPr>
          <w:rStyle w:val="FootnoteReference"/>
          <w:rFonts w:ascii="Verdana" w:eastAsia="Calibri" w:hAnsi="Verdana"/>
          <w:sz w:val="16"/>
          <w:szCs w:val="16"/>
        </w:rPr>
        <w:footnoteRef/>
      </w:r>
      <w:r w:rsidRPr="00432ABC">
        <w:rPr>
          <w:rFonts w:ascii="Verdana" w:hAnsi="Verdana"/>
          <w:sz w:val="16"/>
          <w:szCs w:val="16"/>
        </w:rPr>
        <w:t xml:space="preserve"> </w:t>
      </w:r>
      <w:r w:rsidRPr="00432ABC">
        <w:rPr>
          <w:rFonts w:ascii="Verdana" w:hAnsi="Verdana"/>
          <w:sz w:val="16"/>
          <w:szCs w:val="16"/>
        </w:rPr>
        <w:tab/>
        <w:t>El artículo 63.1 de la Convención.</w:t>
      </w:r>
    </w:p>
  </w:footnote>
  <w:footnote w:id="37">
    <w:p w14:paraId="64AA6155" w14:textId="55614F28" w:rsidR="00146958" w:rsidRPr="00432ABC" w:rsidRDefault="00146958">
      <w:pPr>
        <w:pStyle w:val="FootnoteText"/>
        <w:jc w:val="both"/>
        <w:rPr>
          <w:rFonts w:ascii="Verdana" w:hAnsi="Verdana"/>
          <w:sz w:val="16"/>
          <w:szCs w:val="16"/>
          <w:lang w:bidi="en-US"/>
        </w:rPr>
      </w:pPr>
      <w:r w:rsidRPr="00432ABC">
        <w:rPr>
          <w:rStyle w:val="FootnoteReference"/>
          <w:rFonts w:ascii="Verdana" w:eastAsia="Calibri" w:hAnsi="Verdana"/>
          <w:sz w:val="16"/>
          <w:szCs w:val="16"/>
        </w:rPr>
        <w:footnoteRef/>
      </w:r>
      <w:r w:rsidRPr="00432ABC">
        <w:rPr>
          <w:rFonts w:ascii="Verdana" w:hAnsi="Verdana"/>
          <w:sz w:val="16"/>
          <w:szCs w:val="16"/>
        </w:rPr>
        <w:tab/>
      </w:r>
      <w:r w:rsidRPr="00CD5C54">
        <w:rPr>
          <w:rFonts w:ascii="Verdana" w:hAnsi="Verdana"/>
          <w:i/>
          <w:sz w:val="16"/>
          <w:szCs w:val="16"/>
          <w:lang w:val="es-AR"/>
        </w:rPr>
        <w:t>Cfr.</w:t>
      </w:r>
      <w:r w:rsidRPr="002C462C">
        <w:rPr>
          <w:rFonts w:ascii="Verdana" w:hAnsi="Verdana"/>
          <w:sz w:val="16"/>
          <w:szCs w:val="16"/>
          <w:lang w:val="es-AR"/>
        </w:rPr>
        <w:t xml:space="preserve"> </w:t>
      </w:r>
      <w:r w:rsidRPr="002C462C">
        <w:rPr>
          <w:rFonts w:ascii="Verdana" w:hAnsi="Verdana" w:cs="Verdana-Italic"/>
          <w:i/>
          <w:iCs/>
          <w:sz w:val="16"/>
          <w:szCs w:val="16"/>
          <w:lang w:val="es-AR" w:bidi="en-US"/>
        </w:rPr>
        <w:t>Caso Myrna Mack Chang Vs. Guatemala</w:t>
      </w:r>
      <w:r w:rsidRPr="00286809">
        <w:rPr>
          <w:rFonts w:ascii="Verdana" w:hAnsi="Verdana" w:cs="Verdana-Italic"/>
          <w:i/>
          <w:iCs/>
          <w:sz w:val="16"/>
          <w:szCs w:val="16"/>
          <w:lang w:val="es-AR" w:bidi="en-US"/>
        </w:rPr>
        <w:t>. Fondo, Reparaciones y Costas.</w:t>
      </w:r>
      <w:r>
        <w:rPr>
          <w:rFonts w:ascii="Verdana" w:hAnsi="Verdana" w:cs="Verdana-Italic"/>
          <w:iCs/>
          <w:sz w:val="16"/>
          <w:szCs w:val="16"/>
          <w:lang w:val="es-AR" w:bidi="en-US"/>
        </w:rPr>
        <w:t xml:space="preserve"> </w:t>
      </w:r>
      <w:r w:rsidRPr="00432ABC">
        <w:rPr>
          <w:rFonts w:ascii="Verdana" w:hAnsi="Verdana"/>
          <w:sz w:val="16"/>
          <w:szCs w:val="16"/>
          <w:lang w:val="es-AR" w:bidi="en-US"/>
        </w:rPr>
        <w:t>Sentencia de 25 de noviembre de 2003. Serie C No. 101, párr</w:t>
      </w:r>
      <w:r w:rsidRPr="00432ABC">
        <w:rPr>
          <w:rFonts w:ascii="Verdana" w:hAnsi="Verdana" w:cs="Verdana-Italic"/>
          <w:i/>
          <w:iCs/>
          <w:sz w:val="16"/>
          <w:szCs w:val="16"/>
          <w:lang w:val="es-AR" w:bidi="en-US"/>
        </w:rPr>
        <w:t xml:space="preserve">. </w:t>
      </w:r>
      <w:r w:rsidRPr="00432ABC">
        <w:rPr>
          <w:rFonts w:ascii="Verdana" w:hAnsi="Verdana"/>
          <w:sz w:val="16"/>
          <w:szCs w:val="16"/>
          <w:lang w:val="es-AR" w:bidi="en-US"/>
        </w:rPr>
        <w:t xml:space="preserve">105, y </w:t>
      </w:r>
      <w:r w:rsidRPr="00432ABC">
        <w:rPr>
          <w:rFonts w:ascii="Verdana" w:hAnsi="Verdana"/>
          <w:i/>
          <w:sz w:val="16"/>
          <w:szCs w:val="16"/>
          <w:lang w:val="es-AR"/>
        </w:rPr>
        <w:t xml:space="preserve">Caso </w:t>
      </w:r>
      <w:r>
        <w:rPr>
          <w:rFonts w:ascii="Verdana" w:hAnsi="Verdana"/>
          <w:i/>
          <w:sz w:val="16"/>
          <w:szCs w:val="16"/>
          <w:lang w:val="es-AR"/>
        </w:rPr>
        <w:t>Poblete Vilches y otros Vs. Chile</w:t>
      </w:r>
      <w:r w:rsidRPr="00432ABC">
        <w:rPr>
          <w:rFonts w:ascii="Verdana" w:hAnsi="Verdana"/>
          <w:i/>
          <w:sz w:val="16"/>
          <w:szCs w:val="16"/>
          <w:lang w:val="es-AR"/>
        </w:rPr>
        <w:t>, supra</w:t>
      </w:r>
      <w:r w:rsidRPr="00432ABC">
        <w:rPr>
          <w:rFonts w:ascii="Verdana" w:hAnsi="Verdana"/>
          <w:sz w:val="16"/>
          <w:szCs w:val="16"/>
          <w:lang w:val="es-AR"/>
        </w:rPr>
        <w:t xml:space="preserve"> párr. 2</w:t>
      </w:r>
      <w:r>
        <w:rPr>
          <w:rFonts w:ascii="Verdana" w:hAnsi="Verdana"/>
          <w:sz w:val="16"/>
          <w:szCs w:val="16"/>
          <w:lang w:val="es-AR"/>
        </w:rPr>
        <w:t>6</w:t>
      </w:r>
      <w:r w:rsidRPr="00432ABC">
        <w:rPr>
          <w:rFonts w:ascii="Verdana" w:hAnsi="Verdana"/>
          <w:sz w:val="16"/>
          <w:szCs w:val="16"/>
          <w:lang w:val="es-AR"/>
        </w:rPr>
        <w:t>.</w:t>
      </w:r>
    </w:p>
  </w:footnote>
  <w:footnote w:id="38">
    <w:p w14:paraId="64AA6156" w14:textId="21F35529" w:rsidR="00146958" w:rsidRPr="006D530E" w:rsidRDefault="00146958" w:rsidP="006D530E">
      <w:pPr>
        <w:pStyle w:val="FootnoteText"/>
        <w:jc w:val="both"/>
        <w:rPr>
          <w:rFonts w:ascii="Verdana" w:hAnsi="Verdana"/>
          <w:sz w:val="16"/>
          <w:szCs w:val="16"/>
          <w:lang w:val="es-AR"/>
        </w:rPr>
      </w:pPr>
      <w:r w:rsidRPr="006D530E">
        <w:rPr>
          <w:rStyle w:val="FootnoteReference"/>
          <w:rFonts w:ascii="Verdana" w:hAnsi="Verdana"/>
          <w:sz w:val="16"/>
          <w:szCs w:val="16"/>
        </w:rPr>
        <w:footnoteRef/>
      </w:r>
      <w:r w:rsidRPr="006D530E">
        <w:rPr>
          <w:rFonts w:ascii="Verdana" w:hAnsi="Verdana"/>
          <w:sz w:val="16"/>
          <w:szCs w:val="16"/>
          <w:lang w:val="es-AR"/>
        </w:rPr>
        <w:t xml:space="preserve"> </w:t>
      </w:r>
      <w:r w:rsidRPr="006D530E">
        <w:rPr>
          <w:rFonts w:ascii="Verdana" w:hAnsi="Verdana"/>
          <w:sz w:val="16"/>
          <w:szCs w:val="16"/>
          <w:lang w:val="es-AR"/>
        </w:rPr>
        <w:tab/>
        <w:t xml:space="preserve">Publicada en el Diario Oficial de la Federación el 2 de abril de 2013. </w:t>
      </w:r>
    </w:p>
  </w:footnote>
  <w:footnote w:id="39">
    <w:p w14:paraId="337D7744" w14:textId="2023BF08" w:rsidR="00146958" w:rsidRPr="008D0846" w:rsidRDefault="00146958" w:rsidP="008D0846">
      <w:pPr>
        <w:pStyle w:val="FootnoteText"/>
        <w:jc w:val="both"/>
        <w:rPr>
          <w:rFonts w:ascii="Verdana" w:hAnsi="Verdana"/>
          <w:sz w:val="16"/>
          <w:szCs w:val="16"/>
        </w:rPr>
      </w:pPr>
      <w:r w:rsidRPr="008D0846">
        <w:rPr>
          <w:rStyle w:val="FootnoteReference"/>
          <w:rFonts w:ascii="Verdana" w:hAnsi="Verdana"/>
          <w:sz w:val="16"/>
          <w:szCs w:val="16"/>
        </w:rPr>
        <w:footnoteRef/>
      </w:r>
      <w:r w:rsidRPr="008D0846">
        <w:rPr>
          <w:rFonts w:ascii="Verdana" w:hAnsi="Verdana"/>
          <w:sz w:val="16"/>
          <w:szCs w:val="16"/>
        </w:rPr>
        <w:t xml:space="preserve"> </w:t>
      </w:r>
      <w:r w:rsidRPr="008D0846">
        <w:rPr>
          <w:rFonts w:ascii="Verdana" w:hAnsi="Verdana"/>
          <w:sz w:val="16"/>
          <w:szCs w:val="16"/>
        </w:rPr>
        <w:tab/>
      </w:r>
      <w:r w:rsidRPr="006D530E">
        <w:rPr>
          <w:rFonts w:ascii="Verdana" w:hAnsi="Verdana"/>
          <w:sz w:val="16"/>
          <w:szCs w:val="16"/>
        </w:rPr>
        <w:t>Ley General en Materia de Desaparición Forzada de Personas, Desaparición Cometida por Particulares y del Sistema Nacional de Búsqueda de Personas, publicada en el Diario Oficial de la Federación el 17 de noviembre de 2017.</w:t>
      </w:r>
    </w:p>
  </w:footnote>
  <w:footnote w:id="40">
    <w:p w14:paraId="64AA6157" w14:textId="0ED76C06" w:rsidR="00146958" w:rsidRPr="00B232A7" w:rsidRDefault="00146958" w:rsidP="00B232A7">
      <w:pPr>
        <w:pStyle w:val="FootnoteText"/>
        <w:jc w:val="both"/>
        <w:rPr>
          <w:rFonts w:ascii="Verdana" w:hAnsi="Verdana"/>
          <w:sz w:val="16"/>
          <w:szCs w:val="16"/>
          <w:lang w:val="es-CR"/>
        </w:rPr>
      </w:pPr>
      <w:r w:rsidRPr="00B232A7">
        <w:rPr>
          <w:rStyle w:val="FootnoteReference"/>
          <w:rFonts w:ascii="Verdana" w:hAnsi="Verdana"/>
          <w:sz w:val="16"/>
          <w:szCs w:val="16"/>
        </w:rPr>
        <w:footnoteRef/>
      </w:r>
      <w:r w:rsidRPr="00B232A7">
        <w:rPr>
          <w:rFonts w:ascii="Verdana" w:hAnsi="Verdana"/>
          <w:sz w:val="16"/>
          <w:szCs w:val="16"/>
        </w:rPr>
        <w:t xml:space="preserve"> </w:t>
      </w:r>
      <w:r w:rsidRPr="00B232A7">
        <w:rPr>
          <w:rFonts w:ascii="Verdana" w:hAnsi="Verdana"/>
          <w:sz w:val="16"/>
          <w:szCs w:val="16"/>
        </w:rPr>
        <w:tab/>
      </w:r>
      <w:r w:rsidRPr="00CD5C54">
        <w:rPr>
          <w:rFonts w:ascii="Verdana" w:hAnsi="Verdana"/>
          <w:i/>
          <w:sz w:val="16"/>
          <w:szCs w:val="16"/>
        </w:rPr>
        <w:t>Cfr.</w:t>
      </w:r>
      <w:r w:rsidRPr="00570B7B">
        <w:rPr>
          <w:rFonts w:ascii="Verdana" w:hAnsi="Verdana"/>
          <w:i/>
          <w:sz w:val="16"/>
          <w:szCs w:val="16"/>
        </w:rPr>
        <w:t xml:space="preserve"> Caso de la "Masacre de Mapiripán" Vs. Colombia. Fondo, Reparaciones y Costas.</w:t>
      </w:r>
      <w:r w:rsidRPr="00570B7B">
        <w:rPr>
          <w:rFonts w:ascii="Verdana" w:hAnsi="Verdana"/>
          <w:sz w:val="16"/>
          <w:szCs w:val="16"/>
        </w:rPr>
        <w:t xml:space="preserve"> Sentencia de 15 de septiembre de 2005. Serie C No. 134, párr. 69, y </w:t>
      </w:r>
      <w:r w:rsidRPr="00B232A7">
        <w:rPr>
          <w:rStyle w:val="Strong"/>
          <w:rFonts w:ascii="Verdana" w:eastAsia="MS ????" w:hAnsi="Verdana"/>
          <w:b w:val="0"/>
          <w:i/>
          <w:color w:val="000000"/>
          <w:sz w:val="16"/>
          <w:szCs w:val="16"/>
          <w:shd w:val="clear" w:color="auto" w:fill="FFFFFF"/>
        </w:rPr>
        <w:t xml:space="preserve">Caso </w:t>
      </w:r>
      <w:r w:rsidRPr="008D0846">
        <w:rPr>
          <w:rStyle w:val="Strong"/>
          <w:rFonts w:ascii="Verdana" w:eastAsia="MS ????" w:hAnsi="Verdana"/>
          <w:b w:val="0"/>
          <w:i/>
          <w:color w:val="000000"/>
          <w:sz w:val="16"/>
          <w:szCs w:val="16"/>
          <w:shd w:val="clear" w:color="auto" w:fill="FFFFFF"/>
        </w:rPr>
        <w:t>López Soto y otros Vs. Venezuela, supra</w:t>
      </w:r>
      <w:r>
        <w:rPr>
          <w:rStyle w:val="Strong"/>
          <w:rFonts w:ascii="Verdana" w:eastAsia="MS ????" w:hAnsi="Verdana"/>
          <w:b w:val="0"/>
          <w:color w:val="000000"/>
          <w:sz w:val="16"/>
          <w:szCs w:val="16"/>
          <w:shd w:val="clear" w:color="auto" w:fill="FFFFFF"/>
        </w:rPr>
        <w:t xml:space="preserve"> párr.35</w:t>
      </w:r>
      <w:r w:rsidRPr="00B232A7">
        <w:rPr>
          <w:rStyle w:val="Strong"/>
          <w:rFonts w:ascii="Verdana" w:eastAsia="MS ????" w:hAnsi="Verdana"/>
          <w:color w:val="000000"/>
          <w:sz w:val="16"/>
          <w:szCs w:val="16"/>
          <w:shd w:val="clear" w:color="auto" w:fill="FFFFFF"/>
        </w:rPr>
        <w:t>.</w:t>
      </w:r>
    </w:p>
  </w:footnote>
  <w:footnote w:id="41">
    <w:p w14:paraId="64AA6158" w14:textId="39CBFE48" w:rsidR="00146958" w:rsidRPr="00B232A7" w:rsidRDefault="00146958" w:rsidP="00B232A7">
      <w:pPr>
        <w:pStyle w:val="FootnoteText"/>
        <w:jc w:val="both"/>
        <w:rPr>
          <w:rFonts w:ascii="Verdana" w:hAnsi="Verdana"/>
          <w:b/>
          <w:sz w:val="16"/>
          <w:szCs w:val="16"/>
          <w:lang w:val="es-CR"/>
        </w:rPr>
      </w:pPr>
      <w:r w:rsidRPr="00B232A7">
        <w:rPr>
          <w:rStyle w:val="FootnoteReference"/>
          <w:rFonts w:ascii="Verdana" w:hAnsi="Verdana"/>
          <w:sz w:val="16"/>
          <w:szCs w:val="16"/>
        </w:rPr>
        <w:footnoteRef/>
      </w:r>
      <w:r w:rsidRPr="00B232A7">
        <w:rPr>
          <w:rFonts w:ascii="Verdana" w:hAnsi="Verdana"/>
          <w:sz w:val="16"/>
          <w:szCs w:val="16"/>
        </w:rPr>
        <w:t xml:space="preserve"> </w:t>
      </w:r>
      <w:r w:rsidRPr="00B232A7">
        <w:rPr>
          <w:rFonts w:ascii="Verdana" w:hAnsi="Verdana"/>
          <w:sz w:val="16"/>
          <w:szCs w:val="16"/>
        </w:rPr>
        <w:tab/>
      </w:r>
      <w:r w:rsidRPr="00CD5C54">
        <w:rPr>
          <w:rFonts w:ascii="Verdana" w:hAnsi="Verdana"/>
          <w:i/>
          <w:sz w:val="16"/>
          <w:szCs w:val="16"/>
        </w:rPr>
        <w:t>Cfr.</w:t>
      </w:r>
      <w:r w:rsidRPr="00570B7B">
        <w:rPr>
          <w:rFonts w:ascii="Verdana" w:hAnsi="Verdana"/>
          <w:i/>
          <w:sz w:val="16"/>
          <w:szCs w:val="16"/>
        </w:rPr>
        <w:t xml:space="preserve"> Caso de la Masacre de La Rochela Vs. Colombia. Fondo, Reparaciones y Costas. Sentencia de 11 de mayo de 2007. Serie C No. 163</w:t>
      </w:r>
      <w:r w:rsidRPr="00B232A7">
        <w:rPr>
          <w:rFonts w:ascii="Verdana" w:hAnsi="Verdana"/>
          <w:sz w:val="16"/>
          <w:szCs w:val="16"/>
        </w:rPr>
        <w:t>, párr. 54, y</w:t>
      </w:r>
      <w:r w:rsidRPr="00B232A7">
        <w:rPr>
          <w:rStyle w:val="Strong"/>
          <w:rFonts w:ascii="Verdana" w:eastAsia="MS ????" w:hAnsi="Verdana"/>
          <w:b w:val="0"/>
          <w:i/>
          <w:color w:val="000000"/>
          <w:sz w:val="16"/>
          <w:szCs w:val="16"/>
          <w:shd w:val="clear" w:color="auto" w:fill="FFFFFF"/>
        </w:rPr>
        <w:t xml:space="preserve"> Caso</w:t>
      </w:r>
      <w:r>
        <w:rPr>
          <w:rStyle w:val="Strong"/>
          <w:rFonts w:ascii="Verdana" w:eastAsia="MS ????" w:hAnsi="Verdana"/>
          <w:b w:val="0"/>
          <w:i/>
          <w:color w:val="000000"/>
          <w:sz w:val="16"/>
          <w:szCs w:val="16"/>
          <w:shd w:val="clear" w:color="auto" w:fill="FFFFFF"/>
        </w:rPr>
        <w:t xml:space="preserve"> López Soto y otros Vs. Venezuela,</w:t>
      </w:r>
      <w:r w:rsidRPr="00B232A7">
        <w:rPr>
          <w:rStyle w:val="Strong"/>
          <w:rFonts w:ascii="Verdana" w:eastAsia="MS ????" w:hAnsi="Verdana"/>
          <w:b w:val="0"/>
          <w:i/>
          <w:color w:val="000000"/>
          <w:sz w:val="16"/>
          <w:szCs w:val="16"/>
          <w:shd w:val="clear" w:color="auto" w:fill="FFFFFF"/>
        </w:rPr>
        <w:t xml:space="preserve"> supra</w:t>
      </w:r>
      <w:r w:rsidRPr="00B232A7">
        <w:rPr>
          <w:rStyle w:val="Strong"/>
          <w:rFonts w:ascii="Verdana" w:eastAsia="MS ????" w:hAnsi="Verdana"/>
          <w:b w:val="0"/>
          <w:color w:val="000000"/>
          <w:sz w:val="16"/>
          <w:szCs w:val="16"/>
          <w:shd w:val="clear" w:color="auto" w:fill="FFFFFF"/>
        </w:rPr>
        <w:t xml:space="preserve"> párr. 3</w:t>
      </w:r>
      <w:r>
        <w:rPr>
          <w:rStyle w:val="Strong"/>
          <w:rFonts w:ascii="Verdana" w:eastAsia="MS ????" w:hAnsi="Verdana"/>
          <w:b w:val="0"/>
          <w:color w:val="000000"/>
          <w:sz w:val="16"/>
          <w:szCs w:val="16"/>
          <w:shd w:val="clear" w:color="auto" w:fill="FFFFFF"/>
        </w:rPr>
        <w:t>6</w:t>
      </w:r>
      <w:r w:rsidRPr="00B232A7">
        <w:rPr>
          <w:rStyle w:val="Strong"/>
          <w:rFonts w:ascii="Verdana" w:eastAsia="MS ????" w:hAnsi="Verdana"/>
          <w:b w:val="0"/>
          <w:color w:val="000000"/>
          <w:sz w:val="16"/>
          <w:szCs w:val="16"/>
          <w:shd w:val="clear" w:color="auto" w:fill="FFFFFF"/>
        </w:rPr>
        <w:t>.</w:t>
      </w:r>
    </w:p>
  </w:footnote>
  <w:footnote w:id="42">
    <w:p w14:paraId="64AA6159" w14:textId="7191F9FB" w:rsidR="00146958" w:rsidRPr="009F0486" w:rsidRDefault="00146958" w:rsidP="00B232A7">
      <w:pPr>
        <w:pStyle w:val="FootnoteText"/>
        <w:jc w:val="both"/>
        <w:rPr>
          <w:rFonts w:ascii="Verdana" w:hAnsi="Verdana"/>
          <w:sz w:val="16"/>
          <w:szCs w:val="16"/>
        </w:rPr>
      </w:pPr>
      <w:r w:rsidRPr="00B232A7">
        <w:rPr>
          <w:rStyle w:val="FootnoteReference"/>
          <w:rFonts w:ascii="Verdana" w:eastAsia="Calibri" w:hAnsi="Verdana"/>
          <w:sz w:val="16"/>
          <w:szCs w:val="16"/>
        </w:rPr>
        <w:footnoteRef/>
      </w:r>
      <w:r w:rsidRPr="00B232A7">
        <w:rPr>
          <w:rFonts w:ascii="Verdana" w:hAnsi="Verdana"/>
          <w:sz w:val="16"/>
          <w:szCs w:val="16"/>
        </w:rPr>
        <w:tab/>
      </w:r>
      <w:r w:rsidRPr="00CD5C54">
        <w:rPr>
          <w:rFonts w:ascii="Verdana" w:hAnsi="Verdana"/>
          <w:i/>
          <w:sz w:val="16"/>
          <w:szCs w:val="16"/>
        </w:rPr>
        <w:t>Cfr.</w:t>
      </w:r>
      <w:r w:rsidRPr="008D0846">
        <w:rPr>
          <w:rFonts w:ascii="Verdana" w:hAnsi="Verdana"/>
          <w:i/>
          <w:sz w:val="16"/>
          <w:szCs w:val="16"/>
        </w:rPr>
        <w:t xml:space="preserve"> </w:t>
      </w:r>
      <w:r w:rsidRPr="008D0846">
        <w:rPr>
          <w:rFonts w:ascii="Verdana" w:hAnsi="Verdana" w:cs="Courier New"/>
          <w:i/>
          <w:sz w:val="16"/>
          <w:szCs w:val="16"/>
        </w:rPr>
        <w:t>Caso Velásquez Rodríguez Vs. Honduras. Fondo</w:t>
      </w:r>
      <w:r>
        <w:rPr>
          <w:rFonts w:ascii="Verdana" w:hAnsi="Verdana" w:cs="Courier New"/>
          <w:sz w:val="16"/>
          <w:szCs w:val="16"/>
        </w:rPr>
        <w:t>. Sentencia de 29 de julio de 1988. Serie C No. 4,</w:t>
      </w:r>
      <w:r w:rsidRPr="00570B7B">
        <w:rPr>
          <w:rFonts w:ascii="Verdana" w:hAnsi="Verdana" w:cs="Courier New"/>
          <w:sz w:val="16"/>
          <w:szCs w:val="16"/>
        </w:rPr>
        <w:t xml:space="preserve"> párr. 140, </w:t>
      </w:r>
      <w:r w:rsidRPr="00570B7B">
        <w:rPr>
          <w:rFonts w:ascii="Verdana" w:hAnsi="Verdana"/>
          <w:sz w:val="16"/>
          <w:szCs w:val="16"/>
        </w:rPr>
        <w:t xml:space="preserve">y </w:t>
      </w:r>
      <w:r w:rsidRPr="008D0846">
        <w:rPr>
          <w:rFonts w:ascii="Verdana" w:hAnsi="Verdana"/>
          <w:i/>
          <w:sz w:val="16"/>
          <w:szCs w:val="16"/>
        </w:rPr>
        <w:t>Caso Terrones Silva y otros Vs. Perú. Excepciones Preliminares, Fondo, Reparaciones y Costas</w:t>
      </w:r>
      <w:r w:rsidRPr="009F0486">
        <w:rPr>
          <w:rFonts w:ascii="Verdana" w:hAnsi="Verdana"/>
          <w:sz w:val="16"/>
          <w:szCs w:val="16"/>
        </w:rPr>
        <w:t xml:space="preserve">. Sentencia de </w:t>
      </w:r>
      <w:r>
        <w:rPr>
          <w:rFonts w:ascii="Verdana" w:hAnsi="Verdana"/>
          <w:sz w:val="16"/>
          <w:szCs w:val="16"/>
        </w:rPr>
        <w:t>26</w:t>
      </w:r>
      <w:r w:rsidRPr="009F0486">
        <w:rPr>
          <w:rFonts w:ascii="Verdana" w:hAnsi="Verdana"/>
          <w:sz w:val="16"/>
          <w:szCs w:val="16"/>
        </w:rPr>
        <w:t xml:space="preserve"> de </w:t>
      </w:r>
      <w:r>
        <w:rPr>
          <w:rFonts w:ascii="Verdana" w:hAnsi="Verdana"/>
          <w:sz w:val="16"/>
          <w:szCs w:val="16"/>
        </w:rPr>
        <w:t>septiembre</w:t>
      </w:r>
      <w:r w:rsidRPr="009F0486">
        <w:rPr>
          <w:rFonts w:ascii="Verdana" w:hAnsi="Verdana"/>
          <w:sz w:val="16"/>
          <w:szCs w:val="16"/>
        </w:rPr>
        <w:t xml:space="preserve"> de 2018. Serie C No. 3</w:t>
      </w:r>
      <w:r>
        <w:rPr>
          <w:rFonts w:ascii="Verdana" w:hAnsi="Verdana"/>
          <w:sz w:val="16"/>
          <w:szCs w:val="16"/>
        </w:rPr>
        <w:t>60</w:t>
      </w:r>
      <w:r w:rsidRPr="009F0486">
        <w:rPr>
          <w:rFonts w:ascii="Verdana" w:hAnsi="Verdana"/>
          <w:sz w:val="16"/>
          <w:szCs w:val="16"/>
        </w:rPr>
        <w:t xml:space="preserve">, párr. </w:t>
      </w:r>
      <w:r>
        <w:rPr>
          <w:rFonts w:ascii="Verdana" w:hAnsi="Verdana"/>
          <w:sz w:val="16"/>
          <w:szCs w:val="16"/>
        </w:rPr>
        <w:t>40</w:t>
      </w:r>
      <w:r w:rsidRPr="009F0486">
        <w:rPr>
          <w:rFonts w:ascii="Verdana" w:hAnsi="Verdana"/>
          <w:sz w:val="16"/>
          <w:szCs w:val="16"/>
        </w:rPr>
        <w:t>.</w:t>
      </w:r>
    </w:p>
  </w:footnote>
  <w:footnote w:id="43">
    <w:p w14:paraId="64AA615A" w14:textId="347551C9" w:rsidR="00146958" w:rsidRPr="00B232A7" w:rsidRDefault="00146958" w:rsidP="00570B7B">
      <w:pPr>
        <w:pStyle w:val="FootnoteText"/>
        <w:jc w:val="both"/>
        <w:rPr>
          <w:rFonts w:ascii="Verdana" w:hAnsi="Verdana"/>
          <w:sz w:val="16"/>
          <w:szCs w:val="16"/>
        </w:rPr>
      </w:pPr>
      <w:r w:rsidRPr="00B232A7">
        <w:rPr>
          <w:rStyle w:val="FootnoteReference"/>
          <w:rFonts w:ascii="Verdana" w:hAnsi="Verdana"/>
          <w:sz w:val="16"/>
          <w:szCs w:val="16"/>
        </w:rPr>
        <w:footnoteRef/>
      </w:r>
      <w:r w:rsidRPr="00B232A7">
        <w:rPr>
          <w:rFonts w:ascii="Verdana" w:hAnsi="Verdana"/>
          <w:sz w:val="16"/>
          <w:szCs w:val="16"/>
        </w:rPr>
        <w:t xml:space="preserve"> </w:t>
      </w:r>
      <w:r w:rsidRPr="00B232A7">
        <w:rPr>
          <w:rFonts w:ascii="Verdana" w:hAnsi="Verdana"/>
          <w:sz w:val="16"/>
          <w:szCs w:val="16"/>
        </w:rPr>
        <w:tab/>
      </w:r>
      <w:r w:rsidRPr="00CD5C54">
        <w:rPr>
          <w:rFonts w:ascii="Verdana" w:hAnsi="Verdana"/>
          <w:i/>
          <w:sz w:val="16"/>
          <w:szCs w:val="16"/>
        </w:rPr>
        <w:t>Cfr.</w:t>
      </w:r>
      <w:r w:rsidRPr="008D0846">
        <w:rPr>
          <w:rFonts w:ascii="Verdana" w:hAnsi="Verdana"/>
          <w:i/>
          <w:sz w:val="16"/>
          <w:szCs w:val="16"/>
        </w:rPr>
        <w:t xml:space="preserve"> Caso Carvajal Carvajal y otros Vs. Colombia. Fondo, Reparaciones y Costas</w:t>
      </w:r>
      <w:r w:rsidRPr="00570B7B">
        <w:rPr>
          <w:rFonts w:ascii="Verdana" w:hAnsi="Verdana"/>
          <w:sz w:val="16"/>
          <w:szCs w:val="16"/>
        </w:rPr>
        <w:t>. Sentencia de 13 de marzo de 2018. Serie C No.</w:t>
      </w:r>
      <w:r w:rsidRPr="00B232A7">
        <w:rPr>
          <w:rFonts w:ascii="Verdana" w:hAnsi="Verdana"/>
          <w:sz w:val="16"/>
          <w:szCs w:val="16"/>
        </w:rPr>
        <w:t xml:space="preserve"> 352, párr. 18</w:t>
      </w:r>
      <w:r>
        <w:rPr>
          <w:rFonts w:ascii="Verdana" w:hAnsi="Verdana"/>
          <w:sz w:val="16"/>
          <w:szCs w:val="16"/>
        </w:rPr>
        <w:t xml:space="preserve">, y </w:t>
      </w:r>
      <w:r w:rsidRPr="008D0846">
        <w:rPr>
          <w:rFonts w:ascii="Verdana" w:hAnsi="Verdana"/>
          <w:i/>
          <w:sz w:val="16"/>
          <w:szCs w:val="16"/>
        </w:rPr>
        <w:t>Caso Terrones Silva y otros Vs. Perú, supra</w:t>
      </w:r>
      <w:r>
        <w:rPr>
          <w:rFonts w:ascii="Verdana" w:hAnsi="Verdana"/>
          <w:sz w:val="16"/>
          <w:szCs w:val="16"/>
        </w:rPr>
        <w:t xml:space="preserve"> párr.41.</w:t>
      </w:r>
    </w:p>
  </w:footnote>
  <w:footnote w:id="44">
    <w:p w14:paraId="64AA615B" w14:textId="7B409BD4" w:rsidR="00146958" w:rsidRPr="00B232A7" w:rsidRDefault="00146958" w:rsidP="00570B7B">
      <w:pPr>
        <w:pStyle w:val="FootnoteText"/>
        <w:jc w:val="both"/>
        <w:rPr>
          <w:rFonts w:ascii="Verdana" w:hAnsi="Verdana"/>
          <w:sz w:val="16"/>
          <w:szCs w:val="16"/>
        </w:rPr>
      </w:pPr>
      <w:r w:rsidRPr="00B232A7">
        <w:rPr>
          <w:rStyle w:val="FootnoteReference"/>
          <w:rFonts w:ascii="Verdana" w:hAnsi="Verdana"/>
          <w:sz w:val="16"/>
          <w:szCs w:val="16"/>
        </w:rPr>
        <w:footnoteRef/>
      </w:r>
      <w:r w:rsidRPr="00B232A7">
        <w:rPr>
          <w:rFonts w:ascii="Verdana" w:hAnsi="Verdana"/>
          <w:sz w:val="16"/>
          <w:szCs w:val="16"/>
        </w:rPr>
        <w:t xml:space="preserve"> </w:t>
      </w:r>
      <w:r w:rsidRPr="00B232A7">
        <w:rPr>
          <w:rFonts w:ascii="Verdana" w:hAnsi="Verdana"/>
          <w:sz w:val="16"/>
          <w:szCs w:val="16"/>
        </w:rPr>
        <w:tab/>
      </w:r>
      <w:r w:rsidRPr="00570B7B">
        <w:rPr>
          <w:rFonts w:ascii="Verdana" w:hAnsi="Verdana"/>
          <w:bCs/>
          <w:sz w:val="16"/>
          <w:szCs w:val="16"/>
        </w:rPr>
        <w:t>Esos documentos consistieron en los Informes del Estado de México ante el Comité de Desaparición Forzada del Alto Comisionado para los Derechos Humanos de las Naciones Unidas de los años 2014, 2015, 2016</w:t>
      </w:r>
      <w:r>
        <w:rPr>
          <w:rFonts w:ascii="Verdana" w:hAnsi="Verdana"/>
          <w:bCs/>
          <w:sz w:val="16"/>
          <w:szCs w:val="16"/>
        </w:rPr>
        <w:t>,</w:t>
      </w:r>
      <w:r w:rsidRPr="00570B7B">
        <w:rPr>
          <w:rFonts w:ascii="Verdana" w:hAnsi="Verdana"/>
          <w:bCs/>
          <w:sz w:val="16"/>
          <w:szCs w:val="16"/>
        </w:rPr>
        <w:t xml:space="preserve"> </w:t>
      </w:r>
      <w:r>
        <w:rPr>
          <w:rFonts w:ascii="Verdana" w:hAnsi="Verdana"/>
          <w:bCs/>
          <w:sz w:val="16"/>
          <w:szCs w:val="16"/>
        </w:rPr>
        <w:t>201</w:t>
      </w:r>
      <w:r w:rsidRPr="00570B7B">
        <w:rPr>
          <w:rFonts w:ascii="Verdana" w:hAnsi="Verdana"/>
          <w:bCs/>
          <w:sz w:val="16"/>
          <w:szCs w:val="16"/>
        </w:rPr>
        <w:t>7</w:t>
      </w:r>
      <w:r>
        <w:rPr>
          <w:rFonts w:ascii="Verdana" w:hAnsi="Verdana"/>
          <w:bCs/>
          <w:sz w:val="16"/>
          <w:szCs w:val="16"/>
        </w:rPr>
        <w:t xml:space="preserve"> y</w:t>
      </w:r>
      <w:r w:rsidRPr="00570B7B">
        <w:rPr>
          <w:rFonts w:ascii="Verdana" w:hAnsi="Verdana"/>
          <w:bCs/>
          <w:sz w:val="16"/>
          <w:szCs w:val="16"/>
        </w:rPr>
        <w:t xml:space="preserve"> 2018.</w:t>
      </w:r>
    </w:p>
  </w:footnote>
  <w:footnote w:id="45">
    <w:p w14:paraId="3553F000" w14:textId="2620D484" w:rsidR="00146958" w:rsidRPr="008D0846" w:rsidRDefault="00146958" w:rsidP="008D0846">
      <w:pPr>
        <w:pStyle w:val="FootnoteText"/>
        <w:jc w:val="both"/>
        <w:rPr>
          <w:rFonts w:ascii="Verdana" w:hAnsi="Verdana"/>
          <w:sz w:val="16"/>
          <w:szCs w:val="16"/>
        </w:rPr>
      </w:pPr>
      <w:r w:rsidRPr="008D0846">
        <w:rPr>
          <w:rStyle w:val="FootnoteReference"/>
          <w:rFonts w:ascii="Verdana" w:hAnsi="Verdana"/>
          <w:sz w:val="16"/>
          <w:szCs w:val="16"/>
        </w:rPr>
        <w:footnoteRef/>
      </w:r>
      <w:r w:rsidRPr="008D0846">
        <w:rPr>
          <w:rFonts w:ascii="Verdana" w:hAnsi="Verdana"/>
          <w:sz w:val="16"/>
          <w:szCs w:val="16"/>
        </w:rPr>
        <w:t xml:space="preserve"> </w:t>
      </w:r>
      <w:r w:rsidRPr="008D0846">
        <w:rPr>
          <w:rFonts w:ascii="Verdana" w:hAnsi="Verdana"/>
          <w:sz w:val="16"/>
          <w:szCs w:val="16"/>
        </w:rPr>
        <w:tab/>
        <w:t>Ley de Seguridad Interior, publicada en el Diario Oficial de la Federación el 21 de diciembre de 2017. Disponible en</w:t>
      </w:r>
      <w:r w:rsidRPr="00B232A7">
        <w:rPr>
          <w:rFonts w:ascii="Verdana" w:hAnsi="Verdana"/>
          <w:sz w:val="16"/>
          <w:szCs w:val="16"/>
        </w:rPr>
        <w:t xml:space="preserve">: </w:t>
      </w:r>
      <w:hyperlink r:id="rId4" w:history="1">
        <w:r w:rsidRPr="00B232A7">
          <w:rPr>
            <w:rStyle w:val="Hyperlink"/>
            <w:rFonts w:ascii="Verdana" w:hAnsi="Verdana"/>
            <w:sz w:val="16"/>
            <w:szCs w:val="16"/>
          </w:rPr>
          <w:t>http://www.dof.gob.mx/nota_detalle.php?codigo=5508716&amp;fecha=21/12/2017</w:t>
        </w:r>
      </w:hyperlink>
      <w:r w:rsidRPr="00B232A7">
        <w:rPr>
          <w:rStyle w:val="Hyperlink"/>
          <w:rFonts w:ascii="Verdana" w:hAnsi="Verdana"/>
          <w:sz w:val="16"/>
          <w:szCs w:val="16"/>
        </w:rPr>
        <w:t>.</w:t>
      </w:r>
    </w:p>
  </w:footnote>
  <w:footnote w:id="46">
    <w:p w14:paraId="2A1FA7E2" w14:textId="0CC9576F" w:rsidR="00146958" w:rsidRPr="008D0846" w:rsidRDefault="00146958" w:rsidP="008D0846">
      <w:pPr>
        <w:pStyle w:val="FootnoteText"/>
        <w:jc w:val="both"/>
        <w:rPr>
          <w:rFonts w:ascii="Verdana" w:hAnsi="Verdana"/>
          <w:sz w:val="16"/>
          <w:szCs w:val="16"/>
        </w:rPr>
      </w:pPr>
      <w:r w:rsidRPr="008D0846">
        <w:rPr>
          <w:rStyle w:val="FootnoteReference"/>
          <w:rFonts w:ascii="Verdana" w:hAnsi="Verdana"/>
          <w:sz w:val="16"/>
          <w:szCs w:val="16"/>
        </w:rPr>
        <w:footnoteRef/>
      </w:r>
      <w:r w:rsidRPr="008D0846">
        <w:rPr>
          <w:rFonts w:ascii="Verdana" w:hAnsi="Verdana"/>
          <w:sz w:val="16"/>
          <w:szCs w:val="16"/>
        </w:rPr>
        <w:t xml:space="preserve">  </w:t>
      </w:r>
      <w:r w:rsidRPr="008D0846">
        <w:rPr>
          <w:rFonts w:ascii="Verdana" w:hAnsi="Verdana"/>
          <w:sz w:val="16"/>
          <w:szCs w:val="16"/>
        </w:rPr>
        <w:tab/>
        <w:t xml:space="preserve">Legislación disponible en: </w:t>
      </w:r>
      <w:hyperlink r:id="rId5" w:history="1">
        <w:r w:rsidRPr="00B232A7">
          <w:rPr>
            <w:rStyle w:val="Hyperlink"/>
            <w:rFonts w:ascii="Verdana" w:hAnsi="Verdana"/>
            <w:bCs/>
            <w:sz w:val="16"/>
            <w:szCs w:val="16"/>
          </w:rPr>
          <w:t>http://www.internet2.scjn.gob.mx/red2/comunicados/noticia.asp?id=5794</w:t>
        </w:r>
      </w:hyperlink>
    </w:p>
  </w:footnote>
  <w:footnote w:id="47">
    <w:p w14:paraId="488362A4" w14:textId="1758DDDB" w:rsidR="00146958" w:rsidRPr="008D0846" w:rsidRDefault="00146958" w:rsidP="008D0846">
      <w:pPr>
        <w:pStyle w:val="FootnoteText"/>
        <w:jc w:val="both"/>
        <w:rPr>
          <w:rFonts w:ascii="Verdana" w:hAnsi="Verdana"/>
          <w:sz w:val="16"/>
          <w:szCs w:val="16"/>
        </w:rPr>
      </w:pPr>
      <w:r w:rsidRPr="008D0846">
        <w:rPr>
          <w:rStyle w:val="FootnoteReference"/>
          <w:rFonts w:ascii="Verdana" w:hAnsi="Verdana"/>
          <w:sz w:val="16"/>
          <w:szCs w:val="16"/>
        </w:rPr>
        <w:footnoteRef/>
      </w:r>
      <w:r w:rsidRPr="008D0846">
        <w:rPr>
          <w:rFonts w:ascii="Verdana" w:hAnsi="Verdana"/>
          <w:sz w:val="16"/>
          <w:szCs w:val="16"/>
        </w:rPr>
        <w:t xml:space="preserve"> </w:t>
      </w:r>
      <w:r w:rsidRPr="008D0846">
        <w:rPr>
          <w:rFonts w:ascii="Verdana" w:hAnsi="Verdana"/>
          <w:sz w:val="16"/>
          <w:szCs w:val="16"/>
        </w:rPr>
        <w:tab/>
      </w:r>
      <w:r>
        <w:rPr>
          <w:rFonts w:ascii="Verdana" w:hAnsi="Verdana"/>
          <w:sz w:val="16"/>
          <w:szCs w:val="16"/>
        </w:rPr>
        <w:t>Disponible</w:t>
      </w:r>
      <w:r w:rsidRPr="008D0846">
        <w:rPr>
          <w:rFonts w:ascii="Verdana" w:hAnsi="Verdana"/>
          <w:sz w:val="16"/>
          <w:szCs w:val="16"/>
        </w:rPr>
        <w:t xml:space="preserve"> en: </w:t>
      </w:r>
      <w:hyperlink r:id="rId6" w:history="1">
        <w:r w:rsidRPr="008D0846">
          <w:rPr>
            <w:rStyle w:val="Hyperlink"/>
            <w:rFonts w:ascii="Verdana" w:hAnsi="Verdana"/>
            <w:sz w:val="16"/>
            <w:szCs w:val="16"/>
          </w:rPr>
          <w:t>https://lopezobrador.org.mx/wp-content/uploads/2018/11/Plan-Nacional-de-Paz-y-Seguridad_.pdf</w:t>
        </w:r>
      </w:hyperlink>
    </w:p>
  </w:footnote>
  <w:footnote w:id="48">
    <w:p w14:paraId="61CD569E" w14:textId="156CA724" w:rsidR="00146958" w:rsidRPr="008D0846" w:rsidRDefault="00146958" w:rsidP="00583119">
      <w:pPr>
        <w:spacing w:after="0" w:line="240" w:lineRule="auto"/>
        <w:jc w:val="both"/>
        <w:rPr>
          <w:rFonts w:ascii="Verdana" w:eastAsia="PMingLiU" w:hAnsi="Verdana"/>
          <w:bCs/>
          <w:sz w:val="16"/>
          <w:szCs w:val="16"/>
        </w:rPr>
      </w:pPr>
      <w:r w:rsidRPr="008D0846">
        <w:rPr>
          <w:rStyle w:val="FootnoteReference"/>
          <w:rFonts w:ascii="Verdana" w:hAnsi="Verdana"/>
          <w:sz w:val="16"/>
          <w:szCs w:val="16"/>
        </w:rPr>
        <w:footnoteRef/>
      </w:r>
      <w:r w:rsidRPr="008D0846">
        <w:rPr>
          <w:rFonts w:ascii="Verdana" w:hAnsi="Verdana"/>
          <w:sz w:val="16"/>
          <w:szCs w:val="16"/>
        </w:rPr>
        <w:t xml:space="preserve"> </w:t>
      </w:r>
      <w:r w:rsidRPr="008D0846">
        <w:rPr>
          <w:rFonts w:ascii="Verdana" w:hAnsi="Verdana"/>
          <w:sz w:val="16"/>
          <w:szCs w:val="16"/>
        </w:rPr>
        <w:tab/>
        <w:t xml:space="preserve">Dicha iniciativa de reforma fue turnada a la Comisión de Puntos Constitucionales de la Cámara de Diputados para su estudio. </w:t>
      </w:r>
      <w:r w:rsidRPr="00CD5C54">
        <w:rPr>
          <w:rFonts w:ascii="Verdana" w:eastAsia="PMingLiU" w:hAnsi="Verdana"/>
          <w:bCs/>
          <w:i/>
          <w:sz w:val="16"/>
          <w:szCs w:val="16"/>
        </w:rPr>
        <w:t>Cfr.</w:t>
      </w:r>
      <w:r w:rsidRPr="008D0846">
        <w:rPr>
          <w:rFonts w:ascii="Verdana" w:eastAsia="PMingLiU" w:hAnsi="Verdana"/>
          <w:bCs/>
          <w:sz w:val="16"/>
          <w:szCs w:val="16"/>
        </w:rPr>
        <w:t xml:space="preserve"> Gaceta Parlamentaria, año XXI, número 5159-II, </w:t>
      </w:r>
      <w:r>
        <w:rPr>
          <w:rFonts w:ascii="Verdana" w:eastAsia="PMingLiU" w:hAnsi="Verdana"/>
          <w:bCs/>
          <w:sz w:val="16"/>
          <w:szCs w:val="16"/>
        </w:rPr>
        <w:t>20</w:t>
      </w:r>
      <w:r w:rsidRPr="008D0846">
        <w:rPr>
          <w:rFonts w:ascii="Verdana" w:eastAsia="PMingLiU" w:hAnsi="Verdana"/>
          <w:bCs/>
          <w:sz w:val="16"/>
          <w:szCs w:val="16"/>
        </w:rPr>
        <w:t xml:space="preserve"> de noviembre de 2018, disponible en: </w:t>
      </w:r>
      <w:hyperlink r:id="rId7" w:history="1">
        <w:r w:rsidRPr="008D0846">
          <w:rPr>
            <w:rStyle w:val="Hyperlink"/>
            <w:rFonts w:ascii="Verdana" w:eastAsia="PMingLiU" w:hAnsi="Verdana"/>
            <w:bCs/>
            <w:sz w:val="16"/>
            <w:szCs w:val="16"/>
          </w:rPr>
          <w:t>http://gaceta.diputados.gob.mx/Gaceta/64/2018/nov/20181120-II.html</w:t>
        </w:r>
      </w:hyperlink>
      <w:r w:rsidRPr="00531EF3">
        <w:rPr>
          <w:rFonts w:ascii="Verdana" w:eastAsia="PMingLiU" w:hAnsi="Verdana"/>
          <w:bCs/>
          <w:sz w:val="16"/>
          <w:szCs w:val="16"/>
        </w:rPr>
        <w:t xml:space="preserve">. </w:t>
      </w:r>
      <w:r w:rsidRPr="008D0846">
        <w:rPr>
          <w:rFonts w:ascii="Verdana" w:eastAsia="PMingLiU" w:hAnsi="Verdana"/>
          <w:bCs/>
          <w:sz w:val="16"/>
          <w:szCs w:val="16"/>
        </w:rPr>
        <w:t xml:space="preserve"> </w:t>
      </w:r>
    </w:p>
  </w:footnote>
  <w:footnote w:id="49">
    <w:p w14:paraId="0B03BE9D" w14:textId="3FAF64EC" w:rsidR="00146958" w:rsidRPr="00531EF3" w:rsidRDefault="00146958">
      <w:pPr>
        <w:pStyle w:val="FootnoteText"/>
        <w:jc w:val="both"/>
        <w:rPr>
          <w:rFonts w:ascii="Verdana" w:hAnsi="Verdana"/>
          <w:sz w:val="16"/>
          <w:szCs w:val="16"/>
        </w:rPr>
      </w:pPr>
      <w:r w:rsidRPr="008D0846">
        <w:rPr>
          <w:rStyle w:val="FootnoteReference"/>
          <w:rFonts w:ascii="Verdana" w:hAnsi="Verdana"/>
          <w:sz w:val="16"/>
          <w:szCs w:val="16"/>
        </w:rPr>
        <w:footnoteRef/>
      </w:r>
      <w:r w:rsidRPr="008D0846">
        <w:rPr>
          <w:rFonts w:ascii="Verdana" w:hAnsi="Verdana"/>
          <w:sz w:val="16"/>
          <w:szCs w:val="16"/>
        </w:rPr>
        <w:t xml:space="preserve"> </w:t>
      </w:r>
      <w:r w:rsidRPr="008D0846">
        <w:rPr>
          <w:rFonts w:ascii="Verdana" w:hAnsi="Verdana"/>
          <w:sz w:val="16"/>
          <w:szCs w:val="16"/>
        </w:rPr>
        <w:tab/>
      </w:r>
      <w:r w:rsidRPr="00531EF3">
        <w:rPr>
          <w:rFonts w:ascii="Verdana" w:hAnsi="Verdana"/>
          <w:sz w:val="16"/>
          <w:szCs w:val="16"/>
        </w:rPr>
        <w:t>En cuanto a la prueba rendida en audiencia pública, la Corte recibió las declaraciones de las presuntas víctimas Jaime Alvarado Herrera y María de Jesús Alvarado Espinoza, de la testigo propuesta por el Estado, Mariana Colín Ayala; así como los dictámenes de los peritos Federico Andreu Guzmán, propuesto por la Comisión; Salvador Salazar Gutiérrez, propuesto por las representantes, y Carlos Rodríguez Ulloa, propuesto por el Estado</w:t>
      </w:r>
      <w:r>
        <w:rPr>
          <w:rFonts w:ascii="Verdana" w:hAnsi="Verdana"/>
          <w:sz w:val="16"/>
          <w:szCs w:val="16"/>
        </w:rPr>
        <w:t xml:space="preserve"> (</w:t>
      </w:r>
      <w:r w:rsidRPr="00531EF3">
        <w:rPr>
          <w:rFonts w:ascii="Verdana" w:hAnsi="Verdana"/>
          <w:sz w:val="16"/>
          <w:szCs w:val="16"/>
        </w:rPr>
        <w:t>expediente de fondo, ff</w:t>
      </w:r>
      <w:r>
        <w:rPr>
          <w:rFonts w:ascii="Verdana" w:hAnsi="Verdana"/>
          <w:sz w:val="16"/>
          <w:szCs w:val="16"/>
        </w:rPr>
        <w:t>.</w:t>
      </w:r>
      <w:r w:rsidRPr="00531EF3">
        <w:rPr>
          <w:rFonts w:ascii="Verdana" w:hAnsi="Verdana"/>
          <w:sz w:val="16"/>
          <w:szCs w:val="16"/>
        </w:rPr>
        <w:t xml:space="preserve"> 918 y 1174</w:t>
      </w:r>
      <w:r>
        <w:rPr>
          <w:rFonts w:ascii="Verdana" w:hAnsi="Verdana"/>
          <w:sz w:val="16"/>
          <w:szCs w:val="16"/>
        </w:rPr>
        <w:t>)</w:t>
      </w:r>
      <w:r w:rsidRPr="00531EF3">
        <w:rPr>
          <w:rFonts w:ascii="Verdana" w:hAnsi="Verdana"/>
          <w:sz w:val="16"/>
          <w:szCs w:val="16"/>
        </w:rPr>
        <w:t>.</w:t>
      </w:r>
    </w:p>
  </w:footnote>
  <w:footnote w:id="50">
    <w:p w14:paraId="7E50E593" w14:textId="5FC0ED45" w:rsidR="00146958" w:rsidRPr="00531EF3" w:rsidRDefault="00146958">
      <w:pPr>
        <w:pStyle w:val="FootnoteText"/>
        <w:jc w:val="both"/>
        <w:rPr>
          <w:rFonts w:ascii="Verdana" w:hAnsi="Verdana"/>
          <w:sz w:val="16"/>
          <w:szCs w:val="16"/>
          <w:lang w:val="es-CR"/>
        </w:rPr>
      </w:pPr>
      <w:r w:rsidRPr="008D0846">
        <w:rPr>
          <w:rStyle w:val="FootnoteReference"/>
          <w:rFonts w:ascii="Verdana" w:hAnsi="Verdana"/>
          <w:sz w:val="16"/>
          <w:szCs w:val="16"/>
        </w:rPr>
        <w:footnoteRef/>
      </w:r>
      <w:r w:rsidRPr="008D0846">
        <w:rPr>
          <w:rFonts w:ascii="Verdana" w:hAnsi="Verdana"/>
          <w:sz w:val="16"/>
          <w:szCs w:val="16"/>
        </w:rPr>
        <w:t xml:space="preserve"> </w:t>
      </w:r>
      <w:r w:rsidRPr="008D0846">
        <w:rPr>
          <w:rFonts w:ascii="Verdana" w:hAnsi="Verdana"/>
          <w:sz w:val="16"/>
          <w:szCs w:val="16"/>
          <w:lang w:val="es-CR"/>
        </w:rPr>
        <w:tab/>
      </w:r>
      <w:r w:rsidRPr="00531EF3">
        <w:rPr>
          <w:rFonts w:ascii="Verdana" w:hAnsi="Verdana"/>
          <w:sz w:val="16"/>
          <w:szCs w:val="16"/>
          <w:lang w:val="es-CR"/>
        </w:rPr>
        <w:t>La Corte recibió las declaraciones rendidas ante fedatario público (</w:t>
      </w:r>
      <w:r w:rsidRPr="008D0846">
        <w:rPr>
          <w:rFonts w:ascii="Verdana" w:hAnsi="Verdana"/>
          <w:i/>
          <w:sz w:val="16"/>
          <w:lang w:val="es-CR"/>
        </w:rPr>
        <w:t>affidávit</w:t>
      </w:r>
      <w:r w:rsidRPr="00531EF3">
        <w:rPr>
          <w:rFonts w:ascii="Verdana" w:hAnsi="Verdana"/>
          <w:sz w:val="16"/>
          <w:szCs w:val="16"/>
          <w:lang w:val="es-CR"/>
        </w:rPr>
        <w:t xml:space="preserve">) de Adrián Alvarado Reyes, Alán Rafael Alvarado Reyes, José Ángel Alvarado Fabela, Deisy Alvarado Espinoza, Mitzy Paola Alvarado Espinoza, Nitza Sitlaly Alvarado Espinoza, Obdulia Espinoza Beltrán, Rosa Olivia Alvarado, Salomón Baltazar Samayoa, Sandra Luz rueda Quesada y los peritajes de Alejandro Madrazo Lajous, Carlos Martín Beristain, Gabriella Citroni y del Grupo de Investigación en Antropología Social y Forense (GIASF), propuestos por las representantes. Además, la Corte recibió las declaraciones ante fedatario público de los testigos: Aaron Enríquez Duarte, Víctor Cruz Martínez, José Emilio Serrano Santiago, Efraín Arzola Herrejón, Óscar Arias Ocampo, Marín Adrián Lasso Carbajal, Ramón Iván Sotomayor Siller y Argene Blásquez Morales, propuestos por el Estado </w:t>
      </w:r>
      <w:r>
        <w:rPr>
          <w:rFonts w:ascii="Verdana" w:hAnsi="Verdana"/>
          <w:sz w:val="16"/>
          <w:szCs w:val="16"/>
          <w:lang w:val="es-CR"/>
        </w:rPr>
        <w:t>(</w:t>
      </w:r>
      <w:r w:rsidRPr="00531EF3">
        <w:rPr>
          <w:rFonts w:ascii="Verdana" w:hAnsi="Verdana"/>
          <w:sz w:val="16"/>
          <w:szCs w:val="16"/>
          <w:lang w:val="es-CR"/>
        </w:rPr>
        <w:t xml:space="preserve">expediente de prueba, </w:t>
      </w:r>
      <w:r w:rsidRPr="00453199">
        <w:rPr>
          <w:rFonts w:ascii="Verdana" w:hAnsi="Verdana"/>
          <w:i/>
          <w:sz w:val="16"/>
          <w:szCs w:val="16"/>
          <w:lang w:val="es-CR"/>
        </w:rPr>
        <w:t>Affidávits</w:t>
      </w:r>
      <w:r>
        <w:rPr>
          <w:rFonts w:ascii="Verdana" w:hAnsi="Verdana"/>
          <w:sz w:val="16"/>
          <w:szCs w:val="16"/>
          <w:lang w:val="es-CR"/>
        </w:rPr>
        <w:t xml:space="preserve">, </w:t>
      </w:r>
      <w:r w:rsidRPr="00531EF3">
        <w:rPr>
          <w:rFonts w:ascii="Verdana" w:hAnsi="Verdana"/>
          <w:sz w:val="16"/>
          <w:szCs w:val="16"/>
          <w:lang w:val="es-CR"/>
        </w:rPr>
        <w:t>ff. 30865 a 31228</w:t>
      </w:r>
      <w:r>
        <w:rPr>
          <w:rFonts w:ascii="Verdana" w:hAnsi="Verdana"/>
          <w:sz w:val="16"/>
          <w:szCs w:val="16"/>
          <w:lang w:val="es-CR"/>
        </w:rPr>
        <w:t>)</w:t>
      </w:r>
      <w:r w:rsidRPr="00531EF3">
        <w:rPr>
          <w:rFonts w:ascii="Verdana" w:hAnsi="Verdana"/>
          <w:sz w:val="16"/>
          <w:szCs w:val="16"/>
          <w:lang w:val="es-CR"/>
        </w:rPr>
        <w:t xml:space="preserve">.  </w:t>
      </w:r>
    </w:p>
  </w:footnote>
  <w:footnote w:id="51">
    <w:p w14:paraId="64AA615D" w14:textId="3B8472C7" w:rsidR="00146958" w:rsidRPr="00531EF3" w:rsidRDefault="00146958">
      <w:pPr>
        <w:pStyle w:val="FootnoteText"/>
        <w:jc w:val="both"/>
        <w:rPr>
          <w:rFonts w:ascii="Verdana" w:eastAsia="ヒラギノ角ゴ Pro W3" w:hAnsi="Verdana"/>
          <w:sz w:val="16"/>
          <w:szCs w:val="16"/>
          <w:lang w:val="es-CR"/>
        </w:rPr>
      </w:pPr>
      <w:r w:rsidRPr="00531EF3">
        <w:rPr>
          <w:rStyle w:val="FootnoteReference"/>
          <w:rFonts w:ascii="Verdana" w:eastAsia="Calibri" w:hAnsi="Verdana"/>
          <w:sz w:val="16"/>
          <w:szCs w:val="16"/>
          <w:lang w:val="es-CR"/>
        </w:rPr>
        <w:footnoteRef/>
      </w:r>
      <w:r w:rsidRPr="00531EF3">
        <w:rPr>
          <w:rFonts w:ascii="Verdana" w:hAnsi="Verdana"/>
          <w:sz w:val="16"/>
          <w:szCs w:val="16"/>
          <w:lang w:val="es-CR"/>
        </w:rPr>
        <w:t xml:space="preserve"> </w:t>
      </w:r>
      <w:r w:rsidRPr="00531EF3">
        <w:rPr>
          <w:rFonts w:ascii="Verdana" w:hAnsi="Verdana"/>
          <w:sz w:val="16"/>
          <w:szCs w:val="16"/>
          <w:lang w:val="es-CR"/>
        </w:rPr>
        <w:tab/>
        <w:t xml:space="preserve">Los objetos de todas estas declaraciones se encuentran establecidos en la Resolución del Presidente en ejercicio </w:t>
      </w:r>
      <w:r w:rsidRPr="003B4EBE">
        <w:rPr>
          <w:rFonts w:ascii="Verdana" w:hAnsi="Verdana"/>
          <w:sz w:val="16"/>
          <w:szCs w:val="16"/>
          <w:lang w:val="es-CR"/>
        </w:rPr>
        <w:t xml:space="preserve">de la Corte </w:t>
      </w:r>
      <w:r>
        <w:rPr>
          <w:rFonts w:ascii="Verdana" w:hAnsi="Verdana"/>
          <w:sz w:val="16"/>
          <w:szCs w:val="16"/>
          <w:lang w:val="es-CR"/>
        </w:rPr>
        <w:t>IDH</w:t>
      </w:r>
      <w:r w:rsidRPr="003B4EBE">
        <w:rPr>
          <w:rFonts w:ascii="Verdana" w:hAnsi="Verdana"/>
          <w:sz w:val="16"/>
          <w:szCs w:val="16"/>
          <w:lang w:val="es-CR"/>
        </w:rPr>
        <w:t xml:space="preserve"> de 23 de marzo de 2018</w:t>
      </w:r>
      <w:r>
        <w:rPr>
          <w:rFonts w:ascii="Verdana" w:hAnsi="Verdana"/>
          <w:sz w:val="16"/>
          <w:szCs w:val="16"/>
          <w:lang w:val="es-CR"/>
        </w:rPr>
        <w:t>, supra.</w:t>
      </w:r>
      <w:r w:rsidRPr="003B4EBE">
        <w:rPr>
          <w:rFonts w:ascii="Verdana" w:hAnsi="Verdana"/>
          <w:sz w:val="16"/>
          <w:szCs w:val="16"/>
          <w:lang w:val="es-CR"/>
        </w:rPr>
        <w:t xml:space="preserve"> Disponible en: </w:t>
      </w:r>
      <w:hyperlink r:id="rId8" w:history="1">
        <w:r w:rsidRPr="00531EF3">
          <w:rPr>
            <w:rStyle w:val="Hyperlink"/>
            <w:rFonts w:ascii="Verdana" w:hAnsi="Verdana"/>
            <w:sz w:val="16"/>
            <w:szCs w:val="16"/>
            <w:lang w:val="es-CR"/>
          </w:rPr>
          <w:t>http://www.corteidh.or.cr/docs/asuntos/alvarado_23_03_18.pdf</w:t>
        </w:r>
      </w:hyperlink>
      <w:r w:rsidRPr="00531EF3">
        <w:rPr>
          <w:rFonts w:ascii="Verdana" w:hAnsi="Verdana"/>
          <w:sz w:val="16"/>
          <w:szCs w:val="16"/>
          <w:lang w:val="es-CR"/>
        </w:rPr>
        <w:t xml:space="preserve"> </w:t>
      </w:r>
    </w:p>
  </w:footnote>
  <w:footnote w:id="52">
    <w:p w14:paraId="64AA615E" w14:textId="4537B53B" w:rsidR="00146958" w:rsidRPr="00531EF3" w:rsidRDefault="00146958">
      <w:pPr>
        <w:pStyle w:val="FootnoteText"/>
        <w:jc w:val="both"/>
        <w:rPr>
          <w:rFonts w:ascii="Verdana" w:hAnsi="Verdana"/>
          <w:sz w:val="16"/>
          <w:szCs w:val="16"/>
        </w:rPr>
      </w:pPr>
      <w:r w:rsidRPr="00531EF3">
        <w:rPr>
          <w:rStyle w:val="FootnoteReference"/>
          <w:rFonts w:ascii="Verdana" w:hAnsi="Verdana"/>
          <w:sz w:val="16"/>
          <w:szCs w:val="16"/>
        </w:rPr>
        <w:footnoteRef/>
      </w:r>
      <w:r w:rsidRPr="00531EF3">
        <w:rPr>
          <w:rFonts w:ascii="Verdana" w:hAnsi="Verdana"/>
          <w:sz w:val="16"/>
          <w:szCs w:val="16"/>
        </w:rPr>
        <w:t xml:space="preserve"> </w:t>
      </w:r>
      <w:r w:rsidRPr="00531EF3">
        <w:rPr>
          <w:rFonts w:ascii="Verdana" w:hAnsi="Verdana"/>
          <w:sz w:val="16"/>
          <w:szCs w:val="16"/>
        </w:rPr>
        <w:tab/>
      </w:r>
      <w:r w:rsidRPr="00CD5C54">
        <w:rPr>
          <w:rFonts w:ascii="Verdana" w:hAnsi="Verdana"/>
          <w:i/>
          <w:sz w:val="16"/>
          <w:szCs w:val="16"/>
        </w:rPr>
        <w:t>Cfr.</w:t>
      </w:r>
      <w:r w:rsidRPr="008D0846">
        <w:rPr>
          <w:rFonts w:ascii="Verdana" w:hAnsi="Verdana"/>
          <w:i/>
          <w:sz w:val="16"/>
          <w:szCs w:val="16"/>
        </w:rPr>
        <w:t xml:space="preserve"> Caso Díaz Peña Vs. Venezuela. Excepción Preliminar, Fondo, Reparaciones y Costas</w:t>
      </w:r>
      <w:r w:rsidRPr="00531EF3">
        <w:rPr>
          <w:rFonts w:ascii="Verdana" w:hAnsi="Verdana"/>
          <w:sz w:val="16"/>
          <w:szCs w:val="16"/>
        </w:rPr>
        <w:t xml:space="preserve">. Sentencia de 26 de junio de 2012. Serie C No. 244, párr. 33, y </w:t>
      </w:r>
      <w:r w:rsidRPr="008D0846">
        <w:rPr>
          <w:rFonts w:ascii="Verdana" w:hAnsi="Verdana"/>
          <w:i/>
          <w:sz w:val="16"/>
          <w:szCs w:val="16"/>
        </w:rPr>
        <w:t>Caso Trabajadores Cesados de Petroperú y otros Vs. Perú. Excepciones Preliminares, Fondo, Reparaciones y Costas.</w:t>
      </w:r>
      <w:r w:rsidRPr="00531EF3">
        <w:rPr>
          <w:rFonts w:ascii="Verdana" w:hAnsi="Verdana"/>
          <w:sz w:val="16"/>
          <w:szCs w:val="16"/>
        </w:rPr>
        <w:t xml:space="preserve"> </w:t>
      </w:r>
      <w:r w:rsidRPr="003B4EBE">
        <w:rPr>
          <w:rFonts w:ascii="Verdana" w:hAnsi="Verdana"/>
          <w:sz w:val="16"/>
          <w:szCs w:val="16"/>
        </w:rPr>
        <w:t>Sentencia de 23 de noviembre de 2017. Serie C No. 34</w:t>
      </w:r>
      <w:r w:rsidRPr="00531EF3">
        <w:rPr>
          <w:rFonts w:ascii="Verdana" w:hAnsi="Verdana"/>
          <w:sz w:val="16"/>
          <w:szCs w:val="16"/>
        </w:rPr>
        <w:t xml:space="preserve">4, párr. 78. </w:t>
      </w:r>
    </w:p>
  </w:footnote>
  <w:footnote w:id="53">
    <w:p w14:paraId="64AA615F" w14:textId="2BF377C1" w:rsidR="00146958" w:rsidRPr="00432ABC" w:rsidRDefault="00146958">
      <w:pPr>
        <w:pStyle w:val="FootnoteText"/>
        <w:jc w:val="both"/>
        <w:rPr>
          <w:rFonts w:ascii="Verdana" w:hAnsi="Verdana"/>
          <w:sz w:val="16"/>
          <w:szCs w:val="16"/>
        </w:rPr>
      </w:pPr>
      <w:r w:rsidRPr="00432ABC">
        <w:rPr>
          <w:rStyle w:val="FootnoteReference"/>
          <w:rFonts w:ascii="Verdana" w:hAnsi="Verdana"/>
          <w:sz w:val="16"/>
          <w:szCs w:val="16"/>
        </w:rPr>
        <w:footnoteRef/>
      </w:r>
      <w:r w:rsidRPr="00432ABC">
        <w:rPr>
          <w:rFonts w:ascii="Verdana" w:hAnsi="Verdana"/>
          <w:sz w:val="16"/>
          <w:szCs w:val="16"/>
        </w:rPr>
        <w:t xml:space="preserve"> </w:t>
      </w:r>
      <w:r w:rsidRPr="00432ABC">
        <w:rPr>
          <w:rFonts w:ascii="Verdana" w:hAnsi="Verdana"/>
          <w:sz w:val="16"/>
          <w:szCs w:val="16"/>
        </w:rPr>
        <w:tab/>
      </w:r>
      <w:r w:rsidRPr="00CD5C54">
        <w:rPr>
          <w:rFonts w:ascii="Verdana" w:hAnsi="Verdana"/>
          <w:i/>
          <w:sz w:val="16"/>
          <w:szCs w:val="16"/>
        </w:rPr>
        <w:t>Cfr.</w:t>
      </w:r>
      <w:r w:rsidRPr="002C462C">
        <w:rPr>
          <w:rFonts w:ascii="Verdana" w:hAnsi="Verdana"/>
          <w:i/>
          <w:sz w:val="16"/>
          <w:szCs w:val="16"/>
        </w:rPr>
        <w:t xml:space="preserve"> </w:t>
      </w:r>
      <w:r w:rsidRPr="002C462C">
        <w:rPr>
          <w:rFonts w:ascii="Verdana" w:hAnsi="Verdana"/>
          <w:sz w:val="16"/>
          <w:szCs w:val="16"/>
        </w:rPr>
        <w:t>Presidencia de la Repúbli</w:t>
      </w:r>
      <w:r w:rsidRPr="00432ABC">
        <w:rPr>
          <w:rFonts w:ascii="Verdana" w:hAnsi="Verdana"/>
          <w:sz w:val="16"/>
          <w:szCs w:val="16"/>
        </w:rPr>
        <w:t xml:space="preserve">ca, Estados Unidos Mexicanos. Conferencia de Prensa, “Anuncio sobre la Operación Conjunta Michoacán”, Ciudad de México, 11 de diciembre de 2006, disponible en: </w:t>
      </w:r>
      <w:hyperlink r:id="rId9" w:history="1">
        <w:r w:rsidRPr="00432ABC">
          <w:rPr>
            <w:rStyle w:val="Hyperlink"/>
            <w:rFonts w:ascii="Verdana" w:hAnsi="Verdana"/>
            <w:sz w:val="16"/>
            <w:szCs w:val="16"/>
          </w:rPr>
          <w:t>http://calderon.presidencia.gob.mx/2006/12/anuncio-sobre-la-operacion-conjunta-michoacan/</w:t>
        </w:r>
      </w:hyperlink>
      <w:r w:rsidRPr="00432ABC">
        <w:rPr>
          <w:rFonts w:ascii="Verdana" w:hAnsi="Verdana"/>
          <w:sz w:val="16"/>
          <w:szCs w:val="16"/>
        </w:rPr>
        <w:t xml:space="preserve">. </w:t>
      </w:r>
    </w:p>
  </w:footnote>
  <w:footnote w:id="54">
    <w:p w14:paraId="64AA6160" w14:textId="3371E6EA" w:rsidR="00146958" w:rsidRPr="00432ABC" w:rsidRDefault="00146958">
      <w:pPr>
        <w:pStyle w:val="FootnoteText"/>
        <w:jc w:val="both"/>
        <w:rPr>
          <w:rFonts w:ascii="Verdana" w:hAnsi="Verdana"/>
          <w:sz w:val="16"/>
          <w:szCs w:val="16"/>
        </w:rPr>
      </w:pPr>
      <w:r w:rsidRPr="00432ABC">
        <w:rPr>
          <w:rStyle w:val="FootnoteReference"/>
          <w:rFonts w:ascii="Verdana" w:hAnsi="Verdana"/>
          <w:sz w:val="16"/>
          <w:szCs w:val="16"/>
        </w:rPr>
        <w:footnoteRef/>
      </w:r>
      <w:r w:rsidRPr="00432ABC">
        <w:rPr>
          <w:rFonts w:ascii="Verdana" w:hAnsi="Verdana"/>
          <w:sz w:val="16"/>
          <w:szCs w:val="16"/>
        </w:rPr>
        <w:t xml:space="preserve"> </w:t>
      </w:r>
      <w:r w:rsidRPr="00432ABC">
        <w:rPr>
          <w:rFonts w:ascii="Verdana" w:hAnsi="Verdana"/>
          <w:sz w:val="16"/>
          <w:szCs w:val="16"/>
        </w:rPr>
        <w:tab/>
        <w:t xml:space="preserve"> </w:t>
      </w:r>
      <w:r w:rsidRPr="00CD5C54">
        <w:rPr>
          <w:rFonts w:ascii="Verdana" w:hAnsi="Verdana"/>
          <w:i/>
          <w:sz w:val="16"/>
          <w:szCs w:val="16"/>
        </w:rPr>
        <w:t>Cfr.</w:t>
      </w:r>
      <w:r w:rsidRPr="002C462C">
        <w:rPr>
          <w:rFonts w:ascii="Verdana" w:hAnsi="Verdana"/>
          <w:sz w:val="16"/>
          <w:szCs w:val="16"/>
        </w:rPr>
        <w:t xml:space="preserve"> “</w:t>
      </w:r>
      <w:r w:rsidRPr="002C462C">
        <w:rPr>
          <w:rStyle w:val="Strong"/>
          <w:rFonts w:ascii="Verdana" w:hAnsi="Verdana"/>
          <w:b w:val="0"/>
          <w:sz w:val="16"/>
          <w:szCs w:val="16"/>
        </w:rPr>
        <w:t>Mensaje a la Nación del Presidente</w:t>
      </w:r>
      <w:r>
        <w:rPr>
          <w:rStyle w:val="Strong"/>
          <w:rFonts w:ascii="Verdana" w:hAnsi="Verdana"/>
          <w:b w:val="0"/>
          <w:sz w:val="16"/>
          <w:szCs w:val="16"/>
        </w:rPr>
        <w:t xml:space="preserve"> de</w:t>
      </w:r>
      <w:r w:rsidRPr="002C462C">
        <w:rPr>
          <w:rStyle w:val="Strong"/>
          <w:rFonts w:ascii="Verdana" w:hAnsi="Verdana"/>
          <w:b w:val="0"/>
          <w:sz w:val="16"/>
          <w:szCs w:val="16"/>
        </w:rPr>
        <w:t xml:space="preserve"> </w:t>
      </w:r>
      <w:r>
        <w:rPr>
          <w:rStyle w:val="Strong"/>
          <w:rFonts w:ascii="Verdana" w:hAnsi="Verdana"/>
          <w:b w:val="0"/>
          <w:sz w:val="16"/>
          <w:szCs w:val="16"/>
        </w:rPr>
        <w:t>[México]</w:t>
      </w:r>
      <w:r w:rsidRPr="002C462C">
        <w:rPr>
          <w:rStyle w:val="Strong"/>
          <w:rFonts w:ascii="Verdana" w:hAnsi="Verdana"/>
          <w:b w:val="0"/>
          <w:sz w:val="16"/>
          <w:szCs w:val="16"/>
        </w:rPr>
        <w:t>, licenciado Felipe Calderón Hinojosa, co</w:t>
      </w:r>
      <w:r w:rsidRPr="00432ABC">
        <w:rPr>
          <w:rStyle w:val="Strong"/>
          <w:rFonts w:ascii="Verdana" w:hAnsi="Verdana"/>
          <w:b w:val="0"/>
          <w:sz w:val="16"/>
          <w:szCs w:val="16"/>
        </w:rPr>
        <w:t>n motivo de su Primer Informe de Gobierno”</w:t>
      </w:r>
      <w:r w:rsidRPr="00432ABC">
        <w:rPr>
          <w:rFonts w:ascii="Verdana" w:hAnsi="Verdana"/>
          <w:sz w:val="16"/>
          <w:szCs w:val="16"/>
        </w:rPr>
        <w:t xml:space="preserve">, Ciudad de México, 2 de septiembre de 2007, disponible en: </w:t>
      </w:r>
      <w:hyperlink w:history="1"/>
      <w:hyperlink r:id="rId10" w:history="1">
        <w:r w:rsidRPr="00432ABC">
          <w:rPr>
            <w:rStyle w:val="Hyperlink"/>
            <w:rFonts w:ascii="Verdana" w:hAnsi="Verdana"/>
            <w:sz w:val="16"/>
            <w:szCs w:val="16"/>
          </w:rPr>
          <w:t>http://calderon.presidencia.gob.mx/informe/primer/mensajealanacion/index.html</w:t>
        </w:r>
      </w:hyperlink>
      <w:r w:rsidRPr="00432ABC">
        <w:rPr>
          <w:rFonts w:ascii="Verdana" w:hAnsi="Verdana"/>
          <w:sz w:val="16"/>
          <w:szCs w:val="16"/>
        </w:rPr>
        <w:t>; ONU, Consejo de Derechos Humanos.</w:t>
      </w:r>
      <w:r w:rsidRPr="00432ABC">
        <w:rPr>
          <w:rFonts w:ascii="Verdana" w:hAnsi="Verdana"/>
          <w:i/>
          <w:sz w:val="16"/>
          <w:szCs w:val="16"/>
        </w:rPr>
        <w:t xml:space="preserve"> Informe del Relator Especial sobre las Ejecuciones Extrajudiciales, Sumarias o Arbitrarias, Christof Heyns, Adición, Misión a México, </w:t>
      </w:r>
      <w:r w:rsidRPr="002C462C">
        <w:rPr>
          <w:rFonts w:ascii="Verdana" w:hAnsi="Verdana"/>
          <w:sz w:val="16"/>
          <w:szCs w:val="16"/>
        </w:rPr>
        <w:t>A/HCR/26/36/Add.1, 28 de abril de 2014, párr. 8; ONU, Consejo de Derechos Humanos.</w:t>
      </w:r>
      <w:r w:rsidRPr="00432ABC">
        <w:rPr>
          <w:rFonts w:ascii="Verdana" w:hAnsi="Verdana"/>
          <w:i/>
          <w:sz w:val="16"/>
          <w:szCs w:val="16"/>
        </w:rPr>
        <w:t xml:space="preserve"> Informe del Relator Especial sobre la tortura y otros tratos o penas crueles, inhumanos o degradantes, Juan E. Méndez. Misión a México</w:t>
      </w:r>
      <w:r w:rsidRPr="00432ABC">
        <w:rPr>
          <w:rFonts w:ascii="Verdana" w:hAnsi="Verdana"/>
          <w:sz w:val="16"/>
          <w:szCs w:val="16"/>
        </w:rPr>
        <w:t xml:space="preserve">, A/HRC/28/68/Add.3, 29 diciembre 2014, párrs. 20 y 22, e Informe </w:t>
      </w:r>
      <w:r w:rsidRPr="00432ABC">
        <w:rPr>
          <w:rFonts w:ascii="Verdana" w:hAnsi="Verdana"/>
          <w:i/>
          <w:sz w:val="16"/>
          <w:szCs w:val="16"/>
        </w:rPr>
        <w:t>Seguridad Interior, ¿seguridad para quién?</w:t>
      </w:r>
      <w:r w:rsidRPr="00432ABC">
        <w:rPr>
          <w:rFonts w:ascii="Verdana" w:hAnsi="Verdana"/>
          <w:sz w:val="16"/>
          <w:szCs w:val="16"/>
        </w:rPr>
        <w:t xml:space="preserve">, emitido por el “Colectivo Seguridad Sin Guerra” en marzo de 2017 (expediente de prueba, f. 26434).  </w:t>
      </w:r>
    </w:p>
  </w:footnote>
  <w:footnote w:id="55">
    <w:p w14:paraId="16358537" w14:textId="559F15DD" w:rsidR="00146958" w:rsidRPr="00432ABC" w:rsidRDefault="00146958">
      <w:pPr>
        <w:pStyle w:val="FootnoteText"/>
        <w:jc w:val="both"/>
        <w:rPr>
          <w:rFonts w:ascii="Verdana" w:hAnsi="Verdana"/>
          <w:sz w:val="16"/>
          <w:szCs w:val="16"/>
        </w:rPr>
      </w:pPr>
      <w:r w:rsidRPr="00432ABC">
        <w:rPr>
          <w:rStyle w:val="FootnoteReference"/>
          <w:rFonts w:ascii="Verdana" w:hAnsi="Verdana"/>
          <w:sz w:val="16"/>
          <w:szCs w:val="16"/>
        </w:rPr>
        <w:footnoteRef/>
      </w:r>
      <w:r w:rsidRPr="00432ABC">
        <w:rPr>
          <w:rFonts w:ascii="Verdana" w:hAnsi="Verdana"/>
          <w:sz w:val="16"/>
          <w:szCs w:val="16"/>
        </w:rPr>
        <w:t xml:space="preserve"> </w:t>
      </w:r>
      <w:r w:rsidRPr="00432ABC">
        <w:rPr>
          <w:rFonts w:ascii="Verdana" w:hAnsi="Verdana"/>
          <w:sz w:val="16"/>
          <w:szCs w:val="16"/>
        </w:rPr>
        <w:tab/>
      </w:r>
      <w:r w:rsidRPr="00CD5C54">
        <w:rPr>
          <w:rFonts w:ascii="Verdana" w:hAnsi="Verdana"/>
          <w:i/>
          <w:sz w:val="16"/>
          <w:szCs w:val="16"/>
        </w:rPr>
        <w:t>Cfr.</w:t>
      </w:r>
      <w:r w:rsidRPr="00432ABC">
        <w:rPr>
          <w:rFonts w:ascii="Verdana" w:hAnsi="Verdana"/>
          <w:i/>
          <w:sz w:val="16"/>
          <w:szCs w:val="16"/>
        </w:rPr>
        <w:t xml:space="preserve"> </w:t>
      </w:r>
      <w:r w:rsidRPr="002C462C">
        <w:rPr>
          <w:rFonts w:ascii="Verdana" w:hAnsi="Verdana"/>
          <w:sz w:val="16"/>
          <w:szCs w:val="16"/>
        </w:rPr>
        <w:t xml:space="preserve">Presidencia de la República. </w:t>
      </w:r>
      <w:r>
        <w:rPr>
          <w:rFonts w:ascii="Verdana" w:hAnsi="Verdana"/>
          <w:sz w:val="16"/>
          <w:szCs w:val="16"/>
        </w:rPr>
        <w:t>[México]</w:t>
      </w:r>
      <w:r w:rsidRPr="002C462C">
        <w:rPr>
          <w:rFonts w:ascii="Verdana" w:hAnsi="Verdana"/>
          <w:sz w:val="16"/>
          <w:szCs w:val="16"/>
        </w:rPr>
        <w:t xml:space="preserve">. </w:t>
      </w:r>
      <w:r w:rsidRPr="00432ABC">
        <w:rPr>
          <w:rFonts w:ascii="Verdana" w:hAnsi="Verdana"/>
          <w:i/>
          <w:sz w:val="16"/>
          <w:szCs w:val="16"/>
        </w:rPr>
        <w:t>Primer Informe de Gobierno</w:t>
      </w:r>
      <w:r w:rsidRPr="00432ABC">
        <w:rPr>
          <w:rFonts w:ascii="Verdana" w:hAnsi="Verdana"/>
          <w:sz w:val="16"/>
          <w:szCs w:val="16"/>
        </w:rPr>
        <w:t xml:space="preserve">, 1 de septiembre de 2007, pág. 26. De acuerdo con los sucesivos “Informes de Gobierno” rendidos anualmente por el titular del Poder Ejecutivo Federal al Congreso General mexicano a partir de 2007, hacia el término del sexenio del entonces Presidente de la República en el año 2012 habían sido implementados un total de 16 “Operativos Conjuntos” en 16 Estados (Michoacán, Baja California, Guerrero, Chihuahua, Durango, Sinaloa, Nuevo León, Tamaulipas, Chiapas, Campeche, Tabasco, Quintana Roo, Aguascalientes, Coahuila, Veracruz y San Luis Potosí) con la participación de elementos de la Secretaría de la Defensa Nacional [SEDENA], de la Secretaría de Marina [SEMAR] y de la Secretaría de Seguridad Pública Federal [SSPF], así como de las respectivas autoridades estatales y municipales. </w:t>
      </w:r>
      <w:r w:rsidRPr="00CD5C54">
        <w:rPr>
          <w:rFonts w:ascii="Verdana" w:hAnsi="Verdana"/>
          <w:i/>
          <w:sz w:val="16"/>
          <w:szCs w:val="16"/>
        </w:rPr>
        <w:t>Cfr.</w:t>
      </w:r>
      <w:r w:rsidRPr="00432ABC">
        <w:rPr>
          <w:rFonts w:ascii="Verdana" w:hAnsi="Verdana"/>
          <w:sz w:val="16"/>
          <w:szCs w:val="16"/>
        </w:rPr>
        <w:t xml:space="preserve"> </w:t>
      </w:r>
      <w:r w:rsidRPr="00432ABC">
        <w:rPr>
          <w:rFonts w:ascii="Verdana" w:hAnsi="Verdana"/>
          <w:i/>
          <w:sz w:val="16"/>
          <w:szCs w:val="16"/>
        </w:rPr>
        <w:t>Informes de Gobierno</w:t>
      </w:r>
      <w:r w:rsidRPr="00432ABC">
        <w:rPr>
          <w:rFonts w:ascii="Verdana" w:hAnsi="Verdana"/>
          <w:sz w:val="16"/>
          <w:szCs w:val="16"/>
        </w:rPr>
        <w:t>:</w:t>
      </w:r>
      <w:r w:rsidRPr="00432ABC">
        <w:rPr>
          <w:rFonts w:ascii="Verdana" w:hAnsi="Verdana"/>
          <w:i/>
          <w:sz w:val="16"/>
          <w:szCs w:val="16"/>
        </w:rPr>
        <w:t xml:space="preserve"> (2007)</w:t>
      </w:r>
      <w:r w:rsidRPr="00432ABC">
        <w:rPr>
          <w:rFonts w:ascii="Verdana" w:hAnsi="Verdana"/>
          <w:sz w:val="16"/>
          <w:szCs w:val="16"/>
        </w:rPr>
        <w:t xml:space="preserve">, pág. 26, </w:t>
      </w:r>
      <w:r w:rsidRPr="00432ABC">
        <w:rPr>
          <w:rFonts w:ascii="Verdana" w:hAnsi="Verdana"/>
          <w:i/>
          <w:sz w:val="16"/>
          <w:szCs w:val="16"/>
        </w:rPr>
        <w:t>(2008),</w:t>
      </w:r>
      <w:r w:rsidRPr="00432ABC">
        <w:rPr>
          <w:rFonts w:ascii="Verdana" w:hAnsi="Verdana"/>
          <w:sz w:val="16"/>
          <w:szCs w:val="16"/>
        </w:rPr>
        <w:t xml:space="preserve"> pág. 23, </w:t>
      </w:r>
      <w:r w:rsidRPr="00432ABC">
        <w:rPr>
          <w:rFonts w:ascii="Verdana" w:hAnsi="Verdana"/>
          <w:i/>
          <w:sz w:val="16"/>
          <w:szCs w:val="16"/>
        </w:rPr>
        <w:t>(2009)</w:t>
      </w:r>
      <w:r w:rsidRPr="00432ABC">
        <w:rPr>
          <w:rFonts w:ascii="Verdana" w:hAnsi="Verdana"/>
          <w:sz w:val="16"/>
          <w:szCs w:val="16"/>
        </w:rPr>
        <w:t xml:space="preserve">, pág. 34, </w:t>
      </w:r>
      <w:r w:rsidRPr="00432ABC">
        <w:rPr>
          <w:rFonts w:ascii="Verdana" w:hAnsi="Verdana"/>
          <w:i/>
          <w:sz w:val="16"/>
          <w:szCs w:val="16"/>
        </w:rPr>
        <w:t>(2010)</w:t>
      </w:r>
      <w:r w:rsidRPr="00432ABC">
        <w:rPr>
          <w:rFonts w:ascii="Verdana" w:hAnsi="Verdana"/>
          <w:sz w:val="16"/>
          <w:szCs w:val="16"/>
        </w:rPr>
        <w:t xml:space="preserve">, págs. 30 a 31, </w:t>
      </w:r>
      <w:r w:rsidRPr="00432ABC">
        <w:rPr>
          <w:rFonts w:ascii="Verdana" w:hAnsi="Verdana"/>
          <w:i/>
          <w:sz w:val="16"/>
          <w:szCs w:val="16"/>
        </w:rPr>
        <w:t>(2011)</w:t>
      </w:r>
      <w:r w:rsidRPr="00432ABC">
        <w:rPr>
          <w:rFonts w:ascii="Verdana" w:hAnsi="Verdana"/>
          <w:sz w:val="16"/>
          <w:szCs w:val="16"/>
        </w:rPr>
        <w:t xml:space="preserve">, págs. 36 a 37, y </w:t>
      </w:r>
      <w:r w:rsidRPr="00432ABC">
        <w:rPr>
          <w:rFonts w:ascii="Verdana" w:hAnsi="Verdana"/>
          <w:i/>
          <w:sz w:val="16"/>
          <w:szCs w:val="16"/>
        </w:rPr>
        <w:t>(2012)</w:t>
      </w:r>
      <w:r w:rsidRPr="00432ABC">
        <w:rPr>
          <w:rFonts w:ascii="Verdana" w:hAnsi="Verdana"/>
          <w:sz w:val="16"/>
          <w:szCs w:val="16"/>
        </w:rPr>
        <w:t xml:space="preserve">, pág. 41. Asimismo, sobre la implementación de los “Operativos Conjuntos” como política de seguridad pública del Estado mexicano, </w:t>
      </w:r>
      <w:r w:rsidRPr="00CD5C54">
        <w:rPr>
          <w:rFonts w:ascii="Verdana" w:hAnsi="Verdana"/>
          <w:i/>
          <w:sz w:val="16"/>
          <w:szCs w:val="16"/>
        </w:rPr>
        <w:t>Cfr.</w:t>
      </w:r>
      <w:r w:rsidRPr="00432ABC">
        <w:rPr>
          <w:rFonts w:ascii="Verdana" w:hAnsi="Verdana"/>
          <w:sz w:val="16"/>
          <w:szCs w:val="16"/>
        </w:rPr>
        <w:t xml:space="preserve"> Declaración pericial de Alejandro Madrazo Lajous rendida </w:t>
      </w:r>
      <w:r>
        <w:rPr>
          <w:rFonts w:ascii="Verdana" w:hAnsi="Verdana"/>
          <w:sz w:val="16"/>
          <w:szCs w:val="16"/>
        </w:rPr>
        <w:t>el</w:t>
      </w:r>
      <w:r w:rsidRPr="00432ABC">
        <w:rPr>
          <w:rFonts w:ascii="Verdana" w:hAnsi="Verdana"/>
          <w:sz w:val="16"/>
          <w:szCs w:val="16"/>
        </w:rPr>
        <w:t xml:space="preserve"> 19 de abril de 2018 (expediente de prueba, </w:t>
      </w:r>
      <w:r w:rsidRPr="00453199">
        <w:rPr>
          <w:rFonts w:ascii="Verdana" w:hAnsi="Verdana"/>
          <w:i/>
          <w:sz w:val="16"/>
        </w:rPr>
        <w:t>Affidávits</w:t>
      </w:r>
      <w:r w:rsidRPr="00432ABC">
        <w:rPr>
          <w:rFonts w:ascii="Verdana" w:hAnsi="Verdana"/>
          <w:i/>
          <w:sz w:val="16"/>
          <w:szCs w:val="16"/>
        </w:rPr>
        <w:t xml:space="preserve">, </w:t>
      </w:r>
      <w:r w:rsidRPr="00432ABC">
        <w:rPr>
          <w:rFonts w:ascii="Verdana" w:hAnsi="Verdana"/>
          <w:sz w:val="16"/>
          <w:szCs w:val="16"/>
        </w:rPr>
        <w:t xml:space="preserve">f. 30969). </w:t>
      </w:r>
    </w:p>
  </w:footnote>
  <w:footnote w:id="56">
    <w:p w14:paraId="2A607DFC" w14:textId="0417EC45" w:rsidR="00146958" w:rsidRPr="00432ABC" w:rsidRDefault="00146958">
      <w:pPr>
        <w:pStyle w:val="FootnoteText"/>
        <w:jc w:val="both"/>
        <w:rPr>
          <w:rFonts w:ascii="Verdana" w:hAnsi="Verdana"/>
          <w:sz w:val="16"/>
          <w:szCs w:val="16"/>
        </w:rPr>
      </w:pPr>
      <w:r w:rsidRPr="00432ABC">
        <w:rPr>
          <w:rStyle w:val="FootnoteReference"/>
          <w:rFonts w:ascii="Verdana" w:hAnsi="Verdana"/>
          <w:sz w:val="16"/>
          <w:szCs w:val="16"/>
        </w:rPr>
        <w:footnoteRef/>
      </w:r>
      <w:r w:rsidRPr="00432ABC">
        <w:rPr>
          <w:rFonts w:ascii="Verdana" w:hAnsi="Verdana"/>
          <w:sz w:val="16"/>
          <w:szCs w:val="16"/>
        </w:rPr>
        <w:t xml:space="preserve"> </w:t>
      </w:r>
      <w:r w:rsidRPr="00432ABC">
        <w:rPr>
          <w:rFonts w:ascii="Verdana" w:hAnsi="Verdana"/>
          <w:sz w:val="16"/>
          <w:szCs w:val="16"/>
        </w:rPr>
        <w:tab/>
      </w:r>
      <w:r w:rsidRPr="00CD5C54">
        <w:rPr>
          <w:rFonts w:ascii="Verdana" w:hAnsi="Verdana"/>
          <w:i/>
          <w:sz w:val="16"/>
          <w:szCs w:val="16"/>
        </w:rPr>
        <w:t>Cfr.</w:t>
      </w:r>
      <w:r w:rsidRPr="00432ABC">
        <w:rPr>
          <w:rFonts w:ascii="Verdana" w:hAnsi="Verdana"/>
          <w:sz w:val="16"/>
          <w:szCs w:val="16"/>
        </w:rPr>
        <w:t xml:space="preserve"> Presidencia de la República, Estados Unidos Mexicanos. “Los Operativos Conjuntos”, 16 de mayo de 2011, disponible en: </w:t>
      </w:r>
      <w:hyperlink r:id="rId11" w:history="1">
        <w:r w:rsidRPr="00432ABC">
          <w:rPr>
            <w:rStyle w:val="Hyperlink"/>
            <w:rFonts w:ascii="Verdana" w:hAnsi="Verdana"/>
            <w:sz w:val="16"/>
            <w:szCs w:val="16"/>
          </w:rPr>
          <w:t>http://calderon.presidencia.gob.mx/el-blog/los-operativos-conjuntos/</w:t>
        </w:r>
      </w:hyperlink>
      <w:r w:rsidRPr="00432ABC">
        <w:rPr>
          <w:rFonts w:ascii="Verdana" w:hAnsi="Verdana"/>
          <w:sz w:val="16"/>
          <w:szCs w:val="16"/>
        </w:rPr>
        <w:t xml:space="preserve">, y </w:t>
      </w:r>
      <w:r w:rsidRPr="002C462C">
        <w:rPr>
          <w:rFonts w:ascii="Verdana" w:hAnsi="Verdana"/>
          <w:sz w:val="16"/>
          <w:szCs w:val="16"/>
        </w:rPr>
        <w:t xml:space="preserve">CNDH. </w:t>
      </w:r>
      <w:r w:rsidRPr="002C462C">
        <w:rPr>
          <w:rFonts w:ascii="Verdana" w:hAnsi="Verdana"/>
          <w:i/>
          <w:sz w:val="16"/>
          <w:szCs w:val="16"/>
        </w:rPr>
        <w:t>Segundo Informe Especial de la CNDH sobre el Ejercicio Efectivo del Derecho Fundamental a la Seguridad en Nuestro País</w:t>
      </w:r>
      <w:r w:rsidRPr="00432ABC">
        <w:rPr>
          <w:rFonts w:ascii="Verdana" w:hAnsi="Verdana"/>
          <w:sz w:val="16"/>
          <w:szCs w:val="16"/>
        </w:rPr>
        <w:t xml:space="preserve"> [sic], 2008, págs. 6 a 7. Disponible en: </w:t>
      </w:r>
      <w:hyperlink r:id="rId12" w:history="1">
        <w:r w:rsidRPr="00432ABC">
          <w:rPr>
            <w:rStyle w:val="Hyperlink"/>
            <w:rFonts w:ascii="Verdana" w:hAnsi="Verdana"/>
            <w:sz w:val="16"/>
            <w:szCs w:val="16"/>
          </w:rPr>
          <w:t>http://www.cndh.org.mx/sites/all/doc/Informes/Especiales/2008_segpublica1.pdf</w:t>
        </w:r>
      </w:hyperlink>
      <w:r w:rsidRPr="00432ABC">
        <w:rPr>
          <w:rFonts w:ascii="Verdana" w:hAnsi="Verdana"/>
          <w:sz w:val="16"/>
          <w:szCs w:val="16"/>
        </w:rPr>
        <w:t xml:space="preserve">. En el mismo sentido: Declaración pericial de Gabriella Citroni rendida </w:t>
      </w:r>
      <w:r>
        <w:rPr>
          <w:rFonts w:ascii="Verdana" w:hAnsi="Verdana"/>
          <w:sz w:val="16"/>
          <w:szCs w:val="16"/>
        </w:rPr>
        <w:t>el</w:t>
      </w:r>
      <w:r w:rsidRPr="00432ABC">
        <w:rPr>
          <w:rFonts w:ascii="Verdana" w:hAnsi="Verdana"/>
          <w:sz w:val="16"/>
          <w:szCs w:val="16"/>
        </w:rPr>
        <w:t xml:space="preserve"> 18 de abril de 2018</w:t>
      </w:r>
      <w:r w:rsidRPr="002C462C">
        <w:rPr>
          <w:rFonts w:ascii="Verdana" w:hAnsi="Verdana"/>
          <w:i/>
          <w:sz w:val="16"/>
          <w:szCs w:val="16"/>
        </w:rPr>
        <w:t xml:space="preserve"> </w:t>
      </w:r>
      <w:r w:rsidRPr="002C462C">
        <w:rPr>
          <w:rFonts w:ascii="Verdana" w:hAnsi="Verdana"/>
          <w:sz w:val="16"/>
          <w:szCs w:val="16"/>
        </w:rPr>
        <w:t xml:space="preserve">(expediente de prueba, </w:t>
      </w:r>
      <w:r w:rsidRPr="00453199">
        <w:rPr>
          <w:rFonts w:ascii="Verdana" w:hAnsi="Verdana"/>
          <w:i/>
          <w:sz w:val="16"/>
        </w:rPr>
        <w:t>Affidávits</w:t>
      </w:r>
      <w:r w:rsidRPr="00432ABC">
        <w:rPr>
          <w:rFonts w:ascii="Verdana" w:hAnsi="Verdana"/>
          <w:sz w:val="16"/>
          <w:szCs w:val="16"/>
        </w:rPr>
        <w:t xml:space="preserve">, f. 31061), y Declaración pericial de Carolina Robledo Silvestre, Erika Liliana López López, May-ek Querales Mendoza y Rosalva Aída Hernández Castillo, del Grupo de Investigación en Antropología Social y Forense [GIASF], rendida conjuntamente </w:t>
      </w:r>
      <w:r>
        <w:rPr>
          <w:rFonts w:ascii="Verdana" w:hAnsi="Verdana"/>
          <w:sz w:val="16"/>
          <w:szCs w:val="16"/>
        </w:rPr>
        <w:t>el</w:t>
      </w:r>
      <w:r w:rsidRPr="00432ABC">
        <w:rPr>
          <w:rFonts w:ascii="Verdana" w:hAnsi="Verdana"/>
          <w:sz w:val="16"/>
          <w:szCs w:val="16"/>
        </w:rPr>
        <w:t xml:space="preserve"> 17 de abril de 2018 (expediente de prueba, </w:t>
      </w:r>
      <w:r w:rsidRPr="00453199">
        <w:rPr>
          <w:rFonts w:ascii="Verdana" w:hAnsi="Verdana"/>
          <w:i/>
          <w:sz w:val="16"/>
        </w:rPr>
        <w:t>Affidávits</w:t>
      </w:r>
      <w:r w:rsidRPr="00432ABC">
        <w:rPr>
          <w:rFonts w:ascii="Verdana" w:hAnsi="Verdana"/>
          <w:sz w:val="16"/>
          <w:szCs w:val="16"/>
        </w:rPr>
        <w:t>, f. 31148).</w:t>
      </w:r>
    </w:p>
  </w:footnote>
  <w:footnote w:id="57">
    <w:p w14:paraId="26A5DE7B" w14:textId="5379233A" w:rsidR="00146958" w:rsidRPr="00432ABC" w:rsidRDefault="00146958">
      <w:pPr>
        <w:pStyle w:val="FootnoteText"/>
        <w:jc w:val="both"/>
        <w:rPr>
          <w:rFonts w:ascii="Verdana" w:hAnsi="Verdana"/>
          <w:sz w:val="16"/>
          <w:szCs w:val="16"/>
        </w:rPr>
      </w:pPr>
      <w:r w:rsidRPr="00432ABC">
        <w:rPr>
          <w:rStyle w:val="FootnoteReference"/>
          <w:rFonts w:ascii="Verdana" w:hAnsi="Verdana"/>
          <w:sz w:val="16"/>
          <w:szCs w:val="16"/>
        </w:rPr>
        <w:footnoteRef/>
      </w:r>
      <w:r w:rsidRPr="00432ABC">
        <w:rPr>
          <w:rFonts w:ascii="Verdana" w:hAnsi="Verdana"/>
          <w:sz w:val="16"/>
          <w:szCs w:val="16"/>
        </w:rPr>
        <w:t xml:space="preserve"> </w:t>
      </w:r>
      <w:r w:rsidRPr="00432ABC">
        <w:rPr>
          <w:rFonts w:ascii="Verdana" w:hAnsi="Verdana"/>
          <w:sz w:val="16"/>
          <w:szCs w:val="16"/>
        </w:rPr>
        <w:tab/>
      </w:r>
      <w:r w:rsidRPr="00CD5C54">
        <w:rPr>
          <w:rFonts w:ascii="Verdana" w:hAnsi="Verdana"/>
          <w:i/>
          <w:sz w:val="16"/>
          <w:szCs w:val="16"/>
        </w:rPr>
        <w:t>Cfr.</w:t>
      </w:r>
      <w:r w:rsidRPr="002C462C">
        <w:rPr>
          <w:rFonts w:ascii="Verdana" w:hAnsi="Verdana"/>
          <w:sz w:val="16"/>
          <w:szCs w:val="16"/>
        </w:rPr>
        <w:t xml:space="preserve"> ONU. </w:t>
      </w:r>
      <w:r w:rsidRPr="002C462C">
        <w:rPr>
          <w:rFonts w:ascii="Verdana" w:hAnsi="Verdana"/>
          <w:i/>
          <w:sz w:val="16"/>
          <w:szCs w:val="16"/>
        </w:rPr>
        <w:t>Informe del Relator Especial sobre la tortura</w:t>
      </w:r>
      <w:r>
        <w:rPr>
          <w:rFonts w:ascii="Verdana" w:hAnsi="Verdana"/>
          <w:i/>
          <w:sz w:val="16"/>
          <w:szCs w:val="16"/>
        </w:rPr>
        <w:t>,</w:t>
      </w:r>
      <w:r w:rsidRPr="002C462C">
        <w:rPr>
          <w:rFonts w:ascii="Verdana" w:hAnsi="Verdana"/>
          <w:i/>
          <w:sz w:val="16"/>
          <w:szCs w:val="16"/>
        </w:rPr>
        <w:t xml:space="preserve"> </w:t>
      </w:r>
      <w:r w:rsidRPr="00432ABC">
        <w:rPr>
          <w:rFonts w:ascii="Verdana" w:hAnsi="Verdana"/>
          <w:sz w:val="16"/>
          <w:szCs w:val="16"/>
        </w:rPr>
        <w:t xml:space="preserve">29 de diciembre de 2014, </w:t>
      </w:r>
      <w:r w:rsidRPr="00432ABC">
        <w:rPr>
          <w:rFonts w:ascii="Verdana" w:hAnsi="Verdana"/>
          <w:i/>
          <w:sz w:val="16"/>
          <w:szCs w:val="16"/>
        </w:rPr>
        <w:t>supra</w:t>
      </w:r>
      <w:r w:rsidRPr="00432ABC">
        <w:rPr>
          <w:rFonts w:ascii="Verdana" w:hAnsi="Verdana"/>
          <w:sz w:val="16"/>
          <w:szCs w:val="16"/>
        </w:rPr>
        <w:t>, párr. 20.</w:t>
      </w:r>
      <w:r w:rsidRPr="00432ABC">
        <w:rPr>
          <w:rFonts w:ascii="Verdana" w:hAnsi="Verdana"/>
          <w:i/>
          <w:sz w:val="16"/>
          <w:szCs w:val="16"/>
        </w:rPr>
        <w:t xml:space="preserve"> </w:t>
      </w:r>
      <w:r w:rsidRPr="00CD5C54">
        <w:rPr>
          <w:rFonts w:ascii="Verdana" w:hAnsi="Verdana"/>
          <w:i/>
          <w:sz w:val="16"/>
          <w:szCs w:val="16"/>
        </w:rPr>
        <w:t>Cfr.</w:t>
      </w:r>
      <w:r w:rsidRPr="00432ABC">
        <w:rPr>
          <w:rFonts w:ascii="Verdana" w:hAnsi="Verdana"/>
          <w:sz w:val="16"/>
          <w:szCs w:val="16"/>
        </w:rPr>
        <w:t xml:space="preserve"> Declaración pericial de Alejandro Madrazo Lajous rendida </w:t>
      </w:r>
      <w:r>
        <w:rPr>
          <w:rFonts w:ascii="Verdana" w:hAnsi="Verdana"/>
          <w:sz w:val="16"/>
          <w:szCs w:val="16"/>
        </w:rPr>
        <w:t>el</w:t>
      </w:r>
      <w:r w:rsidRPr="00432ABC">
        <w:rPr>
          <w:rFonts w:ascii="Verdana" w:hAnsi="Verdana"/>
          <w:sz w:val="16"/>
          <w:szCs w:val="16"/>
        </w:rPr>
        <w:t xml:space="preserve"> 19 de abril de 2018, </w:t>
      </w:r>
      <w:r w:rsidRPr="00432ABC">
        <w:rPr>
          <w:rFonts w:ascii="Verdana" w:hAnsi="Verdana"/>
          <w:i/>
          <w:sz w:val="16"/>
          <w:szCs w:val="16"/>
        </w:rPr>
        <w:t xml:space="preserve">supra </w:t>
      </w:r>
      <w:r>
        <w:rPr>
          <w:rFonts w:ascii="Verdana" w:hAnsi="Verdana"/>
          <w:sz w:val="16"/>
          <w:szCs w:val="16"/>
        </w:rPr>
        <w:t xml:space="preserve">(expediente de prueba, </w:t>
      </w:r>
      <w:r w:rsidRPr="00453199">
        <w:rPr>
          <w:rFonts w:ascii="Verdana" w:hAnsi="Verdana"/>
          <w:i/>
          <w:sz w:val="16"/>
          <w:szCs w:val="16"/>
        </w:rPr>
        <w:t>Affidávits</w:t>
      </w:r>
      <w:r>
        <w:rPr>
          <w:rFonts w:ascii="Verdana" w:hAnsi="Verdana"/>
          <w:sz w:val="16"/>
          <w:szCs w:val="16"/>
        </w:rPr>
        <w:t xml:space="preserve">, </w:t>
      </w:r>
      <w:r w:rsidRPr="00432ABC">
        <w:rPr>
          <w:rFonts w:ascii="Verdana" w:hAnsi="Verdana"/>
          <w:sz w:val="16"/>
          <w:szCs w:val="16"/>
        </w:rPr>
        <w:t>ff. 30964 y 30969</w:t>
      </w:r>
      <w:r>
        <w:rPr>
          <w:rFonts w:ascii="Verdana" w:hAnsi="Verdana"/>
          <w:sz w:val="16"/>
          <w:szCs w:val="16"/>
        </w:rPr>
        <w:t>).</w:t>
      </w:r>
      <w:r w:rsidRPr="00432ABC">
        <w:rPr>
          <w:rFonts w:ascii="Verdana" w:eastAsiaTheme="minorHAnsi" w:hAnsi="Verdana"/>
          <w:sz w:val="16"/>
          <w:szCs w:val="16"/>
        </w:rPr>
        <w:t xml:space="preserve"> En el mismo sentido, </w:t>
      </w:r>
      <w:r w:rsidRPr="00432ABC">
        <w:rPr>
          <w:rFonts w:ascii="Verdana" w:hAnsi="Verdana"/>
          <w:sz w:val="16"/>
          <w:szCs w:val="16"/>
        </w:rPr>
        <w:t>en su informe sobre la situación de los derechos humanos en México de 2015</w:t>
      </w:r>
      <w:r>
        <w:rPr>
          <w:rFonts w:ascii="Verdana" w:hAnsi="Verdana"/>
          <w:sz w:val="16"/>
          <w:szCs w:val="16"/>
        </w:rPr>
        <w:t>,</w:t>
      </w:r>
      <w:r w:rsidRPr="00432ABC">
        <w:rPr>
          <w:rFonts w:ascii="Verdana" w:hAnsi="Verdana"/>
          <w:sz w:val="16"/>
          <w:szCs w:val="16"/>
        </w:rPr>
        <w:t xml:space="preserve"> la Comisión Interamericana observó que en la implementación de dicha estrategia de seguridad “las autoridades mexicanas optaron por aumentar el rol de las Fuerzas Armadas – particularmente la SEDENA y la SEMAR – en tareas de seguridad pública, incluyendo una política de confrontación contra el crimen organizado y el despliegue de operativos conjuntos entre la</w:t>
      </w:r>
      <w:r>
        <w:rPr>
          <w:rFonts w:ascii="Verdana" w:hAnsi="Verdana"/>
          <w:sz w:val="16"/>
          <w:szCs w:val="16"/>
        </w:rPr>
        <w:t>s</w:t>
      </w:r>
      <w:r w:rsidRPr="00432ABC">
        <w:rPr>
          <w:rFonts w:ascii="Verdana" w:hAnsi="Verdana"/>
          <w:sz w:val="16"/>
          <w:szCs w:val="16"/>
        </w:rPr>
        <w:t xml:space="preserve"> fuerzas armadas y las instituciones de seguridad estatales y municipales”. </w:t>
      </w:r>
      <w:r w:rsidRPr="00CD5C54">
        <w:rPr>
          <w:rFonts w:ascii="Verdana" w:hAnsi="Verdana"/>
          <w:i/>
          <w:sz w:val="16"/>
          <w:szCs w:val="16"/>
        </w:rPr>
        <w:t>Cfr.</w:t>
      </w:r>
      <w:r w:rsidRPr="00432ABC">
        <w:rPr>
          <w:rFonts w:ascii="Verdana" w:hAnsi="Verdana"/>
          <w:sz w:val="16"/>
          <w:szCs w:val="16"/>
        </w:rPr>
        <w:t xml:space="preserve"> Comisión Interamericana de Derechos Humanos, “Situación de los derechos humanos en México”</w:t>
      </w:r>
      <w:r w:rsidRPr="00432ABC">
        <w:rPr>
          <w:rFonts w:ascii="Verdana" w:hAnsi="Verdana"/>
          <w:i/>
          <w:sz w:val="16"/>
          <w:szCs w:val="16"/>
        </w:rPr>
        <w:t xml:space="preserve">, </w:t>
      </w:r>
      <w:r w:rsidRPr="00432ABC">
        <w:rPr>
          <w:rFonts w:ascii="Verdana" w:hAnsi="Verdana"/>
          <w:sz w:val="16"/>
          <w:szCs w:val="16"/>
        </w:rPr>
        <w:t>OEA/Ser.L/V/II. Doc. 44/15, 31 diciembre 2015, párr. 87.</w:t>
      </w:r>
    </w:p>
  </w:footnote>
  <w:footnote w:id="58">
    <w:p w14:paraId="0AF50D4F" w14:textId="464652B0" w:rsidR="00146958" w:rsidRPr="002C462C" w:rsidRDefault="00146958" w:rsidP="00321DA9">
      <w:pPr>
        <w:pStyle w:val="FootnoteText"/>
        <w:jc w:val="both"/>
        <w:rPr>
          <w:rFonts w:ascii="Verdana" w:hAnsi="Verdana"/>
          <w:sz w:val="16"/>
          <w:szCs w:val="16"/>
        </w:rPr>
      </w:pPr>
      <w:r w:rsidRPr="00432ABC">
        <w:rPr>
          <w:rStyle w:val="FootnoteReference"/>
          <w:rFonts w:ascii="Verdana" w:hAnsi="Verdana"/>
          <w:sz w:val="16"/>
          <w:szCs w:val="16"/>
        </w:rPr>
        <w:footnoteRef/>
      </w:r>
      <w:r w:rsidRPr="00432ABC">
        <w:rPr>
          <w:rFonts w:ascii="Verdana" w:hAnsi="Verdana"/>
          <w:sz w:val="16"/>
          <w:szCs w:val="16"/>
        </w:rPr>
        <w:t xml:space="preserve"> </w:t>
      </w:r>
      <w:r w:rsidRPr="00432ABC">
        <w:rPr>
          <w:rFonts w:ascii="Verdana" w:hAnsi="Verdana"/>
          <w:sz w:val="16"/>
          <w:szCs w:val="16"/>
        </w:rPr>
        <w:tab/>
      </w:r>
      <w:r w:rsidRPr="00CD5C54">
        <w:rPr>
          <w:rFonts w:ascii="Verdana" w:hAnsi="Verdana"/>
          <w:i/>
          <w:sz w:val="16"/>
          <w:szCs w:val="16"/>
        </w:rPr>
        <w:t>Cfr.</w:t>
      </w:r>
      <w:r w:rsidRPr="002C462C">
        <w:rPr>
          <w:rFonts w:ascii="Verdana" w:hAnsi="Verdana"/>
          <w:sz w:val="16"/>
          <w:szCs w:val="16"/>
        </w:rPr>
        <w:t xml:space="preserve"> Gobierno de la República, Estados Unidos Mexicanos. </w:t>
      </w:r>
      <w:r w:rsidRPr="002C462C">
        <w:rPr>
          <w:rFonts w:ascii="Verdana" w:hAnsi="Verdana"/>
          <w:i/>
          <w:sz w:val="16"/>
          <w:szCs w:val="16"/>
        </w:rPr>
        <w:t xml:space="preserve">Plan Nacional de Desarrollo 2013-2018, </w:t>
      </w:r>
      <w:r w:rsidRPr="00432ABC">
        <w:rPr>
          <w:rFonts w:ascii="Verdana" w:hAnsi="Verdana"/>
          <w:sz w:val="16"/>
          <w:szCs w:val="16"/>
        </w:rPr>
        <w:t xml:space="preserve">pág. 32. Disponible en: </w:t>
      </w:r>
      <w:hyperlink r:id="rId13" w:history="1">
        <w:r w:rsidRPr="00432ABC">
          <w:rPr>
            <w:rStyle w:val="Hyperlink"/>
            <w:rFonts w:ascii="Verdana" w:hAnsi="Verdana"/>
            <w:sz w:val="16"/>
            <w:szCs w:val="16"/>
          </w:rPr>
          <w:t>http://pnd.gob.mx/</w:t>
        </w:r>
      </w:hyperlink>
      <w:r w:rsidRPr="00432ABC">
        <w:rPr>
          <w:rFonts w:ascii="Verdana" w:hAnsi="Verdana"/>
          <w:sz w:val="16"/>
          <w:szCs w:val="16"/>
        </w:rPr>
        <w:t>: “[…</w:t>
      </w:r>
      <w:r w:rsidRPr="002C462C">
        <w:rPr>
          <w:rFonts w:ascii="Verdana" w:hAnsi="Verdana"/>
          <w:sz w:val="16"/>
          <w:szCs w:val="16"/>
        </w:rPr>
        <w:t>] La colaboración de las Fuerzas Armadas para garantizar la seguridad interior ha tomado un papel predominante en los últimos años, debido a la violencia generada por las organizaciones delictivas […]”.</w:t>
      </w:r>
    </w:p>
  </w:footnote>
  <w:footnote w:id="59">
    <w:p w14:paraId="4DEF75EA" w14:textId="39F6BEE1" w:rsidR="00146958" w:rsidRPr="00432ABC" w:rsidRDefault="00146958" w:rsidP="00321DA9">
      <w:pPr>
        <w:pStyle w:val="FootnoteText"/>
        <w:jc w:val="both"/>
        <w:rPr>
          <w:rFonts w:ascii="Verdana" w:hAnsi="Verdana"/>
          <w:sz w:val="16"/>
          <w:szCs w:val="16"/>
        </w:rPr>
      </w:pPr>
      <w:r w:rsidRPr="00432ABC">
        <w:rPr>
          <w:rStyle w:val="FootnoteReference"/>
          <w:rFonts w:ascii="Verdana" w:hAnsi="Verdana"/>
          <w:sz w:val="16"/>
          <w:szCs w:val="16"/>
        </w:rPr>
        <w:footnoteRef/>
      </w:r>
      <w:r w:rsidRPr="00432ABC">
        <w:rPr>
          <w:rFonts w:ascii="Verdana" w:hAnsi="Verdana"/>
          <w:sz w:val="16"/>
          <w:szCs w:val="16"/>
        </w:rPr>
        <w:t xml:space="preserve"> </w:t>
      </w:r>
      <w:r w:rsidRPr="00432ABC">
        <w:rPr>
          <w:rFonts w:ascii="Verdana" w:hAnsi="Verdana"/>
          <w:sz w:val="16"/>
          <w:szCs w:val="16"/>
        </w:rPr>
        <w:tab/>
      </w:r>
      <w:r w:rsidRPr="00CD5C54">
        <w:rPr>
          <w:rFonts w:ascii="Verdana" w:hAnsi="Verdana"/>
          <w:i/>
          <w:sz w:val="16"/>
          <w:szCs w:val="16"/>
        </w:rPr>
        <w:t>Cfr.</w:t>
      </w:r>
      <w:r w:rsidRPr="00432ABC">
        <w:rPr>
          <w:rFonts w:ascii="Verdana" w:hAnsi="Verdana"/>
          <w:i/>
          <w:sz w:val="16"/>
          <w:szCs w:val="16"/>
        </w:rPr>
        <w:t xml:space="preserve"> </w:t>
      </w:r>
      <w:r w:rsidRPr="00432ABC">
        <w:rPr>
          <w:rFonts w:ascii="Verdana" w:hAnsi="Verdana"/>
          <w:sz w:val="16"/>
          <w:szCs w:val="16"/>
        </w:rPr>
        <w:t xml:space="preserve">ONU. </w:t>
      </w:r>
      <w:r w:rsidRPr="00432ABC">
        <w:rPr>
          <w:rFonts w:ascii="Verdana" w:hAnsi="Verdana"/>
          <w:i/>
          <w:sz w:val="16"/>
          <w:szCs w:val="16"/>
        </w:rPr>
        <w:t xml:space="preserve">Informe del Relator Especial sobre las Ejecuciones Extrajudiciales, Sumarias o Arbitrarias, Christof Heyns, Adición, Misión a México, </w:t>
      </w:r>
      <w:r w:rsidRPr="00432ABC">
        <w:rPr>
          <w:rFonts w:ascii="Verdana" w:hAnsi="Verdana"/>
          <w:sz w:val="16"/>
          <w:szCs w:val="16"/>
        </w:rPr>
        <w:t xml:space="preserve">28 de abril de 2014, </w:t>
      </w:r>
      <w:r w:rsidRPr="00432ABC">
        <w:rPr>
          <w:rFonts w:ascii="Verdana" w:hAnsi="Verdana"/>
          <w:i/>
          <w:sz w:val="16"/>
          <w:szCs w:val="16"/>
        </w:rPr>
        <w:t>supra</w:t>
      </w:r>
      <w:r w:rsidRPr="00432ABC">
        <w:rPr>
          <w:rFonts w:ascii="Verdana" w:hAnsi="Verdana"/>
          <w:sz w:val="16"/>
          <w:szCs w:val="16"/>
        </w:rPr>
        <w:t xml:space="preserve">, párrs. 20; ONU. </w:t>
      </w:r>
      <w:r w:rsidRPr="00432ABC">
        <w:rPr>
          <w:rFonts w:ascii="Verdana" w:hAnsi="Verdana"/>
          <w:i/>
          <w:sz w:val="16"/>
          <w:szCs w:val="16"/>
        </w:rPr>
        <w:t>Informe del Relator Especial sobre la tortura</w:t>
      </w:r>
      <w:r>
        <w:rPr>
          <w:rFonts w:ascii="Verdana" w:hAnsi="Verdana"/>
          <w:i/>
          <w:sz w:val="16"/>
          <w:szCs w:val="16"/>
        </w:rPr>
        <w:t>,</w:t>
      </w:r>
      <w:r w:rsidRPr="008D0846">
        <w:rPr>
          <w:rFonts w:ascii="Verdana" w:hAnsi="Verdana"/>
          <w:sz w:val="16"/>
          <w:szCs w:val="16"/>
        </w:rPr>
        <w:t xml:space="preserve"> </w:t>
      </w:r>
      <w:r w:rsidRPr="00432ABC">
        <w:rPr>
          <w:rFonts w:ascii="Verdana" w:hAnsi="Verdana"/>
          <w:sz w:val="16"/>
          <w:szCs w:val="16"/>
        </w:rPr>
        <w:t xml:space="preserve">29 de diciembre de 2014, </w:t>
      </w:r>
      <w:r w:rsidRPr="00432ABC">
        <w:rPr>
          <w:rFonts w:ascii="Verdana" w:hAnsi="Verdana"/>
          <w:i/>
          <w:sz w:val="16"/>
          <w:szCs w:val="16"/>
        </w:rPr>
        <w:t>supra</w:t>
      </w:r>
      <w:r w:rsidRPr="00432ABC">
        <w:rPr>
          <w:rFonts w:ascii="Verdana" w:hAnsi="Verdana"/>
          <w:sz w:val="16"/>
          <w:szCs w:val="16"/>
        </w:rPr>
        <w:t xml:space="preserve">, párr. 22; ONU. </w:t>
      </w:r>
      <w:r w:rsidRPr="00432ABC">
        <w:rPr>
          <w:rFonts w:ascii="Verdana" w:hAnsi="Verdana"/>
          <w:i/>
          <w:sz w:val="16"/>
          <w:szCs w:val="16"/>
        </w:rPr>
        <w:t>Informe del Relator Especial sobre las ejecuciones extrajudiciales, sumarias o arbitrarias de las Naciones Unidas acerca del seguimiento de su misión a México</w:t>
      </w:r>
      <w:r w:rsidRPr="00432ABC">
        <w:rPr>
          <w:rFonts w:ascii="Verdana" w:hAnsi="Verdana"/>
          <w:sz w:val="16"/>
          <w:szCs w:val="16"/>
        </w:rPr>
        <w:t>, A/HRC/32/39/Add.2, 6 de mayo de 2016, párrs. 13 y 66; ONU.</w:t>
      </w:r>
      <w:r w:rsidRPr="00432ABC">
        <w:rPr>
          <w:rFonts w:ascii="Verdana" w:hAnsi="Verdana"/>
          <w:i/>
          <w:sz w:val="16"/>
          <w:szCs w:val="16"/>
        </w:rPr>
        <w:t xml:space="preserve"> Informe de seguimiento del Relator Especial sobre la Tortura y otros Tratos o Penas Crueles, Inhumanos y Degradantes - México</w:t>
      </w:r>
      <w:r w:rsidRPr="00432ABC">
        <w:rPr>
          <w:rFonts w:ascii="Verdana" w:hAnsi="Verdana"/>
          <w:sz w:val="16"/>
          <w:szCs w:val="16"/>
        </w:rPr>
        <w:t xml:space="preserve">, A/HCR/34/54/Add.4, 17 de febrero de 2017, párr. 33; ONU. </w:t>
      </w:r>
      <w:r w:rsidRPr="00432ABC">
        <w:rPr>
          <w:rFonts w:ascii="Verdana" w:hAnsi="Verdana"/>
          <w:i/>
          <w:sz w:val="16"/>
          <w:szCs w:val="16"/>
        </w:rPr>
        <w:t xml:space="preserve">Informe del Relator Especial sobre la Situación de los Defensores de los Derechos Humanos </w:t>
      </w:r>
      <w:r w:rsidRPr="00432ABC">
        <w:rPr>
          <w:rFonts w:ascii="Verdana" w:hAnsi="Verdana"/>
          <w:sz w:val="16"/>
          <w:szCs w:val="16"/>
        </w:rPr>
        <w:t xml:space="preserve">[,] </w:t>
      </w:r>
      <w:r w:rsidRPr="00432ABC">
        <w:rPr>
          <w:rFonts w:ascii="Verdana" w:hAnsi="Verdana"/>
          <w:i/>
          <w:sz w:val="16"/>
          <w:szCs w:val="16"/>
        </w:rPr>
        <w:t xml:space="preserve">relativo a su Misión a México, </w:t>
      </w:r>
      <w:r w:rsidRPr="00432ABC">
        <w:rPr>
          <w:rFonts w:ascii="Verdana" w:hAnsi="Verdana"/>
          <w:sz w:val="16"/>
          <w:szCs w:val="16"/>
        </w:rPr>
        <w:t xml:space="preserve">A/HCR/37/51/Add.2, 12 de febrero de 2018, párrs. 12 y 15, y ONU. </w:t>
      </w:r>
      <w:r w:rsidRPr="00432ABC">
        <w:rPr>
          <w:rFonts w:ascii="Verdana" w:hAnsi="Verdana"/>
          <w:i/>
          <w:sz w:val="16"/>
          <w:szCs w:val="16"/>
        </w:rPr>
        <w:t xml:space="preserve">Informe de la Relatora Especial sobre los derechos de los pueblos indígenas sobre su visita a México, </w:t>
      </w:r>
      <w:r w:rsidRPr="00432ABC">
        <w:rPr>
          <w:rFonts w:ascii="Verdana" w:hAnsi="Verdana"/>
          <w:sz w:val="16"/>
          <w:szCs w:val="16"/>
        </w:rPr>
        <w:t>A/HCR/39/17/Add.2, 28 de junio de 2018, párr. 60. En el mismo sentido</w:t>
      </w:r>
      <w:r>
        <w:rPr>
          <w:rFonts w:ascii="Verdana" w:hAnsi="Verdana"/>
          <w:sz w:val="16"/>
          <w:szCs w:val="16"/>
        </w:rPr>
        <w:t>:</w:t>
      </w:r>
      <w:r w:rsidRPr="00432ABC">
        <w:rPr>
          <w:rFonts w:ascii="Verdana" w:hAnsi="Verdana"/>
          <w:sz w:val="16"/>
          <w:szCs w:val="16"/>
        </w:rPr>
        <w:t xml:space="preserve"> </w:t>
      </w:r>
      <w:r w:rsidRPr="00CD5C54">
        <w:rPr>
          <w:rFonts w:ascii="Verdana" w:hAnsi="Verdana"/>
          <w:i/>
          <w:sz w:val="16"/>
          <w:szCs w:val="16"/>
        </w:rPr>
        <w:t>Cfr.</w:t>
      </w:r>
      <w:r w:rsidRPr="00432ABC">
        <w:rPr>
          <w:rFonts w:ascii="Verdana" w:hAnsi="Verdana"/>
          <w:sz w:val="16"/>
          <w:szCs w:val="16"/>
        </w:rPr>
        <w:t xml:space="preserve"> Declaración pericial de Alejandro Madrazo Lajous rendida </w:t>
      </w:r>
      <w:r>
        <w:rPr>
          <w:rFonts w:ascii="Verdana" w:hAnsi="Verdana"/>
          <w:sz w:val="16"/>
          <w:szCs w:val="16"/>
        </w:rPr>
        <w:t>el</w:t>
      </w:r>
      <w:r w:rsidRPr="00432ABC">
        <w:rPr>
          <w:rFonts w:ascii="Verdana" w:hAnsi="Verdana"/>
          <w:sz w:val="16"/>
          <w:szCs w:val="16"/>
        </w:rPr>
        <w:t xml:space="preserve"> 19 de abril de 2018, </w:t>
      </w:r>
      <w:r w:rsidRPr="00432ABC">
        <w:rPr>
          <w:rFonts w:ascii="Verdana" w:hAnsi="Verdana"/>
          <w:i/>
          <w:sz w:val="16"/>
          <w:szCs w:val="16"/>
        </w:rPr>
        <w:t>supra</w:t>
      </w:r>
      <w:r w:rsidRPr="00432ABC">
        <w:rPr>
          <w:rFonts w:ascii="Verdana" w:hAnsi="Verdana"/>
          <w:sz w:val="16"/>
          <w:szCs w:val="16"/>
        </w:rPr>
        <w:t xml:space="preserve"> </w:t>
      </w:r>
      <w:r>
        <w:rPr>
          <w:rFonts w:ascii="Verdana" w:hAnsi="Verdana"/>
          <w:sz w:val="16"/>
          <w:szCs w:val="16"/>
        </w:rPr>
        <w:t xml:space="preserve">(expediente de prueba, </w:t>
      </w:r>
      <w:r w:rsidRPr="00453199">
        <w:rPr>
          <w:rFonts w:ascii="Verdana" w:hAnsi="Verdana"/>
          <w:i/>
          <w:sz w:val="16"/>
          <w:szCs w:val="16"/>
        </w:rPr>
        <w:t>Affidávits</w:t>
      </w:r>
      <w:r>
        <w:rPr>
          <w:rFonts w:ascii="Verdana" w:hAnsi="Verdana"/>
          <w:sz w:val="16"/>
          <w:szCs w:val="16"/>
        </w:rPr>
        <w:t xml:space="preserve">, </w:t>
      </w:r>
      <w:r w:rsidRPr="00432ABC">
        <w:rPr>
          <w:rFonts w:ascii="Verdana" w:hAnsi="Verdana"/>
          <w:sz w:val="16"/>
          <w:szCs w:val="16"/>
        </w:rPr>
        <w:t>f. 30969</w:t>
      </w:r>
      <w:r>
        <w:rPr>
          <w:rFonts w:ascii="Verdana" w:hAnsi="Verdana"/>
          <w:sz w:val="16"/>
          <w:szCs w:val="16"/>
        </w:rPr>
        <w:t>)</w:t>
      </w:r>
      <w:r w:rsidRPr="00432ABC">
        <w:rPr>
          <w:rFonts w:ascii="Verdana" w:hAnsi="Verdana"/>
          <w:sz w:val="16"/>
          <w:szCs w:val="16"/>
        </w:rPr>
        <w:t>.</w:t>
      </w:r>
    </w:p>
  </w:footnote>
  <w:footnote w:id="60">
    <w:p w14:paraId="3BDC2CDF" w14:textId="6EC5D8BB" w:rsidR="00146958" w:rsidRPr="00432ABC" w:rsidRDefault="00146958">
      <w:pPr>
        <w:pStyle w:val="FootnoteText"/>
        <w:jc w:val="both"/>
        <w:rPr>
          <w:rFonts w:ascii="Verdana" w:hAnsi="Verdana"/>
          <w:sz w:val="16"/>
          <w:szCs w:val="16"/>
        </w:rPr>
      </w:pPr>
      <w:r w:rsidRPr="00432ABC">
        <w:rPr>
          <w:rStyle w:val="FootnoteReference"/>
          <w:rFonts w:ascii="Verdana" w:hAnsi="Verdana"/>
          <w:sz w:val="16"/>
          <w:szCs w:val="16"/>
        </w:rPr>
        <w:footnoteRef/>
      </w:r>
      <w:r w:rsidRPr="00432ABC">
        <w:rPr>
          <w:rFonts w:ascii="Verdana" w:hAnsi="Verdana"/>
          <w:sz w:val="16"/>
          <w:szCs w:val="16"/>
        </w:rPr>
        <w:t xml:space="preserve"> </w:t>
      </w:r>
      <w:r w:rsidRPr="00432ABC">
        <w:rPr>
          <w:rFonts w:ascii="Verdana" w:hAnsi="Verdana"/>
          <w:sz w:val="16"/>
          <w:szCs w:val="16"/>
        </w:rPr>
        <w:tab/>
        <w:t xml:space="preserve">ONU. Consejo de Derechos Humanos, </w:t>
      </w:r>
      <w:r w:rsidRPr="00432ABC">
        <w:rPr>
          <w:rFonts w:ascii="Verdana" w:hAnsi="Verdana"/>
          <w:i/>
          <w:sz w:val="16"/>
          <w:szCs w:val="16"/>
        </w:rPr>
        <w:t xml:space="preserve">Informe del Grupo de Trabajo sobre las Desapariciones Forzadas o Involuntarias </w:t>
      </w:r>
      <w:r w:rsidRPr="002C462C">
        <w:rPr>
          <w:rFonts w:ascii="Verdana" w:hAnsi="Verdana"/>
          <w:sz w:val="16"/>
          <w:szCs w:val="16"/>
        </w:rPr>
        <w:t>[GTDFI]</w:t>
      </w:r>
      <w:r>
        <w:rPr>
          <w:rFonts w:ascii="Verdana" w:hAnsi="Verdana"/>
          <w:sz w:val="16"/>
          <w:szCs w:val="16"/>
        </w:rPr>
        <w:t xml:space="preserve">, Adición, </w:t>
      </w:r>
      <w:r w:rsidRPr="002C462C">
        <w:rPr>
          <w:rFonts w:ascii="Verdana" w:hAnsi="Verdana"/>
          <w:i/>
          <w:sz w:val="16"/>
          <w:szCs w:val="16"/>
        </w:rPr>
        <w:t>Misión a Méx</w:t>
      </w:r>
      <w:r w:rsidRPr="00432ABC">
        <w:rPr>
          <w:rFonts w:ascii="Verdana" w:hAnsi="Verdana"/>
          <w:i/>
          <w:sz w:val="16"/>
          <w:szCs w:val="16"/>
        </w:rPr>
        <w:t xml:space="preserve">ico, </w:t>
      </w:r>
      <w:r w:rsidRPr="00432ABC">
        <w:rPr>
          <w:rFonts w:ascii="Verdana" w:hAnsi="Verdana"/>
          <w:sz w:val="16"/>
          <w:szCs w:val="16"/>
        </w:rPr>
        <w:t xml:space="preserve">A/HRC/19/58/Add.2, 20 de diciembre de 2011, párr. 23. Por su parte, la CNDH señaló que, en su concepto, “las fuerzas armadas del país constitucionalmente no tienen la posibilidad de intervenir en tareas de seguridad pública; menos de sustituir la función encomendada a la autoridad civil […] en tareas policiales […]”. </w:t>
      </w:r>
      <w:r w:rsidRPr="00CD5C54">
        <w:rPr>
          <w:rFonts w:ascii="Verdana" w:hAnsi="Verdana"/>
          <w:i/>
          <w:sz w:val="16"/>
          <w:szCs w:val="16"/>
        </w:rPr>
        <w:t>Cfr.</w:t>
      </w:r>
      <w:r w:rsidRPr="00432ABC">
        <w:rPr>
          <w:rFonts w:ascii="Verdana" w:hAnsi="Verdana"/>
          <w:i/>
          <w:sz w:val="16"/>
          <w:szCs w:val="16"/>
        </w:rPr>
        <w:t xml:space="preserve"> </w:t>
      </w:r>
      <w:r w:rsidRPr="00432ABC">
        <w:rPr>
          <w:rFonts w:ascii="Verdana" w:hAnsi="Verdana"/>
          <w:sz w:val="16"/>
          <w:szCs w:val="16"/>
        </w:rPr>
        <w:t xml:space="preserve">CNDH. </w:t>
      </w:r>
      <w:r w:rsidRPr="00432ABC">
        <w:rPr>
          <w:rFonts w:ascii="Verdana" w:hAnsi="Verdana"/>
          <w:i/>
          <w:sz w:val="16"/>
          <w:szCs w:val="16"/>
        </w:rPr>
        <w:t>Segundo Informe Especial de la CNDH sobre el Ejercicio Efectivo del Derecho Fundamental a la Seguridad en Nuestro País</w:t>
      </w:r>
      <w:r w:rsidRPr="00432ABC">
        <w:rPr>
          <w:rFonts w:ascii="Verdana" w:hAnsi="Verdana"/>
          <w:sz w:val="16"/>
          <w:szCs w:val="16"/>
        </w:rPr>
        <w:t xml:space="preserve"> [sic], 2008, </w:t>
      </w:r>
      <w:r w:rsidRPr="00432ABC">
        <w:rPr>
          <w:rFonts w:ascii="Verdana" w:hAnsi="Verdana"/>
          <w:i/>
          <w:sz w:val="16"/>
          <w:szCs w:val="16"/>
        </w:rPr>
        <w:t>supra</w:t>
      </w:r>
      <w:r w:rsidRPr="00432ABC">
        <w:rPr>
          <w:rFonts w:ascii="Verdana" w:hAnsi="Verdana"/>
          <w:sz w:val="16"/>
          <w:szCs w:val="16"/>
        </w:rPr>
        <w:t>, pág. 94. En este mismo sentido, los peritos Gabriella Citroni y Alejandro</w:t>
      </w:r>
      <w:r>
        <w:rPr>
          <w:rFonts w:ascii="Verdana" w:hAnsi="Verdana"/>
          <w:sz w:val="16"/>
          <w:szCs w:val="16"/>
        </w:rPr>
        <w:t xml:space="preserve"> Madrazo</w:t>
      </w:r>
      <w:r w:rsidRPr="00432ABC">
        <w:rPr>
          <w:rFonts w:ascii="Verdana" w:hAnsi="Verdana"/>
          <w:sz w:val="16"/>
          <w:szCs w:val="16"/>
        </w:rPr>
        <w:t xml:space="preserve"> Lajous coincidieron en señalar en sus declaraciones juradas rendidas ante el Tribunal, que en el marco del despliegue masivo de las fuerzas armadas en México</w:t>
      </w:r>
      <w:r>
        <w:rPr>
          <w:rFonts w:ascii="Verdana" w:hAnsi="Verdana"/>
          <w:sz w:val="16"/>
          <w:szCs w:val="16"/>
        </w:rPr>
        <w:t>,</w:t>
      </w:r>
      <w:r w:rsidRPr="00432ABC">
        <w:rPr>
          <w:rFonts w:ascii="Verdana" w:hAnsi="Verdana"/>
          <w:sz w:val="16"/>
          <w:szCs w:val="16"/>
        </w:rPr>
        <w:t xml:space="preserve"> eran asignadas a estas últimas “tareas normalmente reservadas para la policía y otras autoridades civiles y [les] [eran] reconoci[dos] poderes especiales” con base en “un frágil sustento constitucional”.</w:t>
      </w:r>
      <w:r w:rsidRPr="00432ABC">
        <w:rPr>
          <w:rFonts w:ascii="Verdana" w:hAnsi="Verdana"/>
          <w:i/>
          <w:sz w:val="16"/>
          <w:szCs w:val="16"/>
        </w:rPr>
        <w:t xml:space="preserve"> </w:t>
      </w:r>
      <w:r w:rsidRPr="00CD5C54">
        <w:rPr>
          <w:rFonts w:ascii="Verdana" w:hAnsi="Verdana"/>
          <w:i/>
          <w:sz w:val="16"/>
          <w:szCs w:val="16"/>
        </w:rPr>
        <w:t>Cfr.</w:t>
      </w:r>
      <w:r w:rsidRPr="00432ABC">
        <w:rPr>
          <w:rFonts w:ascii="Verdana" w:hAnsi="Verdana"/>
          <w:i/>
          <w:sz w:val="16"/>
          <w:szCs w:val="16"/>
        </w:rPr>
        <w:t xml:space="preserve"> </w:t>
      </w:r>
      <w:r w:rsidRPr="00432ABC">
        <w:rPr>
          <w:rFonts w:ascii="Verdana" w:hAnsi="Verdana"/>
          <w:sz w:val="16"/>
          <w:szCs w:val="16"/>
        </w:rPr>
        <w:t xml:space="preserve">Declaración pericial de Gabriella Citroni rendida </w:t>
      </w:r>
      <w:r>
        <w:rPr>
          <w:rFonts w:ascii="Verdana" w:hAnsi="Verdana"/>
          <w:sz w:val="16"/>
          <w:szCs w:val="16"/>
        </w:rPr>
        <w:t>el</w:t>
      </w:r>
      <w:r w:rsidRPr="00432ABC">
        <w:rPr>
          <w:rFonts w:ascii="Verdana" w:hAnsi="Verdana"/>
          <w:sz w:val="16"/>
          <w:szCs w:val="16"/>
        </w:rPr>
        <w:t xml:space="preserve"> 18 de abril de 2018, </w:t>
      </w:r>
      <w:r w:rsidRPr="00432ABC">
        <w:rPr>
          <w:rFonts w:ascii="Verdana" w:hAnsi="Verdana"/>
          <w:i/>
          <w:sz w:val="16"/>
          <w:szCs w:val="16"/>
        </w:rPr>
        <w:t xml:space="preserve">supra </w:t>
      </w:r>
      <w:r>
        <w:rPr>
          <w:rFonts w:ascii="Verdana" w:hAnsi="Verdana"/>
          <w:sz w:val="16"/>
          <w:szCs w:val="16"/>
        </w:rPr>
        <w:t xml:space="preserve">(expediente de prueba, </w:t>
      </w:r>
      <w:r w:rsidRPr="00453199">
        <w:rPr>
          <w:rFonts w:ascii="Verdana" w:hAnsi="Verdana"/>
          <w:i/>
          <w:sz w:val="16"/>
          <w:szCs w:val="16"/>
        </w:rPr>
        <w:t>Affidávits</w:t>
      </w:r>
      <w:r>
        <w:rPr>
          <w:rFonts w:ascii="Verdana" w:hAnsi="Verdana"/>
          <w:sz w:val="16"/>
          <w:szCs w:val="16"/>
        </w:rPr>
        <w:t xml:space="preserve">, </w:t>
      </w:r>
      <w:r w:rsidRPr="00432ABC">
        <w:rPr>
          <w:rFonts w:ascii="Verdana" w:hAnsi="Verdana"/>
          <w:sz w:val="16"/>
          <w:szCs w:val="16"/>
        </w:rPr>
        <w:t>f. 31061</w:t>
      </w:r>
      <w:r>
        <w:rPr>
          <w:rFonts w:ascii="Verdana" w:hAnsi="Verdana"/>
          <w:sz w:val="16"/>
          <w:szCs w:val="16"/>
        </w:rPr>
        <w:t>)</w:t>
      </w:r>
      <w:r w:rsidRPr="00432ABC">
        <w:rPr>
          <w:rFonts w:ascii="Verdana" w:hAnsi="Verdana"/>
          <w:sz w:val="16"/>
          <w:szCs w:val="16"/>
        </w:rPr>
        <w:t xml:space="preserve">, y Declaración pericial de Alejandro Madrazo Lajous rendida </w:t>
      </w:r>
      <w:r>
        <w:rPr>
          <w:rFonts w:ascii="Verdana" w:hAnsi="Verdana"/>
          <w:sz w:val="16"/>
          <w:szCs w:val="16"/>
        </w:rPr>
        <w:t>el</w:t>
      </w:r>
      <w:r w:rsidRPr="00432ABC">
        <w:rPr>
          <w:rFonts w:ascii="Verdana" w:hAnsi="Verdana"/>
          <w:sz w:val="16"/>
          <w:szCs w:val="16"/>
        </w:rPr>
        <w:t xml:space="preserve"> 19 de abril de 2018, </w:t>
      </w:r>
      <w:r w:rsidRPr="00432ABC">
        <w:rPr>
          <w:rFonts w:ascii="Verdana" w:hAnsi="Verdana"/>
          <w:i/>
          <w:sz w:val="16"/>
          <w:szCs w:val="16"/>
        </w:rPr>
        <w:t>supra</w:t>
      </w:r>
      <w:r w:rsidRPr="00432ABC">
        <w:rPr>
          <w:rFonts w:ascii="Verdana" w:hAnsi="Verdana"/>
          <w:sz w:val="16"/>
          <w:szCs w:val="16"/>
        </w:rPr>
        <w:t xml:space="preserve"> </w:t>
      </w:r>
      <w:r>
        <w:rPr>
          <w:rFonts w:ascii="Verdana" w:hAnsi="Verdana"/>
          <w:sz w:val="16"/>
          <w:szCs w:val="16"/>
        </w:rPr>
        <w:t xml:space="preserve">(expediente de prueba, </w:t>
      </w:r>
      <w:r w:rsidRPr="00453199">
        <w:rPr>
          <w:rFonts w:ascii="Verdana" w:hAnsi="Verdana"/>
          <w:i/>
          <w:sz w:val="16"/>
          <w:szCs w:val="16"/>
        </w:rPr>
        <w:t>Affidávits</w:t>
      </w:r>
      <w:r>
        <w:rPr>
          <w:rFonts w:ascii="Verdana" w:hAnsi="Verdana"/>
          <w:sz w:val="16"/>
          <w:szCs w:val="16"/>
        </w:rPr>
        <w:t xml:space="preserve">, </w:t>
      </w:r>
      <w:r w:rsidRPr="00432ABC">
        <w:rPr>
          <w:rFonts w:ascii="Verdana" w:hAnsi="Verdana"/>
          <w:sz w:val="16"/>
          <w:szCs w:val="16"/>
        </w:rPr>
        <w:t>ff. 30969, 30970, 30972, 30974 y 30975</w:t>
      </w:r>
      <w:r>
        <w:rPr>
          <w:rFonts w:ascii="Verdana" w:hAnsi="Verdana"/>
          <w:sz w:val="16"/>
          <w:szCs w:val="16"/>
        </w:rPr>
        <w:t>)</w:t>
      </w:r>
      <w:r w:rsidRPr="00432ABC">
        <w:rPr>
          <w:rFonts w:ascii="Verdana" w:hAnsi="Verdana"/>
          <w:sz w:val="16"/>
          <w:szCs w:val="16"/>
        </w:rPr>
        <w:t xml:space="preserve">. </w:t>
      </w:r>
    </w:p>
  </w:footnote>
  <w:footnote w:id="61">
    <w:p w14:paraId="72C741D1" w14:textId="55CDB3C7" w:rsidR="00146958" w:rsidRPr="00432ABC" w:rsidRDefault="00146958">
      <w:pPr>
        <w:pStyle w:val="FootnoteText"/>
        <w:jc w:val="both"/>
        <w:rPr>
          <w:rFonts w:ascii="Verdana" w:hAnsi="Verdana"/>
          <w:sz w:val="16"/>
          <w:szCs w:val="16"/>
        </w:rPr>
      </w:pPr>
      <w:r w:rsidRPr="00432ABC">
        <w:rPr>
          <w:rStyle w:val="FootnoteReference"/>
          <w:rFonts w:ascii="Verdana" w:hAnsi="Verdana"/>
          <w:sz w:val="16"/>
          <w:szCs w:val="16"/>
        </w:rPr>
        <w:footnoteRef/>
      </w:r>
      <w:r w:rsidRPr="00432ABC">
        <w:rPr>
          <w:rFonts w:ascii="Verdana" w:hAnsi="Verdana"/>
          <w:sz w:val="16"/>
          <w:szCs w:val="16"/>
        </w:rPr>
        <w:t xml:space="preserve"> </w:t>
      </w:r>
      <w:r w:rsidRPr="00432ABC">
        <w:rPr>
          <w:rFonts w:ascii="Verdana" w:hAnsi="Verdana"/>
          <w:sz w:val="16"/>
          <w:szCs w:val="16"/>
        </w:rPr>
        <w:tab/>
      </w:r>
      <w:r w:rsidRPr="00CD5C54">
        <w:rPr>
          <w:rFonts w:ascii="Verdana" w:hAnsi="Verdana"/>
          <w:i/>
          <w:sz w:val="16"/>
          <w:szCs w:val="16"/>
        </w:rPr>
        <w:t>Cfr.</w:t>
      </w:r>
      <w:r w:rsidRPr="002C462C">
        <w:rPr>
          <w:rFonts w:ascii="Verdana" w:hAnsi="Verdana"/>
          <w:sz w:val="16"/>
          <w:szCs w:val="16"/>
        </w:rPr>
        <w:t xml:space="preserve"> ONU. </w:t>
      </w:r>
      <w:r w:rsidRPr="002C462C">
        <w:rPr>
          <w:rFonts w:ascii="Verdana" w:hAnsi="Verdana"/>
          <w:i/>
          <w:sz w:val="16"/>
          <w:szCs w:val="16"/>
        </w:rPr>
        <w:t xml:space="preserve">Informe del GTDFI, Misión a México, </w:t>
      </w:r>
      <w:r w:rsidRPr="00432ABC">
        <w:rPr>
          <w:rFonts w:ascii="Verdana" w:hAnsi="Verdana"/>
          <w:sz w:val="16"/>
          <w:szCs w:val="16"/>
        </w:rPr>
        <w:t>20 de diciembre de 2011,</w:t>
      </w:r>
      <w:r w:rsidRPr="00432ABC">
        <w:rPr>
          <w:rFonts w:ascii="Verdana" w:hAnsi="Verdana"/>
          <w:i/>
          <w:sz w:val="16"/>
          <w:szCs w:val="16"/>
        </w:rPr>
        <w:t xml:space="preserve"> supra</w:t>
      </w:r>
      <w:r w:rsidRPr="00432ABC">
        <w:rPr>
          <w:rFonts w:ascii="Verdana" w:hAnsi="Verdana"/>
          <w:sz w:val="16"/>
          <w:szCs w:val="16"/>
        </w:rPr>
        <w:t>, párrs. 23 y 26.</w:t>
      </w:r>
    </w:p>
  </w:footnote>
  <w:footnote w:id="62">
    <w:p w14:paraId="2A28A277" w14:textId="1907C26A" w:rsidR="00146958" w:rsidRPr="00432ABC" w:rsidRDefault="00146958">
      <w:pPr>
        <w:pStyle w:val="FootnoteText"/>
        <w:jc w:val="both"/>
        <w:rPr>
          <w:rFonts w:ascii="Verdana" w:hAnsi="Verdana"/>
          <w:sz w:val="16"/>
          <w:szCs w:val="16"/>
        </w:rPr>
      </w:pPr>
      <w:r w:rsidRPr="00432ABC">
        <w:rPr>
          <w:rStyle w:val="FootnoteReference"/>
          <w:rFonts w:ascii="Verdana" w:hAnsi="Verdana"/>
          <w:sz w:val="16"/>
          <w:szCs w:val="16"/>
        </w:rPr>
        <w:footnoteRef/>
      </w:r>
      <w:r w:rsidRPr="00432ABC">
        <w:rPr>
          <w:rFonts w:ascii="Verdana" w:hAnsi="Verdana"/>
          <w:sz w:val="16"/>
          <w:szCs w:val="16"/>
        </w:rPr>
        <w:t xml:space="preserve"> </w:t>
      </w:r>
      <w:r w:rsidRPr="00432ABC">
        <w:rPr>
          <w:rFonts w:ascii="Verdana" w:hAnsi="Verdana"/>
          <w:sz w:val="16"/>
          <w:szCs w:val="16"/>
        </w:rPr>
        <w:tab/>
        <w:t>Al respecto, el GTDFI señaló en 2011: “U</w:t>
      </w:r>
      <w:r w:rsidRPr="002C462C">
        <w:rPr>
          <w:rFonts w:ascii="Verdana" w:hAnsi="Verdana"/>
          <w:sz w:val="16"/>
          <w:szCs w:val="16"/>
        </w:rPr>
        <w:t xml:space="preserve">n elevado número de elementos castrenses son titulares de la policía estatal (en seis entidades) o de las Secretarías de Seguridad Pública estatal (en 14 estados). Adicionalmente, un número significativo de los cuerpos de policía municipal son dirigidos por oficiales militares. [La] SEDENA informó al Grupo de Trabajo que estos elementos militares (en la mayoría de los casos en retiro) no se encontraban bajo su supervisión […]”. </w:t>
      </w:r>
      <w:r w:rsidRPr="00CD5C54">
        <w:rPr>
          <w:rFonts w:ascii="Verdana" w:hAnsi="Verdana"/>
          <w:i/>
          <w:sz w:val="16"/>
          <w:szCs w:val="16"/>
        </w:rPr>
        <w:t>Cfr.</w:t>
      </w:r>
      <w:r w:rsidRPr="00432ABC">
        <w:rPr>
          <w:rFonts w:ascii="Verdana" w:hAnsi="Verdana"/>
          <w:sz w:val="16"/>
          <w:szCs w:val="16"/>
        </w:rPr>
        <w:t xml:space="preserve"> ONU. </w:t>
      </w:r>
      <w:r w:rsidRPr="00432ABC">
        <w:rPr>
          <w:rFonts w:ascii="Verdana" w:hAnsi="Verdana"/>
          <w:i/>
          <w:sz w:val="16"/>
          <w:szCs w:val="16"/>
        </w:rPr>
        <w:t xml:space="preserve">Informe del GTDFI, Misión a México, </w:t>
      </w:r>
      <w:r w:rsidRPr="00432ABC">
        <w:rPr>
          <w:rFonts w:ascii="Verdana" w:hAnsi="Verdana"/>
          <w:sz w:val="16"/>
          <w:szCs w:val="16"/>
        </w:rPr>
        <w:t xml:space="preserve">20 de diciembre de 2011, </w:t>
      </w:r>
      <w:r w:rsidRPr="00432ABC">
        <w:rPr>
          <w:rFonts w:ascii="Verdana" w:hAnsi="Verdana"/>
          <w:i/>
          <w:sz w:val="16"/>
          <w:szCs w:val="16"/>
        </w:rPr>
        <w:t>supra</w:t>
      </w:r>
      <w:r w:rsidRPr="00432ABC">
        <w:rPr>
          <w:rFonts w:ascii="Verdana" w:hAnsi="Verdana"/>
          <w:sz w:val="16"/>
          <w:szCs w:val="16"/>
        </w:rPr>
        <w:t>, párr. 24.</w:t>
      </w:r>
    </w:p>
  </w:footnote>
  <w:footnote w:id="63">
    <w:p w14:paraId="0330710D" w14:textId="24DFB182" w:rsidR="00146958" w:rsidRPr="00432ABC" w:rsidRDefault="00146958">
      <w:pPr>
        <w:pStyle w:val="FootnoteText"/>
        <w:jc w:val="both"/>
        <w:rPr>
          <w:rFonts w:ascii="Verdana" w:hAnsi="Verdana"/>
          <w:sz w:val="16"/>
          <w:szCs w:val="16"/>
        </w:rPr>
      </w:pPr>
      <w:r w:rsidRPr="00432ABC">
        <w:rPr>
          <w:rStyle w:val="FootnoteReference"/>
          <w:rFonts w:ascii="Verdana" w:hAnsi="Verdana"/>
          <w:sz w:val="16"/>
          <w:szCs w:val="16"/>
        </w:rPr>
        <w:footnoteRef/>
      </w:r>
      <w:r w:rsidRPr="00432ABC">
        <w:rPr>
          <w:rFonts w:ascii="Verdana" w:hAnsi="Verdana"/>
          <w:sz w:val="16"/>
          <w:szCs w:val="16"/>
        </w:rPr>
        <w:t xml:space="preserve"> </w:t>
      </w:r>
      <w:r w:rsidRPr="00432ABC">
        <w:rPr>
          <w:rFonts w:ascii="Verdana" w:hAnsi="Verdana"/>
          <w:sz w:val="16"/>
          <w:szCs w:val="16"/>
        </w:rPr>
        <w:tab/>
      </w:r>
      <w:r>
        <w:rPr>
          <w:rFonts w:ascii="Verdana" w:hAnsi="Verdana"/>
          <w:sz w:val="16"/>
          <w:szCs w:val="16"/>
        </w:rPr>
        <w:t>El</w:t>
      </w:r>
      <w:r w:rsidRPr="00432ABC">
        <w:rPr>
          <w:rFonts w:ascii="Verdana" w:hAnsi="Verdana"/>
          <w:sz w:val="16"/>
          <w:szCs w:val="16"/>
        </w:rPr>
        <w:t xml:space="preserve"> Relator Especial sobre la tortura indicó en 2014: “La militarización de la seguridad pública se mantiene como estrategia, ya </w:t>
      </w:r>
      <w:r w:rsidRPr="002C462C">
        <w:rPr>
          <w:rFonts w:ascii="Verdana" w:hAnsi="Verdana"/>
          <w:sz w:val="16"/>
          <w:szCs w:val="16"/>
        </w:rPr>
        <w:t>que más de 32.000 militares aún cumplen tareas propias de corporaciones civiles. También se incorporaron militares retirados o en licencia a corporaciones civiles de seguridad y se creó una Gendarmería con entrenamiento militar, lo que compromete los princi</w:t>
      </w:r>
      <w:r w:rsidRPr="00432ABC">
        <w:rPr>
          <w:rFonts w:ascii="Verdana" w:hAnsi="Verdana"/>
          <w:sz w:val="16"/>
          <w:szCs w:val="16"/>
        </w:rPr>
        <w:t xml:space="preserve">pios que deben regir la fuerza pública y las garantías de los detenidos […]”. </w:t>
      </w:r>
      <w:r w:rsidRPr="00CD5C54">
        <w:rPr>
          <w:rFonts w:ascii="Verdana" w:hAnsi="Verdana"/>
          <w:i/>
          <w:sz w:val="16"/>
          <w:szCs w:val="16"/>
        </w:rPr>
        <w:t>Cfr.</w:t>
      </w:r>
      <w:r w:rsidRPr="00432ABC">
        <w:rPr>
          <w:rFonts w:ascii="Verdana" w:hAnsi="Verdana"/>
          <w:sz w:val="16"/>
          <w:szCs w:val="16"/>
        </w:rPr>
        <w:t xml:space="preserve"> ONU. </w:t>
      </w:r>
      <w:r w:rsidRPr="00432ABC">
        <w:rPr>
          <w:rFonts w:ascii="Verdana" w:hAnsi="Verdana"/>
          <w:i/>
          <w:sz w:val="16"/>
          <w:szCs w:val="16"/>
        </w:rPr>
        <w:t>Informe del Relator Especial sobre la tortura</w:t>
      </w:r>
      <w:r>
        <w:rPr>
          <w:rFonts w:ascii="Verdana" w:hAnsi="Verdana"/>
          <w:i/>
          <w:sz w:val="16"/>
          <w:szCs w:val="16"/>
        </w:rPr>
        <w:t>,</w:t>
      </w:r>
      <w:r w:rsidRPr="00432ABC">
        <w:rPr>
          <w:rFonts w:ascii="Verdana" w:hAnsi="Verdana"/>
          <w:i/>
          <w:sz w:val="16"/>
          <w:szCs w:val="16"/>
        </w:rPr>
        <w:t xml:space="preserve"> </w:t>
      </w:r>
      <w:r w:rsidRPr="00432ABC">
        <w:rPr>
          <w:rFonts w:ascii="Verdana" w:hAnsi="Verdana"/>
          <w:sz w:val="16"/>
          <w:szCs w:val="16"/>
        </w:rPr>
        <w:t xml:space="preserve">29 diciembre de 2014, </w:t>
      </w:r>
      <w:r w:rsidRPr="00432ABC">
        <w:rPr>
          <w:rFonts w:ascii="Verdana" w:hAnsi="Verdana"/>
          <w:i/>
          <w:sz w:val="16"/>
          <w:szCs w:val="16"/>
        </w:rPr>
        <w:t>supra</w:t>
      </w:r>
      <w:r w:rsidRPr="00432ABC">
        <w:rPr>
          <w:rFonts w:ascii="Verdana" w:hAnsi="Verdana"/>
          <w:sz w:val="16"/>
          <w:szCs w:val="16"/>
        </w:rPr>
        <w:t xml:space="preserve">, párr. 22. Por su parte, el Relator Especial sobre las ejecuciones extrajudiciales, sumarias o arbitrarias de la ONU, en su informe de seguimiento sobre el avance realizado por el Estado en la aplicación de las recomendaciones formuladas tras su visita oficial a México en 2013 (A/HRC/26/36/Add.1), indicó haber recibido información en el sentido de que en algunas entidades federativas la seguridad pública había sido encomendada a elementos castrenses. </w:t>
      </w:r>
      <w:r w:rsidRPr="00CD5C54">
        <w:rPr>
          <w:rFonts w:ascii="Verdana" w:hAnsi="Verdana"/>
          <w:i/>
          <w:sz w:val="16"/>
          <w:szCs w:val="16"/>
        </w:rPr>
        <w:t>Cfr.</w:t>
      </w:r>
      <w:r w:rsidRPr="00432ABC">
        <w:rPr>
          <w:rFonts w:ascii="Verdana" w:hAnsi="Verdana"/>
          <w:i/>
          <w:sz w:val="16"/>
          <w:szCs w:val="16"/>
        </w:rPr>
        <w:t xml:space="preserve"> </w:t>
      </w:r>
      <w:r w:rsidRPr="00432ABC">
        <w:rPr>
          <w:rFonts w:ascii="Verdana" w:hAnsi="Verdana"/>
          <w:sz w:val="16"/>
          <w:szCs w:val="16"/>
        </w:rPr>
        <w:t xml:space="preserve">ONU. </w:t>
      </w:r>
      <w:r w:rsidRPr="00432ABC">
        <w:rPr>
          <w:rFonts w:ascii="Verdana" w:hAnsi="Verdana"/>
          <w:i/>
          <w:sz w:val="16"/>
          <w:szCs w:val="16"/>
        </w:rPr>
        <w:t>Informe del Relator Especial sobre las ejecuciones extrajudiciales, sumarias o arbitrarias de las Naciones Unidas acerca del seguimiento de su misión a México</w:t>
      </w:r>
      <w:r w:rsidRPr="00432ABC">
        <w:rPr>
          <w:rFonts w:ascii="Verdana" w:hAnsi="Verdana"/>
          <w:sz w:val="16"/>
          <w:szCs w:val="16"/>
        </w:rPr>
        <w:t xml:space="preserve">,  A/HRC/32/39/Add.2, 6 de mayo de 2016, párr. 12. </w:t>
      </w:r>
      <w:r w:rsidRPr="00432ABC">
        <w:rPr>
          <w:rFonts w:ascii="Verdana" w:hAnsi="Verdana" w:cs="Arial"/>
          <w:sz w:val="16"/>
          <w:szCs w:val="16"/>
          <w:lang w:val="es-CR"/>
        </w:rPr>
        <w:t>Por otra parte, se toma nota de diversas recomendaciones realizadas a México por distintos organismos internacionales y procedimientos especiales dirigidas al Estado mexicano</w:t>
      </w:r>
      <w:r w:rsidRPr="00432ABC">
        <w:rPr>
          <w:rFonts w:ascii="Verdana" w:hAnsi="Verdana" w:cs="Arial"/>
          <w:sz w:val="16"/>
          <w:szCs w:val="16"/>
        </w:rPr>
        <w:t xml:space="preserve"> ante el contexto de militarización de la seguridad ciudadana y las alegadas violaciones de derechos humanos que habrían sucedido en su jurisdicción.</w:t>
      </w:r>
      <w:r w:rsidRPr="00432ABC">
        <w:rPr>
          <w:rFonts w:ascii="Verdana" w:hAnsi="Verdana" w:cs="Arial"/>
          <w:sz w:val="16"/>
          <w:szCs w:val="16"/>
          <w:lang w:val="es-CR"/>
        </w:rPr>
        <w:t xml:space="preserve"> Dichas recomendaciones concluyen de manera similar en aspectos como: </w:t>
      </w:r>
      <w:r w:rsidRPr="00432ABC">
        <w:rPr>
          <w:rFonts w:ascii="Verdana" w:hAnsi="Verdana" w:cs="Arial"/>
          <w:sz w:val="16"/>
          <w:szCs w:val="16"/>
        </w:rPr>
        <w:t xml:space="preserve">i) la necesidad de desmilitarizar las estrategias de combate al crimen organizado y adecuar el marco constitucional interno para permitir un abordaje estatal de la defensa de la seguridad ciudadana conforme a estándares internacionales; ii) el establecimiento de mecanismos eficientes para el control y gradualidad en el uso de la fuerza, así como de transparencia y rendición de cuentas que permitan fiscalizar dichas labores; iii) la necesidad de adecuar su normativa interna para investigar y eventualmente sancionar en la esfera de los tribunales civiles las violaciones cometidas por elementos militares en el marco de dichas labores y garantizar la reparación de las víctimas; iv) </w:t>
      </w:r>
      <w:r w:rsidRPr="00432ABC">
        <w:rPr>
          <w:rFonts w:ascii="Verdana" w:hAnsi="Verdana" w:cs="Arial"/>
          <w:bCs/>
          <w:sz w:val="16"/>
          <w:szCs w:val="16"/>
          <w:lang w:val="es-CR"/>
        </w:rPr>
        <w:t>el combate a la impunidad mediante todos los medios disponibles que garanticen que las investigaciones y procedimientos judiciales sean expeditos y se realicen de forma independiente e imparcial y,</w:t>
      </w:r>
      <w:r w:rsidRPr="00432ABC">
        <w:rPr>
          <w:rFonts w:ascii="Verdana" w:hAnsi="Verdana" w:cs="Arial"/>
          <w:b/>
          <w:bCs/>
          <w:sz w:val="16"/>
          <w:szCs w:val="16"/>
          <w:lang w:val="es-CR"/>
        </w:rPr>
        <w:t xml:space="preserve"> </w:t>
      </w:r>
      <w:r w:rsidRPr="00432ABC">
        <w:rPr>
          <w:rFonts w:ascii="Verdana" w:hAnsi="Verdana" w:cs="Arial"/>
          <w:sz w:val="16"/>
          <w:szCs w:val="16"/>
        </w:rPr>
        <w:t>por último, v) la exigencia de una estricta separación entre tareas propiamente militares y labores policiales al llevar a cabo funciones de orden público en dichos escenarios.</w:t>
      </w:r>
      <w:r w:rsidRPr="00432ABC">
        <w:rPr>
          <w:rFonts w:ascii="Verdana" w:hAnsi="Verdana"/>
          <w:i/>
          <w:sz w:val="16"/>
          <w:szCs w:val="16"/>
        </w:rPr>
        <w:t xml:space="preserve"> </w:t>
      </w:r>
      <w:r w:rsidRPr="00CD5C54">
        <w:rPr>
          <w:rFonts w:ascii="Verdana" w:hAnsi="Verdana"/>
          <w:i/>
          <w:sz w:val="16"/>
          <w:szCs w:val="16"/>
        </w:rPr>
        <w:t>Cfr.</w:t>
      </w:r>
      <w:r w:rsidRPr="00432ABC">
        <w:rPr>
          <w:rFonts w:ascii="Verdana" w:hAnsi="Verdana"/>
          <w:sz w:val="16"/>
          <w:szCs w:val="16"/>
        </w:rPr>
        <w:t xml:space="preserve"> </w:t>
      </w:r>
      <w:r w:rsidRPr="00432ABC">
        <w:rPr>
          <w:rFonts w:ascii="Verdana" w:hAnsi="Verdana"/>
          <w:i/>
          <w:sz w:val="16"/>
          <w:szCs w:val="16"/>
        </w:rPr>
        <w:t xml:space="preserve">inter alia: </w:t>
      </w:r>
      <w:r w:rsidRPr="00432ABC">
        <w:rPr>
          <w:rFonts w:ascii="Verdana" w:hAnsi="Verdana"/>
          <w:sz w:val="16"/>
          <w:szCs w:val="16"/>
        </w:rPr>
        <w:t xml:space="preserve">ONU. Comité de Derechos Humanos. </w:t>
      </w:r>
      <w:r w:rsidRPr="00432ABC">
        <w:rPr>
          <w:rFonts w:ascii="Verdana" w:hAnsi="Verdana"/>
          <w:i/>
          <w:sz w:val="16"/>
          <w:szCs w:val="16"/>
        </w:rPr>
        <w:t>Observaciones Finales</w:t>
      </w:r>
      <w:r>
        <w:rPr>
          <w:rFonts w:ascii="Verdana" w:hAnsi="Verdana"/>
          <w:i/>
          <w:sz w:val="16"/>
          <w:szCs w:val="16"/>
        </w:rPr>
        <w:t>. México</w:t>
      </w:r>
      <w:r w:rsidRPr="00432ABC">
        <w:rPr>
          <w:rFonts w:ascii="Verdana" w:hAnsi="Verdana"/>
          <w:sz w:val="16"/>
          <w:szCs w:val="16"/>
        </w:rPr>
        <w:t>, CCPR/C/79/Add.109, 27 de julio de 1999, párr. 9</w:t>
      </w:r>
      <w:r>
        <w:rPr>
          <w:rFonts w:ascii="Verdana" w:hAnsi="Verdana"/>
          <w:sz w:val="16"/>
          <w:szCs w:val="16"/>
        </w:rPr>
        <w:t xml:space="preserve">; </w:t>
      </w:r>
      <w:r w:rsidRPr="00432ABC">
        <w:rPr>
          <w:rFonts w:ascii="Verdana" w:hAnsi="Verdana"/>
          <w:i/>
          <w:sz w:val="16"/>
          <w:szCs w:val="16"/>
          <w:lang w:val="es-CR"/>
        </w:rPr>
        <w:t>Informe del Grupo de Trabajo sobre la Detención Arbitraria acerca de su visita a México (27 de octubre a 10 de noviembre de 2002)</w:t>
      </w:r>
      <w:r w:rsidRPr="00432ABC">
        <w:rPr>
          <w:rFonts w:ascii="Verdana" w:hAnsi="Verdana"/>
          <w:sz w:val="16"/>
          <w:szCs w:val="16"/>
          <w:lang w:val="es-CR"/>
        </w:rPr>
        <w:t xml:space="preserve">, </w:t>
      </w:r>
      <w:r w:rsidRPr="00432ABC">
        <w:rPr>
          <w:rFonts w:ascii="Verdana" w:hAnsi="Verdana"/>
          <w:sz w:val="16"/>
          <w:szCs w:val="16"/>
        </w:rPr>
        <w:t xml:space="preserve">E/CN.4/2003/8/Add.3 17 de diciembre de 2002, párr. 72, inciso e); ONU. Comisión de Derechos Humanos, </w:t>
      </w:r>
      <w:r w:rsidRPr="00432ABC">
        <w:rPr>
          <w:rFonts w:ascii="Verdana" w:hAnsi="Verdana"/>
          <w:i/>
          <w:sz w:val="16"/>
          <w:szCs w:val="16"/>
        </w:rPr>
        <w:t xml:space="preserve">Informe del Relator Especial sobre la independencia de los magistrados y abogados, Sr. Dato'Param Coomaraswamy, presentado de conformidad con la resolución 2001/39 de la Comisión de Derechos Humanos, </w:t>
      </w:r>
      <w:r w:rsidRPr="00432ABC">
        <w:rPr>
          <w:rFonts w:ascii="Verdana" w:hAnsi="Verdana"/>
          <w:sz w:val="16"/>
          <w:szCs w:val="16"/>
          <w:lang w:val="es-CR"/>
        </w:rPr>
        <w:t xml:space="preserve">E/CN.4/2002/72/Add.1, 24 de enero de 2002, párrafo 192 inciso d); </w:t>
      </w:r>
      <w:r w:rsidRPr="00432ABC">
        <w:rPr>
          <w:rFonts w:ascii="Verdana" w:hAnsi="Verdana"/>
          <w:i/>
          <w:sz w:val="16"/>
          <w:szCs w:val="16"/>
        </w:rPr>
        <w:t xml:space="preserve">Informe del Relator Especial sobre la situación de los derechos humanos y las libertades fundamentales de los indígenas, Sr. Rodolfo Stavenhagen, </w:t>
      </w:r>
      <w:r w:rsidRPr="00432ABC">
        <w:rPr>
          <w:rFonts w:ascii="Verdana" w:hAnsi="Verdana"/>
          <w:sz w:val="16"/>
          <w:szCs w:val="16"/>
        </w:rPr>
        <w:t>E/CN.4/2004/80/Add.2, 23 de diciembre de 2003, párr. 90;</w:t>
      </w:r>
      <w:r w:rsidRPr="00432ABC">
        <w:rPr>
          <w:rFonts w:ascii="Verdana" w:hAnsi="Verdana"/>
          <w:i/>
          <w:sz w:val="16"/>
          <w:szCs w:val="16"/>
        </w:rPr>
        <w:t xml:space="preserve"> </w:t>
      </w:r>
      <w:r>
        <w:rPr>
          <w:rFonts w:ascii="Verdana" w:hAnsi="Verdana"/>
          <w:sz w:val="16"/>
          <w:szCs w:val="16"/>
        </w:rPr>
        <w:t xml:space="preserve">ONU. </w:t>
      </w:r>
      <w:r w:rsidRPr="008D0846">
        <w:rPr>
          <w:rFonts w:ascii="Verdana" w:hAnsi="Verdana"/>
          <w:i/>
          <w:sz w:val="16"/>
          <w:szCs w:val="16"/>
        </w:rPr>
        <w:t>Informe de la Relatora Especial sobre la violencia contra la mujer, sus causas y consecuencias, Yakin Ertürk, Adición, Misión a México</w:t>
      </w:r>
      <w:r>
        <w:rPr>
          <w:rFonts w:ascii="Verdana" w:hAnsi="Verdana"/>
          <w:sz w:val="16"/>
          <w:szCs w:val="16"/>
        </w:rPr>
        <w:t xml:space="preserve">, E/CN.4/2006/61/Add.4, 13 de enero de 2006, párrafo 69, inciso a), numeral vi; </w:t>
      </w:r>
      <w:r w:rsidRPr="002C462C">
        <w:rPr>
          <w:rFonts w:ascii="Verdana" w:hAnsi="Verdana"/>
          <w:sz w:val="16"/>
          <w:szCs w:val="16"/>
        </w:rPr>
        <w:t>ONU. Comité de Derechos Humanos</w:t>
      </w:r>
      <w:r w:rsidRPr="002C462C">
        <w:rPr>
          <w:rFonts w:ascii="Verdana" w:hAnsi="Verdana"/>
          <w:i/>
          <w:sz w:val="16"/>
          <w:szCs w:val="16"/>
        </w:rPr>
        <w:t>, Examen de los informes periódicos presentados por los Estados partes en virtud del artículo 40 del Pacto,</w:t>
      </w:r>
      <w:r w:rsidRPr="00432ABC">
        <w:rPr>
          <w:rFonts w:ascii="Verdana" w:hAnsi="Verdana"/>
          <w:sz w:val="16"/>
          <w:szCs w:val="16"/>
        </w:rPr>
        <w:t xml:space="preserve"> CCPR/C/MEX/CO/5, 7 de abril de 2010, párrs. 11 y 18; ONU. Consejo de Derechos Humanos (CDH): </w:t>
      </w:r>
      <w:r w:rsidRPr="00432ABC">
        <w:rPr>
          <w:rFonts w:ascii="Verdana" w:hAnsi="Verdana"/>
          <w:i/>
          <w:sz w:val="16"/>
          <w:szCs w:val="16"/>
        </w:rPr>
        <w:t>Informe de la Relatora especial sobre la independencia de los magistrados y abogados. Misión a México,</w:t>
      </w:r>
      <w:r w:rsidRPr="00432ABC">
        <w:rPr>
          <w:rFonts w:ascii="Verdana" w:hAnsi="Verdana"/>
          <w:sz w:val="16"/>
          <w:szCs w:val="16"/>
        </w:rPr>
        <w:t xml:space="preserve"> A/HCR/17/30/Add.3, 18 de abril de 2011, párrs. 38 y 94, inciso r); </w:t>
      </w:r>
      <w:r w:rsidRPr="00432ABC">
        <w:rPr>
          <w:rFonts w:ascii="Verdana" w:hAnsi="Verdana"/>
          <w:i/>
          <w:sz w:val="16"/>
          <w:szCs w:val="16"/>
        </w:rPr>
        <w:t xml:space="preserve">Informe del Grupo de Trabajo sobre las Desapariciones Forzadas o Involuntarias, </w:t>
      </w:r>
      <w:r w:rsidRPr="00432ABC">
        <w:rPr>
          <w:rFonts w:ascii="Verdana" w:hAnsi="Verdana"/>
          <w:sz w:val="16"/>
          <w:szCs w:val="16"/>
        </w:rPr>
        <w:t>A/HR</w:t>
      </w:r>
      <w:r>
        <w:rPr>
          <w:rFonts w:ascii="Verdana" w:hAnsi="Verdana"/>
          <w:sz w:val="16"/>
          <w:szCs w:val="16"/>
        </w:rPr>
        <w:t>C</w:t>
      </w:r>
      <w:r w:rsidRPr="00432ABC">
        <w:rPr>
          <w:rFonts w:ascii="Verdana" w:hAnsi="Verdana"/>
          <w:sz w:val="16"/>
          <w:szCs w:val="16"/>
        </w:rPr>
        <w:t xml:space="preserve">/19/58/Add.2, 20 de diciembre de 2011, párrs. 90, 91, 96 y 98; ONU. Comité contra la Tortura, </w:t>
      </w:r>
      <w:r w:rsidRPr="00432ABC">
        <w:rPr>
          <w:rFonts w:ascii="Verdana" w:hAnsi="Verdana"/>
          <w:i/>
          <w:sz w:val="16"/>
          <w:szCs w:val="16"/>
        </w:rPr>
        <w:t xml:space="preserve">Observaciones finales sobre los informes periódicos quinto y sexto combinados de México, adoptados por el Comité en su 49º período de sesiones (29 de octubre a 23 de noviembre de 2012), </w:t>
      </w:r>
      <w:r w:rsidRPr="00432ABC">
        <w:rPr>
          <w:rFonts w:ascii="Verdana" w:hAnsi="Verdana"/>
          <w:sz w:val="16"/>
          <w:szCs w:val="16"/>
        </w:rPr>
        <w:t>CAT/C/MEX/CO/5-6, 11 de diciembre de 2012,</w:t>
      </w:r>
      <w:r w:rsidRPr="00432ABC">
        <w:rPr>
          <w:rFonts w:ascii="Verdana" w:hAnsi="Verdana"/>
          <w:i/>
          <w:sz w:val="16"/>
          <w:szCs w:val="16"/>
        </w:rPr>
        <w:t xml:space="preserve"> </w:t>
      </w:r>
      <w:r w:rsidRPr="00432ABC">
        <w:rPr>
          <w:rFonts w:ascii="Verdana" w:hAnsi="Verdana"/>
          <w:sz w:val="16"/>
          <w:szCs w:val="16"/>
        </w:rPr>
        <w:t xml:space="preserve">párrs. 12 incisos c) y d), 16, inciso a), 18 </w:t>
      </w:r>
      <w:r>
        <w:rPr>
          <w:rFonts w:ascii="Verdana" w:hAnsi="Verdana"/>
          <w:sz w:val="16"/>
          <w:szCs w:val="16"/>
        </w:rPr>
        <w:t xml:space="preserve">inciso </w:t>
      </w:r>
      <w:r w:rsidRPr="00432ABC">
        <w:rPr>
          <w:rFonts w:ascii="Verdana" w:hAnsi="Verdana"/>
          <w:sz w:val="16"/>
          <w:szCs w:val="16"/>
        </w:rPr>
        <w:t xml:space="preserve">b) y 24; ONU. CDH, </w:t>
      </w:r>
      <w:r w:rsidRPr="00432ABC">
        <w:rPr>
          <w:rFonts w:ascii="Verdana" w:hAnsi="Verdana"/>
          <w:i/>
          <w:sz w:val="16"/>
          <w:szCs w:val="16"/>
        </w:rPr>
        <w:t xml:space="preserve">Informe del Relator especial sobre las ejecuciones extrajudiciales, sumarias o arbitrarias, Christof Heyns, </w:t>
      </w:r>
      <w:r w:rsidRPr="00432ABC">
        <w:rPr>
          <w:rFonts w:ascii="Verdana" w:hAnsi="Verdana"/>
          <w:sz w:val="16"/>
          <w:szCs w:val="16"/>
        </w:rPr>
        <w:t>A/HR</w:t>
      </w:r>
      <w:r>
        <w:rPr>
          <w:rFonts w:ascii="Verdana" w:hAnsi="Verdana"/>
          <w:sz w:val="16"/>
          <w:szCs w:val="16"/>
        </w:rPr>
        <w:t>C</w:t>
      </w:r>
      <w:r w:rsidRPr="00432ABC">
        <w:rPr>
          <w:rFonts w:ascii="Verdana" w:hAnsi="Verdana"/>
          <w:sz w:val="16"/>
          <w:szCs w:val="16"/>
        </w:rPr>
        <w:t xml:space="preserve">/26/36/Add.1, 28 de abril de 2014, párrs. 24, 29, 30, 52, 90, 100, 103, 105, 106, 107, y  ONU. CDH, </w:t>
      </w:r>
      <w:r w:rsidRPr="00432ABC">
        <w:rPr>
          <w:rFonts w:ascii="Verdana" w:hAnsi="Verdana"/>
          <w:i/>
          <w:sz w:val="16"/>
          <w:szCs w:val="16"/>
        </w:rPr>
        <w:t>Informe del Relator Especial sobre la Tortura</w:t>
      </w:r>
      <w:r>
        <w:rPr>
          <w:rFonts w:ascii="Verdana" w:hAnsi="Verdana"/>
          <w:i/>
          <w:sz w:val="16"/>
          <w:szCs w:val="16"/>
        </w:rPr>
        <w:t>,</w:t>
      </w:r>
      <w:r w:rsidRPr="00432ABC">
        <w:rPr>
          <w:rFonts w:ascii="Verdana" w:hAnsi="Verdana"/>
          <w:i/>
          <w:sz w:val="16"/>
          <w:szCs w:val="16"/>
        </w:rPr>
        <w:t xml:space="preserve"> </w:t>
      </w:r>
      <w:r w:rsidRPr="00432ABC">
        <w:rPr>
          <w:rFonts w:ascii="Verdana" w:hAnsi="Verdana"/>
          <w:sz w:val="16"/>
          <w:szCs w:val="16"/>
        </w:rPr>
        <w:t xml:space="preserve">29 de diciembre de 2014, párrs. 76, 81 incisos b) y g), y 83 inciso a); </w:t>
      </w:r>
      <w:r w:rsidRPr="00432ABC">
        <w:rPr>
          <w:rFonts w:ascii="Verdana" w:hAnsi="Verdana"/>
          <w:i/>
          <w:sz w:val="16"/>
          <w:szCs w:val="16"/>
        </w:rPr>
        <w:t>Recomendaciones a México por el Alto Comisionado de las Naciones Unidas para los Derechos Humanos, Zeid Ra’ad al Hussein</w:t>
      </w:r>
      <w:r w:rsidRPr="00432ABC">
        <w:rPr>
          <w:rStyle w:val="Strong"/>
          <w:rFonts w:ascii="Verdana" w:hAnsi="Verdana"/>
          <w:b w:val="0"/>
          <w:sz w:val="16"/>
          <w:szCs w:val="16"/>
          <w:shd w:val="clear" w:color="auto" w:fill="FFFFFF"/>
        </w:rPr>
        <w:t xml:space="preserve">, </w:t>
      </w:r>
      <w:r w:rsidRPr="00432ABC">
        <w:rPr>
          <w:rStyle w:val="Strong"/>
          <w:rFonts w:ascii="Verdana" w:hAnsi="Verdana"/>
          <w:b w:val="0"/>
          <w:i/>
          <w:sz w:val="16"/>
          <w:szCs w:val="16"/>
          <w:shd w:val="clear" w:color="auto" w:fill="FFFFFF"/>
        </w:rPr>
        <w:t>resultado de su visita oficial al país en octubre de 2015</w:t>
      </w:r>
      <w:r w:rsidRPr="00432ABC">
        <w:rPr>
          <w:rFonts w:ascii="Verdana" w:hAnsi="Verdana"/>
          <w:sz w:val="16"/>
          <w:szCs w:val="16"/>
        </w:rPr>
        <w:t xml:space="preserve">, marzo de 2016, recomendaciones 3, 4 y 5  disponibles en </w:t>
      </w:r>
      <w:hyperlink r:id="rId14" w:history="1">
        <w:r w:rsidRPr="00432ABC">
          <w:rPr>
            <w:rStyle w:val="Hyperlink"/>
            <w:rFonts w:ascii="Verdana" w:hAnsi="Verdana"/>
            <w:sz w:val="16"/>
            <w:szCs w:val="16"/>
          </w:rPr>
          <w:t>http://www.hchr.org.mx/images/doc_pub/RecomendacionesMX_AltoComisionadoDH_ES.pdf</w:t>
        </w:r>
      </w:hyperlink>
      <w:r w:rsidRPr="00432ABC">
        <w:rPr>
          <w:rFonts w:ascii="Verdana" w:hAnsi="Verdana"/>
          <w:sz w:val="16"/>
          <w:szCs w:val="16"/>
        </w:rPr>
        <w:t>; CIDH. Grupo In</w:t>
      </w:r>
      <w:r w:rsidRPr="002C462C">
        <w:rPr>
          <w:rFonts w:ascii="Verdana" w:hAnsi="Verdana"/>
          <w:sz w:val="16"/>
          <w:szCs w:val="16"/>
        </w:rPr>
        <w:t>terdisciplinario de Expertos Independientes</w:t>
      </w:r>
      <w:r w:rsidRPr="00432ABC">
        <w:rPr>
          <w:rFonts w:ascii="Verdana" w:hAnsi="Verdana"/>
          <w:i/>
          <w:sz w:val="16"/>
          <w:szCs w:val="16"/>
        </w:rPr>
        <w:t xml:space="preserve">,   </w:t>
      </w:r>
      <w:r w:rsidRPr="00432ABC">
        <w:rPr>
          <w:rFonts w:ascii="Verdana" w:hAnsi="Verdana"/>
          <w:i/>
          <w:sz w:val="16"/>
          <w:szCs w:val="16"/>
          <w:lang w:val="es-CR"/>
        </w:rPr>
        <w:t xml:space="preserve">Informe Ayotzinapa. Investigación y primeras conclusiones, </w:t>
      </w:r>
      <w:r w:rsidRPr="00432ABC">
        <w:rPr>
          <w:rFonts w:ascii="Verdana" w:hAnsi="Verdana"/>
          <w:sz w:val="16"/>
          <w:szCs w:val="16"/>
          <w:lang w:val="es-CR"/>
        </w:rPr>
        <w:t xml:space="preserve">2015, pág. 358, y CIDH, </w:t>
      </w:r>
      <w:r w:rsidRPr="00432ABC">
        <w:rPr>
          <w:rFonts w:ascii="Verdana" w:hAnsi="Verdana"/>
          <w:i/>
          <w:sz w:val="16"/>
          <w:szCs w:val="16"/>
        </w:rPr>
        <w:t xml:space="preserve">Situación de los derechos humanos en México, </w:t>
      </w:r>
      <w:r w:rsidRPr="00432ABC">
        <w:rPr>
          <w:rFonts w:ascii="Verdana" w:hAnsi="Verdana"/>
          <w:sz w:val="16"/>
          <w:szCs w:val="16"/>
        </w:rPr>
        <w:t>OEA/Ser.L/V/II. Doc. 44/15, 31 diciembre 2015, párr. 539, recomendación 8.</w:t>
      </w:r>
    </w:p>
  </w:footnote>
  <w:footnote w:id="64">
    <w:p w14:paraId="60428339" w14:textId="6B34B391" w:rsidR="00146958" w:rsidRPr="002C462C" w:rsidRDefault="00146958">
      <w:pPr>
        <w:pStyle w:val="FootnoteText"/>
        <w:jc w:val="both"/>
        <w:rPr>
          <w:rFonts w:ascii="Verdana" w:hAnsi="Verdana"/>
          <w:sz w:val="16"/>
          <w:szCs w:val="16"/>
          <w:lang w:val="es-CR"/>
        </w:rPr>
      </w:pPr>
      <w:r w:rsidRPr="00432ABC">
        <w:rPr>
          <w:rStyle w:val="FootnoteReference"/>
          <w:rFonts w:ascii="Verdana" w:hAnsi="Verdana"/>
          <w:sz w:val="16"/>
          <w:szCs w:val="16"/>
        </w:rPr>
        <w:footnoteRef/>
      </w:r>
      <w:r w:rsidRPr="00432ABC">
        <w:rPr>
          <w:rFonts w:ascii="Verdana" w:hAnsi="Verdana"/>
          <w:sz w:val="16"/>
          <w:szCs w:val="16"/>
        </w:rPr>
        <w:t xml:space="preserve"> </w:t>
      </w:r>
      <w:r w:rsidRPr="00432ABC">
        <w:rPr>
          <w:rFonts w:ascii="Verdana" w:hAnsi="Verdana"/>
          <w:sz w:val="16"/>
          <w:szCs w:val="16"/>
          <w:lang w:val="es-CR"/>
        </w:rPr>
        <w:tab/>
        <w:t>Ley</w:t>
      </w:r>
      <w:r w:rsidRPr="002C462C">
        <w:rPr>
          <w:rFonts w:ascii="Verdana" w:hAnsi="Verdana"/>
          <w:sz w:val="16"/>
          <w:szCs w:val="16"/>
          <w:lang w:val="es-CR"/>
        </w:rPr>
        <w:t xml:space="preserve"> de Seguridad Interior. Aprobada por el Congreso General de los Estados Unidos Mexicanos. Publicada en el Diario Oficial de la Federación el 21 de diciembre de 2017. Disponible en: </w:t>
      </w:r>
      <w:hyperlink r:id="rId15" w:history="1">
        <w:r w:rsidRPr="00432ABC">
          <w:rPr>
            <w:rStyle w:val="Hyperlink"/>
            <w:rFonts w:ascii="Verdana" w:hAnsi="Verdana"/>
            <w:sz w:val="16"/>
            <w:szCs w:val="16"/>
            <w:lang w:val="es-CR"/>
          </w:rPr>
          <w:t>http://www.dof.gob.mx/nota_detalle.php?codigo=5508716&amp;fecha=21/12/2017</w:t>
        </w:r>
      </w:hyperlink>
      <w:r w:rsidRPr="00432ABC">
        <w:rPr>
          <w:rFonts w:ascii="Verdana" w:hAnsi="Verdana"/>
          <w:sz w:val="16"/>
          <w:szCs w:val="16"/>
          <w:lang w:val="es-CR"/>
        </w:rPr>
        <w:t xml:space="preserve">. De acuerdo con el artículo 1 de esta Ley, </w:t>
      </w:r>
      <w:r>
        <w:rPr>
          <w:rFonts w:ascii="Verdana" w:hAnsi="Verdana"/>
          <w:sz w:val="16"/>
          <w:szCs w:val="16"/>
          <w:lang w:val="es-CR"/>
        </w:rPr>
        <w:t>tenía</w:t>
      </w:r>
      <w:r w:rsidRPr="00432ABC">
        <w:rPr>
          <w:rFonts w:ascii="Verdana" w:hAnsi="Verdana"/>
          <w:sz w:val="16"/>
          <w:szCs w:val="16"/>
          <w:lang w:val="es-CR"/>
        </w:rPr>
        <w:t xml:space="preserve"> po</w:t>
      </w:r>
      <w:r w:rsidRPr="002C462C">
        <w:rPr>
          <w:rFonts w:ascii="Verdana" w:hAnsi="Verdana"/>
          <w:sz w:val="16"/>
          <w:szCs w:val="16"/>
          <w:lang w:val="es-CR"/>
        </w:rPr>
        <w:t>r objeto regular la función del Estado para preservar la Seguridad Interior, así como establecer las bases, procedimientos y modalidades de coordinación entre la Federación, las entidades federativas y los municipios, en la materia.</w:t>
      </w:r>
    </w:p>
  </w:footnote>
  <w:footnote w:id="65">
    <w:p w14:paraId="251B7905" w14:textId="772D421D" w:rsidR="00146958" w:rsidRPr="008D0846" w:rsidRDefault="00146958" w:rsidP="008D0846">
      <w:pPr>
        <w:spacing w:after="0" w:line="240" w:lineRule="auto"/>
        <w:jc w:val="both"/>
        <w:rPr>
          <w:color w:val="1F497D"/>
        </w:rPr>
      </w:pPr>
      <w:r w:rsidRPr="00432ABC">
        <w:rPr>
          <w:rStyle w:val="FootnoteReference"/>
          <w:rFonts w:ascii="Verdana" w:hAnsi="Verdana"/>
          <w:sz w:val="16"/>
          <w:szCs w:val="16"/>
        </w:rPr>
        <w:footnoteRef/>
      </w:r>
      <w:r w:rsidRPr="00432ABC">
        <w:rPr>
          <w:rFonts w:ascii="Verdana" w:hAnsi="Verdana"/>
          <w:sz w:val="16"/>
          <w:szCs w:val="16"/>
        </w:rPr>
        <w:t xml:space="preserve"> </w:t>
      </w:r>
      <w:r w:rsidRPr="00432ABC">
        <w:rPr>
          <w:rFonts w:ascii="Verdana" w:hAnsi="Verdana"/>
          <w:sz w:val="16"/>
          <w:szCs w:val="16"/>
        </w:rPr>
        <w:tab/>
      </w:r>
      <w:r w:rsidRPr="00CD5C54">
        <w:rPr>
          <w:rFonts w:ascii="Verdana" w:hAnsi="Verdana"/>
          <w:bCs/>
          <w:i/>
          <w:iCs/>
          <w:sz w:val="16"/>
          <w:szCs w:val="16"/>
        </w:rPr>
        <w:t>Cfr.</w:t>
      </w:r>
      <w:r w:rsidRPr="008D0846">
        <w:rPr>
          <w:rFonts w:ascii="Verdana" w:hAnsi="Verdana"/>
          <w:bCs/>
          <w:sz w:val="16"/>
          <w:szCs w:val="16"/>
        </w:rPr>
        <w:t xml:space="preserve"> Presidencia de la República, Estados Unidos Mexicanos. </w:t>
      </w:r>
      <w:r w:rsidRPr="008D0846">
        <w:rPr>
          <w:rFonts w:ascii="Verdana" w:hAnsi="Verdana"/>
          <w:bCs/>
          <w:i/>
          <w:iCs/>
          <w:sz w:val="16"/>
          <w:szCs w:val="16"/>
        </w:rPr>
        <w:t xml:space="preserve">Sexto Informe de Gobierno, 2017-2018, </w:t>
      </w:r>
      <w:r w:rsidRPr="008D0846">
        <w:rPr>
          <w:rFonts w:ascii="Verdana" w:hAnsi="Verdana"/>
          <w:bCs/>
          <w:sz w:val="16"/>
          <w:szCs w:val="16"/>
        </w:rPr>
        <w:t xml:space="preserve">1 de septiembre de 2018, págs. 78 a 79. Disponible en: </w:t>
      </w:r>
      <w:hyperlink r:id="rId16" w:history="1">
        <w:r w:rsidRPr="008D0846">
          <w:rPr>
            <w:rStyle w:val="Hyperlink"/>
            <w:rFonts w:ascii="Verdana" w:hAnsi="Verdana"/>
            <w:sz w:val="16"/>
            <w:szCs w:val="16"/>
          </w:rPr>
          <w:t>http://cdn.presidencia.gob.mx/sextoinforme/informe/6_IG_INFORME_COMPLETO.pdf</w:t>
        </w:r>
      </w:hyperlink>
      <w:r>
        <w:rPr>
          <w:rFonts w:ascii="Verdana" w:hAnsi="Verdana"/>
          <w:color w:val="1F497D"/>
          <w:sz w:val="16"/>
          <w:szCs w:val="16"/>
        </w:rPr>
        <w:t xml:space="preserve">. </w:t>
      </w:r>
      <w:r w:rsidRPr="00432ABC">
        <w:rPr>
          <w:rFonts w:ascii="Verdana" w:hAnsi="Verdana"/>
          <w:sz w:val="16"/>
          <w:szCs w:val="16"/>
        </w:rPr>
        <w:t>Al respecto, la Corte nota que desde la publicación de la Ley de Seguridad Interior diversos actores de la sociedad civil, entes públicos autónomos, fracciones parlamentarias del Congreso de la Unión</w:t>
      </w:r>
      <w:r w:rsidRPr="002C462C">
        <w:rPr>
          <w:rFonts w:ascii="Verdana" w:hAnsi="Verdana"/>
          <w:sz w:val="16"/>
          <w:szCs w:val="16"/>
        </w:rPr>
        <w:t>, así como Gobiernos locales y un partido político</w:t>
      </w:r>
      <w:r>
        <w:rPr>
          <w:rFonts w:ascii="Verdana" w:hAnsi="Verdana"/>
          <w:sz w:val="16"/>
          <w:szCs w:val="16"/>
        </w:rPr>
        <w:t xml:space="preserve"> promovieron </w:t>
      </w:r>
      <w:r w:rsidRPr="002C462C">
        <w:rPr>
          <w:rFonts w:ascii="Verdana" w:hAnsi="Verdana"/>
          <w:sz w:val="16"/>
          <w:szCs w:val="16"/>
        </w:rPr>
        <w:t>distintos medios de impugnación ante el Poder Judicial de la Federación, incluyendo la Suprema Corte de Justicia de la Nación, alegando la inconstitucionalidad de las disposiciones de dicha legislación. Entre estas se destac</w:t>
      </w:r>
      <w:r>
        <w:rPr>
          <w:rFonts w:ascii="Verdana" w:hAnsi="Verdana"/>
          <w:sz w:val="16"/>
          <w:szCs w:val="16"/>
        </w:rPr>
        <w:t>ó</w:t>
      </w:r>
      <w:r w:rsidRPr="002C462C">
        <w:rPr>
          <w:rFonts w:ascii="Verdana" w:hAnsi="Verdana"/>
          <w:sz w:val="16"/>
          <w:szCs w:val="16"/>
        </w:rPr>
        <w:t xml:space="preserve"> la acc</w:t>
      </w:r>
      <w:r w:rsidRPr="00432ABC">
        <w:rPr>
          <w:rFonts w:ascii="Verdana" w:hAnsi="Verdana"/>
          <w:sz w:val="16"/>
          <w:szCs w:val="16"/>
        </w:rPr>
        <w:t>ión de inconstitucionalidad -fundamentada en el artículo 105, fracción II de la Constitución Política mexicana-, promovida por la CNDH el 20 de enero de 2018</w:t>
      </w:r>
      <w:r>
        <w:rPr>
          <w:rFonts w:ascii="Verdana" w:hAnsi="Verdana"/>
          <w:sz w:val="16"/>
          <w:szCs w:val="16"/>
        </w:rPr>
        <w:t xml:space="preserve">. </w:t>
      </w:r>
      <w:r w:rsidRPr="00CD5C54">
        <w:rPr>
          <w:rFonts w:ascii="Verdana" w:eastAsia="Times New Roman" w:hAnsi="Verdana" w:cs="Arial"/>
          <w:i/>
          <w:sz w:val="16"/>
          <w:szCs w:val="16"/>
        </w:rPr>
        <w:t>Cfr.</w:t>
      </w:r>
      <w:r w:rsidRPr="00432ABC">
        <w:rPr>
          <w:rFonts w:ascii="Verdana" w:eastAsia="Times New Roman" w:hAnsi="Verdana" w:cs="Arial"/>
          <w:sz w:val="16"/>
          <w:szCs w:val="16"/>
        </w:rPr>
        <w:t xml:space="preserve"> </w:t>
      </w:r>
      <w:r w:rsidRPr="00432ABC">
        <w:rPr>
          <w:rFonts w:ascii="Verdana" w:hAnsi="Verdana"/>
          <w:sz w:val="16"/>
          <w:szCs w:val="16"/>
        </w:rPr>
        <w:t>Demanda de acción de inconstitucionalidad, promovida por la CNDH</w:t>
      </w:r>
      <w:r w:rsidRPr="00432ABC">
        <w:rPr>
          <w:rFonts w:ascii="Verdana" w:eastAsia="Times New Roman" w:hAnsi="Verdana" w:cs="Arial"/>
          <w:sz w:val="16"/>
          <w:szCs w:val="16"/>
        </w:rPr>
        <w:t xml:space="preserve">. Consultable en </w:t>
      </w:r>
      <w:hyperlink r:id="rId17" w:history="1">
        <w:r w:rsidRPr="00432ABC">
          <w:rPr>
            <w:rStyle w:val="Hyperlink"/>
            <w:rFonts w:ascii="Verdana" w:hAnsi="Verdana"/>
            <w:sz w:val="16"/>
            <w:szCs w:val="16"/>
          </w:rPr>
          <w:t>http://www.cndh.org.mx/sites/all/doc/Acciones/Acc_Inc_2018_LSI.pdf</w:t>
        </w:r>
      </w:hyperlink>
      <w:r w:rsidRPr="00432ABC">
        <w:rPr>
          <w:rStyle w:val="Hyperlink"/>
          <w:rFonts w:ascii="Verdana" w:hAnsi="Verdana"/>
          <w:sz w:val="16"/>
          <w:szCs w:val="16"/>
        </w:rPr>
        <w:t xml:space="preserve">. </w:t>
      </w:r>
    </w:p>
  </w:footnote>
  <w:footnote w:id="66">
    <w:p w14:paraId="165C71E0" w14:textId="721E5657" w:rsidR="00146958" w:rsidRPr="00DB378B" w:rsidRDefault="00146958" w:rsidP="009B18E2">
      <w:pPr>
        <w:pStyle w:val="FootnoteText"/>
        <w:jc w:val="both"/>
        <w:rPr>
          <w:rFonts w:ascii="Verdana" w:hAnsi="Verdana"/>
          <w:bCs/>
          <w:color w:val="0000FF"/>
          <w:sz w:val="16"/>
          <w:szCs w:val="16"/>
        </w:rPr>
      </w:pPr>
      <w:r w:rsidRPr="00146958">
        <w:rPr>
          <w:rStyle w:val="FootnoteReference"/>
          <w:rFonts w:ascii="Verdana" w:hAnsi="Verdana"/>
          <w:sz w:val="16"/>
        </w:rPr>
        <w:footnoteRef/>
      </w:r>
      <w:r w:rsidRPr="00FC2C7B">
        <w:rPr>
          <w:rFonts w:ascii="Verdana" w:hAnsi="Verdana"/>
        </w:rPr>
        <w:t xml:space="preserve"> </w:t>
      </w:r>
      <w:r w:rsidRPr="00FC2C7B">
        <w:rPr>
          <w:rFonts w:ascii="Verdana" w:hAnsi="Verdana"/>
        </w:rPr>
        <w:tab/>
      </w:r>
      <w:r w:rsidRPr="009B18E2">
        <w:rPr>
          <w:rStyle w:val="Hyperlink"/>
          <w:rFonts w:ascii="Verdana" w:hAnsi="Verdana"/>
          <w:color w:val="auto"/>
          <w:sz w:val="16"/>
          <w:szCs w:val="16"/>
          <w:u w:val="none"/>
        </w:rPr>
        <w:t xml:space="preserve">El 15 de noviembre de 2018 el Pleno de la SCJN resolvió por mayoría de 9 votos contra 1, la inconstitucionalidad general de la Ley de Seguridad Interior [LSI]. </w:t>
      </w:r>
      <w:r w:rsidRPr="00CD5C54">
        <w:rPr>
          <w:rStyle w:val="Hyperlink"/>
          <w:rFonts w:ascii="Verdana" w:hAnsi="Verdana"/>
          <w:i/>
          <w:color w:val="auto"/>
          <w:sz w:val="16"/>
          <w:szCs w:val="16"/>
          <w:u w:val="none"/>
        </w:rPr>
        <w:t>Cfr.</w:t>
      </w:r>
      <w:r w:rsidRPr="00FC2C7B">
        <w:rPr>
          <w:rStyle w:val="Hyperlink"/>
          <w:rFonts w:ascii="Verdana" w:hAnsi="Verdana"/>
          <w:color w:val="auto"/>
          <w:sz w:val="16"/>
          <w:szCs w:val="16"/>
          <w:u w:val="none"/>
        </w:rPr>
        <w:t xml:space="preserve"> SCJN.  Comunicado</w:t>
      </w:r>
      <w:r w:rsidRPr="00FC2C7B">
        <w:rPr>
          <w:rFonts w:ascii="Verdana" w:hAnsi="Verdana" w:cs="Arial"/>
          <w:bCs/>
          <w:sz w:val="18"/>
          <w:szCs w:val="18"/>
          <w:shd w:val="clear" w:color="auto" w:fill="FFFFFF"/>
        </w:rPr>
        <w:t xml:space="preserve"> </w:t>
      </w:r>
      <w:r w:rsidRPr="00FC2C7B">
        <w:rPr>
          <w:rFonts w:ascii="Verdana" w:hAnsi="Verdana"/>
          <w:bCs/>
          <w:sz w:val="16"/>
          <w:szCs w:val="16"/>
        </w:rPr>
        <w:t>No. 149/2018, Disponible en:</w:t>
      </w:r>
      <w:r w:rsidRPr="00432ABC">
        <w:rPr>
          <w:rFonts w:ascii="Verdana" w:hAnsi="Verdana"/>
          <w:bCs/>
          <w:color w:val="0000FF"/>
          <w:sz w:val="16"/>
          <w:szCs w:val="16"/>
        </w:rPr>
        <w:t xml:space="preserve"> </w:t>
      </w:r>
      <w:hyperlink r:id="rId18" w:history="1">
        <w:r w:rsidRPr="00432ABC">
          <w:rPr>
            <w:rStyle w:val="Hyperlink"/>
            <w:rFonts w:ascii="Verdana" w:hAnsi="Verdana"/>
            <w:bCs/>
            <w:sz w:val="16"/>
            <w:szCs w:val="16"/>
          </w:rPr>
          <w:t>http://www.internet2.scjn.gob.mx/red2/comunicados/noticia.asp?id=5794</w:t>
        </w:r>
      </w:hyperlink>
      <w:r>
        <w:rPr>
          <w:rFonts w:ascii="Verdana" w:hAnsi="Verdana"/>
          <w:bCs/>
          <w:color w:val="0000FF"/>
          <w:sz w:val="16"/>
          <w:szCs w:val="16"/>
        </w:rPr>
        <w:t xml:space="preserve">. </w:t>
      </w:r>
      <w:r w:rsidRPr="009B18E2">
        <w:rPr>
          <w:rStyle w:val="Hyperlink"/>
          <w:rFonts w:ascii="Verdana" w:hAnsi="Verdana"/>
          <w:color w:val="auto"/>
          <w:sz w:val="16"/>
          <w:szCs w:val="16"/>
          <w:u w:val="none"/>
        </w:rPr>
        <w:t>Al fijar sus posiciones individuales en la deliberación sobre la LSI, una parte de los ministros del Pleno también consideró que de conformidad con lo establecido en el artículo 73, fracción XXIX-M de la Constitución Mexican</w:t>
      </w:r>
      <w:r>
        <w:rPr>
          <w:rStyle w:val="Hyperlink"/>
          <w:rFonts w:ascii="Verdana" w:hAnsi="Verdana"/>
          <w:color w:val="auto"/>
          <w:sz w:val="16"/>
          <w:szCs w:val="16"/>
          <w:u w:val="none"/>
        </w:rPr>
        <w:t>a</w:t>
      </w:r>
      <w:r w:rsidRPr="009B18E2">
        <w:rPr>
          <w:rStyle w:val="Hyperlink"/>
          <w:rFonts w:ascii="Verdana" w:hAnsi="Verdana"/>
          <w:color w:val="auto"/>
          <w:sz w:val="16"/>
          <w:szCs w:val="16"/>
          <w:u w:val="none"/>
        </w:rPr>
        <w:t>, el Poder Legislativo Federal no tiene competencia para legislar en materia de “seguridad interior”, toda vez que dicha expresión resulta indeterminada y no resulta subsumible en la definición constitucional de “seguridad nacional”. En este sentido, cabe destacar que dicha declaratoria de invalidez total por falta de competencia del Congreso General</w:t>
      </w:r>
      <w:r w:rsidRPr="00FC2C7B">
        <w:rPr>
          <w:rStyle w:val="Hyperlink"/>
          <w:rFonts w:ascii="Verdana" w:hAnsi="Verdana"/>
          <w:color w:val="auto"/>
          <w:sz w:val="16"/>
          <w:szCs w:val="16"/>
          <w:u w:val="none"/>
        </w:rPr>
        <w:t xml:space="preserve"> tuvo como efecto que no se analizara el fondo de los argumentos sustantivos vertidos por los peticionarios. </w:t>
      </w:r>
    </w:p>
  </w:footnote>
  <w:footnote w:id="67">
    <w:p w14:paraId="1361B81B" w14:textId="345E074B" w:rsidR="00146958" w:rsidRPr="00432ABC" w:rsidRDefault="00146958">
      <w:pPr>
        <w:pStyle w:val="FootnoteText"/>
        <w:jc w:val="both"/>
        <w:rPr>
          <w:rFonts w:ascii="Verdana" w:hAnsi="Verdana"/>
          <w:sz w:val="16"/>
          <w:szCs w:val="16"/>
        </w:rPr>
      </w:pPr>
      <w:r w:rsidRPr="00432ABC">
        <w:rPr>
          <w:rStyle w:val="FootnoteReference"/>
          <w:rFonts w:ascii="Verdana" w:hAnsi="Verdana"/>
          <w:sz w:val="16"/>
          <w:szCs w:val="16"/>
        </w:rPr>
        <w:footnoteRef/>
      </w:r>
      <w:r w:rsidRPr="00432ABC">
        <w:rPr>
          <w:rFonts w:ascii="Verdana" w:hAnsi="Verdana"/>
          <w:sz w:val="16"/>
          <w:szCs w:val="16"/>
        </w:rPr>
        <w:t xml:space="preserve"> </w:t>
      </w:r>
      <w:r w:rsidRPr="00432ABC">
        <w:rPr>
          <w:rFonts w:ascii="Verdana" w:hAnsi="Verdana"/>
          <w:sz w:val="16"/>
          <w:szCs w:val="16"/>
        </w:rPr>
        <w:tab/>
        <w:t xml:space="preserve">ONU. Comité de Derechos Humanos, </w:t>
      </w:r>
      <w:r w:rsidRPr="00432ABC">
        <w:rPr>
          <w:rFonts w:ascii="Verdana" w:hAnsi="Verdana"/>
          <w:i/>
          <w:sz w:val="16"/>
          <w:szCs w:val="16"/>
        </w:rPr>
        <w:t>Examen de los Informes Periódicos Presentados por los Estados Partes de con</w:t>
      </w:r>
      <w:r w:rsidRPr="002C462C">
        <w:rPr>
          <w:rFonts w:ascii="Verdana" w:hAnsi="Verdana"/>
          <w:i/>
          <w:sz w:val="16"/>
          <w:szCs w:val="16"/>
        </w:rPr>
        <w:t xml:space="preserve">formidad con el Artículo 40 de Pacto, </w:t>
      </w:r>
      <w:r w:rsidRPr="00432ABC">
        <w:rPr>
          <w:rFonts w:ascii="Verdana" w:hAnsi="Verdana"/>
          <w:sz w:val="16"/>
          <w:szCs w:val="16"/>
        </w:rPr>
        <w:t>CCPR/CMEX/CO/5,</w:t>
      </w:r>
      <w:r w:rsidRPr="00432ABC">
        <w:rPr>
          <w:rFonts w:ascii="Verdana" w:hAnsi="Verdana"/>
          <w:i/>
          <w:sz w:val="16"/>
          <w:szCs w:val="16"/>
        </w:rPr>
        <w:t xml:space="preserve"> </w:t>
      </w:r>
      <w:r w:rsidRPr="00432ABC">
        <w:rPr>
          <w:rFonts w:ascii="Verdana" w:hAnsi="Verdana"/>
          <w:sz w:val="16"/>
          <w:szCs w:val="16"/>
        </w:rPr>
        <w:t xml:space="preserve"> 7 de abril de 2010, párr. 11</w:t>
      </w:r>
      <w:r>
        <w:rPr>
          <w:rFonts w:ascii="Verdana" w:hAnsi="Verdana"/>
          <w:sz w:val="16"/>
          <w:szCs w:val="16"/>
        </w:rPr>
        <w:t>. En el mismo sentido,</w:t>
      </w:r>
      <w:r w:rsidRPr="00432ABC">
        <w:rPr>
          <w:rFonts w:ascii="Verdana" w:hAnsi="Verdana"/>
          <w:sz w:val="16"/>
          <w:szCs w:val="16"/>
        </w:rPr>
        <w:t xml:space="preserve"> </w:t>
      </w:r>
      <w:r>
        <w:rPr>
          <w:rFonts w:ascii="Verdana" w:hAnsi="Verdana"/>
          <w:sz w:val="16"/>
          <w:szCs w:val="16"/>
        </w:rPr>
        <w:t xml:space="preserve">el </w:t>
      </w:r>
      <w:r w:rsidRPr="00432ABC">
        <w:rPr>
          <w:rFonts w:ascii="Verdana" w:hAnsi="Verdana"/>
          <w:sz w:val="16"/>
          <w:szCs w:val="16"/>
        </w:rPr>
        <w:t>Relator Especial sobre las ejecuciones extrajudiciales</w:t>
      </w:r>
      <w:r>
        <w:rPr>
          <w:rFonts w:ascii="Verdana" w:hAnsi="Verdana"/>
          <w:sz w:val="16"/>
          <w:szCs w:val="16"/>
        </w:rPr>
        <w:t>,</w:t>
      </w:r>
      <w:r w:rsidRPr="00432ABC">
        <w:rPr>
          <w:rFonts w:ascii="Verdana" w:hAnsi="Verdana"/>
          <w:sz w:val="16"/>
          <w:szCs w:val="16"/>
        </w:rPr>
        <w:t xml:space="preserve"> expresó que “[…] la aplicación de un enfoque militar al mantenimiento de la seguridad pública puede crear una situación en que la población civil se vea expuesta a toda una serie de atropellos. Además, no hay suficiente rendición de cuentas por esos actos en el sistema de justicia militar, el cual carece de independencia y transparencia</w:t>
      </w:r>
      <w:r>
        <w:rPr>
          <w:rFonts w:ascii="Verdana" w:hAnsi="Verdana"/>
          <w:sz w:val="16"/>
          <w:szCs w:val="16"/>
        </w:rPr>
        <w:t xml:space="preserve"> […]</w:t>
      </w:r>
      <w:r w:rsidRPr="00432ABC">
        <w:rPr>
          <w:rFonts w:ascii="Verdana" w:hAnsi="Verdana"/>
          <w:sz w:val="16"/>
          <w:szCs w:val="16"/>
        </w:rPr>
        <w:t>”</w:t>
      </w:r>
      <w:r>
        <w:rPr>
          <w:rFonts w:ascii="Verdana" w:hAnsi="Verdana"/>
          <w:sz w:val="16"/>
          <w:szCs w:val="16"/>
        </w:rPr>
        <w:t>.</w:t>
      </w:r>
      <w:r w:rsidRPr="00432ABC">
        <w:rPr>
          <w:rFonts w:ascii="Verdana" w:hAnsi="Verdana"/>
          <w:sz w:val="16"/>
          <w:szCs w:val="16"/>
        </w:rPr>
        <w:t xml:space="preserve"> </w:t>
      </w:r>
      <w:r w:rsidRPr="00CD5C54">
        <w:rPr>
          <w:rFonts w:ascii="Verdana" w:hAnsi="Verdana"/>
          <w:i/>
          <w:sz w:val="16"/>
          <w:szCs w:val="16"/>
        </w:rPr>
        <w:t>Cfr.</w:t>
      </w:r>
      <w:r w:rsidRPr="00432ABC">
        <w:rPr>
          <w:rFonts w:ascii="Verdana" w:hAnsi="Verdana"/>
          <w:sz w:val="16"/>
          <w:szCs w:val="16"/>
        </w:rPr>
        <w:t xml:space="preserve"> ONU. </w:t>
      </w:r>
      <w:r w:rsidRPr="00432ABC">
        <w:rPr>
          <w:rFonts w:ascii="Verdana" w:hAnsi="Verdana"/>
          <w:i/>
          <w:sz w:val="16"/>
          <w:szCs w:val="16"/>
        </w:rPr>
        <w:t xml:space="preserve">Informe del Relator Especial sobre las ejecuciones extrajudiciales, sumarias o arbitrarias, Christof Heyns, visita a México, </w:t>
      </w:r>
      <w:r w:rsidRPr="00432ABC">
        <w:rPr>
          <w:rFonts w:ascii="Verdana" w:hAnsi="Verdana"/>
          <w:sz w:val="16"/>
          <w:szCs w:val="16"/>
        </w:rPr>
        <w:t xml:space="preserve">28 de abril de 2014, </w:t>
      </w:r>
      <w:r w:rsidRPr="00432ABC">
        <w:rPr>
          <w:rFonts w:ascii="Verdana" w:hAnsi="Verdana"/>
          <w:i/>
          <w:sz w:val="16"/>
          <w:szCs w:val="16"/>
        </w:rPr>
        <w:t xml:space="preserve">supra, </w:t>
      </w:r>
      <w:r w:rsidRPr="00432ABC">
        <w:rPr>
          <w:rFonts w:ascii="Verdana" w:hAnsi="Verdana"/>
          <w:sz w:val="16"/>
          <w:szCs w:val="16"/>
        </w:rPr>
        <w:t>párr. 21</w:t>
      </w:r>
      <w:r>
        <w:rPr>
          <w:rFonts w:ascii="Verdana" w:hAnsi="Verdana"/>
          <w:sz w:val="16"/>
          <w:szCs w:val="16"/>
        </w:rPr>
        <w:t>;</w:t>
      </w:r>
      <w:r w:rsidRPr="00432ABC">
        <w:rPr>
          <w:rFonts w:ascii="Verdana" w:hAnsi="Verdana"/>
          <w:sz w:val="16"/>
          <w:szCs w:val="16"/>
        </w:rPr>
        <w:t xml:space="preserve"> </w:t>
      </w:r>
      <w:r>
        <w:rPr>
          <w:rFonts w:ascii="Verdana" w:hAnsi="Verdana"/>
          <w:sz w:val="16"/>
          <w:szCs w:val="16"/>
        </w:rPr>
        <w:t>Además</w:t>
      </w:r>
      <w:r w:rsidRPr="00432ABC">
        <w:rPr>
          <w:rFonts w:ascii="Verdana" w:hAnsi="Verdana"/>
          <w:sz w:val="16"/>
          <w:szCs w:val="16"/>
        </w:rPr>
        <w:t>, el GTDFI reiteró</w:t>
      </w:r>
      <w:r w:rsidRPr="00146958">
        <w:rPr>
          <w:rFonts w:ascii="Verdana" w:hAnsi="Verdana"/>
          <w:sz w:val="16"/>
          <w:szCs w:val="16"/>
        </w:rPr>
        <w:t>,</w:t>
      </w:r>
      <w:r w:rsidRPr="008D0846">
        <w:rPr>
          <w:rFonts w:ascii="Verdana" w:hAnsi="Verdana"/>
          <w:strike/>
          <w:sz w:val="16"/>
          <w:szCs w:val="16"/>
        </w:rPr>
        <w:t xml:space="preserve"> </w:t>
      </w:r>
      <w:r w:rsidRPr="00146958">
        <w:rPr>
          <w:rFonts w:ascii="Verdana" w:hAnsi="Verdana"/>
          <w:sz w:val="16"/>
          <w:szCs w:val="16"/>
        </w:rPr>
        <w:t>entre otras,</w:t>
      </w:r>
      <w:r w:rsidRPr="00432ABC">
        <w:rPr>
          <w:rFonts w:ascii="Verdana" w:hAnsi="Verdana"/>
          <w:sz w:val="16"/>
          <w:szCs w:val="16"/>
        </w:rPr>
        <w:t xml:space="preserve"> su recomendación al Estado mexicano para “que se consider[ara] el retiro de las fuerzas militares de las operaciones de seguridad pública y de la aplicación de la ley penal […]”. </w:t>
      </w:r>
      <w:r w:rsidRPr="00CD5C54">
        <w:rPr>
          <w:rFonts w:ascii="Verdana" w:hAnsi="Verdana"/>
          <w:i/>
          <w:sz w:val="16"/>
          <w:szCs w:val="16"/>
        </w:rPr>
        <w:t>Cfr.</w:t>
      </w:r>
      <w:r w:rsidRPr="00432ABC">
        <w:rPr>
          <w:rFonts w:ascii="Verdana" w:hAnsi="Verdana"/>
          <w:sz w:val="16"/>
          <w:szCs w:val="16"/>
        </w:rPr>
        <w:t xml:space="preserve"> GTDFI, </w:t>
      </w:r>
      <w:r w:rsidRPr="00432ABC">
        <w:rPr>
          <w:rFonts w:ascii="Verdana" w:hAnsi="Verdana"/>
          <w:bCs/>
          <w:i/>
          <w:sz w:val="16"/>
          <w:szCs w:val="16"/>
          <w:lang w:val="es-ES"/>
        </w:rPr>
        <w:t>Seguimiento a las recomendaciones del GTDFI en su informe relativo a su visita a México del 18 al 31 de marzo de 2011</w:t>
      </w:r>
      <w:r w:rsidRPr="00432ABC">
        <w:rPr>
          <w:rFonts w:ascii="Verdana" w:hAnsi="Verdana"/>
          <w:bCs/>
          <w:sz w:val="16"/>
          <w:szCs w:val="16"/>
          <w:lang w:val="es-ES"/>
        </w:rPr>
        <w:t xml:space="preserve">, 11 de septiembre de 2015, </w:t>
      </w:r>
      <w:r w:rsidRPr="00432ABC">
        <w:rPr>
          <w:rFonts w:ascii="Verdana" w:hAnsi="Verdana"/>
          <w:sz w:val="16"/>
          <w:szCs w:val="16"/>
        </w:rPr>
        <w:t>A/HR</w:t>
      </w:r>
      <w:r>
        <w:rPr>
          <w:rFonts w:ascii="Verdana" w:hAnsi="Verdana"/>
          <w:sz w:val="16"/>
          <w:szCs w:val="16"/>
        </w:rPr>
        <w:t>C</w:t>
      </w:r>
      <w:r w:rsidRPr="00432ABC">
        <w:rPr>
          <w:rFonts w:ascii="Verdana" w:hAnsi="Verdana"/>
          <w:sz w:val="16"/>
          <w:szCs w:val="16"/>
        </w:rPr>
        <w:t>/30/38/Add.4, párr. 25</w:t>
      </w:r>
      <w:r>
        <w:rPr>
          <w:rFonts w:ascii="Verdana" w:hAnsi="Verdana"/>
          <w:sz w:val="16"/>
          <w:szCs w:val="16"/>
        </w:rPr>
        <w:t>;</w:t>
      </w:r>
      <w:r w:rsidRPr="00432ABC">
        <w:rPr>
          <w:rFonts w:ascii="Verdana" w:hAnsi="Verdana"/>
          <w:sz w:val="16"/>
          <w:szCs w:val="16"/>
        </w:rPr>
        <w:t xml:space="preserve"> De forma similar, en 2015 el Alto Comisionado de la ONU para los Derechos Humanos manifestó su preocupación por </w:t>
      </w:r>
      <w:r>
        <w:rPr>
          <w:rFonts w:ascii="Verdana" w:hAnsi="Verdana"/>
          <w:sz w:val="16"/>
          <w:szCs w:val="16"/>
        </w:rPr>
        <w:t xml:space="preserve">la </w:t>
      </w:r>
      <w:r w:rsidRPr="00432ABC">
        <w:rPr>
          <w:rFonts w:ascii="Verdana" w:hAnsi="Verdana"/>
          <w:sz w:val="16"/>
          <w:szCs w:val="16"/>
        </w:rPr>
        <w:t xml:space="preserve">gravedad de la situación de los derechos humanos en el país y recomendó, entre otras medidas, la adopción “de un cronograma para el retiro de las fuerzas militares de las funciones de seguridad pública”. </w:t>
      </w:r>
      <w:r w:rsidRPr="00CD5C54">
        <w:rPr>
          <w:rFonts w:ascii="Verdana" w:hAnsi="Verdana"/>
          <w:i/>
          <w:sz w:val="16"/>
          <w:szCs w:val="16"/>
        </w:rPr>
        <w:t>Cfr.</w:t>
      </w:r>
      <w:r w:rsidRPr="00432ABC">
        <w:rPr>
          <w:rFonts w:ascii="Verdana" w:hAnsi="Verdana"/>
          <w:sz w:val="16"/>
          <w:szCs w:val="16"/>
        </w:rPr>
        <w:t xml:space="preserve"> </w:t>
      </w:r>
      <w:r w:rsidRPr="00432ABC">
        <w:rPr>
          <w:rFonts w:ascii="Verdana" w:hAnsi="Verdana"/>
          <w:bCs/>
          <w:sz w:val="16"/>
          <w:szCs w:val="16"/>
        </w:rPr>
        <w:t>Declaración del Alto Comisionado de la ONU para los Derechos Humanos, Zeid Ra’ad Al Hussein, con motivo de su visita a México, 7 de octubre de 2015</w:t>
      </w:r>
      <w:r w:rsidRPr="00432ABC">
        <w:rPr>
          <w:rFonts w:ascii="Verdana" w:hAnsi="Verdana"/>
          <w:sz w:val="16"/>
          <w:szCs w:val="16"/>
        </w:rPr>
        <w:t xml:space="preserve">, </w:t>
      </w:r>
      <w:r w:rsidRPr="00432ABC">
        <w:rPr>
          <w:rFonts w:ascii="Verdana" w:hAnsi="Verdana"/>
          <w:i/>
          <w:sz w:val="16"/>
          <w:szCs w:val="16"/>
        </w:rPr>
        <w:t>supr</w:t>
      </w:r>
      <w:r>
        <w:rPr>
          <w:rFonts w:ascii="Verdana" w:hAnsi="Verdana"/>
          <w:i/>
          <w:sz w:val="16"/>
          <w:szCs w:val="16"/>
        </w:rPr>
        <w:t>a</w:t>
      </w:r>
      <w:r>
        <w:rPr>
          <w:rFonts w:ascii="Verdana" w:hAnsi="Verdana"/>
          <w:sz w:val="16"/>
          <w:szCs w:val="16"/>
        </w:rPr>
        <w:t>, y, por último</w:t>
      </w:r>
      <w:r w:rsidRPr="00220312">
        <w:rPr>
          <w:rFonts w:ascii="Verdana" w:hAnsi="Verdana"/>
          <w:sz w:val="16"/>
          <w:szCs w:val="16"/>
        </w:rPr>
        <w:t>,</w:t>
      </w:r>
      <w:r w:rsidRPr="00432ABC">
        <w:rPr>
          <w:rFonts w:ascii="Verdana" w:hAnsi="Verdana"/>
          <w:sz w:val="16"/>
          <w:szCs w:val="16"/>
        </w:rPr>
        <w:t xml:space="preserve"> el Relator Especial de las Naciones Unidas sobre la situación de los defensores de los derechos humanos ha señalado que en México “el uso de las fuerzas armadas en las funciones de seguridad pública y la falta de un programa para el regreso a un enfoque de seguridad completamente civil levanta varias preocupaciones en términos de gobernanza democrática [,] [s]in tampoco [sic] haber puesto fin a la violencia”. </w:t>
      </w:r>
      <w:r w:rsidRPr="00CD5C54">
        <w:rPr>
          <w:rFonts w:ascii="Verdana" w:hAnsi="Verdana"/>
          <w:i/>
          <w:sz w:val="16"/>
          <w:szCs w:val="16"/>
        </w:rPr>
        <w:t>Cfr.</w:t>
      </w:r>
      <w:r w:rsidRPr="00432ABC">
        <w:rPr>
          <w:rFonts w:ascii="Verdana" w:hAnsi="Verdana"/>
          <w:sz w:val="16"/>
          <w:szCs w:val="16"/>
        </w:rPr>
        <w:t xml:space="preserve"> ONU. </w:t>
      </w:r>
      <w:r w:rsidRPr="00432ABC">
        <w:rPr>
          <w:rFonts w:ascii="Verdana" w:hAnsi="Verdana"/>
          <w:i/>
          <w:sz w:val="16"/>
          <w:szCs w:val="16"/>
        </w:rPr>
        <w:t xml:space="preserve">Informe cierre de misión del Relator Especial de las Naciones Unidas sobre la situación de los defensores de los derechos humanos, Michel Forst, Visita a México, </w:t>
      </w:r>
      <w:r w:rsidRPr="00432ABC">
        <w:rPr>
          <w:rFonts w:ascii="Verdana" w:hAnsi="Verdana"/>
          <w:sz w:val="16"/>
          <w:szCs w:val="16"/>
        </w:rPr>
        <w:t xml:space="preserve">24 de enero de 2017, pág. 4, disponible en </w:t>
      </w:r>
      <w:hyperlink r:id="rId19" w:history="1">
        <w:r w:rsidRPr="00432ABC">
          <w:rPr>
            <w:rStyle w:val="Hyperlink"/>
            <w:rFonts w:ascii="Verdana" w:hAnsi="Verdana"/>
            <w:sz w:val="16"/>
            <w:szCs w:val="16"/>
          </w:rPr>
          <w:t>https://www.hchr.org.mx/images/doc_pub/SRHRD-END-OF-MISSION-STATEMENT-FINAL_ESP.pdf</w:t>
        </w:r>
      </w:hyperlink>
      <w:r w:rsidRPr="00432ABC">
        <w:rPr>
          <w:rFonts w:ascii="Verdana" w:hAnsi="Verdana"/>
          <w:sz w:val="16"/>
          <w:szCs w:val="16"/>
        </w:rPr>
        <w:t xml:space="preserve">. </w:t>
      </w:r>
    </w:p>
  </w:footnote>
  <w:footnote w:id="68">
    <w:p w14:paraId="64ECF8F2" w14:textId="4767211B" w:rsidR="00146958" w:rsidRPr="00432ABC" w:rsidRDefault="00146958">
      <w:pPr>
        <w:pStyle w:val="FootnoteText"/>
        <w:jc w:val="both"/>
        <w:rPr>
          <w:rFonts w:ascii="Verdana" w:hAnsi="Verdana"/>
          <w:sz w:val="16"/>
          <w:szCs w:val="16"/>
        </w:rPr>
      </w:pPr>
      <w:r w:rsidRPr="00432ABC">
        <w:rPr>
          <w:rStyle w:val="FootnoteReference"/>
          <w:rFonts w:ascii="Verdana" w:hAnsi="Verdana"/>
          <w:sz w:val="16"/>
          <w:szCs w:val="16"/>
        </w:rPr>
        <w:footnoteRef/>
      </w:r>
      <w:r w:rsidRPr="00432ABC">
        <w:rPr>
          <w:rFonts w:ascii="Verdana" w:hAnsi="Verdana"/>
          <w:sz w:val="16"/>
          <w:szCs w:val="16"/>
        </w:rPr>
        <w:t xml:space="preserve"> </w:t>
      </w:r>
      <w:r w:rsidRPr="00432ABC">
        <w:rPr>
          <w:rFonts w:ascii="Verdana" w:hAnsi="Verdana"/>
          <w:sz w:val="16"/>
          <w:szCs w:val="16"/>
        </w:rPr>
        <w:tab/>
      </w:r>
      <w:r w:rsidRPr="00CD5C54">
        <w:rPr>
          <w:rFonts w:ascii="Verdana" w:hAnsi="Verdana"/>
          <w:i/>
          <w:sz w:val="16"/>
          <w:szCs w:val="16"/>
        </w:rPr>
        <w:t>Cfr.</w:t>
      </w:r>
      <w:r w:rsidRPr="002C462C">
        <w:rPr>
          <w:rFonts w:ascii="Verdana" w:hAnsi="Verdana"/>
          <w:i/>
          <w:sz w:val="16"/>
          <w:szCs w:val="16"/>
        </w:rPr>
        <w:t xml:space="preserve"> </w:t>
      </w:r>
      <w:r w:rsidRPr="002C462C">
        <w:rPr>
          <w:rFonts w:ascii="Verdana" w:hAnsi="Verdana"/>
          <w:sz w:val="16"/>
          <w:szCs w:val="16"/>
        </w:rPr>
        <w:t xml:space="preserve">ONU. </w:t>
      </w:r>
      <w:r w:rsidRPr="00432ABC">
        <w:rPr>
          <w:rFonts w:ascii="Verdana" w:hAnsi="Verdana"/>
          <w:i/>
          <w:sz w:val="16"/>
          <w:szCs w:val="16"/>
        </w:rPr>
        <w:t xml:space="preserve">Informe del Relator Especial sobre las ejecuciones extrajudiciales, </w:t>
      </w:r>
      <w:r>
        <w:rPr>
          <w:rFonts w:ascii="Verdana" w:hAnsi="Verdana"/>
          <w:i/>
          <w:sz w:val="16"/>
          <w:szCs w:val="16"/>
        </w:rPr>
        <w:t>M</w:t>
      </w:r>
      <w:r w:rsidRPr="00432ABC">
        <w:rPr>
          <w:rFonts w:ascii="Verdana" w:hAnsi="Verdana"/>
          <w:i/>
          <w:sz w:val="16"/>
          <w:szCs w:val="16"/>
        </w:rPr>
        <w:t>isión a México</w:t>
      </w:r>
      <w:r w:rsidRPr="00432ABC">
        <w:rPr>
          <w:rFonts w:ascii="Verdana" w:hAnsi="Verdana"/>
          <w:sz w:val="16"/>
          <w:szCs w:val="16"/>
        </w:rPr>
        <w:t xml:space="preserve">, </w:t>
      </w:r>
      <w:r w:rsidRPr="00432ABC">
        <w:rPr>
          <w:rFonts w:ascii="Verdana" w:hAnsi="Verdana"/>
          <w:i/>
          <w:sz w:val="16"/>
          <w:szCs w:val="16"/>
        </w:rPr>
        <w:t>supra</w:t>
      </w:r>
      <w:r w:rsidRPr="00432ABC">
        <w:rPr>
          <w:rFonts w:ascii="Verdana" w:hAnsi="Verdana"/>
          <w:sz w:val="16"/>
          <w:szCs w:val="16"/>
        </w:rPr>
        <w:t xml:space="preserve">, 28 de abril de 2014, párrs. 8, 11, 13 y 15. </w:t>
      </w:r>
    </w:p>
  </w:footnote>
  <w:footnote w:id="69">
    <w:p w14:paraId="016D0828" w14:textId="26703D19" w:rsidR="00146958" w:rsidRPr="00432ABC" w:rsidRDefault="00146958">
      <w:pPr>
        <w:pStyle w:val="FootnoteText"/>
        <w:jc w:val="both"/>
        <w:rPr>
          <w:rFonts w:ascii="Verdana" w:hAnsi="Verdana"/>
          <w:sz w:val="16"/>
          <w:szCs w:val="16"/>
        </w:rPr>
      </w:pPr>
      <w:r w:rsidRPr="00432ABC">
        <w:rPr>
          <w:rStyle w:val="FootnoteReference"/>
          <w:rFonts w:ascii="Verdana" w:hAnsi="Verdana"/>
          <w:sz w:val="16"/>
          <w:szCs w:val="16"/>
        </w:rPr>
        <w:footnoteRef/>
      </w:r>
      <w:r w:rsidRPr="00432ABC">
        <w:rPr>
          <w:rFonts w:ascii="Verdana" w:hAnsi="Verdana"/>
          <w:sz w:val="16"/>
          <w:szCs w:val="16"/>
        </w:rPr>
        <w:t xml:space="preserve"> </w:t>
      </w:r>
      <w:r w:rsidRPr="00432ABC">
        <w:rPr>
          <w:rFonts w:ascii="Verdana" w:hAnsi="Verdana"/>
          <w:sz w:val="16"/>
          <w:szCs w:val="16"/>
        </w:rPr>
        <w:tab/>
      </w:r>
      <w:r>
        <w:rPr>
          <w:rFonts w:ascii="Verdana" w:eastAsiaTheme="minorHAnsi" w:hAnsi="Verdana"/>
          <w:color w:val="000000"/>
          <w:sz w:val="16"/>
          <w:szCs w:val="16"/>
          <w:shd w:val="clear" w:color="auto" w:fill="FFFFFF"/>
        </w:rPr>
        <w:t xml:space="preserve">El </w:t>
      </w:r>
      <w:r w:rsidRPr="00432ABC">
        <w:rPr>
          <w:rFonts w:ascii="Verdana" w:eastAsiaTheme="minorHAnsi" w:hAnsi="Verdana"/>
          <w:color w:val="000000"/>
          <w:sz w:val="16"/>
          <w:szCs w:val="16"/>
          <w:shd w:val="clear" w:color="auto" w:fill="FFFFFF"/>
        </w:rPr>
        <w:t>Alto Comisionado de la ONU para los D</w:t>
      </w:r>
      <w:r w:rsidRPr="002C462C">
        <w:rPr>
          <w:rFonts w:ascii="Verdana" w:eastAsiaTheme="minorHAnsi" w:hAnsi="Verdana"/>
          <w:color w:val="000000"/>
          <w:sz w:val="16"/>
          <w:szCs w:val="16"/>
          <w:shd w:val="clear" w:color="auto" w:fill="FFFFFF"/>
        </w:rPr>
        <w:t>erechos Humanos, Zeid Ra’ad Al Hussein, declaró tras su visita a México en 2015: “[…] Para un país que no se encuentra en medio de un conflicto, las cifras calculadas son, simplemente, impactantes: 151,233 personas asesinadas entre diciembre de 2006 y agost</w:t>
      </w:r>
      <w:r w:rsidRPr="00432ABC">
        <w:rPr>
          <w:rFonts w:ascii="Verdana" w:eastAsiaTheme="minorHAnsi" w:hAnsi="Verdana"/>
          <w:color w:val="000000"/>
          <w:sz w:val="16"/>
          <w:szCs w:val="16"/>
          <w:shd w:val="clear" w:color="auto" w:fill="FFFFFF"/>
        </w:rPr>
        <w:t xml:space="preserve">o de 2015, incluyendo miles de migrantes en tránsito. Desde 2007, hay al menos 26,000 personas cuyo paradero se desconoce, muchas posiblemente como resultado de desapariciones forzadas. Miles de mujeres y niñas son abusadas sexualmente o se convierten en víctimas de feminicidio. Y prácticamente nadie ha sido condenado por dichos crímenes […]”. </w:t>
      </w:r>
      <w:r w:rsidRPr="00CD5C54">
        <w:rPr>
          <w:rFonts w:ascii="Verdana" w:eastAsiaTheme="minorHAnsi" w:hAnsi="Verdana"/>
          <w:i/>
          <w:color w:val="000000"/>
          <w:sz w:val="16"/>
          <w:szCs w:val="16"/>
          <w:shd w:val="clear" w:color="auto" w:fill="FFFFFF"/>
        </w:rPr>
        <w:t>Cfr.</w:t>
      </w:r>
      <w:r w:rsidRPr="00432ABC">
        <w:rPr>
          <w:rFonts w:ascii="Verdana" w:eastAsiaTheme="minorHAnsi" w:hAnsi="Verdana"/>
          <w:color w:val="000000"/>
          <w:sz w:val="16"/>
          <w:szCs w:val="16"/>
          <w:shd w:val="clear" w:color="auto" w:fill="FFFFFF"/>
        </w:rPr>
        <w:t xml:space="preserve"> </w:t>
      </w:r>
      <w:r w:rsidRPr="00432ABC">
        <w:rPr>
          <w:rFonts w:ascii="Verdana" w:eastAsiaTheme="minorHAnsi" w:hAnsi="Verdana"/>
          <w:bCs/>
          <w:color w:val="000000"/>
          <w:sz w:val="16"/>
          <w:szCs w:val="16"/>
          <w:shd w:val="clear" w:color="auto" w:fill="FFFFFF"/>
        </w:rPr>
        <w:t xml:space="preserve">Declaración del Alto Comisionado de la ONU para los Derechos Humanos, </w:t>
      </w:r>
      <w:r>
        <w:rPr>
          <w:rFonts w:ascii="Verdana" w:eastAsiaTheme="minorHAnsi" w:hAnsi="Verdana"/>
          <w:bCs/>
          <w:color w:val="000000"/>
          <w:sz w:val="16"/>
          <w:szCs w:val="16"/>
          <w:shd w:val="clear" w:color="auto" w:fill="FFFFFF"/>
        </w:rPr>
        <w:t>V</w:t>
      </w:r>
      <w:r w:rsidRPr="00432ABC">
        <w:rPr>
          <w:rFonts w:ascii="Verdana" w:eastAsiaTheme="minorHAnsi" w:hAnsi="Verdana"/>
          <w:bCs/>
          <w:color w:val="000000"/>
          <w:sz w:val="16"/>
          <w:szCs w:val="16"/>
          <w:shd w:val="clear" w:color="auto" w:fill="FFFFFF"/>
        </w:rPr>
        <w:t xml:space="preserve">isita a México, 7 de octubre de 2015, disponible en </w:t>
      </w:r>
      <w:hyperlink r:id="rId20" w:history="1">
        <w:r w:rsidRPr="00432ABC">
          <w:rPr>
            <w:rStyle w:val="Hyperlink"/>
            <w:rFonts w:ascii="Verdana" w:eastAsiaTheme="minorHAnsi" w:hAnsi="Verdana"/>
            <w:bCs/>
            <w:sz w:val="16"/>
            <w:szCs w:val="16"/>
            <w:shd w:val="clear" w:color="auto" w:fill="FFFFFF"/>
          </w:rPr>
          <w:t>https://www.ohchr.org/sp/NewsEvents/Pages/DisplayNews.aspx?NewsID=16578&amp;LangID=S</w:t>
        </w:r>
      </w:hyperlink>
      <w:r w:rsidRPr="00432ABC">
        <w:rPr>
          <w:rStyle w:val="Hyperlink"/>
          <w:rFonts w:ascii="Verdana" w:eastAsiaTheme="minorHAnsi" w:hAnsi="Verdana"/>
          <w:bCs/>
          <w:sz w:val="16"/>
          <w:szCs w:val="16"/>
          <w:shd w:val="clear" w:color="auto" w:fill="FFFFFF"/>
        </w:rPr>
        <w:t>.</w:t>
      </w:r>
      <w:r>
        <w:rPr>
          <w:rFonts w:ascii="Verdana" w:hAnsi="Verdana"/>
          <w:bCs/>
          <w:sz w:val="16"/>
          <w:szCs w:val="16"/>
        </w:rPr>
        <w:t xml:space="preserve"> </w:t>
      </w:r>
      <w:r w:rsidRPr="002C462C">
        <w:rPr>
          <w:rFonts w:ascii="Verdana" w:hAnsi="Verdana"/>
          <w:bCs/>
          <w:sz w:val="16"/>
          <w:szCs w:val="16"/>
        </w:rPr>
        <w:t>Por su parte, los peritos Alejandro Madrazo y Gabriella Citroni coincideron en señalar que partir de 2007 con la implementación de los “Operativos Conjuntos” como estrategia central de esta política de seguridad militarizada del Estado, “no solo no logr[ó] reducir la violencia sino que […] la exacerb[ó] y provoc[ó] la crisis de d</w:t>
      </w:r>
      <w:r w:rsidRPr="00432ABC">
        <w:rPr>
          <w:rFonts w:ascii="Verdana" w:hAnsi="Verdana"/>
          <w:bCs/>
          <w:sz w:val="16"/>
          <w:szCs w:val="16"/>
        </w:rPr>
        <w:t>erechos humanos, desplazamiento [forzado] y violencia más grave que ha sufrido el país en un siglo [,] […]”</w:t>
      </w:r>
      <w:r w:rsidRPr="00432ABC">
        <w:rPr>
          <w:rFonts w:ascii="Verdana" w:hAnsi="Verdana"/>
          <w:sz w:val="16"/>
          <w:szCs w:val="16"/>
        </w:rPr>
        <w:t xml:space="preserve">. </w:t>
      </w:r>
      <w:r w:rsidRPr="00432ABC">
        <w:rPr>
          <w:rFonts w:ascii="Verdana" w:hAnsi="Verdana"/>
          <w:bCs/>
          <w:sz w:val="16"/>
          <w:szCs w:val="16"/>
        </w:rPr>
        <w:t xml:space="preserve">En el marco del combate al narcotráfico y al crimen organizado, “en México se registr[ó] un número de desapariciones entre los más elevados del mundo y el aumento del número absoluto de homicidios más elevado en el Hemisferio Occidental”, que superan o igualan a los de países en guerra. </w:t>
      </w:r>
      <w:r w:rsidRPr="00CD5C54">
        <w:rPr>
          <w:rFonts w:ascii="Verdana" w:hAnsi="Verdana"/>
          <w:bCs/>
          <w:i/>
          <w:sz w:val="16"/>
          <w:szCs w:val="16"/>
        </w:rPr>
        <w:t>Cfr.</w:t>
      </w:r>
      <w:r w:rsidRPr="00432ABC">
        <w:rPr>
          <w:rFonts w:ascii="Verdana" w:hAnsi="Verdana"/>
          <w:bCs/>
          <w:sz w:val="16"/>
          <w:szCs w:val="16"/>
        </w:rPr>
        <w:t xml:space="preserve"> Declaración pericial de Alejandro Madrazo Lajous rendida </w:t>
      </w:r>
      <w:r>
        <w:rPr>
          <w:rFonts w:ascii="Verdana" w:hAnsi="Verdana"/>
          <w:bCs/>
          <w:sz w:val="16"/>
          <w:szCs w:val="16"/>
        </w:rPr>
        <w:t>el</w:t>
      </w:r>
      <w:r w:rsidRPr="00432ABC">
        <w:rPr>
          <w:rFonts w:ascii="Verdana" w:hAnsi="Verdana"/>
          <w:bCs/>
          <w:sz w:val="16"/>
          <w:szCs w:val="16"/>
        </w:rPr>
        <w:t xml:space="preserve"> 19 de abril de 2018, </w:t>
      </w:r>
      <w:r w:rsidRPr="00432ABC">
        <w:rPr>
          <w:rFonts w:ascii="Verdana" w:hAnsi="Verdana"/>
          <w:bCs/>
          <w:i/>
          <w:sz w:val="16"/>
          <w:szCs w:val="16"/>
        </w:rPr>
        <w:t>supra</w:t>
      </w:r>
      <w:r w:rsidRPr="00432ABC">
        <w:rPr>
          <w:rFonts w:ascii="Verdana" w:hAnsi="Verdana"/>
          <w:bCs/>
          <w:sz w:val="16"/>
          <w:szCs w:val="16"/>
        </w:rPr>
        <w:t xml:space="preserve"> </w:t>
      </w:r>
      <w:r>
        <w:rPr>
          <w:rFonts w:ascii="Verdana" w:hAnsi="Verdana"/>
          <w:bCs/>
          <w:sz w:val="16"/>
          <w:szCs w:val="16"/>
        </w:rPr>
        <w:t xml:space="preserve">(expediente de prueba, </w:t>
      </w:r>
      <w:r w:rsidRPr="00453199">
        <w:rPr>
          <w:rFonts w:ascii="Verdana" w:hAnsi="Verdana"/>
          <w:bCs/>
          <w:i/>
          <w:sz w:val="16"/>
          <w:szCs w:val="16"/>
        </w:rPr>
        <w:t>Affidávits</w:t>
      </w:r>
      <w:r>
        <w:rPr>
          <w:rFonts w:ascii="Verdana" w:hAnsi="Verdana"/>
          <w:bCs/>
          <w:sz w:val="16"/>
          <w:szCs w:val="16"/>
        </w:rPr>
        <w:t xml:space="preserve">, </w:t>
      </w:r>
      <w:r w:rsidRPr="00432ABC">
        <w:rPr>
          <w:rFonts w:ascii="Verdana" w:hAnsi="Verdana"/>
          <w:bCs/>
          <w:sz w:val="16"/>
          <w:szCs w:val="16"/>
        </w:rPr>
        <w:t>f. 30979</w:t>
      </w:r>
      <w:r>
        <w:rPr>
          <w:rFonts w:ascii="Verdana" w:hAnsi="Verdana"/>
          <w:bCs/>
          <w:sz w:val="16"/>
          <w:szCs w:val="16"/>
        </w:rPr>
        <w:t>)</w:t>
      </w:r>
      <w:r w:rsidRPr="00432ABC">
        <w:rPr>
          <w:rFonts w:ascii="Verdana" w:hAnsi="Verdana"/>
          <w:bCs/>
          <w:sz w:val="16"/>
          <w:szCs w:val="16"/>
        </w:rPr>
        <w:t xml:space="preserve">, y </w:t>
      </w:r>
      <w:r w:rsidRPr="00432ABC">
        <w:rPr>
          <w:rFonts w:ascii="Verdana" w:hAnsi="Verdana"/>
          <w:sz w:val="16"/>
          <w:szCs w:val="16"/>
        </w:rPr>
        <w:t xml:space="preserve">Declaración pericial de Gabriella Citroni rendida </w:t>
      </w:r>
      <w:r>
        <w:rPr>
          <w:rFonts w:ascii="Verdana" w:hAnsi="Verdana"/>
          <w:sz w:val="16"/>
          <w:szCs w:val="16"/>
        </w:rPr>
        <w:t>el</w:t>
      </w:r>
      <w:r w:rsidRPr="00432ABC">
        <w:rPr>
          <w:rFonts w:ascii="Verdana" w:hAnsi="Verdana"/>
          <w:sz w:val="16"/>
          <w:szCs w:val="16"/>
        </w:rPr>
        <w:t xml:space="preserve"> 18 de abril de 2018</w:t>
      </w:r>
      <w:r w:rsidRPr="00432ABC">
        <w:rPr>
          <w:rFonts w:ascii="Verdana" w:hAnsi="Verdana"/>
          <w:i/>
          <w:sz w:val="16"/>
          <w:szCs w:val="16"/>
        </w:rPr>
        <w:t>, supra</w:t>
      </w:r>
      <w:r w:rsidRPr="00432ABC">
        <w:rPr>
          <w:rFonts w:ascii="Verdana" w:hAnsi="Verdana"/>
          <w:sz w:val="16"/>
          <w:szCs w:val="16"/>
        </w:rPr>
        <w:t xml:space="preserve"> </w:t>
      </w:r>
      <w:r>
        <w:rPr>
          <w:rFonts w:ascii="Verdana" w:hAnsi="Verdana"/>
          <w:sz w:val="16"/>
          <w:szCs w:val="16"/>
        </w:rPr>
        <w:t xml:space="preserve">(expediente de prueba, </w:t>
      </w:r>
      <w:r w:rsidRPr="00453199">
        <w:rPr>
          <w:rFonts w:ascii="Verdana" w:hAnsi="Verdana"/>
          <w:i/>
          <w:sz w:val="16"/>
          <w:szCs w:val="16"/>
        </w:rPr>
        <w:t>Affidávits</w:t>
      </w:r>
      <w:r>
        <w:rPr>
          <w:rFonts w:ascii="Verdana" w:hAnsi="Verdana"/>
          <w:sz w:val="16"/>
          <w:szCs w:val="16"/>
        </w:rPr>
        <w:t xml:space="preserve">, </w:t>
      </w:r>
      <w:r w:rsidRPr="00432ABC">
        <w:rPr>
          <w:rFonts w:ascii="Verdana" w:hAnsi="Verdana"/>
          <w:sz w:val="16"/>
          <w:szCs w:val="16"/>
        </w:rPr>
        <w:t>f. 31062).</w:t>
      </w:r>
    </w:p>
  </w:footnote>
  <w:footnote w:id="70">
    <w:p w14:paraId="37F8CBFA" w14:textId="14913AB7" w:rsidR="00146958" w:rsidRPr="00432ABC" w:rsidRDefault="00146958">
      <w:pPr>
        <w:pStyle w:val="FootnoteText"/>
        <w:jc w:val="both"/>
        <w:rPr>
          <w:rFonts w:ascii="Verdana" w:hAnsi="Verdana" w:cs="Arial"/>
          <w:sz w:val="16"/>
          <w:szCs w:val="16"/>
        </w:rPr>
      </w:pPr>
      <w:r w:rsidRPr="00432ABC">
        <w:rPr>
          <w:rStyle w:val="FootnoteReference"/>
          <w:rFonts w:ascii="Verdana" w:hAnsi="Verdana"/>
          <w:sz w:val="16"/>
          <w:szCs w:val="16"/>
        </w:rPr>
        <w:footnoteRef/>
      </w:r>
      <w:r w:rsidRPr="00432ABC">
        <w:rPr>
          <w:rFonts w:ascii="Verdana" w:hAnsi="Verdana"/>
          <w:sz w:val="16"/>
          <w:szCs w:val="16"/>
        </w:rPr>
        <w:t xml:space="preserve"> </w:t>
      </w:r>
      <w:r w:rsidRPr="00432ABC">
        <w:rPr>
          <w:rFonts w:ascii="Verdana" w:hAnsi="Verdana"/>
          <w:sz w:val="16"/>
          <w:szCs w:val="16"/>
        </w:rPr>
        <w:tab/>
      </w:r>
      <w:r w:rsidRPr="00CD5C54">
        <w:rPr>
          <w:rFonts w:ascii="Verdana" w:hAnsi="Verdana"/>
          <w:i/>
          <w:sz w:val="16"/>
          <w:szCs w:val="16"/>
        </w:rPr>
        <w:t>Cfr.</w:t>
      </w:r>
      <w:r w:rsidRPr="002C462C">
        <w:rPr>
          <w:rFonts w:ascii="Verdana" w:hAnsi="Verdana"/>
          <w:sz w:val="16"/>
          <w:szCs w:val="16"/>
        </w:rPr>
        <w:t xml:space="preserve"> ONU. GTDFI, </w:t>
      </w:r>
      <w:r w:rsidRPr="002C462C">
        <w:rPr>
          <w:rFonts w:ascii="Verdana" w:hAnsi="Verdana"/>
          <w:bCs/>
          <w:i/>
          <w:sz w:val="16"/>
          <w:szCs w:val="16"/>
        </w:rPr>
        <w:t>Observaciones preliminares</w:t>
      </w:r>
      <w:r w:rsidRPr="00432ABC">
        <w:rPr>
          <w:rFonts w:ascii="Verdana" w:hAnsi="Verdana"/>
          <w:bCs/>
          <w:sz w:val="16"/>
          <w:szCs w:val="16"/>
        </w:rPr>
        <w:t xml:space="preserve">, </w:t>
      </w:r>
      <w:r w:rsidRPr="00432ABC">
        <w:rPr>
          <w:rFonts w:ascii="Verdana" w:hAnsi="Verdana"/>
          <w:bCs/>
          <w:i/>
          <w:sz w:val="16"/>
          <w:szCs w:val="16"/>
        </w:rPr>
        <w:t>Misión a México</w:t>
      </w:r>
      <w:r w:rsidRPr="00432ABC">
        <w:rPr>
          <w:rFonts w:ascii="Verdana" w:hAnsi="Verdana"/>
          <w:bCs/>
          <w:sz w:val="16"/>
          <w:szCs w:val="16"/>
        </w:rPr>
        <w:t>, 31 de marzo de 2011, pág. 5, disponible en</w:t>
      </w:r>
      <w:r w:rsidRPr="00432ABC">
        <w:rPr>
          <w:rFonts w:ascii="Verdana" w:hAnsi="Verdana"/>
          <w:sz w:val="16"/>
          <w:szCs w:val="16"/>
        </w:rPr>
        <w:t xml:space="preserve"> </w:t>
      </w:r>
      <w:hyperlink r:id="rId21" w:history="1">
        <w:r w:rsidRPr="00432ABC">
          <w:rPr>
            <w:rStyle w:val="Hyperlink"/>
            <w:rFonts w:ascii="Verdana" w:hAnsi="Verdana"/>
            <w:sz w:val="16"/>
            <w:szCs w:val="16"/>
          </w:rPr>
          <w:t>http://www.hchr.org.mx/images/GTDFI2011.pdf</w:t>
        </w:r>
      </w:hyperlink>
      <w:r>
        <w:rPr>
          <w:rFonts w:ascii="Verdana" w:hAnsi="Verdana"/>
          <w:bCs/>
          <w:sz w:val="16"/>
          <w:szCs w:val="16"/>
        </w:rPr>
        <w:t>;</w:t>
      </w:r>
      <w:r w:rsidRPr="00432ABC">
        <w:rPr>
          <w:rFonts w:ascii="Verdana" w:hAnsi="Verdana"/>
          <w:bCs/>
          <w:sz w:val="16"/>
          <w:szCs w:val="16"/>
        </w:rPr>
        <w:t xml:space="preserve"> </w:t>
      </w:r>
      <w:r w:rsidRPr="00432ABC">
        <w:rPr>
          <w:rFonts w:ascii="Verdana" w:hAnsi="Verdana"/>
          <w:bCs/>
          <w:i/>
          <w:sz w:val="16"/>
          <w:szCs w:val="16"/>
        </w:rPr>
        <w:t xml:space="preserve">Informe del GTDFI, Misión a México, </w:t>
      </w:r>
      <w:r w:rsidRPr="002C462C">
        <w:rPr>
          <w:rFonts w:ascii="Verdana" w:hAnsi="Verdana"/>
          <w:bCs/>
          <w:sz w:val="16"/>
          <w:szCs w:val="16"/>
        </w:rPr>
        <w:t>20 de diciembre de 2011,</w:t>
      </w:r>
      <w:r w:rsidRPr="002C462C">
        <w:rPr>
          <w:rFonts w:ascii="Verdana" w:hAnsi="Verdana"/>
          <w:bCs/>
          <w:i/>
          <w:sz w:val="16"/>
          <w:szCs w:val="16"/>
        </w:rPr>
        <w:t xml:space="preserve"> supra</w:t>
      </w:r>
      <w:r w:rsidRPr="00432ABC">
        <w:rPr>
          <w:rFonts w:ascii="Verdana" w:hAnsi="Verdana"/>
          <w:bCs/>
          <w:sz w:val="16"/>
          <w:szCs w:val="16"/>
        </w:rPr>
        <w:t>, párrs. 19 y 25.</w:t>
      </w:r>
      <w:r w:rsidRPr="00432ABC">
        <w:rPr>
          <w:rFonts w:ascii="Verdana" w:hAnsi="Verdana"/>
          <w:sz w:val="16"/>
          <w:szCs w:val="16"/>
        </w:rPr>
        <w:t xml:space="preserve"> En dicho informe, el GTDFI señaló: Las recomendaciones de la CNDH son, en muchas ocasiones, el único registro público sobre las investigaciones de abusos cometidos por militares y, como tales, constituyen un instrumento fundamental para resaltar los patrones de violaciones a los derechos humanos […]”</w:t>
      </w:r>
      <w:r>
        <w:rPr>
          <w:rFonts w:ascii="Verdana" w:hAnsi="Verdana"/>
          <w:sz w:val="16"/>
          <w:szCs w:val="16"/>
        </w:rPr>
        <w:t xml:space="preserve">, y </w:t>
      </w:r>
      <w:r w:rsidRPr="00CD5C54">
        <w:rPr>
          <w:rFonts w:ascii="Verdana" w:hAnsi="Verdana"/>
          <w:i/>
          <w:sz w:val="16"/>
          <w:szCs w:val="16"/>
        </w:rPr>
        <w:t>Cfr.</w:t>
      </w:r>
      <w:r w:rsidRPr="00432ABC">
        <w:rPr>
          <w:rFonts w:ascii="Verdana" w:hAnsi="Verdana"/>
          <w:sz w:val="16"/>
          <w:szCs w:val="16"/>
        </w:rPr>
        <w:t xml:space="preserve"> ONU. Comité contra la Tortura, </w:t>
      </w:r>
      <w:r w:rsidRPr="00432ABC">
        <w:rPr>
          <w:rFonts w:ascii="Verdana" w:hAnsi="Verdana"/>
          <w:bCs/>
          <w:i/>
          <w:sz w:val="16"/>
          <w:szCs w:val="16"/>
        </w:rPr>
        <w:t xml:space="preserve">Observaciones finales sobre los informes periódicos quinto y sexto combinados de México, adoptadas por el Comité en su 49º período de sesiones (29 de octubre a 23 de noviembre de 2012), </w:t>
      </w:r>
      <w:r w:rsidRPr="00432ABC">
        <w:rPr>
          <w:rFonts w:ascii="Verdana" w:hAnsi="Verdana"/>
          <w:bCs/>
          <w:sz w:val="16"/>
          <w:szCs w:val="16"/>
        </w:rPr>
        <w:t xml:space="preserve"> CAT/C/MEX/CO/5-6, 11 de diciembre de 2012, párr. 10. </w:t>
      </w:r>
    </w:p>
  </w:footnote>
  <w:footnote w:id="71">
    <w:p w14:paraId="5EB5FBF4" w14:textId="144AF23E" w:rsidR="00146958" w:rsidRPr="00DB378B" w:rsidRDefault="00146958">
      <w:pPr>
        <w:pStyle w:val="FootnoteText"/>
        <w:jc w:val="both"/>
        <w:rPr>
          <w:rFonts w:ascii="Verdana" w:hAnsi="Verdana"/>
        </w:rPr>
      </w:pPr>
      <w:r w:rsidRPr="00432ABC">
        <w:rPr>
          <w:rStyle w:val="FootnoteReference"/>
          <w:rFonts w:ascii="Verdana" w:hAnsi="Verdana"/>
          <w:sz w:val="16"/>
          <w:szCs w:val="16"/>
        </w:rPr>
        <w:footnoteRef/>
      </w:r>
      <w:r w:rsidRPr="00432ABC">
        <w:rPr>
          <w:rFonts w:ascii="Verdana" w:hAnsi="Verdana"/>
          <w:sz w:val="16"/>
          <w:szCs w:val="16"/>
        </w:rPr>
        <w:t xml:space="preserve"> </w:t>
      </w:r>
      <w:r w:rsidRPr="00432ABC">
        <w:rPr>
          <w:rFonts w:ascii="Verdana" w:hAnsi="Verdana"/>
          <w:sz w:val="16"/>
          <w:szCs w:val="16"/>
        </w:rPr>
        <w:tab/>
      </w:r>
      <w:r w:rsidRPr="00432ABC">
        <w:rPr>
          <w:rFonts w:ascii="Verdana" w:hAnsi="Verdana"/>
          <w:bCs/>
          <w:sz w:val="16"/>
          <w:szCs w:val="16"/>
        </w:rPr>
        <w:t>L</w:t>
      </w:r>
      <w:r w:rsidRPr="002C462C">
        <w:rPr>
          <w:rFonts w:ascii="Verdana" w:hAnsi="Verdana"/>
          <w:bCs/>
          <w:sz w:val="16"/>
          <w:szCs w:val="16"/>
        </w:rPr>
        <w:t xml:space="preserve">a CNDH señaló que el número de quejas contra la SEDENA sometidas a su conocimiento por violaciones a derechos humanos evolucionó de la siguiente manera; 367, en 2007 (3er. lugar); 1,230 en 2008 (1er. lugar); 1,791, en 2009 (1er. lugar); 1,415, en 2010 (1er. lugar); 1,695, en 2011 (1er. lugar); 1,503, en 2012 (2º lugar); 811, en 2013 (3er. lugar); 642, en  2014 (3er. lugar); 622, en 2015 (7º lugar); 439, en 2016 (8º lugar), y 415, en 2017 (7º lugar). </w:t>
      </w:r>
      <w:r w:rsidRPr="00CD5C54">
        <w:rPr>
          <w:rFonts w:ascii="Verdana" w:hAnsi="Verdana"/>
          <w:bCs/>
          <w:i/>
          <w:sz w:val="16"/>
          <w:szCs w:val="16"/>
        </w:rPr>
        <w:t>Cfr.</w:t>
      </w:r>
      <w:r w:rsidRPr="00432ABC">
        <w:rPr>
          <w:rFonts w:ascii="Verdana" w:hAnsi="Verdana"/>
          <w:bCs/>
          <w:sz w:val="16"/>
          <w:szCs w:val="16"/>
        </w:rPr>
        <w:t xml:space="preserve"> CNDH, </w:t>
      </w:r>
      <w:r w:rsidRPr="00432ABC">
        <w:rPr>
          <w:rFonts w:ascii="Verdana" w:hAnsi="Verdana"/>
          <w:bCs/>
          <w:i/>
          <w:sz w:val="16"/>
          <w:szCs w:val="16"/>
        </w:rPr>
        <w:t>Informes Anuales de Actividades</w:t>
      </w:r>
      <w:r w:rsidRPr="00432ABC">
        <w:rPr>
          <w:rFonts w:ascii="Verdana" w:hAnsi="Verdana"/>
          <w:bCs/>
          <w:sz w:val="16"/>
          <w:szCs w:val="16"/>
        </w:rPr>
        <w:t xml:space="preserve">: </w:t>
      </w:r>
      <w:r w:rsidRPr="00432ABC">
        <w:rPr>
          <w:rFonts w:ascii="Verdana" w:hAnsi="Verdana"/>
          <w:bCs/>
          <w:i/>
          <w:sz w:val="16"/>
          <w:szCs w:val="16"/>
        </w:rPr>
        <w:t>2007</w:t>
      </w:r>
      <w:r w:rsidRPr="00432ABC">
        <w:rPr>
          <w:rFonts w:ascii="Verdana" w:hAnsi="Verdana"/>
          <w:bCs/>
          <w:sz w:val="16"/>
          <w:szCs w:val="16"/>
        </w:rPr>
        <w:t xml:space="preserve">, pág. 47; </w:t>
      </w:r>
      <w:r w:rsidRPr="00432ABC">
        <w:rPr>
          <w:rFonts w:ascii="Verdana" w:hAnsi="Verdana"/>
          <w:bCs/>
          <w:i/>
          <w:sz w:val="16"/>
          <w:szCs w:val="16"/>
        </w:rPr>
        <w:t>2008</w:t>
      </w:r>
      <w:r w:rsidRPr="00432ABC">
        <w:rPr>
          <w:rFonts w:ascii="Verdana" w:hAnsi="Verdana"/>
          <w:bCs/>
          <w:sz w:val="16"/>
          <w:szCs w:val="16"/>
        </w:rPr>
        <w:t xml:space="preserve">, pág. 36; </w:t>
      </w:r>
      <w:r w:rsidRPr="00432ABC">
        <w:rPr>
          <w:rFonts w:ascii="Verdana" w:hAnsi="Verdana"/>
          <w:bCs/>
          <w:i/>
          <w:sz w:val="16"/>
          <w:szCs w:val="16"/>
        </w:rPr>
        <w:t>2009</w:t>
      </w:r>
      <w:r w:rsidRPr="00432ABC">
        <w:rPr>
          <w:rFonts w:ascii="Verdana" w:hAnsi="Verdana"/>
          <w:bCs/>
          <w:sz w:val="16"/>
          <w:szCs w:val="16"/>
        </w:rPr>
        <w:t xml:space="preserve">, pág. 28; </w:t>
      </w:r>
      <w:r w:rsidRPr="00432ABC">
        <w:rPr>
          <w:rFonts w:ascii="Verdana" w:hAnsi="Verdana"/>
          <w:bCs/>
          <w:i/>
          <w:sz w:val="16"/>
          <w:szCs w:val="16"/>
        </w:rPr>
        <w:t>2010</w:t>
      </w:r>
      <w:r w:rsidRPr="00432ABC">
        <w:rPr>
          <w:rFonts w:ascii="Verdana" w:hAnsi="Verdana"/>
          <w:bCs/>
          <w:sz w:val="16"/>
          <w:szCs w:val="16"/>
        </w:rPr>
        <w:t xml:space="preserve">, pág. 52; </w:t>
      </w:r>
      <w:r w:rsidRPr="00432ABC">
        <w:rPr>
          <w:rFonts w:ascii="Verdana" w:hAnsi="Verdana"/>
          <w:bCs/>
          <w:i/>
          <w:sz w:val="16"/>
          <w:szCs w:val="16"/>
        </w:rPr>
        <w:t>2011</w:t>
      </w:r>
      <w:r w:rsidRPr="00432ABC">
        <w:rPr>
          <w:rFonts w:ascii="Verdana" w:hAnsi="Verdana"/>
          <w:bCs/>
          <w:sz w:val="16"/>
          <w:szCs w:val="16"/>
        </w:rPr>
        <w:t xml:space="preserve">, pág. 11; </w:t>
      </w:r>
      <w:r w:rsidRPr="00432ABC">
        <w:rPr>
          <w:rFonts w:ascii="Verdana" w:hAnsi="Verdana"/>
          <w:bCs/>
          <w:i/>
          <w:sz w:val="16"/>
          <w:szCs w:val="16"/>
        </w:rPr>
        <w:t>2012, Tomo I</w:t>
      </w:r>
      <w:r w:rsidRPr="00432ABC">
        <w:rPr>
          <w:rFonts w:ascii="Verdana" w:hAnsi="Verdana"/>
          <w:bCs/>
          <w:sz w:val="16"/>
          <w:szCs w:val="16"/>
        </w:rPr>
        <w:t xml:space="preserve">, pág. 11; </w:t>
      </w:r>
      <w:r w:rsidRPr="00432ABC">
        <w:rPr>
          <w:rFonts w:ascii="Verdana" w:hAnsi="Verdana"/>
          <w:bCs/>
          <w:i/>
          <w:sz w:val="16"/>
          <w:szCs w:val="16"/>
        </w:rPr>
        <w:t>2013, Tomo I</w:t>
      </w:r>
      <w:r w:rsidRPr="00432ABC">
        <w:rPr>
          <w:rFonts w:ascii="Verdana" w:hAnsi="Verdana"/>
          <w:bCs/>
          <w:sz w:val="16"/>
          <w:szCs w:val="16"/>
        </w:rPr>
        <w:t xml:space="preserve">, pág. 16; </w:t>
      </w:r>
      <w:r w:rsidRPr="00432ABC">
        <w:rPr>
          <w:rFonts w:ascii="Verdana" w:hAnsi="Verdana"/>
          <w:bCs/>
          <w:i/>
          <w:sz w:val="16"/>
          <w:szCs w:val="16"/>
        </w:rPr>
        <w:t>2014, Tomo I</w:t>
      </w:r>
      <w:r w:rsidRPr="00432ABC">
        <w:rPr>
          <w:rFonts w:ascii="Verdana" w:hAnsi="Verdana"/>
          <w:bCs/>
          <w:sz w:val="16"/>
          <w:szCs w:val="16"/>
        </w:rPr>
        <w:t xml:space="preserve">, pág. 41; </w:t>
      </w:r>
      <w:r w:rsidRPr="00432ABC">
        <w:rPr>
          <w:rFonts w:ascii="Verdana" w:hAnsi="Verdana"/>
          <w:bCs/>
          <w:i/>
          <w:sz w:val="16"/>
          <w:szCs w:val="16"/>
        </w:rPr>
        <w:t>2015, Resumen Ejecutivo</w:t>
      </w:r>
      <w:r w:rsidRPr="00432ABC">
        <w:rPr>
          <w:rFonts w:ascii="Verdana" w:hAnsi="Verdana"/>
          <w:bCs/>
          <w:sz w:val="16"/>
          <w:szCs w:val="16"/>
        </w:rPr>
        <w:t xml:space="preserve">, pág. 17; </w:t>
      </w:r>
      <w:r w:rsidRPr="00432ABC">
        <w:rPr>
          <w:rFonts w:ascii="Verdana" w:hAnsi="Verdana"/>
          <w:bCs/>
          <w:i/>
          <w:sz w:val="16"/>
          <w:szCs w:val="16"/>
        </w:rPr>
        <w:t>2016</w:t>
      </w:r>
      <w:r w:rsidRPr="00432ABC">
        <w:rPr>
          <w:rFonts w:ascii="Verdana" w:hAnsi="Verdana"/>
          <w:bCs/>
          <w:sz w:val="16"/>
          <w:szCs w:val="16"/>
        </w:rPr>
        <w:t>,</w:t>
      </w:r>
      <w:r w:rsidRPr="00432ABC">
        <w:rPr>
          <w:rFonts w:ascii="Verdana" w:hAnsi="Verdana"/>
          <w:bCs/>
          <w:i/>
          <w:sz w:val="16"/>
          <w:szCs w:val="16"/>
        </w:rPr>
        <w:t xml:space="preserve"> Resumen Ejecutivo, </w:t>
      </w:r>
      <w:r w:rsidRPr="00432ABC">
        <w:rPr>
          <w:rFonts w:ascii="Verdana" w:hAnsi="Verdana"/>
          <w:bCs/>
          <w:sz w:val="16"/>
          <w:szCs w:val="16"/>
        </w:rPr>
        <w:t xml:space="preserve">pág. 23; y </w:t>
      </w:r>
      <w:r w:rsidRPr="00432ABC">
        <w:rPr>
          <w:rFonts w:ascii="Verdana" w:hAnsi="Verdana"/>
          <w:bCs/>
          <w:i/>
          <w:sz w:val="16"/>
          <w:szCs w:val="16"/>
        </w:rPr>
        <w:t xml:space="preserve">2017, </w:t>
      </w:r>
      <w:r w:rsidRPr="00432ABC">
        <w:rPr>
          <w:rFonts w:ascii="Verdana" w:hAnsi="Verdana"/>
          <w:bCs/>
          <w:sz w:val="16"/>
          <w:szCs w:val="16"/>
        </w:rPr>
        <w:t xml:space="preserve">pág. 32. Disponibles en: </w:t>
      </w:r>
      <w:hyperlink r:id="rId22" w:history="1">
        <w:r w:rsidRPr="00432ABC">
          <w:rPr>
            <w:rStyle w:val="Hyperlink"/>
            <w:rFonts w:ascii="Verdana" w:hAnsi="Verdana"/>
            <w:bCs/>
            <w:sz w:val="16"/>
            <w:szCs w:val="16"/>
          </w:rPr>
          <w:t>http://www.cndh.org.mx/Informes_Anuales_Actividades</w:t>
        </w:r>
      </w:hyperlink>
      <w:r w:rsidRPr="00432ABC">
        <w:rPr>
          <w:rFonts w:ascii="Verdana" w:hAnsi="Verdana"/>
          <w:bCs/>
          <w:sz w:val="16"/>
          <w:szCs w:val="16"/>
        </w:rPr>
        <w:t>.</w:t>
      </w:r>
    </w:p>
  </w:footnote>
  <w:footnote w:id="72">
    <w:p w14:paraId="068F9A15" w14:textId="0A7074F2" w:rsidR="00146958" w:rsidRPr="00432ABC" w:rsidRDefault="00146958">
      <w:pPr>
        <w:pStyle w:val="FootnoteText"/>
        <w:jc w:val="both"/>
        <w:rPr>
          <w:rFonts w:ascii="Verdana" w:hAnsi="Verdana"/>
          <w:sz w:val="16"/>
          <w:szCs w:val="16"/>
        </w:rPr>
      </w:pPr>
      <w:r w:rsidRPr="00432ABC">
        <w:rPr>
          <w:rStyle w:val="FootnoteReference"/>
          <w:rFonts w:ascii="Verdana" w:hAnsi="Verdana"/>
          <w:sz w:val="16"/>
          <w:szCs w:val="16"/>
        </w:rPr>
        <w:footnoteRef/>
      </w:r>
      <w:r w:rsidRPr="00432ABC">
        <w:rPr>
          <w:rFonts w:ascii="Verdana" w:hAnsi="Verdana"/>
          <w:sz w:val="16"/>
          <w:szCs w:val="16"/>
        </w:rPr>
        <w:t xml:space="preserve"> </w:t>
      </w:r>
      <w:r w:rsidRPr="00432ABC">
        <w:rPr>
          <w:rFonts w:ascii="Verdana" w:hAnsi="Verdana"/>
          <w:sz w:val="16"/>
          <w:szCs w:val="16"/>
        </w:rPr>
        <w:tab/>
        <w:t>El número de quejas por violaciones a derechos humanos registradas ante la CNDH en contra de la SEMAR f</w:t>
      </w:r>
      <w:r w:rsidRPr="002C462C">
        <w:rPr>
          <w:rFonts w:ascii="Verdana" w:hAnsi="Verdana"/>
          <w:sz w:val="16"/>
          <w:szCs w:val="16"/>
        </w:rPr>
        <w:t xml:space="preserve">ueron: </w:t>
      </w:r>
      <w:r w:rsidRPr="00432ABC">
        <w:rPr>
          <w:rFonts w:ascii="Verdana" w:hAnsi="Verdana"/>
          <w:bCs/>
          <w:sz w:val="16"/>
          <w:szCs w:val="16"/>
        </w:rPr>
        <w:t xml:space="preserve">31, en 2007 (32º lugar); 43, en 2008 (24º lugar); 42, en 2009 (24º lugar); 198, en 2010 (11º lugar); 495, en 2011 (9º lugar); 418, en 2012 (10º lugar); 385, en 2013 (10º lugar); 374, en  2014 (9º lugar); 378, en 2015 (9º lugar); 258, en 2016 (9º lugar), y 259, en 2017 (10º lugar). </w:t>
      </w:r>
      <w:r w:rsidRPr="00CD5C54">
        <w:rPr>
          <w:rFonts w:ascii="Verdana" w:hAnsi="Verdana"/>
          <w:bCs/>
          <w:i/>
          <w:sz w:val="16"/>
          <w:szCs w:val="16"/>
        </w:rPr>
        <w:t>Cfr.</w:t>
      </w:r>
      <w:r w:rsidRPr="00432ABC">
        <w:rPr>
          <w:rFonts w:ascii="Verdana" w:hAnsi="Verdana"/>
          <w:bCs/>
          <w:sz w:val="16"/>
          <w:szCs w:val="16"/>
        </w:rPr>
        <w:t xml:space="preserve"> CNDH. Informes Anuales de Actividades: </w:t>
      </w:r>
      <w:r w:rsidRPr="00432ABC">
        <w:rPr>
          <w:rFonts w:ascii="Verdana" w:hAnsi="Verdana"/>
          <w:bCs/>
          <w:i/>
          <w:sz w:val="16"/>
          <w:szCs w:val="16"/>
        </w:rPr>
        <w:t>2007</w:t>
      </w:r>
      <w:r w:rsidRPr="00432ABC">
        <w:rPr>
          <w:rFonts w:ascii="Verdana" w:hAnsi="Verdana"/>
          <w:bCs/>
          <w:sz w:val="16"/>
          <w:szCs w:val="16"/>
        </w:rPr>
        <w:t xml:space="preserve">, pág. 741; </w:t>
      </w:r>
      <w:r w:rsidRPr="00432ABC">
        <w:rPr>
          <w:rFonts w:ascii="Verdana" w:hAnsi="Verdana"/>
          <w:bCs/>
          <w:i/>
          <w:sz w:val="16"/>
          <w:szCs w:val="16"/>
        </w:rPr>
        <w:t>2008</w:t>
      </w:r>
      <w:r w:rsidRPr="00432ABC">
        <w:rPr>
          <w:rFonts w:ascii="Verdana" w:hAnsi="Verdana"/>
          <w:bCs/>
          <w:sz w:val="16"/>
          <w:szCs w:val="16"/>
        </w:rPr>
        <w:t xml:space="preserve">, pág. 337; </w:t>
      </w:r>
      <w:r w:rsidRPr="00432ABC">
        <w:rPr>
          <w:rFonts w:ascii="Verdana" w:hAnsi="Verdana"/>
          <w:bCs/>
          <w:i/>
          <w:sz w:val="16"/>
          <w:szCs w:val="16"/>
        </w:rPr>
        <w:t>2009</w:t>
      </w:r>
      <w:r w:rsidRPr="00432ABC">
        <w:rPr>
          <w:rFonts w:ascii="Verdana" w:hAnsi="Verdana"/>
          <w:bCs/>
          <w:sz w:val="16"/>
          <w:szCs w:val="16"/>
        </w:rPr>
        <w:t xml:space="preserve">, pág. 339; </w:t>
      </w:r>
      <w:r w:rsidRPr="00432ABC">
        <w:rPr>
          <w:rFonts w:ascii="Verdana" w:hAnsi="Verdana"/>
          <w:bCs/>
          <w:i/>
          <w:sz w:val="16"/>
          <w:szCs w:val="16"/>
        </w:rPr>
        <w:t>2010</w:t>
      </w:r>
      <w:r w:rsidRPr="00432ABC">
        <w:rPr>
          <w:rFonts w:ascii="Verdana" w:hAnsi="Verdana"/>
          <w:bCs/>
          <w:sz w:val="16"/>
          <w:szCs w:val="16"/>
        </w:rPr>
        <w:t xml:space="preserve">, pág. 371; </w:t>
      </w:r>
      <w:r w:rsidRPr="00432ABC">
        <w:rPr>
          <w:rFonts w:ascii="Verdana" w:hAnsi="Verdana"/>
          <w:bCs/>
          <w:i/>
          <w:sz w:val="16"/>
          <w:szCs w:val="16"/>
        </w:rPr>
        <w:t>2011</w:t>
      </w:r>
      <w:r w:rsidRPr="00432ABC">
        <w:rPr>
          <w:rFonts w:ascii="Verdana" w:hAnsi="Verdana"/>
          <w:bCs/>
          <w:sz w:val="16"/>
          <w:szCs w:val="16"/>
        </w:rPr>
        <w:t xml:space="preserve">, pág. 11; </w:t>
      </w:r>
      <w:r w:rsidRPr="00432ABC">
        <w:rPr>
          <w:rFonts w:ascii="Verdana" w:hAnsi="Verdana"/>
          <w:bCs/>
          <w:i/>
          <w:sz w:val="16"/>
          <w:szCs w:val="16"/>
        </w:rPr>
        <w:t>2012, Tomo I</w:t>
      </w:r>
      <w:r w:rsidRPr="00432ABC">
        <w:rPr>
          <w:rFonts w:ascii="Verdana" w:hAnsi="Verdana"/>
          <w:bCs/>
          <w:sz w:val="16"/>
          <w:szCs w:val="16"/>
        </w:rPr>
        <w:t xml:space="preserve">, pág. 11; </w:t>
      </w:r>
      <w:r w:rsidRPr="00432ABC">
        <w:rPr>
          <w:rFonts w:ascii="Verdana" w:hAnsi="Verdana"/>
          <w:bCs/>
          <w:i/>
          <w:sz w:val="16"/>
          <w:szCs w:val="16"/>
        </w:rPr>
        <w:t>2013, Tomo I</w:t>
      </w:r>
      <w:r w:rsidRPr="00432ABC">
        <w:rPr>
          <w:rFonts w:ascii="Verdana" w:hAnsi="Verdana"/>
          <w:bCs/>
          <w:sz w:val="16"/>
          <w:szCs w:val="16"/>
        </w:rPr>
        <w:t xml:space="preserve">, pág. 16; </w:t>
      </w:r>
      <w:r w:rsidRPr="00432ABC">
        <w:rPr>
          <w:rFonts w:ascii="Verdana" w:hAnsi="Verdana"/>
          <w:bCs/>
          <w:i/>
          <w:sz w:val="16"/>
          <w:szCs w:val="16"/>
        </w:rPr>
        <w:t>2014, Tomo I</w:t>
      </w:r>
      <w:r w:rsidRPr="00432ABC">
        <w:rPr>
          <w:rFonts w:ascii="Verdana" w:hAnsi="Verdana"/>
          <w:bCs/>
          <w:sz w:val="16"/>
          <w:szCs w:val="16"/>
        </w:rPr>
        <w:t xml:space="preserve">, pág. 41; </w:t>
      </w:r>
      <w:r w:rsidRPr="00432ABC">
        <w:rPr>
          <w:rFonts w:ascii="Verdana" w:hAnsi="Verdana"/>
          <w:bCs/>
          <w:i/>
          <w:sz w:val="16"/>
          <w:szCs w:val="16"/>
        </w:rPr>
        <w:t>2015, Resumen Ejecutivo</w:t>
      </w:r>
      <w:r w:rsidRPr="00432ABC">
        <w:rPr>
          <w:rFonts w:ascii="Verdana" w:hAnsi="Verdana"/>
          <w:bCs/>
          <w:sz w:val="16"/>
          <w:szCs w:val="16"/>
        </w:rPr>
        <w:t xml:space="preserve">, pág. 17; </w:t>
      </w:r>
      <w:r w:rsidRPr="00432ABC">
        <w:rPr>
          <w:rFonts w:ascii="Verdana" w:hAnsi="Verdana"/>
          <w:bCs/>
          <w:i/>
          <w:sz w:val="16"/>
          <w:szCs w:val="16"/>
        </w:rPr>
        <w:t>2016</w:t>
      </w:r>
      <w:r w:rsidRPr="00432ABC">
        <w:rPr>
          <w:rFonts w:ascii="Verdana" w:hAnsi="Verdana"/>
          <w:bCs/>
          <w:sz w:val="16"/>
          <w:szCs w:val="16"/>
        </w:rPr>
        <w:t>,</w:t>
      </w:r>
      <w:r w:rsidRPr="00432ABC">
        <w:rPr>
          <w:rFonts w:ascii="Verdana" w:hAnsi="Verdana"/>
          <w:bCs/>
          <w:i/>
          <w:sz w:val="16"/>
          <w:szCs w:val="16"/>
        </w:rPr>
        <w:t xml:space="preserve"> Resumen Ejecutivo, </w:t>
      </w:r>
      <w:r w:rsidRPr="00432ABC">
        <w:rPr>
          <w:rFonts w:ascii="Verdana" w:hAnsi="Verdana"/>
          <w:bCs/>
          <w:sz w:val="16"/>
          <w:szCs w:val="16"/>
        </w:rPr>
        <w:t xml:space="preserve">pág. 23; y </w:t>
      </w:r>
      <w:r w:rsidRPr="00432ABC">
        <w:rPr>
          <w:rFonts w:ascii="Verdana" w:hAnsi="Verdana"/>
          <w:bCs/>
          <w:i/>
          <w:sz w:val="16"/>
          <w:szCs w:val="16"/>
        </w:rPr>
        <w:t xml:space="preserve">2017, </w:t>
      </w:r>
      <w:r w:rsidRPr="00432ABC">
        <w:rPr>
          <w:rFonts w:ascii="Verdana" w:hAnsi="Verdana"/>
          <w:bCs/>
          <w:sz w:val="16"/>
          <w:szCs w:val="16"/>
        </w:rPr>
        <w:t xml:space="preserve">pág. 32, </w:t>
      </w:r>
      <w:r w:rsidRPr="00432ABC">
        <w:rPr>
          <w:rFonts w:ascii="Verdana" w:hAnsi="Verdana"/>
          <w:bCs/>
          <w:i/>
          <w:sz w:val="16"/>
          <w:szCs w:val="16"/>
        </w:rPr>
        <w:t>supra</w:t>
      </w:r>
      <w:r w:rsidRPr="00432ABC">
        <w:rPr>
          <w:rFonts w:ascii="Verdana" w:hAnsi="Verdana"/>
          <w:bCs/>
          <w:sz w:val="16"/>
          <w:szCs w:val="16"/>
        </w:rPr>
        <w:t>.</w:t>
      </w:r>
    </w:p>
  </w:footnote>
  <w:footnote w:id="73">
    <w:p w14:paraId="4E16D452" w14:textId="26A3F670" w:rsidR="00146958" w:rsidRPr="00DB378B" w:rsidRDefault="00146958">
      <w:pPr>
        <w:pStyle w:val="FootnoteText"/>
        <w:jc w:val="both"/>
        <w:rPr>
          <w:rFonts w:ascii="Verdana" w:hAnsi="Verdana"/>
        </w:rPr>
      </w:pPr>
      <w:r w:rsidRPr="00432ABC">
        <w:rPr>
          <w:rStyle w:val="FootnoteReference"/>
          <w:rFonts w:ascii="Verdana" w:hAnsi="Verdana"/>
          <w:sz w:val="16"/>
          <w:szCs w:val="16"/>
        </w:rPr>
        <w:footnoteRef/>
      </w:r>
      <w:r w:rsidRPr="00432ABC">
        <w:rPr>
          <w:rFonts w:ascii="Verdana" w:hAnsi="Verdana"/>
          <w:sz w:val="16"/>
          <w:szCs w:val="16"/>
        </w:rPr>
        <w:t xml:space="preserve"> </w:t>
      </w:r>
      <w:r w:rsidRPr="00DB378B">
        <w:rPr>
          <w:rFonts w:ascii="Verdana" w:hAnsi="Verdana"/>
        </w:rPr>
        <w:tab/>
      </w:r>
      <w:r w:rsidRPr="00CD5C54">
        <w:rPr>
          <w:rFonts w:ascii="Verdana" w:hAnsi="Verdana"/>
          <w:i/>
          <w:sz w:val="16"/>
          <w:szCs w:val="16"/>
        </w:rPr>
        <w:t>Cfr.</w:t>
      </w:r>
      <w:r w:rsidRPr="00432ABC">
        <w:rPr>
          <w:rFonts w:ascii="Verdana" w:hAnsi="Verdana"/>
          <w:sz w:val="16"/>
          <w:szCs w:val="16"/>
        </w:rPr>
        <w:t xml:space="preserve"> CNDH, </w:t>
      </w:r>
      <w:r w:rsidRPr="002C462C">
        <w:rPr>
          <w:rFonts w:ascii="Verdana" w:hAnsi="Verdana"/>
          <w:i/>
          <w:sz w:val="16"/>
          <w:szCs w:val="16"/>
        </w:rPr>
        <w:t>Informe Especial sobre las Recomendaciones en Trámite dirigidas a las Autoridades Estatales, Federales y Municipales,</w:t>
      </w:r>
      <w:r w:rsidRPr="002C462C">
        <w:rPr>
          <w:rFonts w:ascii="Verdana" w:hAnsi="Verdana"/>
          <w:sz w:val="16"/>
          <w:szCs w:val="16"/>
        </w:rPr>
        <w:t xml:space="preserve"> junio de 2016, págs. 191 y 196. Disponible en </w:t>
      </w:r>
      <w:hyperlink r:id="rId23" w:history="1">
        <w:r w:rsidRPr="00432ABC">
          <w:rPr>
            <w:rStyle w:val="Hyperlink"/>
            <w:rFonts w:ascii="Verdana" w:hAnsi="Verdana"/>
            <w:sz w:val="16"/>
            <w:szCs w:val="16"/>
          </w:rPr>
          <w:t>http://www.cndh.org.mx/sites/all/doc/Informes/Especiales/2016_IE_Recomendaciones.pdf</w:t>
        </w:r>
      </w:hyperlink>
      <w:r w:rsidRPr="00432ABC">
        <w:rPr>
          <w:rStyle w:val="Hyperlink"/>
          <w:rFonts w:ascii="Verdana" w:hAnsi="Verdana"/>
          <w:sz w:val="16"/>
          <w:szCs w:val="16"/>
          <w:u w:val="none"/>
        </w:rPr>
        <w:t xml:space="preserve">. </w:t>
      </w:r>
      <w:r w:rsidRPr="002C462C">
        <w:rPr>
          <w:rStyle w:val="Hyperlink"/>
          <w:rFonts w:ascii="Verdana" w:hAnsi="Verdana"/>
          <w:color w:val="auto"/>
          <w:sz w:val="16"/>
          <w:szCs w:val="16"/>
          <w:u w:val="none"/>
        </w:rPr>
        <w:t xml:space="preserve">El período de análisis de los datos disponibles de la CNDH en dicho “Informe Especial” comprendió hasta el 15 de marzo </w:t>
      </w:r>
      <w:r w:rsidRPr="00432ABC">
        <w:rPr>
          <w:rFonts w:ascii="Verdana" w:hAnsi="Verdana"/>
          <w:sz w:val="16"/>
          <w:szCs w:val="16"/>
        </w:rPr>
        <w:t xml:space="preserve">de 2016 (pág. 17). </w:t>
      </w:r>
      <w:r w:rsidRPr="00432ABC">
        <w:rPr>
          <w:rStyle w:val="Hyperlink"/>
          <w:rFonts w:ascii="Verdana" w:hAnsi="Verdana"/>
          <w:color w:val="auto"/>
          <w:sz w:val="16"/>
          <w:szCs w:val="16"/>
          <w:u w:val="none"/>
        </w:rPr>
        <w:t xml:space="preserve">Con respecto a las “Recomendaciones” dirigidas a la SEDENA (3) y SEMAR (4) en 2017, </w:t>
      </w:r>
      <w:r w:rsidRPr="00CD5C54">
        <w:rPr>
          <w:rStyle w:val="Hyperlink"/>
          <w:rFonts w:ascii="Verdana" w:hAnsi="Verdana"/>
          <w:i/>
          <w:color w:val="auto"/>
          <w:sz w:val="16"/>
          <w:szCs w:val="16"/>
          <w:u w:val="none"/>
        </w:rPr>
        <w:t>Cfr.</w:t>
      </w:r>
      <w:r w:rsidRPr="00432ABC">
        <w:rPr>
          <w:rStyle w:val="Hyperlink"/>
          <w:rFonts w:ascii="Verdana" w:hAnsi="Verdana"/>
          <w:color w:val="auto"/>
          <w:sz w:val="16"/>
          <w:szCs w:val="16"/>
          <w:u w:val="none"/>
        </w:rPr>
        <w:t xml:space="preserve"> CNDH, Informe Anual de Actividades 2017, </w:t>
      </w:r>
      <w:r w:rsidRPr="00432ABC">
        <w:rPr>
          <w:rStyle w:val="Hyperlink"/>
          <w:rFonts w:ascii="Verdana" w:hAnsi="Verdana"/>
          <w:i/>
          <w:color w:val="auto"/>
          <w:sz w:val="16"/>
          <w:szCs w:val="16"/>
          <w:u w:val="none"/>
        </w:rPr>
        <w:t xml:space="preserve">supra, </w:t>
      </w:r>
      <w:r w:rsidRPr="00432ABC">
        <w:rPr>
          <w:rStyle w:val="Hyperlink"/>
          <w:rFonts w:ascii="Verdana" w:hAnsi="Verdana"/>
          <w:color w:val="auto"/>
          <w:sz w:val="16"/>
          <w:szCs w:val="16"/>
          <w:u w:val="none"/>
        </w:rPr>
        <w:t>págs. 42 a 43.</w:t>
      </w:r>
      <w:r w:rsidRPr="00432ABC">
        <w:rPr>
          <w:rStyle w:val="Hyperlink"/>
          <w:rFonts w:ascii="Verdana" w:hAnsi="Verdana"/>
          <w:sz w:val="16"/>
          <w:szCs w:val="16"/>
          <w:u w:val="none"/>
        </w:rPr>
        <w:t xml:space="preserve"> </w:t>
      </w:r>
    </w:p>
  </w:footnote>
  <w:footnote w:id="74">
    <w:p w14:paraId="319A3699" w14:textId="42D61964" w:rsidR="00146958" w:rsidRPr="00432ABC" w:rsidRDefault="00146958">
      <w:pPr>
        <w:pStyle w:val="FootnoteText"/>
        <w:jc w:val="both"/>
        <w:rPr>
          <w:rFonts w:ascii="Verdana" w:hAnsi="Verdana"/>
          <w:sz w:val="16"/>
          <w:szCs w:val="16"/>
        </w:rPr>
      </w:pPr>
      <w:r w:rsidRPr="00432ABC">
        <w:rPr>
          <w:rStyle w:val="FootnoteReference"/>
          <w:rFonts w:ascii="Verdana" w:hAnsi="Verdana"/>
          <w:sz w:val="16"/>
          <w:szCs w:val="16"/>
        </w:rPr>
        <w:footnoteRef/>
      </w:r>
      <w:r w:rsidRPr="00432ABC">
        <w:rPr>
          <w:rFonts w:ascii="Verdana" w:hAnsi="Verdana"/>
          <w:sz w:val="16"/>
          <w:szCs w:val="16"/>
        </w:rPr>
        <w:t xml:space="preserve"> </w:t>
      </w:r>
      <w:r w:rsidRPr="00432ABC">
        <w:rPr>
          <w:rFonts w:ascii="Verdana" w:hAnsi="Verdana"/>
          <w:sz w:val="16"/>
          <w:szCs w:val="16"/>
        </w:rPr>
        <w:tab/>
      </w:r>
      <w:r w:rsidRPr="00CD5C54">
        <w:rPr>
          <w:rFonts w:ascii="Verdana" w:hAnsi="Verdana"/>
          <w:i/>
          <w:sz w:val="16"/>
          <w:szCs w:val="16"/>
        </w:rPr>
        <w:t>Cfr.</w:t>
      </w:r>
      <w:r w:rsidRPr="002C462C">
        <w:rPr>
          <w:rFonts w:ascii="Verdana" w:hAnsi="Verdana"/>
          <w:sz w:val="16"/>
          <w:szCs w:val="16"/>
        </w:rPr>
        <w:t xml:space="preserve"> ONU. CEDAW</w:t>
      </w:r>
      <w:r>
        <w:rPr>
          <w:rFonts w:ascii="Verdana" w:hAnsi="Verdana"/>
          <w:sz w:val="16"/>
          <w:szCs w:val="16"/>
        </w:rPr>
        <w:t>,</w:t>
      </w:r>
      <w:r w:rsidRPr="00432ABC">
        <w:rPr>
          <w:rFonts w:ascii="Verdana" w:hAnsi="Verdana"/>
          <w:i/>
          <w:sz w:val="16"/>
          <w:szCs w:val="16"/>
        </w:rPr>
        <w:t xml:space="preserve"> Observaciones finales. México, </w:t>
      </w:r>
      <w:r w:rsidRPr="00432ABC">
        <w:rPr>
          <w:rFonts w:ascii="Verdana" w:hAnsi="Verdana"/>
          <w:sz w:val="16"/>
          <w:szCs w:val="16"/>
        </w:rPr>
        <w:t xml:space="preserve">CEDAW/C/MEX/CO/7-8, 7 de agosto de 2012, párrs. 11 a 12, y </w:t>
      </w:r>
      <w:r w:rsidRPr="00432ABC">
        <w:rPr>
          <w:rFonts w:ascii="Verdana" w:hAnsi="Verdana"/>
          <w:i/>
          <w:sz w:val="16"/>
          <w:szCs w:val="16"/>
        </w:rPr>
        <w:t xml:space="preserve">Observaciones finales sobre el noveno informe periódico de México, </w:t>
      </w:r>
      <w:r w:rsidRPr="00432ABC">
        <w:rPr>
          <w:rFonts w:ascii="Verdana" w:hAnsi="Verdana"/>
          <w:sz w:val="16"/>
          <w:szCs w:val="16"/>
        </w:rPr>
        <w:t xml:space="preserve">CEDAW/C/MEX/CO/9, 25 de julio de 2018, párrs. 9 a 10. </w:t>
      </w:r>
    </w:p>
  </w:footnote>
  <w:footnote w:id="75">
    <w:p w14:paraId="1C1B146B" w14:textId="58EDA0EF" w:rsidR="00146958" w:rsidRPr="00DB378B" w:rsidRDefault="00146958">
      <w:pPr>
        <w:pStyle w:val="HTMLPreformatted"/>
        <w:shd w:val="clear" w:color="auto" w:fill="FFFFFF"/>
        <w:jc w:val="both"/>
        <w:rPr>
          <w:rFonts w:ascii="Verdana" w:hAnsi="Verdana"/>
        </w:rPr>
      </w:pPr>
      <w:r w:rsidRPr="00432ABC">
        <w:rPr>
          <w:rStyle w:val="FootnoteReference"/>
          <w:rFonts w:ascii="Verdana" w:hAnsi="Verdana"/>
          <w:sz w:val="16"/>
          <w:szCs w:val="16"/>
        </w:rPr>
        <w:footnoteRef/>
      </w:r>
      <w:r w:rsidRPr="00432ABC">
        <w:rPr>
          <w:rFonts w:ascii="Verdana" w:hAnsi="Verdana"/>
          <w:sz w:val="16"/>
          <w:szCs w:val="16"/>
          <w:lang w:val="es-MX"/>
        </w:rPr>
        <w:t xml:space="preserve"> </w:t>
      </w:r>
      <w:r w:rsidRPr="00432ABC">
        <w:rPr>
          <w:rFonts w:ascii="Verdana" w:hAnsi="Verdana"/>
          <w:sz w:val="16"/>
          <w:szCs w:val="16"/>
          <w:lang w:val="es-MX"/>
        </w:rPr>
        <w:tab/>
      </w:r>
      <w:r w:rsidRPr="00CD5C54">
        <w:rPr>
          <w:rFonts w:ascii="Verdana" w:hAnsi="Verdana"/>
          <w:i/>
          <w:sz w:val="16"/>
          <w:szCs w:val="16"/>
          <w:lang w:val="es-MX"/>
        </w:rPr>
        <w:t>Cfr.</w:t>
      </w:r>
      <w:r w:rsidRPr="002C462C">
        <w:rPr>
          <w:rFonts w:ascii="Verdana" w:hAnsi="Verdana"/>
          <w:sz w:val="16"/>
          <w:szCs w:val="16"/>
          <w:lang w:val="es-MX"/>
        </w:rPr>
        <w:t xml:space="preserve"> CNDH, </w:t>
      </w:r>
      <w:r w:rsidRPr="00432ABC">
        <w:rPr>
          <w:rFonts w:ascii="Verdana" w:hAnsi="Verdana"/>
          <w:i/>
          <w:sz w:val="16"/>
          <w:szCs w:val="16"/>
          <w:lang w:val="es-MX"/>
        </w:rPr>
        <w:t>Informe Especial sobre Desplazamiento forzado Interno</w:t>
      </w:r>
      <w:r w:rsidRPr="00432ABC">
        <w:rPr>
          <w:rFonts w:ascii="Verdana" w:hAnsi="Verdana"/>
          <w:sz w:val="16"/>
          <w:szCs w:val="16"/>
          <w:lang w:val="es-MX"/>
        </w:rPr>
        <w:t xml:space="preserve">, 2016, págs. 3 y 152 a 154. Disponible en: </w:t>
      </w:r>
      <w:hyperlink r:id="rId24" w:history="1">
        <w:r w:rsidRPr="00432ABC">
          <w:rPr>
            <w:rStyle w:val="Hyperlink"/>
            <w:rFonts w:ascii="Verdana" w:hAnsi="Verdana"/>
            <w:sz w:val="16"/>
            <w:szCs w:val="16"/>
            <w:lang w:val="es-MX"/>
          </w:rPr>
          <w:t>http://www.cndh.org.mx/sites/all/doc/Informes/Especiales/2016_IE_Desplazados.pdf</w:t>
        </w:r>
      </w:hyperlink>
      <w:r w:rsidRPr="00432ABC">
        <w:rPr>
          <w:rFonts w:ascii="Verdana" w:hAnsi="Verdana"/>
          <w:sz w:val="16"/>
          <w:szCs w:val="16"/>
          <w:lang w:val="es-MX"/>
        </w:rPr>
        <w:t>. Sin perjuicio de lo anterior, el Consejo Noruego para Refugiados [CNR] se</w:t>
      </w:r>
      <w:r w:rsidRPr="002C462C">
        <w:rPr>
          <w:rFonts w:ascii="Verdana" w:hAnsi="Verdana" w:cs="Arial"/>
          <w:sz w:val="16"/>
          <w:szCs w:val="16"/>
          <w:lang w:val="es-MX"/>
        </w:rPr>
        <w:t xml:space="preserve">ñaló que el número de </w:t>
      </w:r>
      <w:r w:rsidRPr="002C462C">
        <w:rPr>
          <w:rFonts w:ascii="Verdana" w:hAnsi="Verdana"/>
          <w:sz w:val="16"/>
          <w:szCs w:val="16"/>
          <w:lang w:val="es-MX"/>
        </w:rPr>
        <w:t xml:space="preserve">desplazamientos forzados internos en México alcanzó, al 31 de diciembre de 2017, la cifra de 215,000 personas, de las cuales 20,000 tuvieron como causa desplazamiento la violencia criminal. Sin embargo, </w:t>
      </w:r>
      <w:r w:rsidRPr="00432ABC">
        <w:rPr>
          <w:rFonts w:ascii="Verdana" w:hAnsi="Verdana"/>
          <w:sz w:val="16"/>
          <w:szCs w:val="16"/>
          <w:lang w:val="es-MX"/>
        </w:rPr>
        <w:t>cálculos realizados por un organismo no gubernamental mexicano, estim</w:t>
      </w:r>
      <w:r>
        <w:rPr>
          <w:rFonts w:ascii="Verdana" w:hAnsi="Verdana"/>
          <w:sz w:val="16"/>
          <w:szCs w:val="16"/>
          <w:lang w:val="es-MX"/>
        </w:rPr>
        <w:t>aron</w:t>
      </w:r>
      <w:r w:rsidRPr="00432ABC">
        <w:rPr>
          <w:rFonts w:ascii="Verdana" w:hAnsi="Verdana"/>
          <w:sz w:val="16"/>
          <w:szCs w:val="16"/>
          <w:lang w:val="es-MX"/>
        </w:rPr>
        <w:t xml:space="preserve"> que el número de DFI en México podría alcanzar las 345,000 personas hacia 2017, destacando que dado que </w:t>
      </w:r>
      <w:r w:rsidRPr="00432ABC">
        <w:rPr>
          <w:rFonts w:ascii="Verdana" w:hAnsi="Verdana"/>
          <w:sz w:val="16"/>
          <w:szCs w:val="16"/>
          <w:lang w:val="es-ES"/>
        </w:rPr>
        <w:t>el gobierno de México no reconoce oficialmente el fenómeno de desplazamiento [interno], “las estimaciones relativas a los movimientos de la población han sido históricamente desafiantes”.</w:t>
      </w:r>
      <w:r w:rsidRPr="00432ABC">
        <w:rPr>
          <w:rFonts w:ascii="Verdana" w:hAnsi="Verdana"/>
          <w:sz w:val="16"/>
          <w:szCs w:val="16"/>
          <w:lang w:val="es-MX"/>
        </w:rPr>
        <w:t xml:space="preserve"> </w:t>
      </w:r>
      <w:r w:rsidRPr="00CD5C54">
        <w:rPr>
          <w:rFonts w:ascii="Verdana" w:hAnsi="Verdana"/>
          <w:i/>
          <w:sz w:val="16"/>
          <w:szCs w:val="16"/>
          <w:lang w:val="es-MX"/>
        </w:rPr>
        <w:t>Cfr.</w:t>
      </w:r>
      <w:r w:rsidRPr="00432ABC">
        <w:rPr>
          <w:rFonts w:ascii="Verdana" w:hAnsi="Verdana"/>
          <w:sz w:val="16"/>
          <w:szCs w:val="16"/>
          <w:lang w:val="es-MX"/>
        </w:rPr>
        <w:t xml:space="preserve"> Consejo Noruego para Refugiados. </w:t>
      </w:r>
      <w:r w:rsidRPr="00432ABC">
        <w:rPr>
          <w:rFonts w:ascii="Verdana" w:hAnsi="Verdana"/>
          <w:i/>
          <w:sz w:val="16"/>
          <w:szCs w:val="16"/>
          <w:lang w:val="es-MX"/>
        </w:rPr>
        <w:t xml:space="preserve">Informe Global sobre Desplazamiento Interno 2018, </w:t>
      </w:r>
      <w:r w:rsidRPr="00432ABC">
        <w:rPr>
          <w:rFonts w:ascii="Verdana" w:hAnsi="Verdana"/>
          <w:sz w:val="16"/>
          <w:szCs w:val="16"/>
          <w:lang w:val="es-MX"/>
        </w:rPr>
        <w:t xml:space="preserve">págs. 2, 38, 49, 60, 95 y 105. Disponible en: </w:t>
      </w:r>
      <w:hyperlink r:id="rId25" w:history="1">
        <w:r w:rsidRPr="00432ABC">
          <w:rPr>
            <w:rStyle w:val="Hyperlink"/>
            <w:rFonts w:ascii="Verdana" w:hAnsi="Verdana"/>
            <w:sz w:val="16"/>
            <w:szCs w:val="16"/>
            <w:lang w:val="es-MX"/>
          </w:rPr>
          <w:t>http://www.internal-displacement.org/global-report/grid2018/downloads/2018-GRID.pdf</w:t>
        </w:r>
      </w:hyperlink>
    </w:p>
  </w:footnote>
  <w:footnote w:id="76">
    <w:p w14:paraId="64AA6174" w14:textId="5632F3E5" w:rsidR="00146958" w:rsidRPr="00432ABC" w:rsidRDefault="00146958">
      <w:pPr>
        <w:pStyle w:val="FootnoteText"/>
        <w:jc w:val="both"/>
        <w:rPr>
          <w:rFonts w:ascii="Verdana" w:hAnsi="Verdana"/>
          <w:sz w:val="16"/>
          <w:szCs w:val="16"/>
        </w:rPr>
      </w:pPr>
      <w:r w:rsidRPr="00432ABC">
        <w:rPr>
          <w:rStyle w:val="FootnoteReference"/>
          <w:rFonts w:ascii="Verdana" w:hAnsi="Verdana"/>
          <w:sz w:val="16"/>
          <w:szCs w:val="16"/>
        </w:rPr>
        <w:footnoteRef/>
      </w:r>
      <w:r w:rsidRPr="00432ABC">
        <w:rPr>
          <w:rFonts w:ascii="Verdana" w:hAnsi="Verdana"/>
          <w:sz w:val="16"/>
          <w:szCs w:val="16"/>
        </w:rPr>
        <w:t xml:space="preserve"> </w:t>
      </w:r>
      <w:r w:rsidRPr="00432ABC">
        <w:rPr>
          <w:rFonts w:ascii="Verdana" w:hAnsi="Verdana"/>
          <w:sz w:val="16"/>
          <w:szCs w:val="16"/>
        </w:rPr>
        <w:tab/>
      </w:r>
      <w:r w:rsidRPr="00CD5C54">
        <w:rPr>
          <w:rFonts w:ascii="Verdana" w:hAnsi="Verdana"/>
          <w:i/>
          <w:sz w:val="16"/>
          <w:szCs w:val="16"/>
        </w:rPr>
        <w:t>Cfr.</w:t>
      </w:r>
      <w:r w:rsidRPr="002C462C">
        <w:rPr>
          <w:rFonts w:ascii="Verdana" w:hAnsi="Verdana"/>
          <w:sz w:val="16"/>
          <w:szCs w:val="16"/>
        </w:rPr>
        <w:t xml:space="preserve"> ONU. </w:t>
      </w:r>
      <w:r w:rsidRPr="002C462C">
        <w:rPr>
          <w:rFonts w:ascii="Verdana" w:hAnsi="Verdana"/>
          <w:i/>
          <w:sz w:val="16"/>
          <w:szCs w:val="16"/>
        </w:rPr>
        <w:t>Informe del GTDFI, Misión a México, supra</w:t>
      </w:r>
      <w:r w:rsidRPr="00432ABC">
        <w:rPr>
          <w:rFonts w:ascii="Verdana" w:hAnsi="Verdana"/>
          <w:sz w:val="16"/>
          <w:szCs w:val="16"/>
        </w:rPr>
        <w:t xml:space="preserve">, párrs. 17, 20 y 26. </w:t>
      </w:r>
    </w:p>
  </w:footnote>
  <w:footnote w:id="77">
    <w:p w14:paraId="64AA6175" w14:textId="160B56C9" w:rsidR="00146958" w:rsidRPr="00432ABC" w:rsidRDefault="00146958">
      <w:pPr>
        <w:pStyle w:val="FootnoteText"/>
        <w:jc w:val="both"/>
        <w:rPr>
          <w:rFonts w:ascii="Verdana" w:hAnsi="Verdana"/>
          <w:sz w:val="16"/>
          <w:szCs w:val="16"/>
        </w:rPr>
      </w:pPr>
      <w:r w:rsidRPr="00432ABC">
        <w:rPr>
          <w:rStyle w:val="FootnoteReference"/>
          <w:rFonts w:ascii="Verdana" w:hAnsi="Verdana"/>
          <w:sz w:val="16"/>
          <w:szCs w:val="16"/>
        </w:rPr>
        <w:footnoteRef/>
      </w:r>
      <w:r w:rsidRPr="00432ABC">
        <w:rPr>
          <w:rFonts w:ascii="Verdana" w:hAnsi="Verdana"/>
          <w:sz w:val="16"/>
          <w:szCs w:val="16"/>
        </w:rPr>
        <w:t xml:space="preserve"> </w:t>
      </w:r>
      <w:r w:rsidRPr="00432ABC">
        <w:rPr>
          <w:rFonts w:ascii="Verdana" w:hAnsi="Verdana"/>
          <w:sz w:val="16"/>
          <w:szCs w:val="16"/>
        </w:rPr>
        <w:tab/>
      </w:r>
      <w:r w:rsidRPr="00CD5C54">
        <w:rPr>
          <w:rFonts w:ascii="Verdana" w:hAnsi="Verdana"/>
          <w:i/>
          <w:sz w:val="16"/>
          <w:szCs w:val="16"/>
        </w:rPr>
        <w:t>Cfr.</w:t>
      </w:r>
      <w:r w:rsidRPr="002C462C">
        <w:rPr>
          <w:rFonts w:ascii="Verdana" w:hAnsi="Verdana"/>
          <w:sz w:val="16"/>
          <w:szCs w:val="16"/>
        </w:rPr>
        <w:t xml:space="preserve"> ONU. Comité contra la Tortura, </w:t>
      </w:r>
      <w:r w:rsidRPr="002C462C">
        <w:rPr>
          <w:rFonts w:ascii="Verdana" w:hAnsi="Verdana"/>
          <w:bCs/>
          <w:i/>
          <w:sz w:val="16"/>
          <w:szCs w:val="16"/>
        </w:rPr>
        <w:t>Observaciones finales sobre los informes periódicos quinto y sexto combinados de México, adoptadas por el Comité en su 49º período de sesiones (29 de octubre a</w:t>
      </w:r>
      <w:r w:rsidRPr="00432ABC">
        <w:rPr>
          <w:rFonts w:ascii="Verdana" w:hAnsi="Verdana"/>
          <w:bCs/>
          <w:i/>
          <w:sz w:val="16"/>
          <w:szCs w:val="16"/>
        </w:rPr>
        <w:t xml:space="preserve"> 23 de noviembre de 2012), </w:t>
      </w:r>
      <w:r w:rsidRPr="00432ABC">
        <w:rPr>
          <w:rFonts w:ascii="Verdana" w:hAnsi="Verdana"/>
          <w:bCs/>
          <w:sz w:val="16"/>
          <w:szCs w:val="16"/>
        </w:rPr>
        <w:t xml:space="preserve">11 de diciembre de 2012, </w:t>
      </w:r>
      <w:r w:rsidRPr="00432ABC">
        <w:rPr>
          <w:rFonts w:ascii="Verdana" w:hAnsi="Verdana"/>
          <w:bCs/>
          <w:i/>
          <w:sz w:val="16"/>
          <w:szCs w:val="16"/>
        </w:rPr>
        <w:t xml:space="preserve">supra, </w:t>
      </w:r>
      <w:r w:rsidRPr="00432ABC">
        <w:rPr>
          <w:rFonts w:ascii="Verdana" w:hAnsi="Verdana"/>
          <w:bCs/>
          <w:sz w:val="16"/>
          <w:szCs w:val="16"/>
        </w:rPr>
        <w:t xml:space="preserve">párr. 12.  </w:t>
      </w:r>
    </w:p>
  </w:footnote>
  <w:footnote w:id="78">
    <w:p w14:paraId="71924A70" w14:textId="2D865B11" w:rsidR="00146958" w:rsidRPr="00432ABC" w:rsidRDefault="00146958">
      <w:pPr>
        <w:pStyle w:val="FootnoteText"/>
        <w:jc w:val="both"/>
        <w:rPr>
          <w:rFonts w:ascii="Verdana" w:hAnsi="Verdana"/>
          <w:sz w:val="16"/>
          <w:szCs w:val="16"/>
        </w:rPr>
      </w:pPr>
      <w:r w:rsidRPr="00432ABC">
        <w:rPr>
          <w:rStyle w:val="FootnoteReference"/>
          <w:rFonts w:ascii="Verdana" w:hAnsi="Verdana"/>
          <w:sz w:val="16"/>
          <w:szCs w:val="16"/>
        </w:rPr>
        <w:footnoteRef/>
      </w:r>
      <w:r w:rsidRPr="00432ABC">
        <w:rPr>
          <w:rFonts w:ascii="Verdana" w:hAnsi="Verdana"/>
          <w:sz w:val="16"/>
          <w:szCs w:val="16"/>
        </w:rPr>
        <w:t xml:space="preserve"> </w:t>
      </w:r>
      <w:r w:rsidRPr="00432ABC">
        <w:rPr>
          <w:rFonts w:ascii="Verdana" w:hAnsi="Verdana"/>
          <w:sz w:val="16"/>
          <w:szCs w:val="16"/>
        </w:rPr>
        <w:tab/>
      </w:r>
      <w:r w:rsidRPr="00CD5C54">
        <w:rPr>
          <w:rFonts w:ascii="Verdana" w:hAnsi="Verdana"/>
          <w:i/>
          <w:sz w:val="16"/>
          <w:szCs w:val="16"/>
        </w:rPr>
        <w:t>Cfr.</w:t>
      </w:r>
      <w:r w:rsidRPr="002C462C">
        <w:rPr>
          <w:rFonts w:ascii="Verdana" w:hAnsi="Verdana"/>
          <w:sz w:val="16"/>
          <w:szCs w:val="16"/>
        </w:rPr>
        <w:t xml:space="preserve"> </w:t>
      </w:r>
      <w:r w:rsidRPr="002C462C">
        <w:rPr>
          <w:rFonts w:ascii="Verdana" w:hAnsi="Verdana"/>
          <w:bCs/>
          <w:sz w:val="16"/>
          <w:szCs w:val="16"/>
        </w:rPr>
        <w:t xml:space="preserve">Declaración del Alto Comisionado de la ONU para los Derechos Humanos, </w:t>
      </w:r>
      <w:r>
        <w:rPr>
          <w:rFonts w:ascii="Verdana" w:hAnsi="Verdana"/>
          <w:bCs/>
          <w:sz w:val="16"/>
          <w:szCs w:val="16"/>
        </w:rPr>
        <w:t>V</w:t>
      </w:r>
      <w:r w:rsidRPr="002C462C">
        <w:rPr>
          <w:rFonts w:ascii="Verdana" w:hAnsi="Verdana"/>
          <w:bCs/>
          <w:sz w:val="16"/>
          <w:szCs w:val="16"/>
        </w:rPr>
        <w:t xml:space="preserve">isita a México, 7 de octubre de 2015, </w:t>
      </w:r>
      <w:r w:rsidRPr="00432ABC">
        <w:rPr>
          <w:rFonts w:ascii="Verdana" w:hAnsi="Verdana"/>
          <w:bCs/>
          <w:i/>
          <w:sz w:val="16"/>
          <w:szCs w:val="16"/>
        </w:rPr>
        <w:t>supra.</w:t>
      </w:r>
    </w:p>
  </w:footnote>
  <w:footnote w:id="79">
    <w:p w14:paraId="59994DD4" w14:textId="0BFA7D33" w:rsidR="00146958" w:rsidRPr="00432ABC" w:rsidRDefault="00146958">
      <w:pPr>
        <w:pStyle w:val="FootnoteText"/>
        <w:jc w:val="both"/>
        <w:rPr>
          <w:rFonts w:ascii="Verdana" w:hAnsi="Verdana"/>
          <w:sz w:val="16"/>
          <w:szCs w:val="16"/>
        </w:rPr>
      </w:pPr>
      <w:r w:rsidRPr="00432ABC">
        <w:rPr>
          <w:rStyle w:val="FootnoteReference"/>
          <w:rFonts w:ascii="Verdana" w:hAnsi="Verdana"/>
          <w:sz w:val="16"/>
          <w:szCs w:val="16"/>
        </w:rPr>
        <w:footnoteRef/>
      </w:r>
      <w:r w:rsidRPr="00432ABC">
        <w:rPr>
          <w:rFonts w:ascii="Verdana" w:hAnsi="Verdana"/>
          <w:sz w:val="16"/>
          <w:szCs w:val="16"/>
        </w:rPr>
        <w:t xml:space="preserve"> </w:t>
      </w:r>
      <w:r w:rsidRPr="00432ABC">
        <w:rPr>
          <w:rFonts w:ascii="Verdana" w:hAnsi="Verdana"/>
          <w:sz w:val="16"/>
          <w:szCs w:val="16"/>
        </w:rPr>
        <w:tab/>
      </w:r>
      <w:r w:rsidRPr="00CD5C54">
        <w:rPr>
          <w:rFonts w:ascii="Verdana" w:hAnsi="Verdana"/>
          <w:i/>
          <w:sz w:val="16"/>
          <w:szCs w:val="16"/>
        </w:rPr>
        <w:t>Cfr.</w:t>
      </w:r>
      <w:r w:rsidRPr="002C462C">
        <w:rPr>
          <w:rFonts w:ascii="Verdana" w:hAnsi="Verdana"/>
          <w:sz w:val="16"/>
          <w:szCs w:val="16"/>
        </w:rPr>
        <w:t xml:space="preserve"> CNDH. Informes Anuales de Actividades:</w:t>
      </w:r>
      <w:r w:rsidRPr="00432ABC">
        <w:rPr>
          <w:rFonts w:ascii="Verdana" w:hAnsi="Verdana"/>
          <w:i/>
          <w:sz w:val="16"/>
          <w:szCs w:val="16"/>
        </w:rPr>
        <w:t xml:space="preserve"> 2009, </w:t>
      </w:r>
      <w:r w:rsidRPr="00432ABC">
        <w:rPr>
          <w:rFonts w:ascii="Verdana" w:hAnsi="Verdana"/>
          <w:sz w:val="16"/>
          <w:szCs w:val="16"/>
        </w:rPr>
        <w:t xml:space="preserve">pág. 55; </w:t>
      </w:r>
      <w:r w:rsidRPr="00432ABC">
        <w:rPr>
          <w:rFonts w:ascii="Verdana" w:hAnsi="Verdana"/>
          <w:i/>
          <w:sz w:val="16"/>
          <w:szCs w:val="16"/>
        </w:rPr>
        <w:t xml:space="preserve">2010, </w:t>
      </w:r>
      <w:r w:rsidRPr="00432ABC">
        <w:rPr>
          <w:rFonts w:ascii="Verdana" w:hAnsi="Verdana"/>
          <w:sz w:val="16"/>
          <w:szCs w:val="16"/>
        </w:rPr>
        <w:t xml:space="preserve">pág. 60; </w:t>
      </w:r>
      <w:r w:rsidRPr="00432ABC">
        <w:rPr>
          <w:rFonts w:ascii="Verdana" w:hAnsi="Verdana"/>
          <w:i/>
          <w:sz w:val="16"/>
          <w:szCs w:val="16"/>
        </w:rPr>
        <w:t xml:space="preserve">2011, </w:t>
      </w:r>
      <w:r w:rsidRPr="00432ABC">
        <w:rPr>
          <w:rFonts w:ascii="Verdana" w:hAnsi="Verdana"/>
          <w:sz w:val="16"/>
          <w:szCs w:val="16"/>
        </w:rPr>
        <w:t xml:space="preserve">pág. 57, y </w:t>
      </w:r>
      <w:r w:rsidRPr="00432ABC">
        <w:rPr>
          <w:rFonts w:ascii="Verdana" w:hAnsi="Verdana"/>
          <w:i/>
          <w:sz w:val="16"/>
          <w:szCs w:val="16"/>
        </w:rPr>
        <w:t xml:space="preserve">2012, </w:t>
      </w:r>
      <w:r w:rsidRPr="00432ABC">
        <w:rPr>
          <w:rFonts w:ascii="Verdana" w:hAnsi="Verdana"/>
          <w:sz w:val="16"/>
          <w:szCs w:val="16"/>
        </w:rPr>
        <w:t xml:space="preserve">pág. 73. En </w:t>
      </w:r>
      <w:r>
        <w:rPr>
          <w:rFonts w:ascii="Verdana" w:hAnsi="Verdana"/>
          <w:sz w:val="16"/>
          <w:szCs w:val="16"/>
        </w:rPr>
        <w:t>éstos</w:t>
      </w:r>
      <w:r w:rsidRPr="00432ABC">
        <w:rPr>
          <w:rFonts w:ascii="Verdana" w:hAnsi="Verdana"/>
          <w:sz w:val="16"/>
          <w:szCs w:val="16"/>
        </w:rPr>
        <w:t xml:space="preserve">, señaló que en el período comprendido entre los años 2009 y 2012, recibió 359 denuncias sobre presuntas desapariciones forzadas, e indicó haber emitido 10 recomendaciones dirigidas las corporaciones de seguridad estatal por esta grave violación, incluida la SEDENA, tras haber probado la participación de agentes estatales. </w:t>
      </w:r>
    </w:p>
  </w:footnote>
  <w:footnote w:id="80">
    <w:p w14:paraId="68F059BF" w14:textId="106D49EB" w:rsidR="00146958" w:rsidRPr="00432ABC" w:rsidRDefault="00146958">
      <w:pPr>
        <w:pStyle w:val="FootnoteText"/>
        <w:jc w:val="both"/>
        <w:rPr>
          <w:rFonts w:ascii="Verdana" w:hAnsi="Verdana"/>
          <w:sz w:val="16"/>
          <w:szCs w:val="16"/>
        </w:rPr>
      </w:pPr>
      <w:r w:rsidRPr="00432ABC">
        <w:rPr>
          <w:rStyle w:val="FootnoteReference"/>
          <w:rFonts w:ascii="Verdana" w:hAnsi="Verdana"/>
          <w:sz w:val="16"/>
          <w:szCs w:val="16"/>
        </w:rPr>
        <w:footnoteRef/>
      </w:r>
      <w:r w:rsidRPr="00432ABC">
        <w:rPr>
          <w:rFonts w:ascii="Verdana" w:hAnsi="Verdana"/>
          <w:sz w:val="16"/>
          <w:szCs w:val="16"/>
        </w:rPr>
        <w:t xml:space="preserve"> </w:t>
      </w:r>
      <w:r w:rsidRPr="00432ABC">
        <w:rPr>
          <w:rFonts w:ascii="Verdana" w:hAnsi="Verdana"/>
          <w:sz w:val="16"/>
          <w:szCs w:val="16"/>
        </w:rPr>
        <w:tab/>
      </w:r>
      <w:r w:rsidRPr="00CD5C54">
        <w:rPr>
          <w:rFonts w:ascii="Verdana" w:hAnsi="Verdana"/>
          <w:i/>
          <w:sz w:val="16"/>
          <w:szCs w:val="16"/>
        </w:rPr>
        <w:t>Cfr.</w:t>
      </w:r>
      <w:r w:rsidRPr="002C462C">
        <w:rPr>
          <w:rFonts w:ascii="Verdana" w:hAnsi="Verdana"/>
          <w:i/>
          <w:sz w:val="16"/>
          <w:szCs w:val="16"/>
        </w:rPr>
        <w:t xml:space="preserve"> </w:t>
      </w:r>
      <w:r w:rsidRPr="002C462C">
        <w:rPr>
          <w:rFonts w:ascii="Verdana" w:hAnsi="Verdana"/>
          <w:sz w:val="16"/>
          <w:szCs w:val="16"/>
        </w:rPr>
        <w:t xml:space="preserve">CNDH, </w:t>
      </w:r>
      <w:r w:rsidRPr="00432ABC">
        <w:rPr>
          <w:rFonts w:ascii="Verdana" w:hAnsi="Verdana"/>
          <w:i/>
          <w:sz w:val="16"/>
          <w:szCs w:val="16"/>
        </w:rPr>
        <w:t xml:space="preserve">Informe Especial sobre Desaparición de Personas y Fosas Clandestinas en México, </w:t>
      </w:r>
      <w:r w:rsidRPr="00432ABC">
        <w:rPr>
          <w:rFonts w:ascii="Verdana" w:hAnsi="Verdana"/>
          <w:sz w:val="16"/>
          <w:szCs w:val="16"/>
        </w:rPr>
        <w:t xml:space="preserve"> 6 de abril de 2017, disponible en: </w:t>
      </w:r>
      <w:hyperlink r:id="rId26" w:history="1">
        <w:r w:rsidRPr="00432ABC">
          <w:rPr>
            <w:rStyle w:val="Hyperlink"/>
            <w:rFonts w:ascii="Verdana" w:hAnsi="Verdana"/>
            <w:sz w:val="16"/>
            <w:szCs w:val="16"/>
          </w:rPr>
          <w:t>http://www.cndh.org.mx/sites/all/doc/Informes/Especiales/InformeEspecial_20170406.pdf</w:t>
        </w:r>
      </w:hyperlink>
      <w:r w:rsidRPr="00432ABC">
        <w:rPr>
          <w:rFonts w:ascii="Verdana" w:hAnsi="Verdana"/>
          <w:sz w:val="16"/>
          <w:szCs w:val="16"/>
        </w:rPr>
        <w:t xml:space="preserve">. Véase también el Comunicado de Prensa DGC/103/17 de la CNDH de la misma fecha, localizable en  </w:t>
      </w:r>
      <w:hyperlink r:id="rId27" w:history="1">
        <w:r w:rsidRPr="00432ABC">
          <w:rPr>
            <w:rStyle w:val="Hyperlink"/>
            <w:rFonts w:ascii="Verdana" w:hAnsi="Verdana"/>
            <w:sz w:val="16"/>
            <w:szCs w:val="16"/>
          </w:rPr>
          <w:t>http://www.cndh.org.mx/sites/all/doc/Comunicados/2017/Com_2017_103.pdf</w:t>
        </w:r>
      </w:hyperlink>
      <w:r w:rsidRPr="00432ABC">
        <w:rPr>
          <w:rFonts w:ascii="Verdana" w:hAnsi="Verdana"/>
          <w:sz w:val="16"/>
          <w:szCs w:val="16"/>
        </w:rPr>
        <w:t>.</w:t>
      </w:r>
    </w:p>
  </w:footnote>
  <w:footnote w:id="81">
    <w:p w14:paraId="694B9AED" w14:textId="2294BA0F" w:rsidR="00146958" w:rsidRPr="00432ABC" w:rsidRDefault="00146958">
      <w:pPr>
        <w:pStyle w:val="FootnoteText"/>
        <w:jc w:val="both"/>
        <w:rPr>
          <w:rFonts w:ascii="Verdana" w:hAnsi="Verdana"/>
          <w:sz w:val="16"/>
          <w:szCs w:val="16"/>
        </w:rPr>
      </w:pPr>
      <w:r w:rsidRPr="00432ABC">
        <w:rPr>
          <w:rStyle w:val="FootnoteReference"/>
          <w:rFonts w:ascii="Verdana" w:hAnsi="Verdana"/>
          <w:sz w:val="16"/>
          <w:szCs w:val="16"/>
        </w:rPr>
        <w:footnoteRef/>
      </w:r>
      <w:r w:rsidRPr="00432ABC">
        <w:rPr>
          <w:rFonts w:ascii="Verdana" w:hAnsi="Verdana"/>
          <w:sz w:val="16"/>
          <w:szCs w:val="16"/>
        </w:rPr>
        <w:t xml:space="preserve"> </w:t>
      </w:r>
      <w:r w:rsidRPr="00432ABC">
        <w:rPr>
          <w:rFonts w:ascii="Verdana" w:hAnsi="Verdana"/>
          <w:sz w:val="16"/>
          <w:szCs w:val="16"/>
        </w:rPr>
        <w:tab/>
      </w:r>
      <w:r w:rsidRPr="00CD5C54">
        <w:rPr>
          <w:rFonts w:ascii="Verdana" w:hAnsi="Verdana"/>
          <w:i/>
          <w:sz w:val="16"/>
          <w:szCs w:val="16"/>
        </w:rPr>
        <w:t>Cfr.</w:t>
      </w:r>
      <w:r w:rsidRPr="002C462C">
        <w:rPr>
          <w:rFonts w:ascii="Verdana" w:hAnsi="Verdana"/>
          <w:sz w:val="16"/>
          <w:szCs w:val="16"/>
        </w:rPr>
        <w:t xml:space="preserve"> CNDH, </w:t>
      </w:r>
      <w:r w:rsidRPr="00432ABC">
        <w:rPr>
          <w:rFonts w:ascii="Verdana" w:hAnsi="Verdana"/>
          <w:i/>
          <w:sz w:val="16"/>
          <w:szCs w:val="16"/>
        </w:rPr>
        <w:t xml:space="preserve">Consideraciones de la CNDH ante el Comité contra la Desaparición Forzada de la Organización de las Naciones Unidas </w:t>
      </w:r>
      <w:r w:rsidRPr="00432ABC">
        <w:rPr>
          <w:rFonts w:ascii="Verdana" w:hAnsi="Verdana"/>
          <w:sz w:val="16"/>
          <w:szCs w:val="16"/>
        </w:rPr>
        <w:t>[sic], párrs. 4 a 5</w:t>
      </w:r>
      <w:r w:rsidRPr="00432ABC">
        <w:rPr>
          <w:rFonts w:ascii="Verdana" w:hAnsi="Verdana"/>
          <w:i/>
          <w:sz w:val="16"/>
          <w:szCs w:val="16"/>
        </w:rPr>
        <w:t xml:space="preserve"> </w:t>
      </w:r>
      <w:r w:rsidRPr="00432ABC">
        <w:rPr>
          <w:rFonts w:ascii="Verdana" w:hAnsi="Verdana"/>
          <w:sz w:val="16"/>
          <w:szCs w:val="16"/>
        </w:rPr>
        <w:t xml:space="preserve">y 66. Disponible en: </w:t>
      </w:r>
      <w:hyperlink r:id="rId28" w:history="1">
        <w:r w:rsidRPr="00432ABC">
          <w:rPr>
            <w:rStyle w:val="Hyperlink"/>
            <w:rFonts w:ascii="Verdana" w:hAnsi="Verdana"/>
            <w:sz w:val="16"/>
            <w:szCs w:val="16"/>
          </w:rPr>
          <w:t>https://tbinternet.ohchr.org/Treaties/CED/Shared%20Documents/MEX/INT_CED_IFN_MEX_19449_S.pdf</w:t>
        </w:r>
      </w:hyperlink>
      <w:r w:rsidRPr="00220312">
        <w:rPr>
          <w:rFonts w:ascii="Verdana" w:hAnsi="Verdana"/>
          <w:sz w:val="16"/>
          <w:szCs w:val="16"/>
        </w:rPr>
        <w:t>.</w:t>
      </w:r>
    </w:p>
  </w:footnote>
  <w:footnote w:id="82">
    <w:p w14:paraId="64AA6178" w14:textId="65E0D8E2" w:rsidR="00146958" w:rsidRPr="00432ABC" w:rsidRDefault="00146958">
      <w:pPr>
        <w:pStyle w:val="FootnoteText"/>
        <w:jc w:val="both"/>
        <w:rPr>
          <w:rFonts w:ascii="Verdana" w:hAnsi="Verdana"/>
          <w:sz w:val="16"/>
          <w:szCs w:val="16"/>
        </w:rPr>
      </w:pPr>
      <w:r w:rsidRPr="00432ABC">
        <w:rPr>
          <w:rStyle w:val="FootnoteReference"/>
          <w:rFonts w:ascii="Verdana" w:hAnsi="Verdana"/>
          <w:sz w:val="16"/>
          <w:szCs w:val="16"/>
        </w:rPr>
        <w:footnoteRef/>
      </w:r>
      <w:r w:rsidRPr="00432ABC">
        <w:rPr>
          <w:rFonts w:ascii="Verdana" w:hAnsi="Verdana"/>
          <w:sz w:val="16"/>
          <w:szCs w:val="16"/>
        </w:rPr>
        <w:t xml:space="preserve"> </w:t>
      </w:r>
      <w:r w:rsidRPr="00432ABC">
        <w:rPr>
          <w:rFonts w:ascii="Verdana" w:hAnsi="Verdana"/>
          <w:sz w:val="16"/>
          <w:szCs w:val="16"/>
        </w:rPr>
        <w:tab/>
      </w:r>
      <w:r w:rsidRPr="00CD5C54">
        <w:rPr>
          <w:rFonts w:ascii="Verdana" w:hAnsi="Verdana"/>
          <w:i/>
          <w:sz w:val="16"/>
          <w:szCs w:val="16"/>
        </w:rPr>
        <w:t>Cfr.</w:t>
      </w:r>
      <w:r w:rsidRPr="002C462C">
        <w:rPr>
          <w:rFonts w:ascii="Verdana" w:hAnsi="Verdana"/>
          <w:sz w:val="16"/>
          <w:szCs w:val="16"/>
        </w:rPr>
        <w:t xml:space="preserve"> CNDH, Informe Especial sobre Desaparición de Personas y Fosas Clandestinas</w:t>
      </w:r>
      <w:r w:rsidRPr="009B6C7B">
        <w:rPr>
          <w:rFonts w:ascii="Verdana" w:hAnsi="Verdana"/>
          <w:sz w:val="16"/>
        </w:rPr>
        <w:t>,</w:t>
      </w:r>
      <w:r>
        <w:rPr>
          <w:rFonts w:ascii="Verdana" w:hAnsi="Verdana"/>
          <w:sz w:val="16"/>
        </w:rPr>
        <w:t xml:space="preserve"> 2017,</w:t>
      </w:r>
      <w:r w:rsidRPr="009B6C7B">
        <w:rPr>
          <w:rFonts w:ascii="Verdana" w:hAnsi="Verdana"/>
          <w:sz w:val="16"/>
        </w:rPr>
        <w:t xml:space="preserve"> </w:t>
      </w:r>
      <w:r w:rsidRPr="00432ABC">
        <w:rPr>
          <w:rFonts w:ascii="Verdana" w:hAnsi="Verdana"/>
          <w:i/>
          <w:sz w:val="16"/>
          <w:szCs w:val="16"/>
        </w:rPr>
        <w:t>supra</w:t>
      </w:r>
      <w:r w:rsidRPr="00432ABC">
        <w:rPr>
          <w:rFonts w:ascii="Verdana" w:hAnsi="Verdana"/>
          <w:sz w:val="16"/>
          <w:szCs w:val="16"/>
        </w:rPr>
        <w:t xml:space="preserve">, párrs. 28 a 29. De acuerdo con dicho informe, el incremento paulatino de la desaparición de personas en México </w:t>
      </w:r>
      <w:r w:rsidRPr="00432ABC">
        <w:rPr>
          <w:rFonts w:ascii="Verdana" w:hAnsi="Verdana" w:cs="Cambria"/>
          <w:sz w:val="16"/>
          <w:szCs w:val="16"/>
        </w:rPr>
        <w:t>evolucionó de la siguiente manera: en 2007, 662 casos; en 2008, 822 casos; en 2009, 1,401 casos; en 2010, 3,227 casos; en 2011, 4,094 casos; en 2012, 3,343 casos; en 2013, 3,878 casos; en 2014, 4,196 casos; en 2015, 3,768 casos, y hasta octubre de 2016, 3,805 casos. Asimismo, el 82.71% -23,934 casos- de personas reportadas como desaparecidas del fuero común se concentra en 11 estados del país de la siguiente forma: Tamaulipas 19.22%, 5,563 casos; Estado de México, 10.31%, 2,984; Jalisco, 8.71%, 2,523; Sinaloa 8.24%, 2,385; Nuevo León 8.20%, 2,374; Chihuahua 6.68%, 1,933; Coahuila, 5.59%, 1,620; Sonora 4.45%, 1,288; Guerrero, 3.99%, 1,155; Puebla 3.73%, 1,080</w:t>
      </w:r>
      <w:r>
        <w:rPr>
          <w:rFonts w:ascii="Verdana" w:hAnsi="Verdana" w:cs="Cambria"/>
          <w:sz w:val="16"/>
          <w:szCs w:val="16"/>
        </w:rPr>
        <w:t>,</w:t>
      </w:r>
      <w:r w:rsidRPr="00432ABC">
        <w:rPr>
          <w:rFonts w:ascii="Verdana" w:hAnsi="Verdana" w:cs="Cambria"/>
          <w:sz w:val="16"/>
          <w:szCs w:val="16"/>
        </w:rPr>
        <w:t xml:space="preserve"> y Michoacán 3.55%, 1,029 casos.</w:t>
      </w:r>
    </w:p>
  </w:footnote>
  <w:footnote w:id="83">
    <w:p w14:paraId="64AA617A" w14:textId="118868E1" w:rsidR="00146958" w:rsidRPr="00432ABC" w:rsidRDefault="00146958">
      <w:pPr>
        <w:pStyle w:val="FootnoteText"/>
        <w:jc w:val="both"/>
        <w:rPr>
          <w:rFonts w:ascii="Verdana" w:hAnsi="Verdana"/>
          <w:sz w:val="16"/>
          <w:szCs w:val="16"/>
        </w:rPr>
      </w:pPr>
      <w:r w:rsidRPr="00432ABC">
        <w:rPr>
          <w:rStyle w:val="FootnoteReference"/>
          <w:rFonts w:ascii="Verdana" w:hAnsi="Verdana"/>
          <w:sz w:val="16"/>
          <w:szCs w:val="16"/>
        </w:rPr>
        <w:footnoteRef/>
      </w:r>
      <w:r w:rsidRPr="00432ABC">
        <w:rPr>
          <w:rFonts w:ascii="Verdana" w:hAnsi="Verdana"/>
          <w:sz w:val="16"/>
          <w:szCs w:val="16"/>
        </w:rPr>
        <w:t xml:space="preserve"> </w:t>
      </w:r>
      <w:r w:rsidRPr="00432ABC">
        <w:rPr>
          <w:rFonts w:ascii="Verdana" w:hAnsi="Verdana"/>
          <w:sz w:val="16"/>
          <w:szCs w:val="16"/>
        </w:rPr>
        <w:tab/>
      </w:r>
      <w:r w:rsidRPr="00CD5C54">
        <w:rPr>
          <w:rFonts w:ascii="Verdana" w:hAnsi="Verdana"/>
          <w:i/>
          <w:sz w:val="16"/>
          <w:szCs w:val="16"/>
        </w:rPr>
        <w:t>Cfr.</w:t>
      </w:r>
      <w:r w:rsidRPr="002C462C">
        <w:rPr>
          <w:rFonts w:ascii="Verdana" w:hAnsi="Verdana"/>
          <w:sz w:val="16"/>
          <w:szCs w:val="16"/>
        </w:rPr>
        <w:t xml:space="preserve"> CNDH, Informe Especial sobre Desaparición de Personas y Fosas Clandestinas en México</w:t>
      </w:r>
      <w:r w:rsidRPr="002C462C">
        <w:rPr>
          <w:rFonts w:ascii="Verdana" w:hAnsi="Verdana"/>
          <w:i/>
          <w:sz w:val="16"/>
          <w:szCs w:val="16"/>
        </w:rPr>
        <w:t xml:space="preserve">, </w:t>
      </w:r>
      <w:r>
        <w:rPr>
          <w:rFonts w:ascii="Verdana" w:hAnsi="Verdana"/>
          <w:sz w:val="16"/>
          <w:szCs w:val="16"/>
        </w:rPr>
        <w:t xml:space="preserve">2017, supra, </w:t>
      </w:r>
      <w:r w:rsidRPr="002C462C">
        <w:rPr>
          <w:rFonts w:ascii="Verdana" w:hAnsi="Verdana"/>
          <w:i/>
          <w:sz w:val="16"/>
          <w:szCs w:val="16"/>
        </w:rPr>
        <w:t xml:space="preserve">Resumen Ejecutivo, </w:t>
      </w:r>
      <w:r w:rsidRPr="00432ABC">
        <w:rPr>
          <w:rFonts w:ascii="Verdana" w:hAnsi="Verdana"/>
          <w:sz w:val="16"/>
          <w:szCs w:val="16"/>
        </w:rPr>
        <w:t>2017,</w:t>
      </w:r>
      <w:r w:rsidRPr="00432ABC">
        <w:rPr>
          <w:rFonts w:ascii="Verdana" w:hAnsi="Verdana"/>
          <w:i/>
          <w:sz w:val="16"/>
          <w:szCs w:val="16"/>
        </w:rPr>
        <w:t xml:space="preserve"> </w:t>
      </w:r>
      <w:r w:rsidRPr="00432ABC">
        <w:rPr>
          <w:rFonts w:ascii="Verdana" w:hAnsi="Verdana"/>
          <w:sz w:val="16"/>
          <w:szCs w:val="16"/>
        </w:rPr>
        <w:t>párr. 33.</w:t>
      </w:r>
      <w:r>
        <w:rPr>
          <w:rFonts w:ascii="Verdana" w:hAnsi="Verdana"/>
          <w:sz w:val="16"/>
          <w:szCs w:val="16"/>
        </w:rPr>
        <w:t xml:space="preserve"> </w:t>
      </w:r>
      <w:r w:rsidRPr="00432ABC">
        <w:rPr>
          <w:rFonts w:ascii="Verdana" w:hAnsi="Verdana"/>
          <w:sz w:val="16"/>
          <w:szCs w:val="16"/>
        </w:rPr>
        <w:t xml:space="preserve">Disponible en:  </w:t>
      </w:r>
      <w:hyperlink r:id="rId29" w:history="1">
        <w:r w:rsidRPr="00432ABC">
          <w:rPr>
            <w:rStyle w:val="Hyperlink"/>
            <w:rFonts w:ascii="Verdana" w:hAnsi="Verdana"/>
            <w:sz w:val="16"/>
            <w:szCs w:val="16"/>
          </w:rPr>
          <w:t>http://www.cndh.org.mx/sites/all/doc/Informes/Especiales/InformeEspecial_20170406_Resumen.pdf</w:t>
        </w:r>
      </w:hyperlink>
      <w:r w:rsidRPr="00432ABC">
        <w:rPr>
          <w:rFonts w:ascii="Verdana" w:hAnsi="Verdana"/>
          <w:sz w:val="16"/>
          <w:szCs w:val="16"/>
        </w:rPr>
        <w:t xml:space="preserve"> </w:t>
      </w:r>
    </w:p>
    <w:p w14:paraId="64AA617B" w14:textId="72ABA687" w:rsidR="00146958" w:rsidRPr="00432ABC" w:rsidRDefault="00146958">
      <w:pPr>
        <w:pStyle w:val="FootnoteText"/>
        <w:jc w:val="both"/>
        <w:rPr>
          <w:rFonts w:ascii="Verdana" w:hAnsi="Verdana"/>
          <w:i/>
          <w:sz w:val="16"/>
          <w:szCs w:val="16"/>
        </w:rPr>
      </w:pPr>
      <w:r w:rsidRPr="00432ABC">
        <w:rPr>
          <w:rFonts w:ascii="Verdana" w:hAnsi="Verdana"/>
          <w:sz w:val="16"/>
          <w:szCs w:val="16"/>
        </w:rPr>
        <w:t>Del mismo modo, la CNDH enfatizó “la urgencia de que en México se realice una labor de sistematización, compulsa y depuració</w:t>
      </w:r>
      <w:r w:rsidRPr="002C462C">
        <w:rPr>
          <w:rFonts w:ascii="Verdana" w:hAnsi="Verdana"/>
          <w:sz w:val="16"/>
          <w:szCs w:val="16"/>
        </w:rPr>
        <w:t>n de las bases de datos de que se dispone, mediante adecuada metodología y criterios claros, que permitan establecer en qué casos existen señalamientos de desaparición forzada de personas, imputada a agentes del Estado o a particulares que actúan con el apo</w:t>
      </w:r>
      <w:r w:rsidRPr="00432ABC">
        <w:rPr>
          <w:rFonts w:ascii="Verdana" w:hAnsi="Verdana"/>
          <w:sz w:val="16"/>
          <w:szCs w:val="16"/>
        </w:rPr>
        <w:t xml:space="preserve">yo, tolerancia o aquiescencia de agentes del Estado […]”. </w:t>
      </w:r>
      <w:r w:rsidRPr="00CD5C54">
        <w:rPr>
          <w:rFonts w:ascii="Verdana" w:hAnsi="Verdana"/>
          <w:i/>
          <w:sz w:val="16"/>
          <w:szCs w:val="16"/>
        </w:rPr>
        <w:t>Cfr.</w:t>
      </w:r>
      <w:r w:rsidRPr="00432ABC">
        <w:rPr>
          <w:rFonts w:ascii="Verdana" w:hAnsi="Verdana"/>
          <w:i/>
          <w:sz w:val="16"/>
          <w:szCs w:val="16"/>
        </w:rPr>
        <w:t xml:space="preserve"> </w:t>
      </w:r>
      <w:r w:rsidRPr="00432ABC">
        <w:rPr>
          <w:rFonts w:ascii="Verdana" w:hAnsi="Verdana"/>
          <w:sz w:val="16"/>
          <w:szCs w:val="16"/>
        </w:rPr>
        <w:t xml:space="preserve">CNDH, Comunicado de Prensa No. CGCP/023/15 emitido el 2 de febrero de 2015 en Ginebra, Suiza. Disponible en </w:t>
      </w:r>
      <w:hyperlink r:id="rId30" w:history="1">
        <w:r w:rsidRPr="00432ABC">
          <w:rPr>
            <w:rStyle w:val="Hyperlink"/>
            <w:rFonts w:ascii="Verdana" w:hAnsi="Verdana"/>
            <w:sz w:val="16"/>
            <w:szCs w:val="16"/>
          </w:rPr>
          <w:t>http://www.cndh.org.mx/sites/all/doc/Comunicados/2015/Com_2015_023.pdf</w:t>
        </w:r>
      </w:hyperlink>
      <w:r w:rsidRPr="00432ABC">
        <w:rPr>
          <w:rFonts w:ascii="Verdana" w:hAnsi="Verdana"/>
          <w:sz w:val="16"/>
          <w:szCs w:val="16"/>
        </w:rPr>
        <w:t xml:space="preserve">. En este sentido, el perito Federico Andreu Guzmán señaló que “uno de los problemas grandes con el tema de la desaparición forzada en México es la ausencia de cifras consolidadas a nivel estatal […]”. </w:t>
      </w:r>
      <w:r w:rsidRPr="00CD5C54">
        <w:rPr>
          <w:rFonts w:ascii="Verdana" w:hAnsi="Verdana"/>
          <w:i/>
          <w:sz w:val="16"/>
          <w:szCs w:val="16"/>
        </w:rPr>
        <w:t>Cfr.</w:t>
      </w:r>
      <w:r w:rsidRPr="002C462C">
        <w:rPr>
          <w:rFonts w:ascii="Verdana" w:hAnsi="Verdana"/>
          <w:i/>
          <w:sz w:val="16"/>
          <w:szCs w:val="16"/>
        </w:rPr>
        <w:t xml:space="preserve"> </w:t>
      </w:r>
      <w:r w:rsidRPr="002C462C">
        <w:rPr>
          <w:rFonts w:ascii="Verdana" w:hAnsi="Verdana"/>
          <w:sz w:val="16"/>
          <w:szCs w:val="16"/>
        </w:rPr>
        <w:t xml:space="preserve">Declaración rendida </w:t>
      </w:r>
      <w:r>
        <w:rPr>
          <w:rFonts w:ascii="Verdana" w:hAnsi="Verdana"/>
          <w:sz w:val="16"/>
          <w:szCs w:val="16"/>
        </w:rPr>
        <w:t>en la Audiencia Pública</w:t>
      </w:r>
      <w:r w:rsidRPr="002C462C">
        <w:rPr>
          <w:rFonts w:ascii="Verdana" w:hAnsi="Verdana"/>
          <w:sz w:val="16"/>
          <w:szCs w:val="16"/>
        </w:rPr>
        <w:t xml:space="preserve"> ante la Corte por el perito Federico Andreu Guzmán, </w:t>
      </w:r>
      <w:r w:rsidRPr="00432ABC">
        <w:rPr>
          <w:rFonts w:ascii="Verdana" w:hAnsi="Verdana"/>
          <w:i/>
          <w:sz w:val="16"/>
          <w:szCs w:val="16"/>
        </w:rPr>
        <w:t>supra,</w:t>
      </w:r>
      <w:r w:rsidRPr="00432ABC">
        <w:rPr>
          <w:rFonts w:ascii="Verdana" w:hAnsi="Verdana"/>
          <w:sz w:val="16"/>
          <w:szCs w:val="16"/>
        </w:rPr>
        <w:t xml:space="preserve"> pág. 81. Por su parte, sobre las implicaciones que las deficiencias metodológicas para la sistematización de la información sobre personas desaparecidas en las fuentes oficiales mexicanas, la perita Gabriella Citroni manifestó: “La determinación de la cifra precisa de las personas desaparecidas en México ha sido un reto durante la última década y los intentos de establecer un registro único completo (por ejemplo el Registro Nacional de Datos de Personas Extraviadas o Desaparecidas) han sido plagados por demoras y deficiencias […]”. </w:t>
      </w:r>
      <w:r w:rsidRPr="00CD5C54">
        <w:rPr>
          <w:rFonts w:ascii="Verdana" w:hAnsi="Verdana"/>
          <w:i/>
          <w:sz w:val="16"/>
          <w:szCs w:val="16"/>
        </w:rPr>
        <w:t>Cfr.</w:t>
      </w:r>
      <w:r w:rsidRPr="00432ABC">
        <w:rPr>
          <w:rFonts w:ascii="Verdana" w:hAnsi="Verdana"/>
          <w:i/>
          <w:sz w:val="16"/>
          <w:szCs w:val="16"/>
        </w:rPr>
        <w:t xml:space="preserve"> </w:t>
      </w:r>
      <w:r w:rsidRPr="00432ABC">
        <w:rPr>
          <w:rFonts w:ascii="Verdana" w:hAnsi="Verdana"/>
          <w:sz w:val="16"/>
          <w:szCs w:val="16"/>
        </w:rPr>
        <w:t xml:space="preserve">Declaración pericial de Gabriella Citroni rendida </w:t>
      </w:r>
      <w:r>
        <w:rPr>
          <w:rFonts w:ascii="Verdana" w:hAnsi="Verdana"/>
          <w:sz w:val="16"/>
          <w:szCs w:val="16"/>
        </w:rPr>
        <w:t>el</w:t>
      </w:r>
      <w:r w:rsidRPr="00432ABC">
        <w:rPr>
          <w:rFonts w:ascii="Verdana" w:hAnsi="Verdana"/>
          <w:sz w:val="16"/>
          <w:szCs w:val="16"/>
        </w:rPr>
        <w:t xml:space="preserve"> 18 de abril de 2018</w:t>
      </w:r>
      <w:r w:rsidRPr="00432ABC">
        <w:rPr>
          <w:rFonts w:ascii="Verdana" w:hAnsi="Verdana"/>
          <w:i/>
          <w:sz w:val="16"/>
          <w:szCs w:val="16"/>
        </w:rPr>
        <w:t>, supra</w:t>
      </w:r>
      <w:r>
        <w:rPr>
          <w:rFonts w:ascii="Verdana" w:hAnsi="Verdana"/>
          <w:i/>
          <w:sz w:val="16"/>
          <w:szCs w:val="16"/>
        </w:rPr>
        <w:t xml:space="preserve"> </w:t>
      </w:r>
      <w:r>
        <w:rPr>
          <w:rFonts w:ascii="Verdana" w:hAnsi="Verdana"/>
          <w:sz w:val="16"/>
          <w:szCs w:val="16"/>
        </w:rPr>
        <w:t xml:space="preserve">(expediente de prueba, </w:t>
      </w:r>
      <w:r w:rsidRPr="00453199">
        <w:rPr>
          <w:rFonts w:ascii="Verdana" w:hAnsi="Verdana"/>
          <w:i/>
          <w:sz w:val="16"/>
          <w:szCs w:val="16"/>
        </w:rPr>
        <w:t>Affidávits</w:t>
      </w:r>
      <w:r>
        <w:rPr>
          <w:rFonts w:ascii="Verdana" w:hAnsi="Verdana"/>
          <w:sz w:val="16"/>
          <w:szCs w:val="16"/>
        </w:rPr>
        <w:t xml:space="preserve">, </w:t>
      </w:r>
      <w:r w:rsidRPr="00432ABC">
        <w:rPr>
          <w:rFonts w:ascii="Verdana" w:hAnsi="Verdana"/>
          <w:sz w:val="16"/>
          <w:szCs w:val="16"/>
        </w:rPr>
        <w:t>f. 31082</w:t>
      </w:r>
      <w:r>
        <w:rPr>
          <w:rFonts w:ascii="Verdana" w:hAnsi="Verdana"/>
          <w:sz w:val="16"/>
          <w:szCs w:val="16"/>
        </w:rPr>
        <w:t>)</w:t>
      </w:r>
      <w:r w:rsidRPr="00432ABC">
        <w:rPr>
          <w:rFonts w:ascii="Verdana" w:hAnsi="Verdana"/>
          <w:sz w:val="16"/>
          <w:szCs w:val="16"/>
        </w:rPr>
        <w:t xml:space="preserve">. </w:t>
      </w:r>
    </w:p>
  </w:footnote>
  <w:footnote w:id="84">
    <w:p w14:paraId="64AA617C" w14:textId="2AB68A1B" w:rsidR="00146958" w:rsidRPr="00432ABC" w:rsidRDefault="00146958">
      <w:pPr>
        <w:pStyle w:val="FootnoteText"/>
        <w:jc w:val="both"/>
        <w:rPr>
          <w:rFonts w:ascii="Verdana" w:hAnsi="Verdana"/>
          <w:sz w:val="16"/>
          <w:szCs w:val="16"/>
        </w:rPr>
      </w:pPr>
      <w:r w:rsidRPr="00432ABC">
        <w:rPr>
          <w:rStyle w:val="FootnoteReference"/>
          <w:rFonts w:ascii="Verdana" w:hAnsi="Verdana"/>
          <w:sz w:val="16"/>
          <w:szCs w:val="16"/>
        </w:rPr>
        <w:footnoteRef/>
      </w:r>
      <w:r w:rsidRPr="00432ABC">
        <w:rPr>
          <w:rFonts w:ascii="Verdana" w:hAnsi="Verdana"/>
          <w:sz w:val="16"/>
          <w:szCs w:val="16"/>
        </w:rPr>
        <w:t xml:space="preserve"> </w:t>
      </w:r>
      <w:r w:rsidRPr="00432ABC">
        <w:rPr>
          <w:rFonts w:ascii="Verdana" w:hAnsi="Verdana"/>
          <w:sz w:val="16"/>
          <w:szCs w:val="16"/>
        </w:rPr>
        <w:tab/>
      </w:r>
      <w:r w:rsidRPr="00CD5C54">
        <w:rPr>
          <w:rFonts w:ascii="Verdana" w:hAnsi="Verdana"/>
          <w:i/>
          <w:sz w:val="16"/>
          <w:szCs w:val="16"/>
        </w:rPr>
        <w:t>Cfr.</w:t>
      </w:r>
      <w:r w:rsidRPr="002C462C">
        <w:rPr>
          <w:rFonts w:ascii="Verdana" w:hAnsi="Verdana"/>
          <w:sz w:val="16"/>
          <w:szCs w:val="16"/>
        </w:rPr>
        <w:t xml:space="preserve"> CNDH, Informe Especial sobre Desaparición de Personas y Fosas Clandestinas en México, Resumen Ejecutivo, </w:t>
      </w:r>
      <w:r w:rsidRPr="002C462C">
        <w:rPr>
          <w:rFonts w:ascii="Verdana" w:hAnsi="Verdana"/>
          <w:i/>
          <w:sz w:val="16"/>
          <w:szCs w:val="16"/>
        </w:rPr>
        <w:t>supra</w:t>
      </w:r>
      <w:r w:rsidRPr="00432ABC">
        <w:rPr>
          <w:rFonts w:ascii="Verdana" w:hAnsi="Verdana"/>
          <w:sz w:val="16"/>
          <w:szCs w:val="16"/>
        </w:rPr>
        <w:t>,</w:t>
      </w:r>
      <w:r w:rsidRPr="00432ABC">
        <w:rPr>
          <w:rFonts w:ascii="Verdana" w:hAnsi="Verdana"/>
          <w:i/>
          <w:sz w:val="16"/>
          <w:szCs w:val="16"/>
        </w:rPr>
        <w:t xml:space="preserve"> </w:t>
      </w:r>
      <w:r w:rsidRPr="00432ABC">
        <w:rPr>
          <w:rFonts w:ascii="Verdana" w:hAnsi="Verdana"/>
          <w:sz w:val="16"/>
          <w:szCs w:val="16"/>
        </w:rPr>
        <w:t xml:space="preserve">párrs. 31 a 32. </w:t>
      </w:r>
    </w:p>
  </w:footnote>
  <w:footnote w:id="85">
    <w:p w14:paraId="0FA1D650" w14:textId="3302D96E" w:rsidR="00146958" w:rsidRPr="00432ABC" w:rsidRDefault="00146958">
      <w:pPr>
        <w:pStyle w:val="FootnoteText"/>
        <w:jc w:val="both"/>
        <w:rPr>
          <w:rFonts w:ascii="Verdana" w:hAnsi="Verdana"/>
          <w:sz w:val="16"/>
          <w:szCs w:val="16"/>
        </w:rPr>
      </w:pPr>
      <w:r w:rsidRPr="00432ABC">
        <w:rPr>
          <w:rStyle w:val="FootnoteReference"/>
          <w:rFonts w:ascii="Verdana" w:hAnsi="Verdana"/>
          <w:sz w:val="16"/>
          <w:szCs w:val="16"/>
        </w:rPr>
        <w:footnoteRef/>
      </w:r>
      <w:r w:rsidRPr="00432ABC">
        <w:rPr>
          <w:rFonts w:ascii="Verdana" w:hAnsi="Verdana"/>
          <w:sz w:val="16"/>
          <w:szCs w:val="16"/>
        </w:rPr>
        <w:t xml:space="preserve"> </w:t>
      </w:r>
      <w:r w:rsidRPr="00432ABC">
        <w:rPr>
          <w:rFonts w:ascii="Verdana" w:hAnsi="Verdana"/>
          <w:sz w:val="16"/>
          <w:szCs w:val="16"/>
        </w:rPr>
        <w:tab/>
      </w:r>
      <w:r w:rsidRPr="00CD5C54">
        <w:rPr>
          <w:rFonts w:ascii="Verdana" w:hAnsi="Verdana"/>
          <w:i/>
          <w:sz w:val="16"/>
          <w:szCs w:val="16"/>
        </w:rPr>
        <w:t>Cfr.</w:t>
      </w:r>
      <w:r w:rsidRPr="002C462C">
        <w:rPr>
          <w:rFonts w:ascii="Verdana" w:hAnsi="Verdana"/>
          <w:i/>
          <w:sz w:val="16"/>
          <w:szCs w:val="16"/>
        </w:rPr>
        <w:t xml:space="preserve"> </w:t>
      </w:r>
      <w:r w:rsidRPr="002C462C">
        <w:rPr>
          <w:rFonts w:ascii="Verdana" w:eastAsiaTheme="minorHAnsi" w:hAnsi="Verdana"/>
          <w:bCs/>
          <w:color w:val="000000"/>
          <w:sz w:val="16"/>
          <w:szCs w:val="16"/>
          <w:shd w:val="clear" w:color="auto" w:fill="FFFFFF"/>
        </w:rPr>
        <w:t xml:space="preserve">Declaración del Alto Comisionado de la ONU para los Derechos Humanos, Zeid Ra’ad Al Hussein, </w:t>
      </w:r>
      <w:r>
        <w:rPr>
          <w:rFonts w:ascii="Verdana" w:eastAsiaTheme="minorHAnsi" w:hAnsi="Verdana"/>
          <w:bCs/>
          <w:color w:val="000000"/>
          <w:sz w:val="16"/>
          <w:szCs w:val="16"/>
          <w:shd w:val="clear" w:color="auto" w:fill="FFFFFF"/>
        </w:rPr>
        <w:t>V</w:t>
      </w:r>
      <w:r w:rsidRPr="00432ABC">
        <w:rPr>
          <w:rFonts w:ascii="Verdana" w:eastAsiaTheme="minorHAnsi" w:hAnsi="Verdana"/>
          <w:bCs/>
          <w:color w:val="000000"/>
          <w:sz w:val="16"/>
          <w:szCs w:val="16"/>
          <w:shd w:val="clear" w:color="auto" w:fill="FFFFFF"/>
        </w:rPr>
        <w:t xml:space="preserve">isita a México, 7 de octubre de 2015, </w:t>
      </w:r>
      <w:r w:rsidRPr="00432ABC">
        <w:rPr>
          <w:rFonts w:ascii="Verdana" w:eastAsiaTheme="minorHAnsi" w:hAnsi="Verdana"/>
          <w:bCs/>
          <w:i/>
          <w:color w:val="000000"/>
          <w:sz w:val="16"/>
          <w:szCs w:val="16"/>
          <w:shd w:val="clear" w:color="auto" w:fill="FFFFFF"/>
        </w:rPr>
        <w:t xml:space="preserve">supra, </w:t>
      </w:r>
      <w:r w:rsidRPr="00432ABC">
        <w:rPr>
          <w:rFonts w:ascii="Verdana" w:eastAsiaTheme="minorHAnsi" w:hAnsi="Verdana"/>
          <w:bCs/>
          <w:color w:val="000000"/>
          <w:sz w:val="16"/>
          <w:szCs w:val="16"/>
          <w:shd w:val="clear" w:color="auto" w:fill="FFFFFF"/>
        </w:rPr>
        <w:t>y</w:t>
      </w:r>
      <w:r w:rsidRPr="00432ABC">
        <w:rPr>
          <w:rFonts w:ascii="Verdana" w:eastAsiaTheme="minorHAnsi" w:hAnsi="Verdana"/>
          <w:bCs/>
          <w:i/>
          <w:color w:val="000000"/>
          <w:sz w:val="16"/>
          <w:szCs w:val="16"/>
          <w:shd w:val="clear" w:color="auto" w:fill="FFFFFF"/>
        </w:rPr>
        <w:t xml:space="preserve"> </w:t>
      </w:r>
      <w:r w:rsidRPr="00432ABC">
        <w:rPr>
          <w:rFonts w:ascii="Verdana" w:hAnsi="Verdana"/>
          <w:i/>
          <w:sz w:val="16"/>
          <w:szCs w:val="16"/>
        </w:rPr>
        <w:t>Recomendaciones a México por el Alto Comisionado de las Naciones Unidas para los Derechos Humanos, Zeid Ra’ad al Hussein</w:t>
      </w:r>
      <w:r w:rsidRPr="00432ABC">
        <w:rPr>
          <w:rStyle w:val="Strong"/>
          <w:rFonts w:ascii="Verdana" w:hAnsi="Verdana"/>
          <w:b w:val="0"/>
          <w:sz w:val="16"/>
          <w:szCs w:val="16"/>
          <w:shd w:val="clear" w:color="auto" w:fill="FFFFFF"/>
        </w:rPr>
        <w:t xml:space="preserve">, </w:t>
      </w:r>
      <w:r w:rsidRPr="00432ABC">
        <w:rPr>
          <w:rStyle w:val="Strong"/>
          <w:rFonts w:ascii="Verdana" w:hAnsi="Verdana"/>
          <w:b w:val="0"/>
          <w:i/>
          <w:sz w:val="16"/>
          <w:szCs w:val="16"/>
          <w:shd w:val="clear" w:color="auto" w:fill="FFFFFF"/>
        </w:rPr>
        <w:t>resultado de su visita oficial al país en octubre de 2015</w:t>
      </w:r>
      <w:r w:rsidRPr="00432ABC">
        <w:rPr>
          <w:rFonts w:ascii="Verdana" w:hAnsi="Verdana"/>
          <w:sz w:val="16"/>
          <w:szCs w:val="16"/>
        </w:rPr>
        <w:t xml:space="preserve">, marzo de 2016, </w:t>
      </w:r>
      <w:r>
        <w:rPr>
          <w:rFonts w:ascii="Verdana" w:hAnsi="Verdana"/>
          <w:sz w:val="16"/>
          <w:szCs w:val="16"/>
        </w:rPr>
        <w:t>R</w:t>
      </w:r>
      <w:r w:rsidRPr="00432ABC">
        <w:rPr>
          <w:rFonts w:ascii="Verdana" w:hAnsi="Verdana"/>
          <w:sz w:val="16"/>
          <w:szCs w:val="16"/>
        </w:rPr>
        <w:t xml:space="preserve">ecomendación 1. </w:t>
      </w:r>
      <w:r w:rsidRPr="00432ABC">
        <w:rPr>
          <w:rFonts w:ascii="Verdana" w:eastAsiaTheme="minorHAnsi" w:hAnsi="Verdana"/>
          <w:bCs/>
          <w:i/>
          <w:color w:val="000000"/>
          <w:sz w:val="16"/>
          <w:szCs w:val="16"/>
          <w:shd w:val="clear" w:color="auto" w:fill="FFFFFF"/>
        </w:rPr>
        <w:t xml:space="preserve"> </w:t>
      </w:r>
      <w:r w:rsidRPr="00432ABC">
        <w:rPr>
          <w:rFonts w:ascii="Verdana" w:hAnsi="Verdana"/>
          <w:sz w:val="16"/>
          <w:szCs w:val="16"/>
        </w:rPr>
        <w:t xml:space="preserve"> </w:t>
      </w:r>
    </w:p>
  </w:footnote>
  <w:footnote w:id="86">
    <w:p w14:paraId="4EA78145" w14:textId="5BB5253B" w:rsidR="00146958" w:rsidRPr="00432ABC" w:rsidRDefault="00146958">
      <w:pPr>
        <w:pStyle w:val="FootnoteText"/>
        <w:jc w:val="both"/>
        <w:rPr>
          <w:rFonts w:ascii="Verdana" w:hAnsi="Verdana"/>
          <w:sz w:val="16"/>
          <w:szCs w:val="16"/>
        </w:rPr>
      </w:pPr>
      <w:r w:rsidRPr="00432ABC">
        <w:rPr>
          <w:rStyle w:val="FootnoteReference"/>
          <w:rFonts w:ascii="Verdana" w:hAnsi="Verdana"/>
          <w:sz w:val="16"/>
          <w:szCs w:val="16"/>
        </w:rPr>
        <w:footnoteRef/>
      </w:r>
      <w:r w:rsidRPr="00432ABC">
        <w:rPr>
          <w:rFonts w:ascii="Verdana" w:hAnsi="Verdana"/>
          <w:sz w:val="16"/>
          <w:szCs w:val="16"/>
        </w:rPr>
        <w:t xml:space="preserve"> </w:t>
      </w:r>
      <w:r w:rsidRPr="00432ABC">
        <w:rPr>
          <w:rFonts w:ascii="Verdana" w:hAnsi="Verdana"/>
          <w:sz w:val="16"/>
          <w:szCs w:val="16"/>
        </w:rPr>
        <w:tab/>
      </w:r>
      <w:r w:rsidRPr="00CD5C54">
        <w:rPr>
          <w:rFonts w:ascii="Verdana" w:hAnsi="Verdana"/>
          <w:i/>
          <w:sz w:val="16"/>
          <w:szCs w:val="16"/>
        </w:rPr>
        <w:t>Cfr.</w:t>
      </w:r>
      <w:r w:rsidRPr="002C462C">
        <w:rPr>
          <w:rFonts w:ascii="Verdana" w:hAnsi="Verdana"/>
          <w:sz w:val="16"/>
          <w:szCs w:val="16"/>
        </w:rPr>
        <w:t xml:space="preserve"> ONU. CEDAW, </w:t>
      </w:r>
      <w:r w:rsidRPr="002C462C">
        <w:rPr>
          <w:rFonts w:ascii="Verdana" w:hAnsi="Verdana"/>
          <w:i/>
          <w:sz w:val="16"/>
          <w:szCs w:val="16"/>
        </w:rPr>
        <w:t xml:space="preserve">Observacionales Finales del Comité para la Eliminación de la Discriminación contra la Mujer, </w:t>
      </w:r>
      <w:r w:rsidRPr="00432ABC">
        <w:rPr>
          <w:rFonts w:ascii="Verdana" w:hAnsi="Verdana"/>
          <w:sz w:val="16"/>
          <w:szCs w:val="16"/>
        </w:rPr>
        <w:t xml:space="preserve">CEDAW/C/MEX/CO/7-8, 7 de agosto de 2012, párr. 11, y ONU. Comité contra la Tortura, </w:t>
      </w:r>
      <w:r w:rsidRPr="00432ABC">
        <w:rPr>
          <w:rFonts w:ascii="Verdana" w:hAnsi="Verdana"/>
          <w:i/>
          <w:sz w:val="16"/>
          <w:szCs w:val="16"/>
        </w:rPr>
        <w:t xml:space="preserve">Observaciones Finales sobre los informes periódicos quinto y sexto combinados de México, adoptadas por el Comité en su 49º período de sesiones (29 de octubre a 23 de noviembre de 2012), </w:t>
      </w:r>
      <w:r w:rsidRPr="00432ABC">
        <w:rPr>
          <w:rFonts w:ascii="Verdana" w:hAnsi="Verdana"/>
          <w:sz w:val="16"/>
          <w:szCs w:val="16"/>
        </w:rPr>
        <w:t>CAT/C/MEX/CO/5-6, 11 de diciembre de 2012, párr. 14.</w:t>
      </w:r>
    </w:p>
  </w:footnote>
  <w:footnote w:id="87">
    <w:p w14:paraId="0B17157A" w14:textId="078C7245" w:rsidR="00146958" w:rsidRPr="00B71DDF" w:rsidRDefault="00146958">
      <w:pPr>
        <w:pStyle w:val="FootnoteText"/>
        <w:jc w:val="both"/>
        <w:rPr>
          <w:rFonts w:ascii="Verdana" w:hAnsi="Verdana"/>
          <w:sz w:val="16"/>
          <w:szCs w:val="16"/>
        </w:rPr>
      </w:pPr>
      <w:r w:rsidRPr="00B71DDF">
        <w:rPr>
          <w:rStyle w:val="FootnoteReference"/>
          <w:rFonts w:ascii="Verdana" w:hAnsi="Verdana"/>
          <w:sz w:val="16"/>
          <w:szCs w:val="16"/>
        </w:rPr>
        <w:footnoteRef/>
      </w:r>
      <w:r w:rsidRPr="00B71DDF">
        <w:rPr>
          <w:rFonts w:ascii="Verdana" w:hAnsi="Verdana"/>
          <w:sz w:val="16"/>
          <w:szCs w:val="16"/>
        </w:rPr>
        <w:t xml:space="preserve"> </w:t>
      </w:r>
      <w:r w:rsidRPr="00B71DDF">
        <w:rPr>
          <w:rFonts w:ascii="Verdana" w:hAnsi="Verdana"/>
          <w:sz w:val="16"/>
          <w:szCs w:val="16"/>
        </w:rPr>
        <w:tab/>
      </w:r>
      <w:r w:rsidRPr="00CD5C54">
        <w:rPr>
          <w:rFonts w:ascii="Verdana" w:hAnsi="Verdana"/>
          <w:i/>
          <w:sz w:val="16"/>
          <w:szCs w:val="16"/>
        </w:rPr>
        <w:t>Cfr.</w:t>
      </w:r>
      <w:r w:rsidRPr="00134B64">
        <w:rPr>
          <w:rFonts w:ascii="Verdana" w:hAnsi="Verdana"/>
          <w:sz w:val="16"/>
          <w:szCs w:val="16"/>
        </w:rPr>
        <w:t xml:space="preserve"> ONU: </w:t>
      </w:r>
      <w:r w:rsidRPr="00B71DDF">
        <w:rPr>
          <w:rFonts w:ascii="Verdana" w:hAnsi="Verdana"/>
          <w:i/>
          <w:sz w:val="16"/>
          <w:szCs w:val="16"/>
        </w:rPr>
        <w:t>Informe de la Relatora Especial sobre la Independencia de los magistrados y abogados,</w:t>
      </w:r>
      <w:r w:rsidRPr="00B71DDF">
        <w:rPr>
          <w:rFonts w:ascii="Verdana" w:hAnsi="Verdana"/>
          <w:sz w:val="16"/>
          <w:szCs w:val="16"/>
        </w:rPr>
        <w:t xml:space="preserve"> </w:t>
      </w:r>
      <w:r w:rsidRPr="001D1E2A">
        <w:rPr>
          <w:rFonts w:ascii="Verdana" w:hAnsi="Verdana"/>
          <w:i/>
          <w:sz w:val="16"/>
          <w:szCs w:val="16"/>
        </w:rPr>
        <w:t>supra</w:t>
      </w:r>
      <w:r w:rsidRPr="00134B64">
        <w:rPr>
          <w:rFonts w:ascii="Verdana" w:hAnsi="Verdana"/>
          <w:sz w:val="16"/>
          <w:szCs w:val="16"/>
        </w:rPr>
        <w:t>,</w:t>
      </w:r>
      <w:r w:rsidRPr="00B71DDF">
        <w:rPr>
          <w:rFonts w:ascii="Verdana" w:hAnsi="Verdana"/>
          <w:sz w:val="16"/>
          <w:szCs w:val="16"/>
        </w:rPr>
        <w:t xml:space="preserve"> 18 de abril de 2011, párr. 54; </w:t>
      </w:r>
      <w:r w:rsidRPr="00B71DDF">
        <w:rPr>
          <w:rFonts w:ascii="Verdana" w:hAnsi="Verdana"/>
          <w:i/>
          <w:sz w:val="16"/>
          <w:szCs w:val="16"/>
        </w:rPr>
        <w:t xml:space="preserve">Informe del Relator </w:t>
      </w:r>
      <w:r w:rsidRPr="00B71DDF">
        <w:rPr>
          <w:rFonts w:ascii="Verdana" w:eastAsiaTheme="minorHAnsi" w:hAnsi="Verdana" w:cs="Cambria"/>
          <w:i/>
          <w:sz w:val="16"/>
          <w:szCs w:val="16"/>
        </w:rPr>
        <w:t xml:space="preserve">sobre la Libertad de Expresión y Protección del Derecho a la Libertad de Opinión y Expresión, Frank La Rue. Adición, Misión a México, </w:t>
      </w:r>
      <w:r w:rsidRPr="00B71DDF">
        <w:rPr>
          <w:rFonts w:ascii="Verdana" w:eastAsiaTheme="minorHAnsi" w:hAnsi="Verdana" w:cs="Cambria"/>
          <w:sz w:val="16"/>
          <w:szCs w:val="16"/>
        </w:rPr>
        <w:t xml:space="preserve">A/HRC/17/27/Add.3, 19 de mayo de 2011, párr. 16; </w:t>
      </w:r>
      <w:r w:rsidRPr="00B71DDF">
        <w:rPr>
          <w:rFonts w:ascii="Verdana" w:eastAsiaTheme="minorHAnsi" w:hAnsi="Verdana" w:cs="Cambria"/>
          <w:i/>
          <w:sz w:val="16"/>
          <w:szCs w:val="16"/>
        </w:rPr>
        <w:t xml:space="preserve">Informe del GTDFI. Misión a México, </w:t>
      </w:r>
      <w:r w:rsidRPr="00B71DDF">
        <w:rPr>
          <w:rFonts w:ascii="Verdana" w:eastAsiaTheme="minorHAnsi" w:hAnsi="Verdana" w:cs="Cambria"/>
          <w:sz w:val="16"/>
          <w:szCs w:val="16"/>
        </w:rPr>
        <w:t xml:space="preserve">20 de diciembre de 2011, </w:t>
      </w:r>
      <w:r w:rsidRPr="00B71DDF">
        <w:rPr>
          <w:rFonts w:ascii="Verdana" w:eastAsiaTheme="minorHAnsi" w:hAnsi="Verdana" w:cs="Cambria"/>
          <w:i/>
          <w:sz w:val="16"/>
          <w:szCs w:val="16"/>
        </w:rPr>
        <w:t xml:space="preserve">supra, </w:t>
      </w:r>
      <w:r w:rsidRPr="00B71DDF">
        <w:rPr>
          <w:rFonts w:ascii="Verdana" w:eastAsiaTheme="minorHAnsi" w:hAnsi="Verdana" w:cs="Cambria"/>
          <w:sz w:val="16"/>
          <w:szCs w:val="16"/>
        </w:rPr>
        <w:t xml:space="preserve">párr.  32; </w:t>
      </w:r>
      <w:r w:rsidRPr="00B71DDF">
        <w:rPr>
          <w:rFonts w:ascii="Verdana" w:eastAsiaTheme="minorHAnsi" w:hAnsi="Verdana" w:cs="Cambria"/>
          <w:i/>
          <w:sz w:val="16"/>
          <w:szCs w:val="16"/>
        </w:rPr>
        <w:t xml:space="preserve">Informe del Relator Especial sobre la Tortura, </w:t>
      </w:r>
      <w:r w:rsidRPr="001D1E2A">
        <w:rPr>
          <w:rFonts w:ascii="Verdana" w:eastAsiaTheme="minorHAnsi" w:hAnsi="Verdana" w:cs="Cambria"/>
          <w:sz w:val="16"/>
          <w:szCs w:val="16"/>
        </w:rPr>
        <w:t xml:space="preserve">29 de diciembre de 2014, </w:t>
      </w:r>
      <w:r w:rsidRPr="00134B64">
        <w:rPr>
          <w:rFonts w:ascii="Verdana" w:eastAsiaTheme="minorHAnsi" w:hAnsi="Verdana" w:cs="Cambria"/>
          <w:sz w:val="16"/>
          <w:szCs w:val="16"/>
        </w:rPr>
        <w:t>pá</w:t>
      </w:r>
      <w:r w:rsidRPr="00B71DDF">
        <w:rPr>
          <w:rFonts w:ascii="Verdana" w:eastAsiaTheme="minorHAnsi" w:hAnsi="Verdana" w:cs="Cambria"/>
          <w:sz w:val="16"/>
          <w:szCs w:val="16"/>
        </w:rPr>
        <w:t>rrs. 32 a 34;</w:t>
      </w:r>
      <w:r w:rsidRPr="00B71DDF">
        <w:rPr>
          <w:rFonts w:ascii="Verdana" w:hAnsi="Verdana"/>
          <w:sz w:val="16"/>
          <w:szCs w:val="16"/>
        </w:rPr>
        <w:t xml:space="preserve"> GTDFI, </w:t>
      </w:r>
      <w:r w:rsidRPr="00B71DDF">
        <w:rPr>
          <w:rFonts w:ascii="Verdana" w:hAnsi="Verdana"/>
          <w:bCs/>
          <w:i/>
          <w:sz w:val="16"/>
          <w:szCs w:val="16"/>
          <w:lang w:val="es-ES"/>
        </w:rPr>
        <w:t>Seguimiento a las recomendaciones del GTDFI en su informe relativo a su visita a México del 18 al 31 de marzo de 2011</w:t>
      </w:r>
      <w:r w:rsidRPr="00B71DDF">
        <w:rPr>
          <w:rFonts w:ascii="Verdana" w:hAnsi="Verdana"/>
          <w:bCs/>
          <w:sz w:val="16"/>
          <w:szCs w:val="16"/>
          <w:lang w:val="es-ES"/>
        </w:rPr>
        <w:t xml:space="preserve">, 11 de septiembre de 2015, </w:t>
      </w:r>
      <w:r w:rsidRPr="00B71DDF">
        <w:rPr>
          <w:rFonts w:ascii="Verdana" w:hAnsi="Verdana"/>
          <w:i/>
          <w:sz w:val="16"/>
          <w:szCs w:val="16"/>
        </w:rPr>
        <w:t>supra</w:t>
      </w:r>
      <w:r w:rsidRPr="00B71DDF">
        <w:rPr>
          <w:rFonts w:ascii="Verdana" w:hAnsi="Verdana"/>
          <w:sz w:val="16"/>
          <w:szCs w:val="16"/>
        </w:rPr>
        <w:t xml:space="preserve">, párrs. 18 y 34; </w:t>
      </w:r>
      <w:r w:rsidRPr="00B71DDF">
        <w:rPr>
          <w:rFonts w:ascii="Verdana" w:hAnsi="Verdana"/>
          <w:i/>
          <w:sz w:val="16"/>
          <w:szCs w:val="16"/>
        </w:rPr>
        <w:t xml:space="preserve">Informe del Relator especial sobre las ejecuciones extrajudiciales, sumarias o arbitrarias acerca del seguimiento de su misión a México, </w:t>
      </w:r>
      <w:r w:rsidRPr="00B71DDF">
        <w:rPr>
          <w:rFonts w:ascii="Verdana" w:hAnsi="Verdana"/>
          <w:sz w:val="16"/>
          <w:szCs w:val="16"/>
        </w:rPr>
        <w:t xml:space="preserve">A/HRC/32/39/Add.2, 6 de mayo de 2016, párr. 64; </w:t>
      </w:r>
      <w:r w:rsidRPr="00B71DDF">
        <w:rPr>
          <w:rFonts w:ascii="Verdana" w:hAnsi="Verdana"/>
          <w:i/>
          <w:sz w:val="16"/>
          <w:szCs w:val="16"/>
        </w:rPr>
        <w:t xml:space="preserve">Informe de seguimiento del Relator Especial sobre la Tortura, </w:t>
      </w:r>
      <w:r w:rsidRPr="001D1E2A">
        <w:rPr>
          <w:rFonts w:ascii="Verdana" w:hAnsi="Verdana"/>
          <w:sz w:val="16"/>
          <w:szCs w:val="16"/>
        </w:rPr>
        <w:t xml:space="preserve">17 de febrero de 2017, párr. 34; CIDH/ONU. </w:t>
      </w:r>
      <w:r w:rsidRPr="00134B64">
        <w:rPr>
          <w:rFonts w:ascii="Verdana" w:hAnsi="Verdana"/>
          <w:i/>
          <w:sz w:val="16"/>
          <w:szCs w:val="16"/>
        </w:rPr>
        <w:t>Informe Especial sobre la Situació</w:t>
      </w:r>
      <w:r w:rsidRPr="00B71DDF">
        <w:rPr>
          <w:rFonts w:ascii="Verdana" w:hAnsi="Verdana"/>
          <w:i/>
          <w:sz w:val="16"/>
          <w:szCs w:val="16"/>
        </w:rPr>
        <w:t xml:space="preserve">n de la Libertad de Expresión en México, </w:t>
      </w:r>
      <w:r w:rsidRPr="00B71DDF">
        <w:rPr>
          <w:rFonts w:ascii="Verdana" w:hAnsi="Verdana"/>
          <w:sz w:val="16"/>
          <w:szCs w:val="16"/>
        </w:rPr>
        <w:t xml:space="preserve">Informe conjunto, junio de 2018, párr. 43. Disponible en </w:t>
      </w:r>
      <w:hyperlink r:id="rId31" w:history="1">
        <w:r w:rsidRPr="008D0846">
          <w:rPr>
            <w:rFonts w:ascii="Verdana" w:hAnsi="Verdana"/>
            <w:sz w:val="16"/>
            <w:szCs w:val="16"/>
          </w:rPr>
          <w:t>https://www.oas.org/es/cidh/expresion/docs/2018_06_18%20CIDH-UN_FINAL_MX_report_SPA.PDF</w:t>
        </w:r>
      </w:hyperlink>
      <w:r w:rsidRPr="008D0846">
        <w:t>, y</w:t>
      </w:r>
      <w:r w:rsidRPr="00B71DDF">
        <w:rPr>
          <w:rFonts w:ascii="Verdana" w:hAnsi="Verdana"/>
          <w:sz w:val="16"/>
          <w:szCs w:val="16"/>
        </w:rPr>
        <w:t xml:space="preserve"> ONU. </w:t>
      </w:r>
      <w:r w:rsidRPr="001D1E2A">
        <w:rPr>
          <w:rFonts w:ascii="Verdana" w:hAnsi="Verdana"/>
          <w:i/>
          <w:sz w:val="16"/>
          <w:szCs w:val="16"/>
        </w:rPr>
        <w:t>Informe de la Relatora Especial sobre los derechos de los pueblos indígenas sobre su visita a México</w:t>
      </w:r>
      <w:r w:rsidRPr="00134B64">
        <w:rPr>
          <w:rFonts w:ascii="Verdana" w:hAnsi="Verdana"/>
          <w:sz w:val="16"/>
          <w:szCs w:val="16"/>
        </w:rPr>
        <w:t xml:space="preserve">, 28 de junio de 2018, </w:t>
      </w:r>
      <w:r w:rsidRPr="00C56E31">
        <w:rPr>
          <w:rFonts w:ascii="Verdana" w:hAnsi="Verdana"/>
          <w:i/>
          <w:sz w:val="16"/>
          <w:szCs w:val="16"/>
        </w:rPr>
        <w:t>supra</w:t>
      </w:r>
      <w:r w:rsidRPr="00B71DDF">
        <w:rPr>
          <w:rFonts w:ascii="Verdana" w:hAnsi="Verdana"/>
          <w:sz w:val="16"/>
          <w:szCs w:val="16"/>
        </w:rPr>
        <w:t xml:space="preserve">, párr. 64.  </w:t>
      </w:r>
    </w:p>
  </w:footnote>
  <w:footnote w:id="88">
    <w:p w14:paraId="7BF57A34" w14:textId="0BF56CF2" w:rsidR="00146958" w:rsidRPr="00432ABC" w:rsidRDefault="00146958">
      <w:pPr>
        <w:pStyle w:val="FootnoteText"/>
        <w:jc w:val="both"/>
        <w:rPr>
          <w:rFonts w:ascii="Verdana" w:hAnsi="Verdana"/>
          <w:sz w:val="16"/>
          <w:szCs w:val="16"/>
        </w:rPr>
      </w:pPr>
      <w:r w:rsidRPr="00432ABC">
        <w:rPr>
          <w:rStyle w:val="FootnoteReference"/>
          <w:rFonts w:ascii="Verdana" w:hAnsi="Verdana"/>
          <w:sz w:val="16"/>
          <w:szCs w:val="16"/>
        </w:rPr>
        <w:footnoteRef/>
      </w:r>
      <w:r w:rsidRPr="00432ABC">
        <w:rPr>
          <w:rFonts w:ascii="Verdana" w:hAnsi="Verdana"/>
          <w:sz w:val="16"/>
          <w:szCs w:val="16"/>
        </w:rPr>
        <w:t xml:space="preserve"> </w:t>
      </w:r>
      <w:r w:rsidRPr="00432ABC">
        <w:rPr>
          <w:rFonts w:ascii="Verdana" w:hAnsi="Verdana"/>
          <w:sz w:val="16"/>
          <w:szCs w:val="16"/>
        </w:rPr>
        <w:tab/>
      </w:r>
      <w:r w:rsidRPr="00CD5C54">
        <w:rPr>
          <w:rFonts w:ascii="Verdana" w:hAnsi="Verdana"/>
          <w:i/>
          <w:sz w:val="16"/>
          <w:szCs w:val="16"/>
        </w:rPr>
        <w:t>Cfr.</w:t>
      </w:r>
      <w:r w:rsidRPr="002C462C">
        <w:rPr>
          <w:rFonts w:ascii="Verdana" w:hAnsi="Verdana"/>
          <w:sz w:val="16"/>
          <w:szCs w:val="16"/>
        </w:rPr>
        <w:t xml:space="preserve"> </w:t>
      </w:r>
      <w:r w:rsidRPr="002C462C">
        <w:rPr>
          <w:rFonts w:ascii="Verdana" w:hAnsi="Verdana"/>
          <w:bCs/>
          <w:sz w:val="16"/>
          <w:szCs w:val="16"/>
        </w:rPr>
        <w:t>Informe del GTDFI, Misión a México</w:t>
      </w:r>
      <w:r w:rsidRPr="00432ABC">
        <w:rPr>
          <w:rFonts w:ascii="Verdana" w:hAnsi="Verdana"/>
          <w:bCs/>
          <w:i/>
          <w:sz w:val="16"/>
          <w:szCs w:val="16"/>
        </w:rPr>
        <w:t xml:space="preserve">, </w:t>
      </w:r>
      <w:r w:rsidRPr="00432ABC">
        <w:rPr>
          <w:rFonts w:ascii="Verdana" w:hAnsi="Verdana"/>
          <w:bCs/>
          <w:sz w:val="16"/>
          <w:szCs w:val="16"/>
        </w:rPr>
        <w:t xml:space="preserve">20 de diciembre de 2011, </w:t>
      </w:r>
      <w:r w:rsidRPr="00432ABC">
        <w:rPr>
          <w:rFonts w:ascii="Verdana" w:hAnsi="Verdana"/>
          <w:bCs/>
          <w:i/>
          <w:sz w:val="16"/>
          <w:szCs w:val="16"/>
        </w:rPr>
        <w:t xml:space="preserve">supra, </w:t>
      </w:r>
      <w:r w:rsidRPr="00432ABC">
        <w:rPr>
          <w:rFonts w:ascii="Verdana" w:hAnsi="Verdana"/>
          <w:bCs/>
          <w:sz w:val="16"/>
          <w:szCs w:val="16"/>
        </w:rPr>
        <w:t>párr. 76.</w:t>
      </w:r>
    </w:p>
  </w:footnote>
  <w:footnote w:id="89">
    <w:p w14:paraId="135E1D66" w14:textId="7F721C52" w:rsidR="00146958" w:rsidRPr="00432ABC" w:rsidRDefault="00146958">
      <w:pPr>
        <w:pStyle w:val="FootnoteText"/>
        <w:jc w:val="both"/>
        <w:rPr>
          <w:rFonts w:ascii="Verdana" w:hAnsi="Verdana"/>
          <w:sz w:val="16"/>
          <w:szCs w:val="16"/>
        </w:rPr>
      </w:pPr>
      <w:r w:rsidRPr="00432ABC">
        <w:rPr>
          <w:rStyle w:val="FootnoteReference"/>
          <w:rFonts w:ascii="Verdana" w:hAnsi="Verdana"/>
          <w:sz w:val="16"/>
          <w:szCs w:val="16"/>
        </w:rPr>
        <w:footnoteRef/>
      </w:r>
      <w:r w:rsidRPr="00432ABC">
        <w:rPr>
          <w:rFonts w:ascii="Verdana" w:hAnsi="Verdana"/>
          <w:sz w:val="16"/>
          <w:szCs w:val="16"/>
        </w:rPr>
        <w:t xml:space="preserve"> </w:t>
      </w:r>
      <w:r w:rsidRPr="00432ABC">
        <w:rPr>
          <w:rFonts w:ascii="Verdana" w:hAnsi="Verdana"/>
          <w:sz w:val="16"/>
          <w:szCs w:val="16"/>
        </w:rPr>
        <w:tab/>
      </w:r>
      <w:r w:rsidRPr="00CD5C54">
        <w:rPr>
          <w:rFonts w:ascii="Verdana" w:hAnsi="Verdana"/>
          <w:i/>
          <w:sz w:val="16"/>
          <w:szCs w:val="16"/>
        </w:rPr>
        <w:t>Cfr.</w:t>
      </w:r>
      <w:r w:rsidRPr="002C462C">
        <w:rPr>
          <w:rFonts w:ascii="Verdana" w:hAnsi="Verdana"/>
          <w:sz w:val="16"/>
          <w:szCs w:val="16"/>
        </w:rPr>
        <w:t xml:space="preserve"> GTDFI, </w:t>
      </w:r>
      <w:r w:rsidRPr="002C462C">
        <w:rPr>
          <w:rFonts w:ascii="Verdana" w:hAnsi="Verdana"/>
          <w:bCs/>
          <w:i/>
          <w:sz w:val="16"/>
          <w:szCs w:val="16"/>
          <w:lang w:val="es-ES"/>
        </w:rPr>
        <w:t>Seguimiento a las recomendaciones del GTDFI</w:t>
      </w:r>
      <w:r w:rsidRPr="00432ABC">
        <w:rPr>
          <w:rFonts w:ascii="Verdana" w:hAnsi="Verdana"/>
          <w:bCs/>
          <w:i/>
          <w:sz w:val="16"/>
          <w:szCs w:val="16"/>
          <w:lang w:val="es-ES"/>
        </w:rPr>
        <w:t xml:space="preserve"> en su informe relativo a su visita a México del 18 al 31 de marzo de 2011</w:t>
      </w:r>
      <w:r w:rsidRPr="00432ABC">
        <w:rPr>
          <w:rFonts w:ascii="Verdana" w:hAnsi="Verdana"/>
          <w:bCs/>
          <w:sz w:val="16"/>
          <w:szCs w:val="16"/>
          <w:lang w:val="es-ES"/>
        </w:rPr>
        <w:t xml:space="preserve">, 11 de septiembre de 2015, </w:t>
      </w:r>
      <w:r w:rsidRPr="00432ABC">
        <w:rPr>
          <w:rFonts w:ascii="Verdana" w:hAnsi="Verdana"/>
          <w:i/>
          <w:sz w:val="16"/>
          <w:szCs w:val="16"/>
        </w:rPr>
        <w:t>supra</w:t>
      </w:r>
      <w:r w:rsidRPr="00432ABC">
        <w:rPr>
          <w:rFonts w:ascii="Verdana" w:hAnsi="Verdana"/>
          <w:sz w:val="16"/>
          <w:szCs w:val="16"/>
        </w:rPr>
        <w:t xml:space="preserve">, párr. 18.  </w:t>
      </w:r>
      <w:r w:rsidRPr="00432ABC">
        <w:rPr>
          <w:rFonts w:ascii="Verdana" w:eastAsiaTheme="minorHAnsi" w:hAnsi="Verdana"/>
          <w:sz w:val="16"/>
          <w:szCs w:val="16"/>
        </w:rPr>
        <w:t xml:space="preserve">En el mismo sentido, </w:t>
      </w:r>
      <w:r w:rsidRPr="00CD5C54">
        <w:rPr>
          <w:rFonts w:ascii="Verdana" w:eastAsiaTheme="minorHAnsi" w:hAnsi="Verdana"/>
          <w:i/>
          <w:sz w:val="16"/>
          <w:szCs w:val="16"/>
        </w:rPr>
        <w:t>Cfr.</w:t>
      </w:r>
      <w:r w:rsidRPr="00432ABC">
        <w:rPr>
          <w:rFonts w:ascii="Verdana" w:eastAsiaTheme="minorHAnsi" w:hAnsi="Verdana"/>
          <w:sz w:val="16"/>
          <w:szCs w:val="16"/>
        </w:rPr>
        <w:t xml:space="preserve"> </w:t>
      </w:r>
      <w:r w:rsidRPr="00432ABC">
        <w:rPr>
          <w:rFonts w:ascii="Verdana" w:hAnsi="Verdana"/>
          <w:sz w:val="16"/>
          <w:szCs w:val="16"/>
        </w:rPr>
        <w:t xml:space="preserve">Declaración pericial de Gabriella Citroni rendida </w:t>
      </w:r>
      <w:r>
        <w:rPr>
          <w:rFonts w:ascii="Verdana" w:hAnsi="Verdana"/>
          <w:sz w:val="16"/>
          <w:szCs w:val="16"/>
        </w:rPr>
        <w:t>el</w:t>
      </w:r>
      <w:r w:rsidRPr="00432ABC">
        <w:rPr>
          <w:rFonts w:ascii="Verdana" w:hAnsi="Verdana"/>
          <w:sz w:val="16"/>
          <w:szCs w:val="16"/>
        </w:rPr>
        <w:t xml:space="preserve"> 18 de abril de 2018</w:t>
      </w:r>
      <w:r w:rsidRPr="00432ABC">
        <w:rPr>
          <w:rFonts w:ascii="Verdana" w:hAnsi="Verdana"/>
          <w:i/>
          <w:sz w:val="16"/>
          <w:szCs w:val="16"/>
        </w:rPr>
        <w:t>, supra</w:t>
      </w:r>
      <w:r>
        <w:rPr>
          <w:rFonts w:ascii="Verdana" w:hAnsi="Verdana"/>
          <w:i/>
          <w:sz w:val="16"/>
          <w:szCs w:val="16"/>
        </w:rPr>
        <w:t xml:space="preserve"> </w:t>
      </w:r>
      <w:r>
        <w:rPr>
          <w:rFonts w:ascii="Verdana" w:hAnsi="Verdana"/>
          <w:sz w:val="16"/>
          <w:szCs w:val="16"/>
        </w:rPr>
        <w:t xml:space="preserve">(expediente de prueba, </w:t>
      </w:r>
      <w:r w:rsidRPr="00453199">
        <w:rPr>
          <w:rFonts w:ascii="Verdana" w:hAnsi="Verdana"/>
          <w:i/>
          <w:sz w:val="16"/>
          <w:szCs w:val="16"/>
        </w:rPr>
        <w:t>Affidávits</w:t>
      </w:r>
      <w:r>
        <w:rPr>
          <w:rFonts w:ascii="Verdana" w:hAnsi="Verdana"/>
          <w:sz w:val="16"/>
          <w:szCs w:val="16"/>
        </w:rPr>
        <w:t xml:space="preserve">, </w:t>
      </w:r>
      <w:r w:rsidRPr="00432ABC">
        <w:rPr>
          <w:rFonts w:ascii="Verdana" w:hAnsi="Verdana"/>
          <w:sz w:val="16"/>
          <w:szCs w:val="16"/>
        </w:rPr>
        <w:t>f. 31059</w:t>
      </w:r>
      <w:r>
        <w:rPr>
          <w:rFonts w:ascii="Verdana" w:hAnsi="Verdana"/>
          <w:sz w:val="16"/>
          <w:szCs w:val="16"/>
        </w:rPr>
        <w:t>)</w:t>
      </w:r>
      <w:r w:rsidRPr="00432ABC">
        <w:rPr>
          <w:rFonts w:ascii="Verdana" w:hAnsi="Verdana"/>
          <w:sz w:val="16"/>
          <w:szCs w:val="16"/>
        </w:rPr>
        <w:t xml:space="preserve">; Declaración rendida </w:t>
      </w:r>
      <w:r>
        <w:rPr>
          <w:rFonts w:ascii="Verdana" w:hAnsi="Verdana"/>
          <w:sz w:val="16"/>
          <w:szCs w:val="16"/>
        </w:rPr>
        <w:t>en la Audiencia Pública</w:t>
      </w:r>
      <w:r w:rsidRPr="00432ABC">
        <w:rPr>
          <w:rFonts w:ascii="Verdana" w:hAnsi="Verdana"/>
          <w:sz w:val="16"/>
          <w:szCs w:val="16"/>
        </w:rPr>
        <w:t xml:space="preserve"> ante la Corte por el perito Federico Andreu Guzmán, </w:t>
      </w:r>
      <w:r w:rsidRPr="00432ABC">
        <w:rPr>
          <w:rFonts w:ascii="Verdana" w:hAnsi="Verdana"/>
          <w:i/>
          <w:sz w:val="16"/>
          <w:szCs w:val="16"/>
        </w:rPr>
        <w:t>supra</w:t>
      </w:r>
      <w:r w:rsidRPr="00432ABC">
        <w:rPr>
          <w:rFonts w:ascii="Verdana" w:hAnsi="Verdana"/>
          <w:sz w:val="16"/>
          <w:szCs w:val="16"/>
        </w:rPr>
        <w:t xml:space="preserve">, pág. 81, y Declaración rendida </w:t>
      </w:r>
      <w:r>
        <w:rPr>
          <w:rFonts w:ascii="Verdana" w:hAnsi="Verdana"/>
          <w:sz w:val="16"/>
          <w:szCs w:val="16"/>
        </w:rPr>
        <w:t>en la Audiencia Pública</w:t>
      </w:r>
      <w:r w:rsidRPr="00432ABC">
        <w:rPr>
          <w:rFonts w:ascii="Verdana" w:hAnsi="Verdana"/>
          <w:sz w:val="16"/>
          <w:szCs w:val="16"/>
        </w:rPr>
        <w:t xml:space="preserve"> ante la Corte por el perito Salvador Salazar Gutiérrez, </w:t>
      </w:r>
      <w:r w:rsidRPr="00432ABC">
        <w:rPr>
          <w:rFonts w:ascii="Verdana" w:hAnsi="Verdana"/>
          <w:i/>
          <w:sz w:val="16"/>
          <w:szCs w:val="16"/>
        </w:rPr>
        <w:t>supra,</w:t>
      </w:r>
      <w:r w:rsidRPr="00432ABC">
        <w:rPr>
          <w:rFonts w:ascii="Verdana" w:hAnsi="Verdana"/>
          <w:sz w:val="16"/>
          <w:szCs w:val="16"/>
        </w:rPr>
        <w:t xml:space="preserve"> pág. 110.</w:t>
      </w:r>
    </w:p>
  </w:footnote>
  <w:footnote w:id="90">
    <w:p w14:paraId="1C9A89E1" w14:textId="26B547FE" w:rsidR="00146958" w:rsidRPr="00432ABC" w:rsidRDefault="00146958">
      <w:pPr>
        <w:pStyle w:val="FootnoteText"/>
        <w:jc w:val="both"/>
        <w:rPr>
          <w:rFonts w:ascii="Verdana" w:hAnsi="Verdana"/>
          <w:sz w:val="16"/>
          <w:szCs w:val="16"/>
        </w:rPr>
      </w:pPr>
      <w:r w:rsidRPr="00432ABC">
        <w:rPr>
          <w:rStyle w:val="FootnoteReference"/>
          <w:rFonts w:ascii="Verdana" w:hAnsi="Verdana"/>
          <w:sz w:val="16"/>
          <w:szCs w:val="16"/>
        </w:rPr>
        <w:footnoteRef/>
      </w:r>
      <w:r w:rsidRPr="00432ABC">
        <w:rPr>
          <w:rFonts w:ascii="Verdana" w:hAnsi="Verdana"/>
          <w:sz w:val="16"/>
          <w:szCs w:val="16"/>
        </w:rPr>
        <w:t xml:space="preserve"> </w:t>
      </w:r>
      <w:r w:rsidRPr="00432ABC">
        <w:rPr>
          <w:rFonts w:ascii="Verdana" w:hAnsi="Verdana"/>
          <w:sz w:val="16"/>
          <w:szCs w:val="16"/>
        </w:rPr>
        <w:tab/>
      </w:r>
      <w:r w:rsidRPr="00CD5C54">
        <w:rPr>
          <w:rFonts w:ascii="Verdana" w:hAnsi="Verdana"/>
          <w:i/>
          <w:sz w:val="16"/>
          <w:szCs w:val="16"/>
        </w:rPr>
        <w:t>Cfr.</w:t>
      </w:r>
      <w:r w:rsidRPr="002C462C">
        <w:rPr>
          <w:rFonts w:ascii="Verdana" w:hAnsi="Verdana"/>
          <w:sz w:val="16"/>
          <w:szCs w:val="16"/>
        </w:rPr>
        <w:t xml:space="preserve"> ONU. Comité contra la Desaparición Forzada, </w:t>
      </w:r>
      <w:r w:rsidRPr="00432ABC">
        <w:rPr>
          <w:rFonts w:ascii="Verdana" w:hAnsi="Verdana"/>
          <w:i/>
          <w:sz w:val="16"/>
          <w:szCs w:val="16"/>
        </w:rPr>
        <w:t xml:space="preserve">Observaciones finales sobre el informe presentado por México en virtud del artículo 29, párrafo 1, de la Convención [Internacional para la Protección de Todas las Personas contras las Desapariciones Forzadas], </w:t>
      </w:r>
      <w:r w:rsidRPr="00432ABC">
        <w:rPr>
          <w:rFonts w:ascii="Verdana" w:hAnsi="Verdana"/>
          <w:sz w:val="16"/>
          <w:szCs w:val="16"/>
        </w:rPr>
        <w:t xml:space="preserve">CED/C/MEX/CO/1, 5 de marzo de 2015, párr. 27. En el mismo sentido: </w:t>
      </w:r>
      <w:r w:rsidRPr="00CD5C54">
        <w:rPr>
          <w:rFonts w:ascii="Verdana" w:hAnsi="Verdana"/>
          <w:i/>
          <w:sz w:val="16"/>
          <w:szCs w:val="16"/>
          <w:lang w:val="es-CR"/>
        </w:rPr>
        <w:t>Cfr.</w:t>
      </w:r>
      <w:r w:rsidRPr="00432ABC">
        <w:rPr>
          <w:rFonts w:ascii="Verdana" w:hAnsi="Verdana"/>
          <w:i/>
          <w:sz w:val="16"/>
          <w:szCs w:val="16"/>
          <w:lang w:val="es-CR"/>
        </w:rPr>
        <w:t xml:space="preserve"> </w:t>
      </w:r>
      <w:r w:rsidRPr="00432ABC">
        <w:rPr>
          <w:rFonts w:ascii="Verdana" w:hAnsi="Verdana"/>
          <w:sz w:val="16"/>
          <w:szCs w:val="16"/>
          <w:lang w:val="es-CR"/>
        </w:rPr>
        <w:t xml:space="preserve">CNDH, </w:t>
      </w:r>
      <w:r w:rsidRPr="00432ABC">
        <w:rPr>
          <w:rFonts w:ascii="Verdana" w:hAnsi="Verdana"/>
          <w:i/>
          <w:sz w:val="16"/>
          <w:szCs w:val="16"/>
          <w:lang w:val="es-CR"/>
        </w:rPr>
        <w:t xml:space="preserve">Informe Especial sobre Desaparición de Personas y Fosas Clandestinas en México, supra, </w:t>
      </w:r>
      <w:r w:rsidRPr="00432ABC">
        <w:rPr>
          <w:rFonts w:ascii="Verdana" w:hAnsi="Verdana"/>
          <w:sz w:val="16"/>
          <w:szCs w:val="16"/>
          <w:lang w:val="es-CR"/>
        </w:rPr>
        <w:t>párrs. 12, 14, 22 y 96.</w:t>
      </w:r>
    </w:p>
  </w:footnote>
  <w:footnote w:id="91">
    <w:p w14:paraId="64AA6182" w14:textId="3A519625" w:rsidR="00146958" w:rsidRPr="00432ABC" w:rsidRDefault="00146958">
      <w:pPr>
        <w:pStyle w:val="FootnoteText"/>
        <w:jc w:val="both"/>
        <w:rPr>
          <w:rFonts w:ascii="Verdana" w:hAnsi="Verdana"/>
          <w:sz w:val="16"/>
          <w:szCs w:val="16"/>
        </w:rPr>
      </w:pPr>
      <w:r w:rsidRPr="00432ABC">
        <w:rPr>
          <w:rStyle w:val="FootnoteReference"/>
          <w:rFonts w:ascii="Verdana" w:hAnsi="Verdana"/>
          <w:sz w:val="16"/>
          <w:szCs w:val="16"/>
        </w:rPr>
        <w:footnoteRef/>
      </w:r>
      <w:r w:rsidRPr="00432ABC">
        <w:rPr>
          <w:rFonts w:ascii="Verdana" w:hAnsi="Verdana"/>
          <w:sz w:val="16"/>
          <w:szCs w:val="16"/>
        </w:rPr>
        <w:t xml:space="preserve"> </w:t>
      </w:r>
      <w:r w:rsidRPr="00432ABC">
        <w:rPr>
          <w:rFonts w:ascii="Verdana" w:hAnsi="Verdana"/>
          <w:sz w:val="16"/>
          <w:szCs w:val="16"/>
        </w:rPr>
        <w:tab/>
      </w:r>
      <w:r w:rsidRPr="00CD5C54">
        <w:rPr>
          <w:rFonts w:ascii="Verdana" w:hAnsi="Verdana"/>
          <w:i/>
          <w:sz w:val="16"/>
          <w:szCs w:val="16"/>
        </w:rPr>
        <w:t>Cfr.</w:t>
      </w:r>
      <w:r w:rsidRPr="002C462C">
        <w:rPr>
          <w:rFonts w:ascii="Verdana" w:hAnsi="Verdana"/>
          <w:sz w:val="16"/>
          <w:szCs w:val="16"/>
        </w:rPr>
        <w:t xml:space="preserve"> Informe del Equipo Internacional de Peritos [EIP], rendido en el marco de asistencia a la Fiscalía General del Estado de Chihuahua [FGE - Chihuahua], de 31 de marzo de 2015 (expediente de prueba,</w:t>
      </w:r>
      <w:r>
        <w:rPr>
          <w:rFonts w:ascii="Verdana" w:hAnsi="Verdana"/>
          <w:sz w:val="16"/>
          <w:szCs w:val="16"/>
        </w:rPr>
        <w:t xml:space="preserve"> </w:t>
      </w:r>
      <w:r w:rsidRPr="002C462C">
        <w:rPr>
          <w:rFonts w:ascii="Verdana" w:hAnsi="Verdana"/>
          <w:sz w:val="16"/>
          <w:szCs w:val="16"/>
        </w:rPr>
        <w:t xml:space="preserve">f. 28882), y Declaración rendida </w:t>
      </w:r>
      <w:r>
        <w:rPr>
          <w:rFonts w:ascii="Verdana" w:hAnsi="Verdana"/>
          <w:sz w:val="16"/>
          <w:szCs w:val="16"/>
        </w:rPr>
        <w:t xml:space="preserve">en la Audiencia Pública </w:t>
      </w:r>
      <w:r w:rsidRPr="002C462C">
        <w:rPr>
          <w:rFonts w:ascii="Verdana" w:hAnsi="Verdana"/>
          <w:sz w:val="16"/>
          <w:szCs w:val="16"/>
        </w:rPr>
        <w:t>ante la Corte por el perito Carlos Rodrí</w:t>
      </w:r>
      <w:r w:rsidRPr="00432ABC">
        <w:rPr>
          <w:rFonts w:ascii="Verdana" w:hAnsi="Verdana"/>
          <w:sz w:val="16"/>
          <w:szCs w:val="16"/>
        </w:rPr>
        <w:t>guez Ulloa, especialista en seguridad, el 26 de abril de 2018  (Transcripción de la Audiencia Pública, págs. 131 a 132).</w:t>
      </w:r>
    </w:p>
  </w:footnote>
  <w:footnote w:id="92">
    <w:p w14:paraId="64AA6183" w14:textId="698A6B47" w:rsidR="00146958" w:rsidRPr="00432ABC" w:rsidRDefault="00146958">
      <w:pPr>
        <w:pStyle w:val="FootnoteText"/>
        <w:jc w:val="both"/>
        <w:rPr>
          <w:rFonts w:ascii="Verdana" w:hAnsi="Verdana"/>
          <w:sz w:val="16"/>
          <w:szCs w:val="16"/>
        </w:rPr>
      </w:pPr>
      <w:r w:rsidRPr="00432ABC">
        <w:rPr>
          <w:rStyle w:val="FootnoteReference"/>
          <w:rFonts w:ascii="Verdana" w:hAnsi="Verdana"/>
          <w:sz w:val="16"/>
          <w:szCs w:val="16"/>
        </w:rPr>
        <w:footnoteRef/>
      </w:r>
      <w:r w:rsidRPr="00432ABC">
        <w:rPr>
          <w:rFonts w:ascii="Verdana" w:hAnsi="Verdana"/>
          <w:sz w:val="16"/>
          <w:szCs w:val="16"/>
        </w:rPr>
        <w:t xml:space="preserve">  </w:t>
      </w:r>
      <w:r w:rsidRPr="00432ABC">
        <w:rPr>
          <w:rFonts w:ascii="Verdana" w:hAnsi="Verdana"/>
          <w:sz w:val="16"/>
          <w:szCs w:val="16"/>
        </w:rPr>
        <w:tab/>
      </w:r>
      <w:r w:rsidRPr="00CD5C54">
        <w:rPr>
          <w:rFonts w:ascii="Verdana" w:hAnsi="Verdana"/>
          <w:i/>
          <w:sz w:val="16"/>
          <w:szCs w:val="16"/>
        </w:rPr>
        <w:t>Cfr.</w:t>
      </w:r>
      <w:r w:rsidRPr="002C462C">
        <w:rPr>
          <w:rFonts w:ascii="Verdana" w:hAnsi="Verdana"/>
          <w:sz w:val="16"/>
          <w:szCs w:val="16"/>
        </w:rPr>
        <w:t xml:space="preserve"> Declaración pericial del GIASF rendida el 19 de abril de 2018, </w:t>
      </w:r>
      <w:r w:rsidRPr="00432ABC">
        <w:rPr>
          <w:rFonts w:ascii="Verdana" w:hAnsi="Verdana"/>
          <w:i/>
          <w:sz w:val="16"/>
          <w:szCs w:val="16"/>
        </w:rPr>
        <w:t>supra</w:t>
      </w:r>
      <w:r w:rsidRPr="00432ABC">
        <w:rPr>
          <w:rFonts w:ascii="Verdana" w:hAnsi="Verdana"/>
          <w:sz w:val="16"/>
          <w:szCs w:val="16"/>
        </w:rPr>
        <w:t xml:space="preserve"> </w:t>
      </w:r>
      <w:r>
        <w:rPr>
          <w:rFonts w:ascii="Verdana" w:hAnsi="Verdana"/>
          <w:sz w:val="16"/>
          <w:szCs w:val="16"/>
        </w:rPr>
        <w:t xml:space="preserve">(expediente de prueba, </w:t>
      </w:r>
      <w:r w:rsidRPr="00453199">
        <w:rPr>
          <w:rFonts w:ascii="Verdana" w:hAnsi="Verdana"/>
          <w:i/>
          <w:sz w:val="16"/>
          <w:szCs w:val="16"/>
        </w:rPr>
        <w:t>Affidávits</w:t>
      </w:r>
      <w:r>
        <w:rPr>
          <w:rFonts w:ascii="Verdana" w:hAnsi="Verdana"/>
          <w:sz w:val="16"/>
          <w:szCs w:val="16"/>
        </w:rPr>
        <w:t xml:space="preserve">, </w:t>
      </w:r>
      <w:r w:rsidRPr="00432ABC">
        <w:rPr>
          <w:rFonts w:ascii="Verdana" w:hAnsi="Verdana"/>
          <w:sz w:val="16"/>
          <w:szCs w:val="16"/>
        </w:rPr>
        <w:t>f. 31143</w:t>
      </w:r>
      <w:r>
        <w:rPr>
          <w:rFonts w:ascii="Verdana" w:hAnsi="Verdana"/>
          <w:sz w:val="16"/>
          <w:szCs w:val="16"/>
        </w:rPr>
        <w:t>)</w:t>
      </w:r>
      <w:r w:rsidRPr="00432ABC">
        <w:rPr>
          <w:rFonts w:ascii="Verdana" w:hAnsi="Verdana"/>
          <w:sz w:val="16"/>
          <w:szCs w:val="16"/>
        </w:rPr>
        <w:t>.</w:t>
      </w:r>
    </w:p>
  </w:footnote>
  <w:footnote w:id="93">
    <w:p w14:paraId="64AA6184" w14:textId="54CE4EAB" w:rsidR="00146958" w:rsidRPr="00432ABC" w:rsidRDefault="00146958">
      <w:pPr>
        <w:pStyle w:val="FootnoteText"/>
        <w:jc w:val="both"/>
        <w:rPr>
          <w:rFonts w:ascii="Verdana" w:hAnsi="Verdana"/>
          <w:sz w:val="16"/>
          <w:szCs w:val="16"/>
        </w:rPr>
      </w:pPr>
      <w:r w:rsidRPr="00432ABC">
        <w:rPr>
          <w:rStyle w:val="FootnoteReference"/>
          <w:rFonts w:ascii="Verdana" w:hAnsi="Verdana"/>
          <w:sz w:val="16"/>
          <w:szCs w:val="16"/>
        </w:rPr>
        <w:footnoteRef/>
      </w:r>
      <w:r w:rsidRPr="00432ABC">
        <w:rPr>
          <w:rFonts w:ascii="Verdana" w:hAnsi="Verdana"/>
          <w:sz w:val="16"/>
          <w:szCs w:val="16"/>
        </w:rPr>
        <w:t xml:space="preserve">  </w:t>
      </w:r>
      <w:r w:rsidRPr="00432ABC">
        <w:rPr>
          <w:rFonts w:ascii="Verdana" w:hAnsi="Verdana"/>
          <w:sz w:val="16"/>
          <w:szCs w:val="16"/>
        </w:rPr>
        <w:tab/>
      </w:r>
      <w:r w:rsidRPr="00CD5C54">
        <w:rPr>
          <w:rFonts w:ascii="Verdana" w:hAnsi="Verdana"/>
          <w:i/>
          <w:sz w:val="16"/>
          <w:szCs w:val="16"/>
        </w:rPr>
        <w:t>Cfr.</w:t>
      </w:r>
      <w:r w:rsidRPr="002C462C">
        <w:rPr>
          <w:rFonts w:ascii="Verdana" w:hAnsi="Verdana"/>
          <w:sz w:val="16"/>
          <w:szCs w:val="16"/>
        </w:rPr>
        <w:t xml:space="preserve"> Informe emitido por el Centro de Planeación, Análisis e Información para el Combate a la Delincuencia [CENAPI – PGR] sobre el </w:t>
      </w:r>
      <w:r w:rsidRPr="002C462C">
        <w:rPr>
          <w:rFonts w:ascii="Verdana" w:hAnsi="Verdana"/>
          <w:i/>
          <w:sz w:val="16"/>
          <w:szCs w:val="16"/>
        </w:rPr>
        <w:t>Caso Alvarado Espinoza y Otros Vs. México</w:t>
      </w:r>
      <w:r w:rsidRPr="00432ABC">
        <w:rPr>
          <w:rFonts w:ascii="Verdana" w:hAnsi="Verdana"/>
          <w:sz w:val="16"/>
          <w:szCs w:val="16"/>
        </w:rPr>
        <w:t xml:space="preserve"> el 13 de octubre de 2017 (expediente de prueba, f. 28510), y Declaración de </w:t>
      </w:r>
      <w:r>
        <w:rPr>
          <w:rFonts w:ascii="Verdana" w:hAnsi="Verdana"/>
          <w:sz w:val="16"/>
          <w:szCs w:val="16"/>
        </w:rPr>
        <w:t xml:space="preserve">José </w:t>
      </w:r>
      <w:r w:rsidRPr="00432ABC">
        <w:rPr>
          <w:rFonts w:ascii="Verdana" w:hAnsi="Verdana"/>
          <w:sz w:val="16"/>
          <w:szCs w:val="16"/>
        </w:rPr>
        <w:t xml:space="preserve">Emilio Serrano Santiago, Director General de Análisis del CENAPI – PGR, rendida el 12 de abril de 2018 ante la Agente del Ministerio Público de la Federación [AMPF] adscrita a la Fiscalía Especializada en Investigación de los Delitos de Desaparición Forzada de la PGR [FEIDDF - PGR] (expediente de prueba, </w:t>
      </w:r>
      <w:r w:rsidRPr="00453199">
        <w:rPr>
          <w:rFonts w:ascii="Verdana" w:hAnsi="Verdana"/>
          <w:i/>
          <w:sz w:val="16"/>
        </w:rPr>
        <w:t>Affidávits</w:t>
      </w:r>
      <w:r w:rsidRPr="00432ABC">
        <w:rPr>
          <w:rFonts w:ascii="Verdana" w:hAnsi="Verdana"/>
          <w:sz w:val="16"/>
          <w:szCs w:val="16"/>
        </w:rPr>
        <w:t>, f. 31195).</w:t>
      </w:r>
    </w:p>
  </w:footnote>
  <w:footnote w:id="94">
    <w:p w14:paraId="64AA6185" w14:textId="44C16CE7" w:rsidR="00146958" w:rsidRPr="00432ABC" w:rsidRDefault="00146958">
      <w:pPr>
        <w:pStyle w:val="FootnoteText"/>
        <w:jc w:val="both"/>
        <w:rPr>
          <w:rFonts w:ascii="Verdana" w:hAnsi="Verdana"/>
          <w:sz w:val="16"/>
          <w:szCs w:val="16"/>
        </w:rPr>
      </w:pPr>
      <w:r w:rsidRPr="00432ABC">
        <w:rPr>
          <w:rStyle w:val="FootnoteReference"/>
          <w:rFonts w:ascii="Verdana" w:hAnsi="Verdana"/>
          <w:sz w:val="16"/>
          <w:szCs w:val="16"/>
        </w:rPr>
        <w:footnoteRef/>
      </w:r>
      <w:r w:rsidRPr="00432ABC">
        <w:rPr>
          <w:rFonts w:ascii="Verdana" w:hAnsi="Verdana"/>
          <w:sz w:val="16"/>
          <w:szCs w:val="16"/>
        </w:rPr>
        <w:t xml:space="preserve"> </w:t>
      </w:r>
      <w:r w:rsidRPr="00432ABC">
        <w:rPr>
          <w:rFonts w:ascii="Verdana" w:hAnsi="Verdana"/>
          <w:sz w:val="16"/>
          <w:szCs w:val="16"/>
        </w:rPr>
        <w:tab/>
      </w:r>
      <w:r w:rsidRPr="00CD5C54">
        <w:rPr>
          <w:rFonts w:ascii="Verdana" w:hAnsi="Verdana"/>
          <w:i/>
          <w:sz w:val="16"/>
          <w:szCs w:val="16"/>
        </w:rPr>
        <w:t>Cfr.</w:t>
      </w:r>
      <w:r w:rsidRPr="002C462C">
        <w:rPr>
          <w:rFonts w:ascii="Verdana" w:hAnsi="Verdana"/>
          <w:sz w:val="16"/>
          <w:szCs w:val="16"/>
        </w:rPr>
        <w:t xml:space="preserve"> Declaración pericial del GIASF, rendida el 19 de abril de 2018, </w:t>
      </w:r>
      <w:r w:rsidRPr="002C462C">
        <w:rPr>
          <w:rFonts w:ascii="Verdana" w:hAnsi="Verdana"/>
          <w:i/>
          <w:sz w:val="16"/>
          <w:szCs w:val="16"/>
        </w:rPr>
        <w:t>supr</w:t>
      </w:r>
      <w:r w:rsidRPr="00432ABC">
        <w:rPr>
          <w:rFonts w:ascii="Verdana" w:hAnsi="Verdana"/>
          <w:i/>
          <w:sz w:val="16"/>
          <w:szCs w:val="16"/>
        </w:rPr>
        <w:t>a</w:t>
      </w:r>
      <w:r>
        <w:rPr>
          <w:rFonts w:ascii="Verdana" w:hAnsi="Verdana"/>
          <w:sz w:val="16"/>
          <w:szCs w:val="16"/>
        </w:rPr>
        <w:t xml:space="preserve"> (expediente de prueba, </w:t>
      </w:r>
      <w:r w:rsidRPr="00453199">
        <w:rPr>
          <w:rFonts w:ascii="Verdana" w:hAnsi="Verdana"/>
          <w:i/>
          <w:sz w:val="16"/>
          <w:szCs w:val="16"/>
        </w:rPr>
        <w:t>Affidávits</w:t>
      </w:r>
      <w:r>
        <w:rPr>
          <w:rFonts w:ascii="Verdana" w:hAnsi="Verdana"/>
          <w:sz w:val="16"/>
          <w:szCs w:val="16"/>
        </w:rPr>
        <w:t xml:space="preserve">, </w:t>
      </w:r>
      <w:r w:rsidRPr="00432ABC">
        <w:rPr>
          <w:rFonts w:ascii="Verdana" w:hAnsi="Verdana"/>
          <w:sz w:val="16"/>
          <w:szCs w:val="16"/>
        </w:rPr>
        <w:t>ff. 31142 a 31143</w:t>
      </w:r>
      <w:r>
        <w:rPr>
          <w:rFonts w:ascii="Verdana" w:hAnsi="Verdana"/>
          <w:sz w:val="16"/>
          <w:szCs w:val="16"/>
        </w:rPr>
        <w:t>)</w:t>
      </w:r>
      <w:r w:rsidRPr="00432ABC">
        <w:rPr>
          <w:rFonts w:ascii="Verdana" w:hAnsi="Verdana"/>
          <w:sz w:val="16"/>
          <w:szCs w:val="16"/>
        </w:rPr>
        <w:t xml:space="preserve">, e Informe emitido por el CENAPI – PGR sobre el </w:t>
      </w:r>
      <w:r w:rsidRPr="00432ABC">
        <w:rPr>
          <w:rFonts w:ascii="Verdana" w:hAnsi="Verdana"/>
          <w:i/>
          <w:sz w:val="16"/>
          <w:szCs w:val="16"/>
        </w:rPr>
        <w:t>Caso Alvarado Espinoza y Otros Vs. México</w:t>
      </w:r>
      <w:r w:rsidRPr="00432ABC">
        <w:rPr>
          <w:rFonts w:ascii="Verdana" w:hAnsi="Verdana"/>
          <w:sz w:val="16"/>
          <w:szCs w:val="16"/>
        </w:rPr>
        <w:t xml:space="preserve"> el 13 de octubre de 2017, </w:t>
      </w:r>
      <w:r w:rsidRPr="00432ABC">
        <w:rPr>
          <w:rFonts w:ascii="Verdana" w:hAnsi="Verdana"/>
          <w:i/>
          <w:sz w:val="16"/>
          <w:szCs w:val="16"/>
        </w:rPr>
        <w:t xml:space="preserve">supra </w:t>
      </w:r>
      <w:r>
        <w:rPr>
          <w:rFonts w:ascii="Verdana" w:hAnsi="Verdana"/>
          <w:sz w:val="16"/>
          <w:szCs w:val="16"/>
        </w:rPr>
        <w:t xml:space="preserve">(expediente de prueba, </w:t>
      </w:r>
      <w:r w:rsidRPr="00432ABC">
        <w:rPr>
          <w:rFonts w:ascii="Verdana" w:hAnsi="Verdana"/>
          <w:sz w:val="16"/>
          <w:szCs w:val="16"/>
        </w:rPr>
        <w:t>f. 28517</w:t>
      </w:r>
      <w:r>
        <w:rPr>
          <w:rFonts w:ascii="Verdana" w:hAnsi="Verdana"/>
          <w:sz w:val="16"/>
          <w:szCs w:val="16"/>
        </w:rPr>
        <w:t>)</w:t>
      </w:r>
      <w:r w:rsidRPr="00432ABC">
        <w:rPr>
          <w:rFonts w:ascii="Verdana" w:hAnsi="Verdana"/>
          <w:sz w:val="16"/>
          <w:szCs w:val="16"/>
        </w:rPr>
        <w:t>.</w:t>
      </w:r>
    </w:p>
  </w:footnote>
  <w:footnote w:id="95">
    <w:p w14:paraId="64AA6186" w14:textId="52F617C3" w:rsidR="00146958" w:rsidRPr="00432ABC" w:rsidRDefault="00146958">
      <w:pPr>
        <w:pStyle w:val="FootnoteText"/>
        <w:jc w:val="both"/>
        <w:rPr>
          <w:rFonts w:ascii="Verdana" w:hAnsi="Verdana"/>
          <w:sz w:val="16"/>
          <w:szCs w:val="16"/>
        </w:rPr>
      </w:pPr>
      <w:r w:rsidRPr="00432ABC">
        <w:rPr>
          <w:rStyle w:val="FootnoteReference"/>
          <w:rFonts w:ascii="Verdana" w:hAnsi="Verdana"/>
          <w:sz w:val="16"/>
          <w:szCs w:val="16"/>
        </w:rPr>
        <w:footnoteRef/>
      </w:r>
      <w:r w:rsidRPr="00432ABC">
        <w:rPr>
          <w:rFonts w:ascii="Verdana" w:hAnsi="Verdana"/>
          <w:sz w:val="16"/>
          <w:szCs w:val="16"/>
        </w:rPr>
        <w:t xml:space="preserve"> </w:t>
      </w:r>
      <w:r w:rsidRPr="00432ABC">
        <w:rPr>
          <w:rFonts w:ascii="Verdana" w:hAnsi="Verdana"/>
          <w:sz w:val="16"/>
          <w:szCs w:val="16"/>
        </w:rPr>
        <w:tab/>
      </w:r>
      <w:r w:rsidRPr="00CD5C54">
        <w:rPr>
          <w:rFonts w:ascii="Verdana" w:hAnsi="Verdana"/>
          <w:i/>
          <w:sz w:val="16"/>
          <w:szCs w:val="16"/>
        </w:rPr>
        <w:t>Cfr.</w:t>
      </w:r>
      <w:r w:rsidRPr="002C462C">
        <w:rPr>
          <w:rFonts w:ascii="Verdana" w:hAnsi="Verdana"/>
          <w:sz w:val="16"/>
          <w:szCs w:val="16"/>
        </w:rPr>
        <w:t xml:space="preserve"> Declaración pericial del GIASF rendida el 19 de abril de 2018, </w:t>
      </w:r>
      <w:r w:rsidRPr="002C462C">
        <w:rPr>
          <w:rFonts w:ascii="Verdana" w:hAnsi="Verdana"/>
          <w:i/>
          <w:sz w:val="16"/>
          <w:szCs w:val="16"/>
        </w:rPr>
        <w:t>supra</w:t>
      </w:r>
      <w:r w:rsidRPr="00432ABC">
        <w:rPr>
          <w:rFonts w:ascii="Verdana" w:hAnsi="Verdana"/>
          <w:sz w:val="16"/>
          <w:szCs w:val="16"/>
        </w:rPr>
        <w:t xml:space="preserve"> </w:t>
      </w:r>
      <w:r>
        <w:rPr>
          <w:rFonts w:ascii="Verdana" w:hAnsi="Verdana"/>
          <w:sz w:val="16"/>
          <w:szCs w:val="16"/>
        </w:rPr>
        <w:t xml:space="preserve">(expediente de prueba, afidávits, </w:t>
      </w:r>
      <w:r w:rsidRPr="00432ABC">
        <w:rPr>
          <w:rFonts w:ascii="Verdana" w:hAnsi="Verdana"/>
          <w:sz w:val="16"/>
          <w:szCs w:val="16"/>
        </w:rPr>
        <w:t>ff. 31146 a 31147 y 31153</w:t>
      </w:r>
      <w:r>
        <w:rPr>
          <w:rFonts w:ascii="Verdana" w:hAnsi="Verdana"/>
          <w:sz w:val="16"/>
          <w:szCs w:val="16"/>
        </w:rPr>
        <w:t>)</w:t>
      </w:r>
      <w:r w:rsidRPr="00432ABC">
        <w:rPr>
          <w:rFonts w:ascii="Verdana" w:hAnsi="Verdana"/>
          <w:sz w:val="16"/>
          <w:szCs w:val="16"/>
        </w:rPr>
        <w:t>.</w:t>
      </w:r>
    </w:p>
  </w:footnote>
  <w:footnote w:id="96">
    <w:p w14:paraId="64AA6187" w14:textId="324609C8" w:rsidR="00146958" w:rsidRPr="00432ABC" w:rsidRDefault="00146958">
      <w:pPr>
        <w:pStyle w:val="FootnoteText"/>
        <w:jc w:val="both"/>
        <w:rPr>
          <w:rFonts w:ascii="Verdana" w:hAnsi="Verdana"/>
          <w:sz w:val="16"/>
          <w:szCs w:val="16"/>
        </w:rPr>
      </w:pPr>
      <w:r w:rsidRPr="00432ABC">
        <w:rPr>
          <w:rStyle w:val="FootnoteReference"/>
          <w:rFonts w:ascii="Verdana" w:hAnsi="Verdana"/>
          <w:sz w:val="16"/>
          <w:szCs w:val="16"/>
        </w:rPr>
        <w:footnoteRef/>
      </w:r>
      <w:r w:rsidRPr="00432ABC">
        <w:rPr>
          <w:rFonts w:ascii="Verdana" w:hAnsi="Verdana"/>
          <w:sz w:val="16"/>
          <w:szCs w:val="16"/>
        </w:rPr>
        <w:t xml:space="preserve"> </w:t>
      </w:r>
      <w:r w:rsidRPr="00432ABC">
        <w:rPr>
          <w:rFonts w:ascii="Verdana" w:hAnsi="Verdana"/>
          <w:sz w:val="16"/>
          <w:szCs w:val="16"/>
        </w:rPr>
        <w:tab/>
        <w:t xml:space="preserve">El </w:t>
      </w:r>
      <w:r>
        <w:rPr>
          <w:rFonts w:ascii="Verdana" w:hAnsi="Verdana"/>
          <w:sz w:val="16"/>
          <w:szCs w:val="16"/>
        </w:rPr>
        <w:t>Equipo Internacional de Peritos [</w:t>
      </w:r>
      <w:r w:rsidRPr="00432ABC">
        <w:rPr>
          <w:rFonts w:ascii="Verdana" w:hAnsi="Verdana"/>
          <w:sz w:val="16"/>
          <w:szCs w:val="16"/>
        </w:rPr>
        <w:t>EIP</w:t>
      </w:r>
      <w:r>
        <w:rPr>
          <w:rFonts w:ascii="Verdana" w:hAnsi="Verdana"/>
          <w:sz w:val="16"/>
          <w:szCs w:val="16"/>
        </w:rPr>
        <w:t>]</w:t>
      </w:r>
      <w:r w:rsidRPr="00432ABC">
        <w:rPr>
          <w:rFonts w:ascii="Verdana" w:hAnsi="Verdana"/>
          <w:sz w:val="16"/>
          <w:szCs w:val="16"/>
        </w:rPr>
        <w:t xml:space="preserve"> concluyó que para la comprensión de las circunstancias en que ocurrieron los hechos del caso concreto</w:t>
      </w:r>
      <w:r>
        <w:rPr>
          <w:rFonts w:ascii="Verdana" w:hAnsi="Verdana"/>
          <w:sz w:val="16"/>
          <w:szCs w:val="16"/>
        </w:rPr>
        <w:t>,</w:t>
      </w:r>
      <w:r w:rsidRPr="00432ABC">
        <w:rPr>
          <w:rFonts w:ascii="Verdana" w:hAnsi="Verdana"/>
          <w:sz w:val="16"/>
          <w:szCs w:val="16"/>
        </w:rPr>
        <w:t xml:space="preserve"> deben tomarse en cuenta, entre otros factores, “la orografía altamente accidentada y los diferentes tipos de clima y suelo [que] dificultan el acceso, limitan la cobertura por parte de las instituciones de seguridad y justicia del Estado, y la han convertido en un área estratégica para el cultivo, procesamiento y tráfico de narcóticos […]”. </w:t>
      </w:r>
      <w:r w:rsidRPr="00CD5C54">
        <w:rPr>
          <w:rFonts w:ascii="Verdana" w:hAnsi="Verdana"/>
          <w:i/>
          <w:sz w:val="16"/>
          <w:szCs w:val="16"/>
        </w:rPr>
        <w:t>Cfr.</w:t>
      </w:r>
      <w:r w:rsidRPr="002C462C">
        <w:rPr>
          <w:rFonts w:ascii="Verdana" w:hAnsi="Verdana"/>
          <w:sz w:val="16"/>
          <w:szCs w:val="16"/>
        </w:rPr>
        <w:t xml:space="preserve"> Informe del EIP rendido en</w:t>
      </w:r>
      <w:r w:rsidRPr="00432ABC">
        <w:rPr>
          <w:rFonts w:ascii="Verdana" w:hAnsi="Verdana"/>
          <w:sz w:val="16"/>
          <w:szCs w:val="16"/>
        </w:rPr>
        <w:t xml:space="preserve"> el marco de asistencia a la FGE - Chihuahua de 31 de marzo de 2015, </w:t>
      </w:r>
      <w:r w:rsidRPr="00432ABC">
        <w:rPr>
          <w:rFonts w:ascii="Verdana" w:hAnsi="Verdana"/>
          <w:i/>
          <w:sz w:val="16"/>
          <w:szCs w:val="16"/>
        </w:rPr>
        <w:t>supra</w:t>
      </w:r>
      <w:r w:rsidRPr="00432ABC">
        <w:rPr>
          <w:rFonts w:ascii="Verdana" w:hAnsi="Verdana"/>
          <w:sz w:val="16"/>
          <w:szCs w:val="16"/>
        </w:rPr>
        <w:t xml:space="preserve"> </w:t>
      </w:r>
      <w:r>
        <w:rPr>
          <w:rFonts w:ascii="Verdana" w:hAnsi="Verdana"/>
          <w:sz w:val="16"/>
          <w:szCs w:val="16"/>
        </w:rPr>
        <w:t xml:space="preserve">(expediente de prueba, </w:t>
      </w:r>
      <w:r w:rsidRPr="00432ABC">
        <w:rPr>
          <w:rFonts w:ascii="Verdana" w:hAnsi="Verdana"/>
          <w:sz w:val="16"/>
          <w:szCs w:val="16"/>
        </w:rPr>
        <w:t>f. 28882</w:t>
      </w:r>
      <w:r>
        <w:rPr>
          <w:rFonts w:ascii="Verdana" w:hAnsi="Verdana"/>
          <w:sz w:val="16"/>
          <w:szCs w:val="16"/>
        </w:rPr>
        <w:t>)</w:t>
      </w:r>
      <w:r w:rsidRPr="00432ABC">
        <w:rPr>
          <w:rFonts w:ascii="Verdana" w:hAnsi="Verdana"/>
          <w:sz w:val="16"/>
          <w:szCs w:val="16"/>
        </w:rPr>
        <w:t>.</w:t>
      </w:r>
    </w:p>
  </w:footnote>
  <w:footnote w:id="97">
    <w:p w14:paraId="64AA6188" w14:textId="63BD2A5F" w:rsidR="00146958" w:rsidRPr="00432ABC" w:rsidRDefault="00146958">
      <w:pPr>
        <w:pStyle w:val="FootnoteText"/>
        <w:jc w:val="both"/>
        <w:rPr>
          <w:rFonts w:ascii="Verdana" w:hAnsi="Verdana"/>
          <w:sz w:val="16"/>
          <w:szCs w:val="16"/>
        </w:rPr>
      </w:pPr>
      <w:r w:rsidRPr="00432ABC">
        <w:rPr>
          <w:rStyle w:val="FootnoteReference"/>
          <w:rFonts w:ascii="Verdana" w:hAnsi="Verdana"/>
          <w:sz w:val="16"/>
          <w:szCs w:val="16"/>
        </w:rPr>
        <w:footnoteRef/>
      </w:r>
      <w:r w:rsidRPr="00432ABC">
        <w:rPr>
          <w:rFonts w:ascii="Verdana" w:hAnsi="Verdana"/>
          <w:sz w:val="16"/>
          <w:szCs w:val="16"/>
        </w:rPr>
        <w:t xml:space="preserve"> </w:t>
      </w:r>
      <w:r w:rsidRPr="00432ABC">
        <w:rPr>
          <w:rFonts w:ascii="Verdana" w:hAnsi="Verdana"/>
          <w:sz w:val="16"/>
          <w:szCs w:val="16"/>
        </w:rPr>
        <w:tab/>
        <w:t xml:space="preserve">De acuerdo con el GIASF, dichos factores incluyen “su trayectoria de lucha en la defensa de sus recursos y sus derechos agrarios y una identidad fuertemente relacionada con el arraigo a la tierra y el trabajo del campo […] procesos organizativos y por las diversas manifestaciones de violencia social y política que han impactado las dinámicas ejidales”. </w:t>
      </w:r>
      <w:r w:rsidRPr="00CD5C54">
        <w:rPr>
          <w:rFonts w:ascii="Verdana" w:hAnsi="Verdana"/>
          <w:i/>
          <w:sz w:val="16"/>
          <w:szCs w:val="16"/>
        </w:rPr>
        <w:t>Cfr.</w:t>
      </w:r>
      <w:r>
        <w:rPr>
          <w:rFonts w:ascii="Verdana" w:hAnsi="Verdana"/>
          <w:i/>
          <w:sz w:val="16"/>
          <w:szCs w:val="16"/>
        </w:rPr>
        <w:t xml:space="preserve"> </w:t>
      </w:r>
      <w:r w:rsidRPr="00432ABC">
        <w:rPr>
          <w:rFonts w:ascii="Verdana" w:hAnsi="Verdana"/>
          <w:sz w:val="16"/>
          <w:szCs w:val="16"/>
        </w:rPr>
        <w:t xml:space="preserve">Declaración pericial del GIASF rendida </w:t>
      </w:r>
      <w:r>
        <w:rPr>
          <w:rFonts w:ascii="Verdana" w:hAnsi="Verdana"/>
          <w:sz w:val="16"/>
          <w:szCs w:val="16"/>
        </w:rPr>
        <w:t>el</w:t>
      </w:r>
      <w:r w:rsidRPr="00432ABC">
        <w:rPr>
          <w:rFonts w:ascii="Verdana" w:hAnsi="Verdana"/>
          <w:sz w:val="16"/>
          <w:szCs w:val="16"/>
        </w:rPr>
        <w:t xml:space="preserve"> 19</w:t>
      </w:r>
      <w:r w:rsidRPr="002C462C">
        <w:rPr>
          <w:rFonts w:ascii="Verdana" w:hAnsi="Verdana"/>
          <w:sz w:val="16"/>
          <w:szCs w:val="16"/>
        </w:rPr>
        <w:t xml:space="preserve"> de abril de 2018, </w:t>
      </w:r>
      <w:r w:rsidRPr="00432ABC">
        <w:rPr>
          <w:rFonts w:ascii="Verdana" w:hAnsi="Verdana"/>
          <w:i/>
          <w:sz w:val="16"/>
          <w:szCs w:val="16"/>
        </w:rPr>
        <w:t>supra</w:t>
      </w:r>
      <w:r w:rsidRPr="00432ABC">
        <w:rPr>
          <w:rFonts w:ascii="Verdana" w:hAnsi="Verdana"/>
          <w:sz w:val="16"/>
          <w:szCs w:val="16"/>
        </w:rPr>
        <w:t xml:space="preserve"> </w:t>
      </w:r>
      <w:r>
        <w:rPr>
          <w:rFonts w:ascii="Verdana" w:hAnsi="Verdana"/>
          <w:sz w:val="16"/>
          <w:szCs w:val="16"/>
        </w:rPr>
        <w:t xml:space="preserve">(expediente de prueba, </w:t>
      </w:r>
      <w:r w:rsidRPr="00453199">
        <w:rPr>
          <w:rFonts w:ascii="Verdana" w:hAnsi="Verdana"/>
          <w:i/>
          <w:sz w:val="16"/>
          <w:szCs w:val="16"/>
        </w:rPr>
        <w:t>Affidávits</w:t>
      </w:r>
      <w:r>
        <w:rPr>
          <w:rFonts w:ascii="Verdana" w:hAnsi="Verdana"/>
          <w:sz w:val="16"/>
          <w:szCs w:val="16"/>
        </w:rPr>
        <w:t xml:space="preserve">, </w:t>
      </w:r>
      <w:r w:rsidRPr="00432ABC">
        <w:rPr>
          <w:rFonts w:ascii="Verdana" w:hAnsi="Verdana"/>
          <w:sz w:val="16"/>
          <w:szCs w:val="16"/>
        </w:rPr>
        <w:t>ff. 31145</w:t>
      </w:r>
      <w:r>
        <w:rPr>
          <w:rFonts w:ascii="Verdana" w:hAnsi="Verdana"/>
          <w:sz w:val="16"/>
          <w:szCs w:val="16"/>
        </w:rPr>
        <w:t>)</w:t>
      </w:r>
      <w:r w:rsidRPr="00432ABC">
        <w:rPr>
          <w:rFonts w:ascii="Verdana" w:hAnsi="Verdana"/>
          <w:sz w:val="16"/>
          <w:szCs w:val="16"/>
        </w:rPr>
        <w:t>.</w:t>
      </w:r>
    </w:p>
  </w:footnote>
  <w:footnote w:id="98">
    <w:p w14:paraId="64AA6189" w14:textId="1AB1B9C2" w:rsidR="00146958" w:rsidRPr="00432ABC" w:rsidRDefault="00146958">
      <w:pPr>
        <w:pStyle w:val="FootnoteText"/>
        <w:jc w:val="both"/>
        <w:rPr>
          <w:rFonts w:ascii="Verdana" w:hAnsi="Verdana"/>
          <w:sz w:val="16"/>
          <w:szCs w:val="16"/>
        </w:rPr>
      </w:pPr>
      <w:r w:rsidRPr="00432ABC">
        <w:rPr>
          <w:rStyle w:val="FootnoteReference"/>
          <w:rFonts w:ascii="Verdana" w:hAnsi="Verdana"/>
          <w:sz w:val="16"/>
          <w:szCs w:val="16"/>
        </w:rPr>
        <w:footnoteRef/>
      </w:r>
      <w:r w:rsidRPr="00432ABC">
        <w:rPr>
          <w:rFonts w:ascii="Verdana" w:hAnsi="Verdana"/>
          <w:sz w:val="16"/>
          <w:szCs w:val="16"/>
        </w:rPr>
        <w:t xml:space="preserve"> </w:t>
      </w:r>
      <w:r w:rsidRPr="00432ABC">
        <w:rPr>
          <w:rFonts w:ascii="Verdana" w:hAnsi="Verdana"/>
          <w:sz w:val="16"/>
          <w:szCs w:val="16"/>
        </w:rPr>
        <w:tab/>
      </w:r>
      <w:r w:rsidRPr="00CD5C54">
        <w:rPr>
          <w:rFonts w:ascii="Verdana" w:hAnsi="Verdana"/>
          <w:i/>
          <w:sz w:val="16"/>
          <w:szCs w:val="16"/>
        </w:rPr>
        <w:t>Cfr.</w:t>
      </w:r>
      <w:r w:rsidRPr="002C462C">
        <w:rPr>
          <w:rFonts w:ascii="Verdana" w:hAnsi="Verdana"/>
          <w:sz w:val="16"/>
          <w:szCs w:val="16"/>
        </w:rPr>
        <w:t xml:space="preserve"> Informe emitido por el CENAPI – PGR </w:t>
      </w:r>
      <w:r w:rsidRPr="00432ABC">
        <w:rPr>
          <w:rFonts w:ascii="Verdana" w:hAnsi="Verdana"/>
          <w:sz w:val="16"/>
          <w:szCs w:val="16"/>
        </w:rPr>
        <w:t xml:space="preserve">el 13 de octubre de 2017, </w:t>
      </w:r>
      <w:r w:rsidRPr="00432ABC">
        <w:rPr>
          <w:rFonts w:ascii="Verdana" w:hAnsi="Verdana"/>
          <w:i/>
          <w:sz w:val="16"/>
          <w:szCs w:val="16"/>
        </w:rPr>
        <w:t xml:space="preserve">supra </w:t>
      </w:r>
      <w:r>
        <w:rPr>
          <w:rFonts w:ascii="Verdana" w:hAnsi="Verdana"/>
          <w:sz w:val="16"/>
          <w:szCs w:val="16"/>
        </w:rPr>
        <w:t xml:space="preserve">(expediente de prueba, </w:t>
      </w:r>
      <w:r w:rsidRPr="00432ABC">
        <w:rPr>
          <w:rFonts w:ascii="Verdana" w:hAnsi="Verdana"/>
          <w:sz w:val="16"/>
          <w:szCs w:val="16"/>
        </w:rPr>
        <w:t>f. 28511</w:t>
      </w:r>
      <w:r>
        <w:rPr>
          <w:rFonts w:ascii="Verdana" w:hAnsi="Verdana"/>
          <w:sz w:val="16"/>
          <w:szCs w:val="16"/>
        </w:rPr>
        <w:t>)</w:t>
      </w:r>
      <w:r w:rsidRPr="00432ABC">
        <w:rPr>
          <w:rFonts w:ascii="Verdana" w:hAnsi="Verdana"/>
          <w:sz w:val="16"/>
          <w:szCs w:val="16"/>
        </w:rPr>
        <w:t>. En dicho documento</w:t>
      </w:r>
      <w:r>
        <w:rPr>
          <w:rFonts w:ascii="Verdana" w:hAnsi="Verdana"/>
          <w:sz w:val="16"/>
          <w:szCs w:val="16"/>
        </w:rPr>
        <w:t>,</w:t>
      </w:r>
      <w:r w:rsidRPr="00432ABC">
        <w:rPr>
          <w:rFonts w:ascii="Verdana" w:hAnsi="Verdana"/>
          <w:sz w:val="16"/>
          <w:szCs w:val="16"/>
        </w:rPr>
        <w:t xml:space="preserve"> se señal</w:t>
      </w:r>
      <w:r>
        <w:rPr>
          <w:rFonts w:ascii="Verdana" w:hAnsi="Verdana"/>
          <w:sz w:val="16"/>
          <w:szCs w:val="16"/>
        </w:rPr>
        <w:t>ó</w:t>
      </w:r>
      <w:r w:rsidRPr="00432ABC">
        <w:rPr>
          <w:rFonts w:ascii="Verdana" w:hAnsi="Verdana"/>
          <w:sz w:val="16"/>
          <w:szCs w:val="16"/>
        </w:rPr>
        <w:t xml:space="preserve"> que las principales organizaciones del crimen organizado que se encuentran en disputa por el dominio territorial del Estado de Chihuahua, además de las organizaciones del “Carrillo Fuentes” y ”Pacífico”, son sus respectivos “brazos armados” conocidos como “La Línea” y la pandilla de “Los Aztecas”, por un lado, y por el otro, el grupo criminal denominado ”Gente Nueva” y las pandillas conocidas como “Los Mexicles” y ”Artistas Asesinos”. En el mismo sentido, </w:t>
      </w:r>
      <w:r w:rsidRPr="00CD5C54">
        <w:rPr>
          <w:rFonts w:ascii="Verdana" w:hAnsi="Verdana"/>
          <w:i/>
          <w:sz w:val="16"/>
          <w:szCs w:val="16"/>
        </w:rPr>
        <w:t>Cfr.</w:t>
      </w:r>
      <w:r w:rsidRPr="00432ABC">
        <w:rPr>
          <w:rFonts w:ascii="Verdana" w:hAnsi="Verdana"/>
          <w:sz w:val="16"/>
          <w:szCs w:val="16"/>
        </w:rPr>
        <w:t xml:space="preserve"> Declaración rendida </w:t>
      </w:r>
      <w:r>
        <w:rPr>
          <w:rFonts w:ascii="Verdana" w:hAnsi="Verdana"/>
          <w:sz w:val="16"/>
          <w:szCs w:val="16"/>
        </w:rPr>
        <w:t xml:space="preserve">en la Audiencia Pública </w:t>
      </w:r>
      <w:r w:rsidRPr="00432ABC">
        <w:rPr>
          <w:rFonts w:ascii="Verdana" w:hAnsi="Verdana"/>
          <w:sz w:val="16"/>
          <w:szCs w:val="16"/>
        </w:rPr>
        <w:t>ante la Corte por el perito Carlos Rodríguez Ulloa</w:t>
      </w:r>
      <w:r>
        <w:rPr>
          <w:rFonts w:ascii="Verdana" w:hAnsi="Verdana"/>
          <w:sz w:val="16"/>
          <w:szCs w:val="16"/>
        </w:rPr>
        <w:t>,</w:t>
      </w:r>
      <w:r w:rsidRPr="00432ABC">
        <w:rPr>
          <w:rFonts w:ascii="Verdana" w:hAnsi="Verdana"/>
          <w:sz w:val="16"/>
          <w:szCs w:val="16"/>
        </w:rPr>
        <w:t xml:space="preserve"> el 26 de abril de 2018, </w:t>
      </w:r>
      <w:r w:rsidRPr="00432ABC">
        <w:rPr>
          <w:rFonts w:ascii="Verdana" w:hAnsi="Verdana"/>
          <w:i/>
          <w:sz w:val="16"/>
          <w:szCs w:val="16"/>
        </w:rPr>
        <w:t xml:space="preserve">supra, </w:t>
      </w:r>
      <w:r w:rsidRPr="00432ABC">
        <w:rPr>
          <w:rFonts w:ascii="Verdana" w:hAnsi="Verdana"/>
          <w:sz w:val="16"/>
          <w:szCs w:val="16"/>
        </w:rPr>
        <w:t>pág.</w:t>
      </w:r>
      <w:r>
        <w:rPr>
          <w:rFonts w:ascii="Verdana" w:hAnsi="Verdana"/>
          <w:sz w:val="16"/>
          <w:szCs w:val="16"/>
        </w:rPr>
        <w:t xml:space="preserve"> 131-134.</w:t>
      </w:r>
    </w:p>
  </w:footnote>
  <w:footnote w:id="99">
    <w:p w14:paraId="64AA618A" w14:textId="5E81B6E6" w:rsidR="00146958" w:rsidRPr="00432ABC" w:rsidRDefault="00146958">
      <w:pPr>
        <w:pStyle w:val="FootnoteText"/>
        <w:jc w:val="both"/>
        <w:rPr>
          <w:rFonts w:ascii="Verdana" w:hAnsi="Verdana"/>
          <w:sz w:val="16"/>
          <w:szCs w:val="16"/>
        </w:rPr>
      </w:pPr>
      <w:r w:rsidRPr="00432ABC">
        <w:rPr>
          <w:rStyle w:val="FootnoteReference"/>
          <w:rFonts w:ascii="Verdana" w:hAnsi="Verdana"/>
          <w:sz w:val="16"/>
          <w:szCs w:val="16"/>
        </w:rPr>
        <w:footnoteRef/>
      </w:r>
      <w:r w:rsidRPr="00432ABC">
        <w:rPr>
          <w:rFonts w:ascii="Verdana" w:hAnsi="Verdana"/>
          <w:sz w:val="16"/>
          <w:szCs w:val="16"/>
        </w:rPr>
        <w:t xml:space="preserve"> </w:t>
      </w:r>
      <w:r w:rsidRPr="00432ABC">
        <w:rPr>
          <w:rFonts w:ascii="Verdana" w:hAnsi="Verdana"/>
          <w:sz w:val="16"/>
          <w:szCs w:val="16"/>
        </w:rPr>
        <w:tab/>
      </w:r>
      <w:r w:rsidRPr="00CD5C54">
        <w:rPr>
          <w:rFonts w:ascii="Verdana" w:hAnsi="Verdana"/>
          <w:i/>
          <w:sz w:val="16"/>
          <w:szCs w:val="16"/>
        </w:rPr>
        <w:t>Cfr.</w:t>
      </w:r>
      <w:r w:rsidRPr="002C462C">
        <w:rPr>
          <w:rFonts w:ascii="Verdana" w:hAnsi="Verdana"/>
          <w:sz w:val="16"/>
          <w:szCs w:val="16"/>
        </w:rPr>
        <w:t xml:space="preserve"> Informe emitido por CENAPI – PGR </w:t>
      </w:r>
      <w:r w:rsidRPr="00432ABC">
        <w:rPr>
          <w:rFonts w:ascii="Verdana" w:hAnsi="Verdana"/>
          <w:sz w:val="16"/>
          <w:szCs w:val="16"/>
        </w:rPr>
        <w:t xml:space="preserve">el 13 de octubre de 2017, </w:t>
      </w:r>
      <w:r w:rsidRPr="00432ABC">
        <w:rPr>
          <w:rFonts w:ascii="Verdana" w:hAnsi="Verdana"/>
          <w:i/>
          <w:sz w:val="16"/>
          <w:szCs w:val="16"/>
        </w:rPr>
        <w:t xml:space="preserve">supra </w:t>
      </w:r>
      <w:r>
        <w:rPr>
          <w:rFonts w:ascii="Verdana" w:hAnsi="Verdana"/>
          <w:sz w:val="16"/>
          <w:szCs w:val="16"/>
        </w:rPr>
        <w:t xml:space="preserve">(expediente de prueba, </w:t>
      </w:r>
      <w:r w:rsidRPr="00432ABC">
        <w:rPr>
          <w:rFonts w:ascii="Verdana" w:hAnsi="Verdana"/>
          <w:sz w:val="16"/>
          <w:szCs w:val="16"/>
        </w:rPr>
        <w:t>f. 28517</w:t>
      </w:r>
      <w:r>
        <w:rPr>
          <w:rFonts w:ascii="Verdana" w:hAnsi="Verdana"/>
          <w:sz w:val="16"/>
          <w:szCs w:val="16"/>
        </w:rPr>
        <w:t>)</w:t>
      </w:r>
      <w:r w:rsidRPr="00432ABC">
        <w:rPr>
          <w:rFonts w:ascii="Verdana" w:hAnsi="Verdana"/>
          <w:sz w:val="16"/>
          <w:szCs w:val="16"/>
        </w:rPr>
        <w:t xml:space="preserve">, y Declaración de José Emilio Serrano Santiago, Director General de Análisis Nacional y Encargado de la Dirección General de Análisis contra la Delincuencia en el CENAPI - PGR rendida el 12 de abril de 2018 ante la AMPF de la FEIDDF - PGR, </w:t>
      </w:r>
      <w:r w:rsidRPr="00432ABC">
        <w:rPr>
          <w:rFonts w:ascii="Verdana" w:hAnsi="Verdana"/>
          <w:i/>
          <w:sz w:val="16"/>
          <w:szCs w:val="16"/>
        </w:rPr>
        <w:t xml:space="preserve">supra </w:t>
      </w:r>
      <w:r>
        <w:rPr>
          <w:rFonts w:ascii="Verdana" w:hAnsi="Verdana"/>
          <w:sz w:val="16"/>
          <w:szCs w:val="16"/>
        </w:rPr>
        <w:t xml:space="preserve">(expediente de prueba, </w:t>
      </w:r>
      <w:r w:rsidRPr="00432ABC">
        <w:rPr>
          <w:rFonts w:ascii="Verdana" w:hAnsi="Verdana"/>
          <w:sz w:val="16"/>
          <w:szCs w:val="16"/>
        </w:rPr>
        <w:t>f. 31197</w:t>
      </w:r>
      <w:r>
        <w:rPr>
          <w:rFonts w:ascii="Verdana" w:hAnsi="Verdana"/>
          <w:sz w:val="16"/>
          <w:szCs w:val="16"/>
        </w:rPr>
        <w:t>)</w:t>
      </w:r>
      <w:r w:rsidRPr="00432ABC">
        <w:rPr>
          <w:rFonts w:ascii="Verdana" w:hAnsi="Verdana"/>
          <w:sz w:val="16"/>
          <w:szCs w:val="16"/>
        </w:rPr>
        <w:t>.</w:t>
      </w:r>
    </w:p>
  </w:footnote>
  <w:footnote w:id="100">
    <w:p w14:paraId="64AA618B" w14:textId="43517E50" w:rsidR="00146958" w:rsidRPr="00432ABC" w:rsidRDefault="00146958">
      <w:pPr>
        <w:pStyle w:val="FootnoteText"/>
        <w:jc w:val="both"/>
        <w:rPr>
          <w:rFonts w:ascii="Verdana" w:hAnsi="Verdana"/>
          <w:sz w:val="16"/>
          <w:szCs w:val="16"/>
        </w:rPr>
      </w:pPr>
      <w:r w:rsidRPr="00432ABC">
        <w:rPr>
          <w:rStyle w:val="FootnoteReference"/>
          <w:rFonts w:ascii="Verdana" w:hAnsi="Verdana"/>
          <w:sz w:val="16"/>
          <w:szCs w:val="16"/>
        </w:rPr>
        <w:footnoteRef/>
      </w:r>
      <w:r w:rsidRPr="00432ABC">
        <w:rPr>
          <w:rFonts w:ascii="Verdana" w:hAnsi="Verdana"/>
          <w:sz w:val="16"/>
          <w:szCs w:val="16"/>
        </w:rPr>
        <w:t xml:space="preserve"> </w:t>
      </w:r>
      <w:r w:rsidRPr="00432ABC">
        <w:rPr>
          <w:rFonts w:ascii="Verdana" w:hAnsi="Verdana"/>
          <w:sz w:val="16"/>
          <w:szCs w:val="16"/>
        </w:rPr>
        <w:tab/>
      </w:r>
      <w:r w:rsidRPr="00CD5C54">
        <w:rPr>
          <w:rFonts w:ascii="Verdana" w:hAnsi="Verdana"/>
          <w:i/>
          <w:sz w:val="16"/>
          <w:szCs w:val="16"/>
        </w:rPr>
        <w:t>Cfr.</w:t>
      </w:r>
      <w:r w:rsidRPr="002C462C">
        <w:rPr>
          <w:rFonts w:ascii="Verdana" w:hAnsi="Verdana"/>
          <w:sz w:val="16"/>
          <w:szCs w:val="16"/>
        </w:rPr>
        <w:t xml:space="preserve"> Informe emitido por el CENAPI – PGR </w:t>
      </w:r>
      <w:r w:rsidRPr="00432ABC">
        <w:rPr>
          <w:rFonts w:ascii="Verdana" w:hAnsi="Verdana"/>
          <w:sz w:val="16"/>
          <w:szCs w:val="16"/>
        </w:rPr>
        <w:t xml:space="preserve">el 13 de octubre de 2017, </w:t>
      </w:r>
      <w:r w:rsidRPr="009B6C7B">
        <w:rPr>
          <w:rFonts w:ascii="Verdana" w:hAnsi="Verdana"/>
          <w:i/>
          <w:sz w:val="16"/>
        </w:rPr>
        <w:t>supra</w:t>
      </w:r>
      <w:r>
        <w:rPr>
          <w:rFonts w:ascii="Verdana" w:hAnsi="Verdana"/>
          <w:i/>
          <w:sz w:val="16"/>
          <w:szCs w:val="16"/>
        </w:rPr>
        <w:t xml:space="preserve"> </w:t>
      </w:r>
      <w:r>
        <w:rPr>
          <w:rFonts w:ascii="Verdana" w:hAnsi="Verdana"/>
          <w:sz w:val="16"/>
          <w:szCs w:val="16"/>
        </w:rPr>
        <w:t>(expediente de prueba,</w:t>
      </w:r>
      <w:r w:rsidRPr="00432ABC">
        <w:rPr>
          <w:rFonts w:ascii="Verdana" w:hAnsi="Verdana"/>
          <w:i/>
          <w:sz w:val="16"/>
          <w:szCs w:val="16"/>
        </w:rPr>
        <w:t xml:space="preserve"> </w:t>
      </w:r>
      <w:r w:rsidRPr="00432ABC">
        <w:rPr>
          <w:rFonts w:ascii="Verdana" w:hAnsi="Verdana"/>
          <w:sz w:val="16"/>
          <w:szCs w:val="16"/>
        </w:rPr>
        <w:t>ff. 28511, 28513 y 28519</w:t>
      </w:r>
      <w:r>
        <w:rPr>
          <w:rFonts w:ascii="Verdana" w:hAnsi="Verdana"/>
          <w:sz w:val="16"/>
          <w:szCs w:val="16"/>
        </w:rPr>
        <w:t>)</w:t>
      </w:r>
      <w:r w:rsidRPr="00432ABC">
        <w:rPr>
          <w:rFonts w:ascii="Verdana" w:hAnsi="Verdana"/>
          <w:sz w:val="16"/>
          <w:szCs w:val="16"/>
        </w:rPr>
        <w:t xml:space="preserve">. </w:t>
      </w:r>
    </w:p>
  </w:footnote>
  <w:footnote w:id="101">
    <w:p w14:paraId="64AA618C" w14:textId="26ED3EC5" w:rsidR="00146958" w:rsidRPr="00432ABC" w:rsidRDefault="00146958">
      <w:pPr>
        <w:pStyle w:val="FootnoteText"/>
        <w:jc w:val="both"/>
        <w:rPr>
          <w:rFonts w:ascii="Verdana" w:hAnsi="Verdana"/>
          <w:sz w:val="16"/>
          <w:szCs w:val="16"/>
        </w:rPr>
      </w:pPr>
      <w:r w:rsidRPr="00432ABC">
        <w:rPr>
          <w:rStyle w:val="FootnoteReference"/>
          <w:rFonts w:ascii="Verdana" w:hAnsi="Verdana"/>
          <w:sz w:val="16"/>
          <w:szCs w:val="16"/>
        </w:rPr>
        <w:footnoteRef/>
      </w:r>
      <w:r w:rsidRPr="00432ABC">
        <w:rPr>
          <w:rFonts w:ascii="Verdana" w:hAnsi="Verdana"/>
          <w:sz w:val="16"/>
          <w:szCs w:val="16"/>
        </w:rPr>
        <w:t xml:space="preserve"> </w:t>
      </w:r>
      <w:r w:rsidRPr="00432ABC">
        <w:rPr>
          <w:rFonts w:ascii="Verdana" w:hAnsi="Verdana"/>
          <w:sz w:val="16"/>
          <w:szCs w:val="16"/>
        </w:rPr>
        <w:tab/>
      </w:r>
      <w:r w:rsidRPr="00CD5C54">
        <w:rPr>
          <w:rFonts w:ascii="Verdana" w:hAnsi="Verdana"/>
          <w:i/>
          <w:sz w:val="16"/>
          <w:szCs w:val="16"/>
        </w:rPr>
        <w:t>Cfr.</w:t>
      </w:r>
      <w:r w:rsidRPr="002C462C">
        <w:rPr>
          <w:rFonts w:ascii="Verdana" w:hAnsi="Verdana"/>
          <w:sz w:val="16"/>
          <w:szCs w:val="16"/>
        </w:rPr>
        <w:t xml:space="preserve"> Informe del EIP</w:t>
      </w:r>
      <w:r>
        <w:rPr>
          <w:rFonts w:ascii="Verdana" w:hAnsi="Verdana"/>
          <w:sz w:val="16"/>
          <w:szCs w:val="16"/>
        </w:rPr>
        <w:t xml:space="preserve">, </w:t>
      </w:r>
      <w:r w:rsidRPr="002C462C">
        <w:rPr>
          <w:rFonts w:ascii="Verdana" w:hAnsi="Verdana"/>
          <w:sz w:val="16"/>
          <w:szCs w:val="16"/>
        </w:rPr>
        <w:t xml:space="preserve">2015, </w:t>
      </w:r>
      <w:r w:rsidRPr="002C462C">
        <w:rPr>
          <w:rFonts w:ascii="Verdana" w:hAnsi="Verdana"/>
          <w:i/>
          <w:sz w:val="16"/>
          <w:szCs w:val="16"/>
        </w:rPr>
        <w:t>supra</w:t>
      </w:r>
      <w:r w:rsidRPr="00432ABC">
        <w:rPr>
          <w:rFonts w:ascii="Verdana" w:hAnsi="Verdana"/>
          <w:sz w:val="16"/>
          <w:szCs w:val="16"/>
        </w:rPr>
        <w:t xml:space="preserve"> </w:t>
      </w:r>
      <w:r>
        <w:rPr>
          <w:rFonts w:ascii="Verdana" w:hAnsi="Verdana"/>
          <w:sz w:val="16"/>
          <w:szCs w:val="16"/>
        </w:rPr>
        <w:t xml:space="preserve">(expediente de prueba </w:t>
      </w:r>
      <w:r w:rsidRPr="00432ABC">
        <w:rPr>
          <w:rFonts w:ascii="Verdana" w:hAnsi="Verdana"/>
          <w:sz w:val="16"/>
          <w:szCs w:val="16"/>
        </w:rPr>
        <w:t>ff. 28880 a 28881 y 28892</w:t>
      </w:r>
      <w:r>
        <w:rPr>
          <w:rFonts w:ascii="Verdana" w:hAnsi="Verdana"/>
          <w:sz w:val="16"/>
          <w:szCs w:val="16"/>
        </w:rPr>
        <w:t>)</w:t>
      </w:r>
      <w:r w:rsidRPr="00432ABC">
        <w:rPr>
          <w:rFonts w:ascii="Verdana" w:hAnsi="Verdana"/>
          <w:sz w:val="16"/>
          <w:szCs w:val="16"/>
        </w:rPr>
        <w:t>.</w:t>
      </w:r>
    </w:p>
  </w:footnote>
  <w:footnote w:id="102">
    <w:p w14:paraId="4E9E4B2C" w14:textId="38178CF6" w:rsidR="00146958" w:rsidRPr="00432ABC" w:rsidRDefault="00146958">
      <w:pPr>
        <w:pStyle w:val="FootnoteText"/>
        <w:jc w:val="both"/>
        <w:rPr>
          <w:rFonts w:ascii="Verdana" w:hAnsi="Verdana"/>
          <w:sz w:val="16"/>
          <w:szCs w:val="16"/>
        </w:rPr>
      </w:pPr>
      <w:r w:rsidRPr="00432ABC">
        <w:rPr>
          <w:rStyle w:val="FootnoteReference"/>
          <w:rFonts w:ascii="Verdana" w:hAnsi="Verdana"/>
          <w:sz w:val="16"/>
          <w:szCs w:val="16"/>
        </w:rPr>
        <w:footnoteRef/>
      </w:r>
      <w:r w:rsidRPr="00432ABC">
        <w:rPr>
          <w:rFonts w:ascii="Verdana" w:hAnsi="Verdana"/>
          <w:sz w:val="16"/>
          <w:szCs w:val="16"/>
        </w:rPr>
        <w:t xml:space="preserve"> </w:t>
      </w:r>
      <w:r w:rsidRPr="00432ABC">
        <w:rPr>
          <w:rFonts w:ascii="Verdana" w:hAnsi="Verdana"/>
          <w:sz w:val="16"/>
          <w:szCs w:val="16"/>
        </w:rPr>
        <w:tab/>
      </w:r>
      <w:r w:rsidRPr="00CD5C54">
        <w:rPr>
          <w:rFonts w:ascii="Verdana" w:hAnsi="Verdana"/>
          <w:i/>
          <w:sz w:val="16"/>
          <w:szCs w:val="16"/>
        </w:rPr>
        <w:t>Cfr.</w:t>
      </w:r>
      <w:r w:rsidRPr="002C462C">
        <w:rPr>
          <w:rFonts w:ascii="Verdana" w:hAnsi="Verdana"/>
          <w:sz w:val="16"/>
          <w:szCs w:val="16"/>
        </w:rPr>
        <w:t xml:space="preserve"> Informe del EIP</w:t>
      </w:r>
      <w:r>
        <w:rPr>
          <w:rFonts w:ascii="Verdana" w:hAnsi="Verdana"/>
          <w:sz w:val="16"/>
          <w:szCs w:val="16"/>
        </w:rPr>
        <w:t xml:space="preserve">, </w:t>
      </w:r>
      <w:r w:rsidRPr="002C462C">
        <w:rPr>
          <w:rFonts w:ascii="Verdana" w:hAnsi="Verdana"/>
          <w:sz w:val="16"/>
          <w:szCs w:val="16"/>
        </w:rPr>
        <w:t xml:space="preserve">2015, </w:t>
      </w:r>
      <w:r w:rsidRPr="002C462C">
        <w:rPr>
          <w:rFonts w:ascii="Verdana" w:hAnsi="Verdana"/>
          <w:i/>
          <w:sz w:val="16"/>
          <w:szCs w:val="16"/>
        </w:rPr>
        <w:t>supra</w:t>
      </w:r>
      <w:r w:rsidRPr="00432ABC">
        <w:rPr>
          <w:rFonts w:ascii="Verdana" w:hAnsi="Verdana"/>
          <w:sz w:val="16"/>
          <w:szCs w:val="16"/>
        </w:rPr>
        <w:t xml:space="preserve"> </w:t>
      </w:r>
      <w:r>
        <w:rPr>
          <w:rFonts w:ascii="Verdana" w:hAnsi="Verdana"/>
          <w:sz w:val="16"/>
          <w:szCs w:val="16"/>
        </w:rPr>
        <w:t xml:space="preserve">(expediente de prueba, </w:t>
      </w:r>
      <w:r w:rsidRPr="00432ABC">
        <w:rPr>
          <w:rFonts w:ascii="Verdana" w:hAnsi="Verdana"/>
          <w:sz w:val="16"/>
          <w:szCs w:val="16"/>
        </w:rPr>
        <w:t>f. 28891</w:t>
      </w:r>
      <w:r>
        <w:rPr>
          <w:rFonts w:ascii="Verdana" w:hAnsi="Verdana"/>
          <w:sz w:val="16"/>
          <w:szCs w:val="16"/>
        </w:rPr>
        <w:t>)</w:t>
      </w:r>
      <w:r w:rsidRPr="00432ABC">
        <w:rPr>
          <w:rFonts w:ascii="Verdana" w:hAnsi="Verdana"/>
          <w:sz w:val="16"/>
          <w:szCs w:val="16"/>
        </w:rPr>
        <w:t xml:space="preserve">. </w:t>
      </w:r>
    </w:p>
  </w:footnote>
  <w:footnote w:id="103">
    <w:p w14:paraId="64AA618E" w14:textId="3BDCC44F" w:rsidR="00146958" w:rsidRPr="00432ABC" w:rsidRDefault="00146958">
      <w:pPr>
        <w:pStyle w:val="FootnoteText"/>
        <w:jc w:val="both"/>
        <w:rPr>
          <w:rFonts w:ascii="Verdana" w:hAnsi="Verdana"/>
          <w:sz w:val="16"/>
          <w:szCs w:val="16"/>
        </w:rPr>
      </w:pPr>
      <w:r w:rsidRPr="00432ABC">
        <w:rPr>
          <w:rStyle w:val="FootnoteReference"/>
          <w:rFonts w:ascii="Verdana" w:hAnsi="Verdana"/>
          <w:sz w:val="16"/>
          <w:szCs w:val="16"/>
        </w:rPr>
        <w:footnoteRef/>
      </w:r>
      <w:r w:rsidRPr="00432ABC">
        <w:rPr>
          <w:rFonts w:ascii="Verdana" w:hAnsi="Verdana"/>
          <w:sz w:val="16"/>
          <w:szCs w:val="16"/>
        </w:rPr>
        <w:t xml:space="preserve"> </w:t>
      </w:r>
      <w:r w:rsidRPr="00432ABC">
        <w:rPr>
          <w:rFonts w:ascii="Verdana" w:hAnsi="Verdana"/>
          <w:sz w:val="16"/>
          <w:szCs w:val="16"/>
        </w:rPr>
        <w:tab/>
      </w:r>
      <w:r w:rsidRPr="00CD5C54">
        <w:rPr>
          <w:rFonts w:ascii="Verdana" w:hAnsi="Verdana"/>
          <w:i/>
          <w:sz w:val="16"/>
          <w:szCs w:val="16"/>
        </w:rPr>
        <w:t>Cfr.</w:t>
      </w:r>
      <w:r w:rsidRPr="002C462C">
        <w:rPr>
          <w:rFonts w:ascii="Verdana" w:hAnsi="Verdana"/>
          <w:i/>
          <w:sz w:val="16"/>
          <w:szCs w:val="16"/>
        </w:rPr>
        <w:t xml:space="preserve"> </w:t>
      </w:r>
      <w:r w:rsidRPr="002C462C">
        <w:rPr>
          <w:rFonts w:ascii="Verdana" w:hAnsi="Verdana"/>
          <w:vanish/>
          <w:sz w:val="16"/>
          <w:szCs w:val="16"/>
        </w:rPr>
        <w:t xml:space="preserve"> </w:t>
      </w:r>
      <w:r w:rsidRPr="00432ABC">
        <w:rPr>
          <w:rFonts w:ascii="Verdana" w:hAnsi="Verdana"/>
          <w:sz w:val="16"/>
          <w:szCs w:val="16"/>
        </w:rPr>
        <w:t xml:space="preserve">Informe emitido por el CENAPI – PGR el 13 de octubre de 2017, </w:t>
      </w:r>
      <w:r w:rsidRPr="00432ABC">
        <w:rPr>
          <w:rFonts w:ascii="Verdana" w:hAnsi="Verdana"/>
          <w:i/>
          <w:sz w:val="16"/>
          <w:szCs w:val="16"/>
        </w:rPr>
        <w:t xml:space="preserve">supra </w:t>
      </w:r>
      <w:r>
        <w:rPr>
          <w:rFonts w:ascii="Verdana" w:hAnsi="Verdana"/>
          <w:sz w:val="16"/>
          <w:szCs w:val="16"/>
        </w:rPr>
        <w:t xml:space="preserve">(expediente de prueba, </w:t>
      </w:r>
      <w:r w:rsidRPr="00432ABC">
        <w:rPr>
          <w:rFonts w:ascii="Verdana" w:hAnsi="Verdana"/>
          <w:sz w:val="16"/>
          <w:szCs w:val="16"/>
        </w:rPr>
        <w:t>f. 28534</w:t>
      </w:r>
      <w:r>
        <w:rPr>
          <w:rFonts w:ascii="Verdana" w:hAnsi="Verdana"/>
          <w:sz w:val="16"/>
          <w:szCs w:val="16"/>
        </w:rPr>
        <w:t>)</w:t>
      </w:r>
      <w:r w:rsidRPr="00432ABC">
        <w:rPr>
          <w:rFonts w:ascii="Verdana" w:hAnsi="Verdana"/>
          <w:sz w:val="16"/>
          <w:szCs w:val="16"/>
        </w:rPr>
        <w:t>.</w:t>
      </w:r>
    </w:p>
  </w:footnote>
  <w:footnote w:id="104">
    <w:p w14:paraId="6B57F772" w14:textId="55B39A45" w:rsidR="00146958" w:rsidRPr="00432ABC" w:rsidRDefault="00146958">
      <w:pPr>
        <w:pStyle w:val="FootnoteText"/>
        <w:jc w:val="both"/>
        <w:rPr>
          <w:rFonts w:ascii="Verdana" w:hAnsi="Verdana"/>
          <w:sz w:val="16"/>
          <w:szCs w:val="16"/>
        </w:rPr>
      </w:pPr>
      <w:r w:rsidRPr="00432ABC">
        <w:rPr>
          <w:rStyle w:val="FootnoteReference"/>
          <w:rFonts w:ascii="Verdana" w:hAnsi="Verdana"/>
          <w:sz w:val="16"/>
          <w:szCs w:val="16"/>
        </w:rPr>
        <w:footnoteRef/>
      </w:r>
      <w:r w:rsidRPr="00432ABC">
        <w:rPr>
          <w:rFonts w:ascii="Verdana" w:hAnsi="Verdana"/>
          <w:sz w:val="16"/>
          <w:szCs w:val="16"/>
        </w:rPr>
        <w:t xml:space="preserve"> </w:t>
      </w:r>
      <w:r w:rsidRPr="00432ABC">
        <w:rPr>
          <w:rFonts w:ascii="Verdana" w:hAnsi="Verdana"/>
          <w:sz w:val="16"/>
          <w:szCs w:val="16"/>
        </w:rPr>
        <w:tab/>
      </w:r>
      <w:r w:rsidRPr="00CD5C54">
        <w:rPr>
          <w:rFonts w:ascii="Verdana" w:hAnsi="Verdana"/>
          <w:i/>
          <w:sz w:val="16"/>
          <w:szCs w:val="16"/>
        </w:rPr>
        <w:t>Cfr.</w:t>
      </w:r>
      <w:r w:rsidRPr="002C462C">
        <w:rPr>
          <w:rFonts w:ascii="Verdana" w:hAnsi="Verdana"/>
          <w:sz w:val="16"/>
          <w:szCs w:val="16"/>
        </w:rPr>
        <w:t xml:space="preserve"> Presidencia de la República. Estados Unidos Mexicanos. Cuarto Informe de Gobierno</w:t>
      </w:r>
      <w:r w:rsidRPr="002C462C">
        <w:rPr>
          <w:rFonts w:ascii="Verdana" w:hAnsi="Verdana"/>
          <w:i/>
          <w:sz w:val="16"/>
          <w:szCs w:val="16"/>
        </w:rPr>
        <w:t>,</w:t>
      </w:r>
      <w:r w:rsidRPr="00432ABC">
        <w:rPr>
          <w:rFonts w:ascii="Verdana" w:hAnsi="Verdana"/>
          <w:sz w:val="16"/>
          <w:szCs w:val="16"/>
        </w:rPr>
        <w:t xml:space="preserve"> </w:t>
      </w:r>
      <w:r w:rsidRPr="00432ABC">
        <w:rPr>
          <w:rFonts w:ascii="Verdana" w:hAnsi="Verdana"/>
          <w:i/>
          <w:sz w:val="16"/>
          <w:szCs w:val="16"/>
        </w:rPr>
        <w:t xml:space="preserve">supra, </w:t>
      </w:r>
      <w:r w:rsidRPr="00432ABC">
        <w:rPr>
          <w:rFonts w:ascii="Verdana" w:hAnsi="Verdana"/>
          <w:sz w:val="16"/>
          <w:szCs w:val="16"/>
        </w:rPr>
        <w:t>pág. 30, y Declaración en la Audiencia Pública</w:t>
      </w:r>
      <w:r w:rsidRPr="00432ABC" w:rsidDel="00E9724A">
        <w:rPr>
          <w:rFonts w:ascii="Verdana" w:hAnsi="Verdana"/>
          <w:sz w:val="16"/>
          <w:szCs w:val="16"/>
        </w:rPr>
        <w:t xml:space="preserve"> </w:t>
      </w:r>
      <w:r w:rsidRPr="00432ABC">
        <w:rPr>
          <w:rFonts w:ascii="Verdana" w:hAnsi="Verdana"/>
          <w:sz w:val="16"/>
          <w:szCs w:val="16"/>
        </w:rPr>
        <w:t xml:space="preserve">ante la Corte del perito Salvador Salazar Gutiérrez, </w:t>
      </w:r>
      <w:r w:rsidRPr="00432ABC">
        <w:rPr>
          <w:rFonts w:ascii="Verdana" w:hAnsi="Verdana"/>
          <w:i/>
          <w:sz w:val="16"/>
          <w:szCs w:val="16"/>
        </w:rPr>
        <w:t>supra</w:t>
      </w:r>
      <w:r w:rsidRPr="00432ABC">
        <w:rPr>
          <w:rFonts w:ascii="Verdana" w:hAnsi="Verdana"/>
          <w:sz w:val="16"/>
          <w:szCs w:val="16"/>
        </w:rPr>
        <w:t>, pág. 102.</w:t>
      </w:r>
    </w:p>
  </w:footnote>
  <w:footnote w:id="105">
    <w:p w14:paraId="64AA6190" w14:textId="2E82D829" w:rsidR="00146958" w:rsidRPr="008D0846" w:rsidRDefault="00146958">
      <w:pPr>
        <w:pStyle w:val="FootnoteText"/>
        <w:jc w:val="both"/>
        <w:rPr>
          <w:rFonts w:ascii="Verdana" w:hAnsi="Verdana"/>
          <w:strike/>
          <w:sz w:val="16"/>
        </w:rPr>
      </w:pPr>
      <w:r w:rsidRPr="00432ABC">
        <w:rPr>
          <w:rStyle w:val="FootnoteReference"/>
          <w:rFonts w:ascii="Verdana" w:hAnsi="Verdana"/>
          <w:sz w:val="16"/>
          <w:szCs w:val="16"/>
        </w:rPr>
        <w:footnoteRef/>
      </w:r>
      <w:r w:rsidRPr="00432ABC">
        <w:rPr>
          <w:rFonts w:ascii="Verdana" w:hAnsi="Verdana"/>
          <w:sz w:val="16"/>
          <w:szCs w:val="16"/>
        </w:rPr>
        <w:t xml:space="preserve"> </w:t>
      </w:r>
      <w:r w:rsidRPr="00432ABC">
        <w:rPr>
          <w:rFonts w:ascii="Verdana" w:hAnsi="Verdana"/>
          <w:sz w:val="16"/>
          <w:szCs w:val="16"/>
        </w:rPr>
        <w:tab/>
      </w:r>
      <w:r>
        <w:rPr>
          <w:rFonts w:ascii="Verdana" w:hAnsi="Verdana"/>
          <w:sz w:val="16"/>
          <w:szCs w:val="16"/>
        </w:rPr>
        <w:t xml:space="preserve">El </w:t>
      </w:r>
      <w:r w:rsidRPr="00432ABC">
        <w:rPr>
          <w:rFonts w:ascii="Verdana" w:hAnsi="Verdana"/>
          <w:sz w:val="16"/>
          <w:szCs w:val="16"/>
        </w:rPr>
        <w:t xml:space="preserve">“Operativo Conjunto Chihuahua”, “[…] implicó el despliegue de 10 “Bases de Operación Mixta”, de carácter permanente y cuya sede se localizaba en Ciudad Juárez, 46 puestos de control móviles y el refuerzo de la Guarnición Militar en el municipio de Palomas, más el envío de fuerzas especiales […] [e] incluía operaciones en las ciudades de Chihuahua, Buenaventura, Janos, Casas Grandes, Nuevo Casas Grandes y Asunción”. Estaban integradas, cada una de ellas, “con un agente del Ministerio Público de la Federación, elementos [castrenses] y vehículos de distintas corporaciones como SEDENA, Procuraduría General de la República [PGR], Policía Federal [PF], Policía Estatal y Policía Municipal”. </w:t>
      </w:r>
      <w:r w:rsidRPr="00CD5C54">
        <w:rPr>
          <w:rFonts w:ascii="Verdana" w:hAnsi="Verdana"/>
          <w:i/>
          <w:sz w:val="16"/>
          <w:szCs w:val="16"/>
        </w:rPr>
        <w:t>Cfr.</w:t>
      </w:r>
      <w:r w:rsidRPr="002C462C">
        <w:rPr>
          <w:rFonts w:ascii="Verdana" w:hAnsi="Verdana"/>
          <w:sz w:val="16"/>
          <w:szCs w:val="16"/>
        </w:rPr>
        <w:t xml:space="preserve"> Declaración pericial del GIASF rendida </w:t>
      </w:r>
      <w:r>
        <w:rPr>
          <w:rFonts w:ascii="Verdana" w:hAnsi="Verdana"/>
          <w:sz w:val="16"/>
          <w:szCs w:val="16"/>
        </w:rPr>
        <w:t>el</w:t>
      </w:r>
      <w:r w:rsidRPr="002C462C">
        <w:rPr>
          <w:rFonts w:ascii="Verdana" w:hAnsi="Verdana"/>
          <w:sz w:val="16"/>
          <w:szCs w:val="16"/>
        </w:rPr>
        <w:t xml:space="preserve"> 19 de abril de 2018, </w:t>
      </w:r>
      <w:r w:rsidRPr="00432ABC">
        <w:rPr>
          <w:rFonts w:ascii="Verdana" w:hAnsi="Verdana"/>
          <w:i/>
          <w:sz w:val="16"/>
          <w:szCs w:val="16"/>
        </w:rPr>
        <w:t xml:space="preserve">supra </w:t>
      </w:r>
      <w:r>
        <w:rPr>
          <w:rFonts w:ascii="Verdana" w:hAnsi="Verdana"/>
          <w:sz w:val="16"/>
          <w:szCs w:val="16"/>
        </w:rPr>
        <w:t xml:space="preserve">(expediente de prueba, </w:t>
      </w:r>
      <w:r w:rsidRPr="00432ABC">
        <w:rPr>
          <w:rFonts w:ascii="Verdana" w:hAnsi="Verdana"/>
          <w:sz w:val="16"/>
          <w:szCs w:val="16"/>
        </w:rPr>
        <w:t>ff. 31150 a 31151</w:t>
      </w:r>
      <w:r>
        <w:rPr>
          <w:rFonts w:ascii="Verdana" w:hAnsi="Verdana"/>
          <w:sz w:val="16"/>
          <w:szCs w:val="16"/>
        </w:rPr>
        <w:t>)</w:t>
      </w:r>
      <w:r w:rsidRPr="00432ABC">
        <w:rPr>
          <w:rFonts w:ascii="Verdana" w:hAnsi="Verdana"/>
          <w:sz w:val="16"/>
          <w:szCs w:val="16"/>
        </w:rPr>
        <w:t>.</w:t>
      </w:r>
      <w:r w:rsidRPr="00432ABC">
        <w:rPr>
          <w:rFonts w:ascii="Verdana" w:eastAsiaTheme="minorHAnsi" w:hAnsi="Verdana"/>
          <w:sz w:val="16"/>
          <w:szCs w:val="16"/>
        </w:rPr>
        <w:t xml:space="preserve"> </w:t>
      </w:r>
    </w:p>
  </w:footnote>
  <w:footnote w:id="106">
    <w:p w14:paraId="64AA6191" w14:textId="047ECF72" w:rsidR="00146958" w:rsidRPr="00432ABC" w:rsidRDefault="00146958">
      <w:pPr>
        <w:pStyle w:val="FootnoteText"/>
        <w:jc w:val="both"/>
        <w:rPr>
          <w:rFonts w:ascii="Verdana" w:hAnsi="Verdana"/>
          <w:sz w:val="16"/>
          <w:szCs w:val="16"/>
        </w:rPr>
      </w:pPr>
      <w:r w:rsidRPr="00432ABC">
        <w:rPr>
          <w:rStyle w:val="FootnoteReference"/>
          <w:rFonts w:ascii="Verdana" w:hAnsi="Verdana"/>
          <w:sz w:val="16"/>
          <w:szCs w:val="16"/>
        </w:rPr>
        <w:footnoteRef/>
      </w:r>
      <w:r w:rsidRPr="00432ABC">
        <w:rPr>
          <w:rFonts w:ascii="Verdana" w:hAnsi="Verdana"/>
          <w:sz w:val="16"/>
          <w:szCs w:val="16"/>
        </w:rPr>
        <w:t xml:space="preserve"> </w:t>
      </w:r>
      <w:r w:rsidRPr="00432ABC">
        <w:rPr>
          <w:rFonts w:ascii="Verdana" w:hAnsi="Verdana"/>
          <w:sz w:val="16"/>
          <w:szCs w:val="16"/>
        </w:rPr>
        <w:tab/>
      </w:r>
      <w:r w:rsidRPr="00CD5C54">
        <w:rPr>
          <w:rFonts w:ascii="Verdana" w:hAnsi="Verdana"/>
          <w:i/>
          <w:sz w:val="16"/>
          <w:szCs w:val="16"/>
        </w:rPr>
        <w:t>Cfr.</w:t>
      </w:r>
      <w:r w:rsidRPr="002C462C">
        <w:rPr>
          <w:rFonts w:ascii="Verdana" w:hAnsi="Verdana"/>
          <w:sz w:val="16"/>
          <w:szCs w:val="16"/>
        </w:rPr>
        <w:t xml:space="preserve"> Declaración rendida </w:t>
      </w:r>
      <w:r>
        <w:rPr>
          <w:rFonts w:ascii="Verdana" w:hAnsi="Verdana"/>
          <w:sz w:val="16"/>
          <w:szCs w:val="16"/>
        </w:rPr>
        <w:t xml:space="preserve">en Audiencia Pública </w:t>
      </w:r>
      <w:r w:rsidRPr="002C462C">
        <w:rPr>
          <w:rFonts w:ascii="Verdana" w:hAnsi="Verdana"/>
          <w:sz w:val="16"/>
          <w:szCs w:val="16"/>
        </w:rPr>
        <w:t xml:space="preserve">ante la Corte por el perito Salvador Salazar Gutiérrez, </w:t>
      </w:r>
      <w:r w:rsidRPr="00432ABC">
        <w:rPr>
          <w:rFonts w:ascii="Verdana" w:hAnsi="Verdana"/>
          <w:i/>
          <w:sz w:val="16"/>
          <w:szCs w:val="16"/>
        </w:rPr>
        <w:t>supra,</w:t>
      </w:r>
      <w:r w:rsidRPr="00432ABC">
        <w:rPr>
          <w:rFonts w:ascii="Verdana" w:hAnsi="Verdana"/>
          <w:sz w:val="16"/>
          <w:szCs w:val="16"/>
        </w:rPr>
        <w:t xml:space="preserve"> pág. 102. </w:t>
      </w:r>
    </w:p>
  </w:footnote>
  <w:footnote w:id="107">
    <w:p w14:paraId="64AA6192" w14:textId="7698BC91" w:rsidR="00146958" w:rsidRPr="00432ABC" w:rsidRDefault="00146958">
      <w:pPr>
        <w:pStyle w:val="FootnoteText"/>
        <w:jc w:val="both"/>
        <w:rPr>
          <w:rFonts w:ascii="Verdana" w:hAnsi="Verdana"/>
          <w:sz w:val="16"/>
          <w:szCs w:val="16"/>
        </w:rPr>
      </w:pPr>
      <w:r w:rsidRPr="00432ABC">
        <w:rPr>
          <w:rStyle w:val="FootnoteReference"/>
          <w:rFonts w:ascii="Verdana" w:hAnsi="Verdana"/>
          <w:sz w:val="16"/>
          <w:szCs w:val="16"/>
        </w:rPr>
        <w:footnoteRef/>
      </w:r>
      <w:r w:rsidRPr="00432ABC">
        <w:rPr>
          <w:rFonts w:ascii="Verdana" w:hAnsi="Verdana"/>
          <w:sz w:val="16"/>
          <w:szCs w:val="16"/>
        </w:rPr>
        <w:t xml:space="preserve"> </w:t>
      </w:r>
      <w:r w:rsidRPr="00432ABC">
        <w:rPr>
          <w:rFonts w:ascii="Verdana" w:hAnsi="Verdana"/>
          <w:sz w:val="16"/>
          <w:szCs w:val="16"/>
        </w:rPr>
        <w:tab/>
      </w:r>
      <w:r w:rsidRPr="00CD5C54">
        <w:rPr>
          <w:rFonts w:ascii="Verdana" w:hAnsi="Verdana"/>
          <w:i/>
          <w:sz w:val="16"/>
          <w:szCs w:val="16"/>
        </w:rPr>
        <w:t>Cfr.</w:t>
      </w:r>
      <w:r w:rsidRPr="002C462C">
        <w:rPr>
          <w:rFonts w:ascii="Verdana" w:hAnsi="Verdana"/>
          <w:sz w:val="16"/>
          <w:szCs w:val="16"/>
        </w:rPr>
        <w:t xml:space="preserve"> Oficio sin número de 21 de octubre de 2009 de la Dirección General de Tráfico y Contrabando de la Policía Federal (expediente de prueba, </w:t>
      </w:r>
      <w:r>
        <w:rPr>
          <w:rFonts w:ascii="Verdana" w:hAnsi="Verdana"/>
          <w:sz w:val="16"/>
          <w:szCs w:val="16"/>
        </w:rPr>
        <w:t>e</w:t>
      </w:r>
      <w:r w:rsidRPr="002C462C">
        <w:rPr>
          <w:rFonts w:ascii="Verdana" w:hAnsi="Verdana"/>
          <w:sz w:val="16"/>
          <w:szCs w:val="16"/>
        </w:rPr>
        <w:t>xpediente penal, ff. 8362 a 8363); Fe Ministerial de Inspección Ocular de Identificación de Cadáveres [de quienes en vida llevaron los nombres de José Alfredo Zilli Peña, Felipe Arizpe Hernández y Armando Vega López] de 31 de octubre de 2009 suscrita por el AMPF adscrito a la Unidad Mixta de Atención al Na</w:t>
      </w:r>
      <w:r w:rsidRPr="00432ABC">
        <w:rPr>
          <w:rFonts w:ascii="Verdana" w:hAnsi="Verdana"/>
          <w:sz w:val="16"/>
          <w:szCs w:val="16"/>
        </w:rPr>
        <w:t xml:space="preserve">rcomenudeo de la PGR en Ciudad Juárez (expediente de prueba, </w:t>
      </w:r>
      <w:r>
        <w:rPr>
          <w:rFonts w:ascii="Verdana" w:hAnsi="Verdana"/>
          <w:sz w:val="16"/>
          <w:szCs w:val="16"/>
        </w:rPr>
        <w:t>e</w:t>
      </w:r>
      <w:r w:rsidRPr="00432ABC">
        <w:rPr>
          <w:rFonts w:ascii="Verdana" w:hAnsi="Verdana"/>
          <w:sz w:val="16"/>
          <w:szCs w:val="16"/>
        </w:rPr>
        <w:t xml:space="preserve">xpediente penal, ff. 8737 a 8742), y Oficio sin número de 4 de noviembre de 2009 de la Dirección General de Tráfico y Contrabando de la Policía Federal (expediente de prueba, </w:t>
      </w:r>
      <w:r>
        <w:rPr>
          <w:rFonts w:ascii="Verdana" w:hAnsi="Verdana"/>
          <w:sz w:val="16"/>
          <w:szCs w:val="16"/>
        </w:rPr>
        <w:t>e</w:t>
      </w:r>
      <w:r w:rsidRPr="00432ABC">
        <w:rPr>
          <w:rFonts w:ascii="Verdana" w:hAnsi="Verdana"/>
          <w:sz w:val="16"/>
          <w:szCs w:val="16"/>
        </w:rPr>
        <w:t>xpediente penal, f. 8772).</w:t>
      </w:r>
    </w:p>
  </w:footnote>
  <w:footnote w:id="108">
    <w:p w14:paraId="64AA6193" w14:textId="4416EC5D" w:rsidR="00146958" w:rsidRPr="002C462C" w:rsidRDefault="00146958">
      <w:pPr>
        <w:pStyle w:val="FootnoteText"/>
        <w:jc w:val="both"/>
        <w:rPr>
          <w:rFonts w:ascii="Verdana" w:hAnsi="Verdana"/>
          <w:sz w:val="16"/>
          <w:szCs w:val="16"/>
        </w:rPr>
      </w:pPr>
      <w:r w:rsidRPr="00432ABC">
        <w:rPr>
          <w:rStyle w:val="FootnoteReference"/>
          <w:rFonts w:ascii="Verdana" w:hAnsi="Verdana"/>
          <w:sz w:val="16"/>
          <w:szCs w:val="16"/>
        </w:rPr>
        <w:footnoteRef/>
      </w:r>
      <w:r w:rsidRPr="00432ABC">
        <w:rPr>
          <w:rFonts w:ascii="Verdana" w:hAnsi="Verdana"/>
          <w:sz w:val="16"/>
          <w:szCs w:val="16"/>
        </w:rPr>
        <w:t xml:space="preserve"> </w:t>
      </w:r>
      <w:r w:rsidRPr="00432ABC">
        <w:rPr>
          <w:rFonts w:ascii="Verdana" w:hAnsi="Verdana"/>
          <w:sz w:val="16"/>
          <w:szCs w:val="16"/>
        </w:rPr>
        <w:tab/>
      </w:r>
      <w:r w:rsidRPr="00CD5C54">
        <w:rPr>
          <w:rFonts w:ascii="Verdana" w:hAnsi="Verdana"/>
          <w:i/>
          <w:sz w:val="16"/>
          <w:szCs w:val="16"/>
        </w:rPr>
        <w:t>Cfr.</w:t>
      </w:r>
      <w:r w:rsidRPr="002C462C">
        <w:rPr>
          <w:rFonts w:ascii="Verdana" w:hAnsi="Verdana"/>
          <w:sz w:val="16"/>
          <w:szCs w:val="16"/>
        </w:rPr>
        <w:t xml:space="preserve"> Nota de Prensa titulada “Sigue la búsqueda de ‘Federales’ levantados en Chihuahua”, publicada en “El Siglo de Torreón”  (expediente de prueba, </w:t>
      </w:r>
      <w:r>
        <w:rPr>
          <w:rFonts w:ascii="Verdana" w:hAnsi="Verdana"/>
          <w:sz w:val="16"/>
          <w:szCs w:val="16"/>
        </w:rPr>
        <w:t>e</w:t>
      </w:r>
      <w:r w:rsidRPr="002C462C">
        <w:rPr>
          <w:rFonts w:ascii="Verdana" w:hAnsi="Verdana"/>
          <w:sz w:val="16"/>
          <w:szCs w:val="16"/>
        </w:rPr>
        <w:t xml:space="preserve">xpediente penal, f. 12020 a 12021), y Nota de Prensa titulada “Hallan cuerpos de los 3 agentes federales que habían sido levantados en Chihuahua”, publicada en el Diario “La Jornada” el 1 de noviembre de 2009 (expediente de prueba, </w:t>
      </w:r>
      <w:r>
        <w:rPr>
          <w:rFonts w:ascii="Verdana" w:hAnsi="Verdana"/>
          <w:sz w:val="16"/>
          <w:szCs w:val="16"/>
        </w:rPr>
        <w:t>e</w:t>
      </w:r>
      <w:r w:rsidRPr="002C462C">
        <w:rPr>
          <w:rFonts w:ascii="Verdana" w:hAnsi="Verdana"/>
          <w:sz w:val="16"/>
          <w:szCs w:val="16"/>
        </w:rPr>
        <w:t xml:space="preserve">xpediente penal, f. 12022 a 12023). </w:t>
      </w:r>
    </w:p>
  </w:footnote>
  <w:footnote w:id="109">
    <w:p w14:paraId="64AA6194" w14:textId="638C8152" w:rsidR="00146958" w:rsidRPr="00432ABC" w:rsidRDefault="00146958">
      <w:pPr>
        <w:pStyle w:val="FootnoteText"/>
        <w:jc w:val="both"/>
        <w:rPr>
          <w:rFonts w:ascii="Verdana" w:hAnsi="Verdana"/>
          <w:sz w:val="16"/>
          <w:szCs w:val="16"/>
        </w:rPr>
      </w:pPr>
      <w:r w:rsidRPr="00432ABC">
        <w:rPr>
          <w:rStyle w:val="FootnoteReference"/>
          <w:rFonts w:ascii="Verdana" w:hAnsi="Verdana"/>
          <w:sz w:val="16"/>
          <w:szCs w:val="16"/>
        </w:rPr>
        <w:footnoteRef/>
      </w:r>
      <w:r w:rsidRPr="00432ABC">
        <w:rPr>
          <w:rFonts w:ascii="Verdana" w:hAnsi="Verdana"/>
          <w:sz w:val="16"/>
          <w:szCs w:val="16"/>
        </w:rPr>
        <w:t xml:space="preserve">  </w:t>
      </w:r>
      <w:r w:rsidRPr="00432ABC">
        <w:rPr>
          <w:rFonts w:ascii="Verdana" w:hAnsi="Verdana"/>
          <w:sz w:val="16"/>
          <w:szCs w:val="16"/>
        </w:rPr>
        <w:tab/>
      </w:r>
      <w:r w:rsidRPr="00CD5C54">
        <w:rPr>
          <w:rFonts w:ascii="Verdana" w:hAnsi="Verdana"/>
          <w:i/>
          <w:sz w:val="16"/>
          <w:szCs w:val="16"/>
        </w:rPr>
        <w:t>Cfr.</w:t>
      </w:r>
      <w:r w:rsidRPr="002C462C">
        <w:rPr>
          <w:rFonts w:ascii="Verdana" w:hAnsi="Verdana"/>
          <w:i/>
          <w:sz w:val="16"/>
          <w:szCs w:val="16"/>
        </w:rPr>
        <w:t xml:space="preserve"> </w:t>
      </w:r>
      <w:r w:rsidRPr="002C462C">
        <w:rPr>
          <w:rFonts w:ascii="Verdana" w:hAnsi="Verdana"/>
          <w:sz w:val="16"/>
          <w:szCs w:val="16"/>
        </w:rPr>
        <w:t>Informe del EIP</w:t>
      </w:r>
      <w:r>
        <w:rPr>
          <w:rFonts w:ascii="Verdana" w:hAnsi="Verdana"/>
          <w:sz w:val="16"/>
          <w:szCs w:val="16"/>
        </w:rPr>
        <w:t xml:space="preserve">, </w:t>
      </w:r>
      <w:r w:rsidRPr="00432ABC">
        <w:rPr>
          <w:rFonts w:ascii="Verdana" w:hAnsi="Verdana"/>
          <w:sz w:val="16"/>
          <w:szCs w:val="16"/>
        </w:rPr>
        <w:t xml:space="preserve">2015, </w:t>
      </w:r>
      <w:r w:rsidRPr="00432ABC">
        <w:rPr>
          <w:rFonts w:ascii="Verdana" w:hAnsi="Verdana"/>
          <w:i/>
          <w:sz w:val="16"/>
          <w:szCs w:val="16"/>
        </w:rPr>
        <w:t>supra</w:t>
      </w:r>
      <w:r w:rsidRPr="00432ABC">
        <w:rPr>
          <w:rFonts w:ascii="Verdana" w:hAnsi="Verdana"/>
          <w:sz w:val="16"/>
          <w:szCs w:val="16"/>
        </w:rPr>
        <w:t xml:space="preserve"> </w:t>
      </w:r>
      <w:r>
        <w:rPr>
          <w:rFonts w:ascii="Verdana" w:hAnsi="Verdana"/>
          <w:sz w:val="16"/>
          <w:szCs w:val="16"/>
        </w:rPr>
        <w:t xml:space="preserve">(expediente de prueba, </w:t>
      </w:r>
      <w:r w:rsidRPr="00432ABC">
        <w:rPr>
          <w:rFonts w:ascii="Verdana" w:hAnsi="Verdana"/>
          <w:sz w:val="16"/>
          <w:szCs w:val="16"/>
        </w:rPr>
        <w:t>f</w:t>
      </w:r>
      <w:r>
        <w:rPr>
          <w:rFonts w:ascii="Verdana" w:hAnsi="Verdana"/>
          <w:sz w:val="16"/>
          <w:szCs w:val="16"/>
        </w:rPr>
        <w:t>f</w:t>
      </w:r>
      <w:r w:rsidRPr="00432ABC">
        <w:rPr>
          <w:rFonts w:ascii="Verdana" w:hAnsi="Verdana"/>
          <w:sz w:val="16"/>
          <w:szCs w:val="16"/>
        </w:rPr>
        <w:t>. 28892 y 28896</w:t>
      </w:r>
      <w:r>
        <w:rPr>
          <w:rFonts w:ascii="Verdana" w:hAnsi="Verdana"/>
          <w:sz w:val="16"/>
          <w:szCs w:val="16"/>
        </w:rPr>
        <w:t>)</w:t>
      </w:r>
      <w:r w:rsidRPr="00432ABC">
        <w:rPr>
          <w:rFonts w:ascii="Verdana" w:hAnsi="Verdana"/>
          <w:sz w:val="16"/>
          <w:szCs w:val="16"/>
        </w:rPr>
        <w:t xml:space="preserve">, y Nota de prensa titulada “Hallan cuerpo de inspector”, de 24 de octubre de 2009 (expediente de prueba, </w:t>
      </w:r>
      <w:r>
        <w:rPr>
          <w:rFonts w:ascii="Verdana" w:hAnsi="Verdana"/>
          <w:sz w:val="16"/>
          <w:szCs w:val="16"/>
        </w:rPr>
        <w:t>e</w:t>
      </w:r>
      <w:r w:rsidRPr="00432ABC">
        <w:rPr>
          <w:rFonts w:ascii="Verdana" w:hAnsi="Verdana"/>
          <w:sz w:val="16"/>
          <w:szCs w:val="16"/>
        </w:rPr>
        <w:t>xpediente penal, f. 12025).</w:t>
      </w:r>
    </w:p>
  </w:footnote>
  <w:footnote w:id="110">
    <w:p w14:paraId="64AA6195" w14:textId="5653E0A1" w:rsidR="00146958" w:rsidRPr="00432ABC" w:rsidRDefault="00146958">
      <w:pPr>
        <w:pStyle w:val="FootnoteText"/>
        <w:jc w:val="both"/>
        <w:rPr>
          <w:rFonts w:ascii="Verdana" w:hAnsi="Verdana"/>
          <w:sz w:val="16"/>
          <w:szCs w:val="16"/>
        </w:rPr>
      </w:pPr>
      <w:r w:rsidRPr="00432ABC">
        <w:rPr>
          <w:rStyle w:val="FootnoteReference"/>
          <w:rFonts w:ascii="Verdana" w:hAnsi="Verdana"/>
          <w:sz w:val="16"/>
          <w:szCs w:val="16"/>
        </w:rPr>
        <w:footnoteRef/>
      </w:r>
      <w:r w:rsidRPr="00432ABC">
        <w:rPr>
          <w:rFonts w:ascii="Verdana" w:hAnsi="Verdana"/>
          <w:sz w:val="16"/>
          <w:szCs w:val="16"/>
        </w:rPr>
        <w:t xml:space="preserve"> </w:t>
      </w:r>
      <w:r w:rsidRPr="00432ABC">
        <w:rPr>
          <w:rFonts w:ascii="Verdana" w:hAnsi="Verdana"/>
          <w:sz w:val="16"/>
          <w:szCs w:val="16"/>
        </w:rPr>
        <w:tab/>
      </w:r>
      <w:r w:rsidRPr="00CD5C54">
        <w:rPr>
          <w:rFonts w:ascii="Verdana" w:hAnsi="Verdana"/>
          <w:i/>
          <w:sz w:val="16"/>
          <w:szCs w:val="16"/>
        </w:rPr>
        <w:t>Cfr.</w:t>
      </w:r>
      <w:r w:rsidRPr="002C462C">
        <w:rPr>
          <w:rFonts w:ascii="Verdana" w:hAnsi="Verdana"/>
          <w:sz w:val="16"/>
          <w:szCs w:val="16"/>
        </w:rPr>
        <w:t xml:space="preserve"> Informe emitido por el CENAPI – PGR </w:t>
      </w:r>
      <w:r w:rsidRPr="00432ABC">
        <w:rPr>
          <w:rFonts w:ascii="Verdana" w:hAnsi="Verdana"/>
          <w:sz w:val="16"/>
          <w:szCs w:val="16"/>
        </w:rPr>
        <w:t xml:space="preserve">el 13 de octubre de 2017, </w:t>
      </w:r>
      <w:r w:rsidRPr="00432ABC">
        <w:rPr>
          <w:rFonts w:ascii="Verdana" w:hAnsi="Verdana"/>
          <w:i/>
          <w:sz w:val="16"/>
          <w:szCs w:val="16"/>
        </w:rPr>
        <w:t xml:space="preserve">supra, </w:t>
      </w:r>
      <w:r>
        <w:rPr>
          <w:rFonts w:ascii="Verdana" w:hAnsi="Verdana"/>
          <w:sz w:val="16"/>
          <w:szCs w:val="16"/>
        </w:rPr>
        <w:t xml:space="preserve">(expediente de prueba, </w:t>
      </w:r>
      <w:r w:rsidRPr="00432ABC">
        <w:rPr>
          <w:rFonts w:ascii="Verdana" w:hAnsi="Verdana"/>
          <w:sz w:val="16"/>
          <w:szCs w:val="16"/>
        </w:rPr>
        <w:t>f. 28532</w:t>
      </w:r>
      <w:r>
        <w:rPr>
          <w:rFonts w:ascii="Verdana" w:hAnsi="Verdana"/>
          <w:sz w:val="16"/>
          <w:szCs w:val="16"/>
        </w:rPr>
        <w:t>)</w:t>
      </w:r>
      <w:r w:rsidRPr="00432ABC">
        <w:rPr>
          <w:rFonts w:ascii="Verdana" w:hAnsi="Verdana"/>
          <w:sz w:val="16"/>
          <w:szCs w:val="16"/>
        </w:rPr>
        <w:t>.</w:t>
      </w:r>
    </w:p>
  </w:footnote>
  <w:footnote w:id="111">
    <w:p w14:paraId="64AA6196" w14:textId="47FC0467" w:rsidR="00146958" w:rsidRPr="00432ABC" w:rsidRDefault="00146958">
      <w:pPr>
        <w:pStyle w:val="FootnoteText"/>
        <w:jc w:val="both"/>
        <w:rPr>
          <w:rFonts w:ascii="Verdana" w:hAnsi="Verdana"/>
          <w:sz w:val="16"/>
          <w:szCs w:val="16"/>
        </w:rPr>
      </w:pPr>
      <w:r w:rsidRPr="00432ABC">
        <w:rPr>
          <w:rStyle w:val="FootnoteReference"/>
          <w:rFonts w:ascii="Verdana" w:hAnsi="Verdana"/>
          <w:sz w:val="16"/>
          <w:szCs w:val="16"/>
        </w:rPr>
        <w:footnoteRef/>
      </w:r>
      <w:r w:rsidRPr="00432ABC">
        <w:rPr>
          <w:rFonts w:ascii="Verdana" w:hAnsi="Verdana"/>
          <w:sz w:val="16"/>
          <w:szCs w:val="16"/>
        </w:rPr>
        <w:t xml:space="preserve"> </w:t>
      </w:r>
      <w:r w:rsidRPr="00432ABC">
        <w:rPr>
          <w:rFonts w:ascii="Verdana" w:hAnsi="Verdana"/>
          <w:sz w:val="16"/>
          <w:szCs w:val="16"/>
        </w:rPr>
        <w:tab/>
      </w:r>
      <w:r w:rsidRPr="00CD5C54">
        <w:rPr>
          <w:rFonts w:ascii="Verdana" w:hAnsi="Verdana"/>
          <w:i/>
          <w:sz w:val="16"/>
          <w:szCs w:val="16"/>
        </w:rPr>
        <w:t>Cfr.</w:t>
      </w:r>
      <w:r w:rsidRPr="002C462C">
        <w:rPr>
          <w:rFonts w:ascii="Verdana" w:hAnsi="Verdana"/>
          <w:i/>
          <w:sz w:val="16"/>
          <w:szCs w:val="16"/>
        </w:rPr>
        <w:t xml:space="preserve"> </w:t>
      </w:r>
      <w:r w:rsidRPr="002C462C">
        <w:rPr>
          <w:rFonts w:ascii="Verdana" w:hAnsi="Verdana"/>
          <w:sz w:val="16"/>
          <w:szCs w:val="16"/>
        </w:rPr>
        <w:t xml:space="preserve">Declaración rendida </w:t>
      </w:r>
      <w:r>
        <w:rPr>
          <w:rFonts w:ascii="Verdana" w:hAnsi="Verdana"/>
          <w:sz w:val="16"/>
          <w:szCs w:val="16"/>
        </w:rPr>
        <w:t xml:space="preserve">en la Audiencia Pública </w:t>
      </w:r>
      <w:r w:rsidRPr="002C462C">
        <w:rPr>
          <w:rFonts w:ascii="Verdana" w:hAnsi="Verdana"/>
          <w:sz w:val="16"/>
          <w:szCs w:val="16"/>
        </w:rPr>
        <w:t xml:space="preserve">ante la Corte por el perito Salvador Salazar Gutiérrez, </w:t>
      </w:r>
      <w:r w:rsidRPr="00432ABC">
        <w:rPr>
          <w:rFonts w:ascii="Verdana" w:hAnsi="Verdana"/>
          <w:i/>
          <w:sz w:val="16"/>
          <w:szCs w:val="16"/>
        </w:rPr>
        <w:t xml:space="preserve">supra, </w:t>
      </w:r>
      <w:r w:rsidRPr="00432ABC">
        <w:rPr>
          <w:rFonts w:ascii="Verdana" w:hAnsi="Verdana"/>
          <w:sz w:val="16"/>
          <w:szCs w:val="16"/>
        </w:rPr>
        <w:t>pág. 102.</w:t>
      </w:r>
    </w:p>
  </w:footnote>
  <w:footnote w:id="112">
    <w:p w14:paraId="64AA6197" w14:textId="48B72F9B" w:rsidR="00146958" w:rsidRPr="00432ABC" w:rsidRDefault="00146958">
      <w:pPr>
        <w:pStyle w:val="FootnoteText"/>
        <w:jc w:val="both"/>
        <w:rPr>
          <w:rFonts w:ascii="Verdana" w:hAnsi="Verdana"/>
          <w:sz w:val="16"/>
          <w:szCs w:val="16"/>
        </w:rPr>
      </w:pPr>
      <w:r w:rsidRPr="00432ABC">
        <w:rPr>
          <w:rStyle w:val="FootnoteReference"/>
          <w:rFonts w:ascii="Verdana" w:hAnsi="Verdana"/>
          <w:sz w:val="16"/>
          <w:szCs w:val="16"/>
        </w:rPr>
        <w:footnoteRef/>
      </w:r>
      <w:r w:rsidRPr="00432ABC">
        <w:rPr>
          <w:rFonts w:ascii="Verdana" w:hAnsi="Verdana"/>
          <w:sz w:val="16"/>
          <w:szCs w:val="16"/>
        </w:rPr>
        <w:t xml:space="preserve"> </w:t>
      </w:r>
      <w:r w:rsidRPr="00432ABC">
        <w:rPr>
          <w:rFonts w:ascii="Verdana" w:hAnsi="Verdana"/>
          <w:sz w:val="16"/>
          <w:szCs w:val="16"/>
        </w:rPr>
        <w:tab/>
      </w:r>
      <w:r w:rsidRPr="00CD5C54">
        <w:rPr>
          <w:rFonts w:ascii="Verdana" w:hAnsi="Verdana"/>
          <w:i/>
          <w:sz w:val="16"/>
          <w:szCs w:val="16"/>
        </w:rPr>
        <w:t>Cfr.</w:t>
      </w:r>
      <w:r w:rsidRPr="002C462C">
        <w:rPr>
          <w:rFonts w:ascii="Verdana" w:hAnsi="Verdana"/>
          <w:sz w:val="16"/>
          <w:szCs w:val="16"/>
        </w:rPr>
        <w:t xml:space="preserve"> Informe emitido por el CENAPI – PGR, </w:t>
      </w:r>
      <w:r w:rsidRPr="00432ABC">
        <w:rPr>
          <w:rFonts w:ascii="Verdana" w:hAnsi="Verdana"/>
          <w:i/>
          <w:sz w:val="16"/>
          <w:szCs w:val="16"/>
        </w:rPr>
        <w:t>supra</w:t>
      </w:r>
      <w:r>
        <w:rPr>
          <w:rFonts w:ascii="Verdana" w:hAnsi="Verdana"/>
          <w:sz w:val="16"/>
          <w:szCs w:val="16"/>
        </w:rPr>
        <w:t xml:space="preserve"> (expediente de prueba, </w:t>
      </w:r>
      <w:r w:rsidRPr="00432ABC">
        <w:rPr>
          <w:rFonts w:ascii="Verdana" w:hAnsi="Verdana"/>
          <w:sz w:val="16"/>
          <w:szCs w:val="16"/>
        </w:rPr>
        <w:t>f. 28533</w:t>
      </w:r>
      <w:r>
        <w:rPr>
          <w:rFonts w:ascii="Verdana" w:hAnsi="Verdana"/>
          <w:sz w:val="16"/>
          <w:szCs w:val="16"/>
        </w:rPr>
        <w:t>)</w:t>
      </w:r>
      <w:r w:rsidRPr="00432ABC">
        <w:rPr>
          <w:rFonts w:ascii="Verdana" w:hAnsi="Verdana"/>
          <w:sz w:val="16"/>
          <w:szCs w:val="16"/>
        </w:rPr>
        <w:t xml:space="preserve">, y Declaración de </w:t>
      </w:r>
      <w:r>
        <w:rPr>
          <w:rFonts w:ascii="Verdana" w:hAnsi="Verdana"/>
          <w:sz w:val="16"/>
          <w:szCs w:val="16"/>
        </w:rPr>
        <w:t xml:space="preserve">José </w:t>
      </w:r>
      <w:r w:rsidRPr="00432ABC">
        <w:rPr>
          <w:rFonts w:ascii="Verdana" w:hAnsi="Verdana"/>
          <w:sz w:val="16"/>
          <w:szCs w:val="16"/>
        </w:rPr>
        <w:t xml:space="preserve">Emilio Serrano Santiago, Director General de Análisis del CENAPI – PGR, rendida el 12 de abril de 2018 ante la AMPF de la FEIDDDF - PGR, </w:t>
      </w:r>
      <w:r w:rsidRPr="00432ABC">
        <w:rPr>
          <w:rFonts w:ascii="Verdana" w:hAnsi="Verdana"/>
          <w:i/>
          <w:sz w:val="16"/>
          <w:szCs w:val="16"/>
        </w:rPr>
        <w:t xml:space="preserve">supra </w:t>
      </w:r>
      <w:r>
        <w:rPr>
          <w:rFonts w:ascii="Verdana" w:hAnsi="Verdana"/>
          <w:sz w:val="16"/>
          <w:szCs w:val="16"/>
        </w:rPr>
        <w:t xml:space="preserve">(expediente de prueba, </w:t>
      </w:r>
      <w:r w:rsidRPr="00453199">
        <w:rPr>
          <w:rFonts w:ascii="Verdana" w:hAnsi="Verdana"/>
          <w:i/>
          <w:sz w:val="16"/>
          <w:szCs w:val="16"/>
        </w:rPr>
        <w:t>Affidávits</w:t>
      </w:r>
      <w:r>
        <w:rPr>
          <w:rFonts w:ascii="Verdana" w:hAnsi="Verdana"/>
          <w:sz w:val="16"/>
          <w:szCs w:val="16"/>
        </w:rPr>
        <w:t xml:space="preserve">, </w:t>
      </w:r>
      <w:r w:rsidRPr="00432ABC">
        <w:rPr>
          <w:rFonts w:ascii="Verdana" w:hAnsi="Verdana"/>
          <w:sz w:val="16"/>
          <w:szCs w:val="16"/>
        </w:rPr>
        <w:t>f. 31195</w:t>
      </w:r>
      <w:r>
        <w:rPr>
          <w:rFonts w:ascii="Verdana" w:hAnsi="Verdana"/>
          <w:sz w:val="16"/>
          <w:szCs w:val="16"/>
        </w:rPr>
        <w:t>)</w:t>
      </w:r>
      <w:r w:rsidRPr="00432ABC">
        <w:rPr>
          <w:rFonts w:ascii="Verdana" w:hAnsi="Verdana"/>
          <w:sz w:val="16"/>
          <w:szCs w:val="16"/>
        </w:rPr>
        <w:t>.</w:t>
      </w:r>
    </w:p>
  </w:footnote>
  <w:footnote w:id="113">
    <w:p w14:paraId="64AA6198" w14:textId="3925690C" w:rsidR="00146958" w:rsidRPr="00432ABC" w:rsidRDefault="00146958">
      <w:pPr>
        <w:pStyle w:val="FootnoteText"/>
        <w:jc w:val="both"/>
        <w:rPr>
          <w:rFonts w:ascii="Verdana" w:hAnsi="Verdana"/>
          <w:sz w:val="16"/>
          <w:szCs w:val="16"/>
        </w:rPr>
      </w:pPr>
      <w:r w:rsidRPr="00432ABC">
        <w:rPr>
          <w:rStyle w:val="FootnoteReference"/>
          <w:rFonts w:ascii="Verdana" w:hAnsi="Verdana"/>
          <w:sz w:val="16"/>
          <w:szCs w:val="16"/>
        </w:rPr>
        <w:footnoteRef/>
      </w:r>
      <w:r w:rsidRPr="00432ABC">
        <w:rPr>
          <w:rFonts w:ascii="Verdana" w:hAnsi="Verdana"/>
          <w:sz w:val="16"/>
          <w:szCs w:val="16"/>
        </w:rPr>
        <w:t xml:space="preserve"> </w:t>
      </w:r>
      <w:r w:rsidRPr="00432ABC">
        <w:rPr>
          <w:rFonts w:ascii="Verdana" w:hAnsi="Verdana"/>
          <w:sz w:val="16"/>
          <w:szCs w:val="16"/>
        </w:rPr>
        <w:tab/>
      </w:r>
      <w:r w:rsidRPr="00CD5C54">
        <w:rPr>
          <w:rFonts w:ascii="Verdana" w:hAnsi="Verdana"/>
          <w:i/>
          <w:sz w:val="16"/>
          <w:szCs w:val="16"/>
        </w:rPr>
        <w:t>Cfr.</w:t>
      </w:r>
      <w:r w:rsidRPr="002C462C">
        <w:rPr>
          <w:rFonts w:ascii="Verdana" w:hAnsi="Verdana"/>
          <w:i/>
          <w:sz w:val="16"/>
          <w:szCs w:val="16"/>
        </w:rPr>
        <w:t xml:space="preserve"> </w:t>
      </w:r>
      <w:r w:rsidRPr="002C462C">
        <w:rPr>
          <w:rFonts w:ascii="Verdana" w:hAnsi="Verdana"/>
          <w:sz w:val="16"/>
          <w:szCs w:val="16"/>
        </w:rPr>
        <w:t>Declaración rendida</w:t>
      </w:r>
      <w:r>
        <w:rPr>
          <w:rFonts w:ascii="Verdana" w:hAnsi="Verdana"/>
          <w:sz w:val="16"/>
          <w:szCs w:val="16"/>
        </w:rPr>
        <w:t xml:space="preserve"> en la Audiencia Pública</w:t>
      </w:r>
      <w:r w:rsidRPr="002C462C">
        <w:rPr>
          <w:rFonts w:ascii="Verdana" w:hAnsi="Verdana"/>
          <w:sz w:val="16"/>
          <w:szCs w:val="16"/>
        </w:rPr>
        <w:t xml:space="preserve"> ante la Corte por el perito Salvador Salazar Gutiérrez, </w:t>
      </w:r>
      <w:r w:rsidRPr="00432ABC">
        <w:rPr>
          <w:rFonts w:ascii="Verdana" w:hAnsi="Verdana"/>
          <w:i/>
          <w:sz w:val="16"/>
          <w:szCs w:val="16"/>
        </w:rPr>
        <w:t xml:space="preserve">supra, </w:t>
      </w:r>
      <w:r w:rsidRPr="00432ABC">
        <w:rPr>
          <w:rFonts w:ascii="Verdana" w:hAnsi="Verdana"/>
          <w:sz w:val="16"/>
          <w:szCs w:val="16"/>
        </w:rPr>
        <w:t>págs. 113 a 114.</w:t>
      </w:r>
      <w:r w:rsidRPr="00432ABC">
        <w:rPr>
          <w:rFonts w:ascii="Verdana" w:hAnsi="Verdana"/>
          <w:i/>
          <w:sz w:val="16"/>
          <w:szCs w:val="16"/>
        </w:rPr>
        <w:t xml:space="preserve"> </w:t>
      </w:r>
      <w:r w:rsidRPr="00432ABC">
        <w:rPr>
          <w:rFonts w:ascii="Verdana" w:hAnsi="Verdana"/>
          <w:sz w:val="16"/>
          <w:szCs w:val="16"/>
        </w:rPr>
        <w:t>En el mismo sentido,</w:t>
      </w:r>
      <w:r>
        <w:rPr>
          <w:rFonts w:ascii="Verdana" w:hAnsi="Verdana"/>
          <w:i/>
          <w:sz w:val="16"/>
          <w:szCs w:val="16"/>
        </w:rPr>
        <w:t xml:space="preserve"> </w:t>
      </w:r>
      <w:r w:rsidRPr="00432ABC">
        <w:rPr>
          <w:rFonts w:ascii="Verdana" w:hAnsi="Verdana"/>
          <w:sz w:val="16"/>
          <w:szCs w:val="16"/>
        </w:rPr>
        <w:t xml:space="preserve">Declaración pericial de Gabriella Citroni rendida el 18 de abril de 2018, </w:t>
      </w:r>
      <w:r w:rsidRPr="00432ABC">
        <w:rPr>
          <w:rFonts w:ascii="Verdana" w:hAnsi="Verdana"/>
          <w:i/>
          <w:sz w:val="16"/>
          <w:szCs w:val="16"/>
        </w:rPr>
        <w:t xml:space="preserve">supra </w:t>
      </w:r>
      <w:r>
        <w:rPr>
          <w:rFonts w:ascii="Verdana" w:hAnsi="Verdana"/>
          <w:sz w:val="16"/>
          <w:szCs w:val="16"/>
        </w:rPr>
        <w:t xml:space="preserve">(expediente de prueba, </w:t>
      </w:r>
      <w:r w:rsidRPr="00453199">
        <w:rPr>
          <w:rFonts w:ascii="Verdana" w:hAnsi="Verdana"/>
          <w:i/>
          <w:sz w:val="16"/>
          <w:szCs w:val="16"/>
        </w:rPr>
        <w:t>Affidávits</w:t>
      </w:r>
      <w:r>
        <w:rPr>
          <w:rFonts w:ascii="Verdana" w:hAnsi="Verdana"/>
          <w:sz w:val="16"/>
          <w:szCs w:val="16"/>
        </w:rPr>
        <w:t xml:space="preserve">, </w:t>
      </w:r>
      <w:r w:rsidRPr="00432ABC">
        <w:rPr>
          <w:rFonts w:ascii="Verdana" w:hAnsi="Verdana"/>
          <w:sz w:val="16"/>
          <w:szCs w:val="16"/>
        </w:rPr>
        <w:t>f. 31061</w:t>
      </w:r>
      <w:r>
        <w:rPr>
          <w:rFonts w:ascii="Verdana" w:hAnsi="Verdana"/>
          <w:sz w:val="16"/>
          <w:szCs w:val="16"/>
        </w:rPr>
        <w:t>)</w:t>
      </w:r>
      <w:r w:rsidRPr="00432ABC">
        <w:rPr>
          <w:rFonts w:ascii="Verdana" w:hAnsi="Verdana"/>
          <w:sz w:val="16"/>
          <w:szCs w:val="16"/>
        </w:rPr>
        <w:t>. La citada perito</w:t>
      </w:r>
      <w:r>
        <w:rPr>
          <w:rFonts w:ascii="Verdana" w:hAnsi="Verdana"/>
          <w:sz w:val="16"/>
          <w:szCs w:val="16"/>
        </w:rPr>
        <w:t>,</w:t>
      </w:r>
      <w:r w:rsidRPr="00432ABC">
        <w:rPr>
          <w:rFonts w:ascii="Verdana" w:hAnsi="Verdana"/>
          <w:sz w:val="16"/>
          <w:szCs w:val="16"/>
        </w:rPr>
        <w:t xml:space="preserve"> señaló que en el marco de la implementación del “Operativo Conjunto Chihuahua” tuvo lugar “la comisión de violaciones graves de derechos humanos, incluyendo desapariciones forzadas, y, en general, el uso excesivo de la fuerza [fueron] notorios […] ha desatado [sic] mayor violencia así como […] una falta de rendición de cuentas conforme a los estándares internacionales”.</w:t>
      </w:r>
    </w:p>
  </w:footnote>
  <w:footnote w:id="114">
    <w:p w14:paraId="64AA6199" w14:textId="29886848" w:rsidR="00146958" w:rsidRPr="00432ABC" w:rsidRDefault="00146958">
      <w:pPr>
        <w:pStyle w:val="FootnoteText"/>
        <w:jc w:val="both"/>
        <w:rPr>
          <w:rFonts w:ascii="Verdana" w:hAnsi="Verdana"/>
          <w:sz w:val="16"/>
          <w:szCs w:val="16"/>
        </w:rPr>
      </w:pPr>
      <w:r w:rsidRPr="00432ABC">
        <w:rPr>
          <w:rStyle w:val="FootnoteReference"/>
          <w:rFonts w:ascii="Verdana" w:hAnsi="Verdana"/>
          <w:sz w:val="16"/>
          <w:szCs w:val="16"/>
        </w:rPr>
        <w:footnoteRef/>
      </w:r>
      <w:r w:rsidRPr="00432ABC">
        <w:rPr>
          <w:rFonts w:ascii="Verdana" w:hAnsi="Verdana"/>
          <w:sz w:val="16"/>
          <w:szCs w:val="16"/>
        </w:rPr>
        <w:t xml:space="preserve"> </w:t>
      </w:r>
      <w:r w:rsidRPr="00432ABC">
        <w:rPr>
          <w:rFonts w:ascii="Verdana" w:hAnsi="Verdana"/>
          <w:sz w:val="16"/>
          <w:szCs w:val="16"/>
        </w:rPr>
        <w:tab/>
      </w:r>
      <w:r w:rsidRPr="00CD5C54">
        <w:rPr>
          <w:rFonts w:ascii="Verdana" w:hAnsi="Verdana"/>
          <w:i/>
          <w:sz w:val="16"/>
          <w:szCs w:val="16"/>
        </w:rPr>
        <w:t>Cfr.</w:t>
      </w:r>
      <w:r w:rsidRPr="002C462C">
        <w:rPr>
          <w:rFonts w:ascii="Verdana" w:hAnsi="Verdana"/>
          <w:sz w:val="16"/>
          <w:szCs w:val="16"/>
        </w:rPr>
        <w:t xml:space="preserve"> Comisión Estatal de los Derechos Humanos, Chihuahua</w:t>
      </w:r>
      <w:r>
        <w:rPr>
          <w:rFonts w:ascii="Verdana" w:hAnsi="Verdana"/>
          <w:sz w:val="16"/>
          <w:szCs w:val="16"/>
        </w:rPr>
        <w:t xml:space="preserve"> [CEDH-Ch]</w:t>
      </w:r>
      <w:r w:rsidRPr="002C462C">
        <w:rPr>
          <w:rFonts w:ascii="Verdana" w:hAnsi="Verdana"/>
          <w:sz w:val="16"/>
          <w:szCs w:val="16"/>
        </w:rPr>
        <w:t>. Informe Anual 2008: 167 quejas (</w:t>
      </w:r>
      <w:r>
        <w:rPr>
          <w:rFonts w:ascii="Verdana" w:hAnsi="Verdana"/>
          <w:sz w:val="16"/>
          <w:szCs w:val="16"/>
        </w:rPr>
        <w:t>pág</w:t>
      </w:r>
      <w:r w:rsidRPr="002C462C">
        <w:rPr>
          <w:rFonts w:ascii="Verdana" w:hAnsi="Verdana"/>
          <w:sz w:val="16"/>
          <w:szCs w:val="16"/>
        </w:rPr>
        <w:t xml:space="preserve">. 39), disponible en: </w:t>
      </w:r>
      <w:hyperlink r:id="rId32" w:history="1">
        <w:r w:rsidRPr="00432ABC">
          <w:rPr>
            <w:rStyle w:val="Hyperlink"/>
            <w:rFonts w:ascii="Verdana" w:hAnsi="Verdana"/>
            <w:sz w:val="16"/>
            <w:szCs w:val="16"/>
          </w:rPr>
          <w:t>http://www.cedhchihuahua.org.mx/portal/Informes/Informe_2008.pdf</w:t>
        </w:r>
      </w:hyperlink>
      <w:r w:rsidRPr="00432ABC">
        <w:rPr>
          <w:rFonts w:ascii="Verdana" w:hAnsi="Verdana"/>
          <w:sz w:val="16"/>
          <w:szCs w:val="16"/>
        </w:rPr>
        <w:t xml:space="preserve"> ;   Informe Anual  2009: 169 quejas (</w:t>
      </w:r>
      <w:r>
        <w:rPr>
          <w:rFonts w:ascii="Verdana" w:hAnsi="Verdana"/>
          <w:sz w:val="16"/>
          <w:szCs w:val="16"/>
        </w:rPr>
        <w:t>pág.</w:t>
      </w:r>
      <w:r w:rsidRPr="00432ABC">
        <w:rPr>
          <w:rFonts w:ascii="Verdana" w:hAnsi="Verdana"/>
          <w:sz w:val="16"/>
          <w:szCs w:val="16"/>
        </w:rPr>
        <w:t xml:space="preserve"> 45), disponible en </w:t>
      </w:r>
      <w:hyperlink r:id="rId33" w:history="1">
        <w:r w:rsidRPr="00432ABC">
          <w:rPr>
            <w:rStyle w:val="Hyperlink"/>
            <w:rFonts w:ascii="Verdana" w:hAnsi="Verdana"/>
            <w:sz w:val="16"/>
            <w:szCs w:val="16"/>
          </w:rPr>
          <w:t>http://www.cedhchihuahua.org.mx/portal/Informes/Informe_2009.pdf</w:t>
        </w:r>
      </w:hyperlink>
      <w:r w:rsidRPr="00432ABC">
        <w:rPr>
          <w:rFonts w:ascii="Verdana" w:hAnsi="Verdana"/>
          <w:sz w:val="16"/>
          <w:szCs w:val="16"/>
        </w:rPr>
        <w:t xml:space="preserve"> ; Informe Anual 2010: 103 quejas (</w:t>
      </w:r>
      <w:r>
        <w:rPr>
          <w:rFonts w:ascii="Verdana" w:hAnsi="Verdana"/>
          <w:sz w:val="16"/>
          <w:szCs w:val="16"/>
        </w:rPr>
        <w:t>pág.</w:t>
      </w:r>
      <w:r w:rsidRPr="00432ABC">
        <w:rPr>
          <w:rFonts w:ascii="Verdana" w:hAnsi="Verdana"/>
          <w:sz w:val="16"/>
          <w:szCs w:val="16"/>
        </w:rPr>
        <w:t xml:space="preserve"> 34 a 36), disponible en:</w:t>
      </w:r>
      <w:r w:rsidRPr="00432ABC">
        <w:rPr>
          <w:rFonts w:ascii="Verdana" w:eastAsiaTheme="minorHAnsi" w:hAnsi="Verdana"/>
          <w:sz w:val="16"/>
          <w:szCs w:val="16"/>
        </w:rPr>
        <w:t xml:space="preserve"> </w:t>
      </w:r>
      <w:hyperlink r:id="rId34" w:history="1">
        <w:r w:rsidRPr="00432ABC">
          <w:rPr>
            <w:rStyle w:val="Hyperlink"/>
            <w:rFonts w:ascii="Verdana" w:eastAsiaTheme="minorHAnsi" w:hAnsi="Verdana"/>
            <w:sz w:val="16"/>
            <w:szCs w:val="16"/>
          </w:rPr>
          <w:t>http://www.cedhchihuahua.org.mx/portal/Informes/Informe_2010.pdf</w:t>
        </w:r>
      </w:hyperlink>
      <w:r w:rsidRPr="00432ABC">
        <w:rPr>
          <w:rFonts w:ascii="Verdana" w:eastAsiaTheme="minorHAnsi" w:hAnsi="Verdana"/>
          <w:sz w:val="16"/>
          <w:szCs w:val="16"/>
        </w:rPr>
        <w:t xml:space="preserve">; e </w:t>
      </w:r>
      <w:r w:rsidRPr="00432ABC">
        <w:rPr>
          <w:rFonts w:ascii="Verdana" w:hAnsi="Verdana"/>
          <w:sz w:val="16"/>
          <w:szCs w:val="16"/>
        </w:rPr>
        <w:t>Informe Anual 2011: 18 quejas (</w:t>
      </w:r>
      <w:r>
        <w:rPr>
          <w:rFonts w:ascii="Verdana" w:hAnsi="Verdana"/>
          <w:sz w:val="16"/>
          <w:szCs w:val="16"/>
        </w:rPr>
        <w:t xml:space="preserve">pág. </w:t>
      </w:r>
      <w:r w:rsidRPr="00432ABC">
        <w:rPr>
          <w:rFonts w:ascii="Verdana" w:hAnsi="Verdana"/>
          <w:sz w:val="16"/>
          <w:szCs w:val="16"/>
        </w:rPr>
        <w:t xml:space="preserve">111), disponible en: </w:t>
      </w:r>
      <w:hyperlink r:id="rId35" w:history="1">
        <w:r w:rsidRPr="00432ABC">
          <w:rPr>
            <w:rStyle w:val="Hyperlink"/>
            <w:rFonts w:ascii="Verdana" w:hAnsi="Verdana"/>
            <w:sz w:val="16"/>
            <w:szCs w:val="16"/>
          </w:rPr>
          <w:t>http://www.cedhchihuahua.org.mx/portal/Informes/Informe_2011.pdf</w:t>
        </w:r>
      </w:hyperlink>
      <w:r w:rsidRPr="00432ABC">
        <w:rPr>
          <w:rFonts w:ascii="Verdana" w:hAnsi="Verdana"/>
          <w:sz w:val="16"/>
          <w:szCs w:val="16"/>
        </w:rPr>
        <w:t xml:space="preserve">. Información de público conocimiento.  </w:t>
      </w:r>
    </w:p>
  </w:footnote>
  <w:footnote w:id="115">
    <w:p w14:paraId="64AA619A" w14:textId="6CECD7DB" w:rsidR="00146958" w:rsidRPr="00432ABC" w:rsidRDefault="00146958">
      <w:pPr>
        <w:pStyle w:val="FootnoteText"/>
        <w:jc w:val="both"/>
        <w:rPr>
          <w:rFonts w:ascii="Verdana" w:hAnsi="Verdana"/>
          <w:sz w:val="16"/>
          <w:szCs w:val="16"/>
        </w:rPr>
      </w:pPr>
      <w:r w:rsidRPr="00432ABC">
        <w:rPr>
          <w:rStyle w:val="FootnoteReference"/>
          <w:rFonts w:ascii="Verdana" w:hAnsi="Verdana"/>
          <w:sz w:val="16"/>
          <w:szCs w:val="16"/>
        </w:rPr>
        <w:footnoteRef/>
      </w:r>
      <w:r w:rsidRPr="00432ABC">
        <w:rPr>
          <w:rFonts w:ascii="Verdana" w:hAnsi="Verdana"/>
          <w:sz w:val="16"/>
          <w:szCs w:val="16"/>
        </w:rPr>
        <w:t xml:space="preserve"> </w:t>
      </w:r>
      <w:r w:rsidRPr="00432ABC">
        <w:rPr>
          <w:rFonts w:ascii="Verdana" w:hAnsi="Verdana"/>
          <w:sz w:val="16"/>
          <w:szCs w:val="16"/>
        </w:rPr>
        <w:tab/>
      </w:r>
      <w:r w:rsidRPr="00CD5C54">
        <w:rPr>
          <w:rFonts w:ascii="Verdana" w:hAnsi="Verdana"/>
          <w:i/>
          <w:sz w:val="16"/>
          <w:szCs w:val="16"/>
        </w:rPr>
        <w:t>Cfr.</w:t>
      </w:r>
      <w:r w:rsidRPr="002C462C">
        <w:rPr>
          <w:rFonts w:ascii="Verdana" w:hAnsi="Verdana"/>
          <w:i/>
          <w:sz w:val="16"/>
          <w:szCs w:val="16"/>
        </w:rPr>
        <w:t xml:space="preserve"> </w:t>
      </w:r>
      <w:r w:rsidRPr="002C462C">
        <w:rPr>
          <w:rFonts w:ascii="Verdana" w:hAnsi="Verdana"/>
          <w:sz w:val="16"/>
          <w:szCs w:val="16"/>
        </w:rPr>
        <w:t xml:space="preserve">Declaración pericial del GIASF rendida </w:t>
      </w:r>
      <w:r>
        <w:rPr>
          <w:rFonts w:ascii="Verdana" w:hAnsi="Verdana"/>
          <w:sz w:val="16"/>
          <w:szCs w:val="16"/>
        </w:rPr>
        <w:t>el</w:t>
      </w:r>
      <w:r w:rsidRPr="002C462C">
        <w:rPr>
          <w:rFonts w:ascii="Verdana" w:hAnsi="Verdana"/>
          <w:sz w:val="16"/>
          <w:szCs w:val="16"/>
        </w:rPr>
        <w:t xml:space="preserve"> 19 de abril de 2018, </w:t>
      </w:r>
      <w:r w:rsidRPr="00432ABC">
        <w:rPr>
          <w:rFonts w:ascii="Verdana" w:hAnsi="Verdana"/>
          <w:i/>
          <w:sz w:val="16"/>
          <w:szCs w:val="16"/>
        </w:rPr>
        <w:t>supra</w:t>
      </w:r>
      <w:r w:rsidRPr="00432ABC">
        <w:rPr>
          <w:rFonts w:ascii="Verdana" w:hAnsi="Verdana"/>
          <w:sz w:val="16"/>
          <w:szCs w:val="16"/>
        </w:rPr>
        <w:t xml:space="preserve"> </w:t>
      </w:r>
      <w:r>
        <w:rPr>
          <w:rFonts w:ascii="Verdana" w:hAnsi="Verdana"/>
          <w:sz w:val="16"/>
          <w:szCs w:val="16"/>
        </w:rPr>
        <w:t xml:space="preserve">(expediente de prueba, </w:t>
      </w:r>
      <w:r w:rsidRPr="00453199">
        <w:rPr>
          <w:rFonts w:ascii="Verdana" w:hAnsi="Verdana"/>
          <w:i/>
          <w:sz w:val="16"/>
          <w:szCs w:val="16"/>
        </w:rPr>
        <w:t>Affidávits</w:t>
      </w:r>
      <w:r>
        <w:rPr>
          <w:rFonts w:ascii="Verdana" w:hAnsi="Verdana"/>
          <w:sz w:val="16"/>
          <w:szCs w:val="16"/>
        </w:rPr>
        <w:t xml:space="preserve">, </w:t>
      </w:r>
      <w:r w:rsidRPr="00432ABC">
        <w:rPr>
          <w:rFonts w:ascii="Verdana" w:hAnsi="Verdana"/>
          <w:sz w:val="16"/>
          <w:szCs w:val="16"/>
        </w:rPr>
        <w:t>ff. 31151</w:t>
      </w:r>
      <w:r>
        <w:rPr>
          <w:rFonts w:ascii="Verdana" w:hAnsi="Verdana"/>
          <w:sz w:val="16"/>
          <w:szCs w:val="16"/>
        </w:rPr>
        <w:t>)</w:t>
      </w:r>
      <w:r w:rsidRPr="00432ABC">
        <w:rPr>
          <w:rFonts w:ascii="Verdana" w:hAnsi="Verdana"/>
          <w:sz w:val="16"/>
          <w:szCs w:val="16"/>
        </w:rPr>
        <w:t xml:space="preserve">, y Declaración rendida </w:t>
      </w:r>
      <w:r>
        <w:rPr>
          <w:rFonts w:ascii="Verdana" w:hAnsi="Verdana"/>
          <w:sz w:val="16"/>
          <w:szCs w:val="16"/>
        </w:rPr>
        <w:t xml:space="preserve">en la Audiencia Pública </w:t>
      </w:r>
      <w:r w:rsidRPr="00432ABC">
        <w:rPr>
          <w:rFonts w:ascii="Verdana" w:hAnsi="Verdana"/>
          <w:sz w:val="16"/>
          <w:szCs w:val="16"/>
        </w:rPr>
        <w:t xml:space="preserve">ante la Corte por el perito Salvador Salazar Gutiérrez, </w:t>
      </w:r>
      <w:r w:rsidRPr="00432ABC">
        <w:rPr>
          <w:rFonts w:ascii="Verdana" w:hAnsi="Verdana"/>
          <w:i/>
          <w:sz w:val="16"/>
          <w:szCs w:val="16"/>
        </w:rPr>
        <w:t xml:space="preserve">supra, </w:t>
      </w:r>
      <w:r w:rsidRPr="00432ABC">
        <w:rPr>
          <w:rFonts w:ascii="Verdana" w:hAnsi="Verdana"/>
          <w:sz w:val="16"/>
          <w:szCs w:val="16"/>
        </w:rPr>
        <w:t>pág. 105.</w:t>
      </w:r>
    </w:p>
  </w:footnote>
  <w:footnote w:id="116">
    <w:p w14:paraId="64AA619B" w14:textId="103D1555" w:rsidR="00146958" w:rsidRPr="002C462C" w:rsidRDefault="00146958">
      <w:pPr>
        <w:pStyle w:val="FootnoteText"/>
        <w:jc w:val="both"/>
        <w:rPr>
          <w:rFonts w:ascii="Verdana" w:hAnsi="Verdana"/>
          <w:sz w:val="16"/>
          <w:szCs w:val="16"/>
        </w:rPr>
      </w:pPr>
      <w:r w:rsidRPr="00432ABC">
        <w:rPr>
          <w:rStyle w:val="FootnoteReference"/>
          <w:rFonts w:ascii="Verdana" w:hAnsi="Verdana"/>
          <w:sz w:val="16"/>
          <w:szCs w:val="16"/>
        </w:rPr>
        <w:footnoteRef/>
      </w:r>
      <w:r w:rsidRPr="00432ABC">
        <w:rPr>
          <w:rFonts w:ascii="Verdana" w:hAnsi="Verdana"/>
          <w:sz w:val="16"/>
          <w:szCs w:val="16"/>
        </w:rPr>
        <w:t xml:space="preserve"> </w:t>
      </w:r>
      <w:r w:rsidRPr="00432ABC">
        <w:rPr>
          <w:rFonts w:ascii="Verdana" w:hAnsi="Verdana"/>
          <w:sz w:val="16"/>
          <w:szCs w:val="16"/>
        </w:rPr>
        <w:tab/>
        <w:t xml:space="preserve">Declaración pericial del GIASF rendida </w:t>
      </w:r>
      <w:r>
        <w:rPr>
          <w:rFonts w:ascii="Verdana" w:hAnsi="Verdana"/>
          <w:sz w:val="16"/>
          <w:szCs w:val="16"/>
        </w:rPr>
        <w:t>el</w:t>
      </w:r>
      <w:r w:rsidRPr="00432ABC">
        <w:rPr>
          <w:rFonts w:ascii="Verdana" w:hAnsi="Verdana"/>
          <w:sz w:val="16"/>
          <w:szCs w:val="16"/>
        </w:rPr>
        <w:t xml:space="preserve"> 19 de abril de 2018, </w:t>
      </w:r>
      <w:r w:rsidRPr="00432ABC">
        <w:rPr>
          <w:rFonts w:ascii="Verdana" w:hAnsi="Verdana"/>
          <w:i/>
          <w:sz w:val="16"/>
          <w:szCs w:val="16"/>
        </w:rPr>
        <w:t>supra</w:t>
      </w:r>
      <w:r w:rsidRPr="002C462C">
        <w:rPr>
          <w:rFonts w:ascii="Verdana" w:hAnsi="Verdana"/>
          <w:sz w:val="16"/>
          <w:szCs w:val="16"/>
        </w:rPr>
        <w:t xml:space="preserve"> </w:t>
      </w:r>
      <w:r>
        <w:rPr>
          <w:rFonts w:ascii="Verdana" w:hAnsi="Verdana"/>
          <w:sz w:val="16"/>
          <w:szCs w:val="16"/>
        </w:rPr>
        <w:t xml:space="preserve">(expediente de prueba, </w:t>
      </w:r>
      <w:r w:rsidRPr="00453199">
        <w:rPr>
          <w:rFonts w:ascii="Verdana" w:hAnsi="Verdana"/>
          <w:i/>
          <w:sz w:val="16"/>
          <w:szCs w:val="16"/>
        </w:rPr>
        <w:t>Affidávits</w:t>
      </w:r>
      <w:r>
        <w:rPr>
          <w:rFonts w:ascii="Verdana" w:hAnsi="Verdana"/>
          <w:sz w:val="16"/>
          <w:szCs w:val="16"/>
        </w:rPr>
        <w:t xml:space="preserve">, </w:t>
      </w:r>
      <w:r w:rsidRPr="002C462C">
        <w:rPr>
          <w:rFonts w:ascii="Verdana" w:hAnsi="Verdana"/>
          <w:sz w:val="16"/>
          <w:szCs w:val="16"/>
        </w:rPr>
        <w:t>f. 31153</w:t>
      </w:r>
      <w:r>
        <w:rPr>
          <w:rFonts w:ascii="Verdana" w:hAnsi="Verdana"/>
          <w:sz w:val="16"/>
          <w:szCs w:val="16"/>
        </w:rPr>
        <w:t>)</w:t>
      </w:r>
      <w:r w:rsidRPr="002C462C">
        <w:rPr>
          <w:rFonts w:ascii="Verdana" w:hAnsi="Verdana"/>
          <w:sz w:val="16"/>
          <w:szCs w:val="16"/>
        </w:rPr>
        <w:t>.</w:t>
      </w:r>
    </w:p>
  </w:footnote>
  <w:footnote w:id="117">
    <w:p w14:paraId="4BA4027E" w14:textId="3C65E4B7" w:rsidR="00146958" w:rsidRPr="00432ABC" w:rsidRDefault="00146958">
      <w:pPr>
        <w:pStyle w:val="FootnoteText"/>
        <w:jc w:val="both"/>
        <w:rPr>
          <w:rFonts w:ascii="Verdana" w:hAnsi="Verdana"/>
          <w:sz w:val="16"/>
          <w:szCs w:val="16"/>
        </w:rPr>
      </w:pPr>
      <w:r w:rsidRPr="00432ABC">
        <w:rPr>
          <w:rStyle w:val="FootnoteReference"/>
          <w:rFonts w:ascii="Verdana" w:hAnsi="Verdana"/>
          <w:sz w:val="16"/>
          <w:szCs w:val="16"/>
        </w:rPr>
        <w:footnoteRef/>
      </w:r>
      <w:r w:rsidRPr="00432ABC">
        <w:rPr>
          <w:rFonts w:ascii="Verdana" w:hAnsi="Verdana"/>
          <w:sz w:val="16"/>
          <w:szCs w:val="16"/>
        </w:rPr>
        <w:t xml:space="preserve"> </w:t>
      </w:r>
      <w:r w:rsidRPr="00432ABC">
        <w:rPr>
          <w:rFonts w:ascii="Verdana" w:hAnsi="Verdana"/>
          <w:sz w:val="16"/>
          <w:szCs w:val="16"/>
        </w:rPr>
        <w:tab/>
      </w:r>
      <w:r w:rsidRPr="002C462C">
        <w:rPr>
          <w:rFonts w:ascii="Verdana" w:hAnsi="Verdana"/>
          <w:sz w:val="16"/>
          <w:szCs w:val="16"/>
        </w:rPr>
        <w:t>Los familiares que se citan con siglas corresponde a menores de edad que desde el trámite de medidas provisionales se ha mantenido en reserva sus nombres.</w:t>
      </w:r>
      <w:r w:rsidRPr="00432ABC">
        <w:rPr>
          <w:rFonts w:ascii="Verdana" w:hAnsi="Verdana"/>
          <w:sz w:val="16"/>
          <w:szCs w:val="16"/>
          <w:highlight w:val="yellow"/>
        </w:rPr>
        <w:t xml:space="preserve">  </w:t>
      </w:r>
    </w:p>
    <w:p w14:paraId="64AA619C" w14:textId="6E0078FB" w:rsidR="00146958" w:rsidRPr="00432ABC" w:rsidRDefault="00146958">
      <w:pPr>
        <w:pStyle w:val="FootnoteText"/>
        <w:jc w:val="both"/>
        <w:rPr>
          <w:rFonts w:ascii="Verdana" w:hAnsi="Verdana"/>
          <w:sz w:val="16"/>
          <w:szCs w:val="16"/>
        </w:rPr>
      </w:pPr>
      <w:r w:rsidRPr="00432ABC">
        <w:rPr>
          <w:rFonts w:ascii="Verdana" w:hAnsi="Verdana"/>
          <w:sz w:val="16"/>
          <w:szCs w:val="16"/>
        </w:rPr>
        <w:t>En lo sucesivo, para efectos de citación de las fuentes obrantes en el acervo probatorio en el presente caso, se emplearán de manera genérica las siglas “AMPF” para identificar a los titulares de los órganos de investigación denominados “Agentes del Ministerio Público” del fuero federal pertenecientes a las distintas unidades, dependencias y fiscalías de Procuraduría General de la República intervinientes, y “AMP” para designar a los “Agentes del Ministerio Público” correspondientes al fuero local del Estado de Chihuahua, salvo las excepciones en su caso señaladas.</w:t>
      </w:r>
    </w:p>
  </w:footnote>
  <w:footnote w:id="118">
    <w:p w14:paraId="64AA619D" w14:textId="34E86829" w:rsidR="00146958" w:rsidRPr="00432ABC" w:rsidRDefault="00146958">
      <w:pPr>
        <w:pStyle w:val="FootnoteText"/>
        <w:jc w:val="both"/>
        <w:rPr>
          <w:rFonts w:ascii="Verdana" w:hAnsi="Verdana"/>
          <w:sz w:val="16"/>
          <w:szCs w:val="16"/>
        </w:rPr>
      </w:pPr>
      <w:r w:rsidRPr="00432ABC">
        <w:rPr>
          <w:rStyle w:val="FootnoteReference"/>
          <w:rFonts w:ascii="Verdana" w:hAnsi="Verdana"/>
          <w:sz w:val="16"/>
          <w:szCs w:val="16"/>
        </w:rPr>
        <w:footnoteRef/>
      </w:r>
      <w:r w:rsidRPr="00432ABC">
        <w:rPr>
          <w:rFonts w:ascii="Verdana" w:hAnsi="Verdana"/>
          <w:sz w:val="16"/>
          <w:szCs w:val="16"/>
        </w:rPr>
        <w:t xml:space="preserve"> </w:t>
      </w:r>
      <w:r w:rsidRPr="00432ABC">
        <w:rPr>
          <w:rFonts w:ascii="Verdana" w:hAnsi="Verdana"/>
          <w:sz w:val="16"/>
          <w:szCs w:val="16"/>
        </w:rPr>
        <w:tab/>
        <w:t>Oficio No. PGR/FEVIMTRA/TRA/0589/2010</w:t>
      </w:r>
      <w:r w:rsidRPr="00432ABC">
        <w:rPr>
          <w:rFonts w:ascii="Verdana" w:hAnsi="Verdana" w:cs="Arial"/>
          <w:bCs/>
          <w:sz w:val="16"/>
          <w:szCs w:val="16"/>
        </w:rPr>
        <w:t xml:space="preserve"> de 23 de junio de 2010</w:t>
      </w:r>
      <w:r w:rsidRPr="002C462C">
        <w:rPr>
          <w:rFonts w:ascii="Verdana" w:hAnsi="Verdana"/>
          <w:sz w:val="16"/>
          <w:szCs w:val="16"/>
        </w:rPr>
        <w:t>, suscrito la Fiscal</w:t>
      </w:r>
      <w:r w:rsidRPr="002C462C">
        <w:rPr>
          <w:rFonts w:ascii="Verdana" w:hAnsi="Verdana" w:cs="Arial"/>
          <w:sz w:val="16"/>
          <w:szCs w:val="16"/>
        </w:rPr>
        <w:t xml:space="preserve">ía Especial </w:t>
      </w:r>
      <w:r w:rsidRPr="00432ABC">
        <w:rPr>
          <w:rFonts w:ascii="Verdana" w:hAnsi="Verdana" w:cs="Arial"/>
          <w:bCs/>
          <w:sz w:val="16"/>
          <w:szCs w:val="16"/>
        </w:rPr>
        <w:t xml:space="preserve">para los Delitos de Violencia contra las Mujeres y Trata de Personas [FEVIMTRA – PGR], dirigido a la Directora General de Cooperación Internacional de la PGR </w:t>
      </w:r>
      <w:r w:rsidRPr="00432ABC">
        <w:rPr>
          <w:rFonts w:ascii="Verdana" w:hAnsi="Verdana"/>
          <w:sz w:val="16"/>
          <w:szCs w:val="16"/>
        </w:rPr>
        <w:t xml:space="preserve">(expediente de prueba, f. 92).  </w:t>
      </w:r>
    </w:p>
  </w:footnote>
  <w:footnote w:id="119">
    <w:p w14:paraId="64AA619F" w14:textId="4B6BD1E7" w:rsidR="00146958" w:rsidRPr="002C462C" w:rsidRDefault="00146958">
      <w:pPr>
        <w:pStyle w:val="FootnoteText"/>
        <w:jc w:val="both"/>
        <w:rPr>
          <w:rFonts w:ascii="Verdana" w:hAnsi="Verdana"/>
          <w:sz w:val="16"/>
          <w:szCs w:val="16"/>
        </w:rPr>
      </w:pPr>
      <w:r w:rsidRPr="00432ABC">
        <w:rPr>
          <w:rStyle w:val="FootnoteReference"/>
          <w:rFonts w:ascii="Verdana" w:hAnsi="Verdana"/>
          <w:sz w:val="16"/>
          <w:szCs w:val="16"/>
        </w:rPr>
        <w:footnoteRef/>
      </w:r>
      <w:r w:rsidRPr="00432ABC">
        <w:rPr>
          <w:rFonts w:ascii="Verdana" w:hAnsi="Verdana"/>
          <w:sz w:val="16"/>
          <w:szCs w:val="16"/>
        </w:rPr>
        <w:t xml:space="preserve"> </w:t>
      </w:r>
      <w:r w:rsidRPr="00432ABC">
        <w:rPr>
          <w:rFonts w:ascii="Verdana" w:hAnsi="Verdana"/>
          <w:sz w:val="16"/>
          <w:szCs w:val="16"/>
        </w:rPr>
        <w:tab/>
      </w:r>
      <w:r w:rsidRPr="00CD5C54">
        <w:rPr>
          <w:rFonts w:ascii="Verdana" w:hAnsi="Verdana"/>
          <w:i/>
          <w:sz w:val="16"/>
          <w:szCs w:val="16"/>
        </w:rPr>
        <w:t>Cfr.</w:t>
      </w:r>
      <w:r w:rsidRPr="00432ABC">
        <w:rPr>
          <w:rFonts w:ascii="Verdana" w:hAnsi="Verdana"/>
          <w:i/>
          <w:sz w:val="16"/>
          <w:szCs w:val="16"/>
        </w:rPr>
        <w:t xml:space="preserve"> </w:t>
      </w:r>
      <w:r w:rsidRPr="002C462C">
        <w:rPr>
          <w:rFonts w:ascii="Verdana" w:hAnsi="Verdana"/>
          <w:sz w:val="16"/>
          <w:szCs w:val="16"/>
        </w:rPr>
        <w:t>Dictamen de invalidez emitido por el Instituto Mexicano del Seguro Social (expediente de prueba,</w:t>
      </w:r>
      <w:r>
        <w:rPr>
          <w:rFonts w:ascii="Verdana" w:hAnsi="Verdana"/>
          <w:sz w:val="16"/>
          <w:szCs w:val="16"/>
        </w:rPr>
        <w:t xml:space="preserve"> </w:t>
      </w:r>
      <w:r w:rsidRPr="002C462C">
        <w:rPr>
          <w:rFonts w:ascii="Verdana" w:hAnsi="Verdana"/>
          <w:sz w:val="16"/>
          <w:szCs w:val="16"/>
        </w:rPr>
        <w:t>ff. 89 a 90).</w:t>
      </w:r>
    </w:p>
  </w:footnote>
  <w:footnote w:id="120">
    <w:p w14:paraId="64AA61A1" w14:textId="6E994215" w:rsidR="00146958" w:rsidRPr="00432ABC" w:rsidRDefault="00146958">
      <w:pPr>
        <w:pStyle w:val="FootnoteText"/>
        <w:jc w:val="both"/>
        <w:rPr>
          <w:rFonts w:ascii="Verdana" w:hAnsi="Verdana"/>
          <w:sz w:val="16"/>
          <w:szCs w:val="16"/>
        </w:rPr>
      </w:pPr>
      <w:r w:rsidRPr="00432ABC">
        <w:rPr>
          <w:rStyle w:val="FootnoteReference"/>
          <w:rFonts w:ascii="Verdana" w:hAnsi="Verdana"/>
          <w:sz w:val="16"/>
          <w:szCs w:val="16"/>
        </w:rPr>
        <w:footnoteRef/>
      </w:r>
      <w:r w:rsidRPr="00432ABC">
        <w:rPr>
          <w:rFonts w:ascii="Verdana" w:hAnsi="Verdana"/>
          <w:sz w:val="16"/>
          <w:szCs w:val="16"/>
        </w:rPr>
        <w:t xml:space="preserve"> </w:t>
      </w:r>
      <w:r w:rsidRPr="00432ABC">
        <w:rPr>
          <w:rFonts w:ascii="Verdana" w:hAnsi="Verdana"/>
          <w:sz w:val="16"/>
          <w:szCs w:val="16"/>
        </w:rPr>
        <w:tab/>
        <w:t xml:space="preserve">Acta de Nacimiento No. 176 de Rocío Irene Alvarado Reyes, expedida por la Oficialía No. 92 del Registro Civil del Estado de Chihuahua (expediente de prueba, </w:t>
      </w:r>
      <w:r>
        <w:rPr>
          <w:rFonts w:ascii="Verdana" w:hAnsi="Verdana"/>
          <w:sz w:val="16"/>
          <w:szCs w:val="16"/>
        </w:rPr>
        <w:t>e</w:t>
      </w:r>
      <w:r w:rsidRPr="00432ABC">
        <w:rPr>
          <w:rFonts w:ascii="Verdana" w:hAnsi="Verdana"/>
          <w:sz w:val="16"/>
          <w:szCs w:val="16"/>
        </w:rPr>
        <w:t>xpediente penal, f. 7391).</w:t>
      </w:r>
    </w:p>
  </w:footnote>
  <w:footnote w:id="121">
    <w:p w14:paraId="2DDF6E68" w14:textId="4745754E" w:rsidR="00146958" w:rsidRPr="00D16B59" w:rsidRDefault="00146958" w:rsidP="008D0846">
      <w:pPr>
        <w:pStyle w:val="FootnoteText"/>
        <w:jc w:val="both"/>
      </w:pPr>
      <w:r>
        <w:rPr>
          <w:rStyle w:val="FootnoteReference"/>
        </w:rPr>
        <w:footnoteRef/>
      </w:r>
      <w:r>
        <w:t xml:space="preserve"> </w:t>
      </w:r>
      <w:r>
        <w:tab/>
      </w:r>
      <w:r w:rsidRPr="00CD5C54">
        <w:rPr>
          <w:rFonts w:ascii="Verdana" w:hAnsi="Verdana"/>
          <w:i/>
          <w:iCs/>
          <w:sz w:val="16"/>
        </w:rPr>
        <w:t>Cfr.</w:t>
      </w:r>
      <w:r w:rsidRPr="008D0846">
        <w:rPr>
          <w:rFonts w:ascii="Verdana" w:hAnsi="Verdana"/>
          <w:i/>
          <w:iCs/>
          <w:sz w:val="16"/>
        </w:rPr>
        <w:t xml:space="preserve"> </w:t>
      </w:r>
      <w:r w:rsidRPr="008D0846">
        <w:rPr>
          <w:rFonts w:ascii="Verdana" w:hAnsi="Verdana"/>
          <w:sz w:val="16"/>
        </w:rPr>
        <w:t xml:space="preserve">Oficio No. PGR/FEVIMTRA/TRA/0589/2010 de 23 de junio de 2010, suscrito por la </w:t>
      </w:r>
      <w:r>
        <w:rPr>
          <w:rFonts w:ascii="Verdana" w:hAnsi="Verdana"/>
          <w:sz w:val="16"/>
        </w:rPr>
        <w:t>FEVIMTRA-PGR</w:t>
      </w:r>
      <w:r w:rsidRPr="008D0846">
        <w:rPr>
          <w:rFonts w:ascii="Verdana" w:hAnsi="Verdana"/>
          <w:sz w:val="16"/>
        </w:rPr>
        <w:t xml:space="preserve">, </w:t>
      </w:r>
      <w:r w:rsidRPr="008D0846">
        <w:rPr>
          <w:rFonts w:ascii="Verdana" w:hAnsi="Verdana"/>
          <w:i/>
          <w:sz w:val="16"/>
        </w:rPr>
        <w:t>supra</w:t>
      </w:r>
      <w:r>
        <w:rPr>
          <w:rFonts w:ascii="Verdana" w:hAnsi="Verdana"/>
          <w:sz w:val="16"/>
        </w:rPr>
        <w:t xml:space="preserve"> </w:t>
      </w:r>
      <w:r w:rsidRPr="00D16B59">
        <w:rPr>
          <w:rFonts w:ascii="Verdana" w:hAnsi="Verdana"/>
          <w:sz w:val="16"/>
        </w:rPr>
        <w:t xml:space="preserve">(expediente de prueba, </w:t>
      </w:r>
      <w:r>
        <w:rPr>
          <w:rFonts w:ascii="Verdana" w:hAnsi="Verdana"/>
          <w:sz w:val="16"/>
        </w:rPr>
        <w:t>e</w:t>
      </w:r>
      <w:r w:rsidRPr="008D0846">
        <w:rPr>
          <w:rFonts w:ascii="Verdana" w:hAnsi="Verdana"/>
          <w:sz w:val="16"/>
        </w:rPr>
        <w:t>xpediente penal, f. 13735).</w:t>
      </w:r>
    </w:p>
  </w:footnote>
  <w:footnote w:id="122">
    <w:p w14:paraId="64AA61A6" w14:textId="77777777" w:rsidR="00146958" w:rsidRPr="00432ABC" w:rsidRDefault="00146958">
      <w:pPr>
        <w:pStyle w:val="FootnoteText"/>
        <w:jc w:val="both"/>
        <w:rPr>
          <w:rFonts w:ascii="Verdana" w:hAnsi="Verdana"/>
          <w:sz w:val="16"/>
          <w:szCs w:val="16"/>
        </w:rPr>
      </w:pPr>
      <w:r w:rsidRPr="00432ABC">
        <w:rPr>
          <w:rStyle w:val="FootnoteReference"/>
          <w:rFonts w:ascii="Verdana" w:hAnsi="Verdana"/>
          <w:sz w:val="16"/>
          <w:szCs w:val="16"/>
        </w:rPr>
        <w:footnoteRef/>
      </w:r>
      <w:r w:rsidRPr="00432ABC">
        <w:rPr>
          <w:rFonts w:ascii="Verdana" w:hAnsi="Verdana"/>
          <w:sz w:val="16"/>
          <w:szCs w:val="16"/>
        </w:rPr>
        <w:t xml:space="preserve"> </w:t>
      </w:r>
      <w:r w:rsidRPr="00432ABC">
        <w:rPr>
          <w:rFonts w:ascii="Verdana" w:hAnsi="Verdana"/>
          <w:sz w:val="16"/>
          <w:szCs w:val="16"/>
        </w:rPr>
        <w:tab/>
        <w:t>Acta de Nacimiento No. 69 de José Ángel Alvarado Herrera expedida por el Juez del Registro Civil del Ejido Benito Juárez, Buenaventura, Chihuahua (expediente de prueba, f. 7389).</w:t>
      </w:r>
    </w:p>
  </w:footnote>
  <w:footnote w:id="123">
    <w:p w14:paraId="64AA61A7" w14:textId="1D3BBEDB" w:rsidR="00146958" w:rsidRPr="00432ABC" w:rsidRDefault="00146958">
      <w:pPr>
        <w:pStyle w:val="FootnoteText"/>
        <w:jc w:val="both"/>
        <w:rPr>
          <w:rFonts w:ascii="Verdana" w:hAnsi="Verdana"/>
          <w:sz w:val="16"/>
          <w:szCs w:val="16"/>
          <w:highlight w:val="yellow"/>
        </w:rPr>
      </w:pPr>
      <w:r w:rsidRPr="00432ABC">
        <w:rPr>
          <w:rStyle w:val="FootnoteReference"/>
          <w:rFonts w:ascii="Verdana" w:hAnsi="Verdana"/>
          <w:sz w:val="16"/>
          <w:szCs w:val="16"/>
        </w:rPr>
        <w:footnoteRef/>
      </w:r>
      <w:r w:rsidRPr="00432ABC">
        <w:rPr>
          <w:rFonts w:ascii="Verdana" w:hAnsi="Verdana"/>
          <w:sz w:val="16"/>
          <w:szCs w:val="16"/>
        </w:rPr>
        <w:t xml:space="preserve"> </w:t>
      </w:r>
      <w:r w:rsidRPr="00432ABC">
        <w:rPr>
          <w:rFonts w:ascii="Verdana" w:hAnsi="Verdana"/>
          <w:sz w:val="16"/>
          <w:szCs w:val="16"/>
        </w:rPr>
        <w:tab/>
      </w:r>
      <w:r w:rsidRPr="00CD5C54">
        <w:rPr>
          <w:rFonts w:ascii="Verdana" w:hAnsi="Verdana"/>
          <w:i/>
          <w:sz w:val="16"/>
          <w:szCs w:val="16"/>
        </w:rPr>
        <w:t>Cfr.</w:t>
      </w:r>
      <w:r w:rsidRPr="00432ABC">
        <w:rPr>
          <w:rFonts w:ascii="Verdana" w:hAnsi="Verdana"/>
          <w:i/>
          <w:sz w:val="16"/>
          <w:szCs w:val="16"/>
        </w:rPr>
        <w:t xml:space="preserve"> </w:t>
      </w:r>
      <w:r w:rsidRPr="002C462C">
        <w:rPr>
          <w:rFonts w:ascii="Verdana" w:hAnsi="Verdana"/>
          <w:sz w:val="16"/>
          <w:szCs w:val="16"/>
        </w:rPr>
        <w:t xml:space="preserve">Constancia laboral de la Empresa Vientek México S. de R. L. de C. V. (expediente de prueba, f. 96), y Declaración rendida por María de Jesús Alvarado Espinoza ante la Corte en la Audiencia Pública, </w:t>
      </w:r>
      <w:r w:rsidRPr="00432ABC">
        <w:rPr>
          <w:rFonts w:ascii="Verdana" w:hAnsi="Verdana"/>
          <w:i/>
          <w:sz w:val="16"/>
          <w:szCs w:val="16"/>
        </w:rPr>
        <w:t>supra,</w:t>
      </w:r>
      <w:r w:rsidRPr="00432ABC">
        <w:rPr>
          <w:rFonts w:ascii="Verdana" w:hAnsi="Verdana"/>
          <w:sz w:val="16"/>
          <w:szCs w:val="16"/>
        </w:rPr>
        <w:t xml:space="preserve"> pág. 27.</w:t>
      </w:r>
    </w:p>
  </w:footnote>
  <w:footnote w:id="124">
    <w:p w14:paraId="7917625B" w14:textId="0FAE70FC" w:rsidR="00146958" w:rsidRPr="00432ABC" w:rsidRDefault="00146958">
      <w:pPr>
        <w:pStyle w:val="FootnoteText"/>
        <w:jc w:val="both"/>
        <w:rPr>
          <w:rFonts w:ascii="Verdana" w:hAnsi="Verdana"/>
          <w:sz w:val="16"/>
          <w:szCs w:val="16"/>
        </w:rPr>
      </w:pPr>
      <w:r w:rsidRPr="00432ABC">
        <w:rPr>
          <w:rStyle w:val="FootnoteReference"/>
          <w:rFonts w:ascii="Verdana" w:hAnsi="Verdana"/>
          <w:sz w:val="16"/>
          <w:szCs w:val="16"/>
        </w:rPr>
        <w:footnoteRef/>
      </w:r>
      <w:r w:rsidRPr="00432ABC">
        <w:rPr>
          <w:rFonts w:ascii="Verdana" w:hAnsi="Verdana"/>
          <w:sz w:val="16"/>
          <w:szCs w:val="16"/>
        </w:rPr>
        <w:t xml:space="preserve">  </w:t>
      </w:r>
      <w:r w:rsidRPr="00432ABC">
        <w:rPr>
          <w:rFonts w:ascii="Verdana" w:hAnsi="Verdana"/>
          <w:sz w:val="16"/>
          <w:szCs w:val="16"/>
        </w:rPr>
        <w:tab/>
      </w:r>
      <w:r w:rsidRPr="002C462C">
        <w:rPr>
          <w:rFonts w:ascii="Verdana" w:hAnsi="Verdana"/>
          <w:sz w:val="16"/>
          <w:szCs w:val="16"/>
        </w:rPr>
        <w:t xml:space="preserve">De acuerdo con la Resolución de Medidas Provisionales de esta Corte  14 de noviembre de 2017, el beneficiario identificado dentro del trámite de las mismas con las siglas “A.A.E” corresponde a la misma persona señalada por la Comisión como familiar de José Ángel Alvarado Herrera en el párrafo </w:t>
      </w:r>
      <w:r w:rsidRPr="00432ABC">
        <w:rPr>
          <w:rFonts w:ascii="Verdana" w:hAnsi="Verdana"/>
          <w:sz w:val="16"/>
          <w:szCs w:val="16"/>
        </w:rPr>
        <w:t xml:space="preserve">62 de su Informe de fondo con las iniciales “A.E.B.”. </w:t>
      </w:r>
      <w:r w:rsidRPr="00CD5C54">
        <w:rPr>
          <w:rFonts w:ascii="Verdana" w:hAnsi="Verdana"/>
          <w:i/>
          <w:sz w:val="16"/>
          <w:szCs w:val="16"/>
        </w:rPr>
        <w:t>Cfr.</w:t>
      </w:r>
      <w:r w:rsidRPr="00432ABC">
        <w:rPr>
          <w:rFonts w:ascii="Verdana" w:hAnsi="Verdana"/>
          <w:sz w:val="16"/>
          <w:szCs w:val="16"/>
        </w:rPr>
        <w:t xml:space="preserve"> </w:t>
      </w:r>
      <w:r w:rsidRPr="00432ABC">
        <w:rPr>
          <w:rFonts w:ascii="Verdana" w:hAnsi="Verdana"/>
          <w:bCs/>
          <w:i/>
          <w:sz w:val="16"/>
          <w:szCs w:val="16"/>
        </w:rPr>
        <w:t>Asunto Alvarado Reyes y otros respecto de México. Medidas Provisionales.</w:t>
      </w:r>
      <w:r w:rsidRPr="00432ABC">
        <w:rPr>
          <w:rFonts w:ascii="Verdana" w:hAnsi="Verdana"/>
          <w:bCs/>
          <w:sz w:val="16"/>
          <w:szCs w:val="16"/>
        </w:rPr>
        <w:t xml:space="preserve"> Resolución de 14 de noviembre de 2017. </w:t>
      </w:r>
      <w:r w:rsidRPr="00432ABC">
        <w:rPr>
          <w:rFonts w:ascii="Verdana" w:hAnsi="Verdana"/>
          <w:sz w:val="16"/>
          <w:szCs w:val="16"/>
        </w:rPr>
        <w:t xml:space="preserve">Considerando 13, y nota al pie número 6. Disponible en: </w:t>
      </w:r>
      <w:hyperlink r:id="rId36" w:history="1">
        <w:r w:rsidRPr="00432ABC">
          <w:rPr>
            <w:rStyle w:val="Hyperlink"/>
            <w:rFonts w:ascii="Verdana" w:hAnsi="Verdana"/>
            <w:sz w:val="16"/>
            <w:szCs w:val="16"/>
          </w:rPr>
          <w:t>http://www.corteidh.or.cr/docs/medidas/alvarado_se_07.pdf</w:t>
        </w:r>
      </w:hyperlink>
      <w:r w:rsidRPr="00432ABC">
        <w:rPr>
          <w:rFonts w:ascii="Verdana" w:hAnsi="Verdana"/>
          <w:sz w:val="16"/>
          <w:szCs w:val="16"/>
        </w:rPr>
        <w:t xml:space="preserve">  </w:t>
      </w:r>
    </w:p>
  </w:footnote>
  <w:footnote w:id="125">
    <w:p w14:paraId="64AA61AA" w14:textId="242B71E9" w:rsidR="00146958" w:rsidRPr="00432ABC" w:rsidRDefault="00146958">
      <w:pPr>
        <w:pStyle w:val="FootnoteText"/>
        <w:jc w:val="both"/>
        <w:rPr>
          <w:rFonts w:ascii="Verdana" w:hAnsi="Verdana"/>
          <w:sz w:val="16"/>
          <w:szCs w:val="16"/>
        </w:rPr>
      </w:pPr>
      <w:r w:rsidRPr="00432ABC">
        <w:rPr>
          <w:rStyle w:val="FootnoteReference"/>
          <w:rFonts w:ascii="Verdana" w:hAnsi="Verdana"/>
          <w:sz w:val="16"/>
          <w:szCs w:val="16"/>
        </w:rPr>
        <w:footnoteRef/>
      </w:r>
      <w:r w:rsidRPr="00432ABC">
        <w:rPr>
          <w:rFonts w:ascii="Verdana" w:hAnsi="Verdana"/>
          <w:sz w:val="16"/>
          <w:szCs w:val="16"/>
        </w:rPr>
        <w:t xml:space="preserve"> </w:t>
      </w:r>
      <w:r w:rsidRPr="00432ABC">
        <w:rPr>
          <w:rFonts w:ascii="Verdana" w:hAnsi="Verdana"/>
          <w:sz w:val="16"/>
          <w:szCs w:val="16"/>
        </w:rPr>
        <w:tab/>
      </w:r>
      <w:r w:rsidRPr="00CD5C54">
        <w:rPr>
          <w:rFonts w:ascii="Verdana" w:hAnsi="Verdana"/>
          <w:i/>
          <w:sz w:val="16"/>
          <w:szCs w:val="16"/>
        </w:rPr>
        <w:t>Cfr.</w:t>
      </w:r>
      <w:r w:rsidRPr="002C462C">
        <w:rPr>
          <w:rFonts w:ascii="Verdana" w:hAnsi="Verdana"/>
          <w:sz w:val="16"/>
          <w:szCs w:val="16"/>
        </w:rPr>
        <w:t xml:space="preserve"> Árbol genealógico presentado por las representantes dentro del trámite de admisibilidad ante la Comisión Interamericana el 24 de diciembre de 2012, </w:t>
      </w:r>
      <w:r w:rsidRPr="00432ABC">
        <w:rPr>
          <w:rFonts w:ascii="Verdana" w:hAnsi="Verdana"/>
          <w:i/>
          <w:sz w:val="16"/>
          <w:szCs w:val="16"/>
        </w:rPr>
        <w:t xml:space="preserve">supra </w:t>
      </w:r>
      <w:r>
        <w:rPr>
          <w:rFonts w:ascii="Verdana" w:hAnsi="Verdana"/>
          <w:sz w:val="16"/>
          <w:szCs w:val="16"/>
        </w:rPr>
        <w:t xml:space="preserve">(expediente de prueba, </w:t>
      </w:r>
      <w:r w:rsidRPr="00432ABC">
        <w:rPr>
          <w:rFonts w:ascii="Verdana" w:hAnsi="Verdana"/>
          <w:sz w:val="16"/>
          <w:szCs w:val="16"/>
        </w:rPr>
        <w:t>f. 1672</w:t>
      </w:r>
      <w:r>
        <w:rPr>
          <w:rFonts w:ascii="Verdana" w:hAnsi="Verdana"/>
          <w:sz w:val="16"/>
          <w:szCs w:val="16"/>
        </w:rPr>
        <w:t>)</w:t>
      </w:r>
      <w:r w:rsidRPr="00432ABC">
        <w:rPr>
          <w:rFonts w:ascii="Verdana" w:hAnsi="Verdana"/>
          <w:sz w:val="16"/>
          <w:szCs w:val="16"/>
        </w:rPr>
        <w:t>.</w:t>
      </w:r>
      <w:r>
        <w:rPr>
          <w:rFonts w:ascii="Verdana" w:hAnsi="Verdana"/>
          <w:sz w:val="16"/>
          <w:szCs w:val="16"/>
        </w:rPr>
        <w:t xml:space="preserve"> Ver también cita 1, respecto de Manuel Melquiades y familia. </w:t>
      </w:r>
      <w:r w:rsidRPr="00432ABC">
        <w:rPr>
          <w:rFonts w:ascii="Verdana" w:hAnsi="Verdana"/>
          <w:sz w:val="16"/>
          <w:szCs w:val="16"/>
        </w:rPr>
        <w:t xml:space="preserve"> </w:t>
      </w:r>
    </w:p>
  </w:footnote>
  <w:footnote w:id="126">
    <w:p w14:paraId="64AA61AB" w14:textId="599EB947" w:rsidR="00146958" w:rsidRPr="00432ABC" w:rsidRDefault="00146958">
      <w:pPr>
        <w:pStyle w:val="FootnoteText"/>
        <w:jc w:val="both"/>
        <w:rPr>
          <w:rFonts w:ascii="Verdana" w:hAnsi="Verdana"/>
          <w:sz w:val="16"/>
          <w:szCs w:val="16"/>
        </w:rPr>
      </w:pPr>
      <w:r w:rsidRPr="00432ABC">
        <w:rPr>
          <w:rStyle w:val="FootnoteReference"/>
          <w:rFonts w:ascii="Verdana" w:hAnsi="Verdana"/>
          <w:sz w:val="16"/>
          <w:szCs w:val="16"/>
        </w:rPr>
        <w:footnoteRef/>
      </w:r>
      <w:r w:rsidRPr="00432ABC">
        <w:rPr>
          <w:rFonts w:ascii="Verdana" w:hAnsi="Verdana"/>
          <w:sz w:val="16"/>
          <w:szCs w:val="16"/>
        </w:rPr>
        <w:t xml:space="preserve"> </w:t>
      </w:r>
      <w:r w:rsidRPr="00432ABC">
        <w:rPr>
          <w:rFonts w:ascii="Verdana" w:hAnsi="Verdana"/>
          <w:sz w:val="16"/>
          <w:szCs w:val="16"/>
        </w:rPr>
        <w:tab/>
      </w:r>
      <w:r w:rsidRPr="00CD5C54">
        <w:rPr>
          <w:rFonts w:ascii="Verdana" w:hAnsi="Verdana"/>
          <w:i/>
          <w:sz w:val="16"/>
          <w:szCs w:val="16"/>
        </w:rPr>
        <w:t>Cfr.</w:t>
      </w:r>
      <w:r w:rsidRPr="002C462C">
        <w:rPr>
          <w:rFonts w:ascii="Verdana" w:hAnsi="Verdana"/>
          <w:sz w:val="16"/>
          <w:szCs w:val="16"/>
        </w:rPr>
        <w:t xml:space="preserve"> Árbol genealógico presentado por las representantes, </w:t>
      </w:r>
      <w:r w:rsidRPr="002C462C">
        <w:rPr>
          <w:rFonts w:ascii="Verdana" w:hAnsi="Verdana"/>
          <w:i/>
          <w:sz w:val="16"/>
          <w:szCs w:val="16"/>
        </w:rPr>
        <w:t>supr</w:t>
      </w:r>
      <w:r>
        <w:rPr>
          <w:rFonts w:ascii="Verdana" w:hAnsi="Verdana"/>
          <w:i/>
          <w:sz w:val="16"/>
          <w:szCs w:val="16"/>
        </w:rPr>
        <w:t>a</w:t>
      </w:r>
      <w:r w:rsidRPr="002C462C">
        <w:rPr>
          <w:rFonts w:ascii="Verdana" w:hAnsi="Verdana"/>
          <w:i/>
          <w:sz w:val="16"/>
          <w:szCs w:val="16"/>
        </w:rPr>
        <w:t xml:space="preserve"> </w:t>
      </w:r>
      <w:r>
        <w:rPr>
          <w:rFonts w:ascii="Verdana" w:hAnsi="Verdana"/>
          <w:sz w:val="16"/>
          <w:szCs w:val="16"/>
        </w:rPr>
        <w:t>(expediente de prueba</w:t>
      </w:r>
      <w:r>
        <w:rPr>
          <w:rFonts w:ascii="Verdana" w:hAnsi="Verdana"/>
          <w:sz w:val="16"/>
        </w:rPr>
        <w:t xml:space="preserve">, </w:t>
      </w:r>
      <w:r w:rsidRPr="00432ABC">
        <w:rPr>
          <w:rFonts w:ascii="Verdana" w:hAnsi="Verdana"/>
          <w:sz w:val="16"/>
          <w:szCs w:val="16"/>
        </w:rPr>
        <w:t>f. 1672</w:t>
      </w:r>
      <w:r>
        <w:rPr>
          <w:rFonts w:ascii="Verdana" w:hAnsi="Verdana"/>
          <w:sz w:val="16"/>
          <w:szCs w:val="16"/>
        </w:rPr>
        <w:t>)</w:t>
      </w:r>
      <w:r w:rsidRPr="00432ABC">
        <w:rPr>
          <w:rFonts w:ascii="Verdana" w:hAnsi="Verdana"/>
          <w:sz w:val="16"/>
          <w:szCs w:val="16"/>
        </w:rPr>
        <w:t>.</w:t>
      </w:r>
    </w:p>
  </w:footnote>
  <w:footnote w:id="127">
    <w:p w14:paraId="64AA61AC" w14:textId="3FD2E62F" w:rsidR="00146958" w:rsidRPr="00432ABC" w:rsidRDefault="00146958">
      <w:pPr>
        <w:pStyle w:val="FootnoteText"/>
        <w:jc w:val="both"/>
        <w:rPr>
          <w:rFonts w:ascii="Verdana" w:hAnsi="Verdana"/>
          <w:sz w:val="16"/>
          <w:szCs w:val="16"/>
        </w:rPr>
      </w:pPr>
      <w:r w:rsidRPr="00432ABC">
        <w:rPr>
          <w:rStyle w:val="FootnoteReference"/>
          <w:rFonts w:ascii="Verdana" w:hAnsi="Verdana"/>
          <w:sz w:val="16"/>
          <w:szCs w:val="16"/>
        </w:rPr>
        <w:footnoteRef/>
      </w:r>
      <w:r w:rsidRPr="00432ABC">
        <w:rPr>
          <w:rFonts w:ascii="Verdana" w:hAnsi="Verdana"/>
          <w:sz w:val="16"/>
          <w:szCs w:val="16"/>
        </w:rPr>
        <w:t xml:space="preserve"> </w:t>
      </w:r>
      <w:r w:rsidRPr="00432ABC">
        <w:rPr>
          <w:rFonts w:ascii="Verdana" w:hAnsi="Verdana"/>
          <w:sz w:val="16"/>
          <w:szCs w:val="16"/>
        </w:rPr>
        <w:tab/>
      </w:r>
      <w:r w:rsidRPr="00CD5C54">
        <w:rPr>
          <w:rFonts w:ascii="Verdana" w:hAnsi="Verdana"/>
          <w:i/>
          <w:sz w:val="16"/>
          <w:szCs w:val="16"/>
        </w:rPr>
        <w:t>Cfr.</w:t>
      </w:r>
      <w:r w:rsidRPr="002C462C">
        <w:rPr>
          <w:rFonts w:ascii="Verdana" w:hAnsi="Verdana"/>
          <w:sz w:val="16"/>
          <w:szCs w:val="16"/>
        </w:rPr>
        <w:t xml:space="preserve"> Declaración pericial de Carlos Martín Beristáin rendida </w:t>
      </w:r>
      <w:r>
        <w:rPr>
          <w:rFonts w:ascii="Verdana" w:hAnsi="Verdana"/>
          <w:sz w:val="16"/>
          <w:szCs w:val="16"/>
        </w:rPr>
        <w:t>el</w:t>
      </w:r>
      <w:r w:rsidRPr="002C462C">
        <w:rPr>
          <w:rFonts w:ascii="Verdana" w:hAnsi="Verdana"/>
          <w:sz w:val="16"/>
          <w:szCs w:val="16"/>
        </w:rPr>
        <w:t xml:space="preserve"> 16 de abril de 2018, y Familiograma [sic] anexo (expediente de prueba, </w:t>
      </w:r>
      <w:r w:rsidRPr="00453199">
        <w:rPr>
          <w:rFonts w:ascii="Verdana" w:hAnsi="Verdana"/>
          <w:i/>
          <w:sz w:val="16"/>
        </w:rPr>
        <w:t>Affidávits</w:t>
      </w:r>
      <w:r w:rsidRPr="00432ABC">
        <w:rPr>
          <w:rFonts w:ascii="Verdana" w:hAnsi="Verdana"/>
          <w:sz w:val="16"/>
          <w:szCs w:val="16"/>
        </w:rPr>
        <w:t>, ff. 31002 y 31050).</w:t>
      </w:r>
    </w:p>
  </w:footnote>
  <w:footnote w:id="128">
    <w:p w14:paraId="64AA61AD" w14:textId="0508B7D4" w:rsidR="00146958" w:rsidRPr="00432ABC" w:rsidRDefault="00146958">
      <w:pPr>
        <w:pStyle w:val="FootnoteText"/>
        <w:jc w:val="both"/>
        <w:rPr>
          <w:rFonts w:ascii="Verdana" w:hAnsi="Verdana"/>
          <w:sz w:val="16"/>
          <w:szCs w:val="16"/>
        </w:rPr>
      </w:pPr>
      <w:r w:rsidRPr="00432ABC">
        <w:rPr>
          <w:rStyle w:val="FootnoteReference"/>
          <w:rFonts w:ascii="Verdana" w:hAnsi="Verdana"/>
          <w:sz w:val="16"/>
          <w:szCs w:val="16"/>
        </w:rPr>
        <w:footnoteRef/>
      </w:r>
      <w:r w:rsidRPr="00432ABC">
        <w:rPr>
          <w:rFonts w:ascii="Verdana" w:hAnsi="Verdana"/>
          <w:sz w:val="16"/>
          <w:szCs w:val="16"/>
        </w:rPr>
        <w:t xml:space="preserve"> </w:t>
      </w:r>
      <w:r w:rsidRPr="00432ABC">
        <w:rPr>
          <w:rFonts w:ascii="Verdana" w:hAnsi="Verdana"/>
          <w:sz w:val="16"/>
          <w:szCs w:val="16"/>
        </w:rPr>
        <w:tab/>
      </w:r>
      <w:r w:rsidRPr="00CD5C54">
        <w:rPr>
          <w:rFonts w:ascii="Verdana" w:hAnsi="Verdana"/>
          <w:i/>
          <w:sz w:val="16"/>
          <w:szCs w:val="16"/>
        </w:rPr>
        <w:t>Cfr.</w:t>
      </w:r>
      <w:r w:rsidRPr="002C462C">
        <w:rPr>
          <w:rFonts w:ascii="Verdana" w:hAnsi="Verdana"/>
          <w:sz w:val="16"/>
          <w:szCs w:val="16"/>
        </w:rPr>
        <w:t xml:space="preserve"> Declaración de Obdulia Espinoza Beltrán rendida el 10 de junio de 2010 ante el Subdirector de Manejo y Control de Averiguaciones Previas [SMC] de la FEVIMTRA – PGR (expediente de prueba, f. 27919), y Declaración de Obdulia Espinoza Beltrán rendida el 16 de enero de 2013 ante el AMPF en apoyo de la Agencia Décima Primera Investigador</w:t>
      </w:r>
      <w:r w:rsidRPr="00432ABC">
        <w:rPr>
          <w:rFonts w:ascii="Verdana" w:hAnsi="Verdana"/>
          <w:sz w:val="16"/>
          <w:szCs w:val="16"/>
        </w:rPr>
        <w:t>a de la PGR – Chihuahua [11ªAMPF – PGR] (expediente de prueba, f. 27929).</w:t>
      </w:r>
    </w:p>
  </w:footnote>
  <w:footnote w:id="129">
    <w:p w14:paraId="64AA61AE" w14:textId="008594E3" w:rsidR="00146958" w:rsidRPr="00432ABC" w:rsidRDefault="00146958">
      <w:pPr>
        <w:pStyle w:val="FootnoteText"/>
        <w:jc w:val="both"/>
        <w:rPr>
          <w:rFonts w:ascii="Verdana" w:hAnsi="Verdana"/>
          <w:sz w:val="16"/>
          <w:szCs w:val="16"/>
        </w:rPr>
      </w:pPr>
      <w:r w:rsidRPr="00432ABC">
        <w:rPr>
          <w:rStyle w:val="FootnoteReference"/>
          <w:rFonts w:ascii="Verdana" w:hAnsi="Verdana"/>
          <w:sz w:val="16"/>
          <w:szCs w:val="16"/>
        </w:rPr>
        <w:footnoteRef/>
      </w:r>
      <w:r w:rsidRPr="00432ABC">
        <w:rPr>
          <w:rFonts w:ascii="Verdana" w:hAnsi="Verdana"/>
          <w:sz w:val="16"/>
          <w:szCs w:val="16"/>
        </w:rPr>
        <w:t xml:space="preserve"> </w:t>
      </w:r>
      <w:r w:rsidRPr="00432ABC">
        <w:rPr>
          <w:rFonts w:ascii="Verdana" w:hAnsi="Verdana"/>
          <w:sz w:val="16"/>
          <w:szCs w:val="16"/>
        </w:rPr>
        <w:tab/>
      </w:r>
      <w:r w:rsidRPr="00CD5C54">
        <w:rPr>
          <w:rFonts w:ascii="Verdana" w:hAnsi="Verdana"/>
          <w:i/>
          <w:sz w:val="16"/>
          <w:szCs w:val="16"/>
        </w:rPr>
        <w:t>Cfr.</w:t>
      </w:r>
      <w:r w:rsidRPr="002C462C">
        <w:rPr>
          <w:rFonts w:ascii="Verdana" w:hAnsi="Verdana"/>
          <w:i/>
          <w:sz w:val="16"/>
          <w:szCs w:val="16"/>
        </w:rPr>
        <w:t xml:space="preserve"> </w:t>
      </w:r>
      <w:r w:rsidRPr="002C462C">
        <w:rPr>
          <w:rFonts w:ascii="Verdana" w:hAnsi="Verdana"/>
          <w:sz w:val="16"/>
          <w:szCs w:val="16"/>
        </w:rPr>
        <w:t>Declaración de Obdulia Espinoza Beltrán rendida el 27 de octubre de 2014 ante el AMPF de la Unidad Especializada de Búsqueda de Person</w:t>
      </w:r>
      <w:r w:rsidRPr="00432ABC">
        <w:rPr>
          <w:rFonts w:ascii="Verdana" w:hAnsi="Verdana"/>
          <w:sz w:val="16"/>
          <w:szCs w:val="16"/>
        </w:rPr>
        <w:t>as Desaparecidas [UEBPD – PGR] (expediente de prueba, f. 27932</w:t>
      </w:r>
      <w:r>
        <w:rPr>
          <w:rFonts w:ascii="Verdana" w:hAnsi="Verdana"/>
          <w:sz w:val="16"/>
          <w:szCs w:val="16"/>
        </w:rPr>
        <w:t>)</w:t>
      </w:r>
      <w:r w:rsidRPr="00432ABC">
        <w:rPr>
          <w:rFonts w:ascii="Verdana" w:hAnsi="Verdana"/>
          <w:sz w:val="16"/>
          <w:szCs w:val="16"/>
        </w:rPr>
        <w:t xml:space="preserve">. </w:t>
      </w:r>
    </w:p>
  </w:footnote>
  <w:footnote w:id="130">
    <w:p w14:paraId="64AA61AF" w14:textId="5F97E5C8" w:rsidR="00146958" w:rsidRPr="00432ABC" w:rsidRDefault="00146958">
      <w:pPr>
        <w:pStyle w:val="FootnoteText"/>
        <w:jc w:val="both"/>
        <w:rPr>
          <w:rFonts w:ascii="Verdana" w:hAnsi="Verdana"/>
          <w:sz w:val="16"/>
          <w:szCs w:val="16"/>
        </w:rPr>
      </w:pPr>
      <w:r w:rsidRPr="00432ABC">
        <w:rPr>
          <w:rStyle w:val="FootnoteReference"/>
          <w:rFonts w:ascii="Verdana" w:hAnsi="Verdana"/>
          <w:sz w:val="16"/>
          <w:szCs w:val="16"/>
        </w:rPr>
        <w:footnoteRef/>
      </w:r>
      <w:r w:rsidRPr="00432ABC">
        <w:rPr>
          <w:rFonts w:ascii="Verdana" w:hAnsi="Verdana"/>
          <w:sz w:val="16"/>
          <w:szCs w:val="16"/>
        </w:rPr>
        <w:t xml:space="preserve"> </w:t>
      </w:r>
      <w:r w:rsidRPr="00432ABC">
        <w:rPr>
          <w:rFonts w:ascii="Verdana" w:hAnsi="Verdana"/>
          <w:sz w:val="16"/>
          <w:szCs w:val="16"/>
        </w:rPr>
        <w:tab/>
      </w:r>
      <w:r w:rsidRPr="00CD5C54">
        <w:rPr>
          <w:rFonts w:ascii="Verdana" w:hAnsi="Verdana"/>
          <w:i/>
          <w:sz w:val="16"/>
          <w:szCs w:val="16"/>
        </w:rPr>
        <w:t>Cfr.</w:t>
      </w:r>
      <w:r w:rsidRPr="002C462C">
        <w:rPr>
          <w:rFonts w:ascii="Verdana" w:hAnsi="Verdana"/>
          <w:sz w:val="16"/>
          <w:szCs w:val="16"/>
        </w:rPr>
        <w:t xml:space="preserve"> Declaración de Obdulia Espinoza Beltrán rendida el 10 de junio de 2010 ante el SMC de la FEVIMTRA – PGR, </w:t>
      </w:r>
      <w:r w:rsidRPr="002C462C">
        <w:rPr>
          <w:rFonts w:ascii="Verdana" w:hAnsi="Verdana"/>
          <w:i/>
          <w:sz w:val="16"/>
          <w:szCs w:val="16"/>
        </w:rPr>
        <w:t>supra</w:t>
      </w:r>
      <w:r w:rsidRPr="00432ABC">
        <w:rPr>
          <w:rFonts w:ascii="Verdana" w:hAnsi="Verdana"/>
          <w:sz w:val="16"/>
          <w:szCs w:val="16"/>
        </w:rPr>
        <w:t xml:space="preserve"> </w:t>
      </w:r>
      <w:r>
        <w:rPr>
          <w:rFonts w:ascii="Verdana" w:hAnsi="Verdana"/>
          <w:sz w:val="16"/>
          <w:szCs w:val="16"/>
        </w:rPr>
        <w:t xml:space="preserve">(expediente de prueba, </w:t>
      </w:r>
      <w:r w:rsidRPr="00432ABC">
        <w:rPr>
          <w:rFonts w:ascii="Verdana" w:hAnsi="Verdana"/>
          <w:sz w:val="16"/>
          <w:szCs w:val="16"/>
        </w:rPr>
        <w:t>f. 27919</w:t>
      </w:r>
      <w:r>
        <w:rPr>
          <w:rFonts w:ascii="Verdana" w:hAnsi="Verdana"/>
          <w:sz w:val="16"/>
          <w:szCs w:val="16"/>
        </w:rPr>
        <w:t>)</w:t>
      </w:r>
      <w:r w:rsidRPr="00432ABC">
        <w:rPr>
          <w:rFonts w:ascii="Verdana" w:hAnsi="Verdana"/>
          <w:sz w:val="16"/>
          <w:szCs w:val="16"/>
        </w:rPr>
        <w:t>.</w:t>
      </w:r>
    </w:p>
  </w:footnote>
  <w:footnote w:id="131">
    <w:p w14:paraId="64AA61B0" w14:textId="621861D0" w:rsidR="00146958" w:rsidRPr="00432ABC" w:rsidRDefault="00146958">
      <w:pPr>
        <w:pStyle w:val="FootnoteText"/>
        <w:jc w:val="both"/>
        <w:rPr>
          <w:rFonts w:ascii="Verdana" w:hAnsi="Verdana"/>
          <w:sz w:val="16"/>
          <w:szCs w:val="16"/>
        </w:rPr>
      </w:pPr>
      <w:r w:rsidRPr="00432ABC">
        <w:rPr>
          <w:rStyle w:val="FootnoteReference"/>
          <w:rFonts w:ascii="Verdana" w:hAnsi="Verdana"/>
          <w:sz w:val="16"/>
          <w:szCs w:val="16"/>
        </w:rPr>
        <w:footnoteRef/>
      </w:r>
      <w:r w:rsidRPr="00432ABC">
        <w:rPr>
          <w:rFonts w:ascii="Verdana" w:hAnsi="Verdana"/>
          <w:sz w:val="16"/>
          <w:szCs w:val="16"/>
        </w:rPr>
        <w:t xml:space="preserve"> </w:t>
      </w:r>
      <w:r w:rsidRPr="00432ABC">
        <w:rPr>
          <w:rFonts w:ascii="Verdana" w:hAnsi="Verdana"/>
          <w:sz w:val="16"/>
          <w:szCs w:val="16"/>
        </w:rPr>
        <w:tab/>
      </w:r>
      <w:r w:rsidRPr="00CD5C54">
        <w:rPr>
          <w:rFonts w:ascii="Verdana" w:hAnsi="Verdana"/>
          <w:i/>
          <w:sz w:val="16"/>
          <w:szCs w:val="16"/>
        </w:rPr>
        <w:t>Cfr.</w:t>
      </w:r>
      <w:r w:rsidRPr="002C462C">
        <w:rPr>
          <w:rFonts w:ascii="Verdana" w:hAnsi="Verdana"/>
          <w:sz w:val="16"/>
          <w:szCs w:val="16"/>
        </w:rPr>
        <w:t xml:space="preserve"> Declaración de Obdulia Espinoza Beltrán rendida el 16 de enero de 2013 ante la 11ªAMPF – PGR, </w:t>
      </w:r>
      <w:r w:rsidRPr="00432ABC">
        <w:rPr>
          <w:rFonts w:ascii="Verdana" w:hAnsi="Verdana"/>
          <w:i/>
          <w:sz w:val="16"/>
          <w:szCs w:val="16"/>
        </w:rPr>
        <w:t>supra</w:t>
      </w:r>
      <w:r w:rsidRPr="00432ABC">
        <w:rPr>
          <w:rFonts w:ascii="Verdana" w:hAnsi="Verdana"/>
          <w:sz w:val="16"/>
          <w:szCs w:val="16"/>
        </w:rPr>
        <w:t xml:space="preserve"> </w:t>
      </w:r>
      <w:r>
        <w:rPr>
          <w:rFonts w:ascii="Verdana" w:hAnsi="Verdana"/>
          <w:sz w:val="16"/>
          <w:szCs w:val="16"/>
        </w:rPr>
        <w:t xml:space="preserve">(expediente de prueba, </w:t>
      </w:r>
      <w:r w:rsidRPr="00432ABC">
        <w:rPr>
          <w:rFonts w:ascii="Verdana" w:hAnsi="Verdana"/>
          <w:sz w:val="16"/>
          <w:szCs w:val="16"/>
        </w:rPr>
        <w:t>f. 27929</w:t>
      </w:r>
      <w:r>
        <w:rPr>
          <w:rFonts w:ascii="Verdana" w:hAnsi="Verdana"/>
          <w:sz w:val="16"/>
          <w:szCs w:val="16"/>
        </w:rPr>
        <w:t>)</w:t>
      </w:r>
      <w:r w:rsidRPr="00432ABC">
        <w:rPr>
          <w:rFonts w:ascii="Verdana" w:hAnsi="Verdana"/>
          <w:sz w:val="16"/>
          <w:szCs w:val="16"/>
        </w:rPr>
        <w:t>.</w:t>
      </w:r>
    </w:p>
  </w:footnote>
  <w:footnote w:id="132">
    <w:p w14:paraId="64AA61B1" w14:textId="50446591" w:rsidR="00146958" w:rsidRPr="002C462C" w:rsidRDefault="00146958">
      <w:pPr>
        <w:pStyle w:val="FootnoteText"/>
        <w:jc w:val="both"/>
        <w:rPr>
          <w:rFonts w:ascii="Verdana" w:hAnsi="Verdana"/>
          <w:sz w:val="16"/>
          <w:szCs w:val="16"/>
        </w:rPr>
      </w:pPr>
      <w:r w:rsidRPr="00432ABC">
        <w:rPr>
          <w:rStyle w:val="FootnoteReference"/>
          <w:rFonts w:ascii="Verdana" w:hAnsi="Verdana"/>
          <w:sz w:val="16"/>
          <w:szCs w:val="16"/>
        </w:rPr>
        <w:footnoteRef/>
      </w:r>
      <w:r w:rsidRPr="00432ABC">
        <w:rPr>
          <w:rFonts w:ascii="Verdana" w:hAnsi="Verdana"/>
          <w:sz w:val="16"/>
          <w:szCs w:val="16"/>
        </w:rPr>
        <w:t xml:space="preserve"> </w:t>
      </w:r>
      <w:r w:rsidRPr="00432ABC">
        <w:rPr>
          <w:rFonts w:ascii="Verdana" w:hAnsi="Verdana"/>
          <w:sz w:val="16"/>
          <w:szCs w:val="16"/>
        </w:rPr>
        <w:tab/>
      </w:r>
      <w:r w:rsidRPr="00CD5C54">
        <w:rPr>
          <w:rFonts w:ascii="Verdana" w:hAnsi="Verdana"/>
          <w:i/>
          <w:sz w:val="16"/>
          <w:szCs w:val="16"/>
        </w:rPr>
        <w:t>Cfr.</w:t>
      </w:r>
      <w:r w:rsidRPr="002C462C">
        <w:rPr>
          <w:rFonts w:ascii="Verdana" w:hAnsi="Verdana"/>
          <w:sz w:val="16"/>
          <w:szCs w:val="16"/>
        </w:rPr>
        <w:t xml:space="preserve"> Declaración de Obdulia Espinoza Beltrán rendida el 19 de abril de 2018 (expediente de prueba, </w:t>
      </w:r>
      <w:r w:rsidRPr="00453199">
        <w:rPr>
          <w:rFonts w:ascii="Verdana" w:hAnsi="Verdana"/>
          <w:i/>
          <w:sz w:val="16"/>
          <w:szCs w:val="16"/>
        </w:rPr>
        <w:t>Affidávits</w:t>
      </w:r>
      <w:r w:rsidRPr="002C462C">
        <w:rPr>
          <w:rFonts w:ascii="Verdana" w:hAnsi="Verdana"/>
          <w:sz w:val="16"/>
          <w:szCs w:val="16"/>
        </w:rPr>
        <w:t xml:space="preserve">, f. 30911). </w:t>
      </w:r>
    </w:p>
  </w:footnote>
  <w:footnote w:id="133">
    <w:p w14:paraId="64AA61B2" w14:textId="651EEB77" w:rsidR="00146958" w:rsidRPr="002C462C" w:rsidRDefault="00146958">
      <w:pPr>
        <w:pStyle w:val="FootnoteText"/>
        <w:jc w:val="both"/>
        <w:rPr>
          <w:rFonts w:ascii="Verdana" w:hAnsi="Verdana"/>
          <w:sz w:val="16"/>
          <w:szCs w:val="16"/>
        </w:rPr>
      </w:pPr>
      <w:r w:rsidRPr="00432ABC">
        <w:rPr>
          <w:rStyle w:val="FootnoteReference"/>
          <w:rFonts w:ascii="Verdana" w:hAnsi="Verdana"/>
          <w:sz w:val="16"/>
          <w:szCs w:val="16"/>
        </w:rPr>
        <w:footnoteRef/>
      </w:r>
      <w:r w:rsidRPr="00432ABC">
        <w:rPr>
          <w:rFonts w:ascii="Verdana" w:hAnsi="Verdana"/>
          <w:sz w:val="16"/>
          <w:szCs w:val="16"/>
        </w:rPr>
        <w:t xml:space="preserve"> </w:t>
      </w:r>
      <w:r w:rsidRPr="00432ABC">
        <w:rPr>
          <w:rFonts w:ascii="Verdana" w:hAnsi="Verdana"/>
          <w:sz w:val="16"/>
          <w:szCs w:val="16"/>
        </w:rPr>
        <w:tab/>
      </w:r>
      <w:r w:rsidRPr="00CD5C54">
        <w:rPr>
          <w:rFonts w:ascii="Verdana" w:hAnsi="Verdana"/>
          <w:i/>
          <w:sz w:val="16"/>
          <w:szCs w:val="16"/>
        </w:rPr>
        <w:t>Cfr.</w:t>
      </w:r>
      <w:r w:rsidRPr="002C462C">
        <w:rPr>
          <w:rFonts w:ascii="Verdana" w:hAnsi="Verdana"/>
          <w:i/>
          <w:sz w:val="16"/>
          <w:szCs w:val="16"/>
        </w:rPr>
        <w:t xml:space="preserve"> </w:t>
      </w:r>
      <w:r w:rsidRPr="002C462C">
        <w:rPr>
          <w:rFonts w:ascii="Verdana" w:hAnsi="Verdana"/>
          <w:sz w:val="16"/>
          <w:szCs w:val="16"/>
        </w:rPr>
        <w:t xml:space="preserve">Recomendación 43/11 emitida el 30 de junio de 2011 por la Comisión Nacional de Derechos Humanos [CNDH] (expediente de prueba, </w:t>
      </w:r>
      <w:r>
        <w:rPr>
          <w:rFonts w:ascii="Verdana" w:hAnsi="Verdana"/>
          <w:sz w:val="16"/>
          <w:szCs w:val="16"/>
        </w:rPr>
        <w:t>f</w:t>
      </w:r>
      <w:r w:rsidRPr="002C462C">
        <w:rPr>
          <w:rFonts w:ascii="Verdana" w:hAnsi="Verdana"/>
          <w:sz w:val="16"/>
          <w:szCs w:val="16"/>
        </w:rPr>
        <w:t xml:space="preserve">f. 27856 a 27857). </w:t>
      </w:r>
    </w:p>
  </w:footnote>
  <w:footnote w:id="134">
    <w:p w14:paraId="64AA61B3" w14:textId="6E5568DA" w:rsidR="00146958" w:rsidRPr="002C462C" w:rsidRDefault="00146958">
      <w:pPr>
        <w:pStyle w:val="FootnoteText"/>
        <w:jc w:val="both"/>
        <w:rPr>
          <w:rFonts w:ascii="Verdana" w:hAnsi="Verdana"/>
          <w:sz w:val="16"/>
          <w:szCs w:val="16"/>
        </w:rPr>
      </w:pPr>
      <w:r w:rsidRPr="00432ABC">
        <w:rPr>
          <w:rStyle w:val="FootnoteReference"/>
          <w:rFonts w:ascii="Verdana" w:hAnsi="Verdana"/>
          <w:sz w:val="16"/>
          <w:szCs w:val="16"/>
        </w:rPr>
        <w:footnoteRef/>
      </w:r>
      <w:r w:rsidRPr="00432ABC">
        <w:rPr>
          <w:rFonts w:ascii="Verdana" w:hAnsi="Verdana"/>
          <w:sz w:val="16"/>
          <w:szCs w:val="16"/>
        </w:rPr>
        <w:t xml:space="preserve"> </w:t>
      </w:r>
      <w:r w:rsidRPr="00432ABC">
        <w:rPr>
          <w:rFonts w:ascii="Verdana" w:hAnsi="Verdana"/>
          <w:sz w:val="16"/>
          <w:szCs w:val="16"/>
        </w:rPr>
        <w:tab/>
        <w:t xml:space="preserve">Declaración de Obdulia Espinoza Beltrán rendida el 16 de enero de 2013 ante la 11ªAMPF – PGR, </w:t>
      </w:r>
      <w:r w:rsidRPr="002C462C">
        <w:rPr>
          <w:rFonts w:ascii="Verdana" w:hAnsi="Verdana"/>
          <w:i/>
          <w:sz w:val="16"/>
          <w:szCs w:val="16"/>
        </w:rPr>
        <w:t>supra</w:t>
      </w:r>
      <w:r w:rsidRPr="002C462C">
        <w:rPr>
          <w:rFonts w:ascii="Verdana" w:hAnsi="Verdana"/>
          <w:sz w:val="16"/>
          <w:szCs w:val="16"/>
        </w:rPr>
        <w:t xml:space="preserve"> </w:t>
      </w:r>
      <w:r>
        <w:rPr>
          <w:rFonts w:ascii="Verdana" w:hAnsi="Verdana"/>
          <w:sz w:val="16"/>
          <w:szCs w:val="16"/>
        </w:rPr>
        <w:t xml:space="preserve">(expediente de prueba, </w:t>
      </w:r>
      <w:r w:rsidRPr="002C462C">
        <w:rPr>
          <w:rFonts w:ascii="Verdana" w:hAnsi="Verdana"/>
          <w:sz w:val="16"/>
          <w:szCs w:val="16"/>
        </w:rPr>
        <w:t>f. 27928</w:t>
      </w:r>
      <w:r>
        <w:rPr>
          <w:rFonts w:ascii="Verdana" w:hAnsi="Verdana"/>
          <w:sz w:val="16"/>
          <w:szCs w:val="16"/>
        </w:rPr>
        <w:t>)</w:t>
      </w:r>
      <w:r w:rsidRPr="002C462C">
        <w:rPr>
          <w:rFonts w:ascii="Verdana" w:hAnsi="Verdana"/>
          <w:sz w:val="16"/>
          <w:szCs w:val="16"/>
        </w:rPr>
        <w:t>.</w:t>
      </w:r>
    </w:p>
  </w:footnote>
  <w:footnote w:id="135">
    <w:p w14:paraId="64AA61B4" w14:textId="113C76FB" w:rsidR="00146958" w:rsidRPr="00432ABC" w:rsidRDefault="00146958">
      <w:pPr>
        <w:pStyle w:val="FootnoteText"/>
        <w:jc w:val="both"/>
        <w:rPr>
          <w:rFonts w:ascii="Verdana" w:hAnsi="Verdana"/>
          <w:sz w:val="16"/>
          <w:szCs w:val="16"/>
        </w:rPr>
      </w:pPr>
      <w:r w:rsidRPr="00432ABC">
        <w:rPr>
          <w:rStyle w:val="FootnoteReference"/>
          <w:rFonts w:ascii="Verdana" w:hAnsi="Verdana"/>
          <w:sz w:val="16"/>
          <w:szCs w:val="16"/>
        </w:rPr>
        <w:footnoteRef/>
      </w:r>
      <w:r w:rsidRPr="00432ABC">
        <w:rPr>
          <w:rFonts w:ascii="Verdana" w:hAnsi="Verdana"/>
          <w:sz w:val="16"/>
          <w:szCs w:val="16"/>
        </w:rPr>
        <w:t xml:space="preserve"> </w:t>
      </w:r>
      <w:r w:rsidRPr="00432ABC">
        <w:rPr>
          <w:rFonts w:ascii="Verdana" w:hAnsi="Verdana"/>
          <w:sz w:val="16"/>
          <w:szCs w:val="16"/>
        </w:rPr>
        <w:tab/>
      </w:r>
      <w:r w:rsidRPr="00CD5C54">
        <w:rPr>
          <w:rFonts w:ascii="Verdana" w:hAnsi="Verdana"/>
          <w:i/>
          <w:sz w:val="16"/>
          <w:szCs w:val="16"/>
        </w:rPr>
        <w:t>Cfr.</w:t>
      </w:r>
      <w:r w:rsidRPr="002C462C">
        <w:rPr>
          <w:rFonts w:ascii="Verdana" w:hAnsi="Verdana"/>
          <w:sz w:val="16"/>
          <w:szCs w:val="16"/>
        </w:rPr>
        <w:t xml:space="preserve"> Declaración de Obdulia Espinoza Beltrán rendida el 10 de junio de 2010 ante el SMC</w:t>
      </w:r>
      <w:r w:rsidRPr="002C462C" w:rsidDel="00731DB7">
        <w:rPr>
          <w:rFonts w:ascii="Verdana" w:hAnsi="Verdana"/>
          <w:sz w:val="16"/>
          <w:szCs w:val="16"/>
        </w:rPr>
        <w:t xml:space="preserve"> </w:t>
      </w:r>
      <w:r w:rsidRPr="00432ABC">
        <w:rPr>
          <w:rFonts w:ascii="Verdana" w:hAnsi="Verdana"/>
          <w:sz w:val="16"/>
          <w:szCs w:val="16"/>
        </w:rPr>
        <w:t xml:space="preserve">de la FEVIMTRA – PGR, </w:t>
      </w:r>
      <w:r w:rsidRPr="00432ABC">
        <w:rPr>
          <w:rFonts w:ascii="Verdana" w:hAnsi="Verdana"/>
          <w:i/>
          <w:sz w:val="16"/>
          <w:szCs w:val="16"/>
        </w:rPr>
        <w:t>supra</w:t>
      </w:r>
      <w:r>
        <w:rPr>
          <w:rFonts w:ascii="Verdana" w:hAnsi="Verdana"/>
          <w:sz w:val="16"/>
          <w:szCs w:val="16"/>
        </w:rPr>
        <w:t xml:space="preserve"> (expediente de prueba, </w:t>
      </w:r>
      <w:r w:rsidRPr="00432ABC">
        <w:rPr>
          <w:rFonts w:ascii="Verdana" w:hAnsi="Verdana"/>
          <w:sz w:val="16"/>
          <w:szCs w:val="16"/>
        </w:rPr>
        <w:t>f. 27919</w:t>
      </w:r>
      <w:r>
        <w:rPr>
          <w:rFonts w:ascii="Verdana" w:hAnsi="Verdana"/>
          <w:sz w:val="16"/>
          <w:szCs w:val="16"/>
        </w:rPr>
        <w:t>)</w:t>
      </w:r>
      <w:r w:rsidRPr="00432ABC">
        <w:rPr>
          <w:rFonts w:ascii="Verdana" w:hAnsi="Verdana"/>
          <w:sz w:val="16"/>
          <w:szCs w:val="16"/>
        </w:rPr>
        <w:t>, y</w:t>
      </w:r>
      <w:r w:rsidRPr="00432ABC">
        <w:rPr>
          <w:rFonts w:ascii="Verdana" w:hAnsi="Verdana"/>
          <w:i/>
          <w:sz w:val="16"/>
          <w:szCs w:val="16"/>
        </w:rPr>
        <w:t xml:space="preserve"> </w:t>
      </w:r>
      <w:r w:rsidRPr="00432ABC">
        <w:rPr>
          <w:rFonts w:ascii="Verdana" w:hAnsi="Verdana"/>
          <w:sz w:val="16"/>
          <w:szCs w:val="16"/>
        </w:rPr>
        <w:t xml:space="preserve">Declaración de Obdulia Espinoza Beltrán rendida el 27 de octubre de 2014 ante el AMPF de la UEBPD – PGR, </w:t>
      </w:r>
      <w:r w:rsidRPr="00432ABC">
        <w:rPr>
          <w:rFonts w:ascii="Verdana" w:hAnsi="Verdana"/>
          <w:i/>
          <w:sz w:val="16"/>
          <w:szCs w:val="16"/>
        </w:rPr>
        <w:t xml:space="preserve">supra </w:t>
      </w:r>
      <w:r>
        <w:rPr>
          <w:rFonts w:ascii="Verdana" w:hAnsi="Verdana"/>
          <w:sz w:val="16"/>
          <w:szCs w:val="16"/>
        </w:rPr>
        <w:t xml:space="preserve">(expediente de prueba, </w:t>
      </w:r>
      <w:r w:rsidRPr="00432ABC">
        <w:rPr>
          <w:rFonts w:ascii="Verdana" w:hAnsi="Verdana"/>
          <w:sz w:val="16"/>
          <w:szCs w:val="16"/>
        </w:rPr>
        <w:t>f. 27932</w:t>
      </w:r>
      <w:r>
        <w:rPr>
          <w:rFonts w:ascii="Verdana" w:hAnsi="Verdana"/>
          <w:sz w:val="16"/>
          <w:szCs w:val="16"/>
        </w:rPr>
        <w:t>)</w:t>
      </w:r>
      <w:r w:rsidRPr="00432ABC">
        <w:rPr>
          <w:rFonts w:ascii="Verdana" w:hAnsi="Verdana"/>
          <w:sz w:val="16"/>
          <w:szCs w:val="16"/>
        </w:rPr>
        <w:t>.</w:t>
      </w:r>
    </w:p>
  </w:footnote>
  <w:footnote w:id="136">
    <w:p w14:paraId="64AA61B5" w14:textId="78628552" w:rsidR="00146958" w:rsidRPr="00432ABC" w:rsidRDefault="00146958">
      <w:pPr>
        <w:pStyle w:val="FootnoteText"/>
        <w:jc w:val="both"/>
        <w:rPr>
          <w:rFonts w:ascii="Verdana" w:hAnsi="Verdana"/>
          <w:sz w:val="16"/>
          <w:szCs w:val="16"/>
        </w:rPr>
      </w:pPr>
      <w:r w:rsidRPr="00432ABC">
        <w:rPr>
          <w:rStyle w:val="FootnoteReference"/>
          <w:rFonts w:ascii="Verdana" w:hAnsi="Verdana"/>
          <w:sz w:val="16"/>
          <w:szCs w:val="16"/>
        </w:rPr>
        <w:footnoteRef/>
      </w:r>
      <w:r w:rsidRPr="00432ABC">
        <w:rPr>
          <w:rFonts w:ascii="Verdana" w:hAnsi="Verdana"/>
          <w:sz w:val="16"/>
          <w:szCs w:val="16"/>
        </w:rPr>
        <w:t xml:space="preserve"> </w:t>
      </w:r>
      <w:r w:rsidRPr="00432ABC">
        <w:rPr>
          <w:rFonts w:ascii="Verdana" w:hAnsi="Verdana"/>
          <w:sz w:val="16"/>
          <w:szCs w:val="16"/>
        </w:rPr>
        <w:tab/>
      </w:r>
      <w:r w:rsidRPr="00CD5C54">
        <w:rPr>
          <w:rFonts w:ascii="Verdana" w:hAnsi="Verdana"/>
          <w:i/>
          <w:sz w:val="16"/>
          <w:szCs w:val="16"/>
        </w:rPr>
        <w:t>Cfr.</w:t>
      </w:r>
      <w:r w:rsidRPr="002C462C">
        <w:rPr>
          <w:rFonts w:ascii="Verdana" w:hAnsi="Verdana"/>
          <w:sz w:val="16"/>
          <w:szCs w:val="16"/>
        </w:rPr>
        <w:t xml:space="preserve"> Declaración de Obdulia Espinoza Beltrán rendida el 19 de abril de 2018, </w:t>
      </w:r>
      <w:r w:rsidRPr="002C462C">
        <w:rPr>
          <w:rFonts w:ascii="Verdana" w:hAnsi="Verdana"/>
          <w:i/>
          <w:sz w:val="16"/>
          <w:szCs w:val="16"/>
        </w:rPr>
        <w:t>supra</w:t>
      </w:r>
      <w:r>
        <w:rPr>
          <w:rFonts w:ascii="Verdana" w:hAnsi="Verdana"/>
          <w:sz w:val="16"/>
          <w:szCs w:val="16"/>
        </w:rPr>
        <w:t xml:space="preserve"> (expediente de prueba, </w:t>
      </w:r>
      <w:r w:rsidRPr="00453199">
        <w:rPr>
          <w:rFonts w:ascii="Verdana" w:hAnsi="Verdana"/>
          <w:i/>
          <w:sz w:val="16"/>
          <w:szCs w:val="16"/>
        </w:rPr>
        <w:t>Affidávits</w:t>
      </w:r>
      <w:r>
        <w:rPr>
          <w:rFonts w:ascii="Verdana" w:hAnsi="Verdana"/>
          <w:sz w:val="16"/>
          <w:szCs w:val="16"/>
        </w:rPr>
        <w:t xml:space="preserve">, </w:t>
      </w:r>
      <w:r w:rsidRPr="00432ABC">
        <w:rPr>
          <w:rFonts w:ascii="Verdana" w:hAnsi="Verdana"/>
          <w:sz w:val="16"/>
          <w:szCs w:val="16"/>
        </w:rPr>
        <w:t>f. 30911</w:t>
      </w:r>
      <w:r>
        <w:rPr>
          <w:rFonts w:ascii="Verdana" w:hAnsi="Verdana"/>
          <w:sz w:val="16"/>
          <w:szCs w:val="16"/>
        </w:rPr>
        <w:t>)</w:t>
      </w:r>
      <w:r w:rsidRPr="00432ABC">
        <w:rPr>
          <w:rFonts w:ascii="Verdana" w:hAnsi="Verdana"/>
          <w:sz w:val="16"/>
          <w:szCs w:val="16"/>
        </w:rPr>
        <w:t>.</w:t>
      </w:r>
    </w:p>
  </w:footnote>
  <w:footnote w:id="137">
    <w:p w14:paraId="64AA61B6" w14:textId="3CCF0C88" w:rsidR="00146958" w:rsidRPr="00432ABC" w:rsidRDefault="00146958">
      <w:pPr>
        <w:pStyle w:val="FootnoteText"/>
        <w:jc w:val="both"/>
        <w:rPr>
          <w:rFonts w:ascii="Verdana" w:hAnsi="Verdana"/>
          <w:sz w:val="16"/>
          <w:szCs w:val="16"/>
        </w:rPr>
      </w:pPr>
      <w:r w:rsidRPr="00432ABC">
        <w:rPr>
          <w:rStyle w:val="FootnoteReference"/>
          <w:rFonts w:ascii="Verdana" w:hAnsi="Verdana"/>
          <w:sz w:val="16"/>
          <w:szCs w:val="16"/>
        </w:rPr>
        <w:footnoteRef/>
      </w:r>
      <w:r w:rsidRPr="00432ABC">
        <w:rPr>
          <w:rFonts w:ascii="Verdana" w:hAnsi="Verdana"/>
          <w:sz w:val="16"/>
          <w:szCs w:val="16"/>
        </w:rPr>
        <w:t xml:space="preserve"> </w:t>
      </w:r>
      <w:r w:rsidRPr="00432ABC">
        <w:rPr>
          <w:rFonts w:ascii="Verdana" w:hAnsi="Verdana"/>
          <w:sz w:val="16"/>
          <w:szCs w:val="16"/>
        </w:rPr>
        <w:tab/>
      </w:r>
      <w:r w:rsidRPr="00CD5C54">
        <w:rPr>
          <w:rFonts w:ascii="Verdana" w:hAnsi="Verdana"/>
          <w:i/>
          <w:sz w:val="16"/>
          <w:szCs w:val="16"/>
        </w:rPr>
        <w:t>Cfr.</w:t>
      </w:r>
      <w:r w:rsidRPr="002C462C">
        <w:rPr>
          <w:rFonts w:ascii="Verdana" w:hAnsi="Verdana"/>
          <w:sz w:val="16"/>
          <w:szCs w:val="16"/>
        </w:rPr>
        <w:t xml:space="preserve"> Declaración de Obdulia Espinoza Beltrán rendida el 16 de enero de 2013 ante la 11ªAMPF – PGR, </w:t>
      </w:r>
      <w:r w:rsidRPr="00432ABC">
        <w:rPr>
          <w:rFonts w:ascii="Verdana" w:hAnsi="Verdana"/>
          <w:i/>
          <w:sz w:val="16"/>
          <w:szCs w:val="16"/>
        </w:rPr>
        <w:t>supra</w:t>
      </w:r>
      <w:r w:rsidRPr="00432ABC">
        <w:rPr>
          <w:rFonts w:ascii="Verdana" w:hAnsi="Verdana"/>
          <w:sz w:val="16"/>
          <w:szCs w:val="16"/>
        </w:rPr>
        <w:t xml:space="preserve"> </w:t>
      </w:r>
      <w:r>
        <w:rPr>
          <w:rFonts w:ascii="Verdana" w:hAnsi="Verdana"/>
          <w:sz w:val="16"/>
          <w:szCs w:val="16"/>
        </w:rPr>
        <w:t xml:space="preserve">(expediente de prueba, </w:t>
      </w:r>
      <w:r w:rsidRPr="00432ABC">
        <w:rPr>
          <w:rFonts w:ascii="Verdana" w:hAnsi="Verdana"/>
          <w:sz w:val="16"/>
          <w:szCs w:val="16"/>
        </w:rPr>
        <w:t>f. 27929</w:t>
      </w:r>
      <w:r>
        <w:rPr>
          <w:rFonts w:ascii="Verdana" w:hAnsi="Verdana"/>
          <w:sz w:val="16"/>
          <w:szCs w:val="16"/>
        </w:rPr>
        <w:t>)</w:t>
      </w:r>
      <w:r w:rsidRPr="00432ABC">
        <w:rPr>
          <w:rFonts w:ascii="Verdana" w:hAnsi="Verdana"/>
          <w:sz w:val="16"/>
          <w:szCs w:val="16"/>
        </w:rPr>
        <w:t>.</w:t>
      </w:r>
    </w:p>
  </w:footnote>
  <w:footnote w:id="138">
    <w:p w14:paraId="64AA61B7" w14:textId="2E626F70" w:rsidR="00146958" w:rsidRPr="00432ABC" w:rsidRDefault="00146958">
      <w:pPr>
        <w:pStyle w:val="FootnoteText"/>
        <w:jc w:val="both"/>
        <w:rPr>
          <w:rFonts w:ascii="Verdana" w:hAnsi="Verdana"/>
          <w:sz w:val="16"/>
          <w:szCs w:val="16"/>
        </w:rPr>
      </w:pPr>
      <w:r w:rsidRPr="00432ABC">
        <w:rPr>
          <w:rStyle w:val="FootnoteReference"/>
          <w:rFonts w:ascii="Verdana" w:hAnsi="Verdana"/>
          <w:sz w:val="16"/>
          <w:szCs w:val="16"/>
        </w:rPr>
        <w:footnoteRef/>
      </w:r>
      <w:r w:rsidRPr="00432ABC">
        <w:rPr>
          <w:rFonts w:ascii="Verdana" w:hAnsi="Verdana"/>
          <w:sz w:val="16"/>
          <w:szCs w:val="16"/>
        </w:rPr>
        <w:t xml:space="preserve"> </w:t>
      </w:r>
      <w:r w:rsidRPr="00432ABC">
        <w:rPr>
          <w:rFonts w:ascii="Verdana" w:hAnsi="Verdana"/>
          <w:sz w:val="16"/>
          <w:szCs w:val="16"/>
        </w:rPr>
        <w:tab/>
      </w:r>
      <w:r w:rsidRPr="00CD5C54">
        <w:rPr>
          <w:rFonts w:ascii="Verdana" w:hAnsi="Verdana"/>
          <w:i/>
          <w:sz w:val="16"/>
          <w:szCs w:val="16"/>
        </w:rPr>
        <w:t>Cfr.</w:t>
      </w:r>
      <w:r w:rsidRPr="002C462C">
        <w:rPr>
          <w:rFonts w:ascii="Verdana" w:hAnsi="Verdana"/>
          <w:i/>
          <w:sz w:val="16"/>
          <w:szCs w:val="16"/>
        </w:rPr>
        <w:t xml:space="preserve"> </w:t>
      </w:r>
      <w:r w:rsidRPr="002C462C">
        <w:rPr>
          <w:rFonts w:ascii="Verdana" w:hAnsi="Verdana"/>
          <w:sz w:val="16"/>
          <w:szCs w:val="16"/>
        </w:rPr>
        <w:t xml:space="preserve">Declaración de Obdulia Espinoza Beltrán rendida el 10 de junio de 2010 ante el SMC de la FEVIMTRA – PGR, </w:t>
      </w:r>
      <w:r w:rsidRPr="00432ABC">
        <w:rPr>
          <w:rFonts w:ascii="Verdana" w:hAnsi="Verdana"/>
          <w:i/>
          <w:sz w:val="16"/>
          <w:szCs w:val="16"/>
        </w:rPr>
        <w:t>supra</w:t>
      </w:r>
      <w:r>
        <w:rPr>
          <w:rFonts w:ascii="Verdana" w:hAnsi="Verdana"/>
          <w:i/>
          <w:sz w:val="16"/>
          <w:szCs w:val="16"/>
        </w:rPr>
        <w:t xml:space="preserve"> </w:t>
      </w:r>
      <w:r>
        <w:rPr>
          <w:rFonts w:ascii="Verdana" w:hAnsi="Verdana"/>
          <w:sz w:val="16"/>
          <w:szCs w:val="16"/>
        </w:rPr>
        <w:t xml:space="preserve">(expediente de prueba, </w:t>
      </w:r>
      <w:r w:rsidRPr="00432ABC">
        <w:rPr>
          <w:rFonts w:ascii="Verdana" w:hAnsi="Verdana"/>
          <w:sz w:val="16"/>
          <w:szCs w:val="16"/>
        </w:rPr>
        <w:t>ff. 27919 a 27921 y 27929</w:t>
      </w:r>
      <w:r>
        <w:rPr>
          <w:rFonts w:ascii="Verdana" w:hAnsi="Verdana"/>
          <w:sz w:val="16"/>
          <w:szCs w:val="16"/>
        </w:rPr>
        <w:t>)</w:t>
      </w:r>
      <w:r w:rsidRPr="00432ABC">
        <w:rPr>
          <w:rFonts w:ascii="Verdana" w:hAnsi="Verdana"/>
          <w:sz w:val="16"/>
          <w:szCs w:val="16"/>
        </w:rPr>
        <w:t xml:space="preserve">, y Declaración de Obdulia Espinoza Beltrán rendida el 19 de abril de 2018, </w:t>
      </w:r>
      <w:r w:rsidRPr="00432ABC">
        <w:rPr>
          <w:rFonts w:ascii="Verdana" w:hAnsi="Verdana"/>
          <w:i/>
          <w:sz w:val="16"/>
          <w:szCs w:val="16"/>
        </w:rPr>
        <w:t>supra</w:t>
      </w:r>
      <w:r>
        <w:rPr>
          <w:rFonts w:ascii="Verdana" w:hAnsi="Verdana"/>
          <w:sz w:val="16"/>
          <w:szCs w:val="16"/>
        </w:rPr>
        <w:t xml:space="preserve"> (expediente de prueba, </w:t>
      </w:r>
      <w:r w:rsidRPr="00453199">
        <w:rPr>
          <w:rFonts w:ascii="Verdana" w:hAnsi="Verdana"/>
          <w:i/>
          <w:sz w:val="16"/>
          <w:szCs w:val="16"/>
        </w:rPr>
        <w:t>Affidávits</w:t>
      </w:r>
      <w:r>
        <w:rPr>
          <w:rFonts w:ascii="Verdana" w:hAnsi="Verdana"/>
          <w:sz w:val="16"/>
          <w:szCs w:val="16"/>
        </w:rPr>
        <w:t xml:space="preserve">, </w:t>
      </w:r>
      <w:r w:rsidRPr="00432ABC">
        <w:rPr>
          <w:rFonts w:ascii="Verdana" w:hAnsi="Verdana"/>
          <w:sz w:val="16"/>
          <w:szCs w:val="16"/>
        </w:rPr>
        <w:t>ff. 30910 a 30911</w:t>
      </w:r>
      <w:r>
        <w:rPr>
          <w:rFonts w:ascii="Verdana" w:hAnsi="Verdana"/>
          <w:sz w:val="16"/>
          <w:szCs w:val="16"/>
        </w:rPr>
        <w:t>)</w:t>
      </w:r>
      <w:r w:rsidRPr="00432ABC">
        <w:rPr>
          <w:rFonts w:ascii="Verdana" w:hAnsi="Verdana"/>
          <w:sz w:val="16"/>
          <w:szCs w:val="16"/>
        </w:rPr>
        <w:t xml:space="preserve">. En su declaración jurada rendida para la Corte, la señora Beltrán expuso: “Cuando estábamos adentro […] fue cuando vimos que llegan las trocas (camionetas), bueno oímos [sic] y en eso nos asomamos mi hija </w:t>
      </w:r>
      <w:r>
        <w:rPr>
          <w:rFonts w:ascii="Verdana" w:hAnsi="Verdana"/>
          <w:sz w:val="16"/>
          <w:szCs w:val="16"/>
        </w:rPr>
        <w:t>[…] [J.A.E]</w:t>
      </w:r>
      <w:r w:rsidRPr="00432ABC">
        <w:rPr>
          <w:rFonts w:ascii="Verdana" w:hAnsi="Verdana"/>
          <w:sz w:val="16"/>
          <w:szCs w:val="16"/>
        </w:rPr>
        <w:t xml:space="preserve"> y yo, y vemos que están dos o tres vehículos y me dice la niña: “¡son soldados mamá y se quieren llevar a mi papá! […] y me fijo que sí, que eran soldados, mi esposo estaba debajo de la troca de Paola, a un lado afuera de la cabina, él estaba parado [sic], entonces llega uno de los soldados, se para [sic] uno cerca de José Ángel [Alvarado Herrera] y los demás están hacia con [sic] [Nitza] Paola que seguía en el lado del volante. Eran alrededor de ocho o diez militares […] Recuerdo que llevaban uniformes verdes y cafés y que ahí no llevaban pasamontañas […]”. </w:t>
      </w:r>
    </w:p>
  </w:footnote>
  <w:footnote w:id="139">
    <w:p w14:paraId="64AA61B8" w14:textId="3B86159B" w:rsidR="00146958" w:rsidRPr="00432ABC" w:rsidRDefault="00146958">
      <w:pPr>
        <w:pStyle w:val="FootnoteText"/>
        <w:jc w:val="both"/>
        <w:rPr>
          <w:rFonts w:ascii="Verdana" w:hAnsi="Verdana"/>
          <w:sz w:val="16"/>
          <w:szCs w:val="16"/>
        </w:rPr>
      </w:pPr>
      <w:r w:rsidRPr="00432ABC">
        <w:rPr>
          <w:rStyle w:val="FootnoteReference"/>
          <w:rFonts w:ascii="Verdana" w:hAnsi="Verdana"/>
          <w:sz w:val="16"/>
          <w:szCs w:val="16"/>
        </w:rPr>
        <w:footnoteRef/>
      </w:r>
      <w:r w:rsidRPr="00432ABC">
        <w:rPr>
          <w:rFonts w:ascii="Verdana" w:hAnsi="Verdana"/>
          <w:sz w:val="16"/>
          <w:szCs w:val="16"/>
        </w:rPr>
        <w:t xml:space="preserve"> </w:t>
      </w:r>
      <w:r w:rsidRPr="00432ABC">
        <w:rPr>
          <w:rFonts w:ascii="Verdana" w:hAnsi="Verdana"/>
          <w:sz w:val="16"/>
          <w:szCs w:val="16"/>
        </w:rPr>
        <w:tab/>
      </w:r>
      <w:r w:rsidRPr="00CD5C54">
        <w:rPr>
          <w:rFonts w:ascii="Verdana" w:hAnsi="Verdana"/>
          <w:i/>
          <w:sz w:val="16"/>
          <w:szCs w:val="16"/>
        </w:rPr>
        <w:t>Cfr.</w:t>
      </w:r>
      <w:r w:rsidRPr="002C462C">
        <w:rPr>
          <w:rFonts w:ascii="Verdana" w:hAnsi="Verdana"/>
          <w:i/>
          <w:sz w:val="16"/>
          <w:szCs w:val="16"/>
        </w:rPr>
        <w:t xml:space="preserve"> </w:t>
      </w:r>
      <w:r w:rsidRPr="002C462C">
        <w:rPr>
          <w:rFonts w:ascii="Verdana" w:hAnsi="Verdana"/>
          <w:sz w:val="16"/>
          <w:szCs w:val="16"/>
        </w:rPr>
        <w:t>Acta</w:t>
      </w:r>
      <w:r w:rsidRPr="00432ABC">
        <w:rPr>
          <w:rFonts w:ascii="Verdana" w:hAnsi="Verdana"/>
          <w:i/>
          <w:sz w:val="16"/>
          <w:szCs w:val="16"/>
        </w:rPr>
        <w:t xml:space="preserve"> </w:t>
      </w:r>
      <w:r w:rsidRPr="00432ABC">
        <w:rPr>
          <w:rFonts w:ascii="Verdana" w:hAnsi="Verdana"/>
          <w:sz w:val="16"/>
          <w:szCs w:val="16"/>
        </w:rPr>
        <w:t xml:space="preserve">de denuncia de María de Jesús Alvarado Espinoza promovida el 31 de diciembre de 2009 ante el Agente Auxiliar del Ministerio Público de Buenaventura, Chihuahua [AAMP - Buenaventura] (expediente de prueba, f. 27901); y Declaraciones rendidas el 18 de abril de 2018 por D.A.E. (expediente de prueba, </w:t>
      </w:r>
      <w:r w:rsidRPr="00453199">
        <w:rPr>
          <w:rFonts w:ascii="Verdana" w:hAnsi="Verdana"/>
          <w:i/>
          <w:sz w:val="16"/>
          <w:szCs w:val="16"/>
        </w:rPr>
        <w:t>Affidávits</w:t>
      </w:r>
      <w:r w:rsidRPr="00432ABC">
        <w:rPr>
          <w:rFonts w:ascii="Verdana" w:hAnsi="Verdana"/>
          <w:sz w:val="16"/>
          <w:szCs w:val="16"/>
        </w:rPr>
        <w:t xml:space="preserve">, f. 30889); M.P.A.E. (expediente de prueba, </w:t>
      </w:r>
      <w:r w:rsidRPr="00453199">
        <w:rPr>
          <w:rFonts w:ascii="Verdana" w:hAnsi="Verdana"/>
          <w:i/>
          <w:sz w:val="16"/>
          <w:szCs w:val="16"/>
        </w:rPr>
        <w:t>Affidávits</w:t>
      </w:r>
      <w:r w:rsidRPr="00432ABC">
        <w:rPr>
          <w:rFonts w:ascii="Verdana" w:hAnsi="Verdana"/>
          <w:sz w:val="16"/>
          <w:szCs w:val="16"/>
        </w:rPr>
        <w:t xml:space="preserve">, f. 30895), y N.S.A.E. (expediente de prueba, </w:t>
      </w:r>
      <w:r w:rsidRPr="00453199">
        <w:rPr>
          <w:rFonts w:ascii="Verdana" w:hAnsi="Verdana"/>
          <w:i/>
          <w:sz w:val="16"/>
          <w:szCs w:val="16"/>
        </w:rPr>
        <w:t>Affidávits</w:t>
      </w:r>
      <w:r w:rsidRPr="00432ABC">
        <w:rPr>
          <w:rFonts w:ascii="Verdana" w:hAnsi="Verdana"/>
          <w:sz w:val="16"/>
          <w:szCs w:val="16"/>
        </w:rPr>
        <w:t>, f. 30902).</w:t>
      </w:r>
    </w:p>
  </w:footnote>
  <w:footnote w:id="140">
    <w:p w14:paraId="64AA61B9" w14:textId="35DF10A2" w:rsidR="00146958" w:rsidRPr="00432ABC" w:rsidRDefault="00146958">
      <w:pPr>
        <w:pStyle w:val="FootnoteText"/>
        <w:jc w:val="both"/>
        <w:rPr>
          <w:rFonts w:ascii="Verdana" w:hAnsi="Verdana"/>
          <w:sz w:val="16"/>
          <w:szCs w:val="16"/>
        </w:rPr>
      </w:pPr>
      <w:r w:rsidRPr="00432ABC">
        <w:rPr>
          <w:rStyle w:val="FootnoteReference"/>
          <w:rFonts w:ascii="Verdana" w:hAnsi="Verdana"/>
          <w:sz w:val="16"/>
          <w:szCs w:val="16"/>
        </w:rPr>
        <w:footnoteRef/>
      </w:r>
      <w:r w:rsidRPr="00432ABC">
        <w:rPr>
          <w:rFonts w:ascii="Verdana" w:hAnsi="Verdana"/>
          <w:sz w:val="16"/>
          <w:szCs w:val="16"/>
        </w:rPr>
        <w:t xml:space="preserve"> </w:t>
      </w:r>
      <w:r w:rsidRPr="00432ABC">
        <w:rPr>
          <w:rFonts w:ascii="Verdana" w:hAnsi="Verdana"/>
          <w:sz w:val="16"/>
          <w:szCs w:val="16"/>
        </w:rPr>
        <w:tab/>
      </w:r>
      <w:r w:rsidRPr="00CD5C54">
        <w:rPr>
          <w:rFonts w:ascii="Verdana" w:hAnsi="Verdana"/>
          <w:i/>
          <w:sz w:val="16"/>
          <w:szCs w:val="16"/>
        </w:rPr>
        <w:t>Cfr.</w:t>
      </w:r>
      <w:r w:rsidRPr="002C462C">
        <w:rPr>
          <w:rFonts w:ascii="Verdana" w:hAnsi="Verdana"/>
          <w:i/>
          <w:sz w:val="16"/>
          <w:szCs w:val="16"/>
        </w:rPr>
        <w:t xml:space="preserve"> </w:t>
      </w:r>
      <w:r w:rsidRPr="002C462C">
        <w:rPr>
          <w:rFonts w:ascii="Verdana" w:hAnsi="Verdana"/>
          <w:sz w:val="16"/>
          <w:szCs w:val="16"/>
        </w:rPr>
        <w:t>Acta</w:t>
      </w:r>
      <w:r w:rsidRPr="00432ABC">
        <w:rPr>
          <w:rFonts w:ascii="Verdana" w:hAnsi="Verdana"/>
          <w:i/>
          <w:sz w:val="16"/>
          <w:szCs w:val="16"/>
        </w:rPr>
        <w:t xml:space="preserve"> </w:t>
      </w:r>
      <w:r w:rsidRPr="00432ABC">
        <w:rPr>
          <w:rFonts w:ascii="Verdana" w:hAnsi="Verdana"/>
          <w:sz w:val="16"/>
          <w:szCs w:val="16"/>
        </w:rPr>
        <w:t xml:space="preserve">de denuncia de María de Jesús Alvarado Espinoza de 31 de diciembre de 2009 ante el AAMP - Buenaventura, </w:t>
      </w:r>
      <w:r w:rsidRPr="00432ABC">
        <w:rPr>
          <w:rFonts w:ascii="Verdana" w:hAnsi="Verdana"/>
          <w:i/>
          <w:sz w:val="16"/>
          <w:szCs w:val="16"/>
        </w:rPr>
        <w:t xml:space="preserve">supra, </w:t>
      </w:r>
      <w:r w:rsidRPr="00432ABC">
        <w:rPr>
          <w:rFonts w:ascii="Verdana" w:hAnsi="Verdana"/>
          <w:sz w:val="16"/>
          <w:szCs w:val="16"/>
        </w:rPr>
        <w:t>f. 27901; Declaración rendid</w:t>
      </w:r>
      <w:r>
        <w:rPr>
          <w:rFonts w:ascii="Verdana" w:hAnsi="Verdana"/>
          <w:sz w:val="16"/>
          <w:szCs w:val="16"/>
        </w:rPr>
        <w:t xml:space="preserve">a </w:t>
      </w:r>
      <w:r w:rsidRPr="00432ABC">
        <w:rPr>
          <w:rFonts w:ascii="Verdana" w:hAnsi="Verdana"/>
          <w:sz w:val="16"/>
          <w:szCs w:val="16"/>
        </w:rPr>
        <w:t xml:space="preserve">por M.P.A.E. el 18 de abril de 2018, </w:t>
      </w:r>
      <w:r w:rsidRPr="00432ABC">
        <w:rPr>
          <w:rFonts w:ascii="Verdana" w:hAnsi="Verdana"/>
          <w:i/>
          <w:sz w:val="16"/>
          <w:szCs w:val="16"/>
        </w:rPr>
        <w:t>supra</w:t>
      </w:r>
      <w:r w:rsidRPr="00432ABC">
        <w:rPr>
          <w:rFonts w:ascii="Verdana" w:hAnsi="Verdana"/>
          <w:sz w:val="16"/>
          <w:szCs w:val="16"/>
        </w:rPr>
        <w:t xml:space="preserve"> </w:t>
      </w:r>
      <w:r>
        <w:rPr>
          <w:rFonts w:ascii="Verdana" w:hAnsi="Verdana"/>
          <w:sz w:val="16"/>
          <w:szCs w:val="16"/>
        </w:rPr>
        <w:t xml:space="preserve">(expediente de prueba, </w:t>
      </w:r>
      <w:r w:rsidRPr="00453199">
        <w:rPr>
          <w:rFonts w:ascii="Verdana" w:hAnsi="Verdana"/>
          <w:i/>
          <w:sz w:val="16"/>
          <w:szCs w:val="16"/>
        </w:rPr>
        <w:t>Affidávits</w:t>
      </w:r>
      <w:r>
        <w:rPr>
          <w:rFonts w:ascii="Verdana" w:hAnsi="Verdana"/>
          <w:sz w:val="16"/>
          <w:szCs w:val="16"/>
        </w:rPr>
        <w:t xml:space="preserve">, </w:t>
      </w:r>
      <w:r w:rsidRPr="00432ABC">
        <w:rPr>
          <w:rFonts w:ascii="Verdana" w:hAnsi="Verdana"/>
          <w:sz w:val="16"/>
          <w:szCs w:val="16"/>
        </w:rPr>
        <w:t>f. 30895</w:t>
      </w:r>
      <w:r>
        <w:rPr>
          <w:rFonts w:ascii="Verdana" w:hAnsi="Verdana"/>
          <w:sz w:val="16"/>
          <w:szCs w:val="16"/>
        </w:rPr>
        <w:t>)</w:t>
      </w:r>
      <w:r w:rsidRPr="00432ABC">
        <w:rPr>
          <w:rFonts w:ascii="Verdana" w:hAnsi="Verdana"/>
          <w:sz w:val="16"/>
          <w:szCs w:val="16"/>
        </w:rPr>
        <w:t xml:space="preserve">, y Declaración rendida </w:t>
      </w:r>
      <w:r>
        <w:rPr>
          <w:rFonts w:ascii="Verdana" w:hAnsi="Verdana"/>
          <w:sz w:val="16"/>
          <w:szCs w:val="16"/>
        </w:rPr>
        <w:t xml:space="preserve">en la Audiencia Pública </w:t>
      </w:r>
      <w:r w:rsidRPr="00432ABC">
        <w:rPr>
          <w:rFonts w:ascii="Verdana" w:hAnsi="Verdana"/>
          <w:sz w:val="16"/>
          <w:szCs w:val="16"/>
        </w:rPr>
        <w:t>ante la Corte por María de Jesús Alvarado Espinoza el 26 de abril de 2018  (Transcripción de la Audiencia Pública, pág. 7).</w:t>
      </w:r>
    </w:p>
  </w:footnote>
  <w:footnote w:id="141">
    <w:p w14:paraId="64AA61BA" w14:textId="2D6744C1" w:rsidR="00146958" w:rsidRPr="00432ABC" w:rsidRDefault="00146958">
      <w:pPr>
        <w:pStyle w:val="FootnoteText"/>
        <w:jc w:val="both"/>
        <w:rPr>
          <w:rFonts w:ascii="Verdana" w:hAnsi="Verdana"/>
          <w:sz w:val="16"/>
          <w:szCs w:val="16"/>
        </w:rPr>
      </w:pPr>
      <w:r w:rsidRPr="00432ABC">
        <w:rPr>
          <w:rStyle w:val="FootnoteReference"/>
          <w:rFonts w:ascii="Verdana" w:hAnsi="Verdana"/>
          <w:sz w:val="16"/>
          <w:szCs w:val="16"/>
        </w:rPr>
        <w:footnoteRef/>
      </w:r>
      <w:r w:rsidRPr="00432ABC">
        <w:rPr>
          <w:rFonts w:ascii="Verdana" w:hAnsi="Verdana"/>
          <w:sz w:val="16"/>
          <w:szCs w:val="16"/>
        </w:rPr>
        <w:t xml:space="preserve"> </w:t>
      </w:r>
      <w:r w:rsidRPr="00432ABC">
        <w:rPr>
          <w:rFonts w:ascii="Verdana" w:hAnsi="Verdana"/>
          <w:sz w:val="16"/>
          <w:szCs w:val="16"/>
        </w:rPr>
        <w:tab/>
      </w:r>
      <w:r w:rsidRPr="00CD5C54">
        <w:rPr>
          <w:rFonts w:ascii="Verdana" w:hAnsi="Verdana"/>
          <w:i/>
          <w:sz w:val="16"/>
          <w:szCs w:val="16"/>
        </w:rPr>
        <w:t>Cfr.</w:t>
      </w:r>
      <w:r w:rsidRPr="002C462C">
        <w:rPr>
          <w:rFonts w:ascii="Verdana" w:hAnsi="Verdana"/>
          <w:i/>
          <w:sz w:val="16"/>
          <w:szCs w:val="16"/>
        </w:rPr>
        <w:t xml:space="preserve"> </w:t>
      </w:r>
      <w:r w:rsidRPr="002C462C">
        <w:rPr>
          <w:rFonts w:ascii="Verdana" w:hAnsi="Verdana"/>
          <w:sz w:val="16"/>
          <w:szCs w:val="16"/>
        </w:rPr>
        <w:t xml:space="preserve">Declaración rendida </w:t>
      </w:r>
      <w:r>
        <w:rPr>
          <w:rFonts w:ascii="Verdana" w:hAnsi="Verdana"/>
          <w:sz w:val="16"/>
          <w:szCs w:val="16"/>
        </w:rPr>
        <w:t xml:space="preserve">en la Audiencia Pública </w:t>
      </w:r>
      <w:r w:rsidRPr="002C462C">
        <w:rPr>
          <w:rFonts w:ascii="Verdana" w:hAnsi="Verdana"/>
          <w:sz w:val="16"/>
          <w:szCs w:val="16"/>
        </w:rPr>
        <w:t>ante la Corte po</w:t>
      </w:r>
      <w:r w:rsidRPr="00432ABC">
        <w:rPr>
          <w:rFonts w:ascii="Verdana" w:hAnsi="Verdana"/>
          <w:sz w:val="16"/>
          <w:szCs w:val="16"/>
        </w:rPr>
        <w:t xml:space="preserve">r María de Jesús Alvarado Espinoza, </w:t>
      </w:r>
      <w:r w:rsidRPr="00432ABC">
        <w:rPr>
          <w:rFonts w:ascii="Verdana" w:hAnsi="Verdana"/>
          <w:i/>
          <w:sz w:val="16"/>
          <w:szCs w:val="16"/>
        </w:rPr>
        <w:t>supra,</w:t>
      </w:r>
      <w:r w:rsidRPr="00432ABC">
        <w:rPr>
          <w:rFonts w:ascii="Verdana" w:hAnsi="Verdana"/>
          <w:sz w:val="16"/>
          <w:szCs w:val="16"/>
        </w:rPr>
        <w:t xml:space="preserve"> pág. 7; y Declaración rendida por D.A.E. el 18 de abril de 2018, </w:t>
      </w:r>
      <w:r w:rsidRPr="00432ABC">
        <w:rPr>
          <w:rFonts w:ascii="Verdana" w:hAnsi="Verdana"/>
          <w:i/>
          <w:sz w:val="16"/>
          <w:szCs w:val="16"/>
        </w:rPr>
        <w:t>supra</w:t>
      </w:r>
      <w:r w:rsidRPr="00432ABC">
        <w:rPr>
          <w:rFonts w:ascii="Verdana" w:hAnsi="Verdana"/>
          <w:sz w:val="16"/>
          <w:szCs w:val="16"/>
        </w:rPr>
        <w:t xml:space="preserve"> </w:t>
      </w:r>
      <w:r>
        <w:rPr>
          <w:rFonts w:ascii="Verdana" w:hAnsi="Verdana"/>
          <w:sz w:val="16"/>
          <w:szCs w:val="16"/>
        </w:rPr>
        <w:t xml:space="preserve">(expediente de prueba, </w:t>
      </w:r>
      <w:r w:rsidRPr="00453199">
        <w:rPr>
          <w:rFonts w:ascii="Verdana" w:hAnsi="Verdana"/>
          <w:i/>
          <w:sz w:val="16"/>
          <w:szCs w:val="16"/>
        </w:rPr>
        <w:t>Affidávits</w:t>
      </w:r>
      <w:r>
        <w:rPr>
          <w:rFonts w:ascii="Verdana" w:hAnsi="Verdana"/>
          <w:sz w:val="16"/>
          <w:szCs w:val="16"/>
        </w:rPr>
        <w:t xml:space="preserve">, </w:t>
      </w:r>
      <w:r w:rsidRPr="00432ABC">
        <w:rPr>
          <w:rFonts w:ascii="Verdana" w:hAnsi="Verdana"/>
          <w:sz w:val="16"/>
          <w:szCs w:val="16"/>
        </w:rPr>
        <w:t>f. 30889</w:t>
      </w:r>
      <w:r>
        <w:rPr>
          <w:rFonts w:ascii="Verdana" w:hAnsi="Verdana"/>
          <w:sz w:val="16"/>
          <w:szCs w:val="16"/>
        </w:rPr>
        <w:t>)</w:t>
      </w:r>
      <w:r w:rsidRPr="00432ABC">
        <w:rPr>
          <w:rFonts w:ascii="Verdana" w:hAnsi="Verdana"/>
          <w:sz w:val="16"/>
          <w:szCs w:val="16"/>
        </w:rPr>
        <w:t xml:space="preserve">; Declaración rendida por M.P.A.E. el 18 de abril de 2018, </w:t>
      </w:r>
      <w:r w:rsidRPr="00432ABC">
        <w:rPr>
          <w:rFonts w:ascii="Verdana" w:hAnsi="Verdana"/>
          <w:i/>
          <w:sz w:val="16"/>
          <w:szCs w:val="16"/>
        </w:rPr>
        <w:t>supra</w:t>
      </w:r>
      <w:r>
        <w:rPr>
          <w:rFonts w:ascii="Verdana" w:hAnsi="Verdana"/>
          <w:sz w:val="16"/>
          <w:szCs w:val="16"/>
        </w:rPr>
        <w:t xml:space="preserve"> (expediente de prueba, </w:t>
      </w:r>
      <w:r w:rsidRPr="00453199">
        <w:rPr>
          <w:rFonts w:ascii="Verdana" w:hAnsi="Verdana"/>
          <w:i/>
          <w:sz w:val="16"/>
          <w:szCs w:val="16"/>
        </w:rPr>
        <w:t>Affidávits</w:t>
      </w:r>
      <w:r>
        <w:rPr>
          <w:rFonts w:ascii="Verdana" w:hAnsi="Verdana"/>
          <w:sz w:val="16"/>
          <w:szCs w:val="16"/>
        </w:rPr>
        <w:t xml:space="preserve">, </w:t>
      </w:r>
      <w:r w:rsidRPr="00432ABC">
        <w:rPr>
          <w:rFonts w:ascii="Verdana" w:hAnsi="Verdana"/>
          <w:sz w:val="16"/>
          <w:szCs w:val="16"/>
        </w:rPr>
        <w:t>f. 30895</w:t>
      </w:r>
      <w:r>
        <w:rPr>
          <w:rFonts w:ascii="Verdana" w:hAnsi="Verdana"/>
          <w:sz w:val="16"/>
          <w:szCs w:val="16"/>
        </w:rPr>
        <w:t>)</w:t>
      </w:r>
      <w:r w:rsidRPr="00432ABC">
        <w:rPr>
          <w:rFonts w:ascii="Verdana" w:hAnsi="Verdana"/>
          <w:sz w:val="16"/>
          <w:szCs w:val="16"/>
        </w:rPr>
        <w:t xml:space="preserve">, y Declaración rendida por N.S.A.E. el 18 de abril de 2018, </w:t>
      </w:r>
      <w:r w:rsidRPr="00432ABC">
        <w:rPr>
          <w:rFonts w:ascii="Verdana" w:hAnsi="Verdana"/>
          <w:i/>
          <w:sz w:val="16"/>
          <w:szCs w:val="16"/>
        </w:rPr>
        <w:t>supr</w:t>
      </w:r>
      <w:r>
        <w:rPr>
          <w:rFonts w:ascii="Verdana" w:hAnsi="Verdana"/>
          <w:i/>
          <w:sz w:val="16"/>
          <w:szCs w:val="16"/>
        </w:rPr>
        <w:t>a</w:t>
      </w:r>
      <w:r w:rsidRPr="00432ABC">
        <w:rPr>
          <w:rFonts w:ascii="Verdana" w:hAnsi="Verdana"/>
          <w:i/>
          <w:sz w:val="16"/>
          <w:szCs w:val="16"/>
        </w:rPr>
        <w:t xml:space="preserve"> </w:t>
      </w:r>
      <w:r>
        <w:rPr>
          <w:rFonts w:ascii="Verdana" w:hAnsi="Verdana"/>
          <w:sz w:val="16"/>
          <w:szCs w:val="16"/>
        </w:rPr>
        <w:t xml:space="preserve">(expediente de prueba, </w:t>
      </w:r>
      <w:r w:rsidRPr="00453199">
        <w:rPr>
          <w:rFonts w:ascii="Verdana" w:hAnsi="Verdana"/>
          <w:i/>
          <w:sz w:val="16"/>
          <w:szCs w:val="16"/>
        </w:rPr>
        <w:t>Affidávits</w:t>
      </w:r>
      <w:r>
        <w:rPr>
          <w:rFonts w:ascii="Verdana" w:hAnsi="Verdana"/>
          <w:sz w:val="16"/>
        </w:rPr>
        <w:t xml:space="preserve">, </w:t>
      </w:r>
      <w:r w:rsidRPr="00432ABC">
        <w:rPr>
          <w:rFonts w:ascii="Verdana" w:hAnsi="Verdana"/>
          <w:sz w:val="16"/>
          <w:szCs w:val="16"/>
        </w:rPr>
        <w:t>f. 30902</w:t>
      </w:r>
      <w:r>
        <w:rPr>
          <w:rFonts w:ascii="Verdana" w:hAnsi="Verdana"/>
          <w:sz w:val="16"/>
          <w:szCs w:val="16"/>
        </w:rPr>
        <w:t>)</w:t>
      </w:r>
      <w:r w:rsidRPr="00432ABC">
        <w:rPr>
          <w:rFonts w:ascii="Verdana" w:hAnsi="Verdana"/>
          <w:sz w:val="16"/>
          <w:szCs w:val="16"/>
        </w:rPr>
        <w:t>.</w:t>
      </w:r>
    </w:p>
  </w:footnote>
  <w:footnote w:id="142">
    <w:p w14:paraId="64AA61BB" w14:textId="283F22A9" w:rsidR="00146958" w:rsidRPr="002C462C" w:rsidRDefault="00146958">
      <w:pPr>
        <w:pStyle w:val="FootnoteText"/>
        <w:jc w:val="both"/>
        <w:rPr>
          <w:rFonts w:ascii="Verdana" w:hAnsi="Verdana"/>
          <w:sz w:val="16"/>
          <w:szCs w:val="16"/>
        </w:rPr>
      </w:pPr>
      <w:r w:rsidRPr="00432ABC">
        <w:rPr>
          <w:rStyle w:val="FootnoteReference"/>
          <w:rFonts w:ascii="Verdana" w:hAnsi="Verdana"/>
          <w:sz w:val="16"/>
          <w:szCs w:val="16"/>
        </w:rPr>
        <w:footnoteRef/>
      </w:r>
      <w:r w:rsidRPr="00432ABC">
        <w:rPr>
          <w:rFonts w:ascii="Verdana" w:hAnsi="Verdana"/>
          <w:sz w:val="16"/>
          <w:szCs w:val="16"/>
        </w:rPr>
        <w:t xml:space="preserve"> </w:t>
      </w:r>
      <w:r w:rsidRPr="00432ABC">
        <w:rPr>
          <w:rFonts w:ascii="Verdana" w:hAnsi="Verdana"/>
          <w:sz w:val="16"/>
          <w:szCs w:val="16"/>
        </w:rPr>
        <w:tab/>
      </w:r>
      <w:r w:rsidRPr="00CD5C54">
        <w:rPr>
          <w:rFonts w:ascii="Verdana" w:hAnsi="Verdana"/>
          <w:i/>
          <w:sz w:val="16"/>
          <w:szCs w:val="16"/>
        </w:rPr>
        <w:t>Cfr.</w:t>
      </w:r>
      <w:r w:rsidRPr="002C462C">
        <w:rPr>
          <w:rFonts w:ascii="Verdana" w:hAnsi="Verdana"/>
          <w:sz w:val="16"/>
          <w:szCs w:val="16"/>
        </w:rPr>
        <w:t xml:space="preserve"> Declaración de A.R.A.R. rendida el 15 de enero de 2010 ante la CNDH (expediente de prueba, f. 27939), y Declaración de A.A.R. rendida el 15 de enero de 2010 ante la CNDH (expediente de prueba, f. 29045). </w:t>
      </w:r>
    </w:p>
  </w:footnote>
  <w:footnote w:id="143">
    <w:p w14:paraId="64AA61BC" w14:textId="329C2505" w:rsidR="00146958" w:rsidRPr="00432ABC" w:rsidRDefault="00146958">
      <w:pPr>
        <w:pStyle w:val="FootnoteText"/>
        <w:jc w:val="both"/>
        <w:rPr>
          <w:rFonts w:ascii="Verdana" w:hAnsi="Verdana"/>
          <w:sz w:val="16"/>
          <w:szCs w:val="16"/>
        </w:rPr>
      </w:pPr>
      <w:r w:rsidRPr="00432ABC">
        <w:rPr>
          <w:rStyle w:val="FootnoteReference"/>
          <w:rFonts w:ascii="Verdana" w:hAnsi="Verdana"/>
          <w:sz w:val="16"/>
          <w:szCs w:val="16"/>
        </w:rPr>
        <w:footnoteRef/>
      </w:r>
      <w:r w:rsidRPr="00432ABC">
        <w:rPr>
          <w:rFonts w:ascii="Verdana" w:hAnsi="Verdana"/>
          <w:sz w:val="16"/>
          <w:szCs w:val="16"/>
        </w:rPr>
        <w:t xml:space="preserve"> </w:t>
      </w:r>
      <w:r w:rsidRPr="00432ABC">
        <w:rPr>
          <w:rFonts w:ascii="Verdana" w:hAnsi="Verdana"/>
          <w:sz w:val="16"/>
          <w:szCs w:val="16"/>
        </w:rPr>
        <w:tab/>
      </w:r>
      <w:r w:rsidRPr="00CD5C54">
        <w:rPr>
          <w:rFonts w:ascii="Verdana" w:hAnsi="Verdana"/>
          <w:i/>
          <w:sz w:val="16"/>
          <w:szCs w:val="16"/>
        </w:rPr>
        <w:t>Cfr.</w:t>
      </w:r>
      <w:r w:rsidRPr="002C462C">
        <w:rPr>
          <w:rFonts w:ascii="Verdana" w:hAnsi="Verdana"/>
          <w:i/>
          <w:sz w:val="16"/>
          <w:szCs w:val="16"/>
        </w:rPr>
        <w:t xml:space="preserve"> </w:t>
      </w:r>
      <w:r w:rsidRPr="002C462C">
        <w:rPr>
          <w:rFonts w:ascii="Verdana" w:hAnsi="Verdana"/>
          <w:sz w:val="16"/>
          <w:szCs w:val="16"/>
        </w:rPr>
        <w:t>Acta de denuncia de Patricia Reyes Rueda promovida el 31 de diciembre de 2009 ante el AAMP - Buena</w:t>
      </w:r>
      <w:r w:rsidRPr="00432ABC">
        <w:rPr>
          <w:rFonts w:ascii="Verdana" w:hAnsi="Verdana"/>
          <w:sz w:val="16"/>
          <w:szCs w:val="16"/>
        </w:rPr>
        <w:t>ventura</w:t>
      </w:r>
      <w:r w:rsidRPr="00432ABC" w:rsidDel="00E73075">
        <w:rPr>
          <w:rFonts w:ascii="Verdana" w:hAnsi="Verdana"/>
          <w:sz w:val="16"/>
          <w:szCs w:val="16"/>
        </w:rPr>
        <w:t xml:space="preserve"> </w:t>
      </w:r>
      <w:r w:rsidRPr="00432ABC">
        <w:rPr>
          <w:rFonts w:ascii="Verdana" w:hAnsi="Verdana"/>
          <w:sz w:val="16"/>
          <w:szCs w:val="16"/>
        </w:rPr>
        <w:t>(expediente de prueba, f. 27877).</w:t>
      </w:r>
    </w:p>
  </w:footnote>
  <w:footnote w:id="144">
    <w:p w14:paraId="64AA61BD" w14:textId="0EDCAD11" w:rsidR="00146958" w:rsidRPr="002C462C" w:rsidRDefault="00146958">
      <w:pPr>
        <w:pStyle w:val="FootnoteText"/>
        <w:jc w:val="both"/>
        <w:rPr>
          <w:rFonts w:ascii="Verdana" w:hAnsi="Verdana"/>
          <w:sz w:val="16"/>
          <w:szCs w:val="16"/>
        </w:rPr>
      </w:pPr>
      <w:r w:rsidRPr="00432ABC">
        <w:rPr>
          <w:rStyle w:val="FootnoteReference"/>
          <w:rFonts w:ascii="Verdana" w:hAnsi="Verdana"/>
          <w:sz w:val="16"/>
          <w:szCs w:val="16"/>
        </w:rPr>
        <w:footnoteRef/>
      </w:r>
      <w:r w:rsidRPr="00432ABC">
        <w:rPr>
          <w:rFonts w:ascii="Verdana" w:hAnsi="Verdana"/>
          <w:sz w:val="16"/>
          <w:szCs w:val="16"/>
        </w:rPr>
        <w:t xml:space="preserve"> </w:t>
      </w:r>
      <w:r w:rsidRPr="00432ABC">
        <w:rPr>
          <w:rFonts w:ascii="Verdana" w:hAnsi="Verdana"/>
          <w:sz w:val="16"/>
          <w:szCs w:val="16"/>
        </w:rPr>
        <w:tab/>
      </w:r>
      <w:r w:rsidRPr="00CD5C54">
        <w:rPr>
          <w:rFonts w:ascii="Verdana" w:hAnsi="Verdana"/>
          <w:i/>
          <w:sz w:val="16"/>
          <w:szCs w:val="16"/>
        </w:rPr>
        <w:t>Cfr.</w:t>
      </w:r>
      <w:r w:rsidRPr="002C462C">
        <w:rPr>
          <w:rFonts w:ascii="Verdana" w:hAnsi="Verdana"/>
          <w:i/>
          <w:sz w:val="16"/>
          <w:szCs w:val="16"/>
        </w:rPr>
        <w:t xml:space="preserve"> </w:t>
      </w:r>
      <w:r w:rsidRPr="002C462C">
        <w:rPr>
          <w:rFonts w:ascii="Verdana" w:hAnsi="Verdana"/>
          <w:sz w:val="16"/>
          <w:szCs w:val="16"/>
        </w:rPr>
        <w:t>Declaración de Patricia Reyes Rueda rendida el 16 de enero de 2013 ante la 11ªAMPF – PGR (expediente de prueba, f. 27887).</w:t>
      </w:r>
    </w:p>
  </w:footnote>
  <w:footnote w:id="145">
    <w:p w14:paraId="64AA61BE" w14:textId="4E781805" w:rsidR="00146958" w:rsidRPr="002C462C" w:rsidRDefault="00146958">
      <w:pPr>
        <w:pStyle w:val="FootnoteText"/>
        <w:jc w:val="both"/>
        <w:rPr>
          <w:rFonts w:ascii="Verdana" w:hAnsi="Verdana"/>
          <w:sz w:val="16"/>
          <w:szCs w:val="16"/>
        </w:rPr>
      </w:pPr>
      <w:r w:rsidRPr="00432ABC">
        <w:rPr>
          <w:rStyle w:val="FootnoteReference"/>
          <w:rFonts w:ascii="Verdana" w:hAnsi="Verdana"/>
          <w:sz w:val="16"/>
          <w:szCs w:val="16"/>
        </w:rPr>
        <w:footnoteRef/>
      </w:r>
      <w:r w:rsidRPr="00432ABC">
        <w:rPr>
          <w:rFonts w:ascii="Verdana" w:hAnsi="Verdana"/>
          <w:sz w:val="16"/>
          <w:szCs w:val="16"/>
        </w:rPr>
        <w:t xml:space="preserve"> </w:t>
      </w:r>
      <w:r w:rsidRPr="00432ABC">
        <w:rPr>
          <w:rFonts w:ascii="Verdana" w:hAnsi="Verdana"/>
          <w:sz w:val="16"/>
          <w:szCs w:val="16"/>
        </w:rPr>
        <w:tab/>
      </w:r>
      <w:r w:rsidRPr="00CD5C54">
        <w:rPr>
          <w:rFonts w:ascii="Verdana" w:hAnsi="Verdana"/>
          <w:i/>
          <w:sz w:val="16"/>
          <w:szCs w:val="16"/>
        </w:rPr>
        <w:t>Cfr.</w:t>
      </w:r>
      <w:r w:rsidRPr="002C462C">
        <w:rPr>
          <w:rFonts w:ascii="Verdana" w:hAnsi="Verdana"/>
          <w:sz w:val="16"/>
          <w:szCs w:val="16"/>
        </w:rPr>
        <w:t xml:space="preserve"> Declaración rendida por A.A.R. el 19 de abril de 2018 (expediente de prueba, </w:t>
      </w:r>
      <w:r w:rsidRPr="00453199">
        <w:rPr>
          <w:rFonts w:ascii="Verdana" w:hAnsi="Verdana"/>
          <w:i/>
          <w:sz w:val="16"/>
          <w:szCs w:val="16"/>
        </w:rPr>
        <w:t>Affidávits</w:t>
      </w:r>
      <w:r w:rsidRPr="002C462C">
        <w:rPr>
          <w:rFonts w:ascii="Verdana" w:hAnsi="Verdana"/>
          <w:sz w:val="16"/>
          <w:szCs w:val="16"/>
        </w:rPr>
        <w:t xml:space="preserve">, f. 30865), y Declaración rendida por A.R.A.R. el 19 de abril de 2018 (expediente de prueba, </w:t>
      </w:r>
      <w:r w:rsidRPr="00453199">
        <w:rPr>
          <w:rFonts w:ascii="Verdana" w:hAnsi="Verdana"/>
          <w:i/>
          <w:sz w:val="16"/>
          <w:szCs w:val="16"/>
        </w:rPr>
        <w:t>Affidávits</w:t>
      </w:r>
      <w:r w:rsidRPr="002C462C">
        <w:rPr>
          <w:rFonts w:ascii="Verdana" w:hAnsi="Verdana"/>
          <w:sz w:val="16"/>
          <w:szCs w:val="16"/>
        </w:rPr>
        <w:t>, f. 30871).</w:t>
      </w:r>
    </w:p>
  </w:footnote>
  <w:footnote w:id="146">
    <w:p w14:paraId="64AA61BF" w14:textId="21F7A9E5" w:rsidR="00146958" w:rsidRPr="00432ABC" w:rsidRDefault="00146958">
      <w:pPr>
        <w:pStyle w:val="FootnoteText"/>
        <w:jc w:val="both"/>
        <w:rPr>
          <w:rFonts w:ascii="Verdana" w:hAnsi="Verdana"/>
          <w:sz w:val="16"/>
          <w:szCs w:val="16"/>
        </w:rPr>
      </w:pPr>
      <w:r w:rsidRPr="00432ABC">
        <w:rPr>
          <w:rStyle w:val="FootnoteReference"/>
          <w:rFonts w:ascii="Verdana" w:hAnsi="Verdana"/>
          <w:sz w:val="16"/>
          <w:szCs w:val="16"/>
        </w:rPr>
        <w:footnoteRef/>
      </w:r>
      <w:r w:rsidRPr="00432ABC">
        <w:rPr>
          <w:rFonts w:ascii="Verdana" w:hAnsi="Verdana"/>
          <w:sz w:val="16"/>
          <w:szCs w:val="16"/>
        </w:rPr>
        <w:t xml:space="preserve"> </w:t>
      </w:r>
      <w:r w:rsidRPr="00432ABC">
        <w:rPr>
          <w:rFonts w:ascii="Verdana" w:hAnsi="Verdana"/>
          <w:sz w:val="16"/>
          <w:szCs w:val="16"/>
        </w:rPr>
        <w:tab/>
      </w:r>
      <w:r w:rsidRPr="00CD5C54">
        <w:rPr>
          <w:rFonts w:ascii="Verdana" w:hAnsi="Verdana"/>
          <w:i/>
          <w:sz w:val="16"/>
          <w:szCs w:val="16"/>
        </w:rPr>
        <w:t>Cfr.</w:t>
      </w:r>
      <w:r w:rsidRPr="002C462C">
        <w:rPr>
          <w:rFonts w:ascii="Verdana" w:hAnsi="Verdana"/>
          <w:sz w:val="16"/>
          <w:szCs w:val="16"/>
        </w:rPr>
        <w:t xml:space="preserve"> Declaración rendida por A.A.R. el 19 de abril de 2018, </w:t>
      </w:r>
      <w:r w:rsidRPr="002C462C">
        <w:rPr>
          <w:rFonts w:ascii="Verdana" w:hAnsi="Verdana"/>
          <w:i/>
          <w:sz w:val="16"/>
          <w:szCs w:val="16"/>
        </w:rPr>
        <w:t xml:space="preserve">supra </w:t>
      </w:r>
      <w:r>
        <w:rPr>
          <w:rFonts w:ascii="Verdana" w:hAnsi="Verdana"/>
          <w:sz w:val="16"/>
          <w:szCs w:val="16"/>
        </w:rPr>
        <w:t xml:space="preserve">(expediente de prueba, </w:t>
      </w:r>
      <w:r w:rsidRPr="00453199">
        <w:rPr>
          <w:rFonts w:ascii="Verdana" w:hAnsi="Verdana"/>
          <w:i/>
          <w:sz w:val="16"/>
          <w:szCs w:val="16"/>
        </w:rPr>
        <w:t>Affidávits</w:t>
      </w:r>
      <w:r>
        <w:rPr>
          <w:rFonts w:ascii="Verdana" w:hAnsi="Verdana"/>
          <w:sz w:val="16"/>
          <w:szCs w:val="16"/>
        </w:rPr>
        <w:t xml:space="preserve">, </w:t>
      </w:r>
      <w:r w:rsidRPr="00432ABC">
        <w:rPr>
          <w:rFonts w:ascii="Verdana" w:hAnsi="Verdana"/>
          <w:sz w:val="16"/>
          <w:szCs w:val="16"/>
        </w:rPr>
        <w:t>f. 30865</w:t>
      </w:r>
      <w:r>
        <w:rPr>
          <w:rFonts w:ascii="Verdana" w:hAnsi="Verdana"/>
          <w:sz w:val="16"/>
          <w:szCs w:val="16"/>
        </w:rPr>
        <w:t>)</w:t>
      </w:r>
      <w:r w:rsidRPr="00432ABC">
        <w:rPr>
          <w:rFonts w:ascii="Verdana" w:hAnsi="Verdana"/>
          <w:sz w:val="16"/>
          <w:szCs w:val="16"/>
        </w:rPr>
        <w:t>. Señaló que los captores tenían “voz chilanga (del centro-sur del país), como la de los militares que habían estado en el pueblo”.</w:t>
      </w:r>
    </w:p>
  </w:footnote>
  <w:footnote w:id="147">
    <w:p w14:paraId="64AA61C0" w14:textId="1CE43184" w:rsidR="00146958" w:rsidRPr="00432ABC" w:rsidRDefault="00146958">
      <w:pPr>
        <w:pStyle w:val="FootnoteText"/>
        <w:jc w:val="both"/>
        <w:rPr>
          <w:rFonts w:ascii="Verdana" w:hAnsi="Verdana"/>
          <w:sz w:val="16"/>
          <w:szCs w:val="16"/>
        </w:rPr>
      </w:pPr>
      <w:r w:rsidRPr="00432ABC">
        <w:rPr>
          <w:rStyle w:val="FootnoteReference"/>
          <w:rFonts w:ascii="Verdana" w:hAnsi="Verdana"/>
          <w:sz w:val="16"/>
          <w:szCs w:val="16"/>
        </w:rPr>
        <w:footnoteRef/>
      </w:r>
      <w:r w:rsidRPr="00432ABC">
        <w:rPr>
          <w:rFonts w:ascii="Verdana" w:hAnsi="Verdana"/>
          <w:sz w:val="16"/>
          <w:szCs w:val="16"/>
        </w:rPr>
        <w:t xml:space="preserve"> </w:t>
      </w:r>
      <w:r w:rsidRPr="00432ABC">
        <w:rPr>
          <w:rFonts w:ascii="Verdana" w:hAnsi="Verdana"/>
          <w:sz w:val="16"/>
          <w:szCs w:val="16"/>
        </w:rPr>
        <w:tab/>
      </w:r>
      <w:r w:rsidRPr="00CD5C54">
        <w:rPr>
          <w:rFonts w:ascii="Verdana" w:hAnsi="Verdana"/>
          <w:i/>
          <w:sz w:val="16"/>
          <w:szCs w:val="16"/>
        </w:rPr>
        <w:t>Cfr.</w:t>
      </w:r>
      <w:r w:rsidRPr="002C462C">
        <w:rPr>
          <w:rFonts w:ascii="Verdana" w:hAnsi="Verdana"/>
          <w:i/>
          <w:sz w:val="16"/>
          <w:szCs w:val="16"/>
        </w:rPr>
        <w:t xml:space="preserve"> </w:t>
      </w:r>
      <w:r w:rsidRPr="002C462C">
        <w:rPr>
          <w:rFonts w:ascii="Verdana" w:hAnsi="Verdana"/>
          <w:sz w:val="16"/>
          <w:szCs w:val="16"/>
        </w:rPr>
        <w:t>Declaración de P</w:t>
      </w:r>
      <w:r w:rsidRPr="00432ABC">
        <w:rPr>
          <w:rFonts w:ascii="Verdana" w:hAnsi="Verdana"/>
          <w:sz w:val="16"/>
          <w:szCs w:val="16"/>
        </w:rPr>
        <w:t xml:space="preserve">atricia Reyes Rueda rendida el 16 de enero de 2013 ante la 11ªAMPF – PGR, </w:t>
      </w:r>
      <w:r w:rsidRPr="00432ABC">
        <w:rPr>
          <w:rFonts w:ascii="Verdana" w:hAnsi="Verdana"/>
          <w:i/>
          <w:sz w:val="16"/>
          <w:szCs w:val="16"/>
        </w:rPr>
        <w:t xml:space="preserve">supra, </w:t>
      </w:r>
      <w:r w:rsidRPr="00432ABC">
        <w:rPr>
          <w:rFonts w:ascii="Verdana" w:hAnsi="Verdana"/>
          <w:sz w:val="16"/>
          <w:szCs w:val="16"/>
        </w:rPr>
        <w:t xml:space="preserve">f. 27887. Asimismo, en su declaración rendida ante el Agente del Ministerio Público Militar adscrito a la Quinta Zona Militar [AMPM - 5ªZM], la señora Patricia Reyes Rueda manifestó que una vez que accedió a abrir la puerta, uno de los elementos la empujó con el arma que portaba, la cual era similar a las que emplean elementos castrenses, y que los mismos vestían uniformes de color beige tipo desierto, añadiendo: “[…] este tipo de uniforme lo he visto en el precos [sic] [puesto de control] [ubicado en Samayaluca, camino] hacia Ciudad Juárez […] igualmente, había [a]fuera de mi domicilio militares con el uniforme verde y otros con uniforme verde más obscuro”. </w:t>
      </w:r>
      <w:r w:rsidRPr="00CD5C54">
        <w:rPr>
          <w:rFonts w:ascii="Verdana" w:hAnsi="Verdana"/>
          <w:i/>
          <w:sz w:val="16"/>
          <w:szCs w:val="16"/>
        </w:rPr>
        <w:t>Cfr.</w:t>
      </w:r>
      <w:r w:rsidRPr="00432ABC">
        <w:rPr>
          <w:rFonts w:ascii="Verdana" w:hAnsi="Verdana"/>
          <w:sz w:val="16"/>
          <w:szCs w:val="16"/>
        </w:rPr>
        <w:t xml:space="preserve"> Declaración de Patricia Reyes Rueda rendida el 9 de marzo de 2010 ante el AMPM - 5ªZM (expediente de prueba, ff. 27883 a 27884).</w:t>
      </w:r>
    </w:p>
  </w:footnote>
  <w:footnote w:id="148">
    <w:p w14:paraId="64AA61C1" w14:textId="12D476B9" w:rsidR="00146958" w:rsidRPr="00432ABC" w:rsidRDefault="00146958">
      <w:pPr>
        <w:pStyle w:val="FootnoteText"/>
        <w:jc w:val="both"/>
        <w:rPr>
          <w:rFonts w:ascii="Verdana" w:hAnsi="Verdana"/>
          <w:sz w:val="16"/>
          <w:szCs w:val="16"/>
        </w:rPr>
      </w:pPr>
      <w:r w:rsidRPr="00432ABC">
        <w:rPr>
          <w:rStyle w:val="FootnoteReference"/>
          <w:rFonts w:ascii="Verdana" w:hAnsi="Verdana"/>
          <w:sz w:val="16"/>
          <w:szCs w:val="16"/>
        </w:rPr>
        <w:footnoteRef/>
      </w:r>
      <w:r w:rsidRPr="00432ABC">
        <w:rPr>
          <w:rFonts w:ascii="Verdana" w:hAnsi="Verdana"/>
          <w:sz w:val="16"/>
          <w:szCs w:val="16"/>
        </w:rPr>
        <w:t xml:space="preserve"> </w:t>
      </w:r>
      <w:r w:rsidRPr="00432ABC">
        <w:rPr>
          <w:rFonts w:ascii="Verdana" w:hAnsi="Verdana"/>
          <w:sz w:val="16"/>
          <w:szCs w:val="16"/>
        </w:rPr>
        <w:tab/>
      </w:r>
      <w:r w:rsidRPr="00CD5C54">
        <w:rPr>
          <w:rFonts w:ascii="Verdana" w:hAnsi="Verdana"/>
          <w:i/>
          <w:sz w:val="16"/>
          <w:szCs w:val="16"/>
        </w:rPr>
        <w:t>Cfr.</w:t>
      </w:r>
      <w:r w:rsidRPr="002C462C">
        <w:rPr>
          <w:rFonts w:ascii="Verdana" w:hAnsi="Verdana"/>
          <w:sz w:val="16"/>
          <w:szCs w:val="16"/>
        </w:rPr>
        <w:t xml:space="preserve"> Declaración de A.R.A.R. rendida el 15 de enero de 2010 ante la CNDH, </w:t>
      </w:r>
      <w:r w:rsidRPr="002C462C">
        <w:rPr>
          <w:rFonts w:ascii="Verdana" w:hAnsi="Verdana"/>
          <w:i/>
          <w:sz w:val="16"/>
          <w:szCs w:val="16"/>
        </w:rPr>
        <w:t xml:space="preserve">supra </w:t>
      </w:r>
      <w:r>
        <w:rPr>
          <w:rFonts w:ascii="Verdana" w:hAnsi="Verdana"/>
          <w:sz w:val="16"/>
          <w:szCs w:val="16"/>
        </w:rPr>
        <w:t xml:space="preserve">(expediente de prueba, </w:t>
      </w:r>
      <w:r w:rsidRPr="00432ABC">
        <w:rPr>
          <w:rFonts w:ascii="Verdana" w:hAnsi="Verdana"/>
          <w:sz w:val="16"/>
          <w:szCs w:val="16"/>
        </w:rPr>
        <w:t>f. 27939</w:t>
      </w:r>
      <w:r>
        <w:rPr>
          <w:rFonts w:ascii="Verdana" w:hAnsi="Verdana"/>
          <w:sz w:val="16"/>
          <w:szCs w:val="16"/>
        </w:rPr>
        <w:t>)</w:t>
      </w:r>
      <w:r w:rsidRPr="00432ABC">
        <w:rPr>
          <w:rFonts w:ascii="Verdana" w:hAnsi="Verdana"/>
          <w:sz w:val="16"/>
          <w:szCs w:val="16"/>
        </w:rPr>
        <w:t xml:space="preserve">, y Declaración rendida por A.A.R. el 19 de abril de 2018, </w:t>
      </w:r>
      <w:r w:rsidRPr="00432ABC">
        <w:rPr>
          <w:rFonts w:ascii="Verdana" w:hAnsi="Verdana"/>
          <w:i/>
          <w:sz w:val="16"/>
          <w:szCs w:val="16"/>
        </w:rPr>
        <w:t>supra</w:t>
      </w:r>
      <w:r>
        <w:rPr>
          <w:rFonts w:ascii="Verdana" w:hAnsi="Verdana"/>
          <w:i/>
          <w:sz w:val="16"/>
          <w:szCs w:val="16"/>
        </w:rPr>
        <w:t xml:space="preserve"> </w:t>
      </w:r>
      <w:r>
        <w:rPr>
          <w:rFonts w:ascii="Verdana" w:hAnsi="Verdana"/>
          <w:sz w:val="16"/>
          <w:szCs w:val="16"/>
        </w:rPr>
        <w:t xml:space="preserve">(expediente de prueba, </w:t>
      </w:r>
      <w:r w:rsidRPr="00453199">
        <w:rPr>
          <w:rFonts w:ascii="Verdana" w:hAnsi="Verdana"/>
          <w:i/>
          <w:sz w:val="16"/>
          <w:szCs w:val="16"/>
        </w:rPr>
        <w:t>Affidávits</w:t>
      </w:r>
      <w:r>
        <w:rPr>
          <w:rFonts w:ascii="Verdana" w:hAnsi="Verdana"/>
          <w:sz w:val="16"/>
          <w:szCs w:val="16"/>
        </w:rPr>
        <w:t xml:space="preserve">, </w:t>
      </w:r>
      <w:r w:rsidRPr="00432ABC">
        <w:rPr>
          <w:rFonts w:ascii="Verdana" w:hAnsi="Verdana"/>
          <w:sz w:val="16"/>
          <w:szCs w:val="16"/>
        </w:rPr>
        <w:t>f. 30865</w:t>
      </w:r>
      <w:r>
        <w:rPr>
          <w:rFonts w:ascii="Verdana" w:hAnsi="Verdana"/>
          <w:sz w:val="16"/>
          <w:szCs w:val="16"/>
        </w:rPr>
        <w:t>)</w:t>
      </w:r>
      <w:r w:rsidRPr="00432ABC">
        <w:rPr>
          <w:rFonts w:ascii="Verdana" w:hAnsi="Verdana"/>
          <w:sz w:val="16"/>
          <w:szCs w:val="16"/>
        </w:rPr>
        <w:t>.</w:t>
      </w:r>
    </w:p>
  </w:footnote>
  <w:footnote w:id="149">
    <w:p w14:paraId="64AA61C2" w14:textId="04435B81" w:rsidR="00146958" w:rsidRPr="00432ABC" w:rsidRDefault="00146958">
      <w:pPr>
        <w:pStyle w:val="FootnoteText"/>
        <w:jc w:val="both"/>
        <w:rPr>
          <w:rFonts w:ascii="Verdana" w:hAnsi="Verdana"/>
          <w:sz w:val="16"/>
          <w:szCs w:val="16"/>
        </w:rPr>
      </w:pPr>
      <w:r w:rsidRPr="00432ABC">
        <w:rPr>
          <w:rStyle w:val="FootnoteReference"/>
          <w:rFonts w:ascii="Verdana" w:hAnsi="Verdana"/>
          <w:sz w:val="16"/>
          <w:szCs w:val="16"/>
        </w:rPr>
        <w:footnoteRef/>
      </w:r>
      <w:r w:rsidRPr="00432ABC">
        <w:rPr>
          <w:rFonts w:ascii="Verdana" w:hAnsi="Verdana"/>
          <w:sz w:val="16"/>
          <w:szCs w:val="16"/>
        </w:rPr>
        <w:t xml:space="preserve"> </w:t>
      </w:r>
      <w:r w:rsidRPr="00432ABC">
        <w:rPr>
          <w:rFonts w:ascii="Verdana" w:hAnsi="Verdana"/>
          <w:sz w:val="16"/>
          <w:szCs w:val="16"/>
        </w:rPr>
        <w:tab/>
      </w:r>
      <w:r w:rsidRPr="00CD5C54">
        <w:rPr>
          <w:rFonts w:ascii="Verdana" w:hAnsi="Verdana"/>
          <w:i/>
          <w:sz w:val="16"/>
          <w:szCs w:val="16"/>
        </w:rPr>
        <w:t>Cfr.</w:t>
      </w:r>
      <w:r w:rsidRPr="002C462C">
        <w:rPr>
          <w:rFonts w:ascii="Verdana" w:hAnsi="Verdana"/>
          <w:sz w:val="16"/>
          <w:szCs w:val="16"/>
        </w:rPr>
        <w:t xml:space="preserve"> Declaración de Patricia Reyes Rueda rendida el 9 de marzo de 2010 ante el AMPM - 5ªZM, </w:t>
      </w:r>
      <w:r w:rsidRPr="002C462C">
        <w:rPr>
          <w:rFonts w:ascii="Verdana" w:hAnsi="Verdana"/>
          <w:i/>
          <w:sz w:val="16"/>
          <w:szCs w:val="16"/>
        </w:rPr>
        <w:t>supra</w:t>
      </w:r>
      <w:r w:rsidRPr="00432ABC">
        <w:rPr>
          <w:rFonts w:ascii="Verdana" w:hAnsi="Verdana"/>
          <w:sz w:val="16"/>
          <w:szCs w:val="16"/>
        </w:rPr>
        <w:t xml:space="preserve"> </w:t>
      </w:r>
      <w:r>
        <w:rPr>
          <w:rFonts w:ascii="Verdana" w:hAnsi="Verdana"/>
          <w:sz w:val="16"/>
          <w:szCs w:val="16"/>
        </w:rPr>
        <w:t xml:space="preserve">(expediente de prueba, </w:t>
      </w:r>
      <w:r w:rsidRPr="00432ABC">
        <w:rPr>
          <w:rFonts w:ascii="Verdana" w:hAnsi="Verdana"/>
          <w:sz w:val="16"/>
          <w:szCs w:val="16"/>
        </w:rPr>
        <w:t>f. 27884</w:t>
      </w:r>
      <w:r>
        <w:rPr>
          <w:rFonts w:ascii="Verdana" w:hAnsi="Verdana"/>
          <w:sz w:val="16"/>
          <w:szCs w:val="16"/>
        </w:rPr>
        <w:t>)</w:t>
      </w:r>
      <w:r w:rsidRPr="00432ABC">
        <w:rPr>
          <w:rFonts w:ascii="Verdana" w:hAnsi="Verdana"/>
          <w:sz w:val="16"/>
          <w:szCs w:val="16"/>
        </w:rPr>
        <w:t>.</w:t>
      </w:r>
    </w:p>
  </w:footnote>
  <w:footnote w:id="150">
    <w:p w14:paraId="64AA61C3" w14:textId="3065861D" w:rsidR="00146958" w:rsidRPr="00432ABC" w:rsidRDefault="00146958">
      <w:pPr>
        <w:pStyle w:val="FootnoteText"/>
        <w:jc w:val="both"/>
        <w:rPr>
          <w:rFonts w:ascii="Verdana" w:hAnsi="Verdana"/>
          <w:sz w:val="16"/>
          <w:szCs w:val="16"/>
        </w:rPr>
      </w:pPr>
      <w:r w:rsidRPr="00432ABC">
        <w:rPr>
          <w:rStyle w:val="FootnoteReference"/>
          <w:rFonts w:ascii="Verdana" w:hAnsi="Verdana"/>
          <w:sz w:val="16"/>
          <w:szCs w:val="16"/>
        </w:rPr>
        <w:footnoteRef/>
      </w:r>
      <w:r w:rsidRPr="00432ABC">
        <w:rPr>
          <w:rFonts w:ascii="Verdana" w:hAnsi="Verdana"/>
          <w:i/>
          <w:sz w:val="16"/>
          <w:szCs w:val="16"/>
        </w:rPr>
        <w:t xml:space="preserve"> </w:t>
      </w:r>
      <w:r w:rsidRPr="00432ABC">
        <w:rPr>
          <w:rFonts w:ascii="Verdana" w:hAnsi="Verdana"/>
          <w:i/>
          <w:sz w:val="16"/>
          <w:szCs w:val="16"/>
        </w:rPr>
        <w:tab/>
      </w:r>
      <w:r w:rsidRPr="00CD5C54">
        <w:rPr>
          <w:rFonts w:ascii="Verdana" w:hAnsi="Verdana"/>
          <w:i/>
          <w:sz w:val="16"/>
          <w:szCs w:val="16"/>
        </w:rPr>
        <w:t>Cfr.</w:t>
      </w:r>
      <w:r w:rsidRPr="002C462C">
        <w:rPr>
          <w:rFonts w:ascii="Verdana" w:hAnsi="Verdana"/>
          <w:sz w:val="16"/>
          <w:szCs w:val="16"/>
        </w:rPr>
        <w:t xml:space="preserve"> Declaración de A.R.A.R. rendida el 15 de enero de 2010 ante la CNDH, </w:t>
      </w:r>
      <w:r w:rsidRPr="00432ABC">
        <w:rPr>
          <w:rFonts w:ascii="Verdana" w:hAnsi="Verdana"/>
          <w:i/>
          <w:sz w:val="16"/>
          <w:szCs w:val="16"/>
        </w:rPr>
        <w:t>supra</w:t>
      </w:r>
      <w:r w:rsidRPr="00432ABC">
        <w:rPr>
          <w:rFonts w:ascii="Verdana" w:hAnsi="Verdana"/>
          <w:sz w:val="16"/>
          <w:szCs w:val="16"/>
        </w:rPr>
        <w:t xml:space="preserve"> </w:t>
      </w:r>
      <w:r>
        <w:rPr>
          <w:rFonts w:ascii="Verdana" w:hAnsi="Verdana"/>
          <w:sz w:val="16"/>
          <w:szCs w:val="16"/>
        </w:rPr>
        <w:t xml:space="preserve">(expediente de prueba, </w:t>
      </w:r>
      <w:r w:rsidRPr="00432ABC">
        <w:rPr>
          <w:rFonts w:ascii="Verdana" w:hAnsi="Verdana"/>
          <w:sz w:val="16"/>
          <w:szCs w:val="16"/>
        </w:rPr>
        <w:t>f. 27939</w:t>
      </w:r>
      <w:r>
        <w:rPr>
          <w:rFonts w:ascii="Verdana" w:hAnsi="Verdana"/>
          <w:sz w:val="16"/>
          <w:szCs w:val="16"/>
        </w:rPr>
        <w:t>)</w:t>
      </w:r>
      <w:r w:rsidRPr="00432ABC">
        <w:rPr>
          <w:rFonts w:ascii="Verdana" w:hAnsi="Verdana"/>
          <w:sz w:val="16"/>
          <w:szCs w:val="16"/>
        </w:rPr>
        <w:t>.</w:t>
      </w:r>
    </w:p>
  </w:footnote>
  <w:footnote w:id="151">
    <w:p w14:paraId="64AA61C4" w14:textId="211B2D1D" w:rsidR="00146958" w:rsidRPr="00432ABC" w:rsidRDefault="00146958">
      <w:pPr>
        <w:pStyle w:val="FootnoteText"/>
        <w:jc w:val="both"/>
        <w:rPr>
          <w:rFonts w:ascii="Verdana" w:hAnsi="Verdana"/>
          <w:sz w:val="16"/>
          <w:szCs w:val="16"/>
        </w:rPr>
      </w:pPr>
      <w:r w:rsidRPr="00432ABC">
        <w:rPr>
          <w:rStyle w:val="FootnoteReference"/>
          <w:rFonts w:ascii="Verdana" w:hAnsi="Verdana"/>
          <w:sz w:val="16"/>
          <w:szCs w:val="16"/>
        </w:rPr>
        <w:footnoteRef/>
      </w:r>
      <w:r w:rsidRPr="00432ABC">
        <w:rPr>
          <w:rFonts w:ascii="Verdana" w:hAnsi="Verdana"/>
          <w:sz w:val="16"/>
          <w:szCs w:val="16"/>
        </w:rPr>
        <w:t xml:space="preserve"> </w:t>
      </w:r>
      <w:r w:rsidRPr="00432ABC">
        <w:rPr>
          <w:rFonts w:ascii="Verdana" w:hAnsi="Verdana"/>
          <w:sz w:val="16"/>
          <w:szCs w:val="16"/>
        </w:rPr>
        <w:tab/>
      </w:r>
      <w:r w:rsidRPr="00CD5C54">
        <w:rPr>
          <w:rFonts w:ascii="Verdana" w:hAnsi="Verdana"/>
          <w:i/>
          <w:sz w:val="16"/>
          <w:szCs w:val="16"/>
        </w:rPr>
        <w:t>Cfr.</w:t>
      </w:r>
      <w:r w:rsidRPr="002C462C">
        <w:rPr>
          <w:rFonts w:ascii="Verdana" w:hAnsi="Verdana"/>
          <w:i/>
          <w:sz w:val="16"/>
          <w:szCs w:val="16"/>
        </w:rPr>
        <w:t xml:space="preserve"> </w:t>
      </w:r>
      <w:r w:rsidRPr="002C462C">
        <w:rPr>
          <w:rFonts w:ascii="Verdana" w:hAnsi="Verdana"/>
          <w:sz w:val="16"/>
          <w:szCs w:val="16"/>
        </w:rPr>
        <w:t xml:space="preserve">Declaración rendida por A.A.R. el 19 de abril de 2018, </w:t>
      </w:r>
      <w:r w:rsidRPr="00432ABC">
        <w:rPr>
          <w:rFonts w:ascii="Verdana" w:hAnsi="Verdana"/>
          <w:i/>
          <w:sz w:val="16"/>
          <w:szCs w:val="16"/>
        </w:rPr>
        <w:t xml:space="preserve">supra </w:t>
      </w:r>
      <w:r>
        <w:rPr>
          <w:rFonts w:ascii="Verdana" w:hAnsi="Verdana"/>
          <w:sz w:val="16"/>
          <w:szCs w:val="16"/>
        </w:rPr>
        <w:t xml:space="preserve">(expediente de prueba, </w:t>
      </w:r>
      <w:r w:rsidRPr="00453199">
        <w:rPr>
          <w:rFonts w:ascii="Verdana" w:hAnsi="Verdana"/>
          <w:i/>
          <w:sz w:val="16"/>
          <w:szCs w:val="16"/>
        </w:rPr>
        <w:t>Affidávits</w:t>
      </w:r>
      <w:r>
        <w:rPr>
          <w:rFonts w:ascii="Verdana" w:hAnsi="Verdana"/>
          <w:sz w:val="16"/>
          <w:szCs w:val="16"/>
        </w:rPr>
        <w:t xml:space="preserve">, </w:t>
      </w:r>
      <w:r w:rsidRPr="00432ABC">
        <w:rPr>
          <w:rFonts w:ascii="Verdana" w:hAnsi="Verdana"/>
          <w:sz w:val="16"/>
          <w:szCs w:val="16"/>
        </w:rPr>
        <w:t>f. 30865</w:t>
      </w:r>
      <w:r>
        <w:rPr>
          <w:rFonts w:ascii="Verdana" w:hAnsi="Verdana"/>
          <w:sz w:val="16"/>
          <w:szCs w:val="16"/>
        </w:rPr>
        <w:t>)</w:t>
      </w:r>
      <w:r w:rsidRPr="00432ABC">
        <w:rPr>
          <w:rFonts w:ascii="Verdana" w:hAnsi="Verdana"/>
          <w:sz w:val="16"/>
          <w:szCs w:val="16"/>
        </w:rPr>
        <w:t xml:space="preserve">, y Declaración rendida por A.R.A.R. el 19 de abril de 2018, </w:t>
      </w:r>
      <w:r w:rsidRPr="00432ABC">
        <w:rPr>
          <w:rFonts w:ascii="Verdana" w:hAnsi="Verdana"/>
          <w:i/>
          <w:sz w:val="16"/>
          <w:szCs w:val="16"/>
        </w:rPr>
        <w:t xml:space="preserve">supra </w:t>
      </w:r>
      <w:r>
        <w:rPr>
          <w:rFonts w:ascii="Verdana" w:hAnsi="Verdana"/>
          <w:sz w:val="16"/>
          <w:szCs w:val="16"/>
        </w:rPr>
        <w:t xml:space="preserve">(expediente de prueba, </w:t>
      </w:r>
      <w:r w:rsidRPr="00453199">
        <w:rPr>
          <w:rFonts w:ascii="Verdana" w:hAnsi="Verdana"/>
          <w:i/>
          <w:sz w:val="16"/>
          <w:szCs w:val="16"/>
        </w:rPr>
        <w:t>Affidávits</w:t>
      </w:r>
      <w:r>
        <w:rPr>
          <w:rFonts w:ascii="Verdana" w:hAnsi="Verdana"/>
          <w:sz w:val="16"/>
          <w:szCs w:val="16"/>
        </w:rPr>
        <w:t xml:space="preserve">, </w:t>
      </w:r>
      <w:r w:rsidRPr="00432ABC">
        <w:rPr>
          <w:rFonts w:ascii="Verdana" w:hAnsi="Verdana"/>
          <w:sz w:val="16"/>
          <w:szCs w:val="16"/>
        </w:rPr>
        <w:t>f. 30871</w:t>
      </w:r>
      <w:r>
        <w:rPr>
          <w:rFonts w:ascii="Verdana" w:hAnsi="Verdana"/>
          <w:sz w:val="16"/>
          <w:szCs w:val="16"/>
        </w:rPr>
        <w:t>)</w:t>
      </w:r>
      <w:r w:rsidRPr="00432ABC">
        <w:rPr>
          <w:rFonts w:ascii="Verdana" w:hAnsi="Verdana"/>
          <w:sz w:val="16"/>
          <w:szCs w:val="16"/>
        </w:rPr>
        <w:t>.</w:t>
      </w:r>
    </w:p>
  </w:footnote>
  <w:footnote w:id="152">
    <w:p w14:paraId="64AA61C5" w14:textId="1B45225E" w:rsidR="00146958" w:rsidRPr="00432ABC" w:rsidRDefault="00146958">
      <w:pPr>
        <w:pStyle w:val="FootnoteText"/>
        <w:jc w:val="both"/>
        <w:rPr>
          <w:rFonts w:ascii="Verdana" w:hAnsi="Verdana"/>
          <w:sz w:val="16"/>
          <w:szCs w:val="16"/>
        </w:rPr>
      </w:pPr>
      <w:r w:rsidRPr="00432ABC">
        <w:rPr>
          <w:rStyle w:val="FootnoteReference"/>
          <w:rFonts w:ascii="Verdana" w:hAnsi="Verdana"/>
          <w:sz w:val="16"/>
          <w:szCs w:val="16"/>
        </w:rPr>
        <w:footnoteRef/>
      </w:r>
      <w:r w:rsidRPr="00432ABC">
        <w:rPr>
          <w:rFonts w:ascii="Verdana" w:hAnsi="Verdana"/>
          <w:sz w:val="16"/>
          <w:szCs w:val="16"/>
        </w:rPr>
        <w:t xml:space="preserve"> </w:t>
      </w:r>
      <w:r w:rsidRPr="00432ABC">
        <w:rPr>
          <w:rFonts w:ascii="Verdana" w:hAnsi="Verdana"/>
          <w:sz w:val="16"/>
          <w:szCs w:val="16"/>
        </w:rPr>
        <w:tab/>
      </w:r>
      <w:r w:rsidRPr="00CD5C54">
        <w:rPr>
          <w:rFonts w:ascii="Verdana" w:hAnsi="Verdana"/>
          <w:i/>
          <w:sz w:val="16"/>
          <w:szCs w:val="16"/>
        </w:rPr>
        <w:t>Cfr.</w:t>
      </w:r>
      <w:r w:rsidRPr="002C462C">
        <w:rPr>
          <w:rFonts w:ascii="Verdana" w:hAnsi="Verdana"/>
          <w:sz w:val="16"/>
          <w:szCs w:val="16"/>
        </w:rPr>
        <w:t xml:space="preserve"> Declaración rendida por A.R.A.R. el 19 de abril de 2018, </w:t>
      </w:r>
      <w:r w:rsidRPr="00432ABC">
        <w:rPr>
          <w:rFonts w:ascii="Verdana" w:hAnsi="Verdana"/>
          <w:i/>
          <w:sz w:val="16"/>
          <w:szCs w:val="16"/>
        </w:rPr>
        <w:t>supr</w:t>
      </w:r>
      <w:r>
        <w:rPr>
          <w:rFonts w:ascii="Verdana" w:hAnsi="Verdana"/>
          <w:i/>
          <w:sz w:val="16"/>
          <w:szCs w:val="16"/>
        </w:rPr>
        <w:t>a</w:t>
      </w:r>
      <w:r w:rsidRPr="00432ABC">
        <w:rPr>
          <w:rFonts w:ascii="Verdana" w:hAnsi="Verdana"/>
          <w:i/>
          <w:sz w:val="16"/>
          <w:szCs w:val="16"/>
        </w:rPr>
        <w:t xml:space="preserve"> </w:t>
      </w:r>
      <w:r>
        <w:rPr>
          <w:rFonts w:ascii="Verdana" w:hAnsi="Verdana"/>
          <w:sz w:val="16"/>
          <w:szCs w:val="16"/>
        </w:rPr>
        <w:t xml:space="preserve">(expediente de prueba, </w:t>
      </w:r>
      <w:r w:rsidRPr="00453199">
        <w:rPr>
          <w:rFonts w:ascii="Verdana" w:hAnsi="Verdana"/>
          <w:i/>
          <w:sz w:val="16"/>
          <w:szCs w:val="16"/>
        </w:rPr>
        <w:t>Affidávits</w:t>
      </w:r>
      <w:r>
        <w:rPr>
          <w:rFonts w:ascii="Verdana" w:hAnsi="Verdana"/>
          <w:sz w:val="16"/>
          <w:szCs w:val="16"/>
        </w:rPr>
        <w:t xml:space="preserve">, </w:t>
      </w:r>
      <w:r w:rsidRPr="00432ABC">
        <w:rPr>
          <w:rFonts w:ascii="Verdana" w:hAnsi="Verdana"/>
          <w:sz w:val="16"/>
          <w:szCs w:val="16"/>
        </w:rPr>
        <w:t>f. 30871</w:t>
      </w:r>
      <w:r>
        <w:rPr>
          <w:rFonts w:ascii="Verdana" w:hAnsi="Verdana"/>
          <w:sz w:val="16"/>
          <w:szCs w:val="16"/>
        </w:rPr>
        <w:t>)</w:t>
      </w:r>
      <w:r w:rsidRPr="00432ABC">
        <w:rPr>
          <w:rFonts w:ascii="Verdana" w:hAnsi="Verdana"/>
          <w:sz w:val="16"/>
          <w:szCs w:val="16"/>
        </w:rPr>
        <w:t>.</w:t>
      </w:r>
    </w:p>
  </w:footnote>
  <w:footnote w:id="153">
    <w:p w14:paraId="64AA61C6" w14:textId="5D6F5FEE" w:rsidR="00146958" w:rsidRPr="00432ABC" w:rsidRDefault="00146958">
      <w:pPr>
        <w:pStyle w:val="FootnoteText"/>
        <w:jc w:val="both"/>
        <w:rPr>
          <w:rFonts w:ascii="Verdana" w:hAnsi="Verdana"/>
          <w:sz w:val="16"/>
          <w:szCs w:val="16"/>
        </w:rPr>
      </w:pPr>
      <w:r w:rsidRPr="00432ABC">
        <w:rPr>
          <w:rStyle w:val="FootnoteReference"/>
          <w:rFonts w:ascii="Verdana" w:hAnsi="Verdana"/>
          <w:sz w:val="16"/>
          <w:szCs w:val="16"/>
        </w:rPr>
        <w:footnoteRef/>
      </w:r>
      <w:r w:rsidRPr="00432ABC">
        <w:rPr>
          <w:rFonts w:ascii="Verdana" w:hAnsi="Verdana"/>
          <w:sz w:val="16"/>
          <w:szCs w:val="16"/>
        </w:rPr>
        <w:t xml:space="preserve"> </w:t>
      </w:r>
      <w:r w:rsidRPr="00432ABC">
        <w:rPr>
          <w:rFonts w:ascii="Verdana" w:hAnsi="Verdana"/>
          <w:sz w:val="16"/>
          <w:szCs w:val="16"/>
        </w:rPr>
        <w:tab/>
      </w:r>
      <w:r w:rsidRPr="00CD5C54">
        <w:rPr>
          <w:rFonts w:ascii="Verdana" w:hAnsi="Verdana"/>
          <w:i/>
          <w:sz w:val="16"/>
          <w:szCs w:val="16"/>
        </w:rPr>
        <w:t>Cfr.</w:t>
      </w:r>
      <w:r w:rsidRPr="002C462C">
        <w:rPr>
          <w:rFonts w:ascii="Verdana" w:hAnsi="Verdana"/>
          <w:i/>
          <w:sz w:val="16"/>
          <w:szCs w:val="16"/>
        </w:rPr>
        <w:t xml:space="preserve"> </w:t>
      </w:r>
      <w:r w:rsidRPr="002C462C">
        <w:rPr>
          <w:rFonts w:ascii="Verdana" w:hAnsi="Verdana"/>
          <w:sz w:val="16"/>
          <w:szCs w:val="16"/>
        </w:rPr>
        <w:t xml:space="preserve">Declaración de Patricia Reyes Rueda rendida el 16 de enero de 2013 ante la 11ªAMPF – PGR, </w:t>
      </w:r>
      <w:r w:rsidRPr="00432ABC">
        <w:rPr>
          <w:rFonts w:ascii="Verdana" w:hAnsi="Verdana"/>
          <w:i/>
          <w:sz w:val="16"/>
          <w:szCs w:val="16"/>
        </w:rPr>
        <w:t>supra</w:t>
      </w:r>
      <w:r w:rsidRPr="00432ABC">
        <w:rPr>
          <w:rFonts w:ascii="Verdana" w:hAnsi="Verdana"/>
          <w:sz w:val="16"/>
          <w:szCs w:val="16"/>
        </w:rPr>
        <w:t xml:space="preserve"> </w:t>
      </w:r>
      <w:r>
        <w:rPr>
          <w:rFonts w:ascii="Verdana" w:hAnsi="Verdana"/>
          <w:sz w:val="16"/>
          <w:szCs w:val="16"/>
        </w:rPr>
        <w:t xml:space="preserve">(expediente de prueba, </w:t>
      </w:r>
      <w:r w:rsidRPr="00432ABC">
        <w:rPr>
          <w:rFonts w:ascii="Verdana" w:hAnsi="Verdana"/>
          <w:sz w:val="16"/>
          <w:szCs w:val="16"/>
        </w:rPr>
        <w:t>f. 27888</w:t>
      </w:r>
      <w:r>
        <w:rPr>
          <w:rFonts w:ascii="Verdana" w:hAnsi="Verdana"/>
          <w:sz w:val="16"/>
          <w:szCs w:val="16"/>
        </w:rPr>
        <w:t>)</w:t>
      </w:r>
      <w:r w:rsidRPr="00432ABC">
        <w:rPr>
          <w:rFonts w:ascii="Verdana" w:hAnsi="Verdana"/>
          <w:sz w:val="16"/>
          <w:szCs w:val="16"/>
        </w:rPr>
        <w:t>.</w:t>
      </w:r>
    </w:p>
  </w:footnote>
  <w:footnote w:id="154">
    <w:p w14:paraId="64AA61C7" w14:textId="3E5F8B13" w:rsidR="00146958" w:rsidRPr="00432ABC" w:rsidRDefault="00146958">
      <w:pPr>
        <w:pStyle w:val="FootnoteText"/>
        <w:jc w:val="both"/>
        <w:rPr>
          <w:rFonts w:ascii="Verdana" w:hAnsi="Verdana"/>
          <w:sz w:val="16"/>
          <w:szCs w:val="16"/>
        </w:rPr>
      </w:pPr>
      <w:r w:rsidRPr="00432ABC">
        <w:rPr>
          <w:rStyle w:val="FootnoteReference"/>
          <w:rFonts w:ascii="Verdana" w:hAnsi="Verdana"/>
          <w:sz w:val="16"/>
          <w:szCs w:val="16"/>
        </w:rPr>
        <w:footnoteRef/>
      </w:r>
      <w:r w:rsidRPr="00432ABC">
        <w:rPr>
          <w:rFonts w:ascii="Verdana" w:hAnsi="Verdana"/>
          <w:sz w:val="16"/>
          <w:szCs w:val="16"/>
        </w:rPr>
        <w:t xml:space="preserve"> </w:t>
      </w:r>
      <w:r w:rsidRPr="00432ABC">
        <w:rPr>
          <w:rFonts w:ascii="Verdana" w:hAnsi="Verdana"/>
          <w:sz w:val="16"/>
          <w:szCs w:val="16"/>
        </w:rPr>
        <w:tab/>
        <w:t>En cuanto a las características de los vehículos empleados por los perpetradores de la detención de su familiar, A.R.A.R. señaló que uno de los vehículos se trataba de una camioneta diésel de cabina y media gris o negra, sin focos y la cual era conducida en el Ejido Benito Juárez días en anteriores por</w:t>
      </w:r>
      <w:r w:rsidRPr="002C462C">
        <w:rPr>
          <w:rFonts w:ascii="Verdana" w:hAnsi="Verdana"/>
          <w:sz w:val="16"/>
          <w:szCs w:val="16"/>
        </w:rPr>
        <w:t xml:space="preserve"> elementos militares. </w:t>
      </w:r>
      <w:r w:rsidRPr="00CD5C54">
        <w:rPr>
          <w:rFonts w:ascii="Verdana" w:hAnsi="Verdana"/>
          <w:i/>
          <w:sz w:val="16"/>
          <w:szCs w:val="16"/>
        </w:rPr>
        <w:t>Cfr.</w:t>
      </w:r>
      <w:r w:rsidRPr="00432ABC">
        <w:rPr>
          <w:rFonts w:ascii="Verdana" w:hAnsi="Verdana"/>
          <w:i/>
          <w:sz w:val="16"/>
          <w:szCs w:val="16"/>
        </w:rPr>
        <w:t xml:space="preserve"> </w:t>
      </w:r>
      <w:r w:rsidRPr="00432ABC">
        <w:rPr>
          <w:rFonts w:ascii="Verdana" w:hAnsi="Verdana"/>
          <w:sz w:val="16"/>
          <w:szCs w:val="16"/>
        </w:rPr>
        <w:t xml:space="preserve">Declaración rendida por A.R.A.R. el 19 de abril de 2018, </w:t>
      </w:r>
      <w:r w:rsidRPr="00432ABC">
        <w:rPr>
          <w:rFonts w:ascii="Verdana" w:hAnsi="Verdana"/>
          <w:i/>
          <w:sz w:val="16"/>
          <w:szCs w:val="16"/>
        </w:rPr>
        <w:t xml:space="preserve">supra </w:t>
      </w:r>
      <w:r>
        <w:rPr>
          <w:rFonts w:ascii="Verdana" w:hAnsi="Verdana"/>
          <w:sz w:val="16"/>
          <w:szCs w:val="16"/>
        </w:rPr>
        <w:t xml:space="preserve">(expediente de prueba, </w:t>
      </w:r>
      <w:r w:rsidRPr="00453199">
        <w:rPr>
          <w:rFonts w:ascii="Verdana" w:hAnsi="Verdana"/>
          <w:i/>
          <w:sz w:val="16"/>
          <w:szCs w:val="16"/>
        </w:rPr>
        <w:t>Affidávits</w:t>
      </w:r>
      <w:r>
        <w:rPr>
          <w:rFonts w:ascii="Verdana" w:hAnsi="Verdana"/>
          <w:sz w:val="16"/>
          <w:szCs w:val="16"/>
        </w:rPr>
        <w:t xml:space="preserve">, </w:t>
      </w:r>
      <w:r w:rsidRPr="00432ABC">
        <w:rPr>
          <w:rFonts w:ascii="Verdana" w:hAnsi="Verdana"/>
          <w:sz w:val="16"/>
          <w:szCs w:val="16"/>
        </w:rPr>
        <w:t>f. 30872</w:t>
      </w:r>
      <w:r>
        <w:rPr>
          <w:rFonts w:ascii="Verdana" w:hAnsi="Verdana"/>
          <w:sz w:val="16"/>
          <w:szCs w:val="16"/>
        </w:rPr>
        <w:t>)</w:t>
      </w:r>
      <w:r w:rsidRPr="00432ABC">
        <w:rPr>
          <w:rFonts w:ascii="Verdana" w:hAnsi="Verdana"/>
          <w:sz w:val="16"/>
          <w:szCs w:val="16"/>
        </w:rPr>
        <w:t>.</w:t>
      </w:r>
    </w:p>
  </w:footnote>
  <w:footnote w:id="155">
    <w:p w14:paraId="64AA61C8" w14:textId="7B22E0BF" w:rsidR="00146958" w:rsidRPr="00432ABC" w:rsidRDefault="00146958">
      <w:pPr>
        <w:pStyle w:val="FootnoteText"/>
        <w:jc w:val="both"/>
        <w:rPr>
          <w:rFonts w:ascii="Verdana" w:hAnsi="Verdana"/>
          <w:sz w:val="16"/>
          <w:szCs w:val="16"/>
        </w:rPr>
      </w:pPr>
      <w:r w:rsidRPr="00432ABC">
        <w:rPr>
          <w:rStyle w:val="FootnoteReference"/>
          <w:rFonts w:ascii="Verdana" w:hAnsi="Verdana"/>
          <w:sz w:val="16"/>
          <w:szCs w:val="16"/>
        </w:rPr>
        <w:footnoteRef/>
      </w:r>
      <w:r w:rsidRPr="00432ABC">
        <w:rPr>
          <w:rFonts w:ascii="Verdana" w:hAnsi="Verdana"/>
          <w:sz w:val="16"/>
          <w:szCs w:val="16"/>
        </w:rPr>
        <w:t xml:space="preserve"> </w:t>
      </w:r>
      <w:r w:rsidRPr="00432ABC">
        <w:rPr>
          <w:rFonts w:ascii="Verdana" w:hAnsi="Verdana"/>
          <w:sz w:val="16"/>
          <w:szCs w:val="16"/>
        </w:rPr>
        <w:tab/>
      </w:r>
      <w:r w:rsidRPr="00CD5C54">
        <w:rPr>
          <w:rFonts w:ascii="Verdana" w:hAnsi="Verdana"/>
          <w:i/>
          <w:sz w:val="16"/>
          <w:szCs w:val="16"/>
        </w:rPr>
        <w:t>Cfr.</w:t>
      </w:r>
      <w:r w:rsidRPr="002C462C">
        <w:rPr>
          <w:rFonts w:ascii="Verdana" w:hAnsi="Verdana"/>
          <w:i/>
          <w:sz w:val="16"/>
          <w:szCs w:val="16"/>
        </w:rPr>
        <w:t xml:space="preserve"> </w:t>
      </w:r>
      <w:r w:rsidRPr="002C462C">
        <w:rPr>
          <w:rFonts w:ascii="Verdana" w:hAnsi="Verdana"/>
          <w:sz w:val="16"/>
          <w:szCs w:val="16"/>
        </w:rPr>
        <w:t xml:space="preserve">Declaración de Patricia Reyes Rueda rendida el 16 de enero de 2013 ante la 11ªAMPF – PGR, </w:t>
      </w:r>
      <w:r w:rsidRPr="00432ABC">
        <w:rPr>
          <w:rFonts w:ascii="Verdana" w:hAnsi="Verdana"/>
          <w:i/>
          <w:sz w:val="16"/>
          <w:szCs w:val="16"/>
        </w:rPr>
        <w:t>supra</w:t>
      </w:r>
      <w:r w:rsidRPr="00432ABC">
        <w:rPr>
          <w:rFonts w:ascii="Verdana" w:hAnsi="Verdana"/>
          <w:sz w:val="16"/>
          <w:szCs w:val="16"/>
        </w:rPr>
        <w:t xml:space="preserve"> </w:t>
      </w:r>
      <w:r>
        <w:rPr>
          <w:rFonts w:ascii="Verdana" w:hAnsi="Verdana"/>
          <w:sz w:val="16"/>
          <w:szCs w:val="16"/>
        </w:rPr>
        <w:t xml:space="preserve">(expediente de prueba, </w:t>
      </w:r>
      <w:r w:rsidRPr="00432ABC">
        <w:rPr>
          <w:rFonts w:ascii="Verdana" w:hAnsi="Verdana"/>
          <w:sz w:val="16"/>
          <w:szCs w:val="16"/>
        </w:rPr>
        <w:t>f. 27887</w:t>
      </w:r>
      <w:r>
        <w:rPr>
          <w:rFonts w:ascii="Verdana" w:hAnsi="Verdana"/>
          <w:sz w:val="16"/>
          <w:szCs w:val="16"/>
        </w:rPr>
        <w:t>)</w:t>
      </w:r>
      <w:r w:rsidRPr="00432ABC">
        <w:rPr>
          <w:rFonts w:ascii="Verdana" w:hAnsi="Verdana"/>
          <w:sz w:val="16"/>
          <w:szCs w:val="16"/>
        </w:rPr>
        <w:t xml:space="preserve">, y Declaración rendida por A.R.A.R. el 19 de abril de 2018, </w:t>
      </w:r>
      <w:r w:rsidRPr="00432ABC">
        <w:rPr>
          <w:rFonts w:ascii="Verdana" w:hAnsi="Verdana"/>
          <w:i/>
          <w:sz w:val="16"/>
          <w:szCs w:val="16"/>
        </w:rPr>
        <w:t xml:space="preserve">supra </w:t>
      </w:r>
      <w:r>
        <w:rPr>
          <w:rFonts w:ascii="Verdana" w:hAnsi="Verdana"/>
          <w:sz w:val="16"/>
          <w:szCs w:val="16"/>
        </w:rPr>
        <w:t xml:space="preserve">(expediente de prueba, </w:t>
      </w:r>
      <w:r w:rsidRPr="00453199">
        <w:rPr>
          <w:rFonts w:ascii="Verdana" w:hAnsi="Verdana"/>
          <w:i/>
          <w:sz w:val="16"/>
          <w:szCs w:val="16"/>
        </w:rPr>
        <w:t>Affidávits</w:t>
      </w:r>
      <w:r>
        <w:rPr>
          <w:rFonts w:ascii="Verdana" w:hAnsi="Verdana"/>
          <w:sz w:val="16"/>
          <w:szCs w:val="16"/>
        </w:rPr>
        <w:t xml:space="preserve">, </w:t>
      </w:r>
      <w:r w:rsidRPr="00432ABC">
        <w:rPr>
          <w:rFonts w:ascii="Verdana" w:hAnsi="Verdana"/>
          <w:sz w:val="16"/>
          <w:szCs w:val="16"/>
        </w:rPr>
        <w:t>f. 30871</w:t>
      </w:r>
      <w:r>
        <w:rPr>
          <w:rFonts w:ascii="Verdana" w:hAnsi="Verdana"/>
          <w:sz w:val="16"/>
          <w:szCs w:val="16"/>
        </w:rPr>
        <w:t>)</w:t>
      </w:r>
      <w:r w:rsidRPr="00432ABC">
        <w:rPr>
          <w:rFonts w:ascii="Verdana" w:hAnsi="Verdana"/>
          <w:sz w:val="16"/>
          <w:szCs w:val="16"/>
        </w:rPr>
        <w:t>.</w:t>
      </w:r>
    </w:p>
  </w:footnote>
  <w:footnote w:id="156">
    <w:p w14:paraId="64AA61C9" w14:textId="2C2DA8D8" w:rsidR="00146958" w:rsidRPr="00432ABC" w:rsidRDefault="00146958">
      <w:pPr>
        <w:pStyle w:val="FootnoteText"/>
        <w:jc w:val="both"/>
        <w:rPr>
          <w:rFonts w:ascii="Verdana" w:hAnsi="Verdana"/>
          <w:sz w:val="16"/>
          <w:szCs w:val="16"/>
        </w:rPr>
      </w:pPr>
      <w:r w:rsidRPr="00432ABC">
        <w:rPr>
          <w:rStyle w:val="FootnoteReference"/>
          <w:rFonts w:ascii="Verdana" w:hAnsi="Verdana"/>
          <w:sz w:val="16"/>
          <w:szCs w:val="16"/>
        </w:rPr>
        <w:footnoteRef/>
      </w:r>
      <w:r w:rsidRPr="00432ABC">
        <w:rPr>
          <w:rFonts w:ascii="Verdana" w:hAnsi="Verdana"/>
          <w:sz w:val="16"/>
          <w:szCs w:val="16"/>
        </w:rPr>
        <w:t xml:space="preserve"> </w:t>
      </w:r>
      <w:r w:rsidRPr="00432ABC">
        <w:rPr>
          <w:rFonts w:ascii="Verdana" w:hAnsi="Verdana"/>
          <w:sz w:val="16"/>
          <w:szCs w:val="16"/>
        </w:rPr>
        <w:tab/>
      </w:r>
      <w:r w:rsidRPr="00CD5C54">
        <w:rPr>
          <w:rFonts w:ascii="Verdana" w:hAnsi="Verdana"/>
          <w:i/>
          <w:sz w:val="16"/>
          <w:szCs w:val="16"/>
        </w:rPr>
        <w:t>Cfr.</w:t>
      </w:r>
      <w:r w:rsidRPr="002C462C">
        <w:rPr>
          <w:rFonts w:ascii="Verdana" w:hAnsi="Verdana"/>
          <w:sz w:val="16"/>
          <w:szCs w:val="16"/>
        </w:rPr>
        <w:t xml:space="preserve"> Declaración de Patricia Reyes Rueda rendida el 16 de enero de 2013 ante la 11ªAMPF – PGR, </w:t>
      </w:r>
      <w:r w:rsidRPr="002C462C">
        <w:rPr>
          <w:rFonts w:ascii="Verdana" w:hAnsi="Verdana"/>
          <w:i/>
          <w:sz w:val="16"/>
          <w:szCs w:val="16"/>
        </w:rPr>
        <w:t>su</w:t>
      </w:r>
      <w:r w:rsidRPr="008D0846">
        <w:rPr>
          <w:rFonts w:ascii="Verdana" w:hAnsi="Verdana"/>
          <w:i/>
          <w:sz w:val="16"/>
        </w:rPr>
        <w:t>pra</w:t>
      </w:r>
      <w:r>
        <w:rPr>
          <w:rFonts w:ascii="Verdana" w:hAnsi="Verdana"/>
          <w:sz w:val="16"/>
          <w:szCs w:val="16"/>
        </w:rPr>
        <w:t xml:space="preserve"> (expediente de prueba, </w:t>
      </w:r>
      <w:r w:rsidRPr="00432ABC">
        <w:rPr>
          <w:rFonts w:ascii="Verdana" w:hAnsi="Verdana"/>
          <w:sz w:val="16"/>
          <w:szCs w:val="16"/>
        </w:rPr>
        <w:t>f. 27887</w:t>
      </w:r>
      <w:r>
        <w:rPr>
          <w:rFonts w:ascii="Verdana" w:hAnsi="Verdana"/>
          <w:sz w:val="16"/>
          <w:szCs w:val="16"/>
        </w:rPr>
        <w:t>)</w:t>
      </w:r>
      <w:r w:rsidRPr="00432ABC">
        <w:rPr>
          <w:rFonts w:ascii="Verdana" w:hAnsi="Verdana"/>
          <w:sz w:val="16"/>
          <w:szCs w:val="16"/>
        </w:rPr>
        <w:t>.</w:t>
      </w:r>
    </w:p>
  </w:footnote>
  <w:footnote w:id="157">
    <w:p w14:paraId="64AA61CA" w14:textId="68A0C2F4" w:rsidR="00146958" w:rsidRPr="00432ABC" w:rsidRDefault="00146958">
      <w:pPr>
        <w:pStyle w:val="FootnoteText"/>
        <w:jc w:val="both"/>
        <w:rPr>
          <w:rFonts w:ascii="Verdana" w:hAnsi="Verdana"/>
          <w:sz w:val="16"/>
          <w:szCs w:val="16"/>
        </w:rPr>
      </w:pPr>
      <w:r w:rsidRPr="00432ABC">
        <w:rPr>
          <w:rStyle w:val="FootnoteReference"/>
          <w:rFonts w:ascii="Verdana" w:hAnsi="Verdana"/>
          <w:sz w:val="16"/>
          <w:szCs w:val="16"/>
        </w:rPr>
        <w:footnoteRef/>
      </w:r>
      <w:r w:rsidRPr="00432ABC">
        <w:rPr>
          <w:rFonts w:ascii="Verdana" w:hAnsi="Verdana"/>
          <w:sz w:val="16"/>
          <w:szCs w:val="16"/>
        </w:rPr>
        <w:t xml:space="preserve"> </w:t>
      </w:r>
      <w:r w:rsidRPr="00432ABC">
        <w:rPr>
          <w:rFonts w:ascii="Verdana" w:hAnsi="Verdana"/>
          <w:sz w:val="16"/>
          <w:szCs w:val="16"/>
        </w:rPr>
        <w:tab/>
      </w:r>
      <w:r w:rsidRPr="00CD5C54">
        <w:rPr>
          <w:rFonts w:ascii="Verdana" w:hAnsi="Verdana"/>
          <w:i/>
          <w:sz w:val="16"/>
          <w:szCs w:val="16"/>
        </w:rPr>
        <w:t>Cfr.</w:t>
      </w:r>
      <w:r w:rsidRPr="002C462C">
        <w:rPr>
          <w:rFonts w:ascii="Verdana" w:hAnsi="Verdana"/>
          <w:i/>
          <w:sz w:val="16"/>
          <w:szCs w:val="16"/>
        </w:rPr>
        <w:t xml:space="preserve">  </w:t>
      </w:r>
      <w:r w:rsidRPr="002C462C">
        <w:rPr>
          <w:rFonts w:ascii="Verdana" w:hAnsi="Verdana"/>
          <w:sz w:val="16"/>
          <w:szCs w:val="16"/>
        </w:rPr>
        <w:t>Acta de denuncia de Patricia Reyes Rueda de 31 de d</w:t>
      </w:r>
      <w:r w:rsidRPr="00432ABC">
        <w:rPr>
          <w:rFonts w:ascii="Verdana" w:hAnsi="Verdana"/>
          <w:sz w:val="16"/>
          <w:szCs w:val="16"/>
        </w:rPr>
        <w:t xml:space="preserve">iciembre de 2009 ante el AAMP - Buenaventura, </w:t>
      </w:r>
      <w:r w:rsidRPr="00432ABC">
        <w:rPr>
          <w:rFonts w:ascii="Verdana" w:hAnsi="Verdana"/>
          <w:i/>
          <w:sz w:val="16"/>
          <w:szCs w:val="16"/>
        </w:rPr>
        <w:t xml:space="preserve">supra </w:t>
      </w:r>
      <w:r>
        <w:rPr>
          <w:rFonts w:ascii="Verdana" w:hAnsi="Verdana"/>
          <w:sz w:val="16"/>
          <w:szCs w:val="16"/>
        </w:rPr>
        <w:t xml:space="preserve">(expediente de prueba, </w:t>
      </w:r>
      <w:r w:rsidRPr="00432ABC">
        <w:rPr>
          <w:rFonts w:ascii="Verdana" w:hAnsi="Verdana"/>
          <w:sz w:val="16"/>
          <w:szCs w:val="16"/>
        </w:rPr>
        <w:t>f. 27877</w:t>
      </w:r>
      <w:r>
        <w:rPr>
          <w:rFonts w:ascii="Verdana" w:hAnsi="Verdana"/>
          <w:sz w:val="16"/>
          <w:szCs w:val="16"/>
        </w:rPr>
        <w:t>)</w:t>
      </w:r>
      <w:r w:rsidRPr="00432ABC">
        <w:rPr>
          <w:rFonts w:ascii="Verdana" w:hAnsi="Verdana"/>
          <w:sz w:val="16"/>
          <w:szCs w:val="16"/>
        </w:rPr>
        <w:t xml:space="preserve">; Acta de denuncia AP/PGR/CHIH/JUA/27/2010-VII-A de Patricia Reyes Rueda y de María de Jesús Alvarado Espinoza promovida el 6 de enero de 2010 ante el AMPF adscrito a la Mesa Séptima en la PGR en Ciudad Juárez, </w:t>
      </w:r>
      <w:r w:rsidRPr="00432ABC">
        <w:rPr>
          <w:rFonts w:ascii="Verdana" w:hAnsi="Verdana"/>
          <w:i/>
          <w:sz w:val="16"/>
          <w:szCs w:val="16"/>
        </w:rPr>
        <w:t xml:space="preserve">supra </w:t>
      </w:r>
      <w:r>
        <w:rPr>
          <w:rFonts w:ascii="Verdana" w:hAnsi="Verdana"/>
          <w:sz w:val="16"/>
          <w:szCs w:val="16"/>
        </w:rPr>
        <w:t xml:space="preserve">(expediente de prueba, </w:t>
      </w:r>
      <w:r w:rsidRPr="00432ABC">
        <w:rPr>
          <w:rFonts w:ascii="Verdana" w:hAnsi="Verdana"/>
          <w:sz w:val="16"/>
          <w:szCs w:val="16"/>
        </w:rPr>
        <w:t>f. 27881</w:t>
      </w:r>
      <w:r>
        <w:rPr>
          <w:rFonts w:ascii="Verdana" w:hAnsi="Verdana"/>
          <w:sz w:val="16"/>
          <w:szCs w:val="16"/>
        </w:rPr>
        <w:t>)</w:t>
      </w:r>
      <w:r w:rsidRPr="00432ABC">
        <w:rPr>
          <w:rFonts w:ascii="Verdana" w:hAnsi="Verdana"/>
          <w:sz w:val="16"/>
          <w:szCs w:val="16"/>
        </w:rPr>
        <w:t xml:space="preserve">; Declaración de Patricia Reyes Rueda rendida el 9 de marzo de 2010 ante el AMPM – 5ªZM, </w:t>
      </w:r>
      <w:r w:rsidRPr="00432ABC">
        <w:rPr>
          <w:rFonts w:ascii="Verdana" w:hAnsi="Verdana"/>
          <w:i/>
          <w:sz w:val="16"/>
          <w:szCs w:val="16"/>
        </w:rPr>
        <w:t xml:space="preserve">supra </w:t>
      </w:r>
      <w:r>
        <w:rPr>
          <w:rFonts w:ascii="Verdana" w:hAnsi="Verdana"/>
          <w:sz w:val="16"/>
          <w:szCs w:val="16"/>
        </w:rPr>
        <w:t xml:space="preserve">(expediente de prueba, </w:t>
      </w:r>
      <w:r w:rsidRPr="00432ABC">
        <w:rPr>
          <w:rFonts w:ascii="Verdana" w:hAnsi="Verdana"/>
          <w:sz w:val="16"/>
          <w:szCs w:val="16"/>
        </w:rPr>
        <w:t>f. 27884</w:t>
      </w:r>
      <w:r>
        <w:rPr>
          <w:rFonts w:ascii="Verdana" w:hAnsi="Verdana"/>
          <w:sz w:val="16"/>
          <w:szCs w:val="16"/>
        </w:rPr>
        <w:t>)</w:t>
      </w:r>
      <w:r w:rsidRPr="00432ABC">
        <w:rPr>
          <w:rFonts w:ascii="Verdana" w:hAnsi="Verdana"/>
          <w:sz w:val="16"/>
          <w:szCs w:val="16"/>
        </w:rPr>
        <w:t xml:space="preserve">, y Declaración de Patricia Reyes Rueda rendida el 16 de enero de 2013 ante la 11ªAMPF – PGR, </w:t>
      </w:r>
      <w:r w:rsidRPr="00432ABC">
        <w:rPr>
          <w:rFonts w:ascii="Verdana" w:hAnsi="Verdana"/>
          <w:i/>
          <w:sz w:val="16"/>
          <w:szCs w:val="16"/>
        </w:rPr>
        <w:t>supra</w:t>
      </w:r>
      <w:r w:rsidRPr="00432ABC">
        <w:rPr>
          <w:rFonts w:ascii="Verdana" w:hAnsi="Verdana"/>
          <w:sz w:val="16"/>
          <w:szCs w:val="16"/>
        </w:rPr>
        <w:t xml:space="preserve"> </w:t>
      </w:r>
      <w:r>
        <w:rPr>
          <w:rFonts w:ascii="Verdana" w:hAnsi="Verdana"/>
          <w:sz w:val="16"/>
          <w:szCs w:val="16"/>
        </w:rPr>
        <w:t xml:space="preserve">(expediente de prueba, </w:t>
      </w:r>
      <w:r w:rsidRPr="00432ABC">
        <w:rPr>
          <w:rFonts w:ascii="Verdana" w:hAnsi="Verdana"/>
          <w:sz w:val="16"/>
          <w:szCs w:val="16"/>
        </w:rPr>
        <w:t>f. 27888</w:t>
      </w:r>
      <w:r>
        <w:rPr>
          <w:rFonts w:ascii="Verdana" w:hAnsi="Verdana"/>
          <w:sz w:val="16"/>
          <w:szCs w:val="16"/>
        </w:rPr>
        <w:t>)</w:t>
      </w:r>
      <w:r w:rsidRPr="00432ABC">
        <w:rPr>
          <w:rFonts w:ascii="Verdana" w:hAnsi="Verdana"/>
          <w:sz w:val="16"/>
          <w:szCs w:val="16"/>
        </w:rPr>
        <w:t>.</w:t>
      </w:r>
    </w:p>
  </w:footnote>
  <w:footnote w:id="158">
    <w:p w14:paraId="64AA61CB" w14:textId="69012929" w:rsidR="00146958" w:rsidRPr="00432ABC" w:rsidRDefault="00146958">
      <w:pPr>
        <w:pStyle w:val="FootnoteText"/>
        <w:jc w:val="both"/>
        <w:rPr>
          <w:rFonts w:ascii="Verdana" w:hAnsi="Verdana"/>
          <w:sz w:val="16"/>
          <w:szCs w:val="16"/>
        </w:rPr>
      </w:pPr>
      <w:r w:rsidRPr="00432ABC">
        <w:rPr>
          <w:rStyle w:val="FootnoteReference"/>
          <w:rFonts w:ascii="Verdana" w:hAnsi="Verdana"/>
          <w:sz w:val="16"/>
          <w:szCs w:val="16"/>
        </w:rPr>
        <w:footnoteRef/>
      </w:r>
      <w:r w:rsidRPr="00432ABC">
        <w:rPr>
          <w:rFonts w:ascii="Verdana" w:hAnsi="Verdana"/>
          <w:sz w:val="16"/>
          <w:szCs w:val="16"/>
        </w:rPr>
        <w:t xml:space="preserve"> </w:t>
      </w:r>
      <w:r w:rsidRPr="00432ABC">
        <w:rPr>
          <w:rFonts w:ascii="Verdana" w:hAnsi="Verdana"/>
          <w:sz w:val="16"/>
          <w:szCs w:val="16"/>
        </w:rPr>
        <w:tab/>
      </w:r>
      <w:r w:rsidRPr="00CD5C54">
        <w:rPr>
          <w:rFonts w:ascii="Verdana" w:hAnsi="Verdana"/>
          <w:i/>
          <w:sz w:val="16"/>
          <w:szCs w:val="16"/>
        </w:rPr>
        <w:t>Cfr.</w:t>
      </w:r>
      <w:r w:rsidRPr="002C462C">
        <w:rPr>
          <w:rFonts w:ascii="Verdana" w:hAnsi="Verdana"/>
          <w:sz w:val="16"/>
          <w:szCs w:val="16"/>
        </w:rPr>
        <w:t xml:space="preserve"> De</w:t>
      </w:r>
      <w:r w:rsidRPr="00432ABC">
        <w:rPr>
          <w:rFonts w:ascii="Verdana" w:hAnsi="Verdana"/>
          <w:sz w:val="16"/>
          <w:szCs w:val="16"/>
        </w:rPr>
        <w:t xml:space="preserve">claración de A.R.A.R. rendida el 15 de enero de 2010 ante la CNDH, </w:t>
      </w:r>
      <w:r w:rsidRPr="00432ABC">
        <w:rPr>
          <w:rFonts w:ascii="Verdana" w:hAnsi="Verdana"/>
          <w:i/>
          <w:sz w:val="16"/>
          <w:szCs w:val="16"/>
        </w:rPr>
        <w:t xml:space="preserve">supra </w:t>
      </w:r>
      <w:r>
        <w:rPr>
          <w:rFonts w:ascii="Verdana" w:hAnsi="Verdana"/>
          <w:sz w:val="16"/>
          <w:szCs w:val="16"/>
        </w:rPr>
        <w:t xml:space="preserve">(expediente de prueba, </w:t>
      </w:r>
      <w:r w:rsidRPr="00432ABC">
        <w:rPr>
          <w:rFonts w:ascii="Verdana" w:hAnsi="Verdana"/>
          <w:sz w:val="16"/>
          <w:szCs w:val="16"/>
        </w:rPr>
        <w:t>f. 27939</w:t>
      </w:r>
      <w:r>
        <w:rPr>
          <w:rFonts w:ascii="Verdana" w:hAnsi="Verdana"/>
          <w:sz w:val="16"/>
          <w:szCs w:val="16"/>
        </w:rPr>
        <w:t>)</w:t>
      </w:r>
      <w:r w:rsidRPr="00432ABC">
        <w:rPr>
          <w:rFonts w:ascii="Verdana" w:hAnsi="Verdana"/>
          <w:sz w:val="16"/>
          <w:szCs w:val="16"/>
        </w:rPr>
        <w:t>.</w:t>
      </w:r>
    </w:p>
  </w:footnote>
  <w:footnote w:id="159">
    <w:p w14:paraId="64AA61CC" w14:textId="03A619A2" w:rsidR="00146958" w:rsidRPr="00432ABC" w:rsidRDefault="00146958">
      <w:pPr>
        <w:pStyle w:val="FootnoteText"/>
        <w:jc w:val="both"/>
        <w:rPr>
          <w:rFonts w:ascii="Verdana" w:hAnsi="Verdana"/>
          <w:sz w:val="16"/>
          <w:szCs w:val="16"/>
        </w:rPr>
      </w:pPr>
      <w:r w:rsidRPr="00432ABC">
        <w:rPr>
          <w:rStyle w:val="FootnoteReference"/>
          <w:rFonts w:ascii="Verdana" w:hAnsi="Verdana"/>
          <w:sz w:val="16"/>
          <w:szCs w:val="16"/>
        </w:rPr>
        <w:footnoteRef/>
      </w:r>
      <w:r w:rsidRPr="00432ABC">
        <w:rPr>
          <w:rFonts w:ascii="Verdana" w:hAnsi="Verdana"/>
          <w:sz w:val="16"/>
          <w:szCs w:val="16"/>
        </w:rPr>
        <w:t xml:space="preserve"> </w:t>
      </w:r>
      <w:r w:rsidRPr="00432ABC">
        <w:rPr>
          <w:rFonts w:ascii="Verdana" w:hAnsi="Verdana"/>
          <w:sz w:val="16"/>
          <w:szCs w:val="16"/>
        </w:rPr>
        <w:tab/>
      </w:r>
      <w:r w:rsidRPr="00CD5C54">
        <w:rPr>
          <w:rFonts w:ascii="Verdana" w:hAnsi="Verdana"/>
          <w:i/>
          <w:sz w:val="16"/>
          <w:szCs w:val="16"/>
        </w:rPr>
        <w:t>Cfr.</w:t>
      </w:r>
      <w:r w:rsidRPr="002C462C">
        <w:rPr>
          <w:rFonts w:ascii="Verdana" w:hAnsi="Verdana"/>
          <w:sz w:val="16"/>
          <w:szCs w:val="16"/>
        </w:rPr>
        <w:t xml:space="preserve"> Acta de denuncia de Patricia Reyes Rueda promovida el 31 de diciembre de 2009 ante el AAMP - Buenaventura, </w:t>
      </w:r>
      <w:r w:rsidRPr="00432ABC">
        <w:rPr>
          <w:rFonts w:ascii="Verdana" w:hAnsi="Verdana"/>
          <w:i/>
          <w:sz w:val="16"/>
          <w:szCs w:val="16"/>
        </w:rPr>
        <w:t>supra</w:t>
      </w:r>
      <w:r w:rsidRPr="00432ABC">
        <w:rPr>
          <w:rFonts w:ascii="Verdana" w:hAnsi="Verdana"/>
          <w:sz w:val="16"/>
          <w:szCs w:val="16"/>
        </w:rPr>
        <w:t xml:space="preserve"> </w:t>
      </w:r>
      <w:r>
        <w:rPr>
          <w:rFonts w:ascii="Verdana" w:hAnsi="Verdana"/>
          <w:sz w:val="16"/>
          <w:szCs w:val="16"/>
        </w:rPr>
        <w:t xml:space="preserve">(expediente de prueba, </w:t>
      </w:r>
      <w:r w:rsidRPr="00432ABC">
        <w:rPr>
          <w:rFonts w:ascii="Verdana" w:hAnsi="Verdana"/>
          <w:sz w:val="16"/>
          <w:szCs w:val="16"/>
        </w:rPr>
        <w:t>f. 27877</w:t>
      </w:r>
      <w:r>
        <w:rPr>
          <w:rFonts w:ascii="Verdana" w:hAnsi="Verdana"/>
          <w:sz w:val="16"/>
          <w:szCs w:val="16"/>
        </w:rPr>
        <w:t>)</w:t>
      </w:r>
      <w:r w:rsidRPr="00432ABC">
        <w:rPr>
          <w:rFonts w:ascii="Verdana" w:hAnsi="Verdana"/>
          <w:sz w:val="16"/>
          <w:szCs w:val="16"/>
        </w:rPr>
        <w:t xml:space="preserve">; Declaración de Patricia Reyes Rueda rendida el 6 de enero de 2010 ante el AMPF de la Mesa Séptima de la PGR en Ciudad Juárez, Chihuahua, </w:t>
      </w:r>
      <w:r w:rsidRPr="00432ABC">
        <w:rPr>
          <w:rFonts w:ascii="Verdana" w:hAnsi="Verdana"/>
          <w:i/>
          <w:sz w:val="16"/>
          <w:szCs w:val="16"/>
        </w:rPr>
        <w:t xml:space="preserve">supra </w:t>
      </w:r>
      <w:r>
        <w:rPr>
          <w:rFonts w:ascii="Verdana" w:hAnsi="Verdana"/>
          <w:sz w:val="16"/>
          <w:szCs w:val="16"/>
        </w:rPr>
        <w:t xml:space="preserve">(expediente de prueba, </w:t>
      </w:r>
      <w:r w:rsidRPr="00432ABC">
        <w:rPr>
          <w:rFonts w:ascii="Verdana" w:hAnsi="Verdana"/>
          <w:sz w:val="16"/>
          <w:szCs w:val="16"/>
        </w:rPr>
        <w:t>f. 27881</w:t>
      </w:r>
      <w:r>
        <w:rPr>
          <w:rFonts w:ascii="Verdana" w:hAnsi="Verdana"/>
          <w:sz w:val="16"/>
          <w:szCs w:val="16"/>
        </w:rPr>
        <w:t>)</w:t>
      </w:r>
      <w:r w:rsidRPr="00432ABC">
        <w:rPr>
          <w:rFonts w:ascii="Verdana" w:hAnsi="Verdana"/>
          <w:sz w:val="16"/>
          <w:szCs w:val="16"/>
        </w:rPr>
        <w:t>;</w:t>
      </w:r>
      <w:r w:rsidRPr="00432ABC">
        <w:rPr>
          <w:rFonts w:ascii="Verdana" w:eastAsiaTheme="minorHAnsi" w:hAnsi="Verdana"/>
          <w:sz w:val="16"/>
          <w:szCs w:val="16"/>
        </w:rPr>
        <w:t xml:space="preserve"> </w:t>
      </w:r>
      <w:r w:rsidRPr="00432ABC">
        <w:rPr>
          <w:rFonts w:ascii="Verdana" w:hAnsi="Verdana"/>
          <w:sz w:val="16"/>
          <w:szCs w:val="16"/>
        </w:rPr>
        <w:t xml:space="preserve">Declaración de Patricia Reyes Rueda rendida el 9 de marzo de 2010 ante el AMPM – 5ªZM, </w:t>
      </w:r>
      <w:r w:rsidRPr="00432ABC">
        <w:rPr>
          <w:rFonts w:ascii="Verdana" w:hAnsi="Verdana"/>
          <w:i/>
          <w:sz w:val="16"/>
          <w:szCs w:val="16"/>
        </w:rPr>
        <w:t xml:space="preserve">supra </w:t>
      </w:r>
      <w:r>
        <w:rPr>
          <w:rFonts w:ascii="Verdana" w:hAnsi="Verdana"/>
          <w:sz w:val="16"/>
          <w:szCs w:val="16"/>
        </w:rPr>
        <w:t xml:space="preserve">(expediente de prueba, </w:t>
      </w:r>
      <w:r w:rsidRPr="00432ABC">
        <w:rPr>
          <w:rFonts w:ascii="Verdana" w:hAnsi="Verdana"/>
          <w:sz w:val="16"/>
          <w:szCs w:val="16"/>
        </w:rPr>
        <w:t>f. 27884</w:t>
      </w:r>
      <w:r>
        <w:rPr>
          <w:rFonts w:ascii="Verdana" w:hAnsi="Verdana"/>
          <w:sz w:val="16"/>
          <w:szCs w:val="16"/>
        </w:rPr>
        <w:t>)</w:t>
      </w:r>
      <w:r w:rsidRPr="00432ABC">
        <w:rPr>
          <w:rFonts w:ascii="Verdana" w:hAnsi="Verdana"/>
          <w:sz w:val="16"/>
          <w:szCs w:val="16"/>
        </w:rPr>
        <w:t xml:space="preserve">, y Declaración de Patricia Reyes Rueda rendida el 16 de enero de 2013 ante la 11ªAMPF – PGR, </w:t>
      </w:r>
      <w:r w:rsidRPr="00432ABC">
        <w:rPr>
          <w:rFonts w:ascii="Verdana" w:hAnsi="Verdana"/>
          <w:i/>
          <w:sz w:val="16"/>
          <w:szCs w:val="16"/>
        </w:rPr>
        <w:t>supra</w:t>
      </w:r>
      <w:r w:rsidRPr="00432ABC">
        <w:rPr>
          <w:rFonts w:ascii="Verdana" w:hAnsi="Verdana"/>
          <w:sz w:val="16"/>
          <w:szCs w:val="16"/>
        </w:rPr>
        <w:t xml:space="preserve"> </w:t>
      </w:r>
      <w:r>
        <w:rPr>
          <w:rFonts w:ascii="Verdana" w:hAnsi="Verdana"/>
          <w:sz w:val="16"/>
          <w:szCs w:val="16"/>
        </w:rPr>
        <w:t xml:space="preserve">(expediente de prueba, </w:t>
      </w:r>
      <w:r w:rsidRPr="00432ABC">
        <w:rPr>
          <w:rFonts w:ascii="Verdana" w:hAnsi="Verdana"/>
          <w:sz w:val="16"/>
          <w:szCs w:val="16"/>
        </w:rPr>
        <w:t>f. 27888</w:t>
      </w:r>
      <w:r>
        <w:rPr>
          <w:rFonts w:ascii="Verdana" w:hAnsi="Verdana"/>
          <w:sz w:val="16"/>
          <w:szCs w:val="16"/>
        </w:rPr>
        <w:t>)</w:t>
      </w:r>
      <w:r w:rsidRPr="00432ABC">
        <w:rPr>
          <w:rFonts w:ascii="Verdana" w:hAnsi="Verdana"/>
          <w:sz w:val="16"/>
          <w:szCs w:val="16"/>
        </w:rPr>
        <w:t xml:space="preserve">. En sus comparecencias ante estas autoridades, Patricia Reyes Rueda declaró que una vez que los desconocidos le dijeron a Rocío Irene Alvarado que quedaba arrestada ella preguntó el motivo de la detención de su hija y le contestaron, respectivamente, “que se callara”, “que se callara y no estuviera preguntando”, “que se mantuviera callada” y, finalmente, “que no le dijeron nada”. No obstante lo anterior, el Informe Policial rendido por la División de la Investigación de la Policía Federal el 4 de enero de 2011 ante el Agente del Ministerio Público de la Federación realizado “con base en un análisis de las constancias que integran la referida investigación penal” [sic], al momento se realizar la detención de Rocío Irene Alvarado Reyes los captores habrían manifestado a la señora Patricia Reyes Rueda que se trataba de una detención en el marco del “Operativo Chihuahua” [sic]. </w:t>
      </w:r>
      <w:r w:rsidRPr="00CD5C54">
        <w:rPr>
          <w:rFonts w:ascii="Verdana" w:hAnsi="Verdana"/>
          <w:i/>
          <w:sz w:val="16"/>
          <w:szCs w:val="16"/>
        </w:rPr>
        <w:t>Cfr.</w:t>
      </w:r>
      <w:r w:rsidRPr="00432ABC">
        <w:rPr>
          <w:rFonts w:ascii="Verdana" w:hAnsi="Verdana"/>
          <w:sz w:val="16"/>
          <w:szCs w:val="16"/>
        </w:rPr>
        <w:t xml:space="preserve"> Informe Policial rendido el 4 de enero de 2011 rendido por la División de Investigación de la Policía Federal ante la AMPF de la FEVIMTRA – PGR (expediente de prueba, ff. 284 y 287).</w:t>
      </w:r>
    </w:p>
  </w:footnote>
  <w:footnote w:id="160">
    <w:p w14:paraId="64AA61CD" w14:textId="31C9B632" w:rsidR="00146958" w:rsidRPr="00432ABC" w:rsidRDefault="00146958">
      <w:pPr>
        <w:pStyle w:val="FootnoteText"/>
        <w:jc w:val="both"/>
        <w:rPr>
          <w:rFonts w:ascii="Verdana" w:hAnsi="Verdana"/>
          <w:sz w:val="16"/>
          <w:szCs w:val="16"/>
        </w:rPr>
      </w:pPr>
      <w:r w:rsidRPr="00432ABC">
        <w:rPr>
          <w:rStyle w:val="FootnoteReference"/>
          <w:rFonts w:ascii="Verdana" w:hAnsi="Verdana"/>
          <w:sz w:val="16"/>
          <w:szCs w:val="16"/>
        </w:rPr>
        <w:footnoteRef/>
      </w:r>
      <w:r w:rsidRPr="00432ABC">
        <w:rPr>
          <w:rFonts w:ascii="Verdana" w:hAnsi="Verdana"/>
          <w:sz w:val="16"/>
          <w:szCs w:val="16"/>
        </w:rPr>
        <w:t xml:space="preserve"> </w:t>
      </w:r>
      <w:r w:rsidRPr="00432ABC">
        <w:rPr>
          <w:rFonts w:ascii="Verdana" w:hAnsi="Verdana"/>
          <w:sz w:val="16"/>
          <w:szCs w:val="16"/>
        </w:rPr>
        <w:tab/>
      </w:r>
      <w:r w:rsidRPr="00CD5C54">
        <w:rPr>
          <w:rFonts w:ascii="Verdana" w:hAnsi="Verdana"/>
          <w:i/>
          <w:sz w:val="16"/>
          <w:szCs w:val="16"/>
        </w:rPr>
        <w:t>Cfr.</w:t>
      </w:r>
      <w:r w:rsidRPr="002C462C">
        <w:rPr>
          <w:rFonts w:ascii="Verdana" w:hAnsi="Verdana"/>
          <w:sz w:val="16"/>
          <w:szCs w:val="16"/>
        </w:rPr>
        <w:t xml:space="preserve"> Declaración rendida por A.A.R. el 19 de abril de 2018, </w:t>
      </w:r>
      <w:r w:rsidRPr="00432ABC">
        <w:rPr>
          <w:rFonts w:ascii="Verdana" w:hAnsi="Verdana"/>
          <w:i/>
          <w:sz w:val="16"/>
          <w:szCs w:val="16"/>
        </w:rPr>
        <w:t xml:space="preserve">supra </w:t>
      </w:r>
      <w:r>
        <w:rPr>
          <w:rFonts w:ascii="Verdana" w:hAnsi="Verdana"/>
          <w:sz w:val="16"/>
          <w:szCs w:val="16"/>
        </w:rPr>
        <w:t xml:space="preserve">(expediente de prueba, </w:t>
      </w:r>
      <w:r w:rsidRPr="00453199">
        <w:rPr>
          <w:rFonts w:ascii="Verdana" w:hAnsi="Verdana"/>
          <w:i/>
          <w:sz w:val="16"/>
          <w:szCs w:val="16"/>
        </w:rPr>
        <w:t>Affidávits</w:t>
      </w:r>
      <w:r>
        <w:rPr>
          <w:rFonts w:ascii="Verdana" w:hAnsi="Verdana"/>
          <w:sz w:val="16"/>
          <w:szCs w:val="16"/>
        </w:rPr>
        <w:t xml:space="preserve">, </w:t>
      </w:r>
      <w:r w:rsidRPr="00432ABC">
        <w:rPr>
          <w:rFonts w:ascii="Verdana" w:hAnsi="Verdana"/>
          <w:sz w:val="16"/>
          <w:szCs w:val="16"/>
        </w:rPr>
        <w:t>f. 30865</w:t>
      </w:r>
      <w:r>
        <w:rPr>
          <w:rFonts w:ascii="Verdana" w:hAnsi="Verdana"/>
          <w:sz w:val="16"/>
          <w:szCs w:val="16"/>
        </w:rPr>
        <w:t>)</w:t>
      </w:r>
      <w:r w:rsidRPr="00432ABC">
        <w:rPr>
          <w:rFonts w:ascii="Verdana" w:hAnsi="Verdana"/>
          <w:sz w:val="16"/>
          <w:szCs w:val="16"/>
        </w:rPr>
        <w:t xml:space="preserve">, y Declaración rendida por A.R.A.R. el 19 de abril de 2018, </w:t>
      </w:r>
      <w:r w:rsidRPr="00432ABC">
        <w:rPr>
          <w:rFonts w:ascii="Verdana" w:hAnsi="Verdana"/>
          <w:i/>
          <w:sz w:val="16"/>
          <w:szCs w:val="16"/>
        </w:rPr>
        <w:t xml:space="preserve">supra </w:t>
      </w:r>
      <w:r>
        <w:rPr>
          <w:rFonts w:ascii="Verdana" w:hAnsi="Verdana"/>
          <w:sz w:val="16"/>
          <w:szCs w:val="16"/>
        </w:rPr>
        <w:t xml:space="preserve">(expediente de prueba, </w:t>
      </w:r>
      <w:r w:rsidRPr="00432ABC">
        <w:rPr>
          <w:rFonts w:ascii="Verdana" w:hAnsi="Verdana"/>
          <w:sz w:val="16"/>
          <w:szCs w:val="16"/>
        </w:rPr>
        <w:t>f. 30871</w:t>
      </w:r>
      <w:r>
        <w:rPr>
          <w:rFonts w:ascii="Verdana" w:hAnsi="Verdana"/>
          <w:sz w:val="16"/>
          <w:szCs w:val="16"/>
        </w:rPr>
        <w:t>)</w:t>
      </w:r>
      <w:r w:rsidRPr="00432ABC">
        <w:rPr>
          <w:rFonts w:ascii="Verdana" w:hAnsi="Verdana"/>
          <w:sz w:val="16"/>
          <w:szCs w:val="16"/>
        </w:rPr>
        <w:t>.</w:t>
      </w:r>
    </w:p>
  </w:footnote>
  <w:footnote w:id="161">
    <w:p w14:paraId="64AA61CE" w14:textId="621872BE" w:rsidR="00146958" w:rsidRPr="00432ABC" w:rsidRDefault="00146958">
      <w:pPr>
        <w:pStyle w:val="FootnoteText"/>
        <w:jc w:val="both"/>
        <w:rPr>
          <w:rFonts w:ascii="Verdana" w:hAnsi="Verdana"/>
          <w:sz w:val="16"/>
          <w:szCs w:val="16"/>
        </w:rPr>
      </w:pPr>
      <w:r w:rsidRPr="00432ABC">
        <w:rPr>
          <w:rStyle w:val="FootnoteReference"/>
          <w:rFonts w:ascii="Verdana" w:hAnsi="Verdana"/>
          <w:sz w:val="16"/>
          <w:szCs w:val="16"/>
        </w:rPr>
        <w:footnoteRef/>
      </w:r>
      <w:r w:rsidRPr="00432ABC">
        <w:rPr>
          <w:rFonts w:ascii="Verdana" w:hAnsi="Verdana"/>
          <w:sz w:val="16"/>
          <w:szCs w:val="16"/>
        </w:rPr>
        <w:t xml:space="preserve"> </w:t>
      </w:r>
      <w:r w:rsidRPr="00432ABC">
        <w:rPr>
          <w:rFonts w:ascii="Verdana" w:hAnsi="Verdana"/>
          <w:sz w:val="16"/>
          <w:szCs w:val="16"/>
        </w:rPr>
        <w:tab/>
      </w:r>
      <w:r w:rsidRPr="00CD5C54">
        <w:rPr>
          <w:rFonts w:ascii="Verdana" w:hAnsi="Verdana"/>
          <w:i/>
          <w:sz w:val="16"/>
          <w:szCs w:val="16"/>
        </w:rPr>
        <w:t>Cfr.</w:t>
      </w:r>
      <w:r w:rsidRPr="002C462C">
        <w:rPr>
          <w:rFonts w:ascii="Verdana" w:hAnsi="Verdana"/>
          <w:sz w:val="16"/>
          <w:szCs w:val="16"/>
        </w:rPr>
        <w:t xml:space="preserve"> Declaración de Obdulia Espinoza Beltrán rendida el 10 de junio de 2010 ante el SMC de la FEVIMTRA – PGR, </w:t>
      </w:r>
      <w:r w:rsidRPr="00432ABC">
        <w:rPr>
          <w:rFonts w:ascii="Verdana" w:hAnsi="Verdana"/>
          <w:i/>
          <w:sz w:val="16"/>
          <w:szCs w:val="16"/>
        </w:rPr>
        <w:t>supra</w:t>
      </w:r>
      <w:r w:rsidRPr="00432ABC">
        <w:rPr>
          <w:rFonts w:ascii="Verdana" w:hAnsi="Verdana"/>
          <w:sz w:val="16"/>
          <w:szCs w:val="16"/>
        </w:rPr>
        <w:t xml:space="preserve"> </w:t>
      </w:r>
      <w:r>
        <w:rPr>
          <w:rFonts w:ascii="Verdana" w:hAnsi="Verdana"/>
          <w:sz w:val="16"/>
          <w:szCs w:val="16"/>
        </w:rPr>
        <w:t xml:space="preserve">(expediente de prueba, </w:t>
      </w:r>
      <w:r w:rsidRPr="00432ABC">
        <w:rPr>
          <w:rFonts w:ascii="Verdana" w:hAnsi="Verdana"/>
          <w:sz w:val="16"/>
          <w:szCs w:val="16"/>
        </w:rPr>
        <w:t>f. 27921</w:t>
      </w:r>
      <w:r>
        <w:rPr>
          <w:rFonts w:ascii="Verdana" w:hAnsi="Verdana"/>
          <w:sz w:val="16"/>
          <w:szCs w:val="16"/>
        </w:rPr>
        <w:t>)</w:t>
      </w:r>
      <w:r w:rsidRPr="00432ABC">
        <w:rPr>
          <w:rFonts w:ascii="Verdana" w:hAnsi="Verdana"/>
          <w:sz w:val="16"/>
          <w:szCs w:val="16"/>
        </w:rPr>
        <w:t xml:space="preserve">; Declaración de Obdulia Espinoza Beltrán rendida el 19 de abril de 2018, </w:t>
      </w:r>
      <w:r w:rsidRPr="00432ABC">
        <w:rPr>
          <w:rFonts w:ascii="Verdana" w:hAnsi="Verdana"/>
          <w:i/>
          <w:sz w:val="16"/>
          <w:szCs w:val="16"/>
        </w:rPr>
        <w:t>supra</w:t>
      </w:r>
      <w:r w:rsidRPr="00432ABC">
        <w:rPr>
          <w:rFonts w:ascii="Verdana" w:hAnsi="Verdana"/>
          <w:sz w:val="16"/>
          <w:szCs w:val="16"/>
        </w:rPr>
        <w:t xml:space="preserve"> </w:t>
      </w:r>
      <w:r>
        <w:rPr>
          <w:rFonts w:ascii="Verdana" w:hAnsi="Verdana"/>
          <w:sz w:val="16"/>
          <w:szCs w:val="16"/>
        </w:rPr>
        <w:t xml:space="preserve">(expediente de prueba, </w:t>
      </w:r>
      <w:r w:rsidRPr="00453199">
        <w:rPr>
          <w:rFonts w:ascii="Verdana" w:hAnsi="Verdana"/>
          <w:i/>
          <w:sz w:val="16"/>
          <w:szCs w:val="16"/>
        </w:rPr>
        <w:t>Affidávits</w:t>
      </w:r>
      <w:r>
        <w:rPr>
          <w:rFonts w:ascii="Verdana" w:hAnsi="Verdana"/>
          <w:sz w:val="16"/>
          <w:szCs w:val="16"/>
        </w:rPr>
        <w:t xml:space="preserve">, </w:t>
      </w:r>
      <w:r w:rsidRPr="00432ABC">
        <w:rPr>
          <w:rFonts w:ascii="Verdana" w:hAnsi="Verdana"/>
          <w:sz w:val="16"/>
          <w:szCs w:val="16"/>
        </w:rPr>
        <w:t>f. 30911</w:t>
      </w:r>
      <w:r>
        <w:rPr>
          <w:rFonts w:ascii="Verdana" w:hAnsi="Verdana"/>
          <w:sz w:val="16"/>
          <w:szCs w:val="16"/>
        </w:rPr>
        <w:t>)</w:t>
      </w:r>
      <w:r w:rsidRPr="00432ABC">
        <w:rPr>
          <w:rFonts w:ascii="Verdana" w:hAnsi="Verdana"/>
          <w:sz w:val="16"/>
          <w:szCs w:val="16"/>
        </w:rPr>
        <w:t xml:space="preserve">; Declaración de José Ángel Alvarado Fabela rendida el 19 de abril de 2018 (expediente de prueba, </w:t>
      </w:r>
      <w:r w:rsidRPr="00453199">
        <w:rPr>
          <w:rFonts w:ascii="Verdana" w:hAnsi="Verdana"/>
          <w:i/>
          <w:sz w:val="16"/>
        </w:rPr>
        <w:t>Affidávits</w:t>
      </w:r>
      <w:r w:rsidRPr="00432ABC">
        <w:rPr>
          <w:rFonts w:ascii="Verdana" w:hAnsi="Verdana"/>
          <w:sz w:val="16"/>
          <w:szCs w:val="16"/>
        </w:rPr>
        <w:t xml:space="preserve">, f. 30880), y Declaración rendida </w:t>
      </w:r>
      <w:r>
        <w:rPr>
          <w:rFonts w:ascii="Verdana" w:hAnsi="Verdana"/>
          <w:sz w:val="16"/>
          <w:szCs w:val="16"/>
        </w:rPr>
        <w:t xml:space="preserve">en la Audiencia Pública </w:t>
      </w:r>
      <w:r w:rsidRPr="00432ABC">
        <w:rPr>
          <w:rFonts w:ascii="Verdana" w:hAnsi="Verdana"/>
          <w:sz w:val="16"/>
          <w:szCs w:val="16"/>
        </w:rPr>
        <w:t>ante la Corte por Jaime Alvarado Herrera</w:t>
      </w:r>
      <w:r>
        <w:rPr>
          <w:rFonts w:ascii="Verdana" w:hAnsi="Verdana"/>
          <w:sz w:val="16"/>
          <w:szCs w:val="16"/>
        </w:rPr>
        <w:t xml:space="preserve">, </w:t>
      </w:r>
      <w:r w:rsidRPr="00432ABC">
        <w:rPr>
          <w:rFonts w:ascii="Verdana" w:hAnsi="Verdana"/>
          <w:sz w:val="16"/>
          <w:szCs w:val="16"/>
        </w:rPr>
        <w:t>el 26 de abril de 2018 (Transcripción de la audiencia pública</w:t>
      </w:r>
      <w:r>
        <w:rPr>
          <w:rFonts w:ascii="Verdana" w:hAnsi="Verdana"/>
          <w:sz w:val="16"/>
          <w:szCs w:val="16"/>
        </w:rPr>
        <w:t xml:space="preserve">, </w:t>
      </w:r>
      <w:r w:rsidRPr="00432ABC">
        <w:rPr>
          <w:rFonts w:ascii="Verdana" w:hAnsi="Verdana"/>
          <w:sz w:val="16"/>
          <w:szCs w:val="16"/>
        </w:rPr>
        <w:t>pág. 31).</w:t>
      </w:r>
    </w:p>
  </w:footnote>
  <w:footnote w:id="162">
    <w:p w14:paraId="64AA61CF" w14:textId="3CAF4553" w:rsidR="00146958" w:rsidRPr="00432ABC" w:rsidRDefault="00146958">
      <w:pPr>
        <w:pStyle w:val="FootnoteText"/>
        <w:jc w:val="both"/>
        <w:rPr>
          <w:rFonts w:ascii="Verdana" w:hAnsi="Verdana"/>
          <w:sz w:val="16"/>
          <w:szCs w:val="16"/>
          <w:highlight w:val="yellow"/>
        </w:rPr>
      </w:pPr>
      <w:r w:rsidRPr="00432ABC">
        <w:rPr>
          <w:rStyle w:val="FootnoteReference"/>
          <w:rFonts w:ascii="Verdana" w:hAnsi="Verdana"/>
          <w:sz w:val="16"/>
          <w:szCs w:val="16"/>
        </w:rPr>
        <w:footnoteRef/>
      </w:r>
      <w:r w:rsidRPr="00432ABC">
        <w:rPr>
          <w:rFonts w:ascii="Verdana" w:hAnsi="Verdana"/>
          <w:sz w:val="16"/>
          <w:szCs w:val="16"/>
        </w:rPr>
        <w:t xml:space="preserve"> </w:t>
      </w:r>
      <w:r w:rsidRPr="00432ABC">
        <w:rPr>
          <w:rFonts w:ascii="Verdana" w:hAnsi="Verdana"/>
          <w:sz w:val="16"/>
          <w:szCs w:val="16"/>
        </w:rPr>
        <w:tab/>
      </w:r>
      <w:r w:rsidRPr="00CD5C54">
        <w:rPr>
          <w:rFonts w:ascii="Verdana" w:hAnsi="Verdana"/>
          <w:i/>
          <w:sz w:val="16"/>
          <w:szCs w:val="16"/>
        </w:rPr>
        <w:t>Cfr.</w:t>
      </w:r>
      <w:r w:rsidRPr="002C462C">
        <w:rPr>
          <w:rFonts w:ascii="Verdana" w:hAnsi="Verdana"/>
          <w:sz w:val="16"/>
          <w:szCs w:val="16"/>
        </w:rPr>
        <w:t xml:space="preserve"> Declaración rendida </w:t>
      </w:r>
      <w:r>
        <w:rPr>
          <w:rFonts w:ascii="Verdana" w:hAnsi="Verdana"/>
          <w:sz w:val="16"/>
          <w:szCs w:val="16"/>
        </w:rPr>
        <w:t>en la Audiencia Pública</w:t>
      </w:r>
      <w:r w:rsidRPr="002C462C">
        <w:rPr>
          <w:rFonts w:ascii="Verdana" w:hAnsi="Verdana"/>
          <w:sz w:val="16"/>
          <w:szCs w:val="16"/>
        </w:rPr>
        <w:t xml:space="preserve"> ante la Corte por Jaime Alvarado Herrera, </w:t>
      </w:r>
      <w:r w:rsidRPr="00432ABC">
        <w:rPr>
          <w:rFonts w:ascii="Verdana" w:hAnsi="Verdana"/>
          <w:i/>
          <w:sz w:val="16"/>
          <w:szCs w:val="16"/>
        </w:rPr>
        <w:t xml:space="preserve">supra, </w:t>
      </w:r>
      <w:r w:rsidRPr="00432ABC">
        <w:rPr>
          <w:rFonts w:ascii="Verdana" w:hAnsi="Verdana"/>
          <w:sz w:val="16"/>
          <w:szCs w:val="16"/>
        </w:rPr>
        <w:t xml:space="preserve">pág. 31, y Declaración de José Ángel Alvarado Fabela rendida el 18 de abril de 2018, </w:t>
      </w:r>
      <w:r w:rsidRPr="00432ABC">
        <w:rPr>
          <w:rFonts w:ascii="Verdana" w:hAnsi="Verdana"/>
          <w:i/>
          <w:sz w:val="16"/>
          <w:szCs w:val="16"/>
        </w:rPr>
        <w:t>supra</w:t>
      </w:r>
      <w:r>
        <w:rPr>
          <w:rFonts w:ascii="Verdana" w:hAnsi="Verdana"/>
          <w:sz w:val="16"/>
          <w:szCs w:val="16"/>
        </w:rPr>
        <w:t xml:space="preserve"> (expediente de prueba, </w:t>
      </w:r>
      <w:r w:rsidRPr="00453199">
        <w:rPr>
          <w:rFonts w:ascii="Verdana" w:hAnsi="Verdana"/>
          <w:i/>
          <w:sz w:val="16"/>
          <w:szCs w:val="16"/>
        </w:rPr>
        <w:t>Affidávits</w:t>
      </w:r>
      <w:r>
        <w:rPr>
          <w:rFonts w:ascii="Verdana" w:hAnsi="Verdana"/>
          <w:sz w:val="16"/>
          <w:szCs w:val="16"/>
        </w:rPr>
        <w:t xml:space="preserve">, </w:t>
      </w:r>
      <w:r w:rsidRPr="00432ABC">
        <w:rPr>
          <w:rFonts w:ascii="Verdana" w:hAnsi="Verdana"/>
          <w:sz w:val="16"/>
          <w:szCs w:val="16"/>
        </w:rPr>
        <w:t>f. 30880</w:t>
      </w:r>
      <w:r>
        <w:rPr>
          <w:rFonts w:ascii="Verdana" w:hAnsi="Verdana"/>
          <w:sz w:val="16"/>
          <w:szCs w:val="16"/>
        </w:rPr>
        <w:t>)</w:t>
      </w:r>
      <w:r w:rsidRPr="00432ABC">
        <w:rPr>
          <w:rFonts w:ascii="Verdana" w:hAnsi="Verdana"/>
          <w:sz w:val="16"/>
          <w:szCs w:val="16"/>
        </w:rPr>
        <w:t>.</w:t>
      </w:r>
    </w:p>
  </w:footnote>
  <w:footnote w:id="163">
    <w:p w14:paraId="64AA61D0" w14:textId="3BDD6767" w:rsidR="00146958" w:rsidRPr="00432ABC" w:rsidRDefault="00146958">
      <w:pPr>
        <w:pStyle w:val="FootnoteText"/>
        <w:jc w:val="both"/>
        <w:rPr>
          <w:rFonts w:ascii="Verdana" w:hAnsi="Verdana"/>
          <w:sz w:val="16"/>
          <w:szCs w:val="16"/>
          <w:highlight w:val="yellow"/>
        </w:rPr>
      </w:pPr>
      <w:r w:rsidRPr="00432ABC">
        <w:rPr>
          <w:rStyle w:val="FootnoteReference"/>
          <w:rFonts w:ascii="Verdana" w:hAnsi="Verdana"/>
          <w:sz w:val="16"/>
          <w:szCs w:val="16"/>
        </w:rPr>
        <w:footnoteRef/>
      </w:r>
      <w:r w:rsidRPr="00432ABC">
        <w:rPr>
          <w:rFonts w:ascii="Verdana" w:hAnsi="Verdana"/>
          <w:sz w:val="16"/>
          <w:szCs w:val="16"/>
        </w:rPr>
        <w:t xml:space="preserve"> </w:t>
      </w:r>
      <w:r w:rsidRPr="00432ABC">
        <w:rPr>
          <w:rFonts w:ascii="Verdana" w:hAnsi="Verdana"/>
          <w:sz w:val="16"/>
          <w:szCs w:val="16"/>
        </w:rPr>
        <w:tab/>
      </w:r>
      <w:r w:rsidRPr="00CD5C54">
        <w:rPr>
          <w:rFonts w:ascii="Verdana" w:hAnsi="Verdana"/>
          <w:i/>
          <w:sz w:val="16"/>
          <w:szCs w:val="16"/>
        </w:rPr>
        <w:t>Cfr.</w:t>
      </w:r>
      <w:r w:rsidRPr="002C462C">
        <w:rPr>
          <w:rFonts w:ascii="Verdana" w:hAnsi="Verdana"/>
          <w:i/>
          <w:sz w:val="16"/>
          <w:szCs w:val="16"/>
        </w:rPr>
        <w:t xml:space="preserve"> </w:t>
      </w:r>
      <w:r w:rsidRPr="002C462C">
        <w:rPr>
          <w:rFonts w:ascii="Verdana" w:hAnsi="Verdana"/>
          <w:sz w:val="16"/>
          <w:szCs w:val="16"/>
        </w:rPr>
        <w:t xml:space="preserve">Declaración rendida </w:t>
      </w:r>
      <w:r>
        <w:rPr>
          <w:rFonts w:ascii="Verdana" w:hAnsi="Verdana"/>
          <w:sz w:val="16"/>
          <w:szCs w:val="16"/>
        </w:rPr>
        <w:t>en la Audiencia Pública</w:t>
      </w:r>
      <w:r w:rsidRPr="002C462C">
        <w:rPr>
          <w:rFonts w:ascii="Verdana" w:hAnsi="Verdana"/>
          <w:sz w:val="16"/>
          <w:szCs w:val="16"/>
        </w:rPr>
        <w:t xml:space="preserve"> ante la Corte por Jaime Alvarado Herrera, </w:t>
      </w:r>
      <w:r w:rsidRPr="00432ABC">
        <w:rPr>
          <w:rFonts w:ascii="Verdana" w:hAnsi="Verdana"/>
          <w:i/>
          <w:sz w:val="16"/>
          <w:szCs w:val="16"/>
        </w:rPr>
        <w:t>supra,</w:t>
      </w:r>
      <w:r w:rsidRPr="00432ABC">
        <w:rPr>
          <w:rFonts w:ascii="Verdana" w:hAnsi="Verdana"/>
          <w:sz w:val="16"/>
          <w:szCs w:val="16"/>
        </w:rPr>
        <w:t xml:space="preserve"> pág. 31; Relación de hechos realizada por María de Jesús Alvarado Espinoza el 19 de febrero de 2010 ante el Titular de la Unidad para la Promoción y Defensa de los Derechos Humanos de la Secretaría de Gobernación [UPPDDH - SEGOB] (expediente de prueba, f. 314); Declaración de Obdulia Espinoza Beltrán rendida el 10 de junio de 2010 ante el SMC de la FEVIMTRA – PGR, </w:t>
      </w:r>
      <w:r w:rsidRPr="00432ABC">
        <w:rPr>
          <w:rFonts w:ascii="Verdana" w:hAnsi="Verdana"/>
          <w:i/>
          <w:sz w:val="16"/>
          <w:szCs w:val="16"/>
        </w:rPr>
        <w:t>supra</w:t>
      </w:r>
      <w:r w:rsidRPr="00432ABC">
        <w:rPr>
          <w:rFonts w:ascii="Verdana" w:hAnsi="Verdana"/>
          <w:sz w:val="16"/>
          <w:szCs w:val="16"/>
        </w:rPr>
        <w:t xml:space="preserve"> </w:t>
      </w:r>
      <w:r>
        <w:rPr>
          <w:rFonts w:ascii="Verdana" w:hAnsi="Verdana"/>
          <w:sz w:val="16"/>
          <w:szCs w:val="16"/>
        </w:rPr>
        <w:t xml:space="preserve">(expediente de prueba, </w:t>
      </w:r>
      <w:r w:rsidRPr="00432ABC">
        <w:rPr>
          <w:rFonts w:ascii="Verdana" w:hAnsi="Verdana"/>
          <w:sz w:val="16"/>
          <w:szCs w:val="16"/>
        </w:rPr>
        <w:t>f. 27923</w:t>
      </w:r>
      <w:r>
        <w:rPr>
          <w:rFonts w:ascii="Verdana" w:hAnsi="Verdana"/>
          <w:sz w:val="16"/>
          <w:szCs w:val="16"/>
        </w:rPr>
        <w:t>)</w:t>
      </w:r>
      <w:r w:rsidRPr="00432ABC">
        <w:rPr>
          <w:rFonts w:ascii="Verdana" w:hAnsi="Verdana"/>
          <w:sz w:val="16"/>
          <w:szCs w:val="16"/>
        </w:rPr>
        <w:t xml:space="preserve">, y Declaración de José Ángel Alvarado Fabela rendida el 18 de abril de 2018, </w:t>
      </w:r>
      <w:r w:rsidRPr="00432ABC">
        <w:rPr>
          <w:rFonts w:ascii="Verdana" w:hAnsi="Verdana"/>
          <w:i/>
          <w:sz w:val="16"/>
          <w:szCs w:val="16"/>
        </w:rPr>
        <w:t>supra</w:t>
      </w:r>
      <w:r>
        <w:rPr>
          <w:rFonts w:ascii="Verdana" w:hAnsi="Verdana"/>
          <w:sz w:val="16"/>
          <w:szCs w:val="16"/>
        </w:rPr>
        <w:t xml:space="preserve"> (expediente de prueba, </w:t>
      </w:r>
      <w:r w:rsidRPr="00453199">
        <w:rPr>
          <w:rFonts w:ascii="Verdana" w:hAnsi="Verdana"/>
          <w:i/>
          <w:sz w:val="16"/>
          <w:szCs w:val="16"/>
        </w:rPr>
        <w:t>Affidávits</w:t>
      </w:r>
      <w:r>
        <w:rPr>
          <w:rFonts w:ascii="Verdana" w:hAnsi="Verdana"/>
          <w:sz w:val="16"/>
          <w:szCs w:val="16"/>
        </w:rPr>
        <w:t xml:space="preserve">, </w:t>
      </w:r>
      <w:r w:rsidRPr="00432ABC">
        <w:rPr>
          <w:rFonts w:ascii="Verdana" w:hAnsi="Verdana"/>
          <w:sz w:val="16"/>
          <w:szCs w:val="16"/>
        </w:rPr>
        <w:t>f. 30880</w:t>
      </w:r>
      <w:r>
        <w:rPr>
          <w:rFonts w:ascii="Verdana" w:hAnsi="Verdana"/>
          <w:sz w:val="16"/>
          <w:szCs w:val="16"/>
        </w:rPr>
        <w:t>)</w:t>
      </w:r>
      <w:r w:rsidRPr="00432ABC">
        <w:rPr>
          <w:rFonts w:ascii="Verdana" w:hAnsi="Verdana"/>
          <w:sz w:val="16"/>
          <w:szCs w:val="16"/>
        </w:rPr>
        <w:t xml:space="preserve">. </w:t>
      </w:r>
    </w:p>
  </w:footnote>
  <w:footnote w:id="164">
    <w:p w14:paraId="64AA61D1" w14:textId="2E0A0516" w:rsidR="00146958" w:rsidRPr="00432ABC" w:rsidRDefault="00146958">
      <w:pPr>
        <w:pStyle w:val="FootnoteText"/>
        <w:jc w:val="both"/>
        <w:rPr>
          <w:rFonts w:ascii="Verdana" w:hAnsi="Verdana"/>
          <w:sz w:val="16"/>
          <w:szCs w:val="16"/>
        </w:rPr>
      </w:pPr>
      <w:r w:rsidRPr="00432ABC">
        <w:rPr>
          <w:rStyle w:val="FootnoteReference"/>
          <w:rFonts w:ascii="Verdana" w:hAnsi="Verdana"/>
          <w:sz w:val="16"/>
          <w:szCs w:val="16"/>
        </w:rPr>
        <w:footnoteRef/>
      </w:r>
      <w:r w:rsidRPr="00432ABC">
        <w:rPr>
          <w:rFonts w:ascii="Verdana" w:hAnsi="Verdana"/>
          <w:sz w:val="16"/>
          <w:szCs w:val="16"/>
        </w:rPr>
        <w:t xml:space="preserve"> </w:t>
      </w:r>
      <w:r w:rsidRPr="00432ABC">
        <w:rPr>
          <w:rFonts w:ascii="Verdana" w:hAnsi="Verdana"/>
          <w:sz w:val="16"/>
          <w:szCs w:val="16"/>
        </w:rPr>
        <w:tab/>
      </w:r>
      <w:r w:rsidRPr="00CD5C54">
        <w:rPr>
          <w:rFonts w:ascii="Verdana" w:hAnsi="Verdana"/>
          <w:i/>
          <w:sz w:val="16"/>
          <w:szCs w:val="16"/>
        </w:rPr>
        <w:t>Cfr.</w:t>
      </w:r>
      <w:r w:rsidRPr="002C462C">
        <w:rPr>
          <w:rFonts w:ascii="Verdana" w:hAnsi="Verdana"/>
          <w:sz w:val="16"/>
          <w:szCs w:val="16"/>
        </w:rPr>
        <w:t xml:space="preserve"> Declaración de Mario Castro García rendida el 24 de mayo de 2013 ante la 11ªAMPF – PGR (expediente de prueba</w:t>
      </w:r>
      <w:r w:rsidRPr="00432ABC">
        <w:rPr>
          <w:rFonts w:ascii="Verdana" w:hAnsi="Verdana"/>
          <w:sz w:val="16"/>
          <w:szCs w:val="16"/>
        </w:rPr>
        <w:t>, f. 27973), y  Declaración de Mario Castro García rendida el 9 de marzo de 2010 ante el AMPM – 5ªZM (expediente de prueba, f. 27978).</w:t>
      </w:r>
    </w:p>
  </w:footnote>
  <w:footnote w:id="165">
    <w:p w14:paraId="64AA61D2" w14:textId="7398D63A" w:rsidR="00146958" w:rsidRPr="00432ABC" w:rsidRDefault="00146958">
      <w:pPr>
        <w:pStyle w:val="FootnoteText"/>
        <w:jc w:val="both"/>
        <w:rPr>
          <w:rFonts w:ascii="Verdana" w:hAnsi="Verdana"/>
          <w:sz w:val="16"/>
          <w:szCs w:val="16"/>
        </w:rPr>
      </w:pPr>
      <w:r w:rsidRPr="00432ABC">
        <w:rPr>
          <w:rStyle w:val="FootnoteReference"/>
          <w:rFonts w:ascii="Verdana" w:hAnsi="Verdana"/>
          <w:sz w:val="16"/>
          <w:szCs w:val="16"/>
        </w:rPr>
        <w:footnoteRef/>
      </w:r>
      <w:r w:rsidRPr="00432ABC">
        <w:rPr>
          <w:rFonts w:ascii="Verdana" w:hAnsi="Verdana"/>
          <w:sz w:val="16"/>
          <w:szCs w:val="16"/>
        </w:rPr>
        <w:t xml:space="preserve"> </w:t>
      </w:r>
      <w:r w:rsidRPr="00432ABC">
        <w:rPr>
          <w:rFonts w:ascii="Verdana" w:hAnsi="Verdana"/>
          <w:sz w:val="16"/>
          <w:szCs w:val="16"/>
        </w:rPr>
        <w:tab/>
      </w:r>
      <w:r w:rsidRPr="00CD5C54">
        <w:rPr>
          <w:rFonts w:ascii="Verdana" w:hAnsi="Verdana"/>
          <w:i/>
          <w:sz w:val="16"/>
          <w:szCs w:val="16"/>
        </w:rPr>
        <w:t>Cfr.</w:t>
      </w:r>
      <w:r w:rsidRPr="002C462C">
        <w:rPr>
          <w:rFonts w:ascii="Verdana" w:hAnsi="Verdana"/>
          <w:i/>
          <w:sz w:val="16"/>
          <w:szCs w:val="16"/>
        </w:rPr>
        <w:t xml:space="preserve"> </w:t>
      </w:r>
      <w:r w:rsidRPr="002C462C">
        <w:rPr>
          <w:rFonts w:ascii="Verdana" w:hAnsi="Verdana"/>
          <w:sz w:val="16"/>
          <w:szCs w:val="16"/>
        </w:rPr>
        <w:t>Parte informativo rendido el 30 d</w:t>
      </w:r>
      <w:r w:rsidRPr="00432ABC">
        <w:rPr>
          <w:rFonts w:ascii="Verdana" w:hAnsi="Verdana"/>
          <w:sz w:val="16"/>
          <w:szCs w:val="16"/>
        </w:rPr>
        <w:t xml:space="preserve">e diciembre de 2009 por Mario Castro García ante el Director de Seguridad Pública y Vialidad Municipal de Buenaventura, Chihuahua (expediente de prueba, </w:t>
      </w:r>
      <w:r>
        <w:rPr>
          <w:rFonts w:ascii="Verdana" w:hAnsi="Verdana"/>
          <w:sz w:val="16"/>
          <w:szCs w:val="16"/>
        </w:rPr>
        <w:t>e</w:t>
      </w:r>
      <w:r w:rsidRPr="00432ABC">
        <w:rPr>
          <w:rFonts w:ascii="Verdana" w:hAnsi="Verdana"/>
          <w:sz w:val="16"/>
          <w:szCs w:val="16"/>
        </w:rPr>
        <w:t xml:space="preserve">xpediente penal, f. 5753 a 5754); Declaración rendida </w:t>
      </w:r>
      <w:r>
        <w:rPr>
          <w:rFonts w:ascii="Verdana" w:hAnsi="Verdana"/>
          <w:sz w:val="16"/>
          <w:szCs w:val="16"/>
        </w:rPr>
        <w:t xml:space="preserve">en la Audiencia Pública </w:t>
      </w:r>
      <w:r w:rsidRPr="00432ABC">
        <w:rPr>
          <w:rFonts w:ascii="Verdana" w:hAnsi="Verdana"/>
          <w:sz w:val="16"/>
          <w:szCs w:val="16"/>
        </w:rPr>
        <w:t xml:space="preserve">ante la Corte por Jaime Alvarado Herrera en la, </w:t>
      </w:r>
      <w:r w:rsidRPr="00432ABC">
        <w:rPr>
          <w:rFonts w:ascii="Verdana" w:hAnsi="Verdana"/>
          <w:i/>
          <w:sz w:val="16"/>
          <w:szCs w:val="16"/>
        </w:rPr>
        <w:t xml:space="preserve">supra, </w:t>
      </w:r>
      <w:r w:rsidRPr="00432ABC">
        <w:rPr>
          <w:rFonts w:ascii="Verdana" w:hAnsi="Verdana"/>
          <w:sz w:val="16"/>
          <w:szCs w:val="16"/>
        </w:rPr>
        <w:t xml:space="preserve">pág. 31, Declaración de José Ángel Alvarado Fabela rendida el 18 de abril de 2018, </w:t>
      </w:r>
      <w:r w:rsidRPr="00432ABC">
        <w:rPr>
          <w:rFonts w:ascii="Verdana" w:hAnsi="Verdana"/>
          <w:i/>
          <w:sz w:val="16"/>
          <w:szCs w:val="16"/>
        </w:rPr>
        <w:t>supra</w:t>
      </w:r>
      <w:r>
        <w:rPr>
          <w:rFonts w:ascii="Verdana" w:hAnsi="Verdana"/>
          <w:sz w:val="16"/>
          <w:szCs w:val="16"/>
        </w:rPr>
        <w:t xml:space="preserve"> (expediente de prueba, </w:t>
      </w:r>
      <w:r w:rsidRPr="00453199">
        <w:rPr>
          <w:rFonts w:ascii="Verdana" w:hAnsi="Verdana"/>
          <w:i/>
          <w:sz w:val="16"/>
          <w:szCs w:val="16"/>
        </w:rPr>
        <w:t>Affidávits</w:t>
      </w:r>
      <w:r>
        <w:rPr>
          <w:rFonts w:ascii="Verdana" w:hAnsi="Verdana"/>
          <w:sz w:val="16"/>
          <w:szCs w:val="16"/>
        </w:rPr>
        <w:t xml:space="preserve">, </w:t>
      </w:r>
      <w:r w:rsidRPr="00432ABC">
        <w:rPr>
          <w:rFonts w:ascii="Verdana" w:hAnsi="Verdana"/>
          <w:sz w:val="16"/>
          <w:szCs w:val="16"/>
        </w:rPr>
        <w:t>f. 30880</w:t>
      </w:r>
      <w:r>
        <w:rPr>
          <w:rFonts w:ascii="Verdana" w:hAnsi="Verdana"/>
          <w:sz w:val="16"/>
          <w:szCs w:val="16"/>
        </w:rPr>
        <w:t>)</w:t>
      </w:r>
      <w:r w:rsidRPr="00432ABC">
        <w:rPr>
          <w:rFonts w:ascii="Verdana" w:hAnsi="Verdana"/>
          <w:sz w:val="16"/>
          <w:szCs w:val="16"/>
        </w:rPr>
        <w:t>, y Declaración de Verónica Colomo Reyes rendida el 9 de marzo de 2010 ante el AMPM – 5ªZM (expediente de prueba, f. 27951).</w:t>
      </w:r>
    </w:p>
  </w:footnote>
  <w:footnote w:id="166">
    <w:p w14:paraId="64AA61D3" w14:textId="461DA3EF" w:rsidR="00146958" w:rsidRPr="00432ABC" w:rsidRDefault="00146958">
      <w:pPr>
        <w:pStyle w:val="FootnoteText"/>
        <w:jc w:val="both"/>
        <w:rPr>
          <w:rFonts w:ascii="Verdana" w:hAnsi="Verdana"/>
          <w:sz w:val="16"/>
          <w:szCs w:val="16"/>
        </w:rPr>
      </w:pPr>
      <w:r w:rsidRPr="00432ABC">
        <w:rPr>
          <w:rStyle w:val="FootnoteReference"/>
          <w:rFonts w:ascii="Verdana" w:hAnsi="Verdana"/>
          <w:sz w:val="16"/>
          <w:szCs w:val="16"/>
        </w:rPr>
        <w:footnoteRef/>
      </w:r>
      <w:r w:rsidRPr="00432ABC">
        <w:rPr>
          <w:rFonts w:ascii="Verdana" w:hAnsi="Verdana"/>
          <w:sz w:val="16"/>
          <w:szCs w:val="16"/>
        </w:rPr>
        <w:t xml:space="preserve"> </w:t>
      </w:r>
      <w:r w:rsidRPr="00432ABC">
        <w:rPr>
          <w:rFonts w:ascii="Verdana" w:hAnsi="Verdana"/>
          <w:sz w:val="16"/>
          <w:szCs w:val="16"/>
        </w:rPr>
        <w:tab/>
      </w:r>
      <w:r w:rsidRPr="00CD5C54">
        <w:rPr>
          <w:rFonts w:ascii="Verdana" w:hAnsi="Verdana"/>
          <w:i/>
          <w:sz w:val="16"/>
          <w:szCs w:val="16"/>
        </w:rPr>
        <w:t>Cfr.</w:t>
      </w:r>
      <w:r w:rsidRPr="002C462C">
        <w:rPr>
          <w:rFonts w:ascii="Verdana" w:hAnsi="Verdana"/>
          <w:sz w:val="16"/>
          <w:szCs w:val="16"/>
        </w:rPr>
        <w:t xml:space="preserve"> Declaración de Obdulia Espinoza Beltrán rendida el 16 de enero de 2013 ante la 11ªAMPF – PGR, </w:t>
      </w:r>
      <w:r w:rsidRPr="00432ABC">
        <w:rPr>
          <w:rFonts w:ascii="Verdana" w:hAnsi="Verdana"/>
          <w:i/>
          <w:sz w:val="16"/>
          <w:szCs w:val="16"/>
        </w:rPr>
        <w:t xml:space="preserve">supra </w:t>
      </w:r>
      <w:r>
        <w:rPr>
          <w:rFonts w:ascii="Verdana" w:hAnsi="Verdana"/>
          <w:sz w:val="16"/>
          <w:szCs w:val="16"/>
        </w:rPr>
        <w:t xml:space="preserve">(expediente de prueba, </w:t>
      </w:r>
      <w:r w:rsidRPr="00432ABC">
        <w:rPr>
          <w:rFonts w:ascii="Verdana" w:hAnsi="Verdana"/>
          <w:sz w:val="16"/>
          <w:szCs w:val="16"/>
        </w:rPr>
        <w:t>f. 27929</w:t>
      </w:r>
      <w:r>
        <w:rPr>
          <w:rFonts w:ascii="Verdana" w:hAnsi="Verdana"/>
          <w:sz w:val="16"/>
          <w:szCs w:val="16"/>
        </w:rPr>
        <w:t>)</w:t>
      </w:r>
      <w:r w:rsidRPr="00432ABC">
        <w:rPr>
          <w:rFonts w:ascii="Verdana" w:hAnsi="Verdana"/>
          <w:sz w:val="16"/>
          <w:szCs w:val="16"/>
        </w:rPr>
        <w:t>.</w:t>
      </w:r>
    </w:p>
  </w:footnote>
  <w:footnote w:id="167">
    <w:p w14:paraId="64AA61D4" w14:textId="434F8A0A" w:rsidR="00146958" w:rsidRPr="00432ABC" w:rsidRDefault="00146958">
      <w:pPr>
        <w:pStyle w:val="FootnoteText"/>
        <w:jc w:val="both"/>
        <w:rPr>
          <w:rFonts w:ascii="Verdana" w:hAnsi="Verdana"/>
          <w:sz w:val="16"/>
          <w:szCs w:val="16"/>
        </w:rPr>
      </w:pPr>
      <w:r w:rsidRPr="00432ABC">
        <w:rPr>
          <w:rStyle w:val="FootnoteReference"/>
          <w:rFonts w:ascii="Verdana" w:hAnsi="Verdana"/>
          <w:sz w:val="16"/>
          <w:szCs w:val="16"/>
        </w:rPr>
        <w:footnoteRef/>
      </w:r>
      <w:r w:rsidRPr="00432ABC">
        <w:rPr>
          <w:rFonts w:ascii="Verdana" w:hAnsi="Verdana"/>
          <w:sz w:val="16"/>
          <w:szCs w:val="16"/>
        </w:rPr>
        <w:t xml:space="preserve"> </w:t>
      </w:r>
      <w:r w:rsidRPr="00432ABC">
        <w:rPr>
          <w:rFonts w:ascii="Verdana" w:hAnsi="Verdana"/>
          <w:sz w:val="16"/>
          <w:szCs w:val="16"/>
        </w:rPr>
        <w:tab/>
      </w:r>
      <w:r w:rsidRPr="00CD5C54">
        <w:rPr>
          <w:rFonts w:ascii="Verdana" w:hAnsi="Verdana"/>
          <w:i/>
          <w:sz w:val="16"/>
          <w:szCs w:val="16"/>
        </w:rPr>
        <w:t>Cfr.</w:t>
      </w:r>
      <w:r w:rsidRPr="002C462C">
        <w:rPr>
          <w:rFonts w:ascii="Verdana" w:hAnsi="Verdana"/>
          <w:sz w:val="16"/>
          <w:szCs w:val="16"/>
        </w:rPr>
        <w:t xml:space="preserve"> Declaración de Obdulia Espinoza Beltrán rendida el 10 de junio </w:t>
      </w:r>
      <w:r w:rsidRPr="00432ABC">
        <w:rPr>
          <w:rFonts w:ascii="Verdana" w:hAnsi="Verdana"/>
          <w:sz w:val="16"/>
          <w:szCs w:val="16"/>
        </w:rPr>
        <w:t xml:space="preserve">de 2010 ante el SMC de la FEVIMTRA – PGR, </w:t>
      </w:r>
      <w:r w:rsidRPr="00432ABC">
        <w:rPr>
          <w:rFonts w:ascii="Verdana" w:hAnsi="Verdana"/>
          <w:i/>
          <w:sz w:val="16"/>
          <w:szCs w:val="16"/>
        </w:rPr>
        <w:t>supra</w:t>
      </w:r>
      <w:r w:rsidRPr="00432ABC">
        <w:rPr>
          <w:rFonts w:ascii="Verdana" w:hAnsi="Verdana"/>
          <w:sz w:val="16"/>
          <w:szCs w:val="16"/>
        </w:rPr>
        <w:t xml:space="preserve"> </w:t>
      </w:r>
      <w:r>
        <w:rPr>
          <w:rFonts w:ascii="Verdana" w:hAnsi="Verdana"/>
          <w:sz w:val="16"/>
          <w:szCs w:val="16"/>
        </w:rPr>
        <w:t xml:space="preserve">(expediente de prueba, </w:t>
      </w:r>
      <w:r w:rsidRPr="00432ABC">
        <w:rPr>
          <w:rFonts w:ascii="Verdana" w:hAnsi="Verdana"/>
          <w:sz w:val="16"/>
          <w:szCs w:val="16"/>
        </w:rPr>
        <w:t>f. 27923</w:t>
      </w:r>
      <w:r>
        <w:rPr>
          <w:rFonts w:ascii="Verdana" w:hAnsi="Verdana"/>
          <w:sz w:val="16"/>
          <w:szCs w:val="16"/>
        </w:rPr>
        <w:t>)</w:t>
      </w:r>
      <w:r w:rsidRPr="00432ABC">
        <w:rPr>
          <w:rFonts w:ascii="Verdana" w:hAnsi="Verdana"/>
          <w:sz w:val="16"/>
          <w:szCs w:val="16"/>
        </w:rPr>
        <w:t>.</w:t>
      </w:r>
    </w:p>
  </w:footnote>
  <w:footnote w:id="168">
    <w:p w14:paraId="64AA61D5" w14:textId="176AF372" w:rsidR="00146958" w:rsidRPr="00432ABC" w:rsidRDefault="00146958">
      <w:pPr>
        <w:pStyle w:val="FootnoteText"/>
        <w:jc w:val="both"/>
        <w:rPr>
          <w:rFonts w:ascii="Verdana" w:hAnsi="Verdana"/>
          <w:sz w:val="16"/>
          <w:szCs w:val="16"/>
        </w:rPr>
      </w:pPr>
      <w:r w:rsidRPr="00432ABC">
        <w:rPr>
          <w:rStyle w:val="FootnoteReference"/>
          <w:rFonts w:ascii="Verdana" w:hAnsi="Verdana"/>
          <w:sz w:val="16"/>
          <w:szCs w:val="16"/>
        </w:rPr>
        <w:footnoteRef/>
      </w:r>
      <w:r w:rsidRPr="00432ABC">
        <w:rPr>
          <w:rFonts w:ascii="Verdana" w:hAnsi="Verdana"/>
          <w:sz w:val="16"/>
          <w:szCs w:val="16"/>
        </w:rPr>
        <w:t xml:space="preserve"> </w:t>
      </w:r>
      <w:r w:rsidRPr="00432ABC">
        <w:rPr>
          <w:rFonts w:ascii="Verdana" w:hAnsi="Verdana"/>
          <w:sz w:val="16"/>
          <w:szCs w:val="16"/>
        </w:rPr>
        <w:tab/>
      </w:r>
      <w:r w:rsidRPr="00CD5C54">
        <w:rPr>
          <w:rFonts w:ascii="Verdana" w:hAnsi="Verdana"/>
          <w:i/>
          <w:sz w:val="16"/>
          <w:szCs w:val="16"/>
        </w:rPr>
        <w:t>Cfr.</w:t>
      </w:r>
      <w:r w:rsidRPr="002C462C">
        <w:rPr>
          <w:rFonts w:ascii="Verdana" w:hAnsi="Verdana"/>
          <w:sz w:val="16"/>
          <w:szCs w:val="16"/>
        </w:rPr>
        <w:t xml:space="preserve"> Declaración de Obdulia Espinoza Beltrán rendida el 10 de junio de 2010 ante el SMC de la FEVIMTRA – PGR, </w:t>
      </w:r>
      <w:r w:rsidRPr="00432ABC">
        <w:rPr>
          <w:rFonts w:ascii="Verdana" w:hAnsi="Verdana"/>
          <w:i/>
          <w:sz w:val="16"/>
          <w:szCs w:val="16"/>
        </w:rPr>
        <w:t>supra</w:t>
      </w:r>
      <w:r>
        <w:rPr>
          <w:rFonts w:ascii="Verdana" w:hAnsi="Verdana"/>
          <w:sz w:val="16"/>
          <w:szCs w:val="16"/>
        </w:rPr>
        <w:t xml:space="preserve"> (expediente de prueba</w:t>
      </w:r>
      <w:r w:rsidRPr="00432ABC">
        <w:rPr>
          <w:rFonts w:ascii="Verdana" w:hAnsi="Verdana"/>
          <w:sz w:val="16"/>
          <w:szCs w:val="16"/>
        </w:rPr>
        <w:t>, ff. 27923 a 27924</w:t>
      </w:r>
      <w:r>
        <w:rPr>
          <w:rFonts w:ascii="Verdana" w:hAnsi="Verdana"/>
          <w:sz w:val="16"/>
          <w:szCs w:val="16"/>
        </w:rPr>
        <w:t>)</w:t>
      </w:r>
      <w:r w:rsidRPr="00432ABC">
        <w:rPr>
          <w:rFonts w:ascii="Verdana" w:hAnsi="Verdana"/>
          <w:sz w:val="16"/>
          <w:szCs w:val="16"/>
        </w:rPr>
        <w:t xml:space="preserve">. </w:t>
      </w:r>
    </w:p>
  </w:footnote>
  <w:footnote w:id="169">
    <w:p w14:paraId="64AA61D6" w14:textId="05CB729C" w:rsidR="00146958" w:rsidRPr="00432ABC" w:rsidRDefault="00146958">
      <w:pPr>
        <w:pStyle w:val="FootnoteText"/>
        <w:jc w:val="both"/>
        <w:rPr>
          <w:rFonts w:ascii="Verdana" w:hAnsi="Verdana"/>
          <w:sz w:val="16"/>
          <w:szCs w:val="16"/>
        </w:rPr>
      </w:pPr>
      <w:r w:rsidRPr="00432ABC">
        <w:rPr>
          <w:rStyle w:val="FootnoteReference"/>
          <w:rFonts w:ascii="Verdana" w:hAnsi="Verdana"/>
          <w:sz w:val="16"/>
          <w:szCs w:val="16"/>
        </w:rPr>
        <w:footnoteRef/>
      </w:r>
      <w:r w:rsidRPr="00432ABC">
        <w:rPr>
          <w:rFonts w:ascii="Verdana" w:hAnsi="Verdana"/>
          <w:sz w:val="16"/>
          <w:szCs w:val="16"/>
        </w:rPr>
        <w:t xml:space="preserve"> </w:t>
      </w:r>
      <w:r w:rsidRPr="00432ABC">
        <w:rPr>
          <w:rFonts w:ascii="Verdana" w:hAnsi="Verdana"/>
          <w:sz w:val="16"/>
          <w:szCs w:val="16"/>
        </w:rPr>
        <w:tab/>
      </w:r>
      <w:r w:rsidRPr="00CD5C54">
        <w:rPr>
          <w:rFonts w:ascii="Verdana" w:hAnsi="Verdana"/>
          <w:i/>
          <w:sz w:val="16"/>
          <w:szCs w:val="16"/>
        </w:rPr>
        <w:t>Cfr.</w:t>
      </w:r>
      <w:r w:rsidRPr="002C462C">
        <w:rPr>
          <w:rFonts w:ascii="Verdana" w:hAnsi="Verdana"/>
          <w:i/>
          <w:sz w:val="16"/>
          <w:szCs w:val="16"/>
        </w:rPr>
        <w:t xml:space="preserve"> </w:t>
      </w:r>
      <w:r w:rsidRPr="002C462C">
        <w:rPr>
          <w:rFonts w:ascii="Verdana" w:hAnsi="Verdana"/>
          <w:sz w:val="16"/>
          <w:szCs w:val="16"/>
        </w:rPr>
        <w:t xml:space="preserve">Declaración rendida </w:t>
      </w:r>
      <w:r>
        <w:rPr>
          <w:rFonts w:ascii="Verdana" w:hAnsi="Verdana"/>
          <w:sz w:val="16"/>
          <w:szCs w:val="16"/>
        </w:rPr>
        <w:t xml:space="preserve">en la Audiencia Pública </w:t>
      </w:r>
      <w:r w:rsidRPr="002C462C">
        <w:rPr>
          <w:rFonts w:ascii="Verdana" w:hAnsi="Verdana"/>
          <w:sz w:val="16"/>
          <w:szCs w:val="16"/>
        </w:rPr>
        <w:t>ante la Corte por María de Jes</w:t>
      </w:r>
      <w:r w:rsidRPr="00432ABC">
        <w:rPr>
          <w:rFonts w:ascii="Verdana" w:hAnsi="Verdana"/>
          <w:sz w:val="16"/>
          <w:szCs w:val="16"/>
        </w:rPr>
        <w:t xml:space="preserve">ús Alvarado Espinoza, </w:t>
      </w:r>
      <w:r w:rsidRPr="00432ABC">
        <w:rPr>
          <w:rFonts w:ascii="Verdana" w:hAnsi="Verdana"/>
          <w:i/>
          <w:sz w:val="16"/>
          <w:szCs w:val="16"/>
        </w:rPr>
        <w:t xml:space="preserve">supra, </w:t>
      </w:r>
      <w:r w:rsidRPr="00432ABC">
        <w:rPr>
          <w:rFonts w:ascii="Verdana" w:hAnsi="Verdana"/>
          <w:sz w:val="16"/>
          <w:szCs w:val="16"/>
        </w:rPr>
        <w:t>pág. 8; Declaración rendida</w:t>
      </w:r>
      <w:r>
        <w:rPr>
          <w:rFonts w:ascii="Verdana" w:hAnsi="Verdana"/>
          <w:sz w:val="16"/>
          <w:szCs w:val="16"/>
        </w:rPr>
        <w:t xml:space="preserve"> en la Audiencia Pública ante la Corte</w:t>
      </w:r>
      <w:r w:rsidRPr="00432ABC">
        <w:rPr>
          <w:rFonts w:ascii="Verdana" w:hAnsi="Verdana"/>
          <w:sz w:val="16"/>
          <w:szCs w:val="16"/>
        </w:rPr>
        <w:t xml:space="preserve"> por Jaime Alvarado Herrera</w:t>
      </w:r>
      <w:r w:rsidRPr="00432ABC">
        <w:rPr>
          <w:rFonts w:ascii="Verdana" w:hAnsi="Verdana"/>
          <w:i/>
          <w:sz w:val="16"/>
          <w:szCs w:val="16"/>
        </w:rPr>
        <w:t>,</w:t>
      </w:r>
      <w:r w:rsidRPr="00432ABC">
        <w:rPr>
          <w:rFonts w:ascii="Verdana" w:hAnsi="Verdana"/>
          <w:sz w:val="16"/>
          <w:szCs w:val="16"/>
        </w:rPr>
        <w:t xml:space="preserve"> </w:t>
      </w:r>
      <w:r w:rsidRPr="00432ABC">
        <w:rPr>
          <w:rFonts w:ascii="Verdana" w:hAnsi="Verdana"/>
          <w:i/>
          <w:sz w:val="16"/>
          <w:szCs w:val="16"/>
        </w:rPr>
        <w:t xml:space="preserve">supra, </w:t>
      </w:r>
      <w:r w:rsidRPr="00432ABC">
        <w:rPr>
          <w:rFonts w:ascii="Verdana" w:hAnsi="Verdana"/>
          <w:sz w:val="16"/>
          <w:szCs w:val="16"/>
        </w:rPr>
        <w:t xml:space="preserve">pág. 32; Declaración de Patricia Reyes Rueda rendida el 9 de marzo de 2010 ante el AMPM – 5ªZM (expediente de prueba, f. 27884), y Relación de hechos realizada por María de Jesús Alvarado Espinoza el 19 de febrero de 2010 ante la UPPDDH - SEGOB, </w:t>
      </w:r>
      <w:r w:rsidRPr="00432ABC">
        <w:rPr>
          <w:rFonts w:ascii="Verdana" w:hAnsi="Verdana"/>
          <w:i/>
          <w:sz w:val="16"/>
          <w:szCs w:val="16"/>
        </w:rPr>
        <w:t xml:space="preserve">supra </w:t>
      </w:r>
      <w:r>
        <w:rPr>
          <w:rFonts w:ascii="Verdana" w:hAnsi="Verdana"/>
          <w:sz w:val="16"/>
          <w:szCs w:val="16"/>
        </w:rPr>
        <w:t xml:space="preserve">(expediente de prueba, </w:t>
      </w:r>
      <w:r w:rsidRPr="00432ABC">
        <w:rPr>
          <w:rFonts w:ascii="Verdana" w:hAnsi="Verdana"/>
          <w:sz w:val="16"/>
          <w:szCs w:val="16"/>
        </w:rPr>
        <w:t>f. 315</w:t>
      </w:r>
      <w:r>
        <w:rPr>
          <w:rFonts w:ascii="Verdana" w:hAnsi="Verdana"/>
          <w:sz w:val="16"/>
          <w:szCs w:val="16"/>
        </w:rPr>
        <w:t>)</w:t>
      </w:r>
      <w:r w:rsidRPr="00432ABC">
        <w:rPr>
          <w:rFonts w:ascii="Verdana" w:hAnsi="Verdana"/>
          <w:sz w:val="16"/>
          <w:szCs w:val="16"/>
        </w:rPr>
        <w:t>.</w:t>
      </w:r>
    </w:p>
  </w:footnote>
  <w:footnote w:id="170">
    <w:p w14:paraId="64AA61D8" w14:textId="6AB9D553" w:rsidR="00146958" w:rsidRPr="00432ABC" w:rsidRDefault="00146958">
      <w:pPr>
        <w:pStyle w:val="FootnoteText"/>
        <w:jc w:val="both"/>
        <w:rPr>
          <w:rFonts w:ascii="Verdana" w:hAnsi="Verdana"/>
          <w:sz w:val="16"/>
          <w:szCs w:val="16"/>
        </w:rPr>
      </w:pPr>
      <w:r w:rsidRPr="00432ABC">
        <w:rPr>
          <w:rStyle w:val="FootnoteReference"/>
          <w:rFonts w:ascii="Verdana" w:hAnsi="Verdana"/>
          <w:sz w:val="16"/>
          <w:szCs w:val="16"/>
        </w:rPr>
        <w:footnoteRef/>
      </w:r>
      <w:r w:rsidRPr="00432ABC">
        <w:rPr>
          <w:rFonts w:ascii="Verdana" w:hAnsi="Verdana"/>
          <w:sz w:val="16"/>
          <w:szCs w:val="16"/>
        </w:rPr>
        <w:t xml:space="preserve"> </w:t>
      </w:r>
      <w:r w:rsidRPr="00432ABC">
        <w:rPr>
          <w:rFonts w:ascii="Verdana" w:hAnsi="Verdana"/>
          <w:sz w:val="16"/>
          <w:szCs w:val="16"/>
        </w:rPr>
        <w:tab/>
      </w:r>
      <w:r w:rsidRPr="00CD5C54">
        <w:rPr>
          <w:rFonts w:ascii="Verdana" w:hAnsi="Verdana"/>
          <w:i/>
          <w:sz w:val="16"/>
          <w:szCs w:val="16"/>
        </w:rPr>
        <w:t>Cfr.</w:t>
      </w:r>
      <w:r w:rsidRPr="002C462C">
        <w:rPr>
          <w:rFonts w:ascii="Verdana" w:hAnsi="Verdana"/>
          <w:i/>
          <w:sz w:val="16"/>
          <w:szCs w:val="16"/>
        </w:rPr>
        <w:t xml:space="preserve"> </w:t>
      </w:r>
      <w:r w:rsidRPr="002C462C">
        <w:rPr>
          <w:rFonts w:ascii="Verdana" w:hAnsi="Verdana"/>
          <w:sz w:val="16"/>
          <w:szCs w:val="16"/>
        </w:rPr>
        <w:t xml:space="preserve">Declaración rendida </w:t>
      </w:r>
      <w:r>
        <w:rPr>
          <w:rFonts w:ascii="Verdana" w:hAnsi="Verdana"/>
          <w:sz w:val="16"/>
          <w:szCs w:val="16"/>
        </w:rPr>
        <w:t xml:space="preserve">en la Audiencia Pública </w:t>
      </w:r>
      <w:r w:rsidRPr="002C462C">
        <w:rPr>
          <w:rFonts w:ascii="Verdana" w:hAnsi="Verdana"/>
          <w:sz w:val="16"/>
          <w:szCs w:val="16"/>
        </w:rPr>
        <w:t>ante la Corte por María de Je</w:t>
      </w:r>
      <w:r w:rsidRPr="00432ABC">
        <w:rPr>
          <w:rFonts w:ascii="Verdana" w:hAnsi="Verdana"/>
          <w:sz w:val="16"/>
          <w:szCs w:val="16"/>
        </w:rPr>
        <w:t xml:space="preserve">sús Alvarado Espinoza en la, </w:t>
      </w:r>
      <w:r w:rsidRPr="00432ABC">
        <w:rPr>
          <w:rFonts w:ascii="Verdana" w:hAnsi="Verdana"/>
          <w:i/>
          <w:sz w:val="16"/>
          <w:szCs w:val="16"/>
        </w:rPr>
        <w:t xml:space="preserve">supra, </w:t>
      </w:r>
      <w:r w:rsidRPr="00432ABC">
        <w:rPr>
          <w:rFonts w:ascii="Verdana" w:hAnsi="Verdana"/>
          <w:sz w:val="16"/>
          <w:szCs w:val="16"/>
        </w:rPr>
        <w:t xml:space="preserve">págs. 8 a 9; Declaración de Verónica Colomo Reyes rendida el 9 de marzo de 2010 ante el AMPM – 5ªZM, </w:t>
      </w:r>
      <w:r w:rsidRPr="00432ABC">
        <w:rPr>
          <w:rFonts w:ascii="Verdana" w:hAnsi="Verdana"/>
          <w:i/>
          <w:sz w:val="16"/>
          <w:szCs w:val="16"/>
        </w:rPr>
        <w:t xml:space="preserve">supra </w:t>
      </w:r>
      <w:r>
        <w:rPr>
          <w:rFonts w:ascii="Verdana" w:hAnsi="Verdana"/>
          <w:sz w:val="16"/>
          <w:szCs w:val="16"/>
        </w:rPr>
        <w:t xml:space="preserve">(expediente de prueba, </w:t>
      </w:r>
      <w:r w:rsidRPr="00432ABC">
        <w:rPr>
          <w:rFonts w:ascii="Verdana" w:hAnsi="Verdana"/>
          <w:sz w:val="16"/>
          <w:szCs w:val="16"/>
        </w:rPr>
        <w:t>f. 27951</w:t>
      </w:r>
      <w:r>
        <w:rPr>
          <w:rFonts w:ascii="Verdana" w:hAnsi="Verdana"/>
          <w:sz w:val="16"/>
          <w:szCs w:val="16"/>
        </w:rPr>
        <w:t>)</w:t>
      </w:r>
      <w:r w:rsidRPr="00432ABC">
        <w:rPr>
          <w:rFonts w:ascii="Verdana" w:hAnsi="Verdana"/>
          <w:sz w:val="16"/>
          <w:szCs w:val="16"/>
        </w:rPr>
        <w:t xml:space="preserve">, y Declaración de Manuel Reyes Lira rendida el 9 de marzo de 2010 ante el AMPM – 5ªZM (expediente de prueba, f. 27982). De acuerdo con el General Felipe de Jesús Espitia Hernández, entonces Comandante de la Quinta Zona Militar [5ªZM], María de Jesús Alvarado, Patricia Reyes Rueda y Manuel Reyes Lira acudieron el 31 de diciembre de 2010 a las instalaciones del 35 Batallón de Infantería y fueron atendidos por el Teniente de Infantería Santiago Díaz Pineda, quien les manifestó que sus familiares no se encontraban detenidos en las instalaciones de dicha unidad militar y les preguntó por qué atribuían a la desaparición de sus familiares al 35 Batallón, a lo cual contestaron “que no culpaban a [esa] Unidad de ese hecho, que únicamente [fueron] a preguntar si a[llí] se encontraban […]”. </w:t>
      </w:r>
      <w:r w:rsidRPr="00CD5C54">
        <w:rPr>
          <w:rFonts w:ascii="Verdana" w:hAnsi="Verdana"/>
          <w:i/>
          <w:sz w:val="16"/>
          <w:szCs w:val="16"/>
        </w:rPr>
        <w:t>Cfr.</w:t>
      </w:r>
      <w:r w:rsidRPr="00432ABC">
        <w:rPr>
          <w:rFonts w:ascii="Verdana" w:hAnsi="Verdana"/>
          <w:i/>
          <w:sz w:val="16"/>
          <w:szCs w:val="16"/>
        </w:rPr>
        <w:t xml:space="preserve"> </w:t>
      </w:r>
      <w:r w:rsidRPr="00432ABC">
        <w:rPr>
          <w:rFonts w:ascii="Verdana" w:hAnsi="Verdana"/>
          <w:sz w:val="16"/>
          <w:szCs w:val="16"/>
        </w:rPr>
        <w:t xml:space="preserve">Mensaje C.E.I. de 7 de enero de 2010 dirigido al Comandante de la XI Región Militar (expediente de prueba, </w:t>
      </w:r>
      <w:r>
        <w:rPr>
          <w:rFonts w:ascii="Verdana" w:hAnsi="Verdana"/>
          <w:sz w:val="16"/>
          <w:szCs w:val="16"/>
        </w:rPr>
        <w:t>e</w:t>
      </w:r>
      <w:r w:rsidRPr="00432ABC">
        <w:rPr>
          <w:rFonts w:ascii="Verdana" w:hAnsi="Verdana"/>
          <w:sz w:val="16"/>
          <w:szCs w:val="16"/>
        </w:rPr>
        <w:t xml:space="preserve">xpediente </w:t>
      </w:r>
      <w:r>
        <w:rPr>
          <w:rFonts w:ascii="Verdana" w:hAnsi="Verdana"/>
          <w:sz w:val="16"/>
          <w:szCs w:val="16"/>
        </w:rPr>
        <w:t>p</w:t>
      </w:r>
      <w:r w:rsidRPr="00432ABC">
        <w:rPr>
          <w:rFonts w:ascii="Verdana" w:hAnsi="Verdana"/>
          <w:sz w:val="16"/>
          <w:szCs w:val="16"/>
        </w:rPr>
        <w:t xml:space="preserve">enal, f. 5406). </w:t>
      </w:r>
    </w:p>
  </w:footnote>
  <w:footnote w:id="171">
    <w:p w14:paraId="64AA61D9" w14:textId="2332A0F5" w:rsidR="00146958" w:rsidRPr="00432ABC" w:rsidRDefault="00146958">
      <w:pPr>
        <w:pStyle w:val="FootnoteText"/>
        <w:jc w:val="both"/>
        <w:rPr>
          <w:rFonts w:ascii="Verdana" w:hAnsi="Verdana"/>
          <w:sz w:val="16"/>
          <w:szCs w:val="16"/>
        </w:rPr>
      </w:pPr>
      <w:r w:rsidRPr="00432ABC">
        <w:rPr>
          <w:rStyle w:val="FootnoteReference"/>
          <w:rFonts w:ascii="Verdana" w:hAnsi="Verdana"/>
          <w:sz w:val="16"/>
          <w:szCs w:val="16"/>
        </w:rPr>
        <w:footnoteRef/>
      </w:r>
      <w:r w:rsidRPr="00432ABC">
        <w:rPr>
          <w:rFonts w:ascii="Verdana" w:hAnsi="Verdana"/>
          <w:sz w:val="16"/>
          <w:szCs w:val="16"/>
        </w:rPr>
        <w:t xml:space="preserve"> </w:t>
      </w:r>
      <w:r w:rsidRPr="00432ABC">
        <w:rPr>
          <w:rFonts w:ascii="Verdana" w:hAnsi="Verdana"/>
          <w:sz w:val="16"/>
          <w:szCs w:val="16"/>
        </w:rPr>
        <w:tab/>
      </w:r>
      <w:r w:rsidRPr="00CD5C54">
        <w:rPr>
          <w:rFonts w:ascii="Verdana" w:hAnsi="Verdana"/>
          <w:i/>
          <w:sz w:val="16"/>
          <w:szCs w:val="16"/>
        </w:rPr>
        <w:t>Cfr.</w:t>
      </w:r>
      <w:r w:rsidRPr="002C462C">
        <w:rPr>
          <w:rFonts w:ascii="Verdana" w:hAnsi="Verdana"/>
          <w:sz w:val="16"/>
          <w:szCs w:val="16"/>
        </w:rPr>
        <w:t xml:space="preserve"> Declaración de Verónica Colomo Reyes rendida el 9 de marzo de 2010 ante el AMPM – 5ªZM, </w:t>
      </w:r>
      <w:r w:rsidRPr="00432ABC">
        <w:rPr>
          <w:rFonts w:ascii="Verdana" w:hAnsi="Verdana"/>
          <w:i/>
          <w:sz w:val="16"/>
          <w:szCs w:val="16"/>
        </w:rPr>
        <w:t>supra</w:t>
      </w:r>
      <w:r>
        <w:rPr>
          <w:rFonts w:ascii="Verdana" w:hAnsi="Verdana"/>
          <w:sz w:val="16"/>
          <w:szCs w:val="16"/>
        </w:rPr>
        <w:t xml:space="preserve"> (expediente de prueba, </w:t>
      </w:r>
      <w:r w:rsidRPr="00432ABC">
        <w:rPr>
          <w:rFonts w:ascii="Verdana" w:hAnsi="Verdana"/>
          <w:sz w:val="16"/>
          <w:szCs w:val="16"/>
        </w:rPr>
        <w:t>f. 27951</w:t>
      </w:r>
      <w:r>
        <w:rPr>
          <w:rFonts w:ascii="Verdana" w:hAnsi="Verdana"/>
          <w:sz w:val="16"/>
          <w:szCs w:val="16"/>
        </w:rPr>
        <w:t>)</w:t>
      </w:r>
      <w:r w:rsidRPr="00432ABC">
        <w:rPr>
          <w:rFonts w:ascii="Verdana" w:hAnsi="Verdana"/>
          <w:sz w:val="16"/>
          <w:szCs w:val="16"/>
        </w:rPr>
        <w:t>, y Declaración de Manuel Reyes Lira rendida el 9 de marzo de 2010 ante el AMPM – 5ªZM</w:t>
      </w:r>
      <w:r>
        <w:rPr>
          <w:rFonts w:ascii="Verdana" w:hAnsi="Verdana"/>
          <w:i/>
          <w:sz w:val="16"/>
          <w:szCs w:val="16"/>
        </w:rPr>
        <w:t xml:space="preserve"> </w:t>
      </w:r>
      <w:r>
        <w:rPr>
          <w:rFonts w:ascii="Verdana" w:hAnsi="Verdana"/>
          <w:sz w:val="16"/>
          <w:szCs w:val="16"/>
        </w:rPr>
        <w:t xml:space="preserve">(expediente de prueba, </w:t>
      </w:r>
      <w:r w:rsidRPr="00432ABC">
        <w:rPr>
          <w:rFonts w:ascii="Verdana" w:hAnsi="Verdana"/>
          <w:sz w:val="16"/>
          <w:szCs w:val="16"/>
        </w:rPr>
        <w:t>f. 27982</w:t>
      </w:r>
      <w:r>
        <w:rPr>
          <w:rFonts w:ascii="Verdana" w:hAnsi="Verdana"/>
          <w:sz w:val="16"/>
          <w:szCs w:val="16"/>
        </w:rPr>
        <w:t>)</w:t>
      </w:r>
      <w:r w:rsidRPr="00432ABC">
        <w:rPr>
          <w:rFonts w:ascii="Verdana" w:hAnsi="Verdana"/>
          <w:sz w:val="16"/>
          <w:szCs w:val="16"/>
        </w:rPr>
        <w:t>.</w:t>
      </w:r>
    </w:p>
  </w:footnote>
  <w:footnote w:id="172">
    <w:p w14:paraId="64AA61DA" w14:textId="36A84B98" w:rsidR="00146958" w:rsidRPr="00432ABC" w:rsidRDefault="00146958">
      <w:pPr>
        <w:pStyle w:val="FootnoteText"/>
        <w:jc w:val="both"/>
        <w:rPr>
          <w:rFonts w:ascii="Verdana" w:hAnsi="Verdana"/>
          <w:sz w:val="16"/>
          <w:szCs w:val="16"/>
        </w:rPr>
      </w:pPr>
      <w:r w:rsidRPr="00432ABC">
        <w:rPr>
          <w:rStyle w:val="FootnoteReference"/>
          <w:rFonts w:ascii="Verdana" w:hAnsi="Verdana"/>
          <w:sz w:val="16"/>
          <w:szCs w:val="16"/>
        </w:rPr>
        <w:footnoteRef/>
      </w:r>
      <w:r w:rsidRPr="00432ABC">
        <w:rPr>
          <w:rFonts w:ascii="Verdana" w:hAnsi="Verdana"/>
          <w:sz w:val="16"/>
          <w:szCs w:val="16"/>
        </w:rPr>
        <w:t xml:space="preserve"> </w:t>
      </w:r>
      <w:r w:rsidRPr="00432ABC">
        <w:rPr>
          <w:rFonts w:ascii="Verdana" w:hAnsi="Verdana"/>
          <w:sz w:val="16"/>
          <w:szCs w:val="16"/>
        </w:rPr>
        <w:tab/>
      </w:r>
      <w:r w:rsidRPr="00CD5C54">
        <w:rPr>
          <w:rFonts w:ascii="Verdana" w:hAnsi="Verdana"/>
          <w:i/>
          <w:sz w:val="16"/>
          <w:szCs w:val="16"/>
        </w:rPr>
        <w:t>Cfr.</w:t>
      </w:r>
      <w:r w:rsidRPr="002C462C">
        <w:rPr>
          <w:rFonts w:ascii="Verdana" w:hAnsi="Verdana"/>
          <w:i/>
          <w:sz w:val="16"/>
          <w:szCs w:val="16"/>
        </w:rPr>
        <w:t xml:space="preserve"> </w:t>
      </w:r>
      <w:r w:rsidRPr="002C462C">
        <w:rPr>
          <w:rFonts w:ascii="Verdana" w:hAnsi="Verdana"/>
          <w:sz w:val="16"/>
          <w:szCs w:val="16"/>
        </w:rPr>
        <w:t>Declaración rendida</w:t>
      </w:r>
      <w:r>
        <w:rPr>
          <w:rFonts w:ascii="Verdana" w:hAnsi="Verdana"/>
          <w:sz w:val="16"/>
          <w:szCs w:val="16"/>
        </w:rPr>
        <w:t xml:space="preserve"> en la Audiencia Pública</w:t>
      </w:r>
      <w:r w:rsidRPr="002C462C">
        <w:rPr>
          <w:rFonts w:ascii="Verdana" w:hAnsi="Verdana"/>
          <w:sz w:val="16"/>
          <w:szCs w:val="16"/>
        </w:rPr>
        <w:t xml:space="preserve"> ante la Corte por María de Jesús Alvarado Espinoza, </w:t>
      </w:r>
      <w:r w:rsidRPr="00432ABC">
        <w:rPr>
          <w:rFonts w:ascii="Verdana" w:hAnsi="Verdana"/>
          <w:i/>
          <w:sz w:val="16"/>
          <w:szCs w:val="16"/>
        </w:rPr>
        <w:t xml:space="preserve">supra, </w:t>
      </w:r>
      <w:r w:rsidRPr="00432ABC">
        <w:rPr>
          <w:rFonts w:ascii="Verdana" w:hAnsi="Verdana"/>
          <w:sz w:val="16"/>
          <w:szCs w:val="16"/>
        </w:rPr>
        <w:t xml:space="preserve">pág. 8; Declaración de María de Jesús Alvarado Espinoza rendida el 12 de febrero de 2010 ante el AMP de la PGJE - Chihuahua (expediente de prueba, f. 27908), y Acta de Cadena de Eslabones y Custodia de Evidencia Folio 1655 de la Agencia Estatal de Investigación de Chihuahua [AEI – Chihuahua] (expediente de prueba, ff. 1838 a 1850). </w:t>
      </w:r>
    </w:p>
  </w:footnote>
  <w:footnote w:id="173">
    <w:p w14:paraId="64AA61DB" w14:textId="5FE12BB0" w:rsidR="00146958" w:rsidRPr="00432ABC" w:rsidRDefault="00146958">
      <w:pPr>
        <w:pStyle w:val="FootnoteText"/>
        <w:jc w:val="both"/>
        <w:rPr>
          <w:rFonts w:ascii="Verdana" w:hAnsi="Verdana"/>
          <w:sz w:val="16"/>
          <w:szCs w:val="16"/>
        </w:rPr>
      </w:pPr>
      <w:r w:rsidRPr="00432ABC">
        <w:rPr>
          <w:rStyle w:val="FootnoteReference"/>
          <w:rFonts w:ascii="Verdana" w:hAnsi="Verdana"/>
          <w:sz w:val="16"/>
          <w:szCs w:val="16"/>
        </w:rPr>
        <w:footnoteRef/>
      </w:r>
      <w:r w:rsidRPr="00432ABC">
        <w:rPr>
          <w:rFonts w:ascii="Verdana" w:hAnsi="Verdana"/>
          <w:sz w:val="16"/>
          <w:szCs w:val="16"/>
        </w:rPr>
        <w:t xml:space="preserve"> </w:t>
      </w:r>
      <w:r w:rsidRPr="00432ABC">
        <w:rPr>
          <w:rFonts w:ascii="Verdana" w:hAnsi="Verdana"/>
          <w:sz w:val="16"/>
          <w:szCs w:val="16"/>
        </w:rPr>
        <w:tab/>
      </w:r>
      <w:r w:rsidRPr="00CD5C54">
        <w:rPr>
          <w:rFonts w:ascii="Verdana" w:hAnsi="Verdana"/>
          <w:i/>
          <w:sz w:val="16"/>
          <w:szCs w:val="16"/>
        </w:rPr>
        <w:t>Cfr.</w:t>
      </w:r>
      <w:r w:rsidRPr="002C462C">
        <w:rPr>
          <w:rFonts w:ascii="Verdana" w:hAnsi="Verdana"/>
          <w:sz w:val="16"/>
          <w:szCs w:val="16"/>
        </w:rPr>
        <w:t xml:space="preserve"> </w:t>
      </w:r>
      <w:r w:rsidRPr="00432ABC">
        <w:rPr>
          <w:rFonts w:ascii="Verdana" w:hAnsi="Verdana"/>
          <w:vanish/>
          <w:sz w:val="16"/>
          <w:szCs w:val="16"/>
        </w:rPr>
        <w:t xml:space="preserve">ZMM - 5a por el 27901 a 27902. </w:t>
      </w:r>
      <w:r w:rsidRPr="00432ABC">
        <w:rPr>
          <w:rFonts w:ascii="Verdana" w:hAnsi="Verdana"/>
          <w:sz w:val="16"/>
          <w:szCs w:val="16"/>
        </w:rPr>
        <w:t>Denuncia promovida por Patricia Reyes Rueda el 4 de enero de 2010 en el Programa para la Atención de Quejas y Denuncias sobre el Operativo Conjunto Juárez, en Ciudad Juárez, Chihuahua (expediente de prueba, f. 306), y Declaración de Hora</w:t>
      </w:r>
      <w:r>
        <w:rPr>
          <w:rFonts w:ascii="Verdana" w:hAnsi="Verdana"/>
          <w:sz w:val="16"/>
          <w:szCs w:val="16"/>
        </w:rPr>
        <w:t>s</w:t>
      </w:r>
      <w:r w:rsidRPr="00432ABC">
        <w:rPr>
          <w:rFonts w:ascii="Verdana" w:hAnsi="Verdana"/>
          <w:sz w:val="16"/>
          <w:szCs w:val="16"/>
        </w:rPr>
        <w:t>io Flores Martínez rendida el 9 de junio de 2010 ante el AMPF de la FEVIMTRA - PGR (expediente de prueba, ff. 28078 a 28079).</w:t>
      </w:r>
    </w:p>
  </w:footnote>
  <w:footnote w:id="174">
    <w:p w14:paraId="64AA61DC" w14:textId="67277C68" w:rsidR="00146958" w:rsidRPr="00432ABC" w:rsidRDefault="00146958">
      <w:pPr>
        <w:pStyle w:val="FootnoteText"/>
        <w:jc w:val="both"/>
        <w:rPr>
          <w:rFonts w:ascii="Verdana" w:hAnsi="Verdana"/>
          <w:sz w:val="16"/>
          <w:szCs w:val="16"/>
        </w:rPr>
      </w:pPr>
      <w:r w:rsidRPr="00432ABC">
        <w:rPr>
          <w:rStyle w:val="FootnoteReference"/>
          <w:rFonts w:ascii="Verdana" w:hAnsi="Verdana"/>
          <w:sz w:val="16"/>
          <w:szCs w:val="16"/>
        </w:rPr>
        <w:footnoteRef/>
      </w:r>
      <w:r w:rsidRPr="00432ABC">
        <w:rPr>
          <w:rFonts w:ascii="Verdana" w:hAnsi="Verdana"/>
          <w:sz w:val="16"/>
          <w:szCs w:val="16"/>
        </w:rPr>
        <w:t xml:space="preserve"> </w:t>
      </w:r>
      <w:r w:rsidRPr="00432ABC">
        <w:rPr>
          <w:rFonts w:ascii="Verdana" w:hAnsi="Verdana"/>
          <w:sz w:val="16"/>
          <w:szCs w:val="16"/>
        </w:rPr>
        <w:tab/>
      </w:r>
      <w:r w:rsidRPr="00CD5C54">
        <w:rPr>
          <w:rFonts w:ascii="Verdana" w:hAnsi="Verdana"/>
          <w:i/>
          <w:sz w:val="16"/>
          <w:szCs w:val="16"/>
        </w:rPr>
        <w:t>Cfr.</w:t>
      </w:r>
      <w:r w:rsidRPr="002C462C">
        <w:rPr>
          <w:rFonts w:ascii="Verdana" w:hAnsi="Verdana"/>
          <w:i/>
          <w:sz w:val="16"/>
          <w:szCs w:val="16"/>
        </w:rPr>
        <w:t xml:space="preserve"> </w:t>
      </w:r>
      <w:r w:rsidRPr="002C462C">
        <w:rPr>
          <w:rFonts w:ascii="Verdana" w:hAnsi="Verdana"/>
          <w:sz w:val="16"/>
          <w:szCs w:val="16"/>
        </w:rPr>
        <w:t>Acta de denuncia de Patricia Reyes Rueda (expediente de prueba, ff. 27877 a 27878), y Acta de denuncia de María de Jesús Alvarado Espinoza (exped</w:t>
      </w:r>
      <w:r w:rsidRPr="00432ABC">
        <w:rPr>
          <w:rFonts w:ascii="Verdana" w:hAnsi="Verdana"/>
          <w:sz w:val="16"/>
          <w:szCs w:val="16"/>
        </w:rPr>
        <w:t xml:space="preserve">iente de prueba, ff. 27901 a 27902), ambas promovidas el 31 de diciembre de 2009 ante el AMP – Buenaventura. </w:t>
      </w:r>
    </w:p>
  </w:footnote>
  <w:footnote w:id="175">
    <w:p w14:paraId="64AA61DD" w14:textId="59F760F6" w:rsidR="00146958" w:rsidRPr="00432ABC" w:rsidRDefault="00146958">
      <w:pPr>
        <w:pStyle w:val="FootnoteText"/>
        <w:jc w:val="both"/>
        <w:rPr>
          <w:rFonts w:ascii="Verdana" w:hAnsi="Verdana"/>
          <w:sz w:val="16"/>
          <w:szCs w:val="16"/>
        </w:rPr>
      </w:pPr>
      <w:r w:rsidRPr="00432ABC">
        <w:rPr>
          <w:rStyle w:val="FootnoteReference"/>
          <w:rFonts w:ascii="Verdana" w:hAnsi="Verdana"/>
          <w:sz w:val="16"/>
          <w:szCs w:val="16"/>
        </w:rPr>
        <w:footnoteRef/>
      </w:r>
      <w:r w:rsidRPr="00432ABC">
        <w:rPr>
          <w:rFonts w:ascii="Verdana" w:hAnsi="Verdana"/>
          <w:sz w:val="16"/>
          <w:szCs w:val="16"/>
        </w:rPr>
        <w:t xml:space="preserve"> </w:t>
      </w:r>
      <w:r w:rsidRPr="00432ABC">
        <w:rPr>
          <w:rFonts w:ascii="Verdana" w:hAnsi="Verdana"/>
          <w:sz w:val="16"/>
          <w:szCs w:val="16"/>
        </w:rPr>
        <w:tab/>
      </w:r>
      <w:r w:rsidRPr="00CD5C54">
        <w:rPr>
          <w:rFonts w:ascii="Verdana" w:hAnsi="Verdana"/>
          <w:i/>
          <w:sz w:val="16"/>
          <w:szCs w:val="16"/>
        </w:rPr>
        <w:t>Cfr.</w:t>
      </w:r>
      <w:r w:rsidRPr="002C462C">
        <w:rPr>
          <w:rFonts w:ascii="Verdana" w:hAnsi="Verdana"/>
          <w:i/>
          <w:sz w:val="16"/>
          <w:szCs w:val="16"/>
        </w:rPr>
        <w:t xml:space="preserve"> </w:t>
      </w:r>
      <w:r w:rsidRPr="002C462C">
        <w:rPr>
          <w:rFonts w:ascii="Verdana" w:hAnsi="Verdana"/>
          <w:sz w:val="16"/>
          <w:szCs w:val="16"/>
        </w:rPr>
        <w:t>Queja promovida el 4 de enero de 2010 por Jaime Alvarado Herrera ante la CNDH en Ciudad Juárez, Ch</w:t>
      </w:r>
      <w:r w:rsidRPr="00432ABC">
        <w:rPr>
          <w:rFonts w:ascii="Verdana" w:hAnsi="Verdana"/>
          <w:sz w:val="16"/>
          <w:szCs w:val="16"/>
        </w:rPr>
        <w:t>ihuahua (expediente de prueba, ff. 1833 a 1834).</w:t>
      </w:r>
    </w:p>
  </w:footnote>
  <w:footnote w:id="176">
    <w:p w14:paraId="64AA61DE" w14:textId="43C18E68" w:rsidR="00146958" w:rsidRPr="00432ABC" w:rsidRDefault="00146958">
      <w:pPr>
        <w:pStyle w:val="FootnoteText"/>
        <w:jc w:val="both"/>
        <w:rPr>
          <w:rFonts w:ascii="Verdana" w:hAnsi="Verdana"/>
          <w:sz w:val="16"/>
          <w:szCs w:val="16"/>
        </w:rPr>
      </w:pPr>
      <w:r w:rsidRPr="00432ABC">
        <w:rPr>
          <w:rStyle w:val="FootnoteReference"/>
          <w:rFonts w:ascii="Verdana" w:hAnsi="Verdana"/>
          <w:sz w:val="16"/>
          <w:szCs w:val="16"/>
        </w:rPr>
        <w:footnoteRef/>
      </w:r>
      <w:r w:rsidRPr="00432ABC">
        <w:rPr>
          <w:rFonts w:ascii="Verdana" w:hAnsi="Verdana"/>
          <w:sz w:val="16"/>
          <w:szCs w:val="16"/>
        </w:rPr>
        <w:t xml:space="preserve">  </w:t>
      </w:r>
      <w:r w:rsidRPr="00432ABC">
        <w:rPr>
          <w:rFonts w:ascii="Verdana" w:hAnsi="Verdana"/>
          <w:sz w:val="16"/>
          <w:szCs w:val="16"/>
        </w:rPr>
        <w:tab/>
      </w:r>
      <w:r w:rsidRPr="00CD5C54">
        <w:rPr>
          <w:rFonts w:ascii="Verdana" w:hAnsi="Verdana"/>
          <w:i/>
          <w:sz w:val="16"/>
          <w:szCs w:val="16"/>
        </w:rPr>
        <w:t>Cfr.</w:t>
      </w:r>
      <w:r w:rsidRPr="002C462C">
        <w:rPr>
          <w:rFonts w:ascii="Verdana" w:hAnsi="Verdana"/>
          <w:i/>
          <w:sz w:val="16"/>
          <w:szCs w:val="16"/>
        </w:rPr>
        <w:t xml:space="preserve"> </w:t>
      </w:r>
      <w:r w:rsidRPr="002C462C">
        <w:rPr>
          <w:rFonts w:ascii="Verdana" w:hAnsi="Verdana"/>
          <w:sz w:val="16"/>
          <w:szCs w:val="16"/>
        </w:rPr>
        <w:t xml:space="preserve">Denuncia promovida por Patricia Reyes Rueda el 4 de enero de 2010 en el Programa para la Atención de Quejas y Denuncias sobre el Operativo Conjunto Juárez, </w:t>
      </w:r>
      <w:r w:rsidRPr="00432ABC">
        <w:rPr>
          <w:rFonts w:ascii="Verdana" w:hAnsi="Verdana"/>
          <w:i/>
          <w:sz w:val="16"/>
          <w:szCs w:val="16"/>
        </w:rPr>
        <w:t>supra</w:t>
      </w:r>
      <w:r w:rsidRPr="00432ABC">
        <w:rPr>
          <w:rFonts w:ascii="Verdana" w:hAnsi="Verdana"/>
          <w:sz w:val="16"/>
          <w:szCs w:val="16"/>
        </w:rPr>
        <w:t xml:space="preserve"> </w:t>
      </w:r>
      <w:r>
        <w:rPr>
          <w:rFonts w:ascii="Verdana" w:hAnsi="Verdana"/>
          <w:sz w:val="16"/>
          <w:szCs w:val="16"/>
        </w:rPr>
        <w:t xml:space="preserve">(expediente de prueba, </w:t>
      </w:r>
      <w:r w:rsidRPr="00432ABC">
        <w:rPr>
          <w:rFonts w:ascii="Verdana" w:hAnsi="Verdana"/>
          <w:sz w:val="16"/>
          <w:szCs w:val="16"/>
        </w:rPr>
        <w:t>ff. 305 a 307</w:t>
      </w:r>
      <w:r>
        <w:rPr>
          <w:rFonts w:ascii="Verdana" w:hAnsi="Verdana"/>
          <w:sz w:val="16"/>
          <w:szCs w:val="16"/>
        </w:rPr>
        <w:t>)</w:t>
      </w:r>
      <w:r w:rsidRPr="00432ABC">
        <w:rPr>
          <w:rFonts w:ascii="Verdana" w:hAnsi="Verdana"/>
          <w:sz w:val="16"/>
          <w:szCs w:val="16"/>
        </w:rPr>
        <w:t xml:space="preserve">, y Declaración de Patricia Reyes Rueda rendida el 9 de marzo de 2010 ante el AMPM – 5ªZM, </w:t>
      </w:r>
      <w:r w:rsidRPr="00432ABC">
        <w:rPr>
          <w:rFonts w:ascii="Verdana" w:hAnsi="Verdana"/>
          <w:i/>
          <w:sz w:val="16"/>
          <w:szCs w:val="16"/>
        </w:rPr>
        <w:t>supra</w:t>
      </w:r>
      <w:r>
        <w:rPr>
          <w:rFonts w:ascii="Verdana" w:hAnsi="Verdana"/>
          <w:sz w:val="16"/>
          <w:szCs w:val="16"/>
        </w:rPr>
        <w:t xml:space="preserve"> (expediente de prueba, </w:t>
      </w:r>
      <w:r w:rsidRPr="00432ABC">
        <w:rPr>
          <w:rFonts w:ascii="Verdana" w:hAnsi="Verdana"/>
          <w:sz w:val="16"/>
          <w:szCs w:val="16"/>
        </w:rPr>
        <w:t>f. 27884</w:t>
      </w:r>
      <w:r>
        <w:rPr>
          <w:rFonts w:ascii="Verdana" w:hAnsi="Verdana"/>
          <w:sz w:val="16"/>
          <w:szCs w:val="16"/>
        </w:rPr>
        <w:t>)</w:t>
      </w:r>
      <w:r w:rsidRPr="00432ABC">
        <w:rPr>
          <w:rFonts w:ascii="Verdana" w:hAnsi="Verdana"/>
          <w:sz w:val="16"/>
          <w:szCs w:val="16"/>
        </w:rPr>
        <w:t xml:space="preserve">. </w:t>
      </w:r>
    </w:p>
  </w:footnote>
  <w:footnote w:id="177">
    <w:p w14:paraId="64AA61DF" w14:textId="385146F9" w:rsidR="00146958" w:rsidRPr="00432ABC" w:rsidRDefault="00146958">
      <w:pPr>
        <w:pStyle w:val="FootnoteText"/>
        <w:jc w:val="both"/>
        <w:rPr>
          <w:rFonts w:ascii="Verdana" w:hAnsi="Verdana"/>
          <w:sz w:val="16"/>
          <w:szCs w:val="16"/>
        </w:rPr>
      </w:pPr>
      <w:r w:rsidRPr="00432ABC">
        <w:rPr>
          <w:rStyle w:val="FootnoteReference"/>
          <w:rFonts w:ascii="Verdana" w:hAnsi="Verdana"/>
          <w:sz w:val="16"/>
          <w:szCs w:val="16"/>
        </w:rPr>
        <w:footnoteRef/>
      </w:r>
      <w:r w:rsidRPr="00432ABC">
        <w:rPr>
          <w:rFonts w:ascii="Verdana" w:hAnsi="Verdana"/>
          <w:sz w:val="16"/>
          <w:szCs w:val="16"/>
        </w:rPr>
        <w:t xml:space="preserve"> </w:t>
      </w:r>
      <w:r w:rsidRPr="00432ABC">
        <w:rPr>
          <w:rFonts w:ascii="Verdana" w:hAnsi="Verdana"/>
          <w:sz w:val="16"/>
          <w:szCs w:val="16"/>
        </w:rPr>
        <w:tab/>
      </w:r>
      <w:r w:rsidRPr="00CD5C54">
        <w:rPr>
          <w:rFonts w:ascii="Verdana" w:hAnsi="Verdana"/>
          <w:i/>
          <w:sz w:val="16"/>
          <w:szCs w:val="16"/>
        </w:rPr>
        <w:t>Cfr.</w:t>
      </w:r>
      <w:r w:rsidRPr="002C462C">
        <w:rPr>
          <w:rFonts w:ascii="Verdana" w:hAnsi="Verdana"/>
          <w:sz w:val="16"/>
          <w:szCs w:val="16"/>
        </w:rPr>
        <w:t xml:space="preserve"> Acta de denuncia AP/PGR/CHIH/JUA/27/2010-VII-A de Patricia Reyes Rueda y de María de Jesús Alvarado Espinoza promovida el 6 de ene</w:t>
      </w:r>
      <w:r w:rsidRPr="00432ABC">
        <w:rPr>
          <w:rFonts w:ascii="Verdana" w:hAnsi="Verdana"/>
          <w:sz w:val="16"/>
          <w:szCs w:val="16"/>
        </w:rPr>
        <w:t>ro de 2010 ante el AMPF adscrito a la Mesa Séptima de la PGR en Ciudad Juárez, Chihuahua [7ªAMPF - PGR]</w:t>
      </w:r>
      <w:r>
        <w:rPr>
          <w:rFonts w:ascii="Verdana" w:hAnsi="Verdana"/>
          <w:sz w:val="16"/>
          <w:szCs w:val="16"/>
        </w:rPr>
        <w:t xml:space="preserve"> </w:t>
      </w:r>
      <w:r w:rsidRPr="00432ABC">
        <w:rPr>
          <w:rFonts w:ascii="Verdana" w:hAnsi="Verdana"/>
          <w:sz w:val="16"/>
          <w:szCs w:val="16"/>
        </w:rPr>
        <w:t>(expediente de prueba, ff. 27880 a 27881</w:t>
      </w:r>
      <w:r>
        <w:rPr>
          <w:rFonts w:ascii="Verdana" w:hAnsi="Verdana"/>
          <w:sz w:val="16"/>
          <w:szCs w:val="16"/>
        </w:rPr>
        <w:t xml:space="preserve"> </w:t>
      </w:r>
      <w:r w:rsidRPr="00432ABC">
        <w:rPr>
          <w:rFonts w:ascii="Verdana" w:hAnsi="Verdana"/>
          <w:sz w:val="16"/>
          <w:szCs w:val="16"/>
        </w:rPr>
        <w:t xml:space="preserve">y ff. 27904 a 27905). </w:t>
      </w:r>
    </w:p>
  </w:footnote>
  <w:footnote w:id="178">
    <w:p w14:paraId="64AA61E0" w14:textId="5D7F1626" w:rsidR="00146958" w:rsidRPr="00432ABC" w:rsidRDefault="00146958">
      <w:pPr>
        <w:pStyle w:val="FootnoteText"/>
        <w:jc w:val="both"/>
        <w:rPr>
          <w:rFonts w:ascii="Verdana" w:hAnsi="Verdana"/>
          <w:sz w:val="16"/>
          <w:szCs w:val="16"/>
        </w:rPr>
      </w:pPr>
      <w:r w:rsidRPr="00432ABC">
        <w:rPr>
          <w:rStyle w:val="FootnoteReference"/>
          <w:rFonts w:ascii="Verdana" w:hAnsi="Verdana"/>
          <w:sz w:val="16"/>
          <w:szCs w:val="16"/>
        </w:rPr>
        <w:footnoteRef/>
      </w:r>
      <w:r w:rsidRPr="00432ABC">
        <w:rPr>
          <w:rFonts w:ascii="Verdana" w:hAnsi="Verdana"/>
          <w:sz w:val="16"/>
          <w:szCs w:val="16"/>
        </w:rPr>
        <w:t xml:space="preserve"> </w:t>
      </w:r>
      <w:r w:rsidRPr="00432ABC">
        <w:rPr>
          <w:rFonts w:ascii="Verdana" w:hAnsi="Verdana"/>
          <w:sz w:val="16"/>
          <w:szCs w:val="16"/>
        </w:rPr>
        <w:tab/>
      </w:r>
      <w:r w:rsidRPr="00CD5C54">
        <w:rPr>
          <w:rFonts w:ascii="Verdana" w:hAnsi="Verdana"/>
          <w:i/>
          <w:sz w:val="16"/>
          <w:szCs w:val="16"/>
        </w:rPr>
        <w:t>Cfr.</w:t>
      </w:r>
      <w:r w:rsidRPr="002C462C">
        <w:rPr>
          <w:rFonts w:ascii="Verdana" w:hAnsi="Verdana"/>
          <w:sz w:val="16"/>
          <w:szCs w:val="16"/>
        </w:rPr>
        <w:t xml:space="preserve"> </w:t>
      </w:r>
      <w:r w:rsidRPr="00432ABC">
        <w:rPr>
          <w:rFonts w:ascii="Verdana" w:hAnsi="Verdana"/>
          <w:sz w:val="16"/>
          <w:szCs w:val="16"/>
        </w:rPr>
        <w:t xml:space="preserve">Demanda de Amparo promovida por José Ángel Alvarado Fabela el 6 de enero ante el Juez de Distrito de Amparo en Materia Penal en turno en Ciudad Juárez, Chihuahua (expediente de prueba, ff. 2625 a 2628). </w:t>
      </w:r>
    </w:p>
  </w:footnote>
  <w:footnote w:id="179">
    <w:p w14:paraId="64AA61E1" w14:textId="761A2CED" w:rsidR="00146958" w:rsidRPr="00432ABC" w:rsidRDefault="00146958">
      <w:pPr>
        <w:pStyle w:val="FootnoteText"/>
        <w:jc w:val="both"/>
        <w:rPr>
          <w:rFonts w:ascii="Verdana" w:hAnsi="Verdana"/>
          <w:sz w:val="16"/>
          <w:szCs w:val="16"/>
        </w:rPr>
      </w:pPr>
      <w:r w:rsidRPr="00432ABC">
        <w:rPr>
          <w:rStyle w:val="FootnoteReference"/>
          <w:rFonts w:ascii="Verdana" w:hAnsi="Verdana"/>
          <w:sz w:val="16"/>
          <w:szCs w:val="16"/>
        </w:rPr>
        <w:footnoteRef/>
      </w:r>
      <w:r w:rsidRPr="00432ABC">
        <w:rPr>
          <w:rFonts w:ascii="Verdana" w:hAnsi="Verdana"/>
          <w:sz w:val="16"/>
          <w:szCs w:val="16"/>
        </w:rPr>
        <w:t xml:space="preserve"> </w:t>
      </w:r>
      <w:r w:rsidRPr="00432ABC">
        <w:rPr>
          <w:rFonts w:ascii="Verdana" w:hAnsi="Verdana"/>
          <w:sz w:val="16"/>
          <w:szCs w:val="16"/>
        </w:rPr>
        <w:tab/>
      </w:r>
      <w:r w:rsidRPr="00CD5C54">
        <w:rPr>
          <w:rFonts w:ascii="Verdana" w:hAnsi="Verdana"/>
          <w:i/>
          <w:sz w:val="16"/>
          <w:szCs w:val="16"/>
        </w:rPr>
        <w:t>Cfr.</w:t>
      </w:r>
      <w:r w:rsidRPr="002C462C">
        <w:rPr>
          <w:rFonts w:ascii="Verdana" w:hAnsi="Verdana"/>
          <w:sz w:val="16"/>
          <w:szCs w:val="16"/>
        </w:rPr>
        <w:t xml:space="preserve"> Mensaje F.C.A</w:t>
      </w:r>
      <w:r w:rsidRPr="00432ABC">
        <w:rPr>
          <w:rFonts w:ascii="Verdana" w:hAnsi="Verdana"/>
          <w:sz w:val="16"/>
          <w:szCs w:val="16"/>
        </w:rPr>
        <w:t xml:space="preserve">. No. 44 de 7 de enero de 2010 dirigido al Comandante de la Guarnición Militar de Palomas, Chihuahua (expediente de prueba, </w:t>
      </w:r>
      <w:r>
        <w:rPr>
          <w:rFonts w:ascii="Verdana" w:hAnsi="Verdana"/>
          <w:sz w:val="16"/>
          <w:szCs w:val="16"/>
        </w:rPr>
        <w:t>e</w:t>
      </w:r>
      <w:r w:rsidRPr="00432ABC">
        <w:rPr>
          <w:rFonts w:ascii="Verdana" w:hAnsi="Verdana"/>
          <w:sz w:val="16"/>
          <w:szCs w:val="16"/>
        </w:rPr>
        <w:t xml:space="preserve">xpediente penal, f.5405). En su declaración de 18 de junio de 2013 dentro de la Averiguación Previa AP/PGR/CHIH/JUA/467/2012-XI-A el General Lohmann señaló que quien le instruyó para realizar la investigación de los hechos fue el Comandante de la XI Región Militar. </w:t>
      </w:r>
      <w:r w:rsidRPr="00CD5C54">
        <w:rPr>
          <w:rFonts w:ascii="Verdana" w:hAnsi="Verdana"/>
          <w:i/>
          <w:sz w:val="16"/>
          <w:szCs w:val="16"/>
        </w:rPr>
        <w:t>Cfr.</w:t>
      </w:r>
      <w:r w:rsidRPr="00432ABC">
        <w:rPr>
          <w:rFonts w:ascii="Verdana" w:hAnsi="Verdana"/>
          <w:i/>
          <w:sz w:val="16"/>
          <w:szCs w:val="16"/>
        </w:rPr>
        <w:t xml:space="preserve"> </w:t>
      </w:r>
      <w:r w:rsidRPr="00432ABC">
        <w:rPr>
          <w:rFonts w:ascii="Verdana" w:hAnsi="Verdana"/>
          <w:sz w:val="16"/>
          <w:szCs w:val="16"/>
        </w:rPr>
        <w:t>Declaración de Jens Pedro Lohmann Iturburu rendida el 18 de junio de 2013 ante la AMPF, en apoyo a la la 11ªAMPF – PGR (expediente de prueba, f. 28394)</w:t>
      </w:r>
    </w:p>
  </w:footnote>
  <w:footnote w:id="180">
    <w:p w14:paraId="64AA61E2" w14:textId="0EEEAC05" w:rsidR="00146958" w:rsidRPr="00432ABC" w:rsidRDefault="00146958">
      <w:pPr>
        <w:pStyle w:val="FootnoteText"/>
        <w:jc w:val="both"/>
        <w:rPr>
          <w:rFonts w:ascii="Verdana" w:hAnsi="Verdana"/>
          <w:b/>
          <w:sz w:val="16"/>
          <w:szCs w:val="16"/>
        </w:rPr>
      </w:pPr>
      <w:r w:rsidRPr="00432ABC">
        <w:rPr>
          <w:rStyle w:val="FootnoteReference"/>
          <w:rFonts w:ascii="Verdana" w:hAnsi="Verdana"/>
          <w:sz w:val="16"/>
          <w:szCs w:val="16"/>
        </w:rPr>
        <w:footnoteRef/>
      </w:r>
      <w:r w:rsidRPr="00432ABC">
        <w:rPr>
          <w:rFonts w:ascii="Verdana" w:hAnsi="Verdana"/>
          <w:sz w:val="16"/>
          <w:szCs w:val="16"/>
        </w:rPr>
        <w:t xml:space="preserve"> </w:t>
      </w:r>
      <w:r w:rsidRPr="00432ABC">
        <w:rPr>
          <w:rFonts w:ascii="Verdana" w:hAnsi="Verdana"/>
          <w:sz w:val="16"/>
          <w:szCs w:val="16"/>
        </w:rPr>
        <w:tab/>
      </w:r>
      <w:r w:rsidRPr="00CD5C54">
        <w:rPr>
          <w:rFonts w:ascii="Verdana" w:hAnsi="Verdana"/>
          <w:i/>
          <w:sz w:val="16"/>
          <w:szCs w:val="16"/>
        </w:rPr>
        <w:t>Cfr.</w:t>
      </w:r>
      <w:r w:rsidRPr="002C462C">
        <w:rPr>
          <w:rFonts w:ascii="Verdana" w:hAnsi="Verdana"/>
          <w:sz w:val="16"/>
          <w:szCs w:val="16"/>
        </w:rPr>
        <w:t xml:space="preserve"> Mensaje F.C.A. No. 030/GAO [págs. 2653 a 2656] de 15 de enero de 2010 suscrito por el Gral. De Bgda. D.E.M. Jens Pedro Lohmann Iturburu, Comandante de la Guarnición </w:t>
      </w:r>
      <w:r w:rsidRPr="00432ABC">
        <w:rPr>
          <w:rFonts w:ascii="Verdana" w:hAnsi="Verdana"/>
          <w:sz w:val="16"/>
          <w:szCs w:val="16"/>
        </w:rPr>
        <w:t>Militar de Palomas, Chihuahua, dirigido al Comandante de la 5ªZM</w:t>
      </w:r>
      <w:r w:rsidRPr="00432ABC" w:rsidDel="00071615">
        <w:rPr>
          <w:rFonts w:ascii="Verdana" w:hAnsi="Verdana"/>
          <w:sz w:val="16"/>
          <w:szCs w:val="16"/>
        </w:rPr>
        <w:t xml:space="preserve"> </w:t>
      </w:r>
      <w:r w:rsidRPr="00432ABC">
        <w:rPr>
          <w:rFonts w:ascii="Verdana" w:hAnsi="Verdana"/>
          <w:sz w:val="16"/>
          <w:szCs w:val="16"/>
        </w:rPr>
        <w:t xml:space="preserve">(expediente de prueba, ff. 28796 a 28799).  </w:t>
      </w:r>
    </w:p>
  </w:footnote>
  <w:footnote w:id="181">
    <w:p w14:paraId="64AA61E3" w14:textId="2EBBD573" w:rsidR="00146958" w:rsidRPr="00432ABC" w:rsidRDefault="00146958">
      <w:pPr>
        <w:pStyle w:val="FootnoteText"/>
        <w:jc w:val="both"/>
        <w:rPr>
          <w:rFonts w:ascii="Verdana" w:hAnsi="Verdana"/>
          <w:sz w:val="16"/>
          <w:szCs w:val="16"/>
        </w:rPr>
      </w:pPr>
      <w:r w:rsidRPr="00432ABC">
        <w:rPr>
          <w:rStyle w:val="FootnoteReference"/>
          <w:rFonts w:ascii="Verdana" w:hAnsi="Verdana"/>
          <w:sz w:val="16"/>
          <w:szCs w:val="16"/>
        </w:rPr>
        <w:footnoteRef/>
      </w:r>
      <w:r w:rsidRPr="00432ABC">
        <w:rPr>
          <w:rFonts w:ascii="Verdana" w:hAnsi="Verdana"/>
          <w:sz w:val="16"/>
          <w:szCs w:val="16"/>
        </w:rPr>
        <w:t xml:space="preserve">  </w:t>
      </w:r>
      <w:r w:rsidRPr="00432ABC">
        <w:rPr>
          <w:rFonts w:ascii="Verdana" w:hAnsi="Verdana"/>
          <w:sz w:val="16"/>
          <w:szCs w:val="16"/>
        </w:rPr>
        <w:tab/>
        <w:t>María de Jesús Alvarado declaró ante la Corte que la visita realizada al 35 Batallón por el General</w:t>
      </w:r>
      <w:r w:rsidRPr="002C462C">
        <w:rPr>
          <w:rFonts w:ascii="Verdana" w:hAnsi="Verdana"/>
          <w:sz w:val="16"/>
          <w:szCs w:val="16"/>
        </w:rPr>
        <w:t xml:space="preserve"> Jens Pedro Lohmann en compañía de los familiares</w:t>
      </w:r>
      <w:r w:rsidRPr="00432ABC">
        <w:rPr>
          <w:rFonts w:ascii="Verdana" w:hAnsi="Verdana"/>
          <w:b/>
          <w:sz w:val="16"/>
          <w:szCs w:val="16"/>
        </w:rPr>
        <w:t xml:space="preserve"> </w:t>
      </w:r>
      <w:r w:rsidRPr="00432ABC">
        <w:rPr>
          <w:rFonts w:ascii="Verdana" w:hAnsi="Verdana"/>
          <w:sz w:val="16"/>
          <w:szCs w:val="16"/>
        </w:rPr>
        <w:t>tuvo lugar el 8 de enero de 2010. Sin embargo, en su declaración ante el AMPF, el General Jens Lohmann se</w:t>
      </w:r>
      <w:r w:rsidRPr="00432ABC">
        <w:rPr>
          <w:rFonts w:ascii="Verdana" w:hAnsi="Verdana" w:cs="Arial"/>
          <w:sz w:val="16"/>
          <w:szCs w:val="16"/>
        </w:rPr>
        <w:t>ñaló</w:t>
      </w:r>
      <w:r w:rsidRPr="00432ABC">
        <w:rPr>
          <w:rFonts w:ascii="Verdana" w:hAnsi="Verdana"/>
          <w:sz w:val="16"/>
          <w:szCs w:val="16"/>
        </w:rPr>
        <w:t xml:space="preserve"> que dicho encuentro se verificó el 9 de febrero de 2010. </w:t>
      </w:r>
      <w:r w:rsidRPr="00CD5C54">
        <w:rPr>
          <w:rFonts w:ascii="Verdana" w:hAnsi="Verdana"/>
          <w:i/>
          <w:sz w:val="16"/>
          <w:szCs w:val="16"/>
        </w:rPr>
        <w:t>Cfr.</w:t>
      </w:r>
      <w:r w:rsidRPr="00432ABC">
        <w:rPr>
          <w:rFonts w:ascii="Verdana" w:hAnsi="Verdana"/>
          <w:sz w:val="16"/>
          <w:szCs w:val="16"/>
        </w:rPr>
        <w:t xml:space="preserve"> Declaración rendida</w:t>
      </w:r>
      <w:r>
        <w:rPr>
          <w:rFonts w:ascii="Verdana" w:hAnsi="Verdana"/>
          <w:sz w:val="16"/>
          <w:szCs w:val="16"/>
        </w:rPr>
        <w:t xml:space="preserve"> en la Audiencia Pública</w:t>
      </w:r>
      <w:r w:rsidRPr="00432ABC">
        <w:rPr>
          <w:rFonts w:ascii="Verdana" w:hAnsi="Verdana"/>
          <w:sz w:val="16"/>
          <w:szCs w:val="16"/>
        </w:rPr>
        <w:t xml:space="preserve"> ante la Corte por María de Jesús Alvarado Espinoza, </w:t>
      </w:r>
      <w:r w:rsidRPr="00432ABC">
        <w:rPr>
          <w:rFonts w:ascii="Verdana" w:hAnsi="Verdana"/>
          <w:i/>
          <w:sz w:val="16"/>
          <w:szCs w:val="16"/>
        </w:rPr>
        <w:t xml:space="preserve">supra, </w:t>
      </w:r>
      <w:r w:rsidRPr="00432ABC">
        <w:rPr>
          <w:rFonts w:ascii="Verdana" w:hAnsi="Verdana"/>
          <w:sz w:val="16"/>
          <w:szCs w:val="16"/>
        </w:rPr>
        <w:t xml:space="preserve">pág. 11, y Declaración de Jens Pedro Lohmann Iturburu rendida el 18 de junio de 2013 ante la la 11ªAMPF – PGR, </w:t>
      </w:r>
      <w:r w:rsidRPr="00432ABC">
        <w:rPr>
          <w:rFonts w:ascii="Verdana" w:hAnsi="Verdana"/>
          <w:i/>
          <w:sz w:val="16"/>
          <w:szCs w:val="16"/>
        </w:rPr>
        <w:t xml:space="preserve">supra </w:t>
      </w:r>
      <w:r>
        <w:rPr>
          <w:rFonts w:ascii="Verdana" w:hAnsi="Verdana"/>
          <w:sz w:val="16"/>
          <w:szCs w:val="16"/>
        </w:rPr>
        <w:t xml:space="preserve">(expediente de prueba, </w:t>
      </w:r>
      <w:r w:rsidRPr="00432ABC">
        <w:rPr>
          <w:rFonts w:ascii="Verdana" w:hAnsi="Verdana"/>
          <w:sz w:val="16"/>
          <w:szCs w:val="16"/>
        </w:rPr>
        <w:t>f. 28394</w:t>
      </w:r>
      <w:r>
        <w:rPr>
          <w:rFonts w:ascii="Verdana" w:hAnsi="Verdana"/>
          <w:sz w:val="16"/>
          <w:szCs w:val="16"/>
        </w:rPr>
        <w:t>)</w:t>
      </w:r>
      <w:r w:rsidRPr="00432ABC">
        <w:rPr>
          <w:rFonts w:ascii="Verdana" w:hAnsi="Verdana"/>
          <w:sz w:val="16"/>
          <w:szCs w:val="16"/>
        </w:rPr>
        <w:t xml:space="preserve">.  </w:t>
      </w:r>
    </w:p>
  </w:footnote>
  <w:footnote w:id="182">
    <w:p w14:paraId="64AA61E4" w14:textId="083B8BC9" w:rsidR="00146958" w:rsidRPr="00432ABC" w:rsidRDefault="00146958">
      <w:pPr>
        <w:pStyle w:val="FootnoteText"/>
        <w:jc w:val="both"/>
        <w:rPr>
          <w:rFonts w:ascii="Verdana" w:hAnsi="Verdana"/>
          <w:sz w:val="16"/>
          <w:szCs w:val="16"/>
          <w:highlight w:val="green"/>
        </w:rPr>
      </w:pPr>
      <w:r w:rsidRPr="00432ABC">
        <w:rPr>
          <w:rStyle w:val="FootnoteReference"/>
          <w:rFonts w:ascii="Verdana" w:hAnsi="Verdana"/>
          <w:sz w:val="16"/>
          <w:szCs w:val="16"/>
        </w:rPr>
        <w:footnoteRef/>
      </w:r>
      <w:r w:rsidRPr="00432ABC">
        <w:rPr>
          <w:rFonts w:ascii="Verdana" w:hAnsi="Verdana"/>
          <w:sz w:val="16"/>
          <w:szCs w:val="16"/>
        </w:rPr>
        <w:t xml:space="preserve"> </w:t>
      </w:r>
      <w:r w:rsidRPr="00432ABC">
        <w:rPr>
          <w:rFonts w:ascii="Verdana" w:hAnsi="Verdana"/>
          <w:sz w:val="16"/>
          <w:szCs w:val="16"/>
        </w:rPr>
        <w:tab/>
      </w:r>
      <w:r w:rsidRPr="00CD5C54">
        <w:rPr>
          <w:rFonts w:ascii="Verdana" w:hAnsi="Verdana"/>
          <w:i/>
          <w:sz w:val="16"/>
          <w:szCs w:val="16"/>
        </w:rPr>
        <w:t>Cfr.</w:t>
      </w:r>
      <w:r w:rsidRPr="002C462C">
        <w:rPr>
          <w:rFonts w:ascii="Verdana" w:hAnsi="Verdana"/>
          <w:sz w:val="16"/>
          <w:szCs w:val="16"/>
        </w:rPr>
        <w:t xml:space="preserve"> Declaración rendida </w:t>
      </w:r>
      <w:r>
        <w:rPr>
          <w:rFonts w:ascii="Verdana" w:hAnsi="Verdana"/>
          <w:sz w:val="16"/>
          <w:szCs w:val="16"/>
        </w:rPr>
        <w:t>en la Audiencia Pública</w:t>
      </w:r>
      <w:r w:rsidRPr="002C462C">
        <w:rPr>
          <w:rFonts w:ascii="Verdana" w:hAnsi="Verdana"/>
          <w:sz w:val="16"/>
          <w:szCs w:val="16"/>
        </w:rPr>
        <w:t xml:space="preserve"> ante la Corte por María de Jes</w:t>
      </w:r>
      <w:r w:rsidRPr="00432ABC">
        <w:rPr>
          <w:rFonts w:ascii="Verdana" w:hAnsi="Verdana"/>
          <w:sz w:val="16"/>
          <w:szCs w:val="16"/>
        </w:rPr>
        <w:t xml:space="preserve">ús Alvarado Espinoza en la, </w:t>
      </w:r>
      <w:r w:rsidRPr="00432ABC">
        <w:rPr>
          <w:rFonts w:ascii="Verdana" w:hAnsi="Verdana"/>
          <w:i/>
          <w:sz w:val="16"/>
          <w:szCs w:val="16"/>
        </w:rPr>
        <w:t xml:space="preserve">supra, </w:t>
      </w:r>
      <w:r w:rsidRPr="00432ABC">
        <w:rPr>
          <w:rFonts w:ascii="Verdana" w:hAnsi="Verdana"/>
          <w:sz w:val="16"/>
          <w:szCs w:val="16"/>
        </w:rPr>
        <w:t xml:space="preserve">pág. 11; Declaración rendida por Obdulia Espinoza Beltrán el 19 de abril de 2018, </w:t>
      </w:r>
      <w:r w:rsidRPr="00432ABC">
        <w:rPr>
          <w:rFonts w:ascii="Verdana" w:hAnsi="Verdana"/>
          <w:i/>
          <w:sz w:val="16"/>
          <w:szCs w:val="16"/>
        </w:rPr>
        <w:t>supra</w:t>
      </w:r>
      <w:r>
        <w:rPr>
          <w:rFonts w:ascii="Verdana" w:hAnsi="Verdana"/>
          <w:i/>
          <w:sz w:val="16"/>
          <w:szCs w:val="16"/>
        </w:rPr>
        <w:t xml:space="preserve"> </w:t>
      </w:r>
      <w:r>
        <w:rPr>
          <w:rFonts w:ascii="Verdana" w:hAnsi="Verdana"/>
          <w:sz w:val="16"/>
          <w:szCs w:val="16"/>
        </w:rPr>
        <w:t xml:space="preserve">(expediente de prueba, </w:t>
      </w:r>
      <w:r w:rsidRPr="00453199">
        <w:rPr>
          <w:rFonts w:ascii="Verdana" w:hAnsi="Verdana"/>
          <w:i/>
          <w:sz w:val="16"/>
          <w:szCs w:val="16"/>
        </w:rPr>
        <w:t>Affidávits</w:t>
      </w:r>
      <w:r>
        <w:rPr>
          <w:rFonts w:ascii="Verdana" w:hAnsi="Verdana"/>
          <w:sz w:val="16"/>
          <w:szCs w:val="16"/>
        </w:rPr>
        <w:t xml:space="preserve">, </w:t>
      </w:r>
      <w:r w:rsidRPr="00432ABC">
        <w:rPr>
          <w:rFonts w:ascii="Verdana" w:hAnsi="Verdana"/>
          <w:sz w:val="16"/>
          <w:szCs w:val="16"/>
        </w:rPr>
        <w:t>f. 30912</w:t>
      </w:r>
      <w:r>
        <w:rPr>
          <w:rFonts w:ascii="Verdana" w:hAnsi="Verdana"/>
          <w:sz w:val="16"/>
          <w:szCs w:val="16"/>
        </w:rPr>
        <w:t>)</w:t>
      </w:r>
      <w:r w:rsidRPr="00432ABC">
        <w:rPr>
          <w:rFonts w:ascii="Verdana" w:hAnsi="Verdana"/>
          <w:sz w:val="16"/>
          <w:szCs w:val="16"/>
        </w:rPr>
        <w:t xml:space="preserve">, y Declaración rendida por Rosa Olivia Alvarado Herrera el 18 de abril de 2018 (expediente de prueba, </w:t>
      </w:r>
      <w:r w:rsidRPr="00453199">
        <w:rPr>
          <w:rFonts w:ascii="Verdana" w:hAnsi="Verdana"/>
          <w:i/>
          <w:sz w:val="16"/>
        </w:rPr>
        <w:t>Affidávits</w:t>
      </w:r>
      <w:r w:rsidRPr="00432ABC">
        <w:rPr>
          <w:rFonts w:ascii="Verdana" w:hAnsi="Verdana"/>
          <w:sz w:val="16"/>
          <w:szCs w:val="16"/>
        </w:rPr>
        <w:t>, f. 30922).</w:t>
      </w:r>
    </w:p>
  </w:footnote>
  <w:footnote w:id="183">
    <w:p w14:paraId="64AA61E5" w14:textId="3D7E6AC5" w:rsidR="00146958" w:rsidRPr="00432ABC" w:rsidRDefault="00146958">
      <w:pPr>
        <w:pStyle w:val="FootnoteText"/>
        <w:jc w:val="both"/>
        <w:rPr>
          <w:rFonts w:ascii="Verdana" w:hAnsi="Verdana"/>
          <w:sz w:val="16"/>
          <w:szCs w:val="16"/>
          <w:highlight w:val="green"/>
        </w:rPr>
      </w:pPr>
      <w:r w:rsidRPr="00432ABC">
        <w:rPr>
          <w:rStyle w:val="FootnoteReference"/>
          <w:rFonts w:ascii="Verdana" w:hAnsi="Verdana"/>
          <w:sz w:val="16"/>
          <w:szCs w:val="16"/>
        </w:rPr>
        <w:footnoteRef/>
      </w:r>
      <w:r w:rsidRPr="00432ABC">
        <w:rPr>
          <w:rFonts w:ascii="Verdana" w:hAnsi="Verdana"/>
          <w:sz w:val="16"/>
          <w:szCs w:val="16"/>
        </w:rPr>
        <w:t xml:space="preserve"> </w:t>
      </w:r>
      <w:r w:rsidRPr="00432ABC">
        <w:rPr>
          <w:rFonts w:ascii="Verdana" w:hAnsi="Verdana"/>
          <w:sz w:val="16"/>
          <w:szCs w:val="16"/>
        </w:rPr>
        <w:tab/>
      </w:r>
      <w:r w:rsidRPr="00CD5C54">
        <w:rPr>
          <w:rFonts w:ascii="Verdana" w:hAnsi="Verdana"/>
          <w:i/>
          <w:sz w:val="16"/>
          <w:szCs w:val="16"/>
        </w:rPr>
        <w:t>Cfr.</w:t>
      </w:r>
      <w:r w:rsidRPr="002C462C">
        <w:rPr>
          <w:rFonts w:ascii="Verdana" w:hAnsi="Verdana"/>
          <w:sz w:val="16"/>
          <w:szCs w:val="16"/>
        </w:rPr>
        <w:t xml:space="preserve"> Mensaje C.E.I. No. 929 de 15 de enero de 2010 suscrito por el Coronel de Infantería Élfego José Luján Ruiz, Comandante del 35 Batallón de Infantería, dirigido al Comandante de la 5ªZ</w:t>
      </w:r>
      <w:r w:rsidRPr="00432ABC">
        <w:rPr>
          <w:rFonts w:ascii="Verdana" w:hAnsi="Verdana"/>
          <w:sz w:val="16"/>
          <w:szCs w:val="16"/>
        </w:rPr>
        <w:t>M</w:t>
      </w:r>
      <w:r w:rsidRPr="00432ABC" w:rsidDel="00071615">
        <w:rPr>
          <w:rFonts w:ascii="Verdana" w:hAnsi="Verdana"/>
          <w:sz w:val="16"/>
          <w:szCs w:val="16"/>
        </w:rPr>
        <w:t xml:space="preserve"> </w:t>
      </w:r>
      <w:r w:rsidRPr="00432ABC">
        <w:rPr>
          <w:rFonts w:ascii="Verdana" w:hAnsi="Verdana"/>
          <w:sz w:val="16"/>
          <w:szCs w:val="16"/>
        </w:rPr>
        <w:t xml:space="preserve">(expediente de prueba, </w:t>
      </w:r>
      <w:r>
        <w:rPr>
          <w:rFonts w:ascii="Verdana" w:hAnsi="Verdana"/>
          <w:sz w:val="16"/>
          <w:szCs w:val="16"/>
        </w:rPr>
        <w:t>e</w:t>
      </w:r>
      <w:r w:rsidRPr="00432ABC">
        <w:rPr>
          <w:rFonts w:ascii="Verdana" w:hAnsi="Verdana"/>
          <w:sz w:val="16"/>
          <w:szCs w:val="16"/>
        </w:rPr>
        <w:t xml:space="preserve">xpediente penal, f. 5610). </w:t>
      </w:r>
    </w:p>
  </w:footnote>
  <w:footnote w:id="184">
    <w:p w14:paraId="64AA61E6" w14:textId="712FC581" w:rsidR="00146958" w:rsidRPr="00432ABC" w:rsidRDefault="00146958">
      <w:pPr>
        <w:pStyle w:val="FootnoteText"/>
        <w:jc w:val="both"/>
        <w:rPr>
          <w:rFonts w:ascii="Verdana" w:hAnsi="Verdana"/>
          <w:sz w:val="16"/>
          <w:szCs w:val="16"/>
        </w:rPr>
      </w:pPr>
      <w:r w:rsidRPr="00432ABC">
        <w:rPr>
          <w:rStyle w:val="FootnoteReference"/>
          <w:rFonts w:ascii="Verdana" w:hAnsi="Verdana"/>
          <w:sz w:val="16"/>
          <w:szCs w:val="16"/>
        </w:rPr>
        <w:footnoteRef/>
      </w:r>
      <w:r w:rsidRPr="00432ABC">
        <w:rPr>
          <w:rFonts w:ascii="Verdana" w:hAnsi="Verdana"/>
          <w:sz w:val="16"/>
          <w:szCs w:val="16"/>
        </w:rPr>
        <w:t xml:space="preserve"> </w:t>
      </w:r>
      <w:r w:rsidRPr="00432ABC">
        <w:rPr>
          <w:rFonts w:ascii="Verdana" w:hAnsi="Verdana"/>
          <w:sz w:val="16"/>
          <w:szCs w:val="16"/>
        </w:rPr>
        <w:tab/>
      </w:r>
      <w:r w:rsidRPr="00CD5C54">
        <w:rPr>
          <w:rFonts w:ascii="Verdana" w:hAnsi="Verdana"/>
          <w:i/>
          <w:sz w:val="16"/>
          <w:szCs w:val="16"/>
        </w:rPr>
        <w:t>Cfr.</w:t>
      </w:r>
      <w:r w:rsidRPr="002C462C">
        <w:rPr>
          <w:rFonts w:ascii="Verdana" w:hAnsi="Verdana"/>
          <w:i/>
          <w:sz w:val="16"/>
          <w:szCs w:val="16"/>
        </w:rPr>
        <w:t xml:space="preserve"> </w:t>
      </w:r>
      <w:r w:rsidRPr="002C462C">
        <w:rPr>
          <w:rFonts w:ascii="Verdana" w:hAnsi="Verdana"/>
          <w:sz w:val="16"/>
          <w:szCs w:val="16"/>
        </w:rPr>
        <w:t xml:space="preserve">Mensaje F.C.A. No. 030/GAO [págs. 2653 a 2656] de 15 de enero de 2010 suscrito por el Comandante de la Guarnición Militar de Palomas, Chihuahua, dirigido al Comandante de la 5ªZM, </w:t>
      </w:r>
      <w:r w:rsidRPr="00432ABC">
        <w:rPr>
          <w:rFonts w:ascii="Verdana" w:hAnsi="Verdana"/>
          <w:i/>
          <w:sz w:val="16"/>
          <w:szCs w:val="16"/>
        </w:rPr>
        <w:t>supra</w:t>
      </w:r>
      <w:r>
        <w:rPr>
          <w:rFonts w:ascii="Verdana" w:hAnsi="Verdana"/>
          <w:i/>
          <w:sz w:val="16"/>
          <w:szCs w:val="16"/>
        </w:rPr>
        <w:t xml:space="preserve"> </w:t>
      </w:r>
      <w:r>
        <w:rPr>
          <w:rFonts w:ascii="Verdana" w:hAnsi="Verdana"/>
          <w:sz w:val="16"/>
          <w:szCs w:val="16"/>
        </w:rPr>
        <w:t xml:space="preserve">(expediente de prueba, </w:t>
      </w:r>
      <w:r w:rsidRPr="00432ABC">
        <w:rPr>
          <w:rFonts w:ascii="Verdana" w:hAnsi="Verdana"/>
          <w:sz w:val="16"/>
          <w:szCs w:val="16"/>
        </w:rPr>
        <w:t xml:space="preserve">f. 28796), y Declaración de Jens Pedro Lohmann Iturburu rendida el 18 de junio de 2013 ante la 11ªAMPF – PGR, </w:t>
      </w:r>
      <w:r w:rsidRPr="00432ABC">
        <w:rPr>
          <w:rFonts w:ascii="Verdana" w:hAnsi="Verdana"/>
          <w:i/>
          <w:sz w:val="16"/>
          <w:szCs w:val="16"/>
        </w:rPr>
        <w:t>supra</w:t>
      </w:r>
      <w:r>
        <w:rPr>
          <w:rFonts w:ascii="Verdana" w:hAnsi="Verdana"/>
          <w:i/>
          <w:sz w:val="16"/>
          <w:szCs w:val="16"/>
        </w:rPr>
        <w:t xml:space="preserve"> </w:t>
      </w:r>
      <w:r>
        <w:rPr>
          <w:rFonts w:ascii="Verdana" w:hAnsi="Verdana"/>
          <w:sz w:val="16"/>
          <w:szCs w:val="16"/>
        </w:rPr>
        <w:t xml:space="preserve">(expediente de prueba, </w:t>
      </w:r>
      <w:r w:rsidRPr="00432ABC">
        <w:rPr>
          <w:rFonts w:ascii="Verdana" w:hAnsi="Verdana"/>
          <w:sz w:val="16"/>
          <w:szCs w:val="16"/>
        </w:rPr>
        <w:t>ff. 28394 a 28396</w:t>
      </w:r>
      <w:r>
        <w:rPr>
          <w:rFonts w:ascii="Verdana" w:hAnsi="Verdana"/>
          <w:sz w:val="16"/>
          <w:szCs w:val="16"/>
        </w:rPr>
        <w:t>)</w:t>
      </w:r>
      <w:r w:rsidRPr="00432ABC">
        <w:rPr>
          <w:rFonts w:ascii="Verdana" w:hAnsi="Verdana"/>
          <w:sz w:val="16"/>
          <w:szCs w:val="16"/>
        </w:rPr>
        <w:t xml:space="preserve">. En su declaración rendida el 18 de junio de 2010 ante el AMPM – 5ªZM, el Mayor de Infantería Manuel Gutiérrez Reyes declaró que nunca tuvo conocimiento del supuesto aseguramiento de la camioneta de Nitza Paola Alvarado y “mucho menos” </w:t>
      </w:r>
      <w:r>
        <w:rPr>
          <w:rFonts w:ascii="Verdana" w:hAnsi="Verdana"/>
          <w:sz w:val="16"/>
          <w:szCs w:val="16"/>
        </w:rPr>
        <w:t xml:space="preserve">de que </w:t>
      </w:r>
      <w:r w:rsidRPr="00432ABC">
        <w:rPr>
          <w:rFonts w:ascii="Verdana" w:hAnsi="Verdana"/>
          <w:sz w:val="16"/>
          <w:szCs w:val="16"/>
        </w:rPr>
        <w:t xml:space="preserve">dicho vehículo estuvo en las instalaciones del 35 Batallón de Infantería. Por el contrario, en su declaración rendida ante la Corte, María de Jesús Alvarado señaló que a pregunta expresa formulada por el General Jens Lohmann al “Teniente” Manuel Gutiérrez sobre la eventual participación de personal castrense del 35 Batallón en el aseguramiento de la camioneta de Nitza Paola Alvarado, éste habría contestado: “sí, nosotros tuvimos esta camioneta, nosotros la teníamos en el cuartel y la pusimos a disposición aquí”. </w:t>
      </w:r>
      <w:r w:rsidRPr="00CD5C54">
        <w:rPr>
          <w:rFonts w:ascii="Verdana" w:hAnsi="Verdana"/>
          <w:i/>
          <w:sz w:val="16"/>
          <w:szCs w:val="16"/>
        </w:rPr>
        <w:t>Cfr.</w:t>
      </w:r>
      <w:r w:rsidRPr="00432ABC">
        <w:rPr>
          <w:rFonts w:ascii="Verdana" w:hAnsi="Verdana"/>
          <w:sz w:val="16"/>
          <w:szCs w:val="16"/>
        </w:rPr>
        <w:t xml:space="preserve"> Declaración de Manuel Gutiérrez Reyes rendida el 18 de junio de 2010 ante el AMPM – 5ªZM (expediente de prueba, </w:t>
      </w:r>
      <w:r>
        <w:rPr>
          <w:rFonts w:ascii="Verdana" w:hAnsi="Verdana"/>
          <w:sz w:val="16"/>
          <w:szCs w:val="16"/>
        </w:rPr>
        <w:t>e</w:t>
      </w:r>
      <w:r w:rsidRPr="00432ABC">
        <w:rPr>
          <w:rFonts w:ascii="Verdana" w:hAnsi="Verdana"/>
          <w:sz w:val="16"/>
          <w:szCs w:val="16"/>
        </w:rPr>
        <w:t>xpediente penal, f</w:t>
      </w:r>
      <w:r>
        <w:rPr>
          <w:rFonts w:ascii="Verdana" w:hAnsi="Verdana"/>
          <w:sz w:val="16"/>
          <w:szCs w:val="16"/>
        </w:rPr>
        <w:t>f</w:t>
      </w:r>
      <w:r w:rsidRPr="00432ABC">
        <w:rPr>
          <w:rFonts w:ascii="Verdana" w:hAnsi="Verdana"/>
          <w:sz w:val="16"/>
          <w:szCs w:val="16"/>
        </w:rPr>
        <w:t xml:space="preserve">.7427 a 7428), y Declaración rendida </w:t>
      </w:r>
      <w:r>
        <w:rPr>
          <w:rFonts w:ascii="Verdana" w:hAnsi="Verdana"/>
          <w:sz w:val="16"/>
          <w:szCs w:val="16"/>
        </w:rPr>
        <w:t>en la Audiencia Pública</w:t>
      </w:r>
      <w:r w:rsidRPr="00432ABC">
        <w:rPr>
          <w:rFonts w:ascii="Verdana" w:hAnsi="Verdana"/>
          <w:sz w:val="16"/>
          <w:szCs w:val="16"/>
        </w:rPr>
        <w:t xml:space="preserve"> ante la Corte por María de Jesús Alvarado Espinoza, </w:t>
      </w:r>
      <w:r w:rsidRPr="00432ABC">
        <w:rPr>
          <w:rFonts w:ascii="Verdana" w:hAnsi="Verdana"/>
          <w:i/>
          <w:sz w:val="16"/>
          <w:szCs w:val="16"/>
        </w:rPr>
        <w:t xml:space="preserve">supra, </w:t>
      </w:r>
      <w:r w:rsidRPr="00432ABC">
        <w:rPr>
          <w:rFonts w:ascii="Verdana" w:hAnsi="Verdana"/>
          <w:sz w:val="16"/>
          <w:szCs w:val="16"/>
        </w:rPr>
        <w:t xml:space="preserve">pág. 11.  </w:t>
      </w:r>
    </w:p>
  </w:footnote>
  <w:footnote w:id="185">
    <w:p w14:paraId="64AA61E7" w14:textId="6092A998" w:rsidR="00146958" w:rsidRPr="00432ABC" w:rsidRDefault="00146958">
      <w:pPr>
        <w:pStyle w:val="FootnoteText"/>
        <w:jc w:val="both"/>
        <w:rPr>
          <w:rFonts w:ascii="Verdana" w:hAnsi="Verdana"/>
          <w:sz w:val="16"/>
          <w:szCs w:val="16"/>
        </w:rPr>
      </w:pPr>
      <w:r w:rsidRPr="00432ABC">
        <w:rPr>
          <w:rStyle w:val="FootnoteReference"/>
          <w:rFonts w:ascii="Verdana" w:hAnsi="Verdana"/>
          <w:sz w:val="16"/>
          <w:szCs w:val="16"/>
        </w:rPr>
        <w:footnoteRef/>
      </w:r>
      <w:r w:rsidRPr="00432ABC">
        <w:rPr>
          <w:rFonts w:ascii="Verdana" w:hAnsi="Verdana"/>
          <w:sz w:val="16"/>
          <w:szCs w:val="16"/>
        </w:rPr>
        <w:t xml:space="preserve"> </w:t>
      </w:r>
      <w:r w:rsidRPr="00432ABC">
        <w:rPr>
          <w:rFonts w:ascii="Verdana" w:hAnsi="Verdana"/>
          <w:sz w:val="16"/>
          <w:szCs w:val="16"/>
        </w:rPr>
        <w:tab/>
      </w:r>
      <w:r w:rsidRPr="00CD5C54">
        <w:rPr>
          <w:rFonts w:ascii="Verdana" w:hAnsi="Verdana"/>
          <w:i/>
          <w:sz w:val="16"/>
          <w:szCs w:val="16"/>
        </w:rPr>
        <w:t>Cfr.</w:t>
      </w:r>
      <w:r w:rsidRPr="002C462C">
        <w:rPr>
          <w:rFonts w:ascii="Verdana" w:hAnsi="Verdana"/>
          <w:sz w:val="16"/>
          <w:szCs w:val="16"/>
        </w:rPr>
        <w:t xml:space="preserve"> Declaración rendida </w:t>
      </w:r>
      <w:r>
        <w:rPr>
          <w:rFonts w:ascii="Verdana" w:hAnsi="Verdana"/>
          <w:sz w:val="16"/>
          <w:szCs w:val="16"/>
        </w:rPr>
        <w:t>en la Audiencia Pública</w:t>
      </w:r>
      <w:r w:rsidRPr="002C462C">
        <w:rPr>
          <w:rFonts w:ascii="Verdana" w:hAnsi="Verdana"/>
          <w:sz w:val="16"/>
          <w:szCs w:val="16"/>
        </w:rPr>
        <w:t xml:space="preserve"> ante la Corte por María de Jesús Alvarado Espinoza, </w:t>
      </w:r>
      <w:r w:rsidRPr="00432ABC">
        <w:rPr>
          <w:rFonts w:ascii="Verdana" w:hAnsi="Verdana"/>
          <w:i/>
          <w:sz w:val="16"/>
          <w:szCs w:val="16"/>
        </w:rPr>
        <w:t xml:space="preserve">supra, </w:t>
      </w:r>
      <w:r w:rsidRPr="00432ABC">
        <w:rPr>
          <w:rFonts w:ascii="Verdana" w:hAnsi="Verdana"/>
          <w:sz w:val="16"/>
          <w:szCs w:val="16"/>
        </w:rPr>
        <w:t xml:space="preserve">pág. 11, Mensaje F.C.A. No. 68 de 9 de enero de 2010 suscrito por el Comandante de la 5ªZM, dirigido al Comandante de la XI Región Militar (expediente de prueba, </w:t>
      </w:r>
      <w:r>
        <w:rPr>
          <w:rFonts w:ascii="Verdana" w:hAnsi="Verdana"/>
          <w:sz w:val="16"/>
          <w:szCs w:val="16"/>
        </w:rPr>
        <w:t>e</w:t>
      </w:r>
      <w:r w:rsidRPr="00432ABC">
        <w:rPr>
          <w:rFonts w:ascii="Verdana" w:hAnsi="Verdana"/>
          <w:sz w:val="16"/>
          <w:szCs w:val="16"/>
        </w:rPr>
        <w:t>xpediente penal, f.5330), e Informe de la División de Investigación de la Policía Federal de 4 de enero de 2011 (expediente de prueba, f.288)</w:t>
      </w:r>
    </w:p>
  </w:footnote>
  <w:footnote w:id="186">
    <w:p w14:paraId="64AA61E8" w14:textId="787B0CD0" w:rsidR="00146958" w:rsidRPr="00432ABC" w:rsidRDefault="00146958">
      <w:pPr>
        <w:pStyle w:val="FootnoteText"/>
        <w:jc w:val="both"/>
        <w:rPr>
          <w:rFonts w:ascii="Verdana" w:hAnsi="Verdana" w:cs="Arial"/>
          <w:sz w:val="16"/>
          <w:szCs w:val="16"/>
        </w:rPr>
      </w:pPr>
      <w:r w:rsidRPr="00432ABC">
        <w:rPr>
          <w:rStyle w:val="FootnoteReference"/>
          <w:rFonts w:ascii="Verdana" w:hAnsi="Verdana"/>
          <w:sz w:val="16"/>
          <w:szCs w:val="16"/>
        </w:rPr>
        <w:footnoteRef/>
      </w:r>
      <w:r w:rsidRPr="00432ABC">
        <w:rPr>
          <w:rFonts w:ascii="Verdana" w:hAnsi="Verdana"/>
          <w:sz w:val="16"/>
          <w:szCs w:val="16"/>
        </w:rPr>
        <w:t xml:space="preserve"> </w:t>
      </w:r>
      <w:r w:rsidRPr="00432ABC">
        <w:rPr>
          <w:rFonts w:ascii="Verdana" w:hAnsi="Verdana"/>
          <w:sz w:val="16"/>
          <w:szCs w:val="16"/>
        </w:rPr>
        <w:tab/>
      </w:r>
      <w:r w:rsidRPr="00CD5C54">
        <w:rPr>
          <w:rFonts w:ascii="Verdana" w:hAnsi="Verdana"/>
          <w:i/>
          <w:sz w:val="16"/>
          <w:szCs w:val="16"/>
        </w:rPr>
        <w:t>Cfr.</w:t>
      </w:r>
      <w:r w:rsidRPr="002C462C">
        <w:rPr>
          <w:rFonts w:ascii="Verdana" w:hAnsi="Verdana"/>
          <w:sz w:val="16"/>
          <w:szCs w:val="16"/>
        </w:rPr>
        <w:t xml:space="preserve"> Declaración rendida </w:t>
      </w:r>
      <w:r>
        <w:rPr>
          <w:rFonts w:ascii="Verdana" w:hAnsi="Verdana"/>
          <w:sz w:val="16"/>
          <w:szCs w:val="16"/>
        </w:rPr>
        <w:t>en la Audiencia Pública</w:t>
      </w:r>
      <w:r w:rsidRPr="002C462C">
        <w:rPr>
          <w:rFonts w:ascii="Verdana" w:hAnsi="Verdana"/>
          <w:sz w:val="16"/>
          <w:szCs w:val="16"/>
        </w:rPr>
        <w:t xml:space="preserve"> ante la Corte por María de Jesús Alvarado Espinoza, </w:t>
      </w:r>
      <w:r w:rsidRPr="00432ABC">
        <w:rPr>
          <w:rFonts w:ascii="Verdana" w:hAnsi="Verdana"/>
          <w:i/>
          <w:sz w:val="16"/>
          <w:szCs w:val="16"/>
        </w:rPr>
        <w:t xml:space="preserve">supra, </w:t>
      </w:r>
      <w:r w:rsidRPr="00432ABC">
        <w:rPr>
          <w:rFonts w:ascii="Verdana" w:hAnsi="Verdana"/>
          <w:sz w:val="16"/>
          <w:szCs w:val="16"/>
        </w:rPr>
        <w:t>pág. 12; Informe de la División de Investigación de la Policía Federal dirigido al AMPF</w:t>
      </w:r>
      <w:r w:rsidRPr="00432ABC">
        <w:rPr>
          <w:rFonts w:ascii="Verdana" w:hAnsi="Verdana" w:cs="Arial"/>
          <w:sz w:val="16"/>
          <w:szCs w:val="16"/>
        </w:rPr>
        <w:t xml:space="preserve"> el 4 de enero de 2011, </w:t>
      </w:r>
      <w:r w:rsidRPr="00432ABC">
        <w:rPr>
          <w:rFonts w:ascii="Verdana" w:hAnsi="Verdana" w:cs="Arial"/>
          <w:i/>
          <w:sz w:val="16"/>
          <w:szCs w:val="16"/>
        </w:rPr>
        <w:t>supra</w:t>
      </w:r>
      <w:r>
        <w:rPr>
          <w:rFonts w:ascii="Verdana" w:hAnsi="Verdana" w:cs="Arial"/>
          <w:sz w:val="16"/>
          <w:szCs w:val="16"/>
        </w:rPr>
        <w:t xml:space="preserve"> (expediente de prueba, </w:t>
      </w:r>
      <w:r w:rsidRPr="00432ABC">
        <w:rPr>
          <w:rFonts w:ascii="Verdana" w:hAnsi="Verdana" w:cs="Arial"/>
          <w:sz w:val="16"/>
          <w:szCs w:val="16"/>
        </w:rPr>
        <w:t>f.288</w:t>
      </w:r>
      <w:r>
        <w:rPr>
          <w:rFonts w:ascii="Verdana" w:hAnsi="Verdana" w:cs="Arial"/>
          <w:sz w:val="16"/>
          <w:szCs w:val="16"/>
        </w:rPr>
        <w:t>)</w:t>
      </w:r>
      <w:r w:rsidRPr="00432ABC">
        <w:rPr>
          <w:rFonts w:ascii="Verdana" w:hAnsi="Verdana" w:cs="Arial"/>
          <w:sz w:val="16"/>
          <w:szCs w:val="16"/>
        </w:rPr>
        <w:t xml:space="preserve">; </w:t>
      </w:r>
      <w:r w:rsidRPr="00432ABC">
        <w:rPr>
          <w:rFonts w:ascii="Verdana" w:hAnsi="Verdana"/>
          <w:sz w:val="16"/>
          <w:szCs w:val="16"/>
        </w:rPr>
        <w:t xml:space="preserve">Declaración rendida por Obdulia Espinoza Beltrán el 19 de abril de 2018, </w:t>
      </w:r>
      <w:r w:rsidRPr="00432ABC">
        <w:rPr>
          <w:rFonts w:ascii="Verdana" w:hAnsi="Verdana"/>
          <w:i/>
          <w:sz w:val="16"/>
          <w:szCs w:val="16"/>
        </w:rPr>
        <w:t>supra</w:t>
      </w:r>
      <w:r>
        <w:rPr>
          <w:rFonts w:ascii="Verdana" w:hAnsi="Verdana"/>
          <w:sz w:val="16"/>
          <w:szCs w:val="16"/>
        </w:rPr>
        <w:t xml:space="preserve"> (expediente de prueba, </w:t>
      </w:r>
      <w:r w:rsidRPr="00453199">
        <w:rPr>
          <w:rFonts w:ascii="Verdana" w:hAnsi="Verdana"/>
          <w:i/>
          <w:sz w:val="16"/>
          <w:szCs w:val="16"/>
        </w:rPr>
        <w:t>Affidávits</w:t>
      </w:r>
      <w:r>
        <w:rPr>
          <w:rFonts w:ascii="Verdana" w:hAnsi="Verdana"/>
          <w:sz w:val="16"/>
          <w:szCs w:val="16"/>
        </w:rPr>
        <w:t xml:space="preserve">, </w:t>
      </w:r>
      <w:r w:rsidRPr="00432ABC">
        <w:rPr>
          <w:rFonts w:ascii="Verdana" w:hAnsi="Verdana"/>
          <w:sz w:val="16"/>
          <w:szCs w:val="16"/>
        </w:rPr>
        <w:t>f.30912)</w:t>
      </w:r>
      <w:r w:rsidRPr="00432ABC">
        <w:rPr>
          <w:rFonts w:ascii="Verdana" w:hAnsi="Verdana" w:cs="Arial"/>
          <w:sz w:val="16"/>
          <w:szCs w:val="16"/>
        </w:rPr>
        <w:t xml:space="preserve">, y </w:t>
      </w:r>
      <w:r w:rsidRPr="00432ABC">
        <w:rPr>
          <w:rFonts w:ascii="Verdana" w:hAnsi="Verdana"/>
          <w:sz w:val="16"/>
          <w:szCs w:val="16"/>
        </w:rPr>
        <w:t xml:space="preserve">Declaración rendida por Rosa Olivia Alvarado Herrera el 18 de abril de 2018, </w:t>
      </w:r>
      <w:r w:rsidRPr="00432ABC">
        <w:rPr>
          <w:rFonts w:ascii="Verdana" w:hAnsi="Verdana"/>
          <w:i/>
          <w:sz w:val="16"/>
          <w:szCs w:val="16"/>
        </w:rPr>
        <w:t>supra</w:t>
      </w:r>
      <w:r>
        <w:rPr>
          <w:rFonts w:ascii="Verdana" w:hAnsi="Verdana"/>
          <w:sz w:val="16"/>
          <w:szCs w:val="16"/>
        </w:rPr>
        <w:t xml:space="preserve"> (expediente de prueba, </w:t>
      </w:r>
      <w:r w:rsidRPr="00432ABC">
        <w:rPr>
          <w:rFonts w:ascii="Verdana" w:hAnsi="Verdana"/>
          <w:sz w:val="16"/>
          <w:szCs w:val="16"/>
        </w:rPr>
        <w:t>f. 30923</w:t>
      </w:r>
      <w:r>
        <w:rPr>
          <w:rFonts w:ascii="Verdana" w:hAnsi="Verdana"/>
          <w:sz w:val="16"/>
          <w:szCs w:val="16"/>
        </w:rPr>
        <w:t>)</w:t>
      </w:r>
      <w:r w:rsidRPr="00432ABC">
        <w:rPr>
          <w:rFonts w:ascii="Verdana" w:hAnsi="Verdana" w:cs="Arial"/>
          <w:sz w:val="16"/>
          <w:szCs w:val="16"/>
        </w:rPr>
        <w:t xml:space="preserve">. </w:t>
      </w:r>
    </w:p>
  </w:footnote>
  <w:footnote w:id="187">
    <w:p w14:paraId="64AA61E9" w14:textId="2FDFDA60" w:rsidR="00146958" w:rsidRPr="00432ABC" w:rsidRDefault="00146958">
      <w:pPr>
        <w:pStyle w:val="FootnoteText"/>
        <w:jc w:val="both"/>
        <w:rPr>
          <w:rFonts w:ascii="Verdana" w:hAnsi="Verdana" w:cs="Arial"/>
          <w:sz w:val="16"/>
          <w:szCs w:val="16"/>
        </w:rPr>
      </w:pPr>
      <w:r w:rsidRPr="00432ABC">
        <w:rPr>
          <w:rStyle w:val="FootnoteReference"/>
          <w:rFonts w:ascii="Verdana" w:hAnsi="Verdana"/>
          <w:sz w:val="16"/>
          <w:szCs w:val="16"/>
        </w:rPr>
        <w:footnoteRef/>
      </w:r>
      <w:r w:rsidRPr="00432ABC">
        <w:rPr>
          <w:rFonts w:ascii="Verdana" w:hAnsi="Verdana"/>
          <w:sz w:val="16"/>
          <w:szCs w:val="16"/>
        </w:rPr>
        <w:t xml:space="preserve"> </w:t>
      </w:r>
      <w:r w:rsidRPr="00432ABC">
        <w:rPr>
          <w:rFonts w:ascii="Verdana" w:hAnsi="Verdana"/>
          <w:sz w:val="16"/>
          <w:szCs w:val="16"/>
        </w:rPr>
        <w:tab/>
        <w:t>Declaración de Mar</w:t>
      </w:r>
      <w:r w:rsidRPr="002C462C">
        <w:rPr>
          <w:rFonts w:ascii="Verdana" w:hAnsi="Verdana" w:cs="Arial"/>
          <w:sz w:val="16"/>
          <w:szCs w:val="16"/>
        </w:rPr>
        <w:t xml:space="preserve">ía de Jesús Alvarado Espinoza rendida el 14 de enero de 2010 ante la CNDH dentro del </w:t>
      </w:r>
      <w:r w:rsidRPr="002C462C">
        <w:rPr>
          <w:rFonts w:ascii="Verdana" w:hAnsi="Verdana"/>
          <w:sz w:val="16"/>
          <w:szCs w:val="16"/>
        </w:rPr>
        <w:t>Acta Circunstanciada CNDH/2/2010/108/Q (expediente de prueba, f</w:t>
      </w:r>
      <w:r w:rsidRPr="00432ABC">
        <w:rPr>
          <w:rFonts w:ascii="Verdana" w:hAnsi="Verdana"/>
          <w:sz w:val="16"/>
          <w:szCs w:val="16"/>
        </w:rPr>
        <w:t xml:space="preserve">f.311 a 312). </w:t>
      </w:r>
      <w:r w:rsidRPr="00CD5C54">
        <w:rPr>
          <w:rFonts w:ascii="Verdana" w:hAnsi="Verdana"/>
          <w:i/>
          <w:sz w:val="16"/>
          <w:szCs w:val="16"/>
        </w:rPr>
        <w:t>Cfr.</w:t>
      </w:r>
      <w:r w:rsidRPr="00432ABC">
        <w:rPr>
          <w:rFonts w:ascii="Verdana" w:hAnsi="Verdana"/>
          <w:sz w:val="16"/>
          <w:szCs w:val="16"/>
        </w:rPr>
        <w:t xml:space="preserve"> Declaración rendida</w:t>
      </w:r>
      <w:r>
        <w:rPr>
          <w:rFonts w:ascii="Verdana" w:hAnsi="Verdana"/>
          <w:sz w:val="16"/>
          <w:szCs w:val="16"/>
        </w:rPr>
        <w:t xml:space="preserve"> en la Audiencia Pública ante la Corte </w:t>
      </w:r>
      <w:r w:rsidRPr="00432ABC">
        <w:rPr>
          <w:rFonts w:ascii="Verdana" w:hAnsi="Verdana"/>
          <w:sz w:val="16"/>
          <w:szCs w:val="16"/>
        </w:rPr>
        <w:t xml:space="preserve">por María de Jesús Alvarado Espinoza, </w:t>
      </w:r>
      <w:r w:rsidRPr="00432ABC">
        <w:rPr>
          <w:rFonts w:ascii="Verdana" w:hAnsi="Verdana"/>
          <w:i/>
          <w:sz w:val="16"/>
          <w:szCs w:val="16"/>
        </w:rPr>
        <w:t>supra,</w:t>
      </w:r>
      <w:r w:rsidRPr="00432ABC">
        <w:rPr>
          <w:rFonts w:ascii="Verdana" w:hAnsi="Verdana"/>
          <w:sz w:val="16"/>
          <w:szCs w:val="16"/>
        </w:rPr>
        <w:t xml:space="preserve"> pág. 7. </w:t>
      </w:r>
    </w:p>
  </w:footnote>
  <w:footnote w:id="188">
    <w:p w14:paraId="64AA61EA" w14:textId="699AE3C8" w:rsidR="00146958" w:rsidRPr="00432ABC" w:rsidRDefault="00146958">
      <w:pPr>
        <w:pStyle w:val="FootnoteText"/>
        <w:jc w:val="both"/>
        <w:rPr>
          <w:rFonts w:ascii="Verdana" w:hAnsi="Verdana"/>
          <w:sz w:val="16"/>
          <w:szCs w:val="16"/>
        </w:rPr>
      </w:pPr>
      <w:r w:rsidRPr="00432ABC">
        <w:rPr>
          <w:rStyle w:val="FootnoteReference"/>
          <w:rFonts w:ascii="Verdana" w:hAnsi="Verdana"/>
          <w:sz w:val="16"/>
          <w:szCs w:val="16"/>
        </w:rPr>
        <w:footnoteRef/>
      </w:r>
      <w:r w:rsidRPr="00432ABC">
        <w:rPr>
          <w:rFonts w:ascii="Verdana" w:hAnsi="Verdana"/>
          <w:sz w:val="16"/>
          <w:szCs w:val="16"/>
        </w:rPr>
        <w:t xml:space="preserve"> </w:t>
      </w:r>
      <w:r w:rsidRPr="00432ABC">
        <w:rPr>
          <w:rFonts w:ascii="Verdana" w:hAnsi="Verdana"/>
          <w:sz w:val="16"/>
          <w:szCs w:val="16"/>
        </w:rPr>
        <w:tab/>
      </w:r>
      <w:r w:rsidRPr="00CD5C54">
        <w:rPr>
          <w:rFonts w:ascii="Verdana" w:hAnsi="Verdana"/>
          <w:i/>
          <w:sz w:val="16"/>
          <w:szCs w:val="16"/>
        </w:rPr>
        <w:t>Cfr.</w:t>
      </w:r>
      <w:r w:rsidRPr="002C462C">
        <w:rPr>
          <w:rFonts w:ascii="Verdana" w:hAnsi="Verdana"/>
          <w:sz w:val="16"/>
          <w:szCs w:val="16"/>
        </w:rPr>
        <w:t xml:space="preserve"> Declaración de María de Jesús Alvarado Espinoza rendida el 14 de enero de 2010 ante la CNDH, </w:t>
      </w:r>
      <w:r w:rsidRPr="008D0846">
        <w:rPr>
          <w:rFonts w:ascii="Verdana" w:hAnsi="Verdana"/>
          <w:sz w:val="16"/>
        </w:rPr>
        <w:t>supra</w:t>
      </w:r>
      <w:r w:rsidRPr="00432ABC">
        <w:rPr>
          <w:rFonts w:ascii="Verdana" w:hAnsi="Verdana"/>
          <w:sz w:val="16"/>
          <w:szCs w:val="16"/>
        </w:rPr>
        <w:t xml:space="preserve">, </w:t>
      </w:r>
      <w:r>
        <w:rPr>
          <w:rFonts w:ascii="Verdana" w:hAnsi="Verdana"/>
          <w:sz w:val="16"/>
          <w:szCs w:val="16"/>
        </w:rPr>
        <w:t xml:space="preserve">(expediente de prueba, </w:t>
      </w:r>
      <w:r w:rsidRPr="00432ABC">
        <w:rPr>
          <w:rFonts w:ascii="Verdana" w:hAnsi="Verdana"/>
          <w:sz w:val="16"/>
          <w:szCs w:val="16"/>
        </w:rPr>
        <w:t>ff. 311 a 312</w:t>
      </w:r>
      <w:r>
        <w:rPr>
          <w:rFonts w:ascii="Verdana" w:hAnsi="Verdana"/>
          <w:sz w:val="16"/>
          <w:szCs w:val="16"/>
        </w:rPr>
        <w:t>)</w:t>
      </w:r>
      <w:r w:rsidRPr="00432ABC">
        <w:rPr>
          <w:rFonts w:ascii="Verdana" w:hAnsi="Verdana"/>
          <w:sz w:val="16"/>
          <w:szCs w:val="16"/>
        </w:rPr>
        <w:t>, y Declaración rendida</w:t>
      </w:r>
      <w:r>
        <w:rPr>
          <w:rFonts w:ascii="Verdana" w:hAnsi="Verdana"/>
          <w:sz w:val="16"/>
          <w:szCs w:val="16"/>
        </w:rPr>
        <w:t xml:space="preserve"> en la Audiencia Pública ante la Corte</w:t>
      </w:r>
      <w:r w:rsidRPr="00432ABC">
        <w:rPr>
          <w:rFonts w:ascii="Verdana" w:hAnsi="Verdana"/>
          <w:sz w:val="16"/>
          <w:szCs w:val="16"/>
        </w:rPr>
        <w:t xml:space="preserve"> por María de Jesús Alvarado Espinoza, </w:t>
      </w:r>
      <w:r w:rsidRPr="00432ABC">
        <w:rPr>
          <w:rFonts w:ascii="Verdana" w:hAnsi="Verdana"/>
          <w:i/>
          <w:sz w:val="16"/>
          <w:szCs w:val="16"/>
        </w:rPr>
        <w:t>supra</w:t>
      </w:r>
      <w:r w:rsidRPr="00432ABC">
        <w:rPr>
          <w:rFonts w:ascii="Verdana" w:hAnsi="Verdana"/>
          <w:sz w:val="16"/>
          <w:szCs w:val="16"/>
        </w:rPr>
        <w:t xml:space="preserve">, pág. 7.  No obstante lo señalado por María de Jesús Alvarado, Aarón Enríquez Duarte en sus declaraciones de 24 de mayo de 2010, 25 de octubre de 2010 y 16 de abril de 2018 negó haber afirmado que tuviera conocimiento o le constara que las tres personas desaparecidas se encontraban detenidas en el 35 Batallón de Infantería y que dado que María de Jesús Alvarado y Patricia Reyes Rueda fueron quienes al momento de acudir a presentar su denuncia le manifestaron que sus familiares habían sido detenidos por personas vestidas “como militares”, únicamente les había “sugerido u orientado” que acudieran a preguntar a dichas instalaciones, “[lo cual es] una manifestación muy diferente a una afirmación o aseveración de tal hecho”. </w:t>
      </w:r>
      <w:r w:rsidRPr="00CD5C54">
        <w:rPr>
          <w:rFonts w:ascii="Verdana" w:hAnsi="Verdana"/>
          <w:i/>
          <w:sz w:val="16"/>
          <w:szCs w:val="16"/>
        </w:rPr>
        <w:t>Cfr.</w:t>
      </w:r>
      <w:r w:rsidRPr="00432ABC">
        <w:rPr>
          <w:rFonts w:ascii="Verdana" w:hAnsi="Verdana"/>
          <w:sz w:val="16"/>
          <w:szCs w:val="16"/>
        </w:rPr>
        <w:t xml:space="preserve"> Declaraciones de Aarón </w:t>
      </w:r>
      <w:r w:rsidRPr="00432ABC">
        <w:rPr>
          <w:rFonts w:ascii="Verdana" w:hAnsi="Verdana" w:cs="Arial"/>
          <w:sz w:val="16"/>
          <w:szCs w:val="16"/>
        </w:rPr>
        <w:t xml:space="preserve">Enríquez Duarte rendidas el 24 de mayo de 2010 ante el AMPM – 5ªZM (expediente de prueba, f. 28031.); el 25 de octubre de 2010 ante la FEVIMTRA – PGR (expediente de prueba, f. 28036), y el 16 de abril de 2018 ante la FEIDDF - PGR (expediente de prueba, </w:t>
      </w:r>
      <w:r w:rsidRPr="00453199">
        <w:rPr>
          <w:rFonts w:ascii="Verdana" w:hAnsi="Verdana" w:cs="Arial"/>
          <w:i/>
          <w:sz w:val="16"/>
          <w:szCs w:val="16"/>
        </w:rPr>
        <w:t>Affidávits</w:t>
      </w:r>
      <w:r w:rsidRPr="00432ABC">
        <w:rPr>
          <w:rFonts w:ascii="Verdana" w:hAnsi="Verdana" w:cs="Arial"/>
          <w:sz w:val="16"/>
          <w:szCs w:val="16"/>
        </w:rPr>
        <w:t>, f. 31177).</w:t>
      </w:r>
    </w:p>
  </w:footnote>
  <w:footnote w:id="189">
    <w:p w14:paraId="64AA61EB" w14:textId="4F93422E" w:rsidR="00146958" w:rsidRPr="00432ABC" w:rsidRDefault="00146958">
      <w:pPr>
        <w:pStyle w:val="FootnoteText"/>
        <w:jc w:val="both"/>
        <w:rPr>
          <w:rFonts w:ascii="Verdana" w:hAnsi="Verdana"/>
          <w:sz w:val="16"/>
          <w:szCs w:val="16"/>
        </w:rPr>
      </w:pPr>
      <w:r w:rsidRPr="00432ABC">
        <w:rPr>
          <w:rStyle w:val="FootnoteReference"/>
          <w:rFonts w:ascii="Verdana" w:hAnsi="Verdana"/>
          <w:sz w:val="16"/>
          <w:szCs w:val="16"/>
        </w:rPr>
        <w:footnoteRef/>
      </w:r>
      <w:r w:rsidRPr="00432ABC">
        <w:rPr>
          <w:rFonts w:ascii="Verdana" w:hAnsi="Verdana"/>
          <w:sz w:val="16"/>
          <w:szCs w:val="16"/>
        </w:rPr>
        <w:t xml:space="preserve"> </w:t>
      </w:r>
      <w:r w:rsidRPr="00432ABC">
        <w:rPr>
          <w:rFonts w:ascii="Verdana" w:hAnsi="Verdana"/>
          <w:sz w:val="16"/>
          <w:szCs w:val="16"/>
        </w:rPr>
        <w:tab/>
      </w:r>
      <w:r w:rsidRPr="00CD5C54">
        <w:rPr>
          <w:rFonts w:ascii="Verdana" w:hAnsi="Verdana"/>
          <w:i/>
          <w:sz w:val="16"/>
          <w:szCs w:val="16"/>
        </w:rPr>
        <w:t>Cfr.</w:t>
      </w:r>
      <w:r w:rsidRPr="002C462C">
        <w:rPr>
          <w:rFonts w:ascii="Verdana" w:hAnsi="Verdana"/>
          <w:sz w:val="16"/>
          <w:szCs w:val="16"/>
        </w:rPr>
        <w:t xml:space="preserve"> Relación de hechos realizada por María de Jesús Alvar</w:t>
      </w:r>
      <w:r w:rsidRPr="00432ABC">
        <w:rPr>
          <w:rFonts w:ascii="Verdana" w:hAnsi="Verdana"/>
          <w:sz w:val="16"/>
          <w:szCs w:val="16"/>
        </w:rPr>
        <w:t xml:space="preserve">ado Espinoza el 19 de febrero de 2010 ante la UPDDH - SEGOB, </w:t>
      </w:r>
      <w:r w:rsidRPr="00432ABC">
        <w:rPr>
          <w:rFonts w:ascii="Verdana" w:hAnsi="Verdana"/>
          <w:i/>
          <w:sz w:val="16"/>
          <w:szCs w:val="16"/>
        </w:rPr>
        <w:t>supra</w:t>
      </w:r>
      <w:r>
        <w:rPr>
          <w:rFonts w:ascii="Verdana" w:hAnsi="Verdana"/>
          <w:i/>
          <w:sz w:val="16"/>
          <w:szCs w:val="16"/>
        </w:rPr>
        <w:t xml:space="preserve"> </w:t>
      </w:r>
      <w:r>
        <w:rPr>
          <w:rFonts w:ascii="Verdana" w:hAnsi="Verdana"/>
          <w:sz w:val="16"/>
          <w:szCs w:val="16"/>
        </w:rPr>
        <w:t xml:space="preserve">(expediente de prueba, </w:t>
      </w:r>
      <w:r w:rsidRPr="00432ABC">
        <w:rPr>
          <w:rFonts w:ascii="Verdana" w:hAnsi="Verdana"/>
          <w:sz w:val="16"/>
          <w:szCs w:val="16"/>
        </w:rPr>
        <w:t>f. 317</w:t>
      </w:r>
      <w:r>
        <w:rPr>
          <w:rFonts w:ascii="Verdana" w:hAnsi="Verdana"/>
          <w:sz w:val="16"/>
          <w:szCs w:val="16"/>
        </w:rPr>
        <w:t>)</w:t>
      </w:r>
      <w:r w:rsidRPr="00432ABC">
        <w:rPr>
          <w:rFonts w:ascii="Verdana" w:hAnsi="Verdana"/>
          <w:sz w:val="16"/>
          <w:szCs w:val="16"/>
        </w:rPr>
        <w:t xml:space="preserve">. </w:t>
      </w:r>
      <w:r w:rsidRPr="00CD5C54">
        <w:rPr>
          <w:rFonts w:ascii="Verdana" w:hAnsi="Verdana"/>
          <w:i/>
          <w:sz w:val="16"/>
          <w:szCs w:val="16"/>
        </w:rPr>
        <w:t>Cfr.</w:t>
      </w:r>
      <w:r w:rsidRPr="00432ABC">
        <w:rPr>
          <w:rFonts w:ascii="Verdana" w:hAnsi="Verdana"/>
          <w:sz w:val="16"/>
          <w:szCs w:val="16"/>
        </w:rPr>
        <w:t xml:space="preserve"> Declaración rendida </w:t>
      </w:r>
      <w:r>
        <w:rPr>
          <w:rFonts w:ascii="Verdana" w:hAnsi="Verdana"/>
          <w:sz w:val="16"/>
          <w:szCs w:val="16"/>
        </w:rPr>
        <w:t xml:space="preserve">en la Audiencia Pública ante la Corte </w:t>
      </w:r>
      <w:r w:rsidRPr="00432ABC">
        <w:rPr>
          <w:rFonts w:ascii="Verdana" w:hAnsi="Verdana"/>
          <w:sz w:val="16"/>
          <w:szCs w:val="16"/>
        </w:rPr>
        <w:t xml:space="preserve">por María de Jesús Alvarado Espinoza, </w:t>
      </w:r>
      <w:r w:rsidRPr="00432ABC">
        <w:rPr>
          <w:rFonts w:ascii="Verdana" w:hAnsi="Verdana"/>
          <w:i/>
          <w:sz w:val="16"/>
          <w:szCs w:val="16"/>
        </w:rPr>
        <w:t>supra,</w:t>
      </w:r>
      <w:r w:rsidRPr="00432ABC">
        <w:rPr>
          <w:rFonts w:ascii="Verdana" w:hAnsi="Verdana"/>
          <w:sz w:val="16"/>
          <w:szCs w:val="16"/>
        </w:rPr>
        <w:t xml:space="preserve"> págs. 7 y 18.</w:t>
      </w:r>
    </w:p>
  </w:footnote>
  <w:footnote w:id="190">
    <w:p w14:paraId="64AA61EC" w14:textId="3DB49AC3" w:rsidR="00146958" w:rsidRPr="00432ABC" w:rsidRDefault="00146958">
      <w:pPr>
        <w:pStyle w:val="FootnoteText"/>
        <w:jc w:val="both"/>
        <w:rPr>
          <w:rFonts w:ascii="Verdana" w:hAnsi="Verdana"/>
          <w:sz w:val="16"/>
          <w:szCs w:val="16"/>
        </w:rPr>
      </w:pPr>
      <w:r w:rsidRPr="00432ABC">
        <w:rPr>
          <w:rStyle w:val="FootnoteReference"/>
          <w:rFonts w:ascii="Verdana" w:hAnsi="Verdana"/>
          <w:sz w:val="16"/>
          <w:szCs w:val="16"/>
        </w:rPr>
        <w:footnoteRef/>
      </w:r>
      <w:r w:rsidRPr="00432ABC">
        <w:rPr>
          <w:rFonts w:ascii="Verdana" w:hAnsi="Verdana"/>
          <w:sz w:val="16"/>
          <w:szCs w:val="16"/>
        </w:rPr>
        <w:t xml:space="preserve"> </w:t>
      </w:r>
      <w:r w:rsidRPr="00432ABC">
        <w:rPr>
          <w:rFonts w:ascii="Verdana" w:hAnsi="Verdana"/>
          <w:sz w:val="16"/>
          <w:szCs w:val="16"/>
        </w:rPr>
        <w:tab/>
      </w:r>
      <w:r w:rsidRPr="00CD5C54">
        <w:rPr>
          <w:rFonts w:ascii="Verdana" w:hAnsi="Verdana"/>
          <w:i/>
          <w:sz w:val="16"/>
          <w:szCs w:val="16"/>
        </w:rPr>
        <w:t>Cfr.</w:t>
      </w:r>
      <w:r w:rsidRPr="002C462C">
        <w:rPr>
          <w:rFonts w:ascii="Verdana" w:hAnsi="Verdana"/>
          <w:sz w:val="16"/>
          <w:szCs w:val="16"/>
        </w:rPr>
        <w:t xml:space="preserve">  Relación de hechos realizada por María de Jesús </w:t>
      </w:r>
      <w:r w:rsidRPr="00432ABC">
        <w:rPr>
          <w:rFonts w:ascii="Verdana" w:hAnsi="Verdana"/>
          <w:sz w:val="16"/>
          <w:szCs w:val="16"/>
        </w:rPr>
        <w:t xml:space="preserve">Alvarado Espinoza el 19 de febrero de 2010, </w:t>
      </w:r>
      <w:r w:rsidRPr="00432ABC">
        <w:rPr>
          <w:rFonts w:ascii="Verdana" w:hAnsi="Verdana"/>
          <w:i/>
          <w:sz w:val="16"/>
          <w:szCs w:val="16"/>
        </w:rPr>
        <w:t>supra</w:t>
      </w:r>
      <w:r>
        <w:rPr>
          <w:rFonts w:ascii="Verdana" w:hAnsi="Verdana"/>
          <w:i/>
          <w:sz w:val="16"/>
          <w:szCs w:val="16"/>
        </w:rPr>
        <w:t xml:space="preserve"> </w:t>
      </w:r>
      <w:r>
        <w:rPr>
          <w:rFonts w:ascii="Verdana" w:hAnsi="Verdana"/>
          <w:sz w:val="16"/>
          <w:szCs w:val="16"/>
        </w:rPr>
        <w:t xml:space="preserve">(expediente de prueba, </w:t>
      </w:r>
      <w:r w:rsidRPr="00432ABC">
        <w:rPr>
          <w:rFonts w:ascii="Verdana" w:hAnsi="Verdana"/>
          <w:sz w:val="16"/>
          <w:szCs w:val="16"/>
        </w:rPr>
        <w:t>f. 317</w:t>
      </w:r>
      <w:r>
        <w:rPr>
          <w:rFonts w:ascii="Verdana" w:hAnsi="Verdana"/>
          <w:sz w:val="16"/>
          <w:szCs w:val="16"/>
        </w:rPr>
        <w:t>)</w:t>
      </w:r>
      <w:r w:rsidRPr="00432ABC">
        <w:rPr>
          <w:rFonts w:ascii="Verdana" w:hAnsi="Verdana"/>
          <w:sz w:val="16"/>
          <w:szCs w:val="16"/>
        </w:rPr>
        <w:t xml:space="preserve">. Por su parte, el 10 de junio de 2010 el titular Jesús Durazo Hoyos declaró ante la FEVIMTRA - PGR que cuando tomó la comparecencia de María de Jesús Alvarado Espinoza y Patricia Reyes Rueda no recibió comentario alguno de sus secretarias o secretarios con relación a las tres personas desaparecidas ni manifestaron que tuvieran conocimiento de su paradero. También negó haber hecho algún comentario sobre la camioneta de la cual fue sustraída Nitza Paola Alvarado el día de su detención o haber recibido de dicho personal cualquier comentario al respecto. </w:t>
      </w:r>
      <w:r w:rsidRPr="00CD5C54">
        <w:rPr>
          <w:rFonts w:ascii="Verdana" w:hAnsi="Verdana"/>
          <w:i/>
          <w:sz w:val="16"/>
          <w:szCs w:val="16"/>
        </w:rPr>
        <w:t>Cfr.</w:t>
      </w:r>
      <w:r w:rsidRPr="00432ABC">
        <w:rPr>
          <w:rFonts w:ascii="Verdana" w:hAnsi="Verdana"/>
          <w:sz w:val="16"/>
          <w:szCs w:val="16"/>
        </w:rPr>
        <w:t xml:space="preserve"> Declaración de Jesús Durazo Hoyos rendida el 10 de junio de 2010 ante el SCM de la FEVIMTRA – PGR (expediente de prueba, f. 28041).</w:t>
      </w:r>
    </w:p>
  </w:footnote>
  <w:footnote w:id="191">
    <w:p w14:paraId="64AA61ED" w14:textId="7CDE1255" w:rsidR="00146958" w:rsidRPr="00432ABC" w:rsidRDefault="00146958">
      <w:pPr>
        <w:pStyle w:val="FootnoteText"/>
        <w:jc w:val="both"/>
        <w:rPr>
          <w:rFonts w:ascii="Verdana" w:hAnsi="Verdana"/>
          <w:sz w:val="16"/>
          <w:szCs w:val="16"/>
        </w:rPr>
      </w:pPr>
      <w:r w:rsidRPr="00432ABC">
        <w:rPr>
          <w:rStyle w:val="FootnoteReference"/>
          <w:rFonts w:ascii="Verdana" w:hAnsi="Verdana"/>
          <w:sz w:val="16"/>
          <w:szCs w:val="16"/>
        </w:rPr>
        <w:footnoteRef/>
      </w:r>
      <w:r w:rsidRPr="00432ABC">
        <w:rPr>
          <w:rFonts w:ascii="Verdana" w:hAnsi="Verdana"/>
          <w:sz w:val="16"/>
          <w:szCs w:val="16"/>
        </w:rPr>
        <w:t xml:space="preserve"> </w:t>
      </w:r>
      <w:r w:rsidRPr="00432ABC">
        <w:rPr>
          <w:rFonts w:ascii="Verdana" w:hAnsi="Verdana"/>
          <w:sz w:val="16"/>
          <w:szCs w:val="16"/>
        </w:rPr>
        <w:tab/>
      </w:r>
      <w:r w:rsidRPr="00CD5C54">
        <w:rPr>
          <w:rFonts w:ascii="Verdana" w:hAnsi="Verdana"/>
          <w:i/>
          <w:sz w:val="16"/>
          <w:szCs w:val="16"/>
        </w:rPr>
        <w:t>Cfr.</w:t>
      </w:r>
      <w:r w:rsidRPr="002C462C">
        <w:rPr>
          <w:rFonts w:ascii="Verdana" w:hAnsi="Verdana"/>
          <w:sz w:val="16"/>
          <w:szCs w:val="16"/>
        </w:rPr>
        <w:t xml:space="preserve"> Denuncia de hechos presentada por la CNDH en el marco de la Recomendación 43/2011 el 9 de septiembre de 2011 emitida por la CNDH (expediente de prueba, f. 332), y  Declaración rendida</w:t>
      </w:r>
      <w:r>
        <w:rPr>
          <w:rFonts w:ascii="Verdana" w:hAnsi="Verdana"/>
          <w:sz w:val="16"/>
          <w:szCs w:val="16"/>
        </w:rPr>
        <w:t xml:space="preserve"> en la Audiencia Pública</w:t>
      </w:r>
      <w:r w:rsidRPr="002C462C">
        <w:rPr>
          <w:rFonts w:ascii="Verdana" w:hAnsi="Verdana"/>
          <w:sz w:val="16"/>
          <w:szCs w:val="16"/>
        </w:rPr>
        <w:t xml:space="preserve"> ante l</w:t>
      </w:r>
      <w:r w:rsidRPr="00432ABC">
        <w:rPr>
          <w:rFonts w:ascii="Verdana" w:hAnsi="Verdana"/>
          <w:sz w:val="16"/>
          <w:szCs w:val="16"/>
        </w:rPr>
        <w:t xml:space="preserve">a Corte por Jaime Alvarado Herrera, </w:t>
      </w:r>
      <w:r w:rsidRPr="00432ABC">
        <w:rPr>
          <w:rFonts w:ascii="Verdana" w:hAnsi="Verdana"/>
          <w:i/>
          <w:sz w:val="16"/>
          <w:szCs w:val="16"/>
        </w:rPr>
        <w:t xml:space="preserve">supra, </w:t>
      </w:r>
      <w:r w:rsidRPr="00432ABC">
        <w:rPr>
          <w:rFonts w:ascii="Verdana" w:hAnsi="Verdana"/>
          <w:sz w:val="16"/>
          <w:szCs w:val="16"/>
        </w:rPr>
        <w:t>pág. 12. Al respecto, el 9 de junio de 2010 Hora</w:t>
      </w:r>
      <w:r>
        <w:rPr>
          <w:rFonts w:ascii="Verdana" w:hAnsi="Verdana"/>
          <w:sz w:val="16"/>
          <w:szCs w:val="16"/>
        </w:rPr>
        <w:t>s</w:t>
      </w:r>
      <w:r w:rsidRPr="00432ABC">
        <w:rPr>
          <w:rFonts w:ascii="Verdana" w:hAnsi="Verdana"/>
          <w:sz w:val="16"/>
          <w:szCs w:val="16"/>
        </w:rPr>
        <w:t xml:space="preserve">io Flores Martínez, agente la Policía Ministerial adscrito a Nuevo Casas Grandes al momento de los hechos, declaró ante la FEVIMTRA – PGR que sin recordar la fecha exacta familiares de los tres desaparecidos acudieron a dicha agencia del MPF para preguntar si éstos habían estado detenidos en dicha corporación y por qué se encontraba asegurada allí la camioneta de Nitza Paola Alvarado. Agregó que fue él quien los atendió personalmente y respondió a los familiares que la razón por la cual había sido asegurado tal vehículo era “porque se había recibido una llamada del radio operador en turno  en el sentido de que este vehículo se encontraba abandonado en el poblado de Benito Juárez”, que los tres desaparecidos no habían estado detenidos en dicha agencia y que no contaba con información acerca de su paradero. </w:t>
      </w:r>
      <w:r w:rsidRPr="00CD5C54">
        <w:rPr>
          <w:rFonts w:ascii="Verdana" w:hAnsi="Verdana"/>
          <w:i/>
          <w:sz w:val="16"/>
          <w:szCs w:val="16"/>
        </w:rPr>
        <w:t>Cfr.</w:t>
      </w:r>
      <w:r w:rsidRPr="00432ABC">
        <w:rPr>
          <w:rFonts w:ascii="Verdana" w:hAnsi="Verdana"/>
          <w:sz w:val="16"/>
          <w:szCs w:val="16"/>
        </w:rPr>
        <w:t xml:space="preserve"> Declaración de Hor</w:t>
      </w:r>
      <w:r>
        <w:rPr>
          <w:rFonts w:ascii="Verdana" w:hAnsi="Verdana"/>
          <w:sz w:val="16"/>
          <w:szCs w:val="16"/>
        </w:rPr>
        <w:t>as</w:t>
      </w:r>
      <w:r w:rsidRPr="00432ABC">
        <w:rPr>
          <w:rFonts w:ascii="Verdana" w:hAnsi="Verdana"/>
          <w:sz w:val="16"/>
          <w:szCs w:val="16"/>
        </w:rPr>
        <w:t>io Flores Martínez rendida el 9 de junio de 2010 ante SMC de la FEVIMTRA (expediente de prueba, ff. 28078 a 28079</w:t>
      </w:r>
      <w:r>
        <w:rPr>
          <w:rFonts w:ascii="Verdana" w:hAnsi="Verdana"/>
          <w:sz w:val="16"/>
          <w:szCs w:val="16"/>
        </w:rPr>
        <w:t>)</w:t>
      </w:r>
      <w:r w:rsidRPr="00432ABC">
        <w:rPr>
          <w:rFonts w:ascii="Verdana" w:hAnsi="Verdana"/>
          <w:sz w:val="16"/>
          <w:szCs w:val="16"/>
        </w:rPr>
        <w:t>.</w:t>
      </w:r>
    </w:p>
  </w:footnote>
  <w:footnote w:id="192">
    <w:p w14:paraId="64AA61EE" w14:textId="2F2F589F" w:rsidR="00146958" w:rsidRPr="00432ABC" w:rsidRDefault="00146958">
      <w:pPr>
        <w:pStyle w:val="FootnoteText"/>
        <w:jc w:val="both"/>
        <w:rPr>
          <w:rFonts w:ascii="Verdana" w:hAnsi="Verdana"/>
          <w:sz w:val="16"/>
          <w:szCs w:val="16"/>
        </w:rPr>
      </w:pPr>
      <w:r w:rsidRPr="00432ABC">
        <w:rPr>
          <w:rStyle w:val="FootnoteReference"/>
          <w:rFonts w:ascii="Verdana" w:hAnsi="Verdana"/>
          <w:sz w:val="16"/>
          <w:szCs w:val="16"/>
        </w:rPr>
        <w:footnoteRef/>
      </w:r>
      <w:r w:rsidRPr="00432ABC">
        <w:rPr>
          <w:rFonts w:ascii="Verdana" w:hAnsi="Verdana"/>
          <w:sz w:val="16"/>
          <w:szCs w:val="16"/>
        </w:rPr>
        <w:t xml:space="preserve"> </w:t>
      </w:r>
      <w:r w:rsidRPr="00432ABC">
        <w:rPr>
          <w:rFonts w:ascii="Verdana" w:hAnsi="Verdana"/>
          <w:sz w:val="16"/>
          <w:szCs w:val="16"/>
        </w:rPr>
        <w:tab/>
      </w:r>
      <w:r w:rsidRPr="00CD5C54">
        <w:rPr>
          <w:rFonts w:ascii="Verdana" w:hAnsi="Verdana"/>
          <w:i/>
          <w:sz w:val="16"/>
          <w:szCs w:val="16"/>
        </w:rPr>
        <w:t>Cfr.</w:t>
      </w:r>
      <w:r w:rsidRPr="002C462C">
        <w:rPr>
          <w:rFonts w:ascii="Verdana" w:hAnsi="Verdana"/>
          <w:sz w:val="16"/>
          <w:szCs w:val="16"/>
        </w:rPr>
        <w:t xml:space="preserve"> Declaración testimonial de Alberto Hernández de la Cruz rendida el 5 de febrero de 2010 ante el AMPM, citada en la Resolución de Segunda Instancia relativo al </w:t>
      </w:r>
      <w:r w:rsidRPr="00432ABC">
        <w:rPr>
          <w:rFonts w:ascii="Verdana" w:hAnsi="Verdana"/>
          <w:sz w:val="16"/>
          <w:szCs w:val="16"/>
        </w:rPr>
        <w:t>Toca de Apelación 61/2010 emitida por el Supremo Tribunal Militar el 20 de diciembre de 2010 (expediente de prueba, f. 28105).</w:t>
      </w:r>
      <w:r w:rsidRPr="00432ABC">
        <w:rPr>
          <w:rFonts w:ascii="Verdana" w:hAnsi="Verdana"/>
          <w:i/>
          <w:sz w:val="16"/>
          <w:szCs w:val="16"/>
        </w:rPr>
        <w:t xml:space="preserve"> </w:t>
      </w:r>
    </w:p>
  </w:footnote>
  <w:footnote w:id="193">
    <w:p w14:paraId="64AA61EF" w14:textId="0F436DE6" w:rsidR="00146958" w:rsidRPr="00432ABC" w:rsidRDefault="00146958">
      <w:pPr>
        <w:pStyle w:val="FootnoteText"/>
        <w:jc w:val="both"/>
        <w:rPr>
          <w:rFonts w:ascii="Verdana" w:hAnsi="Verdana"/>
          <w:sz w:val="16"/>
          <w:szCs w:val="16"/>
        </w:rPr>
      </w:pPr>
      <w:r w:rsidRPr="00432ABC">
        <w:rPr>
          <w:rStyle w:val="FootnoteReference"/>
          <w:rFonts w:ascii="Verdana" w:hAnsi="Verdana"/>
          <w:sz w:val="16"/>
          <w:szCs w:val="16"/>
        </w:rPr>
        <w:footnoteRef/>
      </w:r>
      <w:r w:rsidRPr="00432ABC">
        <w:rPr>
          <w:rFonts w:ascii="Verdana" w:hAnsi="Verdana"/>
          <w:sz w:val="16"/>
          <w:szCs w:val="16"/>
        </w:rPr>
        <w:t xml:space="preserve"> </w:t>
      </w:r>
      <w:r w:rsidRPr="00432ABC">
        <w:rPr>
          <w:rFonts w:ascii="Verdana" w:hAnsi="Verdana"/>
          <w:sz w:val="16"/>
          <w:szCs w:val="16"/>
        </w:rPr>
        <w:tab/>
      </w:r>
      <w:r w:rsidRPr="00CD5C54">
        <w:rPr>
          <w:rFonts w:ascii="Verdana" w:hAnsi="Verdana"/>
          <w:i/>
          <w:sz w:val="16"/>
          <w:szCs w:val="16"/>
        </w:rPr>
        <w:t>Cfr.</w:t>
      </w:r>
      <w:r w:rsidRPr="002C462C">
        <w:rPr>
          <w:rFonts w:ascii="Verdana" w:hAnsi="Verdana"/>
          <w:sz w:val="16"/>
          <w:szCs w:val="16"/>
        </w:rPr>
        <w:t xml:space="preserve"> Declaración testimonial de Alberto Hernández de la Cruz rendida el 5 de febrero </w:t>
      </w:r>
      <w:r w:rsidRPr="00432ABC">
        <w:rPr>
          <w:rFonts w:ascii="Verdana" w:hAnsi="Verdana"/>
          <w:sz w:val="16"/>
          <w:szCs w:val="16"/>
        </w:rPr>
        <w:t xml:space="preserve">de 2010 ante el AMPM, </w:t>
      </w:r>
      <w:r w:rsidRPr="00432ABC">
        <w:rPr>
          <w:rFonts w:ascii="Verdana" w:hAnsi="Verdana"/>
          <w:i/>
          <w:sz w:val="16"/>
          <w:szCs w:val="16"/>
        </w:rPr>
        <w:t>supra</w:t>
      </w:r>
      <w:r>
        <w:rPr>
          <w:rFonts w:ascii="Verdana" w:hAnsi="Verdana"/>
          <w:sz w:val="16"/>
          <w:szCs w:val="16"/>
        </w:rPr>
        <w:t xml:space="preserve"> (expediente de prueba, </w:t>
      </w:r>
      <w:r w:rsidRPr="00432ABC">
        <w:rPr>
          <w:rFonts w:ascii="Verdana" w:hAnsi="Verdana"/>
          <w:sz w:val="16"/>
          <w:szCs w:val="16"/>
        </w:rPr>
        <w:t>f. 28105</w:t>
      </w:r>
      <w:r>
        <w:rPr>
          <w:rFonts w:ascii="Verdana" w:hAnsi="Verdana"/>
          <w:sz w:val="16"/>
          <w:szCs w:val="16"/>
        </w:rPr>
        <w:t>)</w:t>
      </w:r>
      <w:r w:rsidRPr="00432ABC">
        <w:rPr>
          <w:rFonts w:ascii="Verdana" w:hAnsi="Verdana"/>
          <w:sz w:val="16"/>
          <w:szCs w:val="16"/>
        </w:rPr>
        <w:t>.</w:t>
      </w:r>
    </w:p>
  </w:footnote>
  <w:footnote w:id="194">
    <w:p w14:paraId="64AA61F0" w14:textId="25E60BAB" w:rsidR="00146958" w:rsidRPr="00432ABC" w:rsidRDefault="00146958">
      <w:pPr>
        <w:pStyle w:val="FootnoteText"/>
        <w:jc w:val="both"/>
        <w:rPr>
          <w:rFonts w:ascii="Verdana" w:hAnsi="Verdana"/>
          <w:sz w:val="16"/>
          <w:szCs w:val="16"/>
        </w:rPr>
      </w:pPr>
      <w:r w:rsidRPr="00432ABC">
        <w:rPr>
          <w:rStyle w:val="FootnoteReference"/>
          <w:rFonts w:ascii="Verdana" w:hAnsi="Verdana"/>
          <w:sz w:val="16"/>
          <w:szCs w:val="16"/>
        </w:rPr>
        <w:footnoteRef/>
      </w:r>
      <w:r w:rsidRPr="00432ABC">
        <w:rPr>
          <w:rFonts w:ascii="Verdana" w:hAnsi="Verdana"/>
          <w:sz w:val="16"/>
          <w:szCs w:val="16"/>
        </w:rPr>
        <w:t xml:space="preserve"> </w:t>
      </w:r>
      <w:r w:rsidRPr="00432ABC">
        <w:rPr>
          <w:rFonts w:ascii="Verdana" w:hAnsi="Verdana"/>
          <w:sz w:val="16"/>
          <w:szCs w:val="16"/>
        </w:rPr>
        <w:tab/>
        <w:t>Con relación a estos hechos, el Juzgado 5º Militar adscrito a la I Región Militar inició el 22 de febrero de 2010 la Causa Penal 141/2010 en contra de Mauricio Isabel Altamirano, Subteniente de Infantería, así com</w:t>
      </w:r>
      <w:r w:rsidRPr="002C462C">
        <w:rPr>
          <w:rFonts w:ascii="Verdana" w:hAnsi="Verdana"/>
          <w:sz w:val="16"/>
          <w:szCs w:val="16"/>
        </w:rPr>
        <w:t>o de otros elementos castrenses del 35 Batallón al mando del Coronel Élfego José Luján Ruiz por su probable participación en la tortura, homicidio e inhumación clandestina de los civiles Jorge Alejandro Yáñez Molina y Jesús Alberto Campos Moreno ocurridas e</w:t>
      </w:r>
      <w:r w:rsidRPr="00432ABC">
        <w:rPr>
          <w:rFonts w:ascii="Verdana" w:hAnsi="Verdana"/>
          <w:sz w:val="16"/>
          <w:szCs w:val="16"/>
        </w:rPr>
        <w:t xml:space="preserve">l 18 de octubre de 2009. Dentro de la investigación de estos hechos en la jurisdicción militar, el Sargento Primero Conductor Alberto Hernández de la Cruz rindió su testimonio y señaló la supuesta participación de elementos de dicha Unidad militar y del Coronel Luján Ruiz en la venta ilegal de bienes asegurados al crimen organizado y que “[s]e enter[ó] que en el poblado Benito Juárez levantaron [sic, privaron de la libertad] a una mujer inválida y a un hombre” (expediente de prueba, </w:t>
      </w:r>
      <w:r>
        <w:rPr>
          <w:rFonts w:ascii="Verdana" w:hAnsi="Verdana"/>
          <w:sz w:val="16"/>
          <w:szCs w:val="16"/>
        </w:rPr>
        <w:t>e</w:t>
      </w:r>
      <w:r w:rsidRPr="00432ABC">
        <w:rPr>
          <w:rFonts w:ascii="Verdana" w:hAnsi="Verdana"/>
          <w:sz w:val="16"/>
          <w:szCs w:val="16"/>
        </w:rPr>
        <w:t>xpediente penal, ff. 7774 a 7775; 7780 a 7785, y 7872 a 7877).</w:t>
      </w:r>
    </w:p>
  </w:footnote>
  <w:footnote w:id="195">
    <w:p w14:paraId="64AA61F1" w14:textId="13D9631D" w:rsidR="00146958" w:rsidRPr="00432ABC" w:rsidRDefault="00146958">
      <w:pPr>
        <w:pStyle w:val="FootnoteText"/>
        <w:jc w:val="both"/>
        <w:rPr>
          <w:rFonts w:ascii="Verdana" w:hAnsi="Verdana"/>
          <w:sz w:val="16"/>
          <w:szCs w:val="16"/>
        </w:rPr>
      </w:pPr>
      <w:r w:rsidRPr="00432ABC">
        <w:rPr>
          <w:rStyle w:val="FootnoteReference"/>
          <w:rFonts w:ascii="Verdana" w:hAnsi="Verdana"/>
          <w:sz w:val="16"/>
          <w:szCs w:val="16"/>
        </w:rPr>
        <w:footnoteRef/>
      </w:r>
      <w:r w:rsidRPr="00432ABC">
        <w:rPr>
          <w:rFonts w:ascii="Verdana" w:hAnsi="Verdana"/>
          <w:sz w:val="16"/>
          <w:szCs w:val="16"/>
        </w:rPr>
        <w:t xml:space="preserve">  </w:t>
      </w:r>
      <w:r w:rsidRPr="00432ABC">
        <w:rPr>
          <w:rFonts w:ascii="Verdana" w:hAnsi="Verdana"/>
          <w:sz w:val="16"/>
          <w:szCs w:val="16"/>
        </w:rPr>
        <w:tab/>
      </w:r>
      <w:r w:rsidRPr="00CD5C54">
        <w:rPr>
          <w:rFonts w:ascii="Verdana" w:hAnsi="Verdana"/>
          <w:i/>
          <w:sz w:val="16"/>
          <w:szCs w:val="16"/>
        </w:rPr>
        <w:t>Cfr.</w:t>
      </w:r>
      <w:r w:rsidRPr="002C462C">
        <w:rPr>
          <w:rFonts w:ascii="Verdana" w:hAnsi="Verdana"/>
          <w:sz w:val="16"/>
          <w:szCs w:val="16"/>
        </w:rPr>
        <w:t xml:space="preserve">  Resolución de Segunda Instancia relativo al Toca de Apelación 61/2010 emitida por el Supremo Tribunal Militar el 20 de diciembre de 2010 (expediente de prueba, </w:t>
      </w:r>
      <w:r>
        <w:rPr>
          <w:rFonts w:ascii="Verdana" w:hAnsi="Verdana"/>
          <w:sz w:val="16"/>
          <w:szCs w:val="16"/>
        </w:rPr>
        <w:t>e</w:t>
      </w:r>
      <w:r w:rsidRPr="002C462C">
        <w:rPr>
          <w:rFonts w:ascii="Verdana" w:hAnsi="Verdana"/>
          <w:sz w:val="16"/>
          <w:szCs w:val="16"/>
        </w:rPr>
        <w:t>xpediente penal, f. 787</w:t>
      </w:r>
      <w:r w:rsidRPr="00432ABC">
        <w:rPr>
          <w:rFonts w:ascii="Verdana" w:hAnsi="Verdana"/>
          <w:sz w:val="16"/>
          <w:szCs w:val="16"/>
        </w:rPr>
        <w:t xml:space="preserve">7). </w:t>
      </w:r>
    </w:p>
  </w:footnote>
  <w:footnote w:id="196">
    <w:p w14:paraId="64AA61F2" w14:textId="69B2516A" w:rsidR="00146958" w:rsidRPr="00432ABC" w:rsidRDefault="00146958">
      <w:pPr>
        <w:pStyle w:val="FootnoteText"/>
        <w:jc w:val="both"/>
        <w:rPr>
          <w:rFonts w:ascii="Verdana" w:hAnsi="Verdana"/>
          <w:sz w:val="16"/>
          <w:szCs w:val="16"/>
        </w:rPr>
      </w:pPr>
      <w:r w:rsidRPr="00432ABC">
        <w:rPr>
          <w:rStyle w:val="FootnoteReference"/>
          <w:rFonts w:ascii="Verdana" w:hAnsi="Verdana"/>
          <w:sz w:val="16"/>
          <w:szCs w:val="16"/>
        </w:rPr>
        <w:footnoteRef/>
      </w:r>
      <w:r w:rsidRPr="00432ABC">
        <w:rPr>
          <w:rFonts w:ascii="Verdana" w:hAnsi="Verdana"/>
          <w:sz w:val="16"/>
          <w:szCs w:val="16"/>
        </w:rPr>
        <w:t xml:space="preserve"> </w:t>
      </w:r>
      <w:r w:rsidRPr="00432ABC">
        <w:rPr>
          <w:rFonts w:ascii="Verdana" w:hAnsi="Verdana"/>
          <w:sz w:val="16"/>
          <w:szCs w:val="16"/>
        </w:rPr>
        <w:tab/>
      </w:r>
      <w:r w:rsidRPr="00CD5C54">
        <w:rPr>
          <w:rFonts w:ascii="Verdana" w:hAnsi="Verdana"/>
          <w:i/>
          <w:sz w:val="16"/>
          <w:szCs w:val="16"/>
        </w:rPr>
        <w:t>Cfr.</w:t>
      </w:r>
      <w:r w:rsidRPr="002C462C">
        <w:rPr>
          <w:rFonts w:ascii="Verdana" w:hAnsi="Verdana"/>
          <w:sz w:val="16"/>
          <w:szCs w:val="16"/>
        </w:rPr>
        <w:t xml:space="preserve"> Declaración testimonial de Alberto Hernández de la Cruz rendida el 13 de abril de 2011 ante el AMPM adscrito a la Sección de Averiguaciones Previas de la PGJM en la Ciudad de México (expediente de prueba, </w:t>
      </w:r>
      <w:r>
        <w:rPr>
          <w:rFonts w:ascii="Verdana" w:hAnsi="Verdana"/>
          <w:sz w:val="16"/>
          <w:szCs w:val="16"/>
        </w:rPr>
        <w:t>e</w:t>
      </w:r>
      <w:r w:rsidRPr="002C462C">
        <w:rPr>
          <w:rFonts w:ascii="Verdana" w:hAnsi="Verdana"/>
          <w:sz w:val="16"/>
          <w:szCs w:val="16"/>
        </w:rPr>
        <w:t xml:space="preserve">xpediente penal, ff. 8327 a </w:t>
      </w:r>
      <w:r w:rsidRPr="00432ABC">
        <w:rPr>
          <w:rFonts w:ascii="Verdana" w:hAnsi="Verdana"/>
          <w:sz w:val="16"/>
          <w:szCs w:val="16"/>
        </w:rPr>
        <w:t>8332).</w:t>
      </w:r>
    </w:p>
  </w:footnote>
  <w:footnote w:id="197">
    <w:p w14:paraId="64AA61F3" w14:textId="4C85B2E1" w:rsidR="00146958" w:rsidRPr="002C462C" w:rsidRDefault="00146958">
      <w:pPr>
        <w:pStyle w:val="FootnoteText"/>
        <w:jc w:val="both"/>
        <w:rPr>
          <w:rFonts w:ascii="Verdana" w:hAnsi="Verdana"/>
          <w:sz w:val="16"/>
          <w:szCs w:val="16"/>
        </w:rPr>
      </w:pPr>
      <w:r w:rsidRPr="00432ABC">
        <w:rPr>
          <w:rStyle w:val="FootnoteReference"/>
          <w:rFonts w:ascii="Verdana" w:hAnsi="Verdana"/>
          <w:sz w:val="16"/>
          <w:szCs w:val="16"/>
        </w:rPr>
        <w:footnoteRef/>
      </w:r>
      <w:r w:rsidRPr="00432ABC">
        <w:rPr>
          <w:rFonts w:ascii="Verdana" w:hAnsi="Verdana"/>
          <w:sz w:val="16"/>
          <w:szCs w:val="16"/>
        </w:rPr>
        <w:t xml:space="preserve"> </w:t>
      </w:r>
      <w:r w:rsidRPr="00432ABC">
        <w:rPr>
          <w:rFonts w:ascii="Verdana" w:hAnsi="Verdana"/>
          <w:sz w:val="16"/>
          <w:szCs w:val="16"/>
        </w:rPr>
        <w:tab/>
      </w:r>
      <w:r w:rsidRPr="00CD5C54">
        <w:rPr>
          <w:rFonts w:ascii="Verdana" w:hAnsi="Verdana"/>
          <w:i/>
          <w:sz w:val="16"/>
          <w:szCs w:val="16"/>
        </w:rPr>
        <w:t>Cfr.</w:t>
      </w:r>
      <w:r w:rsidRPr="002C462C">
        <w:rPr>
          <w:rFonts w:ascii="Verdana" w:hAnsi="Verdana"/>
          <w:sz w:val="16"/>
          <w:szCs w:val="16"/>
        </w:rPr>
        <w:t xml:space="preserve"> Declaración de Alberto Hernández de la Cruz rendida el 30 de junio de 2014 ante la UEBPD – PGR (expediente de prueba, f. 28111).</w:t>
      </w:r>
    </w:p>
  </w:footnote>
  <w:footnote w:id="198">
    <w:p w14:paraId="64AA61F4" w14:textId="362CE458" w:rsidR="00146958" w:rsidRPr="002C462C" w:rsidRDefault="00146958">
      <w:pPr>
        <w:pStyle w:val="FootnoteText"/>
        <w:jc w:val="both"/>
        <w:rPr>
          <w:rFonts w:ascii="Verdana" w:hAnsi="Verdana"/>
          <w:sz w:val="16"/>
          <w:szCs w:val="16"/>
        </w:rPr>
      </w:pPr>
      <w:r w:rsidRPr="00432ABC">
        <w:rPr>
          <w:rStyle w:val="FootnoteReference"/>
          <w:rFonts w:ascii="Verdana" w:hAnsi="Verdana"/>
          <w:sz w:val="16"/>
          <w:szCs w:val="16"/>
        </w:rPr>
        <w:footnoteRef/>
      </w:r>
      <w:r w:rsidRPr="00432ABC">
        <w:rPr>
          <w:rFonts w:ascii="Verdana" w:hAnsi="Verdana"/>
          <w:sz w:val="16"/>
          <w:szCs w:val="16"/>
        </w:rPr>
        <w:t xml:space="preserve">  </w:t>
      </w:r>
      <w:r w:rsidRPr="00432ABC">
        <w:rPr>
          <w:rFonts w:ascii="Verdana" w:hAnsi="Verdana"/>
          <w:sz w:val="16"/>
          <w:szCs w:val="16"/>
        </w:rPr>
        <w:tab/>
        <w:t>Pliego de consignación sin detenido de la Averiguación Previa No. A</w:t>
      </w:r>
      <w:r w:rsidRPr="002C462C">
        <w:rPr>
          <w:rFonts w:ascii="Verdana" w:hAnsi="Verdana"/>
          <w:sz w:val="16"/>
          <w:szCs w:val="16"/>
        </w:rPr>
        <w:t>P/PGR/SDHAVSC/M5/66/2013 de 31 de marzo de 2014 (expediente de prueba, f. 372).</w:t>
      </w:r>
    </w:p>
  </w:footnote>
  <w:footnote w:id="199">
    <w:p w14:paraId="64AA61F5" w14:textId="7D9FDB4B" w:rsidR="00146958" w:rsidRPr="00432ABC" w:rsidRDefault="00146958">
      <w:pPr>
        <w:pStyle w:val="FootnoteText"/>
        <w:jc w:val="both"/>
        <w:rPr>
          <w:rFonts w:ascii="Verdana" w:hAnsi="Verdana"/>
          <w:sz w:val="16"/>
          <w:szCs w:val="16"/>
        </w:rPr>
      </w:pPr>
      <w:r w:rsidRPr="00432ABC">
        <w:rPr>
          <w:rStyle w:val="FootnoteReference"/>
          <w:rFonts w:ascii="Verdana" w:hAnsi="Verdana"/>
          <w:sz w:val="16"/>
          <w:szCs w:val="16"/>
        </w:rPr>
        <w:footnoteRef/>
      </w:r>
      <w:r w:rsidRPr="00432ABC">
        <w:rPr>
          <w:rFonts w:ascii="Verdana" w:hAnsi="Verdana"/>
          <w:sz w:val="16"/>
          <w:szCs w:val="16"/>
        </w:rPr>
        <w:t xml:space="preserve"> </w:t>
      </w:r>
      <w:r w:rsidRPr="00432ABC">
        <w:rPr>
          <w:rFonts w:ascii="Verdana" w:hAnsi="Verdana"/>
          <w:sz w:val="16"/>
          <w:szCs w:val="16"/>
        </w:rPr>
        <w:tab/>
      </w:r>
      <w:r w:rsidRPr="00CD5C54">
        <w:rPr>
          <w:rFonts w:ascii="Verdana" w:hAnsi="Verdana"/>
          <w:i/>
          <w:sz w:val="16"/>
          <w:szCs w:val="16"/>
        </w:rPr>
        <w:t>Cfr.</w:t>
      </w:r>
      <w:r w:rsidRPr="002C462C">
        <w:rPr>
          <w:rFonts w:ascii="Verdana" w:hAnsi="Verdana"/>
          <w:i/>
          <w:sz w:val="16"/>
          <w:szCs w:val="16"/>
        </w:rPr>
        <w:t xml:space="preserve"> </w:t>
      </w:r>
      <w:r w:rsidRPr="002C462C">
        <w:rPr>
          <w:rFonts w:ascii="Verdana" w:hAnsi="Verdana"/>
          <w:sz w:val="16"/>
          <w:szCs w:val="16"/>
        </w:rPr>
        <w:t>Declaración de Argene Blásquez Morales rendida el 30 de marzo de 2011 ante el AMPM Auxiliar adscrito a la Cuarta Zona Militar (expedien</w:t>
      </w:r>
      <w:r w:rsidRPr="00432ABC">
        <w:rPr>
          <w:rFonts w:ascii="Verdana" w:hAnsi="Verdana"/>
          <w:sz w:val="16"/>
          <w:szCs w:val="16"/>
        </w:rPr>
        <w:t>te de prueba, f. 28017).</w:t>
      </w:r>
    </w:p>
  </w:footnote>
  <w:footnote w:id="200">
    <w:p w14:paraId="64AA61F6" w14:textId="19BE090E" w:rsidR="00146958" w:rsidRPr="00432ABC" w:rsidRDefault="00146958">
      <w:pPr>
        <w:pStyle w:val="FootnoteText"/>
        <w:jc w:val="both"/>
        <w:rPr>
          <w:rFonts w:ascii="Verdana" w:hAnsi="Verdana"/>
          <w:sz w:val="16"/>
          <w:szCs w:val="16"/>
        </w:rPr>
      </w:pPr>
      <w:r w:rsidRPr="00432ABC">
        <w:rPr>
          <w:rStyle w:val="FootnoteReference"/>
          <w:rFonts w:ascii="Verdana" w:hAnsi="Verdana"/>
          <w:sz w:val="16"/>
          <w:szCs w:val="16"/>
        </w:rPr>
        <w:footnoteRef/>
      </w:r>
      <w:r w:rsidRPr="00432ABC">
        <w:rPr>
          <w:rFonts w:ascii="Verdana" w:hAnsi="Verdana"/>
          <w:sz w:val="16"/>
          <w:szCs w:val="16"/>
        </w:rPr>
        <w:t xml:space="preserve"> </w:t>
      </w:r>
      <w:r w:rsidRPr="00432ABC">
        <w:rPr>
          <w:rFonts w:ascii="Verdana" w:hAnsi="Verdana"/>
          <w:sz w:val="16"/>
          <w:szCs w:val="16"/>
        </w:rPr>
        <w:tab/>
        <w:t>Declaración de Ramón Iván Sotomayor Siller rendida el 12 de marzo de 2010 ante el AMPM – 5ªZM (expediente de prueba, f. 28024).</w:t>
      </w:r>
    </w:p>
  </w:footnote>
  <w:footnote w:id="201">
    <w:p w14:paraId="64AA61F7" w14:textId="18B06394" w:rsidR="00146958" w:rsidRPr="00432ABC" w:rsidRDefault="00146958">
      <w:pPr>
        <w:pStyle w:val="FootnoteText"/>
        <w:jc w:val="both"/>
        <w:rPr>
          <w:rFonts w:ascii="Verdana" w:hAnsi="Verdana"/>
          <w:sz w:val="16"/>
          <w:szCs w:val="16"/>
        </w:rPr>
      </w:pPr>
      <w:r w:rsidRPr="00432ABC">
        <w:rPr>
          <w:rStyle w:val="FootnoteReference"/>
          <w:rFonts w:ascii="Verdana" w:hAnsi="Verdana"/>
          <w:sz w:val="16"/>
          <w:szCs w:val="16"/>
        </w:rPr>
        <w:footnoteRef/>
      </w:r>
      <w:r w:rsidRPr="00432ABC">
        <w:rPr>
          <w:rFonts w:ascii="Verdana" w:hAnsi="Verdana"/>
          <w:sz w:val="16"/>
          <w:szCs w:val="16"/>
        </w:rPr>
        <w:t xml:space="preserve"> </w:t>
      </w:r>
      <w:r w:rsidRPr="00432ABC">
        <w:rPr>
          <w:rFonts w:ascii="Verdana" w:hAnsi="Verdana"/>
          <w:sz w:val="16"/>
          <w:szCs w:val="16"/>
        </w:rPr>
        <w:tab/>
      </w:r>
      <w:r w:rsidRPr="00CD5C54">
        <w:rPr>
          <w:rFonts w:ascii="Verdana" w:hAnsi="Verdana"/>
          <w:i/>
          <w:sz w:val="16"/>
          <w:szCs w:val="16"/>
        </w:rPr>
        <w:t>Cfr.</w:t>
      </w:r>
      <w:r w:rsidRPr="002C462C">
        <w:rPr>
          <w:rFonts w:ascii="Verdana" w:hAnsi="Verdana"/>
          <w:sz w:val="16"/>
          <w:szCs w:val="16"/>
        </w:rPr>
        <w:t xml:space="preserve"> Declaración </w:t>
      </w:r>
      <w:r w:rsidRPr="00432ABC">
        <w:rPr>
          <w:rFonts w:ascii="Verdana" w:hAnsi="Verdana"/>
          <w:sz w:val="16"/>
          <w:szCs w:val="16"/>
        </w:rPr>
        <w:t>testimonial de Damaris Baglietto Hernández rendida el 12 de marzo de 2010 ante el AMPM – 5ªZM (expediente de prueba, f. 28699).</w:t>
      </w:r>
    </w:p>
  </w:footnote>
  <w:footnote w:id="202">
    <w:p w14:paraId="64AA61F8" w14:textId="1E0FC4F0" w:rsidR="00146958" w:rsidRPr="00432ABC" w:rsidRDefault="00146958">
      <w:pPr>
        <w:pStyle w:val="FootnoteText"/>
        <w:jc w:val="both"/>
        <w:rPr>
          <w:rFonts w:ascii="Verdana" w:hAnsi="Verdana"/>
          <w:sz w:val="16"/>
          <w:szCs w:val="16"/>
        </w:rPr>
      </w:pPr>
      <w:r w:rsidRPr="00432ABC">
        <w:rPr>
          <w:rStyle w:val="FootnoteReference"/>
          <w:rFonts w:ascii="Verdana" w:hAnsi="Verdana"/>
          <w:sz w:val="16"/>
          <w:szCs w:val="16"/>
        </w:rPr>
        <w:footnoteRef/>
      </w:r>
      <w:r w:rsidRPr="00432ABC">
        <w:rPr>
          <w:rFonts w:ascii="Verdana" w:hAnsi="Verdana"/>
          <w:sz w:val="16"/>
          <w:szCs w:val="16"/>
        </w:rPr>
        <w:t xml:space="preserve"> </w:t>
      </w:r>
      <w:r w:rsidRPr="00432ABC">
        <w:rPr>
          <w:rFonts w:ascii="Verdana" w:hAnsi="Verdana"/>
          <w:sz w:val="16"/>
          <w:szCs w:val="16"/>
        </w:rPr>
        <w:tab/>
      </w:r>
      <w:r w:rsidRPr="00CD5C54">
        <w:rPr>
          <w:rFonts w:ascii="Verdana" w:hAnsi="Verdana"/>
          <w:i/>
          <w:sz w:val="16"/>
          <w:szCs w:val="16"/>
        </w:rPr>
        <w:t>Cfr.</w:t>
      </w:r>
      <w:r w:rsidRPr="002C462C">
        <w:rPr>
          <w:rFonts w:ascii="Verdana" w:hAnsi="Verdana"/>
          <w:sz w:val="16"/>
          <w:szCs w:val="16"/>
        </w:rPr>
        <w:t xml:space="preserve"> Oficio No. SSP ”C” 22/2010 de 21 de enero de 2010 suscrito por Damaris Baglietto</w:t>
      </w:r>
      <w:r w:rsidRPr="00432ABC">
        <w:rPr>
          <w:rFonts w:ascii="Verdana" w:hAnsi="Verdana"/>
          <w:sz w:val="16"/>
          <w:szCs w:val="16"/>
        </w:rPr>
        <w:t xml:space="preserve"> Hernández, Subdelegada de Procedimientos “C” de la PGR – Chihuahua, dirigido al Comandante de la 5ªZM en Chihuahua (expediente de prueba, </w:t>
      </w:r>
      <w:r>
        <w:rPr>
          <w:rFonts w:ascii="Verdana" w:hAnsi="Verdana"/>
          <w:sz w:val="16"/>
          <w:szCs w:val="16"/>
        </w:rPr>
        <w:t>e</w:t>
      </w:r>
      <w:r w:rsidRPr="00432ABC">
        <w:rPr>
          <w:rFonts w:ascii="Verdana" w:hAnsi="Verdana"/>
          <w:sz w:val="16"/>
          <w:szCs w:val="16"/>
        </w:rPr>
        <w:t xml:space="preserve">xpediente penal, f. 5885). </w:t>
      </w:r>
    </w:p>
  </w:footnote>
  <w:footnote w:id="203">
    <w:p w14:paraId="64AA61F9" w14:textId="30F0DCBD" w:rsidR="00146958" w:rsidRPr="00432ABC" w:rsidRDefault="00146958">
      <w:pPr>
        <w:pStyle w:val="FootnoteText"/>
        <w:jc w:val="both"/>
        <w:rPr>
          <w:rFonts w:ascii="Verdana" w:hAnsi="Verdana"/>
          <w:sz w:val="16"/>
          <w:szCs w:val="16"/>
        </w:rPr>
      </w:pPr>
      <w:r w:rsidRPr="00432ABC">
        <w:rPr>
          <w:rStyle w:val="FootnoteReference"/>
          <w:rFonts w:ascii="Verdana" w:hAnsi="Verdana"/>
          <w:sz w:val="16"/>
          <w:szCs w:val="16"/>
        </w:rPr>
        <w:footnoteRef/>
      </w:r>
      <w:r w:rsidRPr="00432ABC">
        <w:rPr>
          <w:rFonts w:ascii="Verdana" w:hAnsi="Verdana"/>
          <w:sz w:val="16"/>
          <w:szCs w:val="16"/>
        </w:rPr>
        <w:t xml:space="preserve"> </w:t>
      </w:r>
      <w:r w:rsidRPr="00432ABC">
        <w:rPr>
          <w:rFonts w:ascii="Verdana" w:hAnsi="Verdana"/>
          <w:sz w:val="16"/>
          <w:szCs w:val="16"/>
        </w:rPr>
        <w:tab/>
      </w:r>
      <w:r w:rsidRPr="00CD5C54">
        <w:rPr>
          <w:rFonts w:ascii="Verdana" w:hAnsi="Verdana"/>
          <w:i/>
          <w:sz w:val="16"/>
          <w:szCs w:val="16"/>
        </w:rPr>
        <w:t>Cfr.</w:t>
      </w:r>
      <w:r w:rsidRPr="002C462C">
        <w:rPr>
          <w:rFonts w:ascii="Verdana" w:hAnsi="Verdana"/>
          <w:sz w:val="16"/>
          <w:szCs w:val="16"/>
        </w:rPr>
        <w:t xml:space="preserve"> Mensaje S.I.I.O. de 21 de enero de 2010 suscrito por el Comandante del</w:t>
      </w:r>
      <w:r w:rsidRPr="00432ABC">
        <w:rPr>
          <w:rFonts w:ascii="Verdana" w:hAnsi="Verdana"/>
          <w:sz w:val="16"/>
          <w:szCs w:val="16"/>
        </w:rPr>
        <w:t xml:space="preserve"> 35 Batallón de Infantería, dirigido al Comandante de la 5ªZM (expediente de prueba, </w:t>
      </w:r>
      <w:r>
        <w:rPr>
          <w:rFonts w:ascii="Verdana" w:hAnsi="Verdana"/>
          <w:sz w:val="16"/>
          <w:szCs w:val="16"/>
        </w:rPr>
        <w:t>e</w:t>
      </w:r>
      <w:r w:rsidRPr="00432ABC">
        <w:rPr>
          <w:rFonts w:ascii="Verdana" w:hAnsi="Verdana"/>
          <w:sz w:val="16"/>
          <w:szCs w:val="16"/>
        </w:rPr>
        <w:t xml:space="preserve">xpediente </w:t>
      </w:r>
      <w:r>
        <w:rPr>
          <w:rFonts w:ascii="Verdana" w:hAnsi="Verdana"/>
          <w:sz w:val="16"/>
          <w:szCs w:val="16"/>
        </w:rPr>
        <w:t>p</w:t>
      </w:r>
      <w:r w:rsidRPr="00432ABC">
        <w:rPr>
          <w:rFonts w:ascii="Verdana" w:hAnsi="Verdana"/>
          <w:sz w:val="16"/>
          <w:szCs w:val="16"/>
        </w:rPr>
        <w:t xml:space="preserve">enal, f. 5607); Oficio No. SSP “C” 22/2010 de 21 de enero de 2010 suscrito por Damaris Baglietto Hernández dirigido al Comandante de la 5ªZM en Chihuahua, </w:t>
      </w:r>
      <w:r w:rsidRPr="009B6C7B">
        <w:rPr>
          <w:rFonts w:ascii="Verdana" w:hAnsi="Verdana"/>
          <w:i/>
          <w:sz w:val="16"/>
        </w:rPr>
        <w:t>supr</w:t>
      </w:r>
      <w:r w:rsidRPr="0061057A">
        <w:rPr>
          <w:rFonts w:ascii="Verdana" w:hAnsi="Verdana"/>
          <w:i/>
          <w:sz w:val="16"/>
        </w:rPr>
        <w:t>a</w:t>
      </w:r>
      <w:r>
        <w:rPr>
          <w:rFonts w:ascii="Verdana" w:hAnsi="Verdana"/>
          <w:i/>
          <w:sz w:val="16"/>
          <w:szCs w:val="16"/>
        </w:rPr>
        <w:t xml:space="preserve"> </w:t>
      </w:r>
      <w:r>
        <w:rPr>
          <w:rFonts w:ascii="Verdana" w:hAnsi="Verdana"/>
          <w:sz w:val="16"/>
          <w:szCs w:val="16"/>
        </w:rPr>
        <w:t>(expediente de prueba, expediente penal,</w:t>
      </w:r>
      <w:r w:rsidRPr="00432ABC">
        <w:rPr>
          <w:rFonts w:ascii="Verdana" w:hAnsi="Verdana"/>
          <w:i/>
          <w:sz w:val="16"/>
          <w:szCs w:val="16"/>
        </w:rPr>
        <w:t xml:space="preserve"> </w:t>
      </w:r>
      <w:r w:rsidRPr="00432ABC">
        <w:rPr>
          <w:rFonts w:ascii="Verdana" w:hAnsi="Verdana"/>
          <w:sz w:val="16"/>
          <w:szCs w:val="16"/>
        </w:rPr>
        <w:t>f. 5885</w:t>
      </w:r>
      <w:r>
        <w:rPr>
          <w:rFonts w:ascii="Verdana" w:hAnsi="Verdana"/>
          <w:sz w:val="16"/>
          <w:szCs w:val="16"/>
        </w:rPr>
        <w:t>)</w:t>
      </w:r>
      <w:r w:rsidRPr="00432ABC">
        <w:rPr>
          <w:rFonts w:ascii="Verdana" w:hAnsi="Verdana"/>
          <w:sz w:val="16"/>
          <w:szCs w:val="16"/>
        </w:rPr>
        <w:t xml:space="preserve">, y Declaración testimonial de Damaris Baglietto Hernández rendida el 12 de marzo de 2010 ante el AMPM – 5ªZM, </w:t>
      </w:r>
      <w:r w:rsidRPr="00432ABC">
        <w:rPr>
          <w:rFonts w:ascii="Verdana" w:hAnsi="Verdana"/>
          <w:i/>
          <w:sz w:val="16"/>
          <w:szCs w:val="16"/>
        </w:rPr>
        <w:t>supra</w:t>
      </w:r>
      <w:r w:rsidRPr="00432ABC">
        <w:rPr>
          <w:rFonts w:ascii="Verdana" w:hAnsi="Verdana"/>
          <w:sz w:val="16"/>
          <w:szCs w:val="16"/>
        </w:rPr>
        <w:t xml:space="preserve"> </w:t>
      </w:r>
      <w:r>
        <w:rPr>
          <w:rFonts w:ascii="Verdana" w:hAnsi="Verdana"/>
          <w:sz w:val="16"/>
          <w:szCs w:val="16"/>
        </w:rPr>
        <w:t xml:space="preserve">(expediente de prueba, </w:t>
      </w:r>
      <w:r w:rsidRPr="00432ABC">
        <w:rPr>
          <w:rFonts w:ascii="Verdana" w:hAnsi="Verdana"/>
          <w:sz w:val="16"/>
          <w:szCs w:val="16"/>
        </w:rPr>
        <w:t>ff. 28699 a 28700</w:t>
      </w:r>
      <w:r>
        <w:rPr>
          <w:rFonts w:ascii="Verdana" w:hAnsi="Verdana"/>
          <w:sz w:val="16"/>
          <w:szCs w:val="16"/>
        </w:rPr>
        <w:t>)</w:t>
      </w:r>
      <w:r w:rsidRPr="00432ABC">
        <w:rPr>
          <w:rFonts w:ascii="Verdana" w:hAnsi="Verdana"/>
          <w:sz w:val="16"/>
          <w:szCs w:val="16"/>
        </w:rPr>
        <w:t xml:space="preserve">. </w:t>
      </w:r>
    </w:p>
  </w:footnote>
  <w:footnote w:id="204">
    <w:p w14:paraId="64AA61FA" w14:textId="7785EDDD" w:rsidR="00146958" w:rsidRPr="00432ABC" w:rsidRDefault="00146958">
      <w:pPr>
        <w:pStyle w:val="FootnoteText"/>
        <w:jc w:val="both"/>
        <w:rPr>
          <w:rFonts w:ascii="Verdana" w:hAnsi="Verdana"/>
          <w:sz w:val="16"/>
          <w:szCs w:val="16"/>
        </w:rPr>
      </w:pPr>
      <w:r w:rsidRPr="00432ABC">
        <w:rPr>
          <w:rStyle w:val="FootnoteReference"/>
          <w:rFonts w:ascii="Verdana" w:hAnsi="Verdana"/>
          <w:sz w:val="16"/>
          <w:szCs w:val="16"/>
        </w:rPr>
        <w:footnoteRef/>
      </w:r>
      <w:r w:rsidRPr="00432ABC">
        <w:rPr>
          <w:rFonts w:ascii="Verdana" w:hAnsi="Verdana"/>
          <w:sz w:val="16"/>
          <w:szCs w:val="16"/>
        </w:rPr>
        <w:t xml:space="preserve"> </w:t>
      </w:r>
      <w:r w:rsidRPr="00432ABC">
        <w:rPr>
          <w:rFonts w:ascii="Verdana" w:hAnsi="Verdana"/>
          <w:sz w:val="16"/>
          <w:szCs w:val="16"/>
        </w:rPr>
        <w:tab/>
      </w:r>
      <w:r w:rsidRPr="00CD5C54">
        <w:rPr>
          <w:rFonts w:ascii="Verdana" w:hAnsi="Verdana"/>
          <w:i/>
          <w:sz w:val="16"/>
          <w:szCs w:val="16"/>
        </w:rPr>
        <w:t>Cfr.</w:t>
      </w:r>
      <w:r w:rsidRPr="002C462C">
        <w:rPr>
          <w:rFonts w:ascii="Verdana" w:hAnsi="Verdana"/>
          <w:sz w:val="16"/>
          <w:szCs w:val="16"/>
        </w:rPr>
        <w:t xml:space="preserve"> Declaración de Ramón Iván Sotomayor Siller rendida el 17 de abril de 2018 ante la AMPF adsc</w:t>
      </w:r>
      <w:r w:rsidRPr="00432ABC">
        <w:rPr>
          <w:rFonts w:ascii="Verdana" w:hAnsi="Verdana"/>
          <w:sz w:val="16"/>
          <w:szCs w:val="16"/>
        </w:rPr>
        <w:t xml:space="preserve">rita a la FEIDDF - PGR (expediente de prueba, </w:t>
      </w:r>
      <w:r w:rsidRPr="00453199">
        <w:rPr>
          <w:rFonts w:ascii="Verdana" w:hAnsi="Verdana"/>
          <w:i/>
          <w:sz w:val="16"/>
        </w:rPr>
        <w:t>Affidávits</w:t>
      </w:r>
      <w:r w:rsidRPr="00432ABC">
        <w:rPr>
          <w:rFonts w:ascii="Verdana" w:hAnsi="Verdana"/>
          <w:sz w:val="16"/>
          <w:szCs w:val="16"/>
        </w:rPr>
        <w:t>, f. 31220).</w:t>
      </w:r>
    </w:p>
  </w:footnote>
  <w:footnote w:id="205">
    <w:p w14:paraId="64AA61FB" w14:textId="42FEC17E" w:rsidR="00146958" w:rsidRPr="00432ABC" w:rsidRDefault="00146958">
      <w:pPr>
        <w:pStyle w:val="FootnoteText"/>
        <w:jc w:val="both"/>
        <w:rPr>
          <w:rFonts w:ascii="Verdana" w:hAnsi="Verdana"/>
          <w:sz w:val="16"/>
          <w:szCs w:val="16"/>
        </w:rPr>
      </w:pPr>
      <w:r w:rsidRPr="00432ABC">
        <w:rPr>
          <w:rStyle w:val="FootnoteReference"/>
          <w:rFonts w:ascii="Verdana" w:hAnsi="Verdana"/>
          <w:sz w:val="16"/>
          <w:szCs w:val="16"/>
        </w:rPr>
        <w:footnoteRef/>
      </w:r>
      <w:r w:rsidRPr="00432ABC">
        <w:rPr>
          <w:rFonts w:ascii="Verdana" w:hAnsi="Verdana"/>
          <w:sz w:val="16"/>
          <w:szCs w:val="16"/>
        </w:rPr>
        <w:t xml:space="preserve"> </w:t>
      </w:r>
      <w:r w:rsidRPr="00432ABC">
        <w:rPr>
          <w:rFonts w:ascii="Verdana" w:hAnsi="Verdana"/>
          <w:sz w:val="16"/>
          <w:szCs w:val="16"/>
        </w:rPr>
        <w:tab/>
      </w:r>
      <w:r w:rsidRPr="00CD5C54">
        <w:rPr>
          <w:rFonts w:ascii="Verdana" w:hAnsi="Verdana"/>
          <w:i/>
          <w:sz w:val="16"/>
          <w:szCs w:val="16"/>
        </w:rPr>
        <w:t>Cfr.</w:t>
      </w:r>
      <w:r w:rsidRPr="002C462C">
        <w:rPr>
          <w:rFonts w:ascii="Verdana" w:hAnsi="Verdana"/>
          <w:sz w:val="16"/>
          <w:szCs w:val="16"/>
        </w:rPr>
        <w:t xml:space="preserve"> Oficio No. 177/2010 de 22 de febrero de 2010 suscrito por Ramón Iván Sotomayor Siller, AMPF en apoyo de la Agencia Investigadora en Nuevo Casas Grandes, Chihuahua, dirigido a Dama</w:t>
      </w:r>
      <w:r w:rsidRPr="00432ABC">
        <w:rPr>
          <w:rFonts w:ascii="Verdana" w:hAnsi="Verdana"/>
          <w:sz w:val="16"/>
          <w:szCs w:val="16"/>
        </w:rPr>
        <w:t xml:space="preserve">ris Baglietto Hernández, Subdelegada de Procedimientos Penales “C” de la PGR – Chihuahua (expediente de prueba, </w:t>
      </w:r>
      <w:r>
        <w:rPr>
          <w:rFonts w:ascii="Verdana" w:hAnsi="Verdana"/>
          <w:sz w:val="16"/>
          <w:szCs w:val="16"/>
        </w:rPr>
        <w:t>e</w:t>
      </w:r>
      <w:r w:rsidRPr="00432ABC">
        <w:rPr>
          <w:rFonts w:ascii="Verdana" w:hAnsi="Verdana"/>
          <w:sz w:val="16"/>
          <w:szCs w:val="16"/>
        </w:rPr>
        <w:t>xpediente penal, f. 5450).</w:t>
      </w:r>
    </w:p>
  </w:footnote>
  <w:footnote w:id="206">
    <w:p w14:paraId="64AA61FC" w14:textId="5DFBCD96" w:rsidR="00146958" w:rsidRPr="00432ABC" w:rsidRDefault="00146958">
      <w:pPr>
        <w:pStyle w:val="FootnoteText"/>
        <w:jc w:val="both"/>
        <w:rPr>
          <w:rFonts w:ascii="Verdana" w:hAnsi="Verdana"/>
          <w:sz w:val="16"/>
          <w:szCs w:val="16"/>
        </w:rPr>
      </w:pPr>
      <w:r w:rsidRPr="00432ABC">
        <w:rPr>
          <w:rStyle w:val="FootnoteReference"/>
          <w:rFonts w:ascii="Verdana" w:hAnsi="Verdana"/>
          <w:sz w:val="16"/>
          <w:szCs w:val="16"/>
        </w:rPr>
        <w:footnoteRef/>
      </w:r>
      <w:r w:rsidRPr="00432ABC">
        <w:rPr>
          <w:rFonts w:ascii="Verdana" w:hAnsi="Verdana"/>
          <w:sz w:val="16"/>
          <w:szCs w:val="16"/>
        </w:rPr>
        <w:t xml:space="preserve"> </w:t>
      </w:r>
      <w:r w:rsidRPr="00432ABC">
        <w:rPr>
          <w:rFonts w:ascii="Verdana" w:hAnsi="Verdana"/>
          <w:sz w:val="16"/>
          <w:szCs w:val="16"/>
        </w:rPr>
        <w:tab/>
      </w:r>
      <w:r w:rsidRPr="00CD5C54">
        <w:rPr>
          <w:rFonts w:ascii="Verdana" w:hAnsi="Verdana"/>
          <w:i/>
          <w:sz w:val="16"/>
          <w:szCs w:val="16"/>
        </w:rPr>
        <w:t>Cfr.</w:t>
      </w:r>
      <w:r w:rsidRPr="002C462C">
        <w:rPr>
          <w:rFonts w:ascii="Verdana" w:hAnsi="Verdana"/>
          <w:sz w:val="16"/>
          <w:szCs w:val="16"/>
        </w:rPr>
        <w:t xml:space="preserve"> Oficio No. 177/2010 de 22 de febrero de 2010, </w:t>
      </w:r>
      <w:r w:rsidRPr="00432ABC">
        <w:rPr>
          <w:rFonts w:ascii="Verdana" w:hAnsi="Verdana"/>
          <w:i/>
          <w:sz w:val="16"/>
          <w:szCs w:val="16"/>
        </w:rPr>
        <w:t xml:space="preserve">supra </w:t>
      </w:r>
      <w:r>
        <w:rPr>
          <w:rFonts w:ascii="Verdana" w:hAnsi="Verdana"/>
          <w:sz w:val="16"/>
          <w:szCs w:val="16"/>
        </w:rPr>
        <w:t xml:space="preserve">(expediente de prueba, expediente penal, </w:t>
      </w:r>
      <w:r w:rsidRPr="00432ABC">
        <w:rPr>
          <w:rFonts w:ascii="Verdana" w:hAnsi="Verdana"/>
          <w:sz w:val="16"/>
          <w:szCs w:val="16"/>
        </w:rPr>
        <w:t>ff. 5459 a 5450</w:t>
      </w:r>
      <w:r>
        <w:rPr>
          <w:rFonts w:ascii="Verdana" w:hAnsi="Verdana"/>
          <w:sz w:val="16"/>
          <w:szCs w:val="16"/>
        </w:rPr>
        <w:t>)</w:t>
      </w:r>
      <w:r w:rsidRPr="00432ABC">
        <w:rPr>
          <w:rFonts w:ascii="Verdana" w:hAnsi="Verdana"/>
          <w:sz w:val="16"/>
          <w:szCs w:val="16"/>
        </w:rPr>
        <w:t xml:space="preserve">; Declaración de Ramón Iván Sotomayor Siller rendida el 12 de marzo de 2010 ante el AMPM – 5ªZM (expediente de prueba, ff. 475 a 476), y Declaración de Ramón Iván Sotomayor Siller rendida el 17 de abril de 2018 ante la ante la AMPF adscrita a la FEIDDF – PGR, </w:t>
      </w:r>
      <w:r w:rsidRPr="00432ABC">
        <w:rPr>
          <w:rFonts w:ascii="Verdana" w:hAnsi="Verdana"/>
          <w:i/>
          <w:sz w:val="16"/>
          <w:szCs w:val="16"/>
        </w:rPr>
        <w:t>supra</w:t>
      </w:r>
      <w:r>
        <w:rPr>
          <w:rFonts w:ascii="Verdana" w:hAnsi="Verdana"/>
          <w:sz w:val="16"/>
          <w:szCs w:val="16"/>
        </w:rPr>
        <w:t xml:space="preserve"> (expediente de prueba, </w:t>
      </w:r>
      <w:r w:rsidRPr="00453199">
        <w:rPr>
          <w:rFonts w:ascii="Verdana" w:hAnsi="Verdana"/>
          <w:i/>
          <w:sz w:val="16"/>
          <w:szCs w:val="16"/>
        </w:rPr>
        <w:t>Affidávits</w:t>
      </w:r>
      <w:r>
        <w:rPr>
          <w:rFonts w:ascii="Verdana" w:hAnsi="Verdana"/>
          <w:sz w:val="16"/>
          <w:szCs w:val="16"/>
        </w:rPr>
        <w:t xml:space="preserve">, </w:t>
      </w:r>
      <w:r w:rsidRPr="00432ABC">
        <w:rPr>
          <w:rFonts w:ascii="Verdana" w:hAnsi="Verdana"/>
          <w:sz w:val="16"/>
          <w:szCs w:val="16"/>
        </w:rPr>
        <w:t>f. 31221</w:t>
      </w:r>
      <w:r>
        <w:rPr>
          <w:rFonts w:ascii="Verdana" w:hAnsi="Verdana"/>
          <w:sz w:val="16"/>
          <w:szCs w:val="16"/>
        </w:rPr>
        <w:t>)</w:t>
      </w:r>
      <w:r w:rsidRPr="00432ABC">
        <w:rPr>
          <w:rFonts w:ascii="Verdana" w:hAnsi="Verdana"/>
          <w:sz w:val="16"/>
          <w:szCs w:val="16"/>
        </w:rPr>
        <w:t xml:space="preserve">. </w:t>
      </w:r>
    </w:p>
  </w:footnote>
  <w:footnote w:id="207">
    <w:p w14:paraId="64AA61FD" w14:textId="2488A11F" w:rsidR="00146958" w:rsidRPr="00432ABC" w:rsidRDefault="00146958">
      <w:pPr>
        <w:pStyle w:val="FootnoteText"/>
        <w:jc w:val="both"/>
        <w:rPr>
          <w:rFonts w:ascii="Verdana" w:hAnsi="Verdana"/>
          <w:sz w:val="16"/>
          <w:szCs w:val="16"/>
        </w:rPr>
      </w:pPr>
      <w:r w:rsidRPr="00432ABC">
        <w:rPr>
          <w:rStyle w:val="FootnoteReference"/>
          <w:rFonts w:ascii="Verdana" w:hAnsi="Verdana"/>
          <w:sz w:val="16"/>
          <w:szCs w:val="16"/>
        </w:rPr>
        <w:footnoteRef/>
      </w:r>
      <w:r w:rsidRPr="00432ABC">
        <w:rPr>
          <w:rFonts w:ascii="Verdana" w:hAnsi="Verdana"/>
          <w:sz w:val="16"/>
          <w:szCs w:val="16"/>
        </w:rPr>
        <w:t xml:space="preserve"> </w:t>
      </w:r>
      <w:r w:rsidRPr="00432ABC">
        <w:rPr>
          <w:rFonts w:ascii="Verdana" w:hAnsi="Verdana"/>
          <w:sz w:val="16"/>
          <w:szCs w:val="16"/>
        </w:rPr>
        <w:tab/>
      </w:r>
      <w:r w:rsidRPr="00CD5C54">
        <w:rPr>
          <w:rFonts w:ascii="Verdana" w:hAnsi="Verdana"/>
          <w:i/>
          <w:sz w:val="16"/>
          <w:szCs w:val="16"/>
        </w:rPr>
        <w:t>Cfr.</w:t>
      </w:r>
      <w:r w:rsidRPr="002C462C">
        <w:rPr>
          <w:rFonts w:ascii="Verdana" w:hAnsi="Verdana"/>
          <w:sz w:val="16"/>
          <w:szCs w:val="16"/>
        </w:rPr>
        <w:t xml:space="preserve"> Oficio No. 177/2010 de 22 de febrero de 2010, </w:t>
      </w:r>
      <w:r w:rsidRPr="00432ABC">
        <w:rPr>
          <w:rFonts w:ascii="Verdana" w:hAnsi="Verdana"/>
          <w:i/>
          <w:sz w:val="16"/>
          <w:szCs w:val="16"/>
        </w:rPr>
        <w:t>supra</w:t>
      </w:r>
      <w:r>
        <w:rPr>
          <w:rFonts w:ascii="Verdana" w:hAnsi="Verdana"/>
          <w:i/>
          <w:sz w:val="16"/>
          <w:szCs w:val="16"/>
        </w:rPr>
        <w:t xml:space="preserve"> </w:t>
      </w:r>
      <w:r>
        <w:rPr>
          <w:rFonts w:ascii="Verdana" w:hAnsi="Verdana"/>
          <w:sz w:val="16"/>
          <w:szCs w:val="16"/>
        </w:rPr>
        <w:t xml:space="preserve">(expediente de prueba, expediente penal, </w:t>
      </w:r>
      <w:r w:rsidRPr="00432ABC">
        <w:rPr>
          <w:rFonts w:ascii="Verdana" w:hAnsi="Verdana"/>
          <w:sz w:val="16"/>
          <w:szCs w:val="16"/>
        </w:rPr>
        <w:t>f. 5450</w:t>
      </w:r>
      <w:r>
        <w:rPr>
          <w:rFonts w:ascii="Verdana" w:hAnsi="Verdana"/>
          <w:sz w:val="16"/>
          <w:szCs w:val="16"/>
        </w:rPr>
        <w:t>)</w:t>
      </w:r>
      <w:r w:rsidRPr="00432ABC">
        <w:rPr>
          <w:rFonts w:ascii="Verdana" w:hAnsi="Verdana"/>
          <w:sz w:val="16"/>
          <w:szCs w:val="16"/>
        </w:rPr>
        <w:t>.</w:t>
      </w:r>
    </w:p>
  </w:footnote>
  <w:footnote w:id="208">
    <w:p w14:paraId="64AA61FE" w14:textId="324492D7" w:rsidR="00146958" w:rsidRPr="00432ABC" w:rsidRDefault="00146958">
      <w:pPr>
        <w:pStyle w:val="FootnoteText"/>
        <w:jc w:val="both"/>
        <w:rPr>
          <w:rFonts w:ascii="Verdana" w:hAnsi="Verdana"/>
          <w:b/>
          <w:sz w:val="16"/>
          <w:szCs w:val="16"/>
        </w:rPr>
      </w:pPr>
      <w:r w:rsidRPr="00432ABC">
        <w:rPr>
          <w:rStyle w:val="FootnoteReference"/>
          <w:rFonts w:ascii="Verdana" w:hAnsi="Verdana"/>
          <w:sz w:val="16"/>
          <w:szCs w:val="16"/>
        </w:rPr>
        <w:footnoteRef/>
      </w:r>
      <w:r w:rsidRPr="00432ABC">
        <w:rPr>
          <w:rFonts w:ascii="Verdana" w:hAnsi="Verdana"/>
          <w:sz w:val="16"/>
          <w:szCs w:val="16"/>
        </w:rPr>
        <w:t xml:space="preserve"> </w:t>
      </w:r>
      <w:r w:rsidRPr="00432ABC">
        <w:rPr>
          <w:rFonts w:ascii="Verdana" w:hAnsi="Verdana"/>
          <w:sz w:val="16"/>
          <w:szCs w:val="16"/>
        </w:rPr>
        <w:tab/>
      </w:r>
      <w:r w:rsidRPr="00CD5C54">
        <w:rPr>
          <w:rFonts w:ascii="Verdana" w:hAnsi="Verdana"/>
          <w:i/>
          <w:sz w:val="16"/>
          <w:szCs w:val="16"/>
        </w:rPr>
        <w:t>Cfr.</w:t>
      </w:r>
      <w:r w:rsidRPr="002C462C">
        <w:rPr>
          <w:rFonts w:ascii="Verdana" w:hAnsi="Verdana"/>
          <w:sz w:val="16"/>
          <w:szCs w:val="16"/>
        </w:rPr>
        <w:t xml:space="preserve"> Oficio No. PF/CSR/CECH/062/2010 de 27 de enero de 2010 suscrito por el Comisario de la Policía Federal en Chihuahua, dirigido al Comandante de la 5ªZM (e</w:t>
      </w:r>
      <w:r w:rsidRPr="00432ABC">
        <w:rPr>
          <w:rFonts w:ascii="Verdana" w:hAnsi="Verdana"/>
          <w:sz w:val="16"/>
          <w:szCs w:val="16"/>
        </w:rPr>
        <w:t xml:space="preserve">xpediente de prueba, </w:t>
      </w:r>
      <w:r>
        <w:rPr>
          <w:rFonts w:ascii="Verdana" w:hAnsi="Verdana"/>
          <w:sz w:val="16"/>
          <w:szCs w:val="16"/>
        </w:rPr>
        <w:t>e</w:t>
      </w:r>
      <w:r w:rsidRPr="00432ABC">
        <w:rPr>
          <w:rFonts w:ascii="Verdana" w:hAnsi="Verdana"/>
          <w:sz w:val="16"/>
          <w:szCs w:val="16"/>
        </w:rPr>
        <w:t>xpediente penal, f. 5341).</w:t>
      </w:r>
    </w:p>
  </w:footnote>
  <w:footnote w:id="209">
    <w:p w14:paraId="64AA61FF" w14:textId="2E91DD4A" w:rsidR="00146958" w:rsidRPr="00432ABC" w:rsidRDefault="00146958">
      <w:pPr>
        <w:pStyle w:val="FootnoteText"/>
        <w:jc w:val="both"/>
        <w:rPr>
          <w:rFonts w:ascii="Verdana" w:hAnsi="Verdana"/>
          <w:sz w:val="16"/>
          <w:szCs w:val="16"/>
        </w:rPr>
      </w:pPr>
      <w:r w:rsidRPr="00432ABC">
        <w:rPr>
          <w:rStyle w:val="FootnoteReference"/>
          <w:rFonts w:ascii="Verdana" w:hAnsi="Verdana"/>
          <w:sz w:val="16"/>
          <w:szCs w:val="16"/>
        </w:rPr>
        <w:footnoteRef/>
      </w:r>
      <w:r w:rsidRPr="00432ABC">
        <w:rPr>
          <w:rFonts w:ascii="Verdana" w:hAnsi="Verdana"/>
          <w:sz w:val="16"/>
          <w:szCs w:val="16"/>
        </w:rPr>
        <w:t xml:space="preserve"> </w:t>
      </w:r>
      <w:r w:rsidRPr="00432ABC">
        <w:rPr>
          <w:rFonts w:ascii="Verdana" w:hAnsi="Verdana"/>
          <w:sz w:val="16"/>
          <w:szCs w:val="16"/>
        </w:rPr>
        <w:tab/>
      </w:r>
      <w:r w:rsidRPr="00CD5C54">
        <w:rPr>
          <w:rFonts w:ascii="Verdana" w:hAnsi="Verdana"/>
          <w:i/>
          <w:sz w:val="16"/>
          <w:szCs w:val="16"/>
        </w:rPr>
        <w:t>Cfr.</w:t>
      </w:r>
      <w:r w:rsidRPr="002C462C">
        <w:rPr>
          <w:rFonts w:ascii="Verdana" w:hAnsi="Verdana"/>
          <w:sz w:val="16"/>
          <w:szCs w:val="16"/>
        </w:rPr>
        <w:t xml:space="preserve"> Informe No. 197 de 29 de enero de 2010 suscrito por el Comandante de la 5ªZM en Chihuahua, dirigido a DN-1, S-1 (R.H.) en el D.F. [sic] (expediente de prueba, expediente penal, f. 5</w:t>
      </w:r>
      <w:r w:rsidRPr="00432ABC">
        <w:rPr>
          <w:rFonts w:ascii="Verdana" w:hAnsi="Verdana"/>
          <w:sz w:val="16"/>
          <w:szCs w:val="16"/>
        </w:rPr>
        <w:t>333).</w:t>
      </w:r>
    </w:p>
  </w:footnote>
  <w:footnote w:id="210">
    <w:p w14:paraId="64AA6200" w14:textId="5D5F3A6A" w:rsidR="00146958" w:rsidRPr="00432ABC" w:rsidRDefault="00146958">
      <w:pPr>
        <w:pStyle w:val="FootnoteText"/>
        <w:jc w:val="both"/>
        <w:rPr>
          <w:rFonts w:ascii="Verdana" w:hAnsi="Verdana" w:cs="Arial"/>
          <w:sz w:val="16"/>
          <w:szCs w:val="16"/>
        </w:rPr>
      </w:pPr>
      <w:r w:rsidRPr="00432ABC">
        <w:rPr>
          <w:rStyle w:val="FootnoteReference"/>
          <w:rFonts w:ascii="Verdana" w:hAnsi="Verdana"/>
          <w:sz w:val="16"/>
          <w:szCs w:val="16"/>
        </w:rPr>
        <w:footnoteRef/>
      </w:r>
      <w:r w:rsidRPr="00432ABC">
        <w:rPr>
          <w:rFonts w:ascii="Verdana" w:hAnsi="Verdana"/>
          <w:sz w:val="16"/>
          <w:szCs w:val="16"/>
        </w:rPr>
        <w:t xml:space="preserve"> </w:t>
      </w:r>
      <w:r w:rsidRPr="00432ABC">
        <w:rPr>
          <w:rFonts w:ascii="Verdana" w:hAnsi="Verdana"/>
          <w:sz w:val="16"/>
          <w:szCs w:val="16"/>
        </w:rPr>
        <w:tab/>
      </w:r>
      <w:r w:rsidRPr="00CD5C54">
        <w:rPr>
          <w:rFonts w:ascii="Verdana" w:hAnsi="Verdana"/>
          <w:i/>
          <w:sz w:val="16"/>
          <w:szCs w:val="16"/>
        </w:rPr>
        <w:t>Cfr.</w:t>
      </w:r>
      <w:r w:rsidRPr="002C462C">
        <w:rPr>
          <w:rFonts w:ascii="Verdana" w:hAnsi="Verdana"/>
          <w:i/>
          <w:sz w:val="16"/>
          <w:szCs w:val="16"/>
        </w:rPr>
        <w:t xml:space="preserve"> </w:t>
      </w:r>
      <w:r w:rsidRPr="002C462C">
        <w:rPr>
          <w:rFonts w:ascii="Verdana" w:hAnsi="Verdana"/>
          <w:sz w:val="16"/>
          <w:szCs w:val="16"/>
        </w:rPr>
        <w:t xml:space="preserve">Declaración de Argene Blásquez Morales rendida el 30 de marzo de 2011 ante el AMPM Auxiliar adscrito a la Cuarta Zona Militar </w:t>
      </w:r>
      <w:r w:rsidRPr="00432ABC">
        <w:rPr>
          <w:rFonts w:ascii="Verdana" w:hAnsi="Verdana"/>
          <w:i/>
          <w:sz w:val="16"/>
          <w:szCs w:val="16"/>
        </w:rPr>
        <w:t>supra</w:t>
      </w:r>
      <w:r>
        <w:rPr>
          <w:rFonts w:ascii="Verdana" w:hAnsi="Verdana"/>
          <w:sz w:val="16"/>
          <w:szCs w:val="16"/>
        </w:rPr>
        <w:t xml:space="preserve"> (expediente de prueba, </w:t>
      </w:r>
      <w:r w:rsidRPr="00432ABC">
        <w:rPr>
          <w:rFonts w:ascii="Verdana" w:hAnsi="Verdana"/>
          <w:sz w:val="16"/>
          <w:szCs w:val="16"/>
        </w:rPr>
        <w:t>ff. 28017 a 28018</w:t>
      </w:r>
      <w:r>
        <w:rPr>
          <w:rFonts w:ascii="Verdana" w:hAnsi="Verdana"/>
          <w:sz w:val="16"/>
          <w:szCs w:val="16"/>
        </w:rPr>
        <w:t>)</w:t>
      </w:r>
      <w:r w:rsidRPr="00432ABC">
        <w:rPr>
          <w:rFonts w:ascii="Verdana" w:hAnsi="Verdana"/>
          <w:sz w:val="16"/>
          <w:szCs w:val="16"/>
        </w:rPr>
        <w:t xml:space="preserve">, y Declaración de Argene Blásquez Morales rendida el 17 de abril de 2018 ante la AMPF de la FEIDDF - PGR (expediente de prueba, </w:t>
      </w:r>
      <w:r w:rsidRPr="00453199">
        <w:rPr>
          <w:rFonts w:ascii="Verdana" w:hAnsi="Verdana"/>
          <w:i/>
          <w:sz w:val="16"/>
        </w:rPr>
        <w:t>Affidávits</w:t>
      </w:r>
      <w:r w:rsidRPr="00432ABC">
        <w:rPr>
          <w:rFonts w:ascii="Verdana" w:hAnsi="Verdana"/>
          <w:sz w:val="16"/>
          <w:szCs w:val="16"/>
        </w:rPr>
        <w:t xml:space="preserve">, f. 31225). </w:t>
      </w:r>
      <w:r w:rsidRPr="00432ABC">
        <w:rPr>
          <w:rFonts w:ascii="Verdana" w:hAnsi="Verdana"/>
          <w:sz w:val="16"/>
          <w:szCs w:val="16"/>
        </w:rPr>
        <w:tab/>
      </w:r>
    </w:p>
  </w:footnote>
  <w:footnote w:id="211">
    <w:p w14:paraId="64AA6201" w14:textId="38C5A0EA" w:rsidR="00146958" w:rsidRPr="00432ABC" w:rsidRDefault="00146958">
      <w:pPr>
        <w:pStyle w:val="FootnoteText"/>
        <w:jc w:val="both"/>
        <w:rPr>
          <w:rFonts w:ascii="Verdana" w:hAnsi="Verdana"/>
          <w:sz w:val="16"/>
          <w:szCs w:val="16"/>
        </w:rPr>
      </w:pPr>
      <w:r w:rsidRPr="00432ABC">
        <w:rPr>
          <w:rStyle w:val="FootnoteReference"/>
          <w:rFonts w:ascii="Verdana" w:hAnsi="Verdana"/>
          <w:sz w:val="16"/>
          <w:szCs w:val="16"/>
        </w:rPr>
        <w:footnoteRef/>
      </w:r>
      <w:r w:rsidRPr="00432ABC">
        <w:rPr>
          <w:rFonts w:ascii="Verdana" w:hAnsi="Verdana"/>
          <w:sz w:val="16"/>
          <w:szCs w:val="16"/>
        </w:rPr>
        <w:t xml:space="preserve"> </w:t>
      </w:r>
      <w:r w:rsidRPr="00432ABC">
        <w:rPr>
          <w:rFonts w:ascii="Verdana" w:hAnsi="Verdana"/>
          <w:sz w:val="16"/>
          <w:szCs w:val="16"/>
        </w:rPr>
        <w:tab/>
      </w:r>
      <w:r w:rsidRPr="00CD5C54">
        <w:rPr>
          <w:rFonts w:ascii="Verdana" w:hAnsi="Verdana"/>
          <w:i/>
          <w:sz w:val="16"/>
          <w:szCs w:val="16"/>
        </w:rPr>
        <w:t>Cfr.</w:t>
      </w:r>
      <w:r w:rsidRPr="002C462C">
        <w:rPr>
          <w:rFonts w:ascii="Verdana" w:hAnsi="Verdana"/>
          <w:sz w:val="16"/>
          <w:szCs w:val="16"/>
        </w:rPr>
        <w:t xml:space="preserve"> Diagrama de actuaciones para la identificación del supuesto “Comandante Meza de la Policía Federal” (expediente de prueba, ff. 30852, 3085</w:t>
      </w:r>
      <w:r w:rsidRPr="00432ABC">
        <w:rPr>
          <w:rFonts w:ascii="Verdana" w:hAnsi="Verdana"/>
          <w:sz w:val="16"/>
          <w:szCs w:val="16"/>
        </w:rPr>
        <w:t>4, 30856 y 30858)</w:t>
      </w:r>
      <w:r>
        <w:rPr>
          <w:rFonts w:ascii="Verdana" w:hAnsi="Verdana"/>
          <w:sz w:val="16"/>
          <w:szCs w:val="16"/>
        </w:rPr>
        <w:t>.</w:t>
      </w:r>
      <w:r w:rsidRPr="00432ABC">
        <w:rPr>
          <w:rFonts w:ascii="Verdana" w:hAnsi="Verdana"/>
          <w:sz w:val="16"/>
          <w:szCs w:val="16"/>
        </w:rPr>
        <w:t xml:space="preserve"> </w:t>
      </w:r>
    </w:p>
  </w:footnote>
  <w:footnote w:id="212">
    <w:p w14:paraId="64AA6202" w14:textId="76661B09" w:rsidR="00146958" w:rsidRPr="00432ABC" w:rsidRDefault="00146958">
      <w:pPr>
        <w:pStyle w:val="FootnoteText"/>
        <w:jc w:val="both"/>
        <w:rPr>
          <w:rFonts w:ascii="Verdana" w:hAnsi="Verdana"/>
          <w:sz w:val="16"/>
          <w:szCs w:val="16"/>
        </w:rPr>
      </w:pPr>
      <w:r w:rsidRPr="00432ABC">
        <w:rPr>
          <w:rStyle w:val="FootnoteReference"/>
          <w:rFonts w:ascii="Verdana" w:hAnsi="Verdana"/>
          <w:sz w:val="16"/>
          <w:szCs w:val="16"/>
        </w:rPr>
        <w:footnoteRef/>
      </w:r>
      <w:r w:rsidRPr="00432ABC">
        <w:rPr>
          <w:rFonts w:ascii="Verdana" w:hAnsi="Verdana"/>
          <w:sz w:val="16"/>
          <w:szCs w:val="16"/>
        </w:rPr>
        <w:t xml:space="preserve"> </w:t>
      </w:r>
      <w:r w:rsidRPr="00432ABC">
        <w:rPr>
          <w:rFonts w:ascii="Verdana" w:hAnsi="Verdana"/>
          <w:sz w:val="16"/>
          <w:szCs w:val="16"/>
        </w:rPr>
        <w:tab/>
      </w:r>
      <w:r w:rsidRPr="00CD5C54">
        <w:rPr>
          <w:rFonts w:ascii="Verdana" w:hAnsi="Verdana"/>
          <w:i/>
          <w:sz w:val="16"/>
          <w:szCs w:val="16"/>
        </w:rPr>
        <w:t>Cfr.</w:t>
      </w:r>
      <w:r w:rsidRPr="002C462C">
        <w:rPr>
          <w:rFonts w:ascii="Verdana" w:hAnsi="Verdana"/>
          <w:sz w:val="16"/>
          <w:szCs w:val="16"/>
        </w:rPr>
        <w:t xml:space="preserve"> Declaración de testigo protegido [correspondiente a Juana Bustamante Ramos] rendida el 13 de febrero de 2010 ante el AMP de la PGJE - Chihuahua (expediente de prueba, </w:t>
      </w:r>
      <w:r>
        <w:rPr>
          <w:rFonts w:ascii="Verdana" w:hAnsi="Verdana"/>
          <w:sz w:val="16"/>
          <w:szCs w:val="16"/>
        </w:rPr>
        <w:t>e</w:t>
      </w:r>
      <w:r w:rsidRPr="002C462C">
        <w:rPr>
          <w:rFonts w:ascii="Verdana" w:hAnsi="Verdana"/>
          <w:sz w:val="16"/>
          <w:szCs w:val="16"/>
        </w:rPr>
        <w:t>xpediente penal, ff. 6897 a 6899). Con relación al c</w:t>
      </w:r>
      <w:r w:rsidRPr="00432ABC">
        <w:rPr>
          <w:rFonts w:ascii="Verdana" w:hAnsi="Verdana"/>
          <w:sz w:val="16"/>
          <w:szCs w:val="16"/>
        </w:rPr>
        <w:t xml:space="preserve">ontenido de dicha llamada telefónica: </w:t>
      </w:r>
      <w:r w:rsidRPr="00CD5C54">
        <w:rPr>
          <w:rFonts w:ascii="Verdana" w:hAnsi="Verdana"/>
          <w:i/>
          <w:sz w:val="16"/>
          <w:szCs w:val="16"/>
        </w:rPr>
        <w:t>Cfr.</w:t>
      </w:r>
      <w:r w:rsidRPr="00432ABC">
        <w:rPr>
          <w:rFonts w:ascii="Verdana" w:hAnsi="Verdana"/>
          <w:i/>
          <w:sz w:val="16"/>
          <w:szCs w:val="16"/>
        </w:rPr>
        <w:t xml:space="preserve"> </w:t>
      </w:r>
      <w:r w:rsidRPr="00432ABC">
        <w:rPr>
          <w:rFonts w:ascii="Verdana" w:hAnsi="Verdana"/>
          <w:sz w:val="16"/>
          <w:szCs w:val="16"/>
        </w:rPr>
        <w:t xml:space="preserve">Declaración de María de Jesús Alvarado Espinoza rendida el 12 de febrero de 2010 ante el AMP de la PGJE - Chihuahua, </w:t>
      </w:r>
      <w:r w:rsidRPr="00432ABC">
        <w:rPr>
          <w:rFonts w:ascii="Verdana" w:hAnsi="Verdana"/>
          <w:i/>
          <w:sz w:val="16"/>
          <w:szCs w:val="16"/>
        </w:rPr>
        <w:t>supra</w:t>
      </w:r>
      <w:r>
        <w:rPr>
          <w:rFonts w:ascii="Verdana" w:hAnsi="Verdana"/>
          <w:i/>
          <w:sz w:val="16"/>
          <w:szCs w:val="16"/>
        </w:rPr>
        <w:t xml:space="preserve"> </w:t>
      </w:r>
      <w:r>
        <w:rPr>
          <w:rFonts w:ascii="Verdana" w:hAnsi="Verdana"/>
          <w:sz w:val="16"/>
          <w:szCs w:val="16"/>
        </w:rPr>
        <w:t xml:space="preserve">(expediente de prueba, </w:t>
      </w:r>
      <w:r w:rsidRPr="00432ABC">
        <w:rPr>
          <w:rFonts w:ascii="Verdana" w:hAnsi="Verdana"/>
          <w:sz w:val="16"/>
          <w:szCs w:val="16"/>
        </w:rPr>
        <w:t>f. 27907</w:t>
      </w:r>
      <w:r>
        <w:rPr>
          <w:rFonts w:ascii="Verdana" w:hAnsi="Verdana"/>
          <w:sz w:val="16"/>
          <w:szCs w:val="16"/>
        </w:rPr>
        <w:t>)</w:t>
      </w:r>
      <w:r w:rsidRPr="00432ABC">
        <w:rPr>
          <w:rFonts w:ascii="Verdana" w:hAnsi="Verdana"/>
          <w:sz w:val="16"/>
          <w:szCs w:val="16"/>
        </w:rPr>
        <w:t xml:space="preserve">; Declaración de María de Jesús Alvarado de 22 de febrero de 2010 ante la 7ªAMPF </w:t>
      </w:r>
      <w:r>
        <w:rPr>
          <w:rFonts w:ascii="Verdana" w:hAnsi="Verdana"/>
          <w:sz w:val="16"/>
          <w:szCs w:val="16"/>
        </w:rPr>
        <w:t>–</w:t>
      </w:r>
      <w:r w:rsidRPr="00432ABC">
        <w:rPr>
          <w:rFonts w:ascii="Verdana" w:hAnsi="Verdana"/>
          <w:sz w:val="16"/>
          <w:szCs w:val="16"/>
        </w:rPr>
        <w:t xml:space="preserve"> PGR</w:t>
      </w:r>
      <w:r>
        <w:rPr>
          <w:rFonts w:ascii="Verdana" w:hAnsi="Verdana"/>
          <w:sz w:val="16"/>
          <w:szCs w:val="16"/>
        </w:rPr>
        <w:t xml:space="preserve"> </w:t>
      </w:r>
      <w:r w:rsidRPr="00432ABC">
        <w:rPr>
          <w:rFonts w:ascii="Verdana" w:hAnsi="Verdana"/>
          <w:sz w:val="16"/>
          <w:szCs w:val="16"/>
        </w:rPr>
        <w:t xml:space="preserve">(expediente de prueba, ff. 27910 a 27911); Declaración de Verónica Colomo Reyes rendida el 9 de marzo de 2010 ante el AMPM – 5ªZM, </w:t>
      </w:r>
      <w:r w:rsidRPr="00432ABC">
        <w:rPr>
          <w:rFonts w:ascii="Verdana" w:hAnsi="Verdana"/>
          <w:i/>
          <w:sz w:val="16"/>
          <w:szCs w:val="16"/>
        </w:rPr>
        <w:t>supra</w:t>
      </w:r>
      <w:r>
        <w:rPr>
          <w:rFonts w:ascii="Verdana" w:hAnsi="Verdana"/>
          <w:i/>
          <w:sz w:val="16"/>
          <w:szCs w:val="16"/>
        </w:rPr>
        <w:t xml:space="preserve"> </w:t>
      </w:r>
      <w:r>
        <w:rPr>
          <w:rFonts w:ascii="Verdana" w:hAnsi="Verdana"/>
          <w:sz w:val="16"/>
          <w:szCs w:val="16"/>
        </w:rPr>
        <w:t xml:space="preserve">(expediente de prueba, </w:t>
      </w:r>
      <w:r w:rsidRPr="00432ABC">
        <w:rPr>
          <w:rFonts w:ascii="Verdana" w:hAnsi="Verdana"/>
          <w:sz w:val="16"/>
          <w:szCs w:val="16"/>
        </w:rPr>
        <w:t>f. 27951</w:t>
      </w:r>
      <w:r>
        <w:rPr>
          <w:rFonts w:ascii="Verdana" w:hAnsi="Verdana"/>
          <w:sz w:val="16"/>
          <w:szCs w:val="16"/>
        </w:rPr>
        <w:t>)</w:t>
      </w:r>
      <w:r w:rsidRPr="00432ABC">
        <w:rPr>
          <w:rFonts w:ascii="Verdana" w:hAnsi="Verdana"/>
          <w:sz w:val="16"/>
          <w:szCs w:val="16"/>
        </w:rPr>
        <w:t xml:space="preserve">; Declaración de Manuel Reyes Lira rendida el 9 de marzo de 2010 ante el AMPM – 5ªZM, </w:t>
      </w:r>
      <w:r w:rsidRPr="00432ABC">
        <w:rPr>
          <w:rFonts w:ascii="Verdana" w:hAnsi="Verdana"/>
          <w:i/>
          <w:sz w:val="16"/>
          <w:szCs w:val="16"/>
        </w:rPr>
        <w:t>supra</w:t>
      </w:r>
      <w:r>
        <w:rPr>
          <w:rFonts w:ascii="Verdana" w:hAnsi="Verdana"/>
          <w:i/>
          <w:sz w:val="16"/>
          <w:szCs w:val="16"/>
        </w:rPr>
        <w:t xml:space="preserve"> </w:t>
      </w:r>
      <w:r>
        <w:rPr>
          <w:rFonts w:ascii="Verdana" w:hAnsi="Verdana"/>
          <w:sz w:val="16"/>
          <w:szCs w:val="16"/>
        </w:rPr>
        <w:t xml:space="preserve">(expediente de prueba, </w:t>
      </w:r>
      <w:r w:rsidRPr="00432ABC">
        <w:rPr>
          <w:rFonts w:ascii="Verdana" w:hAnsi="Verdana"/>
          <w:sz w:val="16"/>
          <w:szCs w:val="16"/>
        </w:rPr>
        <w:t>f. 27982</w:t>
      </w:r>
      <w:r>
        <w:rPr>
          <w:rFonts w:ascii="Verdana" w:hAnsi="Verdana"/>
          <w:sz w:val="16"/>
          <w:szCs w:val="16"/>
        </w:rPr>
        <w:t>)</w:t>
      </w:r>
      <w:r w:rsidRPr="00432ABC">
        <w:rPr>
          <w:rFonts w:ascii="Verdana" w:hAnsi="Verdana"/>
          <w:sz w:val="16"/>
          <w:szCs w:val="16"/>
        </w:rPr>
        <w:t xml:space="preserve">, y Declaración rendida </w:t>
      </w:r>
      <w:r>
        <w:rPr>
          <w:rFonts w:ascii="Verdana" w:hAnsi="Verdana"/>
          <w:sz w:val="16"/>
          <w:szCs w:val="16"/>
        </w:rPr>
        <w:t>en la Audiencia Pública</w:t>
      </w:r>
      <w:r w:rsidRPr="00432ABC">
        <w:rPr>
          <w:rFonts w:ascii="Verdana" w:hAnsi="Verdana"/>
          <w:sz w:val="16"/>
          <w:szCs w:val="16"/>
        </w:rPr>
        <w:t xml:space="preserve"> ante la Corte por María de Jesús Alvarado Espinoza, </w:t>
      </w:r>
      <w:r w:rsidRPr="00432ABC">
        <w:rPr>
          <w:rFonts w:ascii="Verdana" w:hAnsi="Verdana"/>
          <w:i/>
          <w:sz w:val="16"/>
          <w:szCs w:val="16"/>
        </w:rPr>
        <w:t xml:space="preserve">supra, </w:t>
      </w:r>
      <w:r w:rsidRPr="00432ABC">
        <w:rPr>
          <w:rFonts w:ascii="Verdana" w:hAnsi="Verdana"/>
          <w:sz w:val="16"/>
          <w:szCs w:val="16"/>
        </w:rPr>
        <w:t>pág. 23.</w:t>
      </w:r>
    </w:p>
  </w:footnote>
  <w:footnote w:id="213">
    <w:p w14:paraId="64AA6203" w14:textId="09D427AE" w:rsidR="00146958" w:rsidRPr="00432ABC" w:rsidRDefault="00146958">
      <w:pPr>
        <w:pStyle w:val="FootnoteText"/>
        <w:jc w:val="both"/>
        <w:rPr>
          <w:rFonts w:ascii="Verdana" w:hAnsi="Verdana"/>
          <w:sz w:val="16"/>
          <w:szCs w:val="16"/>
        </w:rPr>
      </w:pPr>
      <w:r w:rsidRPr="00432ABC">
        <w:rPr>
          <w:rStyle w:val="FootnoteReference"/>
          <w:rFonts w:ascii="Verdana" w:hAnsi="Verdana"/>
          <w:sz w:val="16"/>
          <w:szCs w:val="16"/>
        </w:rPr>
        <w:footnoteRef/>
      </w:r>
      <w:r w:rsidRPr="00432ABC">
        <w:rPr>
          <w:rFonts w:ascii="Verdana" w:hAnsi="Verdana"/>
          <w:sz w:val="16"/>
          <w:szCs w:val="16"/>
        </w:rPr>
        <w:t xml:space="preserve"> </w:t>
      </w:r>
      <w:r w:rsidRPr="00432ABC">
        <w:rPr>
          <w:rFonts w:ascii="Verdana" w:hAnsi="Verdana"/>
          <w:sz w:val="16"/>
          <w:szCs w:val="16"/>
        </w:rPr>
        <w:tab/>
      </w:r>
      <w:r w:rsidRPr="00CD5C54">
        <w:rPr>
          <w:rFonts w:ascii="Verdana" w:hAnsi="Verdana"/>
          <w:i/>
          <w:sz w:val="16"/>
          <w:szCs w:val="16"/>
        </w:rPr>
        <w:t>Cfr.</w:t>
      </w:r>
      <w:r w:rsidRPr="002C462C">
        <w:rPr>
          <w:rFonts w:ascii="Verdana" w:hAnsi="Verdana"/>
          <w:sz w:val="16"/>
          <w:szCs w:val="16"/>
        </w:rPr>
        <w:t xml:space="preserve"> Declaración de María de Jesús Alvarado Espinoza rendida el 12 de febrero de 2010 ante el AMP de </w:t>
      </w:r>
      <w:r w:rsidRPr="00432ABC">
        <w:rPr>
          <w:rFonts w:ascii="Verdana" w:hAnsi="Verdana"/>
          <w:sz w:val="16"/>
          <w:szCs w:val="16"/>
        </w:rPr>
        <w:t xml:space="preserve">la PGJE – Chihuahua, </w:t>
      </w:r>
      <w:r w:rsidRPr="00432ABC">
        <w:rPr>
          <w:rFonts w:ascii="Verdana" w:hAnsi="Verdana"/>
          <w:i/>
          <w:sz w:val="16"/>
          <w:szCs w:val="16"/>
        </w:rPr>
        <w:t>supra</w:t>
      </w:r>
      <w:r>
        <w:rPr>
          <w:rFonts w:ascii="Verdana" w:hAnsi="Verdana"/>
          <w:i/>
          <w:sz w:val="16"/>
          <w:szCs w:val="16"/>
        </w:rPr>
        <w:t xml:space="preserve"> </w:t>
      </w:r>
      <w:r>
        <w:rPr>
          <w:rFonts w:ascii="Verdana" w:hAnsi="Verdana"/>
          <w:sz w:val="16"/>
          <w:szCs w:val="16"/>
        </w:rPr>
        <w:t xml:space="preserve">(expediente de prueba, </w:t>
      </w:r>
      <w:r w:rsidRPr="00432ABC">
        <w:rPr>
          <w:rFonts w:ascii="Verdana" w:hAnsi="Verdana"/>
          <w:sz w:val="16"/>
          <w:szCs w:val="16"/>
        </w:rPr>
        <w:t>f. 27907</w:t>
      </w:r>
      <w:r>
        <w:rPr>
          <w:rFonts w:ascii="Verdana" w:hAnsi="Verdana"/>
          <w:sz w:val="16"/>
          <w:szCs w:val="16"/>
        </w:rPr>
        <w:t>)</w:t>
      </w:r>
      <w:r w:rsidRPr="00432ABC">
        <w:rPr>
          <w:rFonts w:ascii="Verdana" w:hAnsi="Verdana"/>
          <w:sz w:val="16"/>
          <w:szCs w:val="16"/>
        </w:rPr>
        <w:t xml:space="preserve">, y Comparecencia de María de Jesús Alvarado de 22 de febrero de 2010 ante la 7ªAMPF – PGR (expediente de prueba, ff. 27910 a 27911). </w:t>
      </w:r>
    </w:p>
  </w:footnote>
  <w:footnote w:id="214">
    <w:p w14:paraId="64AA6204" w14:textId="293B72EA" w:rsidR="00146958" w:rsidRPr="00432ABC" w:rsidRDefault="00146958">
      <w:pPr>
        <w:pStyle w:val="FootnoteText"/>
        <w:jc w:val="both"/>
        <w:rPr>
          <w:rFonts w:ascii="Verdana" w:hAnsi="Verdana"/>
          <w:sz w:val="16"/>
          <w:szCs w:val="16"/>
        </w:rPr>
      </w:pPr>
      <w:r w:rsidRPr="00432ABC">
        <w:rPr>
          <w:rStyle w:val="FootnoteReference"/>
          <w:rFonts w:ascii="Verdana" w:hAnsi="Verdana"/>
          <w:sz w:val="16"/>
          <w:szCs w:val="16"/>
        </w:rPr>
        <w:footnoteRef/>
      </w:r>
      <w:r w:rsidRPr="00432ABC">
        <w:rPr>
          <w:rFonts w:ascii="Verdana" w:hAnsi="Verdana"/>
          <w:sz w:val="16"/>
          <w:szCs w:val="16"/>
        </w:rPr>
        <w:t xml:space="preserve"> </w:t>
      </w:r>
      <w:r w:rsidRPr="00432ABC">
        <w:rPr>
          <w:rFonts w:ascii="Verdana" w:hAnsi="Verdana"/>
          <w:sz w:val="16"/>
          <w:szCs w:val="16"/>
        </w:rPr>
        <w:tab/>
      </w:r>
      <w:r w:rsidRPr="00CD5C54">
        <w:rPr>
          <w:rFonts w:ascii="Verdana" w:hAnsi="Verdana"/>
          <w:i/>
          <w:sz w:val="16"/>
          <w:szCs w:val="16"/>
        </w:rPr>
        <w:t>Cfr.</w:t>
      </w:r>
      <w:r w:rsidRPr="002C462C">
        <w:rPr>
          <w:rFonts w:ascii="Verdana" w:hAnsi="Verdana"/>
          <w:sz w:val="16"/>
          <w:szCs w:val="16"/>
        </w:rPr>
        <w:t xml:space="preserve"> Declaración de testigo protegido [cor</w:t>
      </w:r>
      <w:r w:rsidRPr="00432ABC">
        <w:rPr>
          <w:rFonts w:ascii="Verdana" w:hAnsi="Verdana"/>
          <w:sz w:val="16"/>
          <w:szCs w:val="16"/>
        </w:rPr>
        <w:t>respondiente a Juana Bustamante Ramos] rendida el 13 de febrero de 2010 ante el AMP de la PGJE – Chihuahua</w:t>
      </w:r>
      <w:r w:rsidRPr="00432ABC">
        <w:rPr>
          <w:rFonts w:ascii="Verdana" w:hAnsi="Verdana"/>
          <w:i/>
          <w:sz w:val="16"/>
          <w:szCs w:val="16"/>
        </w:rPr>
        <w:t>, supra</w:t>
      </w:r>
      <w:r>
        <w:rPr>
          <w:rFonts w:ascii="Verdana" w:hAnsi="Verdana"/>
          <w:i/>
          <w:sz w:val="16"/>
          <w:szCs w:val="16"/>
        </w:rPr>
        <w:t xml:space="preserve"> </w:t>
      </w:r>
      <w:r>
        <w:rPr>
          <w:rFonts w:ascii="Verdana" w:hAnsi="Verdana"/>
          <w:sz w:val="16"/>
          <w:szCs w:val="16"/>
        </w:rPr>
        <w:t xml:space="preserve">(expediente de prueba, expediente penal, </w:t>
      </w:r>
      <w:r w:rsidRPr="00432ABC">
        <w:rPr>
          <w:rFonts w:ascii="Verdana" w:hAnsi="Verdana"/>
          <w:sz w:val="16"/>
          <w:szCs w:val="16"/>
        </w:rPr>
        <w:t>ff. 6897 a 6899</w:t>
      </w:r>
      <w:r>
        <w:rPr>
          <w:rFonts w:ascii="Verdana" w:hAnsi="Verdana"/>
          <w:sz w:val="16"/>
          <w:szCs w:val="16"/>
        </w:rPr>
        <w:t>)</w:t>
      </w:r>
      <w:r w:rsidRPr="00432ABC">
        <w:rPr>
          <w:rFonts w:ascii="Verdana" w:hAnsi="Verdana"/>
          <w:sz w:val="16"/>
          <w:szCs w:val="16"/>
        </w:rPr>
        <w:t>.</w:t>
      </w:r>
    </w:p>
  </w:footnote>
  <w:footnote w:id="215">
    <w:p w14:paraId="64AA6205" w14:textId="68504434" w:rsidR="00146958" w:rsidRPr="00432ABC" w:rsidRDefault="00146958">
      <w:pPr>
        <w:pStyle w:val="FootnoteText"/>
        <w:jc w:val="both"/>
        <w:rPr>
          <w:rFonts w:ascii="Verdana" w:hAnsi="Verdana"/>
          <w:sz w:val="16"/>
          <w:szCs w:val="16"/>
          <w:lang w:val="es-AR"/>
        </w:rPr>
      </w:pPr>
      <w:r w:rsidRPr="00432ABC">
        <w:rPr>
          <w:rStyle w:val="FootnoteReference"/>
          <w:rFonts w:ascii="Verdana" w:hAnsi="Verdana"/>
          <w:sz w:val="16"/>
          <w:szCs w:val="16"/>
        </w:rPr>
        <w:footnoteRef/>
      </w:r>
      <w:r w:rsidRPr="00432ABC">
        <w:rPr>
          <w:rFonts w:ascii="Verdana" w:hAnsi="Verdana"/>
          <w:sz w:val="16"/>
          <w:szCs w:val="16"/>
        </w:rPr>
        <w:t xml:space="preserve"> </w:t>
      </w:r>
      <w:r w:rsidRPr="00432ABC">
        <w:rPr>
          <w:rFonts w:ascii="Verdana" w:hAnsi="Verdana"/>
          <w:sz w:val="16"/>
          <w:szCs w:val="16"/>
        </w:rPr>
        <w:tab/>
      </w:r>
      <w:r w:rsidRPr="002C462C">
        <w:rPr>
          <w:rFonts w:ascii="Verdana" w:hAnsi="Verdana" w:cs="Arial"/>
          <w:sz w:val="16"/>
          <w:szCs w:val="16"/>
          <w:lang w:eastAsia="ja-JP"/>
        </w:rPr>
        <w:t xml:space="preserve">En especial se encuentran las practicadas por la FEVIMTRA –PGR, entre las cuales se destacan: a) la solicitud realizada </w:t>
      </w:r>
      <w:r w:rsidRPr="002C462C">
        <w:rPr>
          <w:rFonts w:ascii="Verdana" w:hAnsi="Verdana"/>
          <w:sz w:val="16"/>
          <w:szCs w:val="16"/>
          <w:lang w:val="es-AR"/>
        </w:rPr>
        <w:t>l</w:t>
      </w:r>
      <w:r w:rsidRPr="00432ABC">
        <w:rPr>
          <w:rFonts w:ascii="Verdana" w:hAnsi="Verdana"/>
          <w:sz w:val="16"/>
          <w:szCs w:val="16"/>
          <w:lang w:val="es-AR"/>
        </w:rPr>
        <w:t xml:space="preserve">os días 31 de marzo y 5 de abril de 2010 a las empresas telefónicas TELMEX y PEGASO Comunicaciones y Sistemas para que informaran el nombre o razón social de propietario, “sábanas de registros de llamadas entrantes y salientes” [sic] y “ubicación digital del posicionamiento geográfico o ubicación física de los teléfonos en tiempo real” de las líneas telefónicas relacionadas con dicha supuesta llamada de auxilio. Dicha información fue remitida parcialmente a la autoridad los días 16 y 27 de abril de 2010, y b) Los días 18 de mayo, 23 de junio y 28 de junio de 2010 el Consejo Ciudadano de Seguridad Pública y Procuración de Justicia del Distrito Federal, el CENAPI – PGR y la AFI informaron a la FEVIMTRA que el número telefónico desde la cual se realizó dicha comunicación telefónica estaba vinculado con extorsiones telefónicas previas realizadas desde dos direcciones próximas al Centro Penitenciario Federal de Santa Martha Acatitla en la Ciudad de México. </w:t>
      </w:r>
      <w:r w:rsidRPr="00CD5C54">
        <w:rPr>
          <w:rFonts w:ascii="Verdana" w:hAnsi="Verdana"/>
          <w:i/>
          <w:sz w:val="16"/>
          <w:szCs w:val="16"/>
        </w:rPr>
        <w:t>Cfr.</w:t>
      </w:r>
      <w:r w:rsidRPr="00432ABC">
        <w:rPr>
          <w:rFonts w:ascii="Verdana" w:hAnsi="Verdana"/>
          <w:sz w:val="16"/>
          <w:szCs w:val="16"/>
        </w:rPr>
        <w:t xml:space="preserve"> Oficio PGR/FEVIMTRA/TRA/0200/2010 de 31 de marzo de 2010 (expediente de prueba, </w:t>
      </w:r>
      <w:r>
        <w:rPr>
          <w:rFonts w:ascii="Verdana" w:hAnsi="Verdana"/>
          <w:sz w:val="16"/>
          <w:szCs w:val="16"/>
        </w:rPr>
        <w:t>e</w:t>
      </w:r>
      <w:r w:rsidRPr="00432ABC">
        <w:rPr>
          <w:rFonts w:ascii="Verdana" w:hAnsi="Verdana"/>
          <w:sz w:val="16"/>
          <w:szCs w:val="16"/>
        </w:rPr>
        <w:t>xpediente penal, ff. 13205 a 13207)</w:t>
      </w:r>
      <w:r>
        <w:rPr>
          <w:rFonts w:ascii="Verdana" w:hAnsi="Verdana"/>
          <w:sz w:val="16"/>
          <w:szCs w:val="16"/>
        </w:rPr>
        <w:t>;</w:t>
      </w:r>
      <w:r w:rsidRPr="00432ABC">
        <w:rPr>
          <w:rFonts w:ascii="Verdana" w:hAnsi="Verdana"/>
          <w:sz w:val="16"/>
          <w:szCs w:val="16"/>
        </w:rPr>
        <w:t xml:space="preserve"> Oficio PGR/FEVIMTRA/TRA/0201/2010 de 5 de abril de 2010, ambos dirigidos al </w:t>
      </w:r>
      <w:r w:rsidRPr="00432ABC">
        <w:rPr>
          <w:rFonts w:ascii="Verdana" w:hAnsi="Verdana"/>
          <w:sz w:val="16"/>
          <w:szCs w:val="16"/>
          <w:lang w:val="es-AR"/>
        </w:rPr>
        <w:t xml:space="preserve">Subprocurador de Control Regional, Procedimientos Penales y Amparo de la PGR </w:t>
      </w:r>
      <w:r w:rsidRPr="00432ABC">
        <w:rPr>
          <w:rFonts w:ascii="Verdana" w:hAnsi="Verdana"/>
          <w:sz w:val="16"/>
          <w:szCs w:val="16"/>
        </w:rPr>
        <w:t xml:space="preserve">(expediente de prueba, </w:t>
      </w:r>
      <w:r>
        <w:rPr>
          <w:rFonts w:ascii="Verdana" w:hAnsi="Verdana"/>
          <w:sz w:val="16"/>
          <w:szCs w:val="16"/>
        </w:rPr>
        <w:t>e</w:t>
      </w:r>
      <w:r w:rsidRPr="00432ABC">
        <w:rPr>
          <w:rFonts w:ascii="Verdana" w:hAnsi="Verdana"/>
          <w:sz w:val="16"/>
          <w:szCs w:val="16"/>
        </w:rPr>
        <w:t xml:space="preserve">xpediente penal, f. 13209); Oficio de 16 de abril de 2010 del Apoderado Legal de Pegaso Comunicaciones y Sistemas, S.A. de C.V., dirigido al Coordinador General de Delegaciones de la PGR (expediente de prueba, </w:t>
      </w:r>
      <w:r>
        <w:rPr>
          <w:rFonts w:ascii="Verdana" w:hAnsi="Verdana"/>
          <w:sz w:val="16"/>
          <w:szCs w:val="16"/>
        </w:rPr>
        <w:t>e</w:t>
      </w:r>
      <w:r w:rsidRPr="00432ABC">
        <w:rPr>
          <w:rFonts w:ascii="Verdana" w:hAnsi="Verdana"/>
          <w:sz w:val="16"/>
          <w:szCs w:val="16"/>
        </w:rPr>
        <w:t xml:space="preserve">xpediente penal, f. 13310), y Oficio 05380/2010 de 27 de abril de 2010 del Apoderado Legal de TELMEX, dirigido al Procurador General de la República (expediente de prueba, </w:t>
      </w:r>
      <w:r>
        <w:rPr>
          <w:rFonts w:ascii="Verdana" w:hAnsi="Verdana"/>
          <w:sz w:val="16"/>
          <w:szCs w:val="16"/>
        </w:rPr>
        <w:t>e</w:t>
      </w:r>
      <w:r w:rsidRPr="00432ABC">
        <w:rPr>
          <w:rFonts w:ascii="Verdana" w:hAnsi="Verdana"/>
          <w:sz w:val="16"/>
          <w:szCs w:val="16"/>
        </w:rPr>
        <w:t xml:space="preserve">xpediente penal, f. 13330); Oficio CCSPPJDF/CG/690/2010 de 18 de mayo de 2010 de la Coordinadora General del </w:t>
      </w:r>
      <w:r w:rsidRPr="00432ABC">
        <w:rPr>
          <w:rFonts w:ascii="Verdana" w:hAnsi="Verdana"/>
          <w:sz w:val="16"/>
          <w:szCs w:val="16"/>
          <w:lang w:val="es-AR"/>
        </w:rPr>
        <w:t xml:space="preserve">Consejo Ciudadano de Seguridad Pública y Procuración de Justicia del Distrito Federal </w:t>
      </w:r>
      <w:r w:rsidRPr="00432ABC">
        <w:rPr>
          <w:rFonts w:ascii="Verdana" w:hAnsi="Verdana"/>
          <w:sz w:val="16"/>
          <w:szCs w:val="16"/>
        </w:rPr>
        <w:t xml:space="preserve">(expediente de prueba, </w:t>
      </w:r>
      <w:r>
        <w:rPr>
          <w:rFonts w:ascii="Verdana" w:hAnsi="Verdana"/>
          <w:sz w:val="16"/>
          <w:szCs w:val="16"/>
        </w:rPr>
        <w:t>e</w:t>
      </w:r>
      <w:r w:rsidRPr="00432ABC">
        <w:rPr>
          <w:rFonts w:ascii="Verdana" w:hAnsi="Verdana"/>
          <w:sz w:val="16"/>
          <w:szCs w:val="16"/>
        </w:rPr>
        <w:t xml:space="preserve">xpediente penal, f. 13383); Oficio de 23 de junio de 2010 del Director de Análisis Táctico del CENAPI - PGR (expediente de prueba, </w:t>
      </w:r>
      <w:r>
        <w:rPr>
          <w:rFonts w:ascii="Verdana" w:hAnsi="Verdana"/>
          <w:sz w:val="16"/>
          <w:szCs w:val="16"/>
        </w:rPr>
        <w:t>e</w:t>
      </w:r>
      <w:r w:rsidRPr="00432ABC">
        <w:rPr>
          <w:rFonts w:ascii="Verdana" w:hAnsi="Verdana"/>
          <w:sz w:val="16"/>
          <w:szCs w:val="16"/>
        </w:rPr>
        <w:t xml:space="preserve">xpediente penal, f. 13730), y Oficio AFI/DGIP/DTI/PI/572/2010 de 28 de junio de 2010 de la Dirección Técnica de Investigación de la AFI (expediente de prueba, </w:t>
      </w:r>
      <w:r>
        <w:rPr>
          <w:rFonts w:ascii="Verdana" w:hAnsi="Verdana"/>
          <w:sz w:val="16"/>
          <w:szCs w:val="16"/>
        </w:rPr>
        <w:t>e</w:t>
      </w:r>
      <w:r w:rsidRPr="00432ABC">
        <w:rPr>
          <w:rFonts w:ascii="Verdana" w:hAnsi="Verdana"/>
          <w:sz w:val="16"/>
          <w:szCs w:val="16"/>
        </w:rPr>
        <w:t>xpediente penal, ff. 13741 A 13746).</w:t>
      </w:r>
    </w:p>
  </w:footnote>
  <w:footnote w:id="216">
    <w:p w14:paraId="64AA6206" w14:textId="677BECA1" w:rsidR="00146958" w:rsidRPr="00432ABC" w:rsidRDefault="00146958">
      <w:pPr>
        <w:pStyle w:val="FootnoteText"/>
        <w:jc w:val="both"/>
        <w:rPr>
          <w:rFonts w:ascii="Verdana" w:hAnsi="Verdana"/>
          <w:sz w:val="16"/>
          <w:szCs w:val="16"/>
        </w:rPr>
      </w:pPr>
      <w:r w:rsidRPr="00432ABC">
        <w:rPr>
          <w:rStyle w:val="FootnoteReference"/>
          <w:rFonts w:ascii="Verdana" w:hAnsi="Verdana"/>
          <w:sz w:val="16"/>
          <w:szCs w:val="16"/>
        </w:rPr>
        <w:footnoteRef/>
      </w:r>
      <w:r w:rsidRPr="00432ABC">
        <w:rPr>
          <w:rFonts w:ascii="Verdana" w:hAnsi="Verdana"/>
          <w:sz w:val="16"/>
          <w:szCs w:val="16"/>
        </w:rPr>
        <w:t xml:space="preserve"> </w:t>
      </w:r>
      <w:r w:rsidRPr="00432ABC">
        <w:rPr>
          <w:rFonts w:ascii="Verdana" w:hAnsi="Verdana"/>
          <w:sz w:val="16"/>
          <w:szCs w:val="16"/>
        </w:rPr>
        <w:tab/>
      </w:r>
      <w:r w:rsidRPr="00CD5C54">
        <w:rPr>
          <w:rFonts w:ascii="Verdana" w:hAnsi="Verdana"/>
          <w:i/>
          <w:sz w:val="16"/>
          <w:szCs w:val="16"/>
        </w:rPr>
        <w:t>Cfr.</w:t>
      </w:r>
      <w:r w:rsidRPr="002C462C">
        <w:rPr>
          <w:rFonts w:ascii="Verdana" w:hAnsi="Verdana"/>
          <w:sz w:val="16"/>
          <w:szCs w:val="16"/>
        </w:rPr>
        <w:t xml:space="preserve"> y Oficio AFI/DGIP/D</w:t>
      </w:r>
      <w:r w:rsidRPr="00432ABC">
        <w:rPr>
          <w:rFonts w:ascii="Verdana" w:hAnsi="Verdana"/>
          <w:sz w:val="16"/>
          <w:szCs w:val="16"/>
        </w:rPr>
        <w:t xml:space="preserve">TI/PI/572/2010 de 28 de junio de 2010 de la AFI - PGR, dirigido a la AMPF de la FEVIMTRA – PGR, </w:t>
      </w:r>
      <w:r w:rsidRPr="00432ABC">
        <w:rPr>
          <w:rFonts w:ascii="Verdana" w:hAnsi="Verdana"/>
          <w:i/>
          <w:sz w:val="16"/>
          <w:szCs w:val="16"/>
        </w:rPr>
        <w:t>supra</w:t>
      </w:r>
      <w:r>
        <w:rPr>
          <w:rFonts w:ascii="Verdana" w:hAnsi="Verdana"/>
          <w:sz w:val="16"/>
          <w:szCs w:val="16"/>
        </w:rPr>
        <w:t xml:space="preserve"> (expediente de prueba, </w:t>
      </w:r>
      <w:r w:rsidRPr="00432ABC">
        <w:rPr>
          <w:rFonts w:ascii="Verdana" w:hAnsi="Verdana"/>
          <w:sz w:val="16"/>
          <w:szCs w:val="16"/>
        </w:rPr>
        <w:t xml:space="preserve">ff. 29522 a 29523), y Declaración rendida </w:t>
      </w:r>
      <w:r>
        <w:rPr>
          <w:rFonts w:ascii="Verdana" w:hAnsi="Verdana"/>
          <w:sz w:val="16"/>
          <w:szCs w:val="16"/>
        </w:rPr>
        <w:t xml:space="preserve">en la Audiencia Pública </w:t>
      </w:r>
      <w:r w:rsidRPr="00432ABC">
        <w:rPr>
          <w:rFonts w:ascii="Verdana" w:hAnsi="Verdana"/>
          <w:sz w:val="16"/>
          <w:szCs w:val="16"/>
        </w:rPr>
        <w:t>ante la Corte por Mariana Colín Ayala (Transcripción de la Audiencia Pública, pág. 49).</w:t>
      </w:r>
    </w:p>
  </w:footnote>
  <w:footnote w:id="217">
    <w:p w14:paraId="64AA6207" w14:textId="492643EA" w:rsidR="00146958" w:rsidRPr="00432ABC" w:rsidRDefault="00146958">
      <w:pPr>
        <w:pStyle w:val="FootnoteText"/>
        <w:jc w:val="both"/>
        <w:rPr>
          <w:rFonts w:ascii="Verdana" w:hAnsi="Verdana"/>
          <w:sz w:val="16"/>
          <w:szCs w:val="16"/>
        </w:rPr>
      </w:pPr>
      <w:r w:rsidRPr="00432ABC">
        <w:rPr>
          <w:rStyle w:val="FootnoteReference"/>
          <w:rFonts w:ascii="Verdana" w:hAnsi="Verdana"/>
          <w:sz w:val="16"/>
          <w:szCs w:val="16"/>
        </w:rPr>
        <w:footnoteRef/>
      </w:r>
      <w:r w:rsidRPr="00432ABC">
        <w:rPr>
          <w:rFonts w:ascii="Verdana" w:hAnsi="Verdana"/>
          <w:sz w:val="16"/>
          <w:szCs w:val="16"/>
        </w:rPr>
        <w:t xml:space="preserve"> </w:t>
      </w:r>
      <w:r w:rsidRPr="00432ABC">
        <w:rPr>
          <w:rFonts w:ascii="Verdana" w:hAnsi="Verdana"/>
          <w:sz w:val="16"/>
          <w:szCs w:val="16"/>
        </w:rPr>
        <w:tab/>
      </w:r>
      <w:r w:rsidRPr="00CD5C54">
        <w:rPr>
          <w:rFonts w:ascii="Verdana" w:hAnsi="Verdana"/>
          <w:i/>
          <w:sz w:val="16"/>
          <w:szCs w:val="16"/>
        </w:rPr>
        <w:t>Cfr.</w:t>
      </w:r>
      <w:r w:rsidRPr="002C462C">
        <w:rPr>
          <w:rFonts w:ascii="Verdana" w:hAnsi="Verdana"/>
          <w:sz w:val="16"/>
          <w:szCs w:val="16"/>
        </w:rPr>
        <w:t xml:space="preserve"> Acuerdo de Incompetencia de la Averiguación Previa AP/PGR/FEVIMTRA/TRA009/2010 de 30 de septiembre de 2011 suscrito por la AMPF adscrita a la FEVIMTRA – PGR (expediente de prueb</w:t>
      </w:r>
      <w:r w:rsidRPr="00432ABC">
        <w:rPr>
          <w:rFonts w:ascii="Verdana" w:hAnsi="Verdana"/>
          <w:sz w:val="16"/>
          <w:szCs w:val="16"/>
        </w:rPr>
        <w:t xml:space="preserve">a, </w:t>
      </w:r>
      <w:r>
        <w:rPr>
          <w:rFonts w:ascii="Verdana" w:hAnsi="Verdana"/>
          <w:sz w:val="16"/>
          <w:szCs w:val="16"/>
        </w:rPr>
        <w:t>e</w:t>
      </w:r>
      <w:r w:rsidRPr="00432ABC">
        <w:rPr>
          <w:rFonts w:ascii="Verdana" w:hAnsi="Verdana"/>
          <w:sz w:val="16"/>
          <w:szCs w:val="16"/>
        </w:rPr>
        <w:t>xpediente penal,</w:t>
      </w:r>
      <w:r>
        <w:rPr>
          <w:rFonts w:ascii="Verdana" w:hAnsi="Verdana"/>
          <w:sz w:val="16"/>
          <w:szCs w:val="16"/>
        </w:rPr>
        <w:t xml:space="preserve"> </w:t>
      </w:r>
      <w:r w:rsidRPr="00432ABC">
        <w:rPr>
          <w:rFonts w:ascii="Verdana" w:hAnsi="Verdana"/>
          <w:sz w:val="16"/>
          <w:szCs w:val="16"/>
        </w:rPr>
        <w:t>ff. 16128 y 16131).</w:t>
      </w:r>
    </w:p>
  </w:footnote>
  <w:footnote w:id="218">
    <w:p w14:paraId="64AA6208" w14:textId="46D270F9" w:rsidR="00146958" w:rsidRPr="002C462C" w:rsidRDefault="00146958">
      <w:pPr>
        <w:pStyle w:val="FootnoteText"/>
        <w:jc w:val="both"/>
        <w:rPr>
          <w:rFonts w:ascii="Verdana" w:hAnsi="Verdana"/>
          <w:sz w:val="16"/>
          <w:szCs w:val="16"/>
        </w:rPr>
      </w:pPr>
      <w:r w:rsidRPr="00432ABC">
        <w:rPr>
          <w:rStyle w:val="FootnoteReference"/>
          <w:rFonts w:ascii="Verdana" w:hAnsi="Verdana"/>
          <w:sz w:val="16"/>
          <w:szCs w:val="16"/>
        </w:rPr>
        <w:footnoteRef/>
      </w:r>
      <w:r w:rsidRPr="00432ABC">
        <w:rPr>
          <w:rFonts w:ascii="Verdana" w:hAnsi="Verdana"/>
          <w:sz w:val="16"/>
          <w:szCs w:val="16"/>
        </w:rPr>
        <w:t xml:space="preserve"> </w:t>
      </w:r>
      <w:r w:rsidRPr="00432ABC">
        <w:rPr>
          <w:rFonts w:ascii="Verdana" w:hAnsi="Verdana"/>
          <w:sz w:val="16"/>
          <w:szCs w:val="16"/>
        </w:rPr>
        <w:tab/>
      </w:r>
      <w:r w:rsidRPr="00CD5C54">
        <w:rPr>
          <w:rFonts w:ascii="Verdana" w:hAnsi="Verdana"/>
          <w:i/>
          <w:sz w:val="16"/>
          <w:szCs w:val="16"/>
        </w:rPr>
        <w:t>Cfr.</w:t>
      </w:r>
      <w:r w:rsidRPr="002C462C">
        <w:rPr>
          <w:rFonts w:ascii="Verdana" w:hAnsi="Verdana"/>
          <w:sz w:val="16"/>
          <w:szCs w:val="16"/>
        </w:rPr>
        <w:t xml:space="preserve"> Acta de Denuncia de 31 de diciembre de 2009 (expediente de prueba, Expediente penal, Tomo XI, ff. 4498 a 4499). </w:t>
      </w:r>
    </w:p>
  </w:footnote>
  <w:footnote w:id="219">
    <w:p w14:paraId="64AA6209" w14:textId="783AB2F9" w:rsidR="00146958" w:rsidRPr="00432ABC" w:rsidRDefault="00146958">
      <w:pPr>
        <w:pStyle w:val="FootnoteText"/>
        <w:jc w:val="both"/>
        <w:rPr>
          <w:rFonts w:ascii="Verdana" w:hAnsi="Verdana"/>
          <w:sz w:val="16"/>
          <w:szCs w:val="16"/>
        </w:rPr>
      </w:pPr>
      <w:r w:rsidRPr="00432ABC">
        <w:rPr>
          <w:rStyle w:val="FootnoteReference"/>
          <w:rFonts w:ascii="Verdana" w:hAnsi="Verdana"/>
          <w:sz w:val="16"/>
          <w:szCs w:val="16"/>
        </w:rPr>
        <w:footnoteRef/>
      </w:r>
      <w:r w:rsidRPr="00432ABC">
        <w:rPr>
          <w:rFonts w:ascii="Verdana" w:hAnsi="Verdana"/>
          <w:sz w:val="16"/>
          <w:szCs w:val="16"/>
        </w:rPr>
        <w:t xml:space="preserve"> </w:t>
      </w:r>
      <w:r w:rsidRPr="00432ABC">
        <w:rPr>
          <w:rFonts w:ascii="Verdana" w:hAnsi="Verdana"/>
          <w:sz w:val="16"/>
          <w:szCs w:val="16"/>
        </w:rPr>
        <w:tab/>
      </w:r>
      <w:r w:rsidRPr="00CD5C54">
        <w:rPr>
          <w:rFonts w:ascii="Verdana" w:hAnsi="Verdana"/>
          <w:i/>
          <w:sz w:val="16"/>
          <w:szCs w:val="16"/>
        </w:rPr>
        <w:t>Cfr.</w:t>
      </w:r>
      <w:r w:rsidRPr="002C462C">
        <w:rPr>
          <w:rFonts w:ascii="Verdana" w:hAnsi="Verdana"/>
          <w:sz w:val="16"/>
          <w:szCs w:val="16"/>
        </w:rPr>
        <w:t xml:space="preserve"> Comunicación del Estado dentro de la implementación de las Medidas Cautelare</w:t>
      </w:r>
      <w:r w:rsidRPr="00432ABC">
        <w:rPr>
          <w:rFonts w:ascii="Verdana" w:hAnsi="Verdana"/>
          <w:sz w:val="16"/>
          <w:szCs w:val="16"/>
        </w:rPr>
        <w:t>s MC-55-10 (expediente de prueba, f. 1946), y Acta de Reunión de Trabajo en el marco de la implementación de Medidas Provisionales de 18 de febrero de 2011 (expediente de prueba,</w:t>
      </w:r>
      <w:r>
        <w:rPr>
          <w:rFonts w:ascii="Verdana" w:hAnsi="Verdana"/>
          <w:sz w:val="16"/>
          <w:szCs w:val="16"/>
        </w:rPr>
        <w:t xml:space="preserve"> f. 2121</w:t>
      </w:r>
      <w:r w:rsidRPr="00432ABC">
        <w:rPr>
          <w:rFonts w:ascii="Verdana" w:hAnsi="Verdana"/>
          <w:sz w:val="16"/>
          <w:szCs w:val="16"/>
        </w:rPr>
        <w:t>)</w:t>
      </w:r>
    </w:p>
  </w:footnote>
  <w:footnote w:id="220">
    <w:p w14:paraId="64AA620A" w14:textId="7E820EEA" w:rsidR="00146958" w:rsidRPr="00432ABC" w:rsidRDefault="00146958">
      <w:pPr>
        <w:pStyle w:val="FootnoteText"/>
        <w:jc w:val="both"/>
        <w:rPr>
          <w:rFonts w:ascii="Verdana" w:hAnsi="Verdana"/>
          <w:sz w:val="16"/>
          <w:szCs w:val="16"/>
        </w:rPr>
      </w:pPr>
      <w:r w:rsidRPr="00432ABC">
        <w:rPr>
          <w:rStyle w:val="FootnoteReference"/>
          <w:rFonts w:ascii="Verdana" w:hAnsi="Verdana"/>
          <w:sz w:val="16"/>
          <w:szCs w:val="16"/>
        </w:rPr>
        <w:footnoteRef/>
      </w:r>
      <w:r w:rsidRPr="00432ABC">
        <w:rPr>
          <w:rFonts w:ascii="Verdana" w:hAnsi="Verdana"/>
          <w:sz w:val="16"/>
          <w:szCs w:val="16"/>
        </w:rPr>
        <w:t xml:space="preserve"> </w:t>
      </w:r>
      <w:r w:rsidRPr="00432ABC">
        <w:rPr>
          <w:rFonts w:ascii="Verdana" w:hAnsi="Verdana"/>
          <w:sz w:val="16"/>
          <w:szCs w:val="16"/>
        </w:rPr>
        <w:tab/>
      </w:r>
      <w:r w:rsidRPr="00CD5C54">
        <w:rPr>
          <w:rFonts w:ascii="Verdana" w:hAnsi="Verdana"/>
          <w:i/>
          <w:sz w:val="16"/>
          <w:szCs w:val="16"/>
        </w:rPr>
        <w:t>Cfr.</w:t>
      </w:r>
      <w:r w:rsidRPr="002C462C">
        <w:rPr>
          <w:rFonts w:ascii="Verdana" w:hAnsi="Verdana"/>
          <w:sz w:val="16"/>
          <w:szCs w:val="16"/>
        </w:rPr>
        <w:t xml:space="preserve"> Oficio </w:t>
      </w:r>
      <w:r>
        <w:rPr>
          <w:rFonts w:ascii="Verdana" w:hAnsi="Verdana"/>
          <w:sz w:val="16"/>
          <w:szCs w:val="16"/>
        </w:rPr>
        <w:t>3</w:t>
      </w:r>
      <w:r w:rsidRPr="002C462C">
        <w:rPr>
          <w:rFonts w:ascii="Verdana" w:hAnsi="Verdana"/>
          <w:sz w:val="16"/>
          <w:szCs w:val="16"/>
        </w:rPr>
        <w:t>84/2009 de 31 de diciembre de 2009, dirigido al Coordinador</w:t>
      </w:r>
      <w:r w:rsidRPr="00432ABC">
        <w:rPr>
          <w:rFonts w:ascii="Verdana" w:hAnsi="Verdana"/>
          <w:sz w:val="16"/>
          <w:szCs w:val="16"/>
        </w:rPr>
        <w:t xml:space="preserve"> Especial “B” de la Policía Ministerial de la AEI -Chihuahua  (expediente de prueba, expediente penal, f. 12298).   </w:t>
      </w:r>
    </w:p>
  </w:footnote>
  <w:footnote w:id="221">
    <w:p w14:paraId="64AA620B" w14:textId="69CBC59E" w:rsidR="00146958" w:rsidRPr="00432ABC" w:rsidRDefault="00146958">
      <w:pPr>
        <w:pStyle w:val="FootnoteText"/>
        <w:jc w:val="both"/>
        <w:rPr>
          <w:rFonts w:ascii="Verdana" w:hAnsi="Verdana"/>
          <w:sz w:val="16"/>
          <w:szCs w:val="16"/>
        </w:rPr>
      </w:pPr>
      <w:r w:rsidRPr="00432ABC">
        <w:rPr>
          <w:rStyle w:val="FootnoteReference"/>
          <w:rFonts w:ascii="Verdana" w:hAnsi="Verdana"/>
          <w:sz w:val="16"/>
          <w:szCs w:val="16"/>
        </w:rPr>
        <w:footnoteRef/>
      </w:r>
      <w:r w:rsidRPr="00432ABC">
        <w:rPr>
          <w:rFonts w:ascii="Verdana" w:hAnsi="Verdana"/>
          <w:sz w:val="16"/>
          <w:szCs w:val="16"/>
        </w:rPr>
        <w:t xml:space="preserve"> </w:t>
      </w:r>
      <w:r w:rsidRPr="00432ABC">
        <w:rPr>
          <w:rFonts w:ascii="Verdana" w:hAnsi="Verdana"/>
          <w:sz w:val="16"/>
          <w:szCs w:val="16"/>
        </w:rPr>
        <w:tab/>
      </w:r>
      <w:r w:rsidRPr="00CD5C54">
        <w:rPr>
          <w:rFonts w:ascii="Verdana" w:hAnsi="Verdana"/>
          <w:i/>
          <w:sz w:val="16"/>
          <w:szCs w:val="16"/>
        </w:rPr>
        <w:t>Cfr.</w:t>
      </w:r>
      <w:r w:rsidRPr="002C462C">
        <w:rPr>
          <w:rFonts w:ascii="Verdana" w:hAnsi="Verdana"/>
          <w:sz w:val="16"/>
          <w:szCs w:val="16"/>
        </w:rPr>
        <w:t xml:space="preserve"> Oficio 1656/2010 de 5 de enero de 2010 suscrito por Óscar Arias Ocampo, Agente Ministerial de la Agencia Estatal de Inves</w:t>
      </w:r>
      <w:r w:rsidRPr="00432ABC">
        <w:rPr>
          <w:rFonts w:ascii="Verdana" w:hAnsi="Verdana"/>
          <w:sz w:val="16"/>
          <w:szCs w:val="16"/>
        </w:rPr>
        <w:t xml:space="preserve">tigación en Nuevo Casas Grandes, Chihuahua, dirigido al AAMP - Buenaventura (expediente de prueba, </w:t>
      </w:r>
      <w:r>
        <w:rPr>
          <w:rFonts w:ascii="Verdana" w:hAnsi="Verdana"/>
          <w:sz w:val="16"/>
          <w:szCs w:val="16"/>
        </w:rPr>
        <w:t>e</w:t>
      </w:r>
      <w:r w:rsidRPr="00432ABC">
        <w:rPr>
          <w:rFonts w:ascii="Verdana" w:hAnsi="Verdana"/>
          <w:sz w:val="16"/>
          <w:szCs w:val="16"/>
        </w:rPr>
        <w:t>xpediente pena</w:t>
      </w:r>
      <w:r>
        <w:rPr>
          <w:rFonts w:ascii="Verdana" w:hAnsi="Verdana"/>
          <w:sz w:val="16"/>
          <w:szCs w:val="16"/>
        </w:rPr>
        <w:t xml:space="preserve">l, </w:t>
      </w:r>
      <w:r w:rsidRPr="00432ABC">
        <w:rPr>
          <w:rFonts w:ascii="Verdana" w:hAnsi="Verdana"/>
          <w:sz w:val="16"/>
          <w:szCs w:val="16"/>
        </w:rPr>
        <w:t xml:space="preserve">f. 12299). </w:t>
      </w:r>
    </w:p>
  </w:footnote>
  <w:footnote w:id="222">
    <w:p w14:paraId="64AA620C" w14:textId="652350A9" w:rsidR="00146958" w:rsidRPr="00432ABC" w:rsidRDefault="00146958">
      <w:pPr>
        <w:pStyle w:val="FootnoteText"/>
        <w:jc w:val="both"/>
        <w:rPr>
          <w:rFonts w:ascii="Verdana" w:hAnsi="Verdana"/>
          <w:sz w:val="16"/>
          <w:szCs w:val="16"/>
        </w:rPr>
      </w:pPr>
      <w:r w:rsidRPr="00432ABC">
        <w:rPr>
          <w:rStyle w:val="FootnoteReference"/>
          <w:rFonts w:ascii="Verdana" w:hAnsi="Verdana"/>
          <w:sz w:val="16"/>
          <w:szCs w:val="16"/>
        </w:rPr>
        <w:footnoteRef/>
      </w:r>
      <w:r w:rsidRPr="00432ABC">
        <w:rPr>
          <w:rFonts w:ascii="Verdana" w:hAnsi="Verdana"/>
          <w:sz w:val="16"/>
          <w:szCs w:val="16"/>
        </w:rPr>
        <w:t xml:space="preserve"> </w:t>
      </w:r>
      <w:r w:rsidRPr="002C462C">
        <w:rPr>
          <w:rFonts w:ascii="Verdana" w:hAnsi="Verdana"/>
          <w:sz w:val="16"/>
          <w:szCs w:val="16"/>
        </w:rPr>
        <w:tab/>
      </w:r>
      <w:r w:rsidRPr="00CD5C54">
        <w:rPr>
          <w:rFonts w:ascii="Verdana" w:hAnsi="Verdana"/>
          <w:i/>
          <w:sz w:val="16"/>
          <w:szCs w:val="16"/>
        </w:rPr>
        <w:t>Cfr.</w:t>
      </w:r>
      <w:r w:rsidRPr="002C462C">
        <w:rPr>
          <w:rFonts w:ascii="Verdana" w:hAnsi="Verdana"/>
          <w:i/>
          <w:sz w:val="16"/>
          <w:szCs w:val="16"/>
        </w:rPr>
        <w:t xml:space="preserve"> </w:t>
      </w:r>
      <w:r w:rsidRPr="00432ABC">
        <w:rPr>
          <w:rFonts w:ascii="Verdana" w:hAnsi="Verdana"/>
          <w:sz w:val="16"/>
          <w:szCs w:val="16"/>
        </w:rPr>
        <w:t xml:space="preserve">Declaración de testigo identificado con huella dactilar rendida el 12 de febrero de 2010 ante el AMP de la PGJE - Chihuahua (expediente de prueba, expediente penal, f. 12328).   </w:t>
      </w:r>
    </w:p>
  </w:footnote>
  <w:footnote w:id="223">
    <w:p w14:paraId="64AA620D" w14:textId="3CDBD039" w:rsidR="00146958" w:rsidRPr="00432ABC" w:rsidRDefault="00146958">
      <w:pPr>
        <w:pStyle w:val="FootnoteText"/>
        <w:jc w:val="both"/>
        <w:rPr>
          <w:rFonts w:ascii="Verdana" w:hAnsi="Verdana"/>
          <w:sz w:val="16"/>
          <w:szCs w:val="16"/>
        </w:rPr>
      </w:pPr>
      <w:r w:rsidRPr="00432ABC">
        <w:rPr>
          <w:rStyle w:val="FootnoteReference"/>
          <w:rFonts w:ascii="Verdana" w:hAnsi="Verdana"/>
          <w:sz w:val="16"/>
          <w:szCs w:val="16"/>
        </w:rPr>
        <w:footnoteRef/>
      </w:r>
      <w:r w:rsidRPr="00432ABC">
        <w:rPr>
          <w:rFonts w:ascii="Verdana" w:hAnsi="Verdana"/>
          <w:sz w:val="16"/>
          <w:szCs w:val="16"/>
        </w:rPr>
        <w:t xml:space="preserve"> </w:t>
      </w:r>
      <w:r w:rsidRPr="00432ABC">
        <w:rPr>
          <w:rFonts w:ascii="Verdana" w:hAnsi="Verdana"/>
          <w:sz w:val="16"/>
          <w:szCs w:val="16"/>
        </w:rPr>
        <w:tab/>
      </w:r>
      <w:r w:rsidRPr="00CD5C54">
        <w:rPr>
          <w:rFonts w:ascii="Verdana" w:hAnsi="Verdana"/>
          <w:i/>
          <w:sz w:val="16"/>
          <w:szCs w:val="16"/>
        </w:rPr>
        <w:t>Cfr.</w:t>
      </w:r>
      <w:r w:rsidRPr="002C462C">
        <w:rPr>
          <w:rFonts w:ascii="Verdana" w:hAnsi="Verdana"/>
          <w:sz w:val="16"/>
          <w:szCs w:val="16"/>
        </w:rPr>
        <w:t xml:space="preserve"> Declaración de testigo identificado con huella dactilar rendida el 13 de febrero de 2010 ante el AMP de la PGJE - Chihuahua (expediente de prueba, </w:t>
      </w:r>
      <w:r>
        <w:rPr>
          <w:rFonts w:ascii="Verdana" w:hAnsi="Verdana"/>
          <w:sz w:val="16"/>
          <w:szCs w:val="16"/>
        </w:rPr>
        <w:t>e</w:t>
      </w:r>
      <w:r w:rsidRPr="002C462C">
        <w:rPr>
          <w:rFonts w:ascii="Verdana" w:hAnsi="Verdana"/>
          <w:sz w:val="16"/>
          <w:szCs w:val="16"/>
        </w:rPr>
        <w:t>xpediente penal</w:t>
      </w:r>
      <w:r>
        <w:rPr>
          <w:rFonts w:ascii="Verdana" w:hAnsi="Verdana"/>
          <w:sz w:val="16"/>
          <w:szCs w:val="16"/>
        </w:rPr>
        <w:t xml:space="preserve">, f. </w:t>
      </w:r>
      <w:r w:rsidRPr="00432ABC">
        <w:rPr>
          <w:rFonts w:ascii="Verdana" w:hAnsi="Verdana"/>
          <w:sz w:val="16"/>
          <w:szCs w:val="16"/>
        </w:rPr>
        <w:t xml:space="preserve">12330). La señora Juana Bustamante señaló que identificó la voz de su interlocutor pidiendo ayuda como perteneciente a Nitza Paola </w:t>
      </w:r>
      <w:r w:rsidRPr="00432ABC">
        <w:rPr>
          <w:rFonts w:ascii="Verdana" w:hAnsi="Verdana" w:cs="Cambria"/>
          <w:sz w:val="16"/>
          <w:szCs w:val="16"/>
        </w:rPr>
        <w:t>en razón de que “toda [su] vida h[a] vivido en [el Ejido Benito Juárez]</w:t>
      </w:r>
      <w:r w:rsidRPr="00432ABC">
        <w:rPr>
          <w:rFonts w:ascii="Verdana" w:hAnsi="Verdana"/>
          <w:sz w:val="16"/>
          <w:szCs w:val="16"/>
        </w:rPr>
        <w:t xml:space="preserve"> y a sus familiares que se encuentran perdidos, de hecho [ella] le bauti[zó] a las hijas de Nitza”. Asimismo, declaró que escuchó “una voz de una persona del sexo masculino tipo chilango y como que le dijo a otra persona ‘para qué la dejastes’ [sic] […]”. </w:t>
      </w:r>
      <w:r w:rsidRPr="00CD5C54">
        <w:rPr>
          <w:rFonts w:ascii="Verdana" w:hAnsi="Verdana"/>
          <w:i/>
          <w:sz w:val="16"/>
          <w:szCs w:val="16"/>
        </w:rPr>
        <w:t>Cfr.</w:t>
      </w:r>
      <w:r w:rsidRPr="00432ABC">
        <w:rPr>
          <w:rFonts w:ascii="Verdana" w:hAnsi="Verdana"/>
          <w:sz w:val="16"/>
          <w:szCs w:val="16"/>
        </w:rPr>
        <w:t xml:space="preserve"> Declaración rendida por María de Jesús Alvarado Espinoza ante la Corte en la Audiencia Pública</w:t>
      </w:r>
      <w:r w:rsidRPr="00432ABC">
        <w:rPr>
          <w:rFonts w:ascii="Verdana" w:hAnsi="Verdana"/>
          <w:i/>
          <w:sz w:val="16"/>
          <w:szCs w:val="16"/>
        </w:rPr>
        <w:t>, supra</w:t>
      </w:r>
      <w:r w:rsidRPr="00432ABC">
        <w:rPr>
          <w:rFonts w:ascii="Verdana" w:hAnsi="Verdana"/>
          <w:sz w:val="16"/>
          <w:szCs w:val="16"/>
        </w:rPr>
        <w:t xml:space="preserve"> pág. 27. </w:t>
      </w:r>
    </w:p>
  </w:footnote>
  <w:footnote w:id="224">
    <w:p w14:paraId="64AA620E" w14:textId="61835DE8" w:rsidR="00146958" w:rsidRPr="00432ABC" w:rsidRDefault="00146958">
      <w:pPr>
        <w:pStyle w:val="FootnoteText"/>
        <w:jc w:val="both"/>
        <w:rPr>
          <w:rFonts w:ascii="Verdana" w:hAnsi="Verdana"/>
          <w:sz w:val="16"/>
          <w:szCs w:val="16"/>
        </w:rPr>
      </w:pPr>
      <w:r w:rsidRPr="00432ABC">
        <w:rPr>
          <w:rStyle w:val="FootnoteReference"/>
          <w:rFonts w:ascii="Verdana" w:hAnsi="Verdana"/>
          <w:sz w:val="16"/>
          <w:szCs w:val="16"/>
        </w:rPr>
        <w:footnoteRef/>
      </w:r>
      <w:r w:rsidRPr="00432ABC">
        <w:rPr>
          <w:rFonts w:ascii="Verdana" w:hAnsi="Verdana"/>
          <w:sz w:val="16"/>
          <w:szCs w:val="16"/>
        </w:rPr>
        <w:t xml:space="preserve"> </w:t>
      </w:r>
      <w:r w:rsidRPr="00432ABC">
        <w:rPr>
          <w:rFonts w:ascii="Verdana" w:hAnsi="Verdana"/>
          <w:sz w:val="16"/>
          <w:szCs w:val="16"/>
        </w:rPr>
        <w:tab/>
      </w:r>
      <w:r w:rsidRPr="00CD5C54">
        <w:rPr>
          <w:rFonts w:ascii="Verdana" w:hAnsi="Verdana"/>
          <w:i/>
          <w:sz w:val="16"/>
          <w:szCs w:val="16"/>
        </w:rPr>
        <w:t>Cfr.</w:t>
      </w:r>
      <w:r w:rsidRPr="002C462C">
        <w:rPr>
          <w:rFonts w:ascii="Verdana" w:hAnsi="Verdana"/>
          <w:sz w:val="16"/>
          <w:szCs w:val="16"/>
        </w:rPr>
        <w:t xml:space="preserve"> Oficio CU-030-10 de 9 de febrero de 2010 suscrito por el Representante Legal de TELMEX, dirigido a la titular de la PGJE - Chihuahua (expediente de prueba, </w:t>
      </w:r>
      <w:r>
        <w:rPr>
          <w:rFonts w:ascii="Verdana" w:hAnsi="Verdana"/>
          <w:sz w:val="16"/>
          <w:szCs w:val="16"/>
        </w:rPr>
        <w:t>e</w:t>
      </w:r>
      <w:r w:rsidRPr="002C462C">
        <w:rPr>
          <w:rFonts w:ascii="Verdana" w:hAnsi="Verdana"/>
          <w:sz w:val="16"/>
          <w:szCs w:val="16"/>
        </w:rPr>
        <w:t xml:space="preserve">xpediente penal, </w:t>
      </w:r>
      <w:r w:rsidRPr="00432ABC">
        <w:rPr>
          <w:rFonts w:ascii="Verdana" w:hAnsi="Verdana"/>
          <w:sz w:val="16"/>
          <w:szCs w:val="16"/>
        </w:rPr>
        <w:t xml:space="preserve">f. 12321). </w:t>
      </w:r>
    </w:p>
  </w:footnote>
  <w:footnote w:id="225">
    <w:p w14:paraId="64AA620F" w14:textId="7E9B7F88" w:rsidR="00146958" w:rsidRPr="00432ABC" w:rsidRDefault="00146958">
      <w:pPr>
        <w:pStyle w:val="FootnoteText"/>
        <w:jc w:val="both"/>
        <w:rPr>
          <w:rFonts w:ascii="Verdana" w:hAnsi="Verdana"/>
          <w:i/>
          <w:sz w:val="16"/>
          <w:szCs w:val="16"/>
        </w:rPr>
      </w:pPr>
      <w:r w:rsidRPr="00432ABC">
        <w:rPr>
          <w:rStyle w:val="FootnoteReference"/>
          <w:rFonts w:ascii="Verdana" w:hAnsi="Verdana"/>
          <w:sz w:val="16"/>
          <w:szCs w:val="16"/>
        </w:rPr>
        <w:footnoteRef/>
      </w:r>
      <w:r w:rsidRPr="00432ABC">
        <w:rPr>
          <w:rFonts w:ascii="Verdana" w:hAnsi="Verdana"/>
          <w:sz w:val="16"/>
          <w:szCs w:val="16"/>
        </w:rPr>
        <w:t xml:space="preserve">  </w:t>
      </w:r>
      <w:r w:rsidRPr="00432ABC">
        <w:rPr>
          <w:rFonts w:ascii="Verdana" w:hAnsi="Verdana"/>
          <w:sz w:val="16"/>
          <w:szCs w:val="16"/>
        </w:rPr>
        <w:tab/>
      </w:r>
      <w:r w:rsidRPr="00CD5C54">
        <w:rPr>
          <w:rFonts w:ascii="Verdana" w:hAnsi="Verdana"/>
          <w:i/>
          <w:sz w:val="16"/>
          <w:szCs w:val="16"/>
        </w:rPr>
        <w:t>Cfr.</w:t>
      </w:r>
      <w:r w:rsidRPr="002C462C">
        <w:rPr>
          <w:rFonts w:ascii="Verdana" w:hAnsi="Verdana"/>
          <w:sz w:val="16"/>
          <w:szCs w:val="16"/>
        </w:rPr>
        <w:t xml:space="preserve"> Registro de “comportamiento telefónico” anexo al </w:t>
      </w:r>
      <w:r>
        <w:rPr>
          <w:rFonts w:ascii="Verdana" w:hAnsi="Verdana"/>
          <w:sz w:val="16"/>
          <w:szCs w:val="16"/>
        </w:rPr>
        <w:t>o</w:t>
      </w:r>
      <w:r w:rsidRPr="002C462C">
        <w:rPr>
          <w:rFonts w:ascii="Verdana" w:hAnsi="Verdana"/>
          <w:sz w:val="16"/>
          <w:szCs w:val="16"/>
        </w:rPr>
        <w:t xml:space="preserve">ficio CU-030-10 de 9 de febrero de 2010, </w:t>
      </w:r>
      <w:r w:rsidRPr="00432ABC">
        <w:rPr>
          <w:rFonts w:ascii="Verdana" w:hAnsi="Verdana"/>
          <w:i/>
          <w:sz w:val="16"/>
          <w:szCs w:val="16"/>
        </w:rPr>
        <w:t xml:space="preserve">supra </w:t>
      </w:r>
      <w:r w:rsidRPr="00432ABC">
        <w:rPr>
          <w:rFonts w:ascii="Verdana" w:hAnsi="Verdana"/>
          <w:sz w:val="16"/>
          <w:szCs w:val="16"/>
        </w:rPr>
        <w:t xml:space="preserve">f. 12324. </w:t>
      </w:r>
      <w:r w:rsidRPr="00432ABC">
        <w:rPr>
          <w:rFonts w:ascii="Verdana" w:hAnsi="Verdana"/>
          <w:i/>
          <w:sz w:val="16"/>
          <w:szCs w:val="16"/>
        </w:rPr>
        <w:t xml:space="preserve"> </w:t>
      </w:r>
    </w:p>
  </w:footnote>
  <w:footnote w:id="226">
    <w:p w14:paraId="64AA6210" w14:textId="5D25CD37" w:rsidR="00146958" w:rsidRPr="00432ABC" w:rsidRDefault="00146958">
      <w:pPr>
        <w:pStyle w:val="FootnoteText"/>
        <w:jc w:val="both"/>
        <w:rPr>
          <w:rFonts w:ascii="Verdana" w:hAnsi="Verdana"/>
          <w:sz w:val="16"/>
          <w:szCs w:val="16"/>
        </w:rPr>
      </w:pPr>
      <w:r w:rsidRPr="00432ABC">
        <w:rPr>
          <w:rStyle w:val="FootnoteReference"/>
          <w:rFonts w:ascii="Verdana" w:hAnsi="Verdana"/>
          <w:sz w:val="16"/>
          <w:szCs w:val="16"/>
        </w:rPr>
        <w:footnoteRef/>
      </w:r>
      <w:r w:rsidRPr="00432ABC">
        <w:rPr>
          <w:rFonts w:ascii="Verdana" w:hAnsi="Verdana"/>
          <w:sz w:val="16"/>
          <w:szCs w:val="16"/>
        </w:rPr>
        <w:t xml:space="preserve"> </w:t>
      </w:r>
      <w:r w:rsidRPr="00432ABC">
        <w:rPr>
          <w:rFonts w:ascii="Verdana" w:hAnsi="Verdana"/>
          <w:sz w:val="16"/>
          <w:szCs w:val="16"/>
        </w:rPr>
        <w:tab/>
      </w:r>
      <w:r w:rsidRPr="00CD5C54">
        <w:rPr>
          <w:rFonts w:ascii="Verdana" w:hAnsi="Verdana"/>
          <w:i/>
          <w:sz w:val="16"/>
          <w:szCs w:val="16"/>
        </w:rPr>
        <w:t>Cfr.</w:t>
      </w:r>
      <w:r w:rsidRPr="002C462C">
        <w:rPr>
          <w:rFonts w:ascii="Verdana" w:hAnsi="Verdana"/>
          <w:sz w:val="16"/>
          <w:szCs w:val="16"/>
        </w:rPr>
        <w:t xml:space="preserve"> Comparecencia de María de Jesús Alvarado de 15 de febrero de 2010 ante el AMP adscrito a la </w:t>
      </w:r>
      <w:r w:rsidRPr="00432ABC">
        <w:rPr>
          <w:rFonts w:ascii="Verdana" w:hAnsi="Verdana" w:cs="Cambria"/>
          <w:sz w:val="16"/>
          <w:szCs w:val="16"/>
        </w:rPr>
        <w:t>UEIPAE - Chihuahua</w:t>
      </w:r>
      <w:r w:rsidRPr="00432ABC" w:rsidDel="00942E1E">
        <w:rPr>
          <w:rFonts w:ascii="Verdana" w:hAnsi="Verdana"/>
          <w:sz w:val="16"/>
          <w:szCs w:val="16"/>
        </w:rPr>
        <w:t xml:space="preserve"> </w:t>
      </w:r>
      <w:r w:rsidRPr="00432ABC">
        <w:rPr>
          <w:rFonts w:ascii="Verdana" w:hAnsi="Verdana"/>
          <w:sz w:val="16"/>
          <w:szCs w:val="16"/>
        </w:rPr>
        <w:t xml:space="preserve">(expediente de prueba, </w:t>
      </w:r>
      <w:r>
        <w:rPr>
          <w:rFonts w:ascii="Verdana" w:hAnsi="Verdana"/>
          <w:sz w:val="16"/>
          <w:szCs w:val="16"/>
        </w:rPr>
        <w:t>e</w:t>
      </w:r>
      <w:r w:rsidRPr="00432ABC">
        <w:rPr>
          <w:rFonts w:ascii="Verdana" w:hAnsi="Verdana"/>
          <w:sz w:val="16"/>
          <w:szCs w:val="16"/>
        </w:rPr>
        <w:t xml:space="preserve">xpediente penal, f. 12333). </w:t>
      </w:r>
    </w:p>
  </w:footnote>
  <w:footnote w:id="227">
    <w:p w14:paraId="64AA6211" w14:textId="138E1FB6" w:rsidR="00146958" w:rsidRPr="00432ABC" w:rsidRDefault="00146958">
      <w:pPr>
        <w:pStyle w:val="FootnoteText"/>
        <w:jc w:val="both"/>
        <w:rPr>
          <w:rFonts w:ascii="Verdana" w:hAnsi="Verdana"/>
          <w:sz w:val="16"/>
          <w:szCs w:val="16"/>
        </w:rPr>
      </w:pPr>
      <w:r w:rsidRPr="00432ABC">
        <w:rPr>
          <w:rStyle w:val="FootnoteReference"/>
          <w:rFonts w:ascii="Verdana" w:hAnsi="Verdana"/>
          <w:sz w:val="16"/>
          <w:szCs w:val="16"/>
        </w:rPr>
        <w:footnoteRef/>
      </w:r>
      <w:r w:rsidRPr="00432ABC">
        <w:rPr>
          <w:rFonts w:ascii="Verdana" w:hAnsi="Verdana"/>
          <w:sz w:val="16"/>
          <w:szCs w:val="16"/>
        </w:rPr>
        <w:t xml:space="preserve"> </w:t>
      </w:r>
      <w:r w:rsidRPr="00432ABC">
        <w:rPr>
          <w:rFonts w:ascii="Verdana" w:hAnsi="Verdana"/>
          <w:sz w:val="16"/>
          <w:szCs w:val="16"/>
        </w:rPr>
        <w:tab/>
      </w:r>
      <w:r w:rsidRPr="00CD5C54">
        <w:rPr>
          <w:rFonts w:ascii="Verdana" w:hAnsi="Verdana"/>
          <w:i/>
          <w:sz w:val="16"/>
          <w:szCs w:val="16"/>
        </w:rPr>
        <w:t>Cfr.</w:t>
      </w:r>
      <w:r w:rsidRPr="002C462C">
        <w:rPr>
          <w:rFonts w:ascii="Verdana" w:hAnsi="Verdana"/>
          <w:i/>
          <w:sz w:val="16"/>
          <w:szCs w:val="16"/>
        </w:rPr>
        <w:t xml:space="preserve"> </w:t>
      </w:r>
      <w:r w:rsidRPr="002C462C">
        <w:rPr>
          <w:rFonts w:ascii="Verdana" w:hAnsi="Verdana"/>
          <w:sz w:val="16"/>
          <w:szCs w:val="16"/>
        </w:rPr>
        <w:t xml:space="preserve"> Acuerdo de devolución de vehículo de 15 de febrero de 2010 suscrito por el AMP adscrito a la </w:t>
      </w:r>
      <w:r w:rsidRPr="00432ABC">
        <w:rPr>
          <w:rFonts w:ascii="Verdana" w:hAnsi="Verdana" w:cs="Cambria"/>
          <w:sz w:val="16"/>
          <w:szCs w:val="16"/>
        </w:rPr>
        <w:t>UEIPAE - Chihuahua</w:t>
      </w:r>
      <w:r w:rsidRPr="00432ABC">
        <w:rPr>
          <w:rFonts w:ascii="Verdana" w:hAnsi="Verdana"/>
          <w:sz w:val="16"/>
          <w:szCs w:val="16"/>
        </w:rPr>
        <w:t xml:space="preserve"> (expediente de prueba, </w:t>
      </w:r>
      <w:r>
        <w:rPr>
          <w:rFonts w:ascii="Verdana" w:hAnsi="Verdana"/>
          <w:sz w:val="16"/>
          <w:szCs w:val="16"/>
        </w:rPr>
        <w:t>e</w:t>
      </w:r>
      <w:r w:rsidRPr="00432ABC">
        <w:rPr>
          <w:rFonts w:ascii="Verdana" w:hAnsi="Verdana"/>
          <w:sz w:val="16"/>
          <w:szCs w:val="16"/>
        </w:rPr>
        <w:t xml:space="preserve">xpediente penal, f. 12334), y Oficio de Devolución de vehículo 246/2010 de 16 de febrero de 2010 suscrito por el AMP adscrito a la </w:t>
      </w:r>
      <w:r w:rsidRPr="00432ABC">
        <w:rPr>
          <w:rFonts w:ascii="Verdana" w:hAnsi="Verdana" w:cs="Cambria"/>
          <w:sz w:val="16"/>
          <w:szCs w:val="16"/>
        </w:rPr>
        <w:t>UEIPAE - Chihuahua</w:t>
      </w:r>
      <w:r w:rsidRPr="00432ABC">
        <w:rPr>
          <w:rFonts w:ascii="Verdana" w:hAnsi="Verdana"/>
          <w:sz w:val="16"/>
          <w:szCs w:val="16"/>
        </w:rPr>
        <w:t xml:space="preserve">, dirigido a la Coordinadora de la UEIPAE – Chihuahua (expediente de prueba, </w:t>
      </w:r>
      <w:r>
        <w:rPr>
          <w:rFonts w:ascii="Verdana" w:hAnsi="Verdana"/>
          <w:sz w:val="16"/>
          <w:szCs w:val="16"/>
        </w:rPr>
        <w:t>e</w:t>
      </w:r>
      <w:r w:rsidRPr="00432ABC">
        <w:rPr>
          <w:rFonts w:ascii="Verdana" w:hAnsi="Verdana"/>
          <w:sz w:val="16"/>
          <w:szCs w:val="16"/>
        </w:rPr>
        <w:t xml:space="preserve">xpediente penal, f. 12338).  </w:t>
      </w:r>
    </w:p>
  </w:footnote>
  <w:footnote w:id="228">
    <w:p w14:paraId="64AA6212" w14:textId="5123B8DD" w:rsidR="00146958" w:rsidRPr="00432ABC" w:rsidRDefault="00146958">
      <w:pPr>
        <w:pStyle w:val="FootnoteText"/>
        <w:jc w:val="both"/>
        <w:rPr>
          <w:rFonts w:ascii="Verdana" w:hAnsi="Verdana"/>
          <w:sz w:val="16"/>
          <w:szCs w:val="16"/>
        </w:rPr>
      </w:pPr>
      <w:r w:rsidRPr="00432ABC">
        <w:rPr>
          <w:rStyle w:val="FootnoteReference"/>
          <w:rFonts w:ascii="Verdana" w:hAnsi="Verdana"/>
          <w:sz w:val="16"/>
          <w:szCs w:val="16"/>
        </w:rPr>
        <w:footnoteRef/>
      </w:r>
      <w:r w:rsidRPr="00432ABC">
        <w:rPr>
          <w:rFonts w:ascii="Verdana" w:hAnsi="Verdana"/>
          <w:sz w:val="16"/>
          <w:szCs w:val="16"/>
        </w:rPr>
        <w:t xml:space="preserve"> </w:t>
      </w:r>
      <w:r w:rsidRPr="00432ABC">
        <w:rPr>
          <w:rFonts w:ascii="Verdana" w:hAnsi="Verdana"/>
          <w:sz w:val="16"/>
          <w:szCs w:val="16"/>
        </w:rPr>
        <w:tab/>
      </w:r>
      <w:r w:rsidRPr="00CD5C54">
        <w:rPr>
          <w:rFonts w:ascii="Verdana" w:hAnsi="Verdana"/>
          <w:i/>
          <w:sz w:val="16"/>
          <w:szCs w:val="16"/>
        </w:rPr>
        <w:t>Cfr.</w:t>
      </w:r>
      <w:r w:rsidRPr="002C462C">
        <w:rPr>
          <w:rFonts w:ascii="Verdana" w:hAnsi="Verdana"/>
          <w:i/>
          <w:sz w:val="16"/>
          <w:szCs w:val="16"/>
        </w:rPr>
        <w:t xml:space="preserve"> </w:t>
      </w:r>
      <w:r w:rsidRPr="002C462C">
        <w:rPr>
          <w:rFonts w:ascii="Verdana" w:hAnsi="Verdana"/>
          <w:sz w:val="16"/>
          <w:szCs w:val="16"/>
        </w:rPr>
        <w:t>Oficio No. PGJE</w:t>
      </w:r>
      <w:r w:rsidRPr="00432ABC">
        <w:rPr>
          <w:rFonts w:ascii="Verdana" w:hAnsi="Verdana"/>
          <w:sz w:val="16"/>
          <w:szCs w:val="16"/>
        </w:rPr>
        <w:t xml:space="preserve">-UEIPAE-CDJ-312/2010 de 24 de febrero de 2010 suscrito por la AMP Coordinadora de la </w:t>
      </w:r>
      <w:r w:rsidRPr="00432ABC">
        <w:rPr>
          <w:rFonts w:ascii="Verdana" w:hAnsi="Verdana" w:cs="Cambria"/>
          <w:sz w:val="16"/>
          <w:szCs w:val="16"/>
        </w:rPr>
        <w:t>UEIPAE - Chihuahua</w:t>
      </w:r>
      <w:r w:rsidRPr="00432ABC">
        <w:rPr>
          <w:rFonts w:ascii="Verdana" w:hAnsi="Verdana"/>
          <w:sz w:val="16"/>
          <w:szCs w:val="16"/>
        </w:rPr>
        <w:t xml:space="preserve">, dirigido al Subprocurador General de Justicia de Chihuahua (expediente de prueba, </w:t>
      </w:r>
      <w:r>
        <w:rPr>
          <w:rFonts w:ascii="Verdana" w:hAnsi="Verdana"/>
          <w:sz w:val="16"/>
          <w:szCs w:val="16"/>
        </w:rPr>
        <w:t>e</w:t>
      </w:r>
      <w:r w:rsidRPr="00432ABC">
        <w:rPr>
          <w:rFonts w:ascii="Verdana" w:hAnsi="Verdana"/>
          <w:sz w:val="16"/>
          <w:szCs w:val="16"/>
        </w:rPr>
        <w:t>xpediente penal, f. 12359)</w:t>
      </w:r>
      <w:r>
        <w:rPr>
          <w:rFonts w:ascii="Verdana" w:hAnsi="Verdana"/>
          <w:sz w:val="16"/>
          <w:szCs w:val="16"/>
        </w:rPr>
        <w:t xml:space="preserve">, y </w:t>
      </w:r>
      <w:r w:rsidRPr="00432ABC">
        <w:rPr>
          <w:rFonts w:ascii="Verdana" w:hAnsi="Verdana"/>
          <w:sz w:val="16"/>
          <w:szCs w:val="16"/>
        </w:rPr>
        <w:t xml:space="preserve">Oficio </w:t>
      </w:r>
      <w:r>
        <w:rPr>
          <w:rFonts w:ascii="Verdana" w:hAnsi="Verdana"/>
          <w:sz w:val="16"/>
          <w:szCs w:val="16"/>
        </w:rPr>
        <w:t xml:space="preserve">No. </w:t>
      </w:r>
      <w:r w:rsidRPr="00432ABC">
        <w:rPr>
          <w:rFonts w:ascii="Verdana" w:hAnsi="Verdana"/>
          <w:sz w:val="16"/>
          <w:szCs w:val="16"/>
        </w:rPr>
        <w:t xml:space="preserve">949/2010 de 3 de marzo de 2010, suscrito por el Subprocurador General de Justicia de Chihuahua, dirigido al apoderado legal de Pegaso Comunicaciones y Sistemas Movistar, S.A. de C.V. (expediente de prueba, </w:t>
      </w:r>
      <w:r>
        <w:rPr>
          <w:rFonts w:ascii="Verdana" w:hAnsi="Verdana"/>
          <w:sz w:val="16"/>
          <w:szCs w:val="16"/>
        </w:rPr>
        <w:t>e</w:t>
      </w:r>
      <w:r w:rsidRPr="00432ABC">
        <w:rPr>
          <w:rFonts w:ascii="Verdana" w:hAnsi="Verdana"/>
          <w:sz w:val="16"/>
          <w:szCs w:val="16"/>
        </w:rPr>
        <w:t xml:space="preserve">xpediente penal, f. 12360). </w:t>
      </w:r>
    </w:p>
  </w:footnote>
  <w:footnote w:id="229">
    <w:p w14:paraId="64AA6213" w14:textId="29754D6E" w:rsidR="00146958" w:rsidRPr="00432ABC" w:rsidRDefault="00146958">
      <w:pPr>
        <w:pStyle w:val="FootnoteText"/>
        <w:jc w:val="both"/>
        <w:rPr>
          <w:rFonts w:ascii="Verdana" w:hAnsi="Verdana"/>
          <w:sz w:val="16"/>
          <w:szCs w:val="16"/>
        </w:rPr>
      </w:pPr>
      <w:r w:rsidRPr="00432ABC">
        <w:rPr>
          <w:rStyle w:val="FootnoteReference"/>
          <w:rFonts w:ascii="Verdana" w:hAnsi="Verdana"/>
          <w:sz w:val="16"/>
          <w:szCs w:val="16"/>
        </w:rPr>
        <w:footnoteRef/>
      </w:r>
      <w:r w:rsidRPr="00432ABC">
        <w:rPr>
          <w:rFonts w:ascii="Verdana" w:hAnsi="Verdana"/>
          <w:sz w:val="16"/>
          <w:szCs w:val="16"/>
        </w:rPr>
        <w:t xml:space="preserve"> </w:t>
      </w:r>
      <w:r w:rsidRPr="00432ABC">
        <w:rPr>
          <w:rFonts w:ascii="Verdana" w:hAnsi="Verdana"/>
          <w:sz w:val="16"/>
          <w:szCs w:val="16"/>
        </w:rPr>
        <w:tab/>
      </w:r>
      <w:r w:rsidRPr="00CD5C54">
        <w:rPr>
          <w:rFonts w:ascii="Verdana" w:hAnsi="Verdana"/>
          <w:i/>
          <w:sz w:val="16"/>
          <w:szCs w:val="16"/>
        </w:rPr>
        <w:t>Cfr.</w:t>
      </w:r>
      <w:r w:rsidRPr="002C462C">
        <w:rPr>
          <w:rFonts w:ascii="Verdana" w:hAnsi="Verdana"/>
          <w:i/>
          <w:sz w:val="16"/>
          <w:szCs w:val="16"/>
        </w:rPr>
        <w:t xml:space="preserve"> </w:t>
      </w:r>
      <w:r w:rsidRPr="002C462C">
        <w:rPr>
          <w:rFonts w:ascii="Verdana" w:hAnsi="Verdana"/>
          <w:sz w:val="16"/>
          <w:szCs w:val="16"/>
        </w:rPr>
        <w:t xml:space="preserve">Oficio </w:t>
      </w:r>
      <w:r>
        <w:rPr>
          <w:rFonts w:ascii="Verdana" w:hAnsi="Verdana"/>
          <w:sz w:val="16"/>
          <w:szCs w:val="16"/>
        </w:rPr>
        <w:t xml:space="preserve">No. </w:t>
      </w:r>
      <w:r w:rsidRPr="002C462C">
        <w:rPr>
          <w:rFonts w:ascii="Verdana" w:hAnsi="Verdana"/>
          <w:sz w:val="16"/>
          <w:szCs w:val="16"/>
        </w:rPr>
        <w:t>700/2010 de 24 de f</w:t>
      </w:r>
      <w:r w:rsidRPr="00432ABC">
        <w:rPr>
          <w:rFonts w:ascii="Verdana" w:hAnsi="Verdana"/>
          <w:sz w:val="16"/>
          <w:szCs w:val="16"/>
        </w:rPr>
        <w:t>ebrero de 2010</w:t>
      </w:r>
      <w:r w:rsidRPr="00432ABC">
        <w:rPr>
          <w:rFonts w:ascii="Verdana" w:hAnsi="Verdana" w:cs="Cambria"/>
          <w:sz w:val="16"/>
          <w:szCs w:val="16"/>
        </w:rPr>
        <w:t xml:space="preserve"> dirigido a la Procuradora General de Justicia del Estado de Chihuahua (expediente de prueba, expediente penal, f. 12374), </w:t>
      </w:r>
      <w:r>
        <w:rPr>
          <w:rFonts w:ascii="Verdana" w:hAnsi="Verdana" w:cs="Cambria"/>
          <w:sz w:val="16"/>
          <w:szCs w:val="16"/>
        </w:rPr>
        <w:t xml:space="preserve"> </w:t>
      </w:r>
      <w:r w:rsidRPr="00432ABC">
        <w:rPr>
          <w:rFonts w:ascii="Verdana" w:hAnsi="Verdana" w:cs="Cambria"/>
          <w:sz w:val="16"/>
          <w:szCs w:val="16"/>
        </w:rPr>
        <w:t xml:space="preserve">Escrito de Respuesta a Oficio 949/2010 de 16 de marzo de 2010 dirigido a la PGJE – Chihuahua (expediente de prueba, </w:t>
      </w:r>
      <w:r>
        <w:rPr>
          <w:rFonts w:ascii="Verdana" w:hAnsi="Verdana" w:cs="Cambria"/>
          <w:sz w:val="16"/>
          <w:szCs w:val="16"/>
        </w:rPr>
        <w:t>e</w:t>
      </w:r>
      <w:r w:rsidRPr="00432ABC">
        <w:rPr>
          <w:rFonts w:ascii="Verdana" w:hAnsi="Verdana" w:cs="Cambria"/>
          <w:sz w:val="16"/>
          <w:szCs w:val="16"/>
        </w:rPr>
        <w:t xml:space="preserve">xpediente penal, f. 12375), y Oficio 1123/2010 de 5 de enero de 2011 dirigido a la Fiscalía Especializada en Control, Análisis y Evaluación de la FGE – Chihuahua (expediente de prueba, </w:t>
      </w:r>
      <w:r>
        <w:rPr>
          <w:rFonts w:ascii="Verdana" w:hAnsi="Verdana" w:cs="Cambria"/>
          <w:sz w:val="16"/>
          <w:szCs w:val="16"/>
        </w:rPr>
        <w:t>e</w:t>
      </w:r>
      <w:r w:rsidRPr="00432ABC">
        <w:rPr>
          <w:rFonts w:ascii="Verdana" w:hAnsi="Verdana" w:cs="Cambria"/>
          <w:sz w:val="16"/>
          <w:szCs w:val="16"/>
        </w:rPr>
        <w:t>xpediente penal, f. 12677).</w:t>
      </w:r>
    </w:p>
  </w:footnote>
  <w:footnote w:id="230">
    <w:p w14:paraId="64AA6214" w14:textId="6430FC05" w:rsidR="00146958" w:rsidRPr="00432ABC" w:rsidRDefault="00146958">
      <w:pPr>
        <w:pStyle w:val="FootnoteText"/>
        <w:jc w:val="both"/>
        <w:rPr>
          <w:rFonts w:ascii="Verdana" w:hAnsi="Verdana"/>
          <w:sz w:val="16"/>
          <w:szCs w:val="16"/>
        </w:rPr>
      </w:pPr>
      <w:r w:rsidRPr="00432ABC">
        <w:rPr>
          <w:rStyle w:val="FootnoteReference"/>
          <w:rFonts w:ascii="Verdana" w:hAnsi="Verdana"/>
          <w:sz w:val="16"/>
          <w:szCs w:val="16"/>
        </w:rPr>
        <w:footnoteRef/>
      </w:r>
      <w:r w:rsidRPr="00432ABC">
        <w:rPr>
          <w:rFonts w:ascii="Verdana" w:hAnsi="Verdana"/>
          <w:sz w:val="16"/>
          <w:szCs w:val="16"/>
        </w:rPr>
        <w:t xml:space="preserve"> </w:t>
      </w:r>
      <w:r w:rsidRPr="00432ABC">
        <w:rPr>
          <w:rFonts w:ascii="Verdana" w:hAnsi="Verdana"/>
          <w:sz w:val="16"/>
          <w:szCs w:val="16"/>
        </w:rPr>
        <w:tab/>
      </w:r>
      <w:r w:rsidRPr="00CD5C54">
        <w:rPr>
          <w:rFonts w:ascii="Verdana" w:hAnsi="Verdana"/>
          <w:i/>
          <w:sz w:val="16"/>
          <w:szCs w:val="16"/>
        </w:rPr>
        <w:t>Cfr.</w:t>
      </w:r>
      <w:r w:rsidRPr="002C462C">
        <w:rPr>
          <w:rFonts w:ascii="Verdana" w:hAnsi="Verdana"/>
          <w:sz w:val="16"/>
          <w:szCs w:val="16"/>
        </w:rPr>
        <w:t xml:space="preserve"> Parte </w:t>
      </w:r>
      <w:r w:rsidRPr="00432ABC">
        <w:rPr>
          <w:rFonts w:ascii="Verdana" w:hAnsi="Verdana"/>
          <w:sz w:val="16"/>
          <w:szCs w:val="16"/>
        </w:rPr>
        <w:t xml:space="preserve">informativo de investigación de 31 de agosto de 2010, anexo al Oficio No. 2410/2010 suscrito por el Coordinador “B” de la Policía Ministerial de la Agencia Estatal de Investigaciones adscrito a la UEIPAE – Chihuahua (expediente de prueba, </w:t>
      </w:r>
      <w:r>
        <w:rPr>
          <w:rFonts w:ascii="Verdana" w:hAnsi="Verdana"/>
          <w:sz w:val="16"/>
          <w:szCs w:val="16"/>
        </w:rPr>
        <w:t>e</w:t>
      </w:r>
      <w:r w:rsidRPr="00432ABC">
        <w:rPr>
          <w:rFonts w:ascii="Verdana" w:hAnsi="Verdana"/>
          <w:sz w:val="16"/>
          <w:szCs w:val="16"/>
        </w:rPr>
        <w:t xml:space="preserve">xpediente penal, ff. 12596 a 12605). </w:t>
      </w:r>
    </w:p>
  </w:footnote>
  <w:footnote w:id="231">
    <w:p w14:paraId="64AA6215" w14:textId="4BAFBFD7" w:rsidR="00146958" w:rsidRPr="002C462C" w:rsidRDefault="00146958">
      <w:pPr>
        <w:pStyle w:val="FootnoteText"/>
        <w:jc w:val="both"/>
        <w:rPr>
          <w:rFonts w:ascii="Verdana" w:hAnsi="Verdana"/>
          <w:sz w:val="16"/>
          <w:szCs w:val="16"/>
        </w:rPr>
      </w:pPr>
      <w:r w:rsidRPr="00432ABC">
        <w:rPr>
          <w:rStyle w:val="FootnoteReference"/>
          <w:rFonts w:ascii="Verdana" w:hAnsi="Verdana"/>
          <w:sz w:val="16"/>
          <w:szCs w:val="16"/>
        </w:rPr>
        <w:footnoteRef/>
      </w:r>
      <w:r w:rsidRPr="00432ABC">
        <w:rPr>
          <w:rFonts w:ascii="Verdana" w:hAnsi="Verdana"/>
          <w:sz w:val="16"/>
          <w:szCs w:val="16"/>
        </w:rPr>
        <w:t xml:space="preserve">  </w:t>
      </w:r>
      <w:r w:rsidRPr="00432ABC">
        <w:rPr>
          <w:rFonts w:ascii="Verdana" w:hAnsi="Verdana"/>
          <w:sz w:val="16"/>
          <w:szCs w:val="16"/>
        </w:rPr>
        <w:tab/>
        <w:t xml:space="preserve">Oficio </w:t>
      </w:r>
      <w:r>
        <w:rPr>
          <w:rFonts w:ascii="Verdana" w:hAnsi="Verdana"/>
          <w:sz w:val="16"/>
          <w:szCs w:val="16"/>
        </w:rPr>
        <w:t xml:space="preserve">No. </w:t>
      </w:r>
      <w:r w:rsidRPr="00432ABC">
        <w:rPr>
          <w:rFonts w:ascii="Verdana" w:hAnsi="Verdana"/>
          <w:sz w:val="16"/>
          <w:szCs w:val="16"/>
        </w:rPr>
        <w:t>PGJE-UEIPAE-CDJ-310/2011 de 1 de febrero de 2011 suscrito por el Fiscal de Distrito de la Fiscalía Especializada en Investigación y Persecución del Delito, dirigido al Director General de Ecología y Protección Ci</w:t>
      </w:r>
      <w:r w:rsidRPr="002C462C">
        <w:rPr>
          <w:rFonts w:ascii="Verdana" w:hAnsi="Verdana"/>
          <w:sz w:val="16"/>
          <w:szCs w:val="16"/>
        </w:rPr>
        <w:t xml:space="preserve">vil (expediente de prueba, expediente penal, f. 12689). </w:t>
      </w:r>
    </w:p>
  </w:footnote>
  <w:footnote w:id="232">
    <w:p w14:paraId="64AA6216" w14:textId="5A526B5C" w:rsidR="00146958" w:rsidRPr="00432ABC" w:rsidRDefault="00146958">
      <w:pPr>
        <w:pStyle w:val="FootnoteText"/>
        <w:jc w:val="both"/>
        <w:rPr>
          <w:rFonts w:ascii="Verdana" w:hAnsi="Verdana"/>
          <w:sz w:val="16"/>
          <w:szCs w:val="16"/>
        </w:rPr>
      </w:pPr>
      <w:r w:rsidRPr="00432ABC">
        <w:rPr>
          <w:rStyle w:val="FootnoteReference"/>
          <w:rFonts w:ascii="Verdana" w:hAnsi="Verdana"/>
          <w:sz w:val="16"/>
          <w:szCs w:val="16"/>
        </w:rPr>
        <w:footnoteRef/>
      </w:r>
      <w:r w:rsidRPr="00432ABC">
        <w:rPr>
          <w:rFonts w:ascii="Verdana" w:hAnsi="Verdana"/>
          <w:sz w:val="16"/>
          <w:szCs w:val="16"/>
        </w:rPr>
        <w:t xml:space="preserve"> </w:t>
      </w:r>
      <w:r w:rsidRPr="00432ABC">
        <w:rPr>
          <w:rFonts w:ascii="Verdana" w:hAnsi="Verdana"/>
          <w:sz w:val="16"/>
          <w:szCs w:val="16"/>
        </w:rPr>
        <w:tab/>
        <w:t xml:space="preserve">Oficio </w:t>
      </w:r>
      <w:r>
        <w:rPr>
          <w:rFonts w:ascii="Verdana" w:hAnsi="Verdana"/>
          <w:sz w:val="16"/>
          <w:szCs w:val="16"/>
        </w:rPr>
        <w:t xml:space="preserve">No. </w:t>
      </w:r>
      <w:r w:rsidRPr="00432ABC">
        <w:rPr>
          <w:rFonts w:ascii="Verdana" w:hAnsi="Verdana"/>
          <w:sz w:val="16"/>
          <w:szCs w:val="16"/>
        </w:rPr>
        <w:t xml:space="preserve">PGJE-UEIPAE-CDJ-/487/2011 de 23 de febrero de 2011 </w:t>
      </w:r>
      <w:r>
        <w:rPr>
          <w:rFonts w:ascii="Verdana" w:hAnsi="Verdana"/>
          <w:sz w:val="16"/>
          <w:szCs w:val="16"/>
        </w:rPr>
        <w:t xml:space="preserve">suscrito por el AMP-UEIPAE Chihuahua, </w:t>
      </w:r>
      <w:r w:rsidRPr="00432ABC">
        <w:rPr>
          <w:rFonts w:ascii="Verdana" w:hAnsi="Verdana"/>
          <w:sz w:val="16"/>
          <w:szCs w:val="16"/>
        </w:rPr>
        <w:t xml:space="preserve">dirigido a la Fiscal Especial de la FEVIMTRA - PGR (expediente de prueba, </w:t>
      </w:r>
      <w:r>
        <w:rPr>
          <w:rFonts w:ascii="Verdana" w:hAnsi="Verdana"/>
          <w:sz w:val="16"/>
          <w:szCs w:val="16"/>
        </w:rPr>
        <w:t>e</w:t>
      </w:r>
      <w:r w:rsidRPr="00432ABC">
        <w:rPr>
          <w:rFonts w:ascii="Verdana" w:hAnsi="Verdana"/>
          <w:sz w:val="16"/>
          <w:szCs w:val="16"/>
        </w:rPr>
        <w:t xml:space="preserve">xpediente penal, f. 12690). </w:t>
      </w:r>
    </w:p>
  </w:footnote>
  <w:footnote w:id="233">
    <w:p w14:paraId="64AA6217" w14:textId="5078DFB9" w:rsidR="00146958" w:rsidRPr="00432ABC" w:rsidRDefault="00146958">
      <w:pPr>
        <w:pStyle w:val="FootnoteText"/>
        <w:jc w:val="both"/>
        <w:rPr>
          <w:rFonts w:ascii="Verdana" w:hAnsi="Verdana"/>
          <w:sz w:val="16"/>
          <w:szCs w:val="16"/>
        </w:rPr>
      </w:pPr>
      <w:r w:rsidRPr="00432ABC">
        <w:rPr>
          <w:rStyle w:val="FootnoteReference"/>
          <w:rFonts w:ascii="Verdana" w:hAnsi="Verdana"/>
          <w:sz w:val="16"/>
          <w:szCs w:val="16"/>
        </w:rPr>
        <w:footnoteRef/>
      </w:r>
      <w:r w:rsidRPr="00432ABC">
        <w:rPr>
          <w:rFonts w:ascii="Verdana" w:hAnsi="Verdana"/>
          <w:sz w:val="16"/>
          <w:szCs w:val="16"/>
        </w:rPr>
        <w:t xml:space="preserve"> </w:t>
      </w:r>
      <w:r w:rsidRPr="00432ABC">
        <w:rPr>
          <w:rFonts w:ascii="Verdana" w:hAnsi="Verdana"/>
          <w:sz w:val="16"/>
          <w:szCs w:val="16"/>
        </w:rPr>
        <w:tab/>
      </w:r>
      <w:r w:rsidRPr="00CD5C54">
        <w:rPr>
          <w:rFonts w:ascii="Verdana" w:hAnsi="Verdana"/>
          <w:i/>
          <w:sz w:val="16"/>
          <w:szCs w:val="16"/>
        </w:rPr>
        <w:t>Cfr.</w:t>
      </w:r>
      <w:r w:rsidRPr="002C462C">
        <w:rPr>
          <w:rFonts w:ascii="Verdana" w:hAnsi="Verdana"/>
          <w:sz w:val="16"/>
          <w:szCs w:val="16"/>
        </w:rPr>
        <w:t xml:space="preserve"> Oficio </w:t>
      </w:r>
      <w:r w:rsidRPr="00432ABC">
        <w:rPr>
          <w:rFonts w:ascii="Verdana" w:hAnsi="Verdana"/>
          <w:sz w:val="16"/>
          <w:szCs w:val="16"/>
        </w:rPr>
        <w:t xml:space="preserve">No. FGE-UEIPAE-CDJ-1486/2011 de 16 de junio de 2011 </w:t>
      </w:r>
      <w:r>
        <w:rPr>
          <w:rFonts w:ascii="Verdana" w:hAnsi="Verdana"/>
          <w:sz w:val="16"/>
          <w:szCs w:val="16"/>
        </w:rPr>
        <w:t xml:space="preserve">suscrito por el Coordinador de la UEIPAE-Chihuahua, </w:t>
      </w:r>
      <w:r w:rsidRPr="00432ABC">
        <w:rPr>
          <w:rFonts w:ascii="Verdana" w:hAnsi="Verdana"/>
          <w:sz w:val="16"/>
          <w:szCs w:val="16"/>
        </w:rPr>
        <w:t xml:space="preserve">dirigido al Fiscal Especializado en Seguridad Pública y Prevención del Delito (expediente de prueba, </w:t>
      </w:r>
      <w:r>
        <w:rPr>
          <w:rFonts w:ascii="Verdana" w:hAnsi="Verdana"/>
          <w:sz w:val="16"/>
          <w:szCs w:val="16"/>
        </w:rPr>
        <w:t>e</w:t>
      </w:r>
      <w:r w:rsidRPr="00432ABC">
        <w:rPr>
          <w:rFonts w:ascii="Verdana" w:hAnsi="Verdana"/>
          <w:sz w:val="16"/>
          <w:szCs w:val="16"/>
        </w:rPr>
        <w:t xml:space="preserve">xpediente penal, f. 12716), y Oficio No. FGE-UEIPAE-CDJ-1486/2011 de 16 de junio de 2011 suscrito por el Coordinador de la UEIPAE – Chihuahua, dirigido al Director Operativo de la Coordinadora Estatal de Protección Civil del Gobierno del Estado de Chihuahua (expediente de prueba, </w:t>
      </w:r>
      <w:r>
        <w:rPr>
          <w:rFonts w:ascii="Verdana" w:hAnsi="Verdana"/>
          <w:sz w:val="16"/>
          <w:szCs w:val="16"/>
        </w:rPr>
        <w:t>e</w:t>
      </w:r>
      <w:r w:rsidRPr="00432ABC">
        <w:rPr>
          <w:rFonts w:ascii="Verdana" w:hAnsi="Verdana"/>
          <w:sz w:val="16"/>
          <w:szCs w:val="16"/>
        </w:rPr>
        <w:t xml:space="preserve">xpediente penal, f. 12717). </w:t>
      </w:r>
    </w:p>
  </w:footnote>
  <w:footnote w:id="234">
    <w:p w14:paraId="64AA6218" w14:textId="4BEE731B" w:rsidR="00146958" w:rsidRPr="00432ABC" w:rsidRDefault="00146958">
      <w:pPr>
        <w:pStyle w:val="FootnoteText"/>
        <w:jc w:val="both"/>
        <w:rPr>
          <w:rFonts w:ascii="Verdana" w:hAnsi="Verdana"/>
          <w:sz w:val="16"/>
          <w:szCs w:val="16"/>
          <w:highlight w:val="yellow"/>
        </w:rPr>
      </w:pPr>
      <w:r w:rsidRPr="00432ABC">
        <w:rPr>
          <w:rStyle w:val="FootnoteReference"/>
          <w:rFonts w:ascii="Verdana" w:hAnsi="Verdana"/>
          <w:sz w:val="16"/>
          <w:szCs w:val="16"/>
        </w:rPr>
        <w:footnoteRef/>
      </w:r>
      <w:r w:rsidRPr="00432ABC">
        <w:rPr>
          <w:rFonts w:ascii="Verdana" w:hAnsi="Verdana"/>
          <w:sz w:val="16"/>
          <w:szCs w:val="16"/>
        </w:rPr>
        <w:t xml:space="preserve"> </w:t>
      </w:r>
      <w:r w:rsidRPr="00432ABC">
        <w:rPr>
          <w:rFonts w:ascii="Verdana" w:hAnsi="Verdana"/>
          <w:sz w:val="16"/>
          <w:szCs w:val="16"/>
        </w:rPr>
        <w:tab/>
      </w:r>
      <w:r w:rsidRPr="00CD5C54">
        <w:rPr>
          <w:rFonts w:ascii="Verdana" w:hAnsi="Verdana"/>
          <w:i/>
          <w:sz w:val="16"/>
          <w:szCs w:val="16"/>
        </w:rPr>
        <w:t>Cfr.</w:t>
      </w:r>
      <w:r w:rsidRPr="002C462C">
        <w:rPr>
          <w:rFonts w:ascii="Verdana" w:hAnsi="Verdana"/>
          <w:sz w:val="16"/>
          <w:szCs w:val="16"/>
        </w:rPr>
        <w:t xml:space="preserve"> Oficio 2042/2011 de</w:t>
      </w:r>
      <w:r w:rsidRPr="00432ABC">
        <w:rPr>
          <w:rFonts w:ascii="Verdana" w:hAnsi="Verdana"/>
          <w:sz w:val="16"/>
          <w:szCs w:val="16"/>
        </w:rPr>
        <w:t xml:space="preserve"> 11 de febrero de 2011 suscrito por el Director General Ecología y Protección Civil, dirigido a la Fiscal de Distrito de la Fiscalía Especializada en Investigación y Persecución del Delito de la PGJE – Chihuahua (expediente de prueba, </w:t>
      </w:r>
      <w:r>
        <w:rPr>
          <w:rFonts w:ascii="Verdana" w:hAnsi="Verdana"/>
          <w:sz w:val="16"/>
          <w:szCs w:val="16"/>
        </w:rPr>
        <w:t>e</w:t>
      </w:r>
      <w:r w:rsidRPr="00432ABC">
        <w:rPr>
          <w:rFonts w:ascii="Verdana" w:hAnsi="Verdana"/>
          <w:sz w:val="16"/>
          <w:szCs w:val="16"/>
        </w:rPr>
        <w:t xml:space="preserve">xpediente penal, f. 12694); Oficio FEVIMTRA-N/DAP/0136/2011 de 18 de abril de 2011 suscrito por la AMPF adscrita a la Oficina Regional Norte de la FEVIMTRA - PGR, dirigido al Coordinador de la UEIPAE – Chihuahua  (expediente de prueba, </w:t>
      </w:r>
      <w:r>
        <w:rPr>
          <w:rFonts w:ascii="Verdana" w:hAnsi="Verdana"/>
          <w:sz w:val="16"/>
          <w:szCs w:val="16"/>
        </w:rPr>
        <w:t>e</w:t>
      </w:r>
      <w:r w:rsidRPr="00432ABC">
        <w:rPr>
          <w:rFonts w:ascii="Verdana" w:hAnsi="Verdana"/>
          <w:sz w:val="16"/>
          <w:szCs w:val="16"/>
        </w:rPr>
        <w:t xml:space="preserve">xpediente penal, f. 12695), y Oficio No. O.C. 541.2011 de 17 de junio de 2011 suscrito por el Coordinador Estatal de Protección Civil, dirigido al Fiscal Especializado en Seguridad Pública y Prevención del Delito (expediente de prueba, </w:t>
      </w:r>
      <w:r>
        <w:rPr>
          <w:rFonts w:ascii="Verdana" w:hAnsi="Verdana"/>
          <w:sz w:val="16"/>
          <w:szCs w:val="16"/>
        </w:rPr>
        <w:t>e</w:t>
      </w:r>
      <w:r w:rsidRPr="00432ABC">
        <w:rPr>
          <w:rFonts w:ascii="Verdana" w:hAnsi="Verdana"/>
          <w:sz w:val="16"/>
          <w:szCs w:val="16"/>
        </w:rPr>
        <w:t xml:space="preserve">xpediente penal, f. 12719). </w:t>
      </w:r>
    </w:p>
  </w:footnote>
  <w:footnote w:id="235">
    <w:p w14:paraId="64AA6219" w14:textId="6BB627D3" w:rsidR="00146958" w:rsidRPr="002C462C" w:rsidRDefault="00146958">
      <w:pPr>
        <w:pStyle w:val="FootnoteText"/>
        <w:jc w:val="both"/>
        <w:rPr>
          <w:rFonts w:ascii="Verdana" w:hAnsi="Verdana"/>
          <w:sz w:val="16"/>
          <w:szCs w:val="16"/>
        </w:rPr>
      </w:pPr>
      <w:r w:rsidRPr="00432ABC">
        <w:rPr>
          <w:rStyle w:val="FootnoteReference"/>
          <w:rFonts w:ascii="Verdana" w:hAnsi="Verdana"/>
          <w:sz w:val="16"/>
          <w:szCs w:val="16"/>
        </w:rPr>
        <w:footnoteRef/>
      </w:r>
      <w:r w:rsidRPr="00432ABC">
        <w:rPr>
          <w:rFonts w:ascii="Verdana" w:hAnsi="Verdana"/>
          <w:sz w:val="16"/>
          <w:szCs w:val="16"/>
        </w:rPr>
        <w:t xml:space="preserve"> </w:t>
      </w:r>
      <w:r w:rsidRPr="00432ABC">
        <w:rPr>
          <w:rFonts w:ascii="Verdana" w:hAnsi="Verdana"/>
          <w:sz w:val="16"/>
          <w:szCs w:val="16"/>
        </w:rPr>
        <w:tab/>
      </w:r>
      <w:r w:rsidRPr="00CD5C54">
        <w:rPr>
          <w:rFonts w:ascii="Verdana" w:hAnsi="Verdana"/>
          <w:i/>
          <w:sz w:val="16"/>
          <w:szCs w:val="16"/>
        </w:rPr>
        <w:t>Cfr.</w:t>
      </w:r>
      <w:r w:rsidRPr="002C462C">
        <w:rPr>
          <w:rFonts w:ascii="Verdana" w:hAnsi="Verdana"/>
          <w:sz w:val="16"/>
          <w:szCs w:val="16"/>
        </w:rPr>
        <w:t xml:space="preserve"> Acuerdo de Incompetencia de 28 de mayo de 2010 suscrito por el Fiscal Especializado en la Investigación y Persecución del Delito Zona Norte (expediente de prueba, </w:t>
      </w:r>
      <w:r>
        <w:rPr>
          <w:rFonts w:ascii="Verdana" w:hAnsi="Verdana"/>
          <w:sz w:val="16"/>
          <w:szCs w:val="16"/>
        </w:rPr>
        <w:t>e</w:t>
      </w:r>
      <w:r w:rsidRPr="002C462C">
        <w:rPr>
          <w:rFonts w:ascii="Verdana" w:hAnsi="Verdana"/>
          <w:sz w:val="16"/>
          <w:szCs w:val="16"/>
        </w:rPr>
        <w:t>xpediente penal, ff. 12771 a 12772).</w:t>
      </w:r>
    </w:p>
  </w:footnote>
  <w:footnote w:id="236">
    <w:p w14:paraId="64AA621A" w14:textId="10E33B4C" w:rsidR="00146958" w:rsidRPr="00432ABC" w:rsidRDefault="00146958">
      <w:pPr>
        <w:pStyle w:val="FootnoteText"/>
        <w:jc w:val="both"/>
        <w:rPr>
          <w:rFonts w:ascii="Verdana" w:hAnsi="Verdana"/>
          <w:sz w:val="16"/>
          <w:szCs w:val="16"/>
        </w:rPr>
      </w:pPr>
      <w:r w:rsidRPr="00432ABC">
        <w:rPr>
          <w:rStyle w:val="FootnoteReference"/>
          <w:rFonts w:ascii="Verdana" w:hAnsi="Verdana"/>
          <w:sz w:val="16"/>
          <w:szCs w:val="16"/>
        </w:rPr>
        <w:footnoteRef/>
      </w:r>
      <w:r w:rsidRPr="00432ABC">
        <w:rPr>
          <w:rFonts w:ascii="Verdana" w:hAnsi="Verdana"/>
          <w:sz w:val="16"/>
          <w:szCs w:val="16"/>
        </w:rPr>
        <w:t xml:space="preserve"> </w:t>
      </w:r>
      <w:r w:rsidRPr="00432ABC">
        <w:rPr>
          <w:rFonts w:ascii="Verdana" w:hAnsi="Verdana"/>
          <w:sz w:val="16"/>
          <w:szCs w:val="16"/>
        </w:rPr>
        <w:tab/>
      </w:r>
      <w:r w:rsidRPr="00CD5C54">
        <w:rPr>
          <w:rFonts w:ascii="Verdana" w:hAnsi="Verdana"/>
          <w:i/>
          <w:sz w:val="16"/>
          <w:szCs w:val="16"/>
        </w:rPr>
        <w:t>Cfr.</w:t>
      </w:r>
      <w:r w:rsidRPr="002C462C">
        <w:rPr>
          <w:rFonts w:ascii="Verdana" w:hAnsi="Verdana"/>
          <w:sz w:val="16"/>
          <w:szCs w:val="16"/>
        </w:rPr>
        <w:t xml:space="preserve"> Oficio No. 1658/2012 de 28 d</w:t>
      </w:r>
      <w:r w:rsidRPr="00432ABC">
        <w:rPr>
          <w:rFonts w:ascii="Verdana" w:hAnsi="Verdana"/>
          <w:sz w:val="16"/>
          <w:szCs w:val="16"/>
        </w:rPr>
        <w:t xml:space="preserve">e mayo de 2012 suscrito por el Coordinador de la UEIPAE – Chihuahua [por el que remite la Av. Prev. 124/2009 a la Delegación de la PGR -  Chihuahua] (expediente de prueba, </w:t>
      </w:r>
      <w:r>
        <w:rPr>
          <w:rFonts w:ascii="Verdana" w:hAnsi="Verdana"/>
          <w:sz w:val="16"/>
          <w:szCs w:val="16"/>
        </w:rPr>
        <w:t>e</w:t>
      </w:r>
      <w:r w:rsidRPr="00432ABC">
        <w:rPr>
          <w:rFonts w:ascii="Verdana" w:hAnsi="Verdana"/>
          <w:sz w:val="16"/>
          <w:szCs w:val="16"/>
        </w:rPr>
        <w:t xml:space="preserve">xpediente penal, f. 12290), y </w:t>
      </w:r>
      <w:r>
        <w:rPr>
          <w:rFonts w:ascii="Verdana" w:hAnsi="Verdana"/>
          <w:sz w:val="16"/>
          <w:szCs w:val="16"/>
        </w:rPr>
        <w:t>O</w:t>
      </w:r>
      <w:r w:rsidRPr="00432ABC">
        <w:rPr>
          <w:rFonts w:ascii="Verdana" w:hAnsi="Verdana"/>
          <w:sz w:val="16"/>
          <w:szCs w:val="16"/>
        </w:rPr>
        <w:t>ficio No. SSP “A”/388/2012 de 28 de mayo de 201</w:t>
      </w:r>
      <w:r>
        <w:rPr>
          <w:rFonts w:ascii="Verdana" w:hAnsi="Verdana"/>
          <w:sz w:val="16"/>
          <w:szCs w:val="16"/>
        </w:rPr>
        <w:t>2</w:t>
      </w:r>
      <w:r w:rsidRPr="00432ABC">
        <w:rPr>
          <w:rFonts w:ascii="Verdana" w:hAnsi="Verdana"/>
          <w:sz w:val="16"/>
          <w:szCs w:val="16"/>
        </w:rPr>
        <w:t xml:space="preserve"> suscrito por el AMPF, Encargado de la Subdelegación de Procedimientos Penales “A”, dirigido a la 11ªAMPF – PGR [por el que ordena que la Carpeta de Investigación 124/2009-5326 se integre a la Averiguación Previa AP/PGR/CHIH/JUA/467/2012] (expediente de prueba, </w:t>
      </w:r>
      <w:r>
        <w:rPr>
          <w:rFonts w:ascii="Verdana" w:hAnsi="Verdana"/>
          <w:sz w:val="16"/>
          <w:szCs w:val="16"/>
        </w:rPr>
        <w:t>e</w:t>
      </w:r>
      <w:r w:rsidRPr="00432ABC">
        <w:rPr>
          <w:rFonts w:ascii="Verdana" w:hAnsi="Verdana"/>
          <w:sz w:val="16"/>
          <w:szCs w:val="16"/>
        </w:rPr>
        <w:t>xpediente penal,</w:t>
      </w:r>
      <w:r>
        <w:rPr>
          <w:rFonts w:ascii="Verdana" w:hAnsi="Verdana"/>
          <w:sz w:val="16"/>
          <w:szCs w:val="16"/>
        </w:rPr>
        <w:t xml:space="preserve"> </w:t>
      </w:r>
      <w:r w:rsidRPr="00432ABC">
        <w:rPr>
          <w:rFonts w:ascii="Verdana" w:hAnsi="Verdana"/>
          <w:sz w:val="16"/>
          <w:szCs w:val="16"/>
        </w:rPr>
        <w:t xml:space="preserve">f. 12289). </w:t>
      </w:r>
    </w:p>
  </w:footnote>
  <w:footnote w:id="237">
    <w:p w14:paraId="64AA621B" w14:textId="660ACC15" w:rsidR="00146958" w:rsidRPr="002C462C" w:rsidRDefault="00146958">
      <w:pPr>
        <w:pStyle w:val="FootnoteText"/>
        <w:jc w:val="both"/>
        <w:rPr>
          <w:rFonts w:ascii="Verdana" w:hAnsi="Verdana"/>
          <w:sz w:val="16"/>
          <w:szCs w:val="16"/>
        </w:rPr>
      </w:pPr>
      <w:r w:rsidRPr="00432ABC">
        <w:rPr>
          <w:rStyle w:val="FootnoteReference"/>
          <w:rFonts w:ascii="Verdana" w:hAnsi="Verdana"/>
          <w:sz w:val="16"/>
          <w:szCs w:val="16"/>
        </w:rPr>
        <w:footnoteRef/>
      </w:r>
      <w:r w:rsidRPr="00432ABC">
        <w:rPr>
          <w:rFonts w:ascii="Verdana" w:hAnsi="Verdana"/>
          <w:sz w:val="16"/>
          <w:szCs w:val="16"/>
        </w:rPr>
        <w:t xml:space="preserve"> </w:t>
      </w:r>
      <w:r w:rsidRPr="00432ABC">
        <w:rPr>
          <w:rFonts w:ascii="Verdana" w:hAnsi="Verdana"/>
          <w:sz w:val="16"/>
          <w:szCs w:val="16"/>
        </w:rPr>
        <w:tab/>
      </w:r>
      <w:r w:rsidRPr="00CD5C54">
        <w:rPr>
          <w:rFonts w:ascii="Verdana" w:hAnsi="Verdana"/>
          <w:i/>
          <w:sz w:val="16"/>
          <w:szCs w:val="16"/>
        </w:rPr>
        <w:t>Cfr.</w:t>
      </w:r>
      <w:r w:rsidRPr="002C462C">
        <w:rPr>
          <w:rFonts w:ascii="Verdana" w:hAnsi="Verdana"/>
          <w:sz w:val="16"/>
          <w:szCs w:val="16"/>
        </w:rPr>
        <w:t xml:space="preserve"> Oficio sin número de 6 de enero de 2010 dirigido al Delegado Estatal de la PGR – Chihuahua (expediente de prueba, </w:t>
      </w:r>
      <w:r>
        <w:rPr>
          <w:rFonts w:ascii="Verdana" w:hAnsi="Verdana"/>
          <w:sz w:val="16"/>
          <w:szCs w:val="16"/>
        </w:rPr>
        <w:t>e</w:t>
      </w:r>
      <w:r w:rsidRPr="002C462C">
        <w:rPr>
          <w:rFonts w:ascii="Verdana" w:hAnsi="Verdana"/>
          <w:sz w:val="16"/>
          <w:szCs w:val="16"/>
        </w:rPr>
        <w:t>xpediente penal, f. 5231).</w:t>
      </w:r>
    </w:p>
  </w:footnote>
  <w:footnote w:id="238">
    <w:p w14:paraId="64AA621C" w14:textId="1E3FD557" w:rsidR="00146958" w:rsidRPr="00432ABC" w:rsidRDefault="00146958">
      <w:pPr>
        <w:pStyle w:val="FootnoteText"/>
        <w:jc w:val="both"/>
        <w:rPr>
          <w:rFonts w:ascii="Verdana" w:hAnsi="Verdana"/>
          <w:sz w:val="16"/>
          <w:szCs w:val="16"/>
        </w:rPr>
      </w:pPr>
      <w:r w:rsidRPr="00432ABC">
        <w:rPr>
          <w:rStyle w:val="FootnoteReference"/>
          <w:rFonts w:ascii="Verdana" w:hAnsi="Verdana"/>
          <w:sz w:val="16"/>
          <w:szCs w:val="16"/>
        </w:rPr>
        <w:footnoteRef/>
      </w:r>
      <w:r w:rsidRPr="00432ABC">
        <w:rPr>
          <w:rFonts w:ascii="Verdana" w:hAnsi="Verdana"/>
          <w:sz w:val="16"/>
          <w:szCs w:val="16"/>
        </w:rPr>
        <w:t xml:space="preserve"> </w:t>
      </w:r>
      <w:r w:rsidRPr="00432ABC">
        <w:rPr>
          <w:rFonts w:ascii="Verdana" w:hAnsi="Verdana"/>
          <w:sz w:val="16"/>
          <w:szCs w:val="16"/>
        </w:rPr>
        <w:tab/>
      </w:r>
      <w:r w:rsidRPr="00CD5C54">
        <w:rPr>
          <w:rFonts w:ascii="Verdana" w:hAnsi="Verdana"/>
          <w:i/>
          <w:sz w:val="16"/>
          <w:szCs w:val="16"/>
        </w:rPr>
        <w:t>Cfr.</w:t>
      </w:r>
      <w:r w:rsidRPr="002C462C">
        <w:rPr>
          <w:rFonts w:ascii="Verdana" w:hAnsi="Verdana"/>
          <w:sz w:val="16"/>
          <w:szCs w:val="16"/>
        </w:rPr>
        <w:t xml:space="preserve"> Declaración de María de Jesús </w:t>
      </w:r>
      <w:r>
        <w:rPr>
          <w:rFonts w:ascii="Verdana" w:hAnsi="Verdana"/>
          <w:sz w:val="16"/>
          <w:szCs w:val="16"/>
        </w:rPr>
        <w:t xml:space="preserve">Alvarado </w:t>
      </w:r>
      <w:r w:rsidRPr="002C462C">
        <w:rPr>
          <w:rFonts w:ascii="Verdana" w:hAnsi="Verdana"/>
          <w:sz w:val="16"/>
          <w:szCs w:val="16"/>
        </w:rPr>
        <w:t>Espinoz</w:t>
      </w:r>
      <w:r w:rsidRPr="00432ABC">
        <w:rPr>
          <w:rFonts w:ascii="Verdana" w:hAnsi="Verdana"/>
          <w:sz w:val="16"/>
          <w:szCs w:val="16"/>
        </w:rPr>
        <w:t xml:space="preserve">a rendida el 6 de enero de 2010 ante la 7ªAMPF (expediente de prueba, </w:t>
      </w:r>
      <w:r>
        <w:rPr>
          <w:rFonts w:ascii="Verdana" w:hAnsi="Verdana"/>
          <w:sz w:val="16"/>
          <w:szCs w:val="16"/>
        </w:rPr>
        <w:t>e</w:t>
      </w:r>
      <w:r w:rsidRPr="00432ABC">
        <w:rPr>
          <w:rFonts w:ascii="Verdana" w:hAnsi="Verdana"/>
          <w:sz w:val="16"/>
          <w:szCs w:val="16"/>
        </w:rPr>
        <w:t>xpediente penal, f. 5231).</w:t>
      </w:r>
    </w:p>
  </w:footnote>
  <w:footnote w:id="239">
    <w:p w14:paraId="64AA621D" w14:textId="1499D1FB" w:rsidR="00146958" w:rsidRPr="00432ABC" w:rsidRDefault="00146958">
      <w:pPr>
        <w:pStyle w:val="FootnoteText"/>
        <w:jc w:val="both"/>
        <w:rPr>
          <w:rFonts w:ascii="Verdana" w:hAnsi="Verdana"/>
          <w:sz w:val="16"/>
          <w:szCs w:val="16"/>
        </w:rPr>
      </w:pPr>
      <w:r w:rsidRPr="00432ABC">
        <w:rPr>
          <w:rStyle w:val="FootnoteReference"/>
          <w:rFonts w:ascii="Verdana" w:hAnsi="Verdana"/>
          <w:sz w:val="16"/>
          <w:szCs w:val="16"/>
        </w:rPr>
        <w:footnoteRef/>
      </w:r>
      <w:r w:rsidRPr="00432ABC">
        <w:rPr>
          <w:rFonts w:ascii="Verdana" w:hAnsi="Verdana"/>
          <w:sz w:val="16"/>
          <w:szCs w:val="16"/>
        </w:rPr>
        <w:t xml:space="preserve"> </w:t>
      </w:r>
      <w:r w:rsidRPr="00432ABC">
        <w:rPr>
          <w:rFonts w:ascii="Verdana" w:hAnsi="Verdana"/>
          <w:sz w:val="16"/>
          <w:szCs w:val="16"/>
        </w:rPr>
        <w:tab/>
      </w:r>
      <w:r w:rsidRPr="00CD5C54">
        <w:rPr>
          <w:rFonts w:ascii="Verdana" w:hAnsi="Verdana"/>
          <w:i/>
          <w:sz w:val="16"/>
          <w:szCs w:val="16"/>
        </w:rPr>
        <w:t>Cfr.</w:t>
      </w:r>
      <w:r w:rsidRPr="002C462C">
        <w:rPr>
          <w:rFonts w:ascii="Verdana" w:hAnsi="Verdana"/>
          <w:sz w:val="16"/>
          <w:szCs w:val="16"/>
        </w:rPr>
        <w:t xml:space="preserve"> Acuerdo de declinatoria de competencia por razón de fuero de</w:t>
      </w:r>
      <w:r w:rsidRPr="00432ABC">
        <w:rPr>
          <w:rFonts w:ascii="Verdana" w:hAnsi="Verdana"/>
          <w:b/>
          <w:sz w:val="16"/>
          <w:szCs w:val="16"/>
        </w:rPr>
        <w:t xml:space="preserve"> </w:t>
      </w:r>
      <w:r w:rsidRPr="00432ABC">
        <w:rPr>
          <w:rFonts w:ascii="Verdana" w:hAnsi="Verdana"/>
          <w:sz w:val="16"/>
          <w:szCs w:val="16"/>
        </w:rPr>
        <w:t>1</w:t>
      </w:r>
      <w:r>
        <w:rPr>
          <w:rFonts w:ascii="Verdana" w:hAnsi="Verdana"/>
          <w:sz w:val="16"/>
          <w:szCs w:val="16"/>
        </w:rPr>
        <w:t>3</w:t>
      </w:r>
      <w:r w:rsidRPr="00432ABC">
        <w:rPr>
          <w:rFonts w:ascii="Verdana" w:hAnsi="Verdana"/>
          <w:sz w:val="16"/>
          <w:szCs w:val="16"/>
        </w:rPr>
        <w:t xml:space="preserve"> de </w:t>
      </w:r>
      <w:r>
        <w:rPr>
          <w:rFonts w:ascii="Verdana" w:hAnsi="Verdana"/>
          <w:sz w:val="16"/>
          <w:szCs w:val="16"/>
        </w:rPr>
        <w:t>en</w:t>
      </w:r>
      <w:r w:rsidRPr="00432ABC">
        <w:rPr>
          <w:rFonts w:ascii="Verdana" w:hAnsi="Verdana"/>
          <w:sz w:val="16"/>
          <w:szCs w:val="16"/>
        </w:rPr>
        <w:t xml:space="preserve">ero de </w:t>
      </w:r>
      <w:r>
        <w:rPr>
          <w:rFonts w:ascii="Verdana" w:hAnsi="Verdana"/>
          <w:sz w:val="16"/>
          <w:szCs w:val="16"/>
        </w:rPr>
        <w:t>[</w:t>
      </w:r>
      <w:r w:rsidRPr="00432ABC">
        <w:rPr>
          <w:rFonts w:ascii="Verdana" w:hAnsi="Verdana"/>
          <w:sz w:val="16"/>
          <w:szCs w:val="16"/>
        </w:rPr>
        <w:t>2010</w:t>
      </w:r>
      <w:r>
        <w:rPr>
          <w:rFonts w:ascii="Verdana" w:hAnsi="Verdana"/>
          <w:sz w:val="16"/>
          <w:szCs w:val="16"/>
        </w:rPr>
        <w:t>]</w:t>
      </w:r>
      <w:r w:rsidRPr="00432ABC">
        <w:rPr>
          <w:rFonts w:ascii="Verdana" w:hAnsi="Verdana"/>
          <w:sz w:val="16"/>
          <w:szCs w:val="16"/>
        </w:rPr>
        <w:t xml:space="preserve"> del titular de la 7ªAMPF</w:t>
      </w:r>
      <w:r w:rsidRPr="00432ABC" w:rsidDel="00F17DBC">
        <w:rPr>
          <w:rFonts w:ascii="Verdana" w:hAnsi="Verdana"/>
          <w:sz w:val="16"/>
          <w:szCs w:val="16"/>
        </w:rPr>
        <w:t xml:space="preserve"> </w:t>
      </w:r>
      <w:r w:rsidRPr="00432ABC">
        <w:rPr>
          <w:rFonts w:ascii="Verdana" w:hAnsi="Verdana"/>
          <w:sz w:val="16"/>
          <w:szCs w:val="16"/>
        </w:rPr>
        <w:t>de la PGR – Chihuahua</w:t>
      </w:r>
      <w:r w:rsidRPr="00432ABC" w:rsidDel="00F17DBC">
        <w:rPr>
          <w:rFonts w:ascii="Verdana" w:hAnsi="Verdana"/>
          <w:sz w:val="16"/>
          <w:szCs w:val="16"/>
        </w:rPr>
        <w:t xml:space="preserve"> </w:t>
      </w:r>
      <w:r w:rsidRPr="00432ABC">
        <w:rPr>
          <w:rFonts w:ascii="Verdana" w:hAnsi="Verdana"/>
          <w:sz w:val="16"/>
          <w:szCs w:val="16"/>
        </w:rPr>
        <w:t xml:space="preserve">(expediente de prueba, </w:t>
      </w:r>
      <w:r>
        <w:rPr>
          <w:rFonts w:ascii="Verdana" w:hAnsi="Verdana"/>
          <w:sz w:val="16"/>
          <w:szCs w:val="16"/>
        </w:rPr>
        <w:t>e</w:t>
      </w:r>
      <w:r w:rsidRPr="00432ABC">
        <w:rPr>
          <w:rFonts w:ascii="Verdana" w:hAnsi="Verdana"/>
          <w:sz w:val="16"/>
          <w:szCs w:val="16"/>
        </w:rPr>
        <w:t>xpediente penal, ff. 5238 a 5239).</w:t>
      </w:r>
    </w:p>
  </w:footnote>
  <w:footnote w:id="240">
    <w:p w14:paraId="64AA621E" w14:textId="78669777" w:rsidR="00146958" w:rsidRPr="00432ABC" w:rsidRDefault="00146958">
      <w:pPr>
        <w:pStyle w:val="FootnoteText"/>
        <w:jc w:val="both"/>
        <w:rPr>
          <w:rFonts w:ascii="Verdana" w:hAnsi="Verdana"/>
          <w:sz w:val="16"/>
          <w:szCs w:val="16"/>
        </w:rPr>
      </w:pPr>
      <w:r w:rsidRPr="00432ABC">
        <w:rPr>
          <w:rStyle w:val="FootnoteReference"/>
          <w:rFonts w:ascii="Verdana" w:hAnsi="Verdana"/>
          <w:sz w:val="16"/>
          <w:szCs w:val="16"/>
        </w:rPr>
        <w:footnoteRef/>
      </w:r>
      <w:r w:rsidRPr="00432ABC">
        <w:rPr>
          <w:rFonts w:ascii="Verdana" w:hAnsi="Verdana"/>
          <w:sz w:val="16"/>
          <w:szCs w:val="16"/>
        </w:rPr>
        <w:t xml:space="preserve">  </w:t>
      </w:r>
      <w:r w:rsidRPr="00432ABC">
        <w:rPr>
          <w:rFonts w:ascii="Verdana" w:hAnsi="Verdana"/>
          <w:sz w:val="16"/>
          <w:szCs w:val="16"/>
        </w:rPr>
        <w:tab/>
      </w:r>
      <w:r w:rsidRPr="00CD5C54">
        <w:rPr>
          <w:rFonts w:ascii="Verdana" w:hAnsi="Verdana"/>
          <w:i/>
          <w:sz w:val="16"/>
          <w:szCs w:val="16"/>
        </w:rPr>
        <w:t>Cfr.</w:t>
      </w:r>
      <w:r w:rsidRPr="002C462C">
        <w:rPr>
          <w:rFonts w:ascii="Verdana" w:hAnsi="Verdana"/>
          <w:sz w:val="16"/>
          <w:szCs w:val="16"/>
        </w:rPr>
        <w:t xml:space="preserve"> Oficio sin número de 10 de febrero de 2010 suscrito por el </w:t>
      </w:r>
      <w:r w:rsidRPr="00432ABC">
        <w:rPr>
          <w:rFonts w:ascii="Verdana" w:hAnsi="Verdana"/>
          <w:sz w:val="16"/>
          <w:szCs w:val="16"/>
          <w:lang w:val="es-AR"/>
        </w:rPr>
        <w:t>Encargado del Despacho de la Delegación Estatal de la PGR -  Chihuahua</w:t>
      </w:r>
      <w:r w:rsidRPr="00432ABC">
        <w:rPr>
          <w:rFonts w:ascii="Verdana" w:hAnsi="Verdana"/>
          <w:sz w:val="16"/>
          <w:szCs w:val="16"/>
        </w:rPr>
        <w:t xml:space="preserve"> en Ciudad Juárez, dirigido al titular de la 7ªAMPF de la PGR – Chihuahua (expediente de prueba, </w:t>
      </w:r>
      <w:r>
        <w:rPr>
          <w:rFonts w:ascii="Verdana" w:hAnsi="Verdana"/>
          <w:sz w:val="16"/>
          <w:szCs w:val="16"/>
        </w:rPr>
        <w:t>e</w:t>
      </w:r>
      <w:r w:rsidRPr="00432ABC">
        <w:rPr>
          <w:rFonts w:ascii="Verdana" w:hAnsi="Verdana"/>
          <w:sz w:val="16"/>
          <w:szCs w:val="16"/>
        </w:rPr>
        <w:t xml:space="preserve">xpediente penal, ff. 5241 a 5242), y </w:t>
      </w:r>
      <w:r>
        <w:rPr>
          <w:rFonts w:ascii="Verdana" w:hAnsi="Verdana"/>
          <w:sz w:val="16"/>
          <w:szCs w:val="16"/>
        </w:rPr>
        <w:t>O</w:t>
      </w:r>
      <w:r w:rsidRPr="00432ABC">
        <w:rPr>
          <w:rFonts w:ascii="Verdana" w:hAnsi="Verdana"/>
          <w:sz w:val="16"/>
          <w:szCs w:val="16"/>
        </w:rPr>
        <w:t xml:space="preserve">ficio No. 842/2010 de 20 de febrero de 2010 suscrito por el titular de la 7ªAMPF de la PGR – Chihuahua, dirigido al Agente del Ministerio Público Militar de la Guarnición Militar de Ciudad Juárez, Chihuahua [AMPM – GMCJ] (expediente de prueba, </w:t>
      </w:r>
      <w:r>
        <w:rPr>
          <w:rFonts w:ascii="Verdana" w:hAnsi="Verdana"/>
          <w:sz w:val="16"/>
          <w:szCs w:val="16"/>
        </w:rPr>
        <w:t>e</w:t>
      </w:r>
      <w:r w:rsidRPr="00432ABC">
        <w:rPr>
          <w:rFonts w:ascii="Verdana" w:hAnsi="Verdana"/>
          <w:sz w:val="16"/>
          <w:szCs w:val="16"/>
        </w:rPr>
        <w:t>xpediente penal, f. 5226).</w:t>
      </w:r>
    </w:p>
  </w:footnote>
  <w:footnote w:id="241">
    <w:p w14:paraId="64AA621F" w14:textId="6C71A7F9" w:rsidR="00146958" w:rsidRPr="00432ABC" w:rsidRDefault="00146958">
      <w:pPr>
        <w:pStyle w:val="FootnoteText"/>
        <w:jc w:val="both"/>
        <w:rPr>
          <w:rFonts w:ascii="Verdana" w:hAnsi="Verdana"/>
          <w:sz w:val="16"/>
          <w:szCs w:val="16"/>
        </w:rPr>
      </w:pPr>
      <w:r w:rsidRPr="00432ABC">
        <w:rPr>
          <w:rStyle w:val="FootnoteReference"/>
          <w:rFonts w:ascii="Verdana" w:hAnsi="Verdana"/>
          <w:sz w:val="16"/>
          <w:szCs w:val="16"/>
        </w:rPr>
        <w:footnoteRef/>
      </w:r>
      <w:r w:rsidRPr="00432ABC">
        <w:rPr>
          <w:rFonts w:ascii="Verdana" w:hAnsi="Verdana"/>
          <w:sz w:val="16"/>
          <w:szCs w:val="16"/>
        </w:rPr>
        <w:t xml:space="preserve"> </w:t>
      </w:r>
      <w:r w:rsidRPr="00432ABC">
        <w:rPr>
          <w:rFonts w:ascii="Verdana" w:hAnsi="Verdana"/>
          <w:sz w:val="16"/>
          <w:szCs w:val="16"/>
        </w:rPr>
        <w:tab/>
      </w:r>
      <w:r w:rsidRPr="00CD5C54">
        <w:rPr>
          <w:rFonts w:ascii="Verdana" w:hAnsi="Verdana"/>
          <w:i/>
          <w:sz w:val="16"/>
          <w:szCs w:val="16"/>
        </w:rPr>
        <w:t>Cfr.</w:t>
      </w:r>
      <w:r w:rsidRPr="002C462C">
        <w:rPr>
          <w:rFonts w:ascii="Verdana" w:hAnsi="Verdana"/>
          <w:i/>
          <w:sz w:val="16"/>
          <w:szCs w:val="16"/>
        </w:rPr>
        <w:t xml:space="preserve"> </w:t>
      </w:r>
      <w:r w:rsidRPr="002C462C">
        <w:rPr>
          <w:rFonts w:ascii="Verdana" w:hAnsi="Verdana"/>
          <w:sz w:val="16"/>
          <w:szCs w:val="16"/>
        </w:rPr>
        <w:t xml:space="preserve">Acuerdo de </w:t>
      </w:r>
      <w:r>
        <w:rPr>
          <w:rFonts w:ascii="Verdana" w:hAnsi="Verdana"/>
          <w:sz w:val="16"/>
          <w:szCs w:val="16"/>
        </w:rPr>
        <w:t>i</w:t>
      </w:r>
      <w:r w:rsidRPr="002C462C">
        <w:rPr>
          <w:rFonts w:ascii="Verdana" w:hAnsi="Verdana"/>
          <w:sz w:val="16"/>
          <w:szCs w:val="16"/>
        </w:rPr>
        <w:t xml:space="preserve">nicio de </w:t>
      </w:r>
      <w:r>
        <w:rPr>
          <w:rFonts w:ascii="Verdana" w:hAnsi="Verdana"/>
          <w:sz w:val="16"/>
          <w:szCs w:val="16"/>
        </w:rPr>
        <w:t>a</w:t>
      </w:r>
      <w:r w:rsidRPr="002C462C">
        <w:rPr>
          <w:rFonts w:ascii="Verdana" w:hAnsi="Verdana"/>
          <w:sz w:val="16"/>
          <w:szCs w:val="16"/>
        </w:rPr>
        <w:t xml:space="preserve">cta </w:t>
      </w:r>
      <w:r>
        <w:rPr>
          <w:rFonts w:ascii="Verdana" w:hAnsi="Verdana"/>
          <w:sz w:val="16"/>
          <w:szCs w:val="16"/>
        </w:rPr>
        <w:t>c</w:t>
      </w:r>
      <w:r w:rsidRPr="002C462C">
        <w:rPr>
          <w:rFonts w:ascii="Verdana" w:hAnsi="Verdana"/>
          <w:sz w:val="16"/>
          <w:szCs w:val="16"/>
        </w:rPr>
        <w:t xml:space="preserve">ircunstanciada </w:t>
      </w:r>
      <w:r w:rsidRPr="00432ABC">
        <w:rPr>
          <w:rFonts w:ascii="Verdana" w:hAnsi="Verdana"/>
          <w:sz w:val="16"/>
          <w:szCs w:val="16"/>
          <w:lang w:val="es-AR"/>
        </w:rPr>
        <w:t>AC/PGR/CHIH/NCG/219/2010 de 15 de febrero de 2010</w:t>
      </w:r>
      <w:r w:rsidRPr="00432ABC">
        <w:rPr>
          <w:rFonts w:ascii="Verdana" w:hAnsi="Verdana"/>
          <w:sz w:val="16"/>
          <w:szCs w:val="16"/>
        </w:rPr>
        <w:t xml:space="preserve"> suscrito por el Agente del Ministerio Público de la Federación titular de la Agencia Única Investigadora en Nuevo Casas Grandes, Chihuahua [AMPF - NCG] (expediente de prueba, </w:t>
      </w:r>
      <w:r>
        <w:rPr>
          <w:rFonts w:ascii="Verdana" w:hAnsi="Verdana"/>
          <w:sz w:val="16"/>
          <w:szCs w:val="16"/>
        </w:rPr>
        <w:t>e</w:t>
      </w:r>
      <w:r w:rsidRPr="00432ABC">
        <w:rPr>
          <w:rFonts w:ascii="Verdana" w:hAnsi="Verdana"/>
          <w:sz w:val="16"/>
          <w:szCs w:val="16"/>
        </w:rPr>
        <w:t>xpediente penal,</w:t>
      </w:r>
      <w:r>
        <w:rPr>
          <w:rFonts w:ascii="Verdana" w:hAnsi="Verdana"/>
          <w:sz w:val="16"/>
          <w:szCs w:val="16"/>
        </w:rPr>
        <w:t xml:space="preserve"> </w:t>
      </w:r>
      <w:r w:rsidRPr="00432ABC">
        <w:rPr>
          <w:rFonts w:ascii="Verdana" w:hAnsi="Verdana"/>
          <w:sz w:val="16"/>
          <w:szCs w:val="16"/>
        </w:rPr>
        <w:t xml:space="preserve">ff. 24240 a 24242), y </w:t>
      </w:r>
      <w:r>
        <w:rPr>
          <w:rFonts w:ascii="Verdana" w:hAnsi="Verdana"/>
          <w:sz w:val="16"/>
          <w:szCs w:val="16"/>
        </w:rPr>
        <w:t>o</w:t>
      </w:r>
      <w:r w:rsidRPr="00432ABC">
        <w:rPr>
          <w:rFonts w:ascii="Verdana" w:hAnsi="Verdana"/>
          <w:sz w:val="16"/>
          <w:szCs w:val="16"/>
        </w:rPr>
        <w:t xml:space="preserve">ficio No. SCRPPA/ST/01573/2010 de 8 de febrero de 2010 suscrito por el Secretario Técnico del Subprocurador de Control Regional, Procedimiento Penales y Amparo de la PGR, dirigido al Encargado de Despacho de la Delegación de la PGR - Chihuahua (expediente de prueba, </w:t>
      </w:r>
      <w:r>
        <w:rPr>
          <w:rFonts w:ascii="Verdana" w:hAnsi="Verdana"/>
          <w:sz w:val="16"/>
          <w:szCs w:val="16"/>
        </w:rPr>
        <w:t>e</w:t>
      </w:r>
      <w:r w:rsidRPr="00432ABC">
        <w:rPr>
          <w:rFonts w:ascii="Verdana" w:hAnsi="Verdana"/>
          <w:sz w:val="16"/>
          <w:szCs w:val="16"/>
        </w:rPr>
        <w:t>xpediente penal, f. 24255).</w:t>
      </w:r>
    </w:p>
  </w:footnote>
  <w:footnote w:id="242">
    <w:p w14:paraId="64AA6220" w14:textId="12CDADAA" w:rsidR="00146958" w:rsidRPr="00432ABC" w:rsidRDefault="00146958">
      <w:pPr>
        <w:pStyle w:val="FootnoteText"/>
        <w:jc w:val="both"/>
        <w:rPr>
          <w:rFonts w:ascii="Verdana" w:hAnsi="Verdana"/>
          <w:sz w:val="16"/>
          <w:szCs w:val="16"/>
        </w:rPr>
      </w:pPr>
      <w:r w:rsidRPr="00432ABC">
        <w:rPr>
          <w:rStyle w:val="FootnoteReference"/>
          <w:rFonts w:ascii="Verdana" w:hAnsi="Verdana"/>
          <w:sz w:val="16"/>
          <w:szCs w:val="16"/>
        </w:rPr>
        <w:footnoteRef/>
      </w:r>
      <w:r w:rsidRPr="00432ABC">
        <w:rPr>
          <w:rFonts w:ascii="Verdana" w:hAnsi="Verdana"/>
          <w:sz w:val="16"/>
          <w:szCs w:val="16"/>
        </w:rPr>
        <w:t xml:space="preserve"> </w:t>
      </w:r>
      <w:r w:rsidRPr="00432ABC">
        <w:rPr>
          <w:rFonts w:ascii="Verdana" w:hAnsi="Verdana"/>
          <w:sz w:val="16"/>
          <w:szCs w:val="16"/>
        </w:rPr>
        <w:tab/>
      </w:r>
      <w:r w:rsidRPr="00CD5C54">
        <w:rPr>
          <w:rFonts w:ascii="Verdana" w:hAnsi="Verdana"/>
          <w:i/>
          <w:sz w:val="16"/>
          <w:szCs w:val="16"/>
        </w:rPr>
        <w:t>Cfr.</w:t>
      </w:r>
      <w:r w:rsidRPr="002C462C">
        <w:rPr>
          <w:rFonts w:ascii="Verdana" w:hAnsi="Verdana"/>
          <w:sz w:val="16"/>
          <w:szCs w:val="16"/>
        </w:rPr>
        <w:t xml:space="preserve"> Oficio No. 219/2010 de 1 de marzo de 2010 suscrito por el AMPF - NCG, dirigido al Encargado de la Agencia Federal de Investigación en Nuevo Casas Grandes, Chihuahua (expediente de prueba, </w:t>
      </w:r>
      <w:r>
        <w:rPr>
          <w:rFonts w:ascii="Verdana" w:hAnsi="Verdana"/>
          <w:sz w:val="16"/>
          <w:szCs w:val="16"/>
        </w:rPr>
        <w:t>e</w:t>
      </w:r>
      <w:r w:rsidRPr="002C462C">
        <w:rPr>
          <w:rFonts w:ascii="Verdana" w:hAnsi="Verdana"/>
          <w:sz w:val="16"/>
          <w:szCs w:val="16"/>
        </w:rPr>
        <w:t xml:space="preserve">xpediente penal, f. 24250), y </w:t>
      </w:r>
      <w:r>
        <w:rPr>
          <w:rFonts w:ascii="Verdana" w:hAnsi="Verdana"/>
          <w:sz w:val="16"/>
          <w:szCs w:val="16"/>
        </w:rPr>
        <w:t>O</w:t>
      </w:r>
      <w:r w:rsidRPr="002C462C">
        <w:rPr>
          <w:rFonts w:ascii="Verdana" w:hAnsi="Verdana"/>
          <w:sz w:val="16"/>
          <w:szCs w:val="16"/>
        </w:rPr>
        <w:t>ficio No. 222/20</w:t>
      </w:r>
      <w:r w:rsidRPr="00432ABC">
        <w:rPr>
          <w:rFonts w:ascii="Verdana" w:hAnsi="Verdana"/>
          <w:sz w:val="16"/>
          <w:szCs w:val="16"/>
        </w:rPr>
        <w:t xml:space="preserve">10 de 1 de marzo de 2010 suscrito por el AMPF - NCG, dirigido al Comandante del 35 Batallón de Infantería (expediente de prueba, </w:t>
      </w:r>
      <w:r>
        <w:rPr>
          <w:rFonts w:ascii="Verdana" w:hAnsi="Verdana"/>
          <w:sz w:val="16"/>
          <w:szCs w:val="16"/>
        </w:rPr>
        <w:t>e</w:t>
      </w:r>
      <w:r w:rsidRPr="00432ABC">
        <w:rPr>
          <w:rFonts w:ascii="Verdana" w:hAnsi="Verdana"/>
          <w:sz w:val="16"/>
          <w:szCs w:val="16"/>
        </w:rPr>
        <w:t xml:space="preserve">xpediente penal, f. 24252). </w:t>
      </w:r>
    </w:p>
  </w:footnote>
  <w:footnote w:id="243">
    <w:p w14:paraId="64AA6221" w14:textId="6945BCFD" w:rsidR="00146958" w:rsidRPr="00432ABC" w:rsidRDefault="00146958">
      <w:pPr>
        <w:pStyle w:val="FootnoteText"/>
        <w:jc w:val="both"/>
        <w:rPr>
          <w:rFonts w:ascii="Verdana" w:hAnsi="Verdana"/>
          <w:sz w:val="16"/>
          <w:szCs w:val="16"/>
        </w:rPr>
      </w:pPr>
      <w:r w:rsidRPr="00432ABC">
        <w:rPr>
          <w:rStyle w:val="FootnoteReference"/>
          <w:rFonts w:ascii="Verdana" w:hAnsi="Verdana"/>
          <w:sz w:val="16"/>
          <w:szCs w:val="16"/>
        </w:rPr>
        <w:footnoteRef/>
      </w:r>
      <w:r w:rsidRPr="00432ABC">
        <w:rPr>
          <w:rFonts w:ascii="Verdana" w:hAnsi="Verdana"/>
          <w:sz w:val="16"/>
          <w:szCs w:val="16"/>
        </w:rPr>
        <w:t xml:space="preserve"> </w:t>
      </w:r>
      <w:r w:rsidRPr="00432ABC">
        <w:rPr>
          <w:rFonts w:ascii="Verdana" w:hAnsi="Verdana"/>
          <w:sz w:val="16"/>
          <w:szCs w:val="16"/>
        </w:rPr>
        <w:tab/>
      </w:r>
      <w:r w:rsidRPr="00CD5C54">
        <w:rPr>
          <w:rFonts w:ascii="Verdana" w:hAnsi="Verdana"/>
          <w:i/>
          <w:sz w:val="16"/>
          <w:szCs w:val="16"/>
        </w:rPr>
        <w:t>Cfr.</w:t>
      </w:r>
      <w:r w:rsidRPr="002C462C">
        <w:rPr>
          <w:rFonts w:ascii="Verdana" w:hAnsi="Verdana"/>
          <w:i/>
          <w:sz w:val="16"/>
          <w:szCs w:val="16"/>
        </w:rPr>
        <w:t xml:space="preserve"> </w:t>
      </w:r>
      <w:r w:rsidRPr="002C462C">
        <w:rPr>
          <w:rFonts w:ascii="Verdana" w:hAnsi="Verdana"/>
          <w:sz w:val="16"/>
          <w:szCs w:val="16"/>
        </w:rPr>
        <w:t>Oficio No. 1996/2010 de 22 de octubre de 2010 del AMPF - NCG, dirigido</w:t>
      </w:r>
      <w:r w:rsidRPr="00432ABC">
        <w:rPr>
          <w:rFonts w:ascii="Verdana" w:hAnsi="Verdana"/>
          <w:sz w:val="16"/>
          <w:szCs w:val="16"/>
        </w:rPr>
        <w:t xml:space="preserve"> a la AMPF adscrita a la Oficina Regional de la FEVIMTRA – PGR en Ciudad Juárez (expediente de prueba, </w:t>
      </w:r>
      <w:r>
        <w:rPr>
          <w:rFonts w:ascii="Verdana" w:hAnsi="Verdana"/>
          <w:sz w:val="16"/>
          <w:szCs w:val="16"/>
        </w:rPr>
        <w:t>e</w:t>
      </w:r>
      <w:r w:rsidRPr="00432ABC">
        <w:rPr>
          <w:rFonts w:ascii="Verdana" w:hAnsi="Verdana"/>
          <w:sz w:val="16"/>
          <w:szCs w:val="16"/>
        </w:rPr>
        <w:t>xpediente penal, f. 13967).</w:t>
      </w:r>
    </w:p>
  </w:footnote>
  <w:footnote w:id="244">
    <w:p w14:paraId="64AA6222" w14:textId="6E9FF8D5" w:rsidR="00146958" w:rsidRPr="00432ABC" w:rsidRDefault="00146958">
      <w:pPr>
        <w:pStyle w:val="FootnoteText"/>
        <w:jc w:val="both"/>
        <w:rPr>
          <w:rFonts w:ascii="Verdana" w:hAnsi="Verdana"/>
          <w:sz w:val="16"/>
          <w:szCs w:val="16"/>
        </w:rPr>
      </w:pPr>
      <w:r w:rsidRPr="00432ABC">
        <w:rPr>
          <w:rStyle w:val="FootnoteReference"/>
          <w:rFonts w:ascii="Verdana" w:hAnsi="Verdana"/>
          <w:sz w:val="16"/>
          <w:szCs w:val="16"/>
        </w:rPr>
        <w:footnoteRef/>
      </w:r>
      <w:r w:rsidRPr="00432ABC">
        <w:rPr>
          <w:rFonts w:ascii="Verdana" w:hAnsi="Verdana"/>
          <w:sz w:val="16"/>
          <w:szCs w:val="16"/>
        </w:rPr>
        <w:t xml:space="preserve"> </w:t>
      </w:r>
      <w:r w:rsidRPr="00432ABC">
        <w:rPr>
          <w:rFonts w:ascii="Verdana" w:hAnsi="Verdana"/>
          <w:sz w:val="16"/>
          <w:szCs w:val="16"/>
        </w:rPr>
        <w:tab/>
      </w:r>
      <w:r w:rsidRPr="00CD5C54">
        <w:rPr>
          <w:rFonts w:ascii="Verdana" w:hAnsi="Verdana"/>
          <w:i/>
          <w:sz w:val="16"/>
          <w:szCs w:val="16"/>
        </w:rPr>
        <w:t>Cfr.</w:t>
      </w:r>
      <w:r w:rsidRPr="002C462C">
        <w:rPr>
          <w:rFonts w:ascii="Verdana" w:hAnsi="Verdana"/>
          <w:sz w:val="16"/>
          <w:szCs w:val="16"/>
        </w:rPr>
        <w:t xml:space="preserve"> Auto de inicio de Averiguación Previa </w:t>
      </w:r>
      <w:r w:rsidRPr="00432ABC">
        <w:rPr>
          <w:rFonts w:ascii="Verdana" w:hAnsi="Verdana"/>
          <w:sz w:val="16"/>
          <w:szCs w:val="16"/>
          <w:lang w:val="es-AR"/>
        </w:rPr>
        <w:t xml:space="preserve">5ZM/04/2010 de 15 de enero de 2010 </w:t>
      </w:r>
      <w:r w:rsidRPr="00432ABC">
        <w:rPr>
          <w:rFonts w:ascii="Verdana" w:hAnsi="Verdana"/>
          <w:sz w:val="16"/>
          <w:szCs w:val="16"/>
        </w:rPr>
        <w:t xml:space="preserve">(expediente de prueba, </w:t>
      </w:r>
      <w:r>
        <w:rPr>
          <w:rFonts w:ascii="Verdana" w:hAnsi="Verdana"/>
          <w:sz w:val="16"/>
          <w:szCs w:val="16"/>
        </w:rPr>
        <w:t>e</w:t>
      </w:r>
      <w:r w:rsidRPr="00432ABC">
        <w:rPr>
          <w:rFonts w:ascii="Verdana" w:hAnsi="Verdana"/>
          <w:sz w:val="16"/>
          <w:szCs w:val="16"/>
        </w:rPr>
        <w:t>xpediente penal, f. 528</w:t>
      </w:r>
      <w:r>
        <w:rPr>
          <w:rFonts w:ascii="Verdana" w:hAnsi="Verdana"/>
          <w:sz w:val="16"/>
          <w:szCs w:val="16"/>
        </w:rPr>
        <w:t>3</w:t>
      </w:r>
      <w:r w:rsidRPr="00432ABC">
        <w:rPr>
          <w:rFonts w:ascii="Verdana" w:hAnsi="Verdana"/>
          <w:sz w:val="16"/>
          <w:szCs w:val="16"/>
        </w:rPr>
        <w:t xml:space="preserve">), y Mensaje C.E.I. No. 044 de 15 de enero de 2010 </w:t>
      </w:r>
      <w:r w:rsidRPr="00432ABC">
        <w:rPr>
          <w:rFonts w:ascii="Verdana" w:hAnsi="Verdana"/>
          <w:sz w:val="16"/>
          <w:szCs w:val="16"/>
          <w:lang w:val="es-AR"/>
        </w:rPr>
        <w:t xml:space="preserve">suscrito por el Myr. J.M. y Lic. G. H. Leal Estévez, A.M.P.M. ADSC. 5/a Z.M. en Chihuahua, Chihuahua </w:t>
      </w:r>
      <w:r w:rsidRPr="00432ABC">
        <w:rPr>
          <w:rFonts w:ascii="Verdana" w:hAnsi="Verdana"/>
          <w:sz w:val="16"/>
          <w:szCs w:val="16"/>
        </w:rPr>
        <w:t xml:space="preserve">(expediente de prueba, </w:t>
      </w:r>
      <w:r>
        <w:rPr>
          <w:rFonts w:ascii="Verdana" w:hAnsi="Verdana"/>
          <w:sz w:val="16"/>
          <w:szCs w:val="16"/>
        </w:rPr>
        <w:t>e</w:t>
      </w:r>
      <w:r w:rsidRPr="00432ABC">
        <w:rPr>
          <w:rFonts w:ascii="Verdana" w:hAnsi="Verdana"/>
          <w:sz w:val="16"/>
          <w:szCs w:val="16"/>
        </w:rPr>
        <w:t>xpediente penal, f. 5285).</w:t>
      </w:r>
    </w:p>
  </w:footnote>
  <w:footnote w:id="245">
    <w:p w14:paraId="64AA6223" w14:textId="1F762601" w:rsidR="00146958" w:rsidRPr="00432ABC" w:rsidRDefault="00146958">
      <w:pPr>
        <w:pStyle w:val="FootnoteText"/>
        <w:jc w:val="both"/>
        <w:rPr>
          <w:rFonts w:ascii="Verdana" w:hAnsi="Verdana"/>
          <w:sz w:val="16"/>
          <w:szCs w:val="16"/>
        </w:rPr>
      </w:pPr>
      <w:r w:rsidRPr="00432ABC">
        <w:rPr>
          <w:rStyle w:val="FootnoteReference"/>
          <w:rFonts w:ascii="Verdana" w:hAnsi="Verdana"/>
          <w:sz w:val="16"/>
          <w:szCs w:val="16"/>
        </w:rPr>
        <w:footnoteRef/>
      </w:r>
      <w:r w:rsidRPr="00432ABC">
        <w:rPr>
          <w:rFonts w:ascii="Verdana" w:hAnsi="Verdana"/>
          <w:sz w:val="16"/>
          <w:szCs w:val="16"/>
        </w:rPr>
        <w:t xml:space="preserve"> </w:t>
      </w:r>
      <w:r w:rsidRPr="00432ABC">
        <w:rPr>
          <w:rFonts w:ascii="Verdana" w:hAnsi="Verdana"/>
          <w:sz w:val="16"/>
          <w:szCs w:val="16"/>
        </w:rPr>
        <w:tab/>
      </w:r>
      <w:r w:rsidRPr="00CD5C54">
        <w:rPr>
          <w:rFonts w:ascii="Verdana" w:hAnsi="Verdana"/>
          <w:i/>
          <w:sz w:val="16"/>
          <w:szCs w:val="16"/>
        </w:rPr>
        <w:t>Cfr.</w:t>
      </w:r>
      <w:r w:rsidRPr="002C462C">
        <w:rPr>
          <w:rFonts w:ascii="Verdana" w:hAnsi="Verdana"/>
          <w:sz w:val="16"/>
          <w:szCs w:val="16"/>
        </w:rPr>
        <w:t xml:space="preserve"> Mensaje C.</w:t>
      </w:r>
      <w:r w:rsidRPr="00432ABC">
        <w:rPr>
          <w:rFonts w:ascii="Verdana" w:hAnsi="Verdana"/>
          <w:sz w:val="16"/>
          <w:szCs w:val="16"/>
        </w:rPr>
        <w:t xml:space="preserve">E.I. No. 929 de 15 de enero de 2010 suscrito por el Coronel Élfego José Luján Ruiz, Comandante del 35 Batallón, dirigido al Comandante de la 5ªZM en Chihuahua (expediente de prueba, </w:t>
      </w:r>
      <w:r>
        <w:rPr>
          <w:rFonts w:ascii="Verdana" w:hAnsi="Verdana"/>
          <w:sz w:val="16"/>
          <w:szCs w:val="16"/>
        </w:rPr>
        <w:t>e</w:t>
      </w:r>
      <w:r w:rsidRPr="00432ABC">
        <w:rPr>
          <w:rFonts w:ascii="Verdana" w:hAnsi="Verdana"/>
          <w:sz w:val="16"/>
          <w:szCs w:val="16"/>
        </w:rPr>
        <w:t>xpediente penal, ff. 5609 a 5611).</w:t>
      </w:r>
    </w:p>
  </w:footnote>
  <w:footnote w:id="246">
    <w:p w14:paraId="64AA6224" w14:textId="778C08C7" w:rsidR="00146958" w:rsidRPr="00432ABC" w:rsidRDefault="00146958">
      <w:pPr>
        <w:pStyle w:val="FootnoteText"/>
        <w:jc w:val="both"/>
        <w:rPr>
          <w:rFonts w:ascii="Verdana" w:hAnsi="Verdana"/>
          <w:sz w:val="16"/>
          <w:szCs w:val="16"/>
        </w:rPr>
      </w:pPr>
      <w:r w:rsidRPr="00432ABC">
        <w:rPr>
          <w:rStyle w:val="FootnoteReference"/>
          <w:rFonts w:ascii="Verdana" w:hAnsi="Verdana"/>
          <w:sz w:val="16"/>
          <w:szCs w:val="16"/>
        </w:rPr>
        <w:footnoteRef/>
      </w:r>
      <w:r w:rsidRPr="00432ABC">
        <w:rPr>
          <w:rFonts w:ascii="Verdana" w:hAnsi="Verdana"/>
          <w:sz w:val="16"/>
          <w:szCs w:val="16"/>
        </w:rPr>
        <w:t xml:space="preserve"> </w:t>
      </w:r>
      <w:r w:rsidRPr="00432ABC">
        <w:rPr>
          <w:rFonts w:ascii="Verdana" w:hAnsi="Verdana"/>
          <w:sz w:val="16"/>
          <w:szCs w:val="16"/>
        </w:rPr>
        <w:tab/>
      </w:r>
      <w:r w:rsidRPr="00CD5C54">
        <w:rPr>
          <w:rFonts w:ascii="Verdana" w:hAnsi="Verdana"/>
          <w:i/>
          <w:sz w:val="16"/>
          <w:szCs w:val="16"/>
        </w:rPr>
        <w:t>Cfr.</w:t>
      </w:r>
      <w:r w:rsidRPr="002C462C">
        <w:rPr>
          <w:rFonts w:ascii="Verdana" w:hAnsi="Verdana"/>
          <w:sz w:val="16"/>
          <w:szCs w:val="16"/>
        </w:rPr>
        <w:t xml:space="preserve"> Oficio No. 3625 de 2 </w:t>
      </w:r>
      <w:r w:rsidRPr="00432ABC">
        <w:rPr>
          <w:rFonts w:ascii="Verdana" w:hAnsi="Verdana"/>
          <w:sz w:val="16"/>
          <w:szCs w:val="16"/>
        </w:rPr>
        <w:t xml:space="preserve">de marzo de 2010 suscrito por el Comandante del 23º Batallón de Infantería (expediente de prueba, </w:t>
      </w:r>
      <w:r>
        <w:rPr>
          <w:rFonts w:ascii="Verdana" w:hAnsi="Verdana"/>
          <w:sz w:val="16"/>
          <w:szCs w:val="16"/>
        </w:rPr>
        <w:t>e</w:t>
      </w:r>
      <w:r w:rsidRPr="00432ABC">
        <w:rPr>
          <w:rFonts w:ascii="Verdana" w:hAnsi="Verdana"/>
          <w:sz w:val="16"/>
          <w:szCs w:val="16"/>
        </w:rPr>
        <w:t xml:space="preserve">xpediente penal, ff. 5595 a 5596), y </w:t>
      </w:r>
      <w:r>
        <w:rPr>
          <w:rFonts w:ascii="Verdana" w:hAnsi="Verdana"/>
          <w:sz w:val="16"/>
          <w:szCs w:val="16"/>
        </w:rPr>
        <w:t>O</w:t>
      </w:r>
      <w:r w:rsidRPr="00432ABC">
        <w:rPr>
          <w:rFonts w:ascii="Verdana" w:hAnsi="Verdana"/>
          <w:sz w:val="16"/>
          <w:szCs w:val="16"/>
        </w:rPr>
        <w:t xml:space="preserve">ficio No. 4401 de 2 de marzo de 2010 suscrito por el Comandante del 20º Regimiento de Caballería Motorizada (expediente de prueba, </w:t>
      </w:r>
      <w:r>
        <w:rPr>
          <w:rFonts w:ascii="Verdana" w:hAnsi="Verdana"/>
          <w:sz w:val="16"/>
          <w:szCs w:val="16"/>
        </w:rPr>
        <w:t>e</w:t>
      </w:r>
      <w:r w:rsidRPr="00432ABC">
        <w:rPr>
          <w:rFonts w:ascii="Verdana" w:hAnsi="Verdana"/>
          <w:sz w:val="16"/>
          <w:szCs w:val="16"/>
        </w:rPr>
        <w:t xml:space="preserve">xpediente penal, f. 5600). </w:t>
      </w:r>
    </w:p>
  </w:footnote>
  <w:footnote w:id="247">
    <w:p w14:paraId="64AA6225" w14:textId="0B7DCE45" w:rsidR="00146958" w:rsidRPr="00432ABC" w:rsidRDefault="00146958">
      <w:pPr>
        <w:pStyle w:val="FootnoteText"/>
        <w:jc w:val="both"/>
        <w:rPr>
          <w:rFonts w:ascii="Verdana" w:hAnsi="Verdana"/>
          <w:sz w:val="16"/>
          <w:szCs w:val="16"/>
        </w:rPr>
      </w:pPr>
      <w:r w:rsidRPr="00432ABC">
        <w:rPr>
          <w:rStyle w:val="FootnoteReference"/>
          <w:rFonts w:ascii="Verdana" w:hAnsi="Verdana"/>
          <w:sz w:val="16"/>
          <w:szCs w:val="16"/>
        </w:rPr>
        <w:footnoteRef/>
      </w:r>
      <w:r w:rsidRPr="00432ABC">
        <w:rPr>
          <w:rFonts w:ascii="Verdana" w:hAnsi="Verdana"/>
          <w:sz w:val="16"/>
          <w:szCs w:val="16"/>
        </w:rPr>
        <w:t xml:space="preserve">  </w:t>
      </w:r>
      <w:r w:rsidRPr="00432ABC">
        <w:rPr>
          <w:rFonts w:ascii="Verdana" w:hAnsi="Verdana"/>
          <w:sz w:val="16"/>
          <w:szCs w:val="16"/>
        </w:rPr>
        <w:tab/>
      </w:r>
      <w:r w:rsidRPr="00CD5C54">
        <w:rPr>
          <w:rFonts w:ascii="Verdana" w:hAnsi="Verdana"/>
          <w:i/>
          <w:sz w:val="16"/>
          <w:szCs w:val="16"/>
        </w:rPr>
        <w:t>Cfr.</w:t>
      </w:r>
      <w:r w:rsidRPr="002C462C">
        <w:rPr>
          <w:rFonts w:ascii="Verdana" w:hAnsi="Verdana"/>
          <w:sz w:val="16"/>
          <w:szCs w:val="16"/>
        </w:rPr>
        <w:t xml:space="preserve"> Oficio No. 4405 de 10 de marzo de 2010 suscrito por el Comandante del 35º Batallón de Infantería, (expediente de prueba, </w:t>
      </w:r>
      <w:r>
        <w:rPr>
          <w:rFonts w:ascii="Verdana" w:hAnsi="Verdana"/>
          <w:sz w:val="16"/>
          <w:szCs w:val="16"/>
        </w:rPr>
        <w:t>e</w:t>
      </w:r>
      <w:r w:rsidRPr="002C462C">
        <w:rPr>
          <w:rFonts w:ascii="Verdana" w:hAnsi="Verdana"/>
          <w:sz w:val="16"/>
          <w:szCs w:val="16"/>
        </w:rPr>
        <w:t>xpediente penal, ff. 6193 a 6199). La información referid</w:t>
      </w:r>
      <w:r w:rsidRPr="00432ABC">
        <w:rPr>
          <w:rFonts w:ascii="Verdana" w:hAnsi="Verdana"/>
          <w:sz w:val="16"/>
          <w:szCs w:val="16"/>
        </w:rPr>
        <w:t xml:space="preserve">a fue remitida en respuesta a los pedimentos del </w:t>
      </w:r>
      <w:r w:rsidRPr="00432ABC">
        <w:rPr>
          <w:rFonts w:ascii="Verdana" w:hAnsi="Verdana"/>
          <w:sz w:val="16"/>
          <w:szCs w:val="16"/>
          <w:lang w:val="es-AR"/>
        </w:rPr>
        <w:t>AMPM-5ªZM</w:t>
      </w:r>
      <w:r w:rsidRPr="00432ABC">
        <w:rPr>
          <w:rFonts w:ascii="Verdana" w:hAnsi="Verdana"/>
          <w:sz w:val="16"/>
          <w:szCs w:val="16"/>
        </w:rPr>
        <w:t xml:space="preserve"> realizados al Comandante de la 5ªZM: i) </w:t>
      </w:r>
      <w:r w:rsidRPr="00432ABC">
        <w:rPr>
          <w:rFonts w:ascii="Verdana" w:hAnsi="Verdana"/>
          <w:sz w:val="16"/>
          <w:szCs w:val="16"/>
          <w:lang w:val="es-AR"/>
        </w:rPr>
        <w:t xml:space="preserve">el 19 de enero de 2010 </w:t>
      </w:r>
      <w:r w:rsidRPr="00432ABC">
        <w:rPr>
          <w:rFonts w:ascii="Verdana" w:hAnsi="Verdana"/>
          <w:sz w:val="16"/>
          <w:szCs w:val="16"/>
        </w:rPr>
        <w:t xml:space="preserve">(expediente de prueba, </w:t>
      </w:r>
      <w:r>
        <w:rPr>
          <w:rFonts w:ascii="Verdana" w:hAnsi="Verdana"/>
          <w:sz w:val="16"/>
          <w:szCs w:val="16"/>
        </w:rPr>
        <w:t>e</w:t>
      </w:r>
      <w:r w:rsidRPr="00432ABC">
        <w:rPr>
          <w:rFonts w:ascii="Verdana" w:hAnsi="Verdana"/>
          <w:sz w:val="16"/>
          <w:szCs w:val="16"/>
        </w:rPr>
        <w:t xml:space="preserve">xpediente penal, f. 5561); ii) </w:t>
      </w:r>
      <w:r>
        <w:rPr>
          <w:rFonts w:ascii="Verdana" w:hAnsi="Verdana"/>
          <w:sz w:val="16"/>
          <w:szCs w:val="16"/>
        </w:rPr>
        <w:t>O</w:t>
      </w:r>
      <w:r w:rsidRPr="00432ABC">
        <w:rPr>
          <w:rFonts w:ascii="Verdana" w:hAnsi="Verdana"/>
          <w:sz w:val="16"/>
          <w:szCs w:val="16"/>
        </w:rPr>
        <w:t xml:space="preserve">ficio No. ZM-196 de 26 de febrero de 2010 (expediente de prueba, </w:t>
      </w:r>
      <w:r>
        <w:rPr>
          <w:rFonts w:ascii="Verdana" w:hAnsi="Verdana"/>
          <w:sz w:val="16"/>
          <w:szCs w:val="16"/>
        </w:rPr>
        <w:t>e</w:t>
      </w:r>
      <w:r w:rsidRPr="00432ABC">
        <w:rPr>
          <w:rFonts w:ascii="Verdana" w:hAnsi="Verdana"/>
          <w:sz w:val="16"/>
          <w:szCs w:val="16"/>
        </w:rPr>
        <w:t xml:space="preserve">xpediente penal, f. 5563), y iii) </w:t>
      </w:r>
      <w:r>
        <w:rPr>
          <w:rFonts w:ascii="Verdana" w:hAnsi="Verdana"/>
          <w:sz w:val="16"/>
          <w:szCs w:val="16"/>
        </w:rPr>
        <w:t>O</w:t>
      </w:r>
      <w:r w:rsidRPr="00432ABC">
        <w:rPr>
          <w:rFonts w:ascii="Verdana" w:hAnsi="Verdana"/>
          <w:sz w:val="16"/>
          <w:szCs w:val="16"/>
        </w:rPr>
        <w:t xml:space="preserve">ficio No. ZM-197 de 26 de febrero de 2010 (expediente de prueba, </w:t>
      </w:r>
      <w:r>
        <w:rPr>
          <w:rFonts w:ascii="Verdana" w:hAnsi="Verdana"/>
          <w:sz w:val="16"/>
          <w:szCs w:val="16"/>
        </w:rPr>
        <w:t>e</w:t>
      </w:r>
      <w:r w:rsidRPr="00432ABC">
        <w:rPr>
          <w:rFonts w:ascii="Verdana" w:hAnsi="Verdana"/>
          <w:sz w:val="16"/>
          <w:szCs w:val="16"/>
        </w:rPr>
        <w:t>xpediente penal, f. 5564).</w:t>
      </w:r>
    </w:p>
  </w:footnote>
  <w:footnote w:id="248">
    <w:p w14:paraId="66535D8E" w14:textId="1A49663D" w:rsidR="00146958" w:rsidRPr="00432ABC" w:rsidRDefault="00146958">
      <w:pPr>
        <w:pStyle w:val="FootnoteText"/>
        <w:jc w:val="both"/>
        <w:rPr>
          <w:rFonts w:ascii="Verdana" w:hAnsi="Verdana"/>
          <w:sz w:val="16"/>
          <w:szCs w:val="16"/>
        </w:rPr>
      </w:pPr>
      <w:r w:rsidRPr="00432ABC">
        <w:rPr>
          <w:rStyle w:val="FootnoteReference"/>
          <w:rFonts w:ascii="Verdana" w:hAnsi="Verdana"/>
          <w:sz w:val="16"/>
          <w:szCs w:val="16"/>
        </w:rPr>
        <w:footnoteRef/>
      </w:r>
      <w:r w:rsidRPr="00432ABC">
        <w:rPr>
          <w:rFonts w:ascii="Verdana" w:hAnsi="Verdana"/>
          <w:sz w:val="16"/>
          <w:szCs w:val="16"/>
        </w:rPr>
        <w:t xml:space="preserve"> </w:t>
      </w:r>
      <w:r w:rsidRPr="00432ABC">
        <w:rPr>
          <w:rFonts w:ascii="Verdana" w:hAnsi="Verdana"/>
          <w:sz w:val="16"/>
          <w:szCs w:val="16"/>
        </w:rPr>
        <w:tab/>
      </w:r>
      <w:r w:rsidRPr="00CD5C54">
        <w:rPr>
          <w:rFonts w:ascii="Verdana" w:hAnsi="Verdana"/>
          <w:i/>
          <w:sz w:val="16"/>
          <w:szCs w:val="16"/>
        </w:rPr>
        <w:t>Cfr.</w:t>
      </w:r>
      <w:r w:rsidRPr="002C462C">
        <w:rPr>
          <w:rFonts w:ascii="Verdana" w:hAnsi="Verdana"/>
          <w:sz w:val="16"/>
          <w:szCs w:val="16"/>
        </w:rPr>
        <w:t xml:space="preserve"> Acta de Fe Ministerial de 9 de marzo de 2010 suscrita por el AMPM – 5ªZM  (expediente de prueba, </w:t>
      </w:r>
      <w:r>
        <w:rPr>
          <w:rFonts w:ascii="Verdana" w:hAnsi="Verdana"/>
          <w:sz w:val="16"/>
          <w:szCs w:val="16"/>
        </w:rPr>
        <w:t>e</w:t>
      </w:r>
      <w:r w:rsidRPr="002C462C">
        <w:rPr>
          <w:rFonts w:ascii="Verdana" w:hAnsi="Verdana"/>
          <w:sz w:val="16"/>
          <w:szCs w:val="16"/>
        </w:rPr>
        <w:t>xpedien</w:t>
      </w:r>
      <w:r w:rsidRPr="00432ABC">
        <w:rPr>
          <w:rFonts w:ascii="Verdana" w:hAnsi="Verdana"/>
          <w:sz w:val="16"/>
          <w:szCs w:val="16"/>
        </w:rPr>
        <w:t xml:space="preserve">te penal, </w:t>
      </w:r>
      <w:r>
        <w:rPr>
          <w:rFonts w:ascii="Verdana" w:hAnsi="Verdana"/>
          <w:sz w:val="16"/>
          <w:szCs w:val="16"/>
        </w:rPr>
        <w:t>f</w:t>
      </w:r>
      <w:r w:rsidRPr="00432ABC">
        <w:rPr>
          <w:rFonts w:ascii="Verdana" w:hAnsi="Verdana"/>
          <w:sz w:val="16"/>
          <w:szCs w:val="16"/>
        </w:rPr>
        <w:t>f. 5726 a 5728).</w:t>
      </w:r>
      <w:r w:rsidRPr="00432ABC">
        <w:rPr>
          <w:rFonts w:ascii="Verdana" w:hAnsi="Verdana"/>
          <w:sz w:val="16"/>
          <w:szCs w:val="16"/>
        </w:rPr>
        <w:tab/>
      </w:r>
    </w:p>
  </w:footnote>
  <w:footnote w:id="249">
    <w:p w14:paraId="64AA6227" w14:textId="206E730D" w:rsidR="00146958" w:rsidRPr="00432ABC" w:rsidRDefault="00146958">
      <w:pPr>
        <w:pStyle w:val="FootnoteText"/>
        <w:jc w:val="both"/>
        <w:rPr>
          <w:rFonts w:ascii="Verdana" w:hAnsi="Verdana" w:cs="Arial"/>
          <w:color w:val="FF0000"/>
          <w:sz w:val="16"/>
          <w:szCs w:val="16"/>
        </w:rPr>
      </w:pPr>
      <w:r w:rsidRPr="00432ABC">
        <w:rPr>
          <w:rStyle w:val="FootnoteReference"/>
          <w:rFonts w:ascii="Verdana" w:hAnsi="Verdana" w:cs="Arial"/>
          <w:sz w:val="16"/>
          <w:szCs w:val="16"/>
        </w:rPr>
        <w:footnoteRef/>
      </w:r>
      <w:r w:rsidRPr="00432ABC">
        <w:rPr>
          <w:rFonts w:ascii="Verdana" w:hAnsi="Verdana" w:cs="Arial"/>
          <w:sz w:val="16"/>
          <w:szCs w:val="16"/>
        </w:rPr>
        <w:t xml:space="preserve"> </w:t>
      </w:r>
      <w:r w:rsidRPr="00432ABC">
        <w:rPr>
          <w:rFonts w:ascii="Verdana" w:hAnsi="Verdana" w:cs="Arial"/>
          <w:sz w:val="16"/>
          <w:szCs w:val="16"/>
        </w:rPr>
        <w:tab/>
      </w:r>
      <w:r w:rsidRPr="00CD5C54">
        <w:rPr>
          <w:rFonts w:ascii="Verdana" w:hAnsi="Verdana" w:cs="Arial"/>
          <w:i/>
          <w:sz w:val="16"/>
          <w:szCs w:val="16"/>
        </w:rPr>
        <w:t>Cfr.</w:t>
      </w:r>
      <w:r w:rsidRPr="002C462C">
        <w:rPr>
          <w:rFonts w:ascii="Verdana" w:hAnsi="Verdana" w:cs="Arial"/>
          <w:sz w:val="16"/>
          <w:szCs w:val="16"/>
        </w:rPr>
        <w:t xml:space="preserve"> Declaración de </w:t>
      </w:r>
      <w:r w:rsidRPr="00432ABC">
        <w:rPr>
          <w:rFonts w:ascii="Verdana" w:hAnsi="Verdana" w:cs="Arial"/>
          <w:sz w:val="16"/>
          <w:szCs w:val="16"/>
          <w:lang w:val="es-AR"/>
        </w:rPr>
        <w:t xml:space="preserve">Verónica Colomo Reyes </w:t>
      </w:r>
      <w:r w:rsidRPr="00432ABC">
        <w:rPr>
          <w:rFonts w:ascii="Verdana" w:hAnsi="Verdana" w:cs="Arial"/>
          <w:sz w:val="16"/>
          <w:szCs w:val="16"/>
        </w:rPr>
        <w:t xml:space="preserve">(expediente de prueba, </w:t>
      </w:r>
      <w:r>
        <w:rPr>
          <w:rFonts w:ascii="Verdana" w:hAnsi="Verdana" w:cs="Arial"/>
          <w:sz w:val="16"/>
          <w:szCs w:val="16"/>
        </w:rPr>
        <w:t>e</w:t>
      </w:r>
      <w:r w:rsidRPr="00432ABC">
        <w:rPr>
          <w:rFonts w:ascii="Verdana" w:hAnsi="Verdana" w:cs="Arial"/>
          <w:sz w:val="16"/>
          <w:szCs w:val="16"/>
        </w:rPr>
        <w:t xml:space="preserve">xpediente penal, ff. 5729 a 5731); Declaración de </w:t>
      </w:r>
      <w:r w:rsidRPr="00432ABC">
        <w:rPr>
          <w:rFonts w:ascii="Verdana" w:hAnsi="Verdana" w:cs="Arial"/>
          <w:sz w:val="16"/>
          <w:szCs w:val="16"/>
          <w:lang w:val="es-AR"/>
        </w:rPr>
        <w:t xml:space="preserve">Patricia Reyes Rueda rendida el 9 de marzo de 2010 ante el </w:t>
      </w:r>
      <w:r w:rsidRPr="00432ABC">
        <w:rPr>
          <w:rFonts w:ascii="Verdana" w:hAnsi="Verdana" w:cs="Arial"/>
          <w:sz w:val="16"/>
          <w:szCs w:val="16"/>
        </w:rPr>
        <w:t xml:space="preserve">AMPM – 5ªZM (expediente de prueba, </w:t>
      </w:r>
      <w:r>
        <w:rPr>
          <w:rFonts w:ascii="Verdana" w:hAnsi="Verdana" w:cs="Arial"/>
          <w:sz w:val="16"/>
          <w:szCs w:val="16"/>
        </w:rPr>
        <w:t>e</w:t>
      </w:r>
      <w:r w:rsidRPr="00432ABC">
        <w:rPr>
          <w:rFonts w:ascii="Verdana" w:hAnsi="Verdana" w:cs="Arial"/>
          <w:sz w:val="16"/>
          <w:szCs w:val="16"/>
        </w:rPr>
        <w:t xml:space="preserve">xpediente penal, ff. 5733 a 5735); </w:t>
      </w:r>
      <w:r>
        <w:rPr>
          <w:rFonts w:ascii="Verdana" w:hAnsi="Verdana" w:cs="Arial"/>
          <w:sz w:val="16"/>
          <w:szCs w:val="16"/>
        </w:rPr>
        <w:t>d</w:t>
      </w:r>
      <w:r w:rsidRPr="00432ABC">
        <w:rPr>
          <w:rFonts w:ascii="Verdana" w:hAnsi="Verdana" w:cs="Arial"/>
          <w:sz w:val="16"/>
          <w:szCs w:val="16"/>
        </w:rPr>
        <w:t xml:space="preserve">eclaración de </w:t>
      </w:r>
      <w:r w:rsidRPr="00432ABC">
        <w:rPr>
          <w:rFonts w:ascii="Verdana" w:hAnsi="Verdana" w:cs="Arial"/>
          <w:sz w:val="16"/>
          <w:szCs w:val="16"/>
          <w:lang w:val="es-AR"/>
        </w:rPr>
        <w:t xml:space="preserve">Manuel Reyes Lira rendida el 9 de marzo de 2010 ante el </w:t>
      </w:r>
      <w:r w:rsidRPr="00432ABC">
        <w:rPr>
          <w:rFonts w:ascii="Verdana" w:hAnsi="Verdana" w:cs="Arial"/>
          <w:sz w:val="16"/>
          <w:szCs w:val="16"/>
        </w:rPr>
        <w:t xml:space="preserve">AMPM – 5ªZM  (expediente de prueba, </w:t>
      </w:r>
      <w:r>
        <w:rPr>
          <w:rFonts w:ascii="Verdana" w:hAnsi="Verdana" w:cs="Arial"/>
          <w:sz w:val="16"/>
          <w:szCs w:val="16"/>
        </w:rPr>
        <w:t>e</w:t>
      </w:r>
      <w:r w:rsidRPr="00432ABC">
        <w:rPr>
          <w:rFonts w:ascii="Verdana" w:hAnsi="Verdana" w:cs="Arial"/>
          <w:sz w:val="16"/>
          <w:szCs w:val="16"/>
        </w:rPr>
        <w:t xml:space="preserve">xpediente penal, ff. 5739 a 5711), y </w:t>
      </w:r>
      <w:r>
        <w:rPr>
          <w:rFonts w:ascii="Verdana" w:hAnsi="Verdana" w:cs="Arial"/>
          <w:sz w:val="16"/>
          <w:szCs w:val="16"/>
        </w:rPr>
        <w:t>d</w:t>
      </w:r>
      <w:r w:rsidRPr="00432ABC">
        <w:rPr>
          <w:rFonts w:ascii="Verdana" w:hAnsi="Verdana" w:cs="Arial"/>
          <w:sz w:val="16"/>
          <w:szCs w:val="16"/>
        </w:rPr>
        <w:t xml:space="preserve">eclaración de </w:t>
      </w:r>
      <w:r w:rsidRPr="00432ABC">
        <w:rPr>
          <w:rFonts w:ascii="Verdana" w:hAnsi="Verdana" w:cs="Arial"/>
          <w:sz w:val="16"/>
          <w:szCs w:val="16"/>
          <w:lang w:val="es-AR"/>
        </w:rPr>
        <w:t xml:space="preserve">Marissa Reyes Rueda rendida el 9 de marzo de 2010 ante el </w:t>
      </w:r>
      <w:r w:rsidRPr="00432ABC">
        <w:rPr>
          <w:rFonts w:ascii="Verdana" w:hAnsi="Verdana" w:cs="Arial"/>
          <w:sz w:val="16"/>
          <w:szCs w:val="16"/>
        </w:rPr>
        <w:t xml:space="preserve">AMPM – 5ªZM (expediente de prueba, </w:t>
      </w:r>
      <w:r>
        <w:rPr>
          <w:rFonts w:ascii="Verdana" w:hAnsi="Verdana" w:cs="Arial"/>
          <w:sz w:val="16"/>
          <w:szCs w:val="16"/>
        </w:rPr>
        <w:t>e</w:t>
      </w:r>
      <w:r w:rsidRPr="00432ABC">
        <w:rPr>
          <w:rFonts w:ascii="Verdana" w:hAnsi="Verdana" w:cs="Arial"/>
          <w:sz w:val="16"/>
          <w:szCs w:val="16"/>
        </w:rPr>
        <w:t xml:space="preserve">xpediente penal, ff. 5744 a 5745). </w:t>
      </w:r>
    </w:p>
  </w:footnote>
  <w:footnote w:id="250">
    <w:p w14:paraId="64AA6228" w14:textId="6ADAED00" w:rsidR="00146958" w:rsidRPr="00432ABC" w:rsidRDefault="00146958">
      <w:pPr>
        <w:pStyle w:val="FootnoteText"/>
        <w:jc w:val="both"/>
        <w:rPr>
          <w:rFonts w:ascii="Verdana" w:hAnsi="Verdana"/>
          <w:sz w:val="16"/>
          <w:szCs w:val="16"/>
        </w:rPr>
      </w:pPr>
      <w:r w:rsidRPr="00432ABC">
        <w:rPr>
          <w:rStyle w:val="FootnoteReference"/>
          <w:rFonts w:ascii="Verdana" w:hAnsi="Verdana" w:cs="Arial"/>
          <w:sz w:val="16"/>
          <w:szCs w:val="16"/>
        </w:rPr>
        <w:footnoteRef/>
      </w:r>
      <w:r w:rsidRPr="00432ABC">
        <w:rPr>
          <w:rFonts w:ascii="Verdana" w:hAnsi="Verdana"/>
          <w:sz w:val="16"/>
          <w:szCs w:val="16"/>
        </w:rPr>
        <w:t xml:space="preserve"> </w:t>
      </w:r>
      <w:r w:rsidRPr="00432ABC">
        <w:rPr>
          <w:rFonts w:ascii="Verdana" w:hAnsi="Verdana"/>
          <w:sz w:val="16"/>
          <w:szCs w:val="16"/>
        </w:rPr>
        <w:tab/>
      </w:r>
      <w:r w:rsidRPr="00CD5C54">
        <w:rPr>
          <w:rFonts w:ascii="Verdana" w:hAnsi="Verdana"/>
          <w:i/>
          <w:sz w:val="16"/>
          <w:szCs w:val="16"/>
        </w:rPr>
        <w:t>Cfr.</w:t>
      </w:r>
      <w:r w:rsidRPr="002C462C">
        <w:rPr>
          <w:rFonts w:ascii="Verdana" w:hAnsi="Verdana"/>
          <w:sz w:val="16"/>
          <w:szCs w:val="16"/>
        </w:rPr>
        <w:t xml:space="preserve"> Declaración de </w:t>
      </w:r>
      <w:r w:rsidRPr="00432ABC">
        <w:rPr>
          <w:rFonts w:ascii="Verdana" w:hAnsi="Verdana"/>
          <w:sz w:val="16"/>
          <w:szCs w:val="16"/>
          <w:lang w:val="es-AR"/>
        </w:rPr>
        <w:t xml:space="preserve">Ernesto Luján Romero rendida el 9 de marzo de 2010 ante el </w:t>
      </w:r>
      <w:r w:rsidRPr="00432ABC">
        <w:rPr>
          <w:rFonts w:ascii="Verdana" w:hAnsi="Verdana" w:cs="Arial"/>
          <w:sz w:val="16"/>
          <w:szCs w:val="16"/>
        </w:rPr>
        <w:t xml:space="preserve">AMPM – 5ªZM </w:t>
      </w:r>
      <w:r w:rsidRPr="00432ABC">
        <w:rPr>
          <w:rFonts w:ascii="Verdana" w:hAnsi="Verdana"/>
          <w:sz w:val="16"/>
          <w:szCs w:val="16"/>
        </w:rPr>
        <w:t xml:space="preserve">(expediente de prueba, </w:t>
      </w:r>
      <w:r>
        <w:rPr>
          <w:rFonts w:ascii="Verdana" w:hAnsi="Verdana"/>
          <w:sz w:val="16"/>
          <w:szCs w:val="16"/>
        </w:rPr>
        <w:t>e</w:t>
      </w:r>
      <w:r w:rsidRPr="00432ABC">
        <w:rPr>
          <w:rFonts w:ascii="Verdana" w:hAnsi="Verdana"/>
          <w:sz w:val="16"/>
          <w:szCs w:val="16"/>
        </w:rPr>
        <w:t xml:space="preserve">xpediente penal, ff. 5722 a 5723); </w:t>
      </w:r>
      <w:r>
        <w:rPr>
          <w:rFonts w:ascii="Verdana" w:hAnsi="Verdana"/>
          <w:sz w:val="16"/>
          <w:szCs w:val="16"/>
        </w:rPr>
        <w:t>d</w:t>
      </w:r>
      <w:r w:rsidRPr="00432ABC">
        <w:rPr>
          <w:rFonts w:ascii="Verdana" w:hAnsi="Verdana"/>
          <w:sz w:val="16"/>
          <w:szCs w:val="16"/>
        </w:rPr>
        <w:t xml:space="preserve">eclaración de </w:t>
      </w:r>
      <w:r w:rsidRPr="00432ABC">
        <w:rPr>
          <w:rFonts w:ascii="Verdana" w:hAnsi="Verdana"/>
          <w:sz w:val="16"/>
          <w:szCs w:val="16"/>
          <w:lang w:val="es-AR"/>
        </w:rPr>
        <w:t xml:space="preserve">Mario Castro García rendida el 9 de marzo de 2010 ante el </w:t>
      </w:r>
      <w:r w:rsidRPr="00432ABC">
        <w:rPr>
          <w:rFonts w:ascii="Verdana" w:hAnsi="Verdana" w:cs="Arial"/>
          <w:sz w:val="16"/>
          <w:szCs w:val="16"/>
        </w:rPr>
        <w:t xml:space="preserve">AMPM – 5ªZM </w:t>
      </w:r>
      <w:r w:rsidRPr="00432ABC">
        <w:rPr>
          <w:rFonts w:ascii="Verdana" w:hAnsi="Verdana"/>
          <w:sz w:val="16"/>
          <w:szCs w:val="16"/>
        </w:rPr>
        <w:t xml:space="preserve"> (expediente de prueba, </w:t>
      </w:r>
      <w:r>
        <w:rPr>
          <w:rFonts w:ascii="Verdana" w:hAnsi="Verdana"/>
          <w:sz w:val="16"/>
          <w:szCs w:val="16"/>
        </w:rPr>
        <w:t>e</w:t>
      </w:r>
      <w:r w:rsidRPr="00432ABC">
        <w:rPr>
          <w:rFonts w:ascii="Verdana" w:hAnsi="Verdana"/>
          <w:sz w:val="16"/>
          <w:szCs w:val="16"/>
        </w:rPr>
        <w:t>xpediente penal, ff. 574</w:t>
      </w:r>
      <w:r>
        <w:rPr>
          <w:rFonts w:ascii="Verdana" w:hAnsi="Verdana"/>
          <w:sz w:val="16"/>
          <w:szCs w:val="16"/>
        </w:rPr>
        <w:t>7</w:t>
      </w:r>
      <w:r w:rsidRPr="00432ABC">
        <w:rPr>
          <w:rFonts w:ascii="Verdana" w:hAnsi="Verdana"/>
          <w:sz w:val="16"/>
          <w:szCs w:val="16"/>
        </w:rPr>
        <w:t xml:space="preserve"> a 574</w:t>
      </w:r>
      <w:r>
        <w:rPr>
          <w:rFonts w:ascii="Verdana" w:hAnsi="Verdana"/>
          <w:sz w:val="16"/>
          <w:szCs w:val="16"/>
        </w:rPr>
        <w:t>8</w:t>
      </w:r>
      <w:r w:rsidRPr="00432ABC">
        <w:rPr>
          <w:rFonts w:ascii="Verdana" w:hAnsi="Verdana"/>
          <w:sz w:val="16"/>
          <w:szCs w:val="16"/>
        </w:rPr>
        <w:t xml:space="preserve">), y </w:t>
      </w:r>
      <w:r>
        <w:rPr>
          <w:rFonts w:ascii="Verdana" w:hAnsi="Verdana"/>
          <w:sz w:val="16"/>
          <w:szCs w:val="16"/>
        </w:rPr>
        <w:t>d</w:t>
      </w:r>
      <w:r w:rsidRPr="00432ABC">
        <w:rPr>
          <w:rFonts w:ascii="Verdana" w:hAnsi="Verdana"/>
          <w:sz w:val="16"/>
          <w:szCs w:val="16"/>
        </w:rPr>
        <w:t xml:space="preserve">eclaración de </w:t>
      </w:r>
      <w:r w:rsidRPr="00432ABC">
        <w:rPr>
          <w:rFonts w:ascii="Verdana" w:hAnsi="Verdana"/>
          <w:sz w:val="16"/>
          <w:szCs w:val="16"/>
          <w:lang w:val="es-AR"/>
        </w:rPr>
        <w:t xml:space="preserve">José Bejarano García rendida el 9 de marzo de 2010 ante el </w:t>
      </w:r>
      <w:r w:rsidRPr="00432ABC">
        <w:rPr>
          <w:rFonts w:ascii="Verdana" w:hAnsi="Verdana" w:cs="Arial"/>
          <w:sz w:val="16"/>
          <w:szCs w:val="16"/>
        </w:rPr>
        <w:t xml:space="preserve">AMPM – 5ªZM </w:t>
      </w:r>
      <w:r w:rsidRPr="00432ABC">
        <w:rPr>
          <w:rFonts w:ascii="Verdana" w:hAnsi="Verdana"/>
          <w:sz w:val="16"/>
          <w:szCs w:val="16"/>
        </w:rPr>
        <w:t xml:space="preserve">(expediente de prueba, </w:t>
      </w:r>
      <w:r>
        <w:rPr>
          <w:rFonts w:ascii="Verdana" w:hAnsi="Verdana"/>
          <w:sz w:val="16"/>
          <w:szCs w:val="16"/>
        </w:rPr>
        <w:t>e</w:t>
      </w:r>
      <w:r w:rsidRPr="00432ABC">
        <w:rPr>
          <w:rFonts w:ascii="Verdana" w:hAnsi="Verdana"/>
          <w:sz w:val="16"/>
          <w:szCs w:val="16"/>
        </w:rPr>
        <w:t>xpediente penal, ff. 5765 a 5766).</w:t>
      </w:r>
    </w:p>
  </w:footnote>
  <w:footnote w:id="251">
    <w:p w14:paraId="64AA6229" w14:textId="426104BC" w:rsidR="00146958" w:rsidRPr="00432ABC" w:rsidRDefault="00146958">
      <w:pPr>
        <w:pStyle w:val="FootnoteText"/>
        <w:jc w:val="both"/>
        <w:rPr>
          <w:rFonts w:ascii="Verdana" w:hAnsi="Verdana"/>
          <w:sz w:val="16"/>
          <w:szCs w:val="16"/>
        </w:rPr>
      </w:pPr>
      <w:r w:rsidRPr="00432ABC">
        <w:rPr>
          <w:rStyle w:val="FootnoteReference"/>
          <w:rFonts w:ascii="Verdana" w:hAnsi="Verdana"/>
          <w:sz w:val="16"/>
          <w:szCs w:val="16"/>
        </w:rPr>
        <w:footnoteRef/>
      </w:r>
      <w:r w:rsidRPr="00432ABC">
        <w:rPr>
          <w:rFonts w:ascii="Verdana" w:hAnsi="Verdana"/>
          <w:sz w:val="16"/>
          <w:szCs w:val="16"/>
        </w:rPr>
        <w:t xml:space="preserve"> </w:t>
      </w:r>
      <w:r w:rsidRPr="00432ABC">
        <w:rPr>
          <w:rFonts w:ascii="Verdana" w:hAnsi="Verdana"/>
          <w:sz w:val="16"/>
          <w:szCs w:val="16"/>
        </w:rPr>
        <w:tab/>
        <w:t xml:space="preserve">Declaración de Damaris Baglietto Hernández rendida el 12 de marzo de 2010 ante </w:t>
      </w:r>
      <w:r w:rsidRPr="002C462C">
        <w:rPr>
          <w:rFonts w:ascii="Verdana" w:hAnsi="Verdana" w:cs="Arial"/>
          <w:sz w:val="16"/>
          <w:szCs w:val="16"/>
        </w:rPr>
        <w:t xml:space="preserve">AMPM – 5ªZM </w:t>
      </w:r>
      <w:r w:rsidRPr="002C462C">
        <w:rPr>
          <w:rFonts w:ascii="Verdana" w:hAnsi="Verdana"/>
          <w:sz w:val="16"/>
          <w:szCs w:val="16"/>
        </w:rPr>
        <w:t xml:space="preserve"> (expediente de prueba, </w:t>
      </w:r>
      <w:r>
        <w:rPr>
          <w:rFonts w:ascii="Verdana" w:hAnsi="Verdana"/>
          <w:sz w:val="16"/>
          <w:szCs w:val="16"/>
        </w:rPr>
        <w:t>e</w:t>
      </w:r>
      <w:r w:rsidRPr="002C462C">
        <w:rPr>
          <w:rFonts w:ascii="Verdana" w:hAnsi="Verdana"/>
          <w:sz w:val="16"/>
          <w:szCs w:val="16"/>
        </w:rPr>
        <w:t xml:space="preserve">xpediente penal, ff. 5870 a 5873); </w:t>
      </w:r>
      <w:r>
        <w:rPr>
          <w:rFonts w:ascii="Verdana" w:hAnsi="Verdana"/>
          <w:sz w:val="16"/>
          <w:szCs w:val="16"/>
        </w:rPr>
        <w:t>d</w:t>
      </w:r>
      <w:r w:rsidRPr="002C462C">
        <w:rPr>
          <w:rFonts w:ascii="Verdana" w:hAnsi="Verdana"/>
          <w:sz w:val="16"/>
          <w:szCs w:val="16"/>
        </w:rPr>
        <w:t>eclaración de Ramón Ivá</w:t>
      </w:r>
      <w:r w:rsidRPr="00432ABC">
        <w:rPr>
          <w:rFonts w:ascii="Verdana" w:hAnsi="Verdana"/>
          <w:sz w:val="16"/>
          <w:szCs w:val="16"/>
        </w:rPr>
        <w:t xml:space="preserve">n Sotomayor Siller rendida el 12 de marzo de 2010 ante el </w:t>
      </w:r>
      <w:r w:rsidRPr="00432ABC">
        <w:rPr>
          <w:rFonts w:ascii="Verdana" w:hAnsi="Verdana" w:cs="Arial"/>
          <w:sz w:val="16"/>
          <w:szCs w:val="16"/>
        </w:rPr>
        <w:t xml:space="preserve">AMPM – 5ªZM </w:t>
      </w:r>
      <w:r w:rsidRPr="00432ABC">
        <w:rPr>
          <w:rFonts w:ascii="Verdana" w:hAnsi="Verdana"/>
          <w:sz w:val="16"/>
          <w:szCs w:val="16"/>
        </w:rPr>
        <w:t xml:space="preserve">(expediente de prueba, </w:t>
      </w:r>
      <w:r>
        <w:rPr>
          <w:rFonts w:ascii="Verdana" w:hAnsi="Verdana"/>
          <w:sz w:val="16"/>
          <w:szCs w:val="16"/>
        </w:rPr>
        <w:t>e</w:t>
      </w:r>
      <w:r w:rsidRPr="00432ABC">
        <w:rPr>
          <w:rFonts w:ascii="Verdana" w:hAnsi="Verdana"/>
          <w:sz w:val="16"/>
          <w:szCs w:val="16"/>
        </w:rPr>
        <w:t xml:space="preserve">xpediente penal, ff. 5875 a 5878), y </w:t>
      </w:r>
      <w:r>
        <w:rPr>
          <w:rFonts w:ascii="Verdana" w:hAnsi="Verdana"/>
          <w:sz w:val="16"/>
          <w:szCs w:val="16"/>
        </w:rPr>
        <w:t>d</w:t>
      </w:r>
      <w:r w:rsidRPr="00432ABC">
        <w:rPr>
          <w:rFonts w:ascii="Verdana" w:hAnsi="Verdana"/>
          <w:sz w:val="16"/>
          <w:szCs w:val="16"/>
        </w:rPr>
        <w:t xml:space="preserve">eclaración de Juan Ciro Valiente rendida el 12 de marzo de 2010 ante el </w:t>
      </w:r>
      <w:r w:rsidRPr="00432ABC">
        <w:rPr>
          <w:rFonts w:ascii="Verdana" w:hAnsi="Verdana" w:cs="Arial"/>
          <w:sz w:val="16"/>
          <w:szCs w:val="16"/>
        </w:rPr>
        <w:t xml:space="preserve">AMPM – 5ªZM </w:t>
      </w:r>
      <w:r w:rsidRPr="00432ABC">
        <w:rPr>
          <w:rFonts w:ascii="Verdana" w:hAnsi="Verdana"/>
          <w:sz w:val="16"/>
          <w:szCs w:val="16"/>
        </w:rPr>
        <w:t xml:space="preserve">(expediente de prueba, </w:t>
      </w:r>
      <w:r>
        <w:rPr>
          <w:rFonts w:ascii="Verdana" w:hAnsi="Verdana"/>
          <w:sz w:val="16"/>
          <w:szCs w:val="16"/>
        </w:rPr>
        <w:t>e</w:t>
      </w:r>
      <w:r w:rsidRPr="00432ABC">
        <w:rPr>
          <w:rFonts w:ascii="Verdana" w:hAnsi="Verdana"/>
          <w:sz w:val="16"/>
          <w:szCs w:val="16"/>
        </w:rPr>
        <w:t>xpediente penal, ff. 5880 a 5882).</w:t>
      </w:r>
    </w:p>
  </w:footnote>
  <w:footnote w:id="252">
    <w:p w14:paraId="64AA622A" w14:textId="31D9890B" w:rsidR="00146958" w:rsidRPr="00432ABC" w:rsidRDefault="00146958">
      <w:pPr>
        <w:pStyle w:val="FootnoteText"/>
        <w:jc w:val="both"/>
        <w:rPr>
          <w:rFonts w:ascii="Verdana" w:hAnsi="Verdana"/>
          <w:sz w:val="16"/>
          <w:szCs w:val="16"/>
        </w:rPr>
      </w:pPr>
      <w:r w:rsidRPr="00432ABC">
        <w:rPr>
          <w:rStyle w:val="FootnoteReference"/>
          <w:rFonts w:ascii="Verdana" w:hAnsi="Verdana"/>
          <w:sz w:val="16"/>
          <w:szCs w:val="16"/>
        </w:rPr>
        <w:footnoteRef/>
      </w:r>
      <w:r w:rsidRPr="00432ABC">
        <w:rPr>
          <w:rFonts w:ascii="Verdana" w:hAnsi="Verdana"/>
          <w:sz w:val="16"/>
          <w:szCs w:val="16"/>
        </w:rPr>
        <w:t xml:space="preserve"> </w:t>
      </w:r>
      <w:r w:rsidRPr="00432ABC">
        <w:rPr>
          <w:rFonts w:ascii="Verdana" w:hAnsi="Verdana"/>
          <w:sz w:val="16"/>
          <w:szCs w:val="16"/>
        </w:rPr>
        <w:tab/>
      </w:r>
      <w:r w:rsidRPr="00CD5C54">
        <w:rPr>
          <w:rFonts w:ascii="Verdana" w:hAnsi="Verdana"/>
          <w:i/>
          <w:sz w:val="16"/>
          <w:szCs w:val="16"/>
        </w:rPr>
        <w:t>Cfr.</w:t>
      </w:r>
      <w:r w:rsidRPr="002C462C">
        <w:rPr>
          <w:rFonts w:ascii="Verdana" w:hAnsi="Verdana"/>
          <w:sz w:val="16"/>
          <w:szCs w:val="16"/>
        </w:rPr>
        <w:t xml:space="preserve"> Auto de inicio de </w:t>
      </w:r>
      <w:r>
        <w:rPr>
          <w:rFonts w:ascii="Verdana" w:hAnsi="Verdana"/>
          <w:sz w:val="16"/>
          <w:szCs w:val="16"/>
        </w:rPr>
        <w:t>a</w:t>
      </w:r>
      <w:r w:rsidRPr="002C462C">
        <w:rPr>
          <w:rFonts w:ascii="Verdana" w:hAnsi="Verdana"/>
          <w:sz w:val="16"/>
          <w:szCs w:val="16"/>
        </w:rPr>
        <w:t xml:space="preserve">veriguación </w:t>
      </w:r>
      <w:r>
        <w:rPr>
          <w:rFonts w:ascii="Verdana" w:hAnsi="Verdana"/>
          <w:sz w:val="16"/>
          <w:szCs w:val="16"/>
        </w:rPr>
        <w:t>p</w:t>
      </w:r>
      <w:r w:rsidRPr="002C462C">
        <w:rPr>
          <w:rFonts w:ascii="Verdana" w:hAnsi="Verdana"/>
          <w:sz w:val="16"/>
          <w:szCs w:val="16"/>
        </w:rPr>
        <w:t xml:space="preserve">revia GN/CD.JUAREZ/079/2010 </w:t>
      </w:r>
      <w:r w:rsidRPr="00432ABC">
        <w:rPr>
          <w:rFonts w:ascii="Verdana" w:hAnsi="Verdana"/>
          <w:sz w:val="16"/>
          <w:szCs w:val="16"/>
          <w:lang w:val="es-AR"/>
        </w:rPr>
        <w:t xml:space="preserve">de 26 de febrero de 2010 </w:t>
      </w:r>
      <w:r w:rsidRPr="00432ABC">
        <w:rPr>
          <w:rFonts w:ascii="Verdana" w:hAnsi="Verdana"/>
          <w:sz w:val="16"/>
          <w:szCs w:val="16"/>
        </w:rPr>
        <w:t xml:space="preserve">(expediente de prueba, </w:t>
      </w:r>
      <w:r>
        <w:rPr>
          <w:rFonts w:ascii="Verdana" w:hAnsi="Verdana"/>
          <w:sz w:val="16"/>
          <w:szCs w:val="16"/>
        </w:rPr>
        <w:t>e</w:t>
      </w:r>
      <w:r w:rsidRPr="00432ABC">
        <w:rPr>
          <w:rFonts w:ascii="Verdana" w:hAnsi="Verdana"/>
          <w:sz w:val="16"/>
          <w:szCs w:val="16"/>
        </w:rPr>
        <w:t xml:space="preserve">xpediente penal, ff. 5274 a 5275), y Mensaje C.E.I. No. AP-674 de </w:t>
      </w:r>
      <w:r w:rsidRPr="00432ABC">
        <w:rPr>
          <w:rFonts w:ascii="Verdana" w:hAnsi="Verdana"/>
          <w:sz w:val="16"/>
          <w:szCs w:val="16"/>
          <w:lang w:val="es-AR"/>
        </w:rPr>
        <w:t xml:space="preserve">26 de febrero de 2010 suscrito por el Myr. J.M. y Lic. G. H. A. Gallardo, A.M.P.M. ADSC. GN. Mil. en Ciudad Juárez, Chihuahua </w:t>
      </w:r>
      <w:r w:rsidRPr="00432ABC">
        <w:rPr>
          <w:rFonts w:ascii="Verdana" w:hAnsi="Verdana"/>
          <w:sz w:val="16"/>
          <w:szCs w:val="16"/>
        </w:rPr>
        <w:t xml:space="preserve">(expediente de prueba, </w:t>
      </w:r>
      <w:r>
        <w:rPr>
          <w:rFonts w:ascii="Verdana" w:hAnsi="Verdana"/>
          <w:sz w:val="16"/>
          <w:szCs w:val="16"/>
        </w:rPr>
        <w:t>e</w:t>
      </w:r>
      <w:r w:rsidRPr="00432ABC">
        <w:rPr>
          <w:rFonts w:ascii="Verdana" w:hAnsi="Verdana"/>
          <w:sz w:val="16"/>
          <w:szCs w:val="16"/>
        </w:rPr>
        <w:t>xpediente penal, f. 5276).</w:t>
      </w:r>
    </w:p>
  </w:footnote>
  <w:footnote w:id="253">
    <w:p w14:paraId="64AA622B" w14:textId="0BA9D281" w:rsidR="00146958" w:rsidRPr="00432ABC" w:rsidRDefault="00146958">
      <w:pPr>
        <w:pStyle w:val="FootnoteText"/>
        <w:jc w:val="both"/>
        <w:rPr>
          <w:rFonts w:ascii="Verdana" w:hAnsi="Verdana"/>
          <w:sz w:val="16"/>
          <w:szCs w:val="16"/>
        </w:rPr>
      </w:pPr>
      <w:r w:rsidRPr="00432ABC">
        <w:rPr>
          <w:rStyle w:val="FootnoteReference"/>
          <w:rFonts w:ascii="Verdana" w:hAnsi="Verdana"/>
          <w:sz w:val="16"/>
          <w:szCs w:val="16"/>
        </w:rPr>
        <w:footnoteRef/>
      </w:r>
      <w:r w:rsidRPr="00432ABC">
        <w:rPr>
          <w:rFonts w:ascii="Verdana" w:hAnsi="Verdana"/>
          <w:sz w:val="16"/>
          <w:szCs w:val="16"/>
        </w:rPr>
        <w:t xml:space="preserve"> </w:t>
      </w:r>
      <w:r w:rsidRPr="00432ABC">
        <w:rPr>
          <w:rFonts w:ascii="Verdana" w:hAnsi="Verdana"/>
          <w:sz w:val="16"/>
          <w:szCs w:val="16"/>
        </w:rPr>
        <w:tab/>
      </w:r>
      <w:r w:rsidRPr="00CD5C54">
        <w:rPr>
          <w:rFonts w:ascii="Verdana" w:hAnsi="Verdana"/>
          <w:i/>
          <w:sz w:val="16"/>
          <w:szCs w:val="16"/>
        </w:rPr>
        <w:t>Cfr.</w:t>
      </w:r>
      <w:r w:rsidRPr="002C462C">
        <w:rPr>
          <w:rFonts w:ascii="Verdana" w:hAnsi="Verdana"/>
          <w:sz w:val="16"/>
          <w:szCs w:val="16"/>
        </w:rPr>
        <w:t xml:space="preserve"> Acuerdo de </w:t>
      </w:r>
      <w:r>
        <w:rPr>
          <w:rFonts w:ascii="Verdana" w:hAnsi="Verdana"/>
          <w:sz w:val="16"/>
          <w:szCs w:val="16"/>
        </w:rPr>
        <w:t>4</w:t>
      </w:r>
      <w:r w:rsidRPr="002C462C">
        <w:rPr>
          <w:rFonts w:ascii="Verdana" w:hAnsi="Verdana"/>
          <w:sz w:val="16"/>
          <w:szCs w:val="16"/>
        </w:rPr>
        <w:t xml:space="preserve"> de marzo de 2010 por el que </w:t>
      </w:r>
      <w:r>
        <w:rPr>
          <w:rFonts w:ascii="Verdana" w:hAnsi="Verdana"/>
          <w:sz w:val="16"/>
          <w:szCs w:val="16"/>
        </w:rPr>
        <w:t xml:space="preserve">se </w:t>
      </w:r>
      <w:r w:rsidRPr="002C462C">
        <w:rPr>
          <w:rFonts w:ascii="Verdana" w:hAnsi="Verdana"/>
          <w:sz w:val="16"/>
          <w:szCs w:val="16"/>
        </w:rPr>
        <w:t xml:space="preserve">ordena </w:t>
      </w:r>
      <w:r>
        <w:rPr>
          <w:rFonts w:ascii="Verdana" w:hAnsi="Verdana"/>
          <w:sz w:val="16"/>
          <w:szCs w:val="16"/>
        </w:rPr>
        <w:t xml:space="preserve">la </w:t>
      </w:r>
      <w:r w:rsidRPr="002C462C">
        <w:rPr>
          <w:rFonts w:ascii="Verdana" w:hAnsi="Verdana"/>
          <w:sz w:val="16"/>
          <w:szCs w:val="16"/>
        </w:rPr>
        <w:t xml:space="preserve">acumulación de Averiguación Previa </w:t>
      </w:r>
      <w:r w:rsidRPr="00432ABC">
        <w:rPr>
          <w:rFonts w:ascii="Verdana" w:hAnsi="Verdana"/>
          <w:sz w:val="16"/>
          <w:szCs w:val="16"/>
          <w:lang w:val="es-AR"/>
        </w:rPr>
        <w:t xml:space="preserve">5ZM/04/2010  a la </w:t>
      </w:r>
      <w:r w:rsidRPr="00432ABC">
        <w:rPr>
          <w:rFonts w:ascii="Verdana" w:hAnsi="Verdana"/>
          <w:sz w:val="16"/>
          <w:szCs w:val="16"/>
        </w:rPr>
        <w:t xml:space="preserve">Averiguación Previa GN/CDJUAREZ/079/2010 (expediente de prueba, </w:t>
      </w:r>
      <w:r>
        <w:rPr>
          <w:rFonts w:ascii="Verdana" w:hAnsi="Verdana"/>
          <w:sz w:val="16"/>
          <w:szCs w:val="16"/>
        </w:rPr>
        <w:t>e</w:t>
      </w:r>
      <w:r w:rsidRPr="00432ABC">
        <w:rPr>
          <w:rFonts w:ascii="Verdana" w:hAnsi="Verdana"/>
          <w:sz w:val="16"/>
          <w:szCs w:val="16"/>
        </w:rPr>
        <w:t xml:space="preserve">xpediente penal, f. 5280), y </w:t>
      </w:r>
      <w:r>
        <w:rPr>
          <w:rFonts w:ascii="Verdana" w:hAnsi="Verdana"/>
          <w:sz w:val="16"/>
          <w:szCs w:val="16"/>
        </w:rPr>
        <w:t>o</w:t>
      </w:r>
      <w:r w:rsidRPr="00432ABC">
        <w:rPr>
          <w:rFonts w:ascii="Verdana" w:hAnsi="Verdana"/>
          <w:sz w:val="16"/>
          <w:szCs w:val="16"/>
        </w:rPr>
        <w:t xml:space="preserve">ficio No. ZM-305 de 22 de marzo de 2010 suscrito por el </w:t>
      </w:r>
      <w:r w:rsidRPr="00432ABC">
        <w:rPr>
          <w:rFonts w:ascii="Verdana" w:hAnsi="Verdana"/>
          <w:sz w:val="16"/>
          <w:szCs w:val="16"/>
          <w:lang w:val="es-AR"/>
        </w:rPr>
        <w:t xml:space="preserve">AMPM – 5ªZM, dirigido al AMPM -GMCJ (expediente de prueba, </w:t>
      </w:r>
      <w:r>
        <w:rPr>
          <w:rFonts w:ascii="Verdana" w:hAnsi="Verdana"/>
          <w:sz w:val="16"/>
          <w:szCs w:val="16"/>
          <w:lang w:val="es-AR"/>
        </w:rPr>
        <w:t>e</w:t>
      </w:r>
      <w:r w:rsidRPr="00432ABC">
        <w:rPr>
          <w:rFonts w:ascii="Verdana" w:hAnsi="Verdana"/>
          <w:sz w:val="16"/>
          <w:szCs w:val="16"/>
          <w:lang w:val="es-AR"/>
        </w:rPr>
        <w:t>xpediente penal, f. 5281)</w:t>
      </w:r>
      <w:r w:rsidRPr="00432ABC">
        <w:rPr>
          <w:rFonts w:ascii="Verdana" w:hAnsi="Verdana"/>
          <w:sz w:val="16"/>
          <w:szCs w:val="16"/>
        </w:rPr>
        <w:t xml:space="preserve">. </w:t>
      </w:r>
    </w:p>
  </w:footnote>
  <w:footnote w:id="254">
    <w:p w14:paraId="64AA622C" w14:textId="745EE1AA" w:rsidR="00146958" w:rsidRPr="00432ABC" w:rsidRDefault="00146958">
      <w:pPr>
        <w:pStyle w:val="FootnoteText"/>
        <w:jc w:val="both"/>
        <w:rPr>
          <w:rFonts w:ascii="Verdana" w:hAnsi="Verdana"/>
          <w:sz w:val="16"/>
          <w:szCs w:val="16"/>
        </w:rPr>
      </w:pPr>
      <w:r w:rsidRPr="00432ABC">
        <w:rPr>
          <w:rStyle w:val="FootnoteReference"/>
          <w:rFonts w:ascii="Verdana" w:hAnsi="Verdana"/>
          <w:sz w:val="16"/>
          <w:szCs w:val="16"/>
        </w:rPr>
        <w:footnoteRef/>
      </w:r>
      <w:r w:rsidRPr="00432ABC">
        <w:rPr>
          <w:rFonts w:ascii="Verdana" w:hAnsi="Verdana"/>
          <w:sz w:val="16"/>
          <w:szCs w:val="16"/>
        </w:rPr>
        <w:t xml:space="preserve"> </w:t>
      </w:r>
      <w:r w:rsidRPr="00432ABC">
        <w:rPr>
          <w:rFonts w:ascii="Verdana" w:hAnsi="Verdana"/>
          <w:sz w:val="16"/>
          <w:szCs w:val="16"/>
        </w:rPr>
        <w:tab/>
      </w:r>
      <w:r w:rsidRPr="00CD5C54">
        <w:rPr>
          <w:rFonts w:ascii="Verdana" w:hAnsi="Verdana"/>
          <w:i/>
          <w:sz w:val="16"/>
          <w:szCs w:val="16"/>
        </w:rPr>
        <w:t>Cfr.</w:t>
      </w:r>
      <w:r w:rsidRPr="002C462C">
        <w:rPr>
          <w:rFonts w:ascii="Verdana" w:hAnsi="Verdana"/>
          <w:sz w:val="16"/>
          <w:szCs w:val="16"/>
        </w:rPr>
        <w:t xml:space="preserve"> Acuerdo de Remisión de </w:t>
      </w:r>
      <w:r>
        <w:rPr>
          <w:rFonts w:ascii="Verdana" w:hAnsi="Verdana"/>
          <w:sz w:val="16"/>
          <w:szCs w:val="16"/>
        </w:rPr>
        <w:t>la a</w:t>
      </w:r>
      <w:r w:rsidRPr="002C462C">
        <w:rPr>
          <w:rFonts w:ascii="Verdana" w:hAnsi="Verdana"/>
          <w:sz w:val="16"/>
          <w:szCs w:val="16"/>
        </w:rPr>
        <w:t xml:space="preserve">veriguación </w:t>
      </w:r>
      <w:r>
        <w:rPr>
          <w:rFonts w:ascii="Verdana" w:hAnsi="Verdana"/>
          <w:sz w:val="16"/>
          <w:szCs w:val="16"/>
        </w:rPr>
        <w:t>p</w:t>
      </w:r>
      <w:r w:rsidRPr="002C462C">
        <w:rPr>
          <w:rFonts w:ascii="Verdana" w:hAnsi="Verdana"/>
          <w:sz w:val="16"/>
          <w:szCs w:val="16"/>
        </w:rPr>
        <w:t xml:space="preserve">revia GN/CD.JUAREZ/079/2010 </w:t>
      </w:r>
      <w:r w:rsidRPr="00432ABC">
        <w:rPr>
          <w:rFonts w:ascii="Verdana" w:hAnsi="Verdana"/>
          <w:sz w:val="16"/>
          <w:szCs w:val="16"/>
          <w:lang w:val="es-AR"/>
        </w:rPr>
        <w:t xml:space="preserve">de 8 de abril de 2010 </w:t>
      </w:r>
      <w:r w:rsidRPr="00432ABC">
        <w:rPr>
          <w:rFonts w:ascii="Verdana" w:hAnsi="Verdana"/>
          <w:sz w:val="16"/>
          <w:szCs w:val="16"/>
        </w:rPr>
        <w:t xml:space="preserve">(expediente de prueba, </w:t>
      </w:r>
      <w:r>
        <w:rPr>
          <w:rFonts w:ascii="Verdana" w:hAnsi="Verdana"/>
          <w:sz w:val="16"/>
          <w:szCs w:val="16"/>
        </w:rPr>
        <w:t>e</w:t>
      </w:r>
      <w:r w:rsidRPr="00432ABC">
        <w:rPr>
          <w:rFonts w:ascii="Verdana" w:hAnsi="Verdana"/>
          <w:sz w:val="16"/>
          <w:szCs w:val="16"/>
        </w:rPr>
        <w:t xml:space="preserve">xpediente penal, f. 6288), y </w:t>
      </w:r>
      <w:r>
        <w:rPr>
          <w:rFonts w:ascii="Verdana" w:hAnsi="Verdana"/>
          <w:sz w:val="16"/>
          <w:szCs w:val="16"/>
        </w:rPr>
        <w:t>O</w:t>
      </w:r>
      <w:r w:rsidRPr="00432ABC">
        <w:rPr>
          <w:rFonts w:ascii="Verdana" w:hAnsi="Verdana"/>
          <w:sz w:val="16"/>
          <w:szCs w:val="16"/>
        </w:rPr>
        <w:t>ficio No. AP-</w:t>
      </w:r>
      <w:r>
        <w:rPr>
          <w:rFonts w:ascii="Verdana" w:hAnsi="Verdana"/>
          <w:sz w:val="16"/>
          <w:szCs w:val="16"/>
        </w:rPr>
        <w:t>8</w:t>
      </w:r>
      <w:r w:rsidRPr="00432ABC">
        <w:rPr>
          <w:rFonts w:ascii="Verdana" w:hAnsi="Verdana"/>
          <w:sz w:val="16"/>
          <w:szCs w:val="16"/>
        </w:rPr>
        <w:t xml:space="preserve">76 de </w:t>
      </w:r>
      <w:r w:rsidRPr="00432ABC">
        <w:rPr>
          <w:rFonts w:ascii="Verdana" w:hAnsi="Verdana"/>
          <w:sz w:val="16"/>
          <w:szCs w:val="16"/>
          <w:lang w:val="es-AR"/>
        </w:rPr>
        <w:t>8 de abril de 2010</w:t>
      </w:r>
      <w:r>
        <w:rPr>
          <w:rFonts w:ascii="Verdana" w:hAnsi="Verdana"/>
          <w:sz w:val="16"/>
          <w:szCs w:val="16"/>
          <w:lang w:val="es-AR"/>
        </w:rPr>
        <w:t xml:space="preserve"> suscrito por el AMPM-GMCJ, dirigido al AMPME-PGJM</w:t>
      </w:r>
      <w:r w:rsidRPr="00432ABC">
        <w:rPr>
          <w:rFonts w:ascii="Verdana" w:hAnsi="Verdana"/>
          <w:sz w:val="16"/>
          <w:szCs w:val="16"/>
          <w:lang w:val="es-AR"/>
        </w:rPr>
        <w:t xml:space="preserve"> </w:t>
      </w:r>
      <w:r w:rsidRPr="00432ABC">
        <w:rPr>
          <w:rFonts w:ascii="Verdana" w:hAnsi="Verdana"/>
          <w:sz w:val="16"/>
          <w:szCs w:val="16"/>
        </w:rPr>
        <w:t xml:space="preserve">(expediente de prueba, </w:t>
      </w:r>
      <w:r>
        <w:rPr>
          <w:rFonts w:ascii="Verdana" w:hAnsi="Verdana"/>
          <w:sz w:val="16"/>
          <w:szCs w:val="16"/>
        </w:rPr>
        <w:t>e</w:t>
      </w:r>
      <w:r w:rsidRPr="00432ABC">
        <w:rPr>
          <w:rFonts w:ascii="Verdana" w:hAnsi="Verdana"/>
          <w:sz w:val="16"/>
          <w:szCs w:val="16"/>
        </w:rPr>
        <w:t>xpediente penal, f. 6290.</w:t>
      </w:r>
    </w:p>
  </w:footnote>
  <w:footnote w:id="255">
    <w:p w14:paraId="64AA622D" w14:textId="721243BE" w:rsidR="00146958" w:rsidRPr="00432ABC" w:rsidRDefault="00146958">
      <w:pPr>
        <w:pStyle w:val="FootnoteText"/>
        <w:jc w:val="both"/>
        <w:rPr>
          <w:rFonts w:ascii="Verdana" w:hAnsi="Verdana"/>
          <w:sz w:val="16"/>
          <w:szCs w:val="16"/>
        </w:rPr>
      </w:pPr>
      <w:r w:rsidRPr="00432ABC">
        <w:rPr>
          <w:rStyle w:val="FootnoteReference"/>
          <w:rFonts w:ascii="Verdana" w:hAnsi="Verdana"/>
          <w:sz w:val="16"/>
          <w:szCs w:val="16"/>
        </w:rPr>
        <w:footnoteRef/>
      </w:r>
      <w:r w:rsidRPr="00432ABC">
        <w:rPr>
          <w:rFonts w:ascii="Verdana" w:hAnsi="Verdana"/>
          <w:sz w:val="16"/>
          <w:szCs w:val="16"/>
        </w:rPr>
        <w:t xml:space="preserve"> </w:t>
      </w:r>
      <w:r w:rsidRPr="00432ABC">
        <w:rPr>
          <w:rFonts w:ascii="Verdana" w:hAnsi="Verdana"/>
          <w:sz w:val="16"/>
          <w:szCs w:val="16"/>
        </w:rPr>
        <w:tab/>
      </w:r>
      <w:r w:rsidRPr="00CD5C54">
        <w:rPr>
          <w:rFonts w:ascii="Verdana" w:hAnsi="Verdana"/>
          <w:i/>
          <w:sz w:val="16"/>
          <w:szCs w:val="16"/>
        </w:rPr>
        <w:t>Cfr.</w:t>
      </w:r>
      <w:r w:rsidRPr="002C462C">
        <w:rPr>
          <w:rFonts w:ascii="Verdana" w:hAnsi="Verdana"/>
          <w:sz w:val="16"/>
          <w:szCs w:val="16"/>
        </w:rPr>
        <w:t xml:space="preserve"> </w:t>
      </w:r>
      <w:r w:rsidRPr="00432ABC">
        <w:rPr>
          <w:rFonts w:ascii="Verdana" w:hAnsi="Verdana"/>
          <w:sz w:val="16"/>
          <w:szCs w:val="16"/>
        </w:rPr>
        <w:t xml:space="preserve">Acuerdo de Radicación de Averiguación Previa </w:t>
      </w:r>
      <w:r w:rsidRPr="00432ABC">
        <w:rPr>
          <w:rFonts w:ascii="Verdana" w:hAnsi="Verdana"/>
          <w:sz w:val="16"/>
          <w:szCs w:val="16"/>
          <w:lang w:val="es-AR"/>
        </w:rPr>
        <w:t xml:space="preserve">PGJM/AMPME/CDJUAREZ/196-II/2010 de 16 de abril de 2010 </w:t>
      </w:r>
      <w:r w:rsidRPr="00432ABC">
        <w:rPr>
          <w:rFonts w:ascii="Verdana" w:hAnsi="Verdana"/>
          <w:sz w:val="16"/>
          <w:szCs w:val="16"/>
        </w:rPr>
        <w:t xml:space="preserve">(expediente de prueba, </w:t>
      </w:r>
      <w:r>
        <w:rPr>
          <w:rFonts w:ascii="Verdana" w:hAnsi="Verdana"/>
          <w:sz w:val="16"/>
          <w:szCs w:val="16"/>
        </w:rPr>
        <w:t>e</w:t>
      </w:r>
      <w:r w:rsidRPr="00432ABC">
        <w:rPr>
          <w:rFonts w:ascii="Verdana" w:hAnsi="Verdana"/>
          <w:sz w:val="16"/>
          <w:szCs w:val="16"/>
        </w:rPr>
        <w:t xml:space="preserve">xpediente penal, ff. 6294 a 6299). </w:t>
      </w:r>
    </w:p>
  </w:footnote>
  <w:footnote w:id="256">
    <w:p w14:paraId="64AA622E" w14:textId="299C763C" w:rsidR="00146958" w:rsidRPr="002C462C" w:rsidRDefault="00146958">
      <w:pPr>
        <w:pStyle w:val="FootnoteText"/>
        <w:jc w:val="both"/>
        <w:rPr>
          <w:rFonts w:ascii="Verdana" w:hAnsi="Verdana"/>
          <w:sz w:val="16"/>
          <w:szCs w:val="16"/>
        </w:rPr>
      </w:pPr>
      <w:r w:rsidRPr="00432ABC">
        <w:rPr>
          <w:rStyle w:val="FootnoteReference"/>
          <w:rFonts w:ascii="Verdana" w:hAnsi="Verdana"/>
          <w:sz w:val="16"/>
          <w:szCs w:val="16"/>
        </w:rPr>
        <w:footnoteRef/>
      </w:r>
      <w:r w:rsidRPr="00432ABC">
        <w:rPr>
          <w:rFonts w:ascii="Verdana" w:hAnsi="Verdana"/>
          <w:sz w:val="16"/>
          <w:szCs w:val="16"/>
        </w:rPr>
        <w:t xml:space="preserve"> </w:t>
      </w:r>
      <w:r w:rsidRPr="00432ABC">
        <w:rPr>
          <w:rFonts w:ascii="Verdana" w:hAnsi="Verdana"/>
          <w:sz w:val="16"/>
          <w:szCs w:val="16"/>
        </w:rPr>
        <w:tab/>
      </w:r>
      <w:r w:rsidRPr="00CD5C54">
        <w:rPr>
          <w:rFonts w:ascii="Verdana" w:hAnsi="Verdana"/>
          <w:i/>
          <w:sz w:val="16"/>
          <w:szCs w:val="16"/>
        </w:rPr>
        <w:t>Cfr.</w:t>
      </w:r>
      <w:r w:rsidRPr="002C462C">
        <w:rPr>
          <w:rFonts w:ascii="Verdana" w:hAnsi="Verdana"/>
          <w:sz w:val="16"/>
          <w:szCs w:val="16"/>
        </w:rPr>
        <w:t xml:space="preserve"> Acta de Inspección Ministerial de 14 de mayo de 2010 (expediente de prueba, </w:t>
      </w:r>
      <w:r>
        <w:rPr>
          <w:rFonts w:ascii="Verdana" w:hAnsi="Verdana"/>
          <w:sz w:val="16"/>
          <w:szCs w:val="16"/>
        </w:rPr>
        <w:t>e</w:t>
      </w:r>
      <w:r w:rsidRPr="002C462C">
        <w:rPr>
          <w:rFonts w:ascii="Verdana" w:hAnsi="Verdana"/>
          <w:sz w:val="16"/>
          <w:szCs w:val="16"/>
        </w:rPr>
        <w:t>xpediente penal, ff. 7367 a 7380).</w:t>
      </w:r>
    </w:p>
  </w:footnote>
  <w:footnote w:id="257">
    <w:p w14:paraId="64AA622F" w14:textId="7704243A" w:rsidR="00146958" w:rsidRPr="00432ABC" w:rsidRDefault="00146958">
      <w:pPr>
        <w:pStyle w:val="FootnoteText"/>
        <w:jc w:val="both"/>
        <w:rPr>
          <w:rFonts w:ascii="Verdana" w:hAnsi="Verdana"/>
          <w:sz w:val="16"/>
          <w:szCs w:val="16"/>
        </w:rPr>
      </w:pPr>
      <w:r w:rsidRPr="00432ABC">
        <w:rPr>
          <w:rStyle w:val="FootnoteReference"/>
          <w:rFonts w:ascii="Verdana" w:hAnsi="Verdana"/>
          <w:sz w:val="16"/>
          <w:szCs w:val="16"/>
        </w:rPr>
        <w:footnoteRef/>
      </w:r>
      <w:r w:rsidRPr="00432ABC">
        <w:rPr>
          <w:rFonts w:ascii="Verdana" w:hAnsi="Verdana"/>
          <w:sz w:val="16"/>
          <w:szCs w:val="16"/>
        </w:rPr>
        <w:t xml:space="preserve"> </w:t>
      </w:r>
      <w:r w:rsidRPr="00432ABC">
        <w:rPr>
          <w:rFonts w:ascii="Verdana" w:hAnsi="Verdana"/>
          <w:sz w:val="16"/>
          <w:szCs w:val="16"/>
        </w:rPr>
        <w:tab/>
      </w:r>
      <w:r w:rsidRPr="00CD5C54">
        <w:rPr>
          <w:rFonts w:ascii="Verdana" w:hAnsi="Verdana"/>
          <w:i/>
          <w:sz w:val="16"/>
          <w:szCs w:val="16"/>
        </w:rPr>
        <w:t>Cfr.</w:t>
      </w:r>
      <w:r w:rsidRPr="002C462C">
        <w:rPr>
          <w:rFonts w:ascii="Verdana" w:hAnsi="Verdana"/>
          <w:sz w:val="16"/>
          <w:szCs w:val="16"/>
        </w:rPr>
        <w:t xml:space="preserve">  Correograma No. 12938 dirig</w:t>
      </w:r>
      <w:r w:rsidRPr="00432ABC">
        <w:rPr>
          <w:rFonts w:ascii="Verdana" w:hAnsi="Verdana"/>
          <w:sz w:val="16"/>
          <w:szCs w:val="16"/>
        </w:rPr>
        <w:t xml:space="preserve">ido al </w:t>
      </w:r>
      <w:r w:rsidRPr="00432ABC">
        <w:rPr>
          <w:rFonts w:ascii="Verdana" w:hAnsi="Verdana"/>
          <w:sz w:val="16"/>
          <w:szCs w:val="16"/>
          <w:lang w:val="es-AR"/>
        </w:rPr>
        <w:t>AMPM – 5ªZM</w:t>
      </w:r>
      <w:r w:rsidRPr="00432ABC">
        <w:rPr>
          <w:rFonts w:ascii="Verdana" w:hAnsi="Verdana"/>
          <w:sz w:val="16"/>
          <w:szCs w:val="16"/>
        </w:rPr>
        <w:t xml:space="preserve"> (expediente de prueba, </w:t>
      </w:r>
      <w:r>
        <w:rPr>
          <w:rFonts w:ascii="Verdana" w:hAnsi="Verdana"/>
          <w:sz w:val="16"/>
          <w:szCs w:val="16"/>
        </w:rPr>
        <w:t>e</w:t>
      </w:r>
      <w:r w:rsidRPr="00432ABC">
        <w:rPr>
          <w:rFonts w:ascii="Verdana" w:hAnsi="Verdana"/>
          <w:sz w:val="16"/>
          <w:szCs w:val="16"/>
        </w:rPr>
        <w:t xml:space="preserve">xpediente penal, f. 7396), y </w:t>
      </w:r>
      <w:r>
        <w:rPr>
          <w:rFonts w:ascii="Verdana" w:hAnsi="Verdana"/>
          <w:sz w:val="16"/>
          <w:szCs w:val="16"/>
        </w:rPr>
        <w:t>O</w:t>
      </w:r>
      <w:r w:rsidRPr="00432ABC">
        <w:rPr>
          <w:rFonts w:ascii="Verdana" w:hAnsi="Verdana"/>
          <w:sz w:val="16"/>
          <w:szCs w:val="16"/>
        </w:rPr>
        <w:t>ficio N</w:t>
      </w:r>
      <w:r>
        <w:rPr>
          <w:rFonts w:ascii="Verdana" w:hAnsi="Verdana"/>
          <w:sz w:val="16"/>
          <w:szCs w:val="16"/>
        </w:rPr>
        <w:t>o</w:t>
      </w:r>
      <w:r w:rsidRPr="00432ABC">
        <w:rPr>
          <w:rFonts w:ascii="Verdana" w:hAnsi="Verdana"/>
          <w:sz w:val="16"/>
          <w:szCs w:val="16"/>
        </w:rPr>
        <w:t xml:space="preserve">. 13000 de 24 de mayo de 2010 emitido por el Estado Mayor de la Comandancia de la 5ªZM, dirigido </w:t>
      </w:r>
      <w:r w:rsidRPr="00432ABC">
        <w:rPr>
          <w:rFonts w:ascii="Verdana" w:hAnsi="Verdana"/>
          <w:sz w:val="16"/>
          <w:szCs w:val="16"/>
          <w:lang w:val="es-AR"/>
        </w:rPr>
        <w:t>AMPM – 5ªZM</w:t>
      </w:r>
      <w:r w:rsidRPr="00432ABC">
        <w:rPr>
          <w:rFonts w:ascii="Verdana" w:hAnsi="Verdana"/>
          <w:sz w:val="16"/>
          <w:szCs w:val="16"/>
        </w:rPr>
        <w:t xml:space="preserve"> (expediente de prueba, </w:t>
      </w:r>
      <w:r>
        <w:rPr>
          <w:rFonts w:ascii="Verdana" w:hAnsi="Verdana"/>
          <w:sz w:val="16"/>
          <w:szCs w:val="16"/>
        </w:rPr>
        <w:t>e</w:t>
      </w:r>
      <w:r w:rsidRPr="00432ABC">
        <w:rPr>
          <w:rFonts w:ascii="Verdana" w:hAnsi="Verdana"/>
          <w:sz w:val="16"/>
          <w:szCs w:val="16"/>
        </w:rPr>
        <w:t xml:space="preserve">xpediente penal, f. 7398).  </w:t>
      </w:r>
    </w:p>
  </w:footnote>
  <w:footnote w:id="258">
    <w:p w14:paraId="64AA6230" w14:textId="3DA62419" w:rsidR="00146958" w:rsidRPr="002C462C" w:rsidRDefault="00146958">
      <w:pPr>
        <w:pStyle w:val="FootnoteText"/>
        <w:jc w:val="both"/>
        <w:rPr>
          <w:rFonts w:ascii="Verdana" w:hAnsi="Verdana"/>
          <w:sz w:val="16"/>
          <w:szCs w:val="16"/>
        </w:rPr>
      </w:pPr>
      <w:r w:rsidRPr="00432ABC">
        <w:rPr>
          <w:rStyle w:val="FootnoteReference"/>
          <w:rFonts w:ascii="Verdana" w:hAnsi="Verdana"/>
          <w:sz w:val="16"/>
          <w:szCs w:val="16"/>
        </w:rPr>
        <w:footnoteRef/>
      </w:r>
      <w:r w:rsidRPr="00432ABC">
        <w:rPr>
          <w:rFonts w:ascii="Verdana" w:hAnsi="Verdana"/>
          <w:sz w:val="16"/>
          <w:szCs w:val="16"/>
        </w:rPr>
        <w:t xml:space="preserve"> </w:t>
      </w:r>
      <w:r w:rsidRPr="00432ABC">
        <w:rPr>
          <w:rFonts w:ascii="Verdana" w:hAnsi="Verdana"/>
          <w:sz w:val="16"/>
          <w:szCs w:val="16"/>
        </w:rPr>
        <w:tab/>
      </w:r>
      <w:r w:rsidRPr="00CD5C54">
        <w:rPr>
          <w:rFonts w:ascii="Verdana" w:hAnsi="Verdana"/>
          <w:i/>
          <w:sz w:val="16"/>
          <w:szCs w:val="16"/>
        </w:rPr>
        <w:t>Cfr.</w:t>
      </w:r>
      <w:r w:rsidRPr="002C462C">
        <w:rPr>
          <w:rFonts w:ascii="Verdana" w:hAnsi="Verdana"/>
          <w:sz w:val="16"/>
          <w:szCs w:val="16"/>
        </w:rPr>
        <w:t xml:space="preserve"> Declaración de Aarón Enríquez Duarte rendida el 24 de mayo de 2010 (expediente de prueba, </w:t>
      </w:r>
      <w:r>
        <w:rPr>
          <w:rFonts w:ascii="Verdana" w:hAnsi="Verdana"/>
          <w:sz w:val="16"/>
          <w:szCs w:val="16"/>
        </w:rPr>
        <w:t>e</w:t>
      </w:r>
      <w:r w:rsidRPr="002C462C">
        <w:rPr>
          <w:rFonts w:ascii="Verdana" w:hAnsi="Verdana"/>
          <w:sz w:val="16"/>
          <w:szCs w:val="16"/>
        </w:rPr>
        <w:t>xpediente penal, ff. 7401 a 7402).</w:t>
      </w:r>
    </w:p>
  </w:footnote>
  <w:footnote w:id="259">
    <w:p w14:paraId="64AA6231" w14:textId="51693B71" w:rsidR="00146958" w:rsidRPr="00432ABC" w:rsidRDefault="00146958">
      <w:pPr>
        <w:pStyle w:val="FootnoteText"/>
        <w:jc w:val="both"/>
        <w:rPr>
          <w:rFonts w:ascii="Verdana" w:hAnsi="Verdana"/>
          <w:sz w:val="16"/>
          <w:szCs w:val="16"/>
        </w:rPr>
      </w:pPr>
      <w:r w:rsidRPr="00432ABC">
        <w:rPr>
          <w:rStyle w:val="FootnoteReference"/>
          <w:rFonts w:ascii="Verdana" w:hAnsi="Verdana"/>
          <w:sz w:val="16"/>
          <w:szCs w:val="16"/>
        </w:rPr>
        <w:footnoteRef/>
      </w:r>
      <w:r w:rsidRPr="00432ABC">
        <w:rPr>
          <w:rFonts w:ascii="Verdana" w:hAnsi="Verdana"/>
          <w:sz w:val="16"/>
          <w:szCs w:val="16"/>
        </w:rPr>
        <w:t xml:space="preserve"> </w:t>
      </w:r>
      <w:r w:rsidRPr="00432ABC">
        <w:rPr>
          <w:rFonts w:ascii="Verdana" w:hAnsi="Verdana"/>
          <w:sz w:val="16"/>
          <w:szCs w:val="16"/>
        </w:rPr>
        <w:tab/>
      </w:r>
      <w:r w:rsidRPr="00CD5C54">
        <w:rPr>
          <w:rFonts w:ascii="Verdana" w:hAnsi="Verdana"/>
          <w:i/>
          <w:sz w:val="16"/>
          <w:szCs w:val="16"/>
        </w:rPr>
        <w:t>Cfr.</w:t>
      </w:r>
      <w:r w:rsidRPr="002C462C">
        <w:rPr>
          <w:rFonts w:ascii="Verdana" w:hAnsi="Verdana"/>
          <w:sz w:val="16"/>
          <w:szCs w:val="16"/>
        </w:rPr>
        <w:t xml:space="preserve"> Oficio No. 21670 de 6 de noviembre de 2010 </w:t>
      </w:r>
      <w:r w:rsidRPr="00432ABC">
        <w:rPr>
          <w:rFonts w:ascii="Verdana" w:hAnsi="Verdana"/>
          <w:sz w:val="16"/>
          <w:szCs w:val="16"/>
          <w:lang w:val="es-AR"/>
        </w:rPr>
        <w:t xml:space="preserve">(expediente de prueba, </w:t>
      </w:r>
      <w:r>
        <w:rPr>
          <w:rFonts w:ascii="Verdana" w:hAnsi="Verdana"/>
          <w:sz w:val="16"/>
          <w:szCs w:val="16"/>
          <w:lang w:val="es-AR"/>
        </w:rPr>
        <w:t>e</w:t>
      </w:r>
      <w:r w:rsidRPr="00432ABC">
        <w:rPr>
          <w:rFonts w:ascii="Verdana" w:hAnsi="Verdana"/>
          <w:sz w:val="16"/>
          <w:szCs w:val="16"/>
          <w:lang w:val="es-AR"/>
        </w:rPr>
        <w:t xml:space="preserve">xpediente penal, ff. 7234 a 7247). </w:t>
      </w:r>
    </w:p>
  </w:footnote>
  <w:footnote w:id="260">
    <w:p w14:paraId="64AA6232" w14:textId="03A52312" w:rsidR="00146958" w:rsidRPr="002C462C" w:rsidRDefault="00146958">
      <w:pPr>
        <w:pStyle w:val="FootnoteText"/>
        <w:jc w:val="both"/>
        <w:rPr>
          <w:rFonts w:ascii="Verdana" w:hAnsi="Verdana"/>
          <w:sz w:val="16"/>
          <w:szCs w:val="16"/>
        </w:rPr>
      </w:pPr>
      <w:r w:rsidRPr="00432ABC">
        <w:rPr>
          <w:rStyle w:val="FootnoteReference"/>
          <w:rFonts w:ascii="Verdana" w:hAnsi="Verdana"/>
          <w:sz w:val="16"/>
          <w:szCs w:val="16"/>
        </w:rPr>
        <w:footnoteRef/>
      </w:r>
      <w:r w:rsidRPr="00432ABC">
        <w:rPr>
          <w:rFonts w:ascii="Verdana" w:hAnsi="Verdana"/>
          <w:sz w:val="16"/>
          <w:szCs w:val="16"/>
        </w:rPr>
        <w:t xml:space="preserve"> </w:t>
      </w:r>
      <w:r w:rsidRPr="002C462C">
        <w:rPr>
          <w:rFonts w:ascii="Verdana" w:hAnsi="Verdana"/>
          <w:i/>
          <w:sz w:val="16"/>
          <w:szCs w:val="16"/>
        </w:rPr>
        <w:t xml:space="preserve"> </w:t>
      </w:r>
      <w:r w:rsidRPr="002C462C">
        <w:rPr>
          <w:rFonts w:ascii="Verdana" w:hAnsi="Verdana"/>
          <w:i/>
          <w:sz w:val="16"/>
          <w:szCs w:val="16"/>
        </w:rPr>
        <w:tab/>
      </w:r>
      <w:r w:rsidRPr="00CD5C54">
        <w:rPr>
          <w:rFonts w:ascii="Verdana" w:hAnsi="Verdana"/>
          <w:i/>
          <w:sz w:val="16"/>
          <w:szCs w:val="16"/>
        </w:rPr>
        <w:t>Cfr.</w:t>
      </w:r>
      <w:r w:rsidRPr="002C462C">
        <w:rPr>
          <w:rFonts w:ascii="Verdana" w:hAnsi="Verdana"/>
          <w:sz w:val="16"/>
          <w:szCs w:val="16"/>
        </w:rPr>
        <w:t xml:space="preserve"> Declaración de Argene Blásquez Morales rendida el 30 de marzo de 2011 ante el AMPM Auxiliar adscrito a la Cuarta Zona Militar en Hermosillo, Sonora (expediente de prueba, </w:t>
      </w:r>
      <w:r>
        <w:rPr>
          <w:rFonts w:ascii="Verdana" w:hAnsi="Verdana"/>
          <w:sz w:val="16"/>
          <w:szCs w:val="16"/>
        </w:rPr>
        <w:t>e</w:t>
      </w:r>
      <w:r w:rsidRPr="002C462C">
        <w:rPr>
          <w:rFonts w:ascii="Verdana" w:hAnsi="Verdana"/>
          <w:sz w:val="16"/>
          <w:szCs w:val="16"/>
        </w:rPr>
        <w:t>xpediente penal, ff. 8251 a 8256).</w:t>
      </w:r>
    </w:p>
  </w:footnote>
  <w:footnote w:id="261">
    <w:p w14:paraId="64AA6233" w14:textId="1D5FF318" w:rsidR="00146958" w:rsidRPr="00432ABC" w:rsidRDefault="00146958">
      <w:pPr>
        <w:pStyle w:val="FootnoteText"/>
        <w:jc w:val="both"/>
        <w:rPr>
          <w:rFonts w:ascii="Verdana" w:hAnsi="Verdana"/>
          <w:sz w:val="16"/>
          <w:szCs w:val="16"/>
        </w:rPr>
      </w:pPr>
      <w:r w:rsidRPr="00432ABC">
        <w:rPr>
          <w:rStyle w:val="FootnoteReference"/>
          <w:rFonts w:ascii="Verdana" w:hAnsi="Verdana"/>
          <w:sz w:val="16"/>
          <w:szCs w:val="16"/>
        </w:rPr>
        <w:footnoteRef/>
      </w:r>
      <w:r w:rsidRPr="00432ABC">
        <w:rPr>
          <w:rFonts w:ascii="Verdana" w:hAnsi="Verdana"/>
          <w:sz w:val="16"/>
          <w:szCs w:val="16"/>
        </w:rPr>
        <w:t xml:space="preserve"> </w:t>
      </w:r>
      <w:r w:rsidRPr="00432ABC">
        <w:rPr>
          <w:rFonts w:ascii="Verdana" w:hAnsi="Verdana"/>
          <w:sz w:val="16"/>
          <w:szCs w:val="16"/>
        </w:rPr>
        <w:tab/>
      </w:r>
      <w:r w:rsidRPr="00CD5C54">
        <w:rPr>
          <w:rFonts w:ascii="Verdana" w:hAnsi="Verdana"/>
          <w:i/>
          <w:sz w:val="16"/>
          <w:szCs w:val="16"/>
        </w:rPr>
        <w:t>Cfr.</w:t>
      </w:r>
      <w:r w:rsidRPr="002C462C">
        <w:rPr>
          <w:rFonts w:ascii="Verdana" w:hAnsi="Verdana"/>
          <w:sz w:val="16"/>
          <w:szCs w:val="16"/>
        </w:rPr>
        <w:t xml:space="preserve"> Oficio </w:t>
      </w:r>
      <w:r w:rsidRPr="00432ABC">
        <w:rPr>
          <w:rFonts w:ascii="Verdana" w:hAnsi="Verdana"/>
          <w:sz w:val="16"/>
          <w:szCs w:val="16"/>
        </w:rPr>
        <w:t xml:space="preserve">No. ilegible de 2 de abril de 2011 por el que se </w:t>
      </w:r>
      <w:r w:rsidRPr="00432ABC">
        <w:rPr>
          <w:rFonts w:ascii="Verdana" w:hAnsi="Verdana"/>
          <w:sz w:val="16"/>
          <w:szCs w:val="16"/>
          <w:lang w:val="es-AR"/>
        </w:rPr>
        <w:t xml:space="preserve">remite </w:t>
      </w:r>
      <w:r w:rsidRPr="00432ABC">
        <w:rPr>
          <w:rFonts w:ascii="Verdana" w:hAnsi="Verdana"/>
          <w:sz w:val="16"/>
          <w:szCs w:val="16"/>
        </w:rPr>
        <w:t xml:space="preserve">“Partes de novedades” de días 29, 30 y 31 de diciembre de 2009 certificados por el Jefe Accidental de la Sección de Personal, Abastecimientos y Ayudantía del 35 Batallón de Infantería (expediente de prueba, </w:t>
      </w:r>
      <w:r>
        <w:rPr>
          <w:rFonts w:ascii="Verdana" w:hAnsi="Verdana"/>
          <w:sz w:val="16"/>
          <w:szCs w:val="16"/>
        </w:rPr>
        <w:t>e</w:t>
      </w:r>
      <w:r w:rsidRPr="00432ABC">
        <w:rPr>
          <w:rFonts w:ascii="Verdana" w:hAnsi="Verdana"/>
          <w:sz w:val="16"/>
          <w:szCs w:val="16"/>
        </w:rPr>
        <w:t xml:space="preserve">xpediente penal, ff. 8173 a 8183). </w:t>
      </w:r>
    </w:p>
  </w:footnote>
  <w:footnote w:id="262">
    <w:p w14:paraId="64AA6234" w14:textId="0FC26E4E" w:rsidR="00146958" w:rsidRPr="002C462C" w:rsidRDefault="00146958">
      <w:pPr>
        <w:pStyle w:val="FootnoteText"/>
        <w:jc w:val="both"/>
        <w:rPr>
          <w:rFonts w:ascii="Verdana" w:hAnsi="Verdana"/>
          <w:sz w:val="16"/>
          <w:szCs w:val="16"/>
        </w:rPr>
      </w:pPr>
      <w:r w:rsidRPr="00432ABC">
        <w:rPr>
          <w:rStyle w:val="FootnoteReference"/>
          <w:rFonts w:ascii="Verdana" w:hAnsi="Verdana"/>
          <w:sz w:val="16"/>
          <w:szCs w:val="16"/>
        </w:rPr>
        <w:footnoteRef/>
      </w:r>
      <w:r w:rsidRPr="00432ABC">
        <w:rPr>
          <w:rFonts w:ascii="Verdana" w:hAnsi="Verdana"/>
          <w:sz w:val="16"/>
          <w:szCs w:val="16"/>
        </w:rPr>
        <w:t xml:space="preserve">  </w:t>
      </w:r>
      <w:r w:rsidRPr="00432ABC">
        <w:rPr>
          <w:rFonts w:ascii="Verdana" w:hAnsi="Verdana"/>
          <w:sz w:val="16"/>
          <w:szCs w:val="16"/>
        </w:rPr>
        <w:tab/>
      </w:r>
      <w:r w:rsidRPr="00CD5C54">
        <w:rPr>
          <w:rFonts w:ascii="Verdana" w:hAnsi="Verdana"/>
          <w:i/>
          <w:sz w:val="16"/>
          <w:szCs w:val="16"/>
        </w:rPr>
        <w:t>Cfr.</w:t>
      </w:r>
      <w:r w:rsidRPr="002C462C">
        <w:rPr>
          <w:rFonts w:ascii="Verdana" w:hAnsi="Verdana"/>
          <w:sz w:val="16"/>
          <w:szCs w:val="16"/>
        </w:rPr>
        <w:t xml:space="preserve"> Radiograma No. 22416 de 30 de diciembre de 2009 dirigido al Comandante P.M. “Bélgica Uno” en Basaseachi, Chihuahua (expediente de prueba, </w:t>
      </w:r>
      <w:r>
        <w:rPr>
          <w:rFonts w:ascii="Verdana" w:hAnsi="Verdana"/>
          <w:sz w:val="16"/>
          <w:szCs w:val="16"/>
        </w:rPr>
        <w:t>e</w:t>
      </w:r>
      <w:r w:rsidRPr="002C462C">
        <w:rPr>
          <w:rFonts w:ascii="Verdana" w:hAnsi="Verdana"/>
          <w:sz w:val="16"/>
          <w:szCs w:val="16"/>
        </w:rPr>
        <w:t>xpediente penal, ff. 8170</w:t>
      </w:r>
      <w:r>
        <w:rPr>
          <w:rFonts w:ascii="Verdana" w:hAnsi="Verdana"/>
          <w:sz w:val="16"/>
          <w:szCs w:val="16"/>
        </w:rPr>
        <w:t xml:space="preserve"> y 8171</w:t>
      </w:r>
      <w:r w:rsidRPr="002C462C">
        <w:rPr>
          <w:rFonts w:ascii="Verdana" w:hAnsi="Verdana"/>
          <w:sz w:val="16"/>
          <w:szCs w:val="16"/>
        </w:rPr>
        <w:t>).</w:t>
      </w:r>
    </w:p>
  </w:footnote>
  <w:footnote w:id="263">
    <w:p w14:paraId="64AA6235" w14:textId="0E02D8F6" w:rsidR="00146958" w:rsidRPr="00432ABC" w:rsidRDefault="00146958">
      <w:pPr>
        <w:pStyle w:val="FootnoteText"/>
        <w:jc w:val="both"/>
        <w:rPr>
          <w:rFonts w:ascii="Verdana" w:hAnsi="Verdana"/>
          <w:sz w:val="16"/>
          <w:szCs w:val="16"/>
        </w:rPr>
      </w:pPr>
      <w:r w:rsidRPr="00432ABC">
        <w:rPr>
          <w:rStyle w:val="FootnoteReference"/>
          <w:rFonts w:ascii="Verdana" w:hAnsi="Verdana"/>
          <w:sz w:val="16"/>
          <w:szCs w:val="16"/>
        </w:rPr>
        <w:footnoteRef/>
      </w:r>
      <w:r w:rsidRPr="00432ABC">
        <w:rPr>
          <w:rFonts w:ascii="Verdana" w:hAnsi="Verdana"/>
          <w:sz w:val="16"/>
          <w:szCs w:val="16"/>
        </w:rPr>
        <w:t xml:space="preserve"> </w:t>
      </w:r>
      <w:r w:rsidRPr="00432ABC">
        <w:rPr>
          <w:rFonts w:ascii="Verdana" w:hAnsi="Verdana"/>
          <w:sz w:val="16"/>
          <w:szCs w:val="16"/>
        </w:rPr>
        <w:tab/>
      </w:r>
      <w:r w:rsidRPr="00CD5C54">
        <w:rPr>
          <w:rFonts w:ascii="Verdana" w:hAnsi="Verdana"/>
          <w:i/>
          <w:sz w:val="16"/>
          <w:szCs w:val="16"/>
        </w:rPr>
        <w:t>Cfr.</w:t>
      </w:r>
      <w:r w:rsidRPr="002C462C">
        <w:rPr>
          <w:rFonts w:ascii="Verdana" w:hAnsi="Verdana"/>
          <w:sz w:val="16"/>
          <w:szCs w:val="16"/>
        </w:rPr>
        <w:t xml:space="preserve"> Dec</w:t>
      </w:r>
      <w:r w:rsidRPr="00432ABC">
        <w:rPr>
          <w:rFonts w:ascii="Verdana" w:hAnsi="Verdana"/>
          <w:sz w:val="16"/>
          <w:szCs w:val="16"/>
        </w:rPr>
        <w:t xml:space="preserve">laración testimonial de Alberto Hernández de la Cruz rendida el 13 de abril de 2011 ante el AMPME - GMCJ (expediente de prueba, </w:t>
      </w:r>
      <w:r>
        <w:rPr>
          <w:rFonts w:ascii="Verdana" w:hAnsi="Verdana"/>
          <w:sz w:val="16"/>
          <w:szCs w:val="16"/>
        </w:rPr>
        <w:t>e</w:t>
      </w:r>
      <w:r w:rsidRPr="00432ABC">
        <w:rPr>
          <w:rFonts w:ascii="Verdana" w:hAnsi="Verdana"/>
          <w:sz w:val="16"/>
          <w:szCs w:val="16"/>
        </w:rPr>
        <w:t xml:space="preserve">xpediente penal, </w:t>
      </w:r>
      <w:r>
        <w:rPr>
          <w:rFonts w:ascii="Verdana" w:hAnsi="Verdana"/>
          <w:sz w:val="16"/>
          <w:szCs w:val="16"/>
        </w:rPr>
        <w:t>f</w:t>
      </w:r>
      <w:r w:rsidRPr="00432ABC">
        <w:rPr>
          <w:rFonts w:ascii="Verdana" w:hAnsi="Verdana"/>
          <w:sz w:val="16"/>
          <w:szCs w:val="16"/>
        </w:rPr>
        <w:t>f. 8327 a 8332).</w:t>
      </w:r>
    </w:p>
  </w:footnote>
  <w:footnote w:id="264">
    <w:p w14:paraId="64AA6236" w14:textId="74EEAD71" w:rsidR="00146958" w:rsidRPr="00432ABC" w:rsidRDefault="00146958">
      <w:pPr>
        <w:pStyle w:val="FootnoteText"/>
        <w:jc w:val="both"/>
        <w:rPr>
          <w:rFonts w:ascii="Verdana" w:hAnsi="Verdana"/>
          <w:sz w:val="16"/>
          <w:szCs w:val="16"/>
        </w:rPr>
      </w:pPr>
      <w:r w:rsidRPr="00432ABC">
        <w:rPr>
          <w:rStyle w:val="FootnoteReference"/>
          <w:rFonts w:ascii="Verdana" w:hAnsi="Verdana"/>
          <w:sz w:val="16"/>
          <w:szCs w:val="16"/>
        </w:rPr>
        <w:footnoteRef/>
      </w:r>
      <w:r w:rsidRPr="00432ABC">
        <w:rPr>
          <w:rFonts w:ascii="Verdana" w:hAnsi="Verdana"/>
          <w:sz w:val="16"/>
          <w:szCs w:val="16"/>
        </w:rPr>
        <w:t xml:space="preserve"> </w:t>
      </w:r>
      <w:r w:rsidRPr="00432ABC">
        <w:rPr>
          <w:rFonts w:ascii="Verdana" w:hAnsi="Verdana"/>
          <w:sz w:val="16"/>
          <w:szCs w:val="16"/>
        </w:rPr>
        <w:tab/>
      </w:r>
      <w:r w:rsidRPr="00CD5C54">
        <w:rPr>
          <w:rFonts w:ascii="Verdana" w:hAnsi="Verdana"/>
          <w:i/>
          <w:sz w:val="16"/>
          <w:szCs w:val="16"/>
        </w:rPr>
        <w:t>Cfr.</w:t>
      </w:r>
      <w:r w:rsidRPr="002C462C">
        <w:rPr>
          <w:rFonts w:ascii="Verdana" w:hAnsi="Verdana"/>
          <w:sz w:val="16"/>
          <w:szCs w:val="16"/>
        </w:rPr>
        <w:t xml:space="preserve"> Acuerdo de </w:t>
      </w:r>
      <w:r>
        <w:rPr>
          <w:rFonts w:ascii="Verdana" w:hAnsi="Verdana"/>
          <w:sz w:val="16"/>
          <w:szCs w:val="16"/>
        </w:rPr>
        <w:t>r</w:t>
      </w:r>
      <w:r w:rsidRPr="002C462C">
        <w:rPr>
          <w:rFonts w:ascii="Verdana" w:hAnsi="Verdana"/>
          <w:sz w:val="16"/>
          <w:szCs w:val="16"/>
        </w:rPr>
        <w:t xml:space="preserve">ecepción de </w:t>
      </w:r>
      <w:r>
        <w:rPr>
          <w:rFonts w:ascii="Verdana" w:hAnsi="Verdana"/>
          <w:sz w:val="16"/>
          <w:szCs w:val="16"/>
        </w:rPr>
        <w:t>d</w:t>
      </w:r>
      <w:r w:rsidRPr="002C462C">
        <w:rPr>
          <w:rFonts w:ascii="Verdana" w:hAnsi="Verdana"/>
          <w:sz w:val="16"/>
          <w:szCs w:val="16"/>
        </w:rPr>
        <w:t xml:space="preserve">ocumentos de 12 de septiembre de 2011 suscrito por </w:t>
      </w:r>
      <w:r w:rsidRPr="00432ABC">
        <w:rPr>
          <w:rFonts w:ascii="Verdana" w:hAnsi="Verdana"/>
          <w:sz w:val="16"/>
          <w:szCs w:val="16"/>
        </w:rPr>
        <w:t xml:space="preserve">el II AMPM Investigador adscrito a la Ciudad de México (expediente de prueba, </w:t>
      </w:r>
      <w:r>
        <w:rPr>
          <w:rFonts w:ascii="Verdana" w:hAnsi="Verdana"/>
          <w:sz w:val="16"/>
          <w:szCs w:val="16"/>
        </w:rPr>
        <w:t>e</w:t>
      </w:r>
      <w:r w:rsidRPr="00432ABC">
        <w:rPr>
          <w:rFonts w:ascii="Verdana" w:hAnsi="Verdana"/>
          <w:sz w:val="16"/>
          <w:szCs w:val="16"/>
        </w:rPr>
        <w:t xml:space="preserve">xpediente penal, f. 9903), y </w:t>
      </w:r>
      <w:r>
        <w:rPr>
          <w:rFonts w:ascii="Verdana" w:hAnsi="Verdana"/>
          <w:sz w:val="16"/>
          <w:szCs w:val="16"/>
        </w:rPr>
        <w:t>O</w:t>
      </w:r>
      <w:r w:rsidRPr="00432ABC">
        <w:rPr>
          <w:rFonts w:ascii="Verdana" w:hAnsi="Verdana"/>
          <w:sz w:val="16"/>
          <w:szCs w:val="16"/>
        </w:rPr>
        <w:t xml:space="preserve">ficio No. CNDH/DGAJ/1097/2011 de 9 de septiembre de 2011 suscrito por el </w:t>
      </w:r>
      <w:r>
        <w:rPr>
          <w:rFonts w:ascii="Verdana" w:hAnsi="Verdana"/>
          <w:sz w:val="16"/>
          <w:szCs w:val="16"/>
        </w:rPr>
        <w:t>a</w:t>
      </w:r>
      <w:r w:rsidRPr="00432ABC">
        <w:rPr>
          <w:rFonts w:ascii="Verdana" w:hAnsi="Verdana"/>
          <w:sz w:val="16"/>
          <w:szCs w:val="16"/>
        </w:rPr>
        <w:t xml:space="preserve">poderado legal de la CNDH (expediente de prueba, </w:t>
      </w:r>
      <w:r>
        <w:rPr>
          <w:rFonts w:ascii="Verdana" w:hAnsi="Verdana"/>
          <w:sz w:val="16"/>
          <w:szCs w:val="16"/>
        </w:rPr>
        <w:t>e</w:t>
      </w:r>
      <w:r w:rsidRPr="00432ABC">
        <w:rPr>
          <w:rFonts w:ascii="Verdana" w:hAnsi="Verdana"/>
          <w:sz w:val="16"/>
          <w:szCs w:val="16"/>
        </w:rPr>
        <w:t xml:space="preserve">xpediente penal, ff. 9904 a 9935). </w:t>
      </w:r>
    </w:p>
  </w:footnote>
  <w:footnote w:id="265">
    <w:p w14:paraId="64AA6237" w14:textId="7834436E" w:rsidR="00146958" w:rsidRPr="002C462C" w:rsidRDefault="00146958">
      <w:pPr>
        <w:pStyle w:val="FootnoteText"/>
        <w:jc w:val="both"/>
        <w:rPr>
          <w:rFonts w:ascii="Verdana" w:hAnsi="Verdana"/>
          <w:sz w:val="16"/>
          <w:szCs w:val="16"/>
        </w:rPr>
      </w:pPr>
      <w:r w:rsidRPr="00432ABC">
        <w:rPr>
          <w:rStyle w:val="FootnoteReference"/>
          <w:rFonts w:ascii="Verdana" w:hAnsi="Verdana"/>
          <w:sz w:val="16"/>
          <w:szCs w:val="16"/>
        </w:rPr>
        <w:footnoteRef/>
      </w:r>
      <w:r w:rsidRPr="00432ABC">
        <w:rPr>
          <w:rFonts w:ascii="Verdana" w:hAnsi="Verdana"/>
          <w:sz w:val="16"/>
          <w:szCs w:val="16"/>
        </w:rPr>
        <w:t xml:space="preserve"> </w:t>
      </w:r>
      <w:r w:rsidRPr="00432ABC">
        <w:rPr>
          <w:rFonts w:ascii="Verdana" w:hAnsi="Verdana"/>
          <w:sz w:val="16"/>
          <w:szCs w:val="16"/>
        </w:rPr>
        <w:tab/>
      </w:r>
      <w:r w:rsidRPr="00CD5C54">
        <w:rPr>
          <w:rFonts w:ascii="Verdana" w:hAnsi="Verdana"/>
          <w:i/>
          <w:sz w:val="16"/>
          <w:szCs w:val="16"/>
        </w:rPr>
        <w:t>Cfr.</w:t>
      </w:r>
      <w:r w:rsidRPr="002C462C">
        <w:rPr>
          <w:rFonts w:ascii="Verdana" w:hAnsi="Verdana"/>
          <w:sz w:val="16"/>
          <w:szCs w:val="16"/>
        </w:rPr>
        <w:t xml:space="preserve"> Proveído de </w:t>
      </w:r>
      <w:r>
        <w:rPr>
          <w:rFonts w:ascii="Verdana" w:hAnsi="Verdana"/>
          <w:sz w:val="16"/>
          <w:szCs w:val="16"/>
        </w:rPr>
        <w:t>d</w:t>
      </w:r>
      <w:r w:rsidRPr="002C462C">
        <w:rPr>
          <w:rFonts w:ascii="Verdana" w:hAnsi="Verdana"/>
          <w:sz w:val="16"/>
          <w:szCs w:val="16"/>
        </w:rPr>
        <w:t xml:space="preserve">eterminación de </w:t>
      </w:r>
      <w:r>
        <w:rPr>
          <w:rFonts w:ascii="Verdana" w:hAnsi="Verdana"/>
          <w:sz w:val="16"/>
          <w:szCs w:val="16"/>
        </w:rPr>
        <w:t>a</w:t>
      </w:r>
      <w:r w:rsidRPr="002C462C">
        <w:rPr>
          <w:rFonts w:ascii="Verdana" w:hAnsi="Verdana"/>
          <w:sz w:val="16"/>
          <w:szCs w:val="16"/>
        </w:rPr>
        <w:t xml:space="preserve">veriguación </w:t>
      </w:r>
      <w:r>
        <w:rPr>
          <w:rFonts w:ascii="Verdana" w:hAnsi="Verdana"/>
          <w:sz w:val="16"/>
          <w:szCs w:val="16"/>
        </w:rPr>
        <w:t>p</w:t>
      </w:r>
      <w:r w:rsidRPr="002C462C">
        <w:rPr>
          <w:rFonts w:ascii="Verdana" w:hAnsi="Verdana"/>
          <w:sz w:val="16"/>
          <w:szCs w:val="16"/>
        </w:rPr>
        <w:t xml:space="preserve">revia de 29 de diciembre de 2011 (expediente de prueba, f. 617). </w:t>
      </w:r>
    </w:p>
  </w:footnote>
  <w:footnote w:id="266">
    <w:p w14:paraId="64AA6238" w14:textId="46A59B8B" w:rsidR="00146958" w:rsidRPr="00432ABC" w:rsidRDefault="00146958">
      <w:pPr>
        <w:pStyle w:val="FootnoteText"/>
        <w:jc w:val="both"/>
        <w:rPr>
          <w:rFonts w:ascii="Verdana" w:hAnsi="Verdana"/>
          <w:sz w:val="16"/>
          <w:szCs w:val="16"/>
        </w:rPr>
      </w:pPr>
      <w:r w:rsidRPr="00432ABC">
        <w:rPr>
          <w:rStyle w:val="FootnoteReference"/>
          <w:rFonts w:ascii="Verdana" w:hAnsi="Verdana"/>
          <w:sz w:val="16"/>
          <w:szCs w:val="16"/>
        </w:rPr>
        <w:footnoteRef/>
      </w:r>
      <w:r w:rsidRPr="00432ABC">
        <w:rPr>
          <w:rFonts w:ascii="Verdana" w:hAnsi="Verdana"/>
          <w:sz w:val="16"/>
          <w:szCs w:val="16"/>
        </w:rPr>
        <w:t xml:space="preserve"> </w:t>
      </w:r>
      <w:r w:rsidRPr="00432ABC">
        <w:rPr>
          <w:rFonts w:ascii="Verdana" w:hAnsi="Verdana"/>
          <w:sz w:val="16"/>
          <w:szCs w:val="16"/>
        </w:rPr>
        <w:tab/>
      </w:r>
      <w:r w:rsidRPr="00CD5C54">
        <w:rPr>
          <w:rFonts w:ascii="Verdana" w:hAnsi="Verdana"/>
          <w:i/>
          <w:sz w:val="16"/>
          <w:szCs w:val="16"/>
        </w:rPr>
        <w:t>Cfr.</w:t>
      </w:r>
      <w:r w:rsidRPr="002C462C">
        <w:rPr>
          <w:rFonts w:ascii="Verdana" w:hAnsi="Verdana"/>
          <w:sz w:val="16"/>
          <w:szCs w:val="16"/>
        </w:rPr>
        <w:t xml:space="preserve"> Acuerdo de inicio de </w:t>
      </w:r>
      <w:r>
        <w:rPr>
          <w:rFonts w:ascii="Verdana" w:hAnsi="Verdana"/>
          <w:sz w:val="16"/>
          <w:szCs w:val="16"/>
        </w:rPr>
        <w:t>la a</w:t>
      </w:r>
      <w:r w:rsidRPr="002C462C">
        <w:rPr>
          <w:rFonts w:ascii="Verdana" w:hAnsi="Verdana"/>
          <w:sz w:val="16"/>
          <w:szCs w:val="16"/>
        </w:rPr>
        <w:t xml:space="preserve">veriguación </w:t>
      </w:r>
      <w:r>
        <w:rPr>
          <w:rFonts w:ascii="Verdana" w:hAnsi="Verdana"/>
          <w:sz w:val="16"/>
          <w:szCs w:val="16"/>
        </w:rPr>
        <w:t>p</w:t>
      </w:r>
      <w:r w:rsidRPr="002C462C">
        <w:rPr>
          <w:rFonts w:ascii="Verdana" w:hAnsi="Verdana"/>
          <w:sz w:val="16"/>
          <w:szCs w:val="16"/>
        </w:rPr>
        <w:t>revia de 8 de marzo de 2010 s</w:t>
      </w:r>
      <w:r w:rsidRPr="00432ABC">
        <w:rPr>
          <w:rFonts w:ascii="Verdana" w:hAnsi="Verdana"/>
          <w:sz w:val="16"/>
          <w:szCs w:val="16"/>
        </w:rPr>
        <w:t xml:space="preserve">uscrito por el Jefe de Manejo y Control de Averiguaciones Previas adscrito a la FEVIMTRA – PGR (expediente de prueba, </w:t>
      </w:r>
      <w:r>
        <w:rPr>
          <w:rFonts w:ascii="Verdana" w:hAnsi="Verdana"/>
          <w:sz w:val="16"/>
          <w:szCs w:val="16"/>
        </w:rPr>
        <w:t>e</w:t>
      </w:r>
      <w:r w:rsidRPr="00432ABC">
        <w:rPr>
          <w:rFonts w:ascii="Verdana" w:hAnsi="Verdana"/>
          <w:sz w:val="16"/>
          <w:szCs w:val="16"/>
        </w:rPr>
        <w:t xml:space="preserve">xpediente penal, f. 12869). </w:t>
      </w:r>
    </w:p>
  </w:footnote>
  <w:footnote w:id="267">
    <w:p w14:paraId="64AA6239" w14:textId="55049068" w:rsidR="00146958" w:rsidRPr="00432ABC" w:rsidRDefault="00146958">
      <w:pPr>
        <w:pStyle w:val="FootnoteText"/>
        <w:jc w:val="both"/>
        <w:rPr>
          <w:rFonts w:ascii="Verdana" w:hAnsi="Verdana"/>
          <w:sz w:val="16"/>
          <w:szCs w:val="16"/>
        </w:rPr>
      </w:pPr>
      <w:r w:rsidRPr="00432ABC">
        <w:rPr>
          <w:rStyle w:val="FootnoteReference"/>
          <w:rFonts w:ascii="Verdana" w:hAnsi="Verdana"/>
          <w:sz w:val="16"/>
          <w:szCs w:val="16"/>
        </w:rPr>
        <w:footnoteRef/>
      </w:r>
      <w:r w:rsidRPr="00432ABC">
        <w:rPr>
          <w:rFonts w:ascii="Verdana" w:hAnsi="Verdana"/>
          <w:sz w:val="16"/>
          <w:szCs w:val="16"/>
        </w:rPr>
        <w:t xml:space="preserve"> </w:t>
      </w:r>
      <w:r w:rsidRPr="00432ABC">
        <w:rPr>
          <w:rFonts w:ascii="Verdana" w:hAnsi="Verdana"/>
          <w:sz w:val="16"/>
          <w:szCs w:val="16"/>
        </w:rPr>
        <w:tab/>
      </w:r>
      <w:r w:rsidRPr="00CD5C54">
        <w:rPr>
          <w:rFonts w:ascii="Verdana" w:hAnsi="Verdana"/>
          <w:i/>
          <w:sz w:val="16"/>
          <w:szCs w:val="16"/>
        </w:rPr>
        <w:t>Cfr.</w:t>
      </w:r>
      <w:r w:rsidRPr="002C462C">
        <w:rPr>
          <w:rFonts w:ascii="Verdana" w:hAnsi="Verdana"/>
          <w:i/>
          <w:sz w:val="16"/>
          <w:szCs w:val="16"/>
        </w:rPr>
        <w:t xml:space="preserve"> </w:t>
      </w:r>
      <w:r w:rsidRPr="002C462C">
        <w:rPr>
          <w:rFonts w:ascii="Verdana" w:hAnsi="Verdana"/>
          <w:sz w:val="16"/>
          <w:szCs w:val="16"/>
        </w:rPr>
        <w:t>Acuerdo de diligencias</w:t>
      </w:r>
      <w:r w:rsidRPr="00432ABC">
        <w:rPr>
          <w:rFonts w:ascii="Verdana" w:hAnsi="Verdana"/>
          <w:i/>
          <w:sz w:val="16"/>
          <w:szCs w:val="16"/>
        </w:rPr>
        <w:t xml:space="preserve"> </w:t>
      </w:r>
      <w:r w:rsidRPr="00432ABC">
        <w:rPr>
          <w:rFonts w:ascii="Verdana" w:hAnsi="Verdana"/>
          <w:sz w:val="16"/>
          <w:szCs w:val="16"/>
        </w:rPr>
        <w:t xml:space="preserve">de 4 de junio de 2010 (expediente de prueba, </w:t>
      </w:r>
      <w:r>
        <w:rPr>
          <w:rFonts w:ascii="Verdana" w:hAnsi="Verdana"/>
          <w:sz w:val="16"/>
          <w:szCs w:val="16"/>
        </w:rPr>
        <w:t>e</w:t>
      </w:r>
      <w:r w:rsidRPr="00432ABC">
        <w:rPr>
          <w:rFonts w:ascii="Verdana" w:hAnsi="Verdana"/>
          <w:sz w:val="16"/>
          <w:szCs w:val="16"/>
        </w:rPr>
        <w:t xml:space="preserve">xpediente penal, ff. 13516 a 13518). </w:t>
      </w:r>
    </w:p>
  </w:footnote>
  <w:footnote w:id="268">
    <w:p w14:paraId="64AA623A" w14:textId="3DDA9149" w:rsidR="00146958" w:rsidRPr="00432ABC" w:rsidRDefault="00146958">
      <w:pPr>
        <w:pStyle w:val="FootnoteText"/>
        <w:jc w:val="both"/>
        <w:rPr>
          <w:rFonts w:ascii="Verdana" w:hAnsi="Verdana"/>
          <w:sz w:val="16"/>
          <w:szCs w:val="16"/>
        </w:rPr>
      </w:pPr>
      <w:r w:rsidRPr="00432ABC">
        <w:rPr>
          <w:rStyle w:val="FootnoteReference"/>
          <w:rFonts w:ascii="Verdana" w:hAnsi="Verdana"/>
          <w:sz w:val="16"/>
          <w:szCs w:val="16"/>
        </w:rPr>
        <w:footnoteRef/>
      </w:r>
      <w:r w:rsidRPr="00432ABC">
        <w:rPr>
          <w:rFonts w:ascii="Verdana" w:hAnsi="Verdana"/>
          <w:sz w:val="16"/>
          <w:szCs w:val="16"/>
        </w:rPr>
        <w:t xml:space="preserve"> </w:t>
      </w:r>
      <w:r w:rsidRPr="00432ABC">
        <w:rPr>
          <w:rFonts w:ascii="Verdana" w:hAnsi="Verdana"/>
          <w:sz w:val="16"/>
          <w:szCs w:val="16"/>
        </w:rPr>
        <w:tab/>
      </w:r>
      <w:r w:rsidRPr="00CD5C54">
        <w:rPr>
          <w:rFonts w:ascii="Verdana" w:hAnsi="Verdana"/>
          <w:i/>
          <w:sz w:val="16"/>
          <w:szCs w:val="16"/>
        </w:rPr>
        <w:t>Cfr.</w:t>
      </w:r>
      <w:r w:rsidRPr="002C462C">
        <w:rPr>
          <w:rFonts w:ascii="Verdana" w:hAnsi="Verdana"/>
          <w:sz w:val="16"/>
          <w:szCs w:val="16"/>
        </w:rPr>
        <w:t xml:space="preserve"> Proveídos de Inspección Ministerial de 9 de junio de 2010 suscritos por el SMC de la FEVIMTRA – PGR (expediente de prueba, </w:t>
      </w:r>
      <w:r>
        <w:rPr>
          <w:rFonts w:ascii="Verdana" w:hAnsi="Verdana"/>
          <w:sz w:val="16"/>
          <w:szCs w:val="16"/>
        </w:rPr>
        <w:t>e</w:t>
      </w:r>
      <w:r w:rsidRPr="002C462C">
        <w:rPr>
          <w:rFonts w:ascii="Verdana" w:hAnsi="Verdana"/>
          <w:sz w:val="16"/>
          <w:szCs w:val="16"/>
        </w:rPr>
        <w:t>xpediente penal, ff. 13542 a 13545, y 13550 a 13551).</w:t>
      </w:r>
      <w:r w:rsidRPr="00432ABC" w:rsidDel="00FA4407">
        <w:rPr>
          <w:rFonts w:ascii="Verdana" w:hAnsi="Verdana"/>
          <w:sz w:val="16"/>
          <w:szCs w:val="16"/>
        </w:rPr>
        <w:t xml:space="preserve"> </w:t>
      </w:r>
    </w:p>
  </w:footnote>
  <w:footnote w:id="269">
    <w:p w14:paraId="64AA623B" w14:textId="16024601" w:rsidR="00146958" w:rsidRPr="00432ABC" w:rsidRDefault="00146958">
      <w:pPr>
        <w:pStyle w:val="FootnoteText"/>
        <w:jc w:val="both"/>
        <w:rPr>
          <w:rFonts w:ascii="Verdana" w:hAnsi="Verdana"/>
          <w:sz w:val="16"/>
          <w:szCs w:val="16"/>
        </w:rPr>
      </w:pPr>
      <w:r w:rsidRPr="00432ABC">
        <w:rPr>
          <w:rStyle w:val="FootnoteReference"/>
          <w:rFonts w:ascii="Verdana" w:hAnsi="Verdana"/>
          <w:sz w:val="16"/>
          <w:szCs w:val="16"/>
        </w:rPr>
        <w:footnoteRef/>
      </w:r>
      <w:r w:rsidRPr="00432ABC">
        <w:rPr>
          <w:rFonts w:ascii="Verdana" w:hAnsi="Verdana"/>
          <w:sz w:val="16"/>
          <w:szCs w:val="16"/>
        </w:rPr>
        <w:t xml:space="preserve"> </w:t>
      </w:r>
      <w:r w:rsidRPr="00432ABC">
        <w:rPr>
          <w:rFonts w:ascii="Verdana" w:hAnsi="Verdana"/>
          <w:sz w:val="16"/>
          <w:szCs w:val="16"/>
        </w:rPr>
        <w:tab/>
        <w:t>En su declaración, el age</w:t>
      </w:r>
      <w:r w:rsidRPr="002C462C">
        <w:rPr>
          <w:rFonts w:ascii="Verdana" w:hAnsi="Verdana"/>
          <w:sz w:val="16"/>
          <w:szCs w:val="16"/>
        </w:rPr>
        <w:t>nte Flores Martínez señaló:</w:t>
      </w:r>
      <w:r w:rsidRPr="00432ABC">
        <w:rPr>
          <w:rFonts w:ascii="Verdana" w:hAnsi="Verdana"/>
          <w:sz w:val="16"/>
          <w:szCs w:val="16"/>
          <w:lang w:val="es-AR"/>
        </w:rPr>
        <w:t xml:space="preserve"> “[…] A finales del mes de noviembre de [2009] […] llegaron a mi oficina [en la Agencia Estatal de Investigaciones en Nuevo Casas Grandes] tres elementos de la Policía Federal, uniformados y se dirigieron conmigo y en razón de que yo estaba encargado de la plaza […] me manifestaron sobre el asunto de una camioneta que estaba asegurada por parte de la policía ministerial en el Ejido Benito Juárez […] y le informaron que uno de los agentes que había asegurado dicho vehículo es Óscar Arias Ocampo […] posteriormente Óscar [Arias] y el comandante Calvillo se entrevistaron con dichos elementos de la Policía Federal desconociendo en qué vehículo [iban] […]”. Por su parte, el señor </w:t>
      </w:r>
      <w:r w:rsidRPr="00432ABC">
        <w:rPr>
          <w:rFonts w:ascii="Verdana" w:hAnsi="Verdana"/>
          <w:sz w:val="16"/>
          <w:szCs w:val="16"/>
        </w:rPr>
        <w:t xml:space="preserve">Francisco Calvillo declaró: “[…] los primeros días de enero [de 2010] se present[ó] un teniente del [E]jército [M]exicano […] y me manifestó que si había el vehículo asegurado, y que porqué lo había asegurado, a lo que le contesté que por una llamada habíamos intervenido, y tomó los datos de vehículo y se retiró, posteriormente llegaron varios agentes de la Policía Federal uniformados, preguntando lo mismo […]”. </w:t>
      </w:r>
      <w:r w:rsidRPr="00CD5C54">
        <w:rPr>
          <w:rFonts w:ascii="Verdana" w:hAnsi="Verdana"/>
          <w:i/>
          <w:sz w:val="16"/>
          <w:szCs w:val="16"/>
        </w:rPr>
        <w:t>Cfr.</w:t>
      </w:r>
      <w:r w:rsidRPr="00432ABC">
        <w:rPr>
          <w:rFonts w:ascii="Verdana" w:hAnsi="Verdana"/>
          <w:sz w:val="16"/>
          <w:szCs w:val="16"/>
        </w:rPr>
        <w:t xml:space="preserve"> Declaración de Hora</w:t>
      </w:r>
      <w:r>
        <w:rPr>
          <w:rFonts w:ascii="Verdana" w:hAnsi="Verdana"/>
          <w:sz w:val="16"/>
          <w:szCs w:val="16"/>
        </w:rPr>
        <w:t>s</w:t>
      </w:r>
      <w:r w:rsidRPr="00432ABC">
        <w:rPr>
          <w:rFonts w:ascii="Verdana" w:hAnsi="Verdana"/>
          <w:sz w:val="16"/>
          <w:szCs w:val="16"/>
        </w:rPr>
        <w:t xml:space="preserve">io Flores Martínez (expediente de prueba, </w:t>
      </w:r>
      <w:r>
        <w:rPr>
          <w:rFonts w:ascii="Verdana" w:hAnsi="Verdana"/>
          <w:sz w:val="16"/>
          <w:szCs w:val="16"/>
        </w:rPr>
        <w:t>e</w:t>
      </w:r>
      <w:r w:rsidRPr="00432ABC">
        <w:rPr>
          <w:rFonts w:ascii="Verdana" w:hAnsi="Verdana"/>
          <w:sz w:val="16"/>
          <w:szCs w:val="16"/>
        </w:rPr>
        <w:t xml:space="preserve">xpediente penal, ff. 13555 a 13557), y </w:t>
      </w:r>
      <w:r>
        <w:rPr>
          <w:rFonts w:ascii="Verdana" w:hAnsi="Verdana"/>
          <w:sz w:val="16"/>
          <w:szCs w:val="16"/>
        </w:rPr>
        <w:t>d</w:t>
      </w:r>
      <w:r w:rsidRPr="00432ABC">
        <w:rPr>
          <w:rFonts w:ascii="Verdana" w:hAnsi="Verdana"/>
          <w:sz w:val="16"/>
          <w:szCs w:val="16"/>
        </w:rPr>
        <w:t xml:space="preserve">eclaración de Francisco Calvillo Barrio (expediente de prueba, </w:t>
      </w:r>
      <w:r>
        <w:rPr>
          <w:rFonts w:ascii="Verdana" w:hAnsi="Verdana"/>
          <w:sz w:val="16"/>
          <w:szCs w:val="16"/>
        </w:rPr>
        <w:t>e</w:t>
      </w:r>
      <w:r w:rsidRPr="00432ABC">
        <w:rPr>
          <w:rFonts w:ascii="Verdana" w:hAnsi="Verdana"/>
          <w:sz w:val="16"/>
          <w:szCs w:val="16"/>
        </w:rPr>
        <w:t>xpediente penal, ff. 13560 a 13561), ambas rendidas el 9 de junio de 2010 ante el SMC de la FEVIMTRA – PGR.</w:t>
      </w:r>
    </w:p>
  </w:footnote>
  <w:footnote w:id="270">
    <w:p w14:paraId="64AA623C" w14:textId="07ACE776" w:rsidR="00146958" w:rsidRPr="00432ABC" w:rsidRDefault="00146958">
      <w:pPr>
        <w:pStyle w:val="FootnoteText"/>
        <w:jc w:val="both"/>
        <w:rPr>
          <w:rFonts w:ascii="Verdana" w:hAnsi="Verdana"/>
          <w:sz w:val="16"/>
          <w:szCs w:val="16"/>
        </w:rPr>
      </w:pPr>
      <w:r w:rsidRPr="00432ABC">
        <w:rPr>
          <w:rStyle w:val="FootnoteReference"/>
          <w:rFonts w:ascii="Verdana" w:hAnsi="Verdana"/>
          <w:sz w:val="16"/>
          <w:szCs w:val="16"/>
        </w:rPr>
        <w:footnoteRef/>
      </w:r>
      <w:r w:rsidRPr="00432ABC">
        <w:rPr>
          <w:rFonts w:ascii="Verdana" w:hAnsi="Verdana"/>
          <w:sz w:val="16"/>
          <w:szCs w:val="16"/>
        </w:rPr>
        <w:t xml:space="preserve">  </w:t>
      </w:r>
      <w:r w:rsidRPr="00432ABC">
        <w:rPr>
          <w:rFonts w:ascii="Verdana" w:hAnsi="Verdana"/>
          <w:sz w:val="16"/>
          <w:szCs w:val="16"/>
        </w:rPr>
        <w:tab/>
      </w:r>
      <w:r w:rsidRPr="00CD5C54">
        <w:rPr>
          <w:rFonts w:ascii="Verdana" w:hAnsi="Verdana"/>
          <w:i/>
          <w:sz w:val="16"/>
          <w:szCs w:val="16"/>
        </w:rPr>
        <w:t>Cfr.</w:t>
      </w:r>
      <w:r w:rsidRPr="002C462C">
        <w:rPr>
          <w:rFonts w:ascii="Verdana" w:hAnsi="Verdana"/>
          <w:sz w:val="16"/>
          <w:szCs w:val="16"/>
        </w:rPr>
        <w:t xml:space="preserve"> Declaración de Obdulia Espinoza Beltrán rendida el 10 de junio de 2010 (expediente de prueba, </w:t>
      </w:r>
      <w:r>
        <w:rPr>
          <w:rFonts w:ascii="Verdana" w:hAnsi="Verdana"/>
          <w:sz w:val="16"/>
          <w:szCs w:val="16"/>
        </w:rPr>
        <w:t>e</w:t>
      </w:r>
      <w:r w:rsidRPr="002C462C">
        <w:rPr>
          <w:rFonts w:ascii="Verdana" w:hAnsi="Verdana"/>
          <w:sz w:val="16"/>
          <w:szCs w:val="16"/>
        </w:rPr>
        <w:t>xpedi</w:t>
      </w:r>
      <w:r w:rsidRPr="00432ABC">
        <w:rPr>
          <w:rFonts w:ascii="Verdana" w:hAnsi="Verdana"/>
          <w:sz w:val="16"/>
          <w:szCs w:val="16"/>
        </w:rPr>
        <w:t xml:space="preserve">ente penal, ff. 13576 a 13588). </w:t>
      </w:r>
    </w:p>
  </w:footnote>
  <w:footnote w:id="271">
    <w:p w14:paraId="64AA623D" w14:textId="7D8EBF8D" w:rsidR="00146958" w:rsidRPr="00432ABC" w:rsidRDefault="00146958">
      <w:pPr>
        <w:pStyle w:val="FootnoteText"/>
        <w:jc w:val="both"/>
        <w:rPr>
          <w:rFonts w:ascii="Verdana" w:hAnsi="Verdana"/>
          <w:sz w:val="16"/>
          <w:szCs w:val="16"/>
        </w:rPr>
      </w:pPr>
      <w:r w:rsidRPr="00432ABC">
        <w:rPr>
          <w:rStyle w:val="FootnoteReference"/>
          <w:rFonts w:ascii="Verdana" w:hAnsi="Verdana"/>
          <w:sz w:val="16"/>
          <w:szCs w:val="16"/>
        </w:rPr>
        <w:footnoteRef/>
      </w:r>
      <w:r w:rsidRPr="00432ABC">
        <w:rPr>
          <w:rFonts w:ascii="Verdana" w:hAnsi="Verdana"/>
          <w:sz w:val="16"/>
          <w:szCs w:val="16"/>
        </w:rPr>
        <w:t xml:space="preserve"> </w:t>
      </w:r>
      <w:r w:rsidRPr="00432ABC">
        <w:rPr>
          <w:rFonts w:ascii="Verdana" w:hAnsi="Verdana"/>
          <w:sz w:val="16"/>
          <w:szCs w:val="16"/>
        </w:rPr>
        <w:tab/>
      </w:r>
      <w:r w:rsidRPr="00CD5C54">
        <w:rPr>
          <w:rFonts w:ascii="Verdana" w:hAnsi="Verdana"/>
          <w:i/>
          <w:sz w:val="16"/>
          <w:szCs w:val="16"/>
        </w:rPr>
        <w:t>Cfr.</w:t>
      </w:r>
      <w:r w:rsidRPr="002C462C">
        <w:rPr>
          <w:rFonts w:ascii="Verdana" w:hAnsi="Verdana"/>
          <w:sz w:val="16"/>
          <w:szCs w:val="16"/>
        </w:rPr>
        <w:t xml:space="preserve"> Declaración de Jesús Durazo Hoyos (expediente de prueba, </w:t>
      </w:r>
      <w:r>
        <w:rPr>
          <w:rFonts w:ascii="Verdana" w:hAnsi="Verdana"/>
          <w:sz w:val="16"/>
          <w:szCs w:val="16"/>
        </w:rPr>
        <w:t>e</w:t>
      </w:r>
      <w:r w:rsidRPr="002C462C">
        <w:rPr>
          <w:rFonts w:ascii="Verdana" w:hAnsi="Verdana"/>
          <w:sz w:val="16"/>
          <w:szCs w:val="16"/>
        </w:rPr>
        <w:t xml:space="preserve">xpediente penal, ff. 13589 a 13591), y </w:t>
      </w:r>
      <w:r>
        <w:rPr>
          <w:rFonts w:ascii="Verdana" w:hAnsi="Verdana"/>
          <w:sz w:val="16"/>
          <w:szCs w:val="16"/>
        </w:rPr>
        <w:t>d</w:t>
      </w:r>
      <w:r w:rsidRPr="002C462C">
        <w:rPr>
          <w:rFonts w:ascii="Verdana" w:hAnsi="Verdana"/>
          <w:sz w:val="16"/>
          <w:szCs w:val="16"/>
        </w:rPr>
        <w:t xml:space="preserve">eclaración de Guadalupe Angélica Escobedo Domínguez (expediente de prueba, </w:t>
      </w:r>
      <w:r>
        <w:rPr>
          <w:rFonts w:ascii="Verdana" w:hAnsi="Verdana"/>
          <w:sz w:val="16"/>
          <w:szCs w:val="16"/>
        </w:rPr>
        <w:t>e</w:t>
      </w:r>
      <w:r w:rsidRPr="002C462C">
        <w:rPr>
          <w:rFonts w:ascii="Verdana" w:hAnsi="Verdana"/>
          <w:sz w:val="16"/>
          <w:szCs w:val="16"/>
        </w:rPr>
        <w:t xml:space="preserve">xpediente penal, </w:t>
      </w:r>
      <w:r w:rsidRPr="00432ABC">
        <w:rPr>
          <w:rFonts w:ascii="Verdana" w:hAnsi="Verdana"/>
          <w:sz w:val="16"/>
          <w:szCs w:val="16"/>
        </w:rPr>
        <w:t>ff. 13596 a 13598), ambas rendidas el 10 de junio de 2010 ante el SMC de la FEVIMTRA – PGR.</w:t>
      </w:r>
    </w:p>
  </w:footnote>
  <w:footnote w:id="272">
    <w:p w14:paraId="64AA623E" w14:textId="0380C94E" w:rsidR="00146958" w:rsidRPr="00432ABC" w:rsidRDefault="00146958">
      <w:pPr>
        <w:pStyle w:val="FootnoteText"/>
        <w:jc w:val="both"/>
        <w:rPr>
          <w:rFonts w:ascii="Verdana" w:hAnsi="Verdana"/>
          <w:sz w:val="16"/>
          <w:szCs w:val="16"/>
        </w:rPr>
      </w:pPr>
      <w:r w:rsidRPr="00432ABC">
        <w:rPr>
          <w:rStyle w:val="FootnoteReference"/>
          <w:rFonts w:ascii="Verdana" w:hAnsi="Verdana"/>
          <w:sz w:val="16"/>
          <w:szCs w:val="16"/>
        </w:rPr>
        <w:footnoteRef/>
      </w:r>
      <w:r w:rsidRPr="00432ABC">
        <w:rPr>
          <w:rFonts w:ascii="Verdana" w:hAnsi="Verdana"/>
          <w:sz w:val="16"/>
          <w:szCs w:val="16"/>
        </w:rPr>
        <w:t xml:space="preserve"> </w:t>
      </w:r>
      <w:r w:rsidRPr="00432ABC">
        <w:rPr>
          <w:rFonts w:ascii="Verdana" w:hAnsi="Verdana"/>
          <w:sz w:val="16"/>
          <w:szCs w:val="16"/>
        </w:rPr>
        <w:tab/>
      </w:r>
      <w:r w:rsidRPr="00CD5C54">
        <w:rPr>
          <w:rFonts w:ascii="Verdana" w:hAnsi="Verdana"/>
          <w:i/>
          <w:sz w:val="16"/>
          <w:szCs w:val="16"/>
        </w:rPr>
        <w:t>Cfr.</w:t>
      </w:r>
      <w:r w:rsidRPr="002C462C">
        <w:rPr>
          <w:rFonts w:ascii="Verdana" w:hAnsi="Verdana"/>
          <w:sz w:val="16"/>
          <w:szCs w:val="16"/>
        </w:rPr>
        <w:t xml:space="preserve"> Acuerdo de diligencias de 27 de julio de 2010 (expediente de prueba, </w:t>
      </w:r>
      <w:r>
        <w:rPr>
          <w:rFonts w:ascii="Verdana" w:hAnsi="Verdana"/>
          <w:sz w:val="16"/>
          <w:szCs w:val="16"/>
        </w:rPr>
        <w:t>e</w:t>
      </w:r>
      <w:r w:rsidRPr="002C462C">
        <w:rPr>
          <w:rFonts w:ascii="Verdana" w:hAnsi="Verdana"/>
          <w:sz w:val="16"/>
          <w:szCs w:val="16"/>
        </w:rPr>
        <w:t xml:space="preserve">xpediente penal, ff. 13805 a 13806), y </w:t>
      </w:r>
      <w:r>
        <w:rPr>
          <w:rFonts w:ascii="Verdana" w:hAnsi="Verdana"/>
          <w:sz w:val="16"/>
          <w:szCs w:val="16"/>
        </w:rPr>
        <w:t>O</w:t>
      </w:r>
      <w:r w:rsidRPr="002C462C">
        <w:rPr>
          <w:rFonts w:ascii="Verdana" w:hAnsi="Verdana"/>
          <w:sz w:val="16"/>
          <w:szCs w:val="16"/>
        </w:rPr>
        <w:t xml:space="preserve">ficio </w:t>
      </w:r>
      <w:r>
        <w:rPr>
          <w:rFonts w:ascii="Verdana" w:hAnsi="Verdana"/>
          <w:sz w:val="16"/>
          <w:szCs w:val="16"/>
        </w:rPr>
        <w:t xml:space="preserve">No. </w:t>
      </w:r>
      <w:r w:rsidRPr="002C462C">
        <w:rPr>
          <w:rFonts w:ascii="Verdana" w:hAnsi="Verdana"/>
          <w:sz w:val="16"/>
          <w:szCs w:val="16"/>
        </w:rPr>
        <w:t>PGR/FEVIMTRA/TRA/083</w:t>
      </w:r>
      <w:r w:rsidRPr="00432ABC">
        <w:rPr>
          <w:rFonts w:ascii="Verdana" w:hAnsi="Verdana"/>
          <w:sz w:val="16"/>
          <w:szCs w:val="16"/>
        </w:rPr>
        <w:t xml:space="preserve">8/2010 de 27 de julio de 2010 (expediente de prueba, </w:t>
      </w:r>
      <w:r>
        <w:rPr>
          <w:rFonts w:ascii="Verdana" w:hAnsi="Verdana"/>
          <w:sz w:val="16"/>
          <w:szCs w:val="16"/>
        </w:rPr>
        <w:t>e</w:t>
      </w:r>
      <w:r w:rsidRPr="00432ABC">
        <w:rPr>
          <w:rFonts w:ascii="Verdana" w:hAnsi="Verdana"/>
          <w:sz w:val="16"/>
          <w:szCs w:val="16"/>
        </w:rPr>
        <w:t>xpediente penal, f. 13807). La AMPF de la FEVIMTRA – PGR solicitó la colaboración del PGJM para que coadyuvara al desahogo de las siguientes diligencias: “[1.] Se constituy[era] en el 35 Batallón de Infantería, junto con Peritos en Fotografía, Criminalística de Campo y aquéllos que le resulten necesarios, para que realice inspección de sus instalaciones en la búsqueda de las personas [desaparecidas] [;] [2.] Solicit[e] que se ponga a la vista los libros de registros de visitas del mes de enero de 2010, dar fe de su contenido y recabar las fotografías correspondientes [;] [3.] Pid[a] se pongan a la vista las Bitácoras de Servicios, informes y partes de novedades rendidos el 29 y 30 de noviembre de 2009, dar fe de su contenido y recabar las fotografías correspondientes [;] [4.] Requier[a] se pongan a la vista los partes informativos de los vehículos puestos a disposición por parte del personal de[l] Batallón a otras instancias, concretamente del 29, 30 y 31 de diciembre de 2009 [;] [5.] Solicit[e] se informe[n] los operativos en que hayan participado personal del multicitado Batallón el 29 de diciembre de 2009, de ser posible se realice inspección del libro de registro correspondiente, se dé fe y se recaben las impresiones fotográficas [correspondientes] [;] [6.] Pid[a] se informe [sic] sobre los últimos operativos realizados en el Municipio de Buenaventura, Chihuahua, y los resultados obtenidos, es decir, nombres de personas aseguradas</w:t>
      </w:r>
      <w:r>
        <w:rPr>
          <w:rFonts w:ascii="Verdana" w:hAnsi="Verdana"/>
          <w:sz w:val="16"/>
          <w:szCs w:val="16"/>
        </w:rPr>
        <w:t>,</w:t>
      </w:r>
      <w:r w:rsidRPr="00432ABC">
        <w:rPr>
          <w:rFonts w:ascii="Verdana" w:hAnsi="Verdana"/>
          <w:sz w:val="16"/>
          <w:szCs w:val="16"/>
        </w:rPr>
        <w:t xml:space="preserve"> vehículos encontrados, etc. [,] [y] [7.] Obtenga relación del personal con fotografía a color del Batallón 35 que estuvo laborando el 29 de diciembre de 2009 al 15 de enero de 2010, especificándose nombre de la[s] personas a cargo […]”.    </w:t>
      </w:r>
    </w:p>
  </w:footnote>
  <w:footnote w:id="273">
    <w:p w14:paraId="64AA623F" w14:textId="5F256F3F" w:rsidR="00146958" w:rsidRPr="00432ABC" w:rsidRDefault="00146958">
      <w:pPr>
        <w:pStyle w:val="FootnoteText"/>
        <w:jc w:val="both"/>
        <w:rPr>
          <w:rFonts w:ascii="Verdana" w:hAnsi="Verdana"/>
          <w:sz w:val="16"/>
          <w:szCs w:val="16"/>
        </w:rPr>
      </w:pPr>
      <w:r w:rsidRPr="00432ABC">
        <w:rPr>
          <w:rStyle w:val="FootnoteReference"/>
          <w:rFonts w:ascii="Verdana" w:hAnsi="Verdana"/>
          <w:sz w:val="16"/>
          <w:szCs w:val="16"/>
        </w:rPr>
        <w:footnoteRef/>
      </w:r>
      <w:r w:rsidRPr="00432ABC">
        <w:rPr>
          <w:rFonts w:ascii="Verdana" w:hAnsi="Verdana"/>
          <w:sz w:val="16"/>
          <w:szCs w:val="16"/>
        </w:rPr>
        <w:t xml:space="preserve"> </w:t>
      </w:r>
      <w:r w:rsidRPr="00432ABC">
        <w:rPr>
          <w:rFonts w:ascii="Verdana" w:hAnsi="Verdana"/>
          <w:sz w:val="16"/>
          <w:szCs w:val="16"/>
        </w:rPr>
        <w:tab/>
      </w:r>
      <w:r w:rsidRPr="00CD5C54">
        <w:rPr>
          <w:rFonts w:ascii="Verdana" w:hAnsi="Verdana"/>
          <w:i/>
          <w:sz w:val="16"/>
          <w:szCs w:val="16"/>
        </w:rPr>
        <w:t>Cfr.</w:t>
      </w:r>
      <w:r w:rsidRPr="002C462C">
        <w:rPr>
          <w:rFonts w:ascii="Verdana" w:hAnsi="Verdana"/>
          <w:i/>
          <w:sz w:val="16"/>
          <w:szCs w:val="16"/>
        </w:rPr>
        <w:t xml:space="preserve"> </w:t>
      </w:r>
      <w:r w:rsidRPr="002C462C">
        <w:rPr>
          <w:rFonts w:ascii="Verdana" w:hAnsi="Verdana"/>
          <w:sz w:val="16"/>
          <w:szCs w:val="16"/>
        </w:rPr>
        <w:t>Acuerdo de diligencias de 3 de ag</w:t>
      </w:r>
      <w:r w:rsidRPr="00432ABC">
        <w:rPr>
          <w:rFonts w:ascii="Verdana" w:hAnsi="Verdana"/>
          <w:sz w:val="16"/>
          <w:szCs w:val="16"/>
        </w:rPr>
        <w:t xml:space="preserve">osto de 2010 (expediente de prueba, </w:t>
      </w:r>
      <w:r>
        <w:rPr>
          <w:rFonts w:ascii="Verdana" w:hAnsi="Verdana"/>
          <w:sz w:val="16"/>
          <w:szCs w:val="16"/>
        </w:rPr>
        <w:t>e</w:t>
      </w:r>
      <w:r w:rsidRPr="00432ABC">
        <w:rPr>
          <w:rFonts w:ascii="Verdana" w:hAnsi="Verdana"/>
          <w:sz w:val="16"/>
          <w:szCs w:val="16"/>
        </w:rPr>
        <w:t xml:space="preserve">xpediente penal, f. 13827); </w:t>
      </w:r>
      <w:r>
        <w:rPr>
          <w:rFonts w:ascii="Verdana" w:hAnsi="Verdana"/>
          <w:sz w:val="16"/>
          <w:szCs w:val="16"/>
        </w:rPr>
        <w:t>O</w:t>
      </w:r>
      <w:r w:rsidRPr="00432ABC">
        <w:rPr>
          <w:rFonts w:ascii="Verdana" w:hAnsi="Verdana"/>
          <w:sz w:val="16"/>
          <w:szCs w:val="16"/>
        </w:rPr>
        <w:t xml:space="preserve">ficio PGR/FEVIMTRA/TRA/0885/2010 de 3 de agosto de 2010 dirigido al Jefe de Averiguaciones Previas de la PGJM (expediente de prueba, </w:t>
      </w:r>
      <w:r>
        <w:rPr>
          <w:rFonts w:ascii="Verdana" w:hAnsi="Verdana"/>
          <w:sz w:val="16"/>
          <w:szCs w:val="16"/>
        </w:rPr>
        <w:t>e</w:t>
      </w:r>
      <w:r w:rsidRPr="00432ABC">
        <w:rPr>
          <w:rFonts w:ascii="Verdana" w:hAnsi="Verdana"/>
          <w:sz w:val="16"/>
          <w:szCs w:val="16"/>
        </w:rPr>
        <w:t xml:space="preserve">xpediente penal, f. 13827); </w:t>
      </w:r>
      <w:r>
        <w:rPr>
          <w:rFonts w:ascii="Verdana" w:hAnsi="Verdana"/>
          <w:sz w:val="16"/>
          <w:szCs w:val="16"/>
        </w:rPr>
        <w:t>a</w:t>
      </w:r>
      <w:r w:rsidRPr="00432ABC">
        <w:rPr>
          <w:rFonts w:ascii="Verdana" w:hAnsi="Verdana"/>
          <w:sz w:val="16"/>
          <w:szCs w:val="16"/>
        </w:rPr>
        <w:t xml:space="preserve">cuerdo de diligencias de 28 de septiembre de 2010 (expediente de prueba, </w:t>
      </w:r>
      <w:r>
        <w:rPr>
          <w:rFonts w:ascii="Verdana" w:hAnsi="Verdana"/>
          <w:sz w:val="16"/>
          <w:szCs w:val="16"/>
        </w:rPr>
        <w:t>e</w:t>
      </w:r>
      <w:r w:rsidRPr="00432ABC">
        <w:rPr>
          <w:rFonts w:ascii="Verdana" w:hAnsi="Verdana"/>
          <w:sz w:val="16"/>
          <w:szCs w:val="16"/>
        </w:rPr>
        <w:t>xpediente penal, f. 139</w:t>
      </w:r>
      <w:r>
        <w:rPr>
          <w:rFonts w:ascii="Verdana" w:hAnsi="Verdana"/>
          <w:sz w:val="16"/>
          <w:szCs w:val="16"/>
        </w:rPr>
        <w:t>28</w:t>
      </w:r>
      <w:r w:rsidRPr="00432ABC">
        <w:rPr>
          <w:rFonts w:ascii="Verdana" w:hAnsi="Verdana"/>
          <w:sz w:val="16"/>
          <w:szCs w:val="16"/>
        </w:rPr>
        <w:t xml:space="preserve">), y </w:t>
      </w:r>
      <w:r>
        <w:rPr>
          <w:rFonts w:ascii="Verdana" w:hAnsi="Verdana"/>
          <w:sz w:val="16"/>
          <w:szCs w:val="16"/>
        </w:rPr>
        <w:t>O</w:t>
      </w:r>
      <w:r w:rsidRPr="00432ABC">
        <w:rPr>
          <w:rFonts w:ascii="Verdana" w:hAnsi="Verdana"/>
          <w:sz w:val="16"/>
          <w:szCs w:val="16"/>
        </w:rPr>
        <w:t xml:space="preserve">ficio </w:t>
      </w:r>
      <w:r>
        <w:rPr>
          <w:rFonts w:ascii="Verdana" w:hAnsi="Verdana"/>
          <w:sz w:val="16"/>
          <w:szCs w:val="16"/>
        </w:rPr>
        <w:t xml:space="preserve">No. </w:t>
      </w:r>
      <w:r w:rsidRPr="00432ABC">
        <w:rPr>
          <w:rFonts w:ascii="Verdana" w:hAnsi="Verdana"/>
          <w:sz w:val="16"/>
          <w:szCs w:val="16"/>
        </w:rPr>
        <w:t xml:space="preserve">PGR/FEVIMTRA-N/DAP/0399/2010 de 28 de septiembre de 2010 dirigido al PGJM (expediente de prueba, </w:t>
      </w:r>
      <w:r>
        <w:rPr>
          <w:rFonts w:ascii="Verdana" w:hAnsi="Verdana"/>
          <w:sz w:val="16"/>
          <w:szCs w:val="16"/>
        </w:rPr>
        <w:t>e</w:t>
      </w:r>
      <w:r w:rsidRPr="00432ABC">
        <w:rPr>
          <w:rFonts w:ascii="Verdana" w:hAnsi="Verdana"/>
          <w:sz w:val="16"/>
          <w:szCs w:val="16"/>
        </w:rPr>
        <w:t>xpediente penal, f. 13940).</w:t>
      </w:r>
    </w:p>
  </w:footnote>
  <w:footnote w:id="274">
    <w:p w14:paraId="64AA6240" w14:textId="2171A622" w:rsidR="00146958" w:rsidRPr="00432ABC" w:rsidRDefault="00146958">
      <w:pPr>
        <w:pStyle w:val="FootnoteText"/>
        <w:jc w:val="both"/>
        <w:rPr>
          <w:rFonts w:ascii="Verdana" w:hAnsi="Verdana"/>
          <w:sz w:val="16"/>
          <w:szCs w:val="16"/>
        </w:rPr>
      </w:pPr>
      <w:r w:rsidRPr="00432ABC">
        <w:rPr>
          <w:rStyle w:val="FootnoteReference"/>
          <w:rFonts w:ascii="Verdana" w:hAnsi="Verdana"/>
          <w:sz w:val="16"/>
          <w:szCs w:val="16"/>
        </w:rPr>
        <w:footnoteRef/>
      </w:r>
      <w:r w:rsidRPr="00432ABC">
        <w:rPr>
          <w:rFonts w:ascii="Verdana" w:hAnsi="Verdana"/>
          <w:sz w:val="16"/>
          <w:szCs w:val="16"/>
        </w:rPr>
        <w:t xml:space="preserve"> </w:t>
      </w:r>
      <w:r w:rsidRPr="00432ABC">
        <w:rPr>
          <w:rFonts w:ascii="Verdana" w:hAnsi="Verdana"/>
          <w:sz w:val="16"/>
          <w:szCs w:val="16"/>
        </w:rPr>
        <w:tab/>
      </w:r>
      <w:r w:rsidRPr="00CD5C54">
        <w:rPr>
          <w:rFonts w:ascii="Verdana" w:hAnsi="Verdana"/>
          <w:i/>
          <w:sz w:val="16"/>
          <w:szCs w:val="16"/>
        </w:rPr>
        <w:t>Cfr.</w:t>
      </w:r>
      <w:r w:rsidRPr="002C462C">
        <w:rPr>
          <w:rFonts w:ascii="Verdana" w:hAnsi="Verdana"/>
          <w:sz w:val="16"/>
          <w:szCs w:val="16"/>
        </w:rPr>
        <w:t xml:space="preserve"> Oficio </w:t>
      </w:r>
      <w:r>
        <w:rPr>
          <w:rFonts w:ascii="Verdana" w:hAnsi="Verdana"/>
          <w:sz w:val="16"/>
          <w:szCs w:val="16"/>
        </w:rPr>
        <w:t xml:space="preserve">No. </w:t>
      </w:r>
      <w:r w:rsidRPr="002C462C">
        <w:rPr>
          <w:rFonts w:ascii="Verdana" w:hAnsi="Verdana"/>
          <w:sz w:val="16"/>
          <w:szCs w:val="16"/>
        </w:rPr>
        <w:t xml:space="preserve">PGR/FEVIMTRA/TRA/0883/2010 de 3 de agosto de 2010 dirigido al Presidente de la </w:t>
      </w:r>
      <w:r w:rsidRPr="00432ABC">
        <w:rPr>
          <w:rFonts w:ascii="Verdana" w:hAnsi="Verdana"/>
          <w:sz w:val="16"/>
          <w:szCs w:val="16"/>
          <w:lang w:val="es-AR"/>
        </w:rPr>
        <w:t xml:space="preserve">Comisión Nacional Bancaria y de Valores [CNBV] </w:t>
      </w:r>
      <w:r w:rsidRPr="00432ABC">
        <w:rPr>
          <w:rFonts w:ascii="Verdana" w:hAnsi="Verdana"/>
          <w:sz w:val="16"/>
          <w:szCs w:val="16"/>
        </w:rPr>
        <w:t xml:space="preserve">(expediente de prueba, </w:t>
      </w:r>
      <w:r>
        <w:rPr>
          <w:rFonts w:ascii="Verdana" w:hAnsi="Verdana"/>
          <w:sz w:val="16"/>
          <w:szCs w:val="16"/>
        </w:rPr>
        <w:t>e</w:t>
      </w:r>
      <w:r w:rsidRPr="00432ABC">
        <w:rPr>
          <w:rFonts w:ascii="Verdana" w:hAnsi="Verdana"/>
          <w:sz w:val="16"/>
          <w:szCs w:val="16"/>
        </w:rPr>
        <w:t>xpediente penal, ff. 13825 a 13826).</w:t>
      </w:r>
    </w:p>
  </w:footnote>
  <w:footnote w:id="275">
    <w:p w14:paraId="64AA6241" w14:textId="1860ADC2" w:rsidR="00146958" w:rsidRPr="00432ABC" w:rsidRDefault="00146958">
      <w:pPr>
        <w:pStyle w:val="FootnoteText"/>
        <w:jc w:val="both"/>
        <w:rPr>
          <w:rFonts w:ascii="Verdana" w:hAnsi="Verdana"/>
          <w:sz w:val="16"/>
          <w:szCs w:val="16"/>
        </w:rPr>
      </w:pPr>
      <w:r w:rsidRPr="00432ABC">
        <w:rPr>
          <w:rStyle w:val="FootnoteReference"/>
          <w:rFonts w:ascii="Verdana" w:hAnsi="Verdana"/>
          <w:sz w:val="16"/>
          <w:szCs w:val="16"/>
        </w:rPr>
        <w:footnoteRef/>
      </w:r>
      <w:r w:rsidRPr="00432ABC">
        <w:rPr>
          <w:rFonts w:ascii="Verdana" w:hAnsi="Verdana"/>
          <w:sz w:val="16"/>
          <w:szCs w:val="16"/>
        </w:rPr>
        <w:t xml:space="preserve"> </w:t>
      </w:r>
      <w:r w:rsidRPr="00432ABC">
        <w:rPr>
          <w:rFonts w:ascii="Verdana" w:hAnsi="Verdana"/>
          <w:sz w:val="16"/>
          <w:szCs w:val="16"/>
        </w:rPr>
        <w:tab/>
      </w:r>
      <w:r w:rsidRPr="00CD5C54">
        <w:rPr>
          <w:rFonts w:ascii="Verdana" w:hAnsi="Verdana"/>
          <w:i/>
          <w:sz w:val="16"/>
          <w:szCs w:val="16"/>
        </w:rPr>
        <w:t>Cfr.</w:t>
      </w:r>
      <w:r w:rsidRPr="002C462C">
        <w:rPr>
          <w:rFonts w:ascii="Verdana" w:hAnsi="Verdana"/>
          <w:sz w:val="16"/>
          <w:szCs w:val="16"/>
        </w:rPr>
        <w:t xml:space="preserve"> Oficio </w:t>
      </w:r>
      <w:r>
        <w:rPr>
          <w:rFonts w:ascii="Verdana" w:hAnsi="Verdana"/>
          <w:sz w:val="16"/>
          <w:szCs w:val="16"/>
        </w:rPr>
        <w:t xml:space="preserve">No. </w:t>
      </w:r>
      <w:r w:rsidRPr="002C462C">
        <w:rPr>
          <w:rFonts w:ascii="Verdana" w:hAnsi="Verdana"/>
          <w:sz w:val="16"/>
          <w:szCs w:val="16"/>
        </w:rPr>
        <w:t>213/3304716/2010 (expedie</w:t>
      </w:r>
      <w:r w:rsidRPr="00432ABC">
        <w:rPr>
          <w:rFonts w:ascii="Verdana" w:hAnsi="Verdana"/>
          <w:sz w:val="16"/>
          <w:szCs w:val="16"/>
        </w:rPr>
        <w:t xml:space="preserve">nte de prueba, </w:t>
      </w:r>
      <w:r>
        <w:rPr>
          <w:rFonts w:ascii="Verdana" w:hAnsi="Verdana"/>
          <w:sz w:val="16"/>
          <w:szCs w:val="16"/>
        </w:rPr>
        <w:t>e</w:t>
      </w:r>
      <w:r w:rsidRPr="00432ABC">
        <w:rPr>
          <w:rFonts w:ascii="Verdana" w:hAnsi="Verdana"/>
          <w:sz w:val="16"/>
          <w:szCs w:val="16"/>
        </w:rPr>
        <w:t>xpediente penal, f. 13910).</w:t>
      </w:r>
    </w:p>
  </w:footnote>
  <w:footnote w:id="276">
    <w:p w14:paraId="64AA6242" w14:textId="474D597F" w:rsidR="00146958" w:rsidRPr="002C462C" w:rsidRDefault="00146958">
      <w:pPr>
        <w:pStyle w:val="FootnoteText"/>
        <w:jc w:val="both"/>
        <w:rPr>
          <w:rFonts w:ascii="Verdana" w:hAnsi="Verdana"/>
          <w:sz w:val="16"/>
          <w:szCs w:val="16"/>
        </w:rPr>
      </w:pPr>
      <w:r w:rsidRPr="00432ABC">
        <w:rPr>
          <w:rStyle w:val="FootnoteReference"/>
          <w:rFonts w:ascii="Verdana" w:hAnsi="Verdana"/>
          <w:sz w:val="16"/>
          <w:szCs w:val="16"/>
        </w:rPr>
        <w:footnoteRef/>
      </w:r>
      <w:r w:rsidRPr="00432ABC">
        <w:rPr>
          <w:rFonts w:ascii="Verdana" w:hAnsi="Verdana"/>
          <w:sz w:val="16"/>
          <w:szCs w:val="16"/>
        </w:rPr>
        <w:t xml:space="preserve"> </w:t>
      </w:r>
      <w:r w:rsidRPr="00432ABC">
        <w:rPr>
          <w:rFonts w:ascii="Verdana" w:hAnsi="Verdana"/>
          <w:sz w:val="16"/>
          <w:szCs w:val="16"/>
        </w:rPr>
        <w:tab/>
      </w:r>
      <w:r w:rsidRPr="00CD5C54">
        <w:rPr>
          <w:rFonts w:ascii="Verdana" w:hAnsi="Verdana"/>
          <w:i/>
          <w:sz w:val="16"/>
          <w:szCs w:val="16"/>
        </w:rPr>
        <w:t>Cfr.</w:t>
      </w:r>
      <w:r w:rsidRPr="002C462C">
        <w:rPr>
          <w:rFonts w:ascii="Verdana" w:hAnsi="Verdana"/>
          <w:sz w:val="16"/>
          <w:szCs w:val="16"/>
        </w:rPr>
        <w:t xml:space="preserve"> Oficio </w:t>
      </w:r>
      <w:r>
        <w:rPr>
          <w:rFonts w:ascii="Verdana" w:hAnsi="Verdana"/>
          <w:sz w:val="16"/>
          <w:szCs w:val="16"/>
        </w:rPr>
        <w:t xml:space="preserve">No. </w:t>
      </w:r>
      <w:r w:rsidRPr="002C462C">
        <w:rPr>
          <w:rFonts w:ascii="Verdana" w:hAnsi="Verdana"/>
          <w:sz w:val="16"/>
          <w:szCs w:val="16"/>
        </w:rPr>
        <w:t xml:space="preserve">213/390593/2011 (expediente de prueba, </w:t>
      </w:r>
      <w:r>
        <w:rPr>
          <w:rFonts w:ascii="Verdana" w:hAnsi="Verdana"/>
          <w:sz w:val="16"/>
          <w:szCs w:val="16"/>
        </w:rPr>
        <w:t>e</w:t>
      </w:r>
      <w:r w:rsidRPr="002C462C">
        <w:rPr>
          <w:rFonts w:ascii="Verdana" w:hAnsi="Verdana"/>
          <w:sz w:val="16"/>
          <w:szCs w:val="16"/>
        </w:rPr>
        <w:t>xpediente penal, ff. 14183 a 14230).</w:t>
      </w:r>
    </w:p>
  </w:footnote>
  <w:footnote w:id="277">
    <w:p w14:paraId="64AA6243" w14:textId="2F325FC5" w:rsidR="00146958" w:rsidRPr="00432ABC" w:rsidRDefault="00146958">
      <w:pPr>
        <w:pStyle w:val="FootnoteText"/>
        <w:jc w:val="both"/>
        <w:rPr>
          <w:rFonts w:ascii="Verdana" w:hAnsi="Verdana"/>
          <w:sz w:val="16"/>
          <w:szCs w:val="16"/>
        </w:rPr>
      </w:pPr>
      <w:r w:rsidRPr="00432ABC">
        <w:rPr>
          <w:rStyle w:val="FootnoteReference"/>
          <w:rFonts w:ascii="Verdana" w:hAnsi="Verdana"/>
          <w:sz w:val="16"/>
          <w:szCs w:val="16"/>
        </w:rPr>
        <w:footnoteRef/>
      </w:r>
      <w:r w:rsidRPr="00432ABC">
        <w:rPr>
          <w:rFonts w:ascii="Verdana" w:hAnsi="Verdana"/>
          <w:sz w:val="16"/>
          <w:szCs w:val="16"/>
        </w:rPr>
        <w:t xml:space="preserve"> </w:t>
      </w:r>
      <w:r w:rsidRPr="00432ABC">
        <w:rPr>
          <w:rFonts w:ascii="Verdana" w:hAnsi="Verdana"/>
          <w:sz w:val="16"/>
          <w:szCs w:val="16"/>
        </w:rPr>
        <w:tab/>
      </w:r>
      <w:r w:rsidRPr="00CD5C54">
        <w:rPr>
          <w:rFonts w:ascii="Verdana" w:hAnsi="Verdana"/>
          <w:i/>
          <w:sz w:val="16"/>
          <w:szCs w:val="16"/>
        </w:rPr>
        <w:t>Cfr.</w:t>
      </w:r>
      <w:r w:rsidRPr="002C462C">
        <w:rPr>
          <w:rFonts w:ascii="Verdana" w:hAnsi="Verdana"/>
          <w:sz w:val="16"/>
          <w:szCs w:val="16"/>
        </w:rPr>
        <w:t xml:space="preserve"> Oficio </w:t>
      </w:r>
      <w:r>
        <w:rPr>
          <w:rFonts w:ascii="Verdana" w:hAnsi="Verdana"/>
          <w:sz w:val="16"/>
          <w:szCs w:val="16"/>
        </w:rPr>
        <w:t xml:space="preserve">No. </w:t>
      </w:r>
      <w:r w:rsidRPr="002C462C">
        <w:rPr>
          <w:rFonts w:ascii="Verdana" w:hAnsi="Verdana"/>
          <w:sz w:val="16"/>
          <w:szCs w:val="16"/>
        </w:rPr>
        <w:t>PGR/FEVIMTRA/TRA/0924/2010 de 10 de agosto de 2010 dirigido al titular del Centro</w:t>
      </w:r>
      <w:r w:rsidRPr="00432ABC">
        <w:rPr>
          <w:rFonts w:ascii="Verdana" w:hAnsi="Verdana"/>
          <w:sz w:val="16"/>
          <w:szCs w:val="16"/>
        </w:rPr>
        <w:t xml:space="preserve"> de Emergencias y Respuesta Inmediata</w:t>
      </w:r>
      <w:r>
        <w:rPr>
          <w:rFonts w:ascii="Verdana" w:hAnsi="Verdana"/>
          <w:sz w:val="16"/>
          <w:szCs w:val="16"/>
        </w:rPr>
        <w:t xml:space="preserve"> de Chihuahua</w:t>
      </w:r>
      <w:r w:rsidRPr="00432ABC">
        <w:rPr>
          <w:rFonts w:ascii="Verdana" w:hAnsi="Verdana"/>
          <w:sz w:val="16"/>
          <w:szCs w:val="16"/>
        </w:rPr>
        <w:t xml:space="preserve"> (expediente de prueba, </w:t>
      </w:r>
      <w:r>
        <w:rPr>
          <w:rFonts w:ascii="Verdana" w:hAnsi="Verdana"/>
          <w:sz w:val="16"/>
          <w:szCs w:val="16"/>
        </w:rPr>
        <w:t>e</w:t>
      </w:r>
      <w:r w:rsidRPr="00432ABC">
        <w:rPr>
          <w:rFonts w:ascii="Verdana" w:hAnsi="Verdana"/>
          <w:sz w:val="16"/>
          <w:szCs w:val="16"/>
        </w:rPr>
        <w:t>xpediente penal, f. 13839).</w:t>
      </w:r>
    </w:p>
  </w:footnote>
  <w:footnote w:id="278">
    <w:p w14:paraId="64AA6244" w14:textId="5FDAE906" w:rsidR="00146958" w:rsidRPr="00432ABC" w:rsidRDefault="00146958">
      <w:pPr>
        <w:pStyle w:val="FootnoteText"/>
        <w:jc w:val="both"/>
        <w:rPr>
          <w:rFonts w:ascii="Verdana" w:hAnsi="Verdana"/>
          <w:sz w:val="16"/>
          <w:szCs w:val="16"/>
        </w:rPr>
      </w:pPr>
      <w:r w:rsidRPr="00432ABC">
        <w:rPr>
          <w:rStyle w:val="FootnoteReference"/>
          <w:rFonts w:ascii="Verdana" w:hAnsi="Verdana"/>
          <w:sz w:val="16"/>
          <w:szCs w:val="16"/>
        </w:rPr>
        <w:footnoteRef/>
      </w:r>
      <w:r w:rsidRPr="00432ABC">
        <w:rPr>
          <w:rFonts w:ascii="Verdana" w:hAnsi="Verdana"/>
          <w:sz w:val="16"/>
          <w:szCs w:val="16"/>
        </w:rPr>
        <w:t xml:space="preserve"> </w:t>
      </w:r>
      <w:r w:rsidRPr="00432ABC">
        <w:rPr>
          <w:rFonts w:ascii="Verdana" w:hAnsi="Verdana"/>
          <w:sz w:val="16"/>
          <w:szCs w:val="16"/>
        </w:rPr>
        <w:tab/>
      </w:r>
      <w:r w:rsidRPr="00CD5C54">
        <w:rPr>
          <w:rFonts w:ascii="Verdana" w:hAnsi="Verdana"/>
          <w:i/>
          <w:sz w:val="16"/>
          <w:szCs w:val="16"/>
        </w:rPr>
        <w:t>Cfr.</w:t>
      </w:r>
      <w:r w:rsidRPr="002C462C">
        <w:rPr>
          <w:rFonts w:ascii="Verdana" w:hAnsi="Verdana"/>
          <w:sz w:val="16"/>
          <w:szCs w:val="16"/>
        </w:rPr>
        <w:t xml:space="preserve"> Oficio </w:t>
      </w:r>
      <w:r>
        <w:rPr>
          <w:rFonts w:ascii="Verdana" w:hAnsi="Verdana"/>
          <w:sz w:val="16"/>
          <w:szCs w:val="16"/>
        </w:rPr>
        <w:t xml:space="preserve">No. </w:t>
      </w:r>
      <w:r w:rsidRPr="002C462C">
        <w:rPr>
          <w:rFonts w:ascii="Verdana" w:hAnsi="Verdana"/>
          <w:sz w:val="16"/>
          <w:szCs w:val="16"/>
        </w:rPr>
        <w:t xml:space="preserve">166/2010 de 11 de agosto de 2010 suscrito por el Insp. P.F. Coordinador CERI 066 de la Secretaría de Seguridad Pública Municipal de Juárez </w:t>
      </w:r>
      <w:r w:rsidRPr="00432ABC">
        <w:rPr>
          <w:rFonts w:ascii="Verdana" w:hAnsi="Verdana"/>
          <w:sz w:val="16"/>
          <w:szCs w:val="16"/>
        </w:rPr>
        <w:t xml:space="preserve">(expediente de prueba, </w:t>
      </w:r>
      <w:r>
        <w:rPr>
          <w:rFonts w:ascii="Verdana" w:hAnsi="Verdana"/>
          <w:sz w:val="16"/>
          <w:szCs w:val="16"/>
        </w:rPr>
        <w:t>e</w:t>
      </w:r>
      <w:r w:rsidRPr="00432ABC">
        <w:rPr>
          <w:rFonts w:ascii="Verdana" w:hAnsi="Verdana"/>
          <w:sz w:val="16"/>
          <w:szCs w:val="16"/>
        </w:rPr>
        <w:t>xpediente penal, f. 13847).</w:t>
      </w:r>
    </w:p>
  </w:footnote>
  <w:footnote w:id="279">
    <w:p w14:paraId="64AA6245" w14:textId="36630996" w:rsidR="00146958" w:rsidRPr="00432ABC" w:rsidRDefault="00146958">
      <w:pPr>
        <w:pStyle w:val="FootnoteText"/>
        <w:jc w:val="both"/>
        <w:rPr>
          <w:rFonts w:ascii="Verdana" w:hAnsi="Verdana"/>
          <w:sz w:val="16"/>
          <w:szCs w:val="16"/>
        </w:rPr>
      </w:pPr>
      <w:r w:rsidRPr="00432ABC">
        <w:rPr>
          <w:rStyle w:val="FootnoteReference"/>
          <w:rFonts w:ascii="Verdana" w:hAnsi="Verdana"/>
          <w:sz w:val="16"/>
          <w:szCs w:val="16"/>
        </w:rPr>
        <w:footnoteRef/>
      </w:r>
      <w:r w:rsidRPr="00432ABC">
        <w:rPr>
          <w:rFonts w:ascii="Verdana" w:hAnsi="Verdana"/>
          <w:sz w:val="16"/>
          <w:szCs w:val="16"/>
        </w:rPr>
        <w:t xml:space="preserve"> </w:t>
      </w:r>
      <w:r w:rsidRPr="00432ABC">
        <w:rPr>
          <w:rFonts w:ascii="Verdana" w:hAnsi="Verdana"/>
          <w:sz w:val="16"/>
          <w:szCs w:val="16"/>
        </w:rPr>
        <w:tab/>
      </w:r>
      <w:r w:rsidRPr="00CD5C54">
        <w:rPr>
          <w:rFonts w:ascii="Verdana" w:hAnsi="Verdana"/>
          <w:i/>
          <w:sz w:val="16"/>
          <w:szCs w:val="16"/>
        </w:rPr>
        <w:t>Cfr.</w:t>
      </w:r>
      <w:r w:rsidRPr="002C462C">
        <w:rPr>
          <w:rFonts w:ascii="Verdana" w:hAnsi="Verdana"/>
          <w:sz w:val="16"/>
          <w:szCs w:val="16"/>
        </w:rPr>
        <w:t xml:space="preserve"> Declaración de </w:t>
      </w:r>
      <w:r w:rsidRPr="00432ABC">
        <w:rPr>
          <w:rFonts w:ascii="Verdana" w:hAnsi="Verdana"/>
          <w:sz w:val="16"/>
          <w:szCs w:val="16"/>
          <w:lang w:val="es-AR"/>
        </w:rPr>
        <w:t xml:space="preserve">Felipe Morales Avitia </w:t>
      </w:r>
      <w:r w:rsidRPr="00432ABC">
        <w:rPr>
          <w:rFonts w:ascii="Verdana" w:hAnsi="Verdana"/>
          <w:sz w:val="16"/>
          <w:szCs w:val="16"/>
        </w:rPr>
        <w:t xml:space="preserve">(expediente de prueba, </w:t>
      </w:r>
      <w:r>
        <w:rPr>
          <w:rFonts w:ascii="Verdana" w:hAnsi="Verdana"/>
          <w:sz w:val="16"/>
          <w:szCs w:val="16"/>
        </w:rPr>
        <w:t>e</w:t>
      </w:r>
      <w:r w:rsidRPr="00432ABC">
        <w:rPr>
          <w:rFonts w:ascii="Verdana" w:hAnsi="Verdana"/>
          <w:sz w:val="16"/>
          <w:szCs w:val="16"/>
        </w:rPr>
        <w:t xml:space="preserve">xpediente penal, ff. 13863 a 13866), </w:t>
      </w:r>
      <w:r w:rsidRPr="00432ABC">
        <w:rPr>
          <w:rFonts w:ascii="Verdana" w:hAnsi="Verdana"/>
          <w:sz w:val="16"/>
          <w:szCs w:val="16"/>
          <w:lang w:val="es-AR"/>
        </w:rPr>
        <w:t xml:space="preserve">y </w:t>
      </w:r>
      <w:r>
        <w:rPr>
          <w:rFonts w:ascii="Verdana" w:hAnsi="Verdana"/>
          <w:sz w:val="16"/>
          <w:szCs w:val="16"/>
        </w:rPr>
        <w:t>d</w:t>
      </w:r>
      <w:r w:rsidRPr="00432ABC">
        <w:rPr>
          <w:rFonts w:ascii="Verdana" w:hAnsi="Verdana"/>
          <w:sz w:val="16"/>
          <w:szCs w:val="16"/>
        </w:rPr>
        <w:t xml:space="preserve">eclaración de </w:t>
      </w:r>
      <w:r w:rsidRPr="00432ABC">
        <w:rPr>
          <w:rFonts w:ascii="Verdana" w:hAnsi="Verdana"/>
          <w:sz w:val="16"/>
          <w:szCs w:val="16"/>
          <w:lang w:val="es-AR"/>
        </w:rPr>
        <w:t xml:space="preserve">Emmanuel Peralta Robles </w:t>
      </w:r>
      <w:r w:rsidRPr="00432ABC">
        <w:rPr>
          <w:rFonts w:ascii="Verdana" w:hAnsi="Verdana"/>
          <w:sz w:val="16"/>
          <w:szCs w:val="16"/>
        </w:rPr>
        <w:t xml:space="preserve">(expediente de prueba, </w:t>
      </w:r>
      <w:r>
        <w:rPr>
          <w:rFonts w:ascii="Verdana" w:hAnsi="Verdana"/>
          <w:sz w:val="16"/>
          <w:szCs w:val="16"/>
        </w:rPr>
        <w:t>e</w:t>
      </w:r>
      <w:r w:rsidRPr="00432ABC">
        <w:rPr>
          <w:rFonts w:ascii="Verdana" w:hAnsi="Verdana"/>
          <w:sz w:val="16"/>
          <w:szCs w:val="16"/>
        </w:rPr>
        <w:t>xpediente penal, ff. 13868 a 13871), ambas</w:t>
      </w:r>
      <w:r w:rsidRPr="00432ABC">
        <w:rPr>
          <w:rFonts w:ascii="Verdana" w:hAnsi="Verdana"/>
          <w:sz w:val="16"/>
          <w:szCs w:val="16"/>
          <w:lang w:val="es-AR"/>
        </w:rPr>
        <w:t xml:space="preserve"> rendidas el 26 de agosto de 2010 ante AMPF </w:t>
      </w:r>
      <w:r w:rsidRPr="00432ABC">
        <w:rPr>
          <w:rFonts w:ascii="Verdana" w:hAnsi="Verdana"/>
          <w:sz w:val="16"/>
          <w:szCs w:val="16"/>
        </w:rPr>
        <w:t xml:space="preserve">adscrita a la FEVIMTRA – PGR. </w:t>
      </w:r>
      <w:r w:rsidRPr="00432ABC">
        <w:rPr>
          <w:rFonts w:ascii="Verdana" w:hAnsi="Verdana"/>
          <w:sz w:val="16"/>
          <w:szCs w:val="16"/>
          <w:lang w:val="es-AR"/>
        </w:rPr>
        <w:t>En su comparecencia de 26 de agosto de 2010, los señores Felipe Morales Avitia y Emmanuel Peralta Robles declararon que la camioneta que conducía Nitza Paola Alvarado el día de su desaparición fue asegurada por policías ministeriales procedentes de Nuevo Casas Grandes sin participación de elementos militares</w:t>
      </w:r>
      <w:r w:rsidRPr="00432ABC">
        <w:rPr>
          <w:rFonts w:ascii="Verdana" w:hAnsi="Verdana"/>
          <w:i/>
          <w:sz w:val="16"/>
          <w:szCs w:val="16"/>
        </w:rPr>
        <w:t xml:space="preserve">. </w:t>
      </w:r>
    </w:p>
  </w:footnote>
  <w:footnote w:id="280">
    <w:p w14:paraId="64AA6246" w14:textId="3C35F5EA" w:rsidR="00146958" w:rsidRPr="00432ABC" w:rsidRDefault="00146958">
      <w:pPr>
        <w:pStyle w:val="FootnoteText"/>
        <w:jc w:val="both"/>
        <w:rPr>
          <w:rFonts w:ascii="Verdana" w:hAnsi="Verdana"/>
          <w:sz w:val="16"/>
          <w:szCs w:val="16"/>
        </w:rPr>
      </w:pPr>
      <w:r w:rsidRPr="00432ABC">
        <w:rPr>
          <w:rStyle w:val="FootnoteReference"/>
          <w:rFonts w:ascii="Verdana" w:hAnsi="Verdana"/>
          <w:sz w:val="16"/>
          <w:szCs w:val="16"/>
        </w:rPr>
        <w:footnoteRef/>
      </w:r>
      <w:r w:rsidRPr="00432ABC">
        <w:rPr>
          <w:rFonts w:ascii="Verdana" w:hAnsi="Verdana"/>
          <w:sz w:val="16"/>
          <w:szCs w:val="16"/>
        </w:rPr>
        <w:t xml:space="preserve"> </w:t>
      </w:r>
      <w:r w:rsidRPr="00432ABC">
        <w:rPr>
          <w:rFonts w:ascii="Verdana" w:hAnsi="Verdana"/>
          <w:sz w:val="16"/>
          <w:szCs w:val="16"/>
        </w:rPr>
        <w:tab/>
      </w:r>
      <w:r w:rsidRPr="00CD5C54">
        <w:rPr>
          <w:rFonts w:ascii="Verdana" w:hAnsi="Verdana"/>
          <w:i/>
          <w:sz w:val="16"/>
          <w:szCs w:val="16"/>
        </w:rPr>
        <w:t>Cfr.</w:t>
      </w:r>
      <w:r w:rsidRPr="002C462C">
        <w:rPr>
          <w:rFonts w:ascii="Verdana" w:hAnsi="Verdana"/>
          <w:sz w:val="16"/>
          <w:szCs w:val="16"/>
        </w:rPr>
        <w:t xml:space="preserve"> Declaración de </w:t>
      </w:r>
      <w:r w:rsidRPr="00432ABC">
        <w:rPr>
          <w:rFonts w:ascii="Verdana" w:hAnsi="Verdana"/>
          <w:sz w:val="16"/>
          <w:szCs w:val="16"/>
          <w:lang w:val="es-AR"/>
        </w:rPr>
        <w:t xml:space="preserve">Aarón Enríquez Duarte rendida el 25 de octubre de 2010 ante la </w:t>
      </w:r>
      <w:r w:rsidRPr="00432ABC">
        <w:rPr>
          <w:rFonts w:ascii="Verdana" w:hAnsi="Verdana"/>
          <w:sz w:val="16"/>
          <w:szCs w:val="16"/>
        </w:rPr>
        <w:t xml:space="preserve">AMPF de la FEVIMTRA – PGR (expediente de prueba, </w:t>
      </w:r>
      <w:r>
        <w:rPr>
          <w:rFonts w:ascii="Verdana" w:hAnsi="Verdana"/>
          <w:sz w:val="16"/>
          <w:szCs w:val="16"/>
        </w:rPr>
        <w:t>e</w:t>
      </w:r>
      <w:r w:rsidRPr="00432ABC">
        <w:rPr>
          <w:rFonts w:ascii="Verdana" w:hAnsi="Verdana"/>
          <w:sz w:val="16"/>
          <w:szCs w:val="16"/>
        </w:rPr>
        <w:t xml:space="preserve">xpediente penal, f. 13972). </w:t>
      </w:r>
      <w:r w:rsidRPr="00432ABC">
        <w:rPr>
          <w:rFonts w:ascii="Verdana" w:hAnsi="Verdana"/>
          <w:sz w:val="16"/>
          <w:szCs w:val="16"/>
          <w:lang w:val="es-AR"/>
        </w:rPr>
        <w:t>En su comparecencia, Aarón Enríquez Duarte señaló: “[L]os familiares [de las tres personas desaparecidas] mencionaron que los sujetos o personas que [se los] habían llevado […] iban vestidos de militar por lo cual les dije que si los soldados eran los que se los habían llevado podrían ir a buscarlos o pedir información en el treinta y cinco batallón militar que se ubica en la ciudad de Nuevos Casas Grandes ya que ahí corresponde el Distrito de Galeana a ese batallón militar pero no les aseguré que estuvieran ahí […]”.</w:t>
      </w:r>
    </w:p>
  </w:footnote>
  <w:footnote w:id="281">
    <w:p w14:paraId="64AA6247" w14:textId="00F42579" w:rsidR="00146958" w:rsidRPr="00432ABC" w:rsidRDefault="00146958">
      <w:pPr>
        <w:pStyle w:val="FootnoteText"/>
        <w:jc w:val="both"/>
        <w:rPr>
          <w:rFonts w:ascii="Verdana" w:hAnsi="Verdana"/>
          <w:sz w:val="16"/>
          <w:szCs w:val="16"/>
        </w:rPr>
      </w:pPr>
      <w:r w:rsidRPr="00432ABC">
        <w:rPr>
          <w:rStyle w:val="FootnoteReference"/>
          <w:rFonts w:ascii="Verdana" w:hAnsi="Verdana"/>
          <w:sz w:val="16"/>
          <w:szCs w:val="16"/>
        </w:rPr>
        <w:footnoteRef/>
      </w:r>
      <w:r w:rsidRPr="00432ABC">
        <w:rPr>
          <w:rFonts w:ascii="Verdana" w:hAnsi="Verdana"/>
          <w:sz w:val="16"/>
          <w:szCs w:val="16"/>
        </w:rPr>
        <w:t xml:space="preserve"> </w:t>
      </w:r>
      <w:r w:rsidRPr="00432ABC">
        <w:rPr>
          <w:rFonts w:ascii="Verdana" w:hAnsi="Verdana"/>
          <w:sz w:val="16"/>
          <w:szCs w:val="16"/>
        </w:rPr>
        <w:tab/>
      </w:r>
      <w:r w:rsidRPr="00CD5C54">
        <w:rPr>
          <w:rFonts w:ascii="Verdana" w:hAnsi="Verdana"/>
          <w:i/>
          <w:sz w:val="16"/>
          <w:szCs w:val="16"/>
        </w:rPr>
        <w:t>Cfr.</w:t>
      </w:r>
      <w:r w:rsidRPr="002C462C">
        <w:rPr>
          <w:rFonts w:ascii="Verdana" w:hAnsi="Verdana"/>
          <w:sz w:val="16"/>
          <w:szCs w:val="16"/>
        </w:rPr>
        <w:t xml:space="preserve"> Informe Policial  de la División de Investigación de la Policía Federal de 4 de enero de 2011 (expediente de prueba, </w:t>
      </w:r>
      <w:r>
        <w:rPr>
          <w:rFonts w:ascii="Verdana" w:hAnsi="Verdana"/>
          <w:sz w:val="16"/>
          <w:szCs w:val="16"/>
        </w:rPr>
        <w:t>e</w:t>
      </w:r>
      <w:r w:rsidRPr="002C462C">
        <w:rPr>
          <w:rFonts w:ascii="Verdana" w:hAnsi="Verdana"/>
          <w:sz w:val="16"/>
          <w:szCs w:val="16"/>
        </w:rPr>
        <w:t xml:space="preserve">xpediente penal, </w:t>
      </w:r>
      <w:r w:rsidRPr="00432ABC">
        <w:rPr>
          <w:rFonts w:ascii="Verdana" w:hAnsi="Verdana"/>
          <w:sz w:val="16"/>
          <w:szCs w:val="16"/>
        </w:rPr>
        <w:t>ff. 14087 a 14088).</w:t>
      </w:r>
    </w:p>
  </w:footnote>
  <w:footnote w:id="282">
    <w:p w14:paraId="64AA6248" w14:textId="00BFBEB1" w:rsidR="00146958" w:rsidRPr="00432ABC" w:rsidRDefault="00146958">
      <w:pPr>
        <w:pStyle w:val="FootnoteText"/>
        <w:jc w:val="both"/>
        <w:rPr>
          <w:rFonts w:ascii="Verdana" w:hAnsi="Verdana"/>
          <w:sz w:val="16"/>
          <w:szCs w:val="16"/>
        </w:rPr>
      </w:pPr>
      <w:r w:rsidRPr="00432ABC">
        <w:rPr>
          <w:rStyle w:val="FootnoteReference"/>
          <w:rFonts w:ascii="Verdana" w:hAnsi="Verdana"/>
          <w:sz w:val="16"/>
          <w:szCs w:val="16"/>
        </w:rPr>
        <w:footnoteRef/>
      </w:r>
      <w:r w:rsidRPr="00432ABC">
        <w:rPr>
          <w:rFonts w:ascii="Verdana" w:hAnsi="Verdana"/>
          <w:sz w:val="16"/>
          <w:szCs w:val="16"/>
        </w:rPr>
        <w:t xml:space="preserve">  </w:t>
      </w:r>
      <w:r w:rsidRPr="00432ABC">
        <w:rPr>
          <w:rFonts w:ascii="Verdana" w:hAnsi="Verdana"/>
          <w:sz w:val="16"/>
          <w:szCs w:val="16"/>
        </w:rPr>
        <w:tab/>
      </w:r>
      <w:r w:rsidRPr="00CD5C54">
        <w:rPr>
          <w:rFonts w:ascii="Verdana" w:hAnsi="Verdana"/>
          <w:i/>
          <w:sz w:val="16"/>
          <w:szCs w:val="16"/>
        </w:rPr>
        <w:t>Cfr.</w:t>
      </w:r>
      <w:r w:rsidRPr="002C462C">
        <w:rPr>
          <w:rFonts w:ascii="Verdana" w:hAnsi="Verdana"/>
          <w:sz w:val="16"/>
          <w:szCs w:val="16"/>
        </w:rPr>
        <w:t xml:space="preserve"> Acuerdo de diligencias de 13 de junio de 2011 (expediente de prueba, </w:t>
      </w:r>
      <w:r>
        <w:rPr>
          <w:rFonts w:ascii="Verdana" w:hAnsi="Verdana"/>
          <w:sz w:val="16"/>
          <w:szCs w:val="16"/>
        </w:rPr>
        <w:t>e</w:t>
      </w:r>
      <w:r w:rsidRPr="002C462C">
        <w:rPr>
          <w:rFonts w:ascii="Verdana" w:hAnsi="Verdana"/>
          <w:sz w:val="16"/>
          <w:szCs w:val="16"/>
        </w:rPr>
        <w:t>xpediente penal, ff. 14688 a 14689); Dictamen No. ilegible de 28 de junio de 2011 suscrito por el encargado de la Perito Estomatóloga Foren</w:t>
      </w:r>
      <w:r w:rsidRPr="00432ABC">
        <w:rPr>
          <w:rFonts w:ascii="Verdana" w:hAnsi="Verdana"/>
          <w:sz w:val="16"/>
          <w:szCs w:val="16"/>
        </w:rPr>
        <w:t xml:space="preserve">se encargada del Área de Personas Desaparecidas y Control de Cadáveres No Identificados de la Procuraduría General de Justicia [PGJ] de Puebla (expediente de prueba, </w:t>
      </w:r>
      <w:r>
        <w:rPr>
          <w:rFonts w:ascii="Verdana" w:hAnsi="Verdana"/>
          <w:sz w:val="16"/>
          <w:szCs w:val="16"/>
        </w:rPr>
        <w:t>e</w:t>
      </w:r>
      <w:r w:rsidRPr="00432ABC">
        <w:rPr>
          <w:rFonts w:ascii="Verdana" w:hAnsi="Verdana"/>
          <w:sz w:val="16"/>
          <w:szCs w:val="16"/>
        </w:rPr>
        <w:t xml:space="preserve">xpediente penal, f. 14896); </w:t>
      </w:r>
      <w:r>
        <w:rPr>
          <w:rFonts w:ascii="Verdana" w:hAnsi="Verdana"/>
          <w:sz w:val="16"/>
          <w:szCs w:val="16"/>
        </w:rPr>
        <w:t>O</w:t>
      </w:r>
      <w:r w:rsidRPr="00432ABC">
        <w:rPr>
          <w:rFonts w:ascii="Verdana" w:hAnsi="Verdana"/>
          <w:sz w:val="16"/>
          <w:szCs w:val="16"/>
        </w:rPr>
        <w:t xml:space="preserve">ficio No. MF-O/9338/0925/2011 de 29 de junio de 2011 suscrito por el Director General de Servicios Periciales de la PGJ - Michoacán (expediente de prueba, </w:t>
      </w:r>
      <w:r>
        <w:rPr>
          <w:rFonts w:ascii="Verdana" w:hAnsi="Verdana"/>
          <w:sz w:val="16"/>
          <w:szCs w:val="16"/>
        </w:rPr>
        <w:t>e</w:t>
      </w:r>
      <w:r w:rsidRPr="00432ABC">
        <w:rPr>
          <w:rFonts w:ascii="Verdana" w:hAnsi="Verdana"/>
          <w:sz w:val="16"/>
          <w:szCs w:val="16"/>
        </w:rPr>
        <w:t xml:space="preserve">xpediente penal, f. 14898 a 14900); </w:t>
      </w:r>
      <w:r>
        <w:rPr>
          <w:rFonts w:ascii="Verdana" w:hAnsi="Verdana"/>
          <w:sz w:val="16"/>
          <w:szCs w:val="16"/>
        </w:rPr>
        <w:t>O</w:t>
      </w:r>
      <w:r w:rsidRPr="00432ABC">
        <w:rPr>
          <w:rFonts w:ascii="Verdana" w:hAnsi="Verdana"/>
          <w:sz w:val="16"/>
          <w:szCs w:val="16"/>
        </w:rPr>
        <w:t xml:space="preserve">ficio No. 226/2011 de 24 de junio de 2011 del Director General de Servicios Periciales de la PGJ - Colima (expediente de prueba, </w:t>
      </w:r>
      <w:r>
        <w:rPr>
          <w:rFonts w:ascii="Verdana" w:hAnsi="Verdana"/>
          <w:sz w:val="16"/>
          <w:szCs w:val="16"/>
        </w:rPr>
        <w:t>e</w:t>
      </w:r>
      <w:r w:rsidRPr="00432ABC">
        <w:rPr>
          <w:rFonts w:ascii="Verdana" w:hAnsi="Verdana"/>
          <w:sz w:val="16"/>
          <w:szCs w:val="16"/>
        </w:rPr>
        <w:t xml:space="preserve">xpediente penal, f. 14904); </w:t>
      </w:r>
      <w:r>
        <w:rPr>
          <w:rFonts w:ascii="Verdana" w:hAnsi="Verdana"/>
          <w:sz w:val="16"/>
          <w:szCs w:val="16"/>
        </w:rPr>
        <w:t>O</w:t>
      </w:r>
      <w:r w:rsidRPr="00432ABC">
        <w:rPr>
          <w:rFonts w:ascii="Verdana" w:hAnsi="Verdana"/>
          <w:sz w:val="16"/>
          <w:szCs w:val="16"/>
        </w:rPr>
        <w:t xml:space="preserve">ficio FEVIMTRA-N/DAP/0190/2011 de 13 de junio de 2011 dirigido al Director de Servicios Periciales de la PGJ - Baja California Sur (expediente de prueba, </w:t>
      </w:r>
      <w:r>
        <w:rPr>
          <w:rFonts w:ascii="Verdana" w:hAnsi="Verdana"/>
          <w:sz w:val="16"/>
          <w:szCs w:val="16"/>
        </w:rPr>
        <w:t>e</w:t>
      </w:r>
      <w:r w:rsidRPr="00432ABC">
        <w:rPr>
          <w:rFonts w:ascii="Verdana" w:hAnsi="Verdana"/>
          <w:sz w:val="16"/>
          <w:szCs w:val="16"/>
        </w:rPr>
        <w:t xml:space="preserve">xpediente penal, f. 14906 a 14907); </w:t>
      </w:r>
      <w:r>
        <w:rPr>
          <w:rFonts w:ascii="Verdana" w:hAnsi="Verdana"/>
          <w:sz w:val="16"/>
          <w:szCs w:val="16"/>
        </w:rPr>
        <w:t>O</w:t>
      </w:r>
      <w:r w:rsidRPr="00432ABC">
        <w:rPr>
          <w:rFonts w:ascii="Verdana" w:hAnsi="Verdana"/>
          <w:sz w:val="16"/>
          <w:szCs w:val="16"/>
        </w:rPr>
        <w:t xml:space="preserve">ficio SEMEFO/220/2011 de 27 de junio de 2011 suscrito el Encargado del Servicio Médico Forense de la PGJ - Baja California Sur (expediente de prueba, </w:t>
      </w:r>
      <w:r>
        <w:rPr>
          <w:rFonts w:ascii="Verdana" w:hAnsi="Verdana"/>
          <w:sz w:val="16"/>
          <w:szCs w:val="16"/>
        </w:rPr>
        <w:t>e</w:t>
      </w:r>
      <w:r w:rsidRPr="00432ABC">
        <w:rPr>
          <w:rFonts w:ascii="Verdana" w:hAnsi="Verdana"/>
          <w:sz w:val="16"/>
          <w:szCs w:val="16"/>
        </w:rPr>
        <w:t xml:space="preserve">xpediente penal, f. 14908); </w:t>
      </w:r>
      <w:r>
        <w:rPr>
          <w:rFonts w:ascii="Verdana" w:hAnsi="Verdana"/>
          <w:sz w:val="16"/>
          <w:szCs w:val="16"/>
        </w:rPr>
        <w:t>O</w:t>
      </w:r>
      <w:r w:rsidRPr="00432ABC">
        <w:rPr>
          <w:rFonts w:ascii="Verdana" w:hAnsi="Verdana"/>
          <w:sz w:val="16"/>
          <w:szCs w:val="16"/>
        </w:rPr>
        <w:t xml:space="preserve">ficio FEVIMTRA-N/DAP/0202/2011 de 13 de junio de 2011 dirigido al Coordinador de Servicios Periciales de la PGJ - Guanajuato (expediente de prueba, </w:t>
      </w:r>
      <w:r>
        <w:rPr>
          <w:rFonts w:ascii="Verdana" w:hAnsi="Verdana"/>
          <w:sz w:val="16"/>
          <w:szCs w:val="16"/>
        </w:rPr>
        <w:t>e</w:t>
      </w:r>
      <w:r w:rsidRPr="00432ABC">
        <w:rPr>
          <w:rFonts w:ascii="Verdana" w:hAnsi="Verdana"/>
          <w:sz w:val="16"/>
          <w:szCs w:val="16"/>
        </w:rPr>
        <w:t xml:space="preserve">xpediente penal, </w:t>
      </w:r>
      <w:r>
        <w:rPr>
          <w:rFonts w:ascii="Verdana" w:hAnsi="Verdana"/>
          <w:sz w:val="16"/>
          <w:szCs w:val="16"/>
        </w:rPr>
        <w:t>f</w:t>
      </w:r>
      <w:r w:rsidRPr="00432ABC">
        <w:rPr>
          <w:rFonts w:ascii="Verdana" w:hAnsi="Verdana"/>
          <w:sz w:val="16"/>
          <w:szCs w:val="16"/>
        </w:rPr>
        <w:t>f. 15856 a 15857).</w:t>
      </w:r>
    </w:p>
  </w:footnote>
  <w:footnote w:id="283">
    <w:p w14:paraId="64AA6249" w14:textId="06444D73" w:rsidR="00146958" w:rsidRPr="00432ABC" w:rsidRDefault="00146958">
      <w:pPr>
        <w:pStyle w:val="FootnoteText"/>
        <w:jc w:val="both"/>
        <w:rPr>
          <w:rFonts w:ascii="Verdana" w:hAnsi="Verdana"/>
          <w:sz w:val="16"/>
          <w:szCs w:val="16"/>
        </w:rPr>
      </w:pPr>
      <w:r w:rsidRPr="00432ABC">
        <w:rPr>
          <w:rStyle w:val="FootnoteReference"/>
          <w:rFonts w:ascii="Verdana" w:hAnsi="Verdana"/>
          <w:sz w:val="16"/>
          <w:szCs w:val="16"/>
        </w:rPr>
        <w:footnoteRef/>
      </w:r>
      <w:r w:rsidRPr="00432ABC">
        <w:rPr>
          <w:rFonts w:ascii="Verdana" w:hAnsi="Verdana"/>
          <w:sz w:val="16"/>
          <w:szCs w:val="16"/>
        </w:rPr>
        <w:t xml:space="preserve"> </w:t>
      </w:r>
      <w:r w:rsidRPr="00432ABC">
        <w:rPr>
          <w:rFonts w:ascii="Verdana" w:hAnsi="Verdana"/>
          <w:sz w:val="16"/>
          <w:szCs w:val="16"/>
        </w:rPr>
        <w:tab/>
      </w:r>
      <w:r w:rsidRPr="00CD5C54">
        <w:rPr>
          <w:rFonts w:ascii="Verdana" w:hAnsi="Verdana"/>
          <w:i/>
          <w:sz w:val="16"/>
          <w:szCs w:val="16"/>
        </w:rPr>
        <w:t>Cfr.</w:t>
      </w:r>
      <w:r w:rsidRPr="002C462C">
        <w:rPr>
          <w:rFonts w:ascii="Verdana" w:hAnsi="Verdana"/>
          <w:sz w:val="16"/>
          <w:szCs w:val="16"/>
        </w:rPr>
        <w:t xml:space="preserve"> Acta de Inspección Ministerial de 9 de agosto de 2011 (expediente de prueba, </w:t>
      </w:r>
      <w:r>
        <w:rPr>
          <w:rFonts w:ascii="Verdana" w:hAnsi="Verdana"/>
          <w:sz w:val="16"/>
          <w:szCs w:val="16"/>
        </w:rPr>
        <w:t>e</w:t>
      </w:r>
      <w:r w:rsidRPr="002C462C">
        <w:rPr>
          <w:rFonts w:ascii="Verdana" w:hAnsi="Verdana"/>
          <w:sz w:val="16"/>
          <w:szCs w:val="16"/>
        </w:rPr>
        <w:t xml:space="preserve">xpediente penal, </w:t>
      </w:r>
      <w:r w:rsidRPr="00432ABC">
        <w:rPr>
          <w:rFonts w:ascii="Verdana" w:hAnsi="Verdana"/>
          <w:sz w:val="16"/>
          <w:szCs w:val="16"/>
        </w:rPr>
        <w:t xml:space="preserve">ff. </w:t>
      </w:r>
      <w:r>
        <w:rPr>
          <w:rFonts w:ascii="Verdana" w:hAnsi="Verdana"/>
          <w:sz w:val="16"/>
          <w:szCs w:val="16"/>
        </w:rPr>
        <w:t>15209</w:t>
      </w:r>
      <w:r w:rsidRPr="00432ABC">
        <w:rPr>
          <w:rFonts w:ascii="Verdana" w:hAnsi="Verdana"/>
          <w:sz w:val="16"/>
          <w:szCs w:val="16"/>
        </w:rPr>
        <w:t xml:space="preserve"> a 1</w:t>
      </w:r>
      <w:r>
        <w:rPr>
          <w:rFonts w:ascii="Verdana" w:hAnsi="Verdana"/>
          <w:sz w:val="16"/>
          <w:szCs w:val="16"/>
        </w:rPr>
        <w:t>5223</w:t>
      </w:r>
      <w:r w:rsidRPr="00432ABC">
        <w:rPr>
          <w:rFonts w:ascii="Verdana" w:hAnsi="Verdana"/>
          <w:sz w:val="16"/>
          <w:szCs w:val="16"/>
        </w:rPr>
        <w:t>).</w:t>
      </w:r>
    </w:p>
  </w:footnote>
  <w:footnote w:id="284">
    <w:p w14:paraId="64AA624A" w14:textId="3359C6BC" w:rsidR="00146958" w:rsidRPr="00432ABC" w:rsidRDefault="00146958">
      <w:pPr>
        <w:pStyle w:val="FootnoteText"/>
        <w:jc w:val="both"/>
        <w:rPr>
          <w:rFonts w:ascii="Verdana" w:hAnsi="Verdana"/>
          <w:sz w:val="16"/>
          <w:szCs w:val="16"/>
        </w:rPr>
      </w:pPr>
      <w:r w:rsidRPr="00432ABC">
        <w:rPr>
          <w:rStyle w:val="FootnoteReference"/>
          <w:rFonts w:ascii="Verdana" w:hAnsi="Verdana"/>
          <w:sz w:val="16"/>
          <w:szCs w:val="16"/>
        </w:rPr>
        <w:footnoteRef/>
      </w:r>
      <w:r w:rsidRPr="00432ABC">
        <w:rPr>
          <w:rFonts w:ascii="Verdana" w:hAnsi="Verdana"/>
          <w:sz w:val="16"/>
          <w:szCs w:val="16"/>
        </w:rPr>
        <w:t xml:space="preserve"> </w:t>
      </w:r>
      <w:r w:rsidRPr="00432ABC">
        <w:rPr>
          <w:rFonts w:ascii="Verdana" w:hAnsi="Verdana"/>
          <w:sz w:val="16"/>
          <w:szCs w:val="16"/>
        </w:rPr>
        <w:tab/>
      </w:r>
      <w:r w:rsidRPr="00CD5C54">
        <w:rPr>
          <w:rFonts w:ascii="Verdana" w:hAnsi="Verdana"/>
          <w:i/>
          <w:sz w:val="16"/>
          <w:szCs w:val="16"/>
        </w:rPr>
        <w:t>Cfr.</w:t>
      </w:r>
      <w:r w:rsidRPr="002C462C">
        <w:rPr>
          <w:rFonts w:ascii="Verdana" w:hAnsi="Verdana"/>
          <w:sz w:val="16"/>
          <w:szCs w:val="16"/>
        </w:rPr>
        <w:t xml:space="preserve"> Dictamen pericial folio CESP/CHIH/5486/2011 en materia de Criminalística de Campo de 16 de agosto de 2011 (expediente de prueba, </w:t>
      </w:r>
      <w:r>
        <w:rPr>
          <w:rFonts w:ascii="Verdana" w:hAnsi="Verdana"/>
          <w:sz w:val="16"/>
          <w:szCs w:val="16"/>
        </w:rPr>
        <w:t>e</w:t>
      </w:r>
      <w:r w:rsidRPr="002C462C">
        <w:rPr>
          <w:rFonts w:ascii="Verdana" w:hAnsi="Verdana"/>
          <w:sz w:val="16"/>
          <w:szCs w:val="16"/>
        </w:rPr>
        <w:t>xpediente penal, f. 15351); Dictamen pericial folio 68904 en materia de Odontología Fore</w:t>
      </w:r>
      <w:r w:rsidRPr="00432ABC">
        <w:rPr>
          <w:rFonts w:ascii="Verdana" w:hAnsi="Verdana"/>
          <w:sz w:val="16"/>
          <w:szCs w:val="16"/>
        </w:rPr>
        <w:t xml:space="preserve">nse de 26 de agosto de 2011 (expediente de prueba, </w:t>
      </w:r>
      <w:r>
        <w:rPr>
          <w:rFonts w:ascii="Verdana" w:hAnsi="Verdana"/>
          <w:sz w:val="16"/>
          <w:szCs w:val="16"/>
        </w:rPr>
        <w:t>e</w:t>
      </w:r>
      <w:r w:rsidRPr="00432ABC">
        <w:rPr>
          <w:rFonts w:ascii="Verdana" w:hAnsi="Verdana"/>
          <w:sz w:val="16"/>
          <w:szCs w:val="16"/>
        </w:rPr>
        <w:t>xpediente penal, f. 15724). Asimismo, los Dictámenes Periciales en materia de Antropología Forense</w:t>
      </w:r>
      <w:r>
        <w:rPr>
          <w:rFonts w:ascii="Verdana" w:hAnsi="Verdana"/>
          <w:sz w:val="16"/>
          <w:szCs w:val="16"/>
        </w:rPr>
        <w:t xml:space="preserve"> por parte de la FGE-Chihuahua del 5 de septiembre de 2011,</w:t>
      </w:r>
      <w:r w:rsidRPr="00432ABC">
        <w:rPr>
          <w:rFonts w:ascii="Verdana" w:hAnsi="Verdana"/>
          <w:sz w:val="16"/>
          <w:szCs w:val="16"/>
        </w:rPr>
        <w:t xml:space="preserve">Folio 5477/2011 (expediente de prueba, </w:t>
      </w:r>
      <w:r>
        <w:rPr>
          <w:rFonts w:ascii="Verdana" w:hAnsi="Verdana"/>
          <w:sz w:val="16"/>
          <w:szCs w:val="16"/>
        </w:rPr>
        <w:t>e</w:t>
      </w:r>
      <w:r w:rsidRPr="00432ABC">
        <w:rPr>
          <w:rFonts w:ascii="Verdana" w:hAnsi="Verdana"/>
          <w:sz w:val="16"/>
          <w:szCs w:val="16"/>
        </w:rPr>
        <w:t xml:space="preserve">xpediente penal, </w:t>
      </w:r>
      <w:r>
        <w:rPr>
          <w:rFonts w:ascii="Verdana" w:hAnsi="Verdana"/>
          <w:sz w:val="16"/>
          <w:szCs w:val="16"/>
        </w:rPr>
        <w:t>f</w:t>
      </w:r>
      <w:r w:rsidRPr="00432ABC">
        <w:rPr>
          <w:rFonts w:ascii="Verdana" w:hAnsi="Verdana"/>
          <w:sz w:val="16"/>
          <w:szCs w:val="16"/>
        </w:rPr>
        <w:t>f. 157</w:t>
      </w:r>
      <w:r>
        <w:rPr>
          <w:rFonts w:ascii="Verdana" w:hAnsi="Verdana"/>
          <w:sz w:val="16"/>
          <w:szCs w:val="16"/>
        </w:rPr>
        <w:t>32 a 15751</w:t>
      </w:r>
      <w:r w:rsidRPr="00432ABC">
        <w:rPr>
          <w:rFonts w:ascii="Verdana" w:hAnsi="Verdana"/>
          <w:sz w:val="16"/>
          <w:szCs w:val="16"/>
        </w:rPr>
        <w:t xml:space="preserve">); Folio 5478/2011 (expediente de prueba, </w:t>
      </w:r>
      <w:r>
        <w:rPr>
          <w:rFonts w:ascii="Verdana" w:hAnsi="Verdana"/>
          <w:sz w:val="16"/>
          <w:szCs w:val="16"/>
        </w:rPr>
        <w:t>e</w:t>
      </w:r>
      <w:r w:rsidRPr="00432ABC">
        <w:rPr>
          <w:rFonts w:ascii="Verdana" w:hAnsi="Verdana"/>
          <w:sz w:val="16"/>
          <w:szCs w:val="16"/>
        </w:rPr>
        <w:t xml:space="preserve">xpediente penal, </w:t>
      </w:r>
      <w:r>
        <w:rPr>
          <w:rFonts w:ascii="Verdana" w:hAnsi="Verdana"/>
          <w:sz w:val="16"/>
          <w:szCs w:val="16"/>
        </w:rPr>
        <w:t>f</w:t>
      </w:r>
      <w:r w:rsidRPr="00432ABC">
        <w:rPr>
          <w:rFonts w:ascii="Verdana" w:hAnsi="Verdana"/>
          <w:sz w:val="16"/>
          <w:szCs w:val="16"/>
        </w:rPr>
        <w:t>f. 157</w:t>
      </w:r>
      <w:r>
        <w:rPr>
          <w:rFonts w:ascii="Verdana" w:hAnsi="Verdana"/>
          <w:sz w:val="16"/>
          <w:szCs w:val="16"/>
        </w:rPr>
        <w:t>52 a 15771</w:t>
      </w:r>
      <w:r w:rsidRPr="00432ABC">
        <w:rPr>
          <w:rFonts w:ascii="Verdana" w:hAnsi="Verdana"/>
          <w:sz w:val="16"/>
          <w:szCs w:val="16"/>
        </w:rPr>
        <w:t xml:space="preserve">); Folio 5479/2011 (expediente de prueba, </w:t>
      </w:r>
      <w:r>
        <w:rPr>
          <w:rFonts w:ascii="Verdana" w:hAnsi="Verdana"/>
          <w:sz w:val="16"/>
          <w:szCs w:val="16"/>
        </w:rPr>
        <w:t>e</w:t>
      </w:r>
      <w:r w:rsidRPr="00432ABC">
        <w:rPr>
          <w:rFonts w:ascii="Verdana" w:hAnsi="Verdana"/>
          <w:sz w:val="16"/>
          <w:szCs w:val="16"/>
        </w:rPr>
        <w:t xml:space="preserve">xpediente penal, f. 15790), y Folio 5480/2011 (expediente de prueba, </w:t>
      </w:r>
      <w:r>
        <w:rPr>
          <w:rFonts w:ascii="Verdana" w:hAnsi="Verdana"/>
          <w:sz w:val="16"/>
          <w:szCs w:val="16"/>
        </w:rPr>
        <w:t>e</w:t>
      </w:r>
      <w:r w:rsidRPr="00432ABC">
        <w:rPr>
          <w:rFonts w:ascii="Verdana" w:hAnsi="Verdana"/>
          <w:sz w:val="16"/>
          <w:szCs w:val="16"/>
        </w:rPr>
        <w:t xml:space="preserve">xpediente penal, </w:t>
      </w:r>
      <w:r>
        <w:rPr>
          <w:rFonts w:ascii="Verdana" w:hAnsi="Verdana"/>
          <w:sz w:val="16"/>
          <w:szCs w:val="16"/>
        </w:rPr>
        <w:t>f</w:t>
      </w:r>
      <w:r w:rsidRPr="00432ABC">
        <w:rPr>
          <w:rFonts w:ascii="Verdana" w:hAnsi="Verdana"/>
          <w:sz w:val="16"/>
          <w:szCs w:val="16"/>
        </w:rPr>
        <w:t>f. 15</w:t>
      </w:r>
      <w:r>
        <w:rPr>
          <w:rFonts w:ascii="Verdana" w:hAnsi="Verdana"/>
          <w:sz w:val="16"/>
          <w:szCs w:val="16"/>
        </w:rPr>
        <w:t>791 a 15807</w:t>
      </w:r>
      <w:r w:rsidRPr="00432ABC">
        <w:rPr>
          <w:rFonts w:ascii="Verdana" w:hAnsi="Verdana"/>
          <w:sz w:val="16"/>
          <w:szCs w:val="16"/>
        </w:rPr>
        <w:t xml:space="preserve">).    </w:t>
      </w:r>
    </w:p>
  </w:footnote>
  <w:footnote w:id="285">
    <w:p w14:paraId="64AA624B" w14:textId="5E26A6D2" w:rsidR="00146958" w:rsidRPr="002C462C" w:rsidRDefault="00146958">
      <w:pPr>
        <w:pStyle w:val="FootnoteText"/>
        <w:jc w:val="both"/>
        <w:rPr>
          <w:rFonts w:ascii="Verdana" w:hAnsi="Verdana"/>
          <w:sz w:val="16"/>
          <w:szCs w:val="16"/>
        </w:rPr>
      </w:pPr>
      <w:r w:rsidRPr="00432ABC">
        <w:rPr>
          <w:rStyle w:val="FootnoteReference"/>
          <w:rFonts w:ascii="Verdana" w:hAnsi="Verdana"/>
          <w:sz w:val="16"/>
          <w:szCs w:val="16"/>
        </w:rPr>
        <w:footnoteRef/>
      </w:r>
      <w:r w:rsidRPr="00432ABC">
        <w:rPr>
          <w:rFonts w:ascii="Verdana" w:hAnsi="Verdana"/>
          <w:sz w:val="16"/>
          <w:szCs w:val="16"/>
        </w:rPr>
        <w:t xml:space="preserve"> </w:t>
      </w:r>
      <w:r w:rsidRPr="00432ABC">
        <w:rPr>
          <w:rFonts w:ascii="Verdana" w:hAnsi="Verdana"/>
          <w:sz w:val="16"/>
          <w:szCs w:val="16"/>
        </w:rPr>
        <w:tab/>
      </w:r>
      <w:r w:rsidRPr="00CD5C54">
        <w:rPr>
          <w:rFonts w:ascii="Verdana" w:hAnsi="Verdana"/>
          <w:i/>
          <w:sz w:val="16"/>
          <w:szCs w:val="16"/>
        </w:rPr>
        <w:t>Cfr.</w:t>
      </w:r>
      <w:r w:rsidRPr="002C462C">
        <w:rPr>
          <w:rFonts w:ascii="Verdana" w:hAnsi="Verdana"/>
          <w:sz w:val="16"/>
          <w:szCs w:val="16"/>
        </w:rPr>
        <w:t xml:space="preserve"> Oficio</w:t>
      </w:r>
      <w:r>
        <w:rPr>
          <w:rFonts w:ascii="Verdana" w:hAnsi="Verdana"/>
          <w:sz w:val="16"/>
          <w:szCs w:val="16"/>
        </w:rPr>
        <w:t xml:space="preserve"> No.</w:t>
      </w:r>
      <w:r w:rsidRPr="002C462C">
        <w:rPr>
          <w:rFonts w:ascii="Verdana" w:hAnsi="Verdana"/>
          <w:sz w:val="16"/>
          <w:szCs w:val="16"/>
        </w:rPr>
        <w:t xml:space="preserve"> CNDH/DGAJ/1096/2011 de 8 de septiembre de 2011 del apoderado legal de la CNDH, dirigido a la </w:t>
      </w:r>
      <w:r>
        <w:rPr>
          <w:rFonts w:ascii="Verdana" w:hAnsi="Verdana"/>
          <w:sz w:val="16"/>
          <w:szCs w:val="16"/>
        </w:rPr>
        <w:t xml:space="preserve">titular de la </w:t>
      </w:r>
      <w:r w:rsidRPr="002C462C">
        <w:rPr>
          <w:rFonts w:ascii="Verdana" w:hAnsi="Verdana"/>
          <w:sz w:val="16"/>
          <w:szCs w:val="16"/>
        </w:rPr>
        <w:t xml:space="preserve">PGR (expediente de prueba, </w:t>
      </w:r>
      <w:r>
        <w:rPr>
          <w:rFonts w:ascii="Verdana" w:hAnsi="Verdana"/>
          <w:sz w:val="16"/>
          <w:szCs w:val="16"/>
        </w:rPr>
        <w:t>e</w:t>
      </w:r>
      <w:r w:rsidRPr="002C462C">
        <w:rPr>
          <w:rFonts w:ascii="Verdana" w:hAnsi="Verdana"/>
          <w:sz w:val="16"/>
          <w:szCs w:val="16"/>
        </w:rPr>
        <w:t xml:space="preserve">xpediente penal, </w:t>
      </w:r>
      <w:r>
        <w:rPr>
          <w:rFonts w:ascii="Verdana" w:hAnsi="Verdana"/>
          <w:sz w:val="16"/>
          <w:szCs w:val="16"/>
        </w:rPr>
        <w:t>f</w:t>
      </w:r>
      <w:r w:rsidRPr="002C462C">
        <w:rPr>
          <w:rFonts w:ascii="Verdana" w:hAnsi="Verdana"/>
          <w:sz w:val="16"/>
          <w:szCs w:val="16"/>
        </w:rPr>
        <w:t xml:space="preserve">f. 15817 a 15848).    </w:t>
      </w:r>
    </w:p>
  </w:footnote>
  <w:footnote w:id="286">
    <w:p w14:paraId="64AA624C" w14:textId="62512934" w:rsidR="00146958" w:rsidRPr="00432ABC" w:rsidRDefault="00146958">
      <w:pPr>
        <w:pStyle w:val="FootnoteText"/>
        <w:jc w:val="both"/>
        <w:rPr>
          <w:rFonts w:ascii="Verdana" w:hAnsi="Verdana"/>
          <w:sz w:val="16"/>
          <w:szCs w:val="16"/>
        </w:rPr>
      </w:pPr>
      <w:r w:rsidRPr="00432ABC">
        <w:rPr>
          <w:rStyle w:val="FootnoteReference"/>
          <w:rFonts w:ascii="Verdana" w:hAnsi="Verdana"/>
          <w:sz w:val="16"/>
          <w:szCs w:val="16"/>
        </w:rPr>
        <w:footnoteRef/>
      </w:r>
      <w:r w:rsidRPr="00432ABC">
        <w:rPr>
          <w:rFonts w:ascii="Verdana" w:hAnsi="Verdana"/>
          <w:sz w:val="16"/>
          <w:szCs w:val="16"/>
        </w:rPr>
        <w:t xml:space="preserve"> </w:t>
      </w:r>
      <w:r w:rsidRPr="00432ABC">
        <w:rPr>
          <w:rFonts w:ascii="Verdana" w:hAnsi="Verdana"/>
          <w:sz w:val="16"/>
          <w:szCs w:val="16"/>
        </w:rPr>
        <w:tab/>
      </w:r>
      <w:r w:rsidRPr="00CD5C54">
        <w:rPr>
          <w:rFonts w:ascii="Verdana" w:hAnsi="Verdana"/>
          <w:i/>
          <w:sz w:val="16"/>
          <w:szCs w:val="16"/>
        </w:rPr>
        <w:t>Cfr.</w:t>
      </w:r>
      <w:r w:rsidRPr="002C462C">
        <w:rPr>
          <w:rFonts w:ascii="Verdana" w:hAnsi="Verdana"/>
          <w:sz w:val="16"/>
          <w:szCs w:val="16"/>
        </w:rPr>
        <w:t xml:space="preserve"> Acuerdo de declinatoria de competencia en razón de materia de</w:t>
      </w:r>
      <w:r w:rsidRPr="00432ABC">
        <w:rPr>
          <w:rFonts w:ascii="Verdana" w:hAnsi="Verdana"/>
          <w:b/>
          <w:sz w:val="16"/>
          <w:szCs w:val="16"/>
        </w:rPr>
        <w:t xml:space="preserve"> </w:t>
      </w:r>
      <w:r w:rsidRPr="00432ABC">
        <w:rPr>
          <w:rFonts w:ascii="Verdana" w:hAnsi="Verdana"/>
          <w:sz w:val="16"/>
          <w:szCs w:val="16"/>
        </w:rPr>
        <w:t xml:space="preserve">30 de septiembre de 2011 (expediente de prueba, </w:t>
      </w:r>
      <w:r>
        <w:rPr>
          <w:rFonts w:ascii="Verdana" w:hAnsi="Verdana"/>
          <w:sz w:val="16"/>
          <w:szCs w:val="16"/>
        </w:rPr>
        <w:t>e</w:t>
      </w:r>
      <w:r w:rsidRPr="00432ABC">
        <w:rPr>
          <w:rFonts w:ascii="Verdana" w:hAnsi="Verdana"/>
          <w:sz w:val="16"/>
          <w:szCs w:val="16"/>
        </w:rPr>
        <w:t>xpediente penal f. 16139).</w:t>
      </w:r>
    </w:p>
  </w:footnote>
  <w:footnote w:id="287">
    <w:p w14:paraId="64AA624D" w14:textId="387CBFE5" w:rsidR="00146958" w:rsidRPr="00432ABC" w:rsidRDefault="00146958">
      <w:pPr>
        <w:pStyle w:val="FootnoteText"/>
        <w:jc w:val="both"/>
        <w:rPr>
          <w:rFonts w:ascii="Verdana" w:hAnsi="Verdana"/>
          <w:sz w:val="16"/>
          <w:szCs w:val="16"/>
        </w:rPr>
      </w:pPr>
      <w:r w:rsidRPr="00432ABC">
        <w:rPr>
          <w:rStyle w:val="FootnoteReference"/>
          <w:rFonts w:ascii="Verdana" w:hAnsi="Verdana"/>
          <w:sz w:val="16"/>
          <w:szCs w:val="16"/>
        </w:rPr>
        <w:footnoteRef/>
      </w:r>
      <w:r w:rsidRPr="00432ABC">
        <w:rPr>
          <w:rFonts w:ascii="Verdana" w:hAnsi="Verdana"/>
          <w:sz w:val="16"/>
          <w:szCs w:val="16"/>
        </w:rPr>
        <w:t xml:space="preserve"> </w:t>
      </w:r>
      <w:r w:rsidRPr="00432ABC">
        <w:rPr>
          <w:rFonts w:ascii="Verdana" w:hAnsi="Verdana"/>
          <w:sz w:val="16"/>
          <w:szCs w:val="16"/>
        </w:rPr>
        <w:tab/>
      </w:r>
      <w:r w:rsidRPr="00CD5C54">
        <w:rPr>
          <w:rFonts w:ascii="Verdana" w:hAnsi="Verdana"/>
          <w:i/>
          <w:sz w:val="16"/>
          <w:szCs w:val="16"/>
        </w:rPr>
        <w:t>Cfr.</w:t>
      </w:r>
      <w:r w:rsidRPr="002C462C">
        <w:rPr>
          <w:rFonts w:ascii="Verdana" w:hAnsi="Verdana"/>
          <w:sz w:val="16"/>
          <w:szCs w:val="16"/>
        </w:rPr>
        <w:t xml:space="preserve"> Acuerdo de declinatoria de competencia de</w:t>
      </w:r>
      <w:r w:rsidRPr="00432ABC">
        <w:rPr>
          <w:rFonts w:ascii="Verdana" w:hAnsi="Verdana"/>
          <w:b/>
          <w:sz w:val="16"/>
          <w:szCs w:val="16"/>
        </w:rPr>
        <w:t xml:space="preserve"> </w:t>
      </w:r>
      <w:r w:rsidRPr="00432ABC">
        <w:rPr>
          <w:rFonts w:ascii="Verdana" w:hAnsi="Verdana"/>
          <w:sz w:val="16"/>
          <w:szCs w:val="16"/>
        </w:rPr>
        <w:t>30 de septiembre de 2011</w:t>
      </w:r>
      <w:r>
        <w:rPr>
          <w:rFonts w:ascii="Verdana" w:hAnsi="Verdana"/>
          <w:sz w:val="16"/>
          <w:szCs w:val="16"/>
        </w:rPr>
        <w:t xml:space="preserve"> (expediente de prueba, </w:t>
      </w:r>
      <w:r w:rsidRPr="00432ABC">
        <w:rPr>
          <w:rFonts w:ascii="Verdana" w:hAnsi="Verdana"/>
          <w:sz w:val="16"/>
          <w:szCs w:val="16"/>
        </w:rPr>
        <w:t>f. 16</w:t>
      </w:r>
      <w:r>
        <w:rPr>
          <w:rFonts w:ascii="Verdana" w:hAnsi="Verdana"/>
          <w:sz w:val="16"/>
          <w:szCs w:val="16"/>
        </w:rPr>
        <w:t>127)</w:t>
      </w:r>
      <w:r w:rsidRPr="00432ABC">
        <w:rPr>
          <w:rFonts w:ascii="Verdana" w:hAnsi="Verdana"/>
          <w:sz w:val="16"/>
          <w:szCs w:val="16"/>
        </w:rPr>
        <w:t xml:space="preserve">. </w:t>
      </w:r>
    </w:p>
  </w:footnote>
  <w:footnote w:id="288">
    <w:p w14:paraId="64AA624E" w14:textId="70569144" w:rsidR="00146958" w:rsidRPr="00432ABC" w:rsidRDefault="00146958">
      <w:pPr>
        <w:pStyle w:val="FootnoteText"/>
        <w:jc w:val="both"/>
        <w:rPr>
          <w:rFonts w:ascii="Verdana" w:hAnsi="Verdana"/>
          <w:sz w:val="16"/>
          <w:szCs w:val="16"/>
        </w:rPr>
      </w:pPr>
      <w:r w:rsidRPr="00432ABC">
        <w:rPr>
          <w:rStyle w:val="FootnoteReference"/>
          <w:rFonts w:ascii="Verdana" w:hAnsi="Verdana"/>
          <w:sz w:val="16"/>
          <w:szCs w:val="16"/>
        </w:rPr>
        <w:footnoteRef/>
      </w:r>
      <w:r w:rsidRPr="00432ABC">
        <w:rPr>
          <w:rFonts w:ascii="Verdana" w:hAnsi="Verdana"/>
          <w:i/>
          <w:sz w:val="16"/>
          <w:szCs w:val="16"/>
        </w:rPr>
        <w:t xml:space="preserve"> </w:t>
      </w:r>
      <w:r w:rsidRPr="00432ABC">
        <w:rPr>
          <w:rFonts w:ascii="Verdana" w:hAnsi="Verdana"/>
          <w:i/>
          <w:sz w:val="16"/>
          <w:szCs w:val="16"/>
        </w:rPr>
        <w:tab/>
      </w:r>
      <w:r w:rsidRPr="00CD5C54">
        <w:rPr>
          <w:rFonts w:ascii="Verdana" w:hAnsi="Verdana"/>
          <w:i/>
          <w:sz w:val="16"/>
          <w:szCs w:val="16"/>
        </w:rPr>
        <w:t>Cfr.</w:t>
      </w:r>
      <w:r w:rsidRPr="002C462C">
        <w:rPr>
          <w:rFonts w:ascii="Verdana" w:hAnsi="Verdana"/>
          <w:sz w:val="16"/>
          <w:szCs w:val="16"/>
        </w:rPr>
        <w:t xml:space="preserve"> Acuerdo de declinatoria de competencia de</w:t>
      </w:r>
      <w:r w:rsidRPr="00432ABC">
        <w:rPr>
          <w:rFonts w:ascii="Verdana" w:hAnsi="Verdana"/>
          <w:b/>
          <w:sz w:val="16"/>
          <w:szCs w:val="16"/>
        </w:rPr>
        <w:t xml:space="preserve"> </w:t>
      </w:r>
      <w:r w:rsidRPr="00432ABC">
        <w:rPr>
          <w:rFonts w:ascii="Verdana" w:hAnsi="Verdana"/>
          <w:sz w:val="16"/>
          <w:szCs w:val="16"/>
        </w:rPr>
        <w:t>30 de septiembre de 2011</w:t>
      </w:r>
      <w:r>
        <w:rPr>
          <w:rFonts w:ascii="Verdana" w:hAnsi="Verdana"/>
          <w:sz w:val="16"/>
          <w:szCs w:val="16"/>
        </w:rPr>
        <w:t xml:space="preserve"> (expediente de prueba,</w:t>
      </w:r>
      <w:r w:rsidRPr="00432ABC">
        <w:rPr>
          <w:rFonts w:ascii="Verdana" w:hAnsi="Verdana"/>
          <w:i/>
          <w:sz w:val="16"/>
          <w:szCs w:val="16"/>
        </w:rPr>
        <w:t xml:space="preserve"> </w:t>
      </w:r>
      <w:r w:rsidRPr="00432ABC">
        <w:rPr>
          <w:rFonts w:ascii="Verdana" w:hAnsi="Verdana"/>
          <w:sz w:val="16"/>
          <w:szCs w:val="16"/>
        </w:rPr>
        <w:t xml:space="preserve">ff. 16118, 16127, 16137 a 16139). </w:t>
      </w:r>
    </w:p>
  </w:footnote>
  <w:footnote w:id="289">
    <w:p w14:paraId="64AA624F" w14:textId="376EADE4" w:rsidR="00146958" w:rsidRPr="00432ABC" w:rsidRDefault="00146958">
      <w:pPr>
        <w:pStyle w:val="FootnoteText"/>
        <w:jc w:val="both"/>
        <w:rPr>
          <w:rFonts w:ascii="Verdana" w:hAnsi="Verdana"/>
          <w:sz w:val="16"/>
          <w:szCs w:val="16"/>
        </w:rPr>
      </w:pPr>
      <w:r w:rsidRPr="00432ABC">
        <w:rPr>
          <w:rStyle w:val="FootnoteReference"/>
          <w:rFonts w:ascii="Verdana" w:hAnsi="Verdana"/>
          <w:sz w:val="16"/>
          <w:szCs w:val="16"/>
        </w:rPr>
        <w:footnoteRef/>
      </w:r>
      <w:r w:rsidRPr="00432ABC">
        <w:rPr>
          <w:rStyle w:val="FootnoteReference"/>
          <w:rFonts w:ascii="Verdana" w:hAnsi="Verdana"/>
          <w:sz w:val="16"/>
          <w:szCs w:val="16"/>
        </w:rPr>
        <w:t xml:space="preserve"> </w:t>
      </w:r>
      <w:r w:rsidRPr="002C462C">
        <w:rPr>
          <w:rFonts w:ascii="Verdana" w:hAnsi="Verdana"/>
          <w:sz w:val="16"/>
          <w:szCs w:val="16"/>
        </w:rPr>
        <w:tab/>
      </w:r>
      <w:r w:rsidRPr="00CD5C54">
        <w:rPr>
          <w:rFonts w:ascii="Verdana" w:hAnsi="Verdana"/>
          <w:i/>
          <w:sz w:val="16"/>
          <w:szCs w:val="16"/>
        </w:rPr>
        <w:t>Cfr.</w:t>
      </w:r>
      <w:r w:rsidRPr="002C462C">
        <w:rPr>
          <w:rFonts w:ascii="Verdana" w:hAnsi="Verdana"/>
          <w:i/>
          <w:sz w:val="16"/>
          <w:szCs w:val="16"/>
        </w:rPr>
        <w:t xml:space="preserve"> </w:t>
      </w:r>
      <w:r w:rsidRPr="00432ABC">
        <w:rPr>
          <w:rFonts w:ascii="Verdana" w:hAnsi="Verdana"/>
          <w:sz w:val="16"/>
          <w:szCs w:val="16"/>
        </w:rPr>
        <w:t xml:space="preserve">Tarjeta informativa de inicio de Averiguación Previa en la </w:t>
      </w:r>
      <w:r w:rsidRPr="00432ABC">
        <w:rPr>
          <w:rFonts w:ascii="Verdana" w:hAnsi="Verdana" w:cs="Arial"/>
          <w:sz w:val="16"/>
          <w:szCs w:val="16"/>
          <w:lang w:val="es-AR"/>
        </w:rPr>
        <w:t xml:space="preserve">5ªAMPF </w:t>
      </w:r>
      <w:r>
        <w:rPr>
          <w:rFonts w:ascii="Verdana" w:hAnsi="Verdana" w:cs="Arial"/>
          <w:sz w:val="16"/>
          <w:szCs w:val="16"/>
          <w:lang w:val="es-AR"/>
        </w:rPr>
        <w:t>–</w:t>
      </w:r>
      <w:r w:rsidRPr="00432ABC">
        <w:rPr>
          <w:rFonts w:ascii="Verdana" w:hAnsi="Verdana" w:cs="Arial"/>
          <w:sz w:val="16"/>
          <w:szCs w:val="16"/>
          <w:lang w:val="es-AR"/>
        </w:rPr>
        <w:t xml:space="preserve"> PGR</w:t>
      </w:r>
      <w:r>
        <w:rPr>
          <w:rFonts w:ascii="Verdana" w:hAnsi="Verdana" w:cs="Arial"/>
          <w:sz w:val="16"/>
          <w:szCs w:val="16"/>
          <w:lang w:val="es-AR"/>
        </w:rPr>
        <w:t xml:space="preserve"> del 13 de febrero de 2012</w:t>
      </w:r>
      <w:r w:rsidRPr="00432ABC" w:rsidDel="00473283">
        <w:rPr>
          <w:rFonts w:ascii="Verdana" w:hAnsi="Verdana"/>
          <w:sz w:val="16"/>
          <w:szCs w:val="16"/>
        </w:rPr>
        <w:t xml:space="preserve"> </w:t>
      </w:r>
      <w:r w:rsidRPr="00432ABC">
        <w:rPr>
          <w:rFonts w:ascii="Verdana" w:hAnsi="Verdana"/>
          <w:sz w:val="16"/>
          <w:szCs w:val="16"/>
        </w:rPr>
        <w:t xml:space="preserve">(expediente de prueba, </w:t>
      </w:r>
      <w:r>
        <w:rPr>
          <w:rFonts w:ascii="Verdana" w:hAnsi="Verdana"/>
          <w:sz w:val="16"/>
          <w:szCs w:val="16"/>
        </w:rPr>
        <w:t>f</w:t>
      </w:r>
      <w:r w:rsidRPr="00432ABC">
        <w:rPr>
          <w:rFonts w:ascii="Verdana" w:hAnsi="Verdana"/>
          <w:sz w:val="16"/>
          <w:szCs w:val="16"/>
        </w:rPr>
        <w:t>f. 638</w:t>
      </w:r>
      <w:r>
        <w:rPr>
          <w:rFonts w:ascii="Verdana" w:hAnsi="Verdana"/>
          <w:sz w:val="16"/>
          <w:szCs w:val="16"/>
        </w:rPr>
        <w:t xml:space="preserve"> y 639</w:t>
      </w:r>
      <w:r w:rsidRPr="00432ABC">
        <w:rPr>
          <w:rFonts w:ascii="Verdana" w:hAnsi="Verdana"/>
          <w:sz w:val="16"/>
          <w:szCs w:val="16"/>
        </w:rPr>
        <w:t xml:space="preserve">). Con relación a los hechos, la PGR – Chihuahua radicó las siguientes averiguaciones previas: i. </w:t>
      </w:r>
      <w:r w:rsidRPr="00432ABC">
        <w:rPr>
          <w:rFonts w:ascii="Verdana" w:hAnsi="Verdana"/>
          <w:sz w:val="16"/>
          <w:szCs w:val="16"/>
          <w:lang w:val="es-AR"/>
        </w:rPr>
        <w:t xml:space="preserve">AP/PGR/CHIH/JUA/2503/2011-V-A, iniciada el 11 de agosto de 2011 a partir de la denuncia presentada por María de Jesús Alvarado ante la Quinta Mesa Investigadora de la en Ciudad Juárez PGR por la desaparición de </w:t>
      </w:r>
      <w:r w:rsidRPr="00432ABC">
        <w:rPr>
          <w:rFonts w:ascii="Verdana" w:hAnsi="Verdana"/>
          <w:sz w:val="16"/>
          <w:szCs w:val="16"/>
        </w:rPr>
        <w:t xml:space="preserve">sus familiares, “en contra de quien o quienes result[ar]n responsables por la comisión del delito de desaparición forzada de personas y lo que result[ar]e”, y ii. </w:t>
      </w:r>
      <w:r w:rsidRPr="00432ABC">
        <w:rPr>
          <w:rFonts w:ascii="Verdana" w:hAnsi="Verdana"/>
          <w:sz w:val="16"/>
          <w:szCs w:val="16"/>
          <w:lang w:val="es-AR"/>
        </w:rPr>
        <w:t>AP/PGR/CHIH/JUA/3634/2011, iniciada el 16 de noviembre de 2011 con motivo de la declinatoria de la FEVIMTRA (</w:t>
      </w:r>
      <w:r w:rsidRPr="00432ABC">
        <w:rPr>
          <w:rFonts w:ascii="Verdana" w:hAnsi="Verdana"/>
          <w:i/>
          <w:sz w:val="16"/>
          <w:szCs w:val="16"/>
          <w:lang w:val="es-AR"/>
        </w:rPr>
        <w:t>supra</w:t>
      </w:r>
      <w:r w:rsidRPr="00432ABC">
        <w:rPr>
          <w:rFonts w:ascii="Verdana" w:hAnsi="Verdana"/>
          <w:sz w:val="16"/>
          <w:szCs w:val="16"/>
          <w:lang w:val="es-AR"/>
        </w:rPr>
        <w:t xml:space="preserve">, párr. **), “en contra de quien result[ar]e responsable por el delito de privación ilegal de la libertad y/o lo que result[ar]e” en perjuicio de los tres desaparecidos. </w:t>
      </w:r>
      <w:r w:rsidRPr="00432ABC">
        <w:rPr>
          <w:rFonts w:ascii="Verdana" w:hAnsi="Verdana"/>
          <w:sz w:val="16"/>
          <w:szCs w:val="16"/>
        </w:rPr>
        <w:t xml:space="preserve">El 26 de noviembre de 2011 la primera de las averiguaciones previas señaladas se acumuló a la segunda, y el 31 de octubre de 2012 ambas fueron integradas a la averiguación previa </w:t>
      </w:r>
      <w:r w:rsidRPr="00432ABC">
        <w:rPr>
          <w:rFonts w:ascii="Verdana" w:hAnsi="Verdana"/>
          <w:sz w:val="16"/>
          <w:szCs w:val="16"/>
          <w:lang w:val="es-AR"/>
        </w:rPr>
        <w:t xml:space="preserve">AP/PGR/CHIH/JUA/467/2012-XI-A, iniciada el 13 de febrero de 2012. </w:t>
      </w:r>
      <w:r w:rsidRPr="00CD5C54">
        <w:rPr>
          <w:rFonts w:ascii="Verdana" w:hAnsi="Verdana"/>
          <w:i/>
          <w:sz w:val="16"/>
          <w:szCs w:val="16"/>
        </w:rPr>
        <w:t>Cfr.</w:t>
      </w:r>
      <w:r w:rsidRPr="00432ABC">
        <w:rPr>
          <w:rFonts w:ascii="Verdana" w:hAnsi="Verdana"/>
          <w:sz w:val="16"/>
          <w:szCs w:val="16"/>
        </w:rPr>
        <w:t xml:space="preserve"> Acuerdo de inicio sin detenido de 11 de agosto de 2011 de </w:t>
      </w:r>
      <w:r>
        <w:rPr>
          <w:rFonts w:ascii="Verdana" w:hAnsi="Verdana"/>
          <w:sz w:val="16"/>
          <w:szCs w:val="16"/>
        </w:rPr>
        <w:t>a</w:t>
      </w:r>
      <w:r w:rsidRPr="00432ABC">
        <w:rPr>
          <w:rFonts w:ascii="Verdana" w:hAnsi="Verdana"/>
          <w:sz w:val="16"/>
          <w:szCs w:val="16"/>
        </w:rPr>
        <w:t xml:space="preserve">veriguación </w:t>
      </w:r>
      <w:r>
        <w:rPr>
          <w:rFonts w:ascii="Verdana" w:hAnsi="Verdana"/>
          <w:sz w:val="16"/>
          <w:szCs w:val="16"/>
        </w:rPr>
        <w:t>p</w:t>
      </w:r>
      <w:r w:rsidRPr="00432ABC">
        <w:rPr>
          <w:rFonts w:ascii="Verdana" w:hAnsi="Verdana"/>
          <w:sz w:val="16"/>
          <w:szCs w:val="16"/>
        </w:rPr>
        <w:t xml:space="preserve">revia </w:t>
      </w:r>
      <w:r w:rsidRPr="00432ABC">
        <w:rPr>
          <w:rFonts w:ascii="Verdana" w:hAnsi="Verdana"/>
          <w:sz w:val="16"/>
          <w:szCs w:val="16"/>
          <w:lang w:val="es-AR"/>
        </w:rPr>
        <w:t>AP/PGR/CHIH/JUA/2503/2011-V-A</w:t>
      </w:r>
      <w:r w:rsidRPr="00432ABC">
        <w:rPr>
          <w:rFonts w:ascii="Verdana" w:hAnsi="Verdana"/>
          <w:sz w:val="16"/>
          <w:szCs w:val="16"/>
        </w:rPr>
        <w:t xml:space="preserve"> (expediente de prueba, anexo II.78 del Informe de Fondo, f. 1071); Acuerdo de inicio de </w:t>
      </w:r>
      <w:r>
        <w:rPr>
          <w:rFonts w:ascii="Verdana" w:hAnsi="Verdana"/>
          <w:sz w:val="16"/>
          <w:szCs w:val="16"/>
        </w:rPr>
        <w:t>a</w:t>
      </w:r>
      <w:r w:rsidRPr="00432ABC">
        <w:rPr>
          <w:rFonts w:ascii="Verdana" w:hAnsi="Verdana"/>
          <w:sz w:val="16"/>
          <w:szCs w:val="16"/>
        </w:rPr>
        <w:t xml:space="preserve">veriguación </w:t>
      </w:r>
      <w:r>
        <w:rPr>
          <w:rFonts w:ascii="Verdana" w:hAnsi="Verdana"/>
          <w:sz w:val="16"/>
          <w:szCs w:val="16"/>
        </w:rPr>
        <w:t>p</w:t>
      </w:r>
      <w:r w:rsidRPr="00432ABC">
        <w:rPr>
          <w:rFonts w:ascii="Verdana" w:hAnsi="Verdana"/>
          <w:sz w:val="16"/>
          <w:szCs w:val="16"/>
        </w:rPr>
        <w:t xml:space="preserve">revia </w:t>
      </w:r>
      <w:r>
        <w:rPr>
          <w:rFonts w:ascii="Verdana" w:hAnsi="Verdana"/>
          <w:sz w:val="16"/>
          <w:szCs w:val="16"/>
        </w:rPr>
        <w:t xml:space="preserve">AP/PGR/CHIH/JUA/3634/2011-XI-A </w:t>
      </w:r>
      <w:r w:rsidRPr="00432ABC">
        <w:rPr>
          <w:rFonts w:ascii="Verdana" w:hAnsi="Verdana"/>
          <w:sz w:val="16"/>
          <w:szCs w:val="16"/>
        </w:rPr>
        <w:t xml:space="preserve">de 16 de noviembre de 2011 suscrito por el AMPF de la PGR - Chihuahua (expediente de prueba, </w:t>
      </w:r>
      <w:r>
        <w:rPr>
          <w:rFonts w:ascii="Verdana" w:hAnsi="Verdana"/>
          <w:sz w:val="16"/>
          <w:szCs w:val="16"/>
        </w:rPr>
        <w:t>e</w:t>
      </w:r>
      <w:r w:rsidRPr="00432ABC">
        <w:rPr>
          <w:rFonts w:ascii="Verdana" w:hAnsi="Verdana"/>
          <w:sz w:val="16"/>
          <w:szCs w:val="16"/>
        </w:rPr>
        <w:t xml:space="preserve">xpediente penal, f. 16209); Acuerdo de acumulación de 24 de noviembre de 2011 (expediente de prueba, expediente penal, ff. 16327 a 16329); </w:t>
      </w:r>
      <w:r>
        <w:rPr>
          <w:rFonts w:ascii="Verdana" w:hAnsi="Verdana"/>
          <w:sz w:val="16"/>
          <w:szCs w:val="16"/>
        </w:rPr>
        <w:t>O</w:t>
      </w:r>
      <w:r w:rsidRPr="00432ABC">
        <w:rPr>
          <w:rFonts w:ascii="Verdana" w:hAnsi="Verdana"/>
          <w:sz w:val="16"/>
          <w:szCs w:val="16"/>
        </w:rPr>
        <w:t xml:space="preserve">ficio DECH/5708/2011 de 26 de noviembre de 2011 que autoriza acumulación, suscrito por delegado estatal de la PGR – Chihuahua (expediente de prueba, </w:t>
      </w:r>
      <w:r>
        <w:rPr>
          <w:rFonts w:ascii="Verdana" w:hAnsi="Verdana"/>
          <w:sz w:val="16"/>
          <w:szCs w:val="16"/>
        </w:rPr>
        <w:t>e</w:t>
      </w:r>
      <w:r w:rsidRPr="00432ABC">
        <w:rPr>
          <w:rFonts w:ascii="Verdana" w:hAnsi="Verdana"/>
          <w:sz w:val="16"/>
          <w:szCs w:val="16"/>
        </w:rPr>
        <w:t xml:space="preserve">xpediente penal, ff. 16332 a 16333); </w:t>
      </w:r>
      <w:r>
        <w:rPr>
          <w:rFonts w:ascii="Verdana" w:hAnsi="Verdana"/>
          <w:sz w:val="16"/>
          <w:szCs w:val="16"/>
        </w:rPr>
        <w:t>O</w:t>
      </w:r>
      <w:r w:rsidRPr="00432ABC">
        <w:rPr>
          <w:rFonts w:ascii="Verdana" w:hAnsi="Verdana"/>
          <w:sz w:val="16"/>
          <w:szCs w:val="16"/>
        </w:rPr>
        <w:t>ficio No. 4122 de 5 de diciembre de 20</w:t>
      </w:r>
      <w:r>
        <w:rPr>
          <w:rFonts w:ascii="Verdana" w:hAnsi="Verdana"/>
          <w:sz w:val="16"/>
          <w:szCs w:val="16"/>
        </w:rPr>
        <w:t>1</w:t>
      </w:r>
      <w:r w:rsidRPr="00432ABC">
        <w:rPr>
          <w:rFonts w:ascii="Verdana" w:hAnsi="Verdana"/>
          <w:sz w:val="16"/>
          <w:szCs w:val="16"/>
        </w:rPr>
        <w:t xml:space="preserve">1 suscrito por la titular de la 5ªAMPF - PGR (expediente de prueba, f. 1073), y </w:t>
      </w:r>
      <w:r>
        <w:rPr>
          <w:rFonts w:ascii="Verdana" w:hAnsi="Verdana"/>
          <w:sz w:val="16"/>
          <w:szCs w:val="16"/>
        </w:rPr>
        <w:t>O</w:t>
      </w:r>
      <w:r w:rsidRPr="00432ABC">
        <w:rPr>
          <w:rFonts w:ascii="Verdana" w:hAnsi="Verdana"/>
          <w:sz w:val="16"/>
          <w:szCs w:val="16"/>
        </w:rPr>
        <w:t>ficio número ilegible de 31 de octubre de 2012, dirigido a la titular de la Agencia Décimo Segunda Investigadora (expediente de prueba, ff. 1077 a 1079).</w:t>
      </w:r>
    </w:p>
  </w:footnote>
  <w:footnote w:id="290">
    <w:p w14:paraId="64AA6250" w14:textId="40BBC5E5" w:rsidR="00146958" w:rsidRPr="00432ABC" w:rsidRDefault="00146958">
      <w:pPr>
        <w:pStyle w:val="FootnoteText"/>
        <w:jc w:val="both"/>
        <w:rPr>
          <w:rFonts w:ascii="Verdana" w:hAnsi="Verdana"/>
          <w:sz w:val="16"/>
          <w:szCs w:val="16"/>
        </w:rPr>
      </w:pPr>
      <w:r w:rsidRPr="00432ABC">
        <w:rPr>
          <w:rStyle w:val="FootnoteReference"/>
          <w:rFonts w:ascii="Verdana" w:hAnsi="Verdana"/>
          <w:sz w:val="16"/>
          <w:szCs w:val="16"/>
        </w:rPr>
        <w:footnoteRef/>
      </w:r>
      <w:r w:rsidRPr="00432ABC">
        <w:rPr>
          <w:rFonts w:ascii="Verdana" w:hAnsi="Verdana"/>
          <w:sz w:val="16"/>
          <w:szCs w:val="16"/>
        </w:rPr>
        <w:t xml:space="preserve"> </w:t>
      </w:r>
      <w:r w:rsidRPr="00432ABC">
        <w:rPr>
          <w:rFonts w:ascii="Verdana" w:hAnsi="Verdana"/>
          <w:sz w:val="16"/>
          <w:szCs w:val="16"/>
        </w:rPr>
        <w:tab/>
      </w:r>
      <w:r w:rsidRPr="00CD5C54">
        <w:rPr>
          <w:rFonts w:ascii="Verdana" w:hAnsi="Verdana"/>
          <w:i/>
          <w:sz w:val="16"/>
          <w:szCs w:val="16"/>
        </w:rPr>
        <w:t>Cfr.</w:t>
      </w:r>
      <w:r w:rsidRPr="002C462C">
        <w:rPr>
          <w:rFonts w:ascii="Verdana" w:hAnsi="Verdana"/>
          <w:sz w:val="16"/>
          <w:szCs w:val="16"/>
        </w:rPr>
        <w:t xml:space="preserve"> Declaraciones rendidas el 16 de enero de 2013 ante la AMPF en apoyo de la Agencia Décima Primera</w:t>
      </w:r>
      <w:r w:rsidRPr="00432ABC">
        <w:rPr>
          <w:rFonts w:ascii="Verdana" w:hAnsi="Verdana"/>
          <w:sz w:val="16"/>
          <w:szCs w:val="16"/>
        </w:rPr>
        <w:t xml:space="preserve"> Investigadora de la PGR – Chihuahua [11ªAMPF – PGR] de: Patricia Reyes Rueda (expediente de prueba, </w:t>
      </w:r>
      <w:r>
        <w:rPr>
          <w:rFonts w:ascii="Verdana" w:hAnsi="Verdana"/>
          <w:sz w:val="16"/>
          <w:szCs w:val="16"/>
        </w:rPr>
        <w:t>e</w:t>
      </w:r>
      <w:r w:rsidRPr="00432ABC">
        <w:rPr>
          <w:rFonts w:ascii="Verdana" w:hAnsi="Verdana"/>
          <w:sz w:val="16"/>
          <w:szCs w:val="16"/>
        </w:rPr>
        <w:t xml:space="preserve">xpediente penal, ff. 16474 a 16476); José Ángel Alvarado Fabela (expediente de prueba, </w:t>
      </w:r>
      <w:r>
        <w:rPr>
          <w:rFonts w:ascii="Verdana" w:hAnsi="Verdana"/>
          <w:sz w:val="16"/>
          <w:szCs w:val="16"/>
        </w:rPr>
        <w:t>e</w:t>
      </w:r>
      <w:r w:rsidRPr="00432ABC">
        <w:rPr>
          <w:rFonts w:ascii="Verdana" w:hAnsi="Verdana"/>
          <w:sz w:val="16"/>
          <w:szCs w:val="16"/>
        </w:rPr>
        <w:t xml:space="preserve">xpediente penal, ff. 16483 a 16485); Manuel Reyes Lira (expediente de prueba, </w:t>
      </w:r>
      <w:r>
        <w:rPr>
          <w:rFonts w:ascii="Verdana" w:hAnsi="Verdana"/>
          <w:sz w:val="16"/>
          <w:szCs w:val="16"/>
        </w:rPr>
        <w:t>e</w:t>
      </w:r>
      <w:r w:rsidRPr="00432ABC">
        <w:rPr>
          <w:rFonts w:ascii="Verdana" w:hAnsi="Verdana"/>
          <w:sz w:val="16"/>
          <w:szCs w:val="16"/>
        </w:rPr>
        <w:t xml:space="preserve">xpediente penal, ff. 16494 a 16496), y Obdulia Espinoza Beltrán (expediente de prueba, </w:t>
      </w:r>
      <w:r>
        <w:rPr>
          <w:rFonts w:ascii="Verdana" w:hAnsi="Verdana"/>
          <w:sz w:val="16"/>
          <w:szCs w:val="16"/>
        </w:rPr>
        <w:t>e</w:t>
      </w:r>
      <w:r w:rsidRPr="00432ABC">
        <w:rPr>
          <w:rFonts w:ascii="Verdana" w:hAnsi="Verdana"/>
          <w:sz w:val="16"/>
          <w:szCs w:val="16"/>
        </w:rPr>
        <w:t>xpediente penal, ff. 16496 a 16497).</w:t>
      </w:r>
    </w:p>
  </w:footnote>
  <w:footnote w:id="291">
    <w:p w14:paraId="64AA6251" w14:textId="6A68B0F7" w:rsidR="00146958" w:rsidRPr="00432ABC" w:rsidRDefault="00146958">
      <w:pPr>
        <w:pStyle w:val="FootnoteText"/>
        <w:jc w:val="both"/>
        <w:rPr>
          <w:rFonts w:ascii="Verdana" w:hAnsi="Verdana"/>
          <w:sz w:val="16"/>
          <w:szCs w:val="16"/>
        </w:rPr>
      </w:pPr>
      <w:r w:rsidRPr="00432ABC">
        <w:rPr>
          <w:rStyle w:val="FootnoteReference"/>
          <w:rFonts w:ascii="Verdana" w:hAnsi="Verdana"/>
          <w:sz w:val="16"/>
          <w:szCs w:val="16"/>
        </w:rPr>
        <w:footnoteRef/>
      </w:r>
      <w:r w:rsidRPr="00432ABC">
        <w:rPr>
          <w:rFonts w:ascii="Verdana" w:hAnsi="Verdana"/>
          <w:sz w:val="16"/>
          <w:szCs w:val="16"/>
        </w:rPr>
        <w:t xml:space="preserve"> </w:t>
      </w:r>
      <w:r w:rsidRPr="00432ABC">
        <w:rPr>
          <w:rFonts w:ascii="Verdana" w:hAnsi="Verdana"/>
          <w:sz w:val="16"/>
          <w:szCs w:val="16"/>
        </w:rPr>
        <w:tab/>
      </w:r>
      <w:r w:rsidRPr="00CD5C54">
        <w:rPr>
          <w:rFonts w:ascii="Verdana" w:hAnsi="Verdana"/>
          <w:i/>
          <w:sz w:val="16"/>
          <w:szCs w:val="16"/>
        </w:rPr>
        <w:t>Cfr.</w:t>
      </w:r>
      <w:r w:rsidRPr="002C462C">
        <w:rPr>
          <w:rFonts w:ascii="Verdana" w:hAnsi="Verdana"/>
          <w:sz w:val="16"/>
          <w:szCs w:val="16"/>
        </w:rPr>
        <w:t xml:space="preserve"> Declaración de Élfego José Luján Ruiz rendida el 13 de junio de 20</w:t>
      </w:r>
      <w:r w:rsidRPr="00432ABC">
        <w:rPr>
          <w:rFonts w:ascii="Verdana" w:hAnsi="Verdana"/>
          <w:sz w:val="16"/>
          <w:szCs w:val="16"/>
        </w:rPr>
        <w:t>13 ante la 11ªAMPF – PGR</w:t>
      </w:r>
      <w:r w:rsidRPr="00432ABC" w:rsidDel="00AF67EF">
        <w:rPr>
          <w:rFonts w:ascii="Verdana" w:hAnsi="Verdana"/>
          <w:sz w:val="16"/>
          <w:szCs w:val="16"/>
        </w:rPr>
        <w:t xml:space="preserve"> </w:t>
      </w:r>
      <w:r w:rsidRPr="00432ABC">
        <w:rPr>
          <w:rFonts w:ascii="Verdana" w:hAnsi="Verdana"/>
          <w:sz w:val="16"/>
          <w:szCs w:val="16"/>
        </w:rPr>
        <w:t>(expediente de prueba, ff. 1155 a 1160).</w:t>
      </w:r>
    </w:p>
  </w:footnote>
  <w:footnote w:id="292">
    <w:p w14:paraId="64AA6252" w14:textId="0AFC1706" w:rsidR="00146958" w:rsidRPr="00432ABC" w:rsidRDefault="00146958">
      <w:pPr>
        <w:pStyle w:val="FootnoteText"/>
        <w:jc w:val="both"/>
        <w:rPr>
          <w:rFonts w:ascii="Verdana" w:hAnsi="Verdana"/>
          <w:sz w:val="16"/>
          <w:szCs w:val="16"/>
        </w:rPr>
      </w:pPr>
      <w:r w:rsidRPr="00432ABC">
        <w:rPr>
          <w:rStyle w:val="FootnoteReference"/>
          <w:rFonts w:ascii="Verdana" w:hAnsi="Verdana"/>
          <w:sz w:val="16"/>
          <w:szCs w:val="16"/>
        </w:rPr>
        <w:footnoteRef/>
      </w:r>
      <w:r w:rsidRPr="00432ABC">
        <w:rPr>
          <w:rFonts w:ascii="Verdana" w:hAnsi="Verdana"/>
          <w:sz w:val="16"/>
          <w:szCs w:val="16"/>
        </w:rPr>
        <w:t xml:space="preserve"> </w:t>
      </w:r>
      <w:r w:rsidRPr="00432ABC">
        <w:rPr>
          <w:rFonts w:ascii="Verdana" w:hAnsi="Verdana"/>
          <w:sz w:val="16"/>
          <w:szCs w:val="16"/>
        </w:rPr>
        <w:tab/>
      </w:r>
      <w:r w:rsidRPr="00CD5C54">
        <w:rPr>
          <w:rFonts w:ascii="Verdana" w:hAnsi="Verdana"/>
          <w:i/>
          <w:sz w:val="16"/>
          <w:szCs w:val="16"/>
        </w:rPr>
        <w:t>Cfr.</w:t>
      </w:r>
      <w:r w:rsidRPr="002C462C">
        <w:rPr>
          <w:rFonts w:ascii="Verdana" w:hAnsi="Verdana"/>
          <w:sz w:val="16"/>
          <w:szCs w:val="16"/>
        </w:rPr>
        <w:t xml:space="preserve"> Declaración de Jens Pedro Lohmann Iturburu rendida el 18 de junio de 2013 ante la AMPF – PGR</w:t>
      </w:r>
      <w:r w:rsidRPr="00432ABC" w:rsidDel="00AF67EF">
        <w:rPr>
          <w:rFonts w:ascii="Verdana" w:hAnsi="Verdana"/>
          <w:sz w:val="16"/>
          <w:szCs w:val="16"/>
        </w:rPr>
        <w:t xml:space="preserve"> </w:t>
      </w:r>
      <w:r w:rsidRPr="00432ABC">
        <w:rPr>
          <w:rFonts w:ascii="Verdana" w:hAnsi="Verdana"/>
          <w:sz w:val="16"/>
          <w:szCs w:val="16"/>
        </w:rPr>
        <w:t xml:space="preserve">(expediente de prueba, </w:t>
      </w:r>
      <w:r>
        <w:rPr>
          <w:rFonts w:ascii="Verdana" w:hAnsi="Verdana"/>
          <w:sz w:val="16"/>
          <w:szCs w:val="16"/>
        </w:rPr>
        <w:t>a</w:t>
      </w:r>
      <w:r w:rsidRPr="00432ABC">
        <w:rPr>
          <w:rFonts w:ascii="Verdana" w:hAnsi="Verdana"/>
          <w:sz w:val="16"/>
          <w:szCs w:val="16"/>
        </w:rPr>
        <w:t>nexo 71 de la contestación del Estado, ff. 28394 a 28396).</w:t>
      </w:r>
    </w:p>
  </w:footnote>
  <w:footnote w:id="293">
    <w:p w14:paraId="64AA6253" w14:textId="58906FE5" w:rsidR="00146958" w:rsidRPr="00432ABC" w:rsidRDefault="00146958">
      <w:pPr>
        <w:pStyle w:val="FootnoteText"/>
        <w:jc w:val="both"/>
        <w:rPr>
          <w:rFonts w:ascii="Verdana" w:hAnsi="Verdana"/>
          <w:sz w:val="16"/>
          <w:szCs w:val="16"/>
        </w:rPr>
      </w:pPr>
      <w:r w:rsidRPr="00432ABC">
        <w:rPr>
          <w:rStyle w:val="FootnoteReference"/>
          <w:rFonts w:ascii="Verdana" w:hAnsi="Verdana"/>
          <w:sz w:val="16"/>
          <w:szCs w:val="16"/>
        </w:rPr>
        <w:footnoteRef/>
      </w:r>
      <w:r w:rsidRPr="00432ABC">
        <w:rPr>
          <w:rFonts w:ascii="Verdana" w:hAnsi="Verdana"/>
          <w:sz w:val="16"/>
          <w:szCs w:val="16"/>
        </w:rPr>
        <w:t xml:space="preserve"> </w:t>
      </w:r>
      <w:r w:rsidRPr="00432ABC">
        <w:rPr>
          <w:rFonts w:ascii="Verdana" w:hAnsi="Verdana"/>
          <w:sz w:val="16"/>
          <w:szCs w:val="16"/>
        </w:rPr>
        <w:tab/>
      </w:r>
      <w:r w:rsidRPr="00CD5C54">
        <w:rPr>
          <w:rFonts w:ascii="Verdana" w:hAnsi="Verdana"/>
          <w:i/>
          <w:sz w:val="16"/>
          <w:szCs w:val="16"/>
        </w:rPr>
        <w:t>Cfr.</w:t>
      </w:r>
      <w:r w:rsidRPr="002C462C">
        <w:rPr>
          <w:rFonts w:ascii="Verdana" w:hAnsi="Verdana"/>
          <w:sz w:val="16"/>
          <w:szCs w:val="16"/>
        </w:rPr>
        <w:t xml:space="preserve"> Acuerdo de incompetencia por razón de especialidad de 30 de junio de 2013 de la 11ªAMPF – PGR</w:t>
      </w:r>
      <w:r w:rsidRPr="00432ABC" w:rsidDel="00AF67EF">
        <w:rPr>
          <w:rFonts w:ascii="Verdana" w:hAnsi="Verdana"/>
          <w:sz w:val="16"/>
          <w:szCs w:val="16"/>
        </w:rPr>
        <w:t xml:space="preserve"> </w:t>
      </w:r>
      <w:r w:rsidRPr="00432ABC">
        <w:rPr>
          <w:rFonts w:ascii="Verdana" w:hAnsi="Verdana"/>
          <w:sz w:val="16"/>
          <w:szCs w:val="16"/>
        </w:rPr>
        <w:t xml:space="preserve">(expediente de prueba, </w:t>
      </w:r>
      <w:r>
        <w:rPr>
          <w:rFonts w:ascii="Verdana" w:hAnsi="Verdana"/>
          <w:sz w:val="16"/>
          <w:szCs w:val="16"/>
        </w:rPr>
        <w:t>f</w:t>
      </w:r>
      <w:r w:rsidRPr="00432ABC">
        <w:rPr>
          <w:rFonts w:ascii="Verdana" w:hAnsi="Verdana"/>
          <w:sz w:val="16"/>
          <w:szCs w:val="16"/>
        </w:rPr>
        <w:t>f. 11</w:t>
      </w:r>
      <w:r>
        <w:rPr>
          <w:rFonts w:ascii="Verdana" w:hAnsi="Verdana"/>
          <w:sz w:val="16"/>
          <w:szCs w:val="16"/>
        </w:rPr>
        <w:t>17 a 1144</w:t>
      </w:r>
      <w:r w:rsidRPr="00432ABC">
        <w:rPr>
          <w:rFonts w:ascii="Verdana" w:hAnsi="Verdana"/>
          <w:sz w:val="16"/>
          <w:szCs w:val="16"/>
        </w:rPr>
        <w:t>).</w:t>
      </w:r>
    </w:p>
  </w:footnote>
  <w:footnote w:id="294">
    <w:p w14:paraId="64AA6254" w14:textId="779C4E32" w:rsidR="00146958" w:rsidRPr="00432ABC" w:rsidRDefault="00146958">
      <w:pPr>
        <w:pStyle w:val="FootnoteText"/>
        <w:jc w:val="both"/>
        <w:rPr>
          <w:rFonts w:ascii="Verdana" w:hAnsi="Verdana"/>
          <w:sz w:val="16"/>
          <w:szCs w:val="16"/>
        </w:rPr>
      </w:pPr>
      <w:r w:rsidRPr="00432ABC">
        <w:rPr>
          <w:rStyle w:val="FootnoteReference"/>
          <w:rFonts w:ascii="Verdana" w:hAnsi="Verdana"/>
          <w:sz w:val="16"/>
          <w:szCs w:val="16"/>
        </w:rPr>
        <w:footnoteRef/>
      </w:r>
      <w:r w:rsidRPr="00432ABC">
        <w:rPr>
          <w:rFonts w:ascii="Verdana" w:hAnsi="Verdana"/>
          <w:sz w:val="16"/>
          <w:szCs w:val="16"/>
        </w:rPr>
        <w:t xml:space="preserve"> </w:t>
      </w:r>
      <w:r w:rsidRPr="00432ABC">
        <w:rPr>
          <w:rFonts w:ascii="Verdana" w:hAnsi="Verdana"/>
          <w:sz w:val="16"/>
          <w:szCs w:val="16"/>
        </w:rPr>
        <w:tab/>
      </w:r>
      <w:r w:rsidRPr="00CD5C54">
        <w:rPr>
          <w:rFonts w:ascii="Verdana" w:hAnsi="Verdana"/>
          <w:i/>
          <w:sz w:val="16"/>
          <w:szCs w:val="16"/>
        </w:rPr>
        <w:t>Cfr.</w:t>
      </w:r>
      <w:r w:rsidRPr="002C462C">
        <w:rPr>
          <w:rFonts w:ascii="Verdana" w:hAnsi="Verdana"/>
          <w:sz w:val="16"/>
          <w:szCs w:val="16"/>
        </w:rPr>
        <w:t xml:space="preserve"> Oficio No. DECH/2610/2013 </w:t>
      </w:r>
      <w:r>
        <w:rPr>
          <w:rFonts w:ascii="Verdana" w:hAnsi="Verdana"/>
          <w:sz w:val="16"/>
          <w:szCs w:val="16"/>
        </w:rPr>
        <w:t xml:space="preserve">del 18 de julio de 2013 </w:t>
      </w:r>
      <w:r w:rsidRPr="002C462C">
        <w:rPr>
          <w:rFonts w:ascii="Verdana" w:hAnsi="Verdana"/>
          <w:sz w:val="16"/>
          <w:szCs w:val="16"/>
        </w:rPr>
        <w:t>que autoriza incompete</w:t>
      </w:r>
      <w:r w:rsidRPr="00432ABC">
        <w:rPr>
          <w:rFonts w:ascii="Verdana" w:hAnsi="Verdana"/>
          <w:sz w:val="16"/>
          <w:szCs w:val="16"/>
        </w:rPr>
        <w:t>ncia, suscrito por el Delegado Estatal de la PGR – Chihuahua</w:t>
      </w:r>
      <w:r w:rsidRPr="00432ABC" w:rsidDel="00AF67EF">
        <w:rPr>
          <w:rFonts w:ascii="Verdana" w:hAnsi="Verdana"/>
          <w:sz w:val="16"/>
          <w:szCs w:val="16"/>
        </w:rPr>
        <w:t xml:space="preserve"> </w:t>
      </w:r>
      <w:r w:rsidRPr="00432ABC">
        <w:rPr>
          <w:rFonts w:ascii="Verdana" w:hAnsi="Verdana"/>
          <w:sz w:val="16"/>
          <w:szCs w:val="16"/>
        </w:rPr>
        <w:t>(expediente de prueba, ff. 1167 a 1168).</w:t>
      </w:r>
    </w:p>
  </w:footnote>
  <w:footnote w:id="295">
    <w:p w14:paraId="64AA6255" w14:textId="7D8A2C27" w:rsidR="00146958" w:rsidRPr="00432ABC" w:rsidRDefault="00146958">
      <w:pPr>
        <w:pStyle w:val="FootnoteText"/>
        <w:jc w:val="both"/>
        <w:rPr>
          <w:rFonts w:ascii="Verdana" w:hAnsi="Verdana"/>
          <w:sz w:val="16"/>
          <w:szCs w:val="16"/>
        </w:rPr>
      </w:pPr>
      <w:r w:rsidRPr="00432ABC">
        <w:rPr>
          <w:rStyle w:val="FootnoteReference"/>
          <w:rFonts w:ascii="Verdana" w:hAnsi="Verdana"/>
          <w:sz w:val="16"/>
          <w:szCs w:val="16"/>
        </w:rPr>
        <w:footnoteRef/>
      </w:r>
      <w:r w:rsidRPr="00432ABC">
        <w:rPr>
          <w:rFonts w:ascii="Verdana" w:hAnsi="Verdana"/>
          <w:sz w:val="16"/>
          <w:szCs w:val="16"/>
        </w:rPr>
        <w:t xml:space="preserve"> </w:t>
      </w:r>
      <w:r w:rsidRPr="00432ABC">
        <w:rPr>
          <w:rFonts w:ascii="Verdana" w:hAnsi="Verdana"/>
          <w:sz w:val="16"/>
          <w:szCs w:val="16"/>
        </w:rPr>
        <w:tab/>
      </w:r>
      <w:r w:rsidRPr="00CD5C54">
        <w:rPr>
          <w:rFonts w:ascii="Verdana" w:hAnsi="Verdana"/>
          <w:i/>
          <w:sz w:val="16"/>
          <w:szCs w:val="16"/>
        </w:rPr>
        <w:t>Cfr.</w:t>
      </w:r>
      <w:r w:rsidRPr="002C462C">
        <w:rPr>
          <w:rFonts w:ascii="Verdana" w:hAnsi="Verdana"/>
          <w:sz w:val="16"/>
          <w:szCs w:val="16"/>
        </w:rPr>
        <w:t xml:space="preserve">  Acuerdo de inicio de Averiguación Previa </w:t>
      </w:r>
      <w:r w:rsidRPr="00432ABC">
        <w:rPr>
          <w:rFonts w:ascii="Verdana" w:hAnsi="Verdana" w:cs="Cambria"/>
          <w:sz w:val="16"/>
          <w:szCs w:val="16"/>
        </w:rPr>
        <w:t xml:space="preserve">AP/PGR/SDHAVSC/M5/066/2013 de 4 de abril de 2013 suscrito por el AMPF Titular de la Mesa V de la Dirección General de Atención y Seguimiento de Recomendaciones y Conciliaciones en Materia de Derechos Humanos de la PGR </w:t>
      </w:r>
      <w:r w:rsidRPr="00432ABC">
        <w:rPr>
          <w:rFonts w:ascii="Verdana" w:hAnsi="Verdana"/>
          <w:sz w:val="16"/>
          <w:szCs w:val="16"/>
        </w:rPr>
        <w:t xml:space="preserve">(expediente de prueba, </w:t>
      </w:r>
      <w:r>
        <w:rPr>
          <w:rFonts w:ascii="Verdana" w:hAnsi="Verdana"/>
          <w:sz w:val="16"/>
          <w:szCs w:val="16"/>
        </w:rPr>
        <w:t>e</w:t>
      </w:r>
      <w:r w:rsidRPr="00432ABC">
        <w:rPr>
          <w:rFonts w:ascii="Verdana" w:hAnsi="Verdana"/>
          <w:sz w:val="16"/>
          <w:szCs w:val="16"/>
        </w:rPr>
        <w:t>xpediente judicial, ff. 4491 a 4494).</w:t>
      </w:r>
    </w:p>
  </w:footnote>
  <w:footnote w:id="296">
    <w:p w14:paraId="64AA6256" w14:textId="1EE5FD07" w:rsidR="00146958" w:rsidRPr="00432ABC" w:rsidRDefault="00146958">
      <w:pPr>
        <w:pStyle w:val="FootnoteText"/>
        <w:jc w:val="both"/>
        <w:rPr>
          <w:rFonts w:ascii="Verdana" w:hAnsi="Verdana"/>
          <w:sz w:val="16"/>
          <w:szCs w:val="16"/>
        </w:rPr>
      </w:pPr>
      <w:r w:rsidRPr="00432ABC">
        <w:rPr>
          <w:rStyle w:val="FootnoteReference"/>
          <w:rFonts w:ascii="Verdana" w:hAnsi="Verdana"/>
          <w:sz w:val="16"/>
          <w:szCs w:val="16"/>
        </w:rPr>
        <w:footnoteRef/>
      </w:r>
      <w:r w:rsidRPr="00432ABC">
        <w:rPr>
          <w:rFonts w:ascii="Verdana" w:hAnsi="Verdana"/>
          <w:sz w:val="16"/>
          <w:szCs w:val="16"/>
        </w:rPr>
        <w:t xml:space="preserve"> </w:t>
      </w:r>
      <w:r w:rsidRPr="00432ABC">
        <w:rPr>
          <w:rFonts w:ascii="Verdana" w:hAnsi="Verdana"/>
          <w:sz w:val="16"/>
          <w:szCs w:val="16"/>
        </w:rPr>
        <w:tab/>
      </w:r>
      <w:r w:rsidRPr="00CD5C54">
        <w:rPr>
          <w:rFonts w:ascii="Verdana" w:hAnsi="Verdana"/>
          <w:i/>
          <w:sz w:val="16"/>
          <w:szCs w:val="16"/>
        </w:rPr>
        <w:t>Cfr.</w:t>
      </w:r>
      <w:r w:rsidRPr="002C462C">
        <w:rPr>
          <w:rFonts w:ascii="Verdana" w:hAnsi="Verdana"/>
          <w:sz w:val="16"/>
          <w:szCs w:val="16"/>
        </w:rPr>
        <w:t xml:space="preserve"> Declaración de Salomón Baltaza</w:t>
      </w:r>
      <w:r w:rsidRPr="00432ABC">
        <w:rPr>
          <w:rFonts w:ascii="Verdana" w:hAnsi="Verdana"/>
          <w:sz w:val="16"/>
          <w:szCs w:val="16"/>
        </w:rPr>
        <w:t xml:space="preserve">r Samayoa rendida </w:t>
      </w:r>
      <w:r>
        <w:rPr>
          <w:rFonts w:ascii="Verdana" w:hAnsi="Verdana"/>
          <w:sz w:val="16"/>
          <w:szCs w:val="16"/>
        </w:rPr>
        <w:t>el</w:t>
      </w:r>
      <w:r w:rsidRPr="00432ABC">
        <w:rPr>
          <w:rFonts w:ascii="Verdana" w:hAnsi="Verdana"/>
          <w:sz w:val="16"/>
          <w:szCs w:val="16"/>
        </w:rPr>
        <w:t xml:space="preserve"> 17 de abril de 2018</w:t>
      </w:r>
      <w:r w:rsidRPr="00432ABC">
        <w:rPr>
          <w:rFonts w:ascii="Verdana" w:hAnsi="Verdana"/>
          <w:i/>
          <w:sz w:val="16"/>
          <w:szCs w:val="16"/>
        </w:rPr>
        <w:t xml:space="preserve"> </w:t>
      </w:r>
      <w:r w:rsidRPr="00432ABC">
        <w:rPr>
          <w:rFonts w:ascii="Verdana" w:hAnsi="Verdana"/>
          <w:sz w:val="16"/>
          <w:szCs w:val="16"/>
        </w:rPr>
        <w:t xml:space="preserve">(expediente de prueba, </w:t>
      </w:r>
      <w:r w:rsidRPr="00453199">
        <w:rPr>
          <w:rFonts w:ascii="Verdana" w:hAnsi="Verdana"/>
          <w:i/>
          <w:sz w:val="16"/>
        </w:rPr>
        <w:t>Affidávits</w:t>
      </w:r>
      <w:r w:rsidRPr="00432ABC">
        <w:rPr>
          <w:rFonts w:ascii="Verdana" w:hAnsi="Verdana"/>
          <w:sz w:val="16"/>
          <w:szCs w:val="16"/>
        </w:rPr>
        <w:t xml:space="preserve">, f. 30930). El testigo referido se desempeñó como titular de la </w:t>
      </w:r>
      <w:r>
        <w:rPr>
          <w:rFonts w:ascii="Verdana" w:hAnsi="Verdana" w:cs="Cambria"/>
          <w:sz w:val="16"/>
          <w:szCs w:val="16"/>
        </w:rPr>
        <w:t>UEBPD-PGR</w:t>
      </w:r>
      <w:r w:rsidRPr="00432ABC">
        <w:rPr>
          <w:rFonts w:ascii="Verdana" w:hAnsi="Verdana"/>
          <w:sz w:val="16"/>
          <w:szCs w:val="16"/>
        </w:rPr>
        <w:t xml:space="preserve"> </w:t>
      </w:r>
      <w:r>
        <w:rPr>
          <w:rFonts w:ascii="Verdana" w:hAnsi="Verdana"/>
          <w:sz w:val="16"/>
          <w:szCs w:val="16"/>
        </w:rPr>
        <w:t>d</w:t>
      </w:r>
      <w:r w:rsidRPr="00432ABC">
        <w:rPr>
          <w:rFonts w:ascii="Verdana" w:hAnsi="Verdana"/>
          <w:sz w:val="16"/>
          <w:szCs w:val="16"/>
        </w:rPr>
        <w:t>e</w:t>
      </w:r>
      <w:r>
        <w:rPr>
          <w:rFonts w:ascii="Verdana" w:hAnsi="Verdana"/>
          <w:sz w:val="16"/>
          <w:szCs w:val="16"/>
        </w:rPr>
        <w:t>sde</w:t>
      </w:r>
      <w:r w:rsidRPr="00432ABC">
        <w:rPr>
          <w:rFonts w:ascii="Verdana" w:hAnsi="Verdana"/>
          <w:sz w:val="16"/>
          <w:szCs w:val="16"/>
        </w:rPr>
        <w:t xml:space="preserve"> el 21 de junio de 2013 </w:t>
      </w:r>
      <w:r>
        <w:rPr>
          <w:rFonts w:ascii="Verdana" w:hAnsi="Verdana"/>
          <w:sz w:val="16"/>
          <w:szCs w:val="16"/>
        </w:rPr>
        <w:t>a</w:t>
      </w:r>
      <w:r w:rsidRPr="00432ABC">
        <w:rPr>
          <w:rFonts w:ascii="Verdana" w:hAnsi="Verdana"/>
          <w:sz w:val="16"/>
          <w:szCs w:val="16"/>
        </w:rPr>
        <w:t>l 31 de julio de 2015.</w:t>
      </w:r>
    </w:p>
  </w:footnote>
  <w:footnote w:id="297">
    <w:p w14:paraId="64AA6257" w14:textId="677DE995" w:rsidR="00146958" w:rsidRPr="00432ABC" w:rsidRDefault="00146958">
      <w:pPr>
        <w:pStyle w:val="FootnoteText"/>
        <w:jc w:val="both"/>
        <w:rPr>
          <w:rFonts w:ascii="Verdana" w:hAnsi="Verdana"/>
          <w:sz w:val="16"/>
          <w:szCs w:val="16"/>
        </w:rPr>
      </w:pPr>
      <w:r w:rsidRPr="00432ABC">
        <w:rPr>
          <w:rStyle w:val="FootnoteReference"/>
          <w:rFonts w:ascii="Verdana" w:hAnsi="Verdana"/>
          <w:sz w:val="16"/>
          <w:szCs w:val="16"/>
        </w:rPr>
        <w:footnoteRef/>
      </w:r>
      <w:r w:rsidRPr="00432ABC">
        <w:rPr>
          <w:rFonts w:ascii="Verdana" w:hAnsi="Verdana"/>
          <w:sz w:val="16"/>
          <w:szCs w:val="16"/>
        </w:rPr>
        <w:t xml:space="preserve"> </w:t>
      </w:r>
      <w:r w:rsidRPr="00432ABC">
        <w:rPr>
          <w:rFonts w:ascii="Verdana" w:hAnsi="Verdana"/>
          <w:sz w:val="16"/>
          <w:szCs w:val="16"/>
        </w:rPr>
        <w:tab/>
      </w:r>
      <w:r w:rsidRPr="00CD5C54">
        <w:rPr>
          <w:rFonts w:ascii="Verdana" w:hAnsi="Verdana"/>
          <w:i/>
          <w:sz w:val="16"/>
          <w:szCs w:val="16"/>
        </w:rPr>
        <w:t>Cfr.</w:t>
      </w:r>
      <w:r w:rsidRPr="002C462C">
        <w:rPr>
          <w:rFonts w:ascii="Verdana" w:hAnsi="Verdana"/>
          <w:sz w:val="16"/>
          <w:szCs w:val="16"/>
        </w:rPr>
        <w:t xml:space="preserve"> Pliego de consignación sin detenido de 31 de marzo de 2014 suscrito por el </w:t>
      </w:r>
      <w:r w:rsidRPr="00432ABC">
        <w:rPr>
          <w:rFonts w:ascii="Verdana" w:hAnsi="Verdana" w:cs="Cambria"/>
          <w:sz w:val="16"/>
          <w:szCs w:val="16"/>
        </w:rPr>
        <w:t xml:space="preserve">AMPF titular de la Mesa </w:t>
      </w:r>
      <w:r>
        <w:rPr>
          <w:rFonts w:ascii="Verdana" w:hAnsi="Verdana" w:cs="Cambria"/>
          <w:sz w:val="16"/>
          <w:szCs w:val="16"/>
        </w:rPr>
        <w:t>V</w:t>
      </w:r>
      <w:r w:rsidRPr="00432ABC">
        <w:rPr>
          <w:rFonts w:ascii="Verdana" w:hAnsi="Verdana" w:cs="Cambria"/>
          <w:sz w:val="16"/>
          <w:szCs w:val="16"/>
        </w:rPr>
        <w:t xml:space="preserve"> de la AMPF5ªM – UEBP</w:t>
      </w:r>
      <w:r>
        <w:rPr>
          <w:rFonts w:ascii="Verdana" w:hAnsi="Verdana" w:cs="Cambria"/>
          <w:sz w:val="16"/>
          <w:szCs w:val="16"/>
        </w:rPr>
        <w:t>D</w:t>
      </w:r>
      <w:r w:rsidRPr="00432ABC">
        <w:rPr>
          <w:rFonts w:ascii="Verdana" w:hAnsi="Verdana" w:cs="Cambria"/>
          <w:sz w:val="16"/>
          <w:szCs w:val="16"/>
        </w:rPr>
        <w:t xml:space="preserve"> </w:t>
      </w:r>
      <w:r w:rsidRPr="00432ABC">
        <w:rPr>
          <w:rFonts w:ascii="Verdana" w:hAnsi="Verdana"/>
          <w:sz w:val="16"/>
          <w:szCs w:val="16"/>
        </w:rPr>
        <w:t>(expediente de prueba, expediente judicial</w:t>
      </w:r>
      <w:r>
        <w:rPr>
          <w:rFonts w:ascii="Verdana" w:hAnsi="Verdana"/>
          <w:sz w:val="16"/>
          <w:szCs w:val="16"/>
        </w:rPr>
        <w:t xml:space="preserve">, </w:t>
      </w:r>
      <w:r w:rsidRPr="00432ABC">
        <w:rPr>
          <w:rFonts w:ascii="Verdana" w:hAnsi="Verdana"/>
          <w:sz w:val="16"/>
          <w:szCs w:val="16"/>
        </w:rPr>
        <w:t>ff. 17016 a 17121).</w:t>
      </w:r>
    </w:p>
  </w:footnote>
  <w:footnote w:id="298">
    <w:p w14:paraId="64AA6258" w14:textId="40B0016D" w:rsidR="00146958" w:rsidRPr="00432ABC" w:rsidRDefault="00146958">
      <w:pPr>
        <w:pStyle w:val="FootnoteText"/>
        <w:jc w:val="both"/>
        <w:rPr>
          <w:rFonts w:ascii="Verdana" w:hAnsi="Verdana"/>
          <w:sz w:val="16"/>
          <w:szCs w:val="16"/>
        </w:rPr>
      </w:pPr>
      <w:r w:rsidRPr="00432ABC">
        <w:rPr>
          <w:rStyle w:val="FootnoteReference"/>
          <w:rFonts w:ascii="Verdana" w:hAnsi="Verdana"/>
          <w:sz w:val="16"/>
          <w:szCs w:val="16"/>
        </w:rPr>
        <w:footnoteRef/>
      </w:r>
      <w:r w:rsidRPr="00432ABC">
        <w:rPr>
          <w:rFonts w:ascii="Verdana" w:hAnsi="Verdana"/>
          <w:sz w:val="16"/>
          <w:szCs w:val="16"/>
        </w:rPr>
        <w:t xml:space="preserve"> </w:t>
      </w:r>
      <w:r w:rsidRPr="00432ABC">
        <w:rPr>
          <w:rFonts w:ascii="Verdana" w:hAnsi="Verdana"/>
          <w:sz w:val="16"/>
          <w:szCs w:val="16"/>
        </w:rPr>
        <w:tab/>
      </w:r>
      <w:r w:rsidRPr="00CD5C54">
        <w:rPr>
          <w:rFonts w:ascii="Verdana" w:hAnsi="Verdana"/>
          <w:i/>
          <w:sz w:val="16"/>
          <w:szCs w:val="16"/>
        </w:rPr>
        <w:t>Cfr.</w:t>
      </w:r>
      <w:r w:rsidRPr="002C462C">
        <w:rPr>
          <w:rFonts w:ascii="Verdana" w:hAnsi="Verdana"/>
          <w:sz w:val="16"/>
          <w:szCs w:val="16"/>
        </w:rPr>
        <w:t xml:space="preserve"> Pliego de consignación sin detenido de 31 de marzo de 2014 suscrito por el AMPF5ªM – UEBDP, </w:t>
      </w:r>
      <w:r w:rsidRPr="00432ABC">
        <w:rPr>
          <w:rFonts w:ascii="Verdana" w:hAnsi="Verdana"/>
          <w:i/>
          <w:sz w:val="16"/>
          <w:szCs w:val="16"/>
        </w:rPr>
        <w:t xml:space="preserve">supra </w:t>
      </w:r>
      <w:r w:rsidRPr="00432ABC">
        <w:rPr>
          <w:rFonts w:ascii="Verdana" w:hAnsi="Verdana"/>
          <w:sz w:val="16"/>
          <w:szCs w:val="16"/>
        </w:rPr>
        <w:t xml:space="preserve">f. 17025. </w:t>
      </w:r>
    </w:p>
  </w:footnote>
  <w:footnote w:id="299">
    <w:p w14:paraId="64AA6259" w14:textId="427D236C" w:rsidR="00146958" w:rsidRPr="002C462C" w:rsidRDefault="00146958">
      <w:pPr>
        <w:pStyle w:val="FootnoteText"/>
        <w:jc w:val="both"/>
        <w:rPr>
          <w:rFonts w:ascii="Verdana" w:hAnsi="Verdana"/>
          <w:sz w:val="16"/>
          <w:szCs w:val="16"/>
        </w:rPr>
      </w:pPr>
      <w:r w:rsidRPr="00432ABC">
        <w:rPr>
          <w:rStyle w:val="FootnoteReference"/>
          <w:rFonts w:ascii="Verdana" w:hAnsi="Verdana"/>
          <w:sz w:val="16"/>
          <w:szCs w:val="16"/>
        </w:rPr>
        <w:footnoteRef/>
      </w:r>
      <w:r w:rsidRPr="00432ABC">
        <w:rPr>
          <w:rFonts w:ascii="Verdana" w:hAnsi="Verdana"/>
          <w:sz w:val="16"/>
          <w:szCs w:val="16"/>
        </w:rPr>
        <w:t xml:space="preserve"> </w:t>
      </w:r>
      <w:r w:rsidRPr="00432ABC">
        <w:rPr>
          <w:rFonts w:ascii="Verdana" w:hAnsi="Verdana"/>
          <w:sz w:val="16"/>
          <w:szCs w:val="16"/>
        </w:rPr>
        <w:tab/>
      </w:r>
      <w:r w:rsidRPr="00CD5C54">
        <w:rPr>
          <w:rFonts w:ascii="Verdana" w:hAnsi="Verdana"/>
          <w:i/>
          <w:sz w:val="16"/>
          <w:szCs w:val="16"/>
        </w:rPr>
        <w:t>Cfr.</w:t>
      </w:r>
      <w:r w:rsidRPr="002C462C">
        <w:rPr>
          <w:rFonts w:ascii="Verdana" w:hAnsi="Verdana"/>
          <w:sz w:val="16"/>
          <w:szCs w:val="16"/>
        </w:rPr>
        <w:t xml:space="preserve"> Resolución de 31 de marzo de 2014 dentro de la Causa Penal 22/2014-III del J7ºDtto - Chihuahua (expediente de prueba, </w:t>
      </w:r>
      <w:r>
        <w:rPr>
          <w:rFonts w:ascii="Verdana" w:hAnsi="Verdana"/>
          <w:sz w:val="16"/>
          <w:szCs w:val="16"/>
        </w:rPr>
        <w:t>e</w:t>
      </w:r>
      <w:r w:rsidRPr="002C462C">
        <w:rPr>
          <w:rFonts w:ascii="Verdana" w:hAnsi="Verdana"/>
          <w:sz w:val="16"/>
          <w:szCs w:val="16"/>
        </w:rPr>
        <w:t xml:space="preserve">xpediente </w:t>
      </w:r>
      <w:r>
        <w:rPr>
          <w:rFonts w:ascii="Verdana" w:hAnsi="Verdana"/>
          <w:sz w:val="16"/>
          <w:szCs w:val="16"/>
        </w:rPr>
        <w:t>pen</w:t>
      </w:r>
      <w:r w:rsidRPr="002C462C">
        <w:rPr>
          <w:rFonts w:ascii="Verdana" w:hAnsi="Verdana"/>
          <w:sz w:val="16"/>
          <w:szCs w:val="16"/>
        </w:rPr>
        <w:t>al, f. 17155).</w:t>
      </w:r>
    </w:p>
  </w:footnote>
  <w:footnote w:id="300">
    <w:p w14:paraId="64AA625A" w14:textId="2C11E250" w:rsidR="00146958" w:rsidRPr="00432ABC" w:rsidRDefault="00146958">
      <w:pPr>
        <w:pStyle w:val="FootnoteText"/>
        <w:jc w:val="both"/>
        <w:rPr>
          <w:rFonts w:ascii="Verdana" w:hAnsi="Verdana"/>
          <w:sz w:val="16"/>
          <w:szCs w:val="16"/>
        </w:rPr>
      </w:pPr>
      <w:r w:rsidRPr="00432ABC">
        <w:rPr>
          <w:rStyle w:val="FootnoteReference"/>
          <w:rFonts w:ascii="Verdana" w:hAnsi="Verdana"/>
          <w:sz w:val="16"/>
          <w:szCs w:val="16"/>
        </w:rPr>
        <w:footnoteRef/>
      </w:r>
      <w:r w:rsidRPr="00432ABC">
        <w:rPr>
          <w:rFonts w:ascii="Verdana" w:hAnsi="Verdana"/>
          <w:sz w:val="16"/>
          <w:szCs w:val="16"/>
        </w:rPr>
        <w:t xml:space="preserve"> </w:t>
      </w:r>
      <w:r w:rsidRPr="00432ABC">
        <w:rPr>
          <w:rFonts w:ascii="Verdana" w:hAnsi="Verdana"/>
          <w:sz w:val="16"/>
          <w:szCs w:val="16"/>
        </w:rPr>
        <w:tab/>
      </w:r>
      <w:r w:rsidRPr="00CD5C54">
        <w:rPr>
          <w:rFonts w:ascii="Verdana" w:hAnsi="Verdana"/>
          <w:i/>
          <w:sz w:val="16"/>
          <w:szCs w:val="16"/>
        </w:rPr>
        <w:t>Cfr.</w:t>
      </w:r>
      <w:r w:rsidRPr="002C462C">
        <w:rPr>
          <w:rFonts w:ascii="Verdana" w:hAnsi="Verdana"/>
          <w:sz w:val="16"/>
          <w:szCs w:val="16"/>
        </w:rPr>
        <w:t xml:space="preserve"> Acuerdo de 3 de abril de 2014 dictado por el Juez Séptimo de Distrito </w:t>
      </w:r>
      <w:r w:rsidRPr="00432ABC">
        <w:rPr>
          <w:rFonts w:ascii="Verdana" w:hAnsi="Verdana"/>
          <w:sz w:val="16"/>
          <w:szCs w:val="16"/>
        </w:rPr>
        <w:t xml:space="preserve">en el Estado de Chihuahua (expediente de prueba, prueba para mejor resolver remitida por el Estado, f. 31698); </w:t>
      </w:r>
      <w:r>
        <w:rPr>
          <w:rFonts w:ascii="Verdana" w:hAnsi="Verdana"/>
          <w:sz w:val="16"/>
          <w:szCs w:val="16"/>
        </w:rPr>
        <w:t>O</w:t>
      </w:r>
      <w:r w:rsidRPr="00432ABC">
        <w:rPr>
          <w:rFonts w:ascii="Verdana" w:hAnsi="Verdana"/>
          <w:sz w:val="16"/>
          <w:szCs w:val="16"/>
        </w:rPr>
        <w:t xml:space="preserve">ficio 2971 de 3 de abril de 2014 suscrito por el J7ºDtto – Chihuahua, dirigido al </w:t>
      </w:r>
      <w:r>
        <w:rPr>
          <w:rFonts w:ascii="Verdana" w:hAnsi="Verdana"/>
          <w:sz w:val="16"/>
          <w:szCs w:val="16"/>
        </w:rPr>
        <w:t>M</w:t>
      </w:r>
      <w:r w:rsidRPr="00432ABC">
        <w:rPr>
          <w:rFonts w:ascii="Verdana" w:hAnsi="Verdana"/>
          <w:sz w:val="16"/>
          <w:szCs w:val="16"/>
        </w:rPr>
        <w:t xml:space="preserve">agistrado del Tribunal Unitario de Circuito en turno en Ciudad Juárez (expediente de prueba, prueba para mejor resolver remitida por el Estado, f. 31700); </w:t>
      </w:r>
      <w:r>
        <w:rPr>
          <w:rFonts w:ascii="Verdana" w:hAnsi="Verdana"/>
          <w:sz w:val="16"/>
          <w:szCs w:val="16"/>
        </w:rPr>
        <w:t>a</w:t>
      </w:r>
      <w:r w:rsidRPr="00432ABC">
        <w:rPr>
          <w:rFonts w:ascii="Verdana" w:hAnsi="Verdana"/>
          <w:sz w:val="16"/>
          <w:szCs w:val="16"/>
        </w:rPr>
        <w:t>uto de admisión de</w:t>
      </w:r>
      <w:r>
        <w:rPr>
          <w:rFonts w:ascii="Verdana" w:hAnsi="Verdana"/>
          <w:sz w:val="16"/>
          <w:szCs w:val="16"/>
        </w:rPr>
        <w:t>l</w:t>
      </w:r>
      <w:r w:rsidRPr="00432ABC">
        <w:rPr>
          <w:rFonts w:ascii="Verdana" w:hAnsi="Verdana"/>
          <w:sz w:val="16"/>
          <w:szCs w:val="16"/>
        </w:rPr>
        <w:t xml:space="preserve"> </w:t>
      </w:r>
      <w:r>
        <w:rPr>
          <w:rFonts w:ascii="Verdana" w:hAnsi="Verdana"/>
          <w:sz w:val="16"/>
          <w:szCs w:val="16"/>
        </w:rPr>
        <w:t>r</w:t>
      </w:r>
      <w:r w:rsidRPr="00432ABC">
        <w:rPr>
          <w:rFonts w:ascii="Verdana" w:hAnsi="Verdana"/>
          <w:sz w:val="16"/>
          <w:szCs w:val="16"/>
        </w:rPr>
        <w:t xml:space="preserve">ecurso de </w:t>
      </w:r>
      <w:r>
        <w:rPr>
          <w:rFonts w:ascii="Verdana" w:hAnsi="Verdana"/>
          <w:sz w:val="16"/>
          <w:szCs w:val="16"/>
        </w:rPr>
        <w:t>a</w:t>
      </w:r>
      <w:r w:rsidRPr="00432ABC">
        <w:rPr>
          <w:rFonts w:ascii="Verdana" w:hAnsi="Verdana"/>
          <w:sz w:val="16"/>
          <w:szCs w:val="16"/>
        </w:rPr>
        <w:t xml:space="preserve">pelación de 3 abril de 2014 dentro de la Causa Penal 22/2014-III proveído por el J7ºDtto - Chihuahua (expediente de prueba, </w:t>
      </w:r>
      <w:r>
        <w:rPr>
          <w:rFonts w:ascii="Verdana" w:hAnsi="Verdana"/>
          <w:sz w:val="16"/>
          <w:szCs w:val="16"/>
        </w:rPr>
        <w:t>e</w:t>
      </w:r>
      <w:r w:rsidRPr="00432ABC">
        <w:rPr>
          <w:rFonts w:ascii="Verdana" w:hAnsi="Verdana"/>
          <w:sz w:val="16"/>
          <w:szCs w:val="16"/>
        </w:rPr>
        <w:t xml:space="preserve">xpediente penal, ff. 17158 y 17159), y Pedimento No. 45/2014 de 24 de abril de 2014 suscrito por la AMPF Fiscal Ejecutiva Asistente adscrita al Cuarto Tribunal Unitario del 17º Circuito, por el que formula agravios dentro del Toca Penal 96/2014 (expediente de prueba, </w:t>
      </w:r>
      <w:r>
        <w:rPr>
          <w:rFonts w:ascii="Verdana" w:hAnsi="Verdana"/>
          <w:sz w:val="16"/>
          <w:szCs w:val="16"/>
        </w:rPr>
        <w:t>e</w:t>
      </w:r>
      <w:r w:rsidRPr="00432ABC">
        <w:rPr>
          <w:rFonts w:ascii="Verdana" w:hAnsi="Verdana"/>
          <w:sz w:val="16"/>
          <w:szCs w:val="16"/>
        </w:rPr>
        <w:t>xpediente penal, ff. 17265 a 17300).</w:t>
      </w:r>
    </w:p>
  </w:footnote>
  <w:footnote w:id="301">
    <w:p w14:paraId="64AA625B" w14:textId="5AFED324" w:rsidR="00146958" w:rsidRPr="002C462C" w:rsidRDefault="00146958">
      <w:pPr>
        <w:pStyle w:val="FootnoteText"/>
        <w:jc w:val="both"/>
        <w:rPr>
          <w:rFonts w:ascii="Verdana" w:hAnsi="Verdana"/>
          <w:sz w:val="16"/>
          <w:szCs w:val="16"/>
        </w:rPr>
      </w:pPr>
      <w:r w:rsidRPr="00432ABC">
        <w:rPr>
          <w:rStyle w:val="FootnoteReference"/>
          <w:rFonts w:ascii="Verdana" w:hAnsi="Verdana"/>
          <w:sz w:val="16"/>
          <w:szCs w:val="16"/>
        </w:rPr>
        <w:footnoteRef/>
      </w:r>
      <w:r w:rsidRPr="00432ABC">
        <w:rPr>
          <w:rFonts w:ascii="Verdana" w:hAnsi="Verdana"/>
          <w:sz w:val="16"/>
          <w:szCs w:val="16"/>
        </w:rPr>
        <w:t xml:space="preserve"> </w:t>
      </w:r>
      <w:r w:rsidRPr="00432ABC">
        <w:rPr>
          <w:rFonts w:ascii="Verdana" w:hAnsi="Verdana"/>
          <w:sz w:val="16"/>
          <w:szCs w:val="16"/>
        </w:rPr>
        <w:tab/>
      </w:r>
      <w:r w:rsidRPr="00CD5C54">
        <w:rPr>
          <w:rFonts w:ascii="Verdana" w:hAnsi="Verdana"/>
          <w:i/>
          <w:sz w:val="16"/>
          <w:szCs w:val="16"/>
        </w:rPr>
        <w:t>Cfr.</w:t>
      </w:r>
      <w:r w:rsidRPr="002C462C">
        <w:rPr>
          <w:rFonts w:ascii="Verdana" w:hAnsi="Verdana"/>
          <w:sz w:val="16"/>
          <w:szCs w:val="16"/>
        </w:rPr>
        <w:t xml:space="preserve"> Sentencia del Toca Penal 94/2014 dictada el 27 de junio de 2014 por la </w:t>
      </w:r>
      <w:r>
        <w:rPr>
          <w:rFonts w:ascii="Verdana" w:hAnsi="Verdana"/>
          <w:sz w:val="16"/>
          <w:szCs w:val="16"/>
        </w:rPr>
        <w:t>M</w:t>
      </w:r>
      <w:r w:rsidRPr="002C462C">
        <w:rPr>
          <w:rFonts w:ascii="Verdana" w:hAnsi="Verdana"/>
          <w:sz w:val="16"/>
          <w:szCs w:val="16"/>
        </w:rPr>
        <w:t>agistrada del 4ºTU/17ºC - Chihuahua (expediente de prueba, ff. 28592 a 28696).</w:t>
      </w:r>
    </w:p>
  </w:footnote>
  <w:footnote w:id="302">
    <w:p w14:paraId="64AA625C" w14:textId="2852095D" w:rsidR="00146958" w:rsidRPr="002C462C" w:rsidRDefault="00146958">
      <w:pPr>
        <w:pStyle w:val="FootnoteText"/>
        <w:jc w:val="both"/>
        <w:rPr>
          <w:rFonts w:ascii="Verdana" w:hAnsi="Verdana"/>
          <w:sz w:val="16"/>
          <w:szCs w:val="16"/>
        </w:rPr>
      </w:pPr>
      <w:r w:rsidRPr="00432ABC">
        <w:rPr>
          <w:rStyle w:val="FootnoteReference"/>
          <w:rFonts w:ascii="Verdana" w:hAnsi="Verdana"/>
          <w:sz w:val="16"/>
          <w:szCs w:val="16"/>
        </w:rPr>
        <w:footnoteRef/>
      </w:r>
      <w:r w:rsidRPr="00432ABC">
        <w:rPr>
          <w:rFonts w:ascii="Verdana" w:hAnsi="Verdana"/>
          <w:sz w:val="16"/>
          <w:szCs w:val="16"/>
        </w:rPr>
        <w:t xml:space="preserve"> </w:t>
      </w:r>
      <w:r w:rsidRPr="00432ABC">
        <w:rPr>
          <w:rFonts w:ascii="Verdana" w:hAnsi="Verdana"/>
          <w:sz w:val="16"/>
          <w:szCs w:val="16"/>
        </w:rPr>
        <w:tab/>
      </w:r>
      <w:r w:rsidRPr="00CD5C54">
        <w:rPr>
          <w:rFonts w:ascii="Verdana" w:hAnsi="Verdana"/>
          <w:i/>
          <w:sz w:val="16"/>
          <w:szCs w:val="16"/>
        </w:rPr>
        <w:t>Cfr.</w:t>
      </w:r>
      <w:r w:rsidRPr="002C462C">
        <w:rPr>
          <w:rFonts w:ascii="Verdana" w:hAnsi="Verdana"/>
          <w:sz w:val="16"/>
          <w:szCs w:val="16"/>
        </w:rPr>
        <w:t xml:space="preserve"> Resolución del Juicio de Amparo Indirecto 21/2014 de 31 de diciembre de 2014 emitida por el titular del 3ºTU/17ºC – Chihuahua (expediente de prueba, f. 1246).</w:t>
      </w:r>
    </w:p>
  </w:footnote>
  <w:footnote w:id="303">
    <w:p w14:paraId="64AA625D" w14:textId="58C79B37" w:rsidR="00146958" w:rsidRPr="00432ABC" w:rsidRDefault="00146958">
      <w:pPr>
        <w:pStyle w:val="FootnoteText"/>
        <w:jc w:val="both"/>
        <w:rPr>
          <w:rFonts w:ascii="Verdana" w:hAnsi="Verdana"/>
          <w:sz w:val="16"/>
          <w:szCs w:val="16"/>
        </w:rPr>
      </w:pPr>
      <w:r w:rsidRPr="00432ABC">
        <w:rPr>
          <w:rStyle w:val="FootnoteReference"/>
          <w:rFonts w:ascii="Verdana" w:hAnsi="Verdana"/>
          <w:sz w:val="16"/>
          <w:szCs w:val="16"/>
        </w:rPr>
        <w:footnoteRef/>
      </w:r>
      <w:r w:rsidRPr="00432ABC">
        <w:rPr>
          <w:rFonts w:ascii="Verdana" w:hAnsi="Verdana"/>
          <w:sz w:val="16"/>
          <w:szCs w:val="16"/>
        </w:rPr>
        <w:t xml:space="preserve"> </w:t>
      </w:r>
      <w:r w:rsidRPr="00432ABC">
        <w:rPr>
          <w:rFonts w:ascii="Verdana" w:hAnsi="Verdana"/>
          <w:sz w:val="16"/>
          <w:szCs w:val="16"/>
        </w:rPr>
        <w:tab/>
      </w:r>
      <w:r w:rsidRPr="00CD5C54">
        <w:rPr>
          <w:rFonts w:ascii="Verdana" w:hAnsi="Verdana"/>
          <w:i/>
          <w:sz w:val="16"/>
          <w:szCs w:val="16"/>
        </w:rPr>
        <w:t>Cfr.</w:t>
      </w:r>
      <w:r w:rsidRPr="002C462C">
        <w:rPr>
          <w:rFonts w:ascii="Verdana" w:hAnsi="Verdana"/>
          <w:sz w:val="16"/>
          <w:szCs w:val="16"/>
        </w:rPr>
        <w:t xml:space="preserve"> Resolución de 17 de septiembre de 2014 emitida p</w:t>
      </w:r>
      <w:r w:rsidRPr="00432ABC">
        <w:rPr>
          <w:rFonts w:ascii="Verdana" w:hAnsi="Verdana"/>
          <w:sz w:val="16"/>
          <w:szCs w:val="16"/>
        </w:rPr>
        <w:t xml:space="preserve">or el </w:t>
      </w:r>
      <w:r>
        <w:rPr>
          <w:rFonts w:ascii="Verdana" w:hAnsi="Verdana"/>
          <w:sz w:val="16"/>
          <w:szCs w:val="16"/>
        </w:rPr>
        <w:t>M</w:t>
      </w:r>
      <w:r w:rsidRPr="00432ABC">
        <w:rPr>
          <w:rFonts w:ascii="Verdana" w:hAnsi="Verdana"/>
          <w:sz w:val="16"/>
          <w:szCs w:val="16"/>
        </w:rPr>
        <w:t xml:space="preserve">agistrado del </w:t>
      </w:r>
      <w:r w:rsidRPr="00432ABC">
        <w:rPr>
          <w:rFonts w:ascii="Verdana" w:hAnsi="Verdana" w:cs="Cambria"/>
          <w:sz w:val="16"/>
          <w:szCs w:val="16"/>
        </w:rPr>
        <w:t xml:space="preserve">3ºTU/17ºC </w:t>
      </w:r>
      <w:r w:rsidRPr="00432ABC">
        <w:rPr>
          <w:rFonts w:ascii="Verdana" w:hAnsi="Verdana"/>
          <w:sz w:val="16"/>
          <w:szCs w:val="16"/>
        </w:rPr>
        <w:t>(expediente de prueba, prueba para mejor resolver remitida por el Estado, f. 32475).</w:t>
      </w:r>
    </w:p>
  </w:footnote>
  <w:footnote w:id="304">
    <w:p w14:paraId="64AA625E" w14:textId="4E556AB2" w:rsidR="00146958" w:rsidRPr="00432ABC" w:rsidRDefault="00146958">
      <w:pPr>
        <w:pStyle w:val="FootnoteText"/>
        <w:jc w:val="both"/>
        <w:rPr>
          <w:rFonts w:ascii="Verdana" w:hAnsi="Verdana"/>
          <w:sz w:val="16"/>
          <w:szCs w:val="16"/>
        </w:rPr>
      </w:pPr>
      <w:r w:rsidRPr="00432ABC">
        <w:rPr>
          <w:rStyle w:val="FootnoteReference"/>
          <w:rFonts w:ascii="Verdana" w:hAnsi="Verdana"/>
          <w:sz w:val="16"/>
          <w:szCs w:val="16"/>
        </w:rPr>
        <w:footnoteRef/>
      </w:r>
      <w:r w:rsidRPr="00432ABC">
        <w:rPr>
          <w:rFonts w:ascii="Verdana" w:hAnsi="Verdana"/>
          <w:sz w:val="16"/>
          <w:szCs w:val="16"/>
        </w:rPr>
        <w:t xml:space="preserve"> </w:t>
      </w:r>
      <w:r w:rsidRPr="00432ABC">
        <w:rPr>
          <w:rFonts w:ascii="Verdana" w:hAnsi="Verdana"/>
          <w:sz w:val="16"/>
          <w:szCs w:val="16"/>
        </w:rPr>
        <w:tab/>
      </w:r>
      <w:r w:rsidRPr="00CD5C54">
        <w:rPr>
          <w:rFonts w:ascii="Verdana" w:hAnsi="Verdana"/>
          <w:i/>
          <w:sz w:val="16"/>
          <w:szCs w:val="16"/>
        </w:rPr>
        <w:t>Cfr.</w:t>
      </w:r>
      <w:r w:rsidRPr="002C462C">
        <w:rPr>
          <w:rFonts w:ascii="Verdana" w:hAnsi="Verdana"/>
          <w:sz w:val="16"/>
          <w:szCs w:val="16"/>
        </w:rPr>
        <w:t xml:space="preserve"> Escrito de Queja promovido el 29 de septiembre de 2014 (expediente de prueba, prueba para mejor resolver remitida por el Estado, </w:t>
      </w:r>
      <w:r>
        <w:rPr>
          <w:rFonts w:ascii="Verdana" w:hAnsi="Verdana"/>
          <w:sz w:val="16"/>
          <w:szCs w:val="16"/>
        </w:rPr>
        <w:t>f</w:t>
      </w:r>
      <w:r w:rsidRPr="002C462C">
        <w:rPr>
          <w:rFonts w:ascii="Verdana" w:hAnsi="Verdana"/>
          <w:sz w:val="16"/>
          <w:szCs w:val="16"/>
        </w:rPr>
        <w:t xml:space="preserve">f. </w:t>
      </w:r>
      <w:r w:rsidRPr="00432ABC">
        <w:rPr>
          <w:rFonts w:ascii="Verdana" w:hAnsi="Verdana"/>
          <w:sz w:val="16"/>
          <w:szCs w:val="16"/>
        </w:rPr>
        <w:t xml:space="preserve">32486 a 32490). </w:t>
      </w:r>
    </w:p>
  </w:footnote>
  <w:footnote w:id="305">
    <w:p w14:paraId="64AA625F" w14:textId="7EF0F4AB" w:rsidR="00146958" w:rsidRPr="00432ABC" w:rsidRDefault="00146958">
      <w:pPr>
        <w:pStyle w:val="FootnoteText"/>
        <w:jc w:val="both"/>
        <w:rPr>
          <w:rFonts w:ascii="Verdana" w:hAnsi="Verdana"/>
          <w:sz w:val="16"/>
          <w:szCs w:val="16"/>
        </w:rPr>
      </w:pPr>
      <w:r w:rsidRPr="00432ABC">
        <w:rPr>
          <w:rStyle w:val="FootnoteReference"/>
          <w:rFonts w:ascii="Verdana" w:hAnsi="Verdana"/>
          <w:sz w:val="16"/>
          <w:szCs w:val="16"/>
        </w:rPr>
        <w:footnoteRef/>
      </w:r>
      <w:r w:rsidRPr="00432ABC">
        <w:rPr>
          <w:rFonts w:ascii="Verdana" w:hAnsi="Verdana"/>
          <w:sz w:val="16"/>
          <w:szCs w:val="16"/>
        </w:rPr>
        <w:t xml:space="preserve"> </w:t>
      </w:r>
      <w:r w:rsidRPr="00432ABC">
        <w:rPr>
          <w:rFonts w:ascii="Verdana" w:hAnsi="Verdana"/>
          <w:sz w:val="16"/>
          <w:szCs w:val="16"/>
        </w:rPr>
        <w:tab/>
      </w:r>
      <w:r w:rsidRPr="00CD5C54">
        <w:rPr>
          <w:rFonts w:ascii="Verdana" w:hAnsi="Verdana"/>
          <w:i/>
          <w:sz w:val="16"/>
          <w:szCs w:val="16"/>
        </w:rPr>
        <w:t>Cfr.</w:t>
      </w:r>
      <w:r w:rsidRPr="002C462C">
        <w:rPr>
          <w:rFonts w:ascii="Verdana" w:hAnsi="Verdana"/>
          <w:sz w:val="16"/>
          <w:szCs w:val="16"/>
        </w:rPr>
        <w:t xml:space="preserve"> Acuerdo del Tribunal Colegiado de</w:t>
      </w:r>
      <w:r>
        <w:rPr>
          <w:rFonts w:ascii="Verdana" w:hAnsi="Verdana"/>
          <w:sz w:val="16"/>
          <w:szCs w:val="16"/>
        </w:rPr>
        <w:t>l Decimoséptimo</w:t>
      </w:r>
      <w:r w:rsidRPr="002C462C">
        <w:rPr>
          <w:rFonts w:ascii="Verdana" w:hAnsi="Verdana"/>
          <w:sz w:val="16"/>
          <w:szCs w:val="16"/>
        </w:rPr>
        <w:t xml:space="preserve"> Circuito de 21 de noviembre de 2014 (expediente de prueba, prueba para mejor resolver remitida por el Estado, f. 32522). </w:t>
      </w:r>
      <w:r w:rsidRPr="00432ABC">
        <w:rPr>
          <w:rFonts w:ascii="Verdana" w:hAnsi="Verdana"/>
          <w:sz w:val="16"/>
          <w:szCs w:val="16"/>
          <w:highlight w:val="lightGray"/>
        </w:rPr>
        <w:t xml:space="preserve"> </w:t>
      </w:r>
    </w:p>
  </w:footnote>
  <w:footnote w:id="306">
    <w:p w14:paraId="64AA6260" w14:textId="4C5AD6BF" w:rsidR="00146958" w:rsidRPr="00432ABC" w:rsidRDefault="00146958">
      <w:pPr>
        <w:pStyle w:val="FootnoteText"/>
        <w:jc w:val="both"/>
        <w:rPr>
          <w:rFonts w:ascii="Verdana" w:hAnsi="Verdana"/>
          <w:sz w:val="16"/>
          <w:szCs w:val="16"/>
        </w:rPr>
      </w:pPr>
      <w:r w:rsidRPr="00432ABC">
        <w:rPr>
          <w:rStyle w:val="FootnoteReference"/>
          <w:rFonts w:ascii="Verdana" w:hAnsi="Verdana"/>
          <w:sz w:val="16"/>
          <w:szCs w:val="16"/>
        </w:rPr>
        <w:footnoteRef/>
      </w:r>
      <w:r w:rsidRPr="00432ABC">
        <w:rPr>
          <w:rFonts w:ascii="Verdana" w:hAnsi="Verdana"/>
          <w:sz w:val="16"/>
          <w:szCs w:val="16"/>
        </w:rPr>
        <w:t xml:space="preserve"> </w:t>
      </w:r>
      <w:r w:rsidRPr="00432ABC">
        <w:rPr>
          <w:rFonts w:ascii="Verdana" w:hAnsi="Verdana"/>
          <w:sz w:val="16"/>
          <w:szCs w:val="16"/>
        </w:rPr>
        <w:tab/>
      </w:r>
      <w:r w:rsidRPr="00CD5C54">
        <w:rPr>
          <w:rFonts w:ascii="Verdana" w:hAnsi="Verdana"/>
          <w:i/>
          <w:sz w:val="16"/>
          <w:szCs w:val="16"/>
        </w:rPr>
        <w:t>Cfr.</w:t>
      </w:r>
      <w:r w:rsidRPr="002C462C">
        <w:rPr>
          <w:rFonts w:ascii="Verdana" w:hAnsi="Verdana"/>
          <w:sz w:val="16"/>
          <w:szCs w:val="16"/>
        </w:rPr>
        <w:t xml:space="preserve"> Acuerdo de 5 de diciembre de 2014 suscrito por el magistrado del 3</w:t>
      </w:r>
      <w:r w:rsidRPr="00432ABC">
        <w:rPr>
          <w:rFonts w:ascii="Verdana" w:hAnsi="Verdana"/>
          <w:sz w:val="16"/>
          <w:szCs w:val="16"/>
        </w:rPr>
        <w:t>ºTU/17ºC – Chihuahua (expediente de prueba, prueba para mejor resolver remitida por el Estado, f. 32526).</w:t>
      </w:r>
      <w:r w:rsidRPr="00432ABC">
        <w:rPr>
          <w:rFonts w:ascii="Verdana" w:hAnsi="Verdana"/>
          <w:sz w:val="16"/>
          <w:szCs w:val="16"/>
          <w:highlight w:val="lightGray"/>
        </w:rPr>
        <w:t xml:space="preserve"> </w:t>
      </w:r>
    </w:p>
  </w:footnote>
  <w:footnote w:id="307">
    <w:p w14:paraId="64AA6261" w14:textId="510D1F7B" w:rsidR="00146958" w:rsidRPr="00432ABC" w:rsidRDefault="00146958">
      <w:pPr>
        <w:pStyle w:val="FootnoteText"/>
        <w:jc w:val="both"/>
        <w:rPr>
          <w:rFonts w:ascii="Verdana" w:hAnsi="Verdana"/>
          <w:sz w:val="16"/>
          <w:szCs w:val="16"/>
        </w:rPr>
      </w:pPr>
      <w:r w:rsidRPr="00432ABC">
        <w:rPr>
          <w:rStyle w:val="FootnoteReference"/>
          <w:rFonts w:ascii="Verdana" w:hAnsi="Verdana"/>
          <w:sz w:val="16"/>
          <w:szCs w:val="16"/>
        </w:rPr>
        <w:footnoteRef/>
      </w:r>
      <w:r w:rsidRPr="00432ABC">
        <w:rPr>
          <w:rFonts w:ascii="Verdana" w:hAnsi="Verdana"/>
          <w:sz w:val="16"/>
          <w:szCs w:val="16"/>
        </w:rPr>
        <w:t xml:space="preserve"> </w:t>
      </w:r>
      <w:r w:rsidRPr="00432ABC">
        <w:rPr>
          <w:rFonts w:ascii="Verdana" w:hAnsi="Verdana"/>
          <w:sz w:val="16"/>
          <w:szCs w:val="16"/>
        </w:rPr>
        <w:tab/>
      </w:r>
      <w:r w:rsidRPr="00CD5C54">
        <w:rPr>
          <w:rFonts w:ascii="Verdana" w:hAnsi="Verdana"/>
          <w:i/>
          <w:sz w:val="16"/>
          <w:szCs w:val="16"/>
        </w:rPr>
        <w:t>Cfr.</w:t>
      </w:r>
      <w:r w:rsidRPr="002C462C">
        <w:rPr>
          <w:rFonts w:ascii="Verdana" w:hAnsi="Verdana"/>
          <w:sz w:val="16"/>
          <w:szCs w:val="16"/>
        </w:rPr>
        <w:t xml:space="preserve"> Resolución del Juicio de Amparo Indirecto 21/2014 de 31 de diciembre de 2014 emitida por el magistrado del 3ºTU/17ºC – Chihuahua</w:t>
      </w:r>
      <w:r>
        <w:rPr>
          <w:rFonts w:ascii="Verdana" w:hAnsi="Verdana"/>
          <w:sz w:val="16"/>
          <w:szCs w:val="16"/>
        </w:rPr>
        <w:t xml:space="preserve"> (expediente de prueba, </w:t>
      </w:r>
      <w:r w:rsidRPr="00432ABC">
        <w:rPr>
          <w:rFonts w:ascii="Verdana" w:hAnsi="Verdana"/>
          <w:sz w:val="16"/>
          <w:szCs w:val="16"/>
        </w:rPr>
        <w:t>ff. 1246 a 137</w:t>
      </w:r>
      <w:r>
        <w:rPr>
          <w:rFonts w:ascii="Verdana" w:hAnsi="Verdana"/>
          <w:sz w:val="16"/>
          <w:szCs w:val="16"/>
        </w:rPr>
        <w:t>5)</w:t>
      </w:r>
      <w:r w:rsidRPr="00432ABC">
        <w:rPr>
          <w:rFonts w:ascii="Verdana" w:hAnsi="Verdana"/>
          <w:sz w:val="16"/>
          <w:szCs w:val="16"/>
        </w:rPr>
        <w:t xml:space="preserve">. </w:t>
      </w:r>
    </w:p>
  </w:footnote>
  <w:footnote w:id="308">
    <w:p w14:paraId="29EBFD3E" w14:textId="0D83EF2F" w:rsidR="00146958" w:rsidRPr="00432ABC" w:rsidRDefault="00146958">
      <w:pPr>
        <w:autoSpaceDE w:val="0"/>
        <w:autoSpaceDN w:val="0"/>
        <w:adjustRightInd w:val="0"/>
        <w:spacing w:after="0" w:line="240" w:lineRule="auto"/>
        <w:jc w:val="both"/>
        <w:rPr>
          <w:rFonts w:ascii="Verdana" w:hAnsi="Verdana"/>
          <w:sz w:val="16"/>
          <w:szCs w:val="16"/>
        </w:rPr>
      </w:pPr>
      <w:r w:rsidRPr="00432ABC">
        <w:rPr>
          <w:rStyle w:val="FootnoteReference"/>
          <w:rFonts w:ascii="Verdana" w:hAnsi="Verdana"/>
          <w:sz w:val="16"/>
          <w:szCs w:val="16"/>
        </w:rPr>
        <w:footnoteRef/>
      </w:r>
      <w:r w:rsidRPr="00432ABC">
        <w:rPr>
          <w:rFonts w:ascii="Verdana" w:hAnsi="Verdana"/>
          <w:sz w:val="16"/>
          <w:szCs w:val="16"/>
        </w:rPr>
        <w:t xml:space="preserve"> </w:t>
      </w:r>
      <w:r w:rsidRPr="00432ABC">
        <w:rPr>
          <w:rFonts w:ascii="Verdana" w:hAnsi="Verdana"/>
          <w:sz w:val="16"/>
          <w:szCs w:val="16"/>
        </w:rPr>
        <w:tab/>
      </w:r>
      <w:r w:rsidRPr="00CD5C54">
        <w:rPr>
          <w:rFonts w:ascii="Verdana" w:hAnsi="Verdana"/>
          <w:i/>
          <w:sz w:val="16"/>
          <w:szCs w:val="16"/>
        </w:rPr>
        <w:t>Cfr.</w:t>
      </w:r>
      <w:r w:rsidRPr="002C462C">
        <w:rPr>
          <w:rFonts w:ascii="Verdana" w:hAnsi="Verdana"/>
          <w:i/>
          <w:sz w:val="16"/>
          <w:szCs w:val="16"/>
        </w:rPr>
        <w:t xml:space="preserve"> </w:t>
      </w:r>
      <w:r w:rsidRPr="002C462C">
        <w:rPr>
          <w:rFonts w:ascii="Verdana" w:hAnsi="Verdana"/>
          <w:sz w:val="16"/>
          <w:szCs w:val="16"/>
        </w:rPr>
        <w:t xml:space="preserve">Acuerdo de 21 de enero de 2015 suscrito por el </w:t>
      </w:r>
      <w:r w:rsidRPr="00432ABC">
        <w:rPr>
          <w:rFonts w:ascii="Verdana" w:eastAsiaTheme="minorHAnsi" w:hAnsi="Verdana" w:cs="Arial"/>
          <w:sz w:val="16"/>
          <w:szCs w:val="16"/>
        </w:rPr>
        <w:t>Secretario del 3ºTU/17ºC – Chihuahua, Encargado del Despacho</w:t>
      </w:r>
      <w:r w:rsidRPr="00432ABC">
        <w:rPr>
          <w:rFonts w:ascii="Verdana" w:hAnsi="Verdana"/>
          <w:sz w:val="16"/>
          <w:szCs w:val="16"/>
        </w:rPr>
        <w:t xml:space="preserve"> (expediente de prueba, prueba para mejor resolver remitida por el Estado, ff. 32750 a 32751).</w:t>
      </w:r>
    </w:p>
  </w:footnote>
  <w:footnote w:id="309">
    <w:p w14:paraId="64AA6263" w14:textId="356BD5CF" w:rsidR="00146958" w:rsidRPr="00432ABC" w:rsidRDefault="00146958">
      <w:pPr>
        <w:pStyle w:val="FootnoteText"/>
        <w:jc w:val="both"/>
        <w:rPr>
          <w:rFonts w:ascii="Verdana" w:hAnsi="Verdana"/>
          <w:sz w:val="16"/>
          <w:szCs w:val="16"/>
        </w:rPr>
      </w:pPr>
      <w:r w:rsidRPr="00432ABC">
        <w:rPr>
          <w:rStyle w:val="FootnoteReference"/>
          <w:rFonts w:ascii="Verdana" w:hAnsi="Verdana"/>
          <w:sz w:val="16"/>
          <w:szCs w:val="16"/>
        </w:rPr>
        <w:footnoteRef/>
      </w:r>
      <w:r w:rsidRPr="00432ABC">
        <w:rPr>
          <w:rFonts w:ascii="Verdana" w:hAnsi="Verdana"/>
          <w:sz w:val="16"/>
          <w:szCs w:val="16"/>
        </w:rPr>
        <w:t xml:space="preserve"> </w:t>
      </w:r>
      <w:r w:rsidRPr="00432ABC">
        <w:rPr>
          <w:rFonts w:ascii="Verdana" w:hAnsi="Verdana"/>
          <w:sz w:val="16"/>
          <w:szCs w:val="16"/>
        </w:rPr>
        <w:tab/>
      </w:r>
      <w:r w:rsidRPr="00CD5C54">
        <w:rPr>
          <w:rFonts w:ascii="Verdana" w:hAnsi="Verdana"/>
          <w:i/>
          <w:sz w:val="16"/>
          <w:szCs w:val="16"/>
        </w:rPr>
        <w:t>Cfr.</w:t>
      </w:r>
      <w:r w:rsidRPr="002C462C">
        <w:rPr>
          <w:rFonts w:ascii="Verdana" w:hAnsi="Verdana"/>
          <w:sz w:val="16"/>
          <w:szCs w:val="16"/>
        </w:rPr>
        <w:t xml:space="preserve"> Sentencia de 9 de junio </w:t>
      </w:r>
      <w:r w:rsidRPr="00432ABC">
        <w:rPr>
          <w:rFonts w:ascii="Verdana" w:hAnsi="Verdana"/>
          <w:sz w:val="16"/>
          <w:szCs w:val="16"/>
        </w:rPr>
        <w:t>de 2016, correspondiente al toca 80/2015 (expediente de prueba, prueba para mejor resolver remitida por el Estado, ff. 32840 a 32842).</w:t>
      </w:r>
    </w:p>
  </w:footnote>
  <w:footnote w:id="310">
    <w:p w14:paraId="6C528991" w14:textId="73C4AB2B" w:rsidR="00146958" w:rsidRPr="00432ABC" w:rsidRDefault="00146958">
      <w:pPr>
        <w:autoSpaceDE w:val="0"/>
        <w:autoSpaceDN w:val="0"/>
        <w:adjustRightInd w:val="0"/>
        <w:spacing w:after="0" w:line="240" w:lineRule="auto"/>
        <w:jc w:val="both"/>
        <w:rPr>
          <w:rFonts w:ascii="Verdana" w:hAnsi="Verdana"/>
          <w:sz w:val="16"/>
          <w:szCs w:val="16"/>
        </w:rPr>
      </w:pPr>
      <w:r w:rsidRPr="00432ABC">
        <w:rPr>
          <w:rStyle w:val="FootnoteReference"/>
          <w:rFonts w:ascii="Verdana" w:hAnsi="Verdana"/>
          <w:sz w:val="16"/>
          <w:szCs w:val="16"/>
        </w:rPr>
        <w:footnoteRef/>
      </w:r>
      <w:r w:rsidRPr="00432ABC">
        <w:rPr>
          <w:rFonts w:ascii="Verdana" w:hAnsi="Verdana"/>
          <w:sz w:val="16"/>
          <w:szCs w:val="16"/>
        </w:rPr>
        <w:t xml:space="preserve"> </w:t>
      </w:r>
      <w:r w:rsidRPr="002C462C">
        <w:rPr>
          <w:rFonts w:ascii="Verdana" w:hAnsi="Verdana"/>
          <w:sz w:val="16"/>
          <w:szCs w:val="16"/>
        </w:rPr>
        <w:tab/>
      </w:r>
      <w:r w:rsidRPr="00CD5C54">
        <w:rPr>
          <w:rFonts w:ascii="Verdana" w:hAnsi="Verdana"/>
          <w:i/>
          <w:sz w:val="16"/>
          <w:szCs w:val="16"/>
        </w:rPr>
        <w:t>Cfr.</w:t>
      </w:r>
      <w:r w:rsidRPr="00432ABC">
        <w:rPr>
          <w:rFonts w:ascii="Verdana" w:hAnsi="Verdana"/>
          <w:sz w:val="16"/>
          <w:szCs w:val="16"/>
        </w:rPr>
        <w:t xml:space="preserve"> Resolución de 7 de octubre de 2016 emitida por la </w:t>
      </w:r>
      <w:r>
        <w:rPr>
          <w:rFonts w:ascii="Verdana" w:hAnsi="Verdana"/>
          <w:sz w:val="16"/>
          <w:szCs w:val="16"/>
        </w:rPr>
        <w:t>M</w:t>
      </w:r>
      <w:r w:rsidRPr="00432ABC">
        <w:rPr>
          <w:rFonts w:ascii="Verdana" w:hAnsi="Verdana"/>
          <w:sz w:val="16"/>
          <w:szCs w:val="16"/>
        </w:rPr>
        <w:t xml:space="preserve">agistrada del 4ºTU/17ºC – Chihuahua, </w:t>
      </w:r>
      <w:r w:rsidRPr="00432ABC">
        <w:rPr>
          <w:rFonts w:ascii="Verdana" w:eastAsiaTheme="minorHAnsi" w:hAnsi="Verdana" w:cs="Arial"/>
          <w:sz w:val="16"/>
          <w:szCs w:val="16"/>
        </w:rPr>
        <w:t>en cumplimiento a la sentencia del Tribunal</w:t>
      </w:r>
      <w:r w:rsidRPr="00432ABC">
        <w:rPr>
          <w:rFonts w:ascii="Verdana" w:hAnsi="Verdana"/>
          <w:sz w:val="16"/>
          <w:szCs w:val="16"/>
        </w:rPr>
        <w:t xml:space="preserve"> Colegiado de Circuito </w:t>
      </w:r>
      <w:r w:rsidRPr="00432ABC">
        <w:rPr>
          <w:rFonts w:ascii="Verdana" w:hAnsi="Verdana" w:cs="Cambria"/>
          <w:sz w:val="16"/>
          <w:szCs w:val="16"/>
        </w:rPr>
        <w:t>del Decimoséptimo Circuito en Chihuahua</w:t>
      </w:r>
      <w:r w:rsidRPr="00432ABC">
        <w:rPr>
          <w:rFonts w:ascii="Verdana" w:hAnsi="Verdana"/>
          <w:sz w:val="16"/>
          <w:szCs w:val="16"/>
        </w:rPr>
        <w:t xml:space="preserve"> el 9 de junio de 2016 (expediente de prueba, prueba para mejor resolver remitida por el Estado, ff. 33140 a 33141).</w:t>
      </w:r>
    </w:p>
  </w:footnote>
  <w:footnote w:id="311">
    <w:p w14:paraId="34C30A62" w14:textId="7DA3A350" w:rsidR="00146958" w:rsidRPr="00DB378B" w:rsidRDefault="00146958">
      <w:pPr>
        <w:pStyle w:val="FootnoteText"/>
        <w:jc w:val="both"/>
        <w:rPr>
          <w:rFonts w:ascii="Verdana" w:hAnsi="Verdana"/>
        </w:rPr>
      </w:pPr>
      <w:r w:rsidRPr="00432ABC">
        <w:rPr>
          <w:rStyle w:val="FootnoteReference"/>
          <w:rFonts w:ascii="Verdana" w:hAnsi="Verdana"/>
          <w:sz w:val="16"/>
          <w:szCs w:val="16"/>
        </w:rPr>
        <w:footnoteRef/>
      </w:r>
      <w:r w:rsidRPr="00DB378B">
        <w:rPr>
          <w:rFonts w:ascii="Verdana" w:hAnsi="Verdana"/>
        </w:rPr>
        <w:t xml:space="preserve"> </w:t>
      </w:r>
      <w:r w:rsidRPr="00DB378B">
        <w:rPr>
          <w:rFonts w:ascii="Verdana" w:hAnsi="Verdana"/>
        </w:rPr>
        <w:tab/>
      </w:r>
      <w:r w:rsidRPr="00CD5C54">
        <w:rPr>
          <w:rFonts w:ascii="Verdana" w:hAnsi="Verdana"/>
          <w:i/>
          <w:sz w:val="16"/>
          <w:szCs w:val="16"/>
        </w:rPr>
        <w:t>Cfr.</w:t>
      </w:r>
      <w:r w:rsidRPr="002C462C">
        <w:rPr>
          <w:rFonts w:ascii="Verdana" w:hAnsi="Verdana"/>
          <w:sz w:val="16"/>
          <w:szCs w:val="16"/>
        </w:rPr>
        <w:t xml:space="preserve"> Acuerdo de 7 de noviembre de 2016 suscrito por el magistrado del 3ºTU/17ºC – Chihuahua (expediente de prueba, prueba para mejor resolver remitida por el Estado, f. 33294).</w:t>
      </w:r>
    </w:p>
  </w:footnote>
  <w:footnote w:id="312">
    <w:p w14:paraId="64AA6264" w14:textId="3A788AB1" w:rsidR="00146958" w:rsidRPr="00432ABC" w:rsidRDefault="00146958">
      <w:pPr>
        <w:pStyle w:val="FootnoteText"/>
        <w:jc w:val="both"/>
        <w:rPr>
          <w:rFonts w:ascii="Verdana" w:hAnsi="Verdana"/>
          <w:sz w:val="16"/>
          <w:szCs w:val="16"/>
        </w:rPr>
      </w:pPr>
      <w:r w:rsidRPr="00432ABC">
        <w:rPr>
          <w:rStyle w:val="FootnoteReference"/>
          <w:rFonts w:ascii="Verdana" w:hAnsi="Verdana"/>
          <w:sz w:val="16"/>
          <w:szCs w:val="16"/>
        </w:rPr>
        <w:footnoteRef/>
      </w:r>
      <w:r w:rsidRPr="00432ABC">
        <w:rPr>
          <w:rFonts w:ascii="Verdana" w:hAnsi="Verdana"/>
          <w:sz w:val="16"/>
          <w:szCs w:val="16"/>
        </w:rPr>
        <w:t xml:space="preserve"> </w:t>
      </w:r>
      <w:r w:rsidRPr="00432ABC">
        <w:rPr>
          <w:rFonts w:ascii="Verdana" w:hAnsi="Verdana"/>
          <w:sz w:val="16"/>
          <w:szCs w:val="16"/>
        </w:rPr>
        <w:tab/>
        <w:t>Según</w:t>
      </w:r>
      <w:r w:rsidRPr="002C462C">
        <w:rPr>
          <w:rFonts w:ascii="Verdana" w:hAnsi="Verdana"/>
          <w:sz w:val="16"/>
          <w:szCs w:val="16"/>
        </w:rPr>
        <w:t xml:space="preserve"> informó el Estado en su escrito de contestación, el término “desglose” </w:t>
      </w:r>
      <w:r w:rsidRPr="00432ABC">
        <w:rPr>
          <w:rFonts w:ascii="Verdana" w:hAnsi="Verdana" w:cs="Cambria"/>
          <w:sz w:val="16"/>
          <w:szCs w:val="16"/>
        </w:rPr>
        <w:t>corresponde a una separación de actuaciones para que una autoridad distinta a la que lleva el expediente conozca de determinado hecho que la ley señala como delito y diferente al que se está investigando en el expediente principal, por tratarse de un delito de la competencia de la autoridad a quien se le desglosan las actuaciones” (expediente de fondo, f. 444, párr. 453).</w:t>
      </w:r>
    </w:p>
  </w:footnote>
  <w:footnote w:id="313">
    <w:p w14:paraId="64AA6265" w14:textId="4523F2C6" w:rsidR="00146958" w:rsidRPr="00432ABC" w:rsidRDefault="00146958">
      <w:pPr>
        <w:pStyle w:val="FootnoteText"/>
        <w:jc w:val="both"/>
        <w:rPr>
          <w:rFonts w:ascii="Verdana" w:hAnsi="Verdana"/>
          <w:sz w:val="16"/>
          <w:szCs w:val="16"/>
        </w:rPr>
      </w:pPr>
      <w:r w:rsidRPr="00432ABC">
        <w:rPr>
          <w:rStyle w:val="FootnoteReference"/>
          <w:rFonts w:ascii="Verdana" w:hAnsi="Verdana"/>
          <w:sz w:val="16"/>
          <w:szCs w:val="16"/>
        </w:rPr>
        <w:footnoteRef/>
      </w:r>
      <w:r w:rsidRPr="00432ABC">
        <w:rPr>
          <w:rFonts w:ascii="Verdana" w:hAnsi="Verdana"/>
          <w:sz w:val="16"/>
          <w:szCs w:val="16"/>
        </w:rPr>
        <w:t xml:space="preserve"> </w:t>
      </w:r>
      <w:r w:rsidRPr="00432ABC">
        <w:rPr>
          <w:rFonts w:ascii="Verdana" w:hAnsi="Verdana"/>
          <w:sz w:val="16"/>
          <w:szCs w:val="16"/>
        </w:rPr>
        <w:tab/>
      </w:r>
      <w:r w:rsidRPr="00CD5C54">
        <w:rPr>
          <w:rFonts w:ascii="Verdana" w:hAnsi="Verdana"/>
          <w:i/>
          <w:sz w:val="16"/>
          <w:szCs w:val="16"/>
        </w:rPr>
        <w:t>Cfr.</w:t>
      </w:r>
      <w:r w:rsidRPr="002C462C">
        <w:rPr>
          <w:rFonts w:ascii="Verdana" w:hAnsi="Verdana"/>
          <w:sz w:val="16"/>
          <w:szCs w:val="16"/>
        </w:rPr>
        <w:t xml:space="preserve"> Pliego de consignación sin detenido de 31 de marzo de 2014 suscrito p</w:t>
      </w:r>
      <w:r w:rsidRPr="00432ABC">
        <w:rPr>
          <w:rFonts w:ascii="Verdana" w:hAnsi="Verdana"/>
          <w:sz w:val="16"/>
          <w:szCs w:val="16"/>
        </w:rPr>
        <w:t xml:space="preserve">or el AMPF5ªM – UEBDP, </w:t>
      </w:r>
      <w:r w:rsidRPr="00432ABC">
        <w:rPr>
          <w:rFonts w:ascii="Verdana" w:hAnsi="Verdana"/>
          <w:i/>
          <w:sz w:val="16"/>
          <w:szCs w:val="16"/>
        </w:rPr>
        <w:t xml:space="preserve">supra, </w:t>
      </w:r>
      <w:r w:rsidRPr="00432ABC">
        <w:rPr>
          <w:rFonts w:ascii="Verdana" w:hAnsi="Verdana"/>
          <w:sz w:val="16"/>
          <w:szCs w:val="16"/>
        </w:rPr>
        <w:t xml:space="preserve">ff. 17120 a 17121. Resolutivo Cuarto; Acuerdo de inicio de </w:t>
      </w:r>
      <w:r>
        <w:rPr>
          <w:rFonts w:ascii="Verdana" w:hAnsi="Verdana"/>
          <w:sz w:val="16"/>
          <w:szCs w:val="16"/>
        </w:rPr>
        <w:t>a</w:t>
      </w:r>
      <w:r w:rsidRPr="00432ABC">
        <w:rPr>
          <w:rFonts w:ascii="Verdana" w:hAnsi="Verdana"/>
          <w:sz w:val="16"/>
          <w:szCs w:val="16"/>
        </w:rPr>
        <w:t xml:space="preserve">veriguación </w:t>
      </w:r>
      <w:r>
        <w:rPr>
          <w:rFonts w:ascii="Verdana" w:hAnsi="Verdana"/>
          <w:sz w:val="16"/>
          <w:szCs w:val="16"/>
        </w:rPr>
        <w:t>p</w:t>
      </w:r>
      <w:r w:rsidRPr="00432ABC">
        <w:rPr>
          <w:rFonts w:ascii="Verdana" w:hAnsi="Verdana"/>
          <w:sz w:val="16"/>
          <w:szCs w:val="16"/>
        </w:rPr>
        <w:t xml:space="preserve">revia </w:t>
      </w:r>
      <w:r>
        <w:rPr>
          <w:rFonts w:ascii="Verdana" w:hAnsi="Verdana"/>
          <w:sz w:val="16"/>
          <w:szCs w:val="16"/>
        </w:rPr>
        <w:t>50</w:t>
      </w:r>
      <w:r w:rsidRPr="00432ABC">
        <w:rPr>
          <w:rFonts w:ascii="Verdana" w:hAnsi="Verdana"/>
          <w:sz w:val="16"/>
          <w:szCs w:val="16"/>
        </w:rPr>
        <w:t xml:space="preserve">/2013 </w:t>
      </w:r>
      <w:r w:rsidRPr="00432ABC">
        <w:rPr>
          <w:rFonts w:ascii="Verdana" w:hAnsi="Verdana" w:cs="Cambria"/>
          <w:sz w:val="16"/>
          <w:szCs w:val="16"/>
        </w:rPr>
        <w:t xml:space="preserve">de </w:t>
      </w:r>
      <w:r>
        <w:rPr>
          <w:rFonts w:ascii="Verdana" w:hAnsi="Verdana" w:cs="Cambria"/>
          <w:sz w:val="16"/>
          <w:szCs w:val="16"/>
        </w:rPr>
        <w:t>1</w:t>
      </w:r>
      <w:r w:rsidRPr="00432ABC">
        <w:rPr>
          <w:rFonts w:ascii="Verdana" w:hAnsi="Verdana" w:cs="Cambria"/>
          <w:sz w:val="16"/>
          <w:szCs w:val="16"/>
        </w:rPr>
        <w:t xml:space="preserve"> de abril de 201</w:t>
      </w:r>
      <w:r>
        <w:rPr>
          <w:rFonts w:ascii="Verdana" w:hAnsi="Verdana" w:cs="Cambria"/>
          <w:sz w:val="16"/>
          <w:szCs w:val="16"/>
        </w:rPr>
        <w:t>4</w:t>
      </w:r>
      <w:r w:rsidRPr="00432ABC">
        <w:rPr>
          <w:rFonts w:ascii="Verdana" w:hAnsi="Verdana" w:cs="Cambria"/>
          <w:sz w:val="16"/>
          <w:szCs w:val="16"/>
        </w:rPr>
        <w:t xml:space="preserve">, </w:t>
      </w:r>
      <w:r w:rsidRPr="00432ABC">
        <w:rPr>
          <w:rFonts w:ascii="Verdana" w:hAnsi="Verdana"/>
          <w:sz w:val="16"/>
          <w:szCs w:val="16"/>
        </w:rPr>
        <w:t>ff. 4487 a 449</w:t>
      </w:r>
      <w:r>
        <w:rPr>
          <w:rFonts w:ascii="Verdana" w:hAnsi="Verdana"/>
          <w:sz w:val="16"/>
          <w:szCs w:val="16"/>
        </w:rPr>
        <w:t>0</w:t>
      </w:r>
      <w:r w:rsidRPr="00432ABC">
        <w:rPr>
          <w:rFonts w:ascii="Verdana" w:hAnsi="Verdana"/>
          <w:sz w:val="16"/>
          <w:szCs w:val="16"/>
        </w:rPr>
        <w:t xml:space="preserve"> y </w:t>
      </w:r>
      <w:r>
        <w:rPr>
          <w:rFonts w:ascii="Verdana" w:hAnsi="Verdana"/>
          <w:sz w:val="16"/>
          <w:szCs w:val="16"/>
        </w:rPr>
        <w:t>O</w:t>
      </w:r>
      <w:r w:rsidRPr="00432ABC">
        <w:rPr>
          <w:rFonts w:ascii="Verdana" w:hAnsi="Verdana"/>
          <w:sz w:val="16"/>
          <w:szCs w:val="16"/>
        </w:rPr>
        <w:t xml:space="preserve">ficio de 1 de abril de 2013 del </w:t>
      </w:r>
      <w:r w:rsidRPr="00432ABC">
        <w:rPr>
          <w:rFonts w:ascii="Verdana" w:hAnsi="Verdana" w:cs="Cambria"/>
          <w:sz w:val="16"/>
          <w:szCs w:val="16"/>
        </w:rPr>
        <w:t>AMPF5ªM – UEBDP</w:t>
      </w:r>
      <w:r w:rsidRPr="00432ABC">
        <w:rPr>
          <w:rFonts w:ascii="Verdana" w:hAnsi="Verdana"/>
          <w:sz w:val="16"/>
          <w:szCs w:val="16"/>
        </w:rPr>
        <w:t xml:space="preserve"> (expediente de prueba, ff. 1377).</w:t>
      </w:r>
    </w:p>
  </w:footnote>
  <w:footnote w:id="314">
    <w:p w14:paraId="64AA6266" w14:textId="414842FA" w:rsidR="00146958" w:rsidRPr="00432ABC" w:rsidRDefault="00146958">
      <w:pPr>
        <w:pStyle w:val="FootnoteText"/>
        <w:jc w:val="both"/>
        <w:rPr>
          <w:rFonts w:ascii="Verdana" w:hAnsi="Verdana"/>
          <w:sz w:val="16"/>
          <w:szCs w:val="16"/>
        </w:rPr>
      </w:pPr>
      <w:r w:rsidRPr="00432ABC">
        <w:rPr>
          <w:rStyle w:val="FootnoteReference"/>
          <w:rFonts w:ascii="Verdana" w:hAnsi="Verdana"/>
          <w:sz w:val="16"/>
          <w:szCs w:val="16"/>
        </w:rPr>
        <w:footnoteRef/>
      </w:r>
      <w:r w:rsidRPr="00432ABC">
        <w:rPr>
          <w:rFonts w:ascii="Verdana" w:hAnsi="Verdana"/>
          <w:sz w:val="16"/>
          <w:szCs w:val="16"/>
        </w:rPr>
        <w:t xml:space="preserve"> </w:t>
      </w:r>
      <w:r w:rsidRPr="00432ABC">
        <w:rPr>
          <w:rFonts w:ascii="Verdana" w:hAnsi="Verdana"/>
          <w:sz w:val="16"/>
          <w:szCs w:val="16"/>
        </w:rPr>
        <w:tab/>
      </w:r>
      <w:r w:rsidRPr="00CD5C54">
        <w:rPr>
          <w:rFonts w:ascii="Verdana" w:hAnsi="Verdana"/>
          <w:i/>
          <w:sz w:val="16"/>
          <w:szCs w:val="16"/>
        </w:rPr>
        <w:t>Cfr.</w:t>
      </w:r>
      <w:r w:rsidRPr="002C462C">
        <w:rPr>
          <w:rFonts w:ascii="Verdana" w:hAnsi="Verdana"/>
          <w:sz w:val="16"/>
          <w:szCs w:val="16"/>
        </w:rPr>
        <w:t xml:space="preserve"> Oficio de 1 de abril de 201</w:t>
      </w:r>
      <w:r>
        <w:rPr>
          <w:rFonts w:ascii="Verdana" w:hAnsi="Verdana"/>
          <w:sz w:val="16"/>
          <w:szCs w:val="16"/>
        </w:rPr>
        <w:t>[</w:t>
      </w:r>
      <w:r w:rsidRPr="002C462C">
        <w:rPr>
          <w:rFonts w:ascii="Verdana" w:hAnsi="Verdana"/>
          <w:sz w:val="16"/>
          <w:szCs w:val="16"/>
        </w:rPr>
        <w:t>4</w:t>
      </w:r>
      <w:r>
        <w:rPr>
          <w:rFonts w:ascii="Verdana" w:hAnsi="Verdana"/>
          <w:sz w:val="16"/>
          <w:szCs w:val="16"/>
        </w:rPr>
        <w:t>]</w:t>
      </w:r>
      <w:r w:rsidRPr="002C462C">
        <w:rPr>
          <w:rFonts w:ascii="Verdana" w:hAnsi="Verdana"/>
          <w:sz w:val="16"/>
          <w:szCs w:val="16"/>
        </w:rPr>
        <w:t xml:space="preserve"> suscrito por el AMPF Titular de la Mesa V de la UEBDP – PGR, dirigido al titular de la UEBDP –PGR (expediente de prueba, </w:t>
      </w:r>
      <w:r>
        <w:rPr>
          <w:rFonts w:ascii="Verdana" w:hAnsi="Verdana"/>
          <w:sz w:val="16"/>
          <w:szCs w:val="16"/>
        </w:rPr>
        <w:t>e</w:t>
      </w:r>
      <w:r w:rsidRPr="002C462C">
        <w:rPr>
          <w:rFonts w:ascii="Verdana" w:hAnsi="Verdana"/>
          <w:sz w:val="16"/>
          <w:szCs w:val="16"/>
        </w:rPr>
        <w:t xml:space="preserve">xpediente penal, f. 17166), y </w:t>
      </w:r>
      <w:r>
        <w:rPr>
          <w:rFonts w:ascii="Verdana" w:hAnsi="Verdana"/>
          <w:sz w:val="16"/>
          <w:szCs w:val="16"/>
        </w:rPr>
        <w:t>a</w:t>
      </w:r>
      <w:r w:rsidRPr="002C462C">
        <w:rPr>
          <w:rFonts w:ascii="Verdana" w:hAnsi="Verdana"/>
          <w:sz w:val="16"/>
          <w:szCs w:val="16"/>
        </w:rPr>
        <w:t xml:space="preserve">cuerdo de inicio de </w:t>
      </w:r>
      <w:r>
        <w:rPr>
          <w:rFonts w:ascii="Verdana" w:hAnsi="Verdana"/>
          <w:sz w:val="16"/>
          <w:szCs w:val="16"/>
        </w:rPr>
        <w:t>a</w:t>
      </w:r>
      <w:r w:rsidRPr="002C462C">
        <w:rPr>
          <w:rFonts w:ascii="Verdana" w:hAnsi="Verdana"/>
          <w:sz w:val="16"/>
          <w:szCs w:val="16"/>
        </w:rPr>
        <w:t>verigu</w:t>
      </w:r>
      <w:r w:rsidRPr="00432ABC">
        <w:rPr>
          <w:rFonts w:ascii="Verdana" w:hAnsi="Verdana"/>
          <w:sz w:val="16"/>
          <w:szCs w:val="16"/>
        </w:rPr>
        <w:t xml:space="preserve">ación </w:t>
      </w:r>
      <w:r>
        <w:rPr>
          <w:rFonts w:ascii="Verdana" w:hAnsi="Verdana"/>
          <w:sz w:val="16"/>
          <w:szCs w:val="16"/>
        </w:rPr>
        <w:t>p</w:t>
      </w:r>
      <w:r w:rsidRPr="00432ABC">
        <w:rPr>
          <w:rFonts w:ascii="Verdana" w:hAnsi="Verdana"/>
          <w:sz w:val="16"/>
          <w:szCs w:val="16"/>
        </w:rPr>
        <w:t xml:space="preserve">revia 66/2013 de 4 de abril de 2013, </w:t>
      </w:r>
      <w:r w:rsidRPr="00432ABC">
        <w:rPr>
          <w:rFonts w:ascii="Verdana" w:hAnsi="Verdana"/>
          <w:i/>
          <w:sz w:val="16"/>
          <w:szCs w:val="16"/>
        </w:rPr>
        <w:t xml:space="preserve">supra </w:t>
      </w:r>
      <w:r w:rsidRPr="00432ABC">
        <w:rPr>
          <w:rFonts w:ascii="Verdana" w:hAnsi="Verdana"/>
          <w:sz w:val="16"/>
          <w:szCs w:val="16"/>
        </w:rPr>
        <w:t>ff. 4491 a 4494.</w:t>
      </w:r>
    </w:p>
  </w:footnote>
  <w:footnote w:id="315">
    <w:p w14:paraId="64AA6267" w14:textId="49AC8AA1" w:rsidR="00146958" w:rsidRPr="00432ABC" w:rsidRDefault="00146958">
      <w:pPr>
        <w:pStyle w:val="FootnoteText"/>
        <w:jc w:val="both"/>
        <w:rPr>
          <w:rFonts w:ascii="Verdana" w:hAnsi="Verdana"/>
          <w:sz w:val="16"/>
          <w:szCs w:val="16"/>
        </w:rPr>
      </w:pPr>
      <w:r w:rsidRPr="00432ABC">
        <w:rPr>
          <w:rStyle w:val="FootnoteReference"/>
          <w:rFonts w:ascii="Verdana" w:hAnsi="Verdana"/>
          <w:sz w:val="16"/>
          <w:szCs w:val="16"/>
        </w:rPr>
        <w:footnoteRef/>
      </w:r>
      <w:r w:rsidRPr="00432ABC">
        <w:rPr>
          <w:rFonts w:ascii="Verdana" w:hAnsi="Verdana"/>
          <w:sz w:val="16"/>
          <w:szCs w:val="16"/>
        </w:rPr>
        <w:t xml:space="preserve"> </w:t>
      </w:r>
      <w:r w:rsidRPr="00432ABC">
        <w:rPr>
          <w:rFonts w:ascii="Verdana" w:hAnsi="Verdana"/>
          <w:sz w:val="16"/>
          <w:szCs w:val="16"/>
        </w:rPr>
        <w:tab/>
      </w:r>
      <w:r w:rsidRPr="00CD5C54">
        <w:rPr>
          <w:rFonts w:ascii="Verdana" w:hAnsi="Verdana"/>
          <w:i/>
          <w:sz w:val="16"/>
          <w:szCs w:val="16"/>
        </w:rPr>
        <w:t>Cfr.</w:t>
      </w:r>
      <w:r w:rsidRPr="002C462C">
        <w:rPr>
          <w:rFonts w:ascii="Verdana" w:hAnsi="Verdana"/>
          <w:sz w:val="16"/>
          <w:szCs w:val="16"/>
        </w:rPr>
        <w:t xml:space="preserve"> Acta de inspección ministerial de 14 de mayo de 2014 (expediente de prueba, expediente penal, ff. 17321 a 17327). Derivado de dicha inspección ministerial, la PGR reci</w:t>
      </w:r>
      <w:r w:rsidRPr="00432ABC">
        <w:rPr>
          <w:rFonts w:ascii="Verdana" w:hAnsi="Verdana"/>
          <w:sz w:val="16"/>
          <w:szCs w:val="16"/>
        </w:rPr>
        <w:t xml:space="preserve">bió el 26 de mayo de 2014 los siguientes peritajes: a) dictamen en materia de fotografía forense; b) dictamen en materia de criminalística de campo; y c) dictamen en la especialidad de medicina forense (expediente de prueba, </w:t>
      </w:r>
      <w:r>
        <w:rPr>
          <w:rFonts w:ascii="Verdana" w:hAnsi="Verdana"/>
          <w:sz w:val="16"/>
          <w:szCs w:val="16"/>
        </w:rPr>
        <w:t>e</w:t>
      </w:r>
      <w:r w:rsidRPr="00432ABC">
        <w:rPr>
          <w:rFonts w:ascii="Verdana" w:hAnsi="Verdana"/>
          <w:sz w:val="16"/>
          <w:szCs w:val="16"/>
        </w:rPr>
        <w:t xml:space="preserve">xpediente judicial, ff. 19162 a 19333). El </w:t>
      </w:r>
      <w:r>
        <w:rPr>
          <w:rFonts w:ascii="Verdana" w:hAnsi="Verdana"/>
          <w:sz w:val="16"/>
          <w:szCs w:val="16"/>
        </w:rPr>
        <w:t>30</w:t>
      </w:r>
      <w:r w:rsidRPr="00432ABC">
        <w:rPr>
          <w:rFonts w:ascii="Verdana" w:hAnsi="Verdana"/>
          <w:sz w:val="16"/>
          <w:szCs w:val="16"/>
        </w:rPr>
        <w:t xml:space="preserve"> de junio de 2014, se recibió el dictamen antropológico (ff. 19419 a 19475) y el 9 de octubre siguiente el correspondiente al de materia genética, en el que se determinó que no existió coincidencia con los perfiles genéticos de los familiares de las víctimas (ff. 1975</w:t>
      </w:r>
      <w:r>
        <w:rPr>
          <w:rFonts w:ascii="Verdana" w:hAnsi="Verdana"/>
          <w:sz w:val="16"/>
          <w:szCs w:val="16"/>
        </w:rPr>
        <w:t>5</w:t>
      </w:r>
      <w:r w:rsidRPr="00432ABC">
        <w:rPr>
          <w:rFonts w:ascii="Verdana" w:hAnsi="Verdana"/>
          <w:sz w:val="16"/>
          <w:szCs w:val="16"/>
        </w:rPr>
        <w:t xml:space="preserve"> a 19769).</w:t>
      </w:r>
    </w:p>
  </w:footnote>
  <w:footnote w:id="316">
    <w:p w14:paraId="64AA6268" w14:textId="0F257C5C" w:rsidR="00146958" w:rsidRPr="00432ABC" w:rsidRDefault="00146958">
      <w:pPr>
        <w:pStyle w:val="FootnoteText"/>
        <w:jc w:val="both"/>
        <w:rPr>
          <w:rFonts w:ascii="Verdana" w:hAnsi="Verdana"/>
          <w:sz w:val="16"/>
          <w:szCs w:val="16"/>
        </w:rPr>
      </w:pPr>
      <w:r w:rsidRPr="00432ABC">
        <w:rPr>
          <w:rStyle w:val="FootnoteReference"/>
          <w:rFonts w:ascii="Verdana" w:hAnsi="Verdana"/>
          <w:sz w:val="16"/>
          <w:szCs w:val="16"/>
        </w:rPr>
        <w:footnoteRef/>
      </w:r>
      <w:r w:rsidRPr="00432ABC">
        <w:rPr>
          <w:rFonts w:ascii="Verdana" w:hAnsi="Verdana"/>
          <w:sz w:val="16"/>
          <w:szCs w:val="16"/>
        </w:rPr>
        <w:t xml:space="preserve"> </w:t>
      </w:r>
      <w:r w:rsidRPr="00432ABC">
        <w:rPr>
          <w:rFonts w:ascii="Verdana" w:hAnsi="Verdana"/>
          <w:sz w:val="16"/>
          <w:szCs w:val="16"/>
        </w:rPr>
        <w:tab/>
      </w:r>
      <w:r w:rsidRPr="00CD5C54">
        <w:rPr>
          <w:rFonts w:ascii="Verdana" w:hAnsi="Verdana"/>
          <w:i/>
          <w:sz w:val="16"/>
          <w:szCs w:val="16"/>
        </w:rPr>
        <w:t>Cfr.</w:t>
      </w:r>
      <w:r w:rsidRPr="002C462C">
        <w:rPr>
          <w:rFonts w:ascii="Verdana" w:hAnsi="Verdana"/>
          <w:sz w:val="16"/>
          <w:szCs w:val="16"/>
        </w:rPr>
        <w:t xml:space="preserve"> Oficio No. PF/SG/CSG/DGRH/DRLO/5257/2014 de 14 de octubre de 2014 del Director de Relaciones Laborales de la Policía Federal, dirigido a la DARJMI - SEGOB  (expediente de prueba, </w:t>
      </w:r>
      <w:r>
        <w:rPr>
          <w:rFonts w:ascii="Verdana" w:hAnsi="Verdana"/>
          <w:sz w:val="16"/>
          <w:szCs w:val="16"/>
        </w:rPr>
        <w:t>e</w:t>
      </w:r>
      <w:r w:rsidRPr="002C462C">
        <w:rPr>
          <w:rFonts w:ascii="Verdana" w:hAnsi="Verdana"/>
          <w:sz w:val="16"/>
          <w:szCs w:val="16"/>
        </w:rPr>
        <w:t xml:space="preserve">xpediente penal, </w:t>
      </w:r>
      <w:r w:rsidRPr="00432ABC">
        <w:rPr>
          <w:rFonts w:ascii="Verdana" w:hAnsi="Verdana"/>
          <w:sz w:val="16"/>
          <w:szCs w:val="16"/>
        </w:rPr>
        <w:t xml:space="preserve">ff. 20763 a 20765); </w:t>
      </w:r>
      <w:r>
        <w:rPr>
          <w:rFonts w:ascii="Verdana" w:hAnsi="Verdana"/>
          <w:sz w:val="16"/>
          <w:szCs w:val="16"/>
        </w:rPr>
        <w:t>O</w:t>
      </w:r>
      <w:r w:rsidRPr="00432ABC">
        <w:rPr>
          <w:rFonts w:ascii="Verdana" w:hAnsi="Verdana"/>
          <w:sz w:val="16"/>
          <w:szCs w:val="16"/>
        </w:rPr>
        <w:t xml:space="preserve">ficio No. PF/DGAJ/DGAAP/DARJMI/7023/2014 de 20 de octubre de 2014 suscrito por la DARJMI - SEGOB, dirigido al AMPF5ªM – UEBDP (expediente de prueba, expediente penal, f. 20762), y </w:t>
      </w:r>
      <w:r>
        <w:rPr>
          <w:rFonts w:ascii="Verdana" w:hAnsi="Verdana"/>
          <w:sz w:val="16"/>
          <w:szCs w:val="16"/>
        </w:rPr>
        <w:t>c</w:t>
      </w:r>
      <w:r w:rsidRPr="00432ABC">
        <w:rPr>
          <w:rFonts w:ascii="Verdana" w:hAnsi="Verdana"/>
          <w:sz w:val="16"/>
          <w:szCs w:val="16"/>
        </w:rPr>
        <w:t xml:space="preserve">onstancia ministerial de 21 de octubre de 2014 del AMPF5ªM – UEBDP (expediente de prueba, </w:t>
      </w:r>
      <w:r>
        <w:rPr>
          <w:rFonts w:ascii="Verdana" w:hAnsi="Verdana"/>
          <w:sz w:val="16"/>
          <w:szCs w:val="16"/>
        </w:rPr>
        <w:t>e</w:t>
      </w:r>
      <w:r w:rsidRPr="00432ABC">
        <w:rPr>
          <w:rFonts w:ascii="Verdana" w:hAnsi="Verdana"/>
          <w:sz w:val="16"/>
          <w:szCs w:val="16"/>
        </w:rPr>
        <w:t>xpediente penal, f. 20761).</w:t>
      </w:r>
    </w:p>
  </w:footnote>
  <w:footnote w:id="317">
    <w:p w14:paraId="64AA6269" w14:textId="2C209483" w:rsidR="00146958" w:rsidRPr="00432ABC" w:rsidRDefault="00146958">
      <w:pPr>
        <w:pStyle w:val="FootnoteText"/>
        <w:jc w:val="both"/>
        <w:rPr>
          <w:rFonts w:ascii="Verdana" w:hAnsi="Verdana"/>
          <w:sz w:val="16"/>
          <w:szCs w:val="16"/>
        </w:rPr>
      </w:pPr>
      <w:r w:rsidRPr="00432ABC">
        <w:rPr>
          <w:rStyle w:val="FootnoteReference"/>
          <w:rFonts w:ascii="Verdana" w:hAnsi="Verdana"/>
          <w:sz w:val="16"/>
          <w:szCs w:val="16"/>
        </w:rPr>
        <w:footnoteRef/>
      </w:r>
      <w:r w:rsidRPr="00432ABC">
        <w:rPr>
          <w:rFonts w:ascii="Verdana" w:hAnsi="Verdana"/>
          <w:sz w:val="16"/>
          <w:szCs w:val="16"/>
        </w:rPr>
        <w:t xml:space="preserve"> </w:t>
      </w:r>
      <w:r w:rsidRPr="00432ABC">
        <w:rPr>
          <w:rFonts w:ascii="Verdana" w:hAnsi="Verdana"/>
          <w:sz w:val="16"/>
          <w:szCs w:val="16"/>
        </w:rPr>
        <w:tab/>
      </w:r>
      <w:r w:rsidRPr="00CD5C54">
        <w:rPr>
          <w:rFonts w:ascii="Verdana" w:hAnsi="Verdana"/>
          <w:i/>
          <w:sz w:val="16"/>
          <w:szCs w:val="16"/>
        </w:rPr>
        <w:t>Cfr.</w:t>
      </w:r>
      <w:r w:rsidRPr="002C462C">
        <w:rPr>
          <w:rFonts w:ascii="Verdana" w:hAnsi="Verdana"/>
          <w:sz w:val="16"/>
          <w:szCs w:val="16"/>
        </w:rPr>
        <w:t xml:space="preserve"> Oficio No. PF/SG/CSG/DGRH/DRLO/6403/2014 de 6 de noviembre de 2014 del Director de Relaciones Laborales de la Policía Federal, dirigido a la DARJMI - S</w:t>
      </w:r>
      <w:r w:rsidRPr="00432ABC">
        <w:rPr>
          <w:rFonts w:ascii="Verdana" w:hAnsi="Verdana"/>
          <w:sz w:val="16"/>
          <w:szCs w:val="16"/>
        </w:rPr>
        <w:t xml:space="preserve">EGOB (expediente de prueba, </w:t>
      </w:r>
      <w:r>
        <w:rPr>
          <w:rFonts w:ascii="Verdana" w:hAnsi="Verdana"/>
          <w:sz w:val="16"/>
          <w:szCs w:val="16"/>
        </w:rPr>
        <w:t>e</w:t>
      </w:r>
      <w:r w:rsidRPr="00432ABC">
        <w:rPr>
          <w:rFonts w:ascii="Verdana" w:hAnsi="Verdana"/>
          <w:sz w:val="16"/>
          <w:szCs w:val="16"/>
        </w:rPr>
        <w:t xml:space="preserve">xpediente penal, f. 20912); </w:t>
      </w:r>
      <w:r>
        <w:rPr>
          <w:rFonts w:ascii="Verdana" w:hAnsi="Verdana"/>
          <w:sz w:val="16"/>
          <w:szCs w:val="16"/>
        </w:rPr>
        <w:t>O</w:t>
      </w:r>
      <w:r w:rsidRPr="00432ABC">
        <w:rPr>
          <w:rFonts w:ascii="Verdana" w:hAnsi="Verdana"/>
          <w:sz w:val="16"/>
          <w:szCs w:val="16"/>
        </w:rPr>
        <w:t xml:space="preserve">ficio No. PF/DGAJ/DGAAP/DARJMI/7507/2014 de 11 de noviembre de 2014 de la </w:t>
      </w:r>
      <w:r w:rsidRPr="00432ABC">
        <w:rPr>
          <w:rFonts w:ascii="Verdana" w:hAnsi="Verdana" w:cs="Arial"/>
          <w:sz w:val="16"/>
          <w:szCs w:val="16"/>
        </w:rPr>
        <w:t>DARJMI - SEGOB</w:t>
      </w:r>
      <w:r w:rsidRPr="00432ABC">
        <w:rPr>
          <w:rFonts w:ascii="Verdana" w:hAnsi="Verdana"/>
          <w:sz w:val="16"/>
          <w:szCs w:val="16"/>
        </w:rPr>
        <w:t xml:space="preserve"> dirigido al AMPF5ªM – UEBDP (expediente de prueba, expediente penal, f. 20911), y</w:t>
      </w:r>
      <w:r w:rsidRPr="00432ABC" w:rsidDel="00245526">
        <w:rPr>
          <w:rFonts w:ascii="Verdana" w:hAnsi="Verdana"/>
          <w:sz w:val="16"/>
          <w:szCs w:val="16"/>
        </w:rPr>
        <w:t xml:space="preserve"> </w:t>
      </w:r>
      <w:r>
        <w:rPr>
          <w:rFonts w:ascii="Verdana" w:hAnsi="Verdana"/>
          <w:sz w:val="16"/>
          <w:szCs w:val="16"/>
        </w:rPr>
        <w:t>a</w:t>
      </w:r>
      <w:r w:rsidRPr="00432ABC">
        <w:rPr>
          <w:rFonts w:ascii="Verdana" w:hAnsi="Verdana"/>
          <w:sz w:val="16"/>
          <w:szCs w:val="16"/>
        </w:rPr>
        <w:t xml:space="preserve">cuerdo ministerial de 18 de noviembre del AMPF5ªM – UEBDP (expediente de prueba, </w:t>
      </w:r>
      <w:r>
        <w:rPr>
          <w:rFonts w:ascii="Verdana" w:hAnsi="Verdana"/>
          <w:sz w:val="16"/>
          <w:szCs w:val="16"/>
        </w:rPr>
        <w:t>e</w:t>
      </w:r>
      <w:r w:rsidRPr="00432ABC">
        <w:rPr>
          <w:rFonts w:ascii="Verdana" w:hAnsi="Verdana"/>
          <w:sz w:val="16"/>
          <w:szCs w:val="16"/>
        </w:rPr>
        <w:t xml:space="preserve">xpediente penal, f. 20910). </w:t>
      </w:r>
    </w:p>
  </w:footnote>
  <w:footnote w:id="318">
    <w:p w14:paraId="64AA626A" w14:textId="5B0C029E" w:rsidR="00146958" w:rsidRPr="00432ABC" w:rsidRDefault="00146958">
      <w:pPr>
        <w:pStyle w:val="FootnoteText"/>
        <w:jc w:val="both"/>
        <w:rPr>
          <w:rFonts w:ascii="Verdana" w:hAnsi="Verdana"/>
          <w:sz w:val="16"/>
          <w:szCs w:val="16"/>
        </w:rPr>
      </w:pPr>
      <w:r w:rsidRPr="00432ABC">
        <w:rPr>
          <w:rStyle w:val="FootnoteReference"/>
          <w:rFonts w:ascii="Verdana" w:hAnsi="Verdana"/>
          <w:sz w:val="16"/>
          <w:szCs w:val="16"/>
        </w:rPr>
        <w:footnoteRef/>
      </w:r>
      <w:r w:rsidRPr="00432ABC">
        <w:rPr>
          <w:rFonts w:ascii="Verdana" w:hAnsi="Verdana"/>
          <w:sz w:val="16"/>
          <w:szCs w:val="16"/>
        </w:rPr>
        <w:t xml:space="preserve"> </w:t>
      </w:r>
      <w:r w:rsidRPr="00432ABC">
        <w:rPr>
          <w:rFonts w:ascii="Verdana" w:hAnsi="Verdana"/>
          <w:sz w:val="16"/>
          <w:szCs w:val="16"/>
        </w:rPr>
        <w:tab/>
      </w:r>
      <w:r w:rsidRPr="00CD5C54">
        <w:rPr>
          <w:rFonts w:ascii="Verdana" w:hAnsi="Verdana"/>
          <w:i/>
          <w:sz w:val="16"/>
          <w:szCs w:val="16"/>
        </w:rPr>
        <w:t>Cfr.</w:t>
      </w:r>
      <w:r w:rsidRPr="002C462C">
        <w:rPr>
          <w:rFonts w:ascii="Verdana" w:hAnsi="Verdana"/>
          <w:sz w:val="16"/>
          <w:szCs w:val="16"/>
        </w:rPr>
        <w:t xml:space="preserve"> Acta de inspección ministerial de 4 de diciembre de 2014 (expediente de prueba, ff. 28182 </w:t>
      </w:r>
      <w:r w:rsidRPr="00432ABC">
        <w:rPr>
          <w:rFonts w:ascii="Verdana" w:hAnsi="Verdana"/>
          <w:sz w:val="16"/>
          <w:szCs w:val="16"/>
        </w:rPr>
        <w:t>a 2818</w:t>
      </w:r>
      <w:r>
        <w:rPr>
          <w:rFonts w:ascii="Verdana" w:hAnsi="Verdana"/>
          <w:sz w:val="16"/>
          <w:szCs w:val="16"/>
        </w:rPr>
        <w:t>4</w:t>
      </w:r>
      <w:r w:rsidRPr="00432ABC">
        <w:rPr>
          <w:rFonts w:ascii="Verdana" w:hAnsi="Verdana"/>
          <w:sz w:val="16"/>
          <w:szCs w:val="16"/>
        </w:rPr>
        <w:t>).</w:t>
      </w:r>
    </w:p>
  </w:footnote>
  <w:footnote w:id="319">
    <w:p w14:paraId="64AA626B" w14:textId="3D29BD5D" w:rsidR="00146958" w:rsidRPr="002C462C" w:rsidRDefault="00146958">
      <w:pPr>
        <w:pStyle w:val="FootnoteText"/>
        <w:jc w:val="both"/>
        <w:rPr>
          <w:rFonts w:ascii="Verdana" w:hAnsi="Verdana"/>
          <w:sz w:val="16"/>
          <w:szCs w:val="16"/>
        </w:rPr>
      </w:pPr>
      <w:r w:rsidRPr="00432ABC">
        <w:rPr>
          <w:rStyle w:val="FootnoteReference"/>
          <w:rFonts w:ascii="Verdana" w:hAnsi="Verdana"/>
          <w:sz w:val="16"/>
          <w:szCs w:val="16"/>
        </w:rPr>
        <w:footnoteRef/>
      </w:r>
      <w:r w:rsidRPr="00432ABC">
        <w:rPr>
          <w:rFonts w:ascii="Verdana" w:hAnsi="Verdana"/>
          <w:sz w:val="16"/>
          <w:szCs w:val="16"/>
        </w:rPr>
        <w:t xml:space="preserve"> </w:t>
      </w:r>
      <w:r w:rsidRPr="00432ABC">
        <w:rPr>
          <w:rFonts w:ascii="Verdana" w:hAnsi="Verdana"/>
          <w:sz w:val="16"/>
          <w:szCs w:val="16"/>
        </w:rPr>
        <w:tab/>
      </w:r>
      <w:r w:rsidRPr="00CD5C54">
        <w:rPr>
          <w:rFonts w:ascii="Verdana" w:hAnsi="Verdana"/>
          <w:i/>
          <w:sz w:val="16"/>
          <w:szCs w:val="16"/>
        </w:rPr>
        <w:t>Cfr.</w:t>
      </w:r>
      <w:r w:rsidRPr="002C462C">
        <w:rPr>
          <w:rFonts w:ascii="Verdana" w:hAnsi="Verdana"/>
          <w:sz w:val="16"/>
          <w:szCs w:val="16"/>
        </w:rPr>
        <w:t xml:space="preserve"> Acta de inspección ministerial de 4 de marzo de 2015 (expediente de prueba, ff. 1402 a 1414).</w:t>
      </w:r>
    </w:p>
  </w:footnote>
  <w:footnote w:id="320">
    <w:p w14:paraId="64AA626C" w14:textId="47EA2B73" w:rsidR="00146958" w:rsidRPr="00432ABC" w:rsidRDefault="00146958">
      <w:pPr>
        <w:pStyle w:val="FootnoteText"/>
        <w:jc w:val="both"/>
        <w:rPr>
          <w:rFonts w:ascii="Verdana" w:hAnsi="Verdana"/>
          <w:sz w:val="16"/>
          <w:szCs w:val="16"/>
        </w:rPr>
      </w:pPr>
      <w:r w:rsidRPr="00432ABC">
        <w:rPr>
          <w:rStyle w:val="FootnoteReference"/>
          <w:rFonts w:ascii="Verdana" w:hAnsi="Verdana"/>
          <w:sz w:val="16"/>
          <w:szCs w:val="16"/>
        </w:rPr>
        <w:footnoteRef/>
      </w:r>
      <w:r w:rsidRPr="00432ABC">
        <w:rPr>
          <w:rFonts w:ascii="Verdana" w:hAnsi="Verdana"/>
          <w:sz w:val="16"/>
          <w:szCs w:val="16"/>
        </w:rPr>
        <w:t xml:space="preserve"> </w:t>
      </w:r>
      <w:r w:rsidRPr="00432ABC">
        <w:rPr>
          <w:rFonts w:ascii="Verdana" w:hAnsi="Verdana"/>
          <w:sz w:val="16"/>
          <w:szCs w:val="16"/>
        </w:rPr>
        <w:tab/>
      </w:r>
      <w:r w:rsidRPr="00CD5C54">
        <w:rPr>
          <w:rFonts w:ascii="Verdana" w:hAnsi="Verdana"/>
          <w:i/>
          <w:sz w:val="16"/>
          <w:szCs w:val="16"/>
        </w:rPr>
        <w:t>Cfr.</w:t>
      </w:r>
      <w:r w:rsidRPr="002C462C">
        <w:rPr>
          <w:rFonts w:ascii="Verdana" w:hAnsi="Verdana"/>
          <w:sz w:val="16"/>
          <w:szCs w:val="16"/>
        </w:rPr>
        <w:t xml:space="preserve"> Acta de inspección ministerial de 26 de marzo de 2015 (expediente de prueba, </w:t>
      </w:r>
      <w:r>
        <w:rPr>
          <w:rFonts w:ascii="Verdana" w:hAnsi="Verdana"/>
          <w:sz w:val="16"/>
          <w:szCs w:val="16"/>
        </w:rPr>
        <w:t>e</w:t>
      </w:r>
      <w:r w:rsidRPr="002C462C">
        <w:rPr>
          <w:rFonts w:ascii="Verdana" w:hAnsi="Verdana"/>
          <w:sz w:val="16"/>
          <w:szCs w:val="16"/>
        </w:rPr>
        <w:t xml:space="preserve">xpediente penal, </w:t>
      </w:r>
      <w:r w:rsidRPr="00432ABC">
        <w:rPr>
          <w:rFonts w:ascii="Verdana" w:hAnsi="Verdana"/>
          <w:sz w:val="16"/>
          <w:szCs w:val="16"/>
        </w:rPr>
        <w:t>ff. 22948 a 22950).</w:t>
      </w:r>
    </w:p>
  </w:footnote>
  <w:footnote w:id="321">
    <w:p w14:paraId="64AA626D" w14:textId="78EE3D2E" w:rsidR="00146958" w:rsidRPr="00432ABC" w:rsidRDefault="00146958">
      <w:pPr>
        <w:pStyle w:val="FootnoteText"/>
        <w:jc w:val="both"/>
        <w:rPr>
          <w:rFonts w:ascii="Verdana" w:hAnsi="Verdana"/>
          <w:sz w:val="16"/>
          <w:szCs w:val="16"/>
        </w:rPr>
      </w:pPr>
      <w:r w:rsidRPr="00432ABC">
        <w:rPr>
          <w:rStyle w:val="FootnoteReference"/>
          <w:rFonts w:ascii="Verdana" w:hAnsi="Verdana"/>
          <w:sz w:val="16"/>
          <w:szCs w:val="16"/>
        </w:rPr>
        <w:footnoteRef/>
      </w:r>
      <w:r w:rsidRPr="00432ABC">
        <w:rPr>
          <w:rFonts w:ascii="Verdana" w:hAnsi="Verdana"/>
          <w:sz w:val="16"/>
          <w:szCs w:val="16"/>
        </w:rPr>
        <w:t xml:space="preserve"> </w:t>
      </w:r>
      <w:r w:rsidRPr="00432ABC">
        <w:rPr>
          <w:rFonts w:ascii="Verdana" w:hAnsi="Verdana"/>
          <w:sz w:val="16"/>
          <w:szCs w:val="16"/>
        </w:rPr>
        <w:tab/>
      </w:r>
      <w:r w:rsidRPr="00CD5C54">
        <w:rPr>
          <w:rFonts w:ascii="Verdana" w:hAnsi="Verdana"/>
          <w:i/>
          <w:sz w:val="16"/>
          <w:szCs w:val="16"/>
        </w:rPr>
        <w:t>Cfr.</w:t>
      </w:r>
      <w:r w:rsidRPr="002C462C">
        <w:rPr>
          <w:rFonts w:ascii="Verdana" w:hAnsi="Verdana"/>
          <w:sz w:val="16"/>
          <w:szCs w:val="16"/>
        </w:rPr>
        <w:t xml:space="preserve"> Acuerdo ministerial de 12 de febrero de 2015 del AMPF5ªM – UEBDP (expediente de prueba, </w:t>
      </w:r>
      <w:r>
        <w:rPr>
          <w:rFonts w:ascii="Verdana" w:hAnsi="Verdana"/>
          <w:sz w:val="16"/>
          <w:szCs w:val="16"/>
        </w:rPr>
        <w:t>e</w:t>
      </w:r>
      <w:r w:rsidRPr="002C462C">
        <w:rPr>
          <w:rFonts w:ascii="Verdana" w:hAnsi="Verdana"/>
          <w:sz w:val="16"/>
          <w:szCs w:val="16"/>
        </w:rPr>
        <w:t xml:space="preserve">xpediente penal, f. 22309); </w:t>
      </w:r>
      <w:r>
        <w:rPr>
          <w:rFonts w:ascii="Verdana" w:hAnsi="Verdana"/>
          <w:sz w:val="16"/>
          <w:szCs w:val="16"/>
        </w:rPr>
        <w:t>O</w:t>
      </w:r>
      <w:r w:rsidRPr="002C462C">
        <w:rPr>
          <w:rFonts w:ascii="Verdana" w:hAnsi="Verdana"/>
          <w:sz w:val="16"/>
          <w:szCs w:val="16"/>
        </w:rPr>
        <w:t>ficio de colaboración s/n dirigido a la DARJMI - SEGOB</w:t>
      </w:r>
      <w:r w:rsidRPr="00432ABC" w:rsidDel="00770C50">
        <w:rPr>
          <w:rFonts w:ascii="Verdana" w:hAnsi="Verdana"/>
          <w:sz w:val="16"/>
          <w:szCs w:val="16"/>
        </w:rPr>
        <w:t xml:space="preserve"> </w:t>
      </w:r>
      <w:r w:rsidRPr="00432ABC">
        <w:rPr>
          <w:rFonts w:ascii="Verdana" w:hAnsi="Verdana"/>
          <w:sz w:val="16"/>
          <w:szCs w:val="16"/>
        </w:rPr>
        <w:t xml:space="preserve">(expediente de prueba, </w:t>
      </w:r>
      <w:r>
        <w:rPr>
          <w:rFonts w:ascii="Verdana" w:hAnsi="Verdana"/>
          <w:sz w:val="16"/>
          <w:szCs w:val="16"/>
        </w:rPr>
        <w:t>e</w:t>
      </w:r>
      <w:r w:rsidRPr="00432ABC">
        <w:rPr>
          <w:rFonts w:ascii="Verdana" w:hAnsi="Verdana"/>
          <w:sz w:val="16"/>
          <w:szCs w:val="16"/>
        </w:rPr>
        <w:t>xpediente penal, f. 22311).</w:t>
      </w:r>
    </w:p>
  </w:footnote>
  <w:footnote w:id="322">
    <w:p w14:paraId="64AA626E" w14:textId="7F927BA4" w:rsidR="00146958" w:rsidRPr="00432ABC" w:rsidRDefault="00146958">
      <w:pPr>
        <w:pStyle w:val="FootnoteText"/>
        <w:jc w:val="both"/>
        <w:rPr>
          <w:rFonts w:ascii="Verdana" w:hAnsi="Verdana"/>
          <w:sz w:val="16"/>
          <w:szCs w:val="16"/>
        </w:rPr>
      </w:pPr>
      <w:r w:rsidRPr="00432ABC">
        <w:rPr>
          <w:rStyle w:val="FootnoteReference"/>
          <w:rFonts w:ascii="Verdana" w:hAnsi="Verdana"/>
          <w:sz w:val="16"/>
          <w:szCs w:val="16"/>
        </w:rPr>
        <w:footnoteRef/>
      </w:r>
      <w:r w:rsidRPr="00432ABC">
        <w:rPr>
          <w:rFonts w:ascii="Verdana" w:hAnsi="Verdana"/>
          <w:sz w:val="16"/>
          <w:szCs w:val="16"/>
        </w:rPr>
        <w:t xml:space="preserve"> </w:t>
      </w:r>
      <w:r w:rsidRPr="00432ABC">
        <w:rPr>
          <w:rFonts w:ascii="Verdana" w:hAnsi="Verdana"/>
          <w:sz w:val="16"/>
          <w:szCs w:val="16"/>
        </w:rPr>
        <w:tab/>
      </w:r>
      <w:r w:rsidRPr="00CD5C54">
        <w:rPr>
          <w:rFonts w:ascii="Verdana" w:hAnsi="Verdana"/>
          <w:i/>
          <w:sz w:val="16"/>
          <w:szCs w:val="16"/>
        </w:rPr>
        <w:t>Cfr.</w:t>
      </w:r>
      <w:r w:rsidRPr="002C462C">
        <w:rPr>
          <w:rFonts w:ascii="Verdana" w:hAnsi="Verdana"/>
          <w:sz w:val="16"/>
          <w:szCs w:val="16"/>
        </w:rPr>
        <w:t xml:space="preserve"> Declaraciones rendidas el 12 de marzo de 2015 ante el AMPF5ªM – UEBDP por Gabriel Flores Meza (expediente de prueba, </w:t>
      </w:r>
      <w:r>
        <w:rPr>
          <w:rFonts w:ascii="Verdana" w:hAnsi="Verdana"/>
          <w:sz w:val="16"/>
          <w:szCs w:val="16"/>
        </w:rPr>
        <w:t>e</w:t>
      </w:r>
      <w:r w:rsidRPr="002C462C">
        <w:rPr>
          <w:rFonts w:ascii="Verdana" w:hAnsi="Verdana"/>
          <w:sz w:val="16"/>
          <w:szCs w:val="16"/>
        </w:rPr>
        <w:t xml:space="preserve">xpediente penal, ff. 22878 a 22879), y David Meza Espinoza (expediente de prueba, </w:t>
      </w:r>
      <w:r>
        <w:rPr>
          <w:rFonts w:ascii="Verdana" w:hAnsi="Verdana"/>
          <w:sz w:val="16"/>
          <w:szCs w:val="16"/>
        </w:rPr>
        <w:t>e</w:t>
      </w:r>
      <w:r w:rsidRPr="002C462C">
        <w:rPr>
          <w:rFonts w:ascii="Verdana" w:hAnsi="Verdana"/>
          <w:sz w:val="16"/>
          <w:szCs w:val="16"/>
        </w:rPr>
        <w:t xml:space="preserve">xpediente penal, </w:t>
      </w:r>
      <w:r w:rsidRPr="00432ABC">
        <w:rPr>
          <w:rFonts w:ascii="Verdana" w:hAnsi="Verdana"/>
          <w:sz w:val="16"/>
          <w:szCs w:val="16"/>
        </w:rPr>
        <w:t>ff. 22885 a 22887).</w:t>
      </w:r>
    </w:p>
  </w:footnote>
  <w:footnote w:id="323">
    <w:p w14:paraId="64AA626F" w14:textId="1FF8FE75" w:rsidR="00146958" w:rsidRPr="002C462C" w:rsidRDefault="00146958">
      <w:pPr>
        <w:pStyle w:val="FootnoteText"/>
        <w:jc w:val="both"/>
        <w:rPr>
          <w:rFonts w:ascii="Verdana" w:hAnsi="Verdana"/>
          <w:sz w:val="16"/>
          <w:szCs w:val="16"/>
        </w:rPr>
      </w:pPr>
      <w:r w:rsidRPr="00432ABC">
        <w:rPr>
          <w:rStyle w:val="FootnoteReference"/>
          <w:rFonts w:ascii="Verdana" w:hAnsi="Verdana"/>
          <w:sz w:val="16"/>
          <w:szCs w:val="16"/>
        </w:rPr>
        <w:footnoteRef/>
      </w:r>
      <w:r w:rsidRPr="00432ABC">
        <w:rPr>
          <w:rFonts w:ascii="Verdana" w:hAnsi="Verdana"/>
          <w:sz w:val="16"/>
          <w:szCs w:val="16"/>
        </w:rPr>
        <w:t xml:space="preserve"> </w:t>
      </w:r>
      <w:r w:rsidRPr="00432ABC">
        <w:rPr>
          <w:rFonts w:ascii="Verdana" w:hAnsi="Verdana"/>
          <w:sz w:val="16"/>
          <w:szCs w:val="16"/>
        </w:rPr>
        <w:tab/>
      </w:r>
      <w:r w:rsidRPr="00CD5C54">
        <w:rPr>
          <w:rFonts w:ascii="Verdana" w:hAnsi="Verdana"/>
          <w:i/>
          <w:sz w:val="16"/>
          <w:szCs w:val="16"/>
        </w:rPr>
        <w:t>Cfr.</w:t>
      </w:r>
      <w:r w:rsidRPr="002C462C">
        <w:rPr>
          <w:rFonts w:ascii="Verdana" w:hAnsi="Verdana"/>
          <w:sz w:val="16"/>
          <w:szCs w:val="16"/>
        </w:rPr>
        <w:t xml:space="preserve"> Acta de inspección ministerial de 25 de marzo de 2015 (expediente de prueba, </w:t>
      </w:r>
      <w:r>
        <w:rPr>
          <w:rFonts w:ascii="Verdana" w:hAnsi="Verdana"/>
          <w:sz w:val="16"/>
          <w:szCs w:val="16"/>
        </w:rPr>
        <w:t>e</w:t>
      </w:r>
      <w:r w:rsidRPr="002C462C">
        <w:rPr>
          <w:rFonts w:ascii="Verdana" w:hAnsi="Verdana"/>
          <w:sz w:val="16"/>
          <w:szCs w:val="16"/>
        </w:rPr>
        <w:t>xpediente judicial,</w:t>
      </w:r>
      <w:r>
        <w:rPr>
          <w:rFonts w:ascii="Verdana" w:hAnsi="Verdana"/>
          <w:sz w:val="16"/>
          <w:szCs w:val="16"/>
        </w:rPr>
        <w:t xml:space="preserve"> </w:t>
      </w:r>
      <w:r w:rsidRPr="002C462C">
        <w:rPr>
          <w:rFonts w:ascii="Verdana" w:hAnsi="Verdana"/>
          <w:sz w:val="16"/>
          <w:szCs w:val="16"/>
        </w:rPr>
        <w:t>ff. 22942 a 2294</w:t>
      </w:r>
      <w:r>
        <w:rPr>
          <w:rFonts w:ascii="Verdana" w:hAnsi="Verdana"/>
          <w:sz w:val="16"/>
          <w:szCs w:val="16"/>
        </w:rPr>
        <w:t>7</w:t>
      </w:r>
      <w:r w:rsidRPr="002C462C">
        <w:rPr>
          <w:rFonts w:ascii="Verdana" w:hAnsi="Verdana"/>
          <w:sz w:val="16"/>
          <w:szCs w:val="16"/>
        </w:rPr>
        <w:t>).</w:t>
      </w:r>
    </w:p>
  </w:footnote>
  <w:footnote w:id="324">
    <w:p w14:paraId="64AA6270" w14:textId="63459CB9" w:rsidR="00146958" w:rsidRPr="00432ABC" w:rsidRDefault="00146958">
      <w:pPr>
        <w:pStyle w:val="FootnoteText"/>
        <w:jc w:val="both"/>
        <w:rPr>
          <w:rFonts w:ascii="Verdana" w:hAnsi="Verdana"/>
          <w:sz w:val="16"/>
          <w:szCs w:val="16"/>
        </w:rPr>
      </w:pPr>
      <w:r w:rsidRPr="00432ABC">
        <w:rPr>
          <w:rStyle w:val="FootnoteReference"/>
          <w:rFonts w:ascii="Verdana" w:hAnsi="Verdana"/>
          <w:sz w:val="16"/>
          <w:szCs w:val="16"/>
        </w:rPr>
        <w:footnoteRef/>
      </w:r>
      <w:r w:rsidRPr="00432ABC">
        <w:rPr>
          <w:rFonts w:ascii="Verdana" w:hAnsi="Verdana"/>
          <w:sz w:val="16"/>
          <w:szCs w:val="16"/>
        </w:rPr>
        <w:t xml:space="preserve"> </w:t>
      </w:r>
      <w:r w:rsidRPr="00432ABC">
        <w:rPr>
          <w:rFonts w:ascii="Verdana" w:hAnsi="Verdana"/>
          <w:sz w:val="16"/>
          <w:szCs w:val="16"/>
        </w:rPr>
        <w:tab/>
      </w:r>
      <w:r w:rsidRPr="00CD5C54">
        <w:rPr>
          <w:rFonts w:ascii="Verdana" w:hAnsi="Verdana"/>
          <w:i/>
          <w:sz w:val="16"/>
          <w:szCs w:val="16"/>
        </w:rPr>
        <w:t>Cfr.</w:t>
      </w:r>
      <w:r w:rsidRPr="002C462C">
        <w:rPr>
          <w:rFonts w:ascii="Verdana" w:hAnsi="Verdana"/>
          <w:sz w:val="16"/>
          <w:szCs w:val="16"/>
        </w:rPr>
        <w:t xml:space="preserve"> Demanda de Amparo promovida por José Ángel Alvarado Fabela el 6 de enero de 2010 a</w:t>
      </w:r>
      <w:r w:rsidRPr="00432ABC">
        <w:rPr>
          <w:rFonts w:ascii="Verdana" w:hAnsi="Verdana"/>
          <w:sz w:val="16"/>
          <w:szCs w:val="16"/>
        </w:rPr>
        <w:t xml:space="preserve">nte el Juez de Distrito de Amparo en Materia Penal en turno en Ciudad Juárez, Chihuahua (expediente de prueba, ff. 2625 a 2628). En dicha demanda, se señalaron como autoridades responsables de los actos reclamados a los titulares de: 1. El 35 Batallón de Infantería con sede en Nuevo Casas Grandes; 2. La Guarnición Militar de Ciudad Juárez; 3. El Operativo Conjunto Chihuahua en Ciudad Juárez; 4. La PGR en Ciudad Juárez; 5. El Departamento de Averiguaciones Previas de la PGJE </w:t>
      </w:r>
      <w:r>
        <w:rPr>
          <w:rFonts w:ascii="Verdana" w:hAnsi="Verdana"/>
          <w:sz w:val="16"/>
          <w:szCs w:val="16"/>
        </w:rPr>
        <w:t>de la ciudad de</w:t>
      </w:r>
      <w:r w:rsidRPr="00432ABC">
        <w:rPr>
          <w:rFonts w:ascii="Verdana" w:hAnsi="Verdana"/>
          <w:sz w:val="16"/>
          <w:szCs w:val="16"/>
        </w:rPr>
        <w:t xml:space="preserve"> Casas Grandes, Chihuahua [sic], y 6. la Agencia del </w:t>
      </w:r>
      <w:r>
        <w:rPr>
          <w:rFonts w:ascii="Verdana" w:hAnsi="Verdana"/>
          <w:sz w:val="16"/>
          <w:szCs w:val="16"/>
        </w:rPr>
        <w:t xml:space="preserve">Ministerio Público del </w:t>
      </w:r>
      <w:r w:rsidRPr="00432ABC">
        <w:rPr>
          <w:rFonts w:ascii="Verdana" w:hAnsi="Verdana"/>
          <w:sz w:val="16"/>
          <w:szCs w:val="16"/>
        </w:rPr>
        <w:t>Fuero Común en Buenaventura, Chihuahua. Asimismo: 7. El Teniente o Capitán Élfido Luján [sic].</w:t>
      </w:r>
    </w:p>
  </w:footnote>
  <w:footnote w:id="325">
    <w:p w14:paraId="64AA6271" w14:textId="3ADB853A" w:rsidR="00146958" w:rsidRPr="00432ABC" w:rsidRDefault="00146958">
      <w:pPr>
        <w:pStyle w:val="FootnoteText"/>
        <w:jc w:val="both"/>
        <w:rPr>
          <w:rFonts w:ascii="Verdana" w:hAnsi="Verdana"/>
          <w:sz w:val="16"/>
          <w:szCs w:val="16"/>
        </w:rPr>
      </w:pPr>
      <w:r w:rsidRPr="00432ABC">
        <w:rPr>
          <w:rStyle w:val="FootnoteReference"/>
          <w:rFonts w:ascii="Verdana" w:hAnsi="Verdana"/>
          <w:sz w:val="16"/>
          <w:szCs w:val="16"/>
        </w:rPr>
        <w:footnoteRef/>
      </w:r>
      <w:r w:rsidRPr="00432ABC">
        <w:rPr>
          <w:rFonts w:ascii="Verdana" w:hAnsi="Verdana"/>
          <w:sz w:val="16"/>
          <w:szCs w:val="16"/>
        </w:rPr>
        <w:t xml:space="preserve"> </w:t>
      </w:r>
      <w:r w:rsidRPr="00432ABC">
        <w:rPr>
          <w:rFonts w:ascii="Verdana" w:hAnsi="Verdana"/>
          <w:sz w:val="16"/>
          <w:szCs w:val="16"/>
        </w:rPr>
        <w:tab/>
      </w:r>
      <w:r w:rsidRPr="00CD5C54">
        <w:rPr>
          <w:rFonts w:ascii="Verdana" w:hAnsi="Verdana"/>
          <w:i/>
          <w:sz w:val="16"/>
          <w:szCs w:val="16"/>
        </w:rPr>
        <w:t>Cfr.</w:t>
      </w:r>
      <w:r w:rsidRPr="002C462C">
        <w:rPr>
          <w:rFonts w:ascii="Verdana" w:hAnsi="Verdana"/>
          <w:i/>
          <w:sz w:val="16"/>
          <w:szCs w:val="16"/>
        </w:rPr>
        <w:t xml:space="preserve"> </w:t>
      </w:r>
      <w:r w:rsidRPr="002C462C">
        <w:rPr>
          <w:rFonts w:ascii="Verdana" w:hAnsi="Verdana"/>
          <w:sz w:val="16"/>
          <w:szCs w:val="16"/>
        </w:rPr>
        <w:t>Incidente de Suspensión Provisional de 6 de enero de 2010 proveído por la Secretaria del</w:t>
      </w:r>
      <w:r w:rsidRPr="00432ABC">
        <w:rPr>
          <w:rFonts w:ascii="Verdana" w:hAnsi="Verdana"/>
          <w:sz w:val="16"/>
          <w:szCs w:val="16"/>
        </w:rPr>
        <w:t xml:space="preserve"> Juzgado Sexto de Distrito en el Estado de Chihuahua (expediente de prueba, ff. 2367 a 2369). </w:t>
      </w:r>
    </w:p>
  </w:footnote>
  <w:footnote w:id="326">
    <w:p w14:paraId="57DD1BD5" w14:textId="266D3DE5" w:rsidR="00146958" w:rsidRPr="00432ABC" w:rsidRDefault="00146958">
      <w:pPr>
        <w:pStyle w:val="FootnoteText"/>
        <w:jc w:val="both"/>
        <w:rPr>
          <w:rFonts w:ascii="Verdana" w:hAnsi="Verdana"/>
          <w:sz w:val="16"/>
          <w:szCs w:val="16"/>
        </w:rPr>
      </w:pPr>
      <w:r w:rsidRPr="00432ABC">
        <w:rPr>
          <w:rStyle w:val="FootnoteReference"/>
          <w:rFonts w:ascii="Verdana" w:hAnsi="Verdana"/>
          <w:sz w:val="16"/>
          <w:szCs w:val="16"/>
        </w:rPr>
        <w:footnoteRef/>
      </w:r>
      <w:r w:rsidRPr="00432ABC">
        <w:rPr>
          <w:rFonts w:ascii="Verdana" w:hAnsi="Verdana"/>
          <w:sz w:val="16"/>
          <w:szCs w:val="16"/>
        </w:rPr>
        <w:t xml:space="preserve"> </w:t>
      </w:r>
      <w:r w:rsidRPr="00432ABC">
        <w:rPr>
          <w:rFonts w:ascii="Verdana" w:hAnsi="Verdana"/>
          <w:sz w:val="16"/>
          <w:szCs w:val="16"/>
        </w:rPr>
        <w:tab/>
      </w:r>
      <w:r w:rsidRPr="00CD5C54">
        <w:rPr>
          <w:rFonts w:ascii="Verdana" w:hAnsi="Verdana"/>
          <w:i/>
          <w:sz w:val="16"/>
          <w:szCs w:val="16"/>
        </w:rPr>
        <w:t>Cfr.</w:t>
      </w:r>
      <w:r w:rsidRPr="002C462C">
        <w:rPr>
          <w:rFonts w:ascii="Verdana" w:hAnsi="Verdana"/>
          <w:i/>
          <w:sz w:val="16"/>
          <w:szCs w:val="16"/>
        </w:rPr>
        <w:t xml:space="preserve"> </w:t>
      </w:r>
      <w:r w:rsidRPr="002C462C">
        <w:rPr>
          <w:rFonts w:ascii="Verdana" w:hAnsi="Verdana"/>
          <w:sz w:val="16"/>
          <w:szCs w:val="16"/>
        </w:rPr>
        <w:t>Acuerdo de 6 de mayo de 2010 proveído por el Juez Sexto de Distrito en el Estado de Chihuahua (expediente de prueba, pru</w:t>
      </w:r>
      <w:r w:rsidRPr="00432ABC">
        <w:rPr>
          <w:rFonts w:ascii="Verdana" w:hAnsi="Verdana"/>
          <w:sz w:val="16"/>
          <w:szCs w:val="16"/>
        </w:rPr>
        <w:t>eba para mejor resolver presentada por el Estado, f. 31621).</w:t>
      </w:r>
    </w:p>
  </w:footnote>
  <w:footnote w:id="327">
    <w:p w14:paraId="64AA6272" w14:textId="4E949D45" w:rsidR="00146958" w:rsidRPr="00E33422" w:rsidRDefault="00146958" w:rsidP="00E33422">
      <w:pPr>
        <w:pStyle w:val="FootnoteText"/>
        <w:jc w:val="both"/>
        <w:rPr>
          <w:rFonts w:ascii="Verdana" w:hAnsi="Verdana"/>
          <w:sz w:val="16"/>
          <w:szCs w:val="16"/>
        </w:rPr>
      </w:pPr>
      <w:r w:rsidRPr="00432ABC">
        <w:rPr>
          <w:rStyle w:val="FootnoteReference"/>
          <w:rFonts w:ascii="Verdana" w:hAnsi="Verdana"/>
          <w:sz w:val="16"/>
          <w:szCs w:val="16"/>
        </w:rPr>
        <w:footnoteRef/>
      </w:r>
      <w:r w:rsidRPr="00432ABC">
        <w:rPr>
          <w:rFonts w:ascii="Verdana" w:hAnsi="Verdana"/>
          <w:sz w:val="16"/>
          <w:szCs w:val="16"/>
        </w:rPr>
        <w:t xml:space="preserve"> </w:t>
      </w:r>
      <w:r w:rsidRPr="00432ABC">
        <w:rPr>
          <w:rFonts w:ascii="Verdana" w:hAnsi="Verdana"/>
          <w:sz w:val="16"/>
          <w:szCs w:val="16"/>
        </w:rPr>
        <w:tab/>
      </w:r>
      <w:r w:rsidRPr="00CD5C54">
        <w:rPr>
          <w:rFonts w:ascii="Verdana" w:hAnsi="Verdana"/>
          <w:i/>
          <w:sz w:val="16"/>
          <w:szCs w:val="16"/>
        </w:rPr>
        <w:t>Cfr.</w:t>
      </w:r>
      <w:r w:rsidRPr="002C462C">
        <w:rPr>
          <w:rFonts w:ascii="Verdana" w:hAnsi="Verdana"/>
          <w:sz w:val="16"/>
          <w:szCs w:val="16"/>
        </w:rPr>
        <w:t xml:space="preserve"> Acuerdo de 17 de mayo de 2011 proveído por el Juez Sexto de Distrito en el Estado de Chihuahua (</w:t>
      </w:r>
      <w:r w:rsidRPr="00E33422">
        <w:rPr>
          <w:rFonts w:ascii="Verdana" w:hAnsi="Verdana"/>
          <w:sz w:val="16"/>
          <w:szCs w:val="16"/>
        </w:rPr>
        <w:t>expediente de prueba, prueba para mejor resolver presentada por el Estado, f. 31623).</w:t>
      </w:r>
    </w:p>
  </w:footnote>
  <w:footnote w:id="328">
    <w:p w14:paraId="281DC4DE" w14:textId="6E5846EE" w:rsidR="00146958" w:rsidRPr="003564A3" w:rsidRDefault="00146958" w:rsidP="003564A3">
      <w:pPr>
        <w:spacing w:after="0" w:line="240" w:lineRule="auto"/>
        <w:jc w:val="both"/>
        <w:rPr>
          <w:rFonts w:ascii="Verdana" w:hAnsi="Verdana"/>
          <w:b/>
          <w:sz w:val="16"/>
          <w:szCs w:val="16"/>
          <w:lang w:val="es-ES"/>
        </w:rPr>
      </w:pPr>
      <w:r w:rsidRPr="003564A3">
        <w:rPr>
          <w:rStyle w:val="FootnoteReference"/>
          <w:rFonts w:ascii="Verdana" w:hAnsi="Verdana"/>
          <w:b/>
          <w:sz w:val="16"/>
          <w:szCs w:val="16"/>
        </w:rPr>
        <w:footnoteRef/>
      </w:r>
      <w:r w:rsidRPr="003564A3">
        <w:rPr>
          <w:rFonts w:ascii="Verdana" w:hAnsi="Verdana"/>
          <w:b/>
          <w:sz w:val="16"/>
          <w:szCs w:val="16"/>
        </w:rPr>
        <w:t xml:space="preserve"> </w:t>
      </w:r>
      <w:r w:rsidRPr="003564A3">
        <w:rPr>
          <w:rFonts w:ascii="Verdana" w:hAnsi="Verdana"/>
          <w:b/>
          <w:sz w:val="16"/>
          <w:szCs w:val="16"/>
        </w:rPr>
        <w:tab/>
      </w:r>
      <w:r w:rsidRPr="008D0846">
        <w:rPr>
          <w:rFonts w:ascii="Verdana" w:hAnsi="Verdana"/>
          <w:sz w:val="16"/>
          <w:szCs w:val="16"/>
          <w:lang w:val="es-AR"/>
        </w:rPr>
        <w:t xml:space="preserve">La </w:t>
      </w:r>
      <w:r w:rsidRPr="008D0846">
        <w:rPr>
          <w:rFonts w:ascii="Verdana" w:hAnsi="Verdana"/>
          <w:sz w:val="16"/>
          <w:szCs w:val="16"/>
          <w:lang w:val="es-ES"/>
        </w:rPr>
        <w:t xml:space="preserve">Comisión Nacional de los Derechos Humanos (CNDH) es un organismo estatal, público autónomo no jurisdiccional de defensa y protección de los derechos humanos. Tiene la misión de proteger, observar, promover, estudiar y divulgar los derechos humanos que ampara el orden jurídico mexicano, así como los tratados internacionales aplicables a México. De acreditarse violaciones, tiene la facultad de emitir recomendaciones, </w:t>
      </w:r>
      <w:r>
        <w:rPr>
          <w:rFonts w:ascii="Verdana" w:hAnsi="Verdana"/>
          <w:sz w:val="16"/>
          <w:szCs w:val="16"/>
          <w:lang w:val="es-ES"/>
        </w:rPr>
        <w:t>mismas que contemplan medidas encaminadas a una efectiva restitución y de ser procedente</w:t>
      </w:r>
      <w:r w:rsidRPr="008D0846">
        <w:rPr>
          <w:rFonts w:ascii="Verdana" w:hAnsi="Verdana"/>
          <w:sz w:val="16"/>
          <w:szCs w:val="16"/>
          <w:lang w:val="es-ES"/>
        </w:rPr>
        <w:t>,</w:t>
      </w:r>
      <w:r>
        <w:rPr>
          <w:rFonts w:ascii="Verdana" w:hAnsi="Verdana"/>
          <w:sz w:val="16"/>
          <w:szCs w:val="16"/>
          <w:lang w:val="es-ES"/>
        </w:rPr>
        <w:t xml:space="preserve"> para la</w:t>
      </w:r>
      <w:r w:rsidRPr="008D0846">
        <w:rPr>
          <w:rFonts w:ascii="Verdana" w:hAnsi="Verdana"/>
          <w:sz w:val="16"/>
          <w:szCs w:val="16"/>
          <w:lang w:val="es-ES"/>
        </w:rPr>
        <w:t xml:space="preserve"> reparación de los daños y perjuicios que se hubiesen ocasionado. Dichas recomendaciones no tienen el carácter imperativo para las autoridades involucradas, por lo que pueden ser o no aceptadas por éstas</w:t>
      </w:r>
      <w:r w:rsidRPr="008D0846">
        <w:rPr>
          <w:rFonts w:ascii="Verdana" w:hAnsi="Verdana"/>
          <w:sz w:val="16"/>
          <w:szCs w:val="16"/>
          <w:lang w:val="es-CR"/>
        </w:rPr>
        <w:t xml:space="preserve">; </w:t>
      </w:r>
      <w:r w:rsidRPr="008D0846">
        <w:rPr>
          <w:rFonts w:ascii="Verdana" w:hAnsi="Verdana"/>
          <w:sz w:val="16"/>
          <w:szCs w:val="16"/>
          <w:lang w:val="es-ES"/>
        </w:rPr>
        <w:t>en el segundo supuesto, la autoridad en cuestión puede ser llamada a rendir cuentas ante la Cámara de Senadores o en sus recesos la Comisión Permanente, o a las legislaturas de las entidades federativas, de conformidad con los artículos 15, fracción X y 46, tercer párrafo, inciso a), de la Ley de la CNDH, publicada en el Diario Oficial de la Federación el 29 de junio de 1992.</w:t>
      </w:r>
    </w:p>
  </w:footnote>
  <w:footnote w:id="329">
    <w:p w14:paraId="64AA6273" w14:textId="7256FF50" w:rsidR="00146958" w:rsidRPr="00432ABC" w:rsidRDefault="00146958" w:rsidP="003564A3">
      <w:pPr>
        <w:pStyle w:val="FootnoteText"/>
        <w:jc w:val="both"/>
        <w:rPr>
          <w:rFonts w:ascii="Verdana" w:hAnsi="Verdana"/>
          <w:sz w:val="16"/>
          <w:szCs w:val="16"/>
        </w:rPr>
      </w:pPr>
      <w:r w:rsidRPr="00E33422">
        <w:rPr>
          <w:rStyle w:val="FootnoteReference"/>
          <w:rFonts w:ascii="Verdana" w:hAnsi="Verdana"/>
          <w:sz w:val="16"/>
          <w:szCs w:val="16"/>
        </w:rPr>
        <w:footnoteRef/>
      </w:r>
      <w:r w:rsidRPr="00E33422">
        <w:rPr>
          <w:rFonts w:ascii="Verdana" w:hAnsi="Verdana"/>
          <w:sz w:val="16"/>
          <w:szCs w:val="16"/>
        </w:rPr>
        <w:t xml:space="preserve"> </w:t>
      </w:r>
      <w:r w:rsidRPr="00E33422">
        <w:rPr>
          <w:rFonts w:ascii="Verdana" w:hAnsi="Verdana"/>
          <w:sz w:val="16"/>
          <w:szCs w:val="16"/>
        </w:rPr>
        <w:tab/>
      </w:r>
      <w:r w:rsidRPr="00CD5C54">
        <w:rPr>
          <w:rFonts w:ascii="Verdana" w:hAnsi="Verdana"/>
          <w:i/>
          <w:sz w:val="16"/>
          <w:szCs w:val="16"/>
        </w:rPr>
        <w:t>Cfr.</w:t>
      </w:r>
      <w:r w:rsidRPr="00E33422">
        <w:rPr>
          <w:rFonts w:ascii="Verdana" w:hAnsi="Verdana"/>
          <w:i/>
          <w:sz w:val="16"/>
          <w:szCs w:val="16"/>
        </w:rPr>
        <w:t xml:space="preserve"> </w:t>
      </w:r>
      <w:r w:rsidRPr="00E33422">
        <w:rPr>
          <w:rFonts w:ascii="Verdana" w:hAnsi="Verdana"/>
          <w:sz w:val="16"/>
          <w:szCs w:val="16"/>
        </w:rPr>
        <w:t>Queja promovida el 4 de enero de 2010 por Jaime Alvarado Herrera ante la CNDH en Ciudad Juárez, Chihuahua (expediente de prueba, ff. 1833 a 1834).</w:t>
      </w:r>
    </w:p>
  </w:footnote>
  <w:footnote w:id="330">
    <w:p w14:paraId="64AA6274" w14:textId="6661CF74" w:rsidR="00146958" w:rsidRPr="00432ABC" w:rsidRDefault="00146958">
      <w:pPr>
        <w:pStyle w:val="FootnoteText"/>
        <w:jc w:val="both"/>
        <w:rPr>
          <w:rFonts w:ascii="Verdana" w:hAnsi="Verdana"/>
          <w:sz w:val="16"/>
          <w:szCs w:val="16"/>
        </w:rPr>
      </w:pPr>
      <w:r w:rsidRPr="00432ABC">
        <w:rPr>
          <w:rStyle w:val="FootnoteReference"/>
          <w:rFonts w:ascii="Verdana" w:hAnsi="Verdana"/>
          <w:sz w:val="16"/>
          <w:szCs w:val="16"/>
        </w:rPr>
        <w:footnoteRef/>
      </w:r>
      <w:r w:rsidRPr="00432ABC">
        <w:rPr>
          <w:rFonts w:ascii="Verdana" w:hAnsi="Verdana"/>
          <w:sz w:val="16"/>
          <w:szCs w:val="16"/>
        </w:rPr>
        <w:t xml:space="preserve"> </w:t>
      </w:r>
      <w:r w:rsidRPr="00432ABC">
        <w:rPr>
          <w:rFonts w:ascii="Verdana" w:hAnsi="Verdana"/>
          <w:sz w:val="16"/>
          <w:szCs w:val="16"/>
        </w:rPr>
        <w:tab/>
      </w:r>
      <w:r w:rsidRPr="00CD5C54">
        <w:rPr>
          <w:rFonts w:ascii="Verdana" w:hAnsi="Verdana"/>
          <w:i/>
          <w:sz w:val="16"/>
          <w:szCs w:val="16"/>
        </w:rPr>
        <w:t>Cfr.</w:t>
      </w:r>
      <w:r w:rsidRPr="002C462C">
        <w:rPr>
          <w:rFonts w:ascii="Verdana" w:hAnsi="Verdana"/>
          <w:sz w:val="16"/>
          <w:szCs w:val="16"/>
        </w:rPr>
        <w:t xml:space="preserve"> Recomendación 43/2011 de la CNDH emitida el 30 de junio de 2011 (ex</w:t>
      </w:r>
      <w:r w:rsidRPr="00432ABC">
        <w:rPr>
          <w:rFonts w:ascii="Verdana" w:hAnsi="Verdana"/>
          <w:sz w:val="16"/>
          <w:szCs w:val="16"/>
        </w:rPr>
        <w:t>pediente de prueba, anexo 7 de la contestación del Estado, ff. 2</w:t>
      </w:r>
      <w:r>
        <w:rPr>
          <w:rFonts w:ascii="Verdana" w:hAnsi="Verdana"/>
          <w:sz w:val="16"/>
          <w:szCs w:val="16"/>
        </w:rPr>
        <w:t>7839</w:t>
      </w:r>
      <w:r w:rsidRPr="00432ABC">
        <w:rPr>
          <w:rFonts w:ascii="Verdana" w:hAnsi="Verdana"/>
          <w:sz w:val="16"/>
          <w:szCs w:val="16"/>
        </w:rPr>
        <w:t xml:space="preserve"> a 27875).</w:t>
      </w:r>
    </w:p>
  </w:footnote>
  <w:footnote w:id="331">
    <w:p w14:paraId="64AA6276" w14:textId="7EBBE041" w:rsidR="00146958" w:rsidRPr="00432ABC" w:rsidRDefault="00146958">
      <w:pPr>
        <w:pStyle w:val="FootnoteText"/>
        <w:jc w:val="both"/>
        <w:rPr>
          <w:rFonts w:ascii="Verdana" w:hAnsi="Verdana"/>
          <w:sz w:val="16"/>
          <w:szCs w:val="16"/>
        </w:rPr>
      </w:pPr>
      <w:r w:rsidRPr="00432ABC">
        <w:rPr>
          <w:rStyle w:val="FootnoteReference"/>
          <w:rFonts w:ascii="Verdana" w:hAnsi="Verdana"/>
          <w:sz w:val="16"/>
          <w:szCs w:val="16"/>
        </w:rPr>
        <w:footnoteRef/>
      </w:r>
      <w:r w:rsidRPr="00432ABC">
        <w:rPr>
          <w:rFonts w:ascii="Verdana" w:hAnsi="Verdana"/>
          <w:sz w:val="16"/>
          <w:szCs w:val="16"/>
        </w:rPr>
        <w:t xml:space="preserve"> </w:t>
      </w:r>
      <w:r w:rsidRPr="00432ABC">
        <w:rPr>
          <w:rFonts w:ascii="Verdana" w:hAnsi="Verdana"/>
          <w:sz w:val="16"/>
          <w:szCs w:val="16"/>
        </w:rPr>
        <w:tab/>
      </w:r>
      <w:r w:rsidRPr="00CD5C54">
        <w:rPr>
          <w:rFonts w:ascii="Verdana" w:hAnsi="Verdana"/>
          <w:i/>
          <w:sz w:val="16"/>
          <w:szCs w:val="16"/>
        </w:rPr>
        <w:t>Cfr.</w:t>
      </w:r>
      <w:r w:rsidRPr="002C462C">
        <w:rPr>
          <w:rFonts w:ascii="Verdana" w:hAnsi="Verdana"/>
          <w:sz w:val="16"/>
          <w:szCs w:val="16"/>
        </w:rPr>
        <w:t xml:space="preserve"> Oficio </w:t>
      </w:r>
      <w:r>
        <w:rPr>
          <w:rFonts w:ascii="Verdana" w:hAnsi="Verdana"/>
          <w:sz w:val="16"/>
          <w:szCs w:val="16"/>
        </w:rPr>
        <w:t xml:space="preserve">No. </w:t>
      </w:r>
      <w:r w:rsidRPr="002C462C">
        <w:rPr>
          <w:rFonts w:ascii="Verdana" w:hAnsi="Verdana"/>
          <w:sz w:val="16"/>
          <w:szCs w:val="16"/>
        </w:rPr>
        <w:t>SSP/S</w:t>
      </w:r>
      <w:r>
        <w:rPr>
          <w:rFonts w:ascii="Verdana" w:hAnsi="Verdana"/>
          <w:sz w:val="16"/>
          <w:szCs w:val="16"/>
        </w:rPr>
        <w:t>P</w:t>
      </w:r>
      <w:r w:rsidRPr="002C462C">
        <w:rPr>
          <w:rFonts w:ascii="Verdana" w:hAnsi="Verdana"/>
          <w:sz w:val="16"/>
          <w:szCs w:val="16"/>
        </w:rPr>
        <w:t>PC/DGDH/6035/2011 de 4 de agosto de 2011 del Director General de Derechos Huma</w:t>
      </w:r>
      <w:r w:rsidRPr="00432ABC">
        <w:rPr>
          <w:rFonts w:ascii="Verdana" w:hAnsi="Verdana"/>
          <w:sz w:val="16"/>
          <w:szCs w:val="16"/>
        </w:rPr>
        <w:t xml:space="preserve">nos de la SSPF, dirigido al Presidente de la CNDH (expediente de prueba, </w:t>
      </w:r>
      <w:r>
        <w:rPr>
          <w:rFonts w:ascii="Verdana" w:hAnsi="Verdana"/>
          <w:sz w:val="16"/>
          <w:szCs w:val="16"/>
        </w:rPr>
        <w:t>e</w:t>
      </w:r>
      <w:r w:rsidRPr="00432ABC">
        <w:rPr>
          <w:rFonts w:ascii="Verdana" w:hAnsi="Verdana"/>
          <w:sz w:val="16"/>
          <w:szCs w:val="16"/>
        </w:rPr>
        <w:t>xpediente penal, ff. 4623 a 4639).</w:t>
      </w:r>
    </w:p>
  </w:footnote>
  <w:footnote w:id="332">
    <w:p w14:paraId="64AA6277" w14:textId="260127E3" w:rsidR="00146958" w:rsidRPr="00432ABC" w:rsidRDefault="00146958">
      <w:pPr>
        <w:pStyle w:val="FootnoteText"/>
        <w:jc w:val="both"/>
        <w:rPr>
          <w:rFonts w:ascii="Verdana" w:hAnsi="Verdana"/>
          <w:sz w:val="16"/>
          <w:szCs w:val="16"/>
        </w:rPr>
      </w:pPr>
      <w:r w:rsidRPr="00432ABC">
        <w:rPr>
          <w:rStyle w:val="FootnoteReference"/>
          <w:rFonts w:ascii="Verdana" w:hAnsi="Verdana"/>
          <w:sz w:val="16"/>
          <w:szCs w:val="16"/>
        </w:rPr>
        <w:footnoteRef/>
      </w:r>
      <w:r w:rsidRPr="00432ABC">
        <w:rPr>
          <w:rFonts w:ascii="Verdana" w:hAnsi="Verdana"/>
          <w:sz w:val="16"/>
          <w:szCs w:val="16"/>
        </w:rPr>
        <w:t xml:space="preserve"> </w:t>
      </w:r>
      <w:r w:rsidRPr="00432ABC">
        <w:rPr>
          <w:rFonts w:ascii="Verdana" w:hAnsi="Verdana"/>
          <w:sz w:val="16"/>
          <w:szCs w:val="16"/>
        </w:rPr>
        <w:tab/>
      </w:r>
      <w:r w:rsidRPr="00CD5C54">
        <w:rPr>
          <w:rFonts w:ascii="Verdana" w:hAnsi="Verdana"/>
          <w:i/>
          <w:sz w:val="16"/>
          <w:szCs w:val="16"/>
        </w:rPr>
        <w:t>Cfr.</w:t>
      </w:r>
      <w:r w:rsidRPr="002C462C">
        <w:rPr>
          <w:rFonts w:ascii="Verdana" w:hAnsi="Verdana"/>
          <w:sz w:val="16"/>
          <w:szCs w:val="16"/>
        </w:rPr>
        <w:t xml:space="preserve"> Oficio </w:t>
      </w:r>
      <w:r>
        <w:rPr>
          <w:rFonts w:ascii="Verdana" w:hAnsi="Verdana"/>
          <w:sz w:val="16"/>
          <w:szCs w:val="16"/>
        </w:rPr>
        <w:t xml:space="preserve">No. </w:t>
      </w:r>
      <w:r w:rsidRPr="002C462C">
        <w:rPr>
          <w:rFonts w:ascii="Verdana" w:hAnsi="Verdana"/>
          <w:sz w:val="16"/>
          <w:szCs w:val="16"/>
        </w:rPr>
        <w:t>FEAVOD/O86/2012 de 30 de enero de 2012 suscrito por el Fiscal Especializado en Atención a Víctimas y Ofendidos del Delito de</w:t>
      </w:r>
      <w:r w:rsidRPr="00432ABC">
        <w:rPr>
          <w:rFonts w:ascii="Verdana" w:hAnsi="Verdana"/>
          <w:sz w:val="16"/>
          <w:szCs w:val="16"/>
        </w:rPr>
        <w:t xml:space="preserve">l Estado de Chihuahua, dirigido a la Segunda Visitadora General de la CNDH en referencia al Oficio DE-078/2011 por el que el Gobernador del Estado de Chihuahua aceptó la Recomendación 43/11 de la CNDH (expediente de prueba, </w:t>
      </w:r>
      <w:r>
        <w:rPr>
          <w:rFonts w:ascii="Verdana" w:hAnsi="Verdana"/>
          <w:sz w:val="16"/>
          <w:szCs w:val="16"/>
        </w:rPr>
        <w:t>e</w:t>
      </w:r>
      <w:r w:rsidRPr="00432ABC">
        <w:rPr>
          <w:rFonts w:ascii="Verdana" w:hAnsi="Verdana"/>
          <w:sz w:val="16"/>
          <w:szCs w:val="16"/>
        </w:rPr>
        <w:t xml:space="preserve">xpediente penal, f. 4666). </w:t>
      </w:r>
    </w:p>
  </w:footnote>
  <w:footnote w:id="333">
    <w:p w14:paraId="64AA6278" w14:textId="37C8FDE6" w:rsidR="00146958" w:rsidRPr="00432ABC" w:rsidRDefault="00146958">
      <w:pPr>
        <w:pStyle w:val="FootnoteText"/>
        <w:jc w:val="both"/>
        <w:rPr>
          <w:rFonts w:ascii="Verdana" w:hAnsi="Verdana"/>
          <w:sz w:val="16"/>
          <w:szCs w:val="16"/>
        </w:rPr>
      </w:pPr>
      <w:r w:rsidRPr="00432ABC">
        <w:rPr>
          <w:rStyle w:val="FootnoteReference"/>
          <w:rFonts w:ascii="Verdana" w:hAnsi="Verdana"/>
          <w:sz w:val="16"/>
          <w:szCs w:val="16"/>
        </w:rPr>
        <w:footnoteRef/>
      </w:r>
      <w:r w:rsidRPr="00432ABC">
        <w:rPr>
          <w:rFonts w:ascii="Verdana" w:hAnsi="Verdana"/>
          <w:sz w:val="16"/>
          <w:szCs w:val="16"/>
        </w:rPr>
        <w:t xml:space="preserve"> </w:t>
      </w:r>
      <w:r w:rsidRPr="00432ABC">
        <w:rPr>
          <w:rFonts w:ascii="Verdana" w:hAnsi="Verdana"/>
          <w:sz w:val="16"/>
          <w:szCs w:val="16"/>
        </w:rPr>
        <w:tab/>
      </w:r>
      <w:r w:rsidRPr="00CD5C54">
        <w:rPr>
          <w:rFonts w:ascii="Verdana" w:hAnsi="Verdana"/>
          <w:i/>
          <w:sz w:val="16"/>
          <w:szCs w:val="16"/>
        </w:rPr>
        <w:t>Cfr.</w:t>
      </w:r>
      <w:r w:rsidRPr="002C462C">
        <w:rPr>
          <w:rFonts w:ascii="Verdana" w:hAnsi="Verdana"/>
          <w:sz w:val="16"/>
          <w:szCs w:val="16"/>
        </w:rPr>
        <w:t xml:space="preserve"> Oficio </w:t>
      </w:r>
      <w:r>
        <w:rPr>
          <w:rFonts w:ascii="Verdana" w:hAnsi="Verdana"/>
          <w:sz w:val="16"/>
          <w:szCs w:val="16"/>
        </w:rPr>
        <w:t xml:space="preserve">No. </w:t>
      </w:r>
      <w:r w:rsidRPr="002C462C">
        <w:rPr>
          <w:rFonts w:ascii="Verdana" w:hAnsi="Verdana"/>
          <w:sz w:val="16"/>
          <w:szCs w:val="16"/>
        </w:rPr>
        <w:t xml:space="preserve">DH-R-8356 de 3 de agosto de 2011 del Director General de Derechos Humanos de la SEDENA, dirigido al Presidente de la CNDH (expediente de prueba, </w:t>
      </w:r>
      <w:r>
        <w:rPr>
          <w:rFonts w:ascii="Verdana" w:hAnsi="Verdana"/>
          <w:sz w:val="16"/>
          <w:szCs w:val="16"/>
        </w:rPr>
        <w:t>e</w:t>
      </w:r>
      <w:r w:rsidRPr="002C462C">
        <w:rPr>
          <w:rFonts w:ascii="Verdana" w:hAnsi="Verdana"/>
          <w:sz w:val="16"/>
          <w:szCs w:val="16"/>
        </w:rPr>
        <w:t>xpediente penal, f. 4722). Con respecto al cumplimiento de la Recomendación 43/11,</w:t>
      </w:r>
      <w:r w:rsidRPr="00432ABC">
        <w:rPr>
          <w:rFonts w:ascii="Verdana" w:hAnsi="Verdana"/>
          <w:sz w:val="16"/>
          <w:szCs w:val="16"/>
        </w:rPr>
        <w:t xml:space="preserve"> en dicha comunicación el Director General de Derechos Humanos de la SEDENA aclaró que “las acciones para su cumplimiento, relativas a la investigación de los hechos y a la reparación del daño, quedarán sujeta al resultado de las investigaciones ministeriales y administrativas de las autoridades competentes”.</w:t>
      </w:r>
    </w:p>
  </w:footnote>
  <w:footnote w:id="334">
    <w:p w14:paraId="64AA6279" w14:textId="4E55AF0B" w:rsidR="00146958" w:rsidRPr="00432ABC" w:rsidRDefault="00146958">
      <w:pPr>
        <w:pStyle w:val="FootnoteText"/>
        <w:jc w:val="both"/>
        <w:rPr>
          <w:rFonts w:ascii="Verdana" w:hAnsi="Verdana"/>
          <w:sz w:val="16"/>
          <w:szCs w:val="16"/>
        </w:rPr>
      </w:pPr>
      <w:r w:rsidRPr="00432ABC">
        <w:rPr>
          <w:rStyle w:val="FootnoteReference"/>
          <w:rFonts w:ascii="Verdana" w:hAnsi="Verdana"/>
          <w:sz w:val="16"/>
          <w:szCs w:val="16"/>
        </w:rPr>
        <w:footnoteRef/>
      </w:r>
      <w:r w:rsidRPr="00432ABC">
        <w:rPr>
          <w:rFonts w:ascii="Verdana" w:hAnsi="Verdana"/>
          <w:sz w:val="16"/>
          <w:szCs w:val="16"/>
        </w:rPr>
        <w:t xml:space="preserve"> </w:t>
      </w:r>
      <w:r w:rsidRPr="00432ABC">
        <w:rPr>
          <w:rFonts w:ascii="Verdana" w:hAnsi="Verdana"/>
          <w:sz w:val="16"/>
          <w:szCs w:val="16"/>
        </w:rPr>
        <w:tab/>
      </w:r>
      <w:r w:rsidRPr="00CD5C54">
        <w:rPr>
          <w:rFonts w:ascii="Verdana" w:hAnsi="Verdana"/>
          <w:i/>
          <w:sz w:val="16"/>
          <w:szCs w:val="16"/>
        </w:rPr>
        <w:t>Cfr.</w:t>
      </w:r>
      <w:r w:rsidRPr="002C462C">
        <w:rPr>
          <w:rFonts w:ascii="Verdana" w:hAnsi="Verdana"/>
          <w:sz w:val="16"/>
          <w:szCs w:val="16"/>
        </w:rPr>
        <w:t xml:space="preserve"> Convenio de cumplimiento de la Recomendación 43/11 firmado entre la SEDENA y </w:t>
      </w:r>
      <w:r w:rsidRPr="00432ABC">
        <w:rPr>
          <w:rFonts w:ascii="Verdana" w:hAnsi="Verdana" w:cs="Arial"/>
          <w:sz w:val="16"/>
          <w:szCs w:val="16"/>
        </w:rPr>
        <w:t>Obdulia Espinoza Beltrán, Patricia Reyes Rueda y Ascensión Alvarado Fabela</w:t>
      </w:r>
      <w:r w:rsidRPr="00432ABC">
        <w:rPr>
          <w:rFonts w:ascii="Verdana" w:hAnsi="Verdana"/>
          <w:sz w:val="16"/>
          <w:szCs w:val="16"/>
        </w:rPr>
        <w:t xml:space="preserve"> (expediente de prueba, </w:t>
      </w:r>
      <w:r>
        <w:rPr>
          <w:rFonts w:ascii="Verdana" w:hAnsi="Verdana"/>
          <w:sz w:val="16"/>
          <w:szCs w:val="16"/>
        </w:rPr>
        <w:t>e</w:t>
      </w:r>
      <w:r w:rsidRPr="00432ABC">
        <w:rPr>
          <w:rFonts w:ascii="Verdana" w:hAnsi="Verdana"/>
          <w:sz w:val="16"/>
          <w:szCs w:val="16"/>
        </w:rPr>
        <w:t xml:space="preserve">xpediente penal, </w:t>
      </w:r>
      <w:r w:rsidRPr="00432ABC">
        <w:rPr>
          <w:rFonts w:ascii="Verdana" w:hAnsi="Verdana" w:cs="Arial"/>
          <w:sz w:val="16"/>
          <w:szCs w:val="16"/>
        </w:rPr>
        <w:t>ff. 5139 a 51</w:t>
      </w:r>
      <w:r>
        <w:rPr>
          <w:rFonts w:ascii="Verdana" w:hAnsi="Verdana" w:cs="Arial"/>
          <w:sz w:val="16"/>
          <w:szCs w:val="16"/>
        </w:rPr>
        <w:t>42</w:t>
      </w:r>
      <w:r w:rsidRPr="00432ABC">
        <w:rPr>
          <w:rFonts w:ascii="Verdana" w:hAnsi="Verdana" w:cs="Arial"/>
          <w:sz w:val="16"/>
          <w:szCs w:val="16"/>
        </w:rPr>
        <w:t xml:space="preserve">), y </w:t>
      </w:r>
      <w:r w:rsidRPr="00432ABC">
        <w:rPr>
          <w:rFonts w:ascii="Verdana" w:hAnsi="Verdana"/>
          <w:sz w:val="16"/>
          <w:szCs w:val="16"/>
        </w:rPr>
        <w:t xml:space="preserve">Declaración pericial de Carlos Martín Beristáin rendida </w:t>
      </w:r>
      <w:r>
        <w:rPr>
          <w:rFonts w:ascii="Verdana" w:hAnsi="Verdana"/>
          <w:sz w:val="16"/>
          <w:szCs w:val="16"/>
        </w:rPr>
        <w:t>el</w:t>
      </w:r>
      <w:r w:rsidRPr="00432ABC">
        <w:rPr>
          <w:rFonts w:ascii="Verdana" w:hAnsi="Verdana"/>
          <w:sz w:val="16"/>
          <w:szCs w:val="16"/>
        </w:rPr>
        <w:t xml:space="preserve"> 16 de abril de 2018</w:t>
      </w:r>
      <w:r>
        <w:rPr>
          <w:rFonts w:ascii="Verdana" w:hAnsi="Verdana"/>
          <w:sz w:val="16"/>
          <w:szCs w:val="16"/>
        </w:rPr>
        <w:t xml:space="preserve"> (expediente de prueba, </w:t>
      </w:r>
      <w:r w:rsidRPr="00453199">
        <w:rPr>
          <w:rFonts w:ascii="Verdana" w:hAnsi="Verdana"/>
          <w:i/>
          <w:sz w:val="16"/>
          <w:szCs w:val="16"/>
        </w:rPr>
        <w:t>Affidávits</w:t>
      </w:r>
      <w:r>
        <w:rPr>
          <w:rFonts w:ascii="Verdana" w:hAnsi="Verdana"/>
          <w:sz w:val="16"/>
          <w:szCs w:val="16"/>
        </w:rPr>
        <w:t>,</w:t>
      </w:r>
      <w:r w:rsidRPr="00432ABC">
        <w:rPr>
          <w:rFonts w:ascii="Verdana" w:hAnsi="Verdana"/>
          <w:sz w:val="16"/>
          <w:szCs w:val="16"/>
        </w:rPr>
        <w:t xml:space="preserve"> f. 3101</w:t>
      </w:r>
      <w:r w:rsidRPr="00432ABC">
        <w:rPr>
          <w:rFonts w:ascii="Verdana" w:hAnsi="Verdana" w:cs="Times New Roman"/>
          <w:sz w:val="16"/>
          <w:szCs w:val="16"/>
        </w:rPr>
        <w:t>5).</w:t>
      </w:r>
    </w:p>
  </w:footnote>
  <w:footnote w:id="335">
    <w:p w14:paraId="64AA627A" w14:textId="341D97C7" w:rsidR="00146958" w:rsidRPr="00432ABC" w:rsidRDefault="00146958">
      <w:pPr>
        <w:pStyle w:val="FootnoteText"/>
        <w:jc w:val="both"/>
        <w:rPr>
          <w:rFonts w:ascii="Verdana" w:hAnsi="Verdana"/>
          <w:sz w:val="16"/>
          <w:szCs w:val="16"/>
        </w:rPr>
      </w:pPr>
      <w:r w:rsidRPr="00432ABC">
        <w:rPr>
          <w:rStyle w:val="FootnoteReference"/>
          <w:rFonts w:ascii="Verdana" w:hAnsi="Verdana"/>
          <w:sz w:val="16"/>
          <w:szCs w:val="16"/>
        </w:rPr>
        <w:footnoteRef/>
      </w:r>
      <w:r w:rsidRPr="00432ABC">
        <w:rPr>
          <w:rFonts w:ascii="Verdana" w:hAnsi="Verdana"/>
          <w:sz w:val="16"/>
          <w:szCs w:val="16"/>
        </w:rPr>
        <w:t xml:space="preserve"> </w:t>
      </w:r>
      <w:r w:rsidRPr="00432ABC">
        <w:rPr>
          <w:rFonts w:ascii="Verdana" w:hAnsi="Verdana"/>
          <w:sz w:val="16"/>
          <w:szCs w:val="16"/>
        </w:rPr>
        <w:tab/>
      </w:r>
      <w:r w:rsidRPr="00CD5C54">
        <w:rPr>
          <w:rFonts w:ascii="Verdana" w:hAnsi="Verdana"/>
          <w:i/>
          <w:sz w:val="16"/>
          <w:szCs w:val="16"/>
        </w:rPr>
        <w:t>Cfr.</w:t>
      </w:r>
      <w:r w:rsidRPr="002C462C">
        <w:rPr>
          <w:rFonts w:ascii="Verdana" w:hAnsi="Verdana"/>
          <w:sz w:val="16"/>
          <w:szCs w:val="16"/>
        </w:rPr>
        <w:t xml:space="preserve"> Queja 886/09 de 4 de enero de 2010 (expediente de prueba, </w:t>
      </w:r>
      <w:r>
        <w:rPr>
          <w:rFonts w:ascii="Verdana" w:hAnsi="Verdana"/>
          <w:sz w:val="16"/>
          <w:szCs w:val="16"/>
        </w:rPr>
        <w:t>e</w:t>
      </w:r>
      <w:r w:rsidRPr="002C462C">
        <w:rPr>
          <w:rFonts w:ascii="Verdana" w:hAnsi="Verdana"/>
          <w:sz w:val="16"/>
          <w:szCs w:val="16"/>
        </w:rPr>
        <w:t>xpediente penal, ff. 6837 a 683</w:t>
      </w:r>
      <w:r w:rsidRPr="00432ABC">
        <w:rPr>
          <w:rFonts w:ascii="Verdana" w:hAnsi="Verdana"/>
          <w:sz w:val="16"/>
          <w:szCs w:val="16"/>
        </w:rPr>
        <w:t xml:space="preserve">9). </w:t>
      </w:r>
    </w:p>
  </w:footnote>
  <w:footnote w:id="336">
    <w:p w14:paraId="6FA09167" w14:textId="22B76083" w:rsidR="00146958" w:rsidRPr="00432ABC" w:rsidRDefault="00146958">
      <w:pPr>
        <w:autoSpaceDE w:val="0"/>
        <w:autoSpaceDN w:val="0"/>
        <w:adjustRightInd w:val="0"/>
        <w:spacing w:after="0" w:line="240" w:lineRule="auto"/>
        <w:jc w:val="both"/>
        <w:rPr>
          <w:rFonts w:ascii="Verdana" w:hAnsi="Verdana"/>
          <w:sz w:val="16"/>
          <w:szCs w:val="16"/>
        </w:rPr>
      </w:pPr>
      <w:r w:rsidRPr="00432ABC">
        <w:rPr>
          <w:rStyle w:val="FootnoteReference"/>
          <w:rFonts w:ascii="Verdana" w:hAnsi="Verdana"/>
          <w:sz w:val="16"/>
          <w:szCs w:val="16"/>
        </w:rPr>
        <w:footnoteRef/>
      </w:r>
      <w:r w:rsidRPr="00432ABC">
        <w:rPr>
          <w:rFonts w:ascii="Verdana" w:hAnsi="Verdana"/>
          <w:sz w:val="16"/>
          <w:szCs w:val="16"/>
        </w:rPr>
        <w:t xml:space="preserve"> </w:t>
      </w:r>
      <w:r w:rsidRPr="002C462C">
        <w:rPr>
          <w:rFonts w:ascii="Verdana" w:hAnsi="Verdana"/>
          <w:sz w:val="16"/>
          <w:szCs w:val="16"/>
        </w:rPr>
        <w:tab/>
        <w:t>El 16 de octubre de 2018 el Estado remitió una comunicación en la cual, con respecto a dicha prueba para mejor resolver solicitada por la Corte, informó</w:t>
      </w:r>
      <w:r>
        <w:rPr>
          <w:rFonts w:ascii="Verdana" w:hAnsi="Verdana"/>
          <w:sz w:val="16"/>
          <w:szCs w:val="16"/>
        </w:rPr>
        <w:t xml:space="preserve"> que</w:t>
      </w:r>
      <w:r w:rsidRPr="002C462C">
        <w:rPr>
          <w:rFonts w:ascii="Verdana" w:hAnsi="Verdana"/>
          <w:sz w:val="16"/>
          <w:szCs w:val="16"/>
        </w:rPr>
        <w:t>: “</w:t>
      </w:r>
      <w:r w:rsidRPr="002C462C">
        <w:rPr>
          <w:rFonts w:ascii="Verdana" w:eastAsiaTheme="minorHAnsi" w:hAnsi="Verdana" w:cs="Times New Roman"/>
          <w:sz w:val="16"/>
          <w:szCs w:val="16"/>
        </w:rPr>
        <w:t xml:space="preserve">luego de una búsqueda exhaustiva por partes [sic] de las autoridades que pudieran contar con </w:t>
      </w:r>
      <w:r w:rsidRPr="00432ABC">
        <w:rPr>
          <w:rFonts w:ascii="Verdana" w:eastAsiaTheme="minorHAnsi" w:hAnsi="Verdana" w:cs="Times New Roman"/>
          <w:sz w:val="16"/>
          <w:szCs w:val="16"/>
        </w:rPr>
        <w:t>la información solicitada, únicamente se encontró la copia de la queja 886/09 presentada en las oficinas del programa para atención de quejas y denuncias del [O]perativo [C]onjunto Chihuahua en Ciudad Juárez […]” (expediente de fondo, f. 2324).</w:t>
      </w:r>
    </w:p>
  </w:footnote>
  <w:footnote w:id="337">
    <w:p w14:paraId="662E1DEB" w14:textId="392D736A" w:rsidR="00146958" w:rsidRPr="00432ABC" w:rsidRDefault="00146958">
      <w:pPr>
        <w:pStyle w:val="FootnoteText"/>
        <w:jc w:val="both"/>
        <w:rPr>
          <w:rFonts w:ascii="Verdana" w:hAnsi="Verdana"/>
          <w:sz w:val="16"/>
          <w:szCs w:val="16"/>
        </w:rPr>
      </w:pPr>
      <w:r w:rsidRPr="00DB378B">
        <w:rPr>
          <w:rStyle w:val="FootnoteReference"/>
          <w:rFonts w:ascii="Verdana" w:hAnsi="Verdana"/>
        </w:rPr>
        <w:footnoteRef/>
      </w:r>
      <w:r w:rsidRPr="00DB378B">
        <w:rPr>
          <w:rFonts w:ascii="Verdana" w:hAnsi="Verdana"/>
        </w:rPr>
        <w:t xml:space="preserve"> </w:t>
      </w:r>
      <w:r w:rsidRPr="00DB378B">
        <w:rPr>
          <w:rFonts w:ascii="Verdana" w:hAnsi="Verdana"/>
          <w:i/>
        </w:rPr>
        <w:tab/>
      </w:r>
      <w:r w:rsidRPr="00CD5C54">
        <w:rPr>
          <w:rFonts w:ascii="Verdana" w:hAnsi="Verdana"/>
          <w:i/>
          <w:sz w:val="16"/>
          <w:szCs w:val="16"/>
        </w:rPr>
        <w:t>Cfr.</w:t>
      </w:r>
      <w:r w:rsidRPr="002C462C">
        <w:rPr>
          <w:rFonts w:ascii="Verdana" w:hAnsi="Verdana"/>
          <w:sz w:val="16"/>
          <w:szCs w:val="16"/>
        </w:rPr>
        <w:t xml:space="preserve"> </w:t>
      </w:r>
      <w:r w:rsidRPr="002C462C">
        <w:rPr>
          <w:rFonts w:ascii="Verdana" w:hAnsi="Verdana"/>
          <w:i/>
          <w:sz w:val="16"/>
          <w:szCs w:val="16"/>
        </w:rPr>
        <w:t>Asu</w:t>
      </w:r>
      <w:r w:rsidRPr="00432ABC">
        <w:rPr>
          <w:rFonts w:ascii="Verdana" w:hAnsi="Verdana"/>
          <w:i/>
          <w:sz w:val="16"/>
          <w:szCs w:val="16"/>
        </w:rPr>
        <w:t>nto Alvarado Reyes y otros. Medidas Provisionales respecto de México</w:t>
      </w:r>
      <w:r w:rsidRPr="00432ABC">
        <w:rPr>
          <w:rFonts w:ascii="Verdana" w:hAnsi="Verdana"/>
          <w:sz w:val="16"/>
          <w:szCs w:val="16"/>
        </w:rPr>
        <w:t>. Resolución de 26 de mayo de 2010, párr. 1.</w:t>
      </w:r>
    </w:p>
  </w:footnote>
  <w:footnote w:id="338">
    <w:p w14:paraId="123EB975" w14:textId="7961AF7B" w:rsidR="00146958" w:rsidRPr="00E40B4F" w:rsidRDefault="00146958">
      <w:pPr>
        <w:pStyle w:val="FootnoteText"/>
        <w:jc w:val="both"/>
        <w:rPr>
          <w:rFonts w:ascii="Verdana" w:hAnsi="Verdana"/>
          <w:sz w:val="16"/>
          <w:szCs w:val="16"/>
        </w:rPr>
      </w:pPr>
      <w:r w:rsidRPr="00432ABC">
        <w:rPr>
          <w:rStyle w:val="FootnoteReference"/>
          <w:rFonts w:ascii="Verdana" w:hAnsi="Verdana"/>
          <w:sz w:val="16"/>
          <w:szCs w:val="16"/>
        </w:rPr>
        <w:footnoteRef/>
      </w:r>
      <w:r w:rsidRPr="00432ABC">
        <w:rPr>
          <w:rFonts w:ascii="Verdana" w:hAnsi="Verdana"/>
          <w:sz w:val="16"/>
          <w:szCs w:val="16"/>
        </w:rPr>
        <w:t xml:space="preserve"> </w:t>
      </w:r>
      <w:r w:rsidRPr="002C462C">
        <w:rPr>
          <w:rFonts w:ascii="Verdana" w:hAnsi="Verdana"/>
          <w:sz w:val="16"/>
          <w:szCs w:val="16"/>
        </w:rPr>
        <w:tab/>
      </w:r>
      <w:r w:rsidRPr="00CD5C54">
        <w:rPr>
          <w:rFonts w:ascii="Verdana" w:hAnsi="Verdana"/>
          <w:i/>
          <w:sz w:val="16"/>
          <w:szCs w:val="16"/>
        </w:rPr>
        <w:t>Cfr.</w:t>
      </w:r>
      <w:r w:rsidRPr="00432ABC">
        <w:rPr>
          <w:rFonts w:ascii="Verdana" w:hAnsi="Verdana"/>
          <w:sz w:val="16"/>
          <w:szCs w:val="16"/>
        </w:rPr>
        <w:t xml:space="preserve"> </w:t>
      </w:r>
      <w:r w:rsidRPr="008D0846">
        <w:rPr>
          <w:rFonts w:ascii="Verdana" w:hAnsi="Verdana"/>
          <w:i/>
          <w:sz w:val="16"/>
          <w:szCs w:val="16"/>
        </w:rPr>
        <w:t>Asunto Alvarado Reyes y otros</w:t>
      </w:r>
      <w:r>
        <w:rPr>
          <w:rFonts w:ascii="Verdana" w:hAnsi="Verdana"/>
          <w:sz w:val="16"/>
          <w:szCs w:val="16"/>
        </w:rPr>
        <w:t xml:space="preserve">. </w:t>
      </w:r>
      <w:r w:rsidRPr="008D0846">
        <w:rPr>
          <w:rFonts w:ascii="Verdana" w:hAnsi="Verdana"/>
          <w:i/>
          <w:sz w:val="16"/>
          <w:szCs w:val="16"/>
        </w:rPr>
        <w:t>Medidas Provisionales respecto de México</w:t>
      </w:r>
      <w:r>
        <w:rPr>
          <w:rFonts w:ascii="Verdana" w:hAnsi="Verdana"/>
          <w:sz w:val="16"/>
          <w:szCs w:val="16"/>
        </w:rPr>
        <w:t>. Resolución de 26 de mayo de 2010,</w:t>
      </w:r>
      <w:r w:rsidRPr="00432ABC">
        <w:rPr>
          <w:rFonts w:ascii="Verdana" w:hAnsi="Verdana"/>
          <w:sz w:val="16"/>
          <w:szCs w:val="16"/>
        </w:rPr>
        <w:t xml:space="preserve"> </w:t>
      </w:r>
      <w:r>
        <w:rPr>
          <w:rFonts w:ascii="Verdana" w:hAnsi="Verdana"/>
          <w:i/>
          <w:sz w:val="16"/>
          <w:szCs w:val="16"/>
        </w:rPr>
        <w:t>s</w:t>
      </w:r>
      <w:r w:rsidRPr="00432ABC">
        <w:rPr>
          <w:rFonts w:ascii="Verdana" w:hAnsi="Verdana"/>
          <w:i/>
          <w:sz w:val="16"/>
          <w:szCs w:val="16"/>
        </w:rPr>
        <w:t>upr</w:t>
      </w:r>
      <w:r>
        <w:rPr>
          <w:rFonts w:ascii="Verdana" w:hAnsi="Verdana"/>
          <w:i/>
          <w:sz w:val="16"/>
          <w:szCs w:val="16"/>
        </w:rPr>
        <w:t>a,</w:t>
      </w:r>
      <w:r w:rsidRPr="00432ABC">
        <w:rPr>
          <w:rFonts w:ascii="Verdana" w:hAnsi="Verdana"/>
          <w:sz w:val="16"/>
          <w:szCs w:val="16"/>
        </w:rPr>
        <w:t xml:space="preserve"> </w:t>
      </w:r>
      <w:r w:rsidRPr="008D0846">
        <w:rPr>
          <w:rFonts w:ascii="Verdana" w:hAnsi="Verdana"/>
          <w:sz w:val="16"/>
          <w:szCs w:val="16"/>
        </w:rPr>
        <w:t>P</w:t>
      </w:r>
      <w:r w:rsidRPr="00E40B4F">
        <w:rPr>
          <w:rFonts w:ascii="Verdana" w:hAnsi="Verdana"/>
          <w:sz w:val="16"/>
          <w:szCs w:val="16"/>
        </w:rPr>
        <w:t xml:space="preserve">untos </w:t>
      </w:r>
      <w:r w:rsidRPr="008D0846">
        <w:rPr>
          <w:rFonts w:ascii="Verdana" w:hAnsi="Verdana"/>
          <w:sz w:val="16"/>
          <w:szCs w:val="16"/>
        </w:rPr>
        <w:t>R</w:t>
      </w:r>
      <w:r w:rsidRPr="00E40B4F">
        <w:rPr>
          <w:rFonts w:ascii="Verdana" w:hAnsi="Verdana"/>
          <w:sz w:val="16"/>
          <w:szCs w:val="16"/>
        </w:rPr>
        <w:t xml:space="preserve">esolutivos 1, 2, y 3. </w:t>
      </w:r>
    </w:p>
  </w:footnote>
  <w:footnote w:id="339">
    <w:p w14:paraId="0B5D855D" w14:textId="1D62ECBF" w:rsidR="00146958" w:rsidRPr="00432ABC" w:rsidRDefault="00146958">
      <w:pPr>
        <w:pStyle w:val="FootnoteText"/>
        <w:jc w:val="both"/>
        <w:rPr>
          <w:rFonts w:ascii="Verdana" w:hAnsi="Verdana"/>
          <w:sz w:val="16"/>
          <w:szCs w:val="16"/>
        </w:rPr>
      </w:pPr>
      <w:r w:rsidRPr="00E40B4F">
        <w:rPr>
          <w:rStyle w:val="FootnoteReference"/>
          <w:rFonts w:ascii="Verdana" w:hAnsi="Verdana"/>
          <w:sz w:val="16"/>
          <w:szCs w:val="16"/>
        </w:rPr>
        <w:footnoteRef/>
      </w:r>
      <w:r w:rsidRPr="00E40B4F">
        <w:rPr>
          <w:rFonts w:ascii="Verdana" w:hAnsi="Verdana"/>
          <w:sz w:val="16"/>
          <w:szCs w:val="16"/>
        </w:rPr>
        <w:t xml:space="preserve"> </w:t>
      </w:r>
      <w:r w:rsidRPr="00E40B4F">
        <w:rPr>
          <w:rFonts w:ascii="Verdana" w:hAnsi="Verdana"/>
          <w:sz w:val="16"/>
          <w:szCs w:val="16"/>
        </w:rPr>
        <w:tab/>
      </w:r>
      <w:r w:rsidRPr="00CD5C54">
        <w:rPr>
          <w:rFonts w:ascii="Verdana" w:hAnsi="Verdana"/>
          <w:i/>
          <w:sz w:val="16"/>
          <w:szCs w:val="16"/>
        </w:rPr>
        <w:t>Cfr.</w:t>
      </w:r>
      <w:r w:rsidRPr="00312F00">
        <w:rPr>
          <w:rFonts w:ascii="Verdana" w:hAnsi="Verdana"/>
          <w:sz w:val="16"/>
          <w:szCs w:val="16"/>
        </w:rPr>
        <w:t xml:space="preserve"> </w:t>
      </w:r>
      <w:r w:rsidRPr="008D0846">
        <w:rPr>
          <w:rFonts w:ascii="Verdana" w:hAnsi="Verdana"/>
          <w:i/>
          <w:sz w:val="16"/>
          <w:szCs w:val="16"/>
        </w:rPr>
        <w:t xml:space="preserve">Asunto Alvarado Reyes y otros. Medidas Provisionales respecto de </w:t>
      </w:r>
      <w:r w:rsidRPr="00312F00">
        <w:rPr>
          <w:rFonts w:ascii="Verdana" w:hAnsi="Verdana"/>
          <w:i/>
          <w:sz w:val="16"/>
          <w:szCs w:val="16"/>
        </w:rPr>
        <w:t>México</w:t>
      </w:r>
      <w:r w:rsidRPr="00E40B4F">
        <w:rPr>
          <w:rFonts w:ascii="Verdana" w:hAnsi="Verdana"/>
          <w:sz w:val="16"/>
          <w:szCs w:val="16"/>
        </w:rPr>
        <w:t>.</w:t>
      </w:r>
      <w:r w:rsidRPr="00312F00">
        <w:rPr>
          <w:rFonts w:ascii="Verdana" w:hAnsi="Verdana"/>
          <w:sz w:val="16"/>
          <w:szCs w:val="16"/>
        </w:rPr>
        <w:t xml:space="preserve"> Resolución de 26 de noviembre de 2010, </w:t>
      </w:r>
      <w:r w:rsidRPr="008D0846">
        <w:rPr>
          <w:rFonts w:ascii="Verdana" w:hAnsi="Verdana"/>
          <w:sz w:val="16"/>
          <w:szCs w:val="16"/>
        </w:rPr>
        <w:t>P</w:t>
      </w:r>
      <w:r w:rsidRPr="00E40B4F">
        <w:rPr>
          <w:rFonts w:ascii="Verdana" w:hAnsi="Verdana"/>
          <w:sz w:val="16"/>
          <w:szCs w:val="16"/>
        </w:rPr>
        <w:t xml:space="preserve">untos </w:t>
      </w:r>
      <w:r w:rsidRPr="008D0846">
        <w:rPr>
          <w:rFonts w:ascii="Verdana" w:hAnsi="Verdana"/>
          <w:sz w:val="16"/>
          <w:szCs w:val="16"/>
        </w:rPr>
        <w:t>R</w:t>
      </w:r>
      <w:r w:rsidRPr="00E40B4F">
        <w:rPr>
          <w:rFonts w:ascii="Verdana" w:hAnsi="Verdana"/>
          <w:sz w:val="16"/>
          <w:szCs w:val="16"/>
        </w:rPr>
        <w:t>esolutivos</w:t>
      </w:r>
      <w:r w:rsidRPr="00432ABC">
        <w:rPr>
          <w:rFonts w:ascii="Verdana" w:hAnsi="Verdana"/>
          <w:sz w:val="16"/>
          <w:szCs w:val="16"/>
        </w:rPr>
        <w:t xml:space="preserve"> 1, 2 y 3.</w:t>
      </w:r>
      <w:r>
        <w:rPr>
          <w:rFonts w:ascii="Verdana" w:hAnsi="Verdana"/>
          <w:sz w:val="16"/>
          <w:szCs w:val="16"/>
        </w:rPr>
        <w:t xml:space="preserve"> </w:t>
      </w:r>
    </w:p>
  </w:footnote>
  <w:footnote w:id="340">
    <w:p w14:paraId="1DD1FBAE" w14:textId="6C11DE69" w:rsidR="00146958" w:rsidRPr="00432ABC" w:rsidRDefault="00146958">
      <w:pPr>
        <w:pStyle w:val="FootnoteText"/>
        <w:jc w:val="both"/>
        <w:rPr>
          <w:rFonts w:ascii="Verdana" w:hAnsi="Verdana"/>
          <w:sz w:val="16"/>
          <w:szCs w:val="16"/>
        </w:rPr>
      </w:pPr>
      <w:r w:rsidRPr="00432ABC">
        <w:rPr>
          <w:rStyle w:val="FootnoteReference"/>
          <w:rFonts w:ascii="Verdana" w:hAnsi="Verdana"/>
          <w:sz w:val="16"/>
          <w:szCs w:val="16"/>
        </w:rPr>
        <w:footnoteRef/>
      </w:r>
      <w:r w:rsidRPr="00432ABC">
        <w:rPr>
          <w:rFonts w:ascii="Verdana" w:hAnsi="Verdana"/>
          <w:sz w:val="16"/>
          <w:szCs w:val="16"/>
        </w:rPr>
        <w:t xml:space="preserve"> </w:t>
      </w:r>
      <w:r w:rsidRPr="00432ABC">
        <w:rPr>
          <w:rFonts w:ascii="Verdana" w:hAnsi="Verdana"/>
          <w:sz w:val="16"/>
          <w:szCs w:val="16"/>
        </w:rPr>
        <w:tab/>
      </w:r>
      <w:r w:rsidRPr="00CD5C54">
        <w:rPr>
          <w:rFonts w:ascii="Verdana" w:hAnsi="Verdana"/>
          <w:i/>
          <w:sz w:val="16"/>
          <w:szCs w:val="16"/>
        </w:rPr>
        <w:t>Cfr.</w:t>
      </w:r>
      <w:r w:rsidRPr="002C462C">
        <w:rPr>
          <w:rFonts w:ascii="Verdana" w:hAnsi="Verdana"/>
          <w:sz w:val="16"/>
          <w:szCs w:val="16"/>
        </w:rPr>
        <w:t xml:space="preserve"> </w:t>
      </w:r>
      <w:r w:rsidRPr="00432ABC">
        <w:rPr>
          <w:rFonts w:ascii="Verdana" w:hAnsi="Verdana"/>
          <w:i/>
          <w:sz w:val="16"/>
          <w:szCs w:val="16"/>
        </w:rPr>
        <w:t>Asunto Alvarado Reyes y otros. Medidas Provisionales</w:t>
      </w:r>
      <w:r>
        <w:rPr>
          <w:rFonts w:ascii="Verdana" w:hAnsi="Verdana"/>
          <w:i/>
          <w:sz w:val="16"/>
          <w:szCs w:val="16"/>
        </w:rPr>
        <w:t xml:space="preserve"> respecto de México.</w:t>
      </w:r>
      <w:r w:rsidRPr="00432ABC">
        <w:rPr>
          <w:rFonts w:ascii="Verdana" w:hAnsi="Verdana" w:cs="Verdana"/>
          <w:sz w:val="16"/>
          <w:szCs w:val="16"/>
          <w:lang w:val="es-ES"/>
        </w:rPr>
        <w:t xml:space="preserve"> </w:t>
      </w:r>
      <w:r>
        <w:rPr>
          <w:rFonts w:ascii="Verdana" w:hAnsi="Verdana" w:cs="Verdana"/>
          <w:sz w:val="16"/>
          <w:szCs w:val="16"/>
          <w:lang w:val="es-ES"/>
        </w:rPr>
        <w:t xml:space="preserve">Resolución </w:t>
      </w:r>
      <w:r w:rsidRPr="00432ABC">
        <w:rPr>
          <w:rFonts w:ascii="Verdana" w:hAnsi="Verdana"/>
          <w:sz w:val="16"/>
          <w:szCs w:val="16"/>
          <w:lang w:val="es-ES"/>
        </w:rPr>
        <w:t xml:space="preserve">de </w:t>
      </w:r>
      <w:r w:rsidRPr="00432ABC">
        <w:rPr>
          <w:rFonts w:ascii="Verdana" w:hAnsi="Verdana"/>
          <w:sz w:val="16"/>
          <w:szCs w:val="16"/>
        </w:rPr>
        <w:t>1 de abril de 2011</w:t>
      </w:r>
      <w:r w:rsidRPr="00432ABC">
        <w:rPr>
          <w:rFonts w:ascii="Verdana" w:hAnsi="Verdana"/>
          <w:i/>
          <w:sz w:val="16"/>
          <w:szCs w:val="16"/>
        </w:rPr>
        <w:t xml:space="preserve">. </w:t>
      </w:r>
      <w:r w:rsidRPr="00432ABC">
        <w:rPr>
          <w:rFonts w:ascii="Verdana" w:hAnsi="Verdana"/>
          <w:sz w:val="16"/>
          <w:szCs w:val="16"/>
        </w:rPr>
        <w:t xml:space="preserve">Visto 7, inciso d); Declaración rendida ante la Corte por Jaime Alvarado Herrera en la Audiencia Pública, </w:t>
      </w:r>
      <w:r w:rsidRPr="002C462C">
        <w:rPr>
          <w:rFonts w:ascii="Verdana" w:hAnsi="Verdana"/>
          <w:i/>
          <w:sz w:val="16"/>
          <w:szCs w:val="16"/>
        </w:rPr>
        <w:t>supra</w:t>
      </w:r>
      <w:r w:rsidRPr="002C462C">
        <w:rPr>
          <w:rFonts w:ascii="Verdana" w:hAnsi="Verdana"/>
          <w:sz w:val="16"/>
          <w:szCs w:val="16"/>
        </w:rPr>
        <w:t>, pág. 34, y Declaración de José Ángel Alvarado Fabela rendida el 19 de</w:t>
      </w:r>
      <w:r w:rsidRPr="00432ABC">
        <w:rPr>
          <w:rFonts w:ascii="Verdana" w:hAnsi="Verdana"/>
          <w:sz w:val="16"/>
          <w:szCs w:val="16"/>
        </w:rPr>
        <w:t xml:space="preserve"> abril de 2018 (expediente de prueba, </w:t>
      </w:r>
      <w:r w:rsidRPr="00453199">
        <w:rPr>
          <w:rFonts w:ascii="Verdana" w:hAnsi="Verdana"/>
          <w:i/>
          <w:sz w:val="16"/>
        </w:rPr>
        <w:t>Affidávits</w:t>
      </w:r>
      <w:r w:rsidRPr="00432ABC">
        <w:rPr>
          <w:rFonts w:ascii="Verdana" w:hAnsi="Verdana"/>
          <w:sz w:val="16"/>
          <w:szCs w:val="16"/>
        </w:rPr>
        <w:t>,</w:t>
      </w:r>
      <w:r w:rsidRPr="00432ABC" w:rsidDel="00873CE0">
        <w:rPr>
          <w:rFonts w:ascii="Verdana" w:hAnsi="Verdana"/>
          <w:sz w:val="16"/>
          <w:szCs w:val="16"/>
        </w:rPr>
        <w:t xml:space="preserve"> </w:t>
      </w:r>
      <w:r w:rsidRPr="00432ABC">
        <w:rPr>
          <w:rFonts w:ascii="Verdana" w:hAnsi="Verdana"/>
          <w:sz w:val="16"/>
          <w:szCs w:val="16"/>
        </w:rPr>
        <w:t>f. 30882).</w:t>
      </w:r>
    </w:p>
  </w:footnote>
  <w:footnote w:id="341">
    <w:p w14:paraId="1BB11336" w14:textId="5E8530B8" w:rsidR="00146958" w:rsidRPr="002C462C" w:rsidRDefault="00146958">
      <w:pPr>
        <w:pStyle w:val="FootnoteText"/>
        <w:jc w:val="both"/>
        <w:rPr>
          <w:rFonts w:ascii="Verdana" w:hAnsi="Verdana"/>
          <w:sz w:val="16"/>
          <w:szCs w:val="16"/>
        </w:rPr>
      </w:pPr>
      <w:r w:rsidRPr="00432ABC">
        <w:rPr>
          <w:rStyle w:val="FootnoteReference"/>
          <w:rFonts w:ascii="Verdana" w:hAnsi="Verdana"/>
          <w:sz w:val="16"/>
          <w:szCs w:val="16"/>
        </w:rPr>
        <w:footnoteRef/>
      </w:r>
      <w:r w:rsidRPr="00432ABC">
        <w:rPr>
          <w:rFonts w:ascii="Verdana" w:hAnsi="Verdana"/>
          <w:sz w:val="16"/>
          <w:szCs w:val="16"/>
        </w:rPr>
        <w:t xml:space="preserve"> </w:t>
      </w:r>
      <w:r w:rsidRPr="00432ABC">
        <w:rPr>
          <w:rFonts w:ascii="Verdana" w:hAnsi="Verdana"/>
          <w:sz w:val="16"/>
          <w:szCs w:val="16"/>
        </w:rPr>
        <w:tab/>
      </w:r>
      <w:r w:rsidRPr="00CD5C54">
        <w:rPr>
          <w:rFonts w:ascii="Verdana" w:hAnsi="Verdana"/>
          <w:i/>
          <w:sz w:val="16"/>
          <w:szCs w:val="16"/>
        </w:rPr>
        <w:t>Cfr.</w:t>
      </w:r>
      <w:r w:rsidRPr="002C462C">
        <w:rPr>
          <w:rFonts w:ascii="Verdana" w:hAnsi="Verdana"/>
          <w:sz w:val="16"/>
          <w:szCs w:val="16"/>
        </w:rPr>
        <w:t xml:space="preserve"> Oficio No. V2/1447 de 16 de marzo de 2011 suscrito por el Segundo Visitador de la CNDH (expediente de prueba, ff. 11957 a 11959). </w:t>
      </w:r>
    </w:p>
  </w:footnote>
  <w:footnote w:id="342">
    <w:p w14:paraId="733ABFA7" w14:textId="53C4388A" w:rsidR="00146958" w:rsidRPr="00432ABC" w:rsidRDefault="00146958">
      <w:pPr>
        <w:pStyle w:val="FootnoteText"/>
        <w:jc w:val="both"/>
        <w:rPr>
          <w:rFonts w:ascii="Verdana" w:hAnsi="Verdana"/>
          <w:sz w:val="16"/>
          <w:szCs w:val="16"/>
        </w:rPr>
      </w:pPr>
      <w:r w:rsidRPr="00432ABC">
        <w:rPr>
          <w:rStyle w:val="FootnoteReference"/>
          <w:rFonts w:ascii="Verdana" w:hAnsi="Verdana"/>
          <w:sz w:val="16"/>
          <w:szCs w:val="16"/>
        </w:rPr>
        <w:footnoteRef/>
      </w:r>
      <w:r w:rsidRPr="00432ABC">
        <w:rPr>
          <w:rFonts w:ascii="Verdana" w:hAnsi="Verdana"/>
          <w:sz w:val="16"/>
          <w:szCs w:val="16"/>
        </w:rPr>
        <w:t xml:space="preserve"> </w:t>
      </w:r>
      <w:r w:rsidRPr="00432ABC">
        <w:rPr>
          <w:rFonts w:ascii="Verdana" w:hAnsi="Verdana"/>
          <w:sz w:val="16"/>
          <w:szCs w:val="16"/>
        </w:rPr>
        <w:tab/>
      </w:r>
      <w:r w:rsidRPr="00CD5C54">
        <w:rPr>
          <w:rFonts w:ascii="Verdana" w:hAnsi="Verdana"/>
          <w:i/>
          <w:sz w:val="16"/>
          <w:szCs w:val="16"/>
        </w:rPr>
        <w:t>Cfr.</w:t>
      </w:r>
      <w:r w:rsidRPr="002C462C">
        <w:rPr>
          <w:rFonts w:ascii="Verdana" w:hAnsi="Verdana"/>
          <w:sz w:val="16"/>
          <w:szCs w:val="16"/>
        </w:rPr>
        <w:t xml:space="preserve"> Oficio No. DH-II-2800 de 18 de marzo de 2011 de </w:t>
      </w:r>
      <w:r w:rsidRPr="00432ABC">
        <w:rPr>
          <w:rFonts w:ascii="Verdana" w:hAnsi="Verdana"/>
          <w:sz w:val="16"/>
          <w:szCs w:val="16"/>
        </w:rPr>
        <w:t>la Dirección General de Derechos Humanos de la SEDENA (expediente de prueba, ff. 11960 a 11961).</w:t>
      </w:r>
    </w:p>
  </w:footnote>
  <w:footnote w:id="343">
    <w:p w14:paraId="2FD75CFC" w14:textId="5B2E20FD" w:rsidR="00146958" w:rsidRPr="00432ABC" w:rsidRDefault="00146958">
      <w:pPr>
        <w:pStyle w:val="FootnoteText"/>
        <w:jc w:val="both"/>
        <w:rPr>
          <w:rFonts w:ascii="Verdana" w:hAnsi="Verdana"/>
          <w:sz w:val="16"/>
          <w:szCs w:val="16"/>
        </w:rPr>
      </w:pPr>
      <w:r w:rsidRPr="00432ABC">
        <w:rPr>
          <w:rStyle w:val="FootnoteReference"/>
          <w:rFonts w:ascii="Verdana" w:hAnsi="Verdana"/>
          <w:sz w:val="16"/>
          <w:szCs w:val="16"/>
        </w:rPr>
        <w:footnoteRef/>
      </w:r>
      <w:r w:rsidRPr="00432ABC">
        <w:rPr>
          <w:rFonts w:ascii="Verdana" w:hAnsi="Verdana"/>
          <w:sz w:val="16"/>
          <w:szCs w:val="16"/>
        </w:rPr>
        <w:t xml:space="preserve"> </w:t>
      </w:r>
      <w:r w:rsidRPr="002C462C">
        <w:rPr>
          <w:rFonts w:ascii="Verdana" w:hAnsi="Verdana"/>
          <w:sz w:val="16"/>
          <w:szCs w:val="16"/>
        </w:rPr>
        <w:tab/>
      </w:r>
      <w:r w:rsidRPr="00CD5C54">
        <w:rPr>
          <w:rFonts w:ascii="Verdana" w:hAnsi="Verdana"/>
          <w:i/>
          <w:sz w:val="16"/>
          <w:szCs w:val="16"/>
        </w:rPr>
        <w:t>Cfr.</w:t>
      </w:r>
      <w:r w:rsidRPr="00432ABC">
        <w:rPr>
          <w:rFonts w:ascii="Verdana" w:hAnsi="Verdana"/>
          <w:sz w:val="16"/>
          <w:szCs w:val="16"/>
        </w:rPr>
        <w:t xml:space="preserve"> </w:t>
      </w:r>
      <w:r w:rsidRPr="008D0846">
        <w:rPr>
          <w:rFonts w:ascii="Verdana" w:hAnsi="Verdana"/>
          <w:i/>
          <w:sz w:val="16"/>
          <w:szCs w:val="16"/>
        </w:rPr>
        <w:t>Asunto Alvarado Reyes y otros.</w:t>
      </w:r>
      <w:r>
        <w:rPr>
          <w:rFonts w:ascii="Verdana" w:hAnsi="Verdana"/>
          <w:sz w:val="16"/>
          <w:szCs w:val="16"/>
        </w:rPr>
        <w:t xml:space="preserve"> Resolución de 15 de mayo de 2011,</w:t>
      </w:r>
      <w:r w:rsidRPr="00432ABC">
        <w:rPr>
          <w:rFonts w:ascii="Verdana" w:hAnsi="Verdana"/>
          <w:sz w:val="16"/>
          <w:szCs w:val="16"/>
        </w:rPr>
        <w:t xml:space="preserve"> </w:t>
      </w:r>
      <w:r>
        <w:rPr>
          <w:rFonts w:ascii="Verdana" w:hAnsi="Verdana"/>
          <w:i/>
          <w:sz w:val="16"/>
          <w:szCs w:val="16"/>
        </w:rPr>
        <w:t>s</w:t>
      </w:r>
      <w:r w:rsidRPr="00432ABC">
        <w:rPr>
          <w:rFonts w:ascii="Verdana" w:hAnsi="Verdana"/>
          <w:i/>
          <w:sz w:val="16"/>
          <w:szCs w:val="16"/>
        </w:rPr>
        <w:t>upra</w:t>
      </w:r>
      <w:r w:rsidRPr="00432ABC">
        <w:rPr>
          <w:rFonts w:ascii="Verdana" w:hAnsi="Verdana"/>
          <w:sz w:val="16"/>
          <w:szCs w:val="16"/>
        </w:rPr>
        <w:t>, párr. 18.</w:t>
      </w:r>
    </w:p>
  </w:footnote>
  <w:footnote w:id="344">
    <w:p w14:paraId="7416F800" w14:textId="0D8E29F5" w:rsidR="00146958" w:rsidRPr="00432ABC" w:rsidRDefault="00146958">
      <w:pPr>
        <w:pStyle w:val="FootnoteText"/>
        <w:jc w:val="both"/>
        <w:rPr>
          <w:rFonts w:ascii="Verdana" w:hAnsi="Verdana"/>
          <w:sz w:val="16"/>
          <w:szCs w:val="16"/>
        </w:rPr>
      </w:pPr>
      <w:r w:rsidRPr="00432ABC">
        <w:rPr>
          <w:rStyle w:val="FootnoteReference"/>
          <w:rFonts w:ascii="Verdana" w:hAnsi="Verdana"/>
          <w:sz w:val="16"/>
          <w:szCs w:val="16"/>
        </w:rPr>
        <w:footnoteRef/>
      </w:r>
      <w:r w:rsidRPr="00432ABC">
        <w:rPr>
          <w:rFonts w:ascii="Verdana" w:hAnsi="Verdana"/>
          <w:sz w:val="16"/>
          <w:szCs w:val="16"/>
        </w:rPr>
        <w:t xml:space="preserve"> </w:t>
      </w:r>
      <w:r w:rsidRPr="002C462C">
        <w:rPr>
          <w:rFonts w:ascii="Verdana" w:hAnsi="Verdana"/>
          <w:sz w:val="16"/>
          <w:szCs w:val="16"/>
        </w:rPr>
        <w:tab/>
      </w:r>
      <w:r w:rsidRPr="00CD5C54">
        <w:rPr>
          <w:rFonts w:ascii="Verdana" w:hAnsi="Verdana"/>
          <w:i/>
          <w:sz w:val="16"/>
          <w:szCs w:val="16"/>
        </w:rPr>
        <w:t>Cfr.</w:t>
      </w:r>
      <w:r w:rsidRPr="00432ABC">
        <w:rPr>
          <w:rFonts w:ascii="Verdana" w:hAnsi="Verdana"/>
          <w:sz w:val="16"/>
          <w:szCs w:val="16"/>
        </w:rPr>
        <w:t xml:space="preserve"> </w:t>
      </w:r>
      <w:r w:rsidRPr="008D0846">
        <w:rPr>
          <w:rFonts w:ascii="Verdana" w:hAnsi="Verdana"/>
          <w:i/>
          <w:sz w:val="16"/>
          <w:szCs w:val="16"/>
        </w:rPr>
        <w:t>Asunto Alvarado Reyes y otros</w:t>
      </w:r>
      <w:r w:rsidRPr="00432ABC">
        <w:rPr>
          <w:rFonts w:ascii="Verdana" w:hAnsi="Verdana"/>
          <w:sz w:val="16"/>
          <w:szCs w:val="16"/>
        </w:rPr>
        <w:t>.</w:t>
      </w:r>
      <w:r w:rsidRPr="00B25027">
        <w:rPr>
          <w:rFonts w:ascii="Verdana" w:hAnsi="Verdana"/>
          <w:sz w:val="16"/>
          <w:szCs w:val="16"/>
        </w:rPr>
        <w:t xml:space="preserve"> Resolución de 15 de mayo de 2011</w:t>
      </w:r>
      <w:r>
        <w:rPr>
          <w:rFonts w:ascii="Verdana" w:hAnsi="Verdana"/>
          <w:sz w:val="16"/>
          <w:szCs w:val="16"/>
        </w:rPr>
        <w:t xml:space="preserve">. </w:t>
      </w:r>
      <w:r>
        <w:rPr>
          <w:rFonts w:ascii="Verdana" w:hAnsi="Verdana"/>
          <w:i/>
          <w:sz w:val="16"/>
          <w:szCs w:val="16"/>
        </w:rPr>
        <w:t>s</w:t>
      </w:r>
      <w:r w:rsidRPr="00432ABC">
        <w:rPr>
          <w:rFonts w:ascii="Verdana" w:hAnsi="Verdana"/>
          <w:i/>
          <w:sz w:val="16"/>
          <w:szCs w:val="16"/>
        </w:rPr>
        <w:t>upra</w:t>
      </w:r>
      <w:r w:rsidRPr="00432ABC">
        <w:rPr>
          <w:rFonts w:ascii="Verdana" w:hAnsi="Verdana"/>
          <w:sz w:val="16"/>
          <w:szCs w:val="16"/>
        </w:rPr>
        <w:t xml:space="preserve">, </w:t>
      </w:r>
      <w:r>
        <w:rPr>
          <w:rFonts w:ascii="Verdana" w:hAnsi="Verdana"/>
          <w:sz w:val="16"/>
          <w:szCs w:val="16"/>
        </w:rPr>
        <w:t>P</w:t>
      </w:r>
      <w:r w:rsidRPr="00432ABC">
        <w:rPr>
          <w:rFonts w:ascii="Verdana" w:hAnsi="Verdana"/>
          <w:sz w:val="16"/>
          <w:szCs w:val="16"/>
        </w:rPr>
        <w:t xml:space="preserve">untos </w:t>
      </w:r>
      <w:r>
        <w:rPr>
          <w:rFonts w:ascii="Verdana" w:hAnsi="Verdana"/>
          <w:sz w:val="16"/>
          <w:szCs w:val="16"/>
        </w:rPr>
        <w:t>R</w:t>
      </w:r>
      <w:r w:rsidRPr="00432ABC">
        <w:rPr>
          <w:rFonts w:ascii="Verdana" w:hAnsi="Verdana"/>
          <w:sz w:val="16"/>
          <w:szCs w:val="16"/>
        </w:rPr>
        <w:t>esolutivos 1, 2, 3, 4, 6 y 7.</w:t>
      </w:r>
    </w:p>
  </w:footnote>
  <w:footnote w:id="345">
    <w:p w14:paraId="30350AA4" w14:textId="7FF18787" w:rsidR="00146958" w:rsidRPr="002C462C" w:rsidRDefault="00146958">
      <w:pPr>
        <w:pStyle w:val="FootnoteText"/>
        <w:jc w:val="both"/>
        <w:rPr>
          <w:rFonts w:ascii="Verdana" w:hAnsi="Verdana"/>
          <w:sz w:val="16"/>
          <w:szCs w:val="16"/>
        </w:rPr>
      </w:pPr>
      <w:r w:rsidRPr="00432ABC">
        <w:rPr>
          <w:rStyle w:val="FootnoteReference"/>
          <w:rFonts w:ascii="Verdana" w:hAnsi="Verdana"/>
          <w:sz w:val="16"/>
          <w:szCs w:val="16"/>
        </w:rPr>
        <w:footnoteRef/>
      </w:r>
      <w:r w:rsidRPr="00432ABC">
        <w:rPr>
          <w:rFonts w:ascii="Verdana" w:hAnsi="Verdana"/>
          <w:sz w:val="16"/>
          <w:szCs w:val="16"/>
        </w:rPr>
        <w:t xml:space="preserve"> </w:t>
      </w:r>
      <w:r w:rsidRPr="002C462C">
        <w:rPr>
          <w:rFonts w:ascii="Verdana" w:hAnsi="Verdana"/>
          <w:sz w:val="16"/>
          <w:szCs w:val="16"/>
        </w:rPr>
        <w:tab/>
      </w:r>
      <w:r w:rsidRPr="00CD5C54">
        <w:rPr>
          <w:rFonts w:ascii="Verdana" w:hAnsi="Verdana"/>
          <w:i/>
          <w:sz w:val="16"/>
          <w:szCs w:val="16"/>
        </w:rPr>
        <w:t>Cfr.</w:t>
      </w:r>
      <w:r w:rsidRPr="002C462C">
        <w:rPr>
          <w:rFonts w:ascii="Verdana" w:hAnsi="Verdana"/>
          <w:sz w:val="16"/>
          <w:szCs w:val="16"/>
        </w:rPr>
        <w:t xml:space="preserve"> </w:t>
      </w:r>
      <w:r w:rsidRPr="008D0846">
        <w:rPr>
          <w:rFonts w:ascii="Verdana" w:hAnsi="Verdana"/>
          <w:i/>
          <w:sz w:val="16"/>
          <w:szCs w:val="16"/>
        </w:rPr>
        <w:t xml:space="preserve">Asunto Alvarado Reyes y otros. Medidas Provisionales respecto </w:t>
      </w:r>
      <w:r w:rsidRPr="008178CA">
        <w:rPr>
          <w:rFonts w:ascii="Verdana" w:hAnsi="Verdana"/>
          <w:i/>
          <w:sz w:val="16"/>
          <w:szCs w:val="16"/>
        </w:rPr>
        <w:t>Méxic</w:t>
      </w:r>
      <w:r>
        <w:rPr>
          <w:rFonts w:ascii="Verdana" w:hAnsi="Verdana"/>
          <w:i/>
          <w:sz w:val="16"/>
          <w:szCs w:val="16"/>
        </w:rPr>
        <w:t>o</w:t>
      </w:r>
      <w:r w:rsidRPr="002C462C">
        <w:rPr>
          <w:rFonts w:ascii="Verdana" w:hAnsi="Verdana"/>
          <w:sz w:val="16"/>
          <w:szCs w:val="16"/>
        </w:rPr>
        <w:t>. Resolución del 23 de noviembre de 2012, párrs. 5 a 7.</w:t>
      </w:r>
    </w:p>
  </w:footnote>
  <w:footnote w:id="346">
    <w:p w14:paraId="7DE60BF8" w14:textId="61C30172" w:rsidR="00146958" w:rsidRPr="00432ABC" w:rsidRDefault="00146958">
      <w:pPr>
        <w:pStyle w:val="FootnoteText"/>
        <w:jc w:val="both"/>
        <w:rPr>
          <w:rFonts w:ascii="Verdana" w:hAnsi="Verdana"/>
          <w:sz w:val="16"/>
          <w:szCs w:val="16"/>
        </w:rPr>
      </w:pPr>
      <w:r w:rsidRPr="00432ABC">
        <w:rPr>
          <w:rStyle w:val="FootnoteReference"/>
          <w:rFonts w:ascii="Verdana" w:hAnsi="Verdana"/>
          <w:sz w:val="16"/>
          <w:szCs w:val="16"/>
        </w:rPr>
        <w:footnoteRef/>
      </w:r>
      <w:r w:rsidRPr="00432ABC">
        <w:rPr>
          <w:rFonts w:ascii="Verdana" w:hAnsi="Verdana"/>
          <w:sz w:val="16"/>
          <w:szCs w:val="16"/>
        </w:rPr>
        <w:t xml:space="preserve"> </w:t>
      </w:r>
      <w:r w:rsidRPr="00432ABC">
        <w:rPr>
          <w:rFonts w:ascii="Verdana" w:hAnsi="Verdana"/>
          <w:sz w:val="16"/>
          <w:szCs w:val="16"/>
        </w:rPr>
        <w:tab/>
      </w:r>
      <w:r w:rsidRPr="00CD5C54">
        <w:rPr>
          <w:rFonts w:ascii="Verdana" w:hAnsi="Verdana"/>
          <w:i/>
          <w:sz w:val="16"/>
          <w:szCs w:val="16"/>
        </w:rPr>
        <w:t>Cfr.</w:t>
      </w:r>
      <w:r w:rsidRPr="002C462C">
        <w:rPr>
          <w:rFonts w:ascii="Verdana" w:hAnsi="Verdana"/>
          <w:sz w:val="16"/>
          <w:szCs w:val="16"/>
        </w:rPr>
        <w:t xml:space="preserve"> </w:t>
      </w:r>
      <w:r w:rsidRPr="00432ABC">
        <w:rPr>
          <w:rFonts w:ascii="Verdana" w:hAnsi="Verdana"/>
          <w:i/>
          <w:sz w:val="16"/>
          <w:szCs w:val="16"/>
        </w:rPr>
        <w:t>Asunto Alvarado Reyes. Medidas Provisionales respecto de México</w:t>
      </w:r>
      <w:r w:rsidRPr="00432ABC">
        <w:rPr>
          <w:rFonts w:ascii="Verdana" w:hAnsi="Verdana"/>
          <w:sz w:val="16"/>
          <w:szCs w:val="16"/>
        </w:rPr>
        <w:t xml:space="preserve">. </w:t>
      </w:r>
      <w:r w:rsidRPr="00432ABC">
        <w:rPr>
          <w:rFonts w:ascii="Verdana" w:hAnsi="Verdana" w:cs="Verdana"/>
          <w:color w:val="000000"/>
          <w:sz w:val="16"/>
          <w:szCs w:val="16"/>
        </w:rPr>
        <w:t xml:space="preserve">Resolución de </w:t>
      </w:r>
      <w:r w:rsidRPr="00432ABC">
        <w:rPr>
          <w:rFonts w:ascii="Verdana" w:hAnsi="Verdana"/>
          <w:sz w:val="16"/>
          <w:szCs w:val="16"/>
        </w:rPr>
        <w:t>23 de noviembre de 2012</w:t>
      </w:r>
      <w:r w:rsidRPr="00432ABC">
        <w:rPr>
          <w:rFonts w:ascii="Verdana" w:hAnsi="Verdana"/>
          <w:i/>
          <w:sz w:val="16"/>
          <w:szCs w:val="16"/>
        </w:rPr>
        <w:t xml:space="preserve">, </w:t>
      </w:r>
      <w:r w:rsidRPr="00432ABC">
        <w:rPr>
          <w:rFonts w:ascii="Verdana" w:hAnsi="Verdana"/>
          <w:sz w:val="16"/>
          <w:szCs w:val="16"/>
        </w:rPr>
        <w:t>Considerando 17, inciso f)</w:t>
      </w:r>
      <w:r>
        <w:rPr>
          <w:rFonts w:ascii="Verdana" w:hAnsi="Verdana"/>
          <w:sz w:val="16"/>
          <w:szCs w:val="16"/>
        </w:rPr>
        <w:t xml:space="preserve">, y </w:t>
      </w:r>
      <w:r w:rsidRPr="002C462C">
        <w:rPr>
          <w:rFonts w:ascii="Verdana" w:hAnsi="Verdana"/>
          <w:sz w:val="16"/>
          <w:szCs w:val="16"/>
        </w:rPr>
        <w:t xml:space="preserve">Declaración rendida ante la Corte por Jaime Alvarado Herrera en la Audiencia Pública, </w:t>
      </w:r>
      <w:r w:rsidRPr="00432ABC">
        <w:rPr>
          <w:rFonts w:ascii="Verdana" w:hAnsi="Verdana"/>
          <w:i/>
          <w:sz w:val="16"/>
          <w:szCs w:val="16"/>
        </w:rPr>
        <w:t>supra</w:t>
      </w:r>
      <w:r w:rsidRPr="00432ABC">
        <w:rPr>
          <w:rFonts w:ascii="Verdana" w:hAnsi="Verdana"/>
          <w:sz w:val="16"/>
          <w:szCs w:val="16"/>
        </w:rPr>
        <w:t>, pág. 34.</w:t>
      </w:r>
    </w:p>
  </w:footnote>
  <w:footnote w:id="347">
    <w:p w14:paraId="7D66137D" w14:textId="6012623B" w:rsidR="00146958" w:rsidRPr="00432ABC" w:rsidRDefault="00146958">
      <w:pPr>
        <w:pStyle w:val="FootnoteText"/>
        <w:jc w:val="both"/>
        <w:rPr>
          <w:rFonts w:ascii="Verdana" w:hAnsi="Verdana"/>
          <w:sz w:val="16"/>
          <w:szCs w:val="16"/>
        </w:rPr>
      </w:pPr>
      <w:r w:rsidRPr="00432ABC">
        <w:rPr>
          <w:rStyle w:val="FootnoteReference"/>
          <w:rFonts w:ascii="Verdana" w:hAnsi="Verdana"/>
          <w:sz w:val="16"/>
          <w:szCs w:val="16"/>
        </w:rPr>
        <w:footnoteRef/>
      </w:r>
      <w:r w:rsidRPr="00432ABC">
        <w:rPr>
          <w:rFonts w:ascii="Verdana" w:hAnsi="Verdana"/>
          <w:sz w:val="16"/>
          <w:szCs w:val="16"/>
        </w:rPr>
        <w:t xml:space="preserve"> </w:t>
      </w:r>
      <w:r w:rsidRPr="00432ABC">
        <w:rPr>
          <w:rFonts w:ascii="Verdana" w:hAnsi="Verdana"/>
          <w:sz w:val="16"/>
          <w:szCs w:val="16"/>
        </w:rPr>
        <w:tab/>
      </w:r>
      <w:r w:rsidRPr="00CD5C54">
        <w:rPr>
          <w:rFonts w:ascii="Verdana" w:hAnsi="Verdana"/>
          <w:i/>
          <w:sz w:val="16"/>
          <w:szCs w:val="16"/>
        </w:rPr>
        <w:t>Cfr.</w:t>
      </w:r>
      <w:r w:rsidRPr="002C462C">
        <w:rPr>
          <w:rFonts w:ascii="Verdana" w:hAnsi="Verdana"/>
          <w:sz w:val="16"/>
          <w:szCs w:val="16"/>
        </w:rPr>
        <w:t xml:space="preserve"> Escrito del Estado de 28 de enero de 2014 enviado en el marco de la implementación de las Medidas Provisionales otorgadas por la Corte en el </w:t>
      </w:r>
      <w:r w:rsidRPr="00432ABC">
        <w:rPr>
          <w:rFonts w:ascii="Verdana" w:hAnsi="Verdana"/>
          <w:i/>
          <w:sz w:val="16"/>
          <w:szCs w:val="16"/>
        </w:rPr>
        <w:t xml:space="preserve">Asunto Alvarado Reyes y otros respecto de </w:t>
      </w:r>
      <w:r>
        <w:rPr>
          <w:rFonts w:ascii="Verdana" w:hAnsi="Verdana"/>
          <w:i/>
          <w:sz w:val="16"/>
          <w:szCs w:val="16"/>
        </w:rPr>
        <w:t>México</w:t>
      </w:r>
      <w:r w:rsidRPr="00432ABC">
        <w:rPr>
          <w:rFonts w:ascii="Verdana" w:hAnsi="Verdana"/>
          <w:sz w:val="16"/>
          <w:szCs w:val="16"/>
        </w:rPr>
        <w:t xml:space="preserve"> el 23 de noviembre de 2012 (expediente de prueba, f. 2250).</w:t>
      </w:r>
    </w:p>
  </w:footnote>
  <w:footnote w:id="348">
    <w:p w14:paraId="50069FEA" w14:textId="0A1B293C" w:rsidR="00146958" w:rsidRPr="00432ABC" w:rsidRDefault="00146958">
      <w:pPr>
        <w:pStyle w:val="FootnoteText"/>
        <w:jc w:val="both"/>
        <w:rPr>
          <w:rFonts w:ascii="Verdana" w:hAnsi="Verdana"/>
          <w:sz w:val="16"/>
          <w:szCs w:val="16"/>
        </w:rPr>
      </w:pPr>
      <w:r w:rsidRPr="00432ABC">
        <w:rPr>
          <w:rStyle w:val="FootnoteReference"/>
          <w:rFonts w:ascii="Verdana" w:hAnsi="Verdana"/>
          <w:sz w:val="16"/>
          <w:szCs w:val="16"/>
        </w:rPr>
        <w:footnoteRef/>
      </w:r>
      <w:r w:rsidRPr="00432ABC">
        <w:rPr>
          <w:rFonts w:ascii="Verdana" w:hAnsi="Verdana"/>
          <w:sz w:val="16"/>
          <w:szCs w:val="16"/>
        </w:rPr>
        <w:t xml:space="preserve"> </w:t>
      </w:r>
      <w:r w:rsidRPr="00432ABC">
        <w:rPr>
          <w:rFonts w:ascii="Verdana" w:hAnsi="Verdana"/>
          <w:sz w:val="16"/>
          <w:szCs w:val="16"/>
        </w:rPr>
        <w:tab/>
        <w:t>Declaración de Sandra Luz Rueda Quezada rendida el 15 de noviembre de 2013 ante el AMP de la Unida</w:t>
      </w:r>
      <w:r w:rsidRPr="002C462C">
        <w:rPr>
          <w:rFonts w:ascii="Verdana" w:hAnsi="Verdana"/>
          <w:sz w:val="16"/>
          <w:szCs w:val="16"/>
        </w:rPr>
        <w:t xml:space="preserve">d Especializada de Delitos contra la Integridad Física y Daños de la PGJE –Chihuahua (expediente de prueba, f. 29054), y </w:t>
      </w:r>
      <w:r w:rsidRPr="00432ABC">
        <w:rPr>
          <w:rFonts w:ascii="Verdana" w:hAnsi="Verdana"/>
          <w:i/>
          <w:sz w:val="16"/>
          <w:szCs w:val="16"/>
        </w:rPr>
        <w:t>Asunto Alvarado Reyes. Medidas Provisionales respecto de México</w:t>
      </w:r>
      <w:r w:rsidRPr="00432ABC">
        <w:rPr>
          <w:rFonts w:ascii="Verdana" w:hAnsi="Verdana"/>
          <w:sz w:val="16"/>
          <w:szCs w:val="16"/>
        </w:rPr>
        <w:t xml:space="preserve">. </w:t>
      </w:r>
      <w:r w:rsidRPr="00432ABC">
        <w:rPr>
          <w:rFonts w:ascii="Verdana" w:hAnsi="Verdana" w:cs="Verdana"/>
          <w:color w:val="000000"/>
          <w:sz w:val="16"/>
          <w:szCs w:val="16"/>
        </w:rPr>
        <w:t xml:space="preserve">Resolución de </w:t>
      </w:r>
      <w:r w:rsidRPr="00432ABC">
        <w:rPr>
          <w:rFonts w:ascii="Verdana" w:hAnsi="Verdana" w:cs="Verdana"/>
          <w:sz w:val="16"/>
          <w:szCs w:val="16"/>
          <w:lang w:val="es-ES"/>
        </w:rPr>
        <w:t xml:space="preserve"> </w:t>
      </w:r>
      <w:r w:rsidRPr="00432ABC">
        <w:rPr>
          <w:rFonts w:ascii="Verdana" w:hAnsi="Verdana"/>
          <w:sz w:val="16"/>
          <w:szCs w:val="16"/>
        </w:rPr>
        <w:t>23 de noviembre de 2012,</w:t>
      </w:r>
      <w:r w:rsidRPr="00432ABC">
        <w:rPr>
          <w:rFonts w:ascii="Verdana" w:hAnsi="Verdana"/>
          <w:i/>
          <w:sz w:val="16"/>
          <w:szCs w:val="16"/>
        </w:rPr>
        <w:t xml:space="preserve"> supra. </w:t>
      </w:r>
      <w:r w:rsidRPr="00432ABC">
        <w:rPr>
          <w:rFonts w:ascii="Verdana" w:hAnsi="Verdana"/>
          <w:sz w:val="16"/>
          <w:szCs w:val="16"/>
        </w:rPr>
        <w:t>Considerando 17, inciso g)</w:t>
      </w:r>
      <w:r w:rsidRPr="00432ABC">
        <w:rPr>
          <w:rFonts w:ascii="Verdana" w:hAnsi="Verdana"/>
          <w:i/>
          <w:sz w:val="16"/>
          <w:szCs w:val="16"/>
        </w:rPr>
        <w:t>.</w:t>
      </w:r>
      <w:r w:rsidRPr="00432ABC">
        <w:rPr>
          <w:rFonts w:ascii="Verdana" w:hAnsi="Verdana"/>
          <w:sz w:val="16"/>
          <w:szCs w:val="16"/>
        </w:rPr>
        <w:t xml:space="preserve"> </w:t>
      </w:r>
    </w:p>
  </w:footnote>
  <w:footnote w:id="349">
    <w:p w14:paraId="2931B770" w14:textId="62A82160" w:rsidR="00146958" w:rsidRPr="002C462C" w:rsidRDefault="00146958">
      <w:pPr>
        <w:pStyle w:val="FootnoteText"/>
        <w:jc w:val="both"/>
        <w:rPr>
          <w:rFonts w:ascii="Verdana" w:hAnsi="Verdana"/>
          <w:sz w:val="16"/>
          <w:szCs w:val="16"/>
        </w:rPr>
      </w:pPr>
      <w:r w:rsidRPr="00432ABC">
        <w:rPr>
          <w:rStyle w:val="FootnoteReference"/>
          <w:rFonts w:ascii="Verdana" w:hAnsi="Verdana"/>
          <w:sz w:val="16"/>
          <w:szCs w:val="16"/>
        </w:rPr>
        <w:footnoteRef/>
      </w:r>
      <w:r w:rsidRPr="00432ABC">
        <w:rPr>
          <w:rFonts w:ascii="Verdana" w:hAnsi="Verdana"/>
          <w:sz w:val="16"/>
          <w:szCs w:val="16"/>
        </w:rPr>
        <w:t xml:space="preserve"> </w:t>
      </w:r>
      <w:r w:rsidRPr="00432ABC">
        <w:rPr>
          <w:rFonts w:ascii="Verdana" w:hAnsi="Verdana"/>
          <w:sz w:val="16"/>
          <w:szCs w:val="16"/>
        </w:rPr>
        <w:tab/>
        <w:t>Declaración de Sandra Luz Rueda Quezada rendida el 19 de abril de 2018 (expediente de prueba,</w:t>
      </w:r>
      <w:r w:rsidRPr="008D0846">
        <w:rPr>
          <w:rFonts w:ascii="Verdana" w:hAnsi="Verdana"/>
          <w:i/>
          <w:sz w:val="16"/>
          <w:szCs w:val="16"/>
        </w:rPr>
        <w:t xml:space="preserve"> </w:t>
      </w:r>
      <w:r w:rsidRPr="00453199">
        <w:rPr>
          <w:rFonts w:ascii="Verdana" w:hAnsi="Verdana"/>
          <w:i/>
          <w:sz w:val="16"/>
        </w:rPr>
        <w:t>Affidávits</w:t>
      </w:r>
      <w:r w:rsidRPr="00432ABC">
        <w:rPr>
          <w:rFonts w:ascii="Verdana" w:hAnsi="Verdana"/>
          <w:sz w:val="16"/>
          <w:szCs w:val="16"/>
        </w:rPr>
        <w:t xml:space="preserve">, f. 30955).   </w:t>
      </w:r>
    </w:p>
  </w:footnote>
  <w:footnote w:id="350">
    <w:p w14:paraId="73571EF3" w14:textId="4BB96F10" w:rsidR="00146958" w:rsidRPr="00432ABC" w:rsidRDefault="00146958">
      <w:pPr>
        <w:pStyle w:val="FootnoteText"/>
        <w:jc w:val="both"/>
        <w:rPr>
          <w:rFonts w:ascii="Verdana" w:hAnsi="Verdana"/>
          <w:sz w:val="16"/>
          <w:szCs w:val="16"/>
        </w:rPr>
      </w:pPr>
      <w:r w:rsidRPr="00432ABC">
        <w:rPr>
          <w:rStyle w:val="FootnoteReference"/>
          <w:rFonts w:ascii="Verdana" w:hAnsi="Verdana"/>
          <w:sz w:val="16"/>
          <w:szCs w:val="16"/>
        </w:rPr>
        <w:footnoteRef/>
      </w:r>
      <w:r w:rsidRPr="00432ABC">
        <w:rPr>
          <w:rFonts w:ascii="Verdana" w:hAnsi="Verdana"/>
          <w:sz w:val="16"/>
          <w:szCs w:val="16"/>
        </w:rPr>
        <w:t xml:space="preserve"> </w:t>
      </w:r>
      <w:r w:rsidRPr="00432ABC">
        <w:rPr>
          <w:rFonts w:ascii="Verdana" w:hAnsi="Verdana"/>
          <w:sz w:val="16"/>
          <w:szCs w:val="16"/>
        </w:rPr>
        <w:tab/>
      </w:r>
      <w:r w:rsidRPr="00CD5C54">
        <w:rPr>
          <w:rFonts w:ascii="Verdana" w:hAnsi="Verdana"/>
          <w:i/>
          <w:sz w:val="16"/>
          <w:szCs w:val="16"/>
        </w:rPr>
        <w:t>Cfr.</w:t>
      </w:r>
      <w:r w:rsidRPr="002C462C">
        <w:rPr>
          <w:rFonts w:ascii="Verdana" w:hAnsi="Verdana"/>
          <w:sz w:val="16"/>
          <w:szCs w:val="16"/>
        </w:rPr>
        <w:t xml:space="preserve"> Nota manus</w:t>
      </w:r>
      <w:r w:rsidRPr="00432ABC">
        <w:rPr>
          <w:rFonts w:ascii="Verdana" w:hAnsi="Verdana"/>
          <w:sz w:val="16"/>
          <w:szCs w:val="16"/>
        </w:rPr>
        <w:t xml:space="preserve">crita hallada en el lugar de los hechos el 28 de agosto de 2011 (expediente de prueba, </w:t>
      </w:r>
      <w:r>
        <w:rPr>
          <w:rFonts w:ascii="Verdana" w:hAnsi="Verdana"/>
          <w:sz w:val="16"/>
          <w:szCs w:val="16"/>
        </w:rPr>
        <w:t>e</w:t>
      </w:r>
      <w:r w:rsidRPr="00432ABC">
        <w:rPr>
          <w:rFonts w:ascii="Verdana" w:hAnsi="Verdana"/>
          <w:sz w:val="16"/>
          <w:szCs w:val="16"/>
        </w:rPr>
        <w:t xml:space="preserve">xpediente de trámite ante la CIDH, f. 3046).  </w:t>
      </w:r>
    </w:p>
  </w:footnote>
  <w:footnote w:id="351">
    <w:p w14:paraId="704B3341" w14:textId="60C594A1" w:rsidR="00146958" w:rsidRPr="00432ABC" w:rsidRDefault="00146958">
      <w:pPr>
        <w:pStyle w:val="FootnoteText"/>
        <w:jc w:val="both"/>
        <w:rPr>
          <w:rFonts w:ascii="Verdana" w:hAnsi="Verdana"/>
          <w:sz w:val="16"/>
          <w:szCs w:val="16"/>
        </w:rPr>
      </w:pPr>
      <w:r w:rsidRPr="00432ABC">
        <w:rPr>
          <w:rStyle w:val="FootnoteReference"/>
          <w:rFonts w:ascii="Verdana" w:hAnsi="Verdana"/>
          <w:sz w:val="16"/>
          <w:szCs w:val="16"/>
        </w:rPr>
        <w:footnoteRef/>
      </w:r>
      <w:r w:rsidRPr="00432ABC">
        <w:rPr>
          <w:rFonts w:ascii="Verdana" w:hAnsi="Verdana"/>
          <w:sz w:val="16"/>
          <w:szCs w:val="16"/>
        </w:rPr>
        <w:t xml:space="preserve"> </w:t>
      </w:r>
      <w:r w:rsidRPr="00432ABC">
        <w:rPr>
          <w:rFonts w:ascii="Verdana" w:hAnsi="Verdana"/>
          <w:sz w:val="16"/>
          <w:szCs w:val="16"/>
        </w:rPr>
        <w:tab/>
      </w:r>
      <w:r w:rsidRPr="00CD5C54">
        <w:rPr>
          <w:rFonts w:ascii="Verdana" w:hAnsi="Verdana"/>
          <w:i/>
          <w:sz w:val="16"/>
          <w:szCs w:val="16"/>
        </w:rPr>
        <w:t>Cfr.</w:t>
      </w:r>
      <w:r w:rsidRPr="002C462C">
        <w:rPr>
          <w:rFonts w:ascii="Verdana" w:hAnsi="Verdana"/>
          <w:sz w:val="16"/>
          <w:szCs w:val="16"/>
        </w:rPr>
        <w:t xml:space="preserve"> Oficio No. V2/56240 de 31 de agosto de 2011 suscrito por el Segundo Visitador General, dirigido al Fiscal General</w:t>
      </w:r>
      <w:r w:rsidRPr="00432ABC">
        <w:rPr>
          <w:rFonts w:ascii="Verdana" w:hAnsi="Verdana"/>
          <w:sz w:val="16"/>
          <w:szCs w:val="16"/>
        </w:rPr>
        <w:t xml:space="preserve"> del Estado de Chihuahua (expediente de prueba, ff. 4647 a 4648).</w:t>
      </w:r>
    </w:p>
  </w:footnote>
  <w:footnote w:id="352">
    <w:p w14:paraId="0FFA42DF" w14:textId="77777777" w:rsidR="00146958" w:rsidRPr="002C462C" w:rsidRDefault="00146958">
      <w:pPr>
        <w:pStyle w:val="FootnoteText"/>
        <w:jc w:val="both"/>
        <w:rPr>
          <w:rFonts w:ascii="Verdana" w:hAnsi="Verdana"/>
          <w:sz w:val="16"/>
          <w:szCs w:val="16"/>
        </w:rPr>
      </w:pPr>
      <w:r w:rsidRPr="00432ABC">
        <w:rPr>
          <w:rStyle w:val="FootnoteReference"/>
          <w:rFonts w:ascii="Verdana" w:hAnsi="Verdana"/>
          <w:sz w:val="16"/>
          <w:szCs w:val="16"/>
        </w:rPr>
        <w:footnoteRef/>
      </w:r>
      <w:r w:rsidRPr="00432ABC">
        <w:rPr>
          <w:rFonts w:ascii="Verdana" w:hAnsi="Verdana"/>
          <w:sz w:val="16"/>
          <w:szCs w:val="16"/>
        </w:rPr>
        <w:t xml:space="preserve"> </w:t>
      </w:r>
      <w:r w:rsidRPr="00432ABC">
        <w:rPr>
          <w:rFonts w:ascii="Verdana" w:hAnsi="Verdana"/>
          <w:sz w:val="16"/>
          <w:szCs w:val="16"/>
        </w:rPr>
        <w:tab/>
        <w:t>Oficio No. SSP/SPPC/DGDH/6557/2011 de 2 de septiembre de 2011, del Director General de Derechos Humanos de la Secretaría de Seguridad Pública Federal, dirigido al Segundo Visitador de la</w:t>
      </w:r>
      <w:r w:rsidRPr="002C462C">
        <w:rPr>
          <w:rFonts w:ascii="Verdana" w:hAnsi="Verdana"/>
          <w:sz w:val="16"/>
          <w:szCs w:val="16"/>
        </w:rPr>
        <w:t xml:space="preserve"> CNDH (expediente de prueba, ff. 4642 a 4643). </w:t>
      </w:r>
    </w:p>
  </w:footnote>
  <w:footnote w:id="353">
    <w:p w14:paraId="0EE41B0A" w14:textId="3D7EC65B" w:rsidR="00146958" w:rsidRPr="00432ABC" w:rsidRDefault="00146958">
      <w:pPr>
        <w:pStyle w:val="FootnoteText"/>
        <w:jc w:val="both"/>
        <w:rPr>
          <w:rFonts w:ascii="Verdana" w:hAnsi="Verdana"/>
          <w:sz w:val="16"/>
          <w:szCs w:val="16"/>
        </w:rPr>
      </w:pPr>
      <w:r w:rsidRPr="00432ABC">
        <w:rPr>
          <w:rStyle w:val="FootnoteReference"/>
          <w:rFonts w:ascii="Verdana" w:hAnsi="Verdana"/>
          <w:sz w:val="16"/>
          <w:szCs w:val="16"/>
        </w:rPr>
        <w:footnoteRef/>
      </w:r>
      <w:r w:rsidRPr="00432ABC">
        <w:rPr>
          <w:rFonts w:ascii="Verdana" w:hAnsi="Verdana"/>
          <w:sz w:val="16"/>
          <w:szCs w:val="16"/>
        </w:rPr>
        <w:t xml:space="preserve"> </w:t>
      </w:r>
      <w:r w:rsidRPr="00432ABC">
        <w:rPr>
          <w:rFonts w:ascii="Verdana" w:hAnsi="Verdana"/>
          <w:sz w:val="16"/>
          <w:szCs w:val="16"/>
        </w:rPr>
        <w:tab/>
      </w:r>
      <w:r w:rsidRPr="00CD5C54">
        <w:rPr>
          <w:rFonts w:ascii="Verdana" w:hAnsi="Verdana"/>
          <w:i/>
          <w:sz w:val="16"/>
          <w:szCs w:val="16"/>
        </w:rPr>
        <w:t>Cfr.</w:t>
      </w:r>
      <w:r w:rsidRPr="002C462C">
        <w:rPr>
          <w:rFonts w:ascii="Verdana" w:hAnsi="Verdana"/>
          <w:i/>
          <w:sz w:val="16"/>
          <w:szCs w:val="16"/>
        </w:rPr>
        <w:t xml:space="preserve"> </w:t>
      </w:r>
      <w:r w:rsidRPr="002C462C">
        <w:rPr>
          <w:rFonts w:ascii="Verdana" w:hAnsi="Verdana"/>
          <w:sz w:val="16"/>
          <w:szCs w:val="16"/>
        </w:rPr>
        <w:t xml:space="preserve">Oficio No. SJAI/CAIA/DGCI/45190/2011 de 20 de septiembre de 2011 de la Dirección General de Cooperación Internacional de la PGR, dirigido a la Titular de la UPDDH – SEGOB (expediente de prueba, </w:t>
      </w:r>
      <w:r w:rsidRPr="00432ABC">
        <w:rPr>
          <w:rFonts w:ascii="Verdana" w:hAnsi="Verdana"/>
          <w:sz w:val="16"/>
          <w:szCs w:val="16"/>
        </w:rPr>
        <w:t xml:space="preserve">f. 2299). </w:t>
      </w:r>
    </w:p>
  </w:footnote>
  <w:footnote w:id="354">
    <w:p w14:paraId="5FEE00AF" w14:textId="35484829" w:rsidR="00146958" w:rsidRPr="002C462C" w:rsidRDefault="00146958">
      <w:pPr>
        <w:pStyle w:val="FootnoteText"/>
        <w:jc w:val="both"/>
        <w:rPr>
          <w:rFonts w:ascii="Verdana" w:hAnsi="Verdana"/>
          <w:sz w:val="16"/>
          <w:szCs w:val="16"/>
        </w:rPr>
      </w:pPr>
      <w:r w:rsidRPr="00432ABC">
        <w:rPr>
          <w:rStyle w:val="FootnoteReference"/>
          <w:rFonts w:ascii="Verdana" w:hAnsi="Verdana"/>
          <w:sz w:val="16"/>
          <w:szCs w:val="16"/>
        </w:rPr>
        <w:footnoteRef/>
      </w:r>
      <w:r w:rsidRPr="00432ABC">
        <w:rPr>
          <w:rFonts w:ascii="Verdana" w:hAnsi="Verdana"/>
          <w:sz w:val="16"/>
          <w:szCs w:val="16"/>
        </w:rPr>
        <w:t xml:space="preserve"> </w:t>
      </w:r>
      <w:r w:rsidRPr="00432ABC">
        <w:rPr>
          <w:rFonts w:ascii="Verdana" w:hAnsi="Verdana"/>
          <w:sz w:val="16"/>
          <w:szCs w:val="16"/>
        </w:rPr>
        <w:tab/>
      </w:r>
      <w:r w:rsidRPr="00CD5C54">
        <w:rPr>
          <w:rFonts w:ascii="Verdana" w:hAnsi="Verdana"/>
          <w:i/>
          <w:sz w:val="16"/>
          <w:szCs w:val="16"/>
        </w:rPr>
        <w:t>Cfr.</w:t>
      </w:r>
      <w:r w:rsidRPr="002C462C">
        <w:rPr>
          <w:rFonts w:ascii="Verdana" w:hAnsi="Verdana"/>
          <w:sz w:val="16"/>
          <w:szCs w:val="16"/>
        </w:rPr>
        <w:t xml:space="preserve"> Declaración de </w:t>
      </w:r>
      <w:r>
        <w:rPr>
          <w:rFonts w:ascii="Verdana" w:hAnsi="Verdana"/>
          <w:sz w:val="16"/>
          <w:szCs w:val="16"/>
        </w:rPr>
        <w:t>D.A.E.</w:t>
      </w:r>
      <w:r w:rsidRPr="002C462C">
        <w:rPr>
          <w:rFonts w:ascii="Verdana" w:hAnsi="Verdana"/>
          <w:sz w:val="16"/>
          <w:szCs w:val="16"/>
        </w:rPr>
        <w:t xml:space="preserve"> rendida el 18 de abril de 2018 (expediente de prueba, </w:t>
      </w:r>
      <w:r w:rsidRPr="00453199">
        <w:rPr>
          <w:rFonts w:ascii="Verdana" w:hAnsi="Verdana"/>
          <w:i/>
          <w:sz w:val="16"/>
        </w:rPr>
        <w:t>Affidávits</w:t>
      </w:r>
      <w:r w:rsidRPr="002C462C">
        <w:rPr>
          <w:rFonts w:ascii="Verdana" w:hAnsi="Verdana"/>
          <w:sz w:val="16"/>
          <w:szCs w:val="16"/>
        </w:rPr>
        <w:t xml:space="preserve">, f. 30890). </w:t>
      </w:r>
    </w:p>
  </w:footnote>
  <w:footnote w:id="355">
    <w:p w14:paraId="489D204D" w14:textId="1DBAFE79" w:rsidR="00146958" w:rsidRPr="00432ABC" w:rsidRDefault="00146958">
      <w:pPr>
        <w:pStyle w:val="FootnoteText"/>
        <w:jc w:val="both"/>
        <w:rPr>
          <w:rFonts w:ascii="Verdana" w:hAnsi="Verdana"/>
          <w:sz w:val="16"/>
          <w:szCs w:val="16"/>
        </w:rPr>
      </w:pPr>
      <w:r w:rsidRPr="00432ABC">
        <w:rPr>
          <w:rStyle w:val="FootnoteReference"/>
          <w:rFonts w:ascii="Verdana" w:hAnsi="Verdana"/>
          <w:sz w:val="16"/>
          <w:szCs w:val="16"/>
        </w:rPr>
        <w:footnoteRef/>
      </w:r>
      <w:r w:rsidRPr="00432ABC">
        <w:rPr>
          <w:rFonts w:ascii="Verdana" w:hAnsi="Verdana"/>
          <w:sz w:val="16"/>
          <w:szCs w:val="16"/>
        </w:rPr>
        <w:t xml:space="preserve"> </w:t>
      </w:r>
      <w:r w:rsidRPr="00432ABC">
        <w:rPr>
          <w:rFonts w:ascii="Verdana" w:hAnsi="Verdana"/>
          <w:sz w:val="16"/>
          <w:szCs w:val="16"/>
        </w:rPr>
        <w:tab/>
      </w:r>
      <w:r w:rsidRPr="00CD5C54">
        <w:rPr>
          <w:rFonts w:ascii="Verdana" w:hAnsi="Verdana"/>
          <w:i/>
          <w:sz w:val="16"/>
          <w:szCs w:val="16"/>
        </w:rPr>
        <w:t>Cfr.</w:t>
      </w:r>
      <w:r w:rsidRPr="002C462C">
        <w:rPr>
          <w:rFonts w:ascii="Verdana" w:hAnsi="Verdana"/>
          <w:sz w:val="16"/>
          <w:szCs w:val="16"/>
        </w:rPr>
        <w:t xml:space="preserve"> Declaraciones rendidas el 18 de abril</w:t>
      </w:r>
      <w:r w:rsidRPr="00432ABC">
        <w:rPr>
          <w:rFonts w:ascii="Verdana" w:hAnsi="Verdana"/>
          <w:sz w:val="16"/>
          <w:szCs w:val="16"/>
        </w:rPr>
        <w:t xml:space="preserve"> de 2018 por: </w:t>
      </w:r>
      <w:r>
        <w:rPr>
          <w:rFonts w:ascii="Verdana" w:hAnsi="Verdana"/>
          <w:sz w:val="16"/>
          <w:szCs w:val="16"/>
        </w:rPr>
        <w:t>D.A.E.</w:t>
      </w:r>
      <w:r w:rsidRPr="00432ABC">
        <w:rPr>
          <w:rFonts w:ascii="Verdana" w:hAnsi="Verdana"/>
          <w:sz w:val="16"/>
          <w:szCs w:val="16"/>
        </w:rPr>
        <w:t xml:space="preserve">, </w:t>
      </w:r>
      <w:r w:rsidRPr="00432ABC">
        <w:rPr>
          <w:rFonts w:ascii="Verdana" w:hAnsi="Verdana"/>
          <w:i/>
          <w:sz w:val="16"/>
          <w:szCs w:val="16"/>
        </w:rPr>
        <w:t>supra</w:t>
      </w:r>
      <w:r w:rsidRPr="00432ABC">
        <w:rPr>
          <w:rFonts w:ascii="Verdana" w:hAnsi="Verdana"/>
          <w:sz w:val="16"/>
          <w:szCs w:val="16"/>
        </w:rPr>
        <w:t xml:space="preserve">, f. 30890; </w:t>
      </w:r>
      <w:r>
        <w:rPr>
          <w:rFonts w:ascii="Verdana" w:hAnsi="Verdana"/>
          <w:sz w:val="16"/>
          <w:szCs w:val="16"/>
        </w:rPr>
        <w:t>M.P.A.E.</w:t>
      </w:r>
      <w:r w:rsidRPr="00432ABC">
        <w:rPr>
          <w:rFonts w:ascii="Verdana" w:hAnsi="Verdana"/>
          <w:sz w:val="16"/>
          <w:szCs w:val="16"/>
        </w:rPr>
        <w:t xml:space="preserve"> (expediente de prueba, </w:t>
      </w:r>
      <w:r w:rsidRPr="00453199">
        <w:rPr>
          <w:rFonts w:ascii="Verdana" w:hAnsi="Verdana"/>
          <w:i/>
          <w:sz w:val="16"/>
        </w:rPr>
        <w:t>Affidávits</w:t>
      </w:r>
      <w:r w:rsidRPr="00432ABC">
        <w:rPr>
          <w:rFonts w:ascii="Verdana" w:hAnsi="Verdana"/>
          <w:sz w:val="16"/>
          <w:szCs w:val="16"/>
        </w:rPr>
        <w:t xml:space="preserve">, f. 30896), y </w:t>
      </w:r>
      <w:r>
        <w:rPr>
          <w:rFonts w:ascii="Verdana" w:hAnsi="Verdana"/>
          <w:sz w:val="16"/>
          <w:szCs w:val="16"/>
        </w:rPr>
        <w:t>N.S.A.E.</w:t>
      </w:r>
      <w:r w:rsidRPr="00432ABC">
        <w:rPr>
          <w:rFonts w:ascii="Verdana" w:hAnsi="Verdana"/>
          <w:sz w:val="16"/>
          <w:szCs w:val="16"/>
        </w:rPr>
        <w:t xml:space="preserve"> (expediente de prueba, </w:t>
      </w:r>
      <w:r w:rsidRPr="00453199">
        <w:rPr>
          <w:rFonts w:ascii="Verdana" w:hAnsi="Verdana"/>
          <w:i/>
          <w:sz w:val="16"/>
        </w:rPr>
        <w:t>Affidávits</w:t>
      </w:r>
      <w:r w:rsidRPr="00432ABC">
        <w:rPr>
          <w:rFonts w:ascii="Verdana" w:hAnsi="Verdana"/>
          <w:sz w:val="16"/>
          <w:szCs w:val="16"/>
        </w:rPr>
        <w:t xml:space="preserve">, f. 30903). </w:t>
      </w:r>
    </w:p>
  </w:footnote>
  <w:footnote w:id="356">
    <w:p w14:paraId="4EED04EF" w14:textId="5D7D2C80" w:rsidR="00146958" w:rsidRPr="00432ABC" w:rsidRDefault="00146958">
      <w:pPr>
        <w:pStyle w:val="FootnoteText"/>
        <w:jc w:val="both"/>
        <w:rPr>
          <w:rFonts w:ascii="Verdana" w:hAnsi="Verdana"/>
          <w:sz w:val="16"/>
          <w:szCs w:val="16"/>
        </w:rPr>
      </w:pPr>
      <w:r w:rsidRPr="00432ABC">
        <w:rPr>
          <w:rStyle w:val="FootnoteReference"/>
          <w:rFonts w:ascii="Verdana" w:hAnsi="Verdana"/>
          <w:sz w:val="16"/>
          <w:szCs w:val="16"/>
        </w:rPr>
        <w:footnoteRef/>
      </w:r>
      <w:r w:rsidRPr="00432ABC">
        <w:rPr>
          <w:rFonts w:ascii="Verdana" w:hAnsi="Verdana"/>
          <w:sz w:val="16"/>
          <w:szCs w:val="16"/>
        </w:rPr>
        <w:t xml:space="preserve"> </w:t>
      </w:r>
      <w:r w:rsidRPr="00432ABC">
        <w:rPr>
          <w:rFonts w:ascii="Verdana" w:hAnsi="Verdana"/>
          <w:sz w:val="16"/>
          <w:szCs w:val="16"/>
        </w:rPr>
        <w:tab/>
      </w:r>
      <w:r w:rsidRPr="00CD5C54">
        <w:rPr>
          <w:rFonts w:ascii="Verdana" w:hAnsi="Verdana"/>
          <w:i/>
          <w:sz w:val="16"/>
          <w:szCs w:val="16"/>
        </w:rPr>
        <w:t>Cfr.</w:t>
      </w:r>
      <w:r w:rsidRPr="00432ABC">
        <w:rPr>
          <w:rFonts w:ascii="Verdana" w:hAnsi="Verdana"/>
          <w:i/>
          <w:sz w:val="16"/>
          <w:szCs w:val="16"/>
        </w:rPr>
        <w:t xml:space="preserve"> </w:t>
      </w:r>
      <w:r w:rsidRPr="00432ABC">
        <w:rPr>
          <w:rFonts w:ascii="Verdana" w:hAnsi="Verdana"/>
          <w:sz w:val="16"/>
          <w:szCs w:val="16"/>
        </w:rPr>
        <w:t xml:space="preserve">Declaraciones rendidas el 18 de abril de 2018 por: </w:t>
      </w:r>
      <w:r>
        <w:rPr>
          <w:rFonts w:ascii="Verdana" w:hAnsi="Verdana"/>
          <w:sz w:val="16"/>
          <w:szCs w:val="16"/>
        </w:rPr>
        <w:t>D.A.E.</w:t>
      </w:r>
      <w:r w:rsidRPr="00432ABC">
        <w:rPr>
          <w:rFonts w:ascii="Verdana" w:hAnsi="Verdana"/>
          <w:sz w:val="16"/>
          <w:szCs w:val="16"/>
        </w:rPr>
        <w:t xml:space="preserve">, </w:t>
      </w:r>
      <w:r w:rsidRPr="00432ABC">
        <w:rPr>
          <w:rFonts w:ascii="Verdana" w:hAnsi="Verdana"/>
          <w:i/>
          <w:sz w:val="16"/>
          <w:szCs w:val="16"/>
        </w:rPr>
        <w:t>supra</w:t>
      </w:r>
      <w:r w:rsidRPr="00432ABC">
        <w:rPr>
          <w:rFonts w:ascii="Verdana" w:hAnsi="Verdana"/>
          <w:sz w:val="16"/>
          <w:szCs w:val="16"/>
        </w:rPr>
        <w:t>,</w:t>
      </w:r>
      <w:r>
        <w:rPr>
          <w:rFonts w:ascii="Verdana" w:hAnsi="Verdana"/>
          <w:sz w:val="16"/>
          <w:szCs w:val="16"/>
        </w:rPr>
        <w:t xml:space="preserve"> (expediente de prueba, </w:t>
      </w:r>
      <w:r w:rsidRPr="00432ABC">
        <w:rPr>
          <w:rFonts w:ascii="Verdana" w:hAnsi="Verdana"/>
          <w:sz w:val="16"/>
          <w:szCs w:val="16"/>
        </w:rPr>
        <w:t xml:space="preserve"> f. 30890</w:t>
      </w:r>
      <w:r>
        <w:rPr>
          <w:rFonts w:ascii="Verdana" w:hAnsi="Verdana"/>
          <w:sz w:val="16"/>
          <w:szCs w:val="16"/>
        </w:rPr>
        <w:t>)</w:t>
      </w:r>
      <w:r w:rsidRPr="00432ABC">
        <w:rPr>
          <w:rFonts w:ascii="Verdana" w:hAnsi="Verdana"/>
          <w:sz w:val="16"/>
          <w:szCs w:val="16"/>
        </w:rPr>
        <w:t>;</w:t>
      </w:r>
      <w:r w:rsidRPr="00432ABC">
        <w:rPr>
          <w:rFonts w:ascii="Verdana" w:eastAsiaTheme="minorHAnsi" w:hAnsi="Verdana"/>
          <w:sz w:val="16"/>
          <w:szCs w:val="16"/>
        </w:rPr>
        <w:t xml:space="preserve"> </w:t>
      </w:r>
      <w:r>
        <w:rPr>
          <w:rFonts w:ascii="Verdana" w:hAnsi="Verdana"/>
          <w:sz w:val="16"/>
          <w:szCs w:val="16"/>
        </w:rPr>
        <w:t>M.P.A.E.</w:t>
      </w:r>
      <w:r w:rsidRPr="00432ABC">
        <w:rPr>
          <w:rFonts w:ascii="Verdana" w:hAnsi="Verdana"/>
          <w:sz w:val="16"/>
          <w:szCs w:val="16"/>
        </w:rPr>
        <w:t xml:space="preserve">, </w:t>
      </w:r>
      <w:r>
        <w:rPr>
          <w:rFonts w:ascii="Verdana" w:hAnsi="Verdana"/>
          <w:sz w:val="16"/>
          <w:szCs w:val="16"/>
        </w:rPr>
        <w:t>(</w:t>
      </w:r>
      <w:r w:rsidRPr="00432ABC">
        <w:rPr>
          <w:rFonts w:ascii="Verdana" w:hAnsi="Verdana"/>
          <w:i/>
          <w:sz w:val="16"/>
          <w:szCs w:val="16"/>
        </w:rPr>
        <w:t>supra</w:t>
      </w:r>
      <w:r w:rsidRPr="00432ABC">
        <w:rPr>
          <w:rFonts w:ascii="Verdana" w:hAnsi="Verdana"/>
          <w:sz w:val="16"/>
          <w:szCs w:val="16"/>
        </w:rPr>
        <w:t>, f. 30897</w:t>
      </w:r>
      <w:r>
        <w:rPr>
          <w:rFonts w:ascii="Verdana" w:hAnsi="Verdana"/>
          <w:sz w:val="16"/>
          <w:szCs w:val="16"/>
        </w:rPr>
        <w:t>)</w:t>
      </w:r>
      <w:r w:rsidRPr="00432ABC">
        <w:rPr>
          <w:rFonts w:ascii="Verdana" w:hAnsi="Verdana"/>
          <w:sz w:val="16"/>
          <w:szCs w:val="16"/>
        </w:rPr>
        <w:t xml:space="preserve">, y </w:t>
      </w:r>
      <w:r>
        <w:rPr>
          <w:rFonts w:ascii="Verdana" w:hAnsi="Verdana"/>
          <w:sz w:val="16"/>
          <w:szCs w:val="16"/>
        </w:rPr>
        <w:t>N.S.A.E.,</w:t>
      </w:r>
      <w:r w:rsidRPr="00432ABC">
        <w:rPr>
          <w:rFonts w:ascii="Verdana" w:hAnsi="Verdana"/>
          <w:sz w:val="16"/>
          <w:szCs w:val="16"/>
        </w:rPr>
        <w:t xml:space="preserve"> </w:t>
      </w:r>
      <w:r w:rsidRPr="00432ABC">
        <w:rPr>
          <w:rFonts w:ascii="Verdana" w:hAnsi="Verdana"/>
          <w:i/>
          <w:sz w:val="16"/>
          <w:szCs w:val="16"/>
        </w:rPr>
        <w:t>supra</w:t>
      </w:r>
      <w:r w:rsidRPr="00432ABC">
        <w:rPr>
          <w:rFonts w:ascii="Verdana" w:hAnsi="Verdana"/>
          <w:sz w:val="16"/>
          <w:szCs w:val="16"/>
        </w:rPr>
        <w:t xml:space="preserve">, </w:t>
      </w:r>
      <w:r>
        <w:rPr>
          <w:rFonts w:ascii="Verdana" w:hAnsi="Verdana"/>
          <w:sz w:val="16"/>
          <w:szCs w:val="16"/>
        </w:rPr>
        <w:t xml:space="preserve">(expediente de prueba, </w:t>
      </w:r>
      <w:r w:rsidRPr="00432ABC">
        <w:rPr>
          <w:rFonts w:ascii="Verdana" w:hAnsi="Verdana"/>
          <w:sz w:val="16"/>
          <w:szCs w:val="16"/>
        </w:rPr>
        <w:t>f. 30904).</w:t>
      </w:r>
    </w:p>
  </w:footnote>
  <w:footnote w:id="357">
    <w:p w14:paraId="75E3324B" w14:textId="6002FD7C" w:rsidR="00146958" w:rsidRPr="00432ABC" w:rsidRDefault="00146958" w:rsidP="00DB378B">
      <w:pPr>
        <w:pStyle w:val="FootnoteText"/>
        <w:jc w:val="both"/>
        <w:rPr>
          <w:rFonts w:ascii="Verdana" w:hAnsi="Verdana"/>
          <w:sz w:val="16"/>
          <w:szCs w:val="16"/>
        </w:rPr>
      </w:pPr>
      <w:r w:rsidRPr="00432ABC">
        <w:rPr>
          <w:rStyle w:val="FootnoteReference"/>
          <w:rFonts w:ascii="Verdana" w:hAnsi="Verdana"/>
          <w:sz w:val="16"/>
          <w:szCs w:val="16"/>
        </w:rPr>
        <w:footnoteRef/>
      </w:r>
      <w:r w:rsidRPr="00432ABC">
        <w:rPr>
          <w:rFonts w:ascii="Verdana" w:hAnsi="Verdana"/>
          <w:sz w:val="16"/>
          <w:szCs w:val="16"/>
        </w:rPr>
        <w:t xml:space="preserve"> </w:t>
      </w:r>
      <w:r w:rsidRPr="00432ABC">
        <w:rPr>
          <w:rFonts w:ascii="Verdana" w:hAnsi="Verdana"/>
          <w:sz w:val="16"/>
          <w:szCs w:val="16"/>
        </w:rPr>
        <w:tab/>
      </w:r>
      <w:r w:rsidRPr="00CD5C54">
        <w:rPr>
          <w:rFonts w:ascii="Verdana" w:hAnsi="Verdana"/>
          <w:i/>
          <w:sz w:val="16"/>
          <w:szCs w:val="16"/>
        </w:rPr>
        <w:t>Cfr.</w:t>
      </w:r>
      <w:r w:rsidRPr="002C462C">
        <w:rPr>
          <w:rFonts w:ascii="Verdana" w:hAnsi="Verdana"/>
          <w:sz w:val="16"/>
          <w:szCs w:val="16"/>
        </w:rPr>
        <w:t xml:space="preserve"> Declaración de </w:t>
      </w:r>
      <w:r>
        <w:rPr>
          <w:rFonts w:ascii="Verdana" w:hAnsi="Verdana"/>
          <w:sz w:val="16"/>
          <w:szCs w:val="16"/>
        </w:rPr>
        <w:t>D.A.E.</w:t>
      </w:r>
      <w:r w:rsidRPr="002C462C">
        <w:rPr>
          <w:rFonts w:ascii="Verdana" w:hAnsi="Verdana"/>
          <w:sz w:val="16"/>
          <w:szCs w:val="16"/>
        </w:rPr>
        <w:t xml:space="preserve"> rendida </w:t>
      </w:r>
      <w:r w:rsidRPr="00432ABC">
        <w:rPr>
          <w:rFonts w:ascii="Verdana" w:hAnsi="Verdana"/>
          <w:sz w:val="16"/>
          <w:szCs w:val="16"/>
        </w:rPr>
        <w:t xml:space="preserve">el 18 de abril de 2018, </w:t>
      </w:r>
      <w:r w:rsidRPr="00432ABC">
        <w:rPr>
          <w:rFonts w:ascii="Verdana" w:hAnsi="Verdana"/>
          <w:i/>
          <w:sz w:val="16"/>
          <w:szCs w:val="16"/>
        </w:rPr>
        <w:t>supra</w:t>
      </w:r>
      <w:r w:rsidRPr="00432ABC">
        <w:rPr>
          <w:rFonts w:ascii="Verdana" w:hAnsi="Verdana"/>
          <w:sz w:val="16"/>
          <w:szCs w:val="16"/>
        </w:rPr>
        <w:t xml:space="preserve">, </w:t>
      </w:r>
      <w:r>
        <w:rPr>
          <w:rFonts w:ascii="Verdana" w:hAnsi="Verdana"/>
          <w:sz w:val="16"/>
          <w:szCs w:val="16"/>
        </w:rPr>
        <w:t xml:space="preserve">(expediente de prueba, </w:t>
      </w:r>
      <w:r w:rsidRPr="00432ABC">
        <w:rPr>
          <w:rFonts w:ascii="Verdana" w:hAnsi="Verdana"/>
          <w:sz w:val="16"/>
          <w:szCs w:val="16"/>
        </w:rPr>
        <w:t>f. 30891</w:t>
      </w:r>
      <w:r>
        <w:rPr>
          <w:rFonts w:ascii="Verdana" w:hAnsi="Verdana"/>
          <w:sz w:val="16"/>
          <w:szCs w:val="16"/>
        </w:rPr>
        <w:t>)</w:t>
      </w:r>
      <w:r w:rsidRPr="00432ABC">
        <w:rPr>
          <w:rFonts w:ascii="Verdana" w:hAnsi="Verdana"/>
          <w:sz w:val="16"/>
          <w:szCs w:val="16"/>
        </w:rPr>
        <w:t xml:space="preserve">. </w:t>
      </w:r>
    </w:p>
  </w:footnote>
  <w:footnote w:id="358">
    <w:p w14:paraId="280D4F8C" w14:textId="7DAFE75C" w:rsidR="00146958" w:rsidRPr="00432ABC" w:rsidRDefault="00146958" w:rsidP="00432ABC">
      <w:pPr>
        <w:pStyle w:val="FootnoteText"/>
        <w:jc w:val="both"/>
        <w:rPr>
          <w:rFonts w:ascii="Verdana" w:hAnsi="Verdana"/>
          <w:sz w:val="16"/>
          <w:szCs w:val="16"/>
        </w:rPr>
      </w:pPr>
      <w:r w:rsidRPr="00432ABC">
        <w:rPr>
          <w:rStyle w:val="FootnoteReference"/>
          <w:rFonts w:ascii="Verdana" w:hAnsi="Verdana"/>
          <w:sz w:val="16"/>
          <w:szCs w:val="16"/>
        </w:rPr>
        <w:footnoteRef/>
      </w:r>
      <w:r w:rsidRPr="00432ABC">
        <w:rPr>
          <w:rFonts w:ascii="Verdana" w:hAnsi="Verdana"/>
          <w:sz w:val="16"/>
          <w:szCs w:val="16"/>
        </w:rPr>
        <w:t xml:space="preserve"> </w:t>
      </w:r>
      <w:r w:rsidRPr="00432ABC">
        <w:rPr>
          <w:rFonts w:ascii="Verdana" w:hAnsi="Verdana"/>
          <w:sz w:val="16"/>
          <w:szCs w:val="16"/>
        </w:rPr>
        <w:tab/>
      </w:r>
      <w:r w:rsidRPr="00CD5C54">
        <w:rPr>
          <w:rFonts w:ascii="Verdana" w:hAnsi="Verdana"/>
          <w:i/>
          <w:sz w:val="16"/>
          <w:szCs w:val="16"/>
        </w:rPr>
        <w:t>Cfr.</w:t>
      </w:r>
      <w:r w:rsidRPr="002C462C">
        <w:rPr>
          <w:rFonts w:ascii="Verdana" w:hAnsi="Verdana"/>
          <w:sz w:val="16"/>
          <w:szCs w:val="16"/>
        </w:rPr>
        <w:t xml:space="preserve"> Declaración de </w:t>
      </w:r>
      <w:r>
        <w:rPr>
          <w:rFonts w:ascii="Verdana" w:hAnsi="Verdana"/>
          <w:sz w:val="16"/>
          <w:szCs w:val="16"/>
        </w:rPr>
        <w:t>M.P.A.E.</w:t>
      </w:r>
      <w:r w:rsidRPr="002C462C">
        <w:rPr>
          <w:rFonts w:ascii="Verdana" w:hAnsi="Verdana"/>
          <w:sz w:val="16"/>
          <w:szCs w:val="16"/>
        </w:rPr>
        <w:t xml:space="preserve"> rendida el 18 de abril de 2018, </w:t>
      </w:r>
      <w:r w:rsidRPr="00432ABC">
        <w:rPr>
          <w:rFonts w:ascii="Verdana" w:hAnsi="Verdana"/>
          <w:i/>
          <w:sz w:val="16"/>
          <w:szCs w:val="16"/>
        </w:rPr>
        <w:t>supra</w:t>
      </w:r>
      <w:r w:rsidRPr="00432ABC">
        <w:rPr>
          <w:rFonts w:ascii="Verdana" w:hAnsi="Verdana"/>
          <w:sz w:val="16"/>
          <w:szCs w:val="16"/>
        </w:rPr>
        <w:t xml:space="preserve">, </w:t>
      </w:r>
      <w:r>
        <w:rPr>
          <w:rFonts w:ascii="Verdana" w:hAnsi="Verdana"/>
          <w:sz w:val="16"/>
          <w:szCs w:val="16"/>
        </w:rPr>
        <w:t xml:space="preserve">(expediente de prueba, </w:t>
      </w:r>
      <w:r w:rsidRPr="00432ABC">
        <w:rPr>
          <w:rFonts w:ascii="Verdana" w:hAnsi="Verdana"/>
          <w:sz w:val="16"/>
          <w:szCs w:val="16"/>
        </w:rPr>
        <w:t>f. 30897</w:t>
      </w:r>
      <w:r>
        <w:rPr>
          <w:rFonts w:ascii="Verdana" w:hAnsi="Verdana"/>
          <w:sz w:val="16"/>
          <w:szCs w:val="16"/>
        </w:rPr>
        <w:t>).</w:t>
      </w:r>
    </w:p>
  </w:footnote>
  <w:footnote w:id="359">
    <w:p w14:paraId="21B181B5" w14:textId="550C5C79" w:rsidR="00146958" w:rsidRPr="00432ABC" w:rsidRDefault="00146958" w:rsidP="002C462C">
      <w:pPr>
        <w:pStyle w:val="FootnoteText"/>
        <w:jc w:val="both"/>
        <w:rPr>
          <w:rFonts w:ascii="Verdana" w:hAnsi="Verdana"/>
          <w:sz w:val="16"/>
          <w:szCs w:val="16"/>
        </w:rPr>
      </w:pPr>
      <w:r w:rsidRPr="00432ABC">
        <w:rPr>
          <w:rStyle w:val="FootnoteReference"/>
          <w:rFonts w:ascii="Verdana" w:hAnsi="Verdana"/>
          <w:sz w:val="16"/>
          <w:szCs w:val="16"/>
        </w:rPr>
        <w:footnoteRef/>
      </w:r>
      <w:r w:rsidRPr="00432ABC">
        <w:rPr>
          <w:rFonts w:ascii="Verdana" w:hAnsi="Verdana"/>
          <w:sz w:val="16"/>
          <w:szCs w:val="16"/>
        </w:rPr>
        <w:t xml:space="preserve"> </w:t>
      </w:r>
      <w:r w:rsidRPr="00432ABC">
        <w:rPr>
          <w:rFonts w:ascii="Verdana" w:hAnsi="Verdana"/>
          <w:sz w:val="16"/>
          <w:szCs w:val="16"/>
        </w:rPr>
        <w:tab/>
      </w:r>
      <w:r w:rsidRPr="00CD5C54">
        <w:rPr>
          <w:rFonts w:ascii="Verdana" w:hAnsi="Verdana"/>
          <w:i/>
          <w:sz w:val="16"/>
          <w:szCs w:val="16"/>
        </w:rPr>
        <w:t>Cfr.</w:t>
      </w:r>
      <w:r w:rsidRPr="002C462C">
        <w:rPr>
          <w:rFonts w:ascii="Verdana" w:hAnsi="Verdana"/>
          <w:sz w:val="16"/>
          <w:szCs w:val="16"/>
        </w:rPr>
        <w:t xml:space="preserve"> Declaraciones rendidas el 18 de abril de 2018 por: </w:t>
      </w:r>
      <w:r>
        <w:rPr>
          <w:rFonts w:ascii="Verdana" w:hAnsi="Verdana"/>
          <w:sz w:val="16"/>
          <w:szCs w:val="16"/>
        </w:rPr>
        <w:t>D.A.E.</w:t>
      </w:r>
      <w:r w:rsidRPr="00432ABC">
        <w:rPr>
          <w:rFonts w:ascii="Verdana" w:hAnsi="Verdana"/>
          <w:sz w:val="16"/>
          <w:szCs w:val="16"/>
        </w:rPr>
        <w:t xml:space="preserve">, </w:t>
      </w:r>
      <w:r w:rsidRPr="00432ABC">
        <w:rPr>
          <w:rFonts w:ascii="Verdana" w:hAnsi="Verdana"/>
          <w:i/>
          <w:sz w:val="16"/>
          <w:szCs w:val="16"/>
        </w:rPr>
        <w:t>supra</w:t>
      </w:r>
      <w:r w:rsidRPr="00432ABC">
        <w:rPr>
          <w:rFonts w:ascii="Verdana" w:hAnsi="Verdana"/>
          <w:sz w:val="16"/>
          <w:szCs w:val="16"/>
        </w:rPr>
        <w:t xml:space="preserve">, </w:t>
      </w:r>
      <w:r>
        <w:rPr>
          <w:rFonts w:ascii="Verdana" w:hAnsi="Verdana"/>
          <w:sz w:val="16"/>
          <w:szCs w:val="16"/>
        </w:rPr>
        <w:t>(</w:t>
      </w:r>
      <w:r w:rsidRPr="00432ABC">
        <w:rPr>
          <w:rFonts w:ascii="Verdana" w:hAnsi="Verdana"/>
          <w:sz w:val="16"/>
          <w:szCs w:val="16"/>
        </w:rPr>
        <w:t>f. 30891</w:t>
      </w:r>
      <w:r>
        <w:rPr>
          <w:rFonts w:ascii="Verdana" w:hAnsi="Verdana"/>
          <w:sz w:val="16"/>
          <w:szCs w:val="16"/>
        </w:rPr>
        <w:t>)</w:t>
      </w:r>
      <w:r w:rsidRPr="00432ABC">
        <w:rPr>
          <w:rFonts w:ascii="Verdana" w:eastAsiaTheme="minorHAnsi" w:hAnsi="Verdana"/>
          <w:i/>
          <w:sz w:val="16"/>
          <w:szCs w:val="16"/>
        </w:rPr>
        <w:t xml:space="preserve">, </w:t>
      </w:r>
      <w:r w:rsidRPr="00432ABC">
        <w:rPr>
          <w:rFonts w:ascii="Verdana" w:eastAsiaTheme="minorHAnsi" w:hAnsi="Verdana"/>
          <w:sz w:val="16"/>
          <w:szCs w:val="16"/>
        </w:rPr>
        <w:t xml:space="preserve">y </w:t>
      </w:r>
      <w:r>
        <w:rPr>
          <w:rFonts w:ascii="Verdana" w:hAnsi="Verdana"/>
          <w:sz w:val="16"/>
          <w:szCs w:val="16"/>
        </w:rPr>
        <w:t>M.P.A.E.</w:t>
      </w:r>
      <w:r w:rsidRPr="00432ABC">
        <w:rPr>
          <w:rFonts w:ascii="Verdana" w:hAnsi="Verdana"/>
          <w:sz w:val="16"/>
          <w:szCs w:val="16"/>
        </w:rPr>
        <w:t xml:space="preserve">, </w:t>
      </w:r>
      <w:r w:rsidRPr="00432ABC">
        <w:rPr>
          <w:rFonts w:ascii="Verdana" w:hAnsi="Verdana"/>
          <w:i/>
          <w:sz w:val="16"/>
          <w:szCs w:val="16"/>
        </w:rPr>
        <w:t>supra</w:t>
      </w:r>
      <w:r w:rsidRPr="00432ABC">
        <w:rPr>
          <w:rFonts w:ascii="Verdana" w:hAnsi="Verdana"/>
          <w:sz w:val="16"/>
          <w:szCs w:val="16"/>
        </w:rPr>
        <w:t xml:space="preserve">, </w:t>
      </w:r>
      <w:r>
        <w:rPr>
          <w:rFonts w:ascii="Verdana" w:hAnsi="Verdana"/>
          <w:sz w:val="16"/>
          <w:szCs w:val="16"/>
        </w:rPr>
        <w:t xml:space="preserve">(expediente de prueba, </w:t>
      </w:r>
      <w:r w:rsidRPr="00432ABC">
        <w:rPr>
          <w:rFonts w:ascii="Verdana" w:hAnsi="Verdana"/>
          <w:sz w:val="16"/>
          <w:szCs w:val="16"/>
        </w:rPr>
        <w:t>f. 30897</w:t>
      </w:r>
      <w:r>
        <w:rPr>
          <w:rFonts w:ascii="Verdana" w:hAnsi="Verdana"/>
          <w:sz w:val="16"/>
          <w:szCs w:val="16"/>
        </w:rPr>
        <w:t>)</w:t>
      </w:r>
      <w:r w:rsidRPr="00432ABC">
        <w:rPr>
          <w:rFonts w:ascii="Verdana" w:hAnsi="Verdana"/>
          <w:sz w:val="16"/>
          <w:szCs w:val="16"/>
        </w:rPr>
        <w:t>.</w:t>
      </w:r>
    </w:p>
  </w:footnote>
  <w:footnote w:id="360">
    <w:p w14:paraId="31C9BA0C" w14:textId="19A22B09" w:rsidR="00146958" w:rsidRPr="00432ABC" w:rsidRDefault="00146958" w:rsidP="002C462C">
      <w:pPr>
        <w:pStyle w:val="FootnoteText"/>
        <w:jc w:val="both"/>
        <w:rPr>
          <w:rFonts w:ascii="Verdana" w:hAnsi="Verdana"/>
          <w:sz w:val="16"/>
          <w:szCs w:val="16"/>
        </w:rPr>
      </w:pPr>
      <w:r w:rsidRPr="00432ABC">
        <w:rPr>
          <w:rStyle w:val="FootnoteReference"/>
          <w:rFonts w:ascii="Verdana" w:hAnsi="Verdana"/>
          <w:sz w:val="16"/>
          <w:szCs w:val="16"/>
        </w:rPr>
        <w:footnoteRef/>
      </w:r>
      <w:r w:rsidRPr="00432ABC">
        <w:rPr>
          <w:rFonts w:ascii="Verdana" w:hAnsi="Verdana"/>
          <w:sz w:val="16"/>
          <w:szCs w:val="16"/>
        </w:rPr>
        <w:t xml:space="preserve"> </w:t>
      </w:r>
      <w:r w:rsidRPr="00432ABC">
        <w:rPr>
          <w:rFonts w:ascii="Verdana" w:hAnsi="Verdana"/>
          <w:sz w:val="16"/>
          <w:szCs w:val="16"/>
        </w:rPr>
        <w:tab/>
      </w:r>
      <w:r w:rsidRPr="00CD5C54">
        <w:rPr>
          <w:rFonts w:ascii="Verdana" w:hAnsi="Verdana"/>
          <w:i/>
          <w:sz w:val="16"/>
          <w:szCs w:val="16"/>
        </w:rPr>
        <w:t>Cfr.</w:t>
      </w:r>
      <w:r w:rsidRPr="002C462C">
        <w:rPr>
          <w:rFonts w:ascii="Verdana" w:hAnsi="Verdana"/>
          <w:sz w:val="16"/>
          <w:szCs w:val="16"/>
        </w:rPr>
        <w:t xml:space="preserve"> Declaración de </w:t>
      </w:r>
      <w:r>
        <w:rPr>
          <w:rFonts w:ascii="Verdana" w:hAnsi="Verdana"/>
          <w:sz w:val="16"/>
          <w:szCs w:val="16"/>
        </w:rPr>
        <w:t>D.A.E.</w:t>
      </w:r>
      <w:r w:rsidRPr="002C462C">
        <w:rPr>
          <w:rFonts w:ascii="Verdana" w:hAnsi="Verdana"/>
          <w:sz w:val="16"/>
          <w:szCs w:val="16"/>
        </w:rPr>
        <w:t xml:space="preserve"> </w:t>
      </w:r>
      <w:r>
        <w:rPr>
          <w:rFonts w:ascii="Verdana" w:hAnsi="Verdana"/>
          <w:sz w:val="16"/>
          <w:szCs w:val="16"/>
        </w:rPr>
        <w:t xml:space="preserve">rendida </w:t>
      </w:r>
      <w:r w:rsidRPr="002C462C">
        <w:rPr>
          <w:rFonts w:ascii="Verdana" w:hAnsi="Verdana"/>
          <w:sz w:val="16"/>
          <w:szCs w:val="16"/>
        </w:rPr>
        <w:t xml:space="preserve">el 18 de abril de 2018, </w:t>
      </w:r>
      <w:r w:rsidRPr="00432ABC">
        <w:rPr>
          <w:rFonts w:ascii="Verdana" w:hAnsi="Verdana"/>
          <w:i/>
          <w:sz w:val="16"/>
          <w:szCs w:val="16"/>
        </w:rPr>
        <w:t>supra</w:t>
      </w:r>
      <w:r w:rsidRPr="00432ABC">
        <w:rPr>
          <w:rFonts w:ascii="Verdana" w:hAnsi="Verdana"/>
          <w:sz w:val="16"/>
          <w:szCs w:val="16"/>
        </w:rPr>
        <w:t xml:space="preserve">, </w:t>
      </w:r>
      <w:r>
        <w:rPr>
          <w:rFonts w:ascii="Verdana" w:hAnsi="Verdana"/>
          <w:sz w:val="16"/>
          <w:szCs w:val="16"/>
        </w:rPr>
        <w:t xml:space="preserve">(expediente de prueba, </w:t>
      </w:r>
      <w:r w:rsidRPr="00432ABC">
        <w:rPr>
          <w:rFonts w:ascii="Verdana" w:hAnsi="Verdana"/>
          <w:sz w:val="16"/>
          <w:szCs w:val="16"/>
        </w:rPr>
        <w:t>f. 30891</w:t>
      </w:r>
      <w:r>
        <w:rPr>
          <w:rFonts w:ascii="Verdana" w:hAnsi="Verdana"/>
          <w:sz w:val="16"/>
          <w:szCs w:val="16"/>
        </w:rPr>
        <w:t>)</w:t>
      </w:r>
      <w:r w:rsidRPr="00432ABC">
        <w:rPr>
          <w:rFonts w:ascii="Verdana" w:hAnsi="Verdana"/>
          <w:sz w:val="16"/>
          <w:szCs w:val="16"/>
        </w:rPr>
        <w:t>.</w:t>
      </w:r>
    </w:p>
  </w:footnote>
  <w:footnote w:id="361">
    <w:p w14:paraId="22F3282A" w14:textId="7231CCE1" w:rsidR="00146958" w:rsidRPr="00432ABC" w:rsidRDefault="00146958">
      <w:pPr>
        <w:pStyle w:val="FootnoteText"/>
        <w:jc w:val="both"/>
        <w:rPr>
          <w:rFonts w:ascii="Verdana" w:hAnsi="Verdana"/>
          <w:sz w:val="16"/>
          <w:szCs w:val="16"/>
        </w:rPr>
      </w:pPr>
      <w:r w:rsidRPr="00432ABC">
        <w:rPr>
          <w:rStyle w:val="FootnoteReference"/>
          <w:rFonts w:ascii="Verdana" w:hAnsi="Verdana"/>
          <w:sz w:val="16"/>
          <w:szCs w:val="16"/>
        </w:rPr>
        <w:footnoteRef/>
      </w:r>
      <w:r w:rsidRPr="00432ABC">
        <w:rPr>
          <w:rFonts w:ascii="Verdana" w:hAnsi="Verdana"/>
          <w:sz w:val="16"/>
          <w:szCs w:val="16"/>
        </w:rPr>
        <w:t xml:space="preserve"> </w:t>
      </w:r>
      <w:r w:rsidRPr="00432ABC">
        <w:rPr>
          <w:rFonts w:ascii="Verdana" w:hAnsi="Verdana"/>
          <w:sz w:val="16"/>
          <w:szCs w:val="16"/>
        </w:rPr>
        <w:tab/>
      </w:r>
      <w:r w:rsidRPr="00CD5C54">
        <w:rPr>
          <w:rFonts w:ascii="Verdana" w:hAnsi="Verdana"/>
          <w:i/>
          <w:sz w:val="16"/>
          <w:szCs w:val="16"/>
        </w:rPr>
        <w:t>Cfr.</w:t>
      </w:r>
      <w:r w:rsidRPr="002C462C">
        <w:rPr>
          <w:rFonts w:ascii="Verdana" w:hAnsi="Verdana"/>
          <w:sz w:val="16"/>
          <w:szCs w:val="16"/>
        </w:rPr>
        <w:t xml:space="preserve"> Declaración pericial de Carlos Martín</w:t>
      </w:r>
      <w:r w:rsidRPr="00432ABC">
        <w:rPr>
          <w:rFonts w:ascii="Verdana" w:hAnsi="Verdana"/>
          <w:sz w:val="16"/>
          <w:szCs w:val="16"/>
        </w:rPr>
        <w:t xml:space="preserve"> Beristáin rendida </w:t>
      </w:r>
      <w:r>
        <w:rPr>
          <w:rFonts w:ascii="Verdana" w:hAnsi="Verdana"/>
          <w:sz w:val="16"/>
          <w:szCs w:val="16"/>
        </w:rPr>
        <w:t>el</w:t>
      </w:r>
      <w:r w:rsidRPr="00432ABC">
        <w:rPr>
          <w:rFonts w:ascii="Verdana" w:hAnsi="Verdana"/>
          <w:sz w:val="16"/>
          <w:szCs w:val="16"/>
        </w:rPr>
        <w:t xml:space="preserve"> 16 de abril de 2018</w:t>
      </w:r>
      <w:r w:rsidRPr="00432ABC">
        <w:rPr>
          <w:rFonts w:ascii="Verdana" w:hAnsi="Verdana"/>
          <w:i/>
          <w:sz w:val="16"/>
          <w:szCs w:val="16"/>
        </w:rPr>
        <w:t xml:space="preserve"> </w:t>
      </w:r>
      <w:r w:rsidRPr="00432ABC">
        <w:rPr>
          <w:rFonts w:ascii="Verdana" w:hAnsi="Verdana"/>
          <w:sz w:val="16"/>
          <w:szCs w:val="16"/>
        </w:rPr>
        <w:t xml:space="preserve">(expediente de prueba, </w:t>
      </w:r>
      <w:r w:rsidRPr="00453199">
        <w:rPr>
          <w:rFonts w:ascii="Verdana" w:hAnsi="Verdana"/>
          <w:i/>
          <w:sz w:val="16"/>
        </w:rPr>
        <w:t>Affidávits</w:t>
      </w:r>
      <w:r w:rsidRPr="00432ABC">
        <w:rPr>
          <w:rFonts w:ascii="Verdana" w:hAnsi="Verdana"/>
          <w:sz w:val="16"/>
          <w:szCs w:val="16"/>
        </w:rPr>
        <w:t xml:space="preserve">, f. 31013). Asimismo, </w:t>
      </w:r>
      <w:r w:rsidRPr="00CD5C54">
        <w:rPr>
          <w:rFonts w:ascii="Verdana" w:hAnsi="Verdana"/>
          <w:i/>
          <w:sz w:val="16"/>
          <w:szCs w:val="16"/>
        </w:rPr>
        <w:t>Cfr.</w:t>
      </w:r>
      <w:r w:rsidRPr="00432ABC">
        <w:rPr>
          <w:rFonts w:ascii="Verdana" w:hAnsi="Verdana"/>
          <w:sz w:val="16"/>
          <w:szCs w:val="16"/>
        </w:rPr>
        <w:t xml:space="preserve"> Declaraciones rendidas el 18 de abril de 2018 por: </w:t>
      </w:r>
      <w:r>
        <w:rPr>
          <w:rFonts w:ascii="Verdana" w:hAnsi="Verdana"/>
          <w:sz w:val="16"/>
          <w:szCs w:val="16"/>
        </w:rPr>
        <w:t>D.A.E.</w:t>
      </w:r>
      <w:r w:rsidRPr="00432ABC">
        <w:rPr>
          <w:rFonts w:ascii="Verdana" w:hAnsi="Verdana"/>
          <w:sz w:val="16"/>
          <w:szCs w:val="16"/>
        </w:rPr>
        <w:t xml:space="preserve">, </w:t>
      </w:r>
      <w:r w:rsidRPr="00432ABC">
        <w:rPr>
          <w:rFonts w:ascii="Verdana" w:hAnsi="Verdana"/>
          <w:i/>
          <w:sz w:val="16"/>
          <w:szCs w:val="16"/>
        </w:rPr>
        <w:t>supra</w:t>
      </w:r>
      <w:r w:rsidRPr="00432ABC">
        <w:rPr>
          <w:rFonts w:ascii="Verdana" w:hAnsi="Verdana"/>
          <w:sz w:val="16"/>
          <w:szCs w:val="16"/>
        </w:rPr>
        <w:t xml:space="preserve">, </w:t>
      </w:r>
      <w:r>
        <w:rPr>
          <w:rFonts w:ascii="Verdana" w:hAnsi="Verdana"/>
          <w:sz w:val="16"/>
          <w:szCs w:val="16"/>
        </w:rPr>
        <w:t xml:space="preserve">(expediente de prueba, </w:t>
      </w:r>
      <w:r w:rsidRPr="00432ABC">
        <w:rPr>
          <w:rFonts w:ascii="Verdana" w:hAnsi="Verdana"/>
          <w:sz w:val="16"/>
          <w:szCs w:val="16"/>
        </w:rPr>
        <w:t>f</w:t>
      </w:r>
      <w:r>
        <w:rPr>
          <w:rFonts w:ascii="Verdana" w:hAnsi="Verdana"/>
          <w:sz w:val="16"/>
          <w:szCs w:val="16"/>
        </w:rPr>
        <w:t>f</w:t>
      </w:r>
      <w:r w:rsidRPr="00432ABC">
        <w:rPr>
          <w:rFonts w:ascii="Verdana" w:hAnsi="Verdana"/>
          <w:sz w:val="16"/>
          <w:szCs w:val="16"/>
        </w:rPr>
        <w:t xml:space="preserve">. 30891 a </w:t>
      </w:r>
      <w:r w:rsidRPr="00432ABC">
        <w:rPr>
          <w:rFonts w:ascii="Verdana" w:hAnsi="Verdana"/>
          <w:sz w:val="16"/>
          <w:szCs w:val="16"/>
          <w:lang w:val="es-AR"/>
        </w:rPr>
        <w:t>30892</w:t>
      </w:r>
      <w:r>
        <w:rPr>
          <w:rFonts w:ascii="Verdana" w:hAnsi="Verdana"/>
          <w:sz w:val="16"/>
          <w:szCs w:val="16"/>
          <w:lang w:val="es-AR"/>
        </w:rPr>
        <w:t>)</w:t>
      </w:r>
      <w:r w:rsidRPr="00432ABC">
        <w:rPr>
          <w:rFonts w:ascii="Verdana" w:hAnsi="Verdana"/>
          <w:sz w:val="16"/>
          <w:szCs w:val="16"/>
        </w:rPr>
        <w:t xml:space="preserve">, y </w:t>
      </w:r>
      <w:r>
        <w:rPr>
          <w:rFonts w:ascii="Verdana" w:hAnsi="Verdana"/>
          <w:sz w:val="16"/>
          <w:szCs w:val="16"/>
        </w:rPr>
        <w:t>M.P.A.E.</w:t>
      </w:r>
      <w:r w:rsidRPr="00432ABC">
        <w:rPr>
          <w:rFonts w:ascii="Verdana" w:hAnsi="Verdana"/>
          <w:sz w:val="16"/>
          <w:szCs w:val="16"/>
        </w:rPr>
        <w:t xml:space="preserve">, </w:t>
      </w:r>
      <w:r w:rsidRPr="00432ABC">
        <w:rPr>
          <w:rFonts w:ascii="Verdana" w:hAnsi="Verdana"/>
          <w:i/>
          <w:sz w:val="16"/>
          <w:szCs w:val="16"/>
        </w:rPr>
        <w:t>supra</w:t>
      </w:r>
      <w:r w:rsidRPr="00432ABC">
        <w:rPr>
          <w:rFonts w:ascii="Verdana" w:hAnsi="Verdana"/>
          <w:sz w:val="16"/>
          <w:szCs w:val="16"/>
        </w:rPr>
        <w:t xml:space="preserve">, </w:t>
      </w:r>
      <w:r>
        <w:rPr>
          <w:rFonts w:ascii="Verdana" w:hAnsi="Verdana"/>
          <w:sz w:val="16"/>
          <w:szCs w:val="16"/>
        </w:rPr>
        <w:t xml:space="preserve">(expediente de prueba, </w:t>
      </w:r>
      <w:r w:rsidRPr="00432ABC">
        <w:rPr>
          <w:rFonts w:ascii="Verdana" w:hAnsi="Verdana"/>
          <w:sz w:val="16"/>
          <w:szCs w:val="16"/>
        </w:rPr>
        <w:t>f</w:t>
      </w:r>
      <w:r>
        <w:rPr>
          <w:rFonts w:ascii="Verdana" w:hAnsi="Verdana"/>
          <w:sz w:val="16"/>
          <w:szCs w:val="16"/>
        </w:rPr>
        <w:t>f</w:t>
      </w:r>
      <w:r w:rsidRPr="00432ABC">
        <w:rPr>
          <w:rFonts w:ascii="Verdana" w:hAnsi="Verdana"/>
          <w:sz w:val="16"/>
          <w:szCs w:val="16"/>
        </w:rPr>
        <w:t>. 30897 a 30898</w:t>
      </w:r>
      <w:r>
        <w:rPr>
          <w:rFonts w:ascii="Verdana" w:hAnsi="Verdana"/>
          <w:sz w:val="16"/>
          <w:szCs w:val="16"/>
        </w:rPr>
        <w:t>)</w:t>
      </w:r>
      <w:r w:rsidRPr="00432ABC">
        <w:rPr>
          <w:rFonts w:ascii="Verdana" w:hAnsi="Verdana"/>
          <w:sz w:val="16"/>
          <w:szCs w:val="16"/>
        </w:rPr>
        <w:t xml:space="preserve">. De acuerdo con las respectivas declaraciones de estas últimas, </w:t>
      </w:r>
      <w:r w:rsidRPr="00432ABC">
        <w:rPr>
          <w:rFonts w:ascii="Verdana" w:hAnsi="Verdana" w:cs="Arial"/>
          <w:sz w:val="16"/>
          <w:szCs w:val="16"/>
          <w:lang w:val="es-AR"/>
        </w:rPr>
        <w:t xml:space="preserve">una vez que arribaron a El Paso, Texas, las tres hijas de Nitza Paola Alvarado fueron separadas del resto de sus familiares por las autoridades migratorias al tener la condición de “menores no acompañadas”, siendo trasladadas a un albergue en Phoenix, estado de Arizona, EUA, por un lapso de 2 meses. Una semana antes de que </w:t>
      </w:r>
      <w:r>
        <w:rPr>
          <w:rFonts w:ascii="Verdana" w:hAnsi="Verdana" w:cs="Arial"/>
          <w:sz w:val="16"/>
          <w:szCs w:val="16"/>
          <w:lang w:val="es-AR"/>
        </w:rPr>
        <w:t>N.S.A.E.</w:t>
      </w:r>
      <w:r w:rsidRPr="00432ABC">
        <w:rPr>
          <w:rFonts w:ascii="Verdana" w:hAnsi="Verdana" w:cs="Arial"/>
          <w:sz w:val="16"/>
          <w:szCs w:val="16"/>
          <w:lang w:val="es-AR"/>
        </w:rPr>
        <w:t xml:space="preserve"> y </w:t>
      </w:r>
      <w:r>
        <w:rPr>
          <w:rFonts w:ascii="Verdana" w:hAnsi="Verdana" w:cs="Arial"/>
          <w:sz w:val="16"/>
          <w:szCs w:val="16"/>
          <w:lang w:val="es-AR"/>
        </w:rPr>
        <w:t>M.P.A.E.</w:t>
      </w:r>
      <w:r w:rsidRPr="00432ABC">
        <w:rPr>
          <w:rFonts w:ascii="Verdana" w:hAnsi="Verdana" w:cs="Arial"/>
          <w:sz w:val="16"/>
          <w:szCs w:val="16"/>
          <w:lang w:val="es-AR"/>
        </w:rPr>
        <w:t xml:space="preserve"> cumplieran los 18 años de edad, fueron egresadas del albergue</w:t>
      </w:r>
      <w:r w:rsidRPr="00432ABC">
        <w:rPr>
          <w:rFonts w:ascii="Verdana" w:hAnsi="Verdana" w:cs="Arial"/>
          <w:sz w:val="16"/>
          <w:szCs w:val="16"/>
        </w:rPr>
        <w:t xml:space="preserve"> en el que se encontraban. </w:t>
      </w:r>
    </w:p>
  </w:footnote>
  <w:footnote w:id="362">
    <w:p w14:paraId="6558A9DF" w14:textId="0DEDF602" w:rsidR="00146958" w:rsidRPr="00432ABC" w:rsidRDefault="00146958">
      <w:pPr>
        <w:pStyle w:val="FootnoteText"/>
        <w:jc w:val="both"/>
        <w:rPr>
          <w:rFonts w:ascii="Verdana" w:hAnsi="Verdana"/>
          <w:sz w:val="16"/>
          <w:szCs w:val="16"/>
        </w:rPr>
      </w:pPr>
      <w:r w:rsidRPr="00432ABC">
        <w:rPr>
          <w:rStyle w:val="FootnoteReference"/>
          <w:rFonts w:ascii="Verdana" w:hAnsi="Verdana"/>
          <w:sz w:val="16"/>
          <w:szCs w:val="16"/>
        </w:rPr>
        <w:footnoteRef/>
      </w:r>
      <w:r w:rsidRPr="00432ABC">
        <w:rPr>
          <w:rFonts w:ascii="Verdana" w:hAnsi="Verdana"/>
          <w:sz w:val="16"/>
          <w:szCs w:val="16"/>
        </w:rPr>
        <w:t xml:space="preserve"> </w:t>
      </w:r>
      <w:r w:rsidRPr="00432ABC">
        <w:rPr>
          <w:rFonts w:ascii="Verdana" w:hAnsi="Verdana"/>
          <w:sz w:val="16"/>
          <w:szCs w:val="16"/>
        </w:rPr>
        <w:tab/>
      </w:r>
      <w:r w:rsidRPr="002C462C">
        <w:rPr>
          <w:rFonts w:ascii="Verdana" w:eastAsiaTheme="minorHAnsi" w:hAnsi="Verdana"/>
          <w:sz w:val="16"/>
          <w:szCs w:val="16"/>
        </w:rPr>
        <w:t xml:space="preserve"> </w:t>
      </w:r>
      <w:r w:rsidRPr="00CD5C54">
        <w:rPr>
          <w:rFonts w:ascii="Verdana" w:eastAsiaTheme="minorHAnsi" w:hAnsi="Verdana"/>
          <w:i/>
          <w:sz w:val="16"/>
          <w:szCs w:val="16"/>
        </w:rPr>
        <w:t>Cfr.</w:t>
      </w:r>
      <w:r w:rsidRPr="00432ABC">
        <w:rPr>
          <w:rFonts w:ascii="Verdana" w:eastAsiaTheme="minorHAnsi" w:hAnsi="Verdana"/>
          <w:sz w:val="16"/>
          <w:szCs w:val="16"/>
        </w:rPr>
        <w:t xml:space="preserve"> CNDH, </w:t>
      </w:r>
      <w:r w:rsidRPr="00432ABC">
        <w:rPr>
          <w:rFonts w:ascii="Verdana" w:eastAsiaTheme="minorHAnsi" w:hAnsi="Verdana"/>
          <w:i/>
          <w:sz w:val="16"/>
          <w:szCs w:val="16"/>
        </w:rPr>
        <w:t xml:space="preserve">Informe de riesgo de 23 de marzo de 2018, rendido en el marco de los solicitado en el Resolutivo 7 las Medidas Provisionales ordenadas por la Corte el 14 de </w:t>
      </w:r>
      <w:r w:rsidRPr="00432ABC">
        <w:rPr>
          <w:rFonts w:ascii="Verdana" w:eastAsiaTheme="minorHAnsi" w:hAnsi="Verdana"/>
          <w:bCs/>
          <w:i/>
          <w:sz w:val="16"/>
          <w:szCs w:val="16"/>
        </w:rPr>
        <w:t xml:space="preserve">noviembre </w:t>
      </w:r>
      <w:r w:rsidRPr="00432ABC">
        <w:rPr>
          <w:rFonts w:ascii="Verdana" w:eastAsiaTheme="minorHAnsi" w:hAnsi="Verdana"/>
          <w:i/>
          <w:sz w:val="16"/>
          <w:szCs w:val="16"/>
        </w:rPr>
        <w:t xml:space="preserve">de 2017 en el Asunto </w:t>
      </w:r>
      <w:r w:rsidRPr="00432ABC">
        <w:rPr>
          <w:rFonts w:ascii="Verdana" w:eastAsiaTheme="minorHAnsi" w:hAnsi="Verdana"/>
          <w:bCs/>
          <w:i/>
          <w:sz w:val="16"/>
          <w:szCs w:val="16"/>
        </w:rPr>
        <w:t>Alvarado Reyes y otros respecto de México</w:t>
      </w:r>
      <w:r w:rsidRPr="00432ABC">
        <w:rPr>
          <w:rFonts w:ascii="Verdana" w:eastAsiaTheme="minorHAnsi" w:hAnsi="Verdana"/>
          <w:bCs/>
          <w:sz w:val="16"/>
          <w:szCs w:val="16"/>
        </w:rPr>
        <w:t xml:space="preserve"> (Medidas Provisionales, expediente, f. 3254)</w:t>
      </w:r>
      <w:r w:rsidRPr="00432ABC">
        <w:rPr>
          <w:rFonts w:ascii="Verdana" w:eastAsiaTheme="minorHAnsi" w:hAnsi="Verdana"/>
          <w:sz w:val="16"/>
          <w:szCs w:val="16"/>
        </w:rPr>
        <w:t xml:space="preserve">. </w:t>
      </w:r>
    </w:p>
  </w:footnote>
  <w:footnote w:id="363">
    <w:p w14:paraId="1579CF51" w14:textId="084983AC" w:rsidR="00146958" w:rsidRPr="00432ABC" w:rsidRDefault="00146958">
      <w:pPr>
        <w:pStyle w:val="FootnoteText"/>
        <w:jc w:val="both"/>
        <w:rPr>
          <w:rFonts w:ascii="Verdana" w:hAnsi="Verdana"/>
          <w:sz w:val="16"/>
          <w:szCs w:val="16"/>
        </w:rPr>
      </w:pPr>
      <w:r w:rsidRPr="00432ABC">
        <w:rPr>
          <w:rStyle w:val="FootnoteReference"/>
          <w:rFonts w:ascii="Verdana" w:hAnsi="Verdana"/>
          <w:sz w:val="16"/>
          <w:szCs w:val="16"/>
        </w:rPr>
        <w:footnoteRef/>
      </w:r>
      <w:r w:rsidRPr="00432ABC">
        <w:rPr>
          <w:rFonts w:ascii="Verdana" w:hAnsi="Verdana"/>
          <w:sz w:val="16"/>
          <w:szCs w:val="16"/>
        </w:rPr>
        <w:t xml:space="preserve"> </w:t>
      </w:r>
      <w:r w:rsidRPr="00432ABC">
        <w:rPr>
          <w:rFonts w:ascii="Verdana" w:hAnsi="Verdana"/>
          <w:sz w:val="16"/>
          <w:szCs w:val="16"/>
        </w:rPr>
        <w:tab/>
      </w:r>
      <w:r w:rsidRPr="00CD5C54">
        <w:rPr>
          <w:rFonts w:ascii="Verdana" w:hAnsi="Verdana"/>
          <w:i/>
          <w:sz w:val="16"/>
          <w:szCs w:val="16"/>
        </w:rPr>
        <w:t>Cfr.</w:t>
      </w:r>
      <w:r w:rsidRPr="002C462C">
        <w:rPr>
          <w:rFonts w:ascii="Verdana" w:hAnsi="Verdana"/>
          <w:i/>
          <w:sz w:val="16"/>
          <w:szCs w:val="16"/>
        </w:rPr>
        <w:t xml:space="preserve"> </w:t>
      </w:r>
      <w:r w:rsidRPr="002C462C">
        <w:rPr>
          <w:rFonts w:ascii="Verdana" w:hAnsi="Verdana"/>
          <w:sz w:val="16"/>
          <w:szCs w:val="16"/>
        </w:rPr>
        <w:t xml:space="preserve">CNDH, </w:t>
      </w:r>
      <w:r w:rsidRPr="00432ABC">
        <w:rPr>
          <w:rFonts w:ascii="Verdana" w:hAnsi="Verdana"/>
          <w:i/>
          <w:sz w:val="16"/>
          <w:szCs w:val="16"/>
        </w:rPr>
        <w:t xml:space="preserve">Informe de riesgo de 23 de marzo de 2018, supra, </w:t>
      </w:r>
      <w:r w:rsidRPr="00432ABC">
        <w:rPr>
          <w:rFonts w:ascii="Verdana" w:hAnsi="Verdana"/>
          <w:sz w:val="16"/>
          <w:szCs w:val="16"/>
        </w:rPr>
        <w:t xml:space="preserve">f. 3249, y Declaración de </w:t>
      </w:r>
      <w:r>
        <w:rPr>
          <w:rFonts w:ascii="Verdana" w:hAnsi="Verdana"/>
          <w:sz w:val="16"/>
          <w:szCs w:val="16"/>
        </w:rPr>
        <w:t>D.A.E.</w:t>
      </w:r>
      <w:r w:rsidRPr="00432ABC">
        <w:rPr>
          <w:rFonts w:ascii="Verdana" w:hAnsi="Verdana"/>
          <w:sz w:val="16"/>
          <w:szCs w:val="16"/>
        </w:rPr>
        <w:t xml:space="preserve"> rendida el 18 de abril de 2018, </w:t>
      </w:r>
      <w:r w:rsidRPr="00432ABC">
        <w:rPr>
          <w:rFonts w:ascii="Verdana" w:hAnsi="Verdana"/>
          <w:i/>
          <w:sz w:val="16"/>
          <w:szCs w:val="16"/>
        </w:rPr>
        <w:t>supra</w:t>
      </w:r>
      <w:r w:rsidRPr="00432ABC">
        <w:rPr>
          <w:rFonts w:ascii="Verdana" w:hAnsi="Verdana"/>
          <w:sz w:val="16"/>
          <w:szCs w:val="16"/>
        </w:rPr>
        <w:t xml:space="preserve"> </w:t>
      </w:r>
      <w:r>
        <w:rPr>
          <w:rFonts w:ascii="Verdana" w:hAnsi="Verdana"/>
          <w:sz w:val="16"/>
          <w:szCs w:val="16"/>
        </w:rPr>
        <w:t xml:space="preserve">(expediente de prueba, </w:t>
      </w:r>
      <w:r w:rsidRPr="00432ABC">
        <w:rPr>
          <w:rFonts w:ascii="Verdana" w:hAnsi="Verdana"/>
          <w:sz w:val="16"/>
          <w:szCs w:val="16"/>
        </w:rPr>
        <w:t>f. 30892</w:t>
      </w:r>
      <w:r>
        <w:rPr>
          <w:rFonts w:ascii="Verdana" w:hAnsi="Verdana"/>
          <w:sz w:val="16"/>
          <w:szCs w:val="16"/>
        </w:rPr>
        <w:t>)</w:t>
      </w:r>
      <w:r w:rsidRPr="00432ABC">
        <w:rPr>
          <w:rFonts w:ascii="Verdana" w:hAnsi="Verdana"/>
          <w:sz w:val="16"/>
          <w:szCs w:val="16"/>
        </w:rPr>
        <w:t xml:space="preserve">.  </w:t>
      </w:r>
    </w:p>
  </w:footnote>
  <w:footnote w:id="364">
    <w:p w14:paraId="7D132133" w14:textId="358D1CA4" w:rsidR="00146958" w:rsidRPr="000E4E05" w:rsidRDefault="00146958">
      <w:pPr>
        <w:pStyle w:val="FootnoteText"/>
        <w:jc w:val="both"/>
        <w:rPr>
          <w:rFonts w:ascii="Verdana" w:hAnsi="Verdana"/>
          <w:sz w:val="16"/>
          <w:szCs w:val="16"/>
        </w:rPr>
      </w:pPr>
      <w:r w:rsidRPr="00432ABC">
        <w:rPr>
          <w:rStyle w:val="FootnoteReference"/>
          <w:rFonts w:ascii="Verdana" w:hAnsi="Verdana"/>
          <w:sz w:val="16"/>
          <w:szCs w:val="16"/>
        </w:rPr>
        <w:footnoteRef/>
      </w:r>
      <w:r w:rsidRPr="00432ABC">
        <w:rPr>
          <w:rFonts w:ascii="Verdana" w:hAnsi="Verdana"/>
          <w:sz w:val="16"/>
          <w:szCs w:val="16"/>
        </w:rPr>
        <w:t xml:space="preserve">  </w:t>
      </w:r>
      <w:r w:rsidRPr="00432ABC">
        <w:rPr>
          <w:rFonts w:ascii="Verdana" w:hAnsi="Verdana"/>
          <w:sz w:val="16"/>
          <w:szCs w:val="16"/>
        </w:rPr>
        <w:tab/>
      </w:r>
      <w:r w:rsidRPr="00CD5C54">
        <w:rPr>
          <w:rFonts w:ascii="Verdana" w:hAnsi="Verdana"/>
          <w:i/>
          <w:sz w:val="16"/>
          <w:szCs w:val="16"/>
        </w:rPr>
        <w:t>Cfr.</w:t>
      </w:r>
      <w:r w:rsidRPr="002C462C">
        <w:rPr>
          <w:rFonts w:ascii="Verdana" w:hAnsi="Verdana"/>
          <w:sz w:val="16"/>
          <w:szCs w:val="16"/>
        </w:rPr>
        <w:t xml:space="preserve"> Declaración rendida ante la Corte por María de Jesús Alvarado Espinoza en la Audiencia Pública el 26 de abril de 2018  (Transcripción de la Audiencia Pública, pág. 13)</w:t>
      </w:r>
      <w:r w:rsidRPr="00432ABC">
        <w:rPr>
          <w:rFonts w:ascii="Verdana" w:hAnsi="Verdana" w:cs="Arial"/>
          <w:sz w:val="16"/>
          <w:szCs w:val="16"/>
          <w:lang w:val="es-AR"/>
        </w:rPr>
        <w:t>.</w:t>
      </w:r>
    </w:p>
  </w:footnote>
  <w:footnote w:id="365">
    <w:p w14:paraId="61EDAC5E" w14:textId="1FFC1658" w:rsidR="00146958" w:rsidRPr="00432ABC" w:rsidRDefault="00146958">
      <w:pPr>
        <w:pStyle w:val="FootnoteText"/>
        <w:jc w:val="both"/>
        <w:rPr>
          <w:rFonts w:ascii="Verdana" w:hAnsi="Verdana"/>
          <w:sz w:val="16"/>
          <w:szCs w:val="16"/>
        </w:rPr>
      </w:pPr>
      <w:r w:rsidRPr="00432ABC">
        <w:rPr>
          <w:rStyle w:val="FootnoteReference"/>
          <w:rFonts w:ascii="Verdana" w:hAnsi="Verdana"/>
          <w:sz w:val="16"/>
          <w:szCs w:val="16"/>
        </w:rPr>
        <w:footnoteRef/>
      </w:r>
      <w:r w:rsidRPr="00432ABC">
        <w:rPr>
          <w:rFonts w:ascii="Verdana" w:hAnsi="Verdana"/>
          <w:sz w:val="16"/>
          <w:szCs w:val="16"/>
        </w:rPr>
        <w:t xml:space="preserve"> </w:t>
      </w:r>
      <w:r w:rsidRPr="00432ABC">
        <w:rPr>
          <w:rFonts w:ascii="Verdana" w:hAnsi="Verdana"/>
          <w:sz w:val="16"/>
          <w:szCs w:val="16"/>
        </w:rPr>
        <w:tab/>
      </w:r>
      <w:r w:rsidRPr="00CD5C54">
        <w:rPr>
          <w:rFonts w:ascii="Verdana" w:hAnsi="Verdana"/>
          <w:i/>
          <w:sz w:val="16"/>
          <w:szCs w:val="16"/>
        </w:rPr>
        <w:t>Cfr.</w:t>
      </w:r>
      <w:r w:rsidRPr="002C462C">
        <w:rPr>
          <w:rFonts w:ascii="Verdana" w:hAnsi="Verdana"/>
          <w:sz w:val="16"/>
          <w:szCs w:val="16"/>
        </w:rPr>
        <w:t xml:space="preserve"> CNDH, </w:t>
      </w:r>
      <w:r w:rsidRPr="00432ABC">
        <w:rPr>
          <w:rFonts w:ascii="Verdana" w:hAnsi="Verdana"/>
          <w:i/>
          <w:sz w:val="16"/>
          <w:szCs w:val="16"/>
        </w:rPr>
        <w:t xml:space="preserve">Informe de riesgo de 23 de marzo de 2018, </w:t>
      </w:r>
      <w:r>
        <w:rPr>
          <w:rFonts w:ascii="Verdana" w:hAnsi="Verdana"/>
          <w:i/>
          <w:sz w:val="16"/>
          <w:szCs w:val="16"/>
        </w:rPr>
        <w:t>(</w:t>
      </w:r>
      <w:r w:rsidRPr="00432ABC">
        <w:rPr>
          <w:rFonts w:ascii="Verdana" w:hAnsi="Verdana"/>
          <w:i/>
          <w:sz w:val="16"/>
          <w:szCs w:val="16"/>
        </w:rPr>
        <w:t xml:space="preserve">supra </w:t>
      </w:r>
      <w:r w:rsidRPr="00432ABC">
        <w:rPr>
          <w:rFonts w:ascii="Verdana" w:hAnsi="Verdana"/>
          <w:sz w:val="16"/>
          <w:szCs w:val="16"/>
        </w:rPr>
        <w:t>ff. 3266 y 3268</w:t>
      </w:r>
      <w:r>
        <w:rPr>
          <w:rFonts w:ascii="Verdana" w:hAnsi="Verdana"/>
          <w:sz w:val="16"/>
          <w:szCs w:val="16"/>
        </w:rPr>
        <w:t>)</w:t>
      </w:r>
      <w:r w:rsidRPr="00432ABC">
        <w:rPr>
          <w:rFonts w:ascii="Verdana" w:hAnsi="Verdana"/>
          <w:sz w:val="16"/>
          <w:szCs w:val="16"/>
        </w:rPr>
        <w:t xml:space="preserve">, y Declaración pericial de Carlos Martín Beristáin rendida ante fedatario público de 16 de abril de 2018, </w:t>
      </w:r>
      <w:r w:rsidRPr="00432ABC">
        <w:rPr>
          <w:rFonts w:ascii="Verdana" w:hAnsi="Verdana"/>
          <w:i/>
          <w:sz w:val="16"/>
          <w:szCs w:val="16"/>
        </w:rPr>
        <w:t>supr</w:t>
      </w:r>
      <w:r>
        <w:rPr>
          <w:rFonts w:ascii="Verdana" w:hAnsi="Verdana"/>
          <w:i/>
          <w:sz w:val="16"/>
          <w:szCs w:val="16"/>
        </w:rPr>
        <w:t>a</w:t>
      </w:r>
      <w:r w:rsidRPr="00432ABC">
        <w:rPr>
          <w:rFonts w:ascii="Verdana" w:hAnsi="Verdana"/>
          <w:i/>
          <w:sz w:val="16"/>
          <w:szCs w:val="16"/>
        </w:rPr>
        <w:t>,</w:t>
      </w:r>
      <w:r>
        <w:rPr>
          <w:rFonts w:ascii="Verdana" w:hAnsi="Verdana"/>
          <w:i/>
          <w:sz w:val="16"/>
          <w:szCs w:val="16"/>
        </w:rPr>
        <w:t xml:space="preserve"> </w:t>
      </w:r>
      <w:r w:rsidRPr="00E42B72">
        <w:rPr>
          <w:rFonts w:ascii="Verdana" w:hAnsi="Verdana"/>
          <w:sz w:val="16"/>
          <w:szCs w:val="16"/>
        </w:rPr>
        <w:t>(expediente</w:t>
      </w:r>
      <w:r w:rsidRPr="008D0846">
        <w:rPr>
          <w:rFonts w:ascii="Verdana" w:hAnsi="Verdana"/>
          <w:sz w:val="16"/>
          <w:szCs w:val="16"/>
        </w:rPr>
        <w:t xml:space="preserve"> de prueba</w:t>
      </w:r>
      <w:r w:rsidRPr="00432ABC">
        <w:rPr>
          <w:rFonts w:ascii="Verdana" w:hAnsi="Verdana"/>
          <w:sz w:val="16"/>
          <w:szCs w:val="16"/>
        </w:rPr>
        <w:t xml:space="preserve"> ff. 30998 y 31013</w:t>
      </w:r>
      <w:r>
        <w:rPr>
          <w:rFonts w:ascii="Verdana" w:hAnsi="Verdana"/>
          <w:sz w:val="16"/>
          <w:szCs w:val="16"/>
        </w:rPr>
        <w:t>)</w:t>
      </w:r>
      <w:r w:rsidRPr="00432ABC">
        <w:rPr>
          <w:rFonts w:ascii="Verdana" w:hAnsi="Verdana"/>
          <w:sz w:val="16"/>
          <w:szCs w:val="16"/>
        </w:rPr>
        <w:t>.</w:t>
      </w:r>
    </w:p>
  </w:footnote>
  <w:footnote w:id="366">
    <w:p w14:paraId="75FA8250" w14:textId="6F9EE15C" w:rsidR="00146958" w:rsidRPr="00432ABC" w:rsidRDefault="00146958">
      <w:pPr>
        <w:autoSpaceDE w:val="0"/>
        <w:autoSpaceDN w:val="0"/>
        <w:adjustRightInd w:val="0"/>
        <w:spacing w:after="0" w:line="240" w:lineRule="auto"/>
        <w:jc w:val="both"/>
        <w:rPr>
          <w:rFonts w:ascii="Verdana" w:hAnsi="Verdana" w:cs="Arial"/>
          <w:sz w:val="16"/>
          <w:szCs w:val="16"/>
          <w:lang w:val="es-AR"/>
        </w:rPr>
      </w:pPr>
      <w:r w:rsidRPr="00432ABC">
        <w:rPr>
          <w:rStyle w:val="FootnoteReference"/>
          <w:rFonts w:ascii="Verdana" w:hAnsi="Verdana"/>
          <w:sz w:val="16"/>
          <w:szCs w:val="16"/>
        </w:rPr>
        <w:footnoteRef/>
      </w:r>
      <w:r w:rsidRPr="00432ABC">
        <w:rPr>
          <w:rFonts w:ascii="Verdana" w:hAnsi="Verdana"/>
          <w:sz w:val="16"/>
          <w:szCs w:val="16"/>
          <w:lang w:val="es-AR"/>
        </w:rPr>
        <w:t xml:space="preserve"> </w:t>
      </w:r>
      <w:r w:rsidRPr="00432ABC">
        <w:rPr>
          <w:rFonts w:ascii="Verdana" w:hAnsi="Verdana"/>
          <w:sz w:val="16"/>
          <w:szCs w:val="16"/>
          <w:lang w:val="es-AR"/>
        </w:rPr>
        <w:tab/>
      </w:r>
      <w:r w:rsidRPr="00CD5C54">
        <w:rPr>
          <w:rFonts w:ascii="Verdana" w:hAnsi="Verdana"/>
          <w:i/>
          <w:sz w:val="16"/>
          <w:szCs w:val="16"/>
        </w:rPr>
        <w:t>Cfr.</w:t>
      </w:r>
      <w:r w:rsidRPr="002C462C">
        <w:rPr>
          <w:rFonts w:ascii="Verdana" w:hAnsi="Verdana"/>
          <w:sz w:val="16"/>
          <w:szCs w:val="16"/>
        </w:rPr>
        <w:t xml:space="preserve"> CNDH, </w:t>
      </w:r>
      <w:r w:rsidRPr="00432ABC">
        <w:rPr>
          <w:rFonts w:ascii="Verdana" w:hAnsi="Verdana"/>
          <w:i/>
          <w:sz w:val="16"/>
          <w:szCs w:val="16"/>
        </w:rPr>
        <w:t xml:space="preserve">Informe de riesgo de 23 de marzo de 2018, </w:t>
      </w:r>
      <w:r>
        <w:rPr>
          <w:rFonts w:ascii="Verdana" w:hAnsi="Verdana"/>
          <w:i/>
          <w:sz w:val="16"/>
          <w:szCs w:val="16"/>
        </w:rPr>
        <w:t>(</w:t>
      </w:r>
      <w:r w:rsidRPr="00432ABC">
        <w:rPr>
          <w:rFonts w:ascii="Verdana" w:hAnsi="Verdana"/>
          <w:i/>
          <w:sz w:val="16"/>
          <w:szCs w:val="16"/>
        </w:rPr>
        <w:t xml:space="preserve">supra </w:t>
      </w:r>
      <w:r w:rsidRPr="00432ABC">
        <w:rPr>
          <w:rFonts w:ascii="Verdana" w:hAnsi="Verdana"/>
          <w:sz w:val="16"/>
          <w:szCs w:val="16"/>
        </w:rPr>
        <w:t>f. 3266</w:t>
      </w:r>
      <w:r>
        <w:rPr>
          <w:rFonts w:ascii="Verdana" w:hAnsi="Verdana"/>
          <w:sz w:val="16"/>
          <w:szCs w:val="16"/>
        </w:rPr>
        <w:t>)</w:t>
      </w:r>
      <w:r w:rsidRPr="00432ABC">
        <w:rPr>
          <w:rFonts w:ascii="Verdana" w:hAnsi="Verdana"/>
          <w:sz w:val="16"/>
          <w:szCs w:val="16"/>
        </w:rPr>
        <w:t xml:space="preserve">, y Declaración pericial de Carlos Martín Beristáin rendida </w:t>
      </w:r>
      <w:r>
        <w:rPr>
          <w:rFonts w:ascii="Verdana" w:hAnsi="Verdana"/>
          <w:sz w:val="16"/>
          <w:szCs w:val="16"/>
        </w:rPr>
        <w:t>el</w:t>
      </w:r>
      <w:r w:rsidRPr="00432ABC">
        <w:rPr>
          <w:rFonts w:ascii="Verdana" w:hAnsi="Verdana"/>
          <w:sz w:val="16"/>
          <w:szCs w:val="16"/>
        </w:rPr>
        <w:t xml:space="preserve"> 16 de abril de 2018, </w:t>
      </w:r>
      <w:r w:rsidRPr="00432ABC">
        <w:rPr>
          <w:rFonts w:ascii="Verdana" w:hAnsi="Verdana"/>
          <w:i/>
          <w:sz w:val="16"/>
          <w:szCs w:val="16"/>
        </w:rPr>
        <w:t>supra,</w:t>
      </w:r>
      <w:r w:rsidRPr="00432ABC">
        <w:rPr>
          <w:rFonts w:ascii="Verdana" w:hAnsi="Verdana"/>
          <w:sz w:val="16"/>
          <w:szCs w:val="16"/>
        </w:rPr>
        <w:t xml:space="preserve"> f. 31013.</w:t>
      </w:r>
    </w:p>
  </w:footnote>
  <w:footnote w:id="367">
    <w:p w14:paraId="2666340B" w14:textId="03838092" w:rsidR="00146958" w:rsidRPr="00432ABC" w:rsidRDefault="00146958">
      <w:pPr>
        <w:pStyle w:val="FootnoteText"/>
        <w:jc w:val="both"/>
        <w:rPr>
          <w:rFonts w:ascii="Verdana" w:hAnsi="Verdana"/>
          <w:sz w:val="16"/>
          <w:szCs w:val="16"/>
        </w:rPr>
      </w:pPr>
      <w:r w:rsidRPr="00432ABC">
        <w:rPr>
          <w:rStyle w:val="FootnoteReference"/>
          <w:rFonts w:ascii="Verdana" w:hAnsi="Verdana"/>
          <w:sz w:val="16"/>
          <w:szCs w:val="16"/>
        </w:rPr>
        <w:footnoteRef/>
      </w:r>
      <w:r w:rsidRPr="00432ABC">
        <w:rPr>
          <w:rFonts w:ascii="Verdana" w:hAnsi="Verdana"/>
          <w:sz w:val="16"/>
          <w:szCs w:val="16"/>
        </w:rPr>
        <w:t xml:space="preserve"> </w:t>
      </w:r>
      <w:r w:rsidRPr="00432ABC">
        <w:rPr>
          <w:rFonts w:ascii="Verdana" w:hAnsi="Verdana"/>
          <w:sz w:val="16"/>
          <w:szCs w:val="16"/>
        </w:rPr>
        <w:tab/>
      </w:r>
      <w:r w:rsidRPr="00CD5C54">
        <w:rPr>
          <w:rFonts w:ascii="Verdana" w:hAnsi="Verdana"/>
          <w:i/>
          <w:sz w:val="16"/>
          <w:szCs w:val="16"/>
        </w:rPr>
        <w:t>Cfr.</w:t>
      </w:r>
      <w:r w:rsidRPr="002C462C">
        <w:rPr>
          <w:rFonts w:ascii="Verdana" w:hAnsi="Verdana"/>
          <w:i/>
          <w:sz w:val="16"/>
          <w:szCs w:val="16"/>
        </w:rPr>
        <w:t xml:space="preserve"> </w:t>
      </w:r>
      <w:r w:rsidRPr="002C462C">
        <w:rPr>
          <w:rFonts w:ascii="Verdana" w:hAnsi="Verdana"/>
          <w:sz w:val="16"/>
          <w:szCs w:val="16"/>
        </w:rPr>
        <w:t>Declaración de José Án</w:t>
      </w:r>
      <w:r w:rsidRPr="00432ABC">
        <w:rPr>
          <w:rFonts w:ascii="Verdana" w:hAnsi="Verdana"/>
          <w:sz w:val="16"/>
          <w:szCs w:val="16"/>
        </w:rPr>
        <w:t xml:space="preserve">gel Alvarado Fabela rendida el 19 de abril de 2018 </w:t>
      </w:r>
      <w:r w:rsidRPr="00432ABC">
        <w:rPr>
          <w:rFonts w:ascii="Verdana" w:hAnsi="Verdana"/>
          <w:i/>
          <w:sz w:val="16"/>
          <w:szCs w:val="16"/>
        </w:rPr>
        <w:t xml:space="preserve">supra, </w:t>
      </w:r>
      <w:r w:rsidRPr="008D0846">
        <w:rPr>
          <w:rFonts w:ascii="Verdana" w:hAnsi="Verdana"/>
          <w:sz w:val="16"/>
          <w:szCs w:val="16"/>
        </w:rPr>
        <w:t>(</w:t>
      </w:r>
      <w:r>
        <w:rPr>
          <w:rFonts w:ascii="Verdana" w:hAnsi="Verdana"/>
          <w:sz w:val="16"/>
          <w:szCs w:val="16"/>
        </w:rPr>
        <w:t xml:space="preserve">expediente de prueba, </w:t>
      </w:r>
      <w:r w:rsidRPr="00432ABC">
        <w:rPr>
          <w:rFonts w:ascii="Verdana" w:hAnsi="Verdana"/>
          <w:sz w:val="16"/>
          <w:szCs w:val="16"/>
        </w:rPr>
        <w:t xml:space="preserve">ff. 30882 a </w:t>
      </w:r>
      <w:r w:rsidRPr="00432ABC">
        <w:rPr>
          <w:rFonts w:ascii="Verdana" w:hAnsi="Verdana"/>
          <w:sz w:val="16"/>
          <w:szCs w:val="16"/>
          <w:lang w:val="es-AR"/>
        </w:rPr>
        <w:t>30883</w:t>
      </w:r>
      <w:r>
        <w:rPr>
          <w:rFonts w:ascii="Verdana" w:hAnsi="Verdana"/>
          <w:sz w:val="16"/>
          <w:szCs w:val="16"/>
          <w:lang w:val="es-AR"/>
        </w:rPr>
        <w:t>)</w:t>
      </w:r>
      <w:r w:rsidRPr="00432ABC">
        <w:rPr>
          <w:rFonts w:ascii="Verdana" w:hAnsi="Verdana"/>
          <w:sz w:val="16"/>
          <w:szCs w:val="16"/>
        </w:rPr>
        <w:t xml:space="preserve">; Declaración de Obdulia Espinoza Beltrán rendida el 19 de abril de 2018 (expediente de prueba, </w:t>
      </w:r>
      <w:r w:rsidRPr="00453199">
        <w:rPr>
          <w:rFonts w:ascii="Verdana" w:hAnsi="Verdana"/>
          <w:i/>
          <w:sz w:val="16"/>
        </w:rPr>
        <w:t>Affidávits</w:t>
      </w:r>
      <w:r w:rsidRPr="00432ABC">
        <w:rPr>
          <w:rFonts w:ascii="Verdana" w:hAnsi="Verdana"/>
          <w:sz w:val="16"/>
          <w:szCs w:val="16"/>
        </w:rPr>
        <w:t>,</w:t>
      </w:r>
      <w:r w:rsidRPr="00432ABC" w:rsidDel="00873CE0">
        <w:rPr>
          <w:rFonts w:ascii="Verdana" w:hAnsi="Verdana"/>
          <w:sz w:val="16"/>
          <w:szCs w:val="16"/>
        </w:rPr>
        <w:t xml:space="preserve"> </w:t>
      </w:r>
      <w:r w:rsidRPr="00432ABC">
        <w:rPr>
          <w:rFonts w:ascii="Verdana" w:hAnsi="Verdana"/>
          <w:sz w:val="16"/>
          <w:szCs w:val="16"/>
        </w:rPr>
        <w:t xml:space="preserve">f. 30912); Declaración rendida ante la Corte por Jaime Alvarado Herrera en la Audiencia Pública, </w:t>
      </w:r>
      <w:r w:rsidRPr="00432ABC">
        <w:rPr>
          <w:rFonts w:ascii="Verdana" w:hAnsi="Verdana"/>
          <w:i/>
          <w:sz w:val="16"/>
          <w:szCs w:val="16"/>
        </w:rPr>
        <w:t>supra</w:t>
      </w:r>
      <w:r w:rsidRPr="00432ABC">
        <w:rPr>
          <w:rFonts w:ascii="Verdana" w:hAnsi="Verdana"/>
          <w:sz w:val="16"/>
          <w:szCs w:val="16"/>
        </w:rPr>
        <w:t xml:space="preserve">, pág. 34; </w:t>
      </w:r>
      <w:r w:rsidRPr="00432ABC">
        <w:rPr>
          <w:rFonts w:ascii="Verdana" w:hAnsi="Verdana"/>
          <w:sz w:val="16"/>
          <w:szCs w:val="16"/>
          <w:lang w:val="es-AR"/>
        </w:rPr>
        <w:t xml:space="preserve">Declaración de Sandra Luz Rueda Quezada rendida el 19 de abril de 2018 (expediente de prueba, </w:t>
      </w:r>
      <w:r w:rsidRPr="00453199">
        <w:rPr>
          <w:rFonts w:ascii="Verdana" w:hAnsi="Verdana"/>
          <w:i/>
          <w:sz w:val="16"/>
          <w:lang w:val="es-AR"/>
        </w:rPr>
        <w:t>Affidávits</w:t>
      </w:r>
      <w:r w:rsidRPr="00432ABC">
        <w:rPr>
          <w:rFonts w:ascii="Verdana" w:hAnsi="Verdana"/>
          <w:sz w:val="16"/>
          <w:szCs w:val="16"/>
          <w:lang w:val="es-AR"/>
        </w:rPr>
        <w:t xml:space="preserve">, f. 30954; </w:t>
      </w:r>
      <w:r w:rsidRPr="00432ABC">
        <w:rPr>
          <w:rFonts w:ascii="Verdana" w:hAnsi="Verdana"/>
          <w:sz w:val="16"/>
          <w:szCs w:val="16"/>
        </w:rPr>
        <w:t>Declaración de Rosa Olivia Alvarado Herrera rendida el 18 de abril de 2018 (expediente de prueba</w:t>
      </w:r>
      <w:r w:rsidRPr="008D0846">
        <w:rPr>
          <w:rFonts w:ascii="Verdana" w:hAnsi="Verdana"/>
          <w:i/>
          <w:sz w:val="16"/>
          <w:szCs w:val="16"/>
        </w:rPr>
        <w:t xml:space="preserve">, </w:t>
      </w:r>
      <w:r w:rsidRPr="00453199">
        <w:rPr>
          <w:rFonts w:ascii="Verdana" w:hAnsi="Verdana"/>
          <w:i/>
          <w:sz w:val="16"/>
        </w:rPr>
        <w:t>Affidávits</w:t>
      </w:r>
      <w:r w:rsidRPr="00432ABC">
        <w:rPr>
          <w:rFonts w:ascii="Verdana" w:hAnsi="Verdana"/>
          <w:sz w:val="16"/>
          <w:szCs w:val="16"/>
        </w:rPr>
        <w:t xml:space="preserve">, f. 30924); Declaración pericial de Carlos Martín Beristáin rendida </w:t>
      </w:r>
      <w:r>
        <w:rPr>
          <w:rFonts w:ascii="Verdana" w:hAnsi="Verdana"/>
          <w:sz w:val="16"/>
          <w:szCs w:val="16"/>
        </w:rPr>
        <w:t>el</w:t>
      </w:r>
      <w:r w:rsidRPr="00432ABC">
        <w:rPr>
          <w:rFonts w:ascii="Verdana" w:hAnsi="Verdana"/>
          <w:sz w:val="16"/>
          <w:szCs w:val="16"/>
        </w:rPr>
        <w:t xml:space="preserve"> 16 de abril de 2018, </w:t>
      </w:r>
      <w:r w:rsidRPr="00432ABC">
        <w:rPr>
          <w:rFonts w:ascii="Verdana" w:hAnsi="Verdana"/>
          <w:i/>
          <w:sz w:val="16"/>
          <w:szCs w:val="16"/>
        </w:rPr>
        <w:t>supra,</w:t>
      </w:r>
      <w:r w:rsidRPr="00432ABC">
        <w:rPr>
          <w:rFonts w:ascii="Verdana" w:hAnsi="Verdana"/>
          <w:sz w:val="16"/>
          <w:szCs w:val="16"/>
        </w:rPr>
        <w:t xml:space="preserve"> </w:t>
      </w:r>
      <w:r>
        <w:rPr>
          <w:rFonts w:ascii="Verdana" w:hAnsi="Verdana"/>
          <w:sz w:val="16"/>
          <w:szCs w:val="16"/>
        </w:rPr>
        <w:t xml:space="preserve">(expediente de prueba, </w:t>
      </w:r>
      <w:r w:rsidRPr="00432ABC">
        <w:rPr>
          <w:rFonts w:ascii="Verdana" w:hAnsi="Verdana"/>
          <w:sz w:val="16"/>
          <w:szCs w:val="16"/>
        </w:rPr>
        <w:t>f. 31013</w:t>
      </w:r>
      <w:r>
        <w:rPr>
          <w:rFonts w:ascii="Verdana" w:hAnsi="Verdana"/>
          <w:sz w:val="16"/>
          <w:szCs w:val="16"/>
        </w:rPr>
        <w:t>)</w:t>
      </w:r>
      <w:r w:rsidRPr="00432ABC">
        <w:rPr>
          <w:rFonts w:ascii="Verdana" w:hAnsi="Verdana"/>
          <w:sz w:val="16"/>
          <w:szCs w:val="16"/>
        </w:rPr>
        <w:t xml:space="preserve">, y CNDH, </w:t>
      </w:r>
      <w:r w:rsidRPr="00432ABC">
        <w:rPr>
          <w:rFonts w:ascii="Verdana" w:hAnsi="Verdana"/>
          <w:i/>
          <w:sz w:val="16"/>
          <w:szCs w:val="16"/>
        </w:rPr>
        <w:t>Informe de riesgo de 23 de marzo de 2018, supra,</w:t>
      </w:r>
      <w:r>
        <w:rPr>
          <w:rFonts w:ascii="Verdana" w:hAnsi="Verdana"/>
          <w:i/>
          <w:sz w:val="16"/>
          <w:szCs w:val="16"/>
        </w:rPr>
        <w:t xml:space="preserve"> </w:t>
      </w:r>
      <w:r>
        <w:rPr>
          <w:rFonts w:ascii="Verdana" w:hAnsi="Verdana"/>
          <w:sz w:val="16"/>
          <w:szCs w:val="16"/>
        </w:rPr>
        <w:t>(</w:t>
      </w:r>
      <w:r w:rsidRPr="00432ABC">
        <w:rPr>
          <w:rFonts w:ascii="Verdana" w:hAnsi="Verdana"/>
          <w:sz w:val="16"/>
          <w:szCs w:val="16"/>
        </w:rPr>
        <w:t>ff. 3233 a 3234</w:t>
      </w:r>
      <w:r>
        <w:rPr>
          <w:rFonts w:ascii="Verdana" w:hAnsi="Verdana"/>
          <w:sz w:val="16"/>
          <w:szCs w:val="16"/>
        </w:rPr>
        <w:t>)</w:t>
      </w:r>
      <w:r w:rsidRPr="00432ABC">
        <w:rPr>
          <w:rFonts w:ascii="Verdana" w:hAnsi="Verdana"/>
          <w:sz w:val="16"/>
          <w:szCs w:val="16"/>
        </w:rPr>
        <w:t>.</w:t>
      </w:r>
    </w:p>
  </w:footnote>
  <w:footnote w:id="368">
    <w:p w14:paraId="7CCB5BF6" w14:textId="3E941173" w:rsidR="00146958" w:rsidRPr="00432ABC" w:rsidRDefault="00146958">
      <w:pPr>
        <w:pStyle w:val="FootnoteText"/>
        <w:jc w:val="both"/>
        <w:rPr>
          <w:rFonts w:ascii="Verdana" w:hAnsi="Verdana"/>
          <w:sz w:val="16"/>
          <w:szCs w:val="16"/>
        </w:rPr>
      </w:pPr>
      <w:r w:rsidRPr="00432ABC">
        <w:rPr>
          <w:rStyle w:val="FootnoteReference"/>
          <w:rFonts w:ascii="Verdana" w:hAnsi="Verdana"/>
          <w:sz w:val="16"/>
          <w:szCs w:val="16"/>
        </w:rPr>
        <w:footnoteRef/>
      </w:r>
      <w:r w:rsidRPr="00432ABC">
        <w:rPr>
          <w:rFonts w:ascii="Verdana" w:hAnsi="Verdana"/>
          <w:sz w:val="16"/>
          <w:szCs w:val="16"/>
        </w:rPr>
        <w:t xml:space="preserve">  </w:t>
      </w:r>
      <w:r w:rsidRPr="00432ABC">
        <w:rPr>
          <w:rFonts w:ascii="Verdana" w:hAnsi="Verdana"/>
          <w:sz w:val="16"/>
          <w:szCs w:val="16"/>
        </w:rPr>
        <w:tab/>
      </w:r>
      <w:r w:rsidRPr="00CD5C54">
        <w:rPr>
          <w:rFonts w:ascii="Verdana" w:hAnsi="Verdana"/>
          <w:i/>
          <w:sz w:val="16"/>
          <w:szCs w:val="16"/>
        </w:rPr>
        <w:t>Cfr.</w:t>
      </w:r>
      <w:r w:rsidRPr="002C462C">
        <w:rPr>
          <w:rFonts w:ascii="Verdana" w:hAnsi="Verdana"/>
          <w:sz w:val="16"/>
          <w:szCs w:val="16"/>
        </w:rPr>
        <w:t xml:space="preserve"> Declaración de Rosa Olivia Alvarado Herrera rendida </w:t>
      </w:r>
      <w:r w:rsidRPr="00432ABC">
        <w:rPr>
          <w:rFonts w:ascii="Verdana" w:hAnsi="Verdana"/>
          <w:sz w:val="16"/>
          <w:szCs w:val="16"/>
        </w:rPr>
        <w:t xml:space="preserve">el 18 de abril de 2018, </w:t>
      </w:r>
      <w:r w:rsidRPr="00432ABC">
        <w:rPr>
          <w:rFonts w:ascii="Verdana" w:hAnsi="Verdana"/>
          <w:i/>
          <w:sz w:val="16"/>
          <w:szCs w:val="16"/>
        </w:rPr>
        <w:t xml:space="preserve">supra, </w:t>
      </w:r>
      <w:r>
        <w:rPr>
          <w:rFonts w:ascii="Verdana" w:hAnsi="Verdana"/>
          <w:i/>
          <w:sz w:val="16"/>
          <w:szCs w:val="16"/>
        </w:rPr>
        <w:t>(</w:t>
      </w:r>
      <w:r>
        <w:rPr>
          <w:rFonts w:ascii="Verdana" w:hAnsi="Verdana"/>
          <w:sz w:val="16"/>
          <w:szCs w:val="16"/>
        </w:rPr>
        <w:t xml:space="preserve">expediente de prueba, </w:t>
      </w:r>
      <w:r w:rsidRPr="00432ABC">
        <w:rPr>
          <w:rFonts w:ascii="Verdana" w:hAnsi="Verdana"/>
          <w:sz w:val="16"/>
          <w:szCs w:val="16"/>
        </w:rPr>
        <w:t>ff. 30924 a 30925</w:t>
      </w:r>
      <w:r>
        <w:rPr>
          <w:rFonts w:ascii="Verdana" w:hAnsi="Verdana"/>
          <w:sz w:val="16"/>
          <w:szCs w:val="16"/>
        </w:rPr>
        <w:t>)</w:t>
      </w:r>
      <w:r w:rsidRPr="00432ABC">
        <w:rPr>
          <w:rFonts w:ascii="Verdana" w:hAnsi="Verdana"/>
          <w:sz w:val="16"/>
          <w:szCs w:val="16"/>
        </w:rPr>
        <w:t xml:space="preserve">. Al respecto, Rosa Olivia Alvarado señaló: “[…] Manuel [Melquíades Alvarado] se fue a Flores Magón que </w:t>
      </w:r>
      <w:r w:rsidRPr="00432ABC">
        <w:rPr>
          <w:rFonts w:ascii="Verdana" w:hAnsi="Verdana"/>
          <w:sz w:val="16"/>
          <w:szCs w:val="16"/>
          <w:lang w:val="es-AR"/>
        </w:rPr>
        <w:t>y los demás [sic] estábamos en Benito Juárez. Manuel duró medio año allá y luego se vino [a Ciudad Juárez] a trabajar solo sin traer a su familia porque tenía miedo. Él estaba solo en su casa y ya después se vinieron mejor todos, es decir, su esposa e hijas […] Yo me regresé a [Ciudad] Juárez a aliviarme (alumbrar) [sic], pero ya no llegué a mi casa porque tenía miedo. Renté otra casa aparte, acá en [Ciudad] Juárez. Primero nos venimos Félix y yo, y Jaqueline, Karina y Fabián (mis hijos) se quedaron en Benito Juárez, pero ya cuando me alivié (alumbré) los muchachos [sic] se regresaron conmigo, los tres. Luego, se regresaron también a Ciudad Juárez Jaime, Sandra y sus hijos. Todos estábamos en la misma casa, salvo mi papá, mi mamá, que sí se quedaron en Benito [Juárez] y fue hasta que mi mamá se enferma que se vinieron  a Ciudad Juárez […]”.</w:t>
      </w:r>
    </w:p>
  </w:footnote>
  <w:footnote w:id="369">
    <w:p w14:paraId="2093F736" w14:textId="0BB6F354" w:rsidR="00146958" w:rsidRPr="00432ABC" w:rsidRDefault="00146958">
      <w:pPr>
        <w:pStyle w:val="FootnoteText"/>
        <w:jc w:val="both"/>
        <w:rPr>
          <w:rFonts w:ascii="Verdana" w:hAnsi="Verdana"/>
          <w:sz w:val="16"/>
          <w:szCs w:val="16"/>
        </w:rPr>
      </w:pPr>
      <w:r w:rsidRPr="00432ABC">
        <w:rPr>
          <w:rStyle w:val="FootnoteReference"/>
          <w:rFonts w:ascii="Verdana" w:hAnsi="Verdana"/>
          <w:sz w:val="16"/>
          <w:szCs w:val="16"/>
        </w:rPr>
        <w:footnoteRef/>
      </w:r>
      <w:r w:rsidRPr="00432ABC">
        <w:rPr>
          <w:rFonts w:ascii="Verdana" w:hAnsi="Verdana"/>
          <w:sz w:val="16"/>
          <w:szCs w:val="16"/>
        </w:rPr>
        <w:t xml:space="preserve"> </w:t>
      </w:r>
      <w:r w:rsidRPr="00432ABC">
        <w:rPr>
          <w:rFonts w:ascii="Verdana" w:hAnsi="Verdana"/>
          <w:sz w:val="16"/>
          <w:szCs w:val="16"/>
        </w:rPr>
        <w:tab/>
      </w:r>
      <w:r w:rsidRPr="00CD5C54">
        <w:rPr>
          <w:rFonts w:ascii="Verdana" w:hAnsi="Verdana"/>
          <w:i/>
          <w:sz w:val="16"/>
          <w:szCs w:val="16"/>
        </w:rPr>
        <w:t>Cfr.</w:t>
      </w:r>
      <w:r w:rsidRPr="00432ABC">
        <w:rPr>
          <w:rFonts w:ascii="Verdana" w:hAnsi="Verdana"/>
          <w:sz w:val="16"/>
          <w:szCs w:val="16"/>
        </w:rPr>
        <w:t xml:space="preserve"> Declaración de Sandra Luz Rueda Quezada rendida el 19 de abril de 2018, </w:t>
      </w:r>
      <w:r w:rsidRPr="00432ABC">
        <w:rPr>
          <w:rFonts w:ascii="Verdana" w:hAnsi="Verdana"/>
          <w:i/>
          <w:sz w:val="16"/>
          <w:szCs w:val="16"/>
        </w:rPr>
        <w:t>supra</w:t>
      </w:r>
      <w:r w:rsidRPr="00432ABC">
        <w:rPr>
          <w:rFonts w:ascii="Verdana" w:hAnsi="Verdana"/>
          <w:sz w:val="16"/>
          <w:szCs w:val="16"/>
        </w:rPr>
        <w:t xml:space="preserve">, </w:t>
      </w:r>
      <w:r>
        <w:rPr>
          <w:rFonts w:ascii="Verdana" w:hAnsi="Verdana"/>
          <w:sz w:val="16"/>
          <w:szCs w:val="16"/>
        </w:rPr>
        <w:t xml:space="preserve">(expediente de prueba, </w:t>
      </w:r>
      <w:r w:rsidRPr="00432ABC">
        <w:rPr>
          <w:rFonts w:ascii="Verdana" w:hAnsi="Verdana"/>
          <w:sz w:val="16"/>
          <w:szCs w:val="16"/>
        </w:rPr>
        <w:t>f. 30954</w:t>
      </w:r>
      <w:r>
        <w:rPr>
          <w:rFonts w:ascii="Verdana" w:hAnsi="Verdana"/>
          <w:sz w:val="16"/>
          <w:szCs w:val="16"/>
        </w:rPr>
        <w:t>)</w:t>
      </w:r>
      <w:r w:rsidRPr="00432ABC">
        <w:rPr>
          <w:rFonts w:ascii="Verdana" w:hAnsi="Verdana"/>
          <w:sz w:val="16"/>
          <w:szCs w:val="16"/>
        </w:rPr>
        <w:t>.</w:t>
      </w:r>
    </w:p>
  </w:footnote>
  <w:footnote w:id="370">
    <w:p w14:paraId="677F9C6B" w14:textId="44165F86" w:rsidR="00146958" w:rsidRPr="00432ABC" w:rsidRDefault="00146958">
      <w:pPr>
        <w:pStyle w:val="FootnoteText"/>
        <w:jc w:val="both"/>
        <w:rPr>
          <w:rFonts w:ascii="Verdana" w:hAnsi="Verdana"/>
          <w:sz w:val="16"/>
          <w:szCs w:val="16"/>
          <w:lang w:val="es-AR"/>
        </w:rPr>
      </w:pPr>
      <w:r w:rsidRPr="00432ABC">
        <w:rPr>
          <w:rStyle w:val="FootnoteReference"/>
          <w:rFonts w:ascii="Verdana" w:hAnsi="Verdana"/>
          <w:sz w:val="16"/>
          <w:szCs w:val="16"/>
        </w:rPr>
        <w:footnoteRef/>
      </w:r>
      <w:r w:rsidRPr="00432ABC">
        <w:rPr>
          <w:rFonts w:ascii="Verdana" w:hAnsi="Verdana"/>
          <w:sz w:val="16"/>
          <w:szCs w:val="16"/>
          <w:lang w:val="es-AR"/>
        </w:rPr>
        <w:t xml:space="preserve"> </w:t>
      </w:r>
      <w:r w:rsidRPr="00432ABC">
        <w:rPr>
          <w:rFonts w:ascii="Verdana" w:hAnsi="Verdana"/>
          <w:sz w:val="16"/>
          <w:szCs w:val="16"/>
          <w:lang w:val="es-AR"/>
        </w:rPr>
        <w:tab/>
      </w:r>
      <w:r w:rsidRPr="00CD5C54">
        <w:rPr>
          <w:rFonts w:ascii="Verdana" w:hAnsi="Verdana"/>
          <w:i/>
          <w:sz w:val="16"/>
          <w:szCs w:val="16"/>
          <w:lang w:val="es-AR"/>
        </w:rPr>
        <w:t>Cfr.</w:t>
      </w:r>
      <w:r w:rsidRPr="002C462C">
        <w:rPr>
          <w:rFonts w:ascii="Verdana" w:hAnsi="Verdana"/>
          <w:sz w:val="16"/>
          <w:szCs w:val="16"/>
          <w:lang w:val="es-AR"/>
        </w:rPr>
        <w:t xml:space="preserve"> </w:t>
      </w:r>
      <w:r w:rsidRPr="00432ABC">
        <w:rPr>
          <w:rFonts w:ascii="Verdana" w:hAnsi="Verdana"/>
          <w:sz w:val="16"/>
          <w:szCs w:val="16"/>
        </w:rPr>
        <w:t xml:space="preserve">Declaración pericial de Carlos Martín Beristáin rendida ante fedatario público de 16 de abril de 2018, </w:t>
      </w:r>
      <w:r w:rsidRPr="00432ABC">
        <w:rPr>
          <w:rFonts w:ascii="Verdana" w:hAnsi="Verdana"/>
          <w:i/>
          <w:sz w:val="16"/>
          <w:szCs w:val="16"/>
        </w:rPr>
        <w:t>supra,</w:t>
      </w:r>
      <w:r w:rsidRPr="00432ABC">
        <w:rPr>
          <w:rFonts w:ascii="Verdana" w:hAnsi="Verdana"/>
          <w:sz w:val="16"/>
          <w:szCs w:val="16"/>
        </w:rPr>
        <w:t xml:space="preserve"> </w:t>
      </w:r>
      <w:r>
        <w:rPr>
          <w:rFonts w:ascii="Verdana" w:hAnsi="Verdana"/>
          <w:sz w:val="16"/>
          <w:szCs w:val="16"/>
        </w:rPr>
        <w:t xml:space="preserve">(expediente de prueba, </w:t>
      </w:r>
      <w:r w:rsidRPr="00432ABC">
        <w:rPr>
          <w:rFonts w:ascii="Verdana" w:hAnsi="Verdana"/>
          <w:sz w:val="16"/>
          <w:szCs w:val="16"/>
        </w:rPr>
        <w:t>f. 31013</w:t>
      </w:r>
      <w:r>
        <w:rPr>
          <w:rFonts w:ascii="Verdana" w:hAnsi="Verdana"/>
          <w:sz w:val="16"/>
          <w:szCs w:val="16"/>
        </w:rPr>
        <w:t>)</w:t>
      </w:r>
      <w:r w:rsidRPr="00432ABC">
        <w:rPr>
          <w:rFonts w:ascii="Verdana" w:hAnsi="Verdana"/>
          <w:sz w:val="16"/>
          <w:szCs w:val="16"/>
        </w:rPr>
        <w:t xml:space="preserve">; CNDH, </w:t>
      </w:r>
      <w:r w:rsidRPr="00432ABC">
        <w:rPr>
          <w:rFonts w:ascii="Verdana" w:hAnsi="Verdana"/>
          <w:i/>
          <w:sz w:val="16"/>
          <w:szCs w:val="16"/>
        </w:rPr>
        <w:t xml:space="preserve">Informe de riesgo de 23 de marzo de 2018, supra, </w:t>
      </w:r>
      <w:r>
        <w:rPr>
          <w:rFonts w:ascii="Verdana" w:hAnsi="Verdana"/>
          <w:i/>
          <w:sz w:val="16"/>
          <w:szCs w:val="16"/>
        </w:rPr>
        <w:t>(</w:t>
      </w:r>
      <w:r w:rsidRPr="00432ABC">
        <w:rPr>
          <w:rFonts w:ascii="Verdana" w:hAnsi="Verdana"/>
          <w:sz w:val="16"/>
          <w:szCs w:val="16"/>
        </w:rPr>
        <w:t>f. 3235</w:t>
      </w:r>
      <w:r>
        <w:rPr>
          <w:rFonts w:ascii="Verdana" w:hAnsi="Verdana"/>
          <w:sz w:val="16"/>
          <w:szCs w:val="16"/>
        </w:rPr>
        <w:t>)</w:t>
      </w:r>
      <w:r w:rsidRPr="00432ABC">
        <w:rPr>
          <w:rFonts w:ascii="Verdana" w:hAnsi="Verdana"/>
          <w:sz w:val="16"/>
          <w:szCs w:val="16"/>
        </w:rPr>
        <w:t xml:space="preserve">, y Declaración de Sandra Luz Rueda Quezada rendida el 19 de abril de 2018, </w:t>
      </w:r>
      <w:r w:rsidRPr="00432ABC">
        <w:rPr>
          <w:rFonts w:ascii="Verdana" w:hAnsi="Verdana"/>
          <w:i/>
          <w:sz w:val="16"/>
          <w:szCs w:val="16"/>
        </w:rPr>
        <w:t>supra</w:t>
      </w:r>
      <w:r w:rsidRPr="00432ABC">
        <w:rPr>
          <w:rFonts w:ascii="Verdana" w:hAnsi="Verdana"/>
          <w:sz w:val="16"/>
          <w:szCs w:val="16"/>
        </w:rPr>
        <w:t xml:space="preserve">, </w:t>
      </w:r>
      <w:r>
        <w:rPr>
          <w:rFonts w:ascii="Verdana" w:hAnsi="Verdana"/>
          <w:sz w:val="16"/>
          <w:szCs w:val="16"/>
        </w:rPr>
        <w:t xml:space="preserve">(expediente de prueba, </w:t>
      </w:r>
      <w:r w:rsidRPr="00432ABC">
        <w:rPr>
          <w:rFonts w:ascii="Verdana" w:hAnsi="Verdana"/>
          <w:sz w:val="16"/>
          <w:szCs w:val="16"/>
        </w:rPr>
        <w:t>f. 30955</w:t>
      </w:r>
      <w:r>
        <w:rPr>
          <w:rFonts w:ascii="Verdana" w:hAnsi="Verdana"/>
          <w:sz w:val="16"/>
          <w:szCs w:val="16"/>
        </w:rPr>
        <w:t>)</w:t>
      </w:r>
      <w:r w:rsidRPr="00432ABC">
        <w:rPr>
          <w:rFonts w:ascii="Verdana" w:hAnsi="Verdana"/>
          <w:sz w:val="16"/>
          <w:szCs w:val="16"/>
        </w:rPr>
        <w:t xml:space="preserve">. Sandra Luz Rueda Quezada, esposa de Jaime Alvarado, indicó a la Corte en su declaración jurada que en la fecha en sucedió el asesinato de F.A.H. (6 de febrero de 2018) ella se encontraba residiendo en el Ejido Benito Juárez, toda vez que se encontraba al cuidado de su madre.   </w:t>
      </w:r>
    </w:p>
  </w:footnote>
  <w:footnote w:id="371">
    <w:p w14:paraId="25A0B1DA" w14:textId="35A89B46" w:rsidR="00146958" w:rsidRPr="00432ABC" w:rsidRDefault="00146958">
      <w:pPr>
        <w:pStyle w:val="FootnoteText"/>
        <w:jc w:val="both"/>
        <w:rPr>
          <w:rFonts w:ascii="Verdana" w:hAnsi="Verdana"/>
          <w:sz w:val="16"/>
          <w:szCs w:val="16"/>
        </w:rPr>
      </w:pPr>
      <w:r w:rsidRPr="00432ABC">
        <w:rPr>
          <w:rStyle w:val="FootnoteReference"/>
          <w:rFonts w:ascii="Verdana" w:hAnsi="Verdana"/>
          <w:sz w:val="16"/>
          <w:szCs w:val="16"/>
        </w:rPr>
        <w:footnoteRef/>
      </w:r>
      <w:r w:rsidRPr="00432ABC">
        <w:rPr>
          <w:rFonts w:ascii="Verdana" w:hAnsi="Verdana"/>
          <w:sz w:val="16"/>
          <w:szCs w:val="16"/>
        </w:rPr>
        <w:t xml:space="preserve"> </w:t>
      </w:r>
      <w:r w:rsidRPr="00432ABC">
        <w:rPr>
          <w:rFonts w:ascii="Verdana" w:hAnsi="Verdana"/>
          <w:sz w:val="16"/>
          <w:szCs w:val="16"/>
        </w:rPr>
        <w:tab/>
      </w:r>
      <w:r w:rsidRPr="00CD5C54">
        <w:rPr>
          <w:rFonts w:ascii="Verdana" w:hAnsi="Verdana"/>
          <w:i/>
          <w:sz w:val="16"/>
          <w:szCs w:val="16"/>
        </w:rPr>
        <w:t>Cfr.</w:t>
      </w:r>
      <w:r w:rsidRPr="002C462C">
        <w:rPr>
          <w:rFonts w:ascii="Verdana" w:hAnsi="Verdana"/>
          <w:sz w:val="16"/>
          <w:szCs w:val="16"/>
        </w:rPr>
        <w:t xml:space="preserve"> </w:t>
      </w:r>
      <w:r w:rsidRPr="00432ABC">
        <w:rPr>
          <w:rFonts w:ascii="Verdana" w:hAnsi="Verdana"/>
          <w:i/>
          <w:sz w:val="16"/>
          <w:szCs w:val="16"/>
        </w:rPr>
        <w:t>Asunto Alvarado Reyes y otros</w:t>
      </w:r>
      <w:r>
        <w:rPr>
          <w:rFonts w:ascii="Verdana" w:hAnsi="Verdana"/>
          <w:i/>
          <w:sz w:val="16"/>
          <w:szCs w:val="16"/>
        </w:rPr>
        <w:t>. Medidas Provisionales</w:t>
      </w:r>
      <w:r w:rsidRPr="00432ABC">
        <w:rPr>
          <w:rFonts w:ascii="Verdana" w:hAnsi="Verdana"/>
          <w:i/>
          <w:sz w:val="16"/>
          <w:szCs w:val="16"/>
        </w:rPr>
        <w:t xml:space="preserve"> respecto de México. </w:t>
      </w:r>
      <w:r w:rsidRPr="008D0846">
        <w:rPr>
          <w:rFonts w:ascii="Verdana" w:hAnsi="Verdana"/>
          <w:sz w:val="16"/>
          <w:szCs w:val="16"/>
        </w:rPr>
        <w:t>Resolución</w:t>
      </w:r>
      <w:r w:rsidRPr="00432ABC">
        <w:rPr>
          <w:rFonts w:ascii="Verdana" w:hAnsi="Verdana"/>
          <w:sz w:val="16"/>
          <w:szCs w:val="16"/>
          <w:lang w:val="es-ES"/>
        </w:rPr>
        <w:t xml:space="preserve"> de </w:t>
      </w:r>
      <w:r w:rsidRPr="00432ABC">
        <w:rPr>
          <w:rFonts w:ascii="Verdana" w:hAnsi="Verdana"/>
          <w:sz w:val="16"/>
          <w:szCs w:val="16"/>
        </w:rPr>
        <w:t>14 de marzo de 2018. Considerando 5.</w:t>
      </w:r>
    </w:p>
  </w:footnote>
  <w:footnote w:id="372">
    <w:p w14:paraId="20D3D123" w14:textId="7A818750" w:rsidR="00146958" w:rsidRPr="00432ABC" w:rsidRDefault="00146958">
      <w:pPr>
        <w:pStyle w:val="FootnoteText"/>
        <w:jc w:val="both"/>
        <w:rPr>
          <w:rFonts w:ascii="Verdana" w:hAnsi="Verdana"/>
          <w:sz w:val="16"/>
          <w:szCs w:val="16"/>
          <w:highlight w:val="yellow"/>
          <w:lang w:val="es-AR"/>
        </w:rPr>
      </w:pPr>
      <w:r w:rsidRPr="00432ABC">
        <w:rPr>
          <w:rStyle w:val="FootnoteReference"/>
          <w:rFonts w:ascii="Verdana" w:hAnsi="Verdana"/>
          <w:sz w:val="16"/>
          <w:szCs w:val="16"/>
        </w:rPr>
        <w:footnoteRef/>
      </w:r>
      <w:r w:rsidRPr="00432ABC">
        <w:rPr>
          <w:rFonts w:ascii="Verdana" w:hAnsi="Verdana"/>
          <w:sz w:val="16"/>
          <w:szCs w:val="16"/>
          <w:lang w:val="es-AR"/>
        </w:rPr>
        <w:t xml:space="preserve"> </w:t>
      </w:r>
      <w:r w:rsidRPr="00432ABC">
        <w:rPr>
          <w:rFonts w:ascii="Verdana" w:hAnsi="Verdana"/>
          <w:sz w:val="16"/>
          <w:szCs w:val="16"/>
          <w:lang w:val="es-AR"/>
        </w:rPr>
        <w:tab/>
        <w:t>Jaime Alvarado Herrera señaló a la CNDH que: “[D]ía</w:t>
      </w:r>
      <w:r w:rsidRPr="002C462C">
        <w:rPr>
          <w:rFonts w:ascii="Verdana" w:hAnsi="Verdana"/>
          <w:sz w:val="16"/>
          <w:szCs w:val="16"/>
          <w:lang w:val="es-AR"/>
        </w:rPr>
        <w:t>s después del asesinato de su sobrino Fabián [Alvarado Herrera, hijo de Rosa Olivia Alvarado], cuando la familia ya estaba en el [E]jido Benito Juárez [lugar en el que se llevó a cabo su sepelio y posterior entierro], personal de la funeraria que se hizo ca</w:t>
      </w:r>
      <w:r w:rsidRPr="00432ABC">
        <w:rPr>
          <w:rFonts w:ascii="Verdana" w:hAnsi="Verdana"/>
          <w:sz w:val="16"/>
          <w:szCs w:val="16"/>
          <w:lang w:val="es-AR"/>
        </w:rPr>
        <w:t xml:space="preserve">rgo del servicio [sic] de Fabián le indicó que un grupo de personas preguntó por la familia sin mayores explicaciones, solo comentando: ‘nos manda preguntar ya sabes quién’, por lo que, por su seguridad, fueron resguardados en el refugio en el que se encuentran actualmente […]”. </w:t>
      </w:r>
      <w:r w:rsidRPr="00CD5C54">
        <w:rPr>
          <w:rFonts w:ascii="Verdana" w:hAnsi="Verdana"/>
          <w:i/>
          <w:sz w:val="16"/>
          <w:szCs w:val="16"/>
          <w:lang w:val="es-AR"/>
        </w:rPr>
        <w:t>Cfr.</w:t>
      </w:r>
      <w:r w:rsidRPr="00432ABC">
        <w:rPr>
          <w:rFonts w:ascii="Verdana" w:hAnsi="Verdana"/>
          <w:sz w:val="16"/>
          <w:szCs w:val="16"/>
          <w:lang w:val="es-AR"/>
        </w:rPr>
        <w:t xml:space="preserve"> </w:t>
      </w:r>
      <w:r w:rsidRPr="00432ABC">
        <w:rPr>
          <w:rFonts w:ascii="Verdana" w:hAnsi="Verdana"/>
          <w:sz w:val="16"/>
          <w:szCs w:val="16"/>
        </w:rPr>
        <w:t xml:space="preserve">CNDH, </w:t>
      </w:r>
      <w:r w:rsidRPr="00432ABC">
        <w:rPr>
          <w:rFonts w:ascii="Verdana" w:hAnsi="Verdana"/>
          <w:i/>
          <w:sz w:val="16"/>
          <w:szCs w:val="16"/>
        </w:rPr>
        <w:t xml:space="preserve">Informe de riesgo de 23 de marzo de 2018, supra, </w:t>
      </w:r>
      <w:r>
        <w:rPr>
          <w:rFonts w:ascii="Verdana" w:hAnsi="Verdana"/>
          <w:sz w:val="16"/>
          <w:szCs w:val="16"/>
        </w:rPr>
        <w:t>(</w:t>
      </w:r>
      <w:r w:rsidRPr="00432ABC">
        <w:rPr>
          <w:rFonts w:ascii="Verdana" w:hAnsi="Verdana"/>
          <w:sz w:val="16"/>
          <w:szCs w:val="16"/>
        </w:rPr>
        <w:t>f. 3236</w:t>
      </w:r>
      <w:r>
        <w:rPr>
          <w:rFonts w:ascii="Verdana" w:hAnsi="Verdana"/>
          <w:sz w:val="16"/>
          <w:szCs w:val="16"/>
        </w:rPr>
        <w:t>)</w:t>
      </w:r>
      <w:r w:rsidRPr="00432ABC">
        <w:rPr>
          <w:rFonts w:ascii="Verdana" w:hAnsi="Verdana"/>
          <w:sz w:val="16"/>
          <w:szCs w:val="16"/>
        </w:rPr>
        <w:t xml:space="preserve">. En el mismo sentido, en su declaración jurada ante la Corte, </w:t>
      </w:r>
      <w:r w:rsidRPr="00432ABC">
        <w:rPr>
          <w:rFonts w:ascii="Verdana" w:hAnsi="Verdana"/>
          <w:sz w:val="16"/>
          <w:szCs w:val="16"/>
          <w:lang w:val="es-AR"/>
        </w:rPr>
        <w:t>Sandra Luz Rueda Quezada manifestó que tras el sepelio de F.A.H., recibió una llamada de su esposo Jaime Alvarado, quien le indicó “[…]</w:t>
      </w:r>
      <w:r w:rsidRPr="00432ABC">
        <w:rPr>
          <w:rFonts w:ascii="Verdana" w:hAnsi="Verdana" w:cs="Arial"/>
          <w:sz w:val="16"/>
          <w:szCs w:val="16"/>
          <w:lang w:val="es-AR"/>
        </w:rPr>
        <w:t xml:space="preserve"> [A]</w:t>
      </w:r>
      <w:r w:rsidRPr="00432ABC">
        <w:rPr>
          <w:rFonts w:ascii="Verdana" w:hAnsi="Verdana"/>
          <w:sz w:val="16"/>
          <w:szCs w:val="16"/>
          <w:lang w:val="es-AR"/>
        </w:rPr>
        <w:t xml:space="preserve">lista todo porque nos tenemos que ir […] nos andan buscando, fueron a la funeraria y el muchacho de la funeraria nos dijo que más vale que nos fuéramos porque no sabe uno […]”. </w:t>
      </w:r>
      <w:r w:rsidRPr="00CD5C54">
        <w:rPr>
          <w:rFonts w:ascii="Verdana" w:hAnsi="Verdana"/>
          <w:i/>
          <w:sz w:val="16"/>
          <w:szCs w:val="16"/>
          <w:lang w:val="es-AR"/>
        </w:rPr>
        <w:t>Cfr.</w:t>
      </w:r>
      <w:r w:rsidRPr="00432ABC">
        <w:rPr>
          <w:rFonts w:ascii="Verdana" w:hAnsi="Verdana"/>
          <w:sz w:val="16"/>
          <w:szCs w:val="16"/>
          <w:lang w:val="es-AR"/>
        </w:rPr>
        <w:t xml:space="preserve"> </w:t>
      </w:r>
      <w:r w:rsidRPr="00432ABC">
        <w:rPr>
          <w:rFonts w:ascii="Verdana" w:hAnsi="Verdana"/>
          <w:sz w:val="16"/>
          <w:szCs w:val="16"/>
        </w:rPr>
        <w:t xml:space="preserve">Declaración de Sandra Luz Rueda Quezada rendida ante fedatario público el 19 de abril de 2018, </w:t>
      </w:r>
      <w:r w:rsidRPr="00432ABC">
        <w:rPr>
          <w:rFonts w:ascii="Verdana" w:hAnsi="Verdana"/>
          <w:i/>
          <w:sz w:val="16"/>
          <w:szCs w:val="16"/>
        </w:rPr>
        <w:t>supra</w:t>
      </w:r>
      <w:r w:rsidRPr="00432ABC">
        <w:rPr>
          <w:rFonts w:ascii="Verdana" w:hAnsi="Verdana"/>
          <w:sz w:val="16"/>
          <w:szCs w:val="16"/>
        </w:rPr>
        <w:t xml:space="preserve">, </w:t>
      </w:r>
      <w:r>
        <w:rPr>
          <w:rFonts w:ascii="Verdana" w:hAnsi="Verdana"/>
          <w:sz w:val="16"/>
          <w:szCs w:val="16"/>
        </w:rPr>
        <w:t xml:space="preserve">(expediente de prueba, </w:t>
      </w:r>
      <w:r w:rsidRPr="00432ABC">
        <w:rPr>
          <w:rFonts w:ascii="Verdana" w:hAnsi="Verdana"/>
          <w:sz w:val="16"/>
          <w:szCs w:val="16"/>
        </w:rPr>
        <w:t>f. 3095</w:t>
      </w:r>
      <w:r w:rsidRPr="00432ABC">
        <w:rPr>
          <w:rFonts w:ascii="Verdana" w:hAnsi="Verdana"/>
          <w:sz w:val="16"/>
          <w:szCs w:val="16"/>
          <w:lang w:val="es-AR"/>
        </w:rPr>
        <w:t>6</w:t>
      </w:r>
      <w:r>
        <w:rPr>
          <w:rFonts w:ascii="Verdana" w:hAnsi="Verdana"/>
          <w:sz w:val="16"/>
          <w:szCs w:val="16"/>
          <w:lang w:val="es-AR"/>
        </w:rPr>
        <w:t>)</w:t>
      </w:r>
      <w:r w:rsidRPr="00432ABC">
        <w:rPr>
          <w:rFonts w:ascii="Verdana" w:hAnsi="Verdana"/>
          <w:sz w:val="16"/>
          <w:szCs w:val="16"/>
          <w:lang w:val="es-AR"/>
        </w:rPr>
        <w:t xml:space="preserve">. </w:t>
      </w:r>
    </w:p>
  </w:footnote>
  <w:footnote w:id="373">
    <w:p w14:paraId="790AF67D" w14:textId="315C12C8" w:rsidR="00146958" w:rsidRPr="00432ABC" w:rsidRDefault="00146958" w:rsidP="00DB378B">
      <w:pPr>
        <w:pStyle w:val="FootnoteText"/>
        <w:jc w:val="both"/>
        <w:rPr>
          <w:rFonts w:ascii="Verdana" w:hAnsi="Verdana"/>
          <w:sz w:val="16"/>
          <w:szCs w:val="16"/>
        </w:rPr>
      </w:pPr>
      <w:r w:rsidRPr="00432ABC">
        <w:rPr>
          <w:rStyle w:val="FootnoteReference"/>
          <w:rFonts w:ascii="Verdana" w:hAnsi="Verdana"/>
          <w:sz w:val="16"/>
          <w:szCs w:val="16"/>
        </w:rPr>
        <w:footnoteRef/>
      </w:r>
      <w:r w:rsidRPr="00432ABC">
        <w:rPr>
          <w:rFonts w:ascii="Verdana" w:hAnsi="Verdana"/>
          <w:sz w:val="16"/>
          <w:szCs w:val="16"/>
        </w:rPr>
        <w:t xml:space="preserve"> </w:t>
      </w:r>
      <w:r w:rsidRPr="00432ABC">
        <w:rPr>
          <w:rFonts w:ascii="Verdana" w:hAnsi="Verdana"/>
          <w:sz w:val="16"/>
          <w:szCs w:val="16"/>
        </w:rPr>
        <w:tab/>
      </w:r>
      <w:r w:rsidRPr="00CD5C54">
        <w:rPr>
          <w:rFonts w:ascii="Verdana" w:hAnsi="Verdana"/>
          <w:i/>
          <w:sz w:val="16"/>
          <w:szCs w:val="16"/>
        </w:rPr>
        <w:t>Cfr.</w:t>
      </w:r>
      <w:r w:rsidRPr="002C462C">
        <w:rPr>
          <w:rFonts w:ascii="Verdana" w:hAnsi="Verdana"/>
          <w:sz w:val="16"/>
          <w:szCs w:val="16"/>
        </w:rPr>
        <w:t xml:space="preserve"> CNDH, </w:t>
      </w:r>
      <w:r w:rsidRPr="00432ABC">
        <w:rPr>
          <w:rFonts w:ascii="Verdana" w:hAnsi="Verdana"/>
          <w:i/>
          <w:sz w:val="16"/>
          <w:szCs w:val="16"/>
        </w:rPr>
        <w:t xml:space="preserve">Informe de riesgo de 23 de marzo de 2018, supra, </w:t>
      </w:r>
      <w:r>
        <w:rPr>
          <w:rFonts w:ascii="Verdana" w:hAnsi="Verdana"/>
          <w:sz w:val="16"/>
          <w:szCs w:val="16"/>
        </w:rPr>
        <w:t>(</w:t>
      </w:r>
      <w:r w:rsidRPr="00432ABC">
        <w:rPr>
          <w:rFonts w:ascii="Verdana" w:hAnsi="Verdana"/>
          <w:sz w:val="16"/>
          <w:szCs w:val="16"/>
        </w:rPr>
        <w:t>f. 3234</w:t>
      </w:r>
      <w:r>
        <w:rPr>
          <w:rFonts w:ascii="Verdana" w:hAnsi="Verdana"/>
          <w:sz w:val="16"/>
          <w:szCs w:val="16"/>
        </w:rPr>
        <w:t>)</w:t>
      </w:r>
      <w:r w:rsidRPr="00432ABC">
        <w:rPr>
          <w:rFonts w:ascii="Verdana" w:hAnsi="Verdana"/>
          <w:sz w:val="16"/>
          <w:szCs w:val="16"/>
        </w:rPr>
        <w:t>.</w:t>
      </w:r>
    </w:p>
  </w:footnote>
  <w:footnote w:id="374">
    <w:p w14:paraId="583E9B6B" w14:textId="7D4327BF" w:rsidR="00146958" w:rsidRPr="00432ABC" w:rsidRDefault="00146958" w:rsidP="00DB378B">
      <w:pPr>
        <w:spacing w:after="0" w:line="240" w:lineRule="auto"/>
        <w:jc w:val="both"/>
        <w:rPr>
          <w:rFonts w:ascii="Verdana" w:hAnsi="Verdana"/>
          <w:sz w:val="16"/>
          <w:szCs w:val="16"/>
        </w:rPr>
      </w:pPr>
      <w:r w:rsidRPr="00432ABC">
        <w:rPr>
          <w:rStyle w:val="FootnoteReference"/>
          <w:rFonts w:ascii="Verdana" w:hAnsi="Verdana"/>
          <w:sz w:val="16"/>
          <w:szCs w:val="16"/>
        </w:rPr>
        <w:footnoteRef/>
      </w:r>
      <w:r w:rsidRPr="00432ABC">
        <w:rPr>
          <w:rFonts w:ascii="Verdana" w:hAnsi="Verdana"/>
          <w:sz w:val="16"/>
          <w:szCs w:val="16"/>
        </w:rPr>
        <w:t xml:space="preserve"> </w:t>
      </w:r>
      <w:r w:rsidRPr="00432ABC">
        <w:rPr>
          <w:rFonts w:ascii="Verdana" w:hAnsi="Verdana"/>
          <w:sz w:val="16"/>
          <w:szCs w:val="16"/>
        </w:rPr>
        <w:tab/>
      </w:r>
      <w:r w:rsidRPr="00CD5C54">
        <w:rPr>
          <w:rFonts w:ascii="Verdana" w:hAnsi="Verdana"/>
          <w:i/>
          <w:sz w:val="16"/>
          <w:szCs w:val="16"/>
        </w:rPr>
        <w:t>Cfr.</w:t>
      </w:r>
      <w:r w:rsidRPr="002C462C">
        <w:rPr>
          <w:rFonts w:ascii="Verdana" w:hAnsi="Verdana"/>
          <w:sz w:val="16"/>
          <w:szCs w:val="16"/>
        </w:rPr>
        <w:t xml:space="preserve"> CNDH, </w:t>
      </w:r>
      <w:r w:rsidRPr="00432ABC">
        <w:rPr>
          <w:rFonts w:ascii="Verdana" w:hAnsi="Verdana"/>
          <w:i/>
          <w:sz w:val="16"/>
          <w:szCs w:val="16"/>
        </w:rPr>
        <w:t>Informe de riesgo de 23 de marzo de 2018, s</w:t>
      </w:r>
      <w:r>
        <w:rPr>
          <w:rFonts w:ascii="Verdana" w:hAnsi="Verdana"/>
          <w:i/>
          <w:sz w:val="16"/>
          <w:szCs w:val="16"/>
        </w:rPr>
        <w:t>u</w:t>
      </w:r>
      <w:r w:rsidRPr="00432ABC">
        <w:rPr>
          <w:rFonts w:ascii="Verdana" w:hAnsi="Verdana"/>
          <w:i/>
          <w:sz w:val="16"/>
          <w:szCs w:val="16"/>
        </w:rPr>
        <w:t xml:space="preserve">pra, </w:t>
      </w:r>
      <w:r>
        <w:rPr>
          <w:rFonts w:ascii="Verdana" w:hAnsi="Verdana"/>
          <w:sz w:val="16"/>
          <w:szCs w:val="16"/>
        </w:rPr>
        <w:t>(</w:t>
      </w:r>
      <w:r w:rsidRPr="00432ABC">
        <w:rPr>
          <w:rFonts w:ascii="Verdana" w:hAnsi="Verdana"/>
          <w:sz w:val="16"/>
          <w:szCs w:val="16"/>
        </w:rPr>
        <w:t>f</w:t>
      </w:r>
      <w:r>
        <w:rPr>
          <w:rFonts w:ascii="Verdana" w:hAnsi="Verdana"/>
          <w:sz w:val="16"/>
          <w:szCs w:val="16"/>
        </w:rPr>
        <w:t>f</w:t>
      </w:r>
      <w:r w:rsidRPr="00432ABC">
        <w:rPr>
          <w:rFonts w:ascii="Verdana" w:hAnsi="Verdana"/>
          <w:sz w:val="16"/>
          <w:szCs w:val="16"/>
        </w:rPr>
        <w:t>. 3233 y 3236 a 3237</w:t>
      </w:r>
      <w:r>
        <w:rPr>
          <w:rFonts w:ascii="Verdana" w:hAnsi="Verdana"/>
          <w:sz w:val="16"/>
          <w:szCs w:val="16"/>
        </w:rPr>
        <w:t>)</w:t>
      </w:r>
      <w:r w:rsidRPr="00432ABC">
        <w:rPr>
          <w:rFonts w:ascii="Verdana" w:hAnsi="Verdana"/>
          <w:sz w:val="16"/>
          <w:szCs w:val="16"/>
        </w:rPr>
        <w:t xml:space="preserve">. </w:t>
      </w:r>
    </w:p>
  </w:footnote>
  <w:footnote w:id="375">
    <w:p w14:paraId="74DD2E7C" w14:textId="35808B2C" w:rsidR="00146958" w:rsidRPr="002C462C" w:rsidRDefault="00146958" w:rsidP="00432ABC">
      <w:pPr>
        <w:pStyle w:val="FootnoteText"/>
        <w:jc w:val="both"/>
        <w:rPr>
          <w:rFonts w:ascii="Verdana" w:hAnsi="Verdana"/>
          <w:sz w:val="16"/>
          <w:szCs w:val="16"/>
          <w:lang w:val="es-CR"/>
        </w:rPr>
      </w:pPr>
      <w:r w:rsidRPr="00432ABC">
        <w:rPr>
          <w:rStyle w:val="FootnoteReference"/>
          <w:rFonts w:ascii="Verdana" w:hAnsi="Verdana"/>
          <w:sz w:val="16"/>
          <w:szCs w:val="16"/>
        </w:rPr>
        <w:footnoteRef/>
      </w:r>
      <w:r w:rsidRPr="00432ABC">
        <w:rPr>
          <w:rFonts w:ascii="Verdana" w:hAnsi="Verdana"/>
          <w:sz w:val="16"/>
          <w:szCs w:val="16"/>
        </w:rPr>
        <w:t xml:space="preserve"> </w:t>
      </w:r>
      <w:r w:rsidRPr="002C462C">
        <w:rPr>
          <w:rFonts w:ascii="Verdana" w:hAnsi="Verdana"/>
          <w:sz w:val="16"/>
          <w:szCs w:val="16"/>
          <w:lang w:val="es-CR"/>
        </w:rPr>
        <w:tab/>
        <w:t>Disponibles en: http://www.corteidh.or.cr/cf/Jurisprudencia2/busqueda_medidas_provisionales.cfm?lang=es</w:t>
      </w:r>
    </w:p>
  </w:footnote>
  <w:footnote w:id="376">
    <w:p w14:paraId="73448391" w14:textId="0EC3F3BC" w:rsidR="00146958" w:rsidRPr="008D0846" w:rsidRDefault="00146958" w:rsidP="003564A3">
      <w:pPr>
        <w:pStyle w:val="FootnoteText"/>
        <w:jc w:val="both"/>
        <w:rPr>
          <w:rFonts w:ascii="Verdana" w:hAnsi="Verdana"/>
          <w:sz w:val="16"/>
          <w:szCs w:val="16"/>
          <w:lang w:val="es-CR"/>
        </w:rPr>
      </w:pPr>
      <w:r w:rsidRPr="008D0846">
        <w:rPr>
          <w:rStyle w:val="FootnoteReference"/>
          <w:rFonts w:ascii="Verdana" w:hAnsi="Verdana"/>
          <w:sz w:val="16"/>
          <w:szCs w:val="16"/>
        </w:rPr>
        <w:footnoteRef/>
      </w:r>
      <w:r w:rsidRPr="008D0846">
        <w:rPr>
          <w:rFonts w:ascii="Verdana" w:hAnsi="Verdana"/>
          <w:sz w:val="16"/>
          <w:szCs w:val="16"/>
        </w:rPr>
        <w:t xml:space="preserve"> </w:t>
      </w:r>
      <w:r w:rsidRPr="008D0846">
        <w:rPr>
          <w:rFonts w:ascii="Verdana" w:hAnsi="Verdana"/>
          <w:sz w:val="16"/>
          <w:szCs w:val="16"/>
        </w:rPr>
        <w:tab/>
      </w:r>
      <w:r w:rsidRPr="008D0846">
        <w:rPr>
          <w:rFonts w:ascii="Verdana" w:hAnsi="Verdana"/>
          <w:bCs/>
          <w:sz w:val="16"/>
          <w:szCs w:val="16"/>
          <w:lang w:val="es-CR"/>
        </w:rPr>
        <w:t>Artículo 3.  Derecho al Reconocimiento de la Personalidad Jurídica.</w:t>
      </w:r>
      <w:r w:rsidRPr="008D0846">
        <w:rPr>
          <w:rFonts w:ascii="Verdana" w:hAnsi="Verdana"/>
          <w:sz w:val="16"/>
          <w:szCs w:val="16"/>
          <w:lang w:val="es-CR"/>
        </w:rPr>
        <w:t> “Toda persona tiene derecho al reconocimiento de su personalidad jurídica”.</w:t>
      </w:r>
    </w:p>
  </w:footnote>
  <w:footnote w:id="377">
    <w:p w14:paraId="79162EB0" w14:textId="75E83E78" w:rsidR="00146958" w:rsidRPr="008D0846" w:rsidRDefault="00146958" w:rsidP="003564A3">
      <w:pPr>
        <w:pStyle w:val="FootnoteText"/>
        <w:jc w:val="both"/>
        <w:rPr>
          <w:rFonts w:ascii="Verdana" w:hAnsi="Verdana"/>
          <w:sz w:val="16"/>
          <w:szCs w:val="16"/>
          <w:lang w:val="es-CR"/>
        </w:rPr>
      </w:pPr>
      <w:r w:rsidRPr="008D0846">
        <w:rPr>
          <w:rStyle w:val="FootnoteReference"/>
          <w:rFonts w:ascii="Verdana" w:hAnsi="Verdana"/>
          <w:sz w:val="16"/>
          <w:szCs w:val="16"/>
        </w:rPr>
        <w:footnoteRef/>
      </w:r>
      <w:r w:rsidRPr="008D0846">
        <w:rPr>
          <w:rFonts w:ascii="Verdana" w:hAnsi="Verdana"/>
          <w:sz w:val="16"/>
          <w:szCs w:val="16"/>
        </w:rPr>
        <w:t xml:space="preserve"> </w:t>
      </w:r>
      <w:r w:rsidRPr="008D0846">
        <w:rPr>
          <w:rFonts w:ascii="Verdana" w:hAnsi="Verdana"/>
          <w:sz w:val="16"/>
          <w:szCs w:val="16"/>
        </w:rPr>
        <w:tab/>
      </w:r>
      <w:r w:rsidRPr="008D0846">
        <w:rPr>
          <w:rFonts w:ascii="Verdana" w:hAnsi="Verdana"/>
          <w:bCs/>
          <w:sz w:val="16"/>
          <w:szCs w:val="16"/>
          <w:lang w:val="es-CR"/>
        </w:rPr>
        <w:t>Artículo 4.  Derecho a la Vida. “</w:t>
      </w:r>
      <w:r w:rsidRPr="008D0846">
        <w:rPr>
          <w:rFonts w:ascii="Verdana" w:hAnsi="Verdana"/>
          <w:sz w:val="16"/>
          <w:szCs w:val="16"/>
          <w:lang w:val="es-CR"/>
        </w:rPr>
        <w:t>1. Toda persona tiene derecho a que se respete su vida.  Este derecho estará protegido por la ley y, en general, a partir del momento de la concepción.  Nadie puede ser privado de la vida arbitrariamente […]”.</w:t>
      </w:r>
    </w:p>
  </w:footnote>
  <w:footnote w:id="378">
    <w:p w14:paraId="591BAAB5" w14:textId="02C55D06" w:rsidR="00146958" w:rsidRPr="008D0846" w:rsidRDefault="00146958" w:rsidP="003564A3">
      <w:pPr>
        <w:pStyle w:val="FootnoteText"/>
        <w:jc w:val="both"/>
        <w:rPr>
          <w:rFonts w:ascii="Verdana" w:hAnsi="Verdana"/>
          <w:sz w:val="16"/>
          <w:szCs w:val="16"/>
          <w:lang w:val="es-CR"/>
        </w:rPr>
      </w:pPr>
      <w:r w:rsidRPr="008D0846">
        <w:rPr>
          <w:rStyle w:val="FootnoteReference"/>
          <w:rFonts w:ascii="Verdana" w:hAnsi="Verdana"/>
          <w:sz w:val="16"/>
          <w:szCs w:val="16"/>
        </w:rPr>
        <w:footnoteRef/>
      </w:r>
      <w:r w:rsidRPr="008D0846">
        <w:rPr>
          <w:rFonts w:ascii="Verdana" w:hAnsi="Verdana"/>
          <w:sz w:val="16"/>
          <w:szCs w:val="16"/>
        </w:rPr>
        <w:t xml:space="preserve"> </w:t>
      </w:r>
      <w:r w:rsidRPr="008D0846">
        <w:rPr>
          <w:rFonts w:ascii="Verdana" w:hAnsi="Verdana"/>
          <w:sz w:val="16"/>
          <w:szCs w:val="16"/>
        </w:rPr>
        <w:tab/>
      </w:r>
      <w:r w:rsidRPr="008D0846">
        <w:rPr>
          <w:rFonts w:ascii="Verdana" w:hAnsi="Verdana"/>
          <w:bCs/>
          <w:sz w:val="16"/>
          <w:szCs w:val="16"/>
          <w:lang w:val="es-CR"/>
        </w:rPr>
        <w:t>Artículo 5.  Derecho a la Integridad Personal. “</w:t>
      </w:r>
      <w:r w:rsidRPr="008D0846">
        <w:rPr>
          <w:rFonts w:ascii="Verdana" w:hAnsi="Verdana"/>
          <w:sz w:val="16"/>
          <w:szCs w:val="16"/>
          <w:lang w:val="es-CR"/>
        </w:rPr>
        <w:t>1. Toda persona tiene derecho a que se respete su integridad física, psíquica y moral. 2. Nadie debe ser sometido a torturas ni a penas o tratos crueles, inhumanos o degradantes.  Toda persona privada de libertad será tratada con el respeto debido a la dignidad inherente al ser humano […]”.</w:t>
      </w:r>
    </w:p>
  </w:footnote>
  <w:footnote w:id="379">
    <w:p w14:paraId="3AD51DC4" w14:textId="2374F650" w:rsidR="00146958" w:rsidRPr="008D0846" w:rsidRDefault="00146958" w:rsidP="003564A3">
      <w:pPr>
        <w:pStyle w:val="FootnoteText"/>
        <w:jc w:val="both"/>
        <w:rPr>
          <w:rFonts w:ascii="Verdana" w:hAnsi="Verdana"/>
          <w:sz w:val="16"/>
          <w:szCs w:val="16"/>
          <w:lang w:val="es-CR"/>
        </w:rPr>
      </w:pPr>
      <w:r w:rsidRPr="008D0846">
        <w:rPr>
          <w:rStyle w:val="FootnoteReference"/>
          <w:rFonts w:ascii="Verdana" w:hAnsi="Verdana"/>
          <w:sz w:val="16"/>
          <w:szCs w:val="16"/>
        </w:rPr>
        <w:footnoteRef/>
      </w:r>
      <w:r w:rsidRPr="008D0846">
        <w:rPr>
          <w:rFonts w:ascii="Verdana" w:hAnsi="Verdana"/>
          <w:sz w:val="16"/>
          <w:szCs w:val="16"/>
        </w:rPr>
        <w:t xml:space="preserve"> </w:t>
      </w:r>
      <w:r w:rsidRPr="008D0846">
        <w:rPr>
          <w:rFonts w:ascii="Verdana" w:hAnsi="Verdana"/>
          <w:sz w:val="16"/>
          <w:szCs w:val="16"/>
        </w:rPr>
        <w:tab/>
      </w:r>
      <w:r w:rsidRPr="008D0846">
        <w:rPr>
          <w:rFonts w:ascii="Verdana" w:hAnsi="Verdana" w:cs="Tahoma"/>
          <w:bCs/>
          <w:color w:val="000000"/>
          <w:sz w:val="16"/>
          <w:szCs w:val="16"/>
          <w:lang w:val="es-CR"/>
        </w:rPr>
        <w:t>Artículo 7.  Derecho a la Libertad Personal. “</w:t>
      </w:r>
      <w:r w:rsidRPr="008D0846">
        <w:rPr>
          <w:rFonts w:ascii="Verdana" w:hAnsi="Verdana"/>
          <w:sz w:val="16"/>
          <w:szCs w:val="16"/>
          <w:lang w:val="es-CR"/>
        </w:rPr>
        <w:t>1. Toda persona tiene derecho a la libertad y a la seguridad personal. 2. Nadie puede ser privado de su libertad física, salvo por las causas y en las condiciones fijadas de antemano por las Constituciones Políticas de los Estados Partes o por las leyes dictadas conforme a ellas. 3. Nadie puede ser sometido a detención o encarcelamiento arbitrarios […]”.</w:t>
      </w:r>
    </w:p>
  </w:footnote>
  <w:footnote w:id="380">
    <w:p w14:paraId="6E078301" w14:textId="1B756515" w:rsidR="00146958" w:rsidRPr="003564A3" w:rsidRDefault="00146958" w:rsidP="003564A3">
      <w:pPr>
        <w:pStyle w:val="FootnoteText"/>
        <w:jc w:val="both"/>
        <w:rPr>
          <w:lang w:val="es-CR"/>
        </w:rPr>
      </w:pPr>
      <w:r w:rsidRPr="008D0846">
        <w:rPr>
          <w:rStyle w:val="FootnoteReference"/>
          <w:rFonts w:ascii="Verdana" w:hAnsi="Verdana"/>
          <w:sz w:val="16"/>
          <w:szCs w:val="16"/>
        </w:rPr>
        <w:footnoteRef/>
      </w:r>
      <w:r w:rsidRPr="008D0846">
        <w:rPr>
          <w:rFonts w:ascii="Verdana" w:hAnsi="Verdana"/>
          <w:sz w:val="16"/>
          <w:szCs w:val="16"/>
        </w:rPr>
        <w:t xml:space="preserve"> </w:t>
      </w:r>
      <w:r w:rsidRPr="008D0846">
        <w:rPr>
          <w:rFonts w:ascii="Verdana" w:hAnsi="Verdana"/>
          <w:sz w:val="16"/>
          <w:szCs w:val="16"/>
        </w:rPr>
        <w:tab/>
      </w:r>
      <w:r w:rsidRPr="008D0846">
        <w:rPr>
          <w:rFonts w:ascii="Verdana" w:hAnsi="Verdana" w:cs="Tahoma"/>
          <w:bCs/>
          <w:color w:val="000000"/>
          <w:sz w:val="16"/>
          <w:szCs w:val="16"/>
        </w:rPr>
        <w:t xml:space="preserve">Artículo </w:t>
      </w:r>
      <w:r w:rsidRPr="008D0846">
        <w:rPr>
          <w:rFonts w:ascii="Verdana" w:hAnsi="Verdana"/>
          <w:bCs/>
          <w:sz w:val="16"/>
          <w:szCs w:val="16"/>
          <w:lang w:val="es-ES"/>
        </w:rPr>
        <w:t>I.  “</w:t>
      </w:r>
      <w:r w:rsidRPr="008D0846">
        <w:rPr>
          <w:rFonts w:ascii="Verdana" w:hAnsi="Verdana"/>
          <w:sz w:val="16"/>
          <w:szCs w:val="16"/>
          <w:lang w:val="es-ES"/>
        </w:rPr>
        <w:t>Los Estados Partes en esta Convención se comprometen a: a) No practicar, no permitir, ni tolerar la desaparición forzada de personas, ni aun en estado de emergencia, excepción o suspensión de garantías individuales</w:t>
      </w:r>
      <w:r w:rsidRPr="008D0846">
        <w:rPr>
          <w:rFonts w:ascii="Verdana" w:hAnsi="Verdana" w:cs="Tahoma"/>
          <w:color w:val="000000"/>
          <w:sz w:val="16"/>
          <w:szCs w:val="16"/>
          <w:lang w:val="es-ES"/>
        </w:rPr>
        <w:t xml:space="preserve"> […]”.</w:t>
      </w:r>
    </w:p>
  </w:footnote>
  <w:footnote w:id="381">
    <w:p w14:paraId="241C976A" w14:textId="2B138F0A" w:rsidR="00146958" w:rsidRPr="000B4870" w:rsidRDefault="00146958">
      <w:pPr>
        <w:pStyle w:val="FootnoteText"/>
        <w:tabs>
          <w:tab w:val="left" w:pos="426"/>
        </w:tabs>
        <w:jc w:val="both"/>
        <w:rPr>
          <w:rFonts w:ascii="Verdana" w:hAnsi="Verdana"/>
          <w:bCs/>
          <w:sz w:val="16"/>
          <w:szCs w:val="16"/>
        </w:rPr>
      </w:pPr>
      <w:r w:rsidRPr="00432ABC">
        <w:rPr>
          <w:rStyle w:val="FootnoteReference"/>
          <w:rFonts w:ascii="Verdana" w:eastAsia="Calibri" w:hAnsi="Verdana"/>
          <w:sz w:val="16"/>
          <w:szCs w:val="16"/>
        </w:rPr>
        <w:footnoteRef/>
      </w:r>
      <w:r w:rsidRPr="00432ABC">
        <w:rPr>
          <w:rFonts w:ascii="Verdana" w:hAnsi="Verdana"/>
          <w:sz w:val="16"/>
          <w:szCs w:val="16"/>
        </w:rPr>
        <w:t xml:space="preserve"> </w:t>
      </w:r>
      <w:r w:rsidRPr="00432ABC">
        <w:rPr>
          <w:rFonts w:ascii="Verdana" w:hAnsi="Verdana"/>
          <w:sz w:val="16"/>
          <w:szCs w:val="16"/>
        </w:rPr>
        <w:tab/>
      </w:r>
      <w:r w:rsidRPr="00CD5C54">
        <w:rPr>
          <w:rFonts w:ascii="Verdana" w:hAnsi="Verdana" w:cs="Arial"/>
          <w:i/>
          <w:sz w:val="16"/>
          <w:szCs w:val="16"/>
        </w:rPr>
        <w:t>Cfr.</w:t>
      </w:r>
      <w:r w:rsidRPr="002C462C">
        <w:rPr>
          <w:rFonts w:ascii="Verdana" w:hAnsi="Verdana" w:cs="Arial"/>
          <w:i/>
          <w:sz w:val="16"/>
          <w:szCs w:val="16"/>
        </w:rPr>
        <w:t>, inter alia</w:t>
      </w:r>
      <w:r w:rsidRPr="002C462C">
        <w:rPr>
          <w:rFonts w:ascii="Verdana" w:hAnsi="Verdana" w:cs="Arial"/>
          <w:sz w:val="16"/>
          <w:szCs w:val="16"/>
        </w:rPr>
        <w:t xml:space="preserve">, </w:t>
      </w:r>
      <w:r w:rsidRPr="000B4870">
        <w:rPr>
          <w:rFonts w:ascii="Verdana" w:hAnsi="Verdana"/>
          <w:i/>
          <w:sz w:val="16"/>
          <w:szCs w:val="16"/>
        </w:rPr>
        <w:t xml:space="preserve">Caso Velásquez Rodríguez Vs. Honduras. </w:t>
      </w:r>
      <w:r w:rsidRPr="00E31399">
        <w:rPr>
          <w:rFonts w:ascii="Verdana" w:hAnsi="Verdana"/>
          <w:i/>
          <w:sz w:val="16"/>
          <w:szCs w:val="16"/>
          <w:lang w:val="es-ES"/>
        </w:rPr>
        <w:t>Fondo.</w:t>
      </w:r>
      <w:r w:rsidRPr="00E31399">
        <w:rPr>
          <w:rFonts w:ascii="Verdana" w:hAnsi="Verdana"/>
          <w:sz w:val="16"/>
          <w:szCs w:val="16"/>
          <w:lang w:val="es-ES"/>
        </w:rPr>
        <w:t xml:space="preserve"> </w:t>
      </w:r>
      <w:r>
        <w:rPr>
          <w:rFonts w:ascii="Verdana" w:hAnsi="Verdana"/>
          <w:i/>
          <w:sz w:val="16"/>
          <w:szCs w:val="16"/>
          <w:lang w:val="es-ES"/>
        </w:rPr>
        <w:t>S</w:t>
      </w:r>
      <w:r w:rsidRPr="008D0846">
        <w:rPr>
          <w:rFonts w:ascii="Verdana" w:hAnsi="Verdana"/>
          <w:i/>
          <w:sz w:val="16"/>
          <w:szCs w:val="16"/>
          <w:lang w:val="es-ES"/>
        </w:rPr>
        <w:t>upra</w:t>
      </w:r>
      <w:r w:rsidRPr="00E31399">
        <w:rPr>
          <w:rFonts w:ascii="Verdana" w:hAnsi="Verdana"/>
          <w:sz w:val="16"/>
          <w:szCs w:val="16"/>
          <w:lang w:val="es-ES"/>
        </w:rPr>
        <w:t xml:space="preserve">, </w:t>
      </w:r>
      <w:r w:rsidRPr="00E31399">
        <w:rPr>
          <w:rFonts w:ascii="Verdana" w:hAnsi="Verdana"/>
          <w:noProof/>
          <w:sz w:val="16"/>
          <w:szCs w:val="16"/>
        </w:rPr>
        <w:t xml:space="preserve">párrs. 155 a 157, y </w:t>
      </w:r>
      <w:r w:rsidRPr="008D0846">
        <w:rPr>
          <w:rFonts w:ascii="Verdana" w:hAnsi="Verdana"/>
          <w:bCs/>
          <w:i/>
          <w:color w:val="000000"/>
          <w:sz w:val="16"/>
          <w:szCs w:val="16"/>
          <w:shd w:val="clear" w:color="auto" w:fill="FFFFFF"/>
        </w:rPr>
        <w:t xml:space="preserve">Caso Terrones Silva y otros Vs. Perú. Excepciones Preliminares, Fondo, Reparaciones y Costas. </w:t>
      </w:r>
      <w:r w:rsidRPr="008D0846">
        <w:rPr>
          <w:rFonts w:ascii="Verdana" w:hAnsi="Verdana"/>
          <w:bCs/>
          <w:color w:val="000000"/>
          <w:sz w:val="16"/>
          <w:szCs w:val="16"/>
          <w:shd w:val="clear" w:color="auto" w:fill="FFFFFF"/>
        </w:rPr>
        <w:t>Sentencia de 26 de septiembre de 2018. Serie C No. 360</w:t>
      </w:r>
      <w:r w:rsidRPr="000B4870">
        <w:rPr>
          <w:rFonts w:ascii="Verdana" w:hAnsi="Verdana"/>
          <w:bCs/>
          <w:color w:val="000000"/>
          <w:sz w:val="16"/>
          <w:szCs w:val="16"/>
          <w:shd w:val="clear" w:color="auto" w:fill="FFFFFF"/>
        </w:rPr>
        <w:t>, p</w:t>
      </w:r>
      <w:r w:rsidRPr="00E31399">
        <w:rPr>
          <w:rFonts w:ascii="Verdana" w:hAnsi="Verdana"/>
          <w:bCs/>
          <w:color w:val="000000"/>
          <w:sz w:val="16"/>
          <w:szCs w:val="16"/>
          <w:shd w:val="clear" w:color="auto" w:fill="FFFFFF"/>
        </w:rPr>
        <w:t>árr. 134</w:t>
      </w:r>
      <w:r w:rsidRPr="00E31399">
        <w:rPr>
          <w:rStyle w:val="Strong"/>
          <w:rFonts w:ascii="Verdana" w:hAnsi="Verdana"/>
          <w:b w:val="0"/>
          <w:color w:val="000000"/>
          <w:sz w:val="16"/>
          <w:szCs w:val="16"/>
          <w:shd w:val="clear" w:color="auto" w:fill="FFFFFF"/>
        </w:rPr>
        <w:t>.</w:t>
      </w:r>
    </w:p>
  </w:footnote>
  <w:footnote w:id="382">
    <w:p w14:paraId="77E9800B" w14:textId="0487EEFC" w:rsidR="00146958" w:rsidRPr="00432ABC" w:rsidRDefault="00146958">
      <w:pPr>
        <w:tabs>
          <w:tab w:val="left" w:pos="426"/>
        </w:tabs>
        <w:autoSpaceDE w:val="0"/>
        <w:autoSpaceDN w:val="0"/>
        <w:adjustRightInd w:val="0"/>
        <w:spacing w:after="0" w:line="240" w:lineRule="auto"/>
        <w:contextualSpacing/>
        <w:jc w:val="both"/>
        <w:rPr>
          <w:rFonts w:ascii="Verdana" w:hAnsi="Verdana"/>
          <w:sz w:val="16"/>
          <w:szCs w:val="16"/>
        </w:rPr>
      </w:pPr>
      <w:r w:rsidRPr="003D4976">
        <w:rPr>
          <w:rStyle w:val="FootnoteReference"/>
          <w:rFonts w:ascii="Verdana" w:hAnsi="Verdana"/>
          <w:sz w:val="16"/>
          <w:szCs w:val="16"/>
        </w:rPr>
        <w:footnoteRef/>
      </w:r>
      <w:r w:rsidRPr="00425B6A">
        <w:rPr>
          <w:rFonts w:ascii="Verdana" w:hAnsi="Verdana"/>
          <w:sz w:val="16"/>
          <w:szCs w:val="16"/>
        </w:rPr>
        <w:t xml:space="preserve"> </w:t>
      </w:r>
      <w:r w:rsidRPr="00425B6A">
        <w:rPr>
          <w:rFonts w:ascii="Verdana" w:hAnsi="Verdana"/>
          <w:sz w:val="16"/>
          <w:szCs w:val="16"/>
        </w:rPr>
        <w:tab/>
      </w:r>
      <w:r w:rsidRPr="00425B6A">
        <w:rPr>
          <w:rFonts w:ascii="Verdana" w:hAnsi="Verdana"/>
          <w:sz w:val="16"/>
          <w:szCs w:val="16"/>
        </w:rPr>
        <w:tab/>
      </w:r>
      <w:r w:rsidRPr="00CD5C54">
        <w:rPr>
          <w:rFonts w:ascii="Verdana" w:hAnsi="Verdana"/>
          <w:i/>
          <w:sz w:val="16"/>
          <w:szCs w:val="16"/>
        </w:rPr>
        <w:t>Cfr.</w:t>
      </w:r>
      <w:r w:rsidRPr="00432ABC">
        <w:rPr>
          <w:rFonts w:ascii="Verdana" w:hAnsi="Verdana"/>
          <w:sz w:val="16"/>
          <w:szCs w:val="16"/>
        </w:rPr>
        <w:t xml:space="preserve"> </w:t>
      </w:r>
      <w:r w:rsidRPr="00432ABC">
        <w:rPr>
          <w:rFonts w:ascii="Verdana" w:hAnsi="Verdana"/>
          <w:i/>
          <w:sz w:val="16"/>
          <w:szCs w:val="16"/>
        </w:rPr>
        <w:t>Caso Heliodoro Portugal Vs. Panamá</w:t>
      </w:r>
      <w:r w:rsidRPr="00432ABC">
        <w:rPr>
          <w:rFonts w:ascii="Verdana" w:hAnsi="Verdana"/>
          <w:sz w:val="16"/>
          <w:szCs w:val="16"/>
          <w:lang w:bidi="en-US"/>
        </w:rPr>
        <w:t xml:space="preserve">. </w:t>
      </w:r>
      <w:r w:rsidRPr="00432ABC">
        <w:rPr>
          <w:rFonts w:ascii="Verdana" w:hAnsi="Verdana"/>
          <w:i/>
          <w:sz w:val="16"/>
          <w:szCs w:val="16"/>
          <w:lang w:bidi="en-US"/>
        </w:rPr>
        <w:t xml:space="preserve">Excepciones Preliminares, Fondo, Reparaciones y Costas. </w:t>
      </w:r>
      <w:r w:rsidRPr="00432ABC">
        <w:rPr>
          <w:rFonts w:ascii="Verdana" w:hAnsi="Verdana"/>
          <w:sz w:val="16"/>
          <w:szCs w:val="16"/>
          <w:lang w:bidi="en-US"/>
        </w:rPr>
        <w:t>Sentencia de 12 de agosto de 2008. Serie C No. 186, párr. 112</w:t>
      </w:r>
      <w:r w:rsidRPr="00432ABC">
        <w:rPr>
          <w:rFonts w:ascii="Verdana" w:hAnsi="Verdana"/>
          <w:noProof/>
          <w:sz w:val="16"/>
          <w:szCs w:val="16"/>
        </w:rPr>
        <w:t xml:space="preserve">, y </w:t>
      </w:r>
      <w:r w:rsidRPr="008D0846">
        <w:rPr>
          <w:rFonts w:ascii="Verdana" w:eastAsiaTheme="majorEastAsia" w:hAnsi="Verdana"/>
          <w:bCs/>
          <w:i/>
          <w:color w:val="000000"/>
          <w:sz w:val="16"/>
          <w:szCs w:val="16"/>
          <w:shd w:val="clear" w:color="auto" w:fill="FFFFFF"/>
        </w:rPr>
        <w:t>Caso Terrones Silva y otros Vs. Perú</w:t>
      </w:r>
      <w:r>
        <w:rPr>
          <w:rFonts w:ascii="Verdana" w:eastAsiaTheme="majorEastAsia" w:hAnsi="Verdana"/>
          <w:bCs/>
          <w:color w:val="000000"/>
          <w:sz w:val="16"/>
          <w:szCs w:val="16"/>
          <w:shd w:val="clear" w:color="auto" w:fill="FFFFFF"/>
        </w:rPr>
        <w:t xml:space="preserve">, </w:t>
      </w:r>
      <w:r>
        <w:rPr>
          <w:rFonts w:ascii="Verdana" w:eastAsiaTheme="majorEastAsia" w:hAnsi="Verdana"/>
          <w:bCs/>
          <w:i/>
          <w:color w:val="000000"/>
          <w:sz w:val="16"/>
          <w:szCs w:val="16"/>
          <w:shd w:val="clear" w:color="auto" w:fill="FFFFFF"/>
        </w:rPr>
        <w:t>supra</w:t>
      </w:r>
      <w:r>
        <w:rPr>
          <w:rFonts w:ascii="Verdana" w:eastAsiaTheme="majorEastAsia" w:hAnsi="Verdana"/>
          <w:bCs/>
          <w:color w:val="000000"/>
          <w:sz w:val="16"/>
          <w:szCs w:val="16"/>
          <w:shd w:val="clear" w:color="auto" w:fill="FFFFFF"/>
        </w:rPr>
        <w:t>, párr. 134.</w:t>
      </w:r>
    </w:p>
  </w:footnote>
  <w:footnote w:id="383">
    <w:p w14:paraId="53E20B39" w14:textId="7814D2F9" w:rsidR="00146958" w:rsidRPr="00432ABC" w:rsidRDefault="00146958">
      <w:pPr>
        <w:tabs>
          <w:tab w:val="left" w:pos="426"/>
        </w:tabs>
        <w:autoSpaceDE w:val="0"/>
        <w:autoSpaceDN w:val="0"/>
        <w:adjustRightInd w:val="0"/>
        <w:spacing w:after="0" w:line="240" w:lineRule="auto"/>
        <w:contextualSpacing/>
        <w:jc w:val="both"/>
        <w:rPr>
          <w:rFonts w:ascii="Verdana" w:hAnsi="Verdana"/>
          <w:sz w:val="16"/>
          <w:szCs w:val="16"/>
        </w:rPr>
      </w:pPr>
      <w:r w:rsidRPr="00432ABC">
        <w:rPr>
          <w:rStyle w:val="FootnoteReference"/>
          <w:rFonts w:ascii="Verdana" w:hAnsi="Verdana"/>
          <w:sz w:val="16"/>
          <w:szCs w:val="16"/>
        </w:rPr>
        <w:footnoteRef/>
      </w:r>
      <w:r w:rsidRPr="00432ABC">
        <w:rPr>
          <w:rFonts w:ascii="Verdana" w:hAnsi="Verdana"/>
          <w:sz w:val="16"/>
          <w:szCs w:val="16"/>
        </w:rPr>
        <w:t xml:space="preserve"> </w:t>
      </w:r>
      <w:r w:rsidRPr="002C462C">
        <w:rPr>
          <w:rFonts w:ascii="Verdana" w:hAnsi="Verdana"/>
          <w:sz w:val="16"/>
          <w:szCs w:val="16"/>
        </w:rPr>
        <w:tab/>
      </w:r>
      <w:r w:rsidRPr="002C462C">
        <w:rPr>
          <w:rFonts w:ascii="Verdana" w:hAnsi="Verdana"/>
          <w:sz w:val="16"/>
          <w:szCs w:val="16"/>
        </w:rPr>
        <w:tab/>
      </w:r>
      <w:r w:rsidRPr="00CD5C54">
        <w:rPr>
          <w:rFonts w:ascii="Verdana" w:hAnsi="Verdana"/>
          <w:i/>
          <w:sz w:val="16"/>
          <w:szCs w:val="16"/>
        </w:rPr>
        <w:t>Cfr.</w:t>
      </w:r>
      <w:r w:rsidRPr="00432ABC">
        <w:rPr>
          <w:rFonts w:ascii="Verdana" w:hAnsi="Verdana"/>
          <w:sz w:val="16"/>
          <w:szCs w:val="16"/>
        </w:rPr>
        <w:t xml:space="preserve"> </w:t>
      </w:r>
      <w:r w:rsidRPr="00432ABC">
        <w:rPr>
          <w:rFonts w:ascii="Verdana" w:hAnsi="Verdana"/>
          <w:i/>
          <w:sz w:val="16"/>
          <w:szCs w:val="16"/>
        </w:rPr>
        <w:t>Caso Goiburú y otros Vs. Paraguay. Fondo, Reparaciones y Costas</w:t>
      </w:r>
      <w:r w:rsidRPr="00432ABC">
        <w:rPr>
          <w:rFonts w:ascii="Verdana" w:hAnsi="Verdana"/>
          <w:sz w:val="16"/>
          <w:szCs w:val="16"/>
        </w:rPr>
        <w:t>. Sentencia de 22 de septiembre de 2006. Serie C No. 153, párr. 85, y</w:t>
      </w:r>
      <w:r w:rsidRPr="00432ABC">
        <w:rPr>
          <w:rFonts w:ascii="Verdana" w:hAnsi="Verdana"/>
          <w:noProof/>
          <w:sz w:val="16"/>
          <w:szCs w:val="16"/>
        </w:rPr>
        <w:t xml:space="preserve"> </w:t>
      </w:r>
      <w:r w:rsidRPr="008D0846">
        <w:rPr>
          <w:rFonts w:ascii="Verdana" w:eastAsiaTheme="majorEastAsia" w:hAnsi="Verdana"/>
          <w:bCs/>
          <w:i/>
          <w:color w:val="000000"/>
          <w:sz w:val="16"/>
          <w:szCs w:val="16"/>
          <w:shd w:val="clear" w:color="auto" w:fill="FFFFFF"/>
        </w:rPr>
        <w:t>Caso Terrones Silva y otros Vs. Perú</w:t>
      </w:r>
      <w:r>
        <w:rPr>
          <w:rFonts w:ascii="Verdana" w:eastAsiaTheme="majorEastAsia" w:hAnsi="Verdana"/>
          <w:bCs/>
          <w:color w:val="000000"/>
          <w:sz w:val="16"/>
          <w:szCs w:val="16"/>
          <w:shd w:val="clear" w:color="auto" w:fill="FFFFFF"/>
        </w:rPr>
        <w:t xml:space="preserve">, </w:t>
      </w:r>
      <w:r>
        <w:rPr>
          <w:rFonts w:ascii="Verdana" w:eastAsiaTheme="majorEastAsia" w:hAnsi="Verdana"/>
          <w:bCs/>
          <w:i/>
          <w:color w:val="000000"/>
          <w:sz w:val="16"/>
          <w:szCs w:val="16"/>
          <w:shd w:val="clear" w:color="auto" w:fill="FFFFFF"/>
        </w:rPr>
        <w:t>supra</w:t>
      </w:r>
      <w:r>
        <w:rPr>
          <w:rFonts w:ascii="Verdana" w:eastAsiaTheme="majorEastAsia" w:hAnsi="Verdana"/>
          <w:bCs/>
          <w:color w:val="000000"/>
          <w:sz w:val="16"/>
          <w:szCs w:val="16"/>
          <w:shd w:val="clear" w:color="auto" w:fill="FFFFFF"/>
        </w:rPr>
        <w:t>, párr. 134.</w:t>
      </w:r>
    </w:p>
  </w:footnote>
  <w:footnote w:id="384">
    <w:p w14:paraId="64AA62C7" w14:textId="4AB2CB80" w:rsidR="00146958" w:rsidRPr="00432ABC" w:rsidRDefault="00146958">
      <w:pPr>
        <w:pStyle w:val="FootnoteText"/>
        <w:jc w:val="both"/>
        <w:rPr>
          <w:rFonts w:ascii="Verdana" w:hAnsi="Verdana"/>
          <w:sz w:val="16"/>
          <w:szCs w:val="16"/>
        </w:rPr>
      </w:pPr>
      <w:r w:rsidRPr="00432ABC">
        <w:rPr>
          <w:rStyle w:val="FootnoteReference"/>
          <w:rFonts w:ascii="Verdana" w:hAnsi="Verdana"/>
          <w:sz w:val="16"/>
          <w:szCs w:val="16"/>
        </w:rPr>
        <w:footnoteRef/>
      </w:r>
      <w:r w:rsidRPr="00432ABC">
        <w:rPr>
          <w:rFonts w:ascii="Verdana" w:hAnsi="Verdana"/>
          <w:sz w:val="16"/>
          <w:szCs w:val="16"/>
        </w:rPr>
        <w:t xml:space="preserve"> </w:t>
      </w:r>
      <w:r w:rsidRPr="002C462C">
        <w:rPr>
          <w:rFonts w:ascii="Verdana" w:hAnsi="Verdana"/>
          <w:sz w:val="16"/>
          <w:szCs w:val="16"/>
        </w:rPr>
        <w:tab/>
      </w:r>
      <w:r w:rsidRPr="00CD5C54">
        <w:rPr>
          <w:rFonts w:ascii="Verdana" w:hAnsi="Verdana"/>
          <w:i/>
          <w:sz w:val="16"/>
          <w:szCs w:val="16"/>
        </w:rPr>
        <w:t>Cfr.</w:t>
      </w:r>
      <w:r w:rsidRPr="00432ABC">
        <w:rPr>
          <w:rFonts w:ascii="Verdana" w:hAnsi="Verdana"/>
          <w:sz w:val="16"/>
          <w:szCs w:val="16"/>
        </w:rPr>
        <w:t xml:space="preserve"> </w:t>
      </w:r>
      <w:r w:rsidRPr="008D0846">
        <w:rPr>
          <w:rFonts w:ascii="Verdana" w:hAnsi="Verdana"/>
          <w:i/>
          <w:sz w:val="16"/>
          <w:szCs w:val="16"/>
        </w:rPr>
        <w:t>Caso Velásquez Rodríguez Vs. Honduras. Fondo</w:t>
      </w:r>
      <w:r w:rsidRPr="00432ABC">
        <w:rPr>
          <w:rFonts w:ascii="Verdana" w:hAnsi="Verdana"/>
          <w:sz w:val="16"/>
          <w:szCs w:val="16"/>
        </w:rPr>
        <w:t xml:space="preserve">, </w:t>
      </w:r>
      <w:r w:rsidRPr="00432ABC">
        <w:rPr>
          <w:rFonts w:ascii="Verdana" w:hAnsi="Verdana"/>
          <w:i/>
          <w:sz w:val="16"/>
          <w:szCs w:val="16"/>
        </w:rPr>
        <w:t>supra</w:t>
      </w:r>
      <w:r w:rsidRPr="00432ABC">
        <w:rPr>
          <w:rFonts w:ascii="Verdana" w:hAnsi="Verdana"/>
          <w:sz w:val="16"/>
          <w:szCs w:val="16"/>
        </w:rPr>
        <w:t xml:space="preserve">, párr. 173; párr. 144, y </w:t>
      </w:r>
      <w:r w:rsidRPr="008D0846">
        <w:rPr>
          <w:rFonts w:ascii="Verdana" w:hAnsi="Verdana"/>
          <w:bCs/>
          <w:i/>
          <w:sz w:val="16"/>
          <w:szCs w:val="16"/>
        </w:rPr>
        <w:t>Caso Terrones Silva y otros Vs. Perú,</w:t>
      </w:r>
      <w:r w:rsidRPr="006B1F64">
        <w:rPr>
          <w:rFonts w:ascii="Verdana" w:hAnsi="Verdana"/>
          <w:bCs/>
          <w:sz w:val="16"/>
          <w:szCs w:val="16"/>
        </w:rPr>
        <w:t xml:space="preserve"> </w:t>
      </w:r>
      <w:r w:rsidRPr="006B1F64">
        <w:rPr>
          <w:rFonts w:ascii="Verdana" w:hAnsi="Verdana"/>
          <w:bCs/>
          <w:i/>
          <w:sz w:val="16"/>
          <w:szCs w:val="16"/>
        </w:rPr>
        <w:t>supra</w:t>
      </w:r>
      <w:r w:rsidRPr="006B1F64">
        <w:rPr>
          <w:rFonts w:ascii="Verdana" w:hAnsi="Verdana"/>
          <w:bCs/>
          <w:sz w:val="16"/>
          <w:szCs w:val="16"/>
        </w:rPr>
        <w:t xml:space="preserve">, párr. </w:t>
      </w:r>
      <w:r w:rsidRPr="00432ABC">
        <w:rPr>
          <w:rFonts w:ascii="Verdana" w:hAnsi="Verdana"/>
          <w:sz w:val="16"/>
          <w:szCs w:val="16"/>
        </w:rPr>
        <w:t>138.</w:t>
      </w:r>
    </w:p>
  </w:footnote>
  <w:footnote w:id="385">
    <w:p w14:paraId="64AA62CA" w14:textId="550FE50A" w:rsidR="00146958" w:rsidRPr="00432ABC" w:rsidRDefault="00146958">
      <w:pPr>
        <w:pStyle w:val="FootnoteText"/>
        <w:jc w:val="both"/>
        <w:rPr>
          <w:rFonts w:ascii="Verdana" w:hAnsi="Verdana"/>
          <w:sz w:val="16"/>
          <w:szCs w:val="16"/>
        </w:rPr>
      </w:pPr>
      <w:r w:rsidRPr="00432ABC">
        <w:rPr>
          <w:rStyle w:val="FootnoteReference"/>
          <w:rFonts w:ascii="Verdana" w:hAnsi="Verdana"/>
          <w:sz w:val="16"/>
          <w:szCs w:val="16"/>
        </w:rPr>
        <w:footnoteRef/>
      </w:r>
      <w:r w:rsidRPr="00432ABC">
        <w:rPr>
          <w:rFonts w:ascii="Verdana" w:hAnsi="Verdana"/>
          <w:sz w:val="16"/>
          <w:szCs w:val="16"/>
        </w:rPr>
        <w:t xml:space="preserve"> </w:t>
      </w:r>
      <w:r w:rsidRPr="00432ABC">
        <w:rPr>
          <w:rFonts w:ascii="Verdana" w:hAnsi="Verdana"/>
          <w:sz w:val="16"/>
          <w:szCs w:val="16"/>
        </w:rPr>
        <w:tab/>
      </w:r>
      <w:r w:rsidRPr="00CD5C54">
        <w:rPr>
          <w:rFonts w:ascii="Verdana" w:hAnsi="Verdana"/>
          <w:i/>
          <w:sz w:val="16"/>
          <w:szCs w:val="16"/>
          <w:lang w:val="es-CR"/>
        </w:rPr>
        <w:t>Cfr.</w:t>
      </w:r>
      <w:r w:rsidRPr="002C462C">
        <w:rPr>
          <w:rFonts w:ascii="Verdana" w:hAnsi="Verdana"/>
          <w:sz w:val="16"/>
          <w:szCs w:val="16"/>
          <w:lang w:val="es-CR"/>
        </w:rPr>
        <w:t xml:space="preserve"> </w:t>
      </w:r>
      <w:r w:rsidRPr="008D0846">
        <w:rPr>
          <w:rFonts w:ascii="Verdana" w:hAnsi="Verdana"/>
          <w:i/>
          <w:sz w:val="16"/>
          <w:szCs w:val="16"/>
          <w:lang w:val="es-CR"/>
        </w:rPr>
        <w:t>Caso Velásquez Rodríguez</w:t>
      </w:r>
      <w:r w:rsidRPr="008D0846">
        <w:rPr>
          <w:rFonts w:ascii="Verdana" w:hAnsi="Verdana"/>
          <w:bCs/>
          <w:i/>
          <w:sz w:val="16"/>
          <w:szCs w:val="16"/>
        </w:rPr>
        <w:t xml:space="preserve"> Vs. Honduras</w:t>
      </w:r>
      <w:r>
        <w:rPr>
          <w:rFonts w:ascii="Verdana" w:hAnsi="Verdana"/>
          <w:i/>
          <w:sz w:val="16"/>
          <w:szCs w:val="16"/>
        </w:rPr>
        <w:t>,</w:t>
      </w:r>
      <w:r w:rsidRPr="00DA4056">
        <w:rPr>
          <w:rFonts w:ascii="Verdana" w:hAnsi="Verdana"/>
          <w:i/>
          <w:sz w:val="16"/>
          <w:szCs w:val="16"/>
        </w:rPr>
        <w:t xml:space="preserve"> </w:t>
      </w:r>
      <w:r>
        <w:rPr>
          <w:rFonts w:ascii="Verdana" w:hAnsi="Verdana"/>
          <w:i/>
          <w:sz w:val="16"/>
          <w:szCs w:val="16"/>
        </w:rPr>
        <w:t xml:space="preserve">Fondo, </w:t>
      </w:r>
      <w:r w:rsidRPr="00DA4056">
        <w:rPr>
          <w:rFonts w:ascii="Verdana" w:hAnsi="Verdana"/>
          <w:i/>
          <w:sz w:val="16"/>
          <w:szCs w:val="16"/>
        </w:rPr>
        <w:t>supra</w:t>
      </w:r>
      <w:r w:rsidRPr="00432ABC">
        <w:rPr>
          <w:rFonts w:ascii="Verdana" w:hAnsi="Verdana"/>
          <w:sz w:val="16"/>
          <w:szCs w:val="16"/>
        </w:rPr>
        <w:t>,</w:t>
      </w:r>
      <w:r w:rsidRPr="00432ABC">
        <w:rPr>
          <w:rFonts w:ascii="Verdana" w:hAnsi="Verdana"/>
          <w:sz w:val="16"/>
          <w:szCs w:val="16"/>
          <w:lang w:val="es-CR"/>
        </w:rPr>
        <w:t xml:space="preserve"> párr. 129, </w:t>
      </w:r>
      <w:r w:rsidRPr="00432ABC">
        <w:rPr>
          <w:rFonts w:ascii="Verdana" w:hAnsi="Verdana"/>
          <w:sz w:val="16"/>
          <w:szCs w:val="16"/>
        </w:rPr>
        <w:t xml:space="preserve">y </w:t>
      </w:r>
      <w:r w:rsidRPr="00432ABC">
        <w:rPr>
          <w:rFonts w:ascii="Verdana" w:hAnsi="Verdana"/>
          <w:bCs/>
          <w:i/>
          <w:sz w:val="16"/>
          <w:szCs w:val="16"/>
        </w:rPr>
        <w:t>Caso Miembros de la Aldea Chichupac y comunidades vecinas del Municipio de Rabinal Vs. Guatemala. Excepciones Preliminares, Fondo, Reparaciones y Costas</w:t>
      </w:r>
      <w:r w:rsidRPr="00432ABC">
        <w:rPr>
          <w:rFonts w:ascii="Verdana" w:hAnsi="Verdana"/>
          <w:bCs/>
          <w:sz w:val="16"/>
          <w:szCs w:val="16"/>
        </w:rPr>
        <w:t>. Sentencia de 30 de noviembre de 2016. Serie C No. 328, párr. 138.</w:t>
      </w:r>
    </w:p>
  </w:footnote>
  <w:footnote w:id="386">
    <w:p w14:paraId="64AA62CB" w14:textId="73479C68" w:rsidR="00146958" w:rsidRPr="00432ABC" w:rsidRDefault="00146958">
      <w:pPr>
        <w:pStyle w:val="FootnoteText"/>
        <w:jc w:val="both"/>
        <w:rPr>
          <w:rFonts w:ascii="Verdana" w:hAnsi="Verdana"/>
          <w:sz w:val="16"/>
          <w:szCs w:val="16"/>
        </w:rPr>
      </w:pPr>
      <w:r w:rsidRPr="00432ABC">
        <w:rPr>
          <w:rStyle w:val="FootnoteReference"/>
          <w:rFonts w:ascii="Verdana" w:hAnsi="Verdana"/>
          <w:sz w:val="16"/>
          <w:szCs w:val="16"/>
        </w:rPr>
        <w:footnoteRef/>
      </w:r>
      <w:r w:rsidRPr="00432ABC">
        <w:rPr>
          <w:rFonts w:ascii="Verdana" w:hAnsi="Verdana"/>
          <w:sz w:val="16"/>
          <w:szCs w:val="16"/>
        </w:rPr>
        <w:t xml:space="preserve"> </w:t>
      </w:r>
      <w:r w:rsidRPr="00432ABC">
        <w:rPr>
          <w:rFonts w:ascii="Verdana" w:hAnsi="Verdana"/>
          <w:sz w:val="16"/>
          <w:szCs w:val="16"/>
        </w:rPr>
        <w:tab/>
      </w:r>
      <w:r w:rsidRPr="00CD5C54">
        <w:rPr>
          <w:rFonts w:ascii="Verdana" w:hAnsi="Verdana"/>
          <w:i/>
          <w:sz w:val="16"/>
          <w:szCs w:val="16"/>
        </w:rPr>
        <w:t>Cfr.</w:t>
      </w:r>
      <w:r w:rsidRPr="002C462C">
        <w:rPr>
          <w:rFonts w:ascii="Verdana" w:hAnsi="Verdana"/>
          <w:sz w:val="16"/>
          <w:szCs w:val="16"/>
        </w:rPr>
        <w:t xml:space="preserve"> </w:t>
      </w:r>
      <w:r w:rsidRPr="008D0846">
        <w:rPr>
          <w:rFonts w:ascii="Verdana" w:hAnsi="Verdana"/>
          <w:i/>
          <w:sz w:val="16"/>
          <w:szCs w:val="16"/>
          <w:lang w:val="es-CR"/>
        </w:rPr>
        <w:t>Caso Velásquez Rodríguez</w:t>
      </w:r>
      <w:r w:rsidRPr="008D0846">
        <w:rPr>
          <w:rFonts w:ascii="Verdana" w:hAnsi="Verdana"/>
          <w:bCs/>
          <w:i/>
          <w:sz w:val="16"/>
          <w:szCs w:val="16"/>
        </w:rPr>
        <w:t xml:space="preserve"> Vs. Honduras</w:t>
      </w:r>
      <w:r w:rsidRPr="00425B6A">
        <w:rPr>
          <w:rFonts w:ascii="Verdana" w:hAnsi="Verdana"/>
          <w:i/>
          <w:sz w:val="16"/>
          <w:szCs w:val="16"/>
        </w:rPr>
        <w:t xml:space="preserve">, </w:t>
      </w:r>
      <w:r>
        <w:rPr>
          <w:rFonts w:ascii="Verdana" w:hAnsi="Verdana"/>
          <w:i/>
          <w:sz w:val="16"/>
          <w:szCs w:val="16"/>
        </w:rPr>
        <w:t xml:space="preserve">Fondo, </w:t>
      </w:r>
      <w:r w:rsidRPr="00425B6A">
        <w:rPr>
          <w:rFonts w:ascii="Verdana" w:hAnsi="Verdana"/>
          <w:i/>
          <w:sz w:val="16"/>
          <w:szCs w:val="16"/>
        </w:rPr>
        <w:t>supra</w:t>
      </w:r>
      <w:r w:rsidRPr="00432ABC">
        <w:rPr>
          <w:rFonts w:ascii="Verdana" w:hAnsi="Verdana"/>
          <w:sz w:val="16"/>
          <w:szCs w:val="16"/>
        </w:rPr>
        <w:t>,</w:t>
      </w:r>
      <w:r w:rsidRPr="00432ABC">
        <w:rPr>
          <w:rFonts w:ascii="Verdana" w:hAnsi="Verdana"/>
          <w:sz w:val="16"/>
          <w:szCs w:val="16"/>
          <w:lang w:val="es-CR"/>
        </w:rPr>
        <w:t xml:space="preserve"> párr.</w:t>
      </w:r>
      <w:r w:rsidRPr="00432ABC">
        <w:rPr>
          <w:rFonts w:ascii="Verdana" w:hAnsi="Verdana"/>
          <w:bCs/>
          <w:sz w:val="16"/>
          <w:szCs w:val="16"/>
        </w:rPr>
        <w:t>,</w:t>
      </w:r>
      <w:r>
        <w:rPr>
          <w:rFonts w:ascii="Verdana" w:hAnsi="Verdana"/>
          <w:bCs/>
          <w:sz w:val="16"/>
          <w:szCs w:val="16"/>
        </w:rPr>
        <w:t>131,</w:t>
      </w:r>
      <w:r w:rsidRPr="00432ABC">
        <w:rPr>
          <w:rFonts w:ascii="Verdana" w:hAnsi="Verdana"/>
          <w:bCs/>
          <w:sz w:val="16"/>
          <w:szCs w:val="16"/>
        </w:rPr>
        <w:t xml:space="preserve"> y </w:t>
      </w:r>
      <w:r w:rsidRPr="008D0846">
        <w:rPr>
          <w:rFonts w:ascii="Verdana" w:hAnsi="Verdana"/>
          <w:bCs/>
          <w:i/>
          <w:color w:val="000000"/>
          <w:sz w:val="16"/>
          <w:szCs w:val="16"/>
          <w:shd w:val="clear" w:color="auto" w:fill="FFFFFF"/>
        </w:rPr>
        <w:t>Caso Terrones Silva y otros Vs. Perú,</w:t>
      </w:r>
      <w:r w:rsidRPr="00A366DE">
        <w:rPr>
          <w:rFonts w:ascii="Verdana" w:hAnsi="Verdana"/>
          <w:bCs/>
          <w:color w:val="000000"/>
          <w:sz w:val="16"/>
          <w:szCs w:val="16"/>
          <w:shd w:val="clear" w:color="auto" w:fill="FFFFFF"/>
        </w:rPr>
        <w:t xml:space="preserve"> </w:t>
      </w:r>
      <w:r w:rsidRPr="00A366DE">
        <w:rPr>
          <w:rFonts w:ascii="Verdana" w:hAnsi="Verdana"/>
          <w:bCs/>
          <w:i/>
          <w:color w:val="000000"/>
          <w:sz w:val="16"/>
          <w:szCs w:val="16"/>
          <w:shd w:val="clear" w:color="auto" w:fill="FFFFFF"/>
        </w:rPr>
        <w:t>supra</w:t>
      </w:r>
      <w:r w:rsidRPr="00A366DE">
        <w:rPr>
          <w:rFonts w:ascii="Verdana" w:hAnsi="Verdana"/>
          <w:bCs/>
          <w:color w:val="000000"/>
          <w:sz w:val="16"/>
          <w:szCs w:val="16"/>
          <w:shd w:val="clear" w:color="auto" w:fill="FFFFFF"/>
        </w:rPr>
        <w:t>, párr. 13</w:t>
      </w:r>
      <w:r>
        <w:rPr>
          <w:rFonts w:ascii="Verdana" w:hAnsi="Verdana"/>
          <w:bCs/>
          <w:color w:val="000000"/>
          <w:sz w:val="16"/>
          <w:szCs w:val="16"/>
          <w:shd w:val="clear" w:color="auto" w:fill="FFFFFF"/>
        </w:rPr>
        <w:t>6</w:t>
      </w:r>
      <w:r>
        <w:rPr>
          <w:rStyle w:val="Strong"/>
          <w:rFonts w:ascii="Verdana" w:hAnsi="Verdana"/>
          <w:b w:val="0"/>
          <w:color w:val="000000"/>
          <w:sz w:val="16"/>
          <w:szCs w:val="16"/>
          <w:shd w:val="clear" w:color="auto" w:fill="FFFFFF"/>
        </w:rPr>
        <w:t>.</w:t>
      </w:r>
      <w:r w:rsidRPr="00432ABC">
        <w:rPr>
          <w:rFonts w:ascii="Verdana" w:hAnsi="Verdana"/>
          <w:bCs/>
          <w:sz w:val="16"/>
          <w:szCs w:val="16"/>
        </w:rPr>
        <w:t xml:space="preserve"> </w:t>
      </w:r>
    </w:p>
  </w:footnote>
  <w:footnote w:id="387">
    <w:p w14:paraId="64AA62CC" w14:textId="78548F80" w:rsidR="00146958" w:rsidRPr="00432ABC" w:rsidRDefault="00146958">
      <w:pPr>
        <w:pStyle w:val="FootnoteText"/>
        <w:jc w:val="both"/>
        <w:rPr>
          <w:rFonts w:ascii="Verdana" w:hAnsi="Verdana"/>
          <w:sz w:val="16"/>
          <w:szCs w:val="16"/>
        </w:rPr>
      </w:pPr>
      <w:r w:rsidRPr="00432ABC">
        <w:rPr>
          <w:rStyle w:val="FootnoteReference"/>
          <w:rFonts w:ascii="Verdana" w:hAnsi="Verdana"/>
          <w:sz w:val="16"/>
          <w:szCs w:val="16"/>
        </w:rPr>
        <w:footnoteRef/>
      </w:r>
      <w:r w:rsidRPr="00432ABC">
        <w:rPr>
          <w:rFonts w:ascii="Verdana" w:hAnsi="Verdana"/>
          <w:sz w:val="16"/>
          <w:szCs w:val="16"/>
        </w:rPr>
        <w:t xml:space="preserve">  </w:t>
      </w:r>
      <w:r w:rsidRPr="00432ABC">
        <w:rPr>
          <w:rFonts w:ascii="Verdana" w:hAnsi="Verdana"/>
          <w:sz w:val="16"/>
          <w:szCs w:val="16"/>
        </w:rPr>
        <w:tab/>
      </w:r>
      <w:r w:rsidRPr="00CD5C54">
        <w:rPr>
          <w:rFonts w:ascii="Verdana" w:hAnsi="Verdana"/>
          <w:i/>
          <w:sz w:val="16"/>
          <w:szCs w:val="16"/>
          <w:lang w:val="es-CR"/>
        </w:rPr>
        <w:t>Cfr.</w:t>
      </w:r>
      <w:r w:rsidRPr="00663431">
        <w:rPr>
          <w:rFonts w:ascii="Verdana" w:hAnsi="Verdana"/>
          <w:sz w:val="16"/>
          <w:szCs w:val="16"/>
          <w:lang w:val="es-CR"/>
        </w:rPr>
        <w:t xml:space="preserve"> </w:t>
      </w:r>
      <w:r w:rsidRPr="00663431">
        <w:rPr>
          <w:rFonts w:ascii="Verdana" w:hAnsi="Verdana"/>
          <w:i/>
          <w:sz w:val="16"/>
          <w:szCs w:val="16"/>
          <w:lang w:val="es-CR"/>
        </w:rPr>
        <w:t>Caso Velásquez Rodríguez</w:t>
      </w:r>
      <w:r w:rsidRPr="00663431">
        <w:rPr>
          <w:rFonts w:ascii="Verdana" w:hAnsi="Verdana"/>
          <w:bCs/>
          <w:i/>
          <w:sz w:val="16"/>
          <w:szCs w:val="16"/>
        </w:rPr>
        <w:t xml:space="preserve"> Vs. Honduras</w:t>
      </w:r>
      <w:r w:rsidRPr="00663431">
        <w:rPr>
          <w:rFonts w:ascii="Verdana" w:hAnsi="Verdana"/>
          <w:i/>
          <w:sz w:val="16"/>
          <w:szCs w:val="16"/>
        </w:rPr>
        <w:t>,</w:t>
      </w:r>
      <w:r w:rsidRPr="003D4976">
        <w:rPr>
          <w:rFonts w:ascii="Verdana" w:hAnsi="Verdana"/>
          <w:i/>
          <w:sz w:val="16"/>
          <w:szCs w:val="16"/>
        </w:rPr>
        <w:t xml:space="preserve"> </w:t>
      </w:r>
      <w:r>
        <w:rPr>
          <w:rFonts w:ascii="Verdana" w:hAnsi="Verdana"/>
          <w:i/>
          <w:sz w:val="16"/>
          <w:szCs w:val="16"/>
        </w:rPr>
        <w:t xml:space="preserve">Fondo, </w:t>
      </w:r>
      <w:r w:rsidRPr="003D4976">
        <w:rPr>
          <w:rFonts w:ascii="Verdana" w:hAnsi="Verdana"/>
          <w:i/>
          <w:sz w:val="16"/>
          <w:szCs w:val="16"/>
        </w:rPr>
        <w:t>supra</w:t>
      </w:r>
      <w:r w:rsidRPr="00425B6A">
        <w:rPr>
          <w:rFonts w:ascii="Verdana" w:hAnsi="Verdana"/>
          <w:sz w:val="16"/>
          <w:szCs w:val="16"/>
        </w:rPr>
        <w:t>,</w:t>
      </w:r>
      <w:r w:rsidRPr="00425B6A">
        <w:rPr>
          <w:rFonts w:ascii="Verdana" w:hAnsi="Verdana"/>
          <w:sz w:val="16"/>
          <w:szCs w:val="16"/>
          <w:lang w:val="es-CR"/>
        </w:rPr>
        <w:t xml:space="preserve"> párr. 130, y </w:t>
      </w:r>
      <w:r w:rsidRPr="00425B6A">
        <w:rPr>
          <w:rStyle w:val="Strong"/>
          <w:rFonts w:ascii="Verdana" w:hAnsi="Verdana"/>
          <w:b w:val="0"/>
          <w:i/>
          <w:color w:val="000000"/>
          <w:sz w:val="16"/>
          <w:szCs w:val="16"/>
          <w:shd w:val="clear" w:color="auto" w:fill="FFFFFF"/>
        </w:rPr>
        <w:t>Caso Vásquez Durand y otros Vs. Ecuador. Excepciones Prelimin</w:t>
      </w:r>
      <w:r w:rsidRPr="008D6453">
        <w:rPr>
          <w:rStyle w:val="Strong"/>
          <w:rFonts w:ascii="Verdana" w:hAnsi="Verdana"/>
          <w:b w:val="0"/>
          <w:i/>
          <w:color w:val="000000"/>
          <w:sz w:val="16"/>
          <w:szCs w:val="16"/>
          <w:shd w:val="clear" w:color="auto" w:fill="FFFFFF"/>
        </w:rPr>
        <w:t>ares, Fondo, Reparaciones y Costas</w:t>
      </w:r>
      <w:r w:rsidRPr="008D6453">
        <w:rPr>
          <w:rStyle w:val="Strong"/>
          <w:rFonts w:ascii="Verdana" w:hAnsi="Verdana"/>
          <w:b w:val="0"/>
          <w:color w:val="000000"/>
          <w:sz w:val="16"/>
          <w:szCs w:val="16"/>
          <w:shd w:val="clear" w:color="auto" w:fill="FFFFFF"/>
        </w:rPr>
        <w:t>. Sentencia de 15 de febrero de 2017. Serie C No. 332, párr. 110</w:t>
      </w:r>
      <w:r w:rsidRPr="00BC58E5">
        <w:rPr>
          <w:rFonts w:ascii="Verdana" w:hAnsi="Verdana"/>
          <w:sz w:val="16"/>
          <w:szCs w:val="16"/>
        </w:rPr>
        <w:t>.</w:t>
      </w:r>
    </w:p>
  </w:footnote>
  <w:footnote w:id="388">
    <w:p w14:paraId="64AA62CD" w14:textId="5419F9C7" w:rsidR="00146958" w:rsidRPr="00432ABC" w:rsidRDefault="00146958">
      <w:pPr>
        <w:pStyle w:val="FootnoteText"/>
        <w:jc w:val="both"/>
        <w:rPr>
          <w:rFonts w:ascii="Verdana" w:hAnsi="Verdana"/>
          <w:b/>
          <w:sz w:val="16"/>
          <w:szCs w:val="16"/>
        </w:rPr>
      </w:pPr>
      <w:r w:rsidRPr="00425B6A">
        <w:rPr>
          <w:rStyle w:val="FootnoteReference"/>
          <w:rFonts w:ascii="Verdana" w:hAnsi="Verdana"/>
          <w:sz w:val="16"/>
          <w:szCs w:val="16"/>
        </w:rPr>
        <w:footnoteRef/>
      </w:r>
      <w:r w:rsidRPr="00425B6A">
        <w:rPr>
          <w:rFonts w:ascii="Verdana" w:hAnsi="Verdana"/>
          <w:sz w:val="16"/>
          <w:szCs w:val="16"/>
        </w:rPr>
        <w:t xml:space="preserve"> </w:t>
      </w:r>
      <w:r w:rsidRPr="00425B6A">
        <w:rPr>
          <w:rFonts w:ascii="Verdana" w:hAnsi="Verdana"/>
          <w:sz w:val="16"/>
          <w:szCs w:val="16"/>
        </w:rPr>
        <w:tab/>
      </w:r>
      <w:r w:rsidRPr="00CD5C54">
        <w:rPr>
          <w:rFonts w:ascii="Verdana" w:hAnsi="Verdana"/>
          <w:i/>
          <w:sz w:val="16"/>
          <w:szCs w:val="16"/>
        </w:rPr>
        <w:t>Cfr.</w:t>
      </w:r>
      <w:r w:rsidRPr="00425B6A">
        <w:rPr>
          <w:rFonts w:ascii="Verdana" w:hAnsi="Verdana"/>
          <w:sz w:val="16"/>
          <w:szCs w:val="16"/>
        </w:rPr>
        <w:t xml:space="preserve"> Caso</w:t>
      </w:r>
      <w:r w:rsidRPr="00425B6A">
        <w:rPr>
          <w:rFonts w:ascii="Verdana" w:hAnsi="Verdana"/>
          <w:i/>
          <w:sz w:val="16"/>
          <w:szCs w:val="16"/>
        </w:rPr>
        <w:t xml:space="preserve"> Fairén Garbi y Solís Corrales Vs. Honduras. Fondo</w:t>
      </w:r>
      <w:r w:rsidRPr="00425B6A">
        <w:rPr>
          <w:rFonts w:ascii="Verdana" w:hAnsi="Verdana"/>
          <w:sz w:val="16"/>
          <w:szCs w:val="16"/>
        </w:rPr>
        <w:t xml:space="preserve">. Sentencia de 15 de marzo de 1989. Serie C No. 6, párr. 15, y </w:t>
      </w:r>
      <w:r w:rsidRPr="00BC58E5">
        <w:rPr>
          <w:rFonts w:ascii="Verdana" w:hAnsi="Verdana"/>
          <w:i/>
          <w:sz w:val="16"/>
          <w:szCs w:val="16"/>
        </w:rPr>
        <w:t xml:space="preserve">Caso Osorio Rivera y familiares Vs. Perú. Excepciones Preliminares, Fondo, Reparaciones y Costas, supra, </w:t>
      </w:r>
      <w:r w:rsidRPr="00B57113">
        <w:rPr>
          <w:rFonts w:ascii="Verdana" w:hAnsi="Verdana"/>
          <w:sz w:val="16"/>
          <w:szCs w:val="16"/>
        </w:rPr>
        <w:t>párr.</w:t>
      </w:r>
      <w:r w:rsidRPr="00425B6A">
        <w:rPr>
          <w:rFonts w:ascii="Verdana" w:hAnsi="Verdana"/>
          <w:i/>
          <w:sz w:val="16"/>
          <w:szCs w:val="16"/>
        </w:rPr>
        <w:t xml:space="preserve"> </w:t>
      </w:r>
      <w:r w:rsidRPr="00425B6A">
        <w:rPr>
          <w:rFonts w:ascii="Verdana" w:hAnsi="Verdana"/>
          <w:sz w:val="16"/>
          <w:szCs w:val="16"/>
        </w:rPr>
        <w:t>146.</w:t>
      </w:r>
      <w:r w:rsidRPr="00432ABC">
        <w:rPr>
          <w:rFonts w:ascii="Verdana" w:hAnsi="Verdana"/>
          <w:i/>
          <w:sz w:val="16"/>
          <w:szCs w:val="16"/>
        </w:rPr>
        <w:t xml:space="preserve"> </w:t>
      </w:r>
    </w:p>
  </w:footnote>
  <w:footnote w:id="389">
    <w:p w14:paraId="64AA62CE" w14:textId="4F619856" w:rsidR="00146958" w:rsidRPr="00432ABC" w:rsidRDefault="00146958">
      <w:pPr>
        <w:pStyle w:val="FootnoteText"/>
        <w:jc w:val="both"/>
        <w:rPr>
          <w:rFonts w:ascii="Verdana" w:hAnsi="Verdana"/>
          <w:sz w:val="16"/>
          <w:szCs w:val="16"/>
          <w:lang w:val="es-AR"/>
        </w:rPr>
      </w:pPr>
      <w:r w:rsidRPr="00432ABC">
        <w:rPr>
          <w:rStyle w:val="FootnoteReference"/>
          <w:rFonts w:ascii="Verdana" w:hAnsi="Verdana"/>
          <w:sz w:val="16"/>
          <w:szCs w:val="16"/>
        </w:rPr>
        <w:footnoteRef/>
      </w:r>
      <w:r w:rsidRPr="00432ABC">
        <w:rPr>
          <w:rFonts w:ascii="Verdana" w:hAnsi="Verdana"/>
          <w:sz w:val="16"/>
          <w:szCs w:val="16"/>
          <w:lang w:val="es-CR"/>
        </w:rPr>
        <w:t xml:space="preserve"> </w:t>
      </w:r>
      <w:r w:rsidRPr="00432ABC">
        <w:rPr>
          <w:rFonts w:ascii="Verdana" w:hAnsi="Verdana"/>
          <w:sz w:val="16"/>
          <w:szCs w:val="16"/>
          <w:lang w:val="es-CR"/>
        </w:rPr>
        <w:tab/>
      </w:r>
      <w:r w:rsidRPr="00CD5C54">
        <w:rPr>
          <w:rFonts w:ascii="Verdana" w:hAnsi="Verdana"/>
          <w:i/>
          <w:sz w:val="16"/>
          <w:szCs w:val="16"/>
          <w:lang w:val="es-CR"/>
        </w:rPr>
        <w:t>Cfr.</w:t>
      </w:r>
      <w:r w:rsidRPr="002C462C">
        <w:rPr>
          <w:rFonts w:ascii="Verdana" w:hAnsi="Verdana"/>
          <w:i/>
          <w:sz w:val="16"/>
          <w:szCs w:val="16"/>
          <w:lang w:val="es-CR"/>
        </w:rPr>
        <w:t xml:space="preserve"> </w:t>
      </w:r>
      <w:r w:rsidRPr="001C6E26">
        <w:rPr>
          <w:rFonts w:ascii="Verdana" w:hAnsi="Verdana"/>
          <w:bCs/>
          <w:i/>
          <w:sz w:val="16"/>
          <w:szCs w:val="16"/>
        </w:rPr>
        <w:t>Caso Fairén Garbi y Solís Corrales Vs. Honduras</w:t>
      </w:r>
      <w:r w:rsidRPr="001C6E26">
        <w:rPr>
          <w:rFonts w:ascii="Verdana" w:hAnsi="Verdana"/>
          <w:bCs/>
          <w:sz w:val="16"/>
          <w:szCs w:val="16"/>
        </w:rPr>
        <w:t>,</w:t>
      </w:r>
      <w:r>
        <w:rPr>
          <w:sz w:val="22"/>
          <w:szCs w:val="22"/>
        </w:rPr>
        <w:t xml:space="preserve"> </w:t>
      </w:r>
      <w:r w:rsidRPr="008D0846">
        <w:rPr>
          <w:rFonts w:ascii="Verdana" w:hAnsi="Verdana"/>
          <w:i/>
          <w:sz w:val="16"/>
          <w:szCs w:val="22"/>
        </w:rPr>
        <w:t>Fondo,</w:t>
      </w:r>
      <w:r w:rsidRPr="008D0846">
        <w:rPr>
          <w:sz w:val="16"/>
          <w:szCs w:val="22"/>
        </w:rPr>
        <w:t xml:space="preserve"> </w:t>
      </w:r>
      <w:r w:rsidRPr="008D0846">
        <w:rPr>
          <w:rFonts w:ascii="Verdana" w:hAnsi="Verdana"/>
          <w:i/>
          <w:sz w:val="16"/>
          <w:szCs w:val="16"/>
        </w:rPr>
        <w:t>supra,</w:t>
      </w:r>
      <w:r w:rsidRPr="008D0846">
        <w:rPr>
          <w:rFonts w:ascii="Verdana" w:hAnsi="Verdana"/>
          <w:i/>
          <w:sz w:val="22"/>
          <w:szCs w:val="22"/>
        </w:rPr>
        <w:t xml:space="preserve"> </w:t>
      </w:r>
      <w:r w:rsidRPr="001C6E26">
        <w:rPr>
          <w:rFonts w:ascii="Verdana" w:hAnsi="Verdana"/>
          <w:bCs/>
          <w:sz w:val="16"/>
          <w:szCs w:val="16"/>
        </w:rPr>
        <w:t>párr. 157</w:t>
      </w:r>
      <w:r>
        <w:rPr>
          <w:rFonts w:ascii="Verdana" w:hAnsi="Verdana"/>
          <w:bCs/>
          <w:sz w:val="16"/>
          <w:szCs w:val="16"/>
        </w:rPr>
        <w:t xml:space="preserve">, y </w:t>
      </w:r>
      <w:r w:rsidRPr="002C462C">
        <w:rPr>
          <w:rFonts w:ascii="Verdana" w:hAnsi="Verdana"/>
          <w:i/>
          <w:sz w:val="16"/>
          <w:szCs w:val="16"/>
          <w:lang w:val="es-CR"/>
        </w:rPr>
        <w:t xml:space="preserve">Caso Terrones Silva y otros Vs. Perú, </w:t>
      </w:r>
      <w:r>
        <w:rPr>
          <w:rFonts w:ascii="Verdana" w:hAnsi="Verdana"/>
          <w:i/>
          <w:sz w:val="16"/>
          <w:szCs w:val="16"/>
          <w:lang w:val="es-CR"/>
        </w:rPr>
        <w:t xml:space="preserve">supra, </w:t>
      </w:r>
      <w:r w:rsidRPr="008D0846">
        <w:rPr>
          <w:rFonts w:ascii="Verdana" w:hAnsi="Verdana"/>
          <w:sz w:val="16"/>
          <w:szCs w:val="16"/>
          <w:lang w:val="es-CR"/>
        </w:rPr>
        <w:t>párr. 137</w:t>
      </w:r>
      <w:r>
        <w:rPr>
          <w:rFonts w:ascii="Verdana" w:hAnsi="Verdana"/>
          <w:sz w:val="16"/>
          <w:szCs w:val="16"/>
          <w:lang w:val="es-CR"/>
        </w:rPr>
        <w:t>.</w:t>
      </w:r>
      <w:r w:rsidRPr="00432ABC">
        <w:rPr>
          <w:rFonts w:ascii="Verdana" w:hAnsi="Verdana"/>
          <w:bCs/>
          <w:sz w:val="16"/>
          <w:szCs w:val="16"/>
          <w:lang w:val="es-CR"/>
        </w:rPr>
        <w:t xml:space="preserve"> </w:t>
      </w:r>
    </w:p>
  </w:footnote>
  <w:footnote w:id="390">
    <w:p w14:paraId="64AA62CF" w14:textId="0F838A77" w:rsidR="00146958" w:rsidRPr="00432ABC" w:rsidRDefault="00146958">
      <w:pPr>
        <w:pStyle w:val="FootnoteText"/>
        <w:jc w:val="both"/>
        <w:rPr>
          <w:rFonts w:ascii="Verdana" w:hAnsi="Verdana"/>
          <w:sz w:val="16"/>
          <w:szCs w:val="16"/>
        </w:rPr>
      </w:pPr>
      <w:r w:rsidRPr="00432ABC">
        <w:rPr>
          <w:rStyle w:val="FootnoteReference"/>
          <w:rFonts w:ascii="Verdana" w:hAnsi="Verdana"/>
          <w:sz w:val="16"/>
          <w:szCs w:val="16"/>
        </w:rPr>
        <w:footnoteRef/>
      </w:r>
      <w:r w:rsidRPr="00432ABC">
        <w:rPr>
          <w:rFonts w:ascii="Verdana" w:hAnsi="Verdana"/>
          <w:sz w:val="16"/>
          <w:szCs w:val="16"/>
        </w:rPr>
        <w:t xml:space="preserve"> </w:t>
      </w:r>
      <w:r w:rsidRPr="00432ABC">
        <w:rPr>
          <w:rFonts w:ascii="Verdana" w:hAnsi="Verdana"/>
          <w:sz w:val="16"/>
          <w:szCs w:val="16"/>
        </w:rPr>
        <w:tab/>
      </w:r>
      <w:r w:rsidRPr="00CD5C54">
        <w:rPr>
          <w:rFonts w:ascii="Verdana" w:hAnsi="Verdana"/>
          <w:i/>
          <w:sz w:val="16"/>
          <w:szCs w:val="16"/>
        </w:rPr>
        <w:t>Cfr.</w:t>
      </w:r>
      <w:r w:rsidRPr="002C462C">
        <w:rPr>
          <w:rFonts w:ascii="Verdana" w:hAnsi="Verdana"/>
          <w:sz w:val="16"/>
          <w:szCs w:val="16"/>
        </w:rPr>
        <w:t xml:space="preserve"> </w:t>
      </w:r>
      <w:r w:rsidRPr="008D0846">
        <w:rPr>
          <w:rStyle w:val="Strong"/>
          <w:rFonts w:ascii="Verdana" w:hAnsi="Verdana"/>
          <w:b w:val="0"/>
          <w:i/>
          <w:color w:val="000000"/>
          <w:sz w:val="16"/>
          <w:szCs w:val="16"/>
          <w:shd w:val="clear" w:color="auto" w:fill="FFFFFF"/>
        </w:rPr>
        <w:t xml:space="preserve">Caso Rodríguez Vera y otros (Desaparecidos del Palacio de Justicia) Vs. Colombia. Excepciones Preliminares, Fondo, Reparaciones y Costas, </w:t>
      </w:r>
      <w:r w:rsidRPr="00432ABC">
        <w:rPr>
          <w:rStyle w:val="Strong"/>
          <w:rFonts w:ascii="Verdana" w:hAnsi="Verdana"/>
          <w:b w:val="0"/>
          <w:i/>
          <w:color w:val="000000"/>
          <w:sz w:val="16"/>
          <w:szCs w:val="16"/>
          <w:shd w:val="clear" w:color="auto" w:fill="FFFFFF"/>
        </w:rPr>
        <w:t xml:space="preserve">supra, </w:t>
      </w:r>
      <w:r w:rsidRPr="00432ABC">
        <w:rPr>
          <w:rStyle w:val="Strong"/>
          <w:rFonts w:ascii="Verdana" w:hAnsi="Verdana"/>
          <w:b w:val="0"/>
          <w:color w:val="000000"/>
          <w:sz w:val="16"/>
          <w:szCs w:val="16"/>
          <w:shd w:val="clear" w:color="auto" w:fill="FFFFFF"/>
        </w:rPr>
        <w:t xml:space="preserve">párr. 232, y </w:t>
      </w:r>
      <w:r w:rsidRPr="008D0846">
        <w:rPr>
          <w:rFonts w:ascii="Verdana" w:hAnsi="Verdana"/>
          <w:bCs/>
          <w:i/>
          <w:color w:val="000000"/>
          <w:sz w:val="16"/>
          <w:szCs w:val="16"/>
          <w:shd w:val="clear" w:color="auto" w:fill="FFFFFF"/>
        </w:rPr>
        <w:t>Caso Munárriz Escobar y otros Vs. Perú</w:t>
      </w:r>
      <w:r>
        <w:rPr>
          <w:rFonts w:ascii="Verdana" w:hAnsi="Verdana"/>
          <w:bCs/>
          <w:i/>
          <w:color w:val="000000"/>
          <w:sz w:val="16"/>
          <w:szCs w:val="16"/>
          <w:shd w:val="clear" w:color="auto" w:fill="FFFFFF"/>
        </w:rPr>
        <w:t>. Excepción Preliminar, Fondo, Reparaciones y Costas.</w:t>
      </w:r>
      <w:r>
        <w:rPr>
          <w:rFonts w:ascii="Verdana" w:hAnsi="Verdana"/>
          <w:bCs/>
          <w:color w:val="000000"/>
          <w:sz w:val="16"/>
          <w:szCs w:val="16"/>
          <w:shd w:val="clear" w:color="auto" w:fill="FFFFFF"/>
        </w:rPr>
        <w:t xml:space="preserve"> Sentencia de 20 de agosto de 2018. Serie C No. 355</w:t>
      </w:r>
      <w:r>
        <w:rPr>
          <w:rFonts w:ascii="Verdana" w:hAnsi="Verdana"/>
          <w:bCs/>
          <w:i/>
          <w:color w:val="000000"/>
          <w:sz w:val="16"/>
          <w:szCs w:val="16"/>
          <w:shd w:val="clear" w:color="auto" w:fill="FFFFFF"/>
        </w:rPr>
        <w:t xml:space="preserve">. </w:t>
      </w:r>
      <w:r>
        <w:rPr>
          <w:rFonts w:ascii="Verdana" w:hAnsi="Verdana"/>
          <w:bCs/>
          <w:color w:val="000000"/>
          <w:sz w:val="16"/>
          <w:szCs w:val="16"/>
          <w:shd w:val="clear" w:color="auto" w:fill="FFFFFF"/>
        </w:rPr>
        <w:t>P</w:t>
      </w:r>
      <w:r w:rsidRPr="00432ABC">
        <w:rPr>
          <w:rFonts w:ascii="Verdana" w:hAnsi="Verdana"/>
          <w:bCs/>
          <w:color w:val="000000"/>
          <w:sz w:val="16"/>
          <w:szCs w:val="16"/>
          <w:shd w:val="clear" w:color="auto" w:fill="FFFFFF"/>
        </w:rPr>
        <w:t xml:space="preserve">árr. </w:t>
      </w:r>
      <w:r>
        <w:rPr>
          <w:rFonts w:ascii="Verdana" w:hAnsi="Verdana"/>
          <w:bCs/>
          <w:color w:val="000000"/>
          <w:sz w:val="16"/>
          <w:szCs w:val="16"/>
          <w:shd w:val="clear" w:color="auto" w:fill="FFFFFF"/>
        </w:rPr>
        <w:t>70</w:t>
      </w:r>
      <w:r w:rsidRPr="00432ABC">
        <w:rPr>
          <w:rFonts w:ascii="Verdana" w:hAnsi="Verdana"/>
          <w:bCs/>
          <w:color w:val="000000"/>
          <w:sz w:val="16"/>
          <w:szCs w:val="16"/>
          <w:shd w:val="clear" w:color="auto" w:fill="FFFFFF"/>
        </w:rPr>
        <w:t xml:space="preserve">. </w:t>
      </w:r>
    </w:p>
  </w:footnote>
  <w:footnote w:id="391">
    <w:p w14:paraId="64AA62D0" w14:textId="4172D294" w:rsidR="00146958" w:rsidRPr="00432ABC" w:rsidRDefault="00146958">
      <w:pPr>
        <w:pStyle w:val="FootnoteText"/>
        <w:jc w:val="both"/>
        <w:rPr>
          <w:rFonts w:ascii="Verdana" w:hAnsi="Verdana"/>
          <w:sz w:val="16"/>
          <w:szCs w:val="16"/>
        </w:rPr>
      </w:pPr>
      <w:r w:rsidRPr="00432ABC">
        <w:rPr>
          <w:rStyle w:val="FootnoteReference"/>
          <w:rFonts w:ascii="Verdana" w:hAnsi="Verdana"/>
          <w:sz w:val="16"/>
          <w:szCs w:val="16"/>
        </w:rPr>
        <w:footnoteRef/>
      </w:r>
      <w:r w:rsidRPr="00432ABC">
        <w:rPr>
          <w:rFonts w:ascii="Verdana" w:hAnsi="Verdana"/>
          <w:sz w:val="16"/>
          <w:szCs w:val="16"/>
        </w:rPr>
        <w:t xml:space="preserve"> </w:t>
      </w:r>
      <w:r w:rsidRPr="00432ABC">
        <w:rPr>
          <w:rFonts w:ascii="Verdana" w:hAnsi="Verdana"/>
          <w:sz w:val="16"/>
          <w:szCs w:val="16"/>
        </w:rPr>
        <w:tab/>
      </w:r>
      <w:r w:rsidRPr="00CD5C54">
        <w:rPr>
          <w:rFonts w:ascii="Verdana" w:hAnsi="Verdana"/>
          <w:i/>
          <w:sz w:val="16"/>
          <w:szCs w:val="16"/>
        </w:rPr>
        <w:t>Cfr.</w:t>
      </w:r>
      <w:r w:rsidRPr="002C462C">
        <w:rPr>
          <w:rFonts w:ascii="Verdana" w:hAnsi="Verdana"/>
          <w:i/>
          <w:sz w:val="16"/>
          <w:szCs w:val="16"/>
        </w:rPr>
        <w:t xml:space="preserve"> inter alia: </w:t>
      </w:r>
      <w:r w:rsidRPr="002C462C">
        <w:rPr>
          <w:rFonts w:ascii="Verdana" w:hAnsi="Verdana"/>
          <w:sz w:val="16"/>
          <w:szCs w:val="16"/>
        </w:rPr>
        <w:t xml:space="preserve">GTDFI, </w:t>
      </w:r>
      <w:r w:rsidRPr="00432ABC">
        <w:rPr>
          <w:rFonts w:ascii="Verdana" w:hAnsi="Verdana"/>
          <w:i/>
          <w:sz w:val="16"/>
          <w:szCs w:val="16"/>
        </w:rPr>
        <w:t>Informe del Grupo de Trabajo sobre las Desapariciones Forzadas o Involuntarias, Comentario general sobre la definición de desapariciones forzadas</w:t>
      </w:r>
      <w:r w:rsidRPr="00432ABC">
        <w:rPr>
          <w:rFonts w:ascii="Verdana" w:hAnsi="Verdana"/>
          <w:sz w:val="16"/>
          <w:szCs w:val="16"/>
        </w:rPr>
        <w:t xml:space="preserve">, A/HRC/7/2, 10 de enero de 2008, párr. 7; </w:t>
      </w:r>
      <w:r w:rsidRPr="00432ABC">
        <w:rPr>
          <w:rFonts w:ascii="Verdana" w:hAnsi="Verdana"/>
          <w:i/>
          <w:sz w:val="16"/>
          <w:szCs w:val="16"/>
        </w:rPr>
        <w:t>Caso Blanco Romero y otros Vs. Venezuela. Fondo, Reparaciones y Costas</w:t>
      </w:r>
      <w:r w:rsidRPr="00432ABC">
        <w:rPr>
          <w:rFonts w:ascii="Verdana" w:hAnsi="Verdana"/>
          <w:sz w:val="16"/>
          <w:szCs w:val="16"/>
        </w:rPr>
        <w:t>. Sentencia de 28 de noviembre de 2005. Serie C No. 138, párr. 105</w:t>
      </w:r>
      <w:r>
        <w:rPr>
          <w:rFonts w:ascii="Verdana" w:hAnsi="Verdana"/>
          <w:sz w:val="16"/>
          <w:szCs w:val="16"/>
        </w:rPr>
        <w:t xml:space="preserve">; </w:t>
      </w:r>
      <w:r w:rsidRPr="008D0846">
        <w:rPr>
          <w:rStyle w:val="Strong"/>
          <w:rFonts w:ascii="Verdana" w:hAnsi="Verdana"/>
          <w:b w:val="0"/>
          <w:i/>
          <w:color w:val="000000"/>
          <w:sz w:val="16"/>
          <w:szCs w:val="16"/>
          <w:shd w:val="clear" w:color="auto" w:fill="FFFFFF"/>
        </w:rPr>
        <w:t>Caso Rodríguez Vera y otros (Desaparecidos del Palacio de Justicia) Vs. Colombia</w:t>
      </w:r>
      <w:r w:rsidRPr="00432ABC">
        <w:rPr>
          <w:rStyle w:val="Strong"/>
          <w:rFonts w:ascii="Verdana" w:hAnsi="Verdana"/>
          <w:b w:val="0"/>
          <w:color w:val="000000"/>
          <w:sz w:val="16"/>
          <w:szCs w:val="16"/>
          <w:shd w:val="clear" w:color="auto" w:fill="FFFFFF"/>
        </w:rPr>
        <w:t xml:space="preserve">, </w:t>
      </w:r>
      <w:r w:rsidRPr="00432ABC">
        <w:rPr>
          <w:rStyle w:val="Strong"/>
          <w:rFonts w:ascii="Verdana" w:hAnsi="Verdana"/>
          <w:b w:val="0"/>
          <w:i/>
          <w:color w:val="000000"/>
          <w:sz w:val="16"/>
          <w:szCs w:val="16"/>
          <w:shd w:val="clear" w:color="auto" w:fill="FFFFFF"/>
        </w:rPr>
        <w:t>supra</w:t>
      </w:r>
      <w:r w:rsidRPr="00432ABC">
        <w:rPr>
          <w:rFonts w:ascii="Verdana" w:hAnsi="Verdana"/>
          <w:sz w:val="16"/>
          <w:szCs w:val="16"/>
        </w:rPr>
        <w:t>, párr. 232</w:t>
      </w:r>
      <w:r w:rsidRPr="00354EDD">
        <w:rPr>
          <w:rFonts w:ascii="Verdana" w:hAnsi="Verdana"/>
          <w:bCs/>
          <w:sz w:val="16"/>
          <w:szCs w:val="16"/>
        </w:rPr>
        <w:t xml:space="preserve">, y </w:t>
      </w:r>
      <w:r w:rsidRPr="00354EDD">
        <w:rPr>
          <w:rFonts w:ascii="Verdana" w:hAnsi="Verdana"/>
          <w:bCs/>
          <w:i/>
          <w:sz w:val="16"/>
          <w:szCs w:val="16"/>
        </w:rPr>
        <w:t xml:space="preserve">Caso Munárriz Escobar y otros Vs. Perú, supra, </w:t>
      </w:r>
      <w:r w:rsidRPr="00354EDD">
        <w:rPr>
          <w:rFonts w:ascii="Verdana" w:hAnsi="Verdana"/>
          <w:bCs/>
          <w:sz w:val="16"/>
          <w:szCs w:val="16"/>
        </w:rPr>
        <w:t>párr. 70</w:t>
      </w:r>
      <w:r w:rsidRPr="00432ABC">
        <w:rPr>
          <w:rFonts w:ascii="Verdana" w:hAnsi="Verdana"/>
          <w:sz w:val="16"/>
          <w:szCs w:val="16"/>
        </w:rPr>
        <w:t>.</w:t>
      </w:r>
    </w:p>
  </w:footnote>
  <w:footnote w:id="392">
    <w:p w14:paraId="1FEA8452" w14:textId="0432C450" w:rsidR="00146958" w:rsidRPr="00DB378B" w:rsidRDefault="00146958">
      <w:pPr>
        <w:pStyle w:val="FootnoteText"/>
        <w:jc w:val="both"/>
        <w:rPr>
          <w:rFonts w:ascii="Verdana" w:hAnsi="Verdana"/>
          <w:lang w:val="es-CR"/>
        </w:rPr>
      </w:pPr>
      <w:r w:rsidRPr="00350912">
        <w:rPr>
          <w:rStyle w:val="FootnoteReference"/>
          <w:rFonts w:ascii="Verdana" w:hAnsi="Verdana"/>
          <w:sz w:val="16"/>
        </w:rPr>
        <w:footnoteRef/>
      </w:r>
      <w:r w:rsidRPr="00350912">
        <w:rPr>
          <w:rFonts w:ascii="Verdana" w:hAnsi="Verdana"/>
          <w:sz w:val="16"/>
        </w:rPr>
        <w:t xml:space="preserve"> </w:t>
      </w:r>
      <w:r w:rsidRPr="00DB378B">
        <w:rPr>
          <w:rFonts w:ascii="Verdana" w:hAnsi="Verdana"/>
        </w:rPr>
        <w:tab/>
      </w:r>
      <w:r w:rsidRPr="00432ABC">
        <w:rPr>
          <w:rFonts w:ascii="Verdana" w:hAnsi="Verdana"/>
          <w:sz w:val="16"/>
        </w:rPr>
        <w:t>Adicionalmente, durante el proceso de</w:t>
      </w:r>
      <w:r>
        <w:rPr>
          <w:rFonts w:ascii="Verdana" w:hAnsi="Verdana"/>
          <w:sz w:val="16"/>
        </w:rPr>
        <w:t>l presente</w:t>
      </w:r>
      <w:r w:rsidRPr="00432ABC">
        <w:rPr>
          <w:rFonts w:ascii="Verdana" w:hAnsi="Verdana"/>
          <w:sz w:val="16"/>
        </w:rPr>
        <w:t xml:space="preserve"> caso ante el Tribunal se recibieron distintos pronunciamientos periciales, declaraciones testimoniales, prueba documental, e inclusive </w:t>
      </w:r>
      <w:r w:rsidRPr="002C462C">
        <w:rPr>
          <w:rFonts w:ascii="Verdana" w:hAnsi="Verdana"/>
          <w:i/>
          <w:sz w:val="16"/>
        </w:rPr>
        <w:t>amicus curiae</w:t>
      </w:r>
      <w:r w:rsidRPr="00432ABC">
        <w:rPr>
          <w:rFonts w:ascii="Verdana" w:hAnsi="Verdana"/>
          <w:sz w:val="16"/>
        </w:rPr>
        <w:t xml:space="preserve"> (</w:t>
      </w:r>
      <w:r w:rsidRPr="00432ABC">
        <w:rPr>
          <w:rFonts w:ascii="Verdana" w:hAnsi="Verdana"/>
          <w:i/>
          <w:sz w:val="16"/>
        </w:rPr>
        <w:t>supra</w:t>
      </w:r>
      <w:r w:rsidRPr="00432ABC">
        <w:rPr>
          <w:rFonts w:ascii="Verdana" w:hAnsi="Verdana"/>
          <w:sz w:val="16"/>
        </w:rPr>
        <w:t xml:space="preserve"> párr. </w:t>
      </w:r>
      <w:r>
        <w:rPr>
          <w:rFonts w:ascii="Verdana" w:hAnsi="Verdana"/>
          <w:sz w:val="16"/>
        </w:rPr>
        <w:t>10</w:t>
      </w:r>
      <w:r w:rsidRPr="00432ABC">
        <w:rPr>
          <w:rFonts w:ascii="Verdana" w:hAnsi="Verdana"/>
          <w:sz w:val="16"/>
        </w:rPr>
        <w:t xml:space="preserve">), que han reiterado la existencia de tal contexto y de la presencia militar en el lugar y al momento en que ocurrieron </w:t>
      </w:r>
      <w:r>
        <w:rPr>
          <w:rFonts w:ascii="Verdana" w:hAnsi="Verdana"/>
          <w:sz w:val="16"/>
        </w:rPr>
        <w:t>dichas</w:t>
      </w:r>
      <w:r w:rsidRPr="00432ABC">
        <w:rPr>
          <w:rFonts w:ascii="Verdana" w:hAnsi="Verdana"/>
          <w:sz w:val="16"/>
        </w:rPr>
        <w:t xml:space="preserve"> desapariciones (</w:t>
      </w:r>
      <w:r w:rsidRPr="00432ABC">
        <w:rPr>
          <w:rFonts w:ascii="Verdana" w:hAnsi="Verdana"/>
          <w:i/>
          <w:sz w:val="16"/>
        </w:rPr>
        <w:t>supra</w:t>
      </w:r>
      <w:r w:rsidRPr="00432ABC">
        <w:rPr>
          <w:rFonts w:ascii="Verdana" w:hAnsi="Verdana"/>
          <w:sz w:val="16"/>
        </w:rPr>
        <w:t xml:space="preserve"> párr</w:t>
      </w:r>
      <w:r>
        <w:rPr>
          <w:rFonts w:ascii="Verdana" w:hAnsi="Verdana"/>
          <w:sz w:val="16"/>
        </w:rPr>
        <w:t>s</w:t>
      </w:r>
      <w:r w:rsidRPr="00432ABC">
        <w:rPr>
          <w:rFonts w:ascii="Verdana" w:hAnsi="Verdana"/>
          <w:sz w:val="16"/>
        </w:rPr>
        <w:t xml:space="preserve">. </w:t>
      </w:r>
      <w:r>
        <w:rPr>
          <w:rFonts w:ascii="Verdana" w:hAnsi="Verdana"/>
          <w:sz w:val="16"/>
        </w:rPr>
        <w:t>72 a 75</w:t>
      </w:r>
      <w:r w:rsidRPr="00432ABC">
        <w:rPr>
          <w:rFonts w:ascii="Verdana" w:hAnsi="Verdana"/>
          <w:sz w:val="16"/>
        </w:rPr>
        <w:t>).</w:t>
      </w:r>
    </w:p>
  </w:footnote>
  <w:footnote w:id="393">
    <w:p w14:paraId="3FD6D280" w14:textId="251DD0C8" w:rsidR="00146958" w:rsidRPr="00432ABC" w:rsidRDefault="00146958">
      <w:pPr>
        <w:pStyle w:val="FootnoteText"/>
        <w:jc w:val="both"/>
        <w:rPr>
          <w:rFonts w:ascii="Verdana" w:hAnsi="Verdana"/>
          <w:sz w:val="16"/>
          <w:szCs w:val="16"/>
        </w:rPr>
      </w:pPr>
      <w:r w:rsidRPr="00432ABC">
        <w:rPr>
          <w:rStyle w:val="FootnoteReference"/>
          <w:rFonts w:ascii="Verdana" w:hAnsi="Verdana"/>
          <w:sz w:val="16"/>
          <w:szCs w:val="16"/>
        </w:rPr>
        <w:footnoteRef/>
      </w:r>
      <w:r w:rsidRPr="00432ABC">
        <w:rPr>
          <w:rFonts w:ascii="Verdana" w:hAnsi="Verdana"/>
          <w:sz w:val="16"/>
          <w:szCs w:val="16"/>
        </w:rPr>
        <w:t xml:space="preserve">  </w:t>
      </w:r>
      <w:r w:rsidRPr="00432ABC">
        <w:rPr>
          <w:rFonts w:ascii="Verdana" w:hAnsi="Verdana"/>
          <w:sz w:val="16"/>
          <w:szCs w:val="16"/>
        </w:rPr>
        <w:tab/>
      </w:r>
      <w:r>
        <w:rPr>
          <w:rFonts w:ascii="Verdana" w:hAnsi="Verdana"/>
          <w:sz w:val="16"/>
          <w:szCs w:val="16"/>
        </w:rPr>
        <w:t>La Corte nota que la noción</w:t>
      </w:r>
      <w:r w:rsidRPr="002C462C">
        <w:rPr>
          <w:rFonts w:ascii="Verdana" w:hAnsi="Verdana"/>
          <w:sz w:val="16"/>
          <w:szCs w:val="16"/>
        </w:rPr>
        <w:t xml:space="preserve"> de “seguridad ciudadana”</w:t>
      </w:r>
      <w:r>
        <w:rPr>
          <w:rFonts w:ascii="Verdana" w:hAnsi="Verdana"/>
          <w:sz w:val="16"/>
          <w:szCs w:val="16"/>
        </w:rPr>
        <w:t xml:space="preserve"> </w:t>
      </w:r>
      <w:r w:rsidRPr="002C462C">
        <w:rPr>
          <w:rFonts w:ascii="Verdana" w:hAnsi="Verdana"/>
          <w:sz w:val="16"/>
          <w:szCs w:val="16"/>
        </w:rPr>
        <w:t>goza de una paulatina consolidación conceptual en el ámbito internacional</w:t>
      </w:r>
      <w:r>
        <w:rPr>
          <w:rFonts w:ascii="Verdana" w:hAnsi="Verdana"/>
          <w:sz w:val="16"/>
          <w:szCs w:val="16"/>
        </w:rPr>
        <w:t xml:space="preserve">, </w:t>
      </w:r>
      <w:r w:rsidRPr="00432ABC">
        <w:rPr>
          <w:rFonts w:ascii="Verdana" w:hAnsi="Verdana"/>
          <w:sz w:val="16"/>
          <w:szCs w:val="16"/>
          <w:lang w:val="es-SV"/>
        </w:rPr>
        <w:t xml:space="preserve">cuyo pilar que le da origen radica en el concepto de “Seguridad Humana”, tal </w:t>
      </w:r>
      <w:r>
        <w:rPr>
          <w:rFonts w:ascii="Verdana" w:hAnsi="Verdana"/>
          <w:sz w:val="16"/>
          <w:szCs w:val="16"/>
          <w:lang w:val="es-SV"/>
        </w:rPr>
        <w:t xml:space="preserve">y </w:t>
      </w:r>
      <w:r w:rsidRPr="00432ABC">
        <w:rPr>
          <w:rFonts w:ascii="Verdana" w:hAnsi="Verdana"/>
          <w:sz w:val="16"/>
          <w:szCs w:val="16"/>
          <w:lang w:val="es-SV"/>
        </w:rPr>
        <w:t>como se ha desarrollado en el ámbito de la Organización de las Naciones Unidas. En este sentido, el Programa de las Naciones Unidas para el Desarrollo</w:t>
      </w:r>
      <w:r>
        <w:rPr>
          <w:rFonts w:ascii="Verdana" w:hAnsi="Verdana"/>
          <w:sz w:val="16"/>
          <w:szCs w:val="16"/>
          <w:lang w:val="es-SV"/>
        </w:rPr>
        <w:t xml:space="preserve"> [PNUD]</w:t>
      </w:r>
      <w:r w:rsidRPr="00432ABC">
        <w:rPr>
          <w:rFonts w:ascii="Verdana" w:hAnsi="Verdana"/>
          <w:sz w:val="16"/>
          <w:szCs w:val="16"/>
          <w:lang w:val="es-SV"/>
        </w:rPr>
        <w:t>, en su “Informe sobre Desarrollo Humano para América Central 2009-2010”, entendió la “seguridad ciudadana” como</w:t>
      </w:r>
      <w:r w:rsidRPr="00432ABC">
        <w:rPr>
          <w:rFonts w:ascii="Verdana" w:hAnsi="Verdana"/>
          <w:i/>
          <w:sz w:val="16"/>
          <w:szCs w:val="16"/>
          <w:lang w:val="es-SV"/>
        </w:rPr>
        <w:t xml:space="preserve"> “</w:t>
      </w:r>
      <w:r w:rsidRPr="00432ABC">
        <w:rPr>
          <w:rFonts w:ascii="Verdana" w:hAnsi="Verdana"/>
          <w:sz w:val="16"/>
          <w:szCs w:val="16"/>
          <w:lang w:val="es-SV"/>
        </w:rPr>
        <w:t>una modalidad específica de la seguridad humana, que puede ser definida inicialmente como la protección universal contra el delito violento o predatorio. Seguridad ciudadana es la protección de ciertas opciones u oportunidades de todas las personas –su vida, su integridad, su patrimonio- contra un tipo específico de riesgo (el delito) que altera en forma súbita y dolorosa la vida cotidiana de las víctimas”</w:t>
      </w:r>
      <w:r w:rsidRPr="00432ABC">
        <w:rPr>
          <w:rFonts w:ascii="Verdana" w:hAnsi="Verdana"/>
          <w:i/>
          <w:sz w:val="16"/>
          <w:szCs w:val="16"/>
          <w:lang w:val="es-SV"/>
        </w:rPr>
        <w:t xml:space="preserve">. </w:t>
      </w:r>
      <w:r w:rsidRPr="00CD5C54">
        <w:rPr>
          <w:rFonts w:ascii="Verdana" w:hAnsi="Verdana"/>
          <w:i/>
          <w:sz w:val="16"/>
          <w:szCs w:val="16"/>
          <w:lang w:val="es-SV"/>
        </w:rPr>
        <w:t>Cfr.</w:t>
      </w:r>
      <w:r w:rsidRPr="00432ABC">
        <w:rPr>
          <w:rFonts w:ascii="Verdana" w:hAnsi="Verdana"/>
          <w:sz w:val="16"/>
          <w:szCs w:val="16"/>
          <w:lang w:val="es-SV"/>
        </w:rPr>
        <w:t xml:space="preserve"> </w:t>
      </w:r>
      <w:r w:rsidRPr="00432ABC">
        <w:rPr>
          <w:rFonts w:ascii="Verdana" w:hAnsi="Verdana"/>
          <w:sz w:val="16"/>
          <w:szCs w:val="16"/>
        </w:rPr>
        <w:t xml:space="preserve">PNUD, </w:t>
      </w:r>
      <w:r w:rsidRPr="00432ABC">
        <w:rPr>
          <w:rFonts w:ascii="Verdana" w:hAnsi="Verdana"/>
          <w:i/>
          <w:sz w:val="16"/>
          <w:szCs w:val="16"/>
        </w:rPr>
        <w:t xml:space="preserve">Informe sobre Desarrollo Humano para América Central 2009-2010. Abrir espacios para la seguridad ciudadana y el desarrollo humano, </w:t>
      </w:r>
      <w:r w:rsidRPr="00432ABC">
        <w:rPr>
          <w:rFonts w:ascii="Verdana" w:hAnsi="Verdana"/>
          <w:sz w:val="16"/>
          <w:szCs w:val="16"/>
        </w:rPr>
        <w:t>pág. 31</w:t>
      </w:r>
      <w:r w:rsidRPr="00432ABC">
        <w:rPr>
          <w:rFonts w:ascii="Verdana" w:hAnsi="Verdana"/>
          <w:i/>
          <w:sz w:val="16"/>
          <w:szCs w:val="16"/>
        </w:rPr>
        <w:t xml:space="preserve">. </w:t>
      </w:r>
      <w:r w:rsidRPr="00432ABC">
        <w:rPr>
          <w:rFonts w:ascii="Verdana" w:hAnsi="Verdana"/>
          <w:sz w:val="16"/>
          <w:szCs w:val="16"/>
          <w:lang w:val="es-SV"/>
        </w:rPr>
        <w:t xml:space="preserve">Asimismo, véanse: OEA. Asamblea General, </w:t>
      </w:r>
      <w:r w:rsidRPr="00432ABC">
        <w:rPr>
          <w:rFonts w:ascii="Verdana" w:hAnsi="Verdana"/>
          <w:i/>
          <w:sz w:val="16"/>
          <w:szCs w:val="16"/>
          <w:lang w:val="es-SV"/>
        </w:rPr>
        <w:t xml:space="preserve"> </w:t>
      </w:r>
      <w:r w:rsidRPr="00432ABC">
        <w:rPr>
          <w:rFonts w:ascii="Verdana" w:hAnsi="Verdana"/>
          <w:bCs/>
          <w:i/>
          <w:sz w:val="16"/>
          <w:szCs w:val="16"/>
          <w:lang w:val="es-SV"/>
        </w:rPr>
        <w:t xml:space="preserve">Los Conceptos de Seguridad Pública y Seguridad Ciudadana en el ámbito de la OEA, </w:t>
      </w:r>
      <w:r w:rsidRPr="00432ABC">
        <w:rPr>
          <w:rFonts w:ascii="Verdana" w:hAnsi="Verdana"/>
          <w:bCs/>
          <w:sz w:val="16"/>
          <w:szCs w:val="16"/>
          <w:lang w:val="es-ES"/>
        </w:rPr>
        <w:t xml:space="preserve">OEA/Ser.P </w:t>
      </w:r>
      <w:r w:rsidRPr="00432ABC">
        <w:rPr>
          <w:rFonts w:ascii="Verdana" w:hAnsi="Verdana"/>
          <w:bCs/>
          <w:sz w:val="16"/>
          <w:szCs w:val="16"/>
          <w:lang w:val="es-AR"/>
        </w:rPr>
        <w:t>AG/CP/GTDSS-13/11</w:t>
      </w:r>
      <w:r w:rsidRPr="00432ABC">
        <w:rPr>
          <w:rFonts w:ascii="Verdana" w:hAnsi="Verdana"/>
          <w:sz w:val="16"/>
          <w:szCs w:val="16"/>
          <w:lang w:val="es-SV"/>
        </w:rPr>
        <w:t xml:space="preserve">. Documento elaborado por la Secretaría de Seguridad Multidimensional y </w:t>
      </w:r>
      <w:r w:rsidRPr="00432ABC">
        <w:rPr>
          <w:rFonts w:ascii="Verdana" w:eastAsia="Times New Roman" w:hAnsi="Verdana" w:cs="Times New Roman"/>
          <w:sz w:val="16"/>
          <w:szCs w:val="16"/>
          <w:lang w:val="es-ES"/>
        </w:rPr>
        <w:t xml:space="preserve">aprobado el </w:t>
      </w:r>
      <w:r w:rsidRPr="00432ABC">
        <w:rPr>
          <w:rFonts w:ascii="Verdana" w:hAnsi="Verdana"/>
          <w:sz w:val="16"/>
          <w:szCs w:val="16"/>
          <w:lang w:val="es-SV"/>
        </w:rPr>
        <w:t>11 de mayo de 2011</w:t>
      </w:r>
      <w:r w:rsidRPr="00432ABC">
        <w:rPr>
          <w:rFonts w:ascii="Verdana" w:eastAsia="Times New Roman" w:hAnsi="Verdana" w:cs="Times New Roman"/>
          <w:sz w:val="16"/>
          <w:szCs w:val="16"/>
          <w:lang w:val="es-ES"/>
        </w:rPr>
        <w:t xml:space="preserve"> en el </w:t>
      </w:r>
      <w:r w:rsidRPr="00432ABC">
        <w:rPr>
          <w:rFonts w:ascii="Verdana" w:hAnsi="Verdana"/>
          <w:sz w:val="16"/>
          <w:szCs w:val="16"/>
          <w:lang w:val="es-ES"/>
        </w:rPr>
        <w:t xml:space="preserve">Cuadragésimo primer período ordinario de sesiones. Asimismo: OEA, </w:t>
      </w:r>
      <w:r w:rsidRPr="00432ABC">
        <w:rPr>
          <w:rFonts w:ascii="Verdana" w:hAnsi="Verdana"/>
          <w:i/>
          <w:sz w:val="16"/>
          <w:szCs w:val="16"/>
          <w:lang w:val="es-SV"/>
        </w:rPr>
        <w:t>Fortalecimiento de la Seguridad Ciudadana</w:t>
      </w:r>
      <w:r w:rsidRPr="00432ABC">
        <w:rPr>
          <w:rFonts w:ascii="Verdana" w:hAnsi="Verdana"/>
          <w:sz w:val="16"/>
          <w:szCs w:val="16"/>
          <w:lang w:val="es-SV"/>
        </w:rPr>
        <w:t xml:space="preserve">, Resolución de la Asamblea General AG/RES. 1380 (XXVI-0/90). Aprobada el 6 de junio de 1996 en la séptima sesión plenaria del XXV período ordinario de sesiones; </w:t>
      </w:r>
      <w:r w:rsidRPr="00432ABC">
        <w:rPr>
          <w:rFonts w:ascii="Verdana" w:hAnsi="Verdana"/>
          <w:i/>
          <w:sz w:val="16"/>
          <w:szCs w:val="16"/>
          <w:lang w:val="es-ES"/>
        </w:rPr>
        <w:t>Declaración sobre Seguridad en las Américas</w:t>
      </w:r>
      <w:r w:rsidRPr="00432ABC">
        <w:rPr>
          <w:rFonts w:ascii="Verdana" w:hAnsi="Verdana"/>
          <w:sz w:val="16"/>
          <w:szCs w:val="16"/>
          <w:lang w:val="es-ES"/>
        </w:rPr>
        <w:t xml:space="preserve">, </w:t>
      </w:r>
      <w:r w:rsidRPr="00432ABC">
        <w:rPr>
          <w:rFonts w:ascii="Verdana" w:hAnsi="Verdana"/>
          <w:sz w:val="16"/>
          <w:szCs w:val="16"/>
          <w:lang w:val="es-ES_tradnl"/>
        </w:rPr>
        <w:t xml:space="preserve">OEA/Ser.K/XXXVIII, CES/dec.1/03 rev. 1. </w:t>
      </w:r>
      <w:r w:rsidRPr="00432ABC">
        <w:rPr>
          <w:rFonts w:ascii="Verdana" w:hAnsi="Verdana"/>
          <w:sz w:val="16"/>
          <w:szCs w:val="16"/>
          <w:lang w:val="es-ES"/>
        </w:rPr>
        <w:t>Aprobada el 28 de octubre de 2003 en la tercera sesión plenaria de la Conferencia Especial sobre Seguridad celebrada en la Ciudad de México, y</w:t>
      </w:r>
      <w:r w:rsidRPr="00432ABC">
        <w:rPr>
          <w:rFonts w:ascii="Verdana" w:hAnsi="Verdana"/>
          <w:i/>
          <w:sz w:val="16"/>
          <w:szCs w:val="16"/>
          <w:lang w:val="es-ES"/>
        </w:rPr>
        <w:t xml:space="preserve"> Compromiso por la seguridad en las Américas,</w:t>
      </w:r>
      <w:r w:rsidRPr="00432ABC">
        <w:rPr>
          <w:rFonts w:ascii="Verdana" w:hAnsi="Verdana"/>
          <w:sz w:val="16"/>
          <w:szCs w:val="16"/>
          <w:lang w:val="es-ES"/>
        </w:rPr>
        <w:t xml:space="preserve"> </w:t>
      </w:r>
      <w:r w:rsidRPr="00432ABC">
        <w:rPr>
          <w:rFonts w:ascii="Verdana" w:hAnsi="Verdana"/>
          <w:sz w:val="16"/>
          <w:szCs w:val="16"/>
          <w:lang w:val="es-VE"/>
        </w:rPr>
        <w:t>OEA/Ser.K/XLIX.1</w:t>
      </w:r>
      <w:r w:rsidRPr="00432ABC">
        <w:rPr>
          <w:rFonts w:ascii="Verdana" w:eastAsia="Times New Roman" w:hAnsi="Verdana" w:cs="Times New Roman"/>
          <w:sz w:val="16"/>
          <w:szCs w:val="16"/>
          <w:lang w:val="es-VE"/>
        </w:rPr>
        <w:t xml:space="preserve"> </w:t>
      </w:r>
      <w:r w:rsidRPr="00432ABC">
        <w:rPr>
          <w:rFonts w:ascii="Verdana" w:hAnsi="Verdana"/>
          <w:sz w:val="16"/>
          <w:szCs w:val="16"/>
          <w:lang w:val="es-VE"/>
        </w:rPr>
        <w:t>MISPA/doc. 7</w:t>
      </w:r>
      <w:r w:rsidRPr="00432ABC">
        <w:rPr>
          <w:rFonts w:ascii="Verdana" w:hAnsi="Verdana"/>
          <w:sz w:val="16"/>
          <w:szCs w:val="16"/>
          <w:lang w:val="es-CO"/>
        </w:rPr>
        <w:t>/08 rev. 4.</w:t>
      </w:r>
      <w:r w:rsidRPr="00432ABC">
        <w:rPr>
          <w:rFonts w:ascii="Verdana" w:hAnsi="Verdana"/>
          <w:sz w:val="16"/>
          <w:szCs w:val="16"/>
          <w:lang w:val="es-VE"/>
        </w:rPr>
        <w:t xml:space="preserve"> </w:t>
      </w:r>
      <w:r w:rsidRPr="00432ABC">
        <w:rPr>
          <w:rFonts w:ascii="Verdana" w:hAnsi="Verdana"/>
          <w:sz w:val="16"/>
          <w:szCs w:val="16"/>
        </w:rPr>
        <w:t xml:space="preserve">Aprobado el 8 de octubre de 2008 en la séptima sesión plenaria celebrada </w:t>
      </w:r>
      <w:r w:rsidRPr="00432ABC">
        <w:rPr>
          <w:rFonts w:ascii="Verdana" w:hAnsi="Verdana"/>
          <w:sz w:val="16"/>
          <w:szCs w:val="16"/>
          <w:lang w:val="es-ES"/>
        </w:rPr>
        <w:t>en la Ciudad de México</w:t>
      </w:r>
      <w:r w:rsidRPr="00432ABC">
        <w:rPr>
          <w:rFonts w:ascii="Verdana" w:hAnsi="Verdana"/>
          <w:sz w:val="16"/>
          <w:szCs w:val="16"/>
        </w:rPr>
        <w:t>.</w:t>
      </w:r>
      <w:r w:rsidRPr="008E093E">
        <w:rPr>
          <w:rFonts w:ascii="Verdana" w:hAnsi="Verdana" w:hint="eastAsia"/>
          <w:sz w:val="16"/>
          <w:szCs w:val="16"/>
        </w:rPr>
        <w:t>∞</w:t>
      </w:r>
    </w:p>
  </w:footnote>
  <w:footnote w:id="394">
    <w:p w14:paraId="513FC889" w14:textId="307A4CE2" w:rsidR="00146958" w:rsidRPr="00432ABC" w:rsidRDefault="00146958">
      <w:pPr>
        <w:pStyle w:val="FootnoteText"/>
        <w:jc w:val="both"/>
        <w:rPr>
          <w:rFonts w:ascii="Verdana" w:hAnsi="Verdana"/>
          <w:sz w:val="16"/>
          <w:szCs w:val="16"/>
        </w:rPr>
      </w:pPr>
      <w:r w:rsidRPr="00432ABC">
        <w:rPr>
          <w:rStyle w:val="FootnoteReference"/>
          <w:rFonts w:ascii="Verdana" w:hAnsi="Verdana"/>
          <w:sz w:val="16"/>
          <w:szCs w:val="16"/>
        </w:rPr>
        <w:footnoteRef/>
      </w:r>
      <w:r w:rsidRPr="00432ABC">
        <w:rPr>
          <w:rFonts w:ascii="Verdana" w:hAnsi="Verdana"/>
          <w:sz w:val="16"/>
          <w:szCs w:val="16"/>
        </w:rPr>
        <w:t xml:space="preserve"> </w:t>
      </w:r>
      <w:r w:rsidRPr="00432ABC">
        <w:rPr>
          <w:rFonts w:ascii="Verdana" w:hAnsi="Verdana"/>
          <w:sz w:val="16"/>
          <w:szCs w:val="16"/>
        </w:rPr>
        <w:tab/>
      </w:r>
      <w:r w:rsidRPr="00CD5C54">
        <w:rPr>
          <w:rFonts w:ascii="Verdana" w:hAnsi="Verdana"/>
          <w:i/>
          <w:sz w:val="16"/>
          <w:szCs w:val="16"/>
        </w:rPr>
        <w:t>Cfr.</w:t>
      </w:r>
      <w:r w:rsidRPr="002C462C">
        <w:rPr>
          <w:rFonts w:ascii="Verdana" w:hAnsi="Verdana"/>
          <w:sz w:val="16"/>
          <w:szCs w:val="16"/>
        </w:rPr>
        <w:t xml:space="preserve"> </w:t>
      </w:r>
      <w:r w:rsidRPr="00432ABC">
        <w:rPr>
          <w:rStyle w:val="Strong"/>
          <w:rFonts w:ascii="Verdana" w:hAnsi="Verdana"/>
          <w:b w:val="0"/>
          <w:i/>
          <w:color w:val="000000"/>
          <w:sz w:val="16"/>
          <w:szCs w:val="16"/>
          <w:shd w:val="clear" w:color="auto" w:fill="FFFFFF"/>
        </w:rPr>
        <w:t>Caso Velásquez Rodríguez Vs. Honduras</w:t>
      </w:r>
      <w:r w:rsidRPr="00E2037B">
        <w:rPr>
          <w:rStyle w:val="Strong"/>
          <w:rFonts w:ascii="Verdana" w:hAnsi="Verdana"/>
          <w:b w:val="0"/>
          <w:color w:val="000000"/>
          <w:sz w:val="16"/>
          <w:szCs w:val="16"/>
          <w:shd w:val="clear" w:color="auto" w:fill="FFFFFF"/>
        </w:rPr>
        <w:t>,</w:t>
      </w:r>
      <w:r>
        <w:rPr>
          <w:rStyle w:val="Strong"/>
          <w:rFonts w:ascii="Verdana" w:hAnsi="Verdana"/>
          <w:b w:val="0"/>
          <w:color w:val="000000"/>
          <w:sz w:val="16"/>
          <w:szCs w:val="16"/>
          <w:shd w:val="clear" w:color="auto" w:fill="FFFFFF"/>
        </w:rPr>
        <w:t xml:space="preserve"> </w:t>
      </w:r>
      <w:r w:rsidRPr="008D0846">
        <w:rPr>
          <w:rStyle w:val="Strong"/>
          <w:rFonts w:ascii="Verdana" w:hAnsi="Verdana"/>
          <w:b w:val="0"/>
          <w:i/>
          <w:color w:val="000000"/>
          <w:sz w:val="16"/>
          <w:szCs w:val="16"/>
          <w:shd w:val="clear" w:color="auto" w:fill="FFFFFF"/>
        </w:rPr>
        <w:t>Fondo,</w:t>
      </w:r>
      <w:r>
        <w:rPr>
          <w:rStyle w:val="Strong"/>
          <w:rFonts w:ascii="Verdana" w:hAnsi="Verdana"/>
          <w:b w:val="0"/>
          <w:color w:val="000000"/>
          <w:sz w:val="16"/>
          <w:szCs w:val="16"/>
          <w:shd w:val="clear" w:color="auto" w:fill="FFFFFF"/>
        </w:rPr>
        <w:t xml:space="preserve"> </w:t>
      </w:r>
      <w:r>
        <w:rPr>
          <w:rStyle w:val="Strong"/>
          <w:rFonts w:ascii="Verdana" w:hAnsi="Verdana"/>
          <w:b w:val="0"/>
          <w:i/>
          <w:color w:val="000000"/>
          <w:sz w:val="16"/>
          <w:szCs w:val="16"/>
          <w:shd w:val="clear" w:color="auto" w:fill="FFFFFF"/>
        </w:rPr>
        <w:t>supra</w:t>
      </w:r>
      <w:r>
        <w:rPr>
          <w:rFonts w:ascii="Verdana" w:hAnsi="Verdana"/>
          <w:sz w:val="16"/>
          <w:szCs w:val="16"/>
        </w:rPr>
        <w:t>,</w:t>
      </w:r>
      <w:r w:rsidRPr="00432ABC">
        <w:rPr>
          <w:rFonts w:ascii="Verdana" w:hAnsi="Verdana"/>
          <w:sz w:val="16"/>
          <w:szCs w:val="16"/>
        </w:rPr>
        <w:t xml:space="preserve"> párr. 154, y </w:t>
      </w:r>
      <w:r w:rsidRPr="00432ABC">
        <w:rPr>
          <w:rStyle w:val="Strong"/>
          <w:rFonts w:ascii="Verdana" w:hAnsi="Verdana"/>
          <w:b w:val="0"/>
          <w:i/>
          <w:color w:val="000000"/>
          <w:sz w:val="16"/>
          <w:szCs w:val="16"/>
          <w:shd w:val="clear" w:color="auto" w:fill="FFFFFF"/>
        </w:rPr>
        <w:t>Caso del Penal Miguel Castro Castro Vs. Perú. Fondo, Reparaciones y Costas</w:t>
      </w:r>
      <w:r w:rsidRPr="00432ABC">
        <w:rPr>
          <w:rStyle w:val="Strong"/>
          <w:rFonts w:ascii="Verdana" w:hAnsi="Verdana"/>
          <w:b w:val="0"/>
          <w:color w:val="000000"/>
          <w:sz w:val="16"/>
          <w:szCs w:val="16"/>
          <w:shd w:val="clear" w:color="auto" w:fill="FFFFFF"/>
        </w:rPr>
        <w:t>. Sentencia de 25 de noviembre de 2006. Serie C No. 160</w:t>
      </w:r>
      <w:r w:rsidRPr="00432ABC">
        <w:rPr>
          <w:rFonts w:ascii="Verdana" w:hAnsi="Verdana"/>
          <w:sz w:val="16"/>
          <w:szCs w:val="16"/>
        </w:rPr>
        <w:t xml:space="preserve">, párr. 240.  </w:t>
      </w:r>
    </w:p>
  </w:footnote>
  <w:footnote w:id="395">
    <w:p w14:paraId="6ACD499B" w14:textId="2F998F4F" w:rsidR="00146958" w:rsidRPr="00350912" w:rsidRDefault="00146958" w:rsidP="00350912">
      <w:pPr>
        <w:pStyle w:val="FootnoteText"/>
        <w:jc w:val="both"/>
        <w:rPr>
          <w:rFonts w:ascii="Verdana" w:hAnsi="Verdana"/>
          <w:bCs/>
          <w:sz w:val="16"/>
          <w:szCs w:val="16"/>
          <w:lang w:val="es-CR"/>
        </w:rPr>
      </w:pPr>
      <w:r w:rsidRPr="002200ED">
        <w:rPr>
          <w:rStyle w:val="FootnoteReference"/>
          <w:rFonts w:ascii="Verdana" w:hAnsi="Verdana"/>
          <w:sz w:val="16"/>
          <w:szCs w:val="16"/>
        </w:rPr>
        <w:footnoteRef/>
      </w:r>
      <w:r w:rsidRPr="002200ED">
        <w:rPr>
          <w:rFonts w:ascii="Verdana" w:hAnsi="Verdana"/>
          <w:sz w:val="16"/>
          <w:szCs w:val="16"/>
        </w:rPr>
        <w:t xml:space="preserve"> </w:t>
      </w:r>
      <w:r>
        <w:tab/>
      </w:r>
      <w:r w:rsidRPr="00CD5C54">
        <w:rPr>
          <w:rFonts w:ascii="Verdana" w:hAnsi="Verdana"/>
          <w:i/>
          <w:sz w:val="16"/>
          <w:szCs w:val="16"/>
        </w:rPr>
        <w:t>Cfr.</w:t>
      </w:r>
      <w:r w:rsidRPr="00350912">
        <w:rPr>
          <w:rFonts w:ascii="Verdana" w:hAnsi="Verdana"/>
          <w:i/>
          <w:sz w:val="16"/>
          <w:szCs w:val="16"/>
        </w:rPr>
        <w:t xml:space="preserve"> </w:t>
      </w:r>
      <w:r w:rsidRPr="00350912">
        <w:rPr>
          <w:rFonts w:ascii="Verdana" w:hAnsi="Verdana"/>
          <w:bCs/>
          <w:i/>
          <w:sz w:val="16"/>
          <w:szCs w:val="16"/>
        </w:rPr>
        <w:t>Opinión Consultiva OC-5/85 de 13 de noviembre de 1985. Serie A No. 5</w:t>
      </w:r>
      <w:r w:rsidRPr="00350912">
        <w:rPr>
          <w:rFonts w:ascii="Verdana" w:hAnsi="Verdana"/>
          <w:sz w:val="16"/>
          <w:szCs w:val="16"/>
        </w:rPr>
        <w:t xml:space="preserve">, párr. 46; </w:t>
      </w:r>
      <w:r w:rsidRPr="00350912">
        <w:rPr>
          <w:rFonts w:ascii="Verdana" w:hAnsi="Verdana"/>
          <w:i/>
          <w:iCs/>
          <w:sz w:val="16"/>
          <w:szCs w:val="16"/>
        </w:rPr>
        <w:t>Garantías judiciales en estados de emergencia (Arts. 27.2, 25 y 8 Convención Am</w:t>
      </w:r>
      <w:r>
        <w:rPr>
          <w:rFonts w:ascii="Verdana" w:hAnsi="Verdana"/>
          <w:i/>
          <w:iCs/>
          <w:sz w:val="16"/>
          <w:szCs w:val="16"/>
        </w:rPr>
        <w:t>ericana sobre Derechos Humanos).</w:t>
      </w:r>
      <w:r w:rsidRPr="00350912">
        <w:rPr>
          <w:rFonts w:ascii="Verdana" w:hAnsi="Verdana"/>
          <w:i/>
          <w:iCs/>
          <w:sz w:val="16"/>
          <w:szCs w:val="16"/>
        </w:rPr>
        <w:t xml:space="preserve"> Opinión Consultiva OC-9/87 </w:t>
      </w:r>
      <w:r w:rsidRPr="00350912">
        <w:rPr>
          <w:rFonts w:ascii="Verdana" w:hAnsi="Verdana"/>
          <w:sz w:val="16"/>
          <w:szCs w:val="16"/>
        </w:rPr>
        <w:t xml:space="preserve">de 6 de octubre de 1987. Serie A No. 9, párr. 35; </w:t>
      </w:r>
      <w:r w:rsidRPr="00350912">
        <w:rPr>
          <w:rFonts w:ascii="Verdana" w:hAnsi="Verdana"/>
          <w:i/>
          <w:iCs/>
          <w:sz w:val="16"/>
          <w:szCs w:val="16"/>
        </w:rPr>
        <w:t>El Hábeas Corpus Bajo Suspensión de Garantías (arts. 27.2, 25.1 y 7.6 Convención Am</w:t>
      </w:r>
      <w:r>
        <w:rPr>
          <w:rFonts w:ascii="Verdana" w:hAnsi="Verdana"/>
          <w:i/>
          <w:iCs/>
          <w:sz w:val="16"/>
          <w:szCs w:val="16"/>
        </w:rPr>
        <w:t>ericana sobre Derechos Humanos), y</w:t>
      </w:r>
      <w:r w:rsidRPr="00350912">
        <w:rPr>
          <w:rFonts w:ascii="Verdana" w:hAnsi="Verdana"/>
          <w:i/>
          <w:iCs/>
          <w:sz w:val="16"/>
          <w:szCs w:val="16"/>
        </w:rPr>
        <w:t xml:space="preserve"> Opinión Consultiva OC-8/87</w:t>
      </w:r>
      <w:r w:rsidRPr="00350912">
        <w:rPr>
          <w:rFonts w:ascii="Verdana" w:hAnsi="Verdana"/>
          <w:sz w:val="16"/>
          <w:szCs w:val="16"/>
        </w:rPr>
        <w:t xml:space="preserve"> del 30 de enero de 1987. Serie A No. 8, párr. 26. Por su parte, de conformidad</w:t>
      </w:r>
      <w:r w:rsidRPr="00432ABC">
        <w:rPr>
          <w:rFonts w:ascii="Verdana" w:hAnsi="Verdana"/>
          <w:sz w:val="16"/>
          <w:szCs w:val="16"/>
        </w:rPr>
        <w:t xml:space="preserve"> con el artículo 30 de la Convención Americana, las restricciones a los derechos deben encontrarse previstas en una ley, no ser discriminatorias, basarse en criterios razonables, atender a un propósito útil y oportuno que las torne necesaria para satisfacer un interés público imperativo y ser proporcionales a ese objetivo.</w:t>
      </w:r>
      <w:r>
        <w:rPr>
          <w:rFonts w:ascii="Verdana" w:hAnsi="Verdana"/>
          <w:sz w:val="16"/>
          <w:szCs w:val="16"/>
        </w:rPr>
        <w:t xml:space="preserve"> Ver también: </w:t>
      </w:r>
      <w:r w:rsidRPr="00B7376E">
        <w:rPr>
          <w:rFonts w:ascii="Verdana" w:hAnsi="Verdana"/>
          <w:sz w:val="16"/>
          <w:szCs w:val="16"/>
          <w:lang w:val="es-CR"/>
        </w:rPr>
        <w:t xml:space="preserve">ONU, Comité de Derechos Humanos, </w:t>
      </w:r>
      <w:r w:rsidRPr="00B7376E">
        <w:rPr>
          <w:rFonts w:ascii="Verdana" w:hAnsi="Verdana"/>
          <w:i/>
          <w:sz w:val="16"/>
          <w:szCs w:val="16"/>
          <w:lang w:val="es-CR"/>
        </w:rPr>
        <w:t>Observación General Nº 27, Libertad de circulación (art. 12)</w:t>
      </w:r>
      <w:r w:rsidRPr="00B7376E">
        <w:rPr>
          <w:rFonts w:ascii="Verdana" w:hAnsi="Verdana"/>
          <w:sz w:val="16"/>
          <w:szCs w:val="16"/>
          <w:lang w:val="es-CR"/>
        </w:rPr>
        <w:t xml:space="preserve"> de 2 de noviembre de 1999, párr. 11.</w:t>
      </w:r>
      <w:r>
        <w:rPr>
          <w:rFonts w:ascii="Verdana" w:hAnsi="Verdana"/>
          <w:sz w:val="16"/>
          <w:szCs w:val="16"/>
          <w:lang w:val="es-CR"/>
        </w:rPr>
        <w:t xml:space="preserve"> </w:t>
      </w:r>
      <w:r w:rsidRPr="00CD5C54">
        <w:rPr>
          <w:rFonts w:ascii="Verdana" w:hAnsi="Verdana"/>
          <w:bCs/>
          <w:i/>
          <w:sz w:val="16"/>
          <w:szCs w:val="16"/>
          <w:lang w:val="es-CR"/>
        </w:rPr>
        <w:t>Cfr.</w:t>
      </w:r>
      <w:r w:rsidRPr="00432ABC">
        <w:rPr>
          <w:rFonts w:ascii="Verdana" w:hAnsi="Verdana"/>
          <w:bCs/>
          <w:sz w:val="16"/>
          <w:szCs w:val="16"/>
          <w:lang w:val="es-CR"/>
        </w:rPr>
        <w:t xml:space="preserve"> ONU. Comisión de Derechos Humanos, </w:t>
      </w:r>
      <w:r w:rsidRPr="00432ABC">
        <w:rPr>
          <w:rFonts w:ascii="Verdana" w:hAnsi="Verdana"/>
          <w:bCs/>
          <w:i/>
          <w:sz w:val="16"/>
          <w:szCs w:val="16"/>
          <w:lang w:val="es-CR"/>
        </w:rPr>
        <w:t xml:space="preserve">Principios de Siracusa sobre las disposiciones de limitación y derogación del Pacto Internacional de Derechos Civiles y Políticos </w:t>
      </w:r>
      <w:r w:rsidRPr="00432ABC">
        <w:rPr>
          <w:rFonts w:ascii="Verdana" w:hAnsi="Verdana"/>
          <w:bCs/>
          <w:sz w:val="16"/>
          <w:szCs w:val="16"/>
          <w:lang w:val="es-CR"/>
        </w:rPr>
        <w:t xml:space="preserve">[PIDCP], E/CN.4/1985/4, 28 de septiembre de 1984, principio 21. </w:t>
      </w:r>
    </w:p>
  </w:footnote>
  <w:footnote w:id="396">
    <w:p w14:paraId="204E88B4" w14:textId="7BAA6D1E" w:rsidR="00146958" w:rsidRPr="008D0846" w:rsidRDefault="00146958">
      <w:pPr>
        <w:pStyle w:val="FootnoteText"/>
        <w:jc w:val="both"/>
        <w:rPr>
          <w:rFonts w:ascii="Verdana" w:hAnsi="Verdana"/>
          <w:sz w:val="16"/>
          <w:szCs w:val="16"/>
          <w:lang w:val="es-CR"/>
        </w:rPr>
      </w:pPr>
      <w:r w:rsidRPr="00432ABC">
        <w:rPr>
          <w:rStyle w:val="FootnoteReference"/>
          <w:rFonts w:ascii="Verdana" w:hAnsi="Verdana"/>
          <w:sz w:val="16"/>
          <w:szCs w:val="16"/>
        </w:rPr>
        <w:footnoteRef/>
      </w:r>
      <w:r w:rsidRPr="00432ABC">
        <w:rPr>
          <w:rFonts w:ascii="Verdana" w:hAnsi="Verdana"/>
          <w:sz w:val="16"/>
          <w:szCs w:val="16"/>
        </w:rPr>
        <w:t xml:space="preserve"> </w:t>
      </w:r>
      <w:r w:rsidRPr="00432ABC">
        <w:rPr>
          <w:rFonts w:ascii="Verdana" w:hAnsi="Verdana"/>
          <w:sz w:val="16"/>
          <w:szCs w:val="16"/>
        </w:rPr>
        <w:tab/>
        <w:t xml:space="preserve">Acerca de dicha caracterización, </w:t>
      </w:r>
      <w:r w:rsidRPr="00CD5C54">
        <w:rPr>
          <w:rFonts w:ascii="Verdana" w:hAnsi="Verdana"/>
          <w:i/>
          <w:sz w:val="16"/>
          <w:szCs w:val="16"/>
        </w:rPr>
        <w:t>Cfr.</w:t>
      </w:r>
      <w:r w:rsidRPr="002C462C">
        <w:rPr>
          <w:rFonts w:ascii="Verdana" w:hAnsi="Verdana"/>
          <w:sz w:val="16"/>
          <w:szCs w:val="16"/>
        </w:rPr>
        <w:t>:</w:t>
      </w:r>
      <w:r w:rsidRPr="00432ABC">
        <w:rPr>
          <w:rFonts w:ascii="Verdana" w:hAnsi="Verdana"/>
          <w:sz w:val="16"/>
          <w:szCs w:val="16"/>
          <w:lang w:val="es-SV"/>
        </w:rPr>
        <w:t xml:space="preserve"> OEA. Asamblea General, </w:t>
      </w:r>
      <w:r w:rsidRPr="00432ABC">
        <w:rPr>
          <w:rFonts w:ascii="Verdana" w:hAnsi="Verdana"/>
          <w:i/>
          <w:sz w:val="16"/>
          <w:szCs w:val="16"/>
          <w:lang w:val="es-SV"/>
        </w:rPr>
        <w:t xml:space="preserve"> </w:t>
      </w:r>
      <w:r w:rsidRPr="00432ABC">
        <w:rPr>
          <w:rFonts w:ascii="Verdana" w:hAnsi="Verdana"/>
          <w:bCs/>
          <w:i/>
          <w:sz w:val="16"/>
          <w:szCs w:val="16"/>
          <w:lang w:val="es-SV"/>
        </w:rPr>
        <w:t>Los Conceptos de Seguridad Pública y Seguridad Ciudadana en el ámbito de la OEA</w:t>
      </w:r>
      <w:r w:rsidRPr="00432ABC">
        <w:rPr>
          <w:rFonts w:ascii="Verdana" w:hAnsi="Verdana"/>
          <w:sz w:val="16"/>
          <w:szCs w:val="16"/>
        </w:rPr>
        <w:t xml:space="preserve">, </w:t>
      </w:r>
      <w:r w:rsidRPr="00432ABC">
        <w:rPr>
          <w:rFonts w:ascii="Verdana" w:hAnsi="Verdana"/>
          <w:i/>
          <w:sz w:val="16"/>
          <w:szCs w:val="16"/>
        </w:rPr>
        <w:t xml:space="preserve">supra, </w:t>
      </w:r>
      <w:r w:rsidRPr="00432ABC">
        <w:rPr>
          <w:rFonts w:ascii="Verdana" w:hAnsi="Verdana"/>
          <w:sz w:val="16"/>
          <w:szCs w:val="16"/>
        </w:rPr>
        <w:t xml:space="preserve">pág. 2; OEA. Secretaría General, </w:t>
      </w:r>
      <w:r w:rsidRPr="00432ABC">
        <w:rPr>
          <w:rFonts w:ascii="Verdana" w:hAnsi="Verdana"/>
          <w:i/>
          <w:sz w:val="16"/>
          <w:szCs w:val="16"/>
        </w:rPr>
        <w:t xml:space="preserve">La Seguridad Pública en las Américas: Retos y Oportunidades, </w:t>
      </w:r>
      <w:r w:rsidRPr="00432ABC">
        <w:rPr>
          <w:rFonts w:ascii="Verdana" w:hAnsi="Verdana"/>
          <w:sz w:val="16"/>
          <w:szCs w:val="16"/>
        </w:rPr>
        <w:t xml:space="preserve">OEA/ Ser.D/ XXV.2, 2008, págs. 45 a 46; Programa de las Naciones Unidas para el Desarrollo [PNUD]. </w:t>
      </w:r>
      <w:r w:rsidRPr="00432ABC">
        <w:rPr>
          <w:rFonts w:ascii="Verdana" w:hAnsi="Verdana"/>
          <w:i/>
          <w:sz w:val="16"/>
          <w:szCs w:val="16"/>
        </w:rPr>
        <w:t xml:space="preserve">Informe Regional de Desarrollo Humano 2013-2014. Seguridad ciudadana con rostro humano: diagnóstico y propuestas para América Latina,  </w:t>
      </w:r>
      <w:r w:rsidRPr="00432ABC">
        <w:rPr>
          <w:rFonts w:ascii="Verdana" w:hAnsi="Verdana"/>
          <w:sz w:val="16"/>
          <w:szCs w:val="16"/>
        </w:rPr>
        <w:t xml:space="preserve">noviembre de 2013, pág. 76. Disponible en: </w:t>
      </w:r>
      <w:hyperlink r:id="rId37" w:history="1">
        <w:r w:rsidRPr="00432ABC">
          <w:rPr>
            <w:rStyle w:val="Hyperlink"/>
            <w:rFonts w:ascii="Verdana" w:hAnsi="Verdana"/>
            <w:sz w:val="16"/>
            <w:szCs w:val="16"/>
          </w:rPr>
          <w:t>http://www.undp.org/content/dam/rblac/img/IDH/IDH-AL%20Informe%20completo.pdf</w:t>
        </w:r>
      </w:hyperlink>
      <w:r w:rsidRPr="00432ABC">
        <w:rPr>
          <w:rFonts w:ascii="Verdana" w:hAnsi="Verdana"/>
          <w:sz w:val="16"/>
          <w:szCs w:val="16"/>
        </w:rPr>
        <w:t>; Banco Mund</w:t>
      </w:r>
      <w:r w:rsidRPr="002C462C">
        <w:rPr>
          <w:rFonts w:ascii="Verdana" w:hAnsi="Verdana"/>
          <w:sz w:val="16"/>
          <w:szCs w:val="16"/>
        </w:rPr>
        <w:t xml:space="preserve">ial </w:t>
      </w:r>
      <w:r w:rsidRPr="002C462C">
        <w:rPr>
          <w:rFonts w:ascii="Verdana" w:hAnsi="Verdana"/>
          <w:i/>
          <w:sz w:val="16"/>
          <w:szCs w:val="16"/>
        </w:rPr>
        <w:t xml:space="preserve">Violence in the City. </w:t>
      </w:r>
      <w:r w:rsidRPr="00432ABC">
        <w:rPr>
          <w:rFonts w:ascii="Verdana" w:hAnsi="Verdana"/>
          <w:i/>
          <w:sz w:val="16"/>
          <w:szCs w:val="16"/>
          <w:lang w:val="en-US"/>
        </w:rPr>
        <w:t>Understanding and Supporting Community Responses to Urban Violence</w:t>
      </w:r>
      <w:r w:rsidRPr="00432ABC">
        <w:rPr>
          <w:rFonts w:ascii="Verdana" w:hAnsi="Verdana"/>
          <w:sz w:val="16"/>
          <w:szCs w:val="16"/>
          <w:lang w:val="en-US"/>
        </w:rPr>
        <w:t xml:space="preserve">, 2011, y Foro Económico Mundial, </w:t>
      </w:r>
      <w:r w:rsidRPr="00432ABC">
        <w:rPr>
          <w:rFonts w:ascii="Verdana" w:hAnsi="Verdana"/>
          <w:i/>
          <w:sz w:val="16"/>
          <w:szCs w:val="16"/>
          <w:lang w:val="en-US"/>
        </w:rPr>
        <w:t>The Global Competitiveness Report 2012-2013, 2012</w:t>
      </w:r>
      <w:r w:rsidRPr="00432ABC">
        <w:rPr>
          <w:rFonts w:ascii="Verdana" w:hAnsi="Verdana"/>
          <w:sz w:val="16"/>
          <w:szCs w:val="16"/>
          <w:lang w:val="en-US"/>
        </w:rPr>
        <w:t xml:space="preserve">, Ginebra. </w:t>
      </w:r>
      <w:r w:rsidRPr="008D0846">
        <w:rPr>
          <w:rFonts w:ascii="Verdana" w:hAnsi="Verdana"/>
          <w:sz w:val="16"/>
          <w:szCs w:val="16"/>
          <w:lang w:val="es-CR"/>
        </w:rPr>
        <w:t xml:space="preserve">Disponible en </w:t>
      </w:r>
      <w:hyperlink r:id="rId38" w:history="1">
        <w:r w:rsidRPr="008D0846">
          <w:rPr>
            <w:rStyle w:val="Hyperlink"/>
            <w:rFonts w:ascii="Verdana" w:hAnsi="Verdana"/>
            <w:sz w:val="16"/>
            <w:szCs w:val="16"/>
            <w:lang w:val="es-CR"/>
          </w:rPr>
          <w:t>http://www3.weforum.org/docs/WEF_GlobalCompetitivenessReport_2012-13.pdf</w:t>
        </w:r>
      </w:hyperlink>
      <w:r w:rsidRPr="008D0846">
        <w:rPr>
          <w:rFonts w:ascii="Verdana" w:hAnsi="Verdana"/>
          <w:sz w:val="16"/>
          <w:szCs w:val="16"/>
          <w:lang w:val="es-CR"/>
        </w:rPr>
        <w:t xml:space="preserve">   </w:t>
      </w:r>
    </w:p>
  </w:footnote>
  <w:footnote w:id="397">
    <w:p w14:paraId="7FDF299E" w14:textId="49155D9B" w:rsidR="00146958" w:rsidRPr="00F80FD6" w:rsidRDefault="00146958">
      <w:pPr>
        <w:pStyle w:val="FootnoteText"/>
        <w:jc w:val="both"/>
        <w:rPr>
          <w:rFonts w:ascii="Verdana" w:hAnsi="Verdana"/>
          <w:sz w:val="16"/>
          <w:szCs w:val="16"/>
        </w:rPr>
      </w:pPr>
      <w:r w:rsidRPr="00432ABC">
        <w:rPr>
          <w:rStyle w:val="FootnoteReference"/>
          <w:rFonts w:ascii="Verdana" w:hAnsi="Verdana"/>
          <w:sz w:val="16"/>
          <w:szCs w:val="16"/>
        </w:rPr>
        <w:footnoteRef/>
      </w:r>
      <w:r w:rsidRPr="00432ABC">
        <w:rPr>
          <w:rFonts w:ascii="Verdana" w:hAnsi="Verdana"/>
          <w:sz w:val="16"/>
          <w:szCs w:val="16"/>
        </w:rPr>
        <w:t xml:space="preserve"> </w:t>
      </w:r>
      <w:r w:rsidRPr="00432ABC">
        <w:rPr>
          <w:rFonts w:ascii="Verdana" w:hAnsi="Verdana"/>
          <w:sz w:val="16"/>
          <w:szCs w:val="16"/>
        </w:rPr>
        <w:tab/>
      </w:r>
      <w:r w:rsidRPr="00CD5C54">
        <w:rPr>
          <w:rFonts w:ascii="Verdana" w:hAnsi="Verdana"/>
          <w:i/>
          <w:sz w:val="16"/>
          <w:szCs w:val="16"/>
        </w:rPr>
        <w:t>Cfr.</w:t>
      </w:r>
      <w:r w:rsidRPr="002C462C">
        <w:rPr>
          <w:rFonts w:ascii="Verdana" w:hAnsi="Verdana"/>
          <w:i/>
          <w:sz w:val="16"/>
          <w:szCs w:val="16"/>
        </w:rPr>
        <w:t xml:space="preserve"> </w:t>
      </w:r>
      <w:r w:rsidRPr="002C462C">
        <w:rPr>
          <w:rFonts w:ascii="Verdana" w:hAnsi="Verdana"/>
          <w:bCs/>
          <w:i/>
          <w:sz w:val="16"/>
          <w:szCs w:val="16"/>
          <w:lang w:val="es-CR"/>
        </w:rPr>
        <w:t xml:space="preserve">Caso Bulacio Vs. Argentina. Fondo, Reparaciones y Costas. </w:t>
      </w:r>
      <w:r w:rsidRPr="00432ABC">
        <w:rPr>
          <w:rFonts w:ascii="Verdana" w:hAnsi="Verdana"/>
          <w:bCs/>
          <w:sz w:val="16"/>
          <w:szCs w:val="16"/>
          <w:lang w:val="es-CR"/>
        </w:rPr>
        <w:t xml:space="preserve">Sentencia de 18 de septiembre de 2003. Serie C </w:t>
      </w:r>
      <w:r w:rsidRPr="007F5381">
        <w:rPr>
          <w:rFonts w:ascii="Verdana" w:hAnsi="Verdana"/>
          <w:bCs/>
          <w:sz w:val="16"/>
          <w:szCs w:val="16"/>
          <w:lang w:val="es-CR"/>
        </w:rPr>
        <w:t xml:space="preserve">No. 100, párr. 124, y </w:t>
      </w:r>
      <w:r w:rsidRPr="00F80FD6">
        <w:rPr>
          <w:rStyle w:val="Strong"/>
          <w:rFonts w:ascii="Verdana" w:hAnsi="Verdana"/>
          <w:b w:val="0"/>
          <w:i/>
          <w:color w:val="000000"/>
          <w:sz w:val="16"/>
          <w:szCs w:val="16"/>
          <w:shd w:val="clear" w:color="auto" w:fill="FFFFFF"/>
        </w:rPr>
        <w:t>Caso del Penal Miguel Castro Castro Vs. Perú. Supra,</w:t>
      </w:r>
      <w:r w:rsidRPr="00F80FD6">
        <w:rPr>
          <w:rStyle w:val="Strong"/>
          <w:rFonts w:ascii="Verdana" w:hAnsi="Verdana"/>
          <w:b w:val="0"/>
          <w:color w:val="000000"/>
          <w:sz w:val="16"/>
          <w:szCs w:val="16"/>
          <w:shd w:val="clear" w:color="auto" w:fill="FFFFFF"/>
        </w:rPr>
        <w:t xml:space="preserve"> párr. 240. </w:t>
      </w:r>
    </w:p>
  </w:footnote>
  <w:footnote w:id="398">
    <w:p w14:paraId="7FDEE595" w14:textId="66ADF483" w:rsidR="00146958" w:rsidRPr="00432ABC" w:rsidRDefault="00146958">
      <w:pPr>
        <w:pStyle w:val="FootnoteText"/>
        <w:jc w:val="both"/>
        <w:rPr>
          <w:rFonts w:ascii="Verdana" w:hAnsi="Verdana"/>
          <w:sz w:val="16"/>
          <w:szCs w:val="16"/>
        </w:rPr>
      </w:pPr>
      <w:r w:rsidRPr="00F80FD6">
        <w:rPr>
          <w:rStyle w:val="FootnoteReference"/>
          <w:rFonts w:ascii="Verdana" w:hAnsi="Verdana"/>
          <w:sz w:val="16"/>
          <w:szCs w:val="16"/>
        </w:rPr>
        <w:footnoteRef/>
      </w:r>
      <w:r w:rsidRPr="00F80FD6">
        <w:rPr>
          <w:rFonts w:ascii="Verdana" w:hAnsi="Verdana"/>
          <w:sz w:val="16"/>
          <w:szCs w:val="16"/>
        </w:rPr>
        <w:t xml:space="preserve"> </w:t>
      </w:r>
      <w:r w:rsidRPr="00EF71F8">
        <w:rPr>
          <w:rFonts w:ascii="Verdana" w:hAnsi="Verdana"/>
          <w:sz w:val="16"/>
          <w:szCs w:val="16"/>
        </w:rPr>
        <w:tab/>
      </w:r>
      <w:r w:rsidRPr="00CD5C54">
        <w:rPr>
          <w:rFonts w:ascii="Verdana" w:hAnsi="Verdana"/>
          <w:i/>
          <w:sz w:val="16"/>
          <w:szCs w:val="16"/>
        </w:rPr>
        <w:t>Cfr.</w:t>
      </w:r>
      <w:r w:rsidRPr="00E16D4C">
        <w:rPr>
          <w:rFonts w:ascii="Verdana" w:hAnsi="Verdana"/>
          <w:i/>
          <w:sz w:val="16"/>
          <w:szCs w:val="16"/>
        </w:rPr>
        <w:t xml:space="preserve"> </w:t>
      </w:r>
      <w:r w:rsidRPr="008D0846">
        <w:rPr>
          <w:rFonts w:ascii="Verdana" w:hAnsi="Verdana"/>
          <w:i/>
          <w:sz w:val="16"/>
          <w:szCs w:val="16"/>
        </w:rPr>
        <w:t xml:space="preserve">inter alia: </w:t>
      </w:r>
      <w:r w:rsidRPr="00F80FD6">
        <w:rPr>
          <w:rFonts w:ascii="Verdana" w:hAnsi="Verdana"/>
          <w:sz w:val="16"/>
          <w:szCs w:val="16"/>
        </w:rPr>
        <w:t xml:space="preserve">ONU. Comité de Derechos Humanos, </w:t>
      </w:r>
      <w:r>
        <w:rPr>
          <w:rFonts w:ascii="Verdana" w:hAnsi="Verdana"/>
          <w:bCs/>
          <w:i/>
          <w:sz w:val="16"/>
          <w:szCs w:val="16"/>
          <w:lang w:val="es-CR"/>
        </w:rPr>
        <w:t>Principios de Siracusa</w:t>
      </w:r>
      <w:r w:rsidRPr="00EF71F8">
        <w:rPr>
          <w:rFonts w:ascii="Verdana" w:hAnsi="Verdana"/>
          <w:bCs/>
          <w:i/>
          <w:sz w:val="16"/>
          <w:szCs w:val="16"/>
          <w:lang w:val="es-CR"/>
        </w:rPr>
        <w:t xml:space="preserve"> </w:t>
      </w:r>
      <w:r w:rsidRPr="00E16D4C">
        <w:rPr>
          <w:rFonts w:ascii="Verdana" w:hAnsi="Verdana"/>
          <w:bCs/>
          <w:sz w:val="16"/>
          <w:szCs w:val="16"/>
          <w:lang w:val="es-CR"/>
        </w:rPr>
        <w:t xml:space="preserve">de 28 de septiembre de 1984, </w:t>
      </w:r>
      <w:r w:rsidRPr="00F80FD6">
        <w:rPr>
          <w:rFonts w:ascii="Verdana" w:hAnsi="Verdana"/>
          <w:bCs/>
          <w:i/>
          <w:sz w:val="16"/>
          <w:szCs w:val="16"/>
          <w:lang w:val="es-CR"/>
        </w:rPr>
        <w:t xml:space="preserve">supra, </w:t>
      </w:r>
      <w:r w:rsidRPr="00F80FD6">
        <w:rPr>
          <w:rFonts w:ascii="Verdana" w:hAnsi="Verdana"/>
          <w:bCs/>
          <w:sz w:val="16"/>
          <w:szCs w:val="16"/>
          <w:lang w:val="es-CR"/>
        </w:rPr>
        <w:t>principio 32</w:t>
      </w:r>
      <w:r w:rsidRPr="008D0846">
        <w:rPr>
          <w:rFonts w:ascii="Verdana" w:hAnsi="Verdana"/>
          <w:sz w:val="16"/>
          <w:szCs w:val="16"/>
          <w:lang w:val="es-CR"/>
        </w:rPr>
        <w:t xml:space="preserve">; </w:t>
      </w:r>
      <w:r w:rsidRPr="008D0846">
        <w:rPr>
          <w:rFonts w:ascii="Verdana" w:hAnsi="Verdana"/>
          <w:i/>
          <w:sz w:val="16"/>
          <w:szCs w:val="16"/>
        </w:rPr>
        <w:t>Declaración sobre la protección de todas las personas contra las desapariciones forzadas</w:t>
      </w:r>
      <w:r w:rsidRPr="008D0846">
        <w:rPr>
          <w:rFonts w:ascii="Verdana" w:hAnsi="Verdana"/>
          <w:sz w:val="16"/>
          <w:szCs w:val="16"/>
        </w:rPr>
        <w:t>. Aprobada por la Asamblea General de la ONU en su Resolución 47/133 de 18 de diciembre 1992</w:t>
      </w:r>
      <w:r w:rsidRPr="00F80FD6">
        <w:rPr>
          <w:rFonts w:ascii="Verdana" w:hAnsi="Verdana"/>
          <w:sz w:val="16"/>
          <w:szCs w:val="16"/>
        </w:rPr>
        <w:t>, a</w:t>
      </w:r>
      <w:r w:rsidRPr="008D0846">
        <w:rPr>
          <w:rFonts w:ascii="Verdana" w:hAnsi="Verdana"/>
          <w:sz w:val="16"/>
          <w:szCs w:val="16"/>
        </w:rPr>
        <w:t xml:space="preserve">rtículo 7; </w:t>
      </w:r>
      <w:r w:rsidRPr="00F80FD6">
        <w:rPr>
          <w:rFonts w:ascii="Verdana" w:hAnsi="Verdana"/>
          <w:i/>
          <w:sz w:val="16"/>
          <w:szCs w:val="16"/>
          <w:lang w:val="es-CR"/>
        </w:rPr>
        <w:t>Observación General No. 29. Estados de emergencia (artículo 4 del Pacto)</w:t>
      </w:r>
      <w:r w:rsidRPr="00EF71F8">
        <w:rPr>
          <w:rFonts w:ascii="Verdana" w:hAnsi="Verdana"/>
          <w:sz w:val="16"/>
          <w:szCs w:val="16"/>
          <w:lang w:val="es-CR"/>
        </w:rPr>
        <w:t>, CCPR/C/21/Rev.1/Add.11, 31 de</w:t>
      </w:r>
      <w:r w:rsidRPr="00E16D4C">
        <w:rPr>
          <w:rFonts w:ascii="Verdana" w:hAnsi="Verdana"/>
          <w:sz w:val="16"/>
          <w:szCs w:val="16"/>
          <w:lang w:val="es-CR"/>
        </w:rPr>
        <w:t xml:space="preserve"> agosto de 2001, párrs. 11 y 13 inciso b)</w:t>
      </w:r>
      <w:r w:rsidRPr="008D0846">
        <w:rPr>
          <w:rFonts w:ascii="Verdana" w:hAnsi="Verdana"/>
          <w:sz w:val="16"/>
          <w:szCs w:val="16"/>
          <w:lang w:val="es-CR"/>
        </w:rPr>
        <w:t xml:space="preserve">; </w:t>
      </w:r>
      <w:r w:rsidRPr="00F80FD6">
        <w:rPr>
          <w:rFonts w:ascii="Verdana" w:hAnsi="Verdana"/>
          <w:sz w:val="16"/>
          <w:szCs w:val="16"/>
          <w:lang w:val="es-CR"/>
        </w:rPr>
        <w:t>Comit</w:t>
      </w:r>
      <w:r w:rsidRPr="00EF71F8">
        <w:rPr>
          <w:rFonts w:ascii="Verdana" w:hAnsi="Verdana"/>
          <w:sz w:val="16"/>
          <w:szCs w:val="16"/>
          <w:lang w:val="es-CR"/>
        </w:rPr>
        <w:t xml:space="preserve">é contra la Tortura, </w:t>
      </w:r>
      <w:r w:rsidRPr="008D0846">
        <w:rPr>
          <w:rFonts w:ascii="Verdana" w:hAnsi="Verdana"/>
          <w:i/>
          <w:sz w:val="16"/>
          <w:szCs w:val="16"/>
          <w:lang w:val="es-ES_tradnl"/>
        </w:rPr>
        <w:t>Observación General No. 2. Aplicación del artículo 2 por los Estados Partes</w:t>
      </w:r>
      <w:r w:rsidRPr="00F80FD6">
        <w:rPr>
          <w:rFonts w:ascii="Verdana" w:hAnsi="Verdana"/>
          <w:i/>
          <w:sz w:val="16"/>
          <w:szCs w:val="16"/>
          <w:lang w:val="es-ES_tradnl"/>
        </w:rPr>
        <w:t>,</w:t>
      </w:r>
      <w:r w:rsidRPr="008D0846">
        <w:rPr>
          <w:rFonts w:ascii="Verdana" w:eastAsia="Times New Roman" w:hAnsi="Verdana" w:cs="Times New Roman"/>
          <w:sz w:val="16"/>
          <w:szCs w:val="16"/>
          <w:lang w:val="es-ES"/>
        </w:rPr>
        <w:t xml:space="preserve"> </w:t>
      </w:r>
      <w:r w:rsidRPr="008D0846">
        <w:rPr>
          <w:rFonts w:ascii="Verdana" w:hAnsi="Verdana"/>
          <w:sz w:val="16"/>
          <w:szCs w:val="16"/>
          <w:lang w:val="es-ES"/>
        </w:rPr>
        <w:t>CAT/C/GC/2</w:t>
      </w:r>
      <w:r w:rsidRPr="008D0846">
        <w:rPr>
          <w:rFonts w:ascii="Verdana" w:hAnsi="Verdana"/>
          <w:sz w:val="16"/>
          <w:szCs w:val="16"/>
          <w:lang w:val="es-ES"/>
        </w:rPr>
        <w:br/>
      </w:r>
      <w:r w:rsidRPr="008D0846">
        <w:rPr>
          <w:rFonts w:ascii="Verdana" w:hAnsi="Verdana"/>
          <w:sz w:val="16"/>
          <w:szCs w:val="16"/>
          <w:lang w:val="es-ES_tradnl"/>
        </w:rPr>
        <w:t>24 de enero de 2008</w:t>
      </w:r>
      <w:r w:rsidRPr="00F80FD6">
        <w:rPr>
          <w:rFonts w:ascii="Verdana" w:hAnsi="Verdana"/>
          <w:sz w:val="16"/>
          <w:szCs w:val="16"/>
          <w:lang w:val="es-ES_tradnl"/>
        </w:rPr>
        <w:t>, p</w:t>
      </w:r>
      <w:r w:rsidRPr="00EF71F8">
        <w:rPr>
          <w:rFonts w:ascii="Verdana" w:hAnsi="Verdana"/>
          <w:sz w:val="16"/>
          <w:szCs w:val="16"/>
          <w:lang w:val="es-ES_tradnl"/>
        </w:rPr>
        <w:t xml:space="preserve">árr. </w:t>
      </w:r>
      <w:r w:rsidRPr="00E16D4C">
        <w:rPr>
          <w:rFonts w:ascii="Verdana" w:hAnsi="Verdana"/>
          <w:sz w:val="16"/>
          <w:szCs w:val="16"/>
          <w:lang w:val="es-ES_tradnl"/>
        </w:rPr>
        <w:t xml:space="preserve">5; </w:t>
      </w:r>
      <w:r w:rsidRPr="008D0846">
        <w:rPr>
          <w:rFonts w:ascii="Verdana" w:hAnsi="Verdana"/>
          <w:i/>
          <w:spacing w:val="-4"/>
          <w:sz w:val="16"/>
          <w:szCs w:val="16"/>
        </w:rPr>
        <w:t>Informe del Grupo de Trabajo sobre la Detención Arbitraria</w:t>
      </w:r>
      <w:r w:rsidRPr="008D0846">
        <w:rPr>
          <w:rFonts w:ascii="Verdana" w:hAnsi="Verdana"/>
          <w:spacing w:val="-4"/>
          <w:sz w:val="16"/>
          <w:szCs w:val="16"/>
        </w:rPr>
        <w:t>, A/HRC/22/44, 24 de diciembre de 2012, párr. 50</w:t>
      </w:r>
      <w:r w:rsidRPr="00F80FD6">
        <w:rPr>
          <w:rFonts w:ascii="Verdana" w:hAnsi="Verdana"/>
          <w:spacing w:val="-4"/>
          <w:sz w:val="16"/>
          <w:szCs w:val="16"/>
        </w:rPr>
        <w:t>;</w:t>
      </w:r>
      <w:r w:rsidRPr="008D0846">
        <w:rPr>
          <w:rFonts w:ascii="Verdana" w:hAnsi="Verdana"/>
          <w:sz w:val="16"/>
          <w:szCs w:val="16"/>
        </w:rPr>
        <w:t xml:space="preserve"> </w:t>
      </w:r>
      <w:r w:rsidRPr="008D0846">
        <w:rPr>
          <w:rFonts w:ascii="Verdana" w:hAnsi="Verdana"/>
          <w:i/>
          <w:spacing w:val="-4"/>
          <w:sz w:val="16"/>
          <w:szCs w:val="16"/>
        </w:rPr>
        <w:t>Informe del Relator Especial sobre las ejecuciones extrajudiciales, sumarias o arbitrarias</w:t>
      </w:r>
      <w:r w:rsidRPr="008D0846">
        <w:rPr>
          <w:rFonts w:ascii="Verdana" w:hAnsi="Verdana"/>
          <w:sz w:val="16"/>
          <w:szCs w:val="16"/>
          <w:lang w:val="es-CR"/>
        </w:rPr>
        <w:t xml:space="preserve">, </w:t>
      </w:r>
      <w:r w:rsidRPr="008D0846">
        <w:rPr>
          <w:rFonts w:ascii="Verdana" w:hAnsi="Verdana"/>
          <w:sz w:val="16"/>
          <w:szCs w:val="16"/>
        </w:rPr>
        <w:t>A/HRC/26/36, 1 de abril de 2014, párr. 54</w:t>
      </w:r>
      <w:r w:rsidRPr="00F80FD6">
        <w:rPr>
          <w:rFonts w:ascii="Verdana" w:hAnsi="Verdana"/>
          <w:sz w:val="16"/>
          <w:szCs w:val="16"/>
        </w:rPr>
        <w:t>, e</w:t>
      </w:r>
      <w:r w:rsidRPr="008D0846">
        <w:rPr>
          <w:rFonts w:ascii="Verdana" w:hAnsi="Verdana"/>
          <w:sz w:val="16"/>
          <w:szCs w:val="16"/>
        </w:rPr>
        <w:t xml:space="preserve"> </w:t>
      </w:r>
      <w:r w:rsidRPr="008D0846">
        <w:rPr>
          <w:rFonts w:ascii="Verdana" w:hAnsi="Verdana"/>
          <w:i/>
          <w:sz w:val="16"/>
          <w:szCs w:val="16"/>
        </w:rPr>
        <w:t>Informe provisional del Relator Especial sobre la tortura y otros tratos o penas crueles, inhumanos o degradantes</w:t>
      </w:r>
      <w:r w:rsidRPr="008D0846">
        <w:rPr>
          <w:rFonts w:ascii="Verdana" w:hAnsi="Verdana"/>
          <w:sz w:val="16"/>
          <w:szCs w:val="16"/>
          <w:lang w:val="es-CR"/>
        </w:rPr>
        <w:t xml:space="preserve">, </w:t>
      </w:r>
      <w:r w:rsidRPr="008D0846">
        <w:rPr>
          <w:rFonts w:ascii="Verdana" w:hAnsi="Verdana"/>
          <w:sz w:val="16"/>
          <w:szCs w:val="16"/>
        </w:rPr>
        <w:t>A/70/303, 7 de agosto de 2015, párrs. 26 y 62</w:t>
      </w:r>
      <w:r w:rsidRPr="00F80FD6">
        <w:rPr>
          <w:rFonts w:ascii="Verdana" w:hAnsi="Verdana"/>
          <w:sz w:val="16"/>
          <w:szCs w:val="16"/>
          <w:lang w:val="es-CR"/>
        </w:rPr>
        <w:t>. En el mismo sentido</w:t>
      </w:r>
      <w:r w:rsidRPr="00F80FD6">
        <w:rPr>
          <w:rFonts w:ascii="Verdana" w:hAnsi="Verdana"/>
          <w:sz w:val="16"/>
          <w:szCs w:val="16"/>
        </w:rPr>
        <w:t>:</w:t>
      </w:r>
      <w:r w:rsidRPr="00F80FD6">
        <w:rPr>
          <w:rFonts w:ascii="Verdana" w:hAnsi="Verdana"/>
          <w:i/>
          <w:sz w:val="16"/>
          <w:szCs w:val="16"/>
        </w:rPr>
        <w:t xml:space="preserve"> </w:t>
      </w:r>
      <w:r w:rsidRPr="00F80FD6">
        <w:rPr>
          <w:rFonts w:ascii="Verdana" w:hAnsi="Verdana"/>
          <w:sz w:val="16"/>
          <w:szCs w:val="16"/>
        </w:rPr>
        <w:t>Declaración rendida ante la Corte por el p</w:t>
      </w:r>
      <w:r w:rsidRPr="00E16D4C">
        <w:rPr>
          <w:rFonts w:ascii="Verdana" w:hAnsi="Verdana"/>
          <w:sz w:val="16"/>
          <w:szCs w:val="16"/>
        </w:rPr>
        <w:t>erito Federico Andreu Guzmán en la Audiencia Pública el 26 de abril de 2018  (Transcripción de la Audiencia Pública, pág. 75).</w:t>
      </w:r>
    </w:p>
  </w:footnote>
  <w:footnote w:id="399">
    <w:p w14:paraId="739CDA6F" w14:textId="0227CB3D" w:rsidR="00146958" w:rsidRPr="00432ABC" w:rsidRDefault="00146958">
      <w:pPr>
        <w:pStyle w:val="FootnoteText"/>
        <w:jc w:val="both"/>
        <w:rPr>
          <w:rFonts w:ascii="Verdana" w:hAnsi="Verdana"/>
          <w:sz w:val="16"/>
          <w:szCs w:val="16"/>
          <w:lang w:val="es-ES"/>
        </w:rPr>
      </w:pPr>
      <w:r w:rsidRPr="00432ABC">
        <w:rPr>
          <w:rStyle w:val="FootnoteReference"/>
          <w:rFonts w:ascii="Verdana" w:hAnsi="Verdana"/>
          <w:sz w:val="16"/>
          <w:szCs w:val="16"/>
        </w:rPr>
        <w:footnoteRef/>
      </w:r>
      <w:r w:rsidRPr="00432ABC">
        <w:rPr>
          <w:rFonts w:ascii="Verdana" w:hAnsi="Verdana"/>
          <w:sz w:val="16"/>
          <w:szCs w:val="16"/>
          <w:lang w:val="es-CR"/>
        </w:rPr>
        <w:t xml:space="preserve"> </w:t>
      </w:r>
      <w:r w:rsidRPr="00432ABC">
        <w:rPr>
          <w:rFonts w:ascii="Verdana" w:hAnsi="Verdana"/>
          <w:sz w:val="16"/>
          <w:szCs w:val="16"/>
          <w:lang w:val="es-CR"/>
        </w:rPr>
        <w:tab/>
      </w:r>
      <w:r w:rsidRPr="00CD5C54">
        <w:rPr>
          <w:rFonts w:ascii="Verdana" w:hAnsi="Verdana"/>
          <w:i/>
          <w:sz w:val="16"/>
          <w:szCs w:val="16"/>
          <w:lang w:val="es-CR"/>
        </w:rPr>
        <w:t>Cfr.</w:t>
      </w:r>
      <w:r w:rsidRPr="002C462C">
        <w:rPr>
          <w:rFonts w:ascii="Verdana" w:hAnsi="Verdana"/>
          <w:sz w:val="16"/>
          <w:szCs w:val="16"/>
          <w:lang w:val="es-CR"/>
        </w:rPr>
        <w:t xml:space="preserve"> </w:t>
      </w:r>
      <w:r w:rsidRPr="00432ABC">
        <w:rPr>
          <w:rFonts w:ascii="Verdana" w:hAnsi="Verdana"/>
          <w:i/>
          <w:sz w:val="16"/>
          <w:szCs w:val="16"/>
          <w:lang w:val="es-CR"/>
        </w:rPr>
        <w:t>Caso Montero Aranguren y otros (Retén de Catia) Vs. Venezuela. Excepciones Preliminares, Fondo, Reparaciones y Costas</w:t>
      </w:r>
      <w:r w:rsidRPr="00432ABC">
        <w:rPr>
          <w:rFonts w:ascii="Verdana" w:hAnsi="Verdana"/>
          <w:sz w:val="16"/>
          <w:szCs w:val="16"/>
          <w:lang w:val="es-CR"/>
        </w:rPr>
        <w:t xml:space="preserve">. Sentencia de 5 de julio de 2006. Serie C No. 150, párr. 78. En este mismo sentido, el Relator Especial sobre las Ejecuciones Extrajudiciales, Sumarias o Arbitrarias de la ONU, tras su vista a México manifestó: “[…] [E]s bien sabido que, en cualquier país, a los soldados que realizan labores policiales les cuesta mucho renunciar al paradigma militar […] el principal objetivo de un cuerpo militar es someter al enemigo valiéndose de la superioridad de su fuerza”. </w:t>
      </w:r>
      <w:r w:rsidRPr="00432ABC">
        <w:rPr>
          <w:rFonts w:ascii="Verdana" w:hAnsi="Verdana"/>
          <w:sz w:val="16"/>
          <w:szCs w:val="16"/>
        </w:rPr>
        <w:t xml:space="preserve">En 2016, reiteró dichas consideraciones, señalando “el riesgo del abuso por los agentes que no podían renunciar al paradigma militar y la falta de rendición de cuentas por esos abusos en la justicia militar”. </w:t>
      </w:r>
      <w:r w:rsidRPr="00CD5C54">
        <w:rPr>
          <w:rFonts w:ascii="Verdana" w:hAnsi="Verdana"/>
          <w:i/>
          <w:sz w:val="16"/>
          <w:szCs w:val="16"/>
          <w:lang w:val="es-CR"/>
        </w:rPr>
        <w:t>Cfr.</w:t>
      </w:r>
      <w:r w:rsidRPr="00432ABC">
        <w:rPr>
          <w:rFonts w:ascii="Verdana" w:hAnsi="Verdana"/>
          <w:sz w:val="16"/>
          <w:szCs w:val="16"/>
          <w:lang w:val="es-CR"/>
        </w:rPr>
        <w:t xml:space="preserve"> </w:t>
      </w:r>
      <w:r w:rsidRPr="00432ABC">
        <w:rPr>
          <w:rFonts w:ascii="Verdana" w:hAnsi="Verdana"/>
          <w:sz w:val="16"/>
          <w:szCs w:val="16"/>
        </w:rPr>
        <w:t xml:space="preserve">ONU. Consejo de Derechos Humanos, </w:t>
      </w:r>
      <w:r w:rsidRPr="00432ABC">
        <w:rPr>
          <w:rFonts w:ascii="Verdana" w:hAnsi="Verdana"/>
          <w:i/>
          <w:sz w:val="16"/>
          <w:szCs w:val="16"/>
        </w:rPr>
        <w:t xml:space="preserve">Informe del Relator especial sobre las ejecuciones extrajudiciales, sumarias o arbitrarias, Christof Heyns, </w:t>
      </w:r>
      <w:r w:rsidRPr="00432ABC">
        <w:rPr>
          <w:rFonts w:ascii="Verdana" w:hAnsi="Verdana"/>
          <w:sz w:val="16"/>
          <w:szCs w:val="16"/>
        </w:rPr>
        <w:t xml:space="preserve">A/HCR/26/36/Add.1, 28 de abril de 2014, párr. 21, e </w:t>
      </w:r>
      <w:r w:rsidRPr="00432ABC">
        <w:rPr>
          <w:rFonts w:ascii="Verdana" w:hAnsi="Verdana"/>
          <w:i/>
          <w:sz w:val="16"/>
          <w:szCs w:val="16"/>
        </w:rPr>
        <w:t xml:space="preserve">Informe del Relator especial sobre las ejecuciones acerca del seguimiento de su misión a México, </w:t>
      </w:r>
      <w:r w:rsidRPr="00432ABC">
        <w:rPr>
          <w:rFonts w:ascii="Verdana" w:hAnsi="Verdana"/>
          <w:sz w:val="16"/>
          <w:szCs w:val="16"/>
        </w:rPr>
        <w:t>A/HCR/32/39/Add.2, 6 de mayo de 2016, párr. 11.</w:t>
      </w:r>
      <w:r w:rsidRPr="00432ABC">
        <w:rPr>
          <w:rFonts w:ascii="Verdana" w:eastAsiaTheme="minorHAnsi" w:hAnsi="Verdana"/>
          <w:i/>
          <w:sz w:val="16"/>
          <w:szCs w:val="16"/>
          <w:lang w:val="es-CR"/>
        </w:rPr>
        <w:t xml:space="preserve"> </w:t>
      </w:r>
    </w:p>
  </w:footnote>
  <w:footnote w:id="400">
    <w:p w14:paraId="2BC8C833" w14:textId="6F3EDE38" w:rsidR="00146958" w:rsidRPr="00432ABC" w:rsidRDefault="00146958">
      <w:pPr>
        <w:pStyle w:val="FootnoteText"/>
        <w:jc w:val="both"/>
        <w:rPr>
          <w:rFonts w:ascii="Verdana" w:hAnsi="Verdana"/>
          <w:sz w:val="16"/>
          <w:szCs w:val="16"/>
          <w:lang w:val="es-CR"/>
        </w:rPr>
      </w:pPr>
      <w:r w:rsidRPr="00432ABC">
        <w:rPr>
          <w:rStyle w:val="FootnoteReference"/>
          <w:rFonts w:ascii="Verdana" w:hAnsi="Verdana"/>
          <w:sz w:val="16"/>
          <w:szCs w:val="16"/>
        </w:rPr>
        <w:footnoteRef/>
      </w:r>
      <w:r w:rsidRPr="00432ABC">
        <w:rPr>
          <w:rFonts w:ascii="Verdana" w:hAnsi="Verdana"/>
          <w:sz w:val="16"/>
          <w:szCs w:val="16"/>
          <w:lang w:val="es-CR"/>
        </w:rPr>
        <w:t xml:space="preserve"> </w:t>
      </w:r>
      <w:r w:rsidRPr="00432ABC">
        <w:rPr>
          <w:rFonts w:ascii="Verdana" w:hAnsi="Verdana"/>
          <w:sz w:val="16"/>
          <w:szCs w:val="16"/>
          <w:lang w:val="es-CR"/>
        </w:rPr>
        <w:tab/>
      </w:r>
      <w:r w:rsidRPr="00CD5C54">
        <w:rPr>
          <w:rFonts w:ascii="Verdana" w:hAnsi="Verdana"/>
          <w:i/>
          <w:sz w:val="16"/>
          <w:szCs w:val="16"/>
          <w:lang w:val="es-CR"/>
        </w:rPr>
        <w:t>Cfr.</w:t>
      </w:r>
      <w:r w:rsidRPr="002C462C">
        <w:rPr>
          <w:rFonts w:ascii="Verdana" w:hAnsi="Verdana"/>
          <w:i/>
          <w:sz w:val="16"/>
          <w:szCs w:val="16"/>
          <w:lang w:val="es-CR"/>
        </w:rPr>
        <w:t xml:space="preserve"> </w:t>
      </w:r>
      <w:r>
        <w:rPr>
          <w:rFonts w:ascii="Verdana" w:hAnsi="Verdana"/>
          <w:sz w:val="16"/>
          <w:szCs w:val="16"/>
          <w:lang w:val="es-CR"/>
        </w:rPr>
        <w:t xml:space="preserve">ONU: </w:t>
      </w:r>
      <w:r w:rsidRPr="00535E79">
        <w:rPr>
          <w:rFonts w:ascii="Verdana" w:hAnsi="Verdana"/>
          <w:i/>
          <w:sz w:val="16"/>
          <w:szCs w:val="16"/>
        </w:rPr>
        <w:t>Informe conjunto del Relator Especial encargado de la cuestión de la tortura, Sr. Nigel S. Rodley, y del Relator Especial encargado de la cuestión de las ejecuciones extrajudiciales, sumarias o arbitrarias, Sr. Bacre Waly Ndiaye, presentado en cumplimiento de las resoluciones 1994/37 y 1994/82 de la Comisión de Derechos Humanos</w:t>
      </w:r>
      <w:r>
        <w:rPr>
          <w:rFonts w:ascii="Verdana" w:hAnsi="Verdana"/>
          <w:sz w:val="16"/>
          <w:szCs w:val="16"/>
        </w:rPr>
        <w:t>,</w:t>
      </w:r>
      <w:r w:rsidRPr="00432ABC">
        <w:rPr>
          <w:rFonts w:ascii="Verdana" w:hAnsi="Verdana"/>
          <w:sz w:val="16"/>
          <w:szCs w:val="16"/>
        </w:rPr>
        <w:t xml:space="preserve"> E/CN.4/1995/111, </w:t>
      </w:r>
      <w:r w:rsidRPr="0002265E">
        <w:rPr>
          <w:rFonts w:ascii="Verdana" w:hAnsi="Verdana"/>
          <w:sz w:val="16"/>
          <w:szCs w:val="16"/>
        </w:rPr>
        <w:t>16 de enero de 1995</w:t>
      </w:r>
      <w:r>
        <w:rPr>
          <w:rFonts w:ascii="Verdana" w:hAnsi="Verdana"/>
          <w:sz w:val="16"/>
          <w:szCs w:val="16"/>
        </w:rPr>
        <w:t xml:space="preserve">, </w:t>
      </w:r>
      <w:r w:rsidRPr="00432ABC">
        <w:rPr>
          <w:rFonts w:ascii="Verdana" w:hAnsi="Verdana"/>
          <w:sz w:val="16"/>
          <w:szCs w:val="16"/>
        </w:rPr>
        <w:t>párr. 117.a</w:t>
      </w:r>
      <w:r>
        <w:rPr>
          <w:rFonts w:ascii="Verdana" w:hAnsi="Verdana"/>
          <w:sz w:val="16"/>
          <w:szCs w:val="16"/>
        </w:rPr>
        <w:t xml:space="preserve"> y 120; </w:t>
      </w:r>
      <w:r w:rsidRPr="00535E79">
        <w:rPr>
          <w:rFonts w:ascii="Verdana" w:hAnsi="Verdana"/>
          <w:bCs/>
          <w:i/>
          <w:sz w:val="16"/>
          <w:szCs w:val="16"/>
        </w:rPr>
        <w:t>Informe del Relator Especial sobre la Independencia de Jueces y Abogados sobre la visita a Colombia</w:t>
      </w:r>
      <w:r w:rsidRPr="0002265E">
        <w:rPr>
          <w:rFonts w:ascii="Verdana" w:hAnsi="Verdana"/>
          <w:bCs/>
          <w:i/>
          <w:sz w:val="16"/>
          <w:szCs w:val="16"/>
        </w:rPr>
        <w:t xml:space="preserve">, </w:t>
      </w:r>
      <w:r>
        <w:rPr>
          <w:rFonts w:ascii="Verdana" w:hAnsi="Verdana"/>
          <w:sz w:val="16"/>
          <w:szCs w:val="16"/>
        </w:rPr>
        <w:t>E/CN.4/1998/39/Add.</w:t>
      </w:r>
      <w:r w:rsidRPr="0002265E">
        <w:rPr>
          <w:rFonts w:ascii="Verdana" w:hAnsi="Verdana"/>
          <w:sz w:val="16"/>
          <w:szCs w:val="16"/>
        </w:rPr>
        <w:t xml:space="preserve">2, </w:t>
      </w:r>
      <w:r w:rsidRPr="00535E79">
        <w:rPr>
          <w:rFonts w:ascii="Verdana" w:hAnsi="Verdana"/>
          <w:color w:val="000000"/>
          <w:sz w:val="16"/>
          <w:szCs w:val="16"/>
          <w:shd w:val="clear" w:color="auto" w:fill="FFFFFF"/>
        </w:rPr>
        <w:t>30 de marzo de 1998,</w:t>
      </w:r>
      <w:r w:rsidRPr="0002265E">
        <w:rPr>
          <w:rFonts w:ascii="Verdana" w:hAnsi="Verdana"/>
          <w:sz w:val="16"/>
          <w:szCs w:val="16"/>
        </w:rPr>
        <w:t xml:space="preserve"> párr. 185</w:t>
      </w:r>
      <w:r>
        <w:rPr>
          <w:rFonts w:ascii="Verdana" w:hAnsi="Verdana"/>
          <w:sz w:val="16"/>
          <w:szCs w:val="16"/>
          <w:lang w:val="es-CR"/>
        </w:rPr>
        <w:t xml:space="preserve">, y Corte IDH, </w:t>
      </w:r>
      <w:r w:rsidRPr="002C462C">
        <w:rPr>
          <w:rFonts w:ascii="Verdana" w:hAnsi="Verdana"/>
          <w:i/>
          <w:sz w:val="16"/>
          <w:szCs w:val="16"/>
          <w:lang w:val="es-CR"/>
        </w:rPr>
        <w:t>Caso Cabrera García y Montiel Flores Vs. México. Excepciones Preliminares, Fondo, Reparaciones y Costas</w:t>
      </w:r>
      <w:r w:rsidRPr="002C462C">
        <w:rPr>
          <w:rFonts w:ascii="Verdana" w:hAnsi="Verdana"/>
          <w:sz w:val="16"/>
          <w:szCs w:val="16"/>
          <w:lang w:val="es-CR"/>
        </w:rPr>
        <w:t>. Sentencia de 26 de noviembre de 2010. Serie C No. 220, párrs. 86, 87 y 89</w:t>
      </w:r>
      <w:r>
        <w:rPr>
          <w:rFonts w:ascii="Verdana" w:hAnsi="Verdana"/>
          <w:sz w:val="16"/>
          <w:szCs w:val="16"/>
        </w:rPr>
        <w:t>.</w:t>
      </w:r>
      <w:r w:rsidRPr="00432ABC">
        <w:rPr>
          <w:rFonts w:ascii="Verdana" w:hAnsi="Verdana"/>
          <w:sz w:val="16"/>
          <w:szCs w:val="16"/>
        </w:rPr>
        <w:t xml:space="preserve"> </w:t>
      </w:r>
    </w:p>
  </w:footnote>
  <w:footnote w:id="401">
    <w:p w14:paraId="72E86463" w14:textId="4322A18F" w:rsidR="00146958" w:rsidRPr="00432ABC" w:rsidRDefault="00146958">
      <w:pPr>
        <w:pStyle w:val="FootnoteText"/>
        <w:jc w:val="both"/>
        <w:rPr>
          <w:rFonts w:ascii="Verdana" w:hAnsi="Verdana"/>
          <w:sz w:val="16"/>
          <w:szCs w:val="16"/>
          <w:lang w:val="es-CR"/>
        </w:rPr>
      </w:pPr>
      <w:r w:rsidRPr="00432ABC">
        <w:rPr>
          <w:rStyle w:val="FootnoteReference"/>
          <w:rFonts w:ascii="Verdana" w:hAnsi="Verdana"/>
          <w:sz w:val="16"/>
          <w:szCs w:val="16"/>
          <w:lang w:val="es-CR"/>
        </w:rPr>
        <w:footnoteRef/>
      </w:r>
      <w:r w:rsidRPr="00432ABC">
        <w:rPr>
          <w:rFonts w:ascii="Verdana" w:hAnsi="Verdana"/>
          <w:sz w:val="16"/>
          <w:szCs w:val="16"/>
          <w:lang w:val="es-CR"/>
        </w:rPr>
        <w:t xml:space="preserve"> </w:t>
      </w:r>
      <w:r w:rsidRPr="00432ABC">
        <w:rPr>
          <w:rFonts w:ascii="Verdana" w:hAnsi="Verdana"/>
          <w:sz w:val="16"/>
          <w:szCs w:val="16"/>
          <w:lang w:val="es-CR"/>
        </w:rPr>
        <w:tab/>
      </w:r>
      <w:r w:rsidRPr="00CD5C54">
        <w:rPr>
          <w:rFonts w:ascii="Verdana" w:hAnsi="Verdana"/>
          <w:i/>
          <w:sz w:val="16"/>
          <w:szCs w:val="16"/>
          <w:lang w:val="es-CR"/>
        </w:rPr>
        <w:t>Cfr.</w:t>
      </w:r>
      <w:r w:rsidRPr="002C462C">
        <w:rPr>
          <w:rFonts w:ascii="Verdana" w:hAnsi="Verdana"/>
          <w:i/>
          <w:sz w:val="16"/>
          <w:szCs w:val="16"/>
          <w:lang w:val="es-CR"/>
        </w:rPr>
        <w:t xml:space="preserve"> </w:t>
      </w:r>
      <w:r w:rsidRPr="008D0846">
        <w:rPr>
          <w:rFonts w:ascii="Verdana" w:hAnsi="Verdana"/>
          <w:i/>
          <w:sz w:val="16"/>
          <w:szCs w:val="16"/>
          <w:lang w:val="es-CR"/>
        </w:rPr>
        <w:t>Caso Osorio Rivera y familiares Vs. Perú. Excepciones Preliminares, Fondo, Reparaciones y Costas</w:t>
      </w:r>
      <w:r w:rsidRPr="00432ABC">
        <w:rPr>
          <w:rFonts w:ascii="Verdana" w:hAnsi="Verdana"/>
          <w:sz w:val="16"/>
          <w:szCs w:val="16"/>
          <w:lang w:val="es-CR"/>
        </w:rPr>
        <w:t xml:space="preserve">. Sentencia de 26 de noviembre de 2013. Serie C No. 274, párr. 122. </w:t>
      </w:r>
    </w:p>
  </w:footnote>
  <w:footnote w:id="402">
    <w:p w14:paraId="35A2688C" w14:textId="7569B1B4" w:rsidR="00146958" w:rsidRPr="00432ABC" w:rsidRDefault="00146958" w:rsidP="00DB378B">
      <w:pPr>
        <w:pStyle w:val="FootnoteText"/>
        <w:ind w:right="49"/>
        <w:jc w:val="both"/>
        <w:rPr>
          <w:rFonts w:ascii="Verdana" w:hAnsi="Verdana"/>
          <w:sz w:val="16"/>
          <w:szCs w:val="16"/>
          <w:lang w:val="es-CO"/>
        </w:rPr>
      </w:pPr>
      <w:r w:rsidRPr="005E2900">
        <w:rPr>
          <w:rStyle w:val="FootnoteReference"/>
          <w:rFonts w:ascii="Verdana" w:hAnsi="Verdana"/>
          <w:sz w:val="16"/>
          <w:szCs w:val="16"/>
          <w:lang w:val="es-ES_tradnl"/>
        </w:rPr>
        <w:footnoteRef/>
      </w:r>
      <w:r w:rsidRPr="000318C4">
        <w:rPr>
          <w:rFonts w:ascii="Verdana" w:hAnsi="Verdana"/>
          <w:sz w:val="16"/>
          <w:szCs w:val="16"/>
          <w:lang w:val="es-ES_tradnl"/>
        </w:rPr>
        <w:t xml:space="preserve"> </w:t>
      </w:r>
      <w:r w:rsidRPr="000318C4">
        <w:rPr>
          <w:rFonts w:ascii="Verdana" w:hAnsi="Verdana"/>
          <w:sz w:val="16"/>
          <w:szCs w:val="16"/>
          <w:lang w:val="es-ES_tradnl"/>
        </w:rPr>
        <w:tab/>
      </w:r>
      <w:r w:rsidRPr="00CD5C54">
        <w:rPr>
          <w:rFonts w:ascii="Verdana" w:hAnsi="Verdana"/>
          <w:i/>
          <w:sz w:val="16"/>
          <w:szCs w:val="16"/>
          <w:lang w:val="es-ES_tradnl"/>
        </w:rPr>
        <w:t>Cfr.</w:t>
      </w:r>
      <w:r w:rsidRPr="000318C4">
        <w:rPr>
          <w:rFonts w:ascii="Verdana" w:hAnsi="Verdana"/>
          <w:sz w:val="16"/>
          <w:szCs w:val="16"/>
          <w:lang w:val="es-ES_tradnl"/>
        </w:rPr>
        <w:t xml:space="preserve"> </w:t>
      </w:r>
      <w:r w:rsidRPr="000318C4">
        <w:rPr>
          <w:rFonts w:ascii="Verdana" w:hAnsi="Verdana"/>
          <w:i/>
          <w:sz w:val="16"/>
          <w:szCs w:val="16"/>
          <w:lang w:val="es-ES_tradnl"/>
        </w:rPr>
        <w:t>Observaciones finales del Comité de Derechos Humanos</w:t>
      </w:r>
      <w:r w:rsidRPr="000318C4">
        <w:rPr>
          <w:rFonts w:ascii="Verdana" w:hAnsi="Verdana"/>
          <w:sz w:val="16"/>
          <w:szCs w:val="16"/>
          <w:lang w:val="es-ES_tradnl"/>
        </w:rPr>
        <w:t xml:space="preserve"> </w:t>
      </w:r>
      <w:r w:rsidRPr="008D0846">
        <w:rPr>
          <w:rFonts w:ascii="Verdana" w:hAnsi="Verdana"/>
          <w:i/>
          <w:sz w:val="16"/>
          <w:szCs w:val="16"/>
          <w:lang w:val="es-ES_tradnl"/>
        </w:rPr>
        <w:t>de la ONU</w:t>
      </w:r>
      <w:r w:rsidRPr="000318C4">
        <w:rPr>
          <w:rFonts w:ascii="Verdana" w:hAnsi="Verdana"/>
          <w:sz w:val="16"/>
          <w:szCs w:val="16"/>
          <w:lang w:val="es-ES_tradnl"/>
        </w:rPr>
        <w:t xml:space="preserve"> a: </w:t>
      </w:r>
      <w:r w:rsidRPr="00131AE6">
        <w:rPr>
          <w:rFonts w:ascii="Verdana" w:hAnsi="Verdana"/>
          <w:i/>
          <w:sz w:val="16"/>
          <w:szCs w:val="16"/>
          <w:lang w:val="es-CO"/>
        </w:rPr>
        <w:t>Sri Lanka</w:t>
      </w:r>
      <w:r w:rsidRPr="00131AE6">
        <w:rPr>
          <w:rFonts w:ascii="Verdana" w:hAnsi="Verdana"/>
          <w:sz w:val="16"/>
          <w:szCs w:val="16"/>
          <w:lang w:val="es-CO"/>
        </w:rPr>
        <w:t xml:space="preserve">, CCPR/C/79/Add.56, </w:t>
      </w:r>
      <w:r w:rsidRPr="008D0846">
        <w:rPr>
          <w:rFonts w:ascii="Verdana" w:hAnsi="Verdana"/>
          <w:sz w:val="16"/>
          <w:szCs w:val="16"/>
          <w:lang w:val="es-CO"/>
        </w:rPr>
        <w:t>23 de julio de 1995</w:t>
      </w:r>
      <w:r w:rsidRPr="005E2900">
        <w:rPr>
          <w:rFonts w:ascii="Verdana" w:hAnsi="Verdana"/>
          <w:sz w:val="16"/>
          <w:szCs w:val="16"/>
          <w:lang w:val="es-CO"/>
        </w:rPr>
        <w:t>, párr. 30</w:t>
      </w:r>
      <w:r w:rsidRPr="000318C4">
        <w:rPr>
          <w:rFonts w:ascii="Verdana" w:hAnsi="Verdana"/>
          <w:sz w:val="16"/>
          <w:szCs w:val="16"/>
          <w:lang w:val="es-CO"/>
        </w:rPr>
        <w:t xml:space="preserve">; </w:t>
      </w:r>
      <w:r w:rsidRPr="000318C4">
        <w:rPr>
          <w:rFonts w:ascii="Verdana" w:hAnsi="Verdana"/>
          <w:i/>
          <w:sz w:val="16"/>
          <w:szCs w:val="16"/>
          <w:lang w:val="es-CO"/>
        </w:rPr>
        <w:t>Yemen</w:t>
      </w:r>
      <w:r w:rsidRPr="000318C4">
        <w:rPr>
          <w:rFonts w:ascii="Verdana" w:hAnsi="Verdana"/>
          <w:sz w:val="16"/>
          <w:szCs w:val="16"/>
          <w:lang w:val="es-CO"/>
        </w:rPr>
        <w:t xml:space="preserve">, A/50/40, 3 de octubre de </w:t>
      </w:r>
      <w:r w:rsidRPr="008D0846">
        <w:rPr>
          <w:rFonts w:ascii="Verdana" w:hAnsi="Verdana"/>
          <w:sz w:val="16"/>
          <w:szCs w:val="16"/>
          <w:lang w:val="es-CO"/>
        </w:rPr>
        <w:t>1995</w:t>
      </w:r>
      <w:r w:rsidRPr="005E2900">
        <w:rPr>
          <w:rFonts w:ascii="Verdana" w:hAnsi="Verdana"/>
          <w:sz w:val="16"/>
          <w:szCs w:val="16"/>
          <w:lang w:val="es-CO"/>
        </w:rPr>
        <w:t>,</w:t>
      </w:r>
      <w:r w:rsidRPr="000318C4">
        <w:rPr>
          <w:rFonts w:ascii="Verdana" w:hAnsi="Verdana"/>
          <w:sz w:val="16"/>
          <w:szCs w:val="16"/>
          <w:lang w:val="es-CO"/>
        </w:rPr>
        <w:t xml:space="preserve"> párr. 260; </w:t>
      </w:r>
      <w:r w:rsidRPr="000318C4">
        <w:rPr>
          <w:rFonts w:ascii="Verdana" w:hAnsi="Verdana"/>
          <w:i/>
          <w:sz w:val="16"/>
          <w:szCs w:val="16"/>
          <w:lang w:val="es-CO"/>
        </w:rPr>
        <w:t>Mauricio</w:t>
      </w:r>
      <w:r w:rsidRPr="000318C4">
        <w:rPr>
          <w:rFonts w:ascii="Verdana" w:hAnsi="Verdana"/>
          <w:sz w:val="16"/>
          <w:szCs w:val="16"/>
          <w:lang w:val="es-CO"/>
        </w:rPr>
        <w:t xml:space="preserve">, CCPR/C/79/Add.60, 4 de junio de </w:t>
      </w:r>
      <w:r w:rsidRPr="008D0846">
        <w:rPr>
          <w:rFonts w:ascii="Verdana" w:hAnsi="Verdana"/>
          <w:sz w:val="16"/>
          <w:szCs w:val="16"/>
          <w:lang w:val="es-CO"/>
        </w:rPr>
        <w:t>1996</w:t>
      </w:r>
      <w:r w:rsidRPr="005E2900">
        <w:rPr>
          <w:rFonts w:ascii="Verdana" w:hAnsi="Verdana"/>
          <w:sz w:val="16"/>
          <w:szCs w:val="16"/>
          <w:lang w:val="es-CO"/>
        </w:rPr>
        <w:t xml:space="preserve">, literal E; </w:t>
      </w:r>
      <w:r w:rsidRPr="000318C4">
        <w:rPr>
          <w:rFonts w:ascii="Verdana" w:hAnsi="Verdana"/>
          <w:i/>
          <w:sz w:val="16"/>
          <w:szCs w:val="16"/>
          <w:lang w:val="es-CO"/>
        </w:rPr>
        <w:t>Brasil</w:t>
      </w:r>
      <w:r w:rsidRPr="000318C4">
        <w:rPr>
          <w:rFonts w:ascii="Verdana" w:hAnsi="Verdana"/>
          <w:sz w:val="16"/>
          <w:szCs w:val="16"/>
          <w:lang w:val="es-CO"/>
        </w:rPr>
        <w:t xml:space="preserve">, CCPR/C/79/Add.66, 24 de julio de </w:t>
      </w:r>
      <w:r w:rsidRPr="008D0846">
        <w:rPr>
          <w:rFonts w:ascii="Verdana" w:hAnsi="Verdana"/>
          <w:sz w:val="16"/>
          <w:szCs w:val="16"/>
          <w:lang w:val="es-CO"/>
        </w:rPr>
        <w:t>1996</w:t>
      </w:r>
      <w:r w:rsidRPr="005E2900">
        <w:rPr>
          <w:rFonts w:ascii="Verdana" w:hAnsi="Verdana"/>
          <w:sz w:val="16"/>
          <w:szCs w:val="16"/>
          <w:lang w:val="es-CO"/>
        </w:rPr>
        <w:t>, párr. 22</w:t>
      </w:r>
      <w:r w:rsidRPr="000318C4">
        <w:rPr>
          <w:rFonts w:ascii="Verdana" w:hAnsi="Verdana"/>
          <w:sz w:val="16"/>
          <w:szCs w:val="16"/>
          <w:lang w:val="es-CO"/>
        </w:rPr>
        <w:t xml:space="preserve">; </w:t>
      </w:r>
      <w:r w:rsidRPr="000318C4">
        <w:rPr>
          <w:rFonts w:ascii="Verdana" w:hAnsi="Verdana"/>
          <w:i/>
          <w:sz w:val="16"/>
          <w:szCs w:val="16"/>
          <w:lang w:val="es-CO"/>
        </w:rPr>
        <w:t>Alemania</w:t>
      </w:r>
      <w:r w:rsidRPr="000318C4">
        <w:rPr>
          <w:rFonts w:ascii="Verdana" w:hAnsi="Verdana"/>
          <w:sz w:val="16"/>
          <w:szCs w:val="16"/>
          <w:lang w:val="es-CO"/>
        </w:rPr>
        <w:t xml:space="preserve">, CCPR/C/79/Add.73, 18 de noviembre de </w:t>
      </w:r>
      <w:r w:rsidRPr="008D0846">
        <w:rPr>
          <w:rFonts w:ascii="Verdana" w:hAnsi="Verdana"/>
          <w:sz w:val="16"/>
          <w:szCs w:val="16"/>
          <w:lang w:val="es-CO"/>
        </w:rPr>
        <w:t>1996</w:t>
      </w:r>
      <w:r w:rsidRPr="005E2900">
        <w:rPr>
          <w:rFonts w:ascii="Verdana" w:hAnsi="Verdana"/>
          <w:sz w:val="16"/>
          <w:szCs w:val="16"/>
          <w:lang w:val="es-CO"/>
        </w:rPr>
        <w:t>, párr. 11</w:t>
      </w:r>
      <w:r w:rsidRPr="000318C4">
        <w:rPr>
          <w:rFonts w:ascii="Verdana" w:hAnsi="Verdana"/>
          <w:sz w:val="16"/>
          <w:szCs w:val="16"/>
          <w:lang w:val="es-CO"/>
        </w:rPr>
        <w:t xml:space="preserve">; </w:t>
      </w:r>
      <w:r w:rsidRPr="000318C4">
        <w:rPr>
          <w:rFonts w:ascii="Verdana" w:hAnsi="Verdana"/>
          <w:i/>
          <w:sz w:val="16"/>
          <w:szCs w:val="16"/>
          <w:lang w:val="es-CO"/>
        </w:rPr>
        <w:t>Bolivia</w:t>
      </w:r>
      <w:r w:rsidRPr="000318C4">
        <w:rPr>
          <w:rFonts w:ascii="Verdana" w:hAnsi="Verdana"/>
          <w:sz w:val="16"/>
          <w:szCs w:val="16"/>
          <w:lang w:val="es-CO"/>
        </w:rPr>
        <w:t xml:space="preserve">, CCPR/C/79/Add.74, 1 de mayo de </w:t>
      </w:r>
      <w:r w:rsidRPr="008D0846">
        <w:rPr>
          <w:rFonts w:ascii="Verdana" w:hAnsi="Verdana"/>
          <w:sz w:val="16"/>
          <w:szCs w:val="16"/>
          <w:lang w:val="es-CO"/>
        </w:rPr>
        <w:t>1997</w:t>
      </w:r>
      <w:r w:rsidRPr="005E2900">
        <w:rPr>
          <w:rFonts w:ascii="Verdana" w:hAnsi="Verdana"/>
          <w:sz w:val="16"/>
          <w:szCs w:val="16"/>
          <w:lang w:val="es-CO"/>
        </w:rPr>
        <w:t>, párr. 28</w:t>
      </w:r>
      <w:r w:rsidRPr="000318C4">
        <w:rPr>
          <w:rFonts w:ascii="Verdana" w:hAnsi="Verdana"/>
          <w:sz w:val="16"/>
          <w:szCs w:val="16"/>
          <w:lang w:val="es-CO"/>
        </w:rPr>
        <w:t xml:space="preserve">; </w:t>
      </w:r>
      <w:r w:rsidRPr="008D0846">
        <w:rPr>
          <w:rFonts w:ascii="Verdana" w:hAnsi="Verdana"/>
          <w:i/>
          <w:sz w:val="16"/>
          <w:szCs w:val="16"/>
        </w:rPr>
        <w:t>Francia</w:t>
      </w:r>
      <w:r w:rsidRPr="0063507B">
        <w:rPr>
          <w:rFonts w:ascii="Verdana" w:hAnsi="Verdana"/>
          <w:sz w:val="16"/>
          <w:szCs w:val="16"/>
        </w:rPr>
        <w:t xml:space="preserve">, de 4 de agosto de 1997, </w:t>
      </w:r>
      <w:r>
        <w:rPr>
          <w:rFonts w:ascii="Verdana" w:hAnsi="Verdana"/>
          <w:sz w:val="16"/>
          <w:szCs w:val="16"/>
        </w:rPr>
        <w:t xml:space="preserve">CCPR/C/79/Add.80, párr. 16; </w:t>
      </w:r>
      <w:r w:rsidRPr="000318C4">
        <w:rPr>
          <w:rFonts w:ascii="Verdana" w:hAnsi="Verdana"/>
          <w:i/>
          <w:sz w:val="16"/>
          <w:szCs w:val="16"/>
          <w:lang w:val="es-ES_tradnl"/>
        </w:rPr>
        <w:t>Belarús</w:t>
      </w:r>
      <w:r w:rsidRPr="000318C4">
        <w:rPr>
          <w:rFonts w:ascii="Verdana" w:hAnsi="Verdana"/>
          <w:sz w:val="16"/>
          <w:szCs w:val="16"/>
          <w:lang w:val="es-ES_tradnl"/>
        </w:rPr>
        <w:t xml:space="preserve">, CCPR/C/79/add.86, </w:t>
      </w:r>
      <w:r w:rsidRPr="008D0846">
        <w:rPr>
          <w:rFonts w:ascii="Verdana" w:hAnsi="Verdana"/>
          <w:sz w:val="16"/>
          <w:szCs w:val="16"/>
          <w:lang w:val="es-ES_tradnl"/>
        </w:rPr>
        <w:t>19 de noviembre de 1997</w:t>
      </w:r>
      <w:r w:rsidRPr="005E2900">
        <w:rPr>
          <w:rFonts w:ascii="Verdana" w:hAnsi="Verdana"/>
          <w:sz w:val="16"/>
          <w:szCs w:val="16"/>
          <w:lang w:val="es-ES_tradnl"/>
        </w:rPr>
        <w:t>, párr. 9</w:t>
      </w:r>
      <w:r w:rsidRPr="000318C4">
        <w:rPr>
          <w:rFonts w:ascii="Verdana" w:hAnsi="Verdana"/>
          <w:sz w:val="16"/>
          <w:szCs w:val="16"/>
          <w:lang w:val="es-ES_tradnl"/>
        </w:rPr>
        <w:t xml:space="preserve">; </w:t>
      </w:r>
      <w:r w:rsidRPr="000318C4">
        <w:rPr>
          <w:rFonts w:ascii="Verdana" w:hAnsi="Verdana"/>
          <w:i/>
          <w:sz w:val="16"/>
          <w:szCs w:val="16"/>
          <w:lang w:val="es-CO"/>
        </w:rPr>
        <w:t>Sudán</w:t>
      </w:r>
      <w:r w:rsidRPr="000318C4">
        <w:rPr>
          <w:rFonts w:ascii="Verdana" w:hAnsi="Verdana"/>
          <w:sz w:val="16"/>
          <w:szCs w:val="16"/>
          <w:lang w:val="es-CO"/>
        </w:rPr>
        <w:t xml:space="preserve">, CCPR/C/79/Add.85, </w:t>
      </w:r>
      <w:r w:rsidRPr="008D0846">
        <w:rPr>
          <w:rFonts w:ascii="Verdana" w:hAnsi="Verdana"/>
          <w:sz w:val="16"/>
          <w:szCs w:val="16"/>
          <w:lang w:val="es-CO"/>
        </w:rPr>
        <w:t>19 de noviembre de</w:t>
      </w:r>
      <w:r w:rsidRPr="005E2900">
        <w:rPr>
          <w:rFonts w:ascii="Verdana" w:hAnsi="Verdana"/>
          <w:sz w:val="16"/>
          <w:szCs w:val="16"/>
          <w:lang w:val="es-CO"/>
        </w:rPr>
        <w:t xml:space="preserve"> </w:t>
      </w:r>
      <w:r w:rsidRPr="008D0846">
        <w:rPr>
          <w:rFonts w:ascii="Verdana" w:hAnsi="Verdana"/>
          <w:sz w:val="16"/>
          <w:szCs w:val="16"/>
          <w:lang w:val="es-CO"/>
        </w:rPr>
        <w:t>1997</w:t>
      </w:r>
      <w:r w:rsidRPr="005E2900">
        <w:rPr>
          <w:rFonts w:ascii="Verdana" w:hAnsi="Verdana"/>
          <w:sz w:val="16"/>
          <w:szCs w:val="16"/>
          <w:lang w:val="es-CO"/>
        </w:rPr>
        <w:t>, párr. 12</w:t>
      </w:r>
      <w:r w:rsidRPr="000318C4">
        <w:rPr>
          <w:rFonts w:ascii="Verdana" w:hAnsi="Verdana"/>
          <w:sz w:val="16"/>
          <w:szCs w:val="16"/>
          <w:lang w:val="es-CO"/>
        </w:rPr>
        <w:t xml:space="preserve">; </w:t>
      </w:r>
      <w:r w:rsidRPr="000318C4">
        <w:rPr>
          <w:rFonts w:ascii="Verdana" w:hAnsi="Verdana"/>
          <w:i/>
          <w:sz w:val="16"/>
          <w:szCs w:val="16"/>
          <w:lang w:val="es-CO"/>
        </w:rPr>
        <w:t>Argelia</w:t>
      </w:r>
      <w:r w:rsidRPr="000318C4">
        <w:rPr>
          <w:rFonts w:ascii="Verdana" w:hAnsi="Verdana"/>
          <w:sz w:val="16"/>
          <w:szCs w:val="16"/>
          <w:lang w:val="es-CO"/>
        </w:rPr>
        <w:t xml:space="preserve">, CCPR/C/79/Add.95 de 18 de agosto de </w:t>
      </w:r>
      <w:r w:rsidRPr="008D0846">
        <w:rPr>
          <w:rFonts w:ascii="Verdana" w:hAnsi="Verdana"/>
          <w:sz w:val="16"/>
          <w:szCs w:val="16"/>
          <w:lang w:val="es-CO"/>
        </w:rPr>
        <w:t>1998</w:t>
      </w:r>
      <w:r w:rsidRPr="005E2900">
        <w:rPr>
          <w:rFonts w:ascii="Verdana" w:hAnsi="Verdana"/>
          <w:sz w:val="16"/>
          <w:szCs w:val="16"/>
          <w:lang w:val="es-CO"/>
        </w:rPr>
        <w:t>, párrs. 6, 7 y 9</w:t>
      </w:r>
      <w:r w:rsidRPr="000318C4">
        <w:rPr>
          <w:rFonts w:ascii="Verdana" w:hAnsi="Verdana"/>
          <w:sz w:val="16"/>
          <w:szCs w:val="16"/>
          <w:lang w:val="es-CO"/>
        </w:rPr>
        <w:t xml:space="preserve">; </w:t>
      </w:r>
      <w:r w:rsidRPr="000318C4">
        <w:rPr>
          <w:rFonts w:ascii="Verdana" w:hAnsi="Verdana"/>
          <w:i/>
          <w:sz w:val="16"/>
          <w:szCs w:val="16"/>
          <w:lang w:val="es-ES_tradnl"/>
        </w:rPr>
        <w:t>Ex República Yugoslavia de Macedonia</w:t>
      </w:r>
      <w:r>
        <w:rPr>
          <w:rFonts w:ascii="Verdana" w:hAnsi="Verdana"/>
          <w:sz w:val="16"/>
          <w:szCs w:val="16"/>
          <w:lang w:val="es-ES_tradnl"/>
        </w:rPr>
        <w:t xml:space="preserve">, </w:t>
      </w:r>
      <w:r w:rsidRPr="000318C4">
        <w:rPr>
          <w:rFonts w:ascii="Verdana" w:hAnsi="Verdana"/>
          <w:sz w:val="16"/>
          <w:szCs w:val="16"/>
          <w:lang w:val="es-ES_tradnl"/>
        </w:rPr>
        <w:t xml:space="preserve">CCPR/C/79/Add.96, </w:t>
      </w:r>
      <w:r w:rsidRPr="008D0846">
        <w:rPr>
          <w:rFonts w:ascii="Verdana" w:hAnsi="Verdana"/>
          <w:sz w:val="16"/>
          <w:szCs w:val="16"/>
          <w:lang w:val="es-ES_tradnl"/>
        </w:rPr>
        <w:t>18 de agosto de 1998</w:t>
      </w:r>
      <w:r w:rsidRPr="005E2900">
        <w:rPr>
          <w:rFonts w:ascii="Verdana" w:hAnsi="Verdana"/>
          <w:sz w:val="16"/>
          <w:szCs w:val="16"/>
          <w:lang w:val="es-ES_tradnl"/>
        </w:rPr>
        <w:t xml:space="preserve">, párr. </w:t>
      </w:r>
      <w:r w:rsidRPr="000318C4">
        <w:rPr>
          <w:rFonts w:ascii="Verdana" w:hAnsi="Verdana"/>
          <w:sz w:val="16"/>
          <w:szCs w:val="16"/>
          <w:lang w:val="es-CO"/>
        </w:rPr>
        <w:t xml:space="preserve">10; </w:t>
      </w:r>
      <w:r w:rsidRPr="000318C4">
        <w:rPr>
          <w:rFonts w:ascii="Verdana" w:hAnsi="Verdana"/>
          <w:i/>
          <w:sz w:val="16"/>
          <w:szCs w:val="16"/>
          <w:lang w:val="es-ES_tradnl"/>
        </w:rPr>
        <w:t>Chile</w:t>
      </w:r>
      <w:r w:rsidRPr="000318C4">
        <w:rPr>
          <w:rFonts w:ascii="Verdana" w:hAnsi="Verdana"/>
          <w:sz w:val="16"/>
          <w:szCs w:val="16"/>
          <w:lang w:val="es-ES_tradnl"/>
        </w:rPr>
        <w:t xml:space="preserve">, CCPR/C/79/Add.104, 30 de marzo de </w:t>
      </w:r>
      <w:r w:rsidRPr="008D0846">
        <w:rPr>
          <w:rFonts w:ascii="Verdana" w:hAnsi="Verdana"/>
          <w:sz w:val="16"/>
          <w:szCs w:val="16"/>
          <w:lang w:val="es-ES_tradnl"/>
        </w:rPr>
        <w:t>1999</w:t>
      </w:r>
      <w:r w:rsidRPr="005E2900">
        <w:rPr>
          <w:rFonts w:ascii="Verdana" w:hAnsi="Verdana"/>
          <w:sz w:val="16"/>
          <w:szCs w:val="16"/>
          <w:lang w:val="es-ES_tradnl"/>
        </w:rPr>
        <w:t>, párr. 10</w:t>
      </w:r>
      <w:r w:rsidRPr="000318C4">
        <w:rPr>
          <w:rFonts w:ascii="Verdana" w:hAnsi="Verdana"/>
          <w:sz w:val="16"/>
          <w:szCs w:val="16"/>
          <w:lang w:val="es-ES_tradnl"/>
        </w:rPr>
        <w:t xml:space="preserve">; </w:t>
      </w:r>
      <w:r w:rsidRPr="000318C4">
        <w:rPr>
          <w:rFonts w:ascii="Verdana" w:hAnsi="Verdana"/>
          <w:i/>
          <w:sz w:val="16"/>
          <w:szCs w:val="16"/>
          <w:lang w:val="es-CO"/>
        </w:rPr>
        <w:t>Camerún</w:t>
      </w:r>
      <w:r w:rsidRPr="000318C4">
        <w:rPr>
          <w:rFonts w:ascii="Verdana" w:hAnsi="Verdana"/>
          <w:sz w:val="16"/>
          <w:szCs w:val="16"/>
          <w:lang w:val="es-CO"/>
        </w:rPr>
        <w:t xml:space="preserve">, CCPR/C/79/Add.116, </w:t>
      </w:r>
      <w:r w:rsidRPr="008D0846">
        <w:rPr>
          <w:rFonts w:ascii="Verdana" w:hAnsi="Verdana"/>
          <w:sz w:val="16"/>
          <w:szCs w:val="16"/>
          <w:lang w:val="es-CO"/>
        </w:rPr>
        <w:t>4 de noviembre de</w:t>
      </w:r>
      <w:r w:rsidRPr="005E2900">
        <w:rPr>
          <w:rFonts w:ascii="Verdana" w:hAnsi="Verdana"/>
          <w:sz w:val="16"/>
          <w:szCs w:val="16"/>
          <w:lang w:val="es-CO"/>
        </w:rPr>
        <w:t xml:space="preserve"> </w:t>
      </w:r>
      <w:r w:rsidRPr="008D0846">
        <w:rPr>
          <w:rFonts w:ascii="Verdana" w:hAnsi="Verdana"/>
          <w:sz w:val="16"/>
          <w:szCs w:val="16"/>
          <w:lang w:val="es-CO"/>
        </w:rPr>
        <w:t>1999</w:t>
      </w:r>
      <w:r w:rsidRPr="005E2900">
        <w:rPr>
          <w:rFonts w:ascii="Verdana" w:hAnsi="Verdana"/>
          <w:sz w:val="16"/>
          <w:szCs w:val="16"/>
          <w:lang w:val="es-CO"/>
        </w:rPr>
        <w:t>, párr. 20</w:t>
      </w:r>
      <w:r w:rsidRPr="000318C4">
        <w:rPr>
          <w:rFonts w:ascii="Verdana" w:hAnsi="Verdana"/>
          <w:sz w:val="16"/>
          <w:szCs w:val="16"/>
          <w:lang w:val="es-CO"/>
        </w:rPr>
        <w:t xml:space="preserve">; </w:t>
      </w:r>
      <w:r w:rsidRPr="000318C4">
        <w:rPr>
          <w:rFonts w:ascii="Verdana" w:hAnsi="Verdana"/>
          <w:i/>
          <w:sz w:val="16"/>
          <w:szCs w:val="16"/>
          <w:lang w:val="es-CO"/>
        </w:rPr>
        <w:t>Guyana</w:t>
      </w:r>
      <w:r w:rsidRPr="000318C4">
        <w:rPr>
          <w:rFonts w:ascii="Verdana" w:hAnsi="Verdana"/>
          <w:sz w:val="16"/>
          <w:szCs w:val="16"/>
          <w:lang w:val="es-CO"/>
        </w:rPr>
        <w:t xml:space="preserve">, CCPR/C/79/Add.121 de 25 de abril de </w:t>
      </w:r>
      <w:r w:rsidRPr="008D0846">
        <w:rPr>
          <w:rFonts w:ascii="Verdana" w:hAnsi="Verdana"/>
          <w:sz w:val="16"/>
          <w:szCs w:val="16"/>
          <w:lang w:val="es-CO"/>
        </w:rPr>
        <w:t>2000</w:t>
      </w:r>
      <w:r w:rsidRPr="005E2900">
        <w:rPr>
          <w:rFonts w:ascii="Verdana" w:hAnsi="Verdana"/>
          <w:sz w:val="16"/>
          <w:szCs w:val="16"/>
          <w:lang w:val="es-CO"/>
        </w:rPr>
        <w:t>, párr. 10</w:t>
      </w:r>
      <w:r w:rsidRPr="000318C4">
        <w:rPr>
          <w:rFonts w:ascii="Verdana" w:hAnsi="Verdana"/>
          <w:sz w:val="16"/>
          <w:szCs w:val="16"/>
          <w:lang w:val="es-CO"/>
        </w:rPr>
        <w:t xml:space="preserve">; </w:t>
      </w:r>
      <w:r w:rsidRPr="000318C4">
        <w:rPr>
          <w:rFonts w:ascii="Verdana" w:hAnsi="Verdana"/>
          <w:i/>
          <w:sz w:val="16"/>
          <w:szCs w:val="16"/>
          <w:lang w:val="es-ES_tradnl"/>
        </w:rPr>
        <w:t>República Kirguisa</w:t>
      </w:r>
      <w:r w:rsidRPr="000318C4">
        <w:rPr>
          <w:rFonts w:ascii="Verdana" w:hAnsi="Verdana"/>
          <w:sz w:val="16"/>
          <w:szCs w:val="16"/>
          <w:lang w:val="es-ES_tradnl"/>
        </w:rPr>
        <w:t xml:space="preserve">, CCPR/C0/69/KGZ, </w:t>
      </w:r>
      <w:r w:rsidRPr="008D0846">
        <w:rPr>
          <w:rFonts w:ascii="Verdana" w:hAnsi="Verdana"/>
          <w:sz w:val="16"/>
          <w:szCs w:val="16"/>
          <w:lang w:val="es-ES_tradnl"/>
        </w:rPr>
        <w:t>24 de julio de</w:t>
      </w:r>
      <w:r w:rsidRPr="005E2900">
        <w:rPr>
          <w:rFonts w:ascii="Verdana" w:hAnsi="Verdana"/>
          <w:sz w:val="16"/>
          <w:szCs w:val="16"/>
          <w:lang w:val="es-ES_tradnl"/>
        </w:rPr>
        <w:t xml:space="preserve"> </w:t>
      </w:r>
      <w:r w:rsidRPr="008D0846">
        <w:rPr>
          <w:rFonts w:ascii="Verdana" w:hAnsi="Verdana"/>
          <w:sz w:val="16"/>
          <w:szCs w:val="16"/>
          <w:lang w:val="es-ES_tradnl"/>
        </w:rPr>
        <w:t>2000</w:t>
      </w:r>
      <w:r w:rsidRPr="005E2900">
        <w:rPr>
          <w:rFonts w:ascii="Verdana" w:hAnsi="Verdana"/>
          <w:sz w:val="16"/>
          <w:szCs w:val="16"/>
          <w:lang w:val="es-ES_tradnl"/>
        </w:rPr>
        <w:t>, párr. 7;</w:t>
      </w:r>
      <w:r w:rsidRPr="000318C4">
        <w:rPr>
          <w:rFonts w:ascii="Verdana" w:hAnsi="Verdana"/>
          <w:sz w:val="16"/>
          <w:szCs w:val="16"/>
          <w:lang w:val="es-ES_tradnl"/>
        </w:rPr>
        <w:t xml:space="preserve"> </w:t>
      </w:r>
      <w:r w:rsidRPr="000318C4">
        <w:rPr>
          <w:rFonts w:ascii="Verdana" w:hAnsi="Verdana"/>
          <w:i/>
          <w:sz w:val="16"/>
          <w:szCs w:val="16"/>
          <w:lang w:val="es-CO"/>
        </w:rPr>
        <w:t>Kuwait</w:t>
      </w:r>
      <w:r w:rsidRPr="000318C4">
        <w:rPr>
          <w:rFonts w:ascii="Verdana" w:hAnsi="Verdana"/>
          <w:sz w:val="16"/>
          <w:szCs w:val="16"/>
          <w:lang w:val="es-CO"/>
        </w:rPr>
        <w:t xml:space="preserve">, CCPR/CO/KWT, 27 de julio de </w:t>
      </w:r>
      <w:r w:rsidRPr="008D0846">
        <w:rPr>
          <w:rFonts w:ascii="Verdana" w:hAnsi="Verdana"/>
          <w:sz w:val="16"/>
          <w:szCs w:val="16"/>
          <w:lang w:val="es-CO"/>
        </w:rPr>
        <w:t>2000</w:t>
      </w:r>
      <w:r w:rsidRPr="005E2900">
        <w:rPr>
          <w:rFonts w:ascii="Verdana" w:hAnsi="Verdana"/>
          <w:sz w:val="16"/>
          <w:szCs w:val="16"/>
          <w:lang w:val="es-CO"/>
        </w:rPr>
        <w:t>, párr. 13</w:t>
      </w:r>
      <w:r w:rsidRPr="000318C4">
        <w:rPr>
          <w:rFonts w:ascii="Verdana" w:hAnsi="Verdana"/>
          <w:sz w:val="16"/>
          <w:szCs w:val="16"/>
          <w:lang w:val="es-CO"/>
        </w:rPr>
        <w:t xml:space="preserve">; </w:t>
      </w:r>
      <w:r w:rsidRPr="000318C4">
        <w:rPr>
          <w:rFonts w:ascii="Verdana" w:hAnsi="Verdana"/>
          <w:i/>
          <w:sz w:val="16"/>
          <w:szCs w:val="16"/>
          <w:lang w:val="es-ES_tradnl"/>
        </w:rPr>
        <w:t>Venezuela</w:t>
      </w:r>
      <w:r w:rsidRPr="000318C4">
        <w:rPr>
          <w:rFonts w:ascii="Verdana" w:hAnsi="Verdana"/>
          <w:sz w:val="16"/>
          <w:szCs w:val="16"/>
          <w:lang w:val="es-ES_tradnl"/>
        </w:rPr>
        <w:t>, CCPR/CO/71/VEN, 26</w:t>
      </w:r>
      <w:r w:rsidRPr="00131AE6">
        <w:rPr>
          <w:rFonts w:ascii="Verdana" w:hAnsi="Verdana"/>
          <w:sz w:val="16"/>
          <w:szCs w:val="16"/>
          <w:lang w:val="es-ES_tradnl"/>
        </w:rPr>
        <w:t xml:space="preserve"> de abril de 2001, párr. 8;</w:t>
      </w:r>
      <w:r w:rsidRPr="005E2900">
        <w:rPr>
          <w:rFonts w:ascii="Verdana" w:hAnsi="Verdana"/>
          <w:sz w:val="16"/>
          <w:szCs w:val="16"/>
          <w:lang w:val="es-CO"/>
        </w:rPr>
        <w:t xml:space="preserve"> </w:t>
      </w:r>
      <w:r w:rsidRPr="008D0846">
        <w:rPr>
          <w:rFonts w:ascii="Verdana" w:hAnsi="Verdana"/>
          <w:i/>
          <w:sz w:val="16"/>
          <w:szCs w:val="16"/>
          <w:lang w:val="es-CO"/>
        </w:rPr>
        <w:t>Filipinas</w:t>
      </w:r>
      <w:r w:rsidRPr="005E2900">
        <w:rPr>
          <w:rFonts w:ascii="Verdana" w:hAnsi="Verdana"/>
          <w:i/>
          <w:sz w:val="16"/>
          <w:szCs w:val="16"/>
          <w:lang w:val="es-CO"/>
        </w:rPr>
        <w:t>:</w:t>
      </w:r>
      <w:r w:rsidRPr="000318C4">
        <w:rPr>
          <w:rFonts w:ascii="Verdana" w:hAnsi="Verdana"/>
          <w:sz w:val="16"/>
          <w:szCs w:val="16"/>
          <w:lang w:val="es-CO"/>
        </w:rPr>
        <w:t xml:space="preserve"> </w:t>
      </w:r>
      <w:r w:rsidRPr="000318C4">
        <w:rPr>
          <w:rFonts w:ascii="Verdana" w:hAnsi="Verdana"/>
          <w:i/>
          <w:sz w:val="16"/>
          <w:szCs w:val="16"/>
        </w:rPr>
        <w:t>Examen de los informes presentados por los Estados Partes</w:t>
      </w:r>
      <w:r w:rsidRPr="008F7720">
        <w:rPr>
          <w:rFonts w:ascii="Verdana" w:hAnsi="Verdana"/>
          <w:i/>
          <w:sz w:val="16"/>
          <w:szCs w:val="16"/>
        </w:rPr>
        <w:t xml:space="preserve"> de conformidad con el Artículo 40 del Pacto, </w:t>
      </w:r>
      <w:r w:rsidRPr="008F7720">
        <w:rPr>
          <w:rFonts w:ascii="Verdana" w:hAnsi="Verdana"/>
          <w:sz w:val="16"/>
          <w:szCs w:val="16"/>
          <w:lang w:val="es-CO"/>
        </w:rPr>
        <w:t>CCPR/CO/79/PHL, 1</w:t>
      </w:r>
      <w:r w:rsidRPr="005E2900">
        <w:rPr>
          <w:rFonts w:ascii="Verdana" w:hAnsi="Verdana"/>
          <w:sz w:val="16"/>
          <w:szCs w:val="16"/>
          <w:lang w:val="es-CO"/>
        </w:rPr>
        <w:t xml:space="preserve"> de diciembre de 2003, párrs. 8 y 12,</w:t>
      </w:r>
      <w:r w:rsidRPr="005E2900">
        <w:rPr>
          <w:rFonts w:ascii="Verdana" w:hAnsi="Verdana"/>
          <w:i/>
          <w:sz w:val="16"/>
          <w:szCs w:val="16"/>
          <w:lang w:val="es-CO"/>
        </w:rPr>
        <w:t xml:space="preserve"> </w:t>
      </w:r>
      <w:r w:rsidRPr="005E2900">
        <w:rPr>
          <w:rFonts w:ascii="Verdana" w:hAnsi="Verdana"/>
          <w:sz w:val="16"/>
          <w:szCs w:val="16"/>
          <w:lang w:val="es-ES"/>
        </w:rPr>
        <w:t xml:space="preserve">y </w:t>
      </w:r>
      <w:r w:rsidRPr="005E2900">
        <w:rPr>
          <w:rFonts w:ascii="Verdana" w:hAnsi="Verdana"/>
          <w:i/>
          <w:sz w:val="16"/>
          <w:szCs w:val="16"/>
          <w:lang w:val="es-ES"/>
        </w:rPr>
        <w:t xml:space="preserve">Observaciones finales sobre el cuarto informe periódico, </w:t>
      </w:r>
      <w:r w:rsidRPr="008D0846">
        <w:rPr>
          <w:rFonts w:ascii="Verdana" w:hAnsi="Verdana"/>
          <w:sz w:val="16"/>
          <w:szCs w:val="16"/>
        </w:rPr>
        <w:t>CCPR/C/PHL/CO/4</w:t>
      </w:r>
      <w:r w:rsidRPr="005E2900">
        <w:rPr>
          <w:rFonts w:ascii="Verdana" w:hAnsi="Verdana"/>
          <w:i/>
          <w:sz w:val="16"/>
          <w:szCs w:val="16"/>
        </w:rPr>
        <w:t xml:space="preserve">, </w:t>
      </w:r>
      <w:r w:rsidRPr="000318C4">
        <w:rPr>
          <w:rFonts w:ascii="Verdana" w:hAnsi="Verdana"/>
          <w:sz w:val="16"/>
          <w:szCs w:val="16"/>
          <w:lang w:val="es-ES"/>
        </w:rPr>
        <w:t>13 de noviembre de 2012, párr. 17</w:t>
      </w:r>
      <w:r w:rsidRPr="000318C4">
        <w:rPr>
          <w:rFonts w:ascii="Verdana" w:hAnsi="Verdana"/>
          <w:sz w:val="16"/>
          <w:szCs w:val="16"/>
          <w:lang w:val="es-CO"/>
        </w:rPr>
        <w:t xml:space="preserve">. </w:t>
      </w:r>
      <w:r w:rsidRPr="008D0846">
        <w:rPr>
          <w:rFonts w:ascii="Verdana" w:hAnsi="Verdana"/>
          <w:sz w:val="16"/>
          <w:szCs w:val="16"/>
          <w:lang w:val="es-CO"/>
        </w:rPr>
        <w:t xml:space="preserve">Asimismo: </w:t>
      </w:r>
      <w:r w:rsidRPr="008D0846">
        <w:rPr>
          <w:rFonts w:ascii="Verdana" w:hAnsi="Verdana"/>
          <w:i/>
          <w:sz w:val="16"/>
          <w:szCs w:val="16"/>
          <w:lang w:val="es-CO"/>
        </w:rPr>
        <w:t>Observaciones preliminares a</w:t>
      </w:r>
      <w:r w:rsidRPr="008D0846">
        <w:rPr>
          <w:rFonts w:ascii="Verdana" w:hAnsi="Verdana"/>
          <w:sz w:val="16"/>
          <w:szCs w:val="16"/>
          <w:lang w:val="es-CO"/>
        </w:rPr>
        <w:t xml:space="preserve"> </w:t>
      </w:r>
      <w:r w:rsidRPr="005E2900">
        <w:rPr>
          <w:rFonts w:ascii="Verdana" w:hAnsi="Verdana"/>
          <w:i/>
          <w:sz w:val="16"/>
          <w:szCs w:val="16"/>
          <w:lang w:val="es-CO"/>
        </w:rPr>
        <w:t>Perú</w:t>
      </w:r>
      <w:r w:rsidRPr="000318C4">
        <w:rPr>
          <w:rFonts w:ascii="Verdana" w:hAnsi="Verdana"/>
          <w:sz w:val="16"/>
          <w:szCs w:val="16"/>
          <w:lang w:val="es-CO"/>
        </w:rPr>
        <w:t>, CCPR/C/79/Add.67, 25 de julio de 1995, párr. 22</w:t>
      </w:r>
      <w:r>
        <w:rPr>
          <w:rFonts w:ascii="Verdana" w:hAnsi="Verdana"/>
          <w:sz w:val="16"/>
          <w:szCs w:val="16"/>
          <w:lang w:val="es-CO"/>
        </w:rPr>
        <w:t xml:space="preserve">, y </w:t>
      </w:r>
      <w:r w:rsidRPr="008D0846">
        <w:rPr>
          <w:rFonts w:ascii="Verdana" w:hAnsi="Verdana"/>
          <w:i/>
          <w:sz w:val="16"/>
          <w:szCs w:val="16"/>
        </w:rPr>
        <w:t>Observación General No. 32. Artículo 14 el Pacto. El derecho a un juicio imparcial y a la igualdad ante los tribunales y cortes de justicia</w:t>
      </w:r>
      <w:r>
        <w:rPr>
          <w:rFonts w:ascii="Verdana" w:hAnsi="Verdana"/>
          <w:i/>
          <w:sz w:val="16"/>
          <w:szCs w:val="16"/>
        </w:rPr>
        <w:t>,</w:t>
      </w:r>
      <w:r w:rsidRPr="00432ABC">
        <w:rPr>
          <w:rFonts w:ascii="Verdana" w:hAnsi="Verdana"/>
          <w:sz w:val="16"/>
          <w:szCs w:val="16"/>
          <w:lang w:val="es-CO"/>
        </w:rPr>
        <w:t xml:space="preserve"> </w:t>
      </w:r>
      <w:r w:rsidRPr="00F902E2">
        <w:rPr>
          <w:rFonts w:ascii="Verdana" w:hAnsi="Verdana"/>
          <w:sz w:val="16"/>
          <w:szCs w:val="16"/>
        </w:rPr>
        <w:t>CCPR/C/GC/32</w:t>
      </w:r>
      <w:r>
        <w:rPr>
          <w:rFonts w:ascii="Verdana" w:hAnsi="Verdana"/>
          <w:sz w:val="16"/>
          <w:szCs w:val="16"/>
        </w:rPr>
        <w:t xml:space="preserve">, </w:t>
      </w:r>
      <w:r w:rsidRPr="00F902E2">
        <w:rPr>
          <w:rFonts w:ascii="Verdana" w:hAnsi="Verdana"/>
          <w:sz w:val="16"/>
          <w:szCs w:val="16"/>
        </w:rPr>
        <w:t>23 de agosto de 2007</w:t>
      </w:r>
      <w:r>
        <w:rPr>
          <w:rFonts w:ascii="Verdana" w:hAnsi="Verdana"/>
          <w:sz w:val="16"/>
          <w:szCs w:val="16"/>
        </w:rPr>
        <w:t>, párr. 22.</w:t>
      </w:r>
    </w:p>
  </w:footnote>
  <w:footnote w:id="403">
    <w:p w14:paraId="329188D8" w14:textId="2DE64B5D" w:rsidR="00146958" w:rsidRPr="00432ABC" w:rsidRDefault="00146958" w:rsidP="00DB378B">
      <w:pPr>
        <w:pStyle w:val="FootnoteText"/>
        <w:ind w:right="49"/>
        <w:jc w:val="both"/>
        <w:rPr>
          <w:rFonts w:ascii="Verdana" w:hAnsi="Verdana"/>
          <w:snapToGrid w:val="0"/>
          <w:sz w:val="16"/>
          <w:szCs w:val="16"/>
          <w:lang w:val="es-CO"/>
        </w:rPr>
      </w:pPr>
      <w:r w:rsidRPr="00432ABC">
        <w:rPr>
          <w:rStyle w:val="FootnoteReference"/>
          <w:rFonts w:ascii="Verdana" w:eastAsia="Times" w:hAnsi="Verdana"/>
          <w:sz w:val="16"/>
          <w:szCs w:val="16"/>
        </w:rPr>
        <w:footnoteRef/>
      </w:r>
      <w:r w:rsidRPr="00432ABC">
        <w:rPr>
          <w:rFonts w:ascii="Verdana" w:hAnsi="Verdana"/>
          <w:sz w:val="16"/>
          <w:szCs w:val="16"/>
          <w:lang w:val="es-CO"/>
        </w:rPr>
        <w:t xml:space="preserve"> </w:t>
      </w:r>
      <w:r w:rsidRPr="00432ABC">
        <w:rPr>
          <w:rFonts w:ascii="Verdana" w:hAnsi="Verdana"/>
          <w:sz w:val="16"/>
          <w:szCs w:val="16"/>
          <w:lang w:val="es-CO"/>
        </w:rPr>
        <w:tab/>
      </w:r>
      <w:r w:rsidRPr="00CD5C54">
        <w:rPr>
          <w:rFonts w:ascii="Verdana" w:hAnsi="Verdana"/>
          <w:i/>
          <w:sz w:val="16"/>
          <w:szCs w:val="16"/>
          <w:lang w:val="es-CO"/>
        </w:rPr>
        <w:t>Cfr.</w:t>
      </w:r>
      <w:r w:rsidRPr="002C462C">
        <w:rPr>
          <w:rFonts w:ascii="Verdana" w:hAnsi="Verdana"/>
          <w:sz w:val="16"/>
          <w:szCs w:val="16"/>
          <w:lang w:val="es-CO"/>
        </w:rPr>
        <w:t xml:space="preserve"> </w:t>
      </w:r>
      <w:r w:rsidRPr="008D0846">
        <w:rPr>
          <w:rFonts w:ascii="Verdana" w:hAnsi="Verdana"/>
          <w:i/>
          <w:sz w:val="16"/>
          <w:szCs w:val="16"/>
        </w:rPr>
        <w:t xml:space="preserve">Observaciones finales, </w:t>
      </w:r>
      <w:r w:rsidRPr="008D0846">
        <w:rPr>
          <w:rFonts w:ascii="Verdana" w:hAnsi="Verdana"/>
          <w:i/>
          <w:sz w:val="16"/>
          <w:szCs w:val="16"/>
          <w:lang w:val="es-CO"/>
        </w:rPr>
        <w:t xml:space="preserve">conclusiones y recomendaciones del Comité contra la Tortura de la ONU </w:t>
      </w:r>
      <w:r w:rsidRPr="00432ABC">
        <w:rPr>
          <w:rFonts w:ascii="Verdana" w:hAnsi="Verdana"/>
          <w:sz w:val="16"/>
          <w:szCs w:val="16"/>
          <w:lang w:val="es-CO"/>
        </w:rPr>
        <w:t xml:space="preserve">a: </w:t>
      </w:r>
      <w:r w:rsidRPr="00432ABC">
        <w:rPr>
          <w:rFonts w:ascii="Verdana" w:hAnsi="Verdana"/>
          <w:i/>
          <w:sz w:val="16"/>
          <w:szCs w:val="16"/>
          <w:lang w:val="es-CO"/>
        </w:rPr>
        <w:t>E</w:t>
      </w:r>
      <w:r>
        <w:rPr>
          <w:rFonts w:ascii="Verdana" w:hAnsi="Verdana"/>
          <w:i/>
          <w:sz w:val="16"/>
          <w:szCs w:val="16"/>
          <w:lang w:val="es-CO"/>
        </w:rPr>
        <w:t>gipto</w:t>
      </w:r>
      <w:r w:rsidRPr="00CB19EF">
        <w:rPr>
          <w:rFonts w:ascii="Verdana" w:hAnsi="Verdana"/>
          <w:sz w:val="16"/>
          <w:szCs w:val="16"/>
          <w:lang w:val="es-CO"/>
        </w:rPr>
        <w:t xml:space="preserve"> </w:t>
      </w:r>
      <w:r>
        <w:rPr>
          <w:rFonts w:ascii="Verdana" w:hAnsi="Verdana"/>
          <w:sz w:val="16"/>
          <w:szCs w:val="16"/>
          <w:lang w:val="es-CO"/>
        </w:rPr>
        <w:t>(</w:t>
      </w:r>
      <w:r w:rsidRPr="00432ABC">
        <w:rPr>
          <w:rFonts w:ascii="Verdana" w:hAnsi="Verdana"/>
          <w:sz w:val="16"/>
          <w:szCs w:val="16"/>
          <w:lang w:val="es-CO"/>
        </w:rPr>
        <w:t xml:space="preserve">párr. </w:t>
      </w:r>
      <w:r>
        <w:rPr>
          <w:rFonts w:ascii="Verdana" w:hAnsi="Verdana"/>
          <w:sz w:val="16"/>
          <w:szCs w:val="16"/>
          <w:lang w:val="es-CO"/>
        </w:rPr>
        <w:t xml:space="preserve">88) y </w:t>
      </w:r>
      <w:r w:rsidRPr="008D0846">
        <w:rPr>
          <w:rFonts w:ascii="Verdana" w:hAnsi="Verdana"/>
          <w:i/>
          <w:sz w:val="16"/>
          <w:szCs w:val="16"/>
          <w:lang w:val="es-CO"/>
        </w:rPr>
        <w:t>Ecuador</w:t>
      </w:r>
      <w:r>
        <w:rPr>
          <w:rFonts w:ascii="Verdana" w:hAnsi="Verdana"/>
          <w:i/>
          <w:sz w:val="16"/>
          <w:szCs w:val="16"/>
          <w:lang w:val="es-CO"/>
        </w:rPr>
        <w:t xml:space="preserve"> </w:t>
      </w:r>
      <w:r>
        <w:rPr>
          <w:rFonts w:ascii="Verdana" w:hAnsi="Verdana"/>
          <w:sz w:val="16"/>
          <w:szCs w:val="16"/>
          <w:lang w:val="es-CO"/>
        </w:rPr>
        <w:t>(párr. 105)</w:t>
      </w:r>
      <w:r w:rsidRPr="00432ABC">
        <w:rPr>
          <w:rFonts w:ascii="Verdana" w:hAnsi="Verdana"/>
          <w:sz w:val="16"/>
          <w:szCs w:val="16"/>
          <w:lang w:val="es-CO"/>
        </w:rPr>
        <w:t>, A/49/44</w:t>
      </w:r>
      <w:r>
        <w:rPr>
          <w:rFonts w:ascii="Verdana" w:hAnsi="Verdana"/>
          <w:sz w:val="16"/>
          <w:szCs w:val="16"/>
          <w:lang w:val="es-CO"/>
        </w:rPr>
        <w:t xml:space="preserve">, </w:t>
      </w:r>
      <w:r w:rsidRPr="00432ABC">
        <w:rPr>
          <w:rFonts w:ascii="Verdana" w:hAnsi="Verdana"/>
          <w:sz w:val="16"/>
          <w:szCs w:val="16"/>
          <w:lang w:val="es-CO"/>
        </w:rPr>
        <w:t xml:space="preserve">15 de noviembre de 1993; </w:t>
      </w:r>
      <w:r w:rsidRPr="00432ABC">
        <w:rPr>
          <w:rFonts w:ascii="Verdana" w:hAnsi="Verdana"/>
          <w:i/>
          <w:sz w:val="16"/>
          <w:szCs w:val="16"/>
          <w:lang w:val="es-CO"/>
        </w:rPr>
        <w:t>Guatemala</w:t>
      </w:r>
      <w:r>
        <w:rPr>
          <w:rFonts w:ascii="Verdana" w:hAnsi="Verdana"/>
          <w:sz w:val="16"/>
          <w:szCs w:val="16"/>
        </w:rPr>
        <w:t xml:space="preserve">, </w:t>
      </w:r>
      <w:r w:rsidRPr="005C6335">
        <w:rPr>
          <w:rFonts w:ascii="Verdana" w:hAnsi="Verdana"/>
          <w:sz w:val="16"/>
          <w:szCs w:val="16"/>
        </w:rPr>
        <w:t>A/56/44</w:t>
      </w:r>
      <w:r>
        <w:rPr>
          <w:rFonts w:ascii="Verdana" w:hAnsi="Verdana"/>
          <w:sz w:val="16"/>
          <w:szCs w:val="16"/>
        </w:rPr>
        <w:t xml:space="preserve">, 23 de noviembre de 2000, párrs. 72 (b) y 76 (b), y </w:t>
      </w:r>
      <w:r w:rsidRPr="00432ABC">
        <w:rPr>
          <w:rFonts w:ascii="Verdana" w:hAnsi="Verdana"/>
          <w:sz w:val="16"/>
          <w:szCs w:val="16"/>
          <w:lang w:val="es-CO"/>
        </w:rPr>
        <w:t>CAT/C/XXV/Concl.6</w:t>
      </w:r>
      <w:r>
        <w:rPr>
          <w:rFonts w:ascii="Verdana" w:hAnsi="Verdana"/>
          <w:sz w:val="16"/>
          <w:szCs w:val="16"/>
          <w:lang w:val="es-CO"/>
        </w:rPr>
        <w:t xml:space="preserve">, </w:t>
      </w:r>
      <w:r w:rsidRPr="00432ABC">
        <w:rPr>
          <w:rFonts w:ascii="Verdana" w:hAnsi="Verdana"/>
          <w:sz w:val="16"/>
          <w:szCs w:val="16"/>
          <w:lang w:val="es-CO"/>
        </w:rPr>
        <w:t>23 de noviembre de 2000, párr. 10</w:t>
      </w:r>
      <w:r>
        <w:rPr>
          <w:rFonts w:ascii="Verdana" w:hAnsi="Verdana"/>
          <w:sz w:val="16"/>
          <w:szCs w:val="16"/>
          <w:lang w:val="es-CO"/>
        </w:rPr>
        <w:t>, incisos b y d, y</w:t>
      </w:r>
      <w:r w:rsidRPr="00432ABC">
        <w:rPr>
          <w:rFonts w:ascii="Verdana" w:hAnsi="Verdana"/>
          <w:i/>
          <w:snapToGrid w:val="0"/>
          <w:sz w:val="16"/>
          <w:szCs w:val="16"/>
          <w:lang w:val="es-CO"/>
        </w:rPr>
        <w:t xml:space="preserve"> Honduras</w:t>
      </w:r>
      <w:r w:rsidRPr="00432ABC">
        <w:rPr>
          <w:rFonts w:ascii="Verdana" w:hAnsi="Verdana"/>
          <w:snapToGrid w:val="0"/>
          <w:sz w:val="16"/>
          <w:szCs w:val="16"/>
          <w:lang w:val="es-CO"/>
        </w:rPr>
        <w:t>, CAT/C/HND/CO/1</w:t>
      </w:r>
      <w:r>
        <w:rPr>
          <w:rFonts w:ascii="Verdana" w:hAnsi="Verdana"/>
          <w:sz w:val="16"/>
          <w:szCs w:val="16"/>
          <w:lang w:val="es-CO"/>
        </w:rPr>
        <w:t xml:space="preserve">, </w:t>
      </w:r>
      <w:r w:rsidRPr="00432ABC">
        <w:rPr>
          <w:rFonts w:ascii="Verdana" w:hAnsi="Verdana"/>
          <w:sz w:val="16"/>
          <w:szCs w:val="16"/>
          <w:lang w:val="es-CO"/>
        </w:rPr>
        <w:t>23 de junio de 2009, párr. 20.</w:t>
      </w:r>
    </w:p>
  </w:footnote>
  <w:footnote w:id="404">
    <w:p w14:paraId="143B92F9" w14:textId="70E2FF6F" w:rsidR="00146958" w:rsidRPr="00432ABC" w:rsidRDefault="00146958" w:rsidP="00DB378B">
      <w:pPr>
        <w:pStyle w:val="FootnoteText"/>
        <w:ind w:right="49"/>
        <w:jc w:val="both"/>
        <w:rPr>
          <w:rFonts w:ascii="Verdana" w:hAnsi="Verdana"/>
          <w:sz w:val="16"/>
          <w:szCs w:val="16"/>
          <w:lang w:val="es-CO"/>
        </w:rPr>
      </w:pPr>
      <w:r w:rsidRPr="00432ABC">
        <w:rPr>
          <w:rStyle w:val="FootnoteReference"/>
          <w:rFonts w:ascii="Verdana" w:eastAsia="Times" w:hAnsi="Verdana"/>
          <w:sz w:val="16"/>
          <w:szCs w:val="16"/>
          <w:lang w:val="es-CO"/>
        </w:rPr>
        <w:footnoteRef/>
      </w:r>
      <w:r w:rsidRPr="00432ABC">
        <w:rPr>
          <w:rFonts w:ascii="Verdana" w:hAnsi="Verdana"/>
          <w:sz w:val="16"/>
          <w:szCs w:val="16"/>
          <w:lang w:val="es-CO"/>
        </w:rPr>
        <w:t xml:space="preserve"> </w:t>
      </w:r>
      <w:r w:rsidRPr="00432ABC">
        <w:rPr>
          <w:rFonts w:ascii="Verdana" w:hAnsi="Verdana"/>
          <w:sz w:val="16"/>
          <w:szCs w:val="16"/>
          <w:lang w:val="es-CO"/>
        </w:rPr>
        <w:tab/>
      </w:r>
      <w:r w:rsidRPr="00CD5C54">
        <w:rPr>
          <w:rFonts w:ascii="Verdana" w:hAnsi="Verdana"/>
          <w:i/>
          <w:sz w:val="16"/>
          <w:szCs w:val="16"/>
          <w:lang w:val="es-CO"/>
        </w:rPr>
        <w:t>Cfr.</w:t>
      </w:r>
      <w:r w:rsidRPr="002C462C">
        <w:rPr>
          <w:rFonts w:ascii="Verdana" w:hAnsi="Verdana"/>
          <w:sz w:val="16"/>
          <w:szCs w:val="16"/>
          <w:lang w:val="es-CO"/>
        </w:rPr>
        <w:t xml:space="preserve"> </w:t>
      </w:r>
      <w:r w:rsidRPr="00432ABC">
        <w:rPr>
          <w:rFonts w:ascii="Verdana" w:hAnsi="Verdana" w:cs="Arial"/>
          <w:sz w:val="16"/>
          <w:szCs w:val="16"/>
          <w:shd w:val="clear" w:color="auto" w:fill="FFFFFF"/>
        </w:rPr>
        <w:t xml:space="preserve">ONU. </w:t>
      </w:r>
      <w:r w:rsidRPr="008D0846">
        <w:rPr>
          <w:rFonts w:ascii="Verdana" w:hAnsi="Verdana" w:cs="Arial"/>
          <w:i/>
          <w:sz w:val="16"/>
          <w:szCs w:val="16"/>
          <w:shd w:val="clear" w:color="auto" w:fill="FFFFFF"/>
        </w:rPr>
        <w:t>Informe del GTDFI tras su visita realizada a Colombia en 1988</w:t>
      </w:r>
      <w:r w:rsidRPr="00432ABC">
        <w:rPr>
          <w:rFonts w:ascii="Verdana" w:hAnsi="Verdana"/>
          <w:sz w:val="16"/>
          <w:szCs w:val="16"/>
          <w:lang w:val="es-CO"/>
        </w:rPr>
        <w:t xml:space="preserve">, E/CN.4/1989/18/Add.1, </w:t>
      </w:r>
      <w:r w:rsidRPr="00432ABC">
        <w:rPr>
          <w:rFonts w:ascii="Verdana" w:hAnsi="Verdana"/>
          <w:sz w:val="16"/>
          <w:szCs w:val="16"/>
          <w:shd w:val="clear" w:color="auto" w:fill="FFFFFF"/>
        </w:rPr>
        <w:t xml:space="preserve">6 de febrero de 1989, </w:t>
      </w:r>
      <w:r w:rsidRPr="00432ABC">
        <w:rPr>
          <w:rFonts w:ascii="Verdana" w:hAnsi="Verdana"/>
          <w:sz w:val="16"/>
          <w:szCs w:val="16"/>
          <w:lang w:val="es-CO"/>
        </w:rPr>
        <w:t>párr</w:t>
      </w:r>
      <w:r>
        <w:rPr>
          <w:rFonts w:ascii="Verdana" w:hAnsi="Verdana"/>
          <w:sz w:val="16"/>
          <w:szCs w:val="16"/>
          <w:lang w:val="es-CO"/>
        </w:rPr>
        <w:t>s</w:t>
      </w:r>
      <w:r w:rsidRPr="00432ABC">
        <w:rPr>
          <w:rFonts w:ascii="Verdana" w:hAnsi="Verdana"/>
          <w:sz w:val="16"/>
          <w:szCs w:val="16"/>
          <w:lang w:val="es-CO"/>
        </w:rPr>
        <w:t xml:space="preserve">. </w:t>
      </w:r>
      <w:r>
        <w:rPr>
          <w:rFonts w:ascii="Verdana" w:hAnsi="Verdana"/>
          <w:sz w:val="16"/>
          <w:szCs w:val="16"/>
          <w:lang w:val="es-CO"/>
        </w:rPr>
        <w:t xml:space="preserve">132 a </w:t>
      </w:r>
      <w:r w:rsidRPr="00432ABC">
        <w:rPr>
          <w:rFonts w:ascii="Verdana" w:hAnsi="Verdana"/>
          <w:sz w:val="16"/>
          <w:szCs w:val="16"/>
          <w:lang w:val="es-CO"/>
        </w:rPr>
        <w:t>133.</w:t>
      </w:r>
    </w:p>
  </w:footnote>
  <w:footnote w:id="405">
    <w:p w14:paraId="4C821F64" w14:textId="5274348D" w:rsidR="00146958" w:rsidRPr="00432ABC" w:rsidRDefault="00146958" w:rsidP="00432ABC">
      <w:pPr>
        <w:spacing w:after="0" w:line="240" w:lineRule="auto"/>
        <w:ind w:right="51"/>
        <w:jc w:val="both"/>
        <w:rPr>
          <w:rFonts w:ascii="Verdana" w:eastAsia="Times New Roman" w:hAnsi="Verdana"/>
          <w:sz w:val="16"/>
          <w:szCs w:val="16"/>
          <w:lang w:val="es-CO" w:eastAsia="es-CO"/>
        </w:rPr>
      </w:pPr>
      <w:r w:rsidRPr="00432ABC">
        <w:rPr>
          <w:rStyle w:val="FootnoteReference"/>
          <w:rFonts w:ascii="Verdana" w:hAnsi="Verdana"/>
          <w:sz w:val="16"/>
          <w:szCs w:val="16"/>
        </w:rPr>
        <w:footnoteRef/>
      </w:r>
      <w:r w:rsidRPr="00432ABC">
        <w:rPr>
          <w:rFonts w:ascii="Verdana" w:hAnsi="Verdana"/>
          <w:sz w:val="16"/>
          <w:szCs w:val="16"/>
          <w:lang w:val="es-CO"/>
        </w:rPr>
        <w:t xml:space="preserve"> </w:t>
      </w:r>
      <w:r w:rsidRPr="00432ABC">
        <w:rPr>
          <w:rFonts w:ascii="Verdana" w:hAnsi="Verdana"/>
          <w:sz w:val="16"/>
          <w:szCs w:val="16"/>
          <w:lang w:val="es-CO"/>
        </w:rPr>
        <w:tab/>
      </w:r>
      <w:r w:rsidRPr="00CD5C54">
        <w:rPr>
          <w:rFonts w:ascii="Verdana" w:hAnsi="Verdana"/>
          <w:i/>
          <w:sz w:val="16"/>
          <w:szCs w:val="16"/>
          <w:lang w:val="es-CO"/>
        </w:rPr>
        <w:t>Cfr.</w:t>
      </w:r>
      <w:r w:rsidRPr="002C462C">
        <w:rPr>
          <w:rFonts w:ascii="Verdana" w:hAnsi="Verdana"/>
          <w:sz w:val="16"/>
          <w:szCs w:val="16"/>
          <w:lang w:val="es-CO"/>
        </w:rPr>
        <w:t xml:space="preserve"> </w:t>
      </w:r>
      <w:r w:rsidRPr="00432ABC">
        <w:rPr>
          <w:rFonts w:ascii="Verdana" w:hAnsi="Verdana"/>
          <w:i/>
          <w:sz w:val="16"/>
          <w:szCs w:val="16"/>
          <w:shd w:val="clear" w:color="auto" w:fill="FFFFFF"/>
          <w:lang w:val="es-CO"/>
        </w:rPr>
        <w:t>Informe conjunto del Relator Especial encargado de la cuestión de la tortura y del Relator Especial encargado de la cuestión de las</w:t>
      </w:r>
      <w:r w:rsidRPr="00432ABC">
        <w:rPr>
          <w:rFonts w:ascii="Verdana" w:hAnsi="Verdana"/>
          <w:i/>
          <w:sz w:val="16"/>
          <w:szCs w:val="16"/>
          <w:lang w:val="es-CO"/>
        </w:rPr>
        <w:t xml:space="preserve"> </w:t>
      </w:r>
      <w:r w:rsidRPr="00432ABC">
        <w:rPr>
          <w:rFonts w:ascii="Verdana" w:hAnsi="Verdana"/>
          <w:i/>
          <w:sz w:val="16"/>
          <w:szCs w:val="16"/>
          <w:shd w:val="clear" w:color="auto" w:fill="FFFFFF"/>
          <w:lang w:val="es-CO"/>
        </w:rPr>
        <w:t xml:space="preserve">ejecuciones extrajudiciales, sumarias o arbitrarias, </w:t>
      </w:r>
      <w:r>
        <w:rPr>
          <w:rFonts w:ascii="Verdana" w:hAnsi="Verdana"/>
          <w:i/>
          <w:sz w:val="16"/>
          <w:szCs w:val="16"/>
          <w:shd w:val="clear" w:color="auto" w:fill="FFFFFF"/>
          <w:lang w:val="es-CO"/>
        </w:rPr>
        <w:t>supra</w:t>
      </w:r>
      <w:r w:rsidRPr="00432ABC">
        <w:rPr>
          <w:rFonts w:ascii="Verdana" w:eastAsia="Times New Roman" w:hAnsi="Verdana"/>
          <w:sz w:val="16"/>
          <w:szCs w:val="16"/>
          <w:lang w:val="es-CO" w:eastAsia="es-CO"/>
        </w:rPr>
        <w:t xml:space="preserve">, párr. 185. </w:t>
      </w:r>
    </w:p>
  </w:footnote>
  <w:footnote w:id="406">
    <w:p w14:paraId="36FB1D5D" w14:textId="55BA5571" w:rsidR="00146958" w:rsidRPr="00432ABC" w:rsidRDefault="00146958" w:rsidP="002C462C">
      <w:pPr>
        <w:pStyle w:val="Style1"/>
        <w:ind w:left="0" w:firstLine="0"/>
        <w:rPr>
          <w:rFonts w:ascii="Verdana" w:hAnsi="Verdana"/>
          <w:sz w:val="16"/>
          <w:szCs w:val="16"/>
          <w:lang w:val="es-CO"/>
        </w:rPr>
      </w:pPr>
      <w:r w:rsidRPr="00432ABC">
        <w:rPr>
          <w:rStyle w:val="FootnoteReference"/>
          <w:rFonts w:ascii="Verdana" w:hAnsi="Verdana"/>
          <w:sz w:val="16"/>
          <w:szCs w:val="16"/>
          <w:lang w:val="es-CO"/>
        </w:rPr>
        <w:footnoteRef/>
      </w:r>
      <w:r w:rsidRPr="00432ABC">
        <w:rPr>
          <w:rFonts w:ascii="Verdana" w:hAnsi="Verdana"/>
          <w:sz w:val="16"/>
          <w:szCs w:val="16"/>
          <w:lang w:val="es-CO"/>
        </w:rPr>
        <w:t xml:space="preserve"> </w:t>
      </w:r>
      <w:r w:rsidRPr="00432ABC">
        <w:rPr>
          <w:rFonts w:ascii="Verdana" w:hAnsi="Verdana"/>
          <w:sz w:val="16"/>
          <w:szCs w:val="16"/>
          <w:lang w:val="es-CO"/>
        </w:rPr>
        <w:tab/>
      </w:r>
      <w:r w:rsidRPr="00CD5C54">
        <w:rPr>
          <w:rFonts w:ascii="Verdana" w:hAnsi="Verdana"/>
          <w:i/>
          <w:sz w:val="16"/>
          <w:szCs w:val="16"/>
          <w:lang w:val="es-CO"/>
        </w:rPr>
        <w:t>Cfr.</w:t>
      </w:r>
      <w:r w:rsidRPr="002C462C">
        <w:rPr>
          <w:rFonts w:ascii="Verdana" w:hAnsi="Verdana"/>
          <w:sz w:val="16"/>
          <w:szCs w:val="16"/>
          <w:lang w:val="es-CO"/>
        </w:rPr>
        <w:t xml:space="preserve"> </w:t>
      </w:r>
      <w:r w:rsidRPr="00432ABC">
        <w:rPr>
          <w:rFonts w:ascii="Verdana" w:hAnsi="Verdana"/>
          <w:i/>
          <w:sz w:val="16"/>
          <w:szCs w:val="16"/>
        </w:rPr>
        <w:t>Informe</w:t>
      </w:r>
      <w:r>
        <w:rPr>
          <w:rFonts w:ascii="Verdana" w:hAnsi="Verdana"/>
          <w:i/>
          <w:sz w:val="16"/>
          <w:szCs w:val="16"/>
        </w:rPr>
        <w:t>s</w:t>
      </w:r>
      <w:r w:rsidRPr="00432ABC">
        <w:rPr>
          <w:rFonts w:ascii="Verdana" w:hAnsi="Verdana"/>
          <w:i/>
          <w:sz w:val="16"/>
          <w:szCs w:val="16"/>
        </w:rPr>
        <w:t xml:space="preserve"> del Alto Comisionado de las Naciones Unidas para los Derechos Humanos sobre la situación de los derechos humanos en Colombia</w:t>
      </w:r>
      <w:r>
        <w:rPr>
          <w:rFonts w:ascii="Verdana" w:hAnsi="Verdana"/>
          <w:sz w:val="16"/>
          <w:szCs w:val="16"/>
        </w:rPr>
        <w:t>:</w:t>
      </w:r>
      <w:r w:rsidRPr="00432ABC">
        <w:rPr>
          <w:rFonts w:ascii="Verdana" w:hAnsi="Verdana"/>
          <w:sz w:val="16"/>
          <w:szCs w:val="16"/>
        </w:rPr>
        <w:t xml:space="preserve"> </w:t>
      </w:r>
      <w:r w:rsidRPr="00432ABC">
        <w:rPr>
          <w:rFonts w:ascii="Verdana" w:hAnsi="Verdana"/>
          <w:sz w:val="16"/>
          <w:szCs w:val="16"/>
          <w:lang w:val="es-CO"/>
        </w:rPr>
        <w:t xml:space="preserve">E/CN.4/2003/13, 24 de febrero de 2003, párr. 169, </w:t>
      </w:r>
      <w:r>
        <w:rPr>
          <w:rFonts w:ascii="Verdana" w:hAnsi="Verdana"/>
          <w:sz w:val="16"/>
          <w:szCs w:val="16"/>
          <w:lang w:val="es-CO"/>
        </w:rPr>
        <w:t>y</w:t>
      </w:r>
      <w:r w:rsidRPr="00432ABC">
        <w:rPr>
          <w:rFonts w:ascii="Verdana" w:hAnsi="Verdana"/>
          <w:sz w:val="16"/>
          <w:szCs w:val="16"/>
          <w:lang w:val="es-CO"/>
        </w:rPr>
        <w:t xml:space="preserve"> E/CN.4/2004/13, 17 de febrero de 2004, párrs. 7</w:t>
      </w:r>
      <w:r>
        <w:rPr>
          <w:rFonts w:ascii="Verdana" w:hAnsi="Verdana"/>
          <w:sz w:val="16"/>
          <w:szCs w:val="16"/>
          <w:lang w:val="es-CO"/>
        </w:rPr>
        <w:t>8</w:t>
      </w:r>
      <w:r w:rsidRPr="00432ABC">
        <w:rPr>
          <w:rFonts w:ascii="Verdana" w:hAnsi="Verdana"/>
          <w:sz w:val="16"/>
          <w:szCs w:val="16"/>
          <w:lang w:val="es-CO"/>
        </w:rPr>
        <w:t xml:space="preserve"> y 1</w:t>
      </w:r>
      <w:r>
        <w:rPr>
          <w:rFonts w:ascii="Verdana" w:hAnsi="Verdana"/>
          <w:sz w:val="16"/>
          <w:szCs w:val="16"/>
          <w:lang w:val="es-CO"/>
        </w:rPr>
        <w:t>23</w:t>
      </w:r>
      <w:r w:rsidRPr="00432ABC">
        <w:rPr>
          <w:rFonts w:ascii="Verdana" w:hAnsi="Verdana"/>
          <w:sz w:val="16"/>
          <w:szCs w:val="16"/>
          <w:lang w:val="es-CO"/>
        </w:rPr>
        <w:t xml:space="preserve">.  </w:t>
      </w:r>
    </w:p>
  </w:footnote>
  <w:footnote w:id="407">
    <w:p w14:paraId="5AA2510D" w14:textId="2A964ED2" w:rsidR="00146958" w:rsidRPr="00432ABC" w:rsidRDefault="00146958" w:rsidP="002C462C">
      <w:pPr>
        <w:pStyle w:val="FootnoteText"/>
        <w:ind w:right="49"/>
        <w:jc w:val="both"/>
        <w:rPr>
          <w:rFonts w:ascii="Verdana" w:hAnsi="Verdana"/>
          <w:sz w:val="16"/>
          <w:szCs w:val="16"/>
          <w:lang w:val="es-CO"/>
        </w:rPr>
      </w:pPr>
      <w:r w:rsidRPr="00432ABC">
        <w:rPr>
          <w:rStyle w:val="FootnoteReference"/>
          <w:rFonts w:ascii="Verdana" w:eastAsia="Times" w:hAnsi="Verdana"/>
          <w:sz w:val="16"/>
          <w:szCs w:val="16"/>
          <w:lang w:val="es-CO"/>
        </w:rPr>
        <w:footnoteRef/>
      </w:r>
      <w:r w:rsidRPr="00432ABC">
        <w:rPr>
          <w:rFonts w:ascii="Verdana" w:hAnsi="Verdana"/>
          <w:sz w:val="16"/>
          <w:szCs w:val="16"/>
          <w:lang w:val="es-CO"/>
        </w:rPr>
        <w:t xml:space="preserve"> </w:t>
      </w:r>
      <w:r w:rsidRPr="00432ABC">
        <w:rPr>
          <w:rFonts w:ascii="Verdana" w:hAnsi="Verdana"/>
          <w:sz w:val="16"/>
          <w:szCs w:val="16"/>
          <w:lang w:val="es-CO"/>
        </w:rPr>
        <w:tab/>
      </w:r>
      <w:r w:rsidRPr="00CD5C54">
        <w:rPr>
          <w:rFonts w:ascii="Verdana" w:hAnsi="Verdana"/>
          <w:i/>
          <w:sz w:val="16"/>
          <w:szCs w:val="16"/>
          <w:lang w:val="es-CO"/>
        </w:rPr>
        <w:t>Cfr.</w:t>
      </w:r>
      <w:r w:rsidRPr="002C462C">
        <w:rPr>
          <w:rFonts w:ascii="Verdana" w:hAnsi="Verdana"/>
          <w:sz w:val="16"/>
          <w:szCs w:val="16"/>
          <w:lang w:val="es-CO"/>
        </w:rPr>
        <w:t xml:space="preserve"> CIDH. </w:t>
      </w:r>
      <w:r w:rsidRPr="00432ABC">
        <w:rPr>
          <w:rFonts w:ascii="Verdana" w:hAnsi="Verdana"/>
          <w:i/>
          <w:sz w:val="16"/>
          <w:szCs w:val="16"/>
          <w:lang w:val="es-CO"/>
        </w:rPr>
        <w:t>Segundo informe sobre la situación de los derechos humanos en Colombia</w:t>
      </w:r>
      <w:r w:rsidRPr="00432ABC">
        <w:rPr>
          <w:rFonts w:ascii="Verdana" w:hAnsi="Verdana"/>
          <w:sz w:val="16"/>
          <w:szCs w:val="16"/>
          <w:lang w:val="es-CO"/>
        </w:rPr>
        <w:t>, OEA/Ser.L/V/II.84, Doc. 39 rev., 14 octubre 1993, Capítulo III “Sistema político y normativo de Colombia”, letra F (“El régimen de excepción en el ordenamiento jurídico vigente”)</w:t>
      </w:r>
      <w:r>
        <w:rPr>
          <w:rFonts w:ascii="Verdana" w:hAnsi="Verdana"/>
          <w:sz w:val="16"/>
          <w:szCs w:val="16"/>
          <w:lang w:val="es-CO"/>
        </w:rPr>
        <w:t xml:space="preserve">, </w:t>
      </w:r>
      <w:r w:rsidRPr="00EF71F8">
        <w:rPr>
          <w:rFonts w:ascii="Verdana" w:hAnsi="Verdana"/>
          <w:sz w:val="16"/>
          <w:szCs w:val="16"/>
          <w:lang w:val="es-CO"/>
        </w:rPr>
        <w:t xml:space="preserve">y </w:t>
      </w:r>
      <w:r w:rsidRPr="00E16D4C">
        <w:rPr>
          <w:rFonts w:ascii="Verdana" w:hAnsi="Verdana"/>
          <w:i/>
          <w:sz w:val="16"/>
          <w:szCs w:val="16"/>
          <w:lang w:val="es-CO"/>
        </w:rPr>
        <w:t>Tercer informe sobre la situación de los derechos humanos en Colombia</w:t>
      </w:r>
      <w:r w:rsidRPr="00EF71F8">
        <w:rPr>
          <w:rFonts w:ascii="Verdana" w:hAnsi="Verdana"/>
          <w:sz w:val="16"/>
          <w:szCs w:val="16"/>
          <w:lang w:val="es-CO"/>
        </w:rPr>
        <w:t>,</w:t>
      </w:r>
      <w:r w:rsidRPr="00EF71F8">
        <w:rPr>
          <w:rFonts w:ascii="Verdana" w:hAnsi="Verdana"/>
          <w:vanish/>
          <w:sz w:val="16"/>
          <w:szCs w:val="16"/>
          <w:lang w:val="es-CO"/>
        </w:rPr>
        <w:t>e 169la cuestión de la tortura,ados Partes</w:t>
      </w:r>
      <w:r w:rsidRPr="00432ABC">
        <w:rPr>
          <w:rFonts w:ascii="Verdana" w:hAnsi="Verdana"/>
          <w:sz w:val="16"/>
          <w:szCs w:val="16"/>
          <w:lang w:val="es-CO"/>
        </w:rPr>
        <w:t xml:space="preserve"> </w:t>
      </w:r>
      <w:r>
        <w:rPr>
          <w:rFonts w:ascii="Verdana" w:hAnsi="Verdana"/>
          <w:sz w:val="16"/>
          <w:szCs w:val="16"/>
        </w:rPr>
        <w:t> OEA/Ser.L/V/II.102 Doc. 9 rev.</w:t>
      </w:r>
      <w:r w:rsidRPr="00CE634D">
        <w:rPr>
          <w:rFonts w:ascii="Verdana" w:hAnsi="Verdana"/>
          <w:sz w:val="16"/>
          <w:szCs w:val="16"/>
        </w:rPr>
        <w:t>1</w:t>
      </w:r>
      <w:r>
        <w:rPr>
          <w:rFonts w:ascii="Verdana" w:hAnsi="Verdana"/>
          <w:sz w:val="16"/>
          <w:szCs w:val="16"/>
        </w:rPr>
        <w:t xml:space="preserve">, </w:t>
      </w:r>
      <w:r w:rsidRPr="00432ABC">
        <w:rPr>
          <w:rFonts w:ascii="Verdana" w:hAnsi="Verdana"/>
          <w:sz w:val="16"/>
          <w:szCs w:val="16"/>
          <w:lang w:val="es-CO"/>
        </w:rPr>
        <w:t xml:space="preserve">26 </w:t>
      </w:r>
      <w:r>
        <w:rPr>
          <w:rFonts w:ascii="Verdana" w:hAnsi="Verdana"/>
          <w:sz w:val="16"/>
          <w:szCs w:val="16"/>
          <w:lang w:val="es-CO"/>
        </w:rPr>
        <w:t xml:space="preserve">de </w:t>
      </w:r>
      <w:r w:rsidRPr="00432ABC">
        <w:rPr>
          <w:rFonts w:ascii="Verdana" w:hAnsi="Verdana"/>
          <w:sz w:val="16"/>
          <w:szCs w:val="16"/>
          <w:lang w:val="es-CO"/>
        </w:rPr>
        <w:t xml:space="preserve">febrero </w:t>
      </w:r>
      <w:r>
        <w:rPr>
          <w:rFonts w:ascii="Verdana" w:hAnsi="Verdana"/>
          <w:sz w:val="16"/>
          <w:szCs w:val="16"/>
          <w:lang w:val="es-CO"/>
        </w:rPr>
        <w:t xml:space="preserve">de </w:t>
      </w:r>
      <w:r w:rsidRPr="00432ABC">
        <w:rPr>
          <w:rFonts w:ascii="Verdana" w:hAnsi="Verdana"/>
          <w:sz w:val="16"/>
          <w:szCs w:val="16"/>
          <w:lang w:val="es-CO"/>
        </w:rPr>
        <w:t xml:space="preserve">1999, </w:t>
      </w:r>
      <w:r>
        <w:rPr>
          <w:rFonts w:ascii="Verdana" w:hAnsi="Verdana"/>
          <w:sz w:val="16"/>
          <w:szCs w:val="16"/>
          <w:lang w:val="es-CO"/>
        </w:rPr>
        <w:t>Capítulo V “</w:t>
      </w:r>
      <w:r>
        <w:rPr>
          <w:rFonts w:ascii="Verdana" w:hAnsi="Verdana"/>
          <w:sz w:val="16"/>
          <w:szCs w:val="16"/>
        </w:rPr>
        <w:t>A</w:t>
      </w:r>
      <w:r w:rsidRPr="008F7720">
        <w:rPr>
          <w:rFonts w:ascii="Verdana" w:hAnsi="Verdana"/>
          <w:sz w:val="16"/>
          <w:szCs w:val="16"/>
        </w:rPr>
        <w:t xml:space="preserve">dministración de justicia y </w:t>
      </w:r>
      <w:r>
        <w:rPr>
          <w:rFonts w:ascii="Verdana" w:hAnsi="Verdana"/>
          <w:sz w:val="16"/>
          <w:szCs w:val="16"/>
        </w:rPr>
        <w:t>E</w:t>
      </w:r>
      <w:r w:rsidRPr="008F7720">
        <w:rPr>
          <w:rFonts w:ascii="Verdana" w:hAnsi="Verdana"/>
          <w:sz w:val="16"/>
          <w:szCs w:val="16"/>
        </w:rPr>
        <w:t xml:space="preserve">stado de </w:t>
      </w:r>
      <w:r>
        <w:rPr>
          <w:rFonts w:ascii="Verdana" w:hAnsi="Verdana"/>
          <w:sz w:val="16"/>
          <w:szCs w:val="16"/>
        </w:rPr>
        <w:t>D</w:t>
      </w:r>
      <w:r w:rsidRPr="008F7720">
        <w:rPr>
          <w:rFonts w:ascii="Verdana" w:hAnsi="Verdana"/>
          <w:sz w:val="16"/>
          <w:szCs w:val="16"/>
        </w:rPr>
        <w:t>erecho</w:t>
      </w:r>
      <w:r>
        <w:rPr>
          <w:rFonts w:ascii="Verdana" w:hAnsi="Verdana"/>
          <w:sz w:val="16"/>
          <w:szCs w:val="16"/>
          <w:lang w:val="es-CO"/>
        </w:rPr>
        <w:t>”, apartado B</w:t>
      </w:r>
      <w:r w:rsidRPr="00432ABC">
        <w:rPr>
          <w:rFonts w:ascii="Verdana" w:hAnsi="Verdana"/>
          <w:sz w:val="16"/>
          <w:szCs w:val="16"/>
          <w:lang w:val="es-CO"/>
        </w:rPr>
        <w:t>.</w:t>
      </w:r>
    </w:p>
  </w:footnote>
  <w:footnote w:id="408">
    <w:p w14:paraId="200C3884" w14:textId="283E682C" w:rsidR="00146958" w:rsidRPr="00432ABC" w:rsidRDefault="00146958">
      <w:pPr>
        <w:pStyle w:val="FootnoteText"/>
        <w:jc w:val="both"/>
        <w:rPr>
          <w:rFonts w:ascii="Verdana" w:hAnsi="Verdana"/>
          <w:sz w:val="16"/>
          <w:szCs w:val="16"/>
        </w:rPr>
      </w:pPr>
      <w:r w:rsidRPr="00432ABC">
        <w:rPr>
          <w:rStyle w:val="FootnoteReference"/>
          <w:rFonts w:ascii="Verdana" w:hAnsi="Verdana"/>
          <w:sz w:val="16"/>
          <w:szCs w:val="16"/>
        </w:rPr>
        <w:footnoteRef/>
      </w:r>
      <w:r w:rsidRPr="00432ABC">
        <w:rPr>
          <w:rFonts w:ascii="Verdana" w:hAnsi="Verdana"/>
          <w:sz w:val="16"/>
          <w:szCs w:val="16"/>
        </w:rPr>
        <w:t xml:space="preserve"> </w:t>
      </w:r>
      <w:r w:rsidRPr="002C462C">
        <w:rPr>
          <w:rFonts w:ascii="Verdana" w:hAnsi="Verdana"/>
          <w:sz w:val="16"/>
          <w:szCs w:val="16"/>
        </w:rPr>
        <w:tab/>
      </w:r>
      <w:r w:rsidRPr="00CD5C54">
        <w:rPr>
          <w:rFonts w:ascii="Verdana" w:hAnsi="Verdana"/>
          <w:i/>
          <w:sz w:val="16"/>
          <w:szCs w:val="16"/>
        </w:rPr>
        <w:t>Cfr.</w:t>
      </w:r>
      <w:r>
        <w:rPr>
          <w:rFonts w:ascii="Verdana" w:hAnsi="Verdana"/>
          <w:sz w:val="16"/>
          <w:szCs w:val="16"/>
        </w:rPr>
        <w:t xml:space="preserve"> </w:t>
      </w:r>
      <w:r w:rsidRPr="00AE34A0">
        <w:rPr>
          <w:rFonts w:ascii="Verdana" w:hAnsi="Verdana"/>
          <w:sz w:val="16"/>
          <w:szCs w:val="16"/>
        </w:rPr>
        <w:t>ONU</w:t>
      </w:r>
      <w:r>
        <w:rPr>
          <w:rFonts w:ascii="Verdana" w:hAnsi="Verdana"/>
          <w:sz w:val="16"/>
          <w:szCs w:val="16"/>
        </w:rPr>
        <w:t>:</w:t>
      </w:r>
      <w:r w:rsidRPr="00AE34A0">
        <w:rPr>
          <w:rFonts w:ascii="Verdana" w:hAnsi="Verdana"/>
          <w:sz w:val="16"/>
          <w:szCs w:val="16"/>
        </w:rPr>
        <w:t xml:space="preserve"> </w:t>
      </w:r>
      <w:r w:rsidRPr="008D0846">
        <w:rPr>
          <w:rFonts w:ascii="Verdana" w:hAnsi="Verdana"/>
          <w:i/>
          <w:sz w:val="16"/>
          <w:szCs w:val="16"/>
        </w:rPr>
        <w:t>Informe del GTDFI</w:t>
      </w:r>
      <w:r>
        <w:rPr>
          <w:rFonts w:ascii="Verdana" w:hAnsi="Verdana"/>
          <w:i/>
          <w:sz w:val="16"/>
          <w:szCs w:val="16"/>
        </w:rPr>
        <w:t>. Cuestión de los derechos humanos de todas las personas sometidas a cualquier forma de detención o prisión</w:t>
      </w:r>
      <w:r>
        <w:rPr>
          <w:rFonts w:ascii="Verdana" w:hAnsi="Verdana"/>
          <w:sz w:val="16"/>
          <w:szCs w:val="16"/>
        </w:rPr>
        <w:t xml:space="preserve">, </w:t>
      </w:r>
      <w:r w:rsidRPr="00061E75">
        <w:rPr>
          <w:rFonts w:ascii="Verdana" w:hAnsi="Verdana"/>
          <w:sz w:val="16"/>
          <w:szCs w:val="16"/>
        </w:rPr>
        <w:t xml:space="preserve">E/CN.4/1990/13, </w:t>
      </w:r>
      <w:r>
        <w:rPr>
          <w:rFonts w:ascii="Verdana" w:hAnsi="Verdana"/>
          <w:sz w:val="16"/>
          <w:szCs w:val="16"/>
        </w:rPr>
        <w:t xml:space="preserve">24 de enero de 1990, </w:t>
      </w:r>
      <w:r w:rsidRPr="00061E75">
        <w:rPr>
          <w:rFonts w:ascii="Verdana" w:hAnsi="Verdana"/>
          <w:sz w:val="16"/>
          <w:szCs w:val="16"/>
        </w:rPr>
        <w:t>párr. 22</w:t>
      </w:r>
      <w:r>
        <w:rPr>
          <w:rFonts w:ascii="Verdana" w:hAnsi="Verdana"/>
          <w:sz w:val="16"/>
          <w:szCs w:val="16"/>
        </w:rPr>
        <w:t xml:space="preserve">, e </w:t>
      </w:r>
      <w:r w:rsidRPr="00AE34A0">
        <w:rPr>
          <w:rFonts w:ascii="Verdana" w:hAnsi="Verdana"/>
          <w:i/>
          <w:sz w:val="16"/>
          <w:szCs w:val="16"/>
        </w:rPr>
        <w:t>Informe de la Relatora Especial sobre la independencia de los magistrados y abogados</w:t>
      </w:r>
      <w:r w:rsidRPr="00AE34A0">
        <w:rPr>
          <w:rFonts w:ascii="Verdana" w:hAnsi="Verdana"/>
          <w:sz w:val="16"/>
          <w:szCs w:val="16"/>
        </w:rPr>
        <w:t>,</w:t>
      </w:r>
      <w:r w:rsidRPr="00AE34A0">
        <w:rPr>
          <w:rFonts w:ascii="Verdana" w:hAnsi="Verdana"/>
          <w:i/>
          <w:sz w:val="16"/>
          <w:szCs w:val="16"/>
        </w:rPr>
        <w:t xml:space="preserve"> Gabriela Knaul, sobre la administración de justicia de los tribunales militares</w:t>
      </w:r>
      <w:r w:rsidRPr="00AE34A0">
        <w:rPr>
          <w:rFonts w:ascii="Verdana" w:hAnsi="Verdana"/>
          <w:sz w:val="16"/>
          <w:szCs w:val="16"/>
        </w:rPr>
        <w:t>, A/68/285, 7 de agosto de 2013, párr</w:t>
      </w:r>
      <w:r>
        <w:rPr>
          <w:rFonts w:ascii="Verdana" w:hAnsi="Verdana"/>
          <w:sz w:val="16"/>
          <w:szCs w:val="16"/>
        </w:rPr>
        <w:t xml:space="preserve">s. 35, 38, 86 y 90. </w:t>
      </w:r>
      <w:r w:rsidRPr="002C462C">
        <w:rPr>
          <w:rFonts w:ascii="Verdana" w:hAnsi="Verdana"/>
          <w:sz w:val="16"/>
          <w:szCs w:val="16"/>
        </w:rPr>
        <w:t>En el mismo sentido:</w:t>
      </w:r>
      <w:r w:rsidRPr="002C462C">
        <w:rPr>
          <w:rFonts w:ascii="Verdana" w:hAnsi="Verdana"/>
          <w:i/>
          <w:sz w:val="16"/>
          <w:szCs w:val="16"/>
        </w:rPr>
        <w:t xml:space="preserve"> </w:t>
      </w:r>
      <w:r w:rsidRPr="00432ABC">
        <w:rPr>
          <w:rFonts w:ascii="Verdana" w:hAnsi="Verdana"/>
          <w:sz w:val="16"/>
          <w:szCs w:val="16"/>
        </w:rPr>
        <w:t xml:space="preserve">Declaración rendida </w:t>
      </w:r>
      <w:r>
        <w:rPr>
          <w:rFonts w:ascii="Verdana" w:hAnsi="Verdana"/>
          <w:sz w:val="16"/>
          <w:szCs w:val="16"/>
        </w:rPr>
        <w:t xml:space="preserve">en la Audiencia Pública </w:t>
      </w:r>
      <w:r w:rsidRPr="00432ABC">
        <w:rPr>
          <w:rFonts w:ascii="Verdana" w:hAnsi="Verdana"/>
          <w:sz w:val="16"/>
          <w:szCs w:val="16"/>
        </w:rPr>
        <w:t>ante la Corte por el perito Federico Andreu Guzmán</w:t>
      </w:r>
      <w:r>
        <w:rPr>
          <w:rFonts w:ascii="Verdana" w:hAnsi="Verdana"/>
          <w:sz w:val="16"/>
          <w:szCs w:val="16"/>
        </w:rPr>
        <w:t xml:space="preserve"> </w:t>
      </w:r>
      <w:r w:rsidRPr="00432ABC">
        <w:rPr>
          <w:rFonts w:ascii="Verdana" w:hAnsi="Verdana"/>
          <w:sz w:val="16"/>
          <w:szCs w:val="16"/>
        </w:rPr>
        <w:t>el 26 de abril de 2018  (Transcripción de la Audiencia Pública, pág. 7</w:t>
      </w:r>
      <w:r>
        <w:rPr>
          <w:rFonts w:ascii="Verdana" w:hAnsi="Verdana"/>
          <w:sz w:val="16"/>
          <w:szCs w:val="16"/>
        </w:rPr>
        <w:t>8</w:t>
      </w:r>
      <w:r w:rsidRPr="00432ABC">
        <w:rPr>
          <w:rFonts w:ascii="Verdana" w:hAnsi="Verdana"/>
          <w:sz w:val="16"/>
          <w:szCs w:val="16"/>
        </w:rPr>
        <w:t>).</w:t>
      </w:r>
    </w:p>
  </w:footnote>
  <w:footnote w:id="409">
    <w:p w14:paraId="382861B5" w14:textId="128BC1B9" w:rsidR="00146958" w:rsidRPr="002C462C" w:rsidRDefault="00146958">
      <w:pPr>
        <w:pStyle w:val="ListParagraph"/>
        <w:spacing w:after="0" w:line="240" w:lineRule="auto"/>
        <w:ind w:left="0"/>
        <w:jc w:val="both"/>
        <w:rPr>
          <w:rFonts w:ascii="Verdana" w:hAnsi="Verdana"/>
          <w:sz w:val="16"/>
        </w:rPr>
      </w:pPr>
      <w:r w:rsidRPr="00432ABC">
        <w:rPr>
          <w:rStyle w:val="FootnoteReference"/>
          <w:rFonts w:ascii="Verdana" w:hAnsi="Verdana"/>
          <w:sz w:val="16"/>
          <w:szCs w:val="20"/>
        </w:rPr>
        <w:footnoteRef/>
      </w:r>
      <w:r w:rsidRPr="00432ABC">
        <w:rPr>
          <w:rFonts w:ascii="Verdana" w:hAnsi="Verdana"/>
          <w:sz w:val="16"/>
          <w:szCs w:val="20"/>
        </w:rPr>
        <w:t xml:space="preserve"> </w:t>
      </w:r>
      <w:r w:rsidRPr="00432ABC">
        <w:rPr>
          <w:rFonts w:ascii="Verdana" w:hAnsi="Verdana"/>
          <w:sz w:val="16"/>
          <w:szCs w:val="20"/>
        </w:rPr>
        <w:tab/>
      </w:r>
      <w:r w:rsidRPr="002C462C">
        <w:rPr>
          <w:rFonts w:ascii="Verdana" w:hAnsi="Verdana"/>
          <w:sz w:val="16"/>
          <w:szCs w:val="16"/>
          <w:lang w:val="es-CO"/>
        </w:rPr>
        <w:t xml:space="preserve"> Asimismo, el Tribunal nota que otros organismos regionales especializados han abordado la temática relacionada con el empleo de las </w:t>
      </w:r>
      <w:r>
        <w:rPr>
          <w:rFonts w:ascii="Verdana" w:hAnsi="Verdana"/>
          <w:sz w:val="16"/>
          <w:szCs w:val="16"/>
          <w:lang w:val="es-CO"/>
        </w:rPr>
        <w:t>f</w:t>
      </w:r>
      <w:r w:rsidRPr="002C462C">
        <w:rPr>
          <w:rFonts w:ascii="Verdana" w:hAnsi="Verdana"/>
          <w:sz w:val="16"/>
          <w:szCs w:val="16"/>
          <w:lang w:val="es-CO"/>
        </w:rPr>
        <w:t xml:space="preserve">uerzas </w:t>
      </w:r>
      <w:r>
        <w:rPr>
          <w:rFonts w:ascii="Verdana" w:hAnsi="Verdana"/>
          <w:sz w:val="16"/>
          <w:szCs w:val="16"/>
          <w:lang w:val="es-CO"/>
        </w:rPr>
        <w:t>a</w:t>
      </w:r>
      <w:r w:rsidRPr="002C462C">
        <w:rPr>
          <w:rFonts w:ascii="Verdana" w:hAnsi="Verdana"/>
          <w:sz w:val="16"/>
          <w:szCs w:val="16"/>
          <w:lang w:val="es-CO"/>
        </w:rPr>
        <w:t xml:space="preserve">rmadas en tareas de orden público interno. Entre ellos, el </w:t>
      </w:r>
      <w:r w:rsidRPr="00432ABC">
        <w:rPr>
          <w:rFonts w:ascii="Verdana" w:hAnsi="Verdana"/>
          <w:sz w:val="16"/>
          <w:szCs w:val="16"/>
        </w:rPr>
        <w:t xml:space="preserve">Consejo de Europa </w:t>
      </w:r>
      <w:r>
        <w:rPr>
          <w:rFonts w:ascii="Verdana" w:hAnsi="Verdana"/>
          <w:sz w:val="16"/>
          <w:szCs w:val="16"/>
        </w:rPr>
        <w:t>[</w:t>
      </w:r>
      <w:r w:rsidRPr="00432ABC">
        <w:rPr>
          <w:rFonts w:ascii="Verdana" w:hAnsi="Verdana"/>
          <w:sz w:val="16"/>
          <w:szCs w:val="16"/>
        </w:rPr>
        <w:t>CE</w:t>
      </w:r>
      <w:r>
        <w:rPr>
          <w:rFonts w:ascii="Verdana" w:hAnsi="Verdana"/>
          <w:sz w:val="16"/>
          <w:szCs w:val="16"/>
        </w:rPr>
        <w:t>]</w:t>
      </w:r>
      <w:r w:rsidRPr="00432ABC">
        <w:rPr>
          <w:rFonts w:ascii="Verdana" w:hAnsi="Verdana"/>
          <w:sz w:val="16"/>
          <w:szCs w:val="16"/>
        </w:rPr>
        <w:t xml:space="preserve">, a través de su Asamblea Parlamentaria, ha enfatizado que el deber principal de las </w:t>
      </w:r>
      <w:r>
        <w:rPr>
          <w:rFonts w:ascii="Verdana" w:hAnsi="Verdana"/>
          <w:sz w:val="16"/>
          <w:szCs w:val="16"/>
        </w:rPr>
        <w:t>F</w:t>
      </w:r>
      <w:r w:rsidRPr="00432ABC">
        <w:rPr>
          <w:rFonts w:ascii="Verdana" w:hAnsi="Verdana"/>
          <w:sz w:val="16"/>
          <w:szCs w:val="16"/>
        </w:rPr>
        <w:t xml:space="preserve">uerzas </w:t>
      </w:r>
      <w:r>
        <w:rPr>
          <w:rFonts w:ascii="Verdana" w:hAnsi="Verdana"/>
          <w:sz w:val="16"/>
          <w:szCs w:val="16"/>
        </w:rPr>
        <w:t>A</w:t>
      </w:r>
      <w:r w:rsidRPr="00432ABC">
        <w:rPr>
          <w:rFonts w:ascii="Verdana" w:hAnsi="Verdana"/>
          <w:sz w:val="16"/>
          <w:szCs w:val="16"/>
        </w:rPr>
        <w:t>rmadas es la salvaguarda de la seguridad nacional, por lo que dicha función esencial no debe ser desvirtuada asignándoles tareas auxiliares relacionadas con la seguridad interna, salvo en circunstancias verdaderamente excepcionales y con la necesaria supervisión de las autoridades civiles. En este sentido, adicionalmente la Comisión de Venecia del CE ha destacado la importancia de los mecani</w:t>
      </w:r>
      <w:r w:rsidRPr="002C462C">
        <w:rPr>
          <w:rFonts w:ascii="Verdana" w:hAnsi="Verdana"/>
          <w:sz w:val="16"/>
          <w:szCs w:val="16"/>
        </w:rPr>
        <w:t xml:space="preserve">smos de control civil como un componente crucial de la supervisión democrática de las </w:t>
      </w:r>
      <w:r>
        <w:rPr>
          <w:rFonts w:ascii="Verdana" w:hAnsi="Verdana"/>
          <w:sz w:val="16"/>
          <w:szCs w:val="16"/>
        </w:rPr>
        <w:t>F</w:t>
      </w:r>
      <w:r w:rsidRPr="002C462C">
        <w:rPr>
          <w:rFonts w:ascii="Verdana" w:hAnsi="Verdana"/>
          <w:sz w:val="16"/>
          <w:szCs w:val="16"/>
        </w:rPr>
        <w:t xml:space="preserve">uerzas </w:t>
      </w:r>
      <w:r>
        <w:rPr>
          <w:rFonts w:ascii="Verdana" w:hAnsi="Verdana"/>
          <w:sz w:val="16"/>
          <w:szCs w:val="16"/>
        </w:rPr>
        <w:t>A</w:t>
      </w:r>
      <w:r w:rsidRPr="002C462C">
        <w:rPr>
          <w:rFonts w:ascii="Verdana" w:hAnsi="Verdana"/>
          <w:sz w:val="16"/>
          <w:szCs w:val="16"/>
        </w:rPr>
        <w:t xml:space="preserve">rmadas y ha recomendado que cualquier decisión de desplegar a éstas en asuntos internos debe estar sujeta a los límites de proporcionalidad y subsidiariedad. </w:t>
      </w:r>
      <w:r w:rsidRPr="00CD5C54">
        <w:rPr>
          <w:rFonts w:ascii="Verdana" w:hAnsi="Verdana"/>
          <w:i/>
          <w:sz w:val="16"/>
          <w:szCs w:val="16"/>
          <w:lang w:val="es-CR"/>
        </w:rPr>
        <w:t>Cfr.</w:t>
      </w:r>
      <w:r w:rsidRPr="00432ABC">
        <w:rPr>
          <w:rFonts w:ascii="Verdana" w:hAnsi="Verdana"/>
          <w:sz w:val="16"/>
          <w:szCs w:val="16"/>
          <w:lang w:val="es-CR"/>
        </w:rPr>
        <w:t xml:space="preserve"> Consejo de Europa: Asamblea Parlamentaria, </w:t>
      </w:r>
      <w:r w:rsidRPr="00432ABC">
        <w:rPr>
          <w:rFonts w:ascii="Verdana" w:hAnsi="Verdana"/>
          <w:i/>
          <w:sz w:val="16"/>
          <w:szCs w:val="16"/>
          <w:lang w:val="es-CR"/>
        </w:rPr>
        <w:t>Recomendación 1713 (2005), Doc. 10972</w:t>
      </w:r>
      <w:r w:rsidRPr="00432ABC">
        <w:rPr>
          <w:rFonts w:ascii="Verdana" w:hAnsi="Verdana"/>
          <w:sz w:val="16"/>
          <w:szCs w:val="16"/>
          <w:lang w:val="es-CR"/>
        </w:rPr>
        <w:t>, párrs. 9, 23, 27 y 31.</w:t>
      </w:r>
      <w:r w:rsidRPr="00432ABC">
        <w:rPr>
          <w:rFonts w:ascii="Verdana" w:hAnsi="Verdana"/>
          <w:sz w:val="16"/>
          <w:szCs w:val="16"/>
          <w:u w:val="single"/>
          <w:lang w:val="es-CR"/>
        </w:rPr>
        <w:t>;</w:t>
      </w:r>
      <w:r w:rsidRPr="002C462C">
        <w:rPr>
          <w:rFonts w:ascii="Verdana" w:hAnsi="Verdana"/>
          <w:sz w:val="16"/>
          <w:szCs w:val="16"/>
          <w:lang w:val="es-CR"/>
        </w:rPr>
        <w:t xml:space="preserve"> Asamblea Parlamentaria, </w:t>
      </w:r>
      <w:r w:rsidRPr="002C462C">
        <w:rPr>
          <w:rFonts w:ascii="Verdana" w:hAnsi="Verdana"/>
          <w:i/>
          <w:sz w:val="16"/>
          <w:szCs w:val="16"/>
          <w:lang w:val="es-CR"/>
        </w:rPr>
        <w:t xml:space="preserve">La supervisión democrática del sector de la seguridad en los Estados miembros, </w:t>
      </w:r>
      <w:r w:rsidRPr="00432ABC">
        <w:rPr>
          <w:rFonts w:ascii="Verdana" w:hAnsi="Verdana"/>
          <w:sz w:val="16"/>
          <w:szCs w:val="16"/>
        </w:rPr>
        <w:t xml:space="preserve"> </w:t>
      </w:r>
      <w:r w:rsidRPr="00432ABC">
        <w:rPr>
          <w:rFonts w:ascii="Verdana" w:hAnsi="Verdana"/>
          <w:sz w:val="16"/>
          <w:szCs w:val="16"/>
          <w:lang w:val="es-CR"/>
        </w:rPr>
        <w:t xml:space="preserve">Recomendación 1713 (2005), 23 de junio de 2005, párrs. 9 y 31.;  Comisión de Venecia, </w:t>
      </w:r>
      <w:r w:rsidRPr="002C462C">
        <w:rPr>
          <w:rFonts w:ascii="Verdana" w:hAnsi="Verdana"/>
          <w:i/>
          <w:sz w:val="16"/>
          <w:szCs w:val="16"/>
        </w:rPr>
        <w:t>Informe Preliminar sobre la Autoridad de Mando Civil sobre las Fuerzas Armadas en sus Operaciones Nacionales e Internacionales</w:t>
      </w:r>
      <w:r w:rsidRPr="00432ABC">
        <w:rPr>
          <w:rFonts w:ascii="Verdana" w:hAnsi="Verdana"/>
          <w:sz w:val="16"/>
          <w:szCs w:val="16"/>
        </w:rPr>
        <w:t xml:space="preserve">, </w:t>
      </w:r>
      <w:r w:rsidRPr="00432ABC">
        <w:rPr>
          <w:rFonts w:ascii="Verdana" w:hAnsi="Verdana"/>
          <w:sz w:val="16"/>
          <w:szCs w:val="16"/>
          <w:lang w:val="es-CR"/>
        </w:rPr>
        <w:t xml:space="preserve">CDL-DEM(2006)003, Estudio no. 389/2006 de 5 de octubre de 2006, apartado 3; </w:t>
      </w:r>
      <w:r w:rsidRPr="002C462C">
        <w:rPr>
          <w:rFonts w:ascii="Verdana" w:hAnsi="Verdana"/>
          <w:i/>
          <w:sz w:val="16"/>
          <w:szCs w:val="16"/>
          <w:lang w:val="es-CR"/>
        </w:rPr>
        <w:t xml:space="preserve">Estudio sobre el control democrático de las </w:t>
      </w:r>
      <w:r>
        <w:rPr>
          <w:rFonts w:ascii="Verdana" w:hAnsi="Verdana"/>
          <w:i/>
          <w:sz w:val="16"/>
          <w:szCs w:val="16"/>
          <w:lang w:val="es-CR"/>
        </w:rPr>
        <w:t>F</w:t>
      </w:r>
      <w:r w:rsidRPr="002C462C">
        <w:rPr>
          <w:rFonts w:ascii="Verdana" w:hAnsi="Verdana"/>
          <w:i/>
          <w:sz w:val="16"/>
          <w:szCs w:val="16"/>
          <w:lang w:val="es-CR"/>
        </w:rPr>
        <w:t xml:space="preserve">uerzas </w:t>
      </w:r>
      <w:r>
        <w:rPr>
          <w:rFonts w:ascii="Verdana" w:hAnsi="Verdana"/>
          <w:i/>
          <w:sz w:val="16"/>
          <w:szCs w:val="16"/>
          <w:lang w:val="es-CR"/>
        </w:rPr>
        <w:t>A</w:t>
      </w:r>
      <w:r w:rsidRPr="002C462C">
        <w:rPr>
          <w:rFonts w:ascii="Verdana" w:hAnsi="Verdana"/>
          <w:i/>
          <w:sz w:val="16"/>
          <w:szCs w:val="16"/>
          <w:lang w:val="es-CR"/>
        </w:rPr>
        <w:t xml:space="preserve">rmadas ¿Qué actos o problemas están bajo control y cuando controlar?, </w:t>
      </w:r>
      <w:r w:rsidRPr="002C462C">
        <w:rPr>
          <w:rFonts w:ascii="Verdana" w:hAnsi="Verdana"/>
          <w:sz w:val="16"/>
          <w:szCs w:val="16"/>
          <w:lang w:val="es-CR"/>
        </w:rPr>
        <w:t>CDL-DEM(2007)006, Estudio No. 389/2007 de 26 de septiembr</w:t>
      </w:r>
      <w:r w:rsidRPr="00432ABC">
        <w:rPr>
          <w:rFonts w:ascii="Verdana" w:hAnsi="Verdana"/>
          <w:sz w:val="16"/>
          <w:szCs w:val="16"/>
          <w:lang w:val="es-CR"/>
        </w:rPr>
        <w:t>e de 2007, págs. 10 a 12,</w:t>
      </w:r>
      <w:r w:rsidRPr="00432ABC">
        <w:rPr>
          <w:rFonts w:ascii="Verdana" w:hAnsi="Verdana"/>
          <w:i/>
          <w:sz w:val="16"/>
          <w:szCs w:val="16"/>
          <w:lang w:val="es-CR"/>
        </w:rPr>
        <w:t xml:space="preserve"> </w:t>
      </w:r>
      <w:r w:rsidRPr="00432ABC">
        <w:rPr>
          <w:rFonts w:ascii="Verdana" w:hAnsi="Verdana"/>
          <w:sz w:val="16"/>
          <w:szCs w:val="16"/>
          <w:lang w:val="es-CR"/>
        </w:rPr>
        <w:t xml:space="preserve">e </w:t>
      </w:r>
      <w:r w:rsidRPr="00432ABC">
        <w:rPr>
          <w:rFonts w:ascii="Verdana" w:hAnsi="Verdana"/>
          <w:i/>
          <w:sz w:val="16"/>
          <w:szCs w:val="16"/>
          <w:lang w:val="es-CR"/>
        </w:rPr>
        <w:t xml:space="preserve">Informe sobre el Control Democrático de las Fuerzas Armadas, </w:t>
      </w:r>
      <w:r w:rsidRPr="00432ABC">
        <w:rPr>
          <w:rFonts w:ascii="Verdana" w:hAnsi="Verdana"/>
          <w:sz w:val="16"/>
          <w:szCs w:val="16"/>
          <w:lang w:val="es-CR"/>
        </w:rPr>
        <w:t xml:space="preserve">CDL-AD(2008)004, Adoptado por la Comisión de Venecia en su 74ª Sesión Plenaria (14 a 15 de marzo de 2008), párrs. 34, 76, 78, 100, 116 y 199. </w:t>
      </w:r>
    </w:p>
  </w:footnote>
  <w:footnote w:id="410">
    <w:p w14:paraId="140110DF" w14:textId="6DEF7A13" w:rsidR="00146958" w:rsidRPr="00432ABC" w:rsidRDefault="00146958">
      <w:pPr>
        <w:autoSpaceDE w:val="0"/>
        <w:autoSpaceDN w:val="0"/>
        <w:adjustRightInd w:val="0"/>
        <w:spacing w:after="0" w:line="240" w:lineRule="auto"/>
        <w:jc w:val="both"/>
        <w:rPr>
          <w:rFonts w:ascii="Verdana" w:hAnsi="Verdana" w:cs="Arial"/>
          <w:b/>
          <w:sz w:val="16"/>
          <w:szCs w:val="16"/>
        </w:rPr>
      </w:pPr>
      <w:r w:rsidRPr="00432ABC">
        <w:rPr>
          <w:rStyle w:val="FootnoteReference"/>
          <w:rFonts w:ascii="Verdana" w:hAnsi="Verdana"/>
          <w:sz w:val="16"/>
          <w:szCs w:val="16"/>
        </w:rPr>
        <w:footnoteRef/>
      </w:r>
      <w:r w:rsidRPr="00432ABC">
        <w:rPr>
          <w:rFonts w:ascii="Verdana" w:hAnsi="Verdana"/>
          <w:sz w:val="16"/>
          <w:szCs w:val="16"/>
        </w:rPr>
        <w:t xml:space="preserve"> </w:t>
      </w:r>
      <w:r w:rsidRPr="00432ABC">
        <w:rPr>
          <w:rFonts w:ascii="Verdana" w:hAnsi="Verdana"/>
          <w:sz w:val="16"/>
          <w:szCs w:val="16"/>
        </w:rPr>
        <w:tab/>
      </w:r>
      <w:r w:rsidRPr="00CD5C54">
        <w:rPr>
          <w:rFonts w:ascii="Verdana" w:hAnsi="Verdana"/>
          <w:i/>
          <w:sz w:val="16"/>
          <w:szCs w:val="16"/>
        </w:rPr>
        <w:t>Cfr.</w:t>
      </w:r>
      <w:r w:rsidRPr="002C462C">
        <w:rPr>
          <w:rFonts w:ascii="Verdana" w:hAnsi="Verdana"/>
          <w:sz w:val="16"/>
          <w:szCs w:val="16"/>
        </w:rPr>
        <w:t xml:space="preserve"> </w:t>
      </w:r>
      <w:r w:rsidRPr="00432ABC">
        <w:rPr>
          <w:rFonts w:ascii="Verdana" w:hAnsi="Verdana"/>
          <w:i/>
          <w:sz w:val="16"/>
          <w:szCs w:val="16"/>
        </w:rPr>
        <w:t>Caso Montero Aranguren y otros (Retén de Catia) Vs. Venezuela</w:t>
      </w:r>
      <w:r>
        <w:rPr>
          <w:rFonts w:ascii="Verdana" w:hAnsi="Verdana"/>
          <w:i/>
          <w:sz w:val="16"/>
          <w:szCs w:val="16"/>
        </w:rPr>
        <w:t xml:space="preserve">, </w:t>
      </w:r>
      <w:r w:rsidRPr="00432ABC">
        <w:rPr>
          <w:rFonts w:ascii="Verdana" w:hAnsi="Verdana"/>
          <w:i/>
          <w:sz w:val="16"/>
          <w:szCs w:val="16"/>
        </w:rPr>
        <w:t>supra</w:t>
      </w:r>
      <w:r w:rsidRPr="00432ABC">
        <w:rPr>
          <w:rFonts w:ascii="Verdana" w:hAnsi="Verdana"/>
          <w:sz w:val="16"/>
          <w:szCs w:val="16"/>
        </w:rPr>
        <w:t xml:space="preserve">, párr. 78, y </w:t>
      </w:r>
      <w:r w:rsidRPr="00432ABC">
        <w:rPr>
          <w:rFonts w:ascii="Verdana" w:hAnsi="Verdana"/>
          <w:i/>
          <w:sz w:val="16"/>
          <w:szCs w:val="16"/>
        </w:rPr>
        <w:t>Caso Cabrera García y Montiel Flores Vs. México</w:t>
      </w:r>
      <w:r w:rsidRPr="00432ABC">
        <w:rPr>
          <w:rFonts w:ascii="Verdana" w:hAnsi="Verdana"/>
          <w:sz w:val="16"/>
          <w:szCs w:val="16"/>
        </w:rPr>
        <w:t xml:space="preserve">, </w:t>
      </w:r>
      <w:r w:rsidRPr="00432ABC">
        <w:rPr>
          <w:rFonts w:ascii="Verdana" w:hAnsi="Verdana"/>
          <w:i/>
          <w:sz w:val="16"/>
          <w:szCs w:val="16"/>
        </w:rPr>
        <w:t>supra</w:t>
      </w:r>
      <w:r w:rsidRPr="00432ABC">
        <w:rPr>
          <w:rFonts w:ascii="Verdana" w:hAnsi="Verdana"/>
          <w:sz w:val="16"/>
          <w:szCs w:val="16"/>
        </w:rPr>
        <w:t xml:space="preserve">, párrs. 86. Asimismo: </w:t>
      </w:r>
      <w:r w:rsidRPr="00CD5C54">
        <w:rPr>
          <w:rFonts w:ascii="Verdana" w:hAnsi="Verdana"/>
          <w:i/>
          <w:sz w:val="16"/>
          <w:szCs w:val="16"/>
        </w:rPr>
        <w:t>Cfr.</w:t>
      </w:r>
      <w:r>
        <w:rPr>
          <w:rFonts w:ascii="Verdana" w:hAnsi="Verdana"/>
          <w:sz w:val="16"/>
          <w:szCs w:val="16"/>
        </w:rPr>
        <w:t xml:space="preserve"> </w:t>
      </w:r>
      <w:r>
        <w:rPr>
          <w:rFonts w:ascii="Verdana" w:hAnsi="Verdana"/>
          <w:sz w:val="16"/>
          <w:szCs w:val="16"/>
          <w:lang w:val="es-CR"/>
        </w:rPr>
        <w:t>Consejo de Europa.</w:t>
      </w:r>
      <w:r w:rsidRPr="00533A79">
        <w:rPr>
          <w:rFonts w:ascii="Verdana" w:hAnsi="Verdana"/>
          <w:sz w:val="16"/>
          <w:szCs w:val="16"/>
          <w:lang w:val="es-CR"/>
        </w:rPr>
        <w:t xml:space="preserve"> Asamblea Parlamentaria, </w:t>
      </w:r>
      <w:r w:rsidRPr="00533A79">
        <w:rPr>
          <w:rFonts w:ascii="Verdana" w:hAnsi="Verdana"/>
          <w:i/>
          <w:sz w:val="16"/>
          <w:szCs w:val="16"/>
          <w:lang w:val="es-CR"/>
        </w:rPr>
        <w:t>Recomendación 1713 (2005), Doc. 10972</w:t>
      </w:r>
      <w:r w:rsidRPr="00533A79">
        <w:rPr>
          <w:rFonts w:ascii="Verdana" w:hAnsi="Verdana"/>
          <w:sz w:val="16"/>
          <w:szCs w:val="16"/>
          <w:lang w:val="es-CR"/>
        </w:rPr>
        <w:t xml:space="preserve">, </w:t>
      </w:r>
      <w:r>
        <w:rPr>
          <w:rFonts w:ascii="Verdana" w:hAnsi="Verdana"/>
          <w:i/>
          <w:sz w:val="16"/>
          <w:szCs w:val="16"/>
          <w:lang w:val="es-CR"/>
        </w:rPr>
        <w:t xml:space="preserve">supra, </w:t>
      </w:r>
      <w:r w:rsidRPr="00533A79">
        <w:rPr>
          <w:rFonts w:ascii="Verdana" w:hAnsi="Verdana"/>
          <w:sz w:val="16"/>
          <w:szCs w:val="16"/>
          <w:lang w:val="es-CR"/>
        </w:rPr>
        <w:t>párrs. 9, 23, 27 y 31</w:t>
      </w:r>
      <w:r>
        <w:rPr>
          <w:rFonts w:ascii="Verdana" w:hAnsi="Verdana"/>
          <w:sz w:val="16"/>
          <w:szCs w:val="16"/>
        </w:rPr>
        <w:t xml:space="preserve">; </w:t>
      </w:r>
      <w:r w:rsidRPr="00432ABC">
        <w:rPr>
          <w:rFonts w:ascii="Verdana" w:hAnsi="Verdana"/>
          <w:sz w:val="16"/>
          <w:szCs w:val="16"/>
        </w:rPr>
        <w:t xml:space="preserve">Comisión Interamericana de Derechos Humanos. </w:t>
      </w:r>
      <w:r w:rsidRPr="008D0846">
        <w:rPr>
          <w:rFonts w:ascii="Verdana" w:hAnsi="Verdana"/>
          <w:i/>
          <w:sz w:val="16"/>
          <w:szCs w:val="16"/>
        </w:rPr>
        <w:t>Informe sobre Seguridad Ciudadana y Derechos Humanos</w:t>
      </w:r>
      <w:r w:rsidRPr="00432ABC">
        <w:rPr>
          <w:rFonts w:ascii="Verdana" w:hAnsi="Verdana"/>
          <w:sz w:val="16"/>
          <w:szCs w:val="16"/>
        </w:rPr>
        <w:t>, OEA/Ser.L/V/II, Doc. 57, 31 de diciembre de 2009, párr. 105</w:t>
      </w:r>
      <w:r>
        <w:rPr>
          <w:rFonts w:ascii="Verdana" w:hAnsi="Verdana"/>
          <w:sz w:val="16"/>
          <w:szCs w:val="16"/>
        </w:rPr>
        <w:t>,</w:t>
      </w:r>
      <w:r>
        <w:rPr>
          <w:rFonts w:ascii="Verdana" w:hAnsi="Verdana"/>
          <w:i/>
          <w:sz w:val="16"/>
          <w:szCs w:val="16"/>
          <w:lang w:val="es-CR"/>
        </w:rPr>
        <w:t xml:space="preserve"> </w:t>
      </w:r>
      <w:r>
        <w:rPr>
          <w:rFonts w:ascii="Verdana" w:hAnsi="Verdana"/>
          <w:sz w:val="16"/>
          <w:szCs w:val="16"/>
        </w:rPr>
        <w:t xml:space="preserve">y </w:t>
      </w:r>
      <w:r w:rsidRPr="00533A79">
        <w:rPr>
          <w:rFonts w:ascii="Verdana" w:hAnsi="Verdana"/>
          <w:sz w:val="16"/>
          <w:szCs w:val="16"/>
        </w:rPr>
        <w:t xml:space="preserve">Declaración pericial de Alejandro Madrazo Lajous rendida </w:t>
      </w:r>
      <w:r>
        <w:rPr>
          <w:rFonts w:ascii="Verdana" w:hAnsi="Verdana"/>
          <w:sz w:val="16"/>
          <w:szCs w:val="16"/>
        </w:rPr>
        <w:t>el</w:t>
      </w:r>
      <w:r w:rsidRPr="00533A79">
        <w:rPr>
          <w:rFonts w:ascii="Verdana" w:hAnsi="Verdana"/>
          <w:sz w:val="16"/>
          <w:szCs w:val="16"/>
        </w:rPr>
        <w:t xml:space="preserve"> 19 de abril de 2018 (expediente de prueba, </w:t>
      </w:r>
      <w:r w:rsidRPr="00453199">
        <w:rPr>
          <w:rFonts w:ascii="Verdana" w:hAnsi="Verdana"/>
          <w:i/>
          <w:sz w:val="16"/>
          <w:szCs w:val="16"/>
        </w:rPr>
        <w:t>Affidávits</w:t>
      </w:r>
      <w:r w:rsidRPr="00533A79">
        <w:rPr>
          <w:rFonts w:ascii="Verdana" w:hAnsi="Verdana"/>
          <w:sz w:val="16"/>
          <w:szCs w:val="16"/>
        </w:rPr>
        <w:t>, f. 30968)</w:t>
      </w:r>
      <w:r w:rsidRPr="00432ABC">
        <w:rPr>
          <w:rFonts w:ascii="Verdana" w:hAnsi="Verdana"/>
          <w:sz w:val="16"/>
          <w:szCs w:val="16"/>
          <w:lang w:val="es-CR"/>
        </w:rPr>
        <w:t>.</w:t>
      </w:r>
    </w:p>
  </w:footnote>
  <w:footnote w:id="411">
    <w:p w14:paraId="4824467E" w14:textId="40F5D888" w:rsidR="00146958" w:rsidRPr="00432ABC" w:rsidRDefault="00146958">
      <w:pPr>
        <w:pStyle w:val="FootnoteText"/>
        <w:jc w:val="both"/>
        <w:rPr>
          <w:rFonts w:ascii="Verdana" w:hAnsi="Verdana"/>
          <w:sz w:val="16"/>
          <w:szCs w:val="16"/>
          <w:lang w:val="es-CR"/>
        </w:rPr>
      </w:pPr>
      <w:r w:rsidRPr="00432ABC">
        <w:rPr>
          <w:rStyle w:val="FootnoteReference"/>
          <w:rFonts w:ascii="Verdana" w:hAnsi="Verdana"/>
          <w:sz w:val="16"/>
          <w:szCs w:val="16"/>
        </w:rPr>
        <w:footnoteRef/>
      </w:r>
      <w:r w:rsidRPr="00432ABC">
        <w:rPr>
          <w:rFonts w:ascii="Verdana" w:hAnsi="Verdana"/>
          <w:sz w:val="16"/>
          <w:szCs w:val="16"/>
        </w:rPr>
        <w:t xml:space="preserve"> </w:t>
      </w:r>
      <w:r w:rsidRPr="00432ABC">
        <w:rPr>
          <w:rFonts w:ascii="Verdana" w:hAnsi="Verdana"/>
          <w:sz w:val="16"/>
          <w:szCs w:val="16"/>
        </w:rPr>
        <w:tab/>
      </w:r>
      <w:r w:rsidRPr="00CD5C54">
        <w:rPr>
          <w:rFonts w:ascii="Verdana" w:hAnsi="Verdana"/>
          <w:i/>
          <w:sz w:val="16"/>
          <w:szCs w:val="16"/>
          <w:lang w:val="es-CR"/>
        </w:rPr>
        <w:t>Cfr.</w:t>
      </w:r>
      <w:r w:rsidRPr="002C462C">
        <w:rPr>
          <w:rFonts w:ascii="Verdana" w:hAnsi="Verdana"/>
          <w:sz w:val="16"/>
          <w:szCs w:val="16"/>
          <w:lang w:val="es-CR"/>
        </w:rPr>
        <w:t xml:space="preserve"> </w:t>
      </w:r>
      <w:r w:rsidRPr="00432ABC">
        <w:rPr>
          <w:rFonts w:ascii="Verdana" w:hAnsi="Verdana"/>
          <w:i/>
          <w:sz w:val="16"/>
          <w:szCs w:val="16"/>
          <w:lang w:val="es-CR"/>
        </w:rPr>
        <w:t>Caso Cabrera García y Montiel Flores Vs. México</w:t>
      </w:r>
      <w:r w:rsidRPr="00432ABC">
        <w:rPr>
          <w:rFonts w:ascii="Verdana" w:hAnsi="Verdana"/>
          <w:sz w:val="16"/>
          <w:szCs w:val="16"/>
          <w:lang w:val="es-CR"/>
        </w:rPr>
        <w:t xml:space="preserve">, </w:t>
      </w:r>
      <w:r>
        <w:rPr>
          <w:rFonts w:ascii="Verdana" w:hAnsi="Verdana"/>
          <w:i/>
          <w:sz w:val="16"/>
          <w:szCs w:val="16"/>
          <w:lang w:val="es-CR"/>
        </w:rPr>
        <w:t xml:space="preserve">supra, </w:t>
      </w:r>
      <w:r w:rsidRPr="00432ABC">
        <w:rPr>
          <w:rFonts w:ascii="Verdana" w:hAnsi="Verdana"/>
          <w:sz w:val="16"/>
          <w:szCs w:val="16"/>
          <w:lang w:val="es-CR"/>
        </w:rPr>
        <w:t>párr. 86,</w:t>
      </w:r>
      <w:r>
        <w:rPr>
          <w:rFonts w:ascii="Verdana" w:hAnsi="Verdana"/>
          <w:sz w:val="16"/>
          <w:szCs w:val="16"/>
          <w:lang w:val="es-CR"/>
        </w:rPr>
        <w:t xml:space="preserve"> y</w:t>
      </w:r>
      <w:r w:rsidRPr="00432ABC">
        <w:rPr>
          <w:rFonts w:ascii="Verdana" w:hAnsi="Verdana"/>
          <w:i/>
          <w:sz w:val="16"/>
          <w:szCs w:val="16"/>
          <w:lang w:val="es-CR"/>
        </w:rPr>
        <w:t xml:space="preserve"> </w:t>
      </w:r>
      <w:r w:rsidRPr="008D0846">
        <w:rPr>
          <w:rFonts w:ascii="Verdana" w:hAnsi="Verdana"/>
          <w:bCs/>
          <w:i/>
          <w:sz w:val="16"/>
          <w:szCs w:val="16"/>
        </w:rPr>
        <w:t xml:space="preserve">Caso Osorio Rivera y familiares Vs. Perú. </w:t>
      </w:r>
      <w:r>
        <w:rPr>
          <w:rFonts w:ascii="Verdana" w:hAnsi="Verdana"/>
          <w:bCs/>
          <w:i/>
          <w:sz w:val="16"/>
          <w:szCs w:val="16"/>
        </w:rPr>
        <w:t>Supra,</w:t>
      </w:r>
      <w:r>
        <w:rPr>
          <w:rFonts w:ascii="Verdana" w:hAnsi="Verdana"/>
          <w:sz w:val="16"/>
          <w:szCs w:val="16"/>
          <w:lang w:val="es-CR"/>
        </w:rPr>
        <w:t xml:space="preserve"> </w:t>
      </w:r>
      <w:r w:rsidRPr="00432ABC">
        <w:rPr>
          <w:rFonts w:ascii="Verdana" w:hAnsi="Verdana"/>
          <w:sz w:val="16"/>
          <w:szCs w:val="16"/>
          <w:lang w:val="es-CR"/>
        </w:rPr>
        <w:t xml:space="preserve">párr. 122. </w:t>
      </w:r>
    </w:p>
  </w:footnote>
  <w:footnote w:id="412">
    <w:p w14:paraId="1CF02684" w14:textId="275D5D29" w:rsidR="00146958" w:rsidRPr="00432ABC" w:rsidRDefault="00146958">
      <w:pPr>
        <w:autoSpaceDE w:val="0"/>
        <w:autoSpaceDN w:val="0"/>
        <w:adjustRightInd w:val="0"/>
        <w:spacing w:after="0" w:line="240" w:lineRule="auto"/>
        <w:jc w:val="both"/>
        <w:rPr>
          <w:rFonts w:ascii="Verdana" w:hAnsi="Verdana" w:cs="Arial"/>
          <w:b/>
          <w:sz w:val="16"/>
          <w:szCs w:val="16"/>
        </w:rPr>
      </w:pPr>
      <w:r w:rsidRPr="00432ABC">
        <w:rPr>
          <w:rStyle w:val="FootnoteReference"/>
          <w:rFonts w:ascii="Verdana" w:hAnsi="Verdana"/>
          <w:sz w:val="16"/>
          <w:szCs w:val="16"/>
        </w:rPr>
        <w:footnoteRef/>
      </w:r>
      <w:r w:rsidRPr="00432ABC">
        <w:rPr>
          <w:rFonts w:ascii="Verdana" w:hAnsi="Verdana"/>
          <w:sz w:val="16"/>
          <w:szCs w:val="16"/>
        </w:rPr>
        <w:t xml:space="preserve"> </w:t>
      </w:r>
      <w:r w:rsidRPr="00432ABC">
        <w:rPr>
          <w:rFonts w:ascii="Verdana" w:hAnsi="Verdana"/>
          <w:sz w:val="16"/>
          <w:szCs w:val="16"/>
        </w:rPr>
        <w:tab/>
      </w:r>
      <w:r w:rsidRPr="00CD5C54">
        <w:rPr>
          <w:rFonts w:ascii="Verdana" w:hAnsi="Verdana"/>
          <w:i/>
          <w:sz w:val="16"/>
          <w:szCs w:val="16"/>
        </w:rPr>
        <w:t>Cfr.</w:t>
      </w:r>
      <w:r w:rsidRPr="002C462C">
        <w:rPr>
          <w:rFonts w:ascii="Verdana" w:hAnsi="Verdana"/>
          <w:i/>
          <w:sz w:val="16"/>
          <w:szCs w:val="16"/>
        </w:rPr>
        <w:t xml:space="preserve"> Caso Nadege Dorzema y otros Vs. República Dominicana. Fondo Reparaciones y Costas.</w:t>
      </w:r>
      <w:r w:rsidRPr="002C462C">
        <w:rPr>
          <w:rFonts w:ascii="Verdana" w:hAnsi="Verdana"/>
          <w:sz w:val="16"/>
          <w:szCs w:val="16"/>
        </w:rPr>
        <w:t xml:space="preserve"> Sentencia de 24 de octubre de 2012. Serie C No. 251, párr. 80. </w:t>
      </w:r>
      <w:r w:rsidRPr="00432ABC">
        <w:rPr>
          <w:rFonts w:ascii="Verdana" w:hAnsi="Verdana"/>
          <w:sz w:val="16"/>
          <w:szCs w:val="16"/>
        </w:rPr>
        <w:t xml:space="preserve">Asimismo: </w:t>
      </w:r>
      <w:r w:rsidRPr="00CD5C54">
        <w:rPr>
          <w:rFonts w:ascii="Verdana" w:hAnsi="Verdana"/>
          <w:i/>
          <w:sz w:val="16"/>
          <w:szCs w:val="16"/>
        </w:rPr>
        <w:t>Cfr.</w:t>
      </w:r>
      <w:r>
        <w:rPr>
          <w:rFonts w:ascii="Verdana" w:hAnsi="Verdana"/>
          <w:sz w:val="16"/>
          <w:szCs w:val="16"/>
        </w:rPr>
        <w:t xml:space="preserve"> </w:t>
      </w:r>
      <w:r w:rsidRPr="00432ABC">
        <w:rPr>
          <w:rFonts w:ascii="Verdana" w:hAnsi="Verdana"/>
          <w:sz w:val="16"/>
          <w:szCs w:val="16"/>
        </w:rPr>
        <w:t xml:space="preserve">CIDH, </w:t>
      </w:r>
      <w:r w:rsidRPr="00432ABC">
        <w:rPr>
          <w:rFonts w:ascii="Verdana" w:hAnsi="Verdana"/>
          <w:i/>
          <w:sz w:val="16"/>
          <w:szCs w:val="16"/>
        </w:rPr>
        <w:t>Informe sobre Seguridad Ciudadana y Derechos Humanos</w:t>
      </w:r>
      <w:r w:rsidRPr="00432ABC">
        <w:rPr>
          <w:rFonts w:ascii="Verdana" w:hAnsi="Verdana"/>
          <w:sz w:val="16"/>
          <w:szCs w:val="16"/>
        </w:rPr>
        <w:t xml:space="preserve">, </w:t>
      </w:r>
      <w:r w:rsidRPr="00432ABC">
        <w:rPr>
          <w:rFonts w:ascii="Verdana" w:hAnsi="Verdana"/>
          <w:i/>
          <w:sz w:val="16"/>
          <w:szCs w:val="16"/>
        </w:rPr>
        <w:t>supra</w:t>
      </w:r>
      <w:r w:rsidRPr="00432ABC">
        <w:rPr>
          <w:rFonts w:ascii="Verdana" w:hAnsi="Verdana"/>
          <w:sz w:val="16"/>
          <w:szCs w:val="16"/>
        </w:rPr>
        <w:t xml:space="preserve">, 31 de diciembre de 2009, párr. 116; ONU. </w:t>
      </w:r>
      <w:r w:rsidRPr="00432ABC">
        <w:rPr>
          <w:rFonts w:ascii="Verdana" w:hAnsi="Verdana"/>
          <w:i/>
          <w:sz w:val="16"/>
          <w:szCs w:val="16"/>
        </w:rPr>
        <w:t>Informe del Grupo de Trabajo sobre las Desapariciones Forzadas. Misión a México</w:t>
      </w:r>
      <w:r w:rsidRPr="00432ABC">
        <w:rPr>
          <w:rFonts w:ascii="Verdana" w:hAnsi="Verdana"/>
          <w:sz w:val="16"/>
          <w:szCs w:val="16"/>
        </w:rPr>
        <w:t xml:space="preserve">, 20 de diciembre de 2011, </w:t>
      </w:r>
      <w:r w:rsidRPr="00432ABC">
        <w:rPr>
          <w:rFonts w:ascii="Verdana" w:hAnsi="Verdana"/>
          <w:i/>
          <w:sz w:val="16"/>
          <w:szCs w:val="16"/>
        </w:rPr>
        <w:t xml:space="preserve">supra, </w:t>
      </w:r>
      <w:r w:rsidRPr="00432ABC">
        <w:rPr>
          <w:rFonts w:ascii="Verdana" w:hAnsi="Verdana"/>
          <w:sz w:val="16"/>
          <w:szCs w:val="16"/>
        </w:rPr>
        <w:t xml:space="preserve">párr. 91; ONU, </w:t>
      </w:r>
      <w:r w:rsidRPr="00432ABC">
        <w:rPr>
          <w:rFonts w:ascii="Verdana" w:hAnsi="Verdana"/>
          <w:i/>
          <w:sz w:val="16"/>
          <w:szCs w:val="16"/>
        </w:rPr>
        <w:t>Informe del Relator Especial sobre la Tortura</w:t>
      </w:r>
      <w:r>
        <w:rPr>
          <w:rFonts w:ascii="Verdana" w:hAnsi="Verdana"/>
          <w:i/>
          <w:sz w:val="16"/>
          <w:szCs w:val="16"/>
        </w:rPr>
        <w:t>,</w:t>
      </w:r>
      <w:r w:rsidRPr="00432ABC">
        <w:rPr>
          <w:rFonts w:ascii="Verdana" w:hAnsi="Verdana"/>
          <w:i/>
          <w:sz w:val="16"/>
          <w:szCs w:val="16"/>
        </w:rPr>
        <w:t xml:space="preserve"> </w:t>
      </w:r>
      <w:r w:rsidRPr="00432ABC">
        <w:rPr>
          <w:rFonts w:ascii="Verdana" w:hAnsi="Verdana"/>
          <w:sz w:val="16"/>
          <w:szCs w:val="16"/>
        </w:rPr>
        <w:t xml:space="preserve">29 de diciembre de 2014, </w:t>
      </w:r>
      <w:r w:rsidRPr="00432ABC">
        <w:rPr>
          <w:rFonts w:ascii="Verdana" w:hAnsi="Verdana"/>
          <w:i/>
          <w:sz w:val="16"/>
          <w:szCs w:val="16"/>
        </w:rPr>
        <w:t xml:space="preserve">supra, </w:t>
      </w:r>
      <w:r w:rsidRPr="00432ABC">
        <w:rPr>
          <w:rFonts w:ascii="Verdana" w:hAnsi="Verdana"/>
          <w:sz w:val="16"/>
          <w:szCs w:val="16"/>
        </w:rPr>
        <w:t xml:space="preserve">párr. 81 inciso g), y </w:t>
      </w:r>
      <w:r w:rsidRPr="00432ABC">
        <w:rPr>
          <w:rFonts w:ascii="Verdana" w:hAnsi="Verdana"/>
          <w:i/>
          <w:sz w:val="16"/>
          <w:szCs w:val="16"/>
        </w:rPr>
        <w:t>Recomendaciones a México por el Alto Comisionado de las Naciones Unidas para los Derechos Humanos,</w:t>
      </w:r>
      <w:r>
        <w:rPr>
          <w:rFonts w:ascii="Verdana" w:hAnsi="Verdana"/>
          <w:i/>
          <w:sz w:val="16"/>
          <w:szCs w:val="16"/>
        </w:rPr>
        <w:t xml:space="preserve"> V</w:t>
      </w:r>
      <w:r w:rsidRPr="00432ABC">
        <w:rPr>
          <w:rStyle w:val="Strong"/>
          <w:rFonts w:ascii="Verdana" w:hAnsi="Verdana"/>
          <w:b w:val="0"/>
          <w:i/>
          <w:sz w:val="16"/>
          <w:szCs w:val="16"/>
          <w:shd w:val="clear" w:color="auto" w:fill="FFFFFF"/>
        </w:rPr>
        <w:t>isita oficial al país en octubre de 2015</w:t>
      </w:r>
      <w:r w:rsidRPr="008D0846">
        <w:rPr>
          <w:rFonts w:ascii="Verdana" w:hAnsi="Verdana"/>
          <w:sz w:val="16"/>
          <w:szCs w:val="16"/>
        </w:rPr>
        <w:t>,</w:t>
      </w:r>
      <w:r w:rsidRPr="00432ABC">
        <w:rPr>
          <w:rFonts w:ascii="Verdana" w:hAnsi="Verdana"/>
          <w:b/>
          <w:sz w:val="16"/>
          <w:szCs w:val="16"/>
        </w:rPr>
        <w:t xml:space="preserve"> </w:t>
      </w:r>
      <w:r w:rsidRPr="00432ABC">
        <w:rPr>
          <w:rFonts w:ascii="Verdana" w:hAnsi="Verdana"/>
          <w:sz w:val="16"/>
          <w:szCs w:val="16"/>
        </w:rPr>
        <w:t xml:space="preserve">marzo de 2016, </w:t>
      </w:r>
      <w:r w:rsidRPr="00432ABC">
        <w:rPr>
          <w:rFonts w:ascii="Verdana" w:hAnsi="Verdana"/>
          <w:i/>
          <w:sz w:val="16"/>
          <w:szCs w:val="16"/>
        </w:rPr>
        <w:t>supra</w:t>
      </w:r>
      <w:r w:rsidRPr="00432ABC">
        <w:rPr>
          <w:rFonts w:ascii="Verdana" w:hAnsi="Verdana"/>
          <w:sz w:val="16"/>
          <w:szCs w:val="16"/>
        </w:rPr>
        <w:t xml:space="preserve">, </w:t>
      </w:r>
      <w:r>
        <w:rPr>
          <w:rFonts w:ascii="Verdana" w:hAnsi="Verdana"/>
          <w:sz w:val="16"/>
          <w:szCs w:val="16"/>
        </w:rPr>
        <w:t>R</w:t>
      </w:r>
      <w:r w:rsidRPr="00432ABC">
        <w:rPr>
          <w:rFonts w:ascii="Verdana" w:hAnsi="Verdana"/>
          <w:sz w:val="16"/>
          <w:szCs w:val="16"/>
        </w:rPr>
        <w:t xml:space="preserve">ecomendación 5. </w:t>
      </w:r>
    </w:p>
  </w:footnote>
  <w:footnote w:id="413">
    <w:p w14:paraId="02344EFB" w14:textId="78563006" w:rsidR="00146958" w:rsidRPr="00432ABC" w:rsidRDefault="00146958">
      <w:pPr>
        <w:pStyle w:val="FootnoteText"/>
        <w:jc w:val="both"/>
        <w:rPr>
          <w:rFonts w:ascii="Verdana" w:hAnsi="Verdana"/>
          <w:sz w:val="16"/>
          <w:szCs w:val="16"/>
        </w:rPr>
      </w:pPr>
      <w:r w:rsidRPr="00432ABC">
        <w:rPr>
          <w:rStyle w:val="FootnoteReference"/>
          <w:rFonts w:ascii="Verdana" w:hAnsi="Verdana"/>
          <w:sz w:val="16"/>
          <w:szCs w:val="16"/>
        </w:rPr>
        <w:footnoteRef/>
      </w:r>
      <w:r w:rsidRPr="00432ABC">
        <w:rPr>
          <w:rFonts w:ascii="Verdana" w:hAnsi="Verdana"/>
          <w:sz w:val="16"/>
          <w:szCs w:val="16"/>
        </w:rPr>
        <w:t xml:space="preserve"> </w:t>
      </w:r>
      <w:r w:rsidRPr="002C462C">
        <w:rPr>
          <w:rFonts w:ascii="Verdana" w:hAnsi="Verdana"/>
          <w:sz w:val="16"/>
          <w:szCs w:val="16"/>
        </w:rPr>
        <w:tab/>
      </w:r>
      <w:r w:rsidRPr="00CD5C54">
        <w:rPr>
          <w:rFonts w:ascii="Verdana" w:hAnsi="Verdana"/>
          <w:i/>
          <w:sz w:val="16"/>
          <w:szCs w:val="16"/>
        </w:rPr>
        <w:t>Cfr.</w:t>
      </w:r>
      <w:r w:rsidRPr="00432ABC">
        <w:rPr>
          <w:rFonts w:ascii="Verdana" w:hAnsi="Verdana"/>
          <w:sz w:val="16"/>
          <w:szCs w:val="16"/>
        </w:rPr>
        <w:t xml:space="preserve"> </w:t>
      </w:r>
      <w:r w:rsidRPr="00432ABC">
        <w:rPr>
          <w:rFonts w:ascii="Verdana" w:hAnsi="Verdana"/>
          <w:i/>
          <w:sz w:val="16"/>
          <w:szCs w:val="16"/>
        </w:rPr>
        <w:t xml:space="preserve">inter alia: </w:t>
      </w:r>
      <w:r w:rsidRPr="00432ABC">
        <w:rPr>
          <w:rFonts w:ascii="Verdana" w:hAnsi="Verdana"/>
          <w:sz w:val="16"/>
          <w:szCs w:val="16"/>
          <w:lang w:val="es-CR"/>
        </w:rPr>
        <w:t>ONU</w:t>
      </w:r>
      <w:r>
        <w:rPr>
          <w:rFonts w:ascii="Verdana" w:hAnsi="Verdana"/>
          <w:sz w:val="16"/>
          <w:szCs w:val="16"/>
          <w:lang w:val="es-CR"/>
        </w:rPr>
        <w:t>:</w:t>
      </w:r>
      <w:r w:rsidRPr="00432ABC">
        <w:rPr>
          <w:rFonts w:ascii="Verdana" w:hAnsi="Verdana"/>
          <w:sz w:val="16"/>
          <w:szCs w:val="16"/>
          <w:lang w:val="es-CR"/>
        </w:rPr>
        <w:t xml:space="preserve"> </w:t>
      </w:r>
      <w:r w:rsidRPr="00432ABC">
        <w:rPr>
          <w:rFonts w:ascii="Verdana" w:hAnsi="Verdana"/>
          <w:i/>
          <w:sz w:val="16"/>
          <w:szCs w:val="16"/>
          <w:lang w:val="es-CR"/>
        </w:rPr>
        <w:t>Código de Conducta para Funcionarios Encargados de Hacer Cumplir la Ley</w:t>
      </w:r>
      <w:r w:rsidRPr="00432ABC">
        <w:rPr>
          <w:rFonts w:ascii="Verdana" w:hAnsi="Verdana"/>
          <w:sz w:val="16"/>
          <w:szCs w:val="16"/>
          <w:lang w:val="es-CR"/>
        </w:rPr>
        <w:t xml:space="preserve">. Aprobado por la Asamblea General de las Naciones Unidas en su Resolución 34/169, de 17 de diciembre de 1979; </w:t>
      </w:r>
      <w:r w:rsidRPr="00432ABC">
        <w:rPr>
          <w:rFonts w:ascii="Verdana" w:hAnsi="Verdana"/>
          <w:i/>
          <w:sz w:val="16"/>
          <w:szCs w:val="16"/>
          <w:lang w:val="es-CR"/>
        </w:rPr>
        <w:t>Principios Básicos sobre el Empleo de la Fuerza y de las Armas de Fuego por los Funcionarios Encargados de Cumplir la Ley</w:t>
      </w:r>
      <w:r w:rsidRPr="00432ABC">
        <w:rPr>
          <w:rFonts w:ascii="Verdana" w:hAnsi="Verdana"/>
          <w:sz w:val="16"/>
          <w:szCs w:val="16"/>
          <w:lang w:val="es-CR"/>
        </w:rPr>
        <w:t xml:space="preserve">. Adoptados por el </w:t>
      </w:r>
      <w:r>
        <w:rPr>
          <w:rFonts w:ascii="Verdana" w:hAnsi="Verdana"/>
          <w:sz w:val="16"/>
          <w:szCs w:val="16"/>
          <w:lang w:val="es-CR"/>
        </w:rPr>
        <w:t xml:space="preserve">8º </w:t>
      </w:r>
      <w:r w:rsidRPr="00432ABC">
        <w:rPr>
          <w:rFonts w:ascii="Verdana" w:hAnsi="Verdana"/>
          <w:sz w:val="16"/>
          <w:szCs w:val="16"/>
          <w:lang w:val="es-CR"/>
        </w:rPr>
        <w:t xml:space="preserve">Congreso de </w:t>
      </w:r>
      <w:r>
        <w:rPr>
          <w:rFonts w:ascii="Verdana" w:hAnsi="Verdana"/>
          <w:sz w:val="16"/>
          <w:szCs w:val="16"/>
          <w:lang w:val="es-CR"/>
        </w:rPr>
        <w:t xml:space="preserve">la ONU. </w:t>
      </w:r>
      <w:r w:rsidRPr="00432ABC">
        <w:rPr>
          <w:rFonts w:ascii="Verdana" w:hAnsi="Verdana"/>
          <w:sz w:val="16"/>
          <w:szCs w:val="16"/>
          <w:lang w:val="es-CR"/>
        </w:rPr>
        <w:t xml:space="preserve">La Habana, Cuba, del 27 de agosto al 7 de septiembre de 1990; </w:t>
      </w:r>
      <w:r>
        <w:rPr>
          <w:rFonts w:ascii="Verdana" w:hAnsi="Verdana"/>
          <w:sz w:val="16"/>
          <w:szCs w:val="16"/>
        </w:rPr>
        <w:t xml:space="preserve">Corte IDH: </w:t>
      </w:r>
      <w:r w:rsidRPr="00432ABC">
        <w:rPr>
          <w:rFonts w:ascii="Verdana" w:hAnsi="Verdana"/>
          <w:i/>
          <w:sz w:val="16"/>
          <w:szCs w:val="16"/>
        </w:rPr>
        <w:t>Caso Nadege Dorzema y otros Vs. República Dominicana</w:t>
      </w:r>
      <w:r>
        <w:rPr>
          <w:rFonts w:ascii="Verdana" w:hAnsi="Verdana"/>
          <w:i/>
          <w:sz w:val="16"/>
          <w:szCs w:val="16"/>
        </w:rPr>
        <w:t>, supra,</w:t>
      </w:r>
      <w:r>
        <w:rPr>
          <w:rFonts w:ascii="Verdana" w:hAnsi="Verdana"/>
          <w:sz w:val="16"/>
          <w:szCs w:val="16"/>
        </w:rPr>
        <w:t xml:space="preserve"> </w:t>
      </w:r>
      <w:r w:rsidRPr="00432ABC">
        <w:rPr>
          <w:rFonts w:ascii="Verdana" w:hAnsi="Verdana"/>
          <w:sz w:val="16"/>
          <w:szCs w:val="16"/>
        </w:rPr>
        <w:t>párr</w:t>
      </w:r>
      <w:r>
        <w:rPr>
          <w:rFonts w:ascii="Verdana" w:hAnsi="Verdana"/>
          <w:sz w:val="16"/>
          <w:szCs w:val="16"/>
        </w:rPr>
        <w:t>s</w:t>
      </w:r>
      <w:r w:rsidRPr="00432ABC">
        <w:rPr>
          <w:rFonts w:ascii="Verdana" w:hAnsi="Verdana"/>
          <w:sz w:val="16"/>
          <w:szCs w:val="16"/>
        </w:rPr>
        <w:t xml:space="preserve">. </w:t>
      </w:r>
      <w:r w:rsidRPr="00432ABC">
        <w:rPr>
          <w:rFonts w:ascii="Verdana" w:hAnsi="Verdana"/>
          <w:sz w:val="16"/>
          <w:szCs w:val="16"/>
          <w:lang w:val="es-CR"/>
        </w:rPr>
        <w:t xml:space="preserve">81 a 82, 85 </w:t>
      </w:r>
      <w:r w:rsidRPr="00432ABC">
        <w:rPr>
          <w:rFonts w:ascii="Verdana" w:hAnsi="Verdana"/>
          <w:sz w:val="16"/>
          <w:szCs w:val="16"/>
        </w:rPr>
        <w:t>y 267</w:t>
      </w:r>
      <w:r>
        <w:rPr>
          <w:rFonts w:ascii="Verdana" w:hAnsi="Verdana"/>
          <w:sz w:val="16"/>
          <w:szCs w:val="16"/>
        </w:rPr>
        <w:t>, y</w:t>
      </w:r>
      <w:r w:rsidRPr="00432ABC">
        <w:rPr>
          <w:rFonts w:ascii="Verdana" w:hAnsi="Verdana"/>
          <w:sz w:val="16"/>
          <w:szCs w:val="16"/>
        </w:rPr>
        <w:t xml:space="preserve"> </w:t>
      </w:r>
      <w:r w:rsidRPr="00432ABC">
        <w:rPr>
          <w:rFonts w:ascii="Verdana" w:hAnsi="Verdana"/>
          <w:i/>
          <w:sz w:val="16"/>
          <w:szCs w:val="16"/>
          <w:lang w:val="es-CR"/>
        </w:rPr>
        <w:t>Caso J. Vs. Perú. Excepciones Preliminares, Fondo, Reparaciones y Costas</w:t>
      </w:r>
      <w:r w:rsidRPr="00432ABC">
        <w:rPr>
          <w:rFonts w:ascii="Verdana" w:hAnsi="Verdana"/>
          <w:sz w:val="16"/>
          <w:szCs w:val="16"/>
          <w:lang w:val="es-CR"/>
        </w:rPr>
        <w:t>. Sentencia de 17 de abril de 2015. Series C No. 275, párr. 330</w:t>
      </w:r>
      <w:r>
        <w:rPr>
          <w:rFonts w:ascii="Verdana" w:hAnsi="Verdana"/>
          <w:sz w:val="16"/>
          <w:szCs w:val="16"/>
          <w:lang w:val="es-CR"/>
        </w:rPr>
        <w:t xml:space="preserve">, y </w:t>
      </w:r>
      <w:r>
        <w:rPr>
          <w:rFonts w:ascii="Verdana" w:hAnsi="Verdana"/>
          <w:sz w:val="16"/>
          <w:szCs w:val="16"/>
        </w:rPr>
        <w:t>CIDH</w:t>
      </w:r>
      <w:r w:rsidRPr="00432ABC">
        <w:rPr>
          <w:rFonts w:ascii="Verdana" w:hAnsi="Verdana"/>
          <w:sz w:val="16"/>
          <w:szCs w:val="16"/>
        </w:rPr>
        <w:t xml:space="preserve">. </w:t>
      </w:r>
      <w:r w:rsidRPr="00432ABC">
        <w:rPr>
          <w:rFonts w:ascii="Verdana" w:hAnsi="Verdana"/>
          <w:i/>
          <w:sz w:val="16"/>
          <w:szCs w:val="16"/>
        </w:rPr>
        <w:t>Informe sobre Seguridad Ciudadana y Derechos Humanos</w:t>
      </w:r>
      <w:r w:rsidRPr="00432ABC">
        <w:rPr>
          <w:rFonts w:ascii="Verdana" w:hAnsi="Verdana"/>
          <w:sz w:val="16"/>
          <w:szCs w:val="16"/>
        </w:rPr>
        <w:t xml:space="preserve">, </w:t>
      </w:r>
      <w:r w:rsidRPr="00432ABC">
        <w:rPr>
          <w:rFonts w:ascii="Verdana" w:hAnsi="Verdana"/>
          <w:i/>
          <w:sz w:val="16"/>
          <w:szCs w:val="16"/>
        </w:rPr>
        <w:t>supra</w:t>
      </w:r>
      <w:r w:rsidRPr="00432ABC">
        <w:rPr>
          <w:rFonts w:ascii="Verdana" w:hAnsi="Verdana"/>
          <w:sz w:val="16"/>
          <w:szCs w:val="16"/>
        </w:rPr>
        <w:t>, párrs. 114 y 117</w:t>
      </w:r>
      <w:r>
        <w:rPr>
          <w:rFonts w:ascii="Verdana" w:hAnsi="Verdana"/>
          <w:sz w:val="16"/>
          <w:szCs w:val="16"/>
        </w:rPr>
        <w:t>.</w:t>
      </w:r>
    </w:p>
  </w:footnote>
  <w:footnote w:id="414">
    <w:p w14:paraId="28C07393" w14:textId="3A8A2786" w:rsidR="00146958" w:rsidRPr="008D0846" w:rsidRDefault="00146958" w:rsidP="008D0846">
      <w:pPr>
        <w:spacing w:after="0" w:line="240" w:lineRule="auto"/>
        <w:jc w:val="both"/>
        <w:rPr>
          <w:i/>
          <w:sz w:val="16"/>
          <w:szCs w:val="16"/>
        </w:rPr>
      </w:pPr>
      <w:r w:rsidRPr="00A15955">
        <w:rPr>
          <w:rStyle w:val="FootnoteReference"/>
          <w:rFonts w:ascii="Verdana" w:hAnsi="Verdana"/>
          <w:sz w:val="16"/>
          <w:szCs w:val="16"/>
        </w:rPr>
        <w:footnoteRef/>
      </w:r>
      <w:r w:rsidRPr="00A15955">
        <w:rPr>
          <w:rFonts w:ascii="Verdana" w:hAnsi="Verdana"/>
          <w:sz w:val="16"/>
          <w:szCs w:val="16"/>
        </w:rPr>
        <w:t xml:space="preserve"> </w:t>
      </w:r>
      <w:r w:rsidRPr="00A15955">
        <w:rPr>
          <w:rFonts w:ascii="Verdana" w:hAnsi="Verdana"/>
          <w:sz w:val="16"/>
          <w:szCs w:val="16"/>
        </w:rPr>
        <w:tab/>
      </w:r>
      <w:r w:rsidRPr="00CD5C54">
        <w:rPr>
          <w:rFonts w:ascii="Verdana" w:hAnsi="Verdana"/>
          <w:i/>
          <w:sz w:val="16"/>
          <w:szCs w:val="16"/>
        </w:rPr>
        <w:t>Cfr.</w:t>
      </w:r>
      <w:r w:rsidRPr="008D0846">
        <w:rPr>
          <w:rFonts w:ascii="Verdana" w:hAnsi="Verdana"/>
          <w:sz w:val="16"/>
          <w:szCs w:val="16"/>
        </w:rPr>
        <w:t xml:space="preserve"> ONU</w:t>
      </w:r>
      <w:r w:rsidRPr="00A15955">
        <w:rPr>
          <w:rFonts w:ascii="Verdana" w:hAnsi="Verdana"/>
          <w:sz w:val="16"/>
          <w:szCs w:val="16"/>
        </w:rPr>
        <w:t>.</w:t>
      </w:r>
      <w:r w:rsidRPr="008D0846">
        <w:rPr>
          <w:rFonts w:ascii="Verdana" w:hAnsi="Verdana"/>
          <w:sz w:val="16"/>
          <w:szCs w:val="16"/>
        </w:rPr>
        <w:t xml:space="preserve"> </w:t>
      </w:r>
      <w:r w:rsidRPr="008D0846">
        <w:rPr>
          <w:rFonts w:ascii="Verdana" w:hAnsi="Verdana" w:cs="Arial"/>
          <w:sz w:val="16"/>
          <w:szCs w:val="16"/>
        </w:rPr>
        <w:t xml:space="preserve">Conjunto de principios actualizado para la protección y la promoción de los derechos humanos mediante la lucha contra la impunidad, </w:t>
      </w:r>
      <w:r w:rsidRPr="00A15955">
        <w:rPr>
          <w:rFonts w:ascii="Verdana" w:hAnsi="Verdana" w:cs="Arial"/>
          <w:sz w:val="16"/>
          <w:szCs w:val="16"/>
          <w:shd w:val="clear" w:color="auto" w:fill="FFFFFF"/>
        </w:rPr>
        <w:t>E/CN.4/2005/102/Add.1, 8 de Febrero de 2005. Principios 35 (c) y 36 (c)</w:t>
      </w:r>
      <w:r>
        <w:rPr>
          <w:rFonts w:ascii="Verdana" w:hAnsi="Verdana" w:cs="Arial"/>
          <w:sz w:val="16"/>
          <w:szCs w:val="16"/>
        </w:rPr>
        <w:t xml:space="preserve">; </w:t>
      </w:r>
      <w:r w:rsidRPr="008D0846">
        <w:rPr>
          <w:rFonts w:ascii="Verdana" w:hAnsi="Verdana"/>
          <w:i/>
          <w:iCs/>
          <w:sz w:val="16"/>
          <w:szCs w:val="16"/>
        </w:rPr>
        <w:t>Informe del Relator Especial sobre la promoción de la verdad, la justicia, la reparación y las garantías de no repetición, Pablo de Greiff</w:t>
      </w:r>
      <w:r w:rsidRPr="00A15955">
        <w:rPr>
          <w:rFonts w:ascii="Verdana" w:hAnsi="Verdana"/>
          <w:sz w:val="16"/>
          <w:szCs w:val="16"/>
        </w:rPr>
        <w:t xml:space="preserve">, A/72/523, 12 de octubre de 2017, párr. 54, e </w:t>
      </w:r>
      <w:r w:rsidRPr="00A15955">
        <w:rPr>
          <w:rFonts w:ascii="Verdana" w:hAnsi="Verdana"/>
          <w:i/>
          <w:iCs/>
          <w:sz w:val="16"/>
          <w:szCs w:val="16"/>
        </w:rPr>
        <w:t>Informe de</w:t>
      </w:r>
      <w:r>
        <w:rPr>
          <w:rFonts w:ascii="Verdana" w:hAnsi="Verdana"/>
          <w:i/>
          <w:iCs/>
          <w:sz w:val="16"/>
          <w:szCs w:val="16"/>
        </w:rPr>
        <w:t xml:space="preserve"> dicho</w:t>
      </w:r>
      <w:r w:rsidRPr="00A15955">
        <w:rPr>
          <w:rFonts w:ascii="Verdana" w:hAnsi="Verdana"/>
          <w:i/>
          <w:iCs/>
          <w:sz w:val="16"/>
          <w:szCs w:val="16"/>
        </w:rPr>
        <w:t xml:space="preserve"> Relator Especial y del Asesor Especial del Secretario General sobre la </w:t>
      </w:r>
      <w:r w:rsidRPr="00EE2126">
        <w:rPr>
          <w:rFonts w:ascii="Verdana" w:hAnsi="Verdana"/>
          <w:i/>
          <w:iCs/>
          <w:sz w:val="16"/>
          <w:szCs w:val="16"/>
        </w:rPr>
        <w:t>Prevención del Genocidio</w:t>
      </w:r>
      <w:r w:rsidRPr="00EE2126">
        <w:rPr>
          <w:rFonts w:ascii="Verdana" w:hAnsi="Verdana"/>
          <w:sz w:val="16"/>
          <w:szCs w:val="16"/>
        </w:rPr>
        <w:t xml:space="preserve">,  A/HRC/37/65, 6 de junio de 2018, párrs. 41 </w:t>
      </w:r>
      <w:r>
        <w:rPr>
          <w:rFonts w:ascii="Verdana" w:hAnsi="Verdana"/>
          <w:sz w:val="16"/>
          <w:szCs w:val="16"/>
        </w:rPr>
        <w:t>a 48</w:t>
      </w:r>
      <w:r w:rsidRPr="00EE2126">
        <w:rPr>
          <w:rFonts w:ascii="Verdana" w:hAnsi="Verdana"/>
          <w:sz w:val="16"/>
          <w:szCs w:val="16"/>
        </w:rPr>
        <w:t xml:space="preserve">. Asimismo, </w:t>
      </w:r>
      <w:r w:rsidRPr="00CD5C54">
        <w:rPr>
          <w:rFonts w:ascii="Verdana" w:hAnsi="Verdana"/>
          <w:i/>
          <w:sz w:val="16"/>
          <w:szCs w:val="16"/>
        </w:rPr>
        <w:t>Cfr.</w:t>
      </w:r>
      <w:r w:rsidRPr="00EE2126">
        <w:rPr>
          <w:rFonts w:ascii="Verdana" w:hAnsi="Verdana"/>
          <w:sz w:val="16"/>
          <w:szCs w:val="16"/>
        </w:rPr>
        <w:t xml:space="preserve"> </w:t>
      </w:r>
      <w:r w:rsidRPr="008D0846">
        <w:rPr>
          <w:rFonts w:ascii="Verdana" w:hAnsi="Verdana"/>
          <w:sz w:val="16"/>
          <w:szCs w:val="16"/>
        </w:rPr>
        <w:t xml:space="preserve">Declaración pericial de Gabriella Citroni rendida </w:t>
      </w:r>
      <w:r>
        <w:rPr>
          <w:rFonts w:ascii="Verdana" w:hAnsi="Verdana"/>
          <w:sz w:val="16"/>
          <w:szCs w:val="16"/>
        </w:rPr>
        <w:t>el</w:t>
      </w:r>
      <w:r w:rsidRPr="008D0846">
        <w:rPr>
          <w:rFonts w:ascii="Verdana" w:hAnsi="Verdana"/>
          <w:sz w:val="16"/>
          <w:szCs w:val="16"/>
        </w:rPr>
        <w:t xml:space="preserve"> 18 de abril de 2018 (expediente de prueba, </w:t>
      </w:r>
      <w:r w:rsidRPr="00453199">
        <w:rPr>
          <w:rFonts w:ascii="Verdana" w:hAnsi="Verdana"/>
          <w:i/>
          <w:sz w:val="16"/>
          <w:szCs w:val="16"/>
        </w:rPr>
        <w:t>Affidávits</w:t>
      </w:r>
      <w:r w:rsidRPr="008D0846">
        <w:rPr>
          <w:rFonts w:ascii="Verdana" w:hAnsi="Verdana"/>
          <w:sz w:val="16"/>
          <w:szCs w:val="16"/>
        </w:rPr>
        <w:t>, f. 31065)</w:t>
      </w:r>
      <w:r w:rsidRPr="00EE2126">
        <w:rPr>
          <w:rFonts w:ascii="Verdana" w:hAnsi="Verdana"/>
          <w:sz w:val="16"/>
          <w:szCs w:val="16"/>
        </w:rPr>
        <w:t>, y Declaración rendida ante la Corte por el perito Federico Andreu Guzmán en la Audiencia Pública el 26 de abril de 2018  (Transcripción de la Audiencia Pública, pág. 78)</w:t>
      </w:r>
      <w:r>
        <w:rPr>
          <w:rFonts w:ascii="Verdana" w:hAnsi="Verdana"/>
          <w:sz w:val="16"/>
          <w:szCs w:val="16"/>
        </w:rPr>
        <w:t>.</w:t>
      </w:r>
      <w:r w:rsidRPr="00DF29E0">
        <w:rPr>
          <w:rFonts w:ascii="Verdana" w:hAnsi="Verdana" w:hint="eastAsia"/>
          <w:sz w:val="16"/>
          <w:szCs w:val="16"/>
        </w:rPr>
        <w:t>∞</w:t>
      </w:r>
    </w:p>
  </w:footnote>
  <w:footnote w:id="415">
    <w:p w14:paraId="493D7972" w14:textId="3314040E" w:rsidR="00146958" w:rsidRPr="00C833F6" w:rsidRDefault="00146958" w:rsidP="008D0846">
      <w:pPr>
        <w:spacing w:after="0" w:line="240" w:lineRule="auto"/>
        <w:jc w:val="both"/>
        <w:rPr>
          <w:rFonts w:ascii="Verdana" w:hAnsi="Verdana"/>
          <w:bCs/>
          <w:sz w:val="16"/>
          <w:szCs w:val="16"/>
        </w:rPr>
      </w:pPr>
      <w:r w:rsidRPr="00A15955">
        <w:rPr>
          <w:rStyle w:val="FootnoteReference"/>
          <w:rFonts w:ascii="Verdana" w:hAnsi="Verdana"/>
          <w:sz w:val="16"/>
          <w:szCs w:val="16"/>
        </w:rPr>
        <w:footnoteRef/>
      </w:r>
      <w:r w:rsidRPr="00D54B69">
        <w:rPr>
          <w:rFonts w:ascii="Verdana" w:hAnsi="Verdana"/>
          <w:sz w:val="16"/>
          <w:szCs w:val="16"/>
        </w:rPr>
        <w:t xml:space="preserve"> </w:t>
      </w:r>
      <w:r w:rsidRPr="00D54B69">
        <w:rPr>
          <w:rFonts w:ascii="Verdana" w:hAnsi="Verdana"/>
          <w:sz w:val="16"/>
          <w:szCs w:val="16"/>
        </w:rPr>
        <w:tab/>
      </w:r>
      <w:r w:rsidRPr="00CD5C54">
        <w:rPr>
          <w:rFonts w:ascii="Verdana" w:hAnsi="Verdana"/>
          <w:i/>
          <w:sz w:val="16"/>
          <w:szCs w:val="16"/>
        </w:rPr>
        <w:t>Cfr.</w:t>
      </w:r>
      <w:r w:rsidRPr="00D54B69">
        <w:rPr>
          <w:rFonts w:ascii="Verdana" w:hAnsi="Verdana"/>
          <w:i/>
          <w:sz w:val="16"/>
          <w:szCs w:val="16"/>
        </w:rPr>
        <w:t xml:space="preserve"> </w:t>
      </w:r>
      <w:r w:rsidRPr="00D54B69">
        <w:rPr>
          <w:rFonts w:ascii="Verdana" w:hAnsi="Verdana"/>
          <w:sz w:val="16"/>
          <w:szCs w:val="16"/>
        </w:rPr>
        <w:t xml:space="preserve">Corte IDH: </w:t>
      </w:r>
      <w:r w:rsidRPr="00CD5C54">
        <w:rPr>
          <w:rFonts w:ascii="Verdana" w:hAnsi="Verdana"/>
          <w:i/>
          <w:iCs/>
          <w:sz w:val="16"/>
          <w:szCs w:val="16"/>
        </w:rPr>
        <w:t>Cfr.</w:t>
      </w:r>
      <w:r w:rsidRPr="00D54B69">
        <w:rPr>
          <w:rFonts w:ascii="Verdana" w:hAnsi="Verdana"/>
          <w:sz w:val="16"/>
          <w:szCs w:val="16"/>
        </w:rPr>
        <w:t xml:space="preserve"> </w:t>
      </w:r>
      <w:r w:rsidRPr="00D54B69">
        <w:rPr>
          <w:rFonts w:ascii="Verdana" w:hAnsi="Verdana"/>
          <w:i/>
          <w:iCs/>
          <w:sz w:val="16"/>
          <w:szCs w:val="16"/>
        </w:rPr>
        <w:t>Caso Radilla Pacheco Vs. México</w:t>
      </w:r>
      <w:r>
        <w:rPr>
          <w:rFonts w:ascii="Verdana" w:hAnsi="Verdana"/>
          <w:i/>
          <w:iCs/>
          <w:sz w:val="16"/>
          <w:szCs w:val="16"/>
        </w:rPr>
        <w:t>,</w:t>
      </w:r>
      <w:r w:rsidRPr="00D54B69">
        <w:rPr>
          <w:rFonts w:ascii="Verdana" w:hAnsi="Verdana"/>
          <w:i/>
          <w:iCs/>
          <w:sz w:val="16"/>
          <w:szCs w:val="16"/>
        </w:rPr>
        <w:t xml:space="preserve"> </w:t>
      </w:r>
      <w:r>
        <w:rPr>
          <w:rFonts w:ascii="Verdana" w:hAnsi="Verdana"/>
          <w:i/>
          <w:iCs/>
          <w:sz w:val="16"/>
          <w:szCs w:val="16"/>
        </w:rPr>
        <w:t>supra</w:t>
      </w:r>
      <w:r w:rsidRPr="00D54B69">
        <w:rPr>
          <w:rFonts w:ascii="Verdana" w:hAnsi="Verdana"/>
          <w:sz w:val="16"/>
          <w:szCs w:val="16"/>
        </w:rPr>
        <w:t xml:space="preserve"> párr. 273;</w:t>
      </w:r>
      <w:r w:rsidRPr="00EF3A5E">
        <w:rPr>
          <w:rFonts w:ascii="Verdana" w:hAnsi="Verdana"/>
          <w:bCs/>
          <w:sz w:val="16"/>
          <w:szCs w:val="16"/>
        </w:rPr>
        <w:t xml:space="preserve"> </w:t>
      </w:r>
      <w:r w:rsidRPr="00A15955">
        <w:rPr>
          <w:rFonts w:ascii="Verdana" w:hAnsi="Verdana"/>
          <w:bCs/>
          <w:i/>
          <w:iCs/>
          <w:sz w:val="16"/>
          <w:szCs w:val="16"/>
        </w:rPr>
        <w:t>Caso Fernández Ortega y otros Vs. México. Excepción Preliminar, Fondo, Reparaciones y Costas.</w:t>
      </w:r>
      <w:r w:rsidRPr="00A15955">
        <w:rPr>
          <w:rFonts w:ascii="Verdana" w:hAnsi="Verdana"/>
          <w:bCs/>
          <w:sz w:val="16"/>
          <w:szCs w:val="16"/>
        </w:rPr>
        <w:t xml:space="preserve"> Sentencia de 30 de agosto de 2010. Serie C No. 215, párr. 176; </w:t>
      </w:r>
      <w:r w:rsidRPr="00A15955">
        <w:rPr>
          <w:rStyle w:val="Strong"/>
          <w:rFonts w:ascii="Verdana" w:hAnsi="Verdana"/>
          <w:b w:val="0"/>
          <w:bCs w:val="0"/>
          <w:i/>
          <w:iCs/>
          <w:color w:val="000000"/>
          <w:sz w:val="16"/>
          <w:szCs w:val="16"/>
          <w:shd w:val="clear" w:color="auto" w:fill="FFFFFF"/>
        </w:rPr>
        <w:t>Caso Rosendo Cantú y otra Vs. México. Excepción Preliminar, Fondo, Reparaciones y Costas.</w:t>
      </w:r>
      <w:r w:rsidRPr="00A15955">
        <w:rPr>
          <w:rStyle w:val="Strong"/>
          <w:rFonts w:ascii="Verdana" w:hAnsi="Verdana"/>
          <w:b w:val="0"/>
          <w:bCs w:val="0"/>
          <w:color w:val="000000"/>
          <w:sz w:val="16"/>
          <w:szCs w:val="16"/>
          <w:shd w:val="clear" w:color="auto" w:fill="FFFFFF"/>
        </w:rPr>
        <w:t xml:space="preserve"> Sentencia de 31 de agosto de 2010. Serie C No. 216, párr. 160, y </w:t>
      </w:r>
      <w:r w:rsidRPr="00D54B69">
        <w:rPr>
          <w:rStyle w:val="Strong"/>
          <w:rFonts w:ascii="Verdana" w:hAnsi="Verdana"/>
          <w:b w:val="0"/>
          <w:bCs w:val="0"/>
          <w:i/>
          <w:iCs/>
          <w:color w:val="000000"/>
          <w:sz w:val="16"/>
          <w:szCs w:val="16"/>
          <w:shd w:val="clear" w:color="auto" w:fill="FFFFFF"/>
        </w:rPr>
        <w:t xml:space="preserve">Caso Cabrera García y Montiel Flores Vs. México. </w:t>
      </w:r>
      <w:r>
        <w:rPr>
          <w:rStyle w:val="Strong"/>
          <w:rFonts w:ascii="Verdana" w:hAnsi="Verdana"/>
          <w:b w:val="0"/>
          <w:bCs w:val="0"/>
          <w:i/>
          <w:iCs/>
          <w:color w:val="000000"/>
          <w:sz w:val="16"/>
          <w:szCs w:val="16"/>
          <w:shd w:val="clear" w:color="auto" w:fill="FFFFFF"/>
        </w:rPr>
        <w:t>supra</w:t>
      </w:r>
      <w:r w:rsidRPr="00D54B69">
        <w:rPr>
          <w:rStyle w:val="Strong"/>
          <w:rFonts w:ascii="Verdana" w:hAnsi="Verdana"/>
          <w:b w:val="0"/>
          <w:bCs w:val="0"/>
          <w:color w:val="000000"/>
          <w:sz w:val="16"/>
          <w:szCs w:val="16"/>
          <w:shd w:val="clear" w:color="auto" w:fill="FFFFFF"/>
        </w:rPr>
        <w:t xml:space="preserve">, párr. 197; </w:t>
      </w:r>
      <w:r w:rsidRPr="008D0846">
        <w:rPr>
          <w:rFonts w:ascii="Verdana" w:hAnsi="Verdana"/>
          <w:sz w:val="16"/>
          <w:szCs w:val="16"/>
        </w:rPr>
        <w:t>ONU:</w:t>
      </w:r>
      <w:r w:rsidRPr="00A15955">
        <w:rPr>
          <w:rFonts w:ascii="Verdana" w:hAnsi="Verdana"/>
          <w:i/>
          <w:sz w:val="16"/>
          <w:szCs w:val="16"/>
        </w:rPr>
        <w:t xml:space="preserve"> Informe del GTDFI. Cuestión de los derechos humanos de todas las personas</w:t>
      </w:r>
      <w:r w:rsidRPr="00314BC3">
        <w:rPr>
          <w:rFonts w:ascii="Verdana" w:hAnsi="Verdana"/>
          <w:i/>
          <w:sz w:val="16"/>
          <w:szCs w:val="16"/>
        </w:rPr>
        <w:t xml:space="preserve"> sometidas a cualquier forma de detención o prisión</w:t>
      </w:r>
      <w:r>
        <w:rPr>
          <w:rFonts w:ascii="Verdana" w:hAnsi="Verdana"/>
          <w:i/>
          <w:sz w:val="16"/>
          <w:szCs w:val="16"/>
        </w:rPr>
        <w:t>,</w:t>
      </w:r>
      <w:r w:rsidRPr="00314BC3">
        <w:t xml:space="preserve"> </w:t>
      </w:r>
      <w:r w:rsidRPr="008D0846">
        <w:rPr>
          <w:rFonts w:ascii="Verdana" w:hAnsi="Verdana"/>
          <w:sz w:val="16"/>
          <w:szCs w:val="16"/>
        </w:rPr>
        <w:t xml:space="preserve">E/CN.4/1992/18, </w:t>
      </w:r>
      <w:r>
        <w:rPr>
          <w:rFonts w:ascii="Verdana" w:hAnsi="Verdana"/>
          <w:sz w:val="16"/>
          <w:szCs w:val="16"/>
        </w:rPr>
        <w:t xml:space="preserve">30 de diciembre de 1991, </w:t>
      </w:r>
      <w:r w:rsidRPr="008D0846">
        <w:rPr>
          <w:rFonts w:ascii="Verdana" w:hAnsi="Verdana"/>
          <w:sz w:val="16"/>
          <w:szCs w:val="16"/>
        </w:rPr>
        <w:t>párr. 367</w:t>
      </w:r>
      <w:r>
        <w:rPr>
          <w:rFonts w:ascii="Verdana" w:hAnsi="Verdana"/>
          <w:sz w:val="16"/>
          <w:szCs w:val="16"/>
        </w:rPr>
        <w:t>;</w:t>
      </w:r>
      <w:r w:rsidRPr="00314BC3">
        <w:rPr>
          <w:rFonts w:ascii="Verdana" w:hAnsi="Verdana"/>
          <w:i/>
          <w:sz w:val="16"/>
          <w:szCs w:val="16"/>
        </w:rPr>
        <w:t xml:space="preserve"> </w:t>
      </w:r>
      <w:r w:rsidRPr="002C462C">
        <w:rPr>
          <w:rFonts w:ascii="Verdana" w:hAnsi="Verdana"/>
          <w:sz w:val="16"/>
          <w:szCs w:val="16"/>
        </w:rPr>
        <w:t>Comité de Derechos Humanos.</w:t>
      </w:r>
      <w:r w:rsidRPr="00432ABC">
        <w:rPr>
          <w:rFonts w:ascii="Verdana" w:hAnsi="Verdana"/>
          <w:i/>
          <w:sz w:val="16"/>
          <w:szCs w:val="16"/>
        </w:rPr>
        <w:t xml:space="preserve"> Observaciones Finales</w:t>
      </w:r>
      <w:r>
        <w:rPr>
          <w:rFonts w:ascii="Verdana" w:hAnsi="Verdana"/>
          <w:i/>
          <w:sz w:val="16"/>
          <w:szCs w:val="16"/>
        </w:rPr>
        <w:t>. México</w:t>
      </w:r>
      <w:r w:rsidRPr="00432ABC">
        <w:rPr>
          <w:rFonts w:ascii="Verdana" w:hAnsi="Verdana"/>
          <w:i/>
          <w:sz w:val="16"/>
          <w:szCs w:val="16"/>
        </w:rPr>
        <w:t xml:space="preserve">, </w:t>
      </w:r>
      <w:r w:rsidRPr="00432ABC">
        <w:rPr>
          <w:rFonts w:ascii="Verdana" w:hAnsi="Verdana"/>
          <w:sz w:val="16"/>
          <w:szCs w:val="16"/>
        </w:rPr>
        <w:t xml:space="preserve">27 de julio de 1999, </w:t>
      </w:r>
      <w:r w:rsidRPr="00432ABC">
        <w:rPr>
          <w:rFonts w:ascii="Verdana" w:hAnsi="Verdana"/>
          <w:i/>
          <w:sz w:val="16"/>
          <w:szCs w:val="16"/>
        </w:rPr>
        <w:t xml:space="preserve">supra, </w:t>
      </w:r>
      <w:r w:rsidRPr="00432ABC">
        <w:rPr>
          <w:rFonts w:ascii="Verdana" w:hAnsi="Verdana"/>
          <w:sz w:val="16"/>
          <w:szCs w:val="16"/>
        </w:rPr>
        <w:t>párr. 9;</w:t>
      </w:r>
      <w:r>
        <w:rPr>
          <w:rFonts w:ascii="Verdana" w:hAnsi="Verdana"/>
          <w:sz w:val="16"/>
          <w:szCs w:val="16"/>
        </w:rPr>
        <w:t xml:space="preserve"> </w:t>
      </w:r>
      <w:r w:rsidRPr="00914C24">
        <w:rPr>
          <w:rFonts w:ascii="Verdana" w:hAnsi="Verdana"/>
          <w:i/>
          <w:sz w:val="16"/>
          <w:szCs w:val="16"/>
        </w:rPr>
        <w:t>Informe del Relator Especial sobre Ejecuciones extrajudiciales, , presentado en cumplimiento de la resolución 1993/71 de la Comisión de Derechos Humanos</w:t>
      </w:r>
      <w:r w:rsidRPr="00914C24">
        <w:rPr>
          <w:rFonts w:ascii="Verdana" w:hAnsi="Verdana"/>
          <w:sz w:val="16"/>
          <w:szCs w:val="16"/>
        </w:rPr>
        <w:t>,</w:t>
      </w:r>
      <w:r w:rsidRPr="00914C24">
        <w:rPr>
          <w:rFonts w:ascii="Verdana" w:hAnsi="Verdana"/>
          <w:i/>
          <w:sz w:val="16"/>
          <w:szCs w:val="16"/>
        </w:rPr>
        <w:t xml:space="preserve"> </w:t>
      </w:r>
      <w:r w:rsidRPr="00914C24">
        <w:rPr>
          <w:rFonts w:ascii="Verdana" w:hAnsi="Verdana"/>
          <w:sz w:val="16"/>
          <w:szCs w:val="16"/>
        </w:rPr>
        <w:t xml:space="preserve">E/CN.4/1994/7, 7 de diciembre de 1993, </w:t>
      </w:r>
      <w:r>
        <w:rPr>
          <w:rFonts w:ascii="Verdana" w:hAnsi="Verdana"/>
          <w:sz w:val="16"/>
          <w:szCs w:val="16"/>
        </w:rPr>
        <w:t xml:space="preserve">párr. 697; </w:t>
      </w:r>
      <w:r w:rsidRPr="00432ABC">
        <w:rPr>
          <w:rFonts w:ascii="Verdana" w:hAnsi="Verdana"/>
          <w:i/>
          <w:sz w:val="16"/>
          <w:szCs w:val="16"/>
        </w:rPr>
        <w:t xml:space="preserve">Informe de la Relatora, Sra. Asma Jahangir, relativo a las ejecuciones extrajudiciales, sumarias o arbitrarias y presentado en cumplimiento de la </w:t>
      </w:r>
      <w:r>
        <w:rPr>
          <w:rFonts w:ascii="Verdana" w:hAnsi="Verdana"/>
          <w:i/>
          <w:sz w:val="16"/>
          <w:szCs w:val="16"/>
        </w:rPr>
        <w:t>R</w:t>
      </w:r>
      <w:r w:rsidRPr="00432ABC">
        <w:rPr>
          <w:rFonts w:ascii="Verdana" w:hAnsi="Verdana"/>
          <w:i/>
          <w:sz w:val="16"/>
          <w:szCs w:val="16"/>
        </w:rPr>
        <w:t>esolución 1999/35 de la Comisión de Derechos Humanos</w:t>
      </w:r>
      <w:r>
        <w:rPr>
          <w:rFonts w:ascii="Verdana" w:hAnsi="Verdana"/>
          <w:i/>
          <w:sz w:val="16"/>
          <w:szCs w:val="16"/>
        </w:rPr>
        <w:t>.</w:t>
      </w:r>
      <w:r w:rsidRPr="00432ABC">
        <w:rPr>
          <w:rFonts w:ascii="Verdana" w:hAnsi="Verdana"/>
          <w:i/>
          <w:sz w:val="16"/>
          <w:szCs w:val="16"/>
        </w:rPr>
        <w:t xml:space="preserve"> Adición Visita a México</w:t>
      </w:r>
      <w:r>
        <w:rPr>
          <w:rFonts w:ascii="Verdana" w:hAnsi="Verdana"/>
          <w:i/>
          <w:sz w:val="16"/>
          <w:szCs w:val="16"/>
        </w:rPr>
        <w:t>,</w:t>
      </w:r>
      <w:r w:rsidRPr="00432ABC">
        <w:rPr>
          <w:rFonts w:ascii="Verdana" w:hAnsi="Verdana"/>
          <w:i/>
          <w:sz w:val="16"/>
          <w:szCs w:val="16"/>
        </w:rPr>
        <w:t xml:space="preserve"> </w:t>
      </w:r>
      <w:r w:rsidRPr="00432ABC">
        <w:rPr>
          <w:rFonts w:ascii="Verdana" w:hAnsi="Verdana"/>
          <w:sz w:val="16"/>
          <w:szCs w:val="16"/>
        </w:rPr>
        <w:t>E/CN.4/2000/3/Add.3, 25 de noviembre de 1999, párr. 107</w:t>
      </w:r>
      <w:r>
        <w:rPr>
          <w:rFonts w:ascii="Verdana" w:hAnsi="Verdana"/>
          <w:sz w:val="16"/>
          <w:szCs w:val="16"/>
        </w:rPr>
        <w:t>,</w:t>
      </w:r>
      <w:r w:rsidRPr="00432ABC">
        <w:rPr>
          <w:rFonts w:ascii="Verdana" w:hAnsi="Verdana"/>
          <w:sz w:val="16"/>
          <w:szCs w:val="16"/>
        </w:rPr>
        <w:t xml:space="preserve"> inciso</w:t>
      </w:r>
      <w:r>
        <w:rPr>
          <w:rFonts w:ascii="Verdana" w:hAnsi="Verdana"/>
          <w:sz w:val="16"/>
          <w:szCs w:val="16"/>
        </w:rPr>
        <w:t>s b) y</w:t>
      </w:r>
      <w:r w:rsidRPr="00432ABC">
        <w:rPr>
          <w:rFonts w:ascii="Verdana" w:hAnsi="Verdana"/>
          <w:sz w:val="16"/>
          <w:szCs w:val="16"/>
        </w:rPr>
        <w:t xml:space="preserve"> f);</w:t>
      </w:r>
      <w:r w:rsidRPr="00432ABC">
        <w:rPr>
          <w:rFonts w:ascii="Verdana" w:eastAsiaTheme="minorHAnsi" w:hAnsi="Verdana"/>
          <w:sz w:val="16"/>
          <w:szCs w:val="16"/>
          <w:lang w:val="es-CR"/>
        </w:rPr>
        <w:t xml:space="preserve"> </w:t>
      </w:r>
      <w:r>
        <w:rPr>
          <w:rFonts w:ascii="Verdana" w:eastAsiaTheme="minorHAnsi" w:hAnsi="Verdana"/>
          <w:sz w:val="16"/>
          <w:szCs w:val="16"/>
          <w:lang w:val="es-CR"/>
        </w:rPr>
        <w:t xml:space="preserve">Consejo Económico y Social, </w:t>
      </w:r>
      <w:r w:rsidRPr="008D0846">
        <w:rPr>
          <w:rFonts w:ascii="Verdana" w:eastAsiaTheme="minorHAnsi" w:hAnsi="Verdana"/>
          <w:i/>
          <w:sz w:val="16"/>
          <w:szCs w:val="16"/>
        </w:rPr>
        <w:t>Principios y directrices básicos sobre el derecho de las víctimas de violaciones manifiestas de las normas internacionales de derechos humanos y violaciones graves del derecho internacional humanitario a interponer recursos y obtener reparaciones</w:t>
      </w:r>
      <w:r w:rsidRPr="00312F00">
        <w:rPr>
          <w:rFonts w:ascii="Verdana" w:eastAsiaTheme="minorHAnsi" w:hAnsi="Verdana"/>
          <w:i/>
          <w:sz w:val="16"/>
          <w:szCs w:val="16"/>
        </w:rPr>
        <w:t xml:space="preserve">, </w:t>
      </w:r>
      <w:r w:rsidRPr="008D0846">
        <w:rPr>
          <w:rFonts w:ascii="Verdana" w:eastAsiaTheme="minorHAnsi" w:hAnsi="Verdana"/>
          <w:sz w:val="16"/>
          <w:szCs w:val="16"/>
        </w:rPr>
        <w:t>E/2005/30</w:t>
      </w:r>
      <w:r w:rsidRPr="00312F00">
        <w:rPr>
          <w:rFonts w:ascii="Verdana" w:eastAsiaTheme="minorHAnsi" w:hAnsi="Verdana"/>
          <w:i/>
          <w:sz w:val="16"/>
          <w:szCs w:val="16"/>
        </w:rPr>
        <w:t>,</w:t>
      </w:r>
      <w:r w:rsidRPr="00E40B4F">
        <w:t xml:space="preserve"> </w:t>
      </w:r>
      <w:r w:rsidRPr="008D0846">
        <w:rPr>
          <w:rFonts w:ascii="Verdana" w:eastAsiaTheme="minorHAnsi" w:hAnsi="Verdana"/>
          <w:sz w:val="16"/>
          <w:szCs w:val="16"/>
        </w:rPr>
        <w:t>10 de agosto de 2005</w:t>
      </w:r>
      <w:r w:rsidRPr="00312F00">
        <w:rPr>
          <w:rFonts w:ascii="Verdana" w:eastAsiaTheme="minorHAnsi" w:hAnsi="Verdana"/>
          <w:sz w:val="16"/>
          <w:szCs w:val="16"/>
        </w:rPr>
        <w:t>, Principios 11 a 14;</w:t>
      </w:r>
      <w:r>
        <w:rPr>
          <w:rFonts w:ascii="Verdana" w:eastAsiaTheme="minorHAnsi" w:hAnsi="Verdana"/>
          <w:sz w:val="16"/>
          <w:szCs w:val="16"/>
        </w:rPr>
        <w:t xml:space="preserve"> </w:t>
      </w:r>
      <w:r w:rsidRPr="008D0846">
        <w:rPr>
          <w:rFonts w:ascii="Verdana" w:eastAsiaTheme="minorHAnsi" w:hAnsi="Verdana"/>
          <w:i/>
          <w:sz w:val="16"/>
          <w:szCs w:val="16"/>
        </w:rPr>
        <w:t xml:space="preserve">Informe del Relator Especial de la Subcomisión de Promoción y Protección de los Derechos Humanos, Emmanuel Decaux. La administración de justicia por los tribunales militares, </w:t>
      </w:r>
      <w:r w:rsidRPr="00A478A2">
        <w:rPr>
          <w:rFonts w:ascii="Verdana" w:eastAsiaTheme="minorHAnsi" w:hAnsi="Verdana"/>
          <w:sz w:val="16"/>
          <w:szCs w:val="16"/>
        </w:rPr>
        <w:t>E/CN.4/2006/58</w:t>
      </w:r>
      <w:r w:rsidRPr="00373698">
        <w:rPr>
          <w:rFonts w:ascii="Verdana" w:eastAsiaTheme="minorHAnsi" w:hAnsi="Verdana"/>
          <w:sz w:val="16"/>
          <w:szCs w:val="16"/>
        </w:rPr>
        <w:t xml:space="preserve">, 13 de enero de 2006, </w:t>
      </w:r>
      <w:r w:rsidRPr="008D0846">
        <w:rPr>
          <w:rFonts w:ascii="Verdana" w:eastAsiaTheme="minorHAnsi" w:hAnsi="Verdana"/>
          <w:sz w:val="16"/>
          <w:szCs w:val="16"/>
        </w:rPr>
        <w:t>Principio 9 “Enjuiciamiento de los autores de violaciones graves de los derechos humanos”</w:t>
      </w:r>
      <w:r w:rsidRPr="00A478A2">
        <w:rPr>
          <w:rFonts w:ascii="Verdana" w:eastAsiaTheme="minorHAnsi" w:hAnsi="Verdana"/>
          <w:sz w:val="16"/>
          <w:szCs w:val="16"/>
        </w:rPr>
        <w:t>, p</w:t>
      </w:r>
      <w:r w:rsidRPr="00373698">
        <w:rPr>
          <w:rFonts w:ascii="Verdana" w:eastAsiaTheme="minorHAnsi" w:hAnsi="Verdana"/>
          <w:sz w:val="16"/>
          <w:szCs w:val="16"/>
        </w:rPr>
        <w:t>árrs. 32 a 35</w:t>
      </w:r>
      <w:r>
        <w:rPr>
          <w:rFonts w:ascii="Verdana" w:eastAsiaTheme="minorHAnsi" w:hAnsi="Verdana"/>
          <w:sz w:val="16"/>
          <w:szCs w:val="16"/>
        </w:rPr>
        <w:t>;</w:t>
      </w:r>
      <w:r w:rsidRPr="00A478A2">
        <w:rPr>
          <w:rFonts w:ascii="Verdana" w:eastAsiaTheme="minorHAnsi" w:hAnsi="Verdana"/>
          <w:sz w:val="16"/>
          <w:szCs w:val="16"/>
        </w:rPr>
        <w:t xml:space="preserve"> </w:t>
      </w:r>
      <w:r w:rsidRPr="00373698">
        <w:rPr>
          <w:rFonts w:ascii="Verdana" w:eastAsiaTheme="minorHAnsi" w:hAnsi="Verdana"/>
          <w:i/>
          <w:sz w:val="16"/>
          <w:szCs w:val="16"/>
        </w:rPr>
        <w:t>Informe de la Relatora Especial sobre la independencia de los magistrados y abogados</w:t>
      </w:r>
      <w:r w:rsidRPr="00373698">
        <w:rPr>
          <w:rFonts w:ascii="Verdana" w:eastAsiaTheme="minorHAnsi" w:hAnsi="Verdana"/>
          <w:sz w:val="16"/>
          <w:szCs w:val="16"/>
        </w:rPr>
        <w:t>,</w:t>
      </w:r>
      <w:r w:rsidRPr="00373698">
        <w:rPr>
          <w:rFonts w:ascii="Verdana" w:eastAsiaTheme="minorHAnsi" w:hAnsi="Verdana"/>
          <w:i/>
          <w:sz w:val="16"/>
          <w:szCs w:val="16"/>
        </w:rPr>
        <w:t xml:space="preserve"> Gabriela Knaul, sobre la administración de justicia de los tribunales militares</w:t>
      </w:r>
      <w:r w:rsidRPr="00373698">
        <w:rPr>
          <w:rFonts w:ascii="Verdana" w:eastAsiaTheme="minorHAnsi" w:hAnsi="Verdana"/>
          <w:sz w:val="16"/>
          <w:szCs w:val="16"/>
        </w:rPr>
        <w:t xml:space="preserve">, </w:t>
      </w:r>
      <w:r w:rsidRPr="00373698">
        <w:rPr>
          <w:rFonts w:ascii="Verdana" w:eastAsiaTheme="minorHAnsi" w:hAnsi="Verdana"/>
          <w:i/>
          <w:sz w:val="16"/>
          <w:szCs w:val="16"/>
        </w:rPr>
        <w:t xml:space="preserve">supra, </w:t>
      </w:r>
      <w:r w:rsidRPr="00373698">
        <w:rPr>
          <w:rFonts w:ascii="Verdana" w:eastAsiaTheme="minorHAnsi" w:hAnsi="Verdana"/>
          <w:sz w:val="16"/>
          <w:szCs w:val="16"/>
        </w:rPr>
        <w:t>párr. 106</w:t>
      </w:r>
      <w:r>
        <w:rPr>
          <w:rFonts w:ascii="Verdana" w:eastAsiaTheme="minorHAnsi" w:hAnsi="Verdana"/>
          <w:sz w:val="16"/>
          <w:szCs w:val="16"/>
        </w:rPr>
        <w:t xml:space="preserve">, e </w:t>
      </w:r>
      <w:r w:rsidRPr="00432ABC">
        <w:rPr>
          <w:rFonts w:ascii="Verdana" w:eastAsiaTheme="minorHAnsi" w:hAnsi="Verdana"/>
          <w:i/>
          <w:sz w:val="16"/>
          <w:szCs w:val="16"/>
          <w:lang w:val="es-CR"/>
        </w:rPr>
        <w:t>I</w:t>
      </w:r>
      <w:r w:rsidRPr="00432ABC">
        <w:rPr>
          <w:rFonts w:ascii="Verdana" w:eastAsiaTheme="minorHAnsi" w:hAnsi="Verdana"/>
          <w:i/>
          <w:sz w:val="16"/>
          <w:szCs w:val="16"/>
        </w:rPr>
        <w:t xml:space="preserve">nforme del Relator Especial sobre la Tortura, Juan E. Méndez, </w:t>
      </w:r>
      <w:r w:rsidRPr="00432ABC">
        <w:rPr>
          <w:rFonts w:ascii="Verdana" w:eastAsiaTheme="minorHAnsi" w:hAnsi="Verdana"/>
          <w:sz w:val="16"/>
          <w:szCs w:val="16"/>
        </w:rPr>
        <w:t xml:space="preserve">29 de diciembre de 2014, </w:t>
      </w:r>
      <w:r w:rsidRPr="00432ABC">
        <w:rPr>
          <w:rFonts w:ascii="Verdana" w:eastAsiaTheme="minorHAnsi" w:hAnsi="Verdana"/>
          <w:i/>
          <w:sz w:val="16"/>
          <w:szCs w:val="16"/>
        </w:rPr>
        <w:t xml:space="preserve">supra, </w:t>
      </w:r>
      <w:r w:rsidRPr="00432ABC">
        <w:rPr>
          <w:rFonts w:ascii="Verdana" w:eastAsiaTheme="minorHAnsi" w:hAnsi="Verdana"/>
          <w:sz w:val="16"/>
          <w:szCs w:val="16"/>
        </w:rPr>
        <w:t>párr. 81 inciso b)</w:t>
      </w:r>
      <w:r>
        <w:rPr>
          <w:rFonts w:ascii="Verdana" w:eastAsiaTheme="minorHAnsi" w:hAnsi="Verdana"/>
          <w:sz w:val="16"/>
          <w:szCs w:val="16"/>
        </w:rPr>
        <w:t>, y</w:t>
      </w:r>
      <w:r w:rsidRPr="00432ABC">
        <w:rPr>
          <w:rFonts w:ascii="Verdana" w:eastAsiaTheme="minorHAnsi" w:hAnsi="Verdana"/>
          <w:sz w:val="16"/>
          <w:szCs w:val="16"/>
          <w:lang w:val="es-CR"/>
        </w:rPr>
        <w:t xml:space="preserve"> </w:t>
      </w:r>
      <w:r w:rsidRPr="00432ABC">
        <w:rPr>
          <w:rFonts w:ascii="Verdana" w:hAnsi="Verdana"/>
          <w:i/>
          <w:sz w:val="16"/>
          <w:szCs w:val="16"/>
        </w:rPr>
        <w:t>Recomendaciones a México por el Alto Comisionado de las Naciones Unidas para los Derechos Humanos, Zeid Ra’ad al Hussein</w:t>
      </w:r>
      <w:r w:rsidRPr="00432ABC">
        <w:rPr>
          <w:rFonts w:ascii="Verdana" w:hAnsi="Verdana"/>
          <w:sz w:val="16"/>
          <w:szCs w:val="16"/>
        </w:rPr>
        <w:t xml:space="preserve">, </w:t>
      </w:r>
      <w:r w:rsidRPr="00432ABC">
        <w:rPr>
          <w:rFonts w:ascii="Verdana" w:hAnsi="Verdana"/>
          <w:i/>
          <w:sz w:val="16"/>
          <w:szCs w:val="16"/>
        </w:rPr>
        <w:t>supra</w:t>
      </w:r>
      <w:r w:rsidRPr="00432ABC">
        <w:rPr>
          <w:rFonts w:ascii="Verdana" w:hAnsi="Verdana"/>
          <w:sz w:val="16"/>
          <w:szCs w:val="16"/>
        </w:rPr>
        <w:t xml:space="preserve">, </w:t>
      </w:r>
      <w:r>
        <w:rPr>
          <w:rFonts w:ascii="Verdana" w:hAnsi="Verdana"/>
          <w:sz w:val="16"/>
          <w:szCs w:val="16"/>
        </w:rPr>
        <w:t>R</w:t>
      </w:r>
      <w:r w:rsidRPr="00432ABC">
        <w:rPr>
          <w:rFonts w:ascii="Verdana" w:hAnsi="Verdana"/>
          <w:sz w:val="16"/>
          <w:szCs w:val="16"/>
        </w:rPr>
        <w:t>ecomendación 3.</w:t>
      </w:r>
    </w:p>
  </w:footnote>
  <w:footnote w:id="416">
    <w:p w14:paraId="7C1BD806" w14:textId="11390DE2" w:rsidR="00146958" w:rsidRPr="00432ABC" w:rsidRDefault="00146958">
      <w:pPr>
        <w:autoSpaceDE w:val="0"/>
        <w:autoSpaceDN w:val="0"/>
        <w:adjustRightInd w:val="0"/>
        <w:spacing w:after="0" w:line="240" w:lineRule="auto"/>
        <w:jc w:val="both"/>
        <w:rPr>
          <w:rFonts w:ascii="Verdana" w:hAnsi="Verdana" w:cs="Arial"/>
          <w:b/>
          <w:sz w:val="16"/>
          <w:szCs w:val="16"/>
        </w:rPr>
      </w:pPr>
      <w:r w:rsidRPr="00432ABC">
        <w:rPr>
          <w:rStyle w:val="FootnoteReference"/>
          <w:rFonts w:ascii="Verdana" w:hAnsi="Verdana"/>
          <w:sz w:val="16"/>
          <w:szCs w:val="16"/>
        </w:rPr>
        <w:footnoteRef/>
      </w:r>
      <w:r w:rsidRPr="00432ABC">
        <w:rPr>
          <w:rFonts w:ascii="Verdana" w:hAnsi="Verdana"/>
          <w:sz w:val="16"/>
          <w:szCs w:val="16"/>
        </w:rPr>
        <w:t xml:space="preserve"> </w:t>
      </w:r>
      <w:r w:rsidRPr="00432ABC">
        <w:rPr>
          <w:rFonts w:ascii="Verdana" w:hAnsi="Verdana"/>
          <w:sz w:val="16"/>
          <w:szCs w:val="16"/>
        </w:rPr>
        <w:tab/>
      </w:r>
      <w:r w:rsidRPr="00CD5C54">
        <w:rPr>
          <w:rFonts w:ascii="Verdana" w:hAnsi="Verdana"/>
          <w:i/>
          <w:sz w:val="16"/>
          <w:szCs w:val="16"/>
        </w:rPr>
        <w:t>Cfr.</w:t>
      </w:r>
      <w:r w:rsidRPr="008F7720">
        <w:rPr>
          <w:rFonts w:ascii="Verdana" w:hAnsi="Verdana"/>
          <w:sz w:val="16"/>
          <w:szCs w:val="16"/>
        </w:rPr>
        <w:t xml:space="preserve"> ONU</w:t>
      </w:r>
      <w:r>
        <w:rPr>
          <w:rFonts w:ascii="Verdana" w:hAnsi="Verdana"/>
          <w:sz w:val="16"/>
          <w:szCs w:val="16"/>
        </w:rPr>
        <w:t>:</w:t>
      </w:r>
      <w:r w:rsidRPr="008F7720">
        <w:rPr>
          <w:rFonts w:ascii="Verdana" w:hAnsi="Verdana"/>
          <w:sz w:val="16"/>
          <w:szCs w:val="16"/>
        </w:rPr>
        <w:t xml:space="preserve"> </w:t>
      </w:r>
      <w:r w:rsidRPr="008D0846">
        <w:rPr>
          <w:rFonts w:ascii="Verdana" w:hAnsi="Verdana"/>
          <w:i/>
          <w:sz w:val="16"/>
          <w:szCs w:val="16"/>
        </w:rPr>
        <w:t>Informe del Relator Especial sobre Ejecuciones extrajudiciales, en cumplimiento de la resolución 1993/71 de la Comisión de Derechos Humanos</w:t>
      </w:r>
      <w:r w:rsidRPr="008F7720">
        <w:rPr>
          <w:rFonts w:ascii="Verdana" w:hAnsi="Verdana"/>
          <w:sz w:val="16"/>
          <w:szCs w:val="16"/>
        </w:rPr>
        <w:t>,</w:t>
      </w:r>
      <w:r>
        <w:rPr>
          <w:rFonts w:ascii="Verdana" w:hAnsi="Verdana"/>
          <w:sz w:val="16"/>
          <w:szCs w:val="16"/>
        </w:rPr>
        <w:t xml:space="preserve"> </w:t>
      </w:r>
      <w:r>
        <w:rPr>
          <w:rFonts w:ascii="Verdana" w:hAnsi="Verdana"/>
          <w:i/>
          <w:sz w:val="16"/>
          <w:szCs w:val="16"/>
        </w:rPr>
        <w:t>supra,</w:t>
      </w:r>
      <w:r w:rsidRPr="008F7720">
        <w:rPr>
          <w:rFonts w:ascii="Verdana" w:hAnsi="Verdana"/>
          <w:sz w:val="16"/>
          <w:szCs w:val="16"/>
        </w:rPr>
        <w:t xml:space="preserve"> </w:t>
      </w:r>
      <w:r w:rsidRPr="00914C24">
        <w:rPr>
          <w:rFonts w:ascii="Verdana" w:hAnsi="Verdana"/>
          <w:sz w:val="16"/>
          <w:szCs w:val="16"/>
        </w:rPr>
        <w:t>7 de diciembre de 1993</w:t>
      </w:r>
      <w:r>
        <w:rPr>
          <w:rFonts w:ascii="Verdana" w:hAnsi="Verdana"/>
          <w:sz w:val="16"/>
          <w:szCs w:val="16"/>
        </w:rPr>
        <w:t>,</w:t>
      </w:r>
      <w:r w:rsidRPr="00914C24">
        <w:rPr>
          <w:rFonts w:ascii="Verdana" w:hAnsi="Verdana"/>
          <w:sz w:val="16"/>
          <w:szCs w:val="16"/>
        </w:rPr>
        <w:t xml:space="preserve"> </w:t>
      </w:r>
      <w:r w:rsidRPr="008F7720">
        <w:rPr>
          <w:rFonts w:ascii="Verdana" w:hAnsi="Verdana"/>
          <w:sz w:val="16"/>
          <w:szCs w:val="16"/>
        </w:rPr>
        <w:t>párr</w:t>
      </w:r>
      <w:r>
        <w:rPr>
          <w:rFonts w:ascii="Verdana" w:hAnsi="Verdana"/>
          <w:sz w:val="16"/>
          <w:szCs w:val="16"/>
        </w:rPr>
        <w:t>.</w:t>
      </w:r>
      <w:r w:rsidRPr="008D0846">
        <w:rPr>
          <w:rFonts w:ascii="Verdana" w:hAnsi="Verdana"/>
          <w:sz w:val="16"/>
          <w:szCs w:val="16"/>
        </w:rPr>
        <w:t xml:space="preserve"> 68</w:t>
      </w:r>
      <w:r>
        <w:rPr>
          <w:rFonts w:ascii="Verdana" w:hAnsi="Verdana"/>
          <w:sz w:val="16"/>
          <w:szCs w:val="16"/>
        </w:rPr>
        <w:t>8</w:t>
      </w:r>
      <w:r>
        <w:rPr>
          <w:rFonts w:ascii="Verdana" w:hAnsi="Verdana"/>
          <w:i/>
          <w:sz w:val="16"/>
          <w:szCs w:val="16"/>
        </w:rPr>
        <w:t xml:space="preserve">; </w:t>
      </w:r>
      <w:r w:rsidRPr="002C462C">
        <w:rPr>
          <w:rFonts w:ascii="Verdana" w:hAnsi="Verdana"/>
          <w:sz w:val="16"/>
          <w:szCs w:val="16"/>
        </w:rPr>
        <w:t>Comité de Derechos Humanos</w:t>
      </w:r>
      <w:r>
        <w:rPr>
          <w:rFonts w:ascii="Verdana" w:hAnsi="Verdana"/>
          <w:sz w:val="16"/>
          <w:szCs w:val="16"/>
        </w:rPr>
        <w:t>,</w:t>
      </w:r>
      <w:r w:rsidRPr="00432ABC">
        <w:rPr>
          <w:rFonts w:ascii="Verdana" w:hAnsi="Verdana"/>
          <w:i/>
          <w:sz w:val="16"/>
          <w:szCs w:val="16"/>
        </w:rPr>
        <w:t xml:space="preserve"> Observaciones Finales</w:t>
      </w:r>
      <w:r>
        <w:rPr>
          <w:rFonts w:ascii="Verdana" w:hAnsi="Verdana"/>
          <w:i/>
          <w:sz w:val="16"/>
          <w:szCs w:val="16"/>
        </w:rPr>
        <w:t>. México</w:t>
      </w:r>
      <w:r w:rsidRPr="00432ABC">
        <w:rPr>
          <w:rFonts w:ascii="Verdana" w:hAnsi="Verdana"/>
          <w:i/>
          <w:sz w:val="16"/>
          <w:szCs w:val="16"/>
        </w:rPr>
        <w:t xml:space="preserve">, </w:t>
      </w:r>
      <w:r w:rsidRPr="00432ABC">
        <w:rPr>
          <w:rFonts w:ascii="Verdana" w:hAnsi="Verdana"/>
          <w:sz w:val="16"/>
          <w:szCs w:val="16"/>
        </w:rPr>
        <w:t xml:space="preserve">27 de julio de 1999, </w:t>
      </w:r>
      <w:r>
        <w:rPr>
          <w:rFonts w:ascii="Verdana" w:hAnsi="Verdana"/>
          <w:i/>
          <w:sz w:val="16"/>
          <w:szCs w:val="16"/>
        </w:rPr>
        <w:t xml:space="preserve">supra, </w:t>
      </w:r>
      <w:r w:rsidRPr="00432ABC">
        <w:rPr>
          <w:rFonts w:ascii="Verdana" w:hAnsi="Verdana"/>
          <w:sz w:val="16"/>
          <w:szCs w:val="16"/>
        </w:rPr>
        <w:t>párr. 9</w:t>
      </w:r>
      <w:r>
        <w:rPr>
          <w:rFonts w:ascii="Verdana" w:hAnsi="Verdana"/>
          <w:sz w:val="16"/>
          <w:szCs w:val="16"/>
        </w:rPr>
        <w:t>, e</w:t>
      </w:r>
      <w:r w:rsidRPr="005F61A1">
        <w:rPr>
          <w:rFonts w:ascii="Verdana" w:eastAsiaTheme="minorHAnsi" w:hAnsi="Verdana"/>
          <w:i/>
          <w:sz w:val="16"/>
          <w:szCs w:val="16"/>
        </w:rPr>
        <w:t xml:space="preserve"> </w:t>
      </w:r>
      <w:r w:rsidRPr="005F61A1">
        <w:rPr>
          <w:rFonts w:ascii="Verdana" w:hAnsi="Verdana"/>
          <w:i/>
          <w:sz w:val="16"/>
          <w:szCs w:val="16"/>
        </w:rPr>
        <w:t>Informe de la Relatora Especial sobre la independencia de los magistrados y abogados</w:t>
      </w:r>
      <w:r w:rsidRPr="005F61A1">
        <w:rPr>
          <w:rFonts w:ascii="Verdana" w:hAnsi="Verdana"/>
          <w:sz w:val="16"/>
          <w:szCs w:val="16"/>
        </w:rPr>
        <w:t>,</w:t>
      </w:r>
      <w:r w:rsidRPr="005F61A1">
        <w:rPr>
          <w:rFonts w:ascii="Verdana" w:hAnsi="Verdana"/>
          <w:i/>
          <w:sz w:val="16"/>
          <w:szCs w:val="16"/>
        </w:rPr>
        <w:t xml:space="preserve"> Gabriela Knaul, sobre la administración de justicia de los tribunales militares</w:t>
      </w:r>
      <w:r w:rsidRPr="005F61A1">
        <w:rPr>
          <w:rFonts w:ascii="Verdana" w:hAnsi="Verdana"/>
          <w:sz w:val="16"/>
          <w:szCs w:val="16"/>
        </w:rPr>
        <w:t xml:space="preserve">, </w:t>
      </w:r>
      <w:r w:rsidRPr="005F61A1">
        <w:rPr>
          <w:rFonts w:ascii="Verdana" w:hAnsi="Verdana"/>
          <w:i/>
          <w:sz w:val="16"/>
          <w:szCs w:val="16"/>
        </w:rPr>
        <w:t xml:space="preserve">supra, </w:t>
      </w:r>
      <w:r w:rsidRPr="005F61A1">
        <w:rPr>
          <w:rFonts w:ascii="Verdana" w:hAnsi="Verdana"/>
          <w:sz w:val="16"/>
          <w:szCs w:val="16"/>
        </w:rPr>
        <w:t>párr</w:t>
      </w:r>
      <w:r>
        <w:rPr>
          <w:rFonts w:ascii="Verdana" w:hAnsi="Verdana"/>
          <w:sz w:val="16"/>
          <w:szCs w:val="16"/>
        </w:rPr>
        <w:t>s. 64 a 69.</w:t>
      </w:r>
      <w:r w:rsidRPr="005F61A1">
        <w:rPr>
          <w:rFonts w:ascii="Verdana" w:hAnsi="Verdana"/>
          <w:sz w:val="16"/>
          <w:szCs w:val="16"/>
        </w:rPr>
        <w:t xml:space="preserve"> </w:t>
      </w:r>
      <w:r>
        <w:rPr>
          <w:rFonts w:ascii="Verdana" w:hAnsi="Verdana"/>
          <w:sz w:val="16"/>
          <w:szCs w:val="16"/>
        </w:rPr>
        <w:t xml:space="preserve">Asimismo, </w:t>
      </w:r>
      <w:r w:rsidRPr="00CD5C54">
        <w:rPr>
          <w:rFonts w:ascii="Verdana" w:hAnsi="Verdana"/>
          <w:i/>
          <w:sz w:val="16"/>
          <w:szCs w:val="16"/>
        </w:rPr>
        <w:t>Cfr.</w:t>
      </w:r>
      <w:r>
        <w:rPr>
          <w:rFonts w:ascii="Verdana" w:hAnsi="Verdana"/>
          <w:sz w:val="16"/>
          <w:szCs w:val="16"/>
        </w:rPr>
        <w:t xml:space="preserve"> CIDH</w:t>
      </w:r>
      <w:r w:rsidRPr="00432ABC">
        <w:rPr>
          <w:rFonts w:ascii="Verdana" w:hAnsi="Verdana"/>
          <w:sz w:val="16"/>
          <w:szCs w:val="16"/>
        </w:rPr>
        <w:t xml:space="preserve">. </w:t>
      </w:r>
      <w:r w:rsidRPr="00432ABC">
        <w:rPr>
          <w:rFonts w:ascii="Verdana" w:hAnsi="Verdana"/>
          <w:i/>
          <w:sz w:val="16"/>
          <w:szCs w:val="16"/>
        </w:rPr>
        <w:t>Informe sobre Seguridad Ciudadana y Derechos Humanos</w:t>
      </w:r>
      <w:r w:rsidRPr="00432ABC">
        <w:rPr>
          <w:rFonts w:ascii="Verdana" w:hAnsi="Verdana"/>
          <w:sz w:val="16"/>
          <w:szCs w:val="16"/>
        </w:rPr>
        <w:t xml:space="preserve">, </w:t>
      </w:r>
      <w:r w:rsidRPr="00432ABC">
        <w:rPr>
          <w:rFonts w:ascii="Verdana" w:hAnsi="Verdana"/>
          <w:i/>
          <w:sz w:val="16"/>
          <w:szCs w:val="16"/>
        </w:rPr>
        <w:t>supra</w:t>
      </w:r>
      <w:r w:rsidRPr="00432ABC">
        <w:rPr>
          <w:rFonts w:ascii="Verdana" w:hAnsi="Verdana"/>
          <w:sz w:val="16"/>
          <w:szCs w:val="16"/>
        </w:rPr>
        <w:t>, párr. 127</w:t>
      </w:r>
      <w:r>
        <w:rPr>
          <w:rFonts w:ascii="Verdana" w:hAnsi="Verdana"/>
          <w:sz w:val="16"/>
          <w:szCs w:val="16"/>
        </w:rPr>
        <w:t xml:space="preserve">. </w:t>
      </w:r>
    </w:p>
  </w:footnote>
  <w:footnote w:id="417">
    <w:p w14:paraId="64AA62D6" w14:textId="3D64CDAF" w:rsidR="00146958" w:rsidRPr="00432ABC" w:rsidRDefault="00146958" w:rsidP="001E0417">
      <w:pPr>
        <w:pStyle w:val="FootnoteText"/>
        <w:jc w:val="both"/>
        <w:rPr>
          <w:rFonts w:ascii="Verdana" w:hAnsi="Verdana"/>
          <w:sz w:val="16"/>
        </w:rPr>
      </w:pPr>
      <w:r w:rsidRPr="00432ABC">
        <w:rPr>
          <w:rStyle w:val="FootnoteReference"/>
          <w:rFonts w:ascii="Verdana" w:hAnsi="Verdana"/>
          <w:sz w:val="16"/>
        </w:rPr>
        <w:footnoteRef/>
      </w:r>
      <w:r w:rsidRPr="00432ABC">
        <w:rPr>
          <w:rFonts w:ascii="Verdana" w:hAnsi="Verdana"/>
          <w:sz w:val="16"/>
        </w:rPr>
        <w:t xml:space="preserve">  </w:t>
      </w:r>
      <w:r w:rsidRPr="00432ABC">
        <w:rPr>
          <w:rFonts w:ascii="Verdana" w:hAnsi="Verdana"/>
          <w:sz w:val="16"/>
        </w:rPr>
        <w:tab/>
      </w:r>
      <w:r w:rsidRPr="00CD5C54">
        <w:rPr>
          <w:rFonts w:ascii="Verdana" w:hAnsi="Verdana"/>
          <w:i/>
          <w:sz w:val="16"/>
        </w:rPr>
        <w:t>Cfr.</w:t>
      </w:r>
      <w:r w:rsidRPr="002C462C">
        <w:rPr>
          <w:rFonts w:ascii="Verdana" w:hAnsi="Verdana"/>
          <w:sz w:val="16"/>
        </w:rPr>
        <w:t xml:space="preserve"> Declaración de Patricia Reyes Rueda rendida el 16 de enero de 2013 ante el AMPF – PGR en apoyo de la Agencia Décima Primera Investigadora de la PGR – </w:t>
      </w:r>
      <w:r w:rsidRPr="00432ABC">
        <w:rPr>
          <w:rFonts w:ascii="Verdana" w:hAnsi="Verdana"/>
          <w:sz w:val="16"/>
        </w:rPr>
        <w:t>Chihuahua</w:t>
      </w:r>
      <w:r>
        <w:rPr>
          <w:rFonts w:ascii="Verdana" w:hAnsi="Verdana"/>
          <w:sz w:val="16"/>
        </w:rPr>
        <w:t xml:space="preserve"> </w:t>
      </w:r>
      <w:r w:rsidRPr="001E61BF">
        <w:rPr>
          <w:rFonts w:ascii="Verdana" w:hAnsi="Verdana"/>
          <w:sz w:val="16"/>
        </w:rPr>
        <w:t>(expediente de prueba, anexo 14 de la contestación del Estado</w:t>
      </w:r>
      <w:r w:rsidRPr="00432ABC">
        <w:rPr>
          <w:rFonts w:ascii="Verdana" w:hAnsi="Verdana"/>
          <w:i/>
          <w:sz w:val="16"/>
        </w:rPr>
        <w:t xml:space="preserve">, </w:t>
      </w:r>
      <w:r w:rsidRPr="00432ABC">
        <w:rPr>
          <w:rFonts w:ascii="Verdana" w:hAnsi="Verdana"/>
          <w:sz w:val="16"/>
        </w:rPr>
        <w:t>f. 27888</w:t>
      </w:r>
      <w:r>
        <w:rPr>
          <w:rFonts w:ascii="Verdana" w:hAnsi="Verdana"/>
          <w:sz w:val="16"/>
        </w:rPr>
        <w:t>)</w:t>
      </w:r>
      <w:r w:rsidRPr="00432ABC">
        <w:rPr>
          <w:rFonts w:ascii="Verdana" w:hAnsi="Verdana"/>
          <w:sz w:val="16"/>
        </w:rPr>
        <w:t>, y Declaración rendida ante fedatario público por A.R.A.R. el 19 de abril de 2018</w:t>
      </w:r>
      <w:r>
        <w:rPr>
          <w:rFonts w:ascii="Verdana" w:hAnsi="Verdana"/>
          <w:sz w:val="16"/>
        </w:rPr>
        <w:t xml:space="preserve"> </w:t>
      </w:r>
      <w:r w:rsidRPr="002C462C">
        <w:rPr>
          <w:rFonts w:ascii="Verdana" w:hAnsi="Verdana"/>
          <w:sz w:val="16"/>
          <w:szCs w:val="16"/>
        </w:rPr>
        <w:t xml:space="preserve">(expediente de prueba, </w:t>
      </w:r>
      <w:r w:rsidRPr="00453199">
        <w:rPr>
          <w:rFonts w:ascii="Verdana" w:hAnsi="Verdana"/>
          <w:i/>
          <w:sz w:val="16"/>
          <w:szCs w:val="16"/>
        </w:rPr>
        <w:t>Affidávits</w:t>
      </w:r>
      <w:r w:rsidRPr="002C462C">
        <w:rPr>
          <w:rFonts w:ascii="Verdana" w:hAnsi="Verdana"/>
          <w:sz w:val="16"/>
          <w:szCs w:val="16"/>
        </w:rPr>
        <w:t xml:space="preserve">, </w:t>
      </w:r>
      <w:r w:rsidRPr="00432ABC">
        <w:rPr>
          <w:rFonts w:ascii="Verdana" w:hAnsi="Verdana"/>
          <w:sz w:val="16"/>
        </w:rPr>
        <w:t>f. 30872</w:t>
      </w:r>
      <w:r>
        <w:rPr>
          <w:rFonts w:ascii="Verdana" w:hAnsi="Verdana"/>
          <w:sz w:val="16"/>
        </w:rPr>
        <w:t>)</w:t>
      </w:r>
      <w:r w:rsidRPr="00432ABC">
        <w:rPr>
          <w:rFonts w:ascii="Verdana" w:hAnsi="Verdana"/>
          <w:sz w:val="16"/>
        </w:rPr>
        <w:t xml:space="preserve">. </w:t>
      </w:r>
    </w:p>
  </w:footnote>
  <w:footnote w:id="418">
    <w:p w14:paraId="64AA62D7" w14:textId="1CEC8467" w:rsidR="00146958" w:rsidRPr="00432ABC" w:rsidRDefault="00146958">
      <w:pPr>
        <w:pStyle w:val="FootnoteText"/>
        <w:jc w:val="both"/>
        <w:rPr>
          <w:rFonts w:ascii="Verdana" w:hAnsi="Verdana"/>
          <w:sz w:val="16"/>
        </w:rPr>
      </w:pPr>
      <w:r w:rsidRPr="00432ABC">
        <w:rPr>
          <w:rStyle w:val="FootnoteReference"/>
          <w:rFonts w:ascii="Verdana" w:hAnsi="Verdana"/>
          <w:sz w:val="16"/>
        </w:rPr>
        <w:footnoteRef/>
      </w:r>
      <w:r w:rsidRPr="00432ABC">
        <w:rPr>
          <w:rFonts w:ascii="Verdana" w:hAnsi="Verdana"/>
          <w:sz w:val="16"/>
        </w:rPr>
        <w:t xml:space="preserve"> </w:t>
      </w:r>
      <w:r w:rsidRPr="00432ABC">
        <w:rPr>
          <w:rFonts w:ascii="Verdana" w:hAnsi="Verdana"/>
          <w:sz w:val="16"/>
        </w:rPr>
        <w:tab/>
      </w:r>
      <w:r w:rsidRPr="00CD5C54">
        <w:rPr>
          <w:rFonts w:ascii="Verdana" w:hAnsi="Verdana"/>
          <w:i/>
          <w:sz w:val="16"/>
        </w:rPr>
        <w:t>Cfr.</w:t>
      </w:r>
      <w:r w:rsidRPr="002C462C">
        <w:rPr>
          <w:rFonts w:ascii="Verdana" w:hAnsi="Verdana"/>
          <w:sz w:val="16"/>
        </w:rPr>
        <w:t xml:space="preserve"> Declaración de Marissa Reyes Rueda rendida el 21 de febrero de 2010 ante la Segunda Visitaduría General de la CNDH dentr</w:t>
      </w:r>
      <w:r w:rsidRPr="00432ABC">
        <w:rPr>
          <w:rFonts w:ascii="Verdana" w:hAnsi="Verdana"/>
          <w:sz w:val="16"/>
        </w:rPr>
        <w:t xml:space="preserve">o del Acta Circunstanciada CNDH/2/20/01/08/Q (expediente de prueba, anexo II.112 del Informe de Fondo, ff. 1595 y 1597); Declaración de Marissa Reyes Rueda rendida el 9 de marzo de 2010 ante el </w:t>
      </w:r>
      <w:r w:rsidRPr="00432ABC">
        <w:rPr>
          <w:rFonts w:ascii="Verdana" w:hAnsi="Verdana"/>
          <w:sz w:val="16"/>
          <w:lang w:val="es-AR"/>
        </w:rPr>
        <w:t>AMPM-5ªZM</w:t>
      </w:r>
      <w:r w:rsidRPr="00432ABC">
        <w:rPr>
          <w:rFonts w:ascii="Verdana" w:hAnsi="Verdana"/>
          <w:sz w:val="16"/>
        </w:rPr>
        <w:t xml:space="preserve"> (expediente de prueba, anexo 28 de la contestación del Estado, f. 27946), y</w:t>
      </w:r>
      <w:r w:rsidRPr="00432ABC">
        <w:rPr>
          <w:rFonts w:ascii="Verdana" w:hAnsi="Verdana"/>
          <w:i/>
          <w:sz w:val="16"/>
        </w:rPr>
        <w:t xml:space="preserve"> </w:t>
      </w:r>
      <w:r w:rsidRPr="00432ABC">
        <w:rPr>
          <w:rFonts w:ascii="Verdana" w:hAnsi="Verdana"/>
          <w:sz w:val="16"/>
        </w:rPr>
        <w:t xml:space="preserve">Declaración de Manuel Reyes Lira rendida el 9 de marzo de 2010 ante el </w:t>
      </w:r>
      <w:r w:rsidRPr="00432ABC">
        <w:rPr>
          <w:rFonts w:ascii="Verdana" w:hAnsi="Verdana"/>
          <w:sz w:val="16"/>
          <w:lang w:val="es-AR"/>
        </w:rPr>
        <w:t>AMPM-5ªZM</w:t>
      </w:r>
      <w:r w:rsidRPr="00432ABC">
        <w:rPr>
          <w:rFonts w:ascii="Verdana" w:hAnsi="Verdana"/>
          <w:sz w:val="16"/>
        </w:rPr>
        <w:t xml:space="preserve"> (expediente de prueba, anexo 34 de la contestación del Estado, f. 27981). </w:t>
      </w:r>
    </w:p>
  </w:footnote>
  <w:footnote w:id="419">
    <w:p w14:paraId="64AA62D9" w14:textId="715E9811" w:rsidR="00146958" w:rsidRPr="00432ABC" w:rsidRDefault="00146958">
      <w:pPr>
        <w:pStyle w:val="FootnoteText"/>
        <w:jc w:val="both"/>
        <w:rPr>
          <w:rFonts w:ascii="Verdana" w:hAnsi="Verdana"/>
          <w:sz w:val="16"/>
          <w:szCs w:val="16"/>
        </w:rPr>
      </w:pPr>
      <w:r w:rsidRPr="00432ABC">
        <w:rPr>
          <w:rStyle w:val="FootnoteReference"/>
          <w:rFonts w:ascii="Verdana" w:hAnsi="Verdana"/>
          <w:sz w:val="16"/>
        </w:rPr>
        <w:footnoteRef/>
      </w:r>
      <w:r w:rsidRPr="00432ABC">
        <w:rPr>
          <w:rFonts w:ascii="Verdana" w:hAnsi="Verdana"/>
          <w:sz w:val="16"/>
        </w:rPr>
        <w:t xml:space="preserve"> </w:t>
      </w:r>
      <w:r w:rsidRPr="00432ABC">
        <w:rPr>
          <w:rFonts w:ascii="Verdana" w:hAnsi="Verdana"/>
          <w:sz w:val="16"/>
        </w:rPr>
        <w:tab/>
      </w:r>
      <w:r w:rsidRPr="00CD5C54">
        <w:rPr>
          <w:rFonts w:ascii="Verdana" w:hAnsi="Verdana"/>
          <w:i/>
          <w:sz w:val="16"/>
        </w:rPr>
        <w:t>Cfr.</w:t>
      </w:r>
      <w:r w:rsidRPr="002C462C">
        <w:rPr>
          <w:rFonts w:ascii="Verdana" w:hAnsi="Verdana"/>
          <w:sz w:val="16"/>
        </w:rPr>
        <w:t xml:space="preserve"> Declaración de Patricia Reyes Rueda rendida el 27 de octubre de 2014</w:t>
      </w:r>
      <w:r w:rsidRPr="00432ABC">
        <w:rPr>
          <w:rFonts w:ascii="Verdana" w:hAnsi="Verdana"/>
          <w:sz w:val="16"/>
        </w:rPr>
        <w:t xml:space="preserve"> ante el AMPF adscrito a la </w:t>
      </w:r>
      <w:r w:rsidRPr="0094223E">
        <w:rPr>
          <w:rFonts w:ascii="Verdana" w:hAnsi="Verdana"/>
          <w:sz w:val="16"/>
        </w:rPr>
        <w:t>Unidad Especializada de Búsqueda de Personas Desaparecidas [UEBPD – PGR]</w:t>
      </w:r>
      <w:r>
        <w:rPr>
          <w:rFonts w:ascii="Verdana" w:hAnsi="Verdana"/>
          <w:sz w:val="16"/>
        </w:rPr>
        <w:t xml:space="preserve"> (expediente de prueba, </w:t>
      </w:r>
      <w:r w:rsidRPr="0094223E">
        <w:rPr>
          <w:rFonts w:ascii="Verdana" w:hAnsi="Verdana"/>
          <w:sz w:val="16"/>
        </w:rPr>
        <w:t xml:space="preserve">f. </w:t>
      </w:r>
      <w:r w:rsidRPr="00432ABC">
        <w:rPr>
          <w:rFonts w:ascii="Verdana" w:hAnsi="Verdana"/>
          <w:sz w:val="16"/>
        </w:rPr>
        <w:t>27892</w:t>
      </w:r>
      <w:r>
        <w:rPr>
          <w:rFonts w:ascii="Verdana" w:hAnsi="Verdana"/>
          <w:sz w:val="16"/>
        </w:rPr>
        <w:t>)</w:t>
      </w:r>
      <w:r w:rsidRPr="00432ABC">
        <w:rPr>
          <w:rFonts w:ascii="Verdana" w:hAnsi="Verdana"/>
          <w:sz w:val="16"/>
        </w:rPr>
        <w:t>, y Declaración de Obdulia Espinoza Beltrán rendida el 27 de octubre de 2014 ante el AMPF adscrito a la UEBPD – PGR</w:t>
      </w:r>
      <w:r w:rsidRPr="0094223E">
        <w:rPr>
          <w:rFonts w:ascii="Verdana" w:hAnsi="Verdana"/>
          <w:sz w:val="16"/>
          <w:szCs w:val="22"/>
        </w:rPr>
        <w:t xml:space="preserve"> </w:t>
      </w:r>
      <w:r w:rsidRPr="0094223E">
        <w:rPr>
          <w:rFonts w:ascii="Verdana" w:hAnsi="Verdana"/>
          <w:sz w:val="16"/>
        </w:rPr>
        <w:t xml:space="preserve">(expediente de prueba, </w:t>
      </w:r>
      <w:r w:rsidRPr="00432ABC">
        <w:rPr>
          <w:rFonts w:ascii="Verdana" w:hAnsi="Verdana"/>
          <w:sz w:val="16"/>
        </w:rPr>
        <w:t>f. 27932</w:t>
      </w:r>
      <w:r>
        <w:rPr>
          <w:rFonts w:ascii="Verdana" w:hAnsi="Verdana"/>
          <w:sz w:val="16"/>
        </w:rPr>
        <w:t xml:space="preserve">). </w:t>
      </w:r>
      <w:r w:rsidRPr="00432ABC">
        <w:rPr>
          <w:rFonts w:ascii="Verdana" w:hAnsi="Verdana"/>
          <w:sz w:val="16"/>
          <w:szCs w:val="16"/>
        </w:rPr>
        <w:t xml:space="preserve">Con relación al </w:t>
      </w:r>
      <w:r>
        <w:rPr>
          <w:rFonts w:ascii="Verdana" w:hAnsi="Verdana"/>
          <w:sz w:val="16"/>
          <w:szCs w:val="16"/>
        </w:rPr>
        <w:t xml:space="preserve">aseguramiento y custodia estatal del </w:t>
      </w:r>
      <w:r w:rsidRPr="00432ABC">
        <w:rPr>
          <w:rFonts w:ascii="Verdana" w:hAnsi="Verdana"/>
          <w:sz w:val="16"/>
          <w:szCs w:val="16"/>
        </w:rPr>
        <w:t>vehículo que Patricia Reyes y Obdulia Espinoza identificaron como el mismo que fue utilizado en la detención de sus familiares,</w:t>
      </w:r>
      <w:r>
        <w:rPr>
          <w:rFonts w:ascii="Verdana" w:hAnsi="Verdana"/>
          <w:sz w:val="16"/>
          <w:szCs w:val="16"/>
        </w:rPr>
        <w:t xml:space="preserve"> véanse: </w:t>
      </w:r>
      <w:r w:rsidRPr="00432ABC">
        <w:rPr>
          <w:rFonts w:ascii="Verdana" w:hAnsi="Verdana"/>
          <w:sz w:val="16"/>
          <w:szCs w:val="16"/>
        </w:rPr>
        <w:t>Acta de Fe Ministerial de 1 de junio de 2009 (expediente de prueba, f. 28174); Oficio 802/2009 de 1 de junio de 2009 dirigido al Coronel Élfego José Luján Ruiz, Comandante del 35 Batallón (expediente de prueba, f. 27834); Acuerdo de Aseguramiento de 1 de junio de 2009 de la AMPF - PGR en Nuevo Casas Grandes, Chihuahua (expediente de prueba, f. 28177); Acta de Procedimientos de Entrega – Recepción del 35 Batallón de Infantería de 21 de enero de 2010 suscrita por el Coronel Élfego José Luján Ruiz (expediente de prueba, f. 27963); Oficio 104/2010 de 10 de febrero de 2010 dirigido al Director General del Servicio de Administración y Enajenación de Bienes de la Secretaría de Hacienda y Crédito Público (expediente de prueba, f. 28169); Acta Administrativa de Transferencia de Bienes Asegurados No. A/PGR/ADM/CJS/CJS/01275/10/03 de 2 de marzo de 2010 (expediente de prueba, f. 28202); Oficio 21239 de 7 de octubre de 2014 suscrito por el Comandante Interino del 35 Batallón de Infantería, dirigido al AMPF - PGR titular de la Agencia Única Investigadora en Nuevo Casas Grandes (expediente de prueba, f. 28171), y Acta de Inspección Ministerial de 4 de diciembre de 2014 suscrita por el AMPF - PGR titular de la Mesa 5 de la UEBPD - PGR (expediente de prueba, f. 28182)</w:t>
      </w:r>
      <w:r>
        <w:rPr>
          <w:rFonts w:ascii="Verdana" w:hAnsi="Verdana"/>
          <w:sz w:val="16"/>
          <w:szCs w:val="16"/>
        </w:rPr>
        <w:t>.</w:t>
      </w:r>
    </w:p>
  </w:footnote>
  <w:footnote w:id="420">
    <w:p w14:paraId="64AA62DA" w14:textId="7E34E3EF" w:rsidR="00146958" w:rsidRPr="00432ABC" w:rsidRDefault="00146958">
      <w:pPr>
        <w:pStyle w:val="FootnoteText"/>
        <w:jc w:val="both"/>
        <w:rPr>
          <w:rFonts w:ascii="Verdana" w:hAnsi="Verdana"/>
          <w:sz w:val="16"/>
          <w:szCs w:val="16"/>
        </w:rPr>
      </w:pPr>
      <w:r w:rsidRPr="00432ABC">
        <w:rPr>
          <w:rStyle w:val="FootnoteReference"/>
          <w:rFonts w:ascii="Verdana" w:hAnsi="Verdana"/>
          <w:sz w:val="16"/>
          <w:szCs w:val="16"/>
        </w:rPr>
        <w:footnoteRef/>
      </w:r>
      <w:r w:rsidRPr="00432ABC">
        <w:rPr>
          <w:rFonts w:ascii="Verdana" w:hAnsi="Verdana"/>
          <w:sz w:val="16"/>
          <w:szCs w:val="16"/>
        </w:rPr>
        <w:t xml:space="preserve"> </w:t>
      </w:r>
      <w:r w:rsidRPr="00432ABC">
        <w:rPr>
          <w:rFonts w:ascii="Verdana" w:hAnsi="Verdana"/>
          <w:sz w:val="16"/>
          <w:szCs w:val="16"/>
        </w:rPr>
        <w:tab/>
      </w:r>
      <w:r w:rsidRPr="00CD5C54">
        <w:rPr>
          <w:rFonts w:ascii="Verdana" w:hAnsi="Verdana"/>
          <w:i/>
          <w:sz w:val="16"/>
          <w:szCs w:val="16"/>
        </w:rPr>
        <w:t>Cfr.</w:t>
      </w:r>
      <w:r w:rsidRPr="002C462C">
        <w:rPr>
          <w:rFonts w:ascii="Verdana" w:hAnsi="Verdana"/>
          <w:sz w:val="16"/>
          <w:szCs w:val="16"/>
        </w:rPr>
        <w:t xml:space="preserve"> Mensaje C.E.I. No. 817/01 de 31 de enero de 2010 del Comandante de la Quinta </w:t>
      </w:r>
      <w:r w:rsidRPr="00432ABC">
        <w:rPr>
          <w:rFonts w:ascii="Verdana" w:hAnsi="Verdana"/>
          <w:sz w:val="16"/>
          <w:szCs w:val="16"/>
        </w:rPr>
        <w:t xml:space="preserve">Zona Militar en Chihuahua y P.M. (Op. Coord. Chih) en Ciudad Juárez (expediente de prueba, </w:t>
      </w:r>
      <w:r>
        <w:rPr>
          <w:rFonts w:ascii="Verdana" w:hAnsi="Verdana"/>
          <w:sz w:val="16"/>
          <w:szCs w:val="16"/>
        </w:rPr>
        <w:t>e</w:t>
      </w:r>
      <w:r w:rsidRPr="00432ABC">
        <w:rPr>
          <w:rFonts w:ascii="Verdana" w:hAnsi="Verdana"/>
          <w:sz w:val="16"/>
          <w:szCs w:val="16"/>
        </w:rPr>
        <w:t xml:space="preserve">xpediente penal, ff. 5313 a 5314); Oficio No. ZM-197 de 26 de febrero de 2010 del </w:t>
      </w:r>
      <w:r w:rsidRPr="00432ABC">
        <w:rPr>
          <w:rFonts w:ascii="Verdana" w:hAnsi="Verdana"/>
          <w:sz w:val="16"/>
          <w:szCs w:val="16"/>
          <w:lang w:val="es-AR"/>
        </w:rPr>
        <w:t>AMPM-5ªZM</w:t>
      </w:r>
      <w:r w:rsidRPr="00432ABC">
        <w:rPr>
          <w:rFonts w:ascii="Verdana" w:hAnsi="Verdana"/>
          <w:sz w:val="16"/>
          <w:szCs w:val="16"/>
        </w:rPr>
        <w:t xml:space="preserve">, dirigido al Comandante de la Quinta Zona Militar en Chihuahua (expediente de prueba, </w:t>
      </w:r>
      <w:r>
        <w:rPr>
          <w:rFonts w:ascii="Verdana" w:hAnsi="Verdana"/>
          <w:sz w:val="16"/>
          <w:szCs w:val="16"/>
        </w:rPr>
        <w:t>e</w:t>
      </w:r>
      <w:r w:rsidRPr="00432ABC">
        <w:rPr>
          <w:rFonts w:ascii="Verdana" w:hAnsi="Verdana"/>
          <w:sz w:val="16"/>
          <w:szCs w:val="16"/>
        </w:rPr>
        <w:t xml:space="preserve">xpediente penal, f. 5564); Mensaje C.E.I. No. 5356 de 1 de marzo de 2010 suscrito por el Jefe de la S-2 del Cuartel General de la Quinta Zona Militar en Chihuahua, Chihuahua dirigido a los Comandantes del 35 Batallón de Infantería, 23 Batallón de Infantería y 20 Regimiento Caballería Motorizada del Ejército (expediente de prueba, </w:t>
      </w:r>
      <w:r>
        <w:rPr>
          <w:rFonts w:ascii="Verdana" w:hAnsi="Verdana"/>
          <w:sz w:val="16"/>
          <w:szCs w:val="16"/>
        </w:rPr>
        <w:t>e</w:t>
      </w:r>
      <w:r w:rsidRPr="00432ABC">
        <w:rPr>
          <w:rFonts w:ascii="Verdana" w:hAnsi="Verdana"/>
          <w:sz w:val="16"/>
          <w:szCs w:val="16"/>
        </w:rPr>
        <w:t xml:space="preserve">xpediente penal, f. 5593); Oficio No. 3625 de 2 de marzo de 2010 suscrito por el Coronel David López Uvalle, Comandante del 23º Batallón de Infantería del Ejército, dirigido al </w:t>
      </w:r>
      <w:r w:rsidRPr="00432ABC">
        <w:rPr>
          <w:rFonts w:ascii="Verdana" w:hAnsi="Verdana"/>
          <w:sz w:val="16"/>
          <w:szCs w:val="16"/>
          <w:lang w:val="es-AR"/>
        </w:rPr>
        <w:t>AMPM-5ªZM</w:t>
      </w:r>
      <w:r w:rsidRPr="00432ABC">
        <w:rPr>
          <w:rFonts w:ascii="Verdana" w:hAnsi="Verdana"/>
          <w:sz w:val="16"/>
          <w:szCs w:val="16"/>
        </w:rPr>
        <w:t xml:space="preserve"> en atención al Oficio No. ZM-197 de 26 de febrero de 2010, por el cual remite 6 fotografías de elementos portando uniformes tipo pixelado utilizados por dicha unidad militar los días 29, 30 y 31 de diciembre de 2009 (expediente de prueba, </w:t>
      </w:r>
      <w:r>
        <w:rPr>
          <w:rFonts w:ascii="Verdana" w:hAnsi="Verdana"/>
          <w:sz w:val="16"/>
          <w:szCs w:val="16"/>
        </w:rPr>
        <w:t>e</w:t>
      </w:r>
      <w:r w:rsidRPr="00432ABC">
        <w:rPr>
          <w:rFonts w:ascii="Verdana" w:hAnsi="Verdana"/>
          <w:sz w:val="16"/>
          <w:szCs w:val="16"/>
        </w:rPr>
        <w:t>xpediente penal, ff. 5595 a 5596); Oficio No. 4401 de 2 de marzo de 2010 suscrito por Juan Pablo Figueroa Estrada, Coronel de Caballería</w:t>
      </w:r>
      <w:r>
        <w:rPr>
          <w:rFonts w:ascii="Verdana" w:hAnsi="Verdana"/>
          <w:sz w:val="16"/>
          <w:szCs w:val="16"/>
        </w:rPr>
        <w:t>,</w:t>
      </w:r>
      <w:r w:rsidRPr="00432ABC">
        <w:rPr>
          <w:rFonts w:ascii="Verdana" w:hAnsi="Verdana"/>
          <w:sz w:val="16"/>
          <w:szCs w:val="16"/>
        </w:rPr>
        <w:t xml:space="preserve"> Comandante del 20º Regimiento de Caballería Motorizada del Ejército, dirigido al </w:t>
      </w:r>
      <w:r w:rsidRPr="00432ABC">
        <w:rPr>
          <w:rFonts w:ascii="Verdana" w:hAnsi="Verdana"/>
          <w:sz w:val="16"/>
          <w:szCs w:val="16"/>
          <w:lang w:val="es-AR"/>
        </w:rPr>
        <w:t>AMPM-5ªZM</w:t>
      </w:r>
      <w:r w:rsidRPr="00432ABC">
        <w:rPr>
          <w:rFonts w:ascii="Verdana" w:hAnsi="Verdana"/>
          <w:sz w:val="16"/>
          <w:szCs w:val="16"/>
        </w:rPr>
        <w:t xml:space="preserve"> en atención al Mensaje C.E.I. No. 5356 de 1 de marzo de 2010, por el cual remite 1 fotografía del uniforme y casco utilizado por el personal castrense adscrito a dicha unidad militar los días 29, 30 y 31 de diciembre de 2009 (expediente de prueba, </w:t>
      </w:r>
      <w:r>
        <w:rPr>
          <w:rFonts w:ascii="Verdana" w:hAnsi="Verdana"/>
          <w:sz w:val="16"/>
          <w:szCs w:val="16"/>
        </w:rPr>
        <w:t>e</w:t>
      </w:r>
      <w:r w:rsidRPr="00432ABC">
        <w:rPr>
          <w:rFonts w:ascii="Verdana" w:hAnsi="Verdana"/>
          <w:sz w:val="16"/>
          <w:szCs w:val="16"/>
        </w:rPr>
        <w:t xml:space="preserve">xpediente penal, ff. 5600 a 5601). </w:t>
      </w:r>
    </w:p>
  </w:footnote>
  <w:footnote w:id="421">
    <w:p w14:paraId="64AA62DB" w14:textId="3877828A" w:rsidR="00146958" w:rsidRPr="00432ABC" w:rsidRDefault="00146958">
      <w:pPr>
        <w:pStyle w:val="FootnoteText"/>
        <w:jc w:val="both"/>
        <w:rPr>
          <w:rFonts w:ascii="Verdana" w:hAnsi="Verdana"/>
          <w:sz w:val="16"/>
          <w:szCs w:val="16"/>
        </w:rPr>
      </w:pPr>
      <w:r w:rsidRPr="00432ABC">
        <w:rPr>
          <w:rStyle w:val="FootnoteReference"/>
          <w:rFonts w:ascii="Verdana" w:hAnsi="Verdana"/>
          <w:sz w:val="16"/>
          <w:szCs w:val="16"/>
        </w:rPr>
        <w:footnoteRef/>
      </w:r>
      <w:r w:rsidRPr="00432ABC">
        <w:rPr>
          <w:rFonts w:ascii="Verdana" w:hAnsi="Verdana"/>
          <w:sz w:val="16"/>
          <w:szCs w:val="16"/>
        </w:rPr>
        <w:t xml:space="preserve"> </w:t>
      </w:r>
      <w:r w:rsidRPr="00432ABC">
        <w:rPr>
          <w:rFonts w:ascii="Verdana" w:hAnsi="Verdana"/>
          <w:sz w:val="16"/>
          <w:szCs w:val="16"/>
        </w:rPr>
        <w:tab/>
      </w:r>
      <w:r w:rsidRPr="00CD5C54">
        <w:rPr>
          <w:rFonts w:ascii="Verdana" w:hAnsi="Verdana"/>
          <w:i/>
          <w:sz w:val="16"/>
          <w:szCs w:val="16"/>
        </w:rPr>
        <w:t>Cfr.</w:t>
      </w:r>
      <w:r w:rsidRPr="002C462C">
        <w:rPr>
          <w:rFonts w:ascii="Verdana" w:hAnsi="Verdana"/>
          <w:sz w:val="16"/>
          <w:szCs w:val="16"/>
        </w:rPr>
        <w:t xml:space="preserve"> Declaración de Patricia Reyes Rueda rendida el 27 de octubre de 2014 ante el AMPF adscrito a la UEBPD – PGR, </w:t>
      </w:r>
      <w:r w:rsidRPr="00432ABC">
        <w:rPr>
          <w:rFonts w:ascii="Verdana" w:hAnsi="Verdana"/>
          <w:i/>
          <w:sz w:val="16"/>
          <w:szCs w:val="16"/>
        </w:rPr>
        <w:t xml:space="preserve">supra, </w:t>
      </w:r>
      <w:r w:rsidRPr="00432ABC">
        <w:rPr>
          <w:rFonts w:ascii="Verdana" w:hAnsi="Verdana"/>
          <w:sz w:val="16"/>
          <w:szCs w:val="16"/>
        </w:rPr>
        <w:t xml:space="preserve">f. 27892, y Declaración de Obdulia Espinoza Beltrán rendida el 27 de octubre de 2014 ante el AMPF adscrito a la UEBPD – PGR, </w:t>
      </w:r>
      <w:r w:rsidRPr="00432ABC">
        <w:rPr>
          <w:rFonts w:ascii="Verdana" w:hAnsi="Verdana"/>
          <w:i/>
          <w:sz w:val="16"/>
          <w:szCs w:val="16"/>
        </w:rPr>
        <w:t xml:space="preserve">supra </w:t>
      </w:r>
      <w:r>
        <w:rPr>
          <w:rFonts w:ascii="Verdana" w:hAnsi="Verdana"/>
          <w:sz w:val="16"/>
          <w:szCs w:val="16"/>
        </w:rPr>
        <w:t xml:space="preserve">(expediente de prueba, </w:t>
      </w:r>
      <w:r w:rsidRPr="00432ABC">
        <w:rPr>
          <w:rFonts w:ascii="Verdana" w:hAnsi="Verdana"/>
          <w:sz w:val="16"/>
          <w:szCs w:val="16"/>
        </w:rPr>
        <w:t>f. 27932</w:t>
      </w:r>
      <w:r>
        <w:rPr>
          <w:rFonts w:ascii="Verdana" w:hAnsi="Verdana"/>
          <w:sz w:val="16"/>
          <w:szCs w:val="16"/>
        </w:rPr>
        <w:t>)</w:t>
      </w:r>
      <w:r w:rsidRPr="00432ABC">
        <w:rPr>
          <w:rFonts w:ascii="Verdana" w:hAnsi="Verdana"/>
          <w:sz w:val="16"/>
          <w:szCs w:val="16"/>
        </w:rPr>
        <w:t xml:space="preserve">. </w:t>
      </w:r>
    </w:p>
  </w:footnote>
  <w:footnote w:id="422">
    <w:p w14:paraId="64AA62DC" w14:textId="7C6D7F54" w:rsidR="00146958" w:rsidRPr="00432ABC" w:rsidRDefault="00146958">
      <w:pPr>
        <w:pStyle w:val="FootnoteText"/>
        <w:jc w:val="both"/>
        <w:rPr>
          <w:rFonts w:ascii="Verdana" w:hAnsi="Verdana"/>
          <w:sz w:val="16"/>
          <w:szCs w:val="16"/>
        </w:rPr>
      </w:pPr>
      <w:r w:rsidRPr="00432ABC">
        <w:rPr>
          <w:rStyle w:val="FootnoteReference"/>
          <w:rFonts w:ascii="Verdana" w:hAnsi="Verdana"/>
          <w:sz w:val="16"/>
          <w:szCs w:val="16"/>
        </w:rPr>
        <w:footnoteRef/>
      </w:r>
      <w:r w:rsidRPr="00432ABC">
        <w:rPr>
          <w:rFonts w:ascii="Verdana" w:hAnsi="Verdana"/>
          <w:sz w:val="16"/>
          <w:szCs w:val="16"/>
        </w:rPr>
        <w:t xml:space="preserve"> </w:t>
      </w:r>
      <w:r w:rsidRPr="00432ABC">
        <w:rPr>
          <w:rFonts w:ascii="Verdana" w:hAnsi="Verdana"/>
          <w:sz w:val="16"/>
          <w:szCs w:val="16"/>
        </w:rPr>
        <w:tab/>
      </w:r>
      <w:r w:rsidRPr="00CD5C54">
        <w:rPr>
          <w:rFonts w:ascii="Verdana" w:hAnsi="Verdana"/>
          <w:i/>
          <w:sz w:val="16"/>
          <w:szCs w:val="16"/>
        </w:rPr>
        <w:t>Cfr.</w:t>
      </w:r>
      <w:r w:rsidRPr="002C462C">
        <w:rPr>
          <w:rFonts w:ascii="Verdana" w:hAnsi="Verdana"/>
          <w:sz w:val="16"/>
          <w:szCs w:val="16"/>
        </w:rPr>
        <w:t xml:space="preserve"> </w:t>
      </w:r>
      <w:r w:rsidRPr="008D0846">
        <w:rPr>
          <w:rFonts w:ascii="Verdana" w:hAnsi="Verdana"/>
          <w:bCs/>
          <w:i/>
          <w:sz w:val="16"/>
          <w:szCs w:val="16"/>
        </w:rPr>
        <w:t>Caso Rodríguez Vera y otros (Desaparecidos del Palacio de Justicia) Vs. Colombia</w:t>
      </w:r>
      <w:r>
        <w:rPr>
          <w:rFonts w:ascii="Verdana" w:hAnsi="Verdana"/>
          <w:bCs/>
          <w:sz w:val="16"/>
          <w:szCs w:val="16"/>
        </w:rPr>
        <w:t xml:space="preserve">, </w:t>
      </w:r>
      <w:r w:rsidRPr="00432ABC">
        <w:rPr>
          <w:rFonts w:ascii="Verdana" w:hAnsi="Verdana"/>
          <w:bCs/>
          <w:i/>
          <w:sz w:val="16"/>
          <w:szCs w:val="16"/>
        </w:rPr>
        <w:t xml:space="preserve">supra, </w:t>
      </w:r>
      <w:r w:rsidRPr="00432ABC">
        <w:rPr>
          <w:rFonts w:ascii="Verdana" w:hAnsi="Verdana"/>
          <w:bCs/>
          <w:sz w:val="16"/>
          <w:szCs w:val="16"/>
        </w:rPr>
        <w:t xml:space="preserve">párr. </w:t>
      </w:r>
      <w:r w:rsidRPr="00432ABC">
        <w:rPr>
          <w:rFonts w:ascii="Verdana" w:hAnsi="Verdana"/>
          <w:sz w:val="16"/>
          <w:szCs w:val="16"/>
        </w:rPr>
        <w:t>384.</w:t>
      </w:r>
    </w:p>
  </w:footnote>
  <w:footnote w:id="423">
    <w:p w14:paraId="64AA62DD" w14:textId="781A534E" w:rsidR="00146958" w:rsidRPr="00A65589" w:rsidRDefault="00146958">
      <w:pPr>
        <w:pStyle w:val="FootnoteText"/>
        <w:jc w:val="both"/>
        <w:rPr>
          <w:rFonts w:ascii="Verdana" w:hAnsi="Verdana"/>
          <w:sz w:val="16"/>
          <w:szCs w:val="16"/>
        </w:rPr>
      </w:pPr>
      <w:r w:rsidRPr="00432ABC">
        <w:rPr>
          <w:rStyle w:val="FootnoteReference"/>
          <w:rFonts w:ascii="Verdana" w:hAnsi="Verdana"/>
          <w:sz w:val="16"/>
          <w:szCs w:val="16"/>
        </w:rPr>
        <w:footnoteRef/>
      </w:r>
      <w:r w:rsidRPr="00432ABC">
        <w:rPr>
          <w:rFonts w:ascii="Verdana" w:hAnsi="Verdana"/>
          <w:sz w:val="16"/>
          <w:szCs w:val="16"/>
        </w:rPr>
        <w:t xml:space="preserve"> </w:t>
      </w:r>
      <w:r w:rsidRPr="00432ABC">
        <w:rPr>
          <w:rFonts w:ascii="Verdana" w:hAnsi="Verdana"/>
          <w:sz w:val="16"/>
          <w:szCs w:val="16"/>
        </w:rPr>
        <w:tab/>
        <w:t>Con base en: i) el supues</w:t>
      </w:r>
      <w:r w:rsidRPr="002C462C">
        <w:rPr>
          <w:rFonts w:ascii="Verdana" w:hAnsi="Verdana"/>
          <w:sz w:val="16"/>
          <w:szCs w:val="16"/>
        </w:rPr>
        <w:t xml:space="preserve">to uso de uniformes apócrifos de las fuerzas de seguridad por parte de integrantes del </w:t>
      </w:r>
      <w:r w:rsidRPr="00CB158F">
        <w:rPr>
          <w:rFonts w:ascii="Verdana" w:hAnsi="Verdana"/>
          <w:sz w:val="16"/>
          <w:szCs w:val="16"/>
        </w:rPr>
        <w:t xml:space="preserve">crimen organizado; ii) la presunta participación de Rafael Alvarado Sáenz, padre de Rocío Irene Alvarado, en actividades de narcotráfico y su asesinato el 6 de junio de 2008 a manos de miembros de la delincuencia organizada con motivo de las mismas, y iii) “una posible relación” entre Rocío </w:t>
      </w:r>
      <w:r w:rsidRPr="000E5226">
        <w:rPr>
          <w:rFonts w:ascii="Verdana" w:hAnsi="Verdana"/>
          <w:sz w:val="16"/>
          <w:szCs w:val="16"/>
        </w:rPr>
        <w:t>Irene Alvarado y un integrante del grupo criminal “La Línea” conocido como “El Junior” (</w:t>
      </w:r>
      <w:r w:rsidRPr="00C96E7F">
        <w:rPr>
          <w:rFonts w:ascii="Verdana" w:hAnsi="Verdana"/>
          <w:i/>
          <w:sz w:val="16"/>
          <w:szCs w:val="16"/>
        </w:rPr>
        <w:t>supra</w:t>
      </w:r>
      <w:r w:rsidRPr="00C96E7F">
        <w:rPr>
          <w:rFonts w:ascii="Verdana" w:hAnsi="Verdana"/>
          <w:sz w:val="16"/>
          <w:szCs w:val="16"/>
        </w:rPr>
        <w:t>, párr. 162</w:t>
      </w:r>
      <w:r w:rsidRPr="00A65589">
        <w:rPr>
          <w:rFonts w:ascii="Verdana" w:hAnsi="Verdana"/>
          <w:sz w:val="16"/>
          <w:szCs w:val="16"/>
        </w:rPr>
        <w:t>).</w:t>
      </w:r>
    </w:p>
  </w:footnote>
  <w:footnote w:id="424">
    <w:p w14:paraId="3CA13F00" w14:textId="0C7BC0B2" w:rsidR="00146958" w:rsidRPr="00432ABC" w:rsidRDefault="00146958">
      <w:pPr>
        <w:pStyle w:val="FootnoteText"/>
        <w:jc w:val="both"/>
        <w:rPr>
          <w:rFonts w:ascii="Verdana" w:hAnsi="Verdana"/>
          <w:sz w:val="16"/>
          <w:szCs w:val="16"/>
        </w:rPr>
      </w:pPr>
      <w:r w:rsidRPr="008D0846">
        <w:rPr>
          <w:rStyle w:val="FootnoteReference"/>
          <w:rFonts w:ascii="Verdana" w:hAnsi="Verdana"/>
          <w:sz w:val="16"/>
          <w:szCs w:val="16"/>
        </w:rPr>
        <w:footnoteRef/>
      </w:r>
      <w:r w:rsidRPr="008D0846">
        <w:rPr>
          <w:rFonts w:ascii="Verdana" w:hAnsi="Verdana"/>
          <w:sz w:val="16"/>
          <w:szCs w:val="16"/>
        </w:rPr>
        <w:t xml:space="preserve"> </w:t>
      </w:r>
      <w:r w:rsidRPr="008D0846">
        <w:rPr>
          <w:rFonts w:ascii="Verdana" w:hAnsi="Verdana"/>
          <w:sz w:val="16"/>
          <w:szCs w:val="16"/>
        </w:rPr>
        <w:tab/>
      </w:r>
      <w:r w:rsidRPr="00CB158F">
        <w:rPr>
          <w:rFonts w:ascii="Verdana" w:hAnsi="Verdana"/>
          <w:sz w:val="16"/>
          <w:szCs w:val="16"/>
        </w:rPr>
        <w:t>A saber: una declaración ministerial vertida por Patricia Reyes Rueda, diversos testimonios rendidos a nivel interno, una nota periodística, un inf</w:t>
      </w:r>
      <w:r w:rsidRPr="000E5226">
        <w:rPr>
          <w:rFonts w:ascii="Verdana" w:hAnsi="Verdana"/>
          <w:sz w:val="16"/>
          <w:szCs w:val="16"/>
        </w:rPr>
        <w:t>orme del Estado emitido por el CENAPI – PGR y su interpretación</w:t>
      </w:r>
      <w:r w:rsidRPr="00C96E7F">
        <w:rPr>
          <w:rFonts w:ascii="Verdana" w:hAnsi="Verdana"/>
          <w:sz w:val="16"/>
          <w:szCs w:val="16"/>
        </w:rPr>
        <w:t xml:space="preserve"> a cargo de un funcionario público</w:t>
      </w:r>
      <w:r w:rsidRPr="00A65589">
        <w:rPr>
          <w:rFonts w:ascii="Verdana" w:hAnsi="Verdana"/>
          <w:sz w:val="16"/>
          <w:szCs w:val="16"/>
        </w:rPr>
        <w:t xml:space="preserve">. </w:t>
      </w:r>
      <w:r w:rsidRPr="00702B7F">
        <w:rPr>
          <w:rFonts w:ascii="Verdana" w:hAnsi="Verdana"/>
          <w:i/>
          <w:sz w:val="16"/>
          <w:szCs w:val="16"/>
        </w:rPr>
        <w:t xml:space="preserve"> </w:t>
      </w:r>
      <w:r w:rsidRPr="00CD5C54">
        <w:rPr>
          <w:rFonts w:ascii="Verdana" w:hAnsi="Verdana"/>
          <w:i/>
          <w:sz w:val="16"/>
          <w:szCs w:val="16"/>
        </w:rPr>
        <w:t>Cfr.</w:t>
      </w:r>
      <w:r w:rsidRPr="00702B7F">
        <w:rPr>
          <w:rFonts w:ascii="Verdana" w:hAnsi="Verdana"/>
          <w:i/>
          <w:sz w:val="16"/>
          <w:szCs w:val="16"/>
        </w:rPr>
        <w:t xml:space="preserve"> </w:t>
      </w:r>
      <w:r w:rsidRPr="00702B7F">
        <w:rPr>
          <w:rFonts w:ascii="Verdana" w:hAnsi="Verdana"/>
          <w:sz w:val="16"/>
          <w:szCs w:val="16"/>
        </w:rPr>
        <w:t>Declaración de Patricia Reyes Rueda rendida el 10 de junio de 2015 ante el AMPF adscrito a la UEBPD – PGR (expediente de prueba, f. 27896)</w:t>
      </w:r>
      <w:r>
        <w:rPr>
          <w:rFonts w:ascii="Verdana" w:hAnsi="Verdana"/>
          <w:sz w:val="16"/>
          <w:szCs w:val="16"/>
        </w:rPr>
        <w:t>;</w:t>
      </w:r>
      <w:r w:rsidRPr="00432ABC">
        <w:rPr>
          <w:rFonts w:ascii="Verdana" w:hAnsi="Verdana"/>
          <w:sz w:val="16"/>
          <w:szCs w:val="16"/>
        </w:rPr>
        <w:t xml:space="preserve"> Acta de Entrevista realizada a Marín Adrián Lasso Carbajal por Policías Ministeriales de Nuevo Casas Grandes, Chihuahua, s/f. (expediente de prueba, f. 28398); Declaración de Gabriel Tena Loya rendida el 20 de noviembre de 2009 ante el AMPF – PGR (expediente de prueba, anexo 95 de la contestación del Estado, f. 28794)</w:t>
      </w:r>
      <w:r>
        <w:rPr>
          <w:rFonts w:ascii="Verdana" w:hAnsi="Verdana"/>
          <w:sz w:val="16"/>
          <w:szCs w:val="16"/>
        </w:rPr>
        <w:t xml:space="preserve">; </w:t>
      </w:r>
      <w:r w:rsidRPr="00432ABC">
        <w:rPr>
          <w:rFonts w:ascii="Verdana" w:hAnsi="Verdana"/>
          <w:sz w:val="16"/>
          <w:szCs w:val="16"/>
        </w:rPr>
        <w:t xml:space="preserve">Declaración de Marín Adrián Lasso Carbajal rendida el 16 de abril de 2018 ante la AMPF adscrita a la FEIDDF – PGR (expediente de prueba, </w:t>
      </w:r>
      <w:r w:rsidRPr="00453199">
        <w:rPr>
          <w:rFonts w:ascii="Verdana" w:hAnsi="Verdana"/>
          <w:i/>
          <w:sz w:val="16"/>
        </w:rPr>
        <w:t>Affidávits</w:t>
      </w:r>
      <w:r w:rsidRPr="00432ABC">
        <w:rPr>
          <w:rFonts w:ascii="Verdana" w:hAnsi="Verdana"/>
          <w:sz w:val="16"/>
          <w:szCs w:val="16"/>
        </w:rPr>
        <w:t>, f. 31215)</w:t>
      </w:r>
      <w:r>
        <w:rPr>
          <w:rFonts w:ascii="Verdana" w:hAnsi="Verdana"/>
          <w:sz w:val="16"/>
          <w:szCs w:val="16"/>
        </w:rPr>
        <w:t>;</w:t>
      </w:r>
      <w:r w:rsidRPr="00432ABC">
        <w:rPr>
          <w:rFonts w:ascii="Verdana" w:hAnsi="Verdana"/>
          <w:sz w:val="16"/>
          <w:szCs w:val="16"/>
        </w:rPr>
        <w:t xml:space="preserve"> Nota de Prensa titulada “El 28 de diciembre [sic] el Ejército probablemente desapareció a mis familiares, sus nombres son: José Ángel Alvarado Herrera, Nitza Paola Alvarado Espinoza y Rocío Irene Alvarado Reyes”, publicada en “@juárez” el 30 de mayo de 2011 (expediente de prueba, f. 27899)</w:t>
      </w:r>
      <w:r>
        <w:rPr>
          <w:rFonts w:ascii="Verdana" w:hAnsi="Verdana"/>
          <w:sz w:val="16"/>
          <w:szCs w:val="16"/>
        </w:rPr>
        <w:t xml:space="preserve">; </w:t>
      </w:r>
      <w:r w:rsidRPr="00432ABC">
        <w:rPr>
          <w:rFonts w:ascii="Verdana" w:hAnsi="Verdana"/>
          <w:sz w:val="16"/>
          <w:szCs w:val="16"/>
        </w:rPr>
        <w:t xml:space="preserve">Informe emitido por el CENAPI – PGR sobre el </w:t>
      </w:r>
      <w:r w:rsidRPr="00432ABC">
        <w:rPr>
          <w:rFonts w:ascii="Verdana" w:hAnsi="Verdana"/>
          <w:i/>
          <w:sz w:val="16"/>
          <w:szCs w:val="16"/>
        </w:rPr>
        <w:t>Caso Alvarado Espinoza y Otros Vs. México</w:t>
      </w:r>
      <w:r w:rsidRPr="00432ABC">
        <w:rPr>
          <w:rFonts w:ascii="Verdana" w:hAnsi="Verdana"/>
          <w:sz w:val="16"/>
          <w:szCs w:val="16"/>
        </w:rPr>
        <w:t xml:space="preserve"> el 13 de octubre de 2017, </w:t>
      </w:r>
      <w:r w:rsidRPr="00432ABC">
        <w:rPr>
          <w:rFonts w:ascii="Verdana" w:hAnsi="Verdana"/>
          <w:i/>
          <w:sz w:val="16"/>
          <w:szCs w:val="16"/>
        </w:rPr>
        <w:t>supra</w:t>
      </w:r>
      <w:r w:rsidRPr="00432ABC">
        <w:rPr>
          <w:rFonts w:ascii="Verdana" w:hAnsi="Verdana"/>
          <w:sz w:val="16"/>
          <w:szCs w:val="16"/>
        </w:rPr>
        <w:t>, ff. 28509 a 28571</w:t>
      </w:r>
      <w:r>
        <w:rPr>
          <w:rFonts w:ascii="Verdana" w:hAnsi="Verdana"/>
          <w:i/>
          <w:sz w:val="16"/>
          <w:szCs w:val="16"/>
        </w:rPr>
        <w:t xml:space="preserve">, </w:t>
      </w:r>
      <w:r w:rsidRPr="008D0846">
        <w:rPr>
          <w:rFonts w:ascii="Verdana" w:hAnsi="Verdana"/>
          <w:sz w:val="16"/>
          <w:szCs w:val="16"/>
        </w:rPr>
        <w:t>y</w:t>
      </w:r>
      <w:r w:rsidRPr="00432ABC">
        <w:rPr>
          <w:rFonts w:ascii="Verdana" w:hAnsi="Verdana"/>
          <w:sz w:val="16"/>
          <w:szCs w:val="16"/>
        </w:rPr>
        <w:t xml:space="preserve"> Declaración de Efraín Arzola Herrejón, analista de Control e Información Estratégica del CENAPI - PGR, rendida el 12 de abril de 2018 ante la AMPF adscrita a la FEIDDF – PGR (expediente de prueba, </w:t>
      </w:r>
      <w:r w:rsidRPr="00453199">
        <w:rPr>
          <w:rFonts w:ascii="Verdana" w:hAnsi="Verdana"/>
          <w:i/>
          <w:sz w:val="16"/>
        </w:rPr>
        <w:t>Affidávits</w:t>
      </w:r>
      <w:r w:rsidRPr="00432ABC">
        <w:rPr>
          <w:rFonts w:ascii="Verdana" w:hAnsi="Verdana"/>
          <w:sz w:val="16"/>
          <w:szCs w:val="16"/>
        </w:rPr>
        <w:t>, f. 31201 a 31206).</w:t>
      </w:r>
    </w:p>
  </w:footnote>
  <w:footnote w:id="425">
    <w:p w14:paraId="64AA62E2" w14:textId="7B5450D1" w:rsidR="00146958" w:rsidRPr="00432ABC" w:rsidRDefault="00146958">
      <w:pPr>
        <w:pStyle w:val="FootnoteText"/>
        <w:jc w:val="both"/>
        <w:rPr>
          <w:rFonts w:ascii="Verdana" w:hAnsi="Verdana"/>
          <w:i/>
          <w:sz w:val="16"/>
          <w:szCs w:val="16"/>
        </w:rPr>
      </w:pPr>
      <w:r w:rsidRPr="00432ABC">
        <w:rPr>
          <w:rStyle w:val="FootnoteReference"/>
          <w:rFonts w:ascii="Verdana" w:hAnsi="Verdana"/>
          <w:sz w:val="16"/>
          <w:szCs w:val="16"/>
        </w:rPr>
        <w:footnoteRef/>
      </w:r>
      <w:r w:rsidRPr="00432ABC">
        <w:rPr>
          <w:rFonts w:ascii="Verdana" w:hAnsi="Verdana"/>
          <w:sz w:val="16"/>
          <w:szCs w:val="16"/>
        </w:rPr>
        <w:t xml:space="preserve"> </w:t>
      </w:r>
      <w:r w:rsidRPr="00432ABC">
        <w:rPr>
          <w:rFonts w:ascii="Verdana" w:hAnsi="Verdana"/>
          <w:sz w:val="16"/>
          <w:szCs w:val="16"/>
        </w:rPr>
        <w:tab/>
      </w:r>
      <w:r w:rsidRPr="00CD5C54">
        <w:rPr>
          <w:rFonts w:ascii="Verdana" w:hAnsi="Verdana"/>
          <w:i/>
          <w:sz w:val="16"/>
          <w:szCs w:val="16"/>
        </w:rPr>
        <w:t>Cfr.</w:t>
      </w:r>
      <w:r w:rsidRPr="002C462C">
        <w:rPr>
          <w:rFonts w:ascii="Verdana" w:hAnsi="Verdana"/>
          <w:sz w:val="16"/>
          <w:szCs w:val="16"/>
        </w:rPr>
        <w:t xml:space="preserve"> </w:t>
      </w:r>
      <w:r w:rsidRPr="00432ABC">
        <w:rPr>
          <w:rFonts w:ascii="Verdana" w:hAnsi="Verdana"/>
          <w:i/>
          <w:sz w:val="16"/>
          <w:szCs w:val="16"/>
        </w:rPr>
        <w:t>Caso González Medina y Familiares Vs. República Dominicana. Excepciones Preliminares, Fondo, Reparaciones y Costas, supra</w:t>
      </w:r>
      <w:r w:rsidRPr="00432ABC">
        <w:rPr>
          <w:rStyle w:val="Strong"/>
          <w:rFonts w:ascii="Verdana" w:hAnsi="Verdana"/>
          <w:color w:val="000000"/>
          <w:sz w:val="16"/>
          <w:szCs w:val="16"/>
          <w:shd w:val="clear" w:color="auto" w:fill="FFFFFF"/>
        </w:rPr>
        <w:t>,</w:t>
      </w:r>
      <w:r w:rsidRPr="00432ABC">
        <w:rPr>
          <w:rFonts w:ascii="Verdana" w:hAnsi="Verdana"/>
          <w:b/>
          <w:sz w:val="16"/>
          <w:szCs w:val="16"/>
        </w:rPr>
        <w:t xml:space="preserve"> </w:t>
      </w:r>
      <w:r w:rsidRPr="00432ABC">
        <w:rPr>
          <w:rFonts w:ascii="Verdana" w:hAnsi="Verdana"/>
          <w:sz w:val="16"/>
          <w:szCs w:val="16"/>
        </w:rPr>
        <w:t xml:space="preserve">párrs. 168 a 169. </w:t>
      </w:r>
    </w:p>
  </w:footnote>
  <w:footnote w:id="426">
    <w:p w14:paraId="3EC595A9" w14:textId="52BFBBFA" w:rsidR="00146958" w:rsidRPr="00432ABC" w:rsidRDefault="00146958">
      <w:pPr>
        <w:pStyle w:val="FootnoteText"/>
        <w:jc w:val="both"/>
        <w:rPr>
          <w:rFonts w:ascii="Verdana" w:hAnsi="Verdana"/>
          <w:sz w:val="16"/>
          <w:szCs w:val="16"/>
        </w:rPr>
      </w:pPr>
      <w:r w:rsidRPr="00432ABC">
        <w:rPr>
          <w:rStyle w:val="FootnoteReference"/>
          <w:rFonts w:ascii="Verdana" w:hAnsi="Verdana"/>
          <w:sz w:val="16"/>
          <w:szCs w:val="16"/>
        </w:rPr>
        <w:footnoteRef/>
      </w:r>
      <w:r w:rsidRPr="00432ABC">
        <w:rPr>
          <w:rFonts w:ascii="Verdana" w:hAnsi="Verdana"/>
          <w:sz w:val="16"/>
          <w:szCs w:val="16"/>
        </w:rPr>
        <w:t xml:space="preserve"> </w:t>
      </w:r>
      <w:r w:rsidRPr="002C462C">
        <w:rPr>
          <w:rFonts w:ascii="Verdana" w:hAnsi="Verdana"/>
          <w:sz w:val="16"/>
          <w:szCs w:val="16"/>
        </w:rPr>
        <w:tab/>
      </w:r>
      <w:r w:rsidRPr="00CD5C54">
        <w:rPr>
          <w:rFonts w:ascii="Verdana" w:hAnsi="Verdana"/>
          <w:i/>
          <w:sz w:val="16"/>
          <w:szCs w:val="16"/>
        </w:rPr>
        <w:t>Cfr.</w:t>
      </w:r>
      <w:r w:rsidRPr="00432ABC">
        <w:rPr>
          <w:rFonts w:ascii="Verdana" w:hAnsi="Verdana"/>
          <w:sz w:val="16"/>
          <w:szCs w:val="16"/>
        </w:rPr>
        <w:t xml:space="preserve"> Informe emitido por el CENAPI – PGR</w:t>
      </w:r>
      <w:r>
        <w:rPr>
          <w:rFonts w:ascii="Verdana" w:hAnsi="Verdana"/>
          <w:sz w:val="16"/>
          <w:szCs w:val="16"/>
        </w:rPr>
        <w:t xml:space="preserve">, el 13 de octubre de 2017, </w:t>
      </w:r>
      <w:r w:rsidRPr="00432ABC">
        <w:rPr>
          <w:rFonts w:ascii="Verdana" w:hAnsi="Verdana"/>
          <w:i/>
          <w:sz w:val="16"/>
          <w:szCs w:val="16"/>
        </w:rPr>
        <w:t xml:space="preserve">supra </w:t>
      </w:r>
      <w:r>
        <w:rPr>
          <w:rFonts w:ascii="Verdana" w:hAnsi="Verdana"/>
          <w:sz w:val="16"/>
          <w:szCs w:val="16"/>
        </w:rPr>
        <w:t xml:space="preserve">(expediente de prueba, </w:t>
      </w:r>
      <w:r w:rsidRPr="00432ABC">
        <w:rPr>
          <w:rFonts w:ascii="Verdana" w:hAnsi="Verdana"/>
          <w:sz w:val="16"/>
          <w:szCs w:val="16"/>
        </w:rPr>
        <w:t>ff. 28526 a 28531</w:t>
      </w:r>
      <w:r>
        <w:rPr>
          <w:rFonts w:ascii="Verdana" w:hAnsi="Verdana"/>
          <w:sz w:val="16"/>
          <w:szCs w:val="16"/>
        </w:rPr>
        <w:t>)</w:t>
      </w:r>
      <w:r w:rsidRPr="00432ABC">
        <w:rPr>
          <w:rFonts w:ascii="Verdana" w:hAnsi="Verdana"/>
          <w:sz w:val="16"/>
          <w:szCs w:val="16"/>
        </w:rPr>
        <w:t>.</w:t>
      </w:r>
    </w:p>
  </w:footnote>
  <w:footnote w:id="427">
    <w:p w14:paraId="64AA62E6" w14:textId="024FE0C1" w:rsidR="00146958" w:rsidRPr="00432ABC" w:rsidRDefault="00146958">
      <w:pPr>
        <w:pStyle w:val="FootnoteText"/>
        <w:jc w:val="both"/>
        <w:rPr>
          <w:rFonts w:ascii="Verdana" w:hAnsi="Verdana"/>
          <w:sz w:val="16"/>
          <w:szCs w:val="16"/>
        </w:rPr>
      </w:pPr>
      <w:r w:rsidRPr="00432ABC">
        <w:rPr>
          <w:rStyle w:val="FootnoteReference"/>
          <w:rFonts w:ascii="Verdana" w:hAnsi="Verdana"/>
          <w:sz w:val="16"/>
          <w:szCs w:val="16"/>
        </w:rPr>
        <w:footnoteRef/>
      </w:r>
      <w:r w:rsidRPr="00432ABC">
        <w:rPr>
          <w:rFonts w:ascii="Verdana" w:hAnsi="Verdana"/>
          <w:sz w:val="16"/>
          <w:szCs w:val="16"/>
        </w:rPr>
        <w:t xml:space="preserve"> </w:t>
      </w:r>
      <w:r w:rsidRPr="00432ABC">
        <w:rPr>
          <w:rFonts w:ascii="Verdana" w:hAnsi="Verdana"/>
          <w:sz w:val="16"/>
          <w:szCs w:val="16"/>
        </w:rPr>
        <w:tab/>
      </w:r>
      <w:r w:rsidRPr="00CD5C54">
        <w:rPr>
          <w:rFonts w:ascii="Verdana" w:hAnsi="Verdana"/>
          <w:i/>
          <w:sz w:val="16"/>
          <w:szCs w:val="16"/>
        </w:rPr>
        <w:t>Cfr.</w:t>
      </w:r>
      <w:r w:rsidRPr="002C462C">
        <w:rPr>
          <w:rFonts w:ascii="Verdana" w:hAnsi="Verdana"/>
          <w:sz w:val="16"/>
          <w:szCs w:val="16"/>
        </w:rPr>
        <w:t xml:space="preserve"> Declaración testimonial de Alberto Hernández de la Cruz rendida el 13 de abril de 2011 ante el Agente del Ministerio Público Mil</w:t>
      </w:r>
      <w:r w:rsidRPr="00432ABC">
        <w:rPr>
          <w:rFonts w:ascii="Verdana" w:hAnsi="Verdana"/>
          <w:sz w:val="16"/>
          <w:szCs w:val="16"/>
        </w:rPr>
        <w:t xml:space="preserve">itar adscrito a la Sección de Averiguaciones Previas de la Procuraduría General de Justicia Militar en la Ciudad de México (expediente de prueba, </w:t>
      </w:r>
      <w:r>
        <w:rPr>
          <w:rFonts w:ascii="Verdana" w:hAnsi="Verdana"/>
          <w:sz w:val="16"/>
          <w:szCs w:val="16"/>
        </w:rPr>
        <w:t>e</w:t>
      </w:r>
      <w:r w:rsidRPr="00432ABC">
        <w:rPr>
          <w:rFonts w:ascii="Verdana" w:hAnsi="Verdana"/>
          <w:sz w:val="16"/>
          <w:szCs w:val="16"/>
        </w:rPr>
        <w:t>xpediente penal, ff. 8330 a 8331).</w:t>
      </w:r>
      <w:r>
        <w:rPr>
          <w:rFonts w:ascii="Verdana" w:hAnsi="Verdana"/>
          <w:sz w:val="16"/>
          <w:szCs w:val="16"/>
        </w:rPr>
        <w:t xml:space="preserve"> </w:t>
      </w:r>
      <w:r w:rsidRPr="00432ABC">
        <w:rPr>
          <w:rFonts w:ascii="Verdana" w:hAnsi="Verdana"/>
          <w:sz w:val="16"/>
          <w:szCs w:val="16"/>
        </w:rPr>
        <w:t xml:space="preserve">Sobre este punto, la Corte nota que </w:t>
      </w:r>
      <w:r>
        <w:rPr>
          <w:rFonts w:ascii="Verdana" w:hAnsi="Verdana"/>
          <w:sz w:val="16"/>
          <w:szCs w:val="16"/>
        </w:rPr>
        <w:t xml:space="preserve">en </w:t>
      </w:r>
      <w:r w:rsidRPr="00432ABC">
        <w:rPr>
          <w:rFonts w:ascii="Verdana" w:hAnsi="Verdana"/>
          <w:sz w:val="16"/>
          <w:szCs w:val="16"/>
        </w:rPr>
        <w:t xml:space="preserve">la constancia que obra en el expediente </w:t>
      </w:r>
      <w:r>
        <w:rPr>
          <w:rFonts w:ascii="Verdana" w:hAnsi="Verdana"/>
          <w:sz w:val="16"/>
          <w:szCs w:val="16"/>
        </w:rPr>
        <w:t>sobre</w:t>
      </w:r>
      <w:r w:rsidRPr="00432ABC">
        <w:rPr>
          <w:rFonts w:ascii="Verdana" w:hAnsi="Verdana"/>
          <w:sz w:val="16"/>
          <w:szCs w:val="16"/>
        </w:rPr>
        <w:t xml:space="preserve"> dicha comparecencia únicamente se registraron las respuestas proporcionadas por el testigo a tal interrogatorio, pero no las preguntas que le fueron formuladas a</w:t>
      </w:r>
      <w:r>
        <w:rPr>
          <w:rFonts w:ascii="Verdana" w:hAnsi="Verdana"/>
          <w:sz w:val="16"/>
          <w:szCs w:val="16"/>
        </w:rPr>
        <w:t xml:space="preserve"> dicho </w:t>
      </w:r>
      <w:r w:rsidRPr="00432ABC">
        <w:rPr>
          <w:rFonts w:ascii="Verdana" w:hAnsi="Verdana"/>
          <w:sz w:val="16"/>
          <w:szCs w:val="16"/>
        </w:rPr>
        <w:t>declarante, por lo que no</w:t>
      </w:r>
      <w:r>
        <w:rPr>
          <w:rFonts w:ascii="Verdana" w:hAnsi="Verdana"/>
          <w:sz w:val="16"/>
          <w:szCs w:val="16"/>
        </w:rPr>
        <w:t xml:space="preserve"> se</w:t>
      </w:r>
      <w:r w:rsidRPr="00432ABC">
        <w:rPr>
          <w:rFonts w:ascii="Verdana" w:hAnsi="Verdana"/>
          <w:sz w:val="16"/>
          <w:szCs w:val="16"/>
        </w:rPr>
        <w:t xml:space="preserve"> tiene prueba del contenido de estas últimas ni del contexto en que las mismas fueron realizadas</w:t>
      </w:r>
      <w:r>
        <w:rPr>
          <w:rFonts w:ascii="Verdana" w:hAnsi="Verdana"/>
          <w:sz w:val="16"/>
          <w:szCs w:val="16"/>
        </w:rPr>
        <w:t>.</w:t>
      </w:r>
    </w:p>
  </w:footnote>
  <w:footnote w:id="428">
    <w:p w14:paraId="4FEF3F08" w14:textId="607037B4" w:rsidR="00146958" w:rsidRPr="008D0846" w:rsidRDefault="00146958" w:rsidP="008D0846">
      <w:pPr>
        <w:pStyle w:val="FootnoteText"/>
        <w:jc w:val="both"/>
        <w:rPr>
          <w:rFonts w:ascii="Verdana" w:hAnsi="Verdana"/>
          <w:sz w:val="16"/>
          <w:szCs w:val="16"/>
        </w:rPr>
      </w:pPr>
      <w:r w:rsidRPr="008D0846">
        <w:rPr>
          <w:rStyle w:val="FootnoteReference"/>
          <w:rFonts w:ascii="Verdana" w:hAnsi="Verdana"/>
          <w:sz w:val="16"/>
          <w:szCs w:val="16"/>
        </w:rPr>
        <w:footnoteRef/>
      </w:r>
      <w:r w:rsidRPr="008D0846">
        <w:rPr>
          <w:rFonts w:ascii="Verdana" w:hAnsi="Verdana"/>
          <w:sz w:val="16"/>
          <w:szCs w:val="16"/>
        </w:rPr>
        <w:t xml:space="preserve"> </w:t>
      </w:r>
      <w:r w:rsidRPr="008D0846">
        <w:rPr>
          <w:rFonts w:ascii="Verdana" w:hAnsi="Verdana"/>
          <w:sz w:val="16"/>
          <w:szCs w:val="16"/>
        </w:rPr>
        <w:tab/>
      </w:r>
      <w:r w:rsidRPr="000E5226">
        <w:rPr>
          <w:rFonts w:ascii="Verdana" w:hAnsi="Verdana"/>
          <w:sz w:val="16"/>
          <w:szCs w:val="16"/>
        </w:rPr>
        <w:t>Informe del Equipo Internacional de Peritos [EIP], de 31 de marzo de 2015 (expediente de prueba, f. 288</w:t>
      </w:r>
      <w:r w:rsidRPr="00F60E21">
        <w:rPr>
          <w:rFonts w:ascii="Verdana" w:hAnsi="Verdana"/>
          <w:sz w:val="16"/>
          <w:szCs w:val="16"/>
        </w:rPr>
        <w:t>94 a 28914).</w:t>
      </w:r>
    </w:p>
  </w:footnote>
  <w:footnote w:id="429">
    <w:p w14:paraId="64AA62E7" w14:textId="11DBBF8C" w:rsidR="00146958" w:rsidRPr="00432ABC" w:rsidRDefault="00146958">
      <w:pPr>
        <w:pStyle w:val="FootnoteText"/>
        <w:jc w:val="both"/>
        <w:rPr>
          <w:rFonts w:ascii="Verdana" w:hAnsi="Verdana"/>
          <w:sz w:val="16"/>
          <w:szCs w:val="16"/>
        </w:rPr>
      </w:pPr>
      <w:r w:rsidRPr="00432ABC">
        <w:rPr>
          <w:rStyle w:val="FootnoteReference"/>
          <w:rFonts w:ascii="Verdana" w:hAnsi="Verdana"/>
          <w:sz w:val="16"/>
          <w:szCs w:val="16"/>
        </w:rPr>
        <w:footnoteRef/>
      </w:r>
      <w:r w:rsidRPr="00432ABC">
        <w:rPr>
          <w:rFonts w:ascii="Verdana" w:hAnsi="Verdana"/>
          <w:sz w:val="16"/>
          <w:szCs w:val="16"/>
        </w:rPr>
        <w:t xml:space="preserve"> </w:t>
      </w:r>
      <w:r w:rsidRPr="00432ABC">
        <w:rPr>
          <w:rFonts w:ascii="Verdana" w:hAnsi="Verdana"/>
          <w:sz w:val="16"/>
          <w:szCs w:val="16"/>
        </w:rPr>
        <w:tab/>
      </w:r>
      <w:r w:rsidRPr="00CD5C54">
        <w:rPr>
          <w:rFonts w:ascii="Verdana" w:hAnsi="Verdana"/>
          <w:i/>
          <w:sz w:val="16"/>
          <w:szCs w:val="16"/>
        </w:rPr>
        <w:t>Cfr.</w:t>
      </w:r>
      <w:r w:rsidRPr="002C462C">
        <w:rPr>
          <w:rFonts w:ascii="Verdana" w:hAnsi="Verdana"/>
          <w:sz w:val="16"/>
          <w:szCs w:val="16"/>
        </w:rPr>
        <w:t xml:space="preserve"> Informe del EIP de 31 de marzo de 2015 rendido en el marco de asistencia a la FGE - Chihuahua, </w:t>
      </w:r>
      <w:r w:rsidRPr="00432ABC">
        <w:rPr>
          <w:rFonts w:ascii="Verdana" w:hAnsi="Verdana"/>
          <w:i/>
          <w:sz w:val="16"/>
          <w:szCs w:val="16"/>
        </w:rPr>
        <w:t>supra</w:t>
      </w:r>
      <w:r w:rsidRPr="00432ABC">
        <w:rPr>
          <w:rFonts w:ascii="Verdana" w:hAnsi="Verdana"/>
          <w:sz w:val="16"/>
          <w:szCs w:val="16"/>
        </w:rPr>
        <w:t xml:space="preserve">, f. 28896. </w:t>
      </w:r>
    </w:p>
  </w:footnote>
  <w:footnote w:id="430">
    <w:p w14:paraId="64AA62E8" w14:textId="6BF31424" w:rsidR="00146958" w:rsidRPr="00432ABC" w:rsidRDefault="00146958" w:rsidP="003A59D0">
      <w:pPr>
        <w:pStyle w:val="FootnoteText"/>
        <w:jc w:val="both"/>
        <w:rPr>
          <w:rFonts w:ascii="Verdana" w:hAnsi="Verdana"/>
          <w:sz w:val="16"/>
          <w:szCs w:val="16"/>
        </w:rPr>
      </w:pPr>
      <w:r w:rsidRPr="00432ABC">
        <w:rPr>
          <w:rStyle w:val="FootnoteReference"/>
          <w:rFonts w:ascii="Verdana" w:hAnsi="Verdana"/>
          <w:sz w:val="16"/>
          <w:szCs w:val="16"/>
        </w:rPr>
        <w:footnoteRef/>
      </w:r>
      <w:r w:rsidRPr="00432ABC">
        <w:rPr>
          <w:rFonts w:ascii="Verdana" w:hAnsi="Verdana"/>
          <w:sz w:val="16"/>
          <w:szCs w:val="16"/>
        </w:rPr>
        <w:t xml:space="preserve"> </w:t>
      </w:r>
      <w:r w:rsidRPr="00432ABC">
        <w:rPr>
          <w:rFonts w:ascii="Verdana" w:hAnsi="Verdana"/>
          <w:sz w:val="16"/>
          <w:szCs w:val="16"/>
        </w:rPr>
        <w:tab/>
        <w:t>En cuanto al sentido de las resoluciones de dichos órganos jurisdiccion</w:t>
      </w:r>
      <w:r w:rsidRPr="002C462C">
        <w:rPr>
          <w:rFonts w:ascii="Verdana" w:hAnsi="Verdana"/>
          <w:sz w:val="16"/>
          <w:szCs w:val="16"/>
        </w:rPr>
        <w:t xml:space="preserve">ales: i) el Juez Séptimo de Distrito en Materia Penal de Ciudad Juárez </w:t>
      </w:r>
      <w:r w:rsidRPr="002C462C">
        <w:rPr>
          <w:rFonts w:ascii="Verdana" w:hAnsi="Verdana" w:cs="Cambria"/>
          <w:sz w:val="16"/>
          <w:szCs w:val="16"/>
        </w:rPr>
        <w:t>negó la orden de aprehensión en contra del Coronel Luján al considerar que no se acreditó el tercero de los elementos del cuerpo del delito de desaparición forzada previsto en el artícu</w:t>
      </w:r>
      <w:r w:rsidRPr="00432ABC">
        <w:rPr>
          <w:rFonts w:ascii="Verdana" w:hAnsi="Verdana" w:cs="Cambria"/>
          <w:sz w:val="16"/>
          <w:szCs w:val="16"/>
        </w:rPr>
        <w:t>lo 215-A y sancionado por los numerales 215-B y 215-C del Código Penal Federal, esto es, “que el sujeto activo propicie o mantenga dolosamente el ocultamiento de la persona bajo cualquier forma de detención”, pues en concepto de dicho juzgador no se demostró fehacientemente que la detención de los 3 desaparecidos fue</w:t>
      </w:r>
      <w:r>
        <w:rPr>
          <w:rFonts w:ascii="Verdana" w:hAnsi="Verdana" w:cs="Cambria"/>
          <w:sz w:val="16"/>
          <w:szCs w:val="16"/>
        </w:rPr>
        <w:t>se</w:t>
      </w:r>
      <w:r w:rsidRPr="00432ABC">
        <w:rPr>
          <w:rFonts w:ascii="Verdana" w:hAnsi="Verdana" w:cs="Cambria"/>
          <w:sz w:val="16"/>
          <w:szCs w:val="16"/>
        </w:rPr>
        <w:t xml:space="preserve"> realizada por elementos del Ejército mexicano por orden del imputado (el Coronel Luján), ni que este propiciara o mantuviera el ocultamiento de las presuntas víctimas o supiera de su paradero (</w:t>
      </w:r>
      <w:r w:rsidRPr="00432ABC">
        <w:rPr>
          <w:rFonts w:ascii="Verdana" w:hAnsi="Verdana" w:cs="Cambria"/>
          <w:i/>
          <w:sz w:val="16"/>
          <w:szCs w:val="16"/>
        </w:rPr>
        <w:t>supra</w:t>
      </w:r>
      <w:r w:rsidRPr="00432ABC">
        <w:rPr>
          <w:rFonts w:ascii="Verdana" w:hAnsi="Verdana" w:cs="Cambria"/>
          <w:sz w:val="16"/>
          <w:szCs w:val="16"/>
        </w:rPr>
        <w:t xml:space="preserve"> párr. </w:t>
      </w:r>
      <w:r>
        <w:rPr>
          <w:rFonts w:ascii="Verdana" w:hAnsi="Verdana" w:cs="Cambria"/>
          <w:sz w:val="16"/>
          <w:szCs w:val="16"/>
        </w:rPr>
        <w:t>126</w:t>
      </w:r>
      <w:r w:rsidRPr="00432ABC">
        <w:rPr>
          <w:rFonts w:ascii="Verdana" w:hAnsi="Verdana" w:cs="Cambria"/>
          <w:sz w:val="16"/>
          <w:szCs w:val="16"/>
        </w:rPr>
        <w:t xml:space="preserve">); ii) Por su parte, la magistrada del Cuarto Tribunal Unitario del Decimoséptimo Circuito consideró que “es indispensable que quede justificado el cuerpo del delito, lo que en el caso concreto no aconteció en vista de la insuficiencia probatoria” para imputar los hechos al Comandante del 35 Batallón, por lo que resolvió confirmar la resolución emitida el 31 de marzo de 2014 por el </w:t>
      </w:r>
      <w:r w:rsidRPr="00432ABC">
        <w:rPr>
          <w:rFonts w:ascii="Verdana" w:hAnsi="Verdana"/>
          <w:sz w:val="16"/>
          <w:szCs w:val="16"/>
        </w:rPr>
        <w:t>Juez Séptimo de Distrito en Materia Penal de Ciudad Juárez, y denegar la orden de aprehensión en contra de dicho Comandante</w:t>
      </w:r>
      <w:r>
        <w:rPr>
          <w:rFonts w:ascii="Verdana" w:hAnsi="Verdana"/>
          <w:sz w:val="16"/>
          <w:szCs w:val="16"/>
        </w:rPr>
        <w:t xml:space="preserve">. </w:t>
      </w:r>
      <w:r w:rsidRPr="00CD5C54">
        <w:rPr>
          <w:rFonts w:ascii="Verdana" w:hAnsi="Verdana"/>
          <w:i/>
          <w:sz w:val="16"/>
          <w:szCs w:val="16"/>
        </w:rPr>
        <w:t>Cfr.</w:t>
      </w:r>
      <w:r w:rsidRPr="00432ABC">
        <w:rPr>
          <w:rFonts w:ascii="Verdana" w:hAnsi="Verdana"/>
          <w:i/>
          <w:sz w:val="16"/>
          <w:szCs w:val="16"/>
        </w:rPr>
        <w:t xml:space="preserve"> </w:t>
      </w:r>
      <w:r w:rsidRPr="00432ABC">
        <w:rPr>
          <w:rFonts w:ascii="Verdana" w:hAnsi="Verdana"/>
          <w:sz w:val="16"/>
          <w:szCs w:val="16"/>
        </w:rPr>
        <w:t>Sentencia del Toca Penal 94/2014 dictada el 27 de junio de 2014 por la magistrada del Cuarto Tribunal Unitario de Circuito del 17º Circuito en el Estado de Chihuahua (expediente de prueba, f. 28695), y iii) el Tercer Tribunal Unitario del Decimoséptimo Circuito, al conocer del juicio de amparo promovido por la representante de los familiares en contra de la confirmación de la negativa de la orden de aprehensión en el Toca Penal 94/2014, resolvió que la magistrada del Cuarto Tribunal Unitario de Circuito omitió valorar en su conjunto diversos medios de prueba para verificar si existía o no el delito de desaparición forzada de personas y si la autoría de éste era imputable al Coronel Luján. En consecuencia, revocó dicha resolución y ordenó que el Cuarto Tribunal Unitario de Circuito emitiera una nueva resolución tras realizar la valoración señalada. Finalmente, al dar cumplimiento a dicha sentencia, la magistrada del Cuarto Tribunal Unitario realizó la valoración probatoria ordenada y el 7 de octubre de 2016 emitió una nueva resolución, misma que confirmó la negativa de orden de aprehensión respecto de dicho alto mando castrense</w:t>
      </w:r>
      <w:r>
        <w:rPr>
          <w:rFonts w:ascii="Verdana" w:hAnsi="Verdana"/>
          <w:sz w:val="16"/>
          <w:szCs w:val="16"/>
        </w:rPr>
        <w:t>.</w:t>
      </w:r>
      <w:r w:rsidRPr="00432ABC">
        <w:rPr>
          <w:rFonts w:ascii="Verdana" w:hAnsi="Verdana"/>
          <w:sz w:val="16"/>
          <w:szCs w:val="16"/>
        </w:rPr>
        <w:t xml:space="preserve"> </w:t>
      </w:r>
      <w:r w:rsidRPr="00CD5C54">
        <w:rPr>
          <w:rFonts w:ascii="Verdana" w:hAnsi="Verdana"/>
          <w:i/>
          <w:sz w:val="16"/>
          <w:szCs w:val="16"/>
        </w:rPr>
        <w:t>Cfr.</w:t>
      </w:r>
      <w:r w:rsidRPr="003A59D0">
        <w:rPr>
          <w:rFonts w:ascii="Verdana" w:hAnsi="Verdana"/>
          <w:sz w:val="16"/>
          <w:szCs w:val="16"/>
        </w:rPr>
        <w:t xml:space="preserve"> Resolución de 7 de octubre de 2016 emitida por la magistrada del 4ºTU/17ºC – Chihuahua, en cumplimiento a la sentencia del Tribunal Colegiado de Circuito del Decimoséptimo Circuito en Chihuahua el 9 de junio de 2016 (expediente de prueba, prueba para mejor reso</w:t>
      </w:r>
      <w:r>
        <w:rPr>
          <w:rFonts w:ascii="Verdana" w:hAnsi="Verdana"/>
          <w:sz w:val="16"/>
          <w:szCs w:val="16"/>
        </w:rPr>
        <w:t>lver remitida por el Estado,</w:t>
      </w:r>
      <w:r w:rsidRPr="00432ABC">
        <w:rPr>
          <w:rFonts w:ascii="Verdana" w:hAnsi="Verdana"/>
          <w:sz w:val="16"/>
          <w:szCs w:val="16"/>
        </w:rPr>
        <w:t xml:space="preserve"> f. 34949).</w:t>
      </w:r>
    </w:p>
  </w:footnote>
  <w:footnote w:id="431">
    <w:p w14:paraId="64AA62E9" w14:textId="4B60CEFF" w:rsidR="00146958" w:rsidRPr="00432ABC" w:rsidRDefault="00146958">
      <w:pPr>
        <w:pStyle w:val="FootnoteText"/>
        <w:jc w:val="both"/>
        <w:rPr>
          <w:rFonts w:ascii="Verdana" w:hAnsi="Verdana"/>
          <w:sz w:val="16"/>
          <w:szCs w:val="16"/>
        </w:rPr>
      </w:pPr>
      <w:r w:rsidRPr="00432ABC">
        <w:rPr>
          <w:rStyle w:val="FootnoteReference"/>
          <w:rFonts w:ascii="Verdana" w:hAnsi="Verdana"/>
          <w:sz w:val="16"/>
          <w:szCs w:val="16"/>
        </w:rPr>
        <w:footnoteRef/>
      </w:r>
      <w:r w:rsidRPr="00432ABC">
        <w:rPr>
          <w:rFonts w:ascii="Verdana" w:hAnsi="Verdana"/>
          <w:sz w:val="16"/>
          <w:szCs w:val="16"/>
        </w:rPr>
        <w:t xml:space="preserve"> </w:t>
      </w:r>
      <w:r w:rsidRPr="00432ABC">
        <w:rPr>
          <w:rFonts w:ascii="Verdana" w:hAnsi="Verdana"/>
          <w:sz w:val="16"/>
          <w:szCs w:val="16"/>
        </w:rPr>
        <w:tab/>
      </w:r>
      <w:r w:rsidRPr="00CD5C54">
        <w:rPr>
          <w:rFonts w:ascii="Verdana" w:hAnsi="Verdana"/>
          <w:i/>
          <w:sz w:val="16"/>
          <w:szCs w:val="16"/>
        </w:rPr>
        <w:t>Cfr.</w:t>
      </w:r>
      <w:r w:rsidRPr="002C462C">
        <w:rPr>
          <w:rFonts w:ascii="Verdana" w:hAnsi="Verdana"/>
          <w:b/>
          <w:i/>
          <w:sz w:val="16"/>
          <w:szCs w:val="16"/>
        </w:rPr>
        <w:t xml:space="preserve"> </w:t>
      </w:r>
      <w:r w:rsidRPr="00432ABC">
        <w:rPr>
          <w:rStyle w:val="Strong"/>
          <w:rFonts w:ascii="Verdana" w:hAnsi="Verdana"/>
          <w:b w:val="0"/>
          <w:color w:val="000000"/>
          <w:sz w:val="16"/>
          <w:szCs w:val="16"/>
          <w:shd w:val="clear" w:color="auto" w:fill="FFFFFF"/>
        </w:rPr>
        <w:t xml:space="preserve">Caso Osorio Rivera y familiares Vs. Perú. </w:t>
      </w:r>
      <w:r>
        <w:rPr>
          <w:rStyle w:val="Strong"/>
          <w:rFonts w:ascii="Verdana" w:hAnsi="Verdana"/>
          <w:b w:val="0"/>
          <w:i/>
          <w:color w:val="000000"/>
          <w:sz w:val="16"/>
          <w:szCs w:val="16"/>
          <w:shd w:val="clear" w:color="auto" w:fill="FFFFFF"/>
        </w:rPr>
        <w:t>S</w:t>
      </w:r>
      <w:r w:rsidRPr="00432ABC">
        <w:rPr>
          <w:rStyle w:val="Strong"/>
          <w:rFonts w:ascii="Verdana" w:hAnsi="Verdana"/>
          <w:b w:val="0"/>
          <w:i/>
          <w:color w:val="000000"/>
          <w:sz w:val="16"/>
          <w:szCs w:val="16"/>
          <w:shd w:val="clear" w:color="auto" w:fill="FFFFFF"/>
        </w:rPr>
        <w:t xml:space="preserve">upra, </w:t>
      </w:r>
      <w:r w:rsidRPr="00432ABC">
        <w:rPr>
          <w:rStyle w:val="Strong"/>
          <w:rFonts w:ascii="Verdana" w:hAnsi="Verdana"/>
          <w:b w:val="0"/>
          <w:color w:val="000000"/>
          <w:sz w:val="16"/>
          <w:szCs w:val="16"/>
          <w:shd w:val="clear" w:color="auto" w:fill="FFFFFF"/>
        </w:rPr>
        <w:t>párrs. 143 y 144</w:t>
      </w:r>
      <w:r w:rsidRPr="00432ABC">
        <w:rPr>
          <w:rFonts w:ascii="Verdana" w:hAnsi="Verdana"/>
          <w:i/>
          <w:sz w:val="16"/>
          <w:szCs w:val="16"/>
        </w:rPr>
        <w:t xml:space="preserve">, </w:t>
      </w:r>
      <w:r w:rsidRPr="00432ABC">
        <w:rPr>
          <w:rFonts w:ascii="Verdana" w:hAnsi="Verdana"/>
          <w:sz w:val="16"/>
          <w:szCs w:val="16"/>
        </w:rPr>
        <w:t>y</w:t>
      </w:r>
      <w:r w:rsidRPr="00432ABC">
        <w:rPr>
          <w:rFonts w:ascii="Verdana" w:hAnsi="Verdana"/>
          <w:i/>
          <w:sz w:val="16"/>
          <w:szCs w:val="16"/>
        </w:rPr>
        <w:t xml:space="preserve"> C</w:t>
      </w:r>
      <w:r w:rsidRPr="00432ABC">
        <w:rPr>
          <w:rStyle w:val="Strong"/>
          <w:rFonts w:ascii="Verdana" w:hAnsi="Verdana"/>
          <w:b w:val="0"/>
          <w:i/>
          <w:color w:val="000000"/>
          <w:sz w:val="16"/>
          <w:szCs w:val="16"/>
          <w:shd w:val="clear" w:color="auto" w:fill="FFFFFF"/>
        </w:rPr>
        <w:t>aso Favela Nova</w:t>
      </w:r>
      <w:r w:rsidRPr="00432ABC">
        <w:rPr>
          <w:rStyle w:val="Strong"/>
          <w:rFonts w:ascii="Verdana" w:hAnsi="Verdana"/>
          <w:i/>
          <w:color w:val="000000"/>
          <w:sz w:val="16"/>
          <w:szCs w:val="16"/>
          <w:shd w:val="clear" w:color="auto" w:fill="FFFFFF"/>
        </w:rPr>
        <w:t xml:space="preserve"> </w:t>
      </w:r>
      <w:r w:rsidRPr="00432ABC">
        <w:rPr>
          <w:rStyle w:val="Strong"/>
          <w:rFonts w:ascii="Verdana" w:hAnsi="Verdana"/>
          <w:b w:val="0"/>
          <w:i/>
          <w:color w:val="000000"/>
          <w:sz w:val="16"/>
          <w:szCs w:val="16"/>
          <w:shd w:val="clear" w:color="auto" w:fill="FFFFFF"/>
        </w:rPr>
        <w:t>Brasília Vs. Brasil. Excepciones Preliminares, Fondo, Reparaciones y Costas</w:t>
      </w:r>
      <w:r w:rsidRPr="00432ABC">
        <w:rPr>
          <w:rStyle w:val="Strong"/>
          <w:rFonts w:ascii="Verdana" w:hAnsi="Verdana"/>
          <w:b w:val="0"/>
          <w:color w:val="000000"/>
          <w:sz w:val="16"/>
          <w:szCs w:val="16"/>
          <w:shd w:val="clear" w:color="auto" w:fill="FFFFFF"/>
        </w:rPr>
        <w:t>. Sentencia de 16 de febrero de 2017. Serie C No. 333, párr. 180.</w:t>
      </w:r>
      <w:r w:rsidRPr="00432ABC">
        <w:rPr>
          <w:rStyle w:val="Strong"/>
          <w:rFonts w:ascii="Verdana" w:hAnsi="Verdana"/>
          <w:color w:val="000000"/>
          <w:sz w:val="16"/>
          <w:szCs w:val="16"/>
          <w:shd w:val="clear" w:color="auto" w:fill="FFFFFF"/>
        </w:rPr>
        <w:t xml:space="preserve"> </w:t>
      </w:r>
    </w:p>
  </w:footnote>
  <w:footnote w:id="432">
    <w:p w14:paraId="64AA62EB" w14:textId="6C14F19E" w:rsidR="00146958" w:rsidRPr="00432ABC" w:rsidRDefault="00146958">
      <w:pPr>
        <w:pStyle w:val="FootnoteText"/>
        <w:jc w:val="both"/>
        <w:rPr>
          <w:rFonts w:ascii="Verdana" w:hAnsi="Verdana"/>
          <w:sz w:val="16"/>
          <w:szCs w:val="16"/>
        </w:rPr>
      </w:pPr>
      <w:r w:rsidRPr="00432ABC">
        <w:rPr>
          <w:rStyle w:val="FootnoteReference"/>
          <w:rFonts w:ascii="Verdana" w:hAnsi="Verdana"/>
          <w:sz w:val="16"/>
          <w:szCs w:val="16"/>
        </w:rPr>
        <w:footnoteRef/>
      </w:r>
      <w:r w:rsidRPr="00432ABC">
        <w:rPr>
          <w:rFonts w:ascii="Verdana" w:hAnsi="Verdana"/>
          <w:sz w:val="16"/>
          <w:szCs w:val="16"/>
        </w:rPr>
        <w:t xml:space="preserve"> </w:t>
      </w:r>
      <w:r w:rsidRPr="00432ABC">
        <w:rPr>
          <w:rFonts w:ascii="Verdana" w:hAnsi="Verdana"/>
          <w:sz w:val="16"/>
          <w:szCs w:val="16"/>
        </w:rPr>
        <w:tab/>
      </w:r>
      <w:r w:rsidRPr="00CD5C54">
        <w:rPr>
          <w:rFonts w:ascii="Verdana" w:hAnsi="Verdana"/>
          <w:i/>
          <w:sz w:val="16"/>
          <w:szCs w:val="16"/>
        </w:rPr>
        <w:t>Cfr.</w:t>
      </w:r>
      <w:r w:rsidRPr="002C462C">
        <w:rPr>
          <w:rFonts w:ascii="Verdana" w:hAnsi="Verdana"/>
          <w:sz w:val="16"/>
          <w:szCs w:val="16"/>
        </w:rPr>
        <w:t xml:space="preserve"> </w:t>
      </w:r>
      <w:r w:rsidRPr="00432ABC">
        <w:rPr>
          <w:rFonts w:ascii="Verdana" w:hAnsi="Verdana"/>
          <w:i/>
          <w:sz w:val="16"/>
          <w:szCs w:val="16"/>
        </w:rPr>
        <w:t>Caso Anzualdo Castro Vs. Perú. Excepción Preliminar, Fondo, Reparaciones y Costas.</w:t>
      </w:r>
      <w:r w:rsidRPr="00432ABC">
        <w:rPr>
          <w:rFonts w:ascii="Verdana" w:hAnsi="Verdana"/>
          <w:sz w:val="16"/>
          <w:szCs w:val="16"/>
        </w:rPr>
        <w:t xml:space="preserve"> Sentencia de 22 de septiembre de 2009, párr. 91, y </w:t>
      </w:r>
      <w:r w:rsidRPr="008D0846">
        <w:rPr>
          <w:rFonts w:ascii="Verdana" w:hAnsi="Verdana"/>
          <w:bCs/>
          <w:i/>
          <w:sz w:val="16"/>
          <w:szCs w:val="16"/>
        </w:rPr>
        <w:t>Caso Munárriz Escobar y otros Vs. Perú</w:t>
      </w:r>
      <w:r w:rsidRPr="009658DE">
        <w:rPr>
          <w:rFonts w:ascii="Verdana" w:hAnsi="Verdana"/>
          <w:sz w:val="16"/>
          <w:szCs w:val="16"/>
        </w:rPr>
        <w:t>,</w:t>
      </w:r>
      <w:r w:rsidRPr="00432ABC">
        <w:rPr>
          <w:rFonts w:ascii="Verdana" w:hAnsi="Verdana"/>
          <w:sz w:val="16"/>
          <w:szCs w:val="16"/>
        </w:rPr>
        <w:t xml:space="preserve"> </w:t>
      </w:r>
      <w:r>
        <w:rPr>
          <w:rFonts w:ascii="Verdana" w:hAnsi="Verdana"/>
          <w:i/>
          <w:sz w:val="16"/>
          <w:szCs w:val="16"/>
        </w:rPr>
        <w:t xml:space="preserve">supra, </w:t>
      </w:r>
      <w:r w:rsidRPr="00432ABC">
        <w:rPr>
          <w:rFonts w:ascii="Verdana" w:hAnsi="Verdana"/>
          <w:sz w:val="16"/>
          <w:szCs w:val="16"/>
        </w:rPr>
        <w:t>párr.</w:t>
      </w:r>
      <w:r>
        <w:rPr>
          <w:rFonts w:ascii="Verdana" w:hAnsi="Verdana"/>
          <w:sz w:val="16"/>
          <w:szCs w:val="16"/>
        </w:rPr>
        <w:t xml:space="preserve"> 80.</w:t>
      </w:r>
      <w:r w:rsidRPr="00432ABC">
        <w:rPr>
          <w:rFonts w:ascii="Verdana" w:hAnsi="Verdana"/>
          <w:sz w:val="16"/>
          <w:szCs w:val="16"/>
        </w:rPr>
        <w:t xml:space="preserve"> </w:t>
      </w:r>
    </w:p>
  </w:footnote>
  <w:footnote w:id="433">
    <w:p w14:paraId="158F5BAF" w14:textId="323EC6C6" w:rsidR="00146958" w:rsidRPr="000C711D" w:rsidRDefault="00146958" w:rsidP="000C711D">
      <w:pPr>
        <w:pStyle w:val="FootnoteText"/>
        <w:jc w:val="both"/>
        <w:rPr>
          <w:rFonts w:ascii="Verdana" w:hAnsi="Verdana"/>
          <w:sz w:val="16"/>
          <w:szCs w:val="16"/>
          <w:lang w:val="es-HN"/>
        </w:rPr>
      </w:pPr>
      <w:r w:rsidRPr="000C711D">
        <w:rPr>
          <w:rStyle w:val="FootnoteReference"/>
          <w:rFonts w:ascii="Verdana" w:hAnsi="Verdana"/>
          <w:sz w:val="16"/>
          <w:szCs w:val="16"/>
        </w:rPr>
        <w:footnoteRef/>
      </w:r>
      <w:r w:rsidRPr="000C711D">
        <w:rPr>
          <w:rFonts w:ascii="Verdana" w:hAnsi="Verdana"/>
          <w:sz w:val="16"/>
          <w:szCs w:val="16"/>
        </w:rPr>
        <w:t xml:space="preserve"> </w:t>
      </w:r>
      <w:r w:rsidRPr="000C711D">
        <w:rPr>
          <w:rFonts w:ascii="Verdana" w:hAnsi="Verdana"/>
          <w:sz w:val="16"/>
          <w:szCs w:val="16"/>
        </w:rPr>
        <w:tab/>
      </w:r>
      <w:r w:rsidRPr="000C711D">
        <w:rPr>
          <w:rFonts w:ascii="Verdana" w:hAnsi="Verdana"/>
          <w:sz w:val="16"/>
          <w:szCs w:val="16"/>
          <w:lang w:val="es-CR"/>
        </w:rPr>
        <w:t>Artículo 8. Garantías judiciales. 1. Toda persona tiene derecho a ser oída, con las debidas garantías y dentro de un plazo razonable, por un juez o tribunal competente, independiente e imparcial, establecido con anterioridad por la ley, en la sustanciación de cualquier acusación penal formulada contra ella, o para la determinación de sus derechos y obligaciones de orden civil, laboral, fiscal o de cualquier otro carácter […].</w:t>
      </w:r>
    </w:p>
  </w:footnote>
  <w:footnote w:id="434">
    <w:p w14:paraId="02C34390" w14:textId="6E7968D1" w:rsidR="00146958" w:rsidRPr="000C711D" w:rsidRDefault="00146958" w:rsidP="000C711D">
      <w:pPr>
        <w:pStyle w:val="FootnoteText"/>
        <w:jc w:val="both"/>
        <w:rPr>
          <w:rFonts w:ascii="Verdana" w:hAnsi="Verdana"/>
          <w:sz w:val="16"/>
          <w:szCs w:val="16"/>
          <w:lang w:val="es-CR"/>
        </w:rPr>
      </w:pPr>
      <w:r w:rsidRPr="000C711D">
        <w:rPr>
          <w:rStyle w:val="FootnoteReference"/>
          <w:rFonts w:ascii="Verdana" w:hAnsi="Verdana"/>
          <w:sz w:val="16"/>
          <w:szCs w:val="16"/>
        </w:rPr>
        <w:footnoteRef/>
      </w:r>
      <w:r w:rsidRPr="000C711D">
        <w:rPr>
          <w:rFonts w:ascii="Verdana" w:hAnsi="Verdana"/>
          <w:sz w:val="16"/>
          <w:szCs w:val="16"/>
        </w:rPr>
        <w:t xml:space="preserve"> </w:t>
      </w:r>
      <w:r w:rsidRPr="000C711D">
        <w:rPr>
          <w:rFonts w:ascii="Verdana" w:hAnsi="Verdana"/>
          <w:sz w:val="16"/>
          <w:szCs w:val="16"/>
        </w:rPr>
        <w:tab/>
      </w:r>
      <w:r w:rsidRPr="000C711D">
        <w:rPr>
          <w:rFonts w:ascii="Verdana" w:hAnsi="Verdana"/>
          <w:sz w:val="16"/>
          <w:szCs w:val="16"/>
          <w:lang w:val="es-HN"/>
        </w:rPr>
        <w:t xml:space="preserve">Artículo </w:t>
      </w:r>
      <w:r w:rsidRPr="000C711D">
        <w:rPr>
          <w:rFonts w:ascii="Verdana" w:hAnsi="Verdana"/>
          <w:sz w:val="16"/>
          <w:szCs w:val="16"/>
          <w:lang w:val="es-CR"/>
        </w:rPr>
        <w:t>25. Protección judicial. 1. Toda persona tiene derecho a un recurso sencillo y rápido o a cualquier otro recurso efectivo ante los jueces o tribunales competentes, que la ampare contra actos que violen sus derechos fundamentales reconocidos por la Constitución, la ley o la presente Convención, aun cuando tal violación sea cometida por personas que actúen en ejercicio de sus funciones oficiales […].</w:t>
      </w:r>
    </w:p>
  </w:footnote>
  <w:footnote w:id="435">
    <w:p w14:paraId="6A92B287" w14:textId="627FE669" w:rsidR="00146958" w:rsidRPr="000C711D" w:rsidRDefault="00146958" w:rsidP="000C711D">
      <w:pPr>
        <w:pStyle w:val="FootnoteText"/>
        <w:jc w:val="both"/>
        <w:rPr>
          <w:rFonts w:ascii="Verdana" w:hAnsi="Verdana"/>
          <w:sz w:val="16"/>
          <w:szCs w:val="16"/>
        </w:rPr>
      </w:pPr>
      <w:r w:rsidRPr="000C711D">
        <w:rPr>
          <w:rStyle w:val="FootnoteReference"/>
          <w:rFonts w:ascii="Verdana" w:hAnsi="Verdana"/>
          <w:sz w:val="16"/>
          <w:szCs w:val="16"/>
        </w:rPr>
        <w:footnoteRef/>
      </w:r>
      <w:r w:rsidRPr="000C711D">
        <w:rPr>
          <w:rFonts w:ascii="Verdana" w:hAnsi="Verdana"/>
          <w:sz w:val="16"/>
          <w:szCs w:val="16"/>
        </w:rPr>
        <w:t xml:space="preserve"> </w:t>
      </w:r>
      <w:r w:rsidRPr="000C711D">
        <w:rPr>
          <w:rFonts w:ascii="Verdana" w:hAnsi="Verdana"/>
          <w:sz w:val="16"/>
          <w:szCs w:val="16"/>
        </w:rPr>
        <w:tab/>
      </w:r>
      <w:r w:rsidRPr="000C711D">
        <w:rPr>
          <w:rFonts w:ascii="Verdana" w:hAnsi="Verdana"/>
          <w:bCs/>
          <w:sz w:val="16"/>
          <w:szCs w:val="16"/>
        </w:rPr>
        <w:t xml:space="preserve">Artículo 2. Deber de Adoptar Disposiciones de Derecho Interno. </w:t>
      </w:r>
      <w:r w:rsidRPr="000C711D">
        <w:rPr>
          <w:rFonts w:ascii="Verdana" w:hAnsi="Verdana"/>
          <w:sz w:val="16"/>
          <w:szCs w:val="16"/>
        </w:rPr>
        <w:t>Si el ejercicio de los derechos y libertades mencionados en el artículo 1 no estuviere ya garantizado por disposiciones legislativas o de otro carácter, los Estados Partes se comprometen a adoptar, con arreglo a sus procedimientos constitucionales y a las disposiciones de esta Convención, las medidas legislativas o de otro carácter que fueren necesarias para hacer efectivos tales derechos y libertades.</w:t>
      </w:r>
    </w:p>
  </w:footnote>
  <w:footnote w:id="436">
    <w:p w14:paraId="2E4A130A" w14:textId="4742546D" w:rsidR="00146958" w:rsidRPr="000C711D" w:rsidRDefault="00146958" w:rsidP="000C711D">
      <w:pPr>
        <w:pStyle w:val="FootnoteText"/>
        <w:jc w:val="both"/>
        <w:rPr>
          <w:rFonts w:ascii="Verdana" w:hAnsi="Verdana"/>
          <w:sz w:val="16"/>
          <w:szCs w:val="16"/>
        </w:rPr>
      </w:pPr>
      <w:r w:rsidRPr="000C711D">
        <w:rPr>
          <w:rStyle w:val="FootnoteReference"/>
          <w:rFonts w:ascii="Verdana" w:hAnsi="Verdana"/>
          <w:sz w:val="16"/>
          <w:szCs w:val="16"/>
        </w:rPr>
        <w:footnoteRef/>
      </w:r>
      <w:r w:rsidRPr="000C711D">
        <w:rPr>
          <w:rFonts w:ascii="Verdana" w:hAnsi="Verdana"/>
          <w:sz w:val="16"/>
          <w:szCs w:val="16"/>
          <w:vertAlign w:val="superscript"/>
        </w:rPr>
        <w:t xml:space="preserve"> </w:t>
      </w:r>
      <w:r w:rsidRPr="000C711D">
        <w:rPr>
          <w:rFonts w:ascii="Verdana" w:hAnsi="Verdana"/>
          <w:sz w:val="16"/>
          <w:szCs w:val="16"/>
        </w:rPr>
        <w:tab/>
        <w:t xml:space="preserve"> El artículo I.b de la CIDFP indica: "1. Los Estados Partes en esta Convención se comprometen a: […] b) Sancionar en el ámbito de su jurisdicción a los autores, cómplices y encubridores del delito de desaparición forzada de personas, así como la tentativa de comisión del mismo".</w:t>
      </w:r>
    </w:p>
    <w:p w14:paraId="6AC9311C" w14:textId="49FC578F" w:rsidR="00146958" w:rsidRPr="000C711D" w:rsidRDefault="00146958" w:rsidP="004032E8">
      <w:pPr>
        <w:pStyle w:val="FootnoteText"/>
        <w:jc w:val="both"/>
        <w:rPr>
          <w:rFonts w:ascii="Verdana" w:hAnsi="Verdana"/>
          <w:sz w:val="16"/>
          <w:szCs w:val="16"/>
        </w:rPr>
      </w:pPr>
      <w:r w:rsidRPr="000C711D">
        <w:rPr>
          <w:rFonts w:ascii="Verdana" w:hAnsi="Verdana"/>
          <w:sz w:val="16"/>
          <w:szCs w:val="16"/>
        </w:rPr>
        <w:t>Por su parte el artículo IX del citado instrumento establece: "Los presuntos responsables de los hechos constitutivos del delito de desaparición forzada de personas sólo podrán ser juzgados por las jurisdicciones de derecho común competentes en cada Estado, con exclusión de toda jurisdicción especial, en particular la militar.</w:t>
      </w:r>
    </w:p>
    <w:p w14:paraId="436DEE24" w14:textId="77777777" w:rsidR="00146958" w:rsidRPr="000C711D" w:rsidRDefault="00146958" w:rsidP="004032E8">
      <w:pPr>
        <w:pStyle w:val="FootnoteText"/>
        <w:jc w:val="both"/>
        <w:rPr>
          <w:rFonts w:ascii="Verdana" w:hAnsi="Verdana"/>
          <w:sz w:val="16"/>
          <w:szCs w:val="16"/>
        </w:rPr>
      </w:pPr>
      <w:r w:rsidRPr="000C711D">
        <w:rPr>
          <w:rFonts w:ascii="Verdana" w:hAnsi="Verdana"/>
          <w:sz w:val="16"/>
          <w:szCs w:val="16"/>
        </w:rPr>
        <w:t>Los hechos constitutivos de la desaparición forzada no podrán considerarse como cometidos en el ejercicio de las funciones militares.</w:t>
      </w:r>
    </w:p>
    <w:p w14:paraId="39141114" w14:textId="6B55B55D" w:rsidR="00146958" w:rsidRPr="008D0846" w:rsidRDefault="00146958" w:rsidP="004032E8">
      <w:pPr>
        <w:pStyle w:val="FootnoteText"/>
        <w:jc w:val="both"/>
        <w:rPr>
          <w:rFonts w:ascii="Verdana" w:hAnsi="Verdana"/>
          <w:sz w:val="16"/>
          <w:szCs w:val="16"/>
        </w:rPr>
      </w:pPr>
      <w:r w:rsidRPr="000C711D">
        <w:rPr>
          <w:rFonts w:ascii="Verdana" w:hAnsi="Verdana"/>
          <w:sz w:val="16"/>
          <w:szCs w:val="16"/>
        </w:rPr>
        <w:t>No se admitirán privilegios, inmunidades, ni dispensas especiales en tales procesos, sin perjuicio de las disposiciones que figuran en la Convención de Viena sobre Relaciones Diplomáticas."</w:t>
      </w:r>
    </w:p>
  </w:footnote>
  <w:footnote w:id="437">
    <w:p w14:paraId="07BCB5BF" w14:textId="77777777" w:rsidR="00146958" w:rsidRPr="008D0846" w:rsidRDefault="00146958" w:rsidP="004032E8">
      <w:pPr>
        <w:spacing w:after="0"/>
        <w:jc w:val="both"/>
        <w:rPr>
          <w:rFonts w:ascii="Verdana" w:eastAsiaTheme="minorHAnsi" w:hAnsi="Verdana"/>
          <w:sz w:val="16"/>
          <w:szCs w:val="16"/>
        </w:rPr>
      </w:pPr>
      <w:r w:rsidRPr="000C711D">
        <w:rPr>
          <w:rStyle w:val="FootnoteReference"/>
          <w:rFonts w:ascii="Verdana" w:hAnsi="Verdana"/>
          <w:sz w:val="16"/>
          <w:szCs w:val="16"/>
        </w:rPr>
        <w:footnoteRef/>
      </w:r>
      <w:r w:rsidRPr="000C711D">
        <w:rPr>
          <w:rFonts w:ascii="Verdana" w:hAnsi="Verdana"/>
          <w:sz w:val="16"/>
          <w:szCs w:val="16"/>
        </w:rPr>
        <w:t xml:space="preserve"> </w:t>
      </w:r>
      <w:r w:rsidRPr="000C711D">
        <w:rPr>
          <w:rFonts w:ascii="Verdana" w:hAnsi="Verdana"/>
          <w:sz w:val="16"/>
          <w:szCs w:val="16"/>
        </w:rPr>
        <w:tab/>
        <w:t xml:space="preserve"> </w:t>
      </w:r>
      <w:r w:rsidRPr="008D0846">
        <w:rPr>
          <w:rFonts w:ascii="Verdana" w:eastAsiaTheme="minorHAnsi" w:hAnsi="Verdana"/>
          <w:sz w:val="16"/>
          <w:szCs w:val="16"/>
        </w:rPr>
        <w:t>El artículo 7 de la Convención de Belem do Pará, en la parte citada por las representantes señala:</w:t>
      </w:r>
    </w:p>
    <w:p w14:paraId="07B8B3E4" w14:textId="54380FBC" w:rsidR="00146958" w:rsidRPr="00AD4631" w:rsidRDefault="00146958" w:rsidP="00AD4631">
      <w:pPr>
        <w:spacing w:after="0"/>
        <w:jc w:val="both"/>
        <w:rPr>
          <w:rFonts w:ascii="Verdana" w:hAnsi="Verdana"/>
          <w:sz w:val="16"/>
          <w:szCs w:val="16"/>
        </w:rPr>
      </w:pPr>
      <w:r w:rsidRPr="008D0846">
        <w:rPr>
          <w:rFonts w:ascii="Verdana" w:eastAsiaTheme="minorHAnsi" w:hAnsi="Verdana"/>
          <w:sz w:val="16"/>
          <w:szCs w:val="16"/>
        </w:rPr>
        <w:t>Los Estados Partes condenan todas las formas de violencia contra la mujer y convienen en adoptar, por todos los medios apropiados y sin dilaciones, políticas orientadas a prevenir, sancionar y erradicar dicha violencia y en llevar a cabo lo siguiente:</w:t>
      </w:r>
      <w:r>
        <w:rPr>
          <w:rFonts w:ascii="Verdana" w:eastAsiaTheme="minorHAnsi" w:hAnsi="Verdana"/>
          <w:sz w:val="16"/>
          <w:szCs w:val="16"/>
        </w:rPr>
        <w:t xml:space="preserve"> b</w:t>
      </w:r>
      <w:r w:rsidRPr="00F67B06">
        <w:rPr>
          <w:rFonts w:ascii="Verdana" w:eastAsiaTheme="minorHAnsi" w:hAnsi="Verdana"/>
          <w:sz w:val="16"/>
          <w:szCs w:val="16"/>
        </w:rPr>
        <w:t xml:space="preserve">) </w:t>
      </w:r>
      <w:r w:rsidRPr="00AD4631">
        <w:rPr>
          <w:rFonts w:ascii="Verdana" w:hAnsi="Verdana"/>
          <w:sz w:val="16"/>
          <w:szCs w:val="16"/>
        </w:rPr>
        <w:t>actuar con la debida diligencia para prevenir, investigar y sancionar la violencia contra la mujer</w:t>
      </w:r>
      <w:r w:rsidRPr="00AD4631">
        <w:rPr>
          <w:rFonts w:ascii="Verdana" w:hAnsi="Verdana"/>
          <w:sz w:val="16"/>
          <w:szCs w:val="16"/>
          <w:lang w:val="en-US"/>
        </w:rPr>
        <w:t>;</w:t>
      </w:r>
      <w:r w:rsidRPr="00AD4631">
        <w:rPr>
          <w:rFonts w:ascii="Verdana" w:hAnsi="Verdana"/>
          <w:sz w:val="16"/>
          <w:szCs w:val="16"/>
        </w:rPr>
        <w:t xml:space="preserve"> (…)".</w:t>
      </w:r>
    </w:p>
  </w:footnote>
  <w:footnote w:id="438">
    <w:p w14:paraId="64AA62F4" w14:textId="0EEF860C" w:rsidR="00146958" w:rsidRPr="000C711D" w:rsidRDefault="00146958">
      <w:pPr>
        <w:pStyle w:val="FootnoteText"/>
        <w:jc w:val="both"/>
        <w:rPr>
          <w:rFonts w:ascii="Verdana" w:hAnsi="Verdana"/>
          <w:sz w:val="16"/>
          <w:szCs w:val="16"/>
        </w:rPr>
      </w:pPr>
      <w:r w:rsidRPr="000C711D">
        <w:rPr>
          <w:rStyle w:val="FootnoteReference"/>
          <w:rFonts w:ascii="Verdana" w:hAnsi="Verdana"/>
          <w:sz w:val="16"/>
          <w:szCs w:val="16"/>
        </w:rPr>
        <w:footnoteRef/>
      </w:r>
      <w:r w:rsidRPr="000C711D">
        <w:rPr>
          <w:rFonts w:ascii="Verdana" w:hAnsi="Verdana"/>
          <w:sz w:val="16"/>
          <w:szCs w:val="16"/>
        </w:rPr>
        <w:t xml:space="preserve"> </w:t>
      </w:r>
      <w:r w:rsidRPr="000C711D">
        <w:rPr>
          <w:rFonts w:ascii="Verdana" w:hAnsi="Verdana"/>
          <w:sz w:val="16"/>
          <w:szCs w:val="16"/>
        </w:rPr>
        <w:tab/>
        <w:t xml:space="preserve">En concreto, destacó que durante el año 2012 solamente se registraron dos diligencias entre los meses de enero y febrero, sin que exista constancia de diligencias adicionales realizadas en ese año. </w:t>
      </w:r>
    </w:p>
  </w:footnote>
  <w:footnote w:id="439">
    <w:p w14:paraId="64AA62F5" w14:textId="15F63302" w:rsidR="00146958" w:rsidRPr="00432ABC" w:rsidRDefault="00146958">
      <w:pPr>
        <w:pStyle w:val="FootnoteText"/>
        <w:jc w:val="both"/>
        <w:rPr>
          <w:rFonts w:ascii="Verdana" w:hAnsi="Verdana"/>
          <w:sz w:val="16"/>
          <w:szCs w:val="16"/>
        </w:rPr>
      </w:pPr>
      <w:r w:rsidRPr="00432ABC">
        <w:rPr>
          <w:rStyle w:val="FootnoteReference"/>
          <w:rFonts w:ascii="Verdana" w:hAnsi="Verdana"/>
          <w:sz w:val="16"/>
          <w:szCs w:val="16"/>
        </w:rPr>
        <w:footnoteRef/>
      </w:r>
      <w:r w:rsidRPr="00432ABC">
        <w:rPr>
          <w:rFonts w:ascii="Verdana" w:hAnsi="Verdana"/>
          <w:sz w:val="16"/>
          <w:szCs w:val="16"/>
        </w:rPr>
        <w:t xml:space="preserve"> </w:t>
      </w:r>
      <w:r w:rsidRPr="002C462C">
        <w:rPr>
          <w:rFonts w:ascii="Verdana" w:hAnsi="Verdana"/>
          <w:sz w:val="16"/>
          <w:szCs w:val="16"/>
        </w:rPr>
        <w:tab/>
        <w:t>Comandante Mario Castro y los agentes José Bejarano García y Francisco Tena Elementos de la Secretaría de Seguridad Pública en el Ejido Benito Juárez, quienes realizaron las primeras acciones de búsqueda la misma noche de los hechos y hasta el 30 de diciembre de 2009, fecha en la que Manuel Reyes Lira les informó que habían localizado a las víctimas</w:t>
      </w:r>
      <w:r w:rsidRPr="00432ABC">
        <w:rPr>
          <w:rFonts w:ascii="Verdana" w:hAnsi="Verdana"/>
          <w:sz w:val="16"/>
          <w:szCs w:val="16"/>
        </w:rPr>
        <w:t>.</w:t>
      </w:r>
    </w:p>
  </w:footnote>
  <w:footnote w:id="440">
    <w:p w14:paraId="64AA62FB" w14:textId="07163F11" w:rsidR="00146958" w:rsidRPr="00432ABC" w:rsidRDefault="00146958">
      <w:pPr>
        <w:pStyle w:val="FootnoteText"/>
        <w:jc w:val="both"/>
        <w:rPr>
          <w:rFonts w:ascii="Verdana" w:hAnsi="Verdana"/>
          <w:sz w:val="16"/>
          <w:szCs w:val="16"/>
          <w:lang w:val="es-ES"/>
        </w:rPr>
      </w:pPr>
      <w:r w:rsidRPr="00432ABC">
        <w:rPr>
          <w:rStyle w:val="FootnoteReference"/>
          <w:rFonts w:ascii="Verdana" w:hAnsi="Verdana"/>
          <w:sz w:val="16"/>
          <w:szCs w:val="16"/>
          <w:lang w:val="es-ES"/>
        </w:rPr>
        <w:footnoteRef/>
      </w:r>
      <w:r w:rsidRPr="00432ABC">
        <w:rPr>
          <w:rFonts w:ascii="Verdana" w:hAnsi="Verdana"/>
          <w:sz w:val="16"/>
          <w:szCs w:val="16"/>
          <w:lang w:val="es-ES"/>
        </w:rPr>
        <w:t xml:space="preserve"> </w:t>
      </w:r>
      <w:r w:rsidRPr="002C462C">
        <w:rPr>
          <w:rFonts w:ascii="Verdana" w:hAnsi="Verdana"/>
          <w:sz w:val="16"/>
          <w:szCs w:val="16"/>
          <w:lang w:val="es-ES"/>
        </w:rPr>
        <w:tab/>
      </w:r>
      <w:r w:rsidRPr="00CD5C54">
        <w:rPr>
          <w:rFonts w:ascii="Verdana" w:hAnsi="Verdana"/>
          <w:i/>
          <w:iCs/>
          <w:sz w:val="16"/>
          <w:szCs w:val="16"/>
          <w:lang w:val="es-ES"/>
        </w:rPr>
        <w:t>Cfr.</w:t>
      </w:r>
      <w:r w:rsidRPr="002C462C">
        <w:rPr>
          <w:rFonts w:ascii="Verdana" w:hAnsi="Verdana"/>
          <w:i/>
          <w:iCs/>
          <w:sz w:val="16"/>
          <w:szCs w:val="16"/>
          <w:lang w:val="es-ES"/>
        </w:rPr>
        <w:t xml:space="preserve"> </w:t>
      </w:r>
      <w:r w:rsidRPr="00432ABC">
        <w:rPr>
          <w:rFonts w:ascii="Verdana" w:hAnsi="Verdana"/>
          <w:i/>
          <w:sz w:val="16"/>
          <w:szCs w:val="16"/>
          <w:lang w:val="es-ES"/>
        </w:rPr>
        <w:t xml:space="preserve">Caso Velásquez Rodríguez Vs. Honduras. </w:t>
      </w:r>
      <w:r w:rsidRPr="00432ABC">
        <w:rPr>
          <w:rFonts w:ascii="Verdana" w:hAnsi="Verdana"/>
          <w:i/>
          <w:sz w:val="16"/>
          <w:szCs w:val="16"/>
          <w:lang w:val="es-CR"/>
        </w:rPr>
        <w:t xml:space="preserve">Fondo. </w:t>
      </w:r>
      <w:r w:rsidRPr="00432ABC">
        <w:rPr>
          <w:rStyle w:val="FootnoteReference"/>
          <w:rFonts w:ascii="Verdana" w:hAnsi="Verdana"/>
          <w:sz w:val="16"/>
          <w:szCs w:val="16"/>
          <w:vertAlign w:val="baseline"/>
        </w:rPr>
        <w:t>Sentencia de 29 de julio de 1988. Serie C No. 4,</w:t>
      </w:r>
      <w:r w:rsidRPr="00432ABC">
        <w:rPr>
          <w:rStyle w:val="FootnoteReference"/>
          <w:rFonts w:ascii="Verdana" w:hAnsi="Verdana"/>
          <w:sz w:val="16"/>
          <w:szCs w:val="16"/>
        </w:rPr>
        <w:t xml:space="preserve"> </w:t>
      </w:r>
      <w:r w:rsidRPr="00432ABC">
        <w:rPr>
          <w:rFonts w:ascii="Verdana" w:hAnsi="Verdana"/>
          <w:sz w:val="16"/>
          <w:szCs w:val="16"/>
          <w:lang w:val="es-ES"/>
        </w:rPr>
        <w:t>párr. 166.</w:t>
      </w:r>
    </w:p>
  </w:footnote>
  <w:footnote w:id="441">
    <w:p w14:paraId="64AA62FC" w14:textId="2F9A02A3" w:rsidR="00146958" w:rsidRPr="00432ABC" w:rsidRDefault="00146958">
      <w:pPr>
        <w:pStyle w:val="FootnoteText"/>
        <w:jc w:val="both"/>
        <w:rPr>
          <w:rFonts w:ascii="Verdana" w:hAnsi="Verdana"/>
          <w:sz w:val="16"/>
          <w:szCs w:val="16"/>
          <w:lang w:val="es-ES"/>
        </w:rPr>
      </w:pPr>
      <w:r w:rsidRPr="00432ABC">
        <w:rPr>
          <w:rStyle w:val="FootnoteReference"/>
          <w:rFonts w:ascii="Verdana" w:hAnsi="Verdana"/>
          <w:sz w:val="16"/>
          <w:szCs w:val="16"/>
          <w:lang w:val="es-ES"/>
        </w:rPr>
        <w:footnoteRef/>
      </w:r>
      <w:r w:rsidRPr="00432ABC">
        <w:rPr>
          <w:rFonts w:ascii="Verdana" w:hAnsi="Verdana"/>
          <w:sz w:val="16"/>
          <w:szCs w:val="16"/>
          <w:lang w:val="es-ES"/>
        </w:rPr>
        <w:t xml:space="preserve"> </w:t>
      </w:r>
      <w:r w:rsidRPr="002C462C">
        <w:rPr>
          <w:rFonts w:ascii="Verdana" w:hAnsi="Verdana"/>
          <w:sz w:val="16"/>
          <w:szCs w:val="16"/>
          <w:lang w:val="es-ES"/>
        </w:rPr>
        <w:tab/>
      </w:r>
      <w:r w:rsidRPr="00CD5C54">
        <w:rPr>
          <w:rFonts w:ascii="Verdana" w:hAnsi="Verdana"/>
          <w:i/>
          <w:sz w:val="16"/>
          <w:szCs w:val="16"/>
          <w:lang w:val="es-ES"/>
        </w:rPr>
        <w:t>Cfr.</w:t>
      </w:r>
      <w:r w:rsidRPr="002C462C">
        <w:rPr>
          <w:rFonts w:ascii="Verdana" w:hAnsi="Verdana"/>
          <w:i/>
          <w:sz w:val="16"/>
          <w:szCs w:val="16"/>
          <w:lang w:val="es-ES"/>
        </w:rPr>
        <w:t xml:space="preserve"> </w:t>
      </w:r>
      <w:r w:rsidRPr="00553227">
        <w:rPr>
          <w:rFonts w:ascii="Verdana" w:hAnsi="Verdana"/>
          <w:i/>
          <w:sz w:val="16"/>
          <w:szCs w:val="16"/>
          <w:lang w:val="es-ES"/>
        </w:rPr>
        <w:t xml:space="preserve">Caso Goiburú y otros Vs. Paraguay. Fondo, </w:t>
      </w:r>
      <w:r w:rsidRPr="008D0846">
        <w:rPr>
          <w:rFonts w:ascii="Verdana" w:hAnsi="Verdana"/>
          <w:i/>
          <w:sz w:val="16"/>
          <w:szCs w:val="16"/>
          <w:lang w:val="es-ES"/>
        </w:rPr>
        <w:t>supra</w:t>
      </w:r>
      <w:r w:rsidRPr="00432ABC">
        <w:rPr>
          <w:rFonts w:ascii="Verdana" w:hAnsi="Verdana"/>
          <w:sz w:val="16"/>
          <w:szCs w:val="16"/>
          <w:lang w:val="es-ES"/>
        </w:rPr>
        <w:t xml:space="preserve"> párr. 128, y </w:t>
      </w:r>
      <w:r w:rsidRPr="00553227">
        <w:rPr>
          <w:rFonts w:ascii="Verdana" w:hAnsi="Verdana"/>
          <w:i/>
          <w:sz w:val="16"/>
          <w:szCs w:val="16"/>
          <w:lang w:val="es-ES"/>
        </w:rPr>
        <w:t xml:space="preserve">Caso </w:t>
      </w:r>
      <w:r w:rsidRPr="008D0846">
        <w:rPr>
          <w:rFonts w:ascii="Verdana" w:hAnsi="Verdana"/>
          <w:i/>
          <w:sz w:val="16"/>
          <w:szCs w:val="16"/>
          <w:lang w:val="es-ES"/>
        </w:rPr>
        <w:t>Terrones Silva y otros Vs. Perú, supra</w:t>
      </w:r>
      <w:r w:rsidRPr="00432ABC">
        <w:rPr>
          <w:rFonts w:ascii="Verdana" w:hAnsi="Verdana"/>
          <w:sz w:val="16"/>
          <w:szCs w:val="16"/>
          <w:lang w:val="es-ES"/>
        </w:rPr>
        <w:t xml:space="preserve"> párr. </w:t>
      </w:r>
      <w:r>
        <w:rPr>
          <w:rFonts w:ascii="Verdana" w:hAnsi="Verdana"/>
          <w:sz w:val="16"/>
          <w:szCs w:val="16"/>
          <w:lang w:val="es-ES"/>
        </w:rPr>
        <w:t>181</w:t>
      </w:r>
      <w:r w:rsidRPr="00432ABC">
        <w:rPr>
          <w:rFonts w:ascii="Verdana" w:hAnsi="Verdana"/>
          <w:sz w:val="16"/>
          <w:szCs w:val="16"/>
          <w:lang w:val="es-ES"/>
        </w:rPr>
        <w:t>.</w:t>
      </w:r>
    </w:p>
  </w:footnote>
  <w:footnote w:id="442">
    <w:p w14:paraId="64AA62FD" w14:textId="0ECBE751" w:rsidR="00146958" w:rsidRPr="00432ABC" w:rsidRDefault="00146958">
      <w:pPr>
        <w:pStyle w:val="FootnoteText"/>
        <w:jc w:val="both"/>
        <w:rPr>
          <w:rFonts w:ascii="Verdana" w:hAnsi="Verdana"/>
          <w:sz w:val="16"/>
          <w:szCs w:val="16"/>
        </w:rPr>
      </w:pPr>
      <w:r w:rsidRPr="00432ABC">
        <w:rPr>
          <w:rStyle w:val="FootnoteReference"/>
          <w:rFonts w:ascii="Verdana" w:hAnsi="Verdana"/>
          <w:sz w:val="16"/>
          <w:szCs w:val="16"/>
        </w:rPr>
        <w:footnoteRef/>
      </w:r>
      <w:r w:rsidRPr="00432ABC">
        <w:rPr>
          <w:rFonts w:ascii="Verdana" w:hAnsi="Verdana"/>
          <w:sz w:val="16"/>
          <w:szCs w:val="16"/>
        </w:rPr>
        <w:t xml:space="preserve"> </w:t>
      </w:r>
      <w:r w:rsidRPr="002C462C">
        <w:rPr>
          <w:rFonts w:ascii="Verdana" w:hAnsi="Verdana"/>
          <w:sz w:val="16"/>
          <w:szCs w:val="16"/>
        </w:rPr>
        <w:tab/>
      </w:r>
      <w:r w:rsidRPr="00CD5C54">
        <w:rPr>
          <w:rFonts w:ascii="Verdana" w:hAnsi="Verdana"/>
          <w:i/>
          <w:sz w:val="16"/>
          <w:szCs w:val="16"/>
        </w:rPr>
        <w:t>Cfr.</w:t>
      </w:r>
      <w:r w:rsidRPr="002C462C">
        <w:rPr>
          <w:rFonts w:ascii="Verdana" w:hAnsi="Verdana"/>
          <w:i/>
          <w:sz w:val="16"/>
          <w:szCs w:val="16"/>
        </w:rPr>
        <w:t xml:space="preserve"> Caso V</w:t>
      </w:r>
      <w:r>
        <w:rPr>
          <w:rFonts w:ascii="Verdana" w:hAnsi="Verdana"/>
          <w:i/>
          <w:sz w:val="16"/>
          <w:szCs w:val="16"/>
        </w:rPr>
        <w:t xml:space="preserve">elásquez Rodríguez Vs. Honduras. Fondo, supra </w:t>
      </w:r>
      <w:r w:rsidRPr="008D0846">
        <w:rPr>
          <w:rFonts w:ascii="Verdana" w:hAnsi="Verdana"/>
          <w:sz w:val="16"/>
          <w:szCs w:val="16"/>
        </w:rPr>
        <w:t>párr. 166</w:t>
      </w:r>
      <w:r>
        <w:rPr>
          <w:rFonts w:ascii="Verdana" w:hAnsi="Verdana"/>
          <w:i/>
          <w:sz w:val="16"/>
          <w:szCs w:val="16"/>
        </w:rPr>
        <w:t xml:space="preserve">, y </w:t>
      </w:r>
      <w:r w:rsidRPr="00C87F01">
        <w:rPr>
          <w:rFonts w:ascii="Verdana" w:hAnsi="Verdana"/>
          <w:i/>
          <w:sz w:val="16"/>
          <w:szCs w:val="16"/>
        </w:rPr>
        <w:t>Caso Terrones Silva y otros Vs. Per</w:t>
      </w:r>
      <w:r w:rsidRPr="00D4502B">
        <w:rPr>
          <w:rFonts w:ascii="Verdana" w:hAnsi="Verdana"/>
          <w:i/>
          <w:sz w:val="16"/>
          <w:szCs w:val="16"/>
        </w:rPr>
        <w:t>ú, supra</w:t>
      </w:r>
      <w:r>
        <w:rPr>
          <w:rFonts w:ascii="Verdana" w:hAnsi="Verdana"/>
          <w:i/>
          <w:sz w:val="16"/>
          <w:szCs w:val="16"/>
        </w:rPr>
        <w:t xml:space="preserve"> </w:t>
      </w:r>
      <w:r w:rsidRPr="008D0846">
        <w:rPr>
          <w:rFonts w:ascii="Verdana" w:hAnsi="Verdana"/>
          <w:sz w:val="16"/>
          <w:szCs w:val="16"/>
        </w:rPr>
        <w:t>párr. 181</w:t>
      </w:r>
      <w:r w:rsidRPr="00432ABC">
        <w:rPr>
          <w:rFonts w:ascii="Verdana" w:hAnsi="Verdana"/>
          <w:sz w:val="16"/>
          <w:szCs w:val="16"/>
        </w:rPr>
        <w:t>.</w:t>
      </w:r>
    </w:p>
  </w:footnote>
  <w:footnote w:id="443">
    <w:p w14:paraId="64AA62FE" w14:textId="24C1BF67" w:rsidR="00146958" w:rsidRPr="00066D10" w:rsidRDefault="00146958">
      <w:pPr>
        <w:pStyle w:val="FootnoteText"/>
        <w:jc w:val="both"/>
        <w:rPr>
          <w:rFonts w:ascii="Verdana" w:hAnsi="Verdana"/>
          <w:sz w:val="16"/>
          <w:szCs w:val="16"/>
          <w:lang w:val="es-ES"/>
        </w:rPr>
      </w:pPr>
      <w:r w:rsidRPr="00432ABC">
        <w:rPr>
          <w:rStyle w:val="Smbolodenotaalpie"/>
          <w:rFonts w:ascii="Verdana" w:hAnsi="Verdana"/>
          <w:sz w:val="16"/>
          <w:szCs w:val="16"/>
        </w:rPr>
        <w:footnoteRef/>
      </w:r>
      <w:r w:rsidRPr="00432ABC">
        <w:rPr>
          <w:rFonts w:ascii="Verdana" w:hAnsi="Verdana"/>
          <w:sz w:val="16"/>
          <w:szCs w:val="16"/>
          <w:lang w:val="es-CR"/>
        </w:rPr>
        <w:t xml:space="preserve"> </w:t>
      </w:r>
      <w:r w:rsidRPr="002C462C">
        <w:rPr>
          <w:rFonts w:ascii="Verdana" w:hAnsi="Verdana"/>
          <w:sz w:val="16"/>
          <w:szCs w:val="16"/>
          <w:lang w:val="es-CR"/>
        </w:rPr>
        <w:tab/>
      </w:r>
      <w:r w:rsidRPr="00CD5C54">
        <w:rPr>
          <w:rFonts w:ascii="Verdana" w:hAnsi="Verdana"/>
          <w:i/>
          <w:sz w:val="16"/>
          <w:szCs w:val="16"/>
          <w:lang w:val="es-CR"/>
        </w:rPr>
        <w:t>Cfr.</w:t>
      </w:r>
      <w:r w:rsidRPr="0073090E">
        <w:rPr>
          <w:rFonts w:ascii="Verdana" w:hAnsi="Verdana"/>
          <w:i/>
          <w:sz w:val="16"/>
          <w:szCs w:val="16"/>
          <w:lang w:val="es-CR"/>
        </w:rPr>
        <w:t xml:space="preserve"> Caso Castillo González y otros Vs. Venezuela. Fondo</w:t>
      </w:r>
      <w:r w:rsidRPr="00066D10">
        <w:rPr>
          <w:rFonts w:ascii="Verdana" w:hAnsi="Verdana"/>
          <w:sz w:val="16"/>
          <w:szCs w:val="16"/>
          <w:lang w:val="es-CR"/>
        </w:rPr>
        <w:t xml:space="preserve">. Sentencia de 27 de noviembre de 2012. Serie C No. 256, párr. 153, y </w:t>
      </w:r>
      <w:r w:rsidRPr="00553227">
        <w:rPr>
          <w:rFonts w:ascii="Verdana" w:hAnsi="Verdana"/>
          <w:i/>
          <w:sz w:val="16"/>
          <w:szCs w:val="16"/>
        </w:rPr>
        <w:t>Caso</w:t>
      </w:r>
      <w:r w:rsidRPr="008D0846">
        <w:rPr>
          <w:rFonts w:ascii="Verdana" w:hAnsi="Verdana"/>
          <w:i/>
          <w:sz w:val="16"/>
          <w:szCs w:val="16"/>
        </w:rPr>
        <w:t xml:space="preserve"> </w:t>
      </w:r>
      <w:r w:rsidRPr="00553227">
        <w:rPr>
          <w:rFonts w:ascii="Verdana" w:hAnsi="Verdana"/>
          <w:bCs/>
          <w:i/>
          <w:sz w:val="16"/>
          <w:szCs w:val="16"/>
          <w:lang w:val="es-GT"/>
        </w:rPr>
        <w:t>Carvajal Carvajal y otros Vs. Colombia</w:t>
      </w:r>
      <w:r w:rsidRPr="00066D10">
        <w:rPr>
          <w:rFonts w:ascii="Verdana" w:hAnsi="Verdana"/>
          <w:i/>
          <w:sz w:val="16"/>
          <w:szCs w:val="16"/>
          <w:lang w:val="es-CR"/>
        </w:rPr>
        <w:t>, supra</w:t>
      </w:r>
      <w:r w:rsidRPr="00066D10">
        <w:rPr>
          <w:rFonts w:ascii="Verdana" w:hAnsi="Verdana"/>
          <w:bCs/>
          <w:i/>
          <w:sz w:val="16"/>
          <w:szCs w:val="16"/>
          <w:lang w:val="es-GT"/>
        </w:rPr>
        <w:t xml:space="preserve"> </w:t>
      </w:r>
      <w:r w:rsidRPr="00066D10">
        <w:rPr>
          <w:rFonts w:ascii="Verdana" w:hAnsi="Verdana"/>
          <w:sz w:val="16"/>
          <w:szCs w:val="16"/>
          <w:lang w:val="es-ES"/>
        </w:rPr>
        <w:t>párr. 118.</w:t>
      </w:r>
    </w:p>
  </w:footnote>
  <w:footnote w:id="444">
    <w:p w14:paraId="64AA62FF" w14:textId="08C371CC" w:rsidR="00146958" w:rsidRPr="00066D10" w:rsidRDefault="00146958">
      <w:pPr>
        <w:pStyle w:val="FootnoteText"/>
        <w:jc w:val="both"/>
        <w:rPr>
          <w:rFonts w:ascii="Verdana" w:hAnsi="Verdana"/>
          <w:sz w:val="16"/>
          <w:szCs w:val="16"/>
          <w:lang w:val="es-CR"/>
        </w:rPr>
      </w:pPr>
      <w:r w:rsidRPr="00C87F01">
        <w:rPr>
          <w:rStyle w:val="Smbolodenotaalpie"/>
          <w:rFonts w:ascii="Verdana" w:hAnsi="Verdana"/>
          <w:sz w:val="16"/>
          <w:szCs w:val="16"/>
        </w:rPr>
        <w:footnoteRef/>
      </w:r>
      <w:r w:rsidRPr="00C87F01">
        <w:rPr>
          <w:rFonts w:ascii="Verdana" w:hAnsi="Verdana"/>
          <w:sz w:val="16"/>
          <w:szCs w:val="16"/>
          <w:lang w:val="es-ES"/>
        </w:rPr>
        <w:t xml:space="preserve"> </w:t>
      </w:r>
      <w:r w:rsidRPr="00C87F01">
        <w:rPr>
          <w:rFonts w:ascii="Verdana" w:hAnsi="Verdana"/>
          <w:sz w:val="16"/>
          <w:szCs w:val="16"/>
          <w:lang w:val="es-ES"/>
        </w:rPr>
        <w:tab/>
      </w:r>
      <w:r w:rsidRPr="00CD5C54">
        <w:rPr>
          <w:rFonts w:ascii="Verdana" w:hAnsi="Verdana"/>
          <w:i/>
          <w:sz w:val="16"/>
          <w:szCs w:val="16"/>
          <w:lang w:val="es-ES"/>
        </w:rPr>
        <w:t>Cfr.</w:t>
      </w:r>
      <w:r w:rsidRPr="00C71BAA">
        <w:rPr>
          <w:rFonts w:ascii="Verdana" w:hAnsi="Verdana"/>
          <w:i/>
          <w:sz w:val="16"/>
          <w:szCs w:val="16"/>
          <w:lang w:val="es-ES"/>
        </w:rPr>
        <w:t xml:space="preserve"> </w:t>
      </w:r>
      <w:r w:rsidRPr="00066D10">
        <w:rPr>
          <w:rFonts w:ascii="Verdana" w:hAnsi="Verdana"/>
          <w:bCs/>
          <w:i/>
          <w:sz w:val="16"/>
          <w:szCs w:val="16"/>
          <w:lang w:val="es-ES"/>
        </w:rPr>
        <w:t>Caso</w:t>
      </w:r>
      <w:r w:rsidRPr="00066D10">
        <w:rPr>
          <w:rFonts w:ascii="Verdana" w:hAnsi="Verdana"/>
          <w:bCs/>
          <w:sz w:val="16"/>
          <w:szCs w:val="16"/>
          <w:lang w:val="es-ES"/>
        </w:rPr>
        <w:t xml:space="preserve"> </w:t>
      </w:r>
      <w:r w:rsidRPr="00066D10">
        <w:rPr>
          <w:rFonts w:ascii="Verdana" w:hAnsi="Verdana"/>
          <w:bCs/>
          <w:i/>
          <w:sz w:val="16"/>
          <w:szCs w:val="16"/>
          <w:lang w:val="es-ES"/>
        </w:rPr>
        <w:t>Nogueira de Carvalho y otro Vs. Brasil.</w:t>
      </w:r>
      <w:r w:rsidRPr="00066D10">
        <w:rPr>
          <w:rFonts w:ascii="Verdana" w:hAnsi="Verdana"/>
          <w:bCs/>
          <w:sz w:val="16"/>
          <w:szCs w:val="16"/>
          <w:lang w:val="es-ES"/>
        </w:rPr>
        <w:t xml:space="preserve"> </w:t>
      </w:r>
      <w:r w:rsidRPr="00066D10">
        <w:rPr>
          <w:rFonts w:ascii="Verdana" w:hAnsi="Verdana"/>
          <w:bCs/>
          <w:i/>
          <w:sz w:val="16"/>
          <w:szCs w:val="16"/>
          <w:lang w:val="es-ES"/>
        </w:rPr>
        <w:t>Excepciones Preliminares y Fondo</w:t>
      </w:r>
      <w:r w:rsidRPr="00066D10">
        <w:rPr>
          <w:rFonts w:ascii="Verdana" w:hAnsi="Verdana"/>
          <w:bCs/>
          <w:sz w:val="16"/>
          <w:szCs w:val="16"/>
          <w:lang w:val="es-ES"/>
        </w:rPr>
        <w:t>. Sentencia de 28 de noviembre de 2006. Serie C No. 161,</w:t>
      </w:r>
      <w:r w:rsidRPr="00066D10">
        <w:rPr>
          <w:rFonts w:ascii="Verdana" w:hAnsi="Verdana"/>
          <w:bCs/>
          <w:i/>
          <w:sz w:val="16"/>
          <w:szCs w:val="16"/>
          <w:lang w:val="es-ES"/>
        </w:rPr>
        <w:t xml:space="preserve"> </w:t>
      </w:r>
      <w:r w:rsidRPr="00066D10">
        <w:rPr>
          <w:rFonts w:ascii="Verdana" w:hAnsi="Verdana"/>
          <w:sz w:val="16"/>
          <w:szCs w:val="16"/>
          <w:lang w:val="es-ES"/>
        </w:rPr>
        <w:t xml:space="preserve">párr. </w:t>
      </w:r>
      <w:r w:rsidRPr="00066D10">
        <w:rPr>
          <w:rFonts w:ascii="Verdana" w:hAnsi="Verdana"/>
          <w:sz w:val="16"/>
          <w:szCs w:val="16"/>
          <w:lang w:val="es-CR"/>
        </w:rPr>
        <w:t xml:space="preserve">80, y </w:t>
      </w:r>
      <w:r w:rsidRPr="00553227">
        <w:rPr>
          <w:rFonts w:ascii="Verdana" w:hAnsi="Verdana"/>
          <w:i/>
          <w:sz w:val="16"/>
          <w:szCs w:val="16"/>
        </w:rPr>
        <w:t xml:space="preserve">Caso </w:t>
      </w:r>
      <w:r w:rsidRPr="00553227">
        <w:rPr>
          <w:rFonts w:ascii="Verdana" w:hAnsi="Verdana"/>
          <w:i/>
          <w:sz w:val="16"/>
          <w:szCs w:val="16"/>
          <w:lang w:val="es-CR"/>
        </w:rPr>
        <w:t>Coc Max y otros (Masacre de Xam</w:t>
      </w:r>
      <w:r w:rsidRPr="008D0846">
        <w:rPr>
          <w:rFonts w:ascii="Verdana" w:hAnsi="Verdana" w:cs="Arial"/>
          <w:i/>
          <w:sz w:val="16"/>
          <w:szCs w:val="16"/>
          <w:lang w:val="es-CR"/>
        </w:rPr>
        <w:t>án) Vs. Guatemala. Fondo, Reparaciones y Costas</w:t>
      </w:r>
      <w:r w:rsidRPr="008D0846">
        <w:rPr>
          <w:rFonts w:ascii="Verdana" w:hAnsi="Verdana" w:cs="Arial"/>
          <w:sz w:val="16"/>
          <w:szCs w:val="16"/>
          <w:lang w:val="es-CR"/>
        </w:rPr>
        <w:t>. Sentencia de 22 de agosto de 2018. Serie C No. 356</w:t>
      </w:r>
      <w:r w:rsidRPr="008D0846">
        <w:rPr>
          <w:rFonts w:ascii="Verdana" w:hAnsi="Verdana"/>
          <w:sz w:val="16"/>
          <w:szCs w:val="16"/>
          <w:lang w:val="es-CR"/>
        </w:rPr>
        <w:t xml:space="preserve">, </w:t>
      </w:r>
      <w:r w:rsidRPr="00C87F01">
        <w:rPr>
          <w:rFonts w:ascii="Verdana" w:hAnsi="Verdana"/>
          <w:sz w:val="16"/>
          <w:szCs w:val="16"/>
          <w:lang w:val="es-CR"/>
        </w:rPr>
        <w:t xml:space="preserve">párr. </w:t>
      </w:r>
      <w:r w:rsidRPr="00C71BAA">
        <w:rPr>
          <w:rFonts w:ascii="Verdana" w:hAnsi="Verdana"/>
          <w:sz w:val="16"/>
          <w:szCs w:val="16"/>
          <w:lang w:val="es-CR"/>
        </w:rPr>
        <w:t>8</w:t>
      </w:r>
      <w:r w:rsidRPr="00066D10">
        <w:rPr>
          <w:rFonts w:ascii="Verdana" w:hAnsi="Verdana"/>
          <w:sz w:val="16"/>
          <w:szCs w:val="16"/>
          <w:lang w:val="es-CR"/>
        </w:rPr>
        <w:t>1.</w:t>
      </w:r>
    </w:p>
  </w:footnote>
  <w:footnote w:id="445">
    <w:p w14:paraId="64AA6300" w14:textId="6286C451" w:rsidR="00146958" w:rsidRPr="00C71BAA" w:rsidRDefault="00146958">
      <w:pPr>
        <w:pStyle w:val="FootnoteText"/>
        <w:jc w:val="both"/>
        <w:rPr>
          <w:rStyle w:val="FootnoteReference"/>
          <w:rFonts w:ascii="Verdana" w:hAnsi="Verdana"/>
          <w:sz w:val="16"/>
          <w:szCs w:val="16"/>
        </w:rPr>
      </w:pPr>
      <w:r w:rsidRPr="00C87F01">
        <w:rPr>
          <w:rStyle w:val="FootnoteReference"/>
          <w:rFonts w:ascii="Verdana" w:hAnsi="Verdana"/>
          <w:sz w:val="16"/>
          <w:szCs w:val="16"/>
        </w:rPr>
        <w:footnoteRef/>
      </w:r>
      <w:r w:rsidRPr="00C87F01">
        <w:rPr>
          <w:rStyle w:val="FootnoteReference"/>
          <w:rFonts w:ascii="Verdana" w:hAnsi="Verdana"/>
          <w:sz w:val="16"/>
          <w:szCs w:val="16"/>
          <w:lang w:val="es-CR"/>
        </w:rPr>
        <w:t xml:space="preserve"> </w:t>
      </w:r>
      <w:r w:rsidRPr="00C87F01">
        <w:rPr>
          <w:rStyle w:val="FootnoteReference"/>
          <w:rFonts w:ascii="Verdana" w:hAnsi="Verdana"/>
          <w:sz w:val="16"/>
          <w:szCs w:val="16"/>
          <w:lang w:val="es-CR"/>
        </w:rPr>
        <w:tab/>
      </w:r>
      <w:r w:rsidRPr="00CD5C54">
        <w:rPr>
          <w:rFonts w:ascii="Verdana" w:hAnsi="Verdana"/>
          <w:i/>
          <w:sz w:val="16"/>
          <w:szCs w:val="16"/>
          <w:lang w:val="es-CR"/>
        </w:rPr>
        <w:t>Cfr.</w:t>
      </w:r>
      <w:r w:rsidRPr="00C71BAA">
        <w:rPr>
          <w:rFonts w:ascii="Verdana" w:hAnsi="Verdana"/>
          <w:i/>
          <w:sz w:val="16"/>
          <w:szCs w:val="16"/>
          <w:lang w:val="es-CR"/>
        </w:rPr>
        <w:t xml:space="preserve"> Caso Velásquez Rodrígue</w:t>
      </w:r>
      <w:r>
        <w:rPr>
          <w:rFonts w:ascii="Verdana" w:hAnsi="Verdana"/>
          <w:i/>
          <w:sz w:val="16"/>
          <w:szCs w:val="16"/>
          <w:lang w:val="es-CR"/>
        </w:rPr>
        <w:t>z Vs. Honduras. Fondo,</w:t>
      </w:r>
      <w:r w:rsidRPr="00C87F01">
        <w:rPr>
          <w:rFonts w:ascii="Verdana" w:hAnsi="Verdana"/>
          <w:i/>
          <w:sz w:val="16"/>
          <w:szCs w:val="16"/>
          <w:lang w:val="es-CR"/>
        </w:rPr>
        <w:t xml:space="preserve"> </w:t>
      </w:r>
      <w:r>
        <w:rPr>
          <w:rFonts w:ascii="Verdana" w:hAnsi="Verdana"/>
          <w:i/>
          <w:sz w:val="16"/>
          <w:szCs w:val="16"/>
          <w:lang w:val="es-CR"/>
        </w:rPr>
        <w:t>s</w:t>
      </w:r>
      <w:r w:rsidRPr="00C87F01">
        <w:rPr>
          <w:rFonts w:ascii="Verdana" w:hAnsi="Verdana"/>
          <w:i/>
          <w:sz w:val="16"/>
          <w:szCs w:val="16"/>
          <w:lang w:val="es-CR"/>
        </w:rPr>
        <w:t>upra</w:t>
      </w:r>
      <w:r w:rsidRPr="00066D10">
        <w:rPr>
          <w:rStyle w:val="FootnoteReference"/>
          <w:rFonts w:ascii="Verdana" w:hAnsi="Verdana"/>
          <w:sz w:val="16"/>
          <w:szCs w:val="16"/>
        </w:rPr>
        <w:t xml:space="preserve"> </w:t>
      </w:r>
      <w:r w:rsidRPr="00066D10">
        <w:rPr>
          <w:rFonts w:ascii="Verdana" w:hAnsi="Verdana"/>
          <w:sz w:val="16"/>
          <w:szCs w:val="16"/>
          <w:lang w:val="es-CR"/>
        </w:rPr>
        <w:t xml:space="preserve">párrs. 166 y 176, y </w:t>
      </w:r>
      <w:r w:rsidRPr="00066D10">
        <w:rPr>
          <w:rFonts w:ascii="Verdana" w:hAnsi="Verdana"/>
          <w:i/>
          <w:sz w:val="16"/>
          <w:szCs w:val="16"/>
          <w:lang w:val="es-CR"/>
        </w:rPr>
        <w:t xml:space="preserve">Caso </w:t>
      </w:r>
      <w:r>
        <w:rPr>
          <w:rFonts w:ascii="Verdana" w:hAnsi="Verdana"/>
          <w:i/>
          <w:sz w:val="16"/>
          <w:szCs w:val="16"/>
          <w:lang w:val="es-CR"/>
        </w:rPr>
        <w:t xml:space="preserve">Tenorio Roca y otros Vs. Perú. </w:t>
      </w:r>
      <w:r w:rsidRPr="00533C16">
        <w:rPr>
          <w:rFonts w:ascii="Verdana" w:hAnsi="Verdana"/>
          <w:i/>
          <w:sz w:val="16"/>
          <w:szCs w:val="16"/>
          <w:lang w:val="es-CR"/>
        </w:rPr>
        <w:t>Excepciones Preliminares, Fondo, Reparaciones y Costas</w:t>
      </w:r>
      <w:r w:rsidRPr="008D0846">
        <w:rPr>
          <w:rFonts w:ascii="Verdana" w:hAnsi="Verdana"/>
          <w:sz w:val="16"/>
          <w:szCs w:val="16"/>
          <w:lang w:val="es-CR"/>
        </w:rPr>
        <w:t>. Sentencia de 22 de junio de 2016. Serie C No. 314, párr. 167</w:t>
      </w:r>
      <w:r w:rsidRPr="00C87F01">
        <w:rPr>
          <w:rFonts w:ascii="Verdana" w:hAnsi="Verdana"/>
          <w:sz w:val="16"/>
          <w:szCs w:val="16"/>
          <w:lang w:val="es-CR"/>
        </w:rPr>
        <w:t>.</w:t>
      </w:r>
    </w:p>
  </w:footnote>
  <w:footnote w:id="446">
    <w:p w14:paraId="64AA6301" w14:textId="402E4483" w:rsidR="00146958" w:rsidRPr="00C87F01" w:rsidRDefault="00146958">
      <w:pPr>
        <w:pStyle w:val="FootnoteText"/>
        <w:jc w:val="both"/>
        <w:rPr>
          <w:rStyle w:val="FootnoteReference"/>
          <w:rFonts w:ascii="Verdana" w:hAnsi="Verdana"/>
          <w:sz w:val="16"/>
          <w:szCs w:val="16"/>
          <w:lang w:val="es-CR"/>
        </w:rPr>
      </w:pPr>
      <w:r w:rsidRPr="00C87F01">
        <w:rPr>
          <w:rStyle w:val="FootnoteReference"/>
          <w:rFonts w:ascii="Verdana" w:hAnsi="Verdana"/>
          <w:sz w:val="16"/>
          <w:szCs w:val="16"/>
        </w:rPr>
        <w:footnoteRef/>
      </w:r>
      <w:r w:rsidRPr="00C87F01">
        <w:rPr>
          <w:rStyle w:val="FootnoteReference"/>
          <w:rFonts w:ascii="Verdana" w:hAnsi="Verdana"/>
          <w:sz w:val="16"/>
          <w:szCs w:val="16"/>
          <w:lang w:val="es-CR"/>
        </w:rPr>
        <w:t xml:space="preserve"> </w:t>
      </w:r>
      <w:r w:rsidRPr="00C87F01">
        <w:rPr>
          <w:rFonts w:ascii="Verdana" w:hAnsi="Verdana"/>
          <w:sz w:val="16"/>
          <w:szCs w:val="16"/>
          <w:lang w:val="es-CR"/>
        </w:rPr>
        <w:tab/>
      </w:r>
      <w:r w:rsidRPr="00CD5C54">
        <w:rPr>
          <w:rFonts w:ascii="Verdana" w:hAnsi="Verdana"/>
          <w:i/>
          <w:sz w:val="16"/>
          <w:szCs w:val="16"/>
          <w:lang w:val="es-CR"/>
        </w:rPr>
        <w:t>Cfr.</w:t>
      </w:r>
      <w:r w:rsidRPr="00C71BAA">
        <w:rPr>
          <w:rFonts w:ascii="Verdana" w:hAnsi="Verdana"/>
          <w:i/>
          <w:sz w:val="16"/>
          <w:szCs w:val="16"/>
          <w:lang w:val="es-CR"/>
        </w:rPr>
        <w:t xml:space="preserve"> Caso de la "Masacre de Mapiripán" Vs. Colombia. Fondo, Reparaciones y Costas. </w:t>
      </w:r>
      <w:r w:rsidRPr="00066D10">
        <w:rPr>
          <w:rFonts w:ascii="Verdana" w:hAnsi="Verdana"/>
          <w:sz w:val="16"/>
          <w:szCs w:val="16"/>
          <w:lang w:val="es-CR"/>
        </w:rPr>
        <w:t xml:space="preserve">Sentencia de 15 de septiembre de 2005. Serie C No. 134, párrs. 219, 222 y 223, y </w:t>
      </w:r>
      <w:r w:rsidRPr="00553227">
        <w:rPr>
          <w:rFonts w:ascii="Verdana" w:hAnsi="Verdana"/>
          <w:i/>
          <w:sz w:val="16"/>
          <w:szCs w:val="16"/>
          <w:lang w:val="es-CR"/>
        </w:rPr>
        <w:t>Caso Tenorio Roca y otros Vs. Perú, supra</w:t>
      </w:r>
      <w:r w:rsidRPr="00C71BAA">
        <w:rPr>
          <w:rFonts w:ascii="Verdana" w:hAnsi="Verdana"/>
          <w:sz w:val="16"/>
          <w:szCs w:val="16"/>
          <w:lang w:val="es-CR"/>
        </w:rPr>
        <w:t xml:space="preserve"> </w:t>
      </w:r>
      <w:r w:rsidRPr="00066D10">
        <w:rPr>
          <w:rFonts w:ascii="Verdana" w:hAnsi="Verdana"/>
          <w:spacing w:val="-4"/>
          <w:sz w:val="16"/>
          <w:szCs w:val="16"/>
          <w:lang w:val="es-VE"/>
        </w:rPr>
        <w:t>párr. 1</w:t>
      </w:r>
      <w:r>
        <w:rPr>
          <w:rFonts w:ascii="Verdana" w:hAnsi="Verdana"/>
          <w:spacing w:val="-4"/>
          <w:sz w:val="16"/>
          <w:szCs w:val="16"/>
          <w:lang w:val="es-VE"/>
        </w:rPr>
        <w:t>68</w:t>
      </w:r>
      <w:r w:rsidRPr="00C87F01">
        <w:rPr>
          <w:rFonts w:ascii="Verdana" w:hAnsi="Verdana"/>
          <w:spacing w:val="-4"/>
          <w:sz w:val="16"/>
          <w:szCs w:val="16"/>
          <w:lang w:val="es-VE"/>
        </w:rPr>
        <w:t>.</w:t>
      </w:r>
    </w:p>
  </w:footnote>
  <w:footnote w:id="447">
    <w:p w14:paraId="64AA6302" w14:textId="6AE9C244" w:rsidR="00146958" w:rsidRPr="00C87F01" w:rsidRDefault="00146958">
      <w:pPr>
        <w:pStyle w:val="FootnoteText"/>
        <w:jc w:val="both"/>
        <w:rPr>
          <w:rFonts w:ascii="Verdana" w:hAnsi="Verdana"/>
          <w:sz w:val="16"/>
          <w:szCs w:val="16"/>
        </w:rPr>
      </w:pPr>
      <w:r w:rsidRPr="00C87F01">
        <w:rPr>
          <w:rStyle w:val="FootnoteReference"/>
          <w:rFonts w:ascii="Verdana" w:hAnsi="Verdana"/>
          <w:sz w:val="16"/>
          <w:szCs w:val="16"/>
        </w:rPr>
        <w:footnoteRef/>
      </w:r>
      <w:r w:rsidRPr="00C87F01">
        <w:rPr>
          <w:rFonts w:ascii="Verdana" w:hAnsi="Verdana"/>
          <w:sz w:val="16"/>
          <w:szCs w:val="16"/>
        </w:rPr>
        <w:t xml:space="preserve"> </w:t>
      </w:r>
      <w:r w:rsidRPr="00C87F01">
        <w:rPr>
          <w:rFonts w:ascii="Verdana" w:hAnsi="Verdana"/>
          <w:sz w:val="16"/>
          <w:szCs w:val="16"/>
        </w:rPr>
        <w:tab/>
      </w:r>
      <w:r w:rsidRPr="00C71BAA">
        <w:rPr>
          <w:rFonts w:ascii="Verdana" w:hAnsi="Verdana"/>
          <w:color w:val="000000"/>
          <w:sz w:val="16"/>
          <w:szCs w:val="16"/>
        </w:rPr>
        <w:t xml:space="preserve">Oficio 1656/2010 de 5 de enero de 2010 suscrito por Óscar Arias Ocampo </w:t>
      </w:r>
      <w:r>
        <w:rPr>
          <w:rFonts w:ascii="Verdana" w:hAnsi="Verdana"/>
          <w:color w:val="000000"/>
          <w:sz w:val="16"/>
          <w:szCs w:val="16"/>
        </w:rPr>
        <w:t>(expediente de prueba f. 12299)</w:t>
      </w:r>
      <w:r w:rsidRPr="00C87F01">
        <w:rPr>
          <w:rFonts w:ascii="Verdana" w:hAnsi="Verdana"/>
          <w:color w:val="000000"/>
          <w:sz w:val="16"/>
          <w:szCs w:val="16"/>
        </w:rPr>
        <w:t>.</w:t>
      </w:r>
    </w:p>
  </w:footnote>
  <w:footnote w:id="448">
    <w:p w14:paraId="64AA6303" w14:textId="6AAE7C21" w:rsidR="00146958" w:rsidRPr="00066D10" w:rsidRDefault="00146958">
      <w:pPr>
        <w:pStyle w:val="FootnoteText"/>
        <w:jc w:val="both"/>
        <w:rPr>
          <w:rFonts w:ascii="Verdana" w:hAnsi="Verdana"/>
          <w:sz w:val="16"/>
          <w:szCs w:val="16"/>
        </w:rPr>
      </w:pPr>
      <w:r w:rsidRPr="00C87F01">
        <w:rPr>
          <w:rStyle w:val="FootnoteReference"/>
          <w:rFonts w:ascii="Verdana" w:hAnsi="Verdana"/>
          <w:sz w:val="16"/>
          <w:szCs w:val="16"/>
        </w:rPr>
        <w:footnoteRef/>
      </w:r>
      <w:r w:rsidRPr="00C87F01">
        <w:rPr>
          <w:rFonts w:ascii="Verdana" w:hAnsi="Verdana"/>
          <w:sz w:val="16"/>
          <w:szCs w:val="16"/>
        </w:rPr>
        <w:t xml:space="preserve"> </w:t>
      </w:r>
      <w:r w:rsidRPr="00C87F01">
        <w:rPr>
          <w:rFonts w:ascii="Verdana" w:hAnsi="Verdana"/>
          <w:sz w:val="16"/>
          <w:szCs w:val="16"/>
        </w:rPr>
        <w:tab/>
      </w:r>
      <w:r>
        <w:rPr>
          <w:rFonts w:ascii="Verdana" w:hAnsi="Verdana"/>
          <w:sz w:val="16"/>
          <w:szCs w:val="16"/>
        </w:rPr>
        <w:t>Testimonio ministerial de Mario Castro García el 9 de marzo de 2010 ante el AMP-UEIPAE (e</w:t>
      </w:r>
      <w:r w:rsidRPr="00C87F01">
        <w:rPr>
          <w:rFonts w:ascii="Verdana" w:hAnsi="Verdana"/>
          <w:sz w:val="16"/>
          <w:szCs w:val="16"/>
        </w:rPr>
        <w:t xml:space="preserve">xpediente de prueba, </w:t>
      </w:r>
      <w:r w:rsidRPr="00066D10">
        <w:rPr>
          <w:rFonts w:ascii="Verdana" w:hAnsi="Verdana"/>
          <w:sz w:val="16"/>
          <w:szCs w:val="16"/>
        </w:rPr>
        <w:t>f. 2794</w:t>
      </w:r>
      <w:r>
        <w:rPr>
          <w:rFonts w:ascii="Verdana" w:hAnsi="Verdana"/>
          <w:sz w:val="16"/>
          <w:szCs w:val="16"/>
        </w:rPr>
        <w:t>2)</w:t>
      </w:r>
      <w:r w:rsidRPr="00066D10">
        <w:rPr>
          <w:rFonts w:ascii="Verdana" w:hAnsi="Verdana"/>
          <w:sz w:val="16"/>
          <w:szCs w:val="16"/>
        </w:rPr>
        <w:t>.</w:t>
      </w:r>
    </w:p>
  </w:footnote>
  <w:footnote w:id="449">
    <w:p w14:paraId="64AA6304" w14:textId="107FA2F7" w:rsidR="00146958" w:rsidRPr="00432ABC" w:rsidRDefault="00146958" w:rsidP="00C71BAA">
      <w:pPr>
        <w:pStyle w:val="FootnoteText"/>
        <w:jc w:val="both"/>
        <w:rPr>
          <w:rFonts w:ascii="Verdana" w:hAnsi="Verdana"/>
          <w:sz w:val="16"/>
          <w:szCs w:val="16"/>
        </w:rPr>
      </w:pPr>
      <w:r w:rsidRPr="00432ABC">
        <w:rPr>
          <w:rStyle w:val="FootnoteReference"/>
          <w:rFonts w:ascii="Verdana" w:hAnsi="Verdana"/>
          <w:sz w:val="16"/>
          <w:szCs w:val="16"/>
        </w:rPr>
        <w:footnoteRef/>
      </w:r>
      <w:r w:rsidRPr="00432ABC">
        <w:rPr>
          <w:rFonts w:ascii="Verdana" w:hAnsi="Verdana"/>
          <w:sz w:val="16"/>
          <w:szCs w:val="16"/>
        </w:rPr>
        <w:t xml:space="preserve"> </w:t>
      </w:r>
      <w:r w:rsidRPr="002C462C">
        <w:rPr>
          <w:rFonts w:ascii="Verdana" w:hAnsi="Verdana"/>
          <w:sz w:val="16"/>
          <w:szCs w:val="16"/>
        </w:rPr>
        <w:tab/>
      </w:r>
      <w:r w:rsidRPr="00CD5C54">
        <w:rPr>
          <w:rFonts w:ascii="Verdana" w:hAnsi="Verdana"/>
          <w:i/>
          <w:sz w:val="16"/>
          <w:szCs w:val="16"/>
        </w:rPr>
        <w:t>Cfr.</w:t>
      </w:r>
      <w:r w:rsidRPr="002C462C">
        <w:rPr>
          <w:rFonts w:ascii="Verdana" w:hAnsi="Verdana"/>
          <w:i/>
          <w:sz w:val="16"/>
          <w:szCs w:val="16"/>
        </w:rPr>
        <w:t xml:space="preserve"> </w:t>
      </w:r>
      <w:r w:rsidRPr="00432ABC">
        <w:rPr>
          <w:rFonts w:ascii="Verdana" w:hAnsi="Verdana"/>
          <w:sz w:val="16"/>
          <w:szCs w:val="16"/>
        </w:rPr>
        <w:t>Parte informativo rendido el 30 de diciembre de 2009 por Mario Castro García, Comandante de Seguridad y Vialidad Pública del Ejido Benito Juárez (</w:t>
      </w:r>
      <w:r>
        <w:rPr>
          <w:rFonts w:ascii="Verdana" w:hAnsi="Verdana"/>
          <w:sz w:val="16"/>
          <w:szCs w:val="16"/>
        </w:rPr>
        <w:t>expediente de prueba, ff. 5753 y 5754</w:t>
      </w:r>
      <w:r w:rsidRPr="00432ABC">
        <w:rPr>
          <w:rFonts w:ascii="Verdana" w:hAnsi="Verdana"/>
          <w:sz w:val="16"/>
          <w:szCs w:val="16"/>
        </w:rPr>
        <w:t>).</w:t>
      </w:r>
    </w:p>
  </w:footnote>
  <w:footnote w:id="450">
    <w:p w14:paraId="64AA6305" w14:textId="19183F60" w:rsidR="00146958" w:rsidRPr="00432ABC" w:rsidRDefault="00146958">
      <w:pPr>
        <w:pStyle w:val="FootnoteText"/>
        <w:jc w:val="both"/>
        <w:rPr>
          <w:rFonts w:ascii="Verdana" w:hAnsi="Verdana"/>
          <w:sz w:val="16"/>
          <w:szCs w:val="16"/>
        </w:rPr>
      </w:pPr>
      <w:r w:rsidRPr="00432ABC">
        <w:rPr>
          <w:rStyle w:val="FootnoteReference"/>
          <w:rFonts w:ascii="Verdana" w:hAnsi="Verdana"/>
          <w:sz w:val="16"/>
          <w:szCs w:val="16"/>
        </w:rPr>
        <w:footnoteRef/>
      </w:r>
      <w:r w:rsidRPr="00432ABC">
        <w:rPr>
          <w:rFonts w:ascii="Verdana" w:hAnsi="Verdana"/>
          <w:sz w:val="16"/>
          <w:szCs w:val="16"/>
        </w:rPr>
        <w:t xml:space="preserve"> </w:t>
      </w:r>
      <w:r w:rsidRPr="002C462C">
        <w:rPr>
          <w:rFonts w:ascii="Verdana" w:hAnsi="Verdana"/>
          <w:sz w:val="16"/>
          <w:szCs w:val="16"/>
        </w:rPr>
        <w:tab/>
        <w:t>Cabe señalar que el traslado del vehículo se dio por petición del comandante de la Policía Seccional y no derivado de una orden o de una puesta a disposición formal (</w:t>
      </w:r>
      <w:r>
        <w:rPr>
          <w:rFonts w:ascii="Verdana" w:hAnsi="Verdana"/>
          <w:sz w:val="16"/>
          <w:szCs w:val="16"/>
        </w:rPr>
        <w:t>expediente de prueba, f. 12300</w:t>
      </w:r>
      <w:r w:rsidRPr="00432ABC">
        <w:rPr>
          <w:rFonts w:ascii="Verdana" w:hAnsi="Verdana"/>
          <w:sz w:val="16"/>
          <w:szCs w:val="16"/>
        </w:rPr>
        <w:t>).</w:t>
      </w:r>
    </w:p>
  </w:footnote>
  <w:footnote w:id="451">
    <w:p w14:paraId="64AA6306" w14:textId="1506C044" w:rsidR="00146958" w:rsidRPr="00432ABC" w:rsidRDefault="00146958">
      <w:pPr>
        <w:pStyle w:val="FootnoteText"/>
        <w:jc w:val="both"/>
        <w:rPr>
          <w:rFonts w:ascii="Verdana" w:hAnsi="Verdana"/>
          <w:sz w:val="16"/>
          <w:szCs w:val="16"/>
        </w:rPr>
      </w:pPr>
      <w:r w:rsidRPr="00432ABC">
        <w:rPr>
          <w:rStyle w:val="FootnoteReference"/>
          <w:rFonts w:ascii="Verdana" w:hAnsi="Verdana"/>
          <w:sz w:val="16"/>
          <w:szCs w:val="16"/>
        </w:rPr>
        <w:footnoteRef/>
      </w:r>
      <w:r w:rsidRPr="00432ABC">
        <w:rPr>
          <w:rFonts w:ascii="Verdana" w:hAnsi="Verdana"/>
          <w:sz w:val="16"/>
          <w:szCs w:val="16"/>
        </w:rPr>
        <w:t xml:space="preserve"> </w:t>
      </w:r>
      <w:r w:rsidRPr="002C462C">
        <w:rPr>
          <w:rFonts w:ascii="Verdana" w:hAnsi="Verdana"/>
          <w:sz w:val="16"/>
          <w:szCs w:val="16"/>
        </w:rPr>
        <w:tab/>
      </w:r>
      <w:r>
        <w:rPr>
          <w:rFonts w:ascii="Verdana" w:hAnsi="Verdana"/>
          <w:sz w:val="16"/>
          <w:szCs w:val="16"/>
        </w:rPr>
        <w:t>Parte informativo rendido el 30 de diciembre de 2009 por Mario Castro García ante el Director de Seguridad Pública y Vialidad Municipal de Buenaventura, Chihuahua (expediente de prueba, ff. 5753 y 5754)</w:t>
      </w:r>
      <w:r w:rsidRPr="00432ABC">
        <w:rPr>
          <w:rFonts w:ascii="Verdana" w:hAnsi="Verdana"/>
          <w:sz w:val="16"/>
          <w:szCs w:val="16"/>
        </w:rPr>
        <w:t>.</w:t>
      </w:r>
    </w:p>
  </w:footnote>
  <w:footnote w:id="452">
    <w:p w14:paraId="64AA6307" w14:textId="0A7A4809" w:rsidR="00146958" w:rsidRPr="00432ABC" w:rsidRDefault="00146958">
      <w:pPr>
        <w:pStyle w:val="FootnoteText"/>
        <w:jc w:val="both"/>
        <w:rPr>
          <w:rFonts w:ascii="Verdana" w:hAnsi="Verdana"/>
          <w:sz w:val="16"/>
          <w:szCs w:val="16"/>
        </w:rPr>
      </w:pPr>
      <w:r w:rsidRPr="00432ABC">
        <w:rPr>
          <w:rStyle w:val="FootnoteReference"/>
          <w:rFonts w:ascii="Verdana" w:hAnsi="Verdana"/>
          <w:sz w:val="16"/>
          <w:szCs w:val="16"/>
        </w:rPr>
        <w:footnoteRef/>
      </w:r>
      <w:r w:rsidRPr="00432ABC">
        <w:rPr>
          <w:rFonts w:ascii="Verdana" w:hAnsi="Verdana"/>
          <w:sz w:val="16"/>
          <w:szCs w:val="16"/>
        </w:rPr>
        <w:t xml:space="preserve"> </w:t>
      </w:r>
      <w:r w:rsidRPr="002C462C">
        <w:rPr>
          <w:rFonts w:ascii="Verdana" w:hAnsi="Verdana"/>
          <w:sz w:val="16"/>
          <w:szCs w:val="16"/>
        </w:rPr>
        <w:tab/>
      </w:r>
      <w:r>
        <w:rPr>
          <w:rFonts w:ascii="Verdana" w:hAnsi="Verdana"/>
          <w:sz w:val="16"/>
          <w:szCs w:val="16"/>
        </w:rPr>
        <w:t>Acta de aviso de la policía a la Unidad Especializada de Hechos Probablemente Delictuosos</w:t>
      </w:r>
      <w:r w:rsidRPr="00432ABC">
        <w:rPr>
          <w:rFonts w:ascii="Verdana" w:hAnsi="Verdana"/>
          <w:sz w:val="16"/>
          <w:szCs w:val="16"/>
        </w:rPr>
        <w:t>,</w:t>
      </w:r>
      <w:r>
        <w:rPr>
          <w:rFonts w:ascii="Verdana" w:hAnsi="Verdana"/>
          <w:sz w:val="16"/>
          <w:szCs w:val="16"/>
        </w:rPr>
        <w:t xml:space="preserve"> Folio No. 1653 de 5 de enero de 2010, suscrito por Oscar Arias Ocampo (expediente de prueba, f. 12300)</w:t>
      </w:r>
      <w:r w:rsidRPr="00432ABC">
        <w:rPr>
          <w:rFonts w:ascii="Verdana" w:hAnsi="Verdana"/>
          <w:sz w:val="16"/>
          <w:szCs w:val="16"/>
        </w:rPr>
        <w:t>.</w:t>
      </w:r>
    </w:p>
  </w:footnote>
  <w:footnote w:id="453">
    <w:p w14:paraId="64AA6308" w14:textId="65AE4CA0" w:rsidR="00146958" w:rsidRPr="00432ABC" w:rsidRDefault="00146958">
      <w:pPr>
        <w:pStyle w:val="FootnoteText"/>
        <w:jc w:val="both"/>
        <w:rPr>
          <w:rFonts w:ascii="Verdana" w:hAnsi="Verdana"/>
          <w:sz w:val="16"/>
          <w:szCs w:val="16"/>
        </w:rPr>
      </w:pPr>
      <w:r w:rsidRPr="00432ABC">
        <w:rPr>
          <w:rStyle w:val="FootnoteReference"/>
          <w:rFonts w:ascii="Verdana" w:hAnsi="Verdana"/>
          <w:sz w:val="16"/>
          <w:szCs w:val="16"/>
        </w:rPr>
        <w:footnoteRef/>
      </w:r>
      <w:r w:rsidRPr="00432ABC">
        <w:rPr>
          <w:rFonts w:ascii="Verdana" w:hAnsi="Verdana"/>
          <w:sz w:val="16"/>
          <w:szCs w:val="16"/>
        </w:rPr>
        <w:t xml:space="preserve"> </w:t>
      </w:r>
      <w:r w:rsidRPr="002C462C">
        <w:rPr>
          <w:rFonts w:ascii="Verdana" w:hAnsi="Verdana"/>
          <w:sz w:val="16"/>
          <w:szCs w:val="16"/>
        </w:rPr>
        <w:tab/>
        <w:t>La</w:t>
      </w:r>
      <w:r>
        <w:rPr>
          <w:rFonts w:ascii="Verdana" w:hAnsi="Verdana"/>
          <w:sz w:val="16"/>
          <w:szCs w:val="16"/>
        </w:rPr>
        <w:t xml:space="preserve"> </w:t>
      </w:r>
      <w:r w:rsidRPr="002C462C">
        <w:rPr>
          <w:rFonts w:ascii="Verdana" w:hAnsi="Verdana"/>
          <w:sz w:val="16"/>
          <w:szCs w:val="16"/>
        </w:rPr>
        <w:t xml:space="preserve">primera declaración de Obdulia Espinoza Beltrán, </w:t>
      </w:r>
      <w:r>
        <w:rPr>
          <w:rFonts w:ascii="Verdana" w:hAnsi="Verdana"/>
          <w:sz w:val="16"/>
          <w:szCs w:val="16"/>
        </w:rPr>
        <w:t xml:space="preserve">una de las </w:t>
      </w:r>
      <w:r w:rsidRPr="002C462C">
        <w:rPr>
          <w:rFonts w:ascii="Verdana" w:hAnsi="Verdana"/>
          <w:sz w:val="16"/>
          <w:szCs w:val="16"/>
        </w:rPr>
        <w:t>testigo</w:t>
      </w:r>
      <w:r>
        <w:rPr>
          <w:rFonts w:ascii="Verdana" w:hAnsi="Verdana"/>
          <w:sz w:val="16"/>
          <w:szCs w:val="16"/>
        </w:rPr>
        <w:t>s</w:t>
      </w:r>
      <w:r w:rsidRPr="002C462C">
        <w:rPr>
          <w:rFonts w:ascii="Verdana" w:hAnsi="Verdana"/>
          <w:sz w:val="16"/>
          <w:szCs w:val="16"/>
        </w:rPr>
        <w:t xml:space="preserve"> presencial</w:t>
      </w:r>
      <w:r>
        <w:rPr>
          <w:rFonts w:ascii="Verdana" w:hAnsi="Verdana"/>
          <w:sz w:val="16"/>
          <w:szCs w:val="16"/>
        </w:rPr>
        <w:t>es</w:t>
      </w:r>
      <w:r w:rsidRPr="002C462C">
        <w:rPr>
          <w:rFonts w:ascii="Verdana" w:hAnsi="Verdana"/>
          <w:sz w:val="16"/>
          <w:szCs w:val="16"/>
        </w:rPr>
        <w:t xml:space="preserve"> de los hechos, fue recabada por la FEVIMTRA</w:t>
      </w:r>
      <w:r>
        <w:rPr>
          <w:rFonts w:ascii="Verdana" w:hAnsi="Verdana"/>
          <w:sz w:val="16"/>
          <w:szCs w:val="16"/>
        </w:rPr>
        <w:t>-PGR</w:t>
      </w:r>
      <w:r w:rsidRPr="002C462C">
        <w:rPr>
          <w:rFonts w:ascii="Verdana" w:hAnsi="Verdana"/>
          <w:sz w:val="16"/>
          <w:szCs w:val="16"/>
        </w:rPr>
        <w:t xml:space="preserve"> hasta el 10 de junio de 2010, </w:t>
      </w:r>
      <w:r>
        <w:rPr>
          <w:rFonts w:ascii="Verdana" w:hAnsi="Verdana"/>
          <w:sz w:val="16"/>
          <w:szCs w:val="16"/>
        </w:rPr>
        <w:t>más de cinco</w:t>
      </w:r>
      <w:r w:rsidRPr="002C462C">
        <w:rPr>
          <w:rFonts w:ascii="Verdana" w:hAnsi="Verdana"/>
          <w:sz w:val="16"/>
          <w:szCs w:val="16"/>
        </w:rPr>
        <w:t xml:space="preserve"> meses después de l</w:t>
      </w:r>
      <w:r>
        <w:rPr>
          <w:rFonts w:ascii="Verdana" w:hAnsi="Verdana"/>
          <w:sz w:val="16"/>
          <w:szCs w:val="16"/>
        </w:rPr>
        <w:t>a</w:t>
      </w:r>
      <w:r w:rsidRPr="002C462C">
        <w:rPr>
          <w:rFonts w:ascii="Verdana" w:hAnsi="Verdana"/>
          <w:sz w:val="16"/>
          <w:szCs w:val="16"/>
        </w:rPr>
        <w:t xml:space="preserve">s </w:t>
      </w:r>
      <w:r>
        <w:rPr>
          <w:rFonts w:ascii="Verdana" w:hAnsi="Verdana"/>
          <w:sz w:val="16"/>
          <w:szCs w:val="16"/>
        </w:rPr>
        <w:t>desapariciones</w:t>
      </w:r>
      <w:r w:rsidRPr="00432ABC">
        <w:rPr>
          <w:rFonts w:ascii="Verdana" w:hAnsi="Verdana"/>
          <w:sz w:val="16"/>
          <w:szCs w:val="16"/>
        </w:rPr>
        <w:t>.</w:t>
      </w:r>
    </w:p>
  </w:footnote>
  <w:footnote w:id="454">
    <w:p w14:paraId="64AA6309" w14:textId="69AB7519" w:rsidR="00146958" w:rsidRPr="00432ABC" w:rsidRDefault="00146958">
      <w:pPr>
        <w:pStyle w:val="FootnoteText"/>
        <w:jc w:val="both"/>
        <w:rPr>
          <w:rStyle w:val="FootnoteReference"/>
          <w:rFonts w:ascii="Verdana" w:hAnsi="Verdana"/>
          <w:b/>
          <w:sz w:val="16"/>
          <w:szCs w:val="16"/>
        </w:rPr>
      </w:pPr>
      <w:r w:rsidRPr="00432ABC">
        <w:rPr>
          <w:rStyle w:val="FootnoteReference"/>
          <w:rFonts w:ascii="Verdana" w:hAnsi="Verdana"/>
          <w:sz w:val="16"/>
          <w:szCs w:val="16"/>
        </w:rPr>
        <w:footnoteRef/>
      </w:r>
      <w:r w:rsidRPr="00432ABC">
        <w:rPr>
          <w:rStyle w:val="FootnoteReference"/>
          <w:rFonts w:ascii="Verdana" w:hAnsi="Verdana"/>
          <w:sz w:val="16"/>
          <w:szCs w:val="16"/>
        </w:rPr>
        <w:t xml:space="preserve"> </w:t>
      </w:r>
      <w:r w:rsidRPr="002C462C">
        <w:rPr>
          <w:rFonts w:ascii="Verdana" w:hAnsi="Verdana"/>
          <w:sz w:val="16"/>
          <w:szCs w:val="16"/>
        </w:rPr>
        <w:tab/>
      </w:r>
      <w:r w:rsidRPr="00CD5C54">
        <w:rPr>
          <w:rFonts w:ascii="Verdana" w:hAnsi="Verdana"/>
          <w:i/>
          <w:sz w:val="16"/>
          <w:szCs w:val="16"/>
        </w:rPr>
        <w:t>Cfr.</w:t>
      </w:r>
      <w:r w:rsidRPr="002C462C">
        <w:rPr>
          <w:rFonts w:ascii="Verdana" w:hAnsi="Verdana"/>
          <w:i/>
          <w:sz w:val="16"/>
          <w:szCs w:val="16"/>
        </w:rPr>
        <w:t xml:space="preserve"> </w:t>
      </w:r>
      <w:r w:rsidRPr="00432ABC">
        <w:rPr>
          <w:rFonts w:ascii="Verdana" w:hAnsi="Verdana"/>
          <w:bCs/>
          <w:i/>
          <w:sz w:val="16"/>
          <w:szCs w:val="16"/>
        </w:rPr>
        <w:t>Caso Juan Humberto Sánchez Vs. Honduras</w:t>
      </w:r>
      <w:r w:rsidRPr="00432ABC">
        <w:rPr>
          <w:rFonts w:ascii="Verdana" w:hAnsi="Verdana"/>
          <w:sz w:val="16"/>
          <w:szCs w:val="16"/>
        </w:rPr>
        <w:t xml:space="preserve">. </w:t>
      </w:r>
      <w:r w:rsidRPr="00432ABC">
        <w:rPr>
          <w:rFonts w:ascii="Verdana" w:hAnsi="Verdana"/>
          <w:i/>
          <w:sz w:val="16"/>
          <w:szCs w:val="16"/>
        </w:rPr>
        <w:t>Excepción Preliminar, Fondo, Reparaciones y Costas</w:t>
      </w:r>
      <w:r w:rsidRPr="00432ABC">
        <w:rPr>
          <w:rFonts w:ascii="Verdana" w:hAnsi="Verdana"/>
          <w:sz w:val="16"/>
          <w:szCs w:val="16"/>
        </w:rPr>
        <w:t xml:space="preserve">. </w:t>
      </w:r>
      <w:r w:rsidRPr="00C71BAA">
        <w:rPr>
          <w:rFonts w:ascii="Verdana" w:hAnsi="Verdana"/>
          <w:sz w:val="16"/>
          <w:szCs w:val="16"/>
        </w:rPr>
        <w:t>Sentencia de 7 de junio de 2003. Serie C No. 99</w:t>
      </w:r>
      <w:r w:rsidRPr="00701439">
        <w:rPr>
          <w:rFonts w:ascii="Verdana" w:hAnsi="Verdana"/>
          <w:bCs/>
          <w:sz w:val="16"/>
          <w:szCs w:val="16"/>
        </w:rPr>
        <w:t>,</w:t>
      </w:r>
      <w:r w:rsidRPr="00701439">
        <w:rPr>
          <w:rFonts w:ascii="Verdana" w:hAnsi="Verdana"/>
          <w:sz w:val="16"/>
          <w:szCs w:val="16"/>
        </w:rPr>
        <w:t xml:space="preserve"> párr. 128</w:t>
      </w:r>
      <w:r w:rsidRPr="00701439">
        <w:rPr>
          <w:rFonts w:ascii="Verdana" w:hAnsi="Verdana"/>
          <w:bCs/>
          <w:sz w:val="16"/>
          <w:szCs w:val="16"/>
          <w:lang w:val="es-CR"/>
        </w:rPr>
        <w:t>, y</w:t>
      </w:r>
      <w:r w:rsidRPr="00432ABC">
        <w:rPr>
          <w:rFonts w:ascii="Verdana" w:hAnsi="Verdana"/>
          <w:b/>
          <w:bCs/>
          <w:sz w:val="16"/>
          <w:szCs w:val="16"/>
          <w:lang w:val="es-CR"/>
        </w:rPr>
        <w:t xml:space="preserve"> </w:t>
      </w:r>
      <w:r w:rsidRPr="00432ABC">
        <w:rPr>
          <w:rStyle w:val="Strong"/>
          <w:rFonts w:ascii="Verdana" w:hAnsi="Verdana"/>
          <w:b w:val="0"/>
          <w:i/>
          <w:color w:val="000000"/>
          <w:sz w:val="16"/>
          <w:szCs w:val="16"/>
          <w:shd w:val="clear" w:color="auto" w:fill="FFFFFF"/>
        </w:rPr>
        <w:t xml:space="preserve">Caso </w:t>
      </w:r>
      <w:r>
        <w:rPr>
          <w:rStyle w:val="Strong"/>
          <w:rFonts w:ascii="Verdana" w:hAnsi="Verdana"/>
          <w:b w:val="0"/>
          <w:i/>
          <w:color w:val="000000"/>
          <w:sz w:val="16"/>
          <w:szCs w:val="16"/>
          <w:shd w:val="clear" w:color="auto" w:fill="FFFFFF"/>
        </w:rPr>
        <w:t xml:space="preserve">J. Vs. Perú. Excepción Preliminar, Fondo, Reparaciones y Costas. </w:t>
      </w:r>
      <w:r w:rsidRPr="008D0846">
        <w:rPr>
          <w:rStyle w:val="Strong"/>
          <w:rFonts w:ascii="Verdana" w:hAnsi="Verdana"/>
          <w:b w:val="0"/>
          <w:color w:val="000000"/>
          <w:sz w:val="16"/>
          <w:szCs w:val="16"/>
          <w:shd w:val="clear" w:color="auto" w:fill="FFFFFF"/>
        </w:rPr>
        <w:t>Sentencia de 27 de noviembre de 2013.</w:t>
      </w:r>
      <w:r w:rsidRPr="00C71BAA">
        <w:rPr>
          <w:rStyle w:val="Strong"/>
          <w:rFonts w:ascii="Verdana" w:hAnsi="Verdana"/>
          <w:b w:val="0"/>
          <w:color w:val="000000"/>
          <w:sz w:val="16"/>
          <w:szCs w:val="16"/>
          <w:shd w:val="clear" w:color="auto" w:fill="FFFFFF"/>
        </w:rPr>
        <w:t xml:space="preserve"> Serie C No. 2</w:t>
      </w:r>
      <w:r w:rsidRPr="00701439">
        <w:rPr>
          <w:rStyle w:val="Strong"/>
          <w:rFonts w:ascii="Verdana" w:hAnsi="Verdana"/>
          <w:b w:val="0"/>
          <w:color w:val="000000"/>
          <w:sz w:val="16"/>
          <w:szCs w:val="16"/>
          <w:shd w:val="clear" w:color="auto" w:fill="FFFFFF"/>
        </w:rPr>
        <w:t>57, párr. 344</w:t>
      </w:r>
      <w:r w:rsidRPr="00432ABC">
        <w:rPr>
          <w:rStyle w:val="Strong"/>
          <w:rFonts w:ascii="Verdana" w:hAnsi="Verdana"/>
          <w:b w:val="0"/>
          <w:color w:val="000000"/>
          <w:sz w:val="16"/>
          <w:szCs w:val="16"/>
          <w:shd w:val="clear" w:color="auto" w:fill="FFFFFF"/>
        </w:rPr>
        <w:t>.</w:t>
      </w:r>
      <w:r w:rsidRPr="00432ABC">
        <w:rPr>
          <w:rFonts w:ascii="Verdana" w:hAnsi="Verdana"/>
          <w:b/>
          <w:bCs/>
          <w:i/>
          <w:sz w:val="16"/>
          <w:szCs w:val="16"/>
        </w:rPr>
        <w:t xml:space="preserve"> </w:t>
      </w:r>
    </w:p>
  </w:footnote>
  <w:footnote w:id="455">
    <w:p w14:paraId="64AA630A" w14:textId="7AA63E3A" w:rsidR="00146958" w:rsidRPr="004A3F07" w:rsidRDefault="00146958">
      <w:pPr>
        <w:pStyle w:val="FootnoteText"/>
        <w:jc w:val="both"/>
        <w:rPr>
          <w:rFonts w:ascii="Verdana" w:hAnsi="Verdana"/>
          <w:sz w:val="16"/>
          <w:szCs w:val="16"/>
        </w:rPr>
      </w:pPr>
      <w:r w:rsidRPr="00C71BAA">
        <w:rPr>
          <w:rStyle w:val="FootnoteReference"/>
          <w:rFonts w:ascii="Verdana" w:hAnsi="Verdana"/>
          <w:sz w:val="16"/>
          <w:szCs w:val="16"/>
        </w:rPr>
        <w:footnoteRef/>
      </w:r>
      <w:r w:rsidRPr="00C71BAA">
        <w:rPr>
          <w:rFonts w:ascii="Verdana" w:hAnsi="Verdana"/>
          <w:sz w:val="16"/>
          <w:szCs w:val="16"/>
        </w:rPr>
        <w:t xml:space="preserve"> </w:t>
      </w:r>
      <w:r w:rsidRPr="00C71BAA">
        <w:rPr>
          <w:rFonts w:ascii="Verdana" w:hAnsi="Verdana"/>
          <w:sz w:val="16"/>
          <w:szCs w:val="16"/>
        </w:rPr>
        <w:tab/>
      </w:r>
      <w:r w:rsidRPr="004D0D3E">
        <w:rPr>
          <w:rFonts w:ascii="Verdana" w:hAnsi="Verdana"/>
          <w:sz w:val="16"/>
          <w:szCs w:val="16"/>
          <w:lang w:val="es-EC"/>
        </w:rPr>
        <w:t>Diligencia a cargo del Lic. Leopoldo Alberto González Pérez, Secretario P</w:t>
      </w:r>
      <w:r w:rsidRPr="004A3F07">
        <w:rPr>
          <w:rFonts w:ascii="Verdana" w:hAnsi="Verdana"/>
          <w:sz w:val="16"/>
          <w:szCs w:val="16"/>
          <w:lang w:val="es-EC"/>
        </w:rPr>
        <w:t>royectista del Juzgado Segundo Penal del Distrito Judicial de Galeana, en cumplimiento a lo ordenado por el Juez Sexto de Distrito en Ciudad Juárez, Chihuahua, dentro del procedimiento de amparo promovido por José Ángel Alvarado Fabela (</w:t>
      </w:r>
      <w:r w:rsidRPr="004A3F07">
        <w:rPr>
          <w:rFonts w:ascii="Verdana" w:hAnsi="Verdana"/>
          <w:color w:val="000000"/>
          <w:sz w:val="16"/>
          <w:szCs w:val="16"/>
        </w:rPr>
        <w:t>expediente de prueba, f. 5610).</w:t>
      </w:r>
    </w:p>
  </w:footnote>
  <w:footnote w:id="456">
    <w:p w14:paraId="64AA630B" w14:textId="406AF186" w:rsidR="00146958" w:rsidRPr="00432ABC" w:rsidRDefault="00146958">
      <w:pPr>
        <w:pStyle w:val="FootnoteText"/>
        <w:jc w:val="both"/>
        <w:rPr>
          <w:rFonts w:ascii="Verdana" w:hAnsi="Verdana"/>
          <w:sz w:val="16"/>
          <w:szCs w:val="16"/>
        </w:rPr>
      </w:pPr>
      <w:r w:rsidRPr="00C71BAA">
        <w:rPr>
          <w:rStyle w:val="FootnoteReference"/>
          <w:rFonts w:ascii="Verdana" w:hAnsi="Verdana"/>
          <w:sz w:val="16"/>
          <w:szCs w:val="16"/>
        </w:rPr>
        <w:footnoteRef/>
      </w:r>
      <w:r w:rsidRPr="00C71BAA">
        <w:rPr>
          <w:rFonts w:ascii="Verdana" w:hAnsi="Verdana"/>
          <w:sz w:val="16"/>
          <w:szCs w:val="16"/>
        </w:rPr>
        <w:t xml:space="preserve"> </w:t>
      </w:r>
      <w:r w:rsidRPr="00C71BAA">
        <w:rPr>
          <w:rFonts w:ascii="Verdana" w:hAnsi="Verdana"/>
          <w:sz w:val="16"/>
          <w:szCs w:val="16"/>
        </w:rPr>
        <w:tab/>
      </w:r>
      <w:r w:rsidRPr="00CD5C54">
        <w:rPr>
          <w:rFonts w:ascii="Verdana" w:hAnsi="Verdana"/>
          <w:i/>
          <w:sz w:val="16"/>
          <w:szCs w:val="16"/>
        </w:rPr>
        <w:t>Cfr.</w:t>
      </w:r>
      <w:r w:rsidRPr="00C71BAA">
        <w:rPr>
          <w:rFonts w:ascii="Verdana" w:hAnsi="Verdana"/>
          <w:sz w:val="16"/>
          <w:szCs w:val="16"/>
        </w:rPr>
        <w:t xml:space="preserve"> Mensaje C.E.I. No. 929 de 15 de enero de 2010, suscrito por el Comandante del 35 Batall</w:t>
      </w:r>
      <w:r w:rsidRPr="004D0D3E">
        <w:rPr>
          <w:rFonts w:ascii="Verdana" w:hAnsi="Verdana"/>
          <w:sz w:val="16"/>
          <w:szCs w:val="16"/>
        </w:rPr>
        <w:t>ón de Infantería del Ej</w:t>
      </w:r>
      <w:r w:rsidRPr="008D0846">
        <w:rPr>
          <w:rFonts w:ascii="Verdana" w:hAnsi="Verdana" w:cs="Arial"/>
          <w:sz w:val="16"/>
          <w:szCs w:val="16"/>
        </w:rPr>
        <w:t>ército dirigido al Comandante de la 5ª.</w:t>
      </w:r>
      <w:r w:rsidRPr="00C71BAA">
        <w:rPr>
          <w:rFonts w:ascii="Verdana" w:hAnsi="Verdana" w:cs="Arial"/>
          <w:sz w:val="16"/>
          <w:szCs w:val="16"/>
        </w:rPr>
        <w:t xml:space="preserve"> ZM </w:t>
      </w:r>
      <w:r w:rsidRPr="008D0846">
        <w:rPr>
          <w:rFonts w:ascii="Verdana" w:hAnsi="Verdana" w:cs="Arial"/>
          <w:sz w:val="16"/>
          <w:szCs w:val="16"/>
        </w:rPr>
        <w:t>(expediente de prueba, f. 5609).</w:t>
      </w:r>
      <w:r>
        <w:rPr>
          <w:rFonts w:ascii="Verdana" w:hAnsi="Verdana"/>
          <w:sz w:val="16"/>
          <w:szCs w:val="16"/>
        </w:rPr>
        <w:t xml:space="preserve"> </w:t>
      </w:r>
    </w:p>
  </w:footnote>
  <w:footnote w:id="457">
    <w:p w14:paraId="64AA630C" w14:textId="0B7E9721" w:rsidR="00146958" w:rsidRPr="002C462C" w:rsidRDefault="00146958">
      <w:pPr>
        <w:pStyle w:val="FootnoteText"/>
        <w:jc w:val="both"/>
        <w:rPr>
          <w:rFonts w:ascii="Verdana" w:hAnsi="Verdana"/>
          <w:sz w:val="16"/>
          <w:szCs w:val="16"/>
        </w:rPr>
      </w:pPr>
      <w:r w:rsidRPr="00432ABC">
        <w:rPr>
          <w:rStyle w:val="FootnoteReference"/>
          <w:rFonts w:ascii="Verdana" w:hAnsi="Verdana"/>
          <w:sz w:val="16"/>
          <w:szCs w:val="16"/>
        </w:rPr>
        <w:footnoteRef/>
      </w:r>
      <w:r w:rsidRPr="00432ABC">
        <w:rPr>
          <w:rFonts w:ascii="Verdana" w:hAnsi="Verdana"/>
          <w:sz w:val="16"/>
          <w:szCs w:val="16"/>
        </w:rPr>
        <w:t xml:space="preserve"> </w:t>
      </w:r>
      <w:r w:rsidRPr="002C462C">
        <w:rPr>
          <w:rFonts w:ascii="Verdana" w:hAnsi="Verdana"/>
          <w:sz w:val="16"/>
          <w:szCs w:val="16"/>
        </w:rPr>
        <w:tab/>
      </w:r>
      <w:r>
        <w:rPr>
          <w:rFonts w:ascii="Verdana" w:hAnsi="Verdana"/>
          <w:sz w:val="16"/>
          <w:szCs w:val="16"/>
        </w:rPr>
        <w:t>Diligencias ministeriales realizadas con motivo de la llamada de auxilio de Nitza Paola Alvarado, por la PGJE-Chihuahua (expediente de prueba, ff. 12321 a 12677), y por la FEVIMTRA-PGR (expediente de prueba, ff. 29371 a 29527)</w:t>
      </w:r>
      <w:r w:rsidRPr="002C462C">
        <w:rPr>
          <w:rFonts w:ascii="Verdana" w:hAnsi="Verdana"/>
          <w:sz w:val="16"/>
          <w:szCs w:val="16"/>
        </w:rPr>
        <w:t>.</w:t>
      </w:r>
    </w:p>
  </w:footnote>
  <w:footnote w:id="458">
    <w:p w14:paraId="64AA630E" w14:textId="320FDAD1" w:rsidR="00146958" w:rsidRPr="002C462C" w:rsidRDefault="00146958">
      <w:pPr>
        <w:pStyle w:val="FootnoteText"/>
        <w:jc w:val="both"/>
        <w:rPr>
          <w:rFonts w:ascii="Verdana" w:hAnsi="Verdana"/>
          <w:sz w:val="16"/>
          <w:szCs w:val="16"/>
        </w:rPr>
      </w:pPr>
      <w:r w:rsidRPr="00432ABC">
        <w:rPr>
          <w:rStyle w:val="FootnoteReference"/>
          <w:rFonts w:ascii="Verdana" w:hAnsi="Verdana"/>
          <w:sz w:val="16"/>
          <w:szCs w:val="16"/>
        </w:rPr>
        <w:footnoteRef/>
      </w:r>
      <w:r w:rsidRPr="00432ABC">
        <w:rPr>
          <w:rFonts w:ascii="Verdana" w:hAnsi="Verdana"/>
          <w:sz w:val="16"/>
          <w:szCs w:val="16"/>
        </w:rPr>
        <w:t xml:space="preserve"> </w:t>
      </w:r>
      <w:r w:rsidRPr="00432ABC">
        <w:rPr>
          <w:rFonts w:ascii="Verdana" w:hAnsi="Verdana"/>
          <w:sz w:val="16"/>
          <w:szCs w:val="16"/>
        </w:rPr>
        <w:tab/>
      </w:r>
      <w:r w:rsidRPr="00CD5C54">
        <w:rPr>
          <w:rFonts w:ascii="Verdana" w:hAnsi="Verdana"/>
          <w:i/>
          <w:sz w:val="16"/>
          <w:szCs w:val="16"/>
        </w:rPr>
        <w:t>Cfr.</w:t>
      </w:r>
      <w:r w:rsidRPr="002C462C">
        <w:rPr>
          <w:rFonts w:ascii="Verdana" w:hAnsi="Verdana"/>
          <w:i/>
          <w:sz w:val="16"/>
          <w:szCs w:val="16"/>
        </w:rPr>
        <w:t xml:space="preserve"> Caso Castillo Petruzzi y otros Vs. Perú. Fondo, Reparaciones y Costas</w:t>
      </w:r>
      <w:r w:rsidRPr="002C462C">
        <w:rPr>
          <w:rFonts w:ascii="Verdana" w:hAnsi="Verdana"/>
          <w:sz w:val="16"/>
          <w:szCs w:val="16"/>
        </w:rPr>
        <w:t xml:space="preserve">. Sentencia de 30 de mayo de 1999. Serie C No. 52, párr. 128, y </w:t>
      </w:r>
      <w:r w:rsidRPr="008D0846">
        <w:rPr>
          <w:rFonts w:ascii="Verdana" w:hAnsi="Verdana"/>
          <w:i/>
          <w:sz w:val="16"/>
          <w:szCs w:val="16"/>
        </w:rPr>
        <w:t>Caso Quispialaya Vilcapoma Vs. Perú. Excepciones Preliminares, Fondo, Reparaciones y Costas</w:t>
      </w:r>
      <w:r>
        <w:rPr>
          <w:rFonts w:ascii="Verdana" w:hAnsi="Verdana"/>
          <w:sz w:val="16"/>
          <w:szCs w:val="16"/>
        </w:rPr>
        <w:t>. Sentencia de 23 de noviembre de 2015. Serie C No. 308, párr. 137.</w:t>
      </w:r>
    </w:p>
  </w:footnote>
  <w:footnote w:id="459">
    <w:p w14:paraId="64AA630F" w14:textId="2C8F6CD5" w:rsidR="00146958" w:rsidRPr="00432ABC" w:rsidRDefault="00146958">
      <w:pPr>
        <w:pStyle w:val="FootnoteText"/>
        <w:jc w:val="both"/>
        <w:rPr>
          <w:rFonts w:ascii="Verdana" w:hAnsi="Verdana"/>
          <w:sz w:val="16"/>
          <w:szCs w:val="16"/>
        </w:rPr>
      </w:pPr>
      <w:r w:rsidRPr="00432ABC">
        <w:rPr>
          <w:rStyle w:val="FootnoteReference"/>
          <w:rFonts w:ascii="Verdana" w:hAnsi="Verdana"/>
          <w:sz w:val="16"/>
          <w:szCs w:val="16"/>
        </w:rPr>
        <w:footnoteRef/>
      </w:r>
      <w:r w:rsidRPr="00432ABC">
        <w:rPr>
          <w:rFonts w:ascii="Verdana" w:hAnsi="Verdana"/>
          <w:sz w:val="16"/>
          <w:szCs w:val="16"/>
        </w:rPr>
        <w:t xml:space="preserve"> </w:t>
      </w:r>
      <w:r w:rsidRPr="00432ABC">
        <w:rPr>
          <w:rFonts w:ascii="Verdana" w:hAnsi="Verdana"/>
          <w:sz w:val="16"/>
          <w:szCs w:val="16"/>
        </w:rPr>
        <w:tab/>
      </w:r>
      <w:r w:rsidRPr="00CD5C54">
        <w:rPr>
          <w:rFonts w:ascii="Verdana" w:hAnsi="Verdana"/>
          <w:i/>
          <w:sz w:val="16"/>
          <w:szCs w:val="16"/>
        </w:rPr>
        <w:t>Cfr.</w:t>
      </w:r>
      <w:r w:rsidRPr="002C462C">
        <w:rPr>
          <w:rFonts w:ascii="Verdana" w:hAnsi="Verdana"/>
          <w:i/>
          <w:sz w:val="16"/>
          <w:szCs w:val="16"/>
        </w:rPr>
        <w:t xml:space="preserve"> Caso </w:t>
      </w:r>
      <w:r>
        <w:rPr>
          <w:rFonts w:ascii="Verdana" w:hAnsi="Verdana"/>
          <w:i/>
          <w:sz w:val="16"/>
          <w:szCs w:val="16"/>
        </w:rPr>
        <w:t xml:space="preserve">Radilla Pacheco Vs. México, supra párr. </w:t>
      </w:r>
      <w:r w:rsidRPr="008D0846">
        <w:rPr>
          <w:rFonts w:ascii="Verdana" w:hAnsi="Verdana"/>
          <w:sz w:val="16"/>
          <w:szCs w:val="16"/>
        </w:rPr>
        <w:t>273</w:t>
      </w:r>
      <w:r>
        <w:rPr>
          <w:rFonts w:ascii="Verdana" w:hAnsi="Verdana"/>
          <w:i/>
          <w:sz w:val="16"/>
          <w:szCs w:val="16"/>
        </w:rPr>
        <w:t xml:space="preserve">, y Caso </w:t>
      </w:r>
      <w:r w:rsidRPr="002C462C">
        <w:rPr>
          <w:rFonts w:ascii="Verdana" w:hAnsi="Verdana"/>
          <w:i/>
          <w:sz w:val="16"/>
          <w:szCs w:val="16"/>
        </w:rPr>
        <w:t>Cabrera García y Montiel Flores Vs. México</w:t>
      </w:r>
      <w:r>
        <w:rPr>
          <w:rFonts w:ascii="Verdana" w:hAnsi="Verdana"/>
          <w:i/>
          <w:sz w:val="16"/>
          <w:szCs w:val="16"/>
        </w:rPr>
        <w:t xml:space="preserve">, supra </w:t>
      </w:r>
      <w:r w:rsidRPr="00432ABC">
        <w:rPr>
          <w:rFonts w:ascii="Verdana" w:hAnsi="Verdana"/>
          <w:sz w:val="16"/>
          <w:szCs w:val="16"/>
        </w:rPr>
        <w:t>párrs. 197 y 198</w:t>
      </w:r>
      <w:r>
        <w:rPr>
          <w:rFonts w:ascii="Verdana" w:hAnsi="Verdana"/>
          <w:sz w:val="16"/>
          <w:szCs w:val="16"/>
        </w:rPr>
        <w:t>.</w:t>
      </w:r>
    </w:p>
  </w:footnote>
  <w:footnote w:id="460">
    <w:p w14:paraId="64AA6310" w14:textId="0EFAC08B" w:rsidR="00146958" w:rsidRPr="00432ABC" w:rsidRDefault="00146958">
      <w:pPr>
        <w:pStyle w:val="FootnoteText"/>
        <w:jc w:val="both"/>
        <w:rPr>
          <w:rFonts w:ascii="Verdana" w:hAnsi="Verdana"/>
          <w:sz w:val="16"/>
          <w:szCs w:val="16"/>
        </w:rPr>
      </w:pPr>
      <w:r w:rsidRPr="00432ABC">
        <w:rPr>
          <w:rStyle w:val="FootnoteReference"/>
          <w:rFonts w:ascii="Verdana" w:hAnsi="Verdana"/>
          <w:sz w:val="16"/>
          <w:szCs w:val="16"/>
        </w:rPr>
        <w:footnoteRef/>
      </w:r>
      <w:r w:rsidRPr="00432ABC">
        <w:rPr>
          <w:rFonts w:ascii="Verdana" w:hAnsi="Verdana"/>
          <w:sz w:val="16"/>
          <w:szCs w:val="16"/>
        </w:rPr>
        <w:t xml:space="preserve"> </w:t>
      </w:r>
      <w:r w:rsidRPr="00432ABC">
        <w:rPr>
          <w:rFonts w:ascii="Verdana" w:hAnsi="Verdana"/>
          <w:sz w:val="16"/>
          <w:szCs w:val="16"/>
        </w:rPr>
        <w:tab/>
      </w:r>
      <w:r w:rsidRPr="00CD5C54">
        <w:rPr>
          <w:rFonts w:ascii="Verdana" w:hAnsi="Verdana"/>
          <w:i/>
          <w:sz w:val="16"/>
          <w:szCs w:val="16"/>
          <w:lang w:val="es-ES"/>
        </w:rPr>
        <w:t>Cfr.</w:t>
      </w:r>
      <w:r w:rsidRPr="00C71BAA">
        <w:rPr>
          <w:rFonts w:ascii="Verdana" w:hAnsi="Verdana"/>
          <w:i/>
          <w:sz w:val="16"/>
          <w:szCs w:val="16"/>
          <w:lang w:val="es-ES"/>
        </w:rPr>
        <w:t xml:space="preserve"> Caso Fernández Ortega y otros </w:t>
      </w:r>
      <w:r>
        <w:rPr>
          <w:rFonts w:ascii="Verdana" w:hAnsi="Verdana"/>
          <w:i/>
          <w:sz w:val="16"/>
          <w:szCs w:val="16"/>
          <w:lang w:val="es-ES"/>
        </w:rPr>
        <w:t>V</w:t>
      </w:r>
      <w:r w:rsidRPr="00C71BAA">
        <w:rPr>
          <w:rFonts w:ascii="Verdana" w:hAnsi="Verdana"/>
          <w:i/>
          <w:sz w:val="16"/>
          <w:szCs w:val="16"/>
          <w:lang w:val="es-ES"/>
        </w:rPr>
        <w:t>s. México</w:t>
      </w:r>
      <w:r w:rsidRPr="008D0846">
        <w:rPr>
          <w:rFonts w:ascii="Verdana" w:hAnsi="Verdana"/>
          <w:i/>
          <w:sz w:val="16"/>
          <w:szCs w:val="16"/>
          <w:lang w:val="es-ES"/>
        </w:rPr>
        <w:t>. Excepción Preliminar, Fondo, Reparaciones y Costas</w:t>
      </w:r>
      <w:r>
        <w:rPr>
          <w:rFonts w:ascii="Verdana" w:hAnsi="Verdana"/>
          <w:sz w:val="16"/>
          <w:szCs w:val="16"/>
          <w:lang w:val="es-ES"/>
        </w:rPr>
        <w:t>. Sentencia de 30 de agosto de 2010. Serie C No. 215, p</w:t>
      </w:r>
      <w:r w:rsidRPr="00432ABC">
        <w:rPr>
          <w:rFonts w:ascii="Verdana" w:hAnsi="Verdana"/>
          <w:sz w:val="16"/>
          <w:szCs w:val="16"/>
          <w:lang w:val="es-ES"/>
        </w:rPr>
        <w:t xml:space="preserve">árr. 177, y </w:t>
      </w:r>
      <w:r w:rsidRPr="00C71BAA">
        <w:rPr>
          <w:rFonts w:ascii="Verdana" w:hAnsi="Verdana"/>
          <w:i/>
          <w:sz w:val="16"/>
          <w:szCs w:val="16"/>
        </w:rPr>
        <w:t>Caso Cabrera García</w:t>
      </w:r>
      <w:r w:rsidRPr="004D0D3E">
        <w:rPr>
          <w:rFonts w:ascii="Verdana" w:hAnsi="Verdana"/>
          <w:i/>
          <w:sz w:val="16"/>
          <w:szCs w:val="16"/>
        </w:rPr>
        <w:t xml:space="preserve"> y Montiel Flores Vs. México</w:t>
      </w:r>
      <w:r w:rsidRPr="008D0846">
        <w:rPr>
          <w:rFonts w:ascii="Verdana" w:hAnsi="Verdana"/>
          <w:i/>
          <w:sz w:val="16"/>
          <w:szCs w:val="16"/>
          <w:lang w:val="es-ES"/>
        </w:rPr>
        <w:t xml:space="preserve">, </w:t>
      </w:r>
      <w:r w:rsidRPr="00C71BAA">
        <w:rPr>
          <w:rFonts w:ascii="Verdana" w:hAnsi="Verdana"/>
          <w:i/>
          <w:sz w:val="16"/>
          <w:szCs w:val="16"/>
          <w:lang w:val="es-ES"/>
        </w:rPr>
        <w:t>supra</w:t>
      </w:r>
      <w:r w:rsidRPr="00432ABC">
        <w:rPr>
          <w:rFonts w:ascii="Verdana" w:hAnsi="Verdana"/>
          <w:sz w:val="16"/>
          <w:szCs w:val="16"/>
          <w:lang w:val="es-ES"/>
        </w:rPr>
        <w:t xml:space="preserve"> párr. 200.</w:t>
      </w:r>
    </w:p>
  </w:footnote>
  <w:footnote w:id="461">
    <w:p w14:paraId="64AA6311" w14:textId="5FF90DA6" w:rsidR="00146958" w:rsidRPr="00432ABC" w:rsidRDefault="00146958">
      <w:pPr>
        <w:pStyle w:val="FootnoteText"/>
        <w:jc w:val="both"/>
        <w:rPr>
          <w:rFonts w:ascii="Verdana" w:hAnsi="Verdana"/>
          <w:sz w:val="16"/>
          <w:szCs w:val="16"/>
        </w:rPr>
      </w:pPr>
      <w:r w:rsidRPr="00432ABC">
        <w:rPr>
          <w:rStyle w:val="FootnoteReference"/>
          <w:rFonts w:ascii="Verdana" w:hAnsi="Verdana"/>
          <w:sz w:val="16"/>
          <w:szCs w:val="16"/>
        </w:rPr>
        <w:footnoteRef/>
      </w:r>
      <w:r w:rsidRPr="00432ABC">
        <w:rPr>
          <w:rFonts w:ascii="Verdana" w:hAnsi="Verdana"/>
          <w:sz w:val="16"/>
          <w:szCs w:val="16"/>
        </w:rPr>
        <w:t xml:space="preserve"> </w:t>
      </w:r>
      <w:r w:rsidRPr="00432ABC">
        <w:rPr>
          <w:rFonts w:ascii="Verdana" w:hAnsi="Verdana"/>
          <w:sz w:val="16"/>
          <w:szCs w:val="16"/>
        </w:rPr>
        <w:tab/>
        <w:t xml:space="preserve">Las averiguaciones previas iniciadas por el fuero </w:t>
      </w:r>
      <w:r w:rsidRPr="002C462C">
        <w:rPr>
          <w:rFonts w:ascii="Verdana" w:hAnsi="Verdana"/>
          <w:sz w:val="16"/>
          <w:szCs w:val="16"/>
        </w:rPr>
        <w:t>militar tenían como finalidad sancionar conductas contrarias a la disciplina militar como el “abuso de autoridad” y no el delito de desaparición forzada, por lo que el objeto primario de dichas indagatorias fue determinar si las conductas eran atribuibles a miembros del ejército, por lo que la investigación concluyó por no existir pruebas que involucraran al personal militar, como puede leerse del acuerdo  del cierre de la averiguación previa PGJM/AMPME/CDJUAREZ/196-II/2010</w:t>
      </w:r>
      <w:r>
        <w:rPr>
          <w:rFonts w:ascii="Verdana" w:hAnsi="Verdana"/>
          <w:sz w:val="16"/>
          <w:szCs w:val="16"/>
        </w:rPr>
        <w:t xml:space="preserve"> (expediente de prueba, ff</w:t>
      </w:r>
      <w:r w:rsidRPr="00432ABC">
        <w:rPr>
          <w:rFonts w:ascii="Verdana" w:hAnsi="Verdana"/>
          <w:sz w:val="16"/>
          <w:szCs w:val="16"/>
        </w:rPr>
        <w:t>.</w:t>
      </w:r>
      <w:r>
        <w:rPr>
          <w:rFonts w:ascii="Verdana" w:hAnsi="Verdana"/>
          <w:sz w:val="16"/>
          <w:szCs w:val="16"/>
        </w:rPr>
        <w:t xml:space="preserve"> 499 a 618)</w:t>
      </w:r>
      <w:r w:rsidRPr="00432ABC">
        <w:rPr>
          <w:rFonts w:ascii="Verdana" w:hAnsi="Verdana"/>
          <w:sz w:val="16"/>
          <w:szCs w:val="16"/>
        </w:rPr>
        <w:t xml:space="preserve"> </w:t>
      </w:r>
    </w:p>
  </w:footnote>
  <w:footnote w:id="462">
    <w:p w14:paraId="4FFF27E7" w14:textId="11E5BA53" w:rsidR="00146958" w:rsidRPr="00DB378B" w:rsidRDefault="00146958" w:rsidP="00DB378B">
      <w:pPr>
        <w:pStyle w:val="FootnoteText"/>
        <w:jc w:val="both"/>
        <w:rPr>
          <w:rFonts w:ascii="Verdana" w:hAnsi="Verdana"/>
        </w:rPr>
      </w:pPr>
      <w:r w:rsidRPr="00432ABC">
        <w:rPr>
          <w:rStyle w:val="FootnoteReference"/>
          <w:rFonts w:ascii="Verdana" w:hAnsi="Verdana"/>
          <w:sz w:val="16"/>
          <w:szCs w:val="16"/>
        </w:rPr>
        <w:footnoteRef/>
      </w:r>
      <w:r w:rsidRPr="00DB378B">
        <w:rPr>
          <w:rFonts w:ascii="Verdana" w:hAnsi="Verdana"/>
          <w:sz w:val="16"/>
          <w:szCs w:val="16"/>
        </w:rPr>
        <w:t xml:space="preserve"> </w:t>
      </w:r>
      <w:r w:rsidRPr="00DB378B">
        <w:rPr>
          <w:rFonts w:ascii="Verdana" w:hAnsi="Verdana"/>
          <w:sz w:val="16"/>
          <w:szCs w:val="16"/>
        </w:rPr>
        <w:tab/>
      </w:r>
      <w:r w:rsidRPr="00CD5C54">
        <w:rPr>
          <w:rFonts w:ascii="Verdana" w:hAnsi="Verdana"/>
          <w:i/>
          <w:sz w:val="16"/>
          <w:szCs w:val="16"/>
          <w:lang w:val="es-ES"/>
        </w:rPr>
        <w:t>Cfr.</w:t>
      </w:r>
      <w:r w:rsidRPr="00432ABC">
        <w:rPr>
          <w:rFonts w:ascii="Verdana" w:hAnsi="Verdana"/>
          <w:i/>
          <w:sz w:val="16"/>
          <w:szCs w:val="16"/>
          <w:lang w:val="es-ES"/>
        </w:rPr>
        <w:t xml:space="preserve"> </w:t>
      </w:r>
      <w:r w:rsidRPr="002C462C">
        <w:rPr>
          <w:rFonts w:ascii="Verdana" w:hAnsi="Verdana"/>
          <w:i/>
          <w:sz w:val="16"/>
          <w:szCs w:val="16"/>
          <w:lang w:val="es-ES"/>
        </w:rPr>
        <w:t>Caso Andrade Salmón</w:t>
      </w:r>
      <w:r>
        <w:rPr>
          <w:rFonts w:ascii="Verdana" w:hAnsi="Verdana"/>
          <w:i/>
          <w:sz w:val="16"/>
          <w:szCs w:val="16"/>
          <w:lang w:val="es-ES"/>
        </w:rPr>
        <w:t xml:space="preserve"> Vs. Bolivia. Fondo, Reparaciones y Costas. </w:t>
      </w:r>
      <w:r w:rsidRPr="008D0846">
        <w:rPr>
          <w:rFonts w:ascii="Verdana" w:hAnsi="Verdana"/>
          <w:sz w:val="16"/>
          <w:szCs w:val="16"/>
          <w:lang w:val="es-ES"/>
        </w:rPr>
        <w:t>Sentencia del 1 de diciembre de 2016. Serie C No. 330,</w:t>
      </w:r>
      <w:r w:rsidRPr="004D0D3E">
        <w:rPr>
          <w:rFonts w:ascii="Verdana" w:hAnsi="Verdana"/>
          <w:sz w:val="16"/>
          <w:szCs w:val="16"/>
          <w:lang w:val="es-ES"/>
        </w:rPr>
        <w:t xml:space="preserve"> párr. 96, y</w:t>
      </w:r>
      <w:r>
        <w:rPr>
          <w:rFonts w:ascii="Verdana" w:hAnsi="Verdana"/>
          <w:sz w:val="16"/>
          <w:szCs w:val="16"/>
          <w:lang w:val="es-ES"/>
        </w:rPr>
        <w:t xml:space="preserve"> </w:t>
      </w:r>
      <w:r w:rsidRPr="008D0846">
        <w:rPr>
          <w:rFonts w:ascii="Verdana" w:hAnsi="Verdana"/>
          <w:i/>
          <w:sz w:val="16"/>
          <w:szCs w:val="16"/>
          <w:lang w:val="es-ES"/>
        </w:rPr>
        <w:t>Caso Coc Max y otros (Masacre de Xamán) Vs. Guatemala, supra</w:t>
      </w:r>
      <w:r>
        <w:rPr>
          <w:rFonts w:ascii="Verdana" w:hAnsi="Verdana"/>
          <w:sz w:val="16"/>
          <w:szCs w:val="16"/>
          <w:lang w:val="es-ES"/>
        </w:rPr>
        <w:t xml:space="preserve"> párr. 70.</w:t>
      </w:r>
    </w:p>
  </w:footnote>
  <w:footnote w:id="463">
    <w:p w14:paraId="64AA6312" w14:textId="1BD936C9" w:rsidR="00146958" w:rsidRPr="00432ABC" w:rsidRDefault="00146958" w:rsidP="00432ABC">
      <w:pPr>
        <w:pStyle w:val="FootnoteText"/>
        <w:jc w:val="both"/>
        <w:rPr>
          <w:rFonts w:ascii="Verdana" w:hAnsi="Verdana"/>
          <w:sz w:val="16"/>
          <w:szCs w:val="16"/>
        </w:rPr>
      </w:pPr>
      <w:r w:rsidRPr="00432ABC">
        <w:rPr>
          <w:rStyle w:val="FootnoteReference"/>
          <w:rFonts w:ascii="Verdana" w:hAnsi="Verdana"/>
          <w:sz w:val="16"/>
          <w:szCs w:val="16"/>
        </w:rPr>
        <w:footnoteRef/>
      </w:r>
      <w:r w:rsidRPr="00432ABC">
        <w:rPr>
          <w:rFonts w:ascii="Verdana" w:hAnsi="Verdana"/>
          <w:sz w:val="16"/>
          <w:szCs w:val="16"/>
        </w:rPr>
        <w:t xml:space="preserve"> </w:t>
      </w:r>
      <w:r w:rsidRPr="002C462C">
        <w:rPr>
          <w:rFonts w:ascii="Verdana" w:hAnsi="Verdana"/>
          <w:sz w:val="16"/>
          <w:szCs w:val="16"/>
        </w:rPr>
        <w:tab/>
      </w:r>
      <w:r w:rsidRPr="002C462C">
        <w:rPr>
          <w:rFonts w:ascii="Verdana" w:hAnsi="Verdana"/>
          <w:sz w:val="16"/>
          <w:szCs w:val="16"/>
          <w:lang w:val="es-ES_tradnl"/>
        </w:rPr>
        <w:t>La Corte consideró que la reforma implicó una importante armonización del derecho interno con los estándares convencionales e internacionales en materia de jurisdicción penal militar, pero que era necesario que adecu</w:t>
      </w:r>
      <w:r w:rsidRPr="00432ABC">
        <w:rPr>
          <w:rFonts w:ascii="Verdana" w:hAnsi="Verdana"/>
          <w:sz w:val="16"/>
          <w:szCs w:val="16"/>
          <w:lang w:val="es-ES_tradnl"/>
        </w:rPr>
        <w:t xml:space="preserve">ara la interpretación constitucional y legislativa a los principios de la jurisprudencia interamericana en un breve plazo. </w:t>
      </w:r>
      <w:r w:rsidRPr="00CD5C54">
        <w:rPr>
          <w:rFonts w:ascii="Verdana" w:hAnsi="Verdana"/>
          <w:i/>
          <w:sz w:val="16"/>
          <w:szCs w:val="16"/>
        </w:rPr>
        <w:t>Cfr.</w:t>
      </w:r>
      <w:r w:rsidRPr="00432ABC">
        <w:rPr>
          <w:rFonts w:ascii="Verdana" w:hAnsi="Verdana"/>
          <w:i/>
          <w:sz w:val="16"/>
          <w:szCs w:val="16"/>
        </w:rPr>
        <w:t xml:space="preserve"> Caso Cabrera García y Montiel Flores</w:t>
      </w:r>
      <w:r w:rsidRPr="00432ABC">
        <w:rPr>
          <w:rFonts w:ascii="Verdana" w:hAnsi="Verdana"/>
          <w:i/>
          <w:sz w:val="16"/>
          <w:szCs w:val="16"/>
          <w:lang w:val="es-CR"/>
        </w:rPr>
        <w:t xml:space="preserve"> Vs. México. Supervisión de cumplimiento de sentencia</w:t>
      </w:r>
      <w:r w:rsidRPr="00432ABC">
        <w:rPr>
          <w:rFonts w:ascii="Verdana" w:hAnsi="Verdana"/>
          <w:sz w:val="16"/>
          <w:szCs w:val="16"/>
          <w:lang w:val="es-CR"/>
        </w:rPr>
        <w:t>. Resolución del 17 de abril de 2015</w:t>
      </w:r>
      <w:r w:rsidRPr="00432ABC">
        <w:rPr>
          <w:rFonts w:ascii="Verdana" w:hAnsi="Verdana"/>
          <w:sz w:val="16"/>
          <w:szCs w:val="16"/>
        </w:rPr>
        <w:t>,</w:t>
      </w:r>
      <w:r w:rsidRPr="00432ABC">
        <w:rPr>
          <w:rFonts w:ascii="Verdana" w:hAnsi="Verdana"/>
          <w:i/>
          <w:sz w:val="16"/>
          <w:szCs w:val="16"/>
        </w:rPr>
        <w:t xml:space="preserve"> </w:t>
      </w:r>
      <w:r w:rsidRPr="00432ABC">
        <w:rPr>
          <w:rFonts w:ascii="Verdana" w:hAnsi="Verdana"/>
          <w:sz w:val="16"/>
          <w:szCs w:val="16"/>
        </w:rPr>
        <w:t xml:space="preserve">párrs. 21 y 23; y </w:t>
      </w:r>
      <w:r w:rsidRPr="00432ABC">
        <w:rPr>
          <w:rFonts w:ascii="Verdana" w:hAnsi="Verdana"/>
          <w:i/>
          <w:sz w:val="16"/>
          <w:szCs w:val="16"/>
          <w:lang w:val="es-CR"/>
        </w:rPr>
        <w:t>Casos Radilla Pacheco, Fernández Ortega y otros, y Rosendo Cantú y otra Vs. México. Supervisión de cumplimiento de sentencia</w:t>
      </w:r>
      <w:r w:rsidRPr="00432ABC">
        <w:rPr>
          <w:rFonts w:ascii="Verdana" w:hAnsi="Verdana"/>
          <w:sz w:val="16"/>
          <w:szCs w:val="16"/>
          <w:lang w:val="es-CR"/>
        </w:rPr>
        <w:t xml:space="preserve">. Resolución de la Corte </w:t>
      </w:r>
      <w:r>
        <w:rPr>
          <w:rFonts w:ascii="Verdana" w:hAnsi="Verdana"/>
          <w:sz w:val="16"/>
          <w:szCs w:val="16"/>
          <w:lang w:val="es-CR"/>
        </w:rPr>
        <w:t xml:space="preserve">IDH </w:t>
      </w:r>
      <w:r w:rsidRPr="00432ABC">
        <w:rPr>
          <w:rFonts w:ascii="Verdana" w:hAnsi="Verdana"/>
          <w:sz w:val="16"/>
          <w:szCs w:val="16"/>
          <w:lang w:val="es-CR"/>
        </w:rPr>
        <w:t>de 17 de abril de 2015</w:t>
      </w:r>
      <w:r w:rsidRPr="00432ABC">
        <w:rPr>
          <w:rFonts w:ascii="Verdana" w:hAnsi="Verdana"/>
          <w:i/>
          <w:sz w:val="16"/>
          <w:szCs w:val="16"/>
          <w:lang w:val="es-CR"/>
        </w:rPr>
        <w:t xml:space="preserve">, </w:t>
      </w:r>
      <w:r>
        <w:rPr>
          <w:rFonts w:ascii="Verdana" w:hAnsi="Verdana"/>
          <w:sz w:val="16"/>
          <w:szCs w:val="16"/>
          <w:lang w:val="es-CR"/>
        </w:rPr>
        <w:t>considerandos</w:t>
      </w:r>
      <w:r w:rsidRPr="00432ABC">
        <w:rPr>
          <w:rFonts w:ascii="Verdana" w:hAnsi="Verdana"/>
          <w:sz w:val="16"/>
          <w:szCs w:val="16"/>
          <w:lang w:val="es-CR"/>
        </w:rPr>
        <w:t xml:space="preserve"> 21 y 23.</w:t>
      </w:r>
    </w:p>
  </w:footnote>
  <w:footnote w:id="464">
    <w:p w14:paraId="64AA6313" w14:textId="593DCA11" w:rsidR="00146958" w:rsidRPr="00600A1A" w:rsidRDefault="00146958" w:rsidP="00C71BAA">
      <w:pPr>
        <w:pStyle w:val="FootnoteText"/>
        <w:jc w:val="both"/>
        <w:rPr>
          <w:rFonts w:ascii="Verdana" w:hAnsi="Verdana"/>
          <w:sz w:val="16"/>
          <w:szCs w:val="16"/>
        </w:rPr>
      </w:pPr>
      <w:r w:rsidRPr="008D0846">
        <w:rPr>
          <w:rStyle w:val="FootnoteReference"/>
          <w:rFonts w:ascii="Verdana" w:hAnsi="Verdana"/>
          <w:sz w:val="16"/>
          <w:szCs w:val="16"/>
        </w:rPr>
        <w:footnoteRef/>
      </w:r>
      <w:r w:rsidRPr="00C71BAA">
        <w:rPr>
          <w:rFonts w:ascii="Verdana" w:hAnsi="Verdana"/>
          <w:i/>
          <w:sz w:val="16"/>
          <w:szCs w:val="16"/>
        </w:rPr>
        <w:t xml:space="preserve"> </w:t>
      </w:r>
      <w:r w:rsidRPr="00C71BAA">
        <w:rPr>
          <w:rFonts w:ascii="Verdana" w:hAnsi="Verdana"/>
          <w:i/>
          <w:sz w:val="16"/>
          <w:szCs w:val="16"/>
        </w:rPr>
        <w:tab/>
      </w:r>
      <w:r w:rsidRPr="00CD5C54">
        <w:rPr>
          <w:rFonts w:ascii="Verdana" w:hAnsi="Verdana"/>
          <w:i/>
          <w:sz w:val="16"/>
          <w:szCs w:val="16"/>
        </w:rPr>
        <w:t>Cfr.</w:t>
      </w:r>
      <w:r w:rsidRPr="00C71BAA">
        <w:rPr>
          <w:rFonts w:ascii="Verdana" w:hAnsi="Verdana"/>
          <w:i/>
          <w:sz w:val="16"/>
          <w:szCs w:val="16"/>
        </w:rPr>
        <w:t xml:space="preserve"> Caso Cabrera García y Montiel Flores Vs. México</w:t>
      </w:r>
      <w:r w:rsidRPr="004D0D3E">
        <w:rPr>
          <w:rFonts w:ascii="Verdana" w:hAnsi="Verdana"/>
          <w:sz w:val="16"/>
          <w:szCs w:val="16"/>
        </w:rPr>
        <w:t>,</w:t>
      </w:r>
      <w:r w:rsidRPr="004D0D3E">
        <w:rPr>
          <w:rFonts w:ascii="Verdana" w:hAnsi="Verdana"/>
          <w:i/>
          <w:sz w:val="16"/>
          <w:szCs w:val="16"/>
        </w:rPr>
        <w:t xml:space="preserve"> supra</w:t>
      </w:r>
      <w:r w:rsidRPr="004D0D3E">
        <w:rPr>
          <w:rFonts w:ascii="Verdana" w:hAnsi="Verdana"/>
          <w:sz w:val="16"/>
          <w:szCs w:val="16"/>
        </w:rPr>
        <w:t xml:space="preserve"> párr. 22; y </w:t>
      </w:r>
      <w:r w:rsidRPr="00600A1A">
        <w:rPr>
          <w:rFonts w:ascii="Verdana" w:hAnsi="Verdana"/>
          <w:i/>
          <w:sz w:val="16"/>
          <w:szCs w:val="16"/>
          <w:lang w:val="es-CR"/>
        </w:rPr>
        <w:t xml:space="preserve">Casos Radilla Pacheco, Fernández Ortega y otros, y Rosendo Cantú y otra Vs. México, supra </w:t>
      </w:r>
      <w:r w:rsidRPr="00600A1A">
        <w:rPr>
          <w:rFonts w:ascii="Verdana" w:hAnsi="Verdana"/>
          <w:sz w:val="16"/>
          <w:szCs w:val="16"/>
          <w:lang w:val="es-CR"/>
        </w:rPr>
        <w:t>párr. 22.</w:t>
      </w:r>
      <w:r w:rsidRPr="00600A1A">
        <w:rPr>
          <w:rFonts w:ascii="Verdana" w:hAnsi="Verdana"/>
          <w:sz w:val="16"/>
          <w:szCs w:val="16"/>
        </w:rPr>
        <w:t xml:space="preserve"> </w:t>
      </w:r>
    </w:p>
  </w:footnote>
  <w:footnote w:id="465">
    <w:p w14:paraId="64AA6314" w14:textId="1F9A05AD" w:rsidR="00146958" w:rsidRPr="008B5915" w:rsidRDefault="00146958" w:rsidP="00C71BAA">
      <w:pPr>
        <w:pStyle w:val="FootnoteText"/>
        <w:jc w:val="both"/>
        <w:rPr>
          <w:rFonts w:ascii="Verdana" w:hAnsi="Verdana"/>
          <w:sz w:val="16"/>
          <w:szCs w:val="16"/>
          <w:lang w:val="es-CR"/>
        </w:rPr>
      </w:pPr>
      <w:r w:rsidRPr="008B5915">
        <w:rPr>
          <w:rStyle w:val="Smbolodenotaalpie"/>
          <w:rFonts w:ascii="Verdana" w:hAnsi="Verdana"/>
          <w:sz w:val="16"/>
          <w:szCs w:val="16"/>
        </w:rPr>
        <w:footnoteRef/>
      </w:r>
      <w:r w:rsidRPr="008B5915">
        <w:rPr>
          <w:rFonts w:ascii="Verdana" w:hAnsi="Verdana"/>
          <w:i/>
          <w:sz w:val="16"/>
          <w:szCs w:val="16"/>
          <w:lang w:val="es-VE"/>
        </w:rPr>
        <w:t xml:space="preserve"> </w:t>
      </w:r>
      <w:r w:rsidRPr="008B5915">
        <w:rPr>
          <w:rFonts w:ascii="Verdana" w:hAnsi="Verdana"/>
          <w:i/>
          <w:sz w:val="16"/>
          <w:szCs w:val="16"/>
          <w:lang w:val="es-VE"/>
        </w:rPr>
        <w:tab/>
      </w:r>
      <w:r w:rsidRPr="00CD5C54">
        <w:rPr>
          <w:rFonts w:ascii="Verdana" w:hAnsi="Verdana"/>
          <w:i/>
          <w:sz w:val="16"/>
          <w:szCs w:val="16"/>
          <w:lang w:val="es-VE"/>
        </w:rPr>
        <w:t>Cfr.</w:t>
      </w:r>
      <w:r w:rsidRPr="008B5915">
        <w:rPr>
          <w:rFonts w:ascii="Verdana" w:hAnsi="Verdana"/>
          <w:i/>
          <w:sz w:val="16"/>
          <w:szCs w:val="16"/>
          <w:lang w:val="es-VE"/>
        </w:rPr>
        <w:t xml:space="preserve"> </w:t>
      </w:r>
      <w:r w:rsidRPr="008B5915">
        <w:rPr>
          <w:rFonts w:ascii="Verdana" w:hAnsi="Verdana"/>
          <w:i/>
          <w:sz w:val="16"/>
          <w:szCs w:val="16"/>
        </w:rPr>
        <w:t>Caso</w:t>
      </w:r>
      <w:r w:rsidRPr="008B5915">
        <w:rPr>
          <w:rFonts w:ascii="Verdana" w:hAnsi="Verdana" w:cs="Arial"/>
          <w:sz w:val="16"/>
          <w:szCs w:val="16"/>
          <w:lang w:val="es-CR"/>
        </w:rPr>
        <w:t xml:space="preserve"> </w:t>
      </w:r>
      <w:r w:rsidRPr="008B5915">
        <w:rPr>
          <w:rFonts w:ascii="Verdana" w:hAnsi="Verdana" w:cs="Arial"/>
          <w:i/>
          <w:sz w:val="16"/>
          <w:szCs w:val="16"/>
          <w:lang w:val="es-CR"/>
        </w:rPr>
        <w:t>Velásquez Rodríguez Vs. Honduras. Fondo, supra</w:t>
      </w:r>
      <w:r w:rsidRPr="008B5915">
        <w:rPr>
          <w:rFonts w:ascii="Verdana" w:hAnsi="Verdana" w:cs="Arial"/>
          <w:sz w:val="16"/>
          <w:szCs w:val="16"/>
          <w:lang w:val="es-CR"/>
        </w:rPr>
        <w:t xml:space="preserve"> </w:t>
      </w:r>
      <w:r w:rsidRPr="008B5915">
        <w:rPr>
          <w:rFonts w:ascii="Verdana" w:hAnsi="Verdana" w:cs="Verdana"/>
          <w:sz w:val="16"/>
          <w:szCs w:val="16"/>
          <w:lang w:val="es-VE"/>
        </w:rPr>
        <w:t>párr. 177</w:t>
      </w:r>
      <w:r w:rsidRPr="008B5915">
        <w:rPr>
          <w:rFonts w:ascii="Verdana" w:hAnsi="Verdana"/>
          <w:sz w:val="16"/>
          <w:szCs w:val="16"/>
          <w:lang w:val="es-VE"/>
        </w:rPr>
        <w:t xml:space="preserve">, </w:t>
      </w:r>
      <w:r w:rsidRPr="008B5915">
        <w:rPr>
          <w:rFonts w:ascii="Verdana" w:hAnsi="Verdana"/>
          <w:sz w:val="16"/>
          <w:szCs w:val="16"/>
          <w:lang w:val="es-CR"/>
        </w:rPr>
        <w:t xml:space="preserve">y </w:t>
      </w:r>
      <w:r w:rsidRPr="008B5915">
        <w:rPr>
          <w:rFonts w:ascii="Verdana" w:hAnsi="Verdana"/>
          <w:i/>
          <w:sz w:val="16"/>
          <w:szCs w:val="16"/>
          <w:lang w:val="es-CR"/>
        </w:rPr>
        <w:t xml:space="preserve">Caso Escaleras Mejía y otros Vs. Honduras. </w:t>
      </w:r>
      <w:r w:rsidRPr="008D0846">
        <w:rPr>
          <w:rFonts w:ascii="Verdana" w:hAnsi="Verdana"/>
          <w:sz w:val="16"/>
          <w:szCs w:val="16"/>
          <w:lang w:val="es-CR"/>
        </w:rPr>
        <w:t>Sentencia de 26 de septiembre de 2018. Serie C No. 361, párr. 88.</w:t>
      </w:r>
    </w:p>
  </w:footnote>
  <w:footnote w:id="466">
    <w:p w14:paraId="64AA6317" w14:textId="11B9B527" w:rsidR="00146958" w:rsidRPr="008B5915" w:rsidRDefault="00146958" w:rsidP="004D0D3E">
      <w:pPr>
        <w:pStyle w:val="FootnoteText"/>
        <w:jc w:val="both"/>
        <w:rPr>
          <w:rFonts w:ascii="Verdana" w:hAnsi="Verdana"/>
          <w:sz w:val="16"/>
          <w:szCs w:val="16"/>
        </w:rPr>
      </w:pPr>
      <w:r w:rsidRPr="008B5915">
        <w:rPr>
          <w:rStyle w:val="FootnoteReference"/>
          <w:rFonts w:ascii="Verdana" w:hAnsi="Verdana"/>
          <w:sz w:val="16"/>
          <w:szCs w:val="16"/>
        </w:rPr>
        <w:footnoteRef/>
      </w:r>
      <w:r w:rsidRPr="008B5915">
        <w:rPr>
          <w:rFonts w:ascii="Verdana" w:hAnsi="Verdana"/>
          <w:sz w:val="16"/>
          <w:szCs w:val="16"/>
        </w:rPr>
        <w:t xml:space="preserve"> </w:t>
      </w:r>
      <w:r w:rsidRPr="008B5915">
        <w:rPr>
          <w:rFonts w:ascii="Verdana" w:hAnsi="Verdana"/>
          <w:sz w:val="16"/>
          <w:szCs w:val="16"/>
        </w:rPr>
        <w:tab/>
      </w:r>
      <w:r w:rsidRPr="008B5915">
        <w:rPr>
          <w:rFonts w:ascii="Verdana" w:hAnsi="Verdana"/>
          <w:i/>
          <w:iCs/>
          <w:color w:val="000000"/>
          <w:sz w:val="16"/>
          <w:szCs w:val="16"/>
        </w:rPr>
        <w:t>Caso Velásquez Rodríguez</w:t>
      </w:r>
      <w:r>
        <w:rPr>
          <w:rFonts w:ascii="Verdana" w:hAnsi="Verdana"/>
          <w:i/>
          <w:iCs/>
          <w:color w:val="000000"/>
          <w:sz w:val="16"/>
          <w:szCs w:val="16"/>
        </w:rPr>
        <w:t xml:space="preserve"> Vs. Honduras. Fondo</w:t>
      </w:r>
      <w:r w:rsidRPr="008B5915">
        <w:rPr>
          <w:rFonts w:ascii="Verdana" w:hAnsi="Verdana"/>
          <w:i/>
          <w:iCs/>
          <w:color w:val="000000"/>
          <w:sz w:val="16"/>
          <w:szCs w:val="16"/>
        </w:rPr>
        <w:t>, supra</w:t>
      </w:r>
      <w:r w:rsidRPr="008B5915">
        <w:rPr>
          <w:rFonts w:ascii="Verdana" w:hAnsi="Verdana"/>
          <w:color w:val="000000"/>
          <w:sz w:val="16"/>
          <w:szCs w:val="16"/>
        </w:rPr>
        <w:t xml:space="preserve"> párr. 181, y </w:t>
      </w:r>
      <w:r w:rsidRPr="008B5915">
        <w:rPr>
          <w:rFonts w:ascii="Verdana" w:hAnsi="Verdana"/>
          <w:i/>
          <w:color w:val="000000"/>
          <w:sz w:val="16"/>
          <w:szCs w:val="16"/>
        </w:rPr>
        <w:t>Caso Radilla Pacheco Vs. M</w:t>
      </w:r>
      <w:r w:rsidRPr="008D0846">
        <w:rPr>
          <w:rFonts w:ascii="Verdana" w:hAnsi="Verdana" w:cs="Arial"/>
          <w:i/>
          <w:color w:val="000000"/>
          <w:sz w:val="16"/>
          <w:szCs w:val="16"/>
        </w:rPr>
        <w:t>éxico</w:t>
      </w:r>
      <w:r w:rsidRPr="008B5915">
        <w:rPr>
          <w:rFonts w:ascii="Verdana" w:hAnsi="Verdana"/>
          <w:i/>
          <w:color w:val="000000"/>
          <w:sz w:val="16"/>
          <w:szCs w:val="16"/>
        </w:rPr>
        <w:t xml:space="preserve">, </w:t>
      </w:r>
      <w:r w:rsidRPr="008D0846">
        <w:rPr>
          <w:rFonts w:ascii="Verdana" w:hAnsi="Verdana"/>
          <w:i/>
          <w:color w:val="000000"/>
          <w:sz w:val="16"/>
          <w:szCs w:val="16"/>
        </w:rPr>
        <w:t>supra</w:t>
      </w:r>
      <w:r>
        <w:rPr>
          <w:rFonts w:ascii="Verdana" w:hAnsi="Verdana"/>
          <w:color w:val="000000"/>
          <w:sz w:val="16"/>
          <w:szCs w:val="16"/>
        </w:rPr>
        <w:t xml:space="preserve"> </w:t>
      </w:r>
      <w:r w:rsidRPr="008D0846">
        <w:rPr>
          <w:rFonts w:ascii="Verdana" w:hAnsi="Verdana"/>
          <w:color w:val="000000"/>
          <w:sz w:val="16"/>
          <w:szCs w:val="16"/>
        </w:rPr>
        <w:t>párr. 180</w:t>
      </w:r>
      <w:r w:rsidRPr="008B5915">
        <w:rPr>
          <w:rFonts w:ascii="Verdana" w:hAnsi="Verdana"/>
          <w:color w:val="000000"/>
          <w:sz w:val="16"/>
          <w:szCs w:val="16"/>
        </w:rPr>
        <w:t>.</w:t>
      </w:r>
    </w:p>
  </w:footnote>
  <w:footnote w:id="467">
    <w:p w14:paraId="64AA6319" w14:textId="7931D8C3" w:rsidR="00146958" w:rsidRPr="008B5915" w:rsidRDefault="00146958" w:rsidP="004D0D3E">
      <w:pPr>
        <w:pStyle w:val="FootnoteText"/>
        <w:jc w:val="both"/>
        <w:rPr>
          <w:rFonts w:ascii="Verdana" w:hAnsi="Verdana"/>
          <w:sz w:val="16"/>
          <w:szCs w:val="16"/>
        </w:rPr>
      </w:pPr>
      <w:r w:rsidRPr="008B5915">
        <w:rPr>
          <w:rStyle w:val="FootnoteReference"/>
          <w:rFonts w:ascii="Verdana" w:hAnsi="Verdana"/>
          <w:sz w:val="16"/>
          <w:szCs w:val="16"/>
        </w:rPr>
        <w:footnoteRef/>
      </w:r>
      <w:r w:rsidRPr="008B5915">
        <w:rPr>
          <w:rFonts w:ascii="Verdana" w:hAnsi="Verdana"/>
          <w:sz w:val="16"/>
          <w:szCs w:val="16"/>
        </w:rPr>
        <w:t xml:space="preserve"> </w:t>
      </w:r>
      <w:r w:rsidRPr="008B5915">
        <w:rPr>
          <w:rFonts w:ascii="Verdana" w:hAnsi="Verdana"/>
          <w:sz w:val="16"/>
          <w:szCs w:val="16"/>
        </w:rPr>
        <w:tab/>
      </w:r>
      <w:r w:rsidRPr="00CD5C54">
        <w:rPr>
          <w:rFonts w:ascii="Verdana" w:hAnsi="Verdana"/>
          <w:i/>
          <w:sz w:val="16"/>
          <w:szCs w:val="16"/>
        </w:rPr>
        <w:t>Cfr.</w:t>
      </w:r>
      <w:r w:rsidRPr="008B5915">
        <w:rPr>
          <w:rFonts w:ascii="Verdana" w:hAnsi="Verdana"/>
          <w:sz w:val="16"/>
          <w:szCs w:val="16"/>
        </w:rPr>
        <w:t xml:space="preserve"> </w:t>
      </w:r>
      <w:r w:rsidRPr="008B5915">
        <w:rPr>
          <w:rFonts w:ascii="Verdana" w:hAnsi="Verdana"/>
          <w:i/>
          <w:sz w:val="16"/>
          <w:szCs w:val="16"/>
        </w:rPr>
        <w:t>Caso Goiburú y otros Vs. Paraguay</w:t>
      </w:r>
      <w:r>
        <w:rPr>
          <w:rFonts w:ascii="Verdana" w:hAnsi="Verdana"/>
          <w:i/>
          <w:sz w:val="16"/>
          <w:szCs w:val="16"/>
        </w:rPr>
        <w:t>, supra</w:t>
      </w:r>
      <w:r w:rsidRPr="008B5915">
        <w:rPr>
          <w:rFonts w:ascii="Verdana" w:hAnsi="Verdana"/>
          <w:sz w:val="16"/>
          <w:szCs w:val="16"/>
        </w:rPr>
        <w:t xml:space="preserve"> párr. 131, y </w:t>
      </w:r>
      <w:r w:rsidRPr="008B5915">
        <w:rPr>
          <w:rFonts w:ascii="Verdana" w:hAnsi="Verdana"/>
          <w:i/>
          <w:sz w:val="16"/>
          <w:szCs w:val="16"/>
        </w:rPr>
        <w:t>Caso Munárriz Escobar y otros Vs. Perú</w:t>
      </w:r>
      <w:r>
        <w:rPr>
          <w:rFonts w:ascii="Verdana" w:hAnsi="Verdana"/>
          <w:i/>
          <w:sz w:val="16"/>
          <w:szCs w:val="16"/>
        </w:rPr>
        <w:t>, supra</w:t>
      </w:r>
      <w:r w:rsidRPr="008D0846">
        <w:rPr>
          <w:rFonts w:ascii="Verdana" w:hAnsi="Verdana"/>
          <w:sz w:val="16"/>
          <w:szCs w:val="16"/>
        </w:rPr>
        <w:t xml:space="preserve"> párr. 98</w:t>
      </w:r>
      <w:r w:rsidRPr="008B5915">
        <w:rPr>
          <w:rFonts w:ascii="Verdana" w:hAnsi="Verdana"/>
          <w:sz w:val="16"/>
          <w:szCs w:val="16"/>
        </w:rPr>
        <w:t>.</w:t>
      </w:r>
    </w:p>
  </w:footnote>
  <w:footnote w:id="468">
    <w:p w14:paraId="64AA631C" w14:textId="25ED3517" w:rsidR="00146958" w:rsidRPr="008B5915" w:rsidRDefault="00146958">
      <w:pPr>
        <w:pStyle w:val="FootnoteText"/>
        <w:jc w:val="both"/>
        <w:rPr>
          <w:rFonts w:ascii="Verdana" w:hAnsi="Verdana"/>
          <w:sz w:val="16"/>
          <w:szCs w:val="16"/>
        </w:rPr>
      </w:pPr>
      <w:r w:rsidRPr="00CE5C45">
        <w:rPr>
          <w:rStyle w:val="FootnoteReference"/>
          <w:rFonts w:ascii="Verdana" w:hAnsi="Verdana"/>
          <w:sz w:val="16"/>
          <w:szCs w:val="16"/>
        </w:rPr>
        <w:footnoteRef/>
      </w:r>
      <w:r w:rsidRPr="008B5915">
        <w:rPr>
          <w:rFonts w:ascii="Verdana" w:hAnsi="Verdana"/>
          <w:sz w:val="16"/>
          <w:szCs w:val="16"/>
        </w:rPr>
        <w:t xml:space="preserve"> </w:t>
      </w:r>
      <w:r w:rsidRPr="008B5915">
        <w:rPr>
          <w:rFonts w:ascii="Verdana" w:hAnsi="Verdana"/>
          <w:sz w:val="16"/>
          <w:szCs w:val="16"/>
        </w:rPr>
        <w:tab/>
        <w:t>Concretamente, la Procuraduría General de Justicia del Estado de Chihuahua, la Delegación de la PGR en el Estado de Chihuahua y la Procuraduría General de Justicia Militar.</w:t>
      </w:r>
    </w:p>
  </w:footnote>
  <w:footnote w:id="469">
    <w:p w14:paraId="64AA631D" w14:textId="0C0AB880" w:rsidR="00146958" w:rsidRPr="00432ABC" w:rsidRDefault="00146958">
      <w:pPr>
        <w:pStyle w:val="FootnoteText"/>
        <w:jc w:val="both"/>
        <w:rPr>
          <w:rFonts w:ascii="Verdana" w:hAnsi="Verdana"/>
          <w:sz w:val="16"/>
          <w:szCs w:val="16"/>
        </w:rPr>
      </w:pPr>
      <w:r w:rsidRPr="008B5915">
        <w:rPr>
          <w:rStyle w:val="FootnoteReference"/>
          <w:rFonts w:ascii="Verdana" w:hAnsi="Verdana"/>
          <w:sz w:val="16"/>
          <w:szCs w:val="16"/>
        </w:rPr>
        <w:footnoteRef/>
      </w:r>
      <w:r w:rsidRPr="008B5915">
        <w:rPr>
          <w:rFonts w:ascii="Verdana" w:hAnsi="Verdana"/>
          <w:sz w:val="16"/>
          <w:szCs w:val="16"/>
        </w:rPr>
        <w:t xml:space="preserve"> </w:t>
      </w:r>
      <w:r w:rsidRPr="008B5915">
        <w:rPr>
          <w:rFonts w:ascii="Verdana" w:hAnsi="Verdana"/>
          <w:sz w:val="16"/>
          <w:szCs w:val="16"/>
        </w:rPr>
        <w:tab/>
        <w:t>Lo que fue confirmado por el Dr. Salomón Baltazar Samoaya, testigo en el caso, y quien se desempeñó como Titular de la Unidad de Búsqueda de Personas Desaparecidas de la Procuraduría General de la República desde junio de 2013 hasta julio de 2015. En su testimonio afirmó: “(…) [c]uando iniciamos los trabajos para recabar los expedientes e indagatorias que se habían hecho sobre el caso, encontramos una investigación desarticulada, dispersa y durmiendo el sueño de los justos (…)” (expediente de prueba, afidávits, f. 30932).</w:t>
      </w:r>
    </w:p>
  </w:footnote>
  <w:footnote w:id="470">
    <w:p w14:paraId="64AA631E" w14:textId="3D023A4C" w:rsidR="00146958" w:rsidRPr="00432ABC" w:rsidRDefault="00146958">
      <w:pPr>
        <w:pStyle w:val="FootnoteText"/>
        <w:jc w:val="both"/>
        <w:rPr>
          <w:rFonts w:ascii="Verdana" w:hAnsi="Verdana"/>
          <w:sz w:val="16"/>
          <w:szCs w:val="16"/>
        </w:rPr>
      </w:pPr>
      <w:r w:rsidRPr="00432ABC">
        <w:rPr>
          <w:rStyle w:val="FootnoteReference"/>
          <w:rFonts w:ascii="Verdana" w:hAnsi="Verdana"/>
          <w:sz w:val="16"/>
          <w:szCs w:val="16"/>
        </w:rPr>
        <w:footnoteRef/>
      </w:r>
      <w:r w:rsidRPr="00432ABC">
        <w:rPr>
          <w:rFonts w:ascii="Verdana" w:hAnsi="Verdana"/>
          <w:sz w:val="16"/>
          <w:szCs w:val="16"/>
        </w:rPr>
        <w:t xml:space="preserve"> </w:t>
      </w:r>
      <w:r w:rsidRPr="002C462C">
        <w:rPr>
          <w:rFonts w:ascii="Verdana" w:hAnsi="Verdana"/>
          <w:sz w:val="16"/>
          <w:szCs w:val="16"/>
        </w:rPr>
        <w:tab/>
        <w:t>La perito Gabriel</w:t>
      </w:r>
      <w:r>
        <w:rPr>
          <w:rFonts w:ascii="Verdana" w:hAnsi="Verdana"/>
          <w:sz w:val="16"/>
          <w:szCs w:val="16"/>
        </w:rPr>
        <w:t>l</w:t>
      </w:r>
      <w:r w:rsidRPr="002C462C">
        <w:rPr>
          <w:rFonts w:ascii="Verdana" w:hAnsi="Verdana"/>
          <w:sz w:val="16"/>
          <w:szCs w:val="16"/>
        </w:rPr>
        <w:t xml:space="preserve">a Citroni, basándose en el </w:t>
      </w:r>
      <w:r w:rsidRPr="002C462C">
        <w:rPr>
          <w:rFonts w:ascii="Verdana" w:hAnsi="Verdana"/>
          <w:i/>
          <w:sz w:val="16"/>
          <w:szCs w:val="16"/>
        </w:rPr>
        <w:t>Informe sobre la visita a México</w:t>
      </w:r>
      <w:r w:rsidRPr="00432ABC">
        <w:rPr>
          <w:rFonts w:ascii="Verdana" w:hAnsi="Verdana"/>
          <w:sz w:val="16"/>
          <w:szCs w:val="16"/>
        </w:rPr>
        <w:t xml:space="preserve"> de la Relatora Especial sobre la independencia de los magistrados y abogados, refiere que una de las deficiencias en el sistema investigativo mexicano es precisamente la existencia de conflictos de competencia entre autoridades federales y estatales, “que obstaculizan la efectiva respuesta del Estado” (</w:t>
      </w:r>
      <w:r>
        <w:rPr>
          <w:rFonts w:ascii="Verdana" w:hAnsi="Verdana"/>
          <w:sz w:val="16"/>
          <w:szCs w:val="16"/>
        </w:rPr>
        <w:t>e</w:t>
      </w:r>
      <w:r w:rsidRPr="00432ABC">
        <w:rPr>
          <w:rFonts w:ascii="Verdana" w:hAnsi="Verdana"/>
          <w:sz w:val="16"/>
          <w:szCs w:val="16"/>
        </w:rPr>
        <w:t xml:space="preserve">xpediente de prueba, </w:t>
      </w:r>
      <w:r w:rsidRPr="00453199">
        <w:rPr>
          <w:rFonts w:ascii="Verdana" w:hAnsi="Verdana"/>
          <w:i/>
          <w:sz w:val="16"/>
          <w:szCs w:val="16"/>
        </w:rPr>
        <w:t>Affidávits</w:t>
      </w:r>
      <w:r w:rsidRPr="00432ABC">
        <w:rPr>
          <w:rFonts w:ascii="Verdana" w:hAnsi="Verdana"/>
          <w:sz w:val="16"/>
          <w:szCs w:val="16"/>
        </w:rPr>
        <w:t>, f. 31109</w:t>
      </w:r>
      <w:r>
        <w:rPr>
          <w:rFonts w:ascii="Verdana" w:hAnsi="Verdana"/>
          <w:sz w:val="16"/>
          <w:szCs w:val="16"/>
        </w:rPr>
        <w:t xml:space="preserve">, </w:t>
      </w:r>
      <w:r w:rsidRPr="00432ABC">
        <w:rPr>
          <w:rFonts w:ascii="Verdana" w:hAnsi="Verdana"/>
          <w:sz w:val="16"/>
          <w:szCs w:val="16"/>
        </w:rPr>
        <w:t>párr. 203)</w:t>
      </w:r>
    </w:p>
  </w:footnote>
  <w:footnote w:id="471">
    <w:p w14:paraId="64AA631F" w14:textId="16BE0FF4" w:rsidR="00146958" w:rsidRPr="00432ABC" w:rsidRDefault="00146958">
      <w:pPr>
        <w:pStyle w:val="FootnoteText"/>
        <w:jc w:val="both"/>
        <w:rPr>
          <w:rFonts w:ascii="Verdana" w:hAnsi="Verdana"/>
          <w:sz w:val="16"/>
          <w:szCs w:val="16"/>
        </w:rPr>
      </w:pPr>
      <w:r w:rsidRPr="00432ABC">
        <w:rPr>
          <w:rStyle w:val="FootnoteReference"/>
          <w:rFonts w:ascii="Verdana" w:hAnsi="Verdana"/>
          <w:sz w:val="16"/>
          <w:szCs w:val="16"/>
        </w:rPr>
        <w:footnoteRef/>
      </w:r>
      <w:r w:rsidRPr="00432ABC">
        <w:rPr>
          <w:rFonts w:ascii="Verdana" w:hAnsi="Verdana"/>
          <w:sz w:val="16"/>
          <w:szCs w:val="16"/>
        </w:rPr>
        <w:t xml:space="preserve"> </w:t>
      </w:r>
      <w:r w:rsidRPr="002C462C">
        <w:rPr>
          <w:rFonts w:ascii="Verdana" w:hAnsi="Verdana"/>
          <w:sz w:val="16"/>
          <w:szCs w:val="16"/>
        </w:rPr>
        <w:tab/>
      </w:r>
      <w:r w:rsidRPr="002C462C">
        <w:rPr>
          <w:rFonts w:ascii="Verdana" w:hAnsi="Verdana"/>
          <w:color w:val="000000"/>
          <w:sz w:val="16"/>
          <w:szCs w:val="16"/>
        </w:rPr>
        <w:t xml:space="preserve">Cuestión que fue reconocida por el Estado, quien –además– hizo notar que en la actualidad ha entrado en vigor la Ley General en </w:t>
      </w:r>
      <w:r>
        <w:rPr>
          <w:rFonts w:ascii="Verdana" w:hAnsi="Verdana"/>
          <w:color w:val="000000"/>
          <w:sz w:val="16"/>
          <w:szCs w:val="16"/>
        </w:rPr>
        <w:t>M</w:t>
      </w:r>
      <w:r w:rsidRPr="002C462C">
        <w:rPr>
          <w:rFonts w:ascii="Verdana" w:hAnsi="Verdana"/>
          <w:color w:val="000000"/>
          <w:sz w:val="16"/>
          <w:szCs w:val="16"/>
        </w:rPr>
        <w:t xml:space="preserve">ateria de </w:t>
      </w:r>
      <w:r>
        <w:rPr>
          <w:rFonts w:ascii="Verdana" w:hAnsi="Verdana"/>
          <w:color w:val="000000"/>
          <w:sz w:val="16"/>
          <w:szCs w:val="16"/>
        </w:rPr>
        <w:t>D</w:t>
      </w:r>
      <w:r w:rsidRPr="002C462C">
        <w:rPr>
          <w:rFonts w:ascii="Verdana" w:hAnsi="Verdana"/>
          <w:color w:val="000000"/>
          <w:sz w:val="16"/>
          <w:szCs w:val="16"/>
        </w:rPr>
        <w:t xml:space="preserve">esaparición </w:t>
      </w:r>
      <w:r>
        <w:rPr>
          <w:rFonts w:ascii="Verdana" w:hAnsi="Verdana"/>
          <w:color w:val="000000"/>
          <w:sz w:val="16"/>
          <w:szCs w:val="16"/>
        </w:rPr>
        <w:t>F</w:t>
      </w:r>
      <w:r w:rsidRPr="002C462C">
        <w:rPr>
          <w:rFonts w:ascii="Verdana" w:hAnsi="Verdana"/>
          <w:color w:val="000000"/>
          <w:sz w:val="16"/>
          <w:szCs w:val="16"/>
        </w:rPr>
        <w:t xml:space="preserve">orzada de </w:t>
      </w:r>
      <w:r>
        <w:rPr>
          <w:rFonts w:ascii="Verdana" w:hAnsi="Verdana"/>
          <w:color w:val="000000"/>
          <w:sz w:val="16"/>
          <w:szCs w:val="16"/>
        </w:rPr>
        <w:t>P</w:t>
      </w:r>
      <w:r w:rsidRPr="002C462C">
        <w:rPr>
          <w:rFonts w:ascii="Verdana" w:hAnsi="Verdana"/>
          <w:color w:val="000000"/>
          <w:sz w:val="16"/>
          <w:szCs w:val="16"/>
        </w:rPr>
        <w:t xml:space="preserve">ersonas, </w:t>
      </w:r>
      <w:r>
        <w:rPr>
          <w:rFonts w:ascii="Verdana" w:hAnsi="Verdana"/>
          <w:color w:val="000000"/>
          <w:sz w:val="16"/>
          <w:szCs w:val="16"/>
        </w:rPr>
        <w:t>D</w:t>
      </w:r>
      <w:r w:rsidRPr="002C462C">
        <w:rPr>
          <w:rFonts w:ascii="Verdana" w:hAnsi="Verdana"/>
          <w:color w:val="000000"/>
          <w:sz w:val="16"/>
          <w:szCs w:val="16"/>
        </w:rPr>
        <w:t>es</w:t>
      </w:r>
      <w:r w:rsidRPr="00432ABC">
        <w:rPr>
          <w:rFonts w:ascii="Verdana" w:hAnsi="Verdana"/>
          <w:color w:val="000000"/>
          <w:sz w:val="16"/>
          <w:szCs w:val="16"/>
        </w:rPr>
        <w:t xml:space="preserve">aparición </w:t>
      </w:r>
      <w:r>
        <w:rPr>
          <w:rFonts w:ascii="Verdana" w:hAnsi="Verdana"/>
          <w:color w:val="000000"/>
          <w:sz w:val="16"/>
          <w:szCs w:val="16"/>
        </w:rPr>
        <w:t>C</w:t>
      </w:r>
      <w:r w:rsidRPr="00432ABC">
        <w:rPr>
          <w:rFonts w:ascii="Verdana" w:hAnsi="Verdana"/>
          <w:color w:val="000000"/>
          <w:sz w:val="16"/>
          <w:szCs w:val="16"/>
        </w:rPr>
        <w:t xml:space="preserve">ometida por </w:t>
      </w:r>
      <w:r>
        <w:rPr>
          <w:rFonts w:ascii="Verdana" w:hAnsi="Verdana"/>
          <w:color w:val="000000"/>
          <w:sz w:val="16"/>
          <w:szCs w:val="16"/>
        </w:rPr>
        <w:t>P</w:t>
      </w:r>
      <w:r w:rsidRPr="00432ABC">
        <w:rPr>
          <w:rFonts w:ascii="Verdana" w:hAnsi="Verdana"/>
          <w:color w:val="000000"/>
          <w:sz w:val="16"/>
          <w:szCs w:val="16"/>
        </w:rPr>
        <w:t xml:space="preserve">articulares y del Sistema Nacional de Búsqueda de Personas, </w:t>
      </w:r>
      <w:r w:rsidRPr="00432ABC">
        <w:rPr>
          <w:rFonts w:ascii="Verdana" w:hAnsi="Verdana"/>
          <w:sz w:val="16"/>
          <w:szCs w:val="16"/>
        </w:rPr>
        <w:t>publicada en el Diario Oficial de la Federación el 17 de noviembre de 2017.</w:t>
      </w:r>
    </w:p>
  </w:footnote>
  <w:footnote w:id="472">
    <w:p w14:paraId="64AA6320" w14:textId="5AF43F0D" w:rsidR="00146958" w:rsidRPr="00432ABC" w:rsidRDefault="00146958">
      <w:pPr>
        <w:pStyle w:val="FootnoteText"/>
        <w:jc w:val="both"/>
        <w:rPr>
          <w:rFonts w:ascii="Verdana" w:hAnsi="Verdana"/>
          <w:sz w:val="16"/>
          <w:szCs w:val="16"/>
        </w:rPr>
      </w:pPr>
      <w:r w:rsidRPr="00432ABC">
        <w:rPr>
          <w:rStyle w:val="FootnoteReference"/>
          <w:rFonts w:ascii="Verdana" w:hAnsi="Verdana"/>
          <w:sz w:val="16"/>
          <w:szCs w:val="16"/>
        </w:rPr>
        <w:footnoteRef/>
      </w:r>
      <w:r w:rsidRPr="00432ABC">
        <w:rPr>
          <w:rFonts w:ascii="Verdana" w:hAnsi="Verdana"/>
          <w:sz w:val="16"/>
          <w:szCs w:val="16"/>
        </w:rPr>
        <w:t xml:space="preserve"> </w:t>
      </w:r>
      <w:r w:rsidRPr="002C462C">
        <w:rPr>
          <w:rFonts w:ascii="Verdana" w:hAnsi="Verdana"/>
          <w:sz w:val="16"/>
          <w:szCs w:val="16"/>
        </w:rPr>
        <w:tab/>
      </w:r>
      <w:r w:rsidRPr="00CD5C54">
        <w:rPr>
          <w:rFonts w:ascii="Verdana" w:hAnsi="Verdana"/>
          <w:i/>
          <w:sz w:val="16"/>
          <w:szCs w:val="16"/>
        </w:rPr>
        <w:t>Cfr.</w:t>
      </w:r>
      <w:r w:rsidRPr="00432ABC">
        <w:rPr>
          <w:rFonts w:ascii="Verdana" w:hAnsi="Verdana"/>
          <w:sz w:val="16"/>
          <w:szCs w:val="16"/>
        </w:rPr>
        <w:t xml:space="preserve"> Informe Final del Equipo Internacional de peritos (EIP) emitido dentro del Proyecto de Asistencia a la Fiscalía General del Estado de Chihuahua, México, en las investigaciones de casos de homicidios de defensores de derechos humanos y desaparición forzada (</w:t>
      </w:r>
      <w:r>
        <w:rPr>
          <w:rFonts w:ascii="Verdana" w:hAnsi="Verdana"/>
          <w:sz w:val="16"/>
          <w:szCs w:val="16"/>
        </w:rPr>
        <w:t>e</w:t>
      </w:r>
      <w:r w:rsidRPr="00432ABC">
        <w:rPr>
          <w:rFonts w:ascii="Verdana" w:hAnsi="Verdana"/>
          <w:sz w:val="16"/>
          <w:szCs w:val="16"/>
        </w:rPr>
        <w:t>xpediente de prueba, f. 28897</w:t>
      </w:r>
      <w:r>
        <w:rPr>
          <w:rFonts w:ascii="Verdana" w:hAnsi="Verdana"/>
          <w:sz w:val="16"/>
          <w:szCs w:val="16"/>
        </w:rPr>
        <w:t>)</w:t>
      </w:r>
      <w:r w:rsidRPr="00432ABC">
        <w:rPr>
          <w:rFonts w:ascii="Verdana" w:hAnsi="Verdana"/>
          <w:sz w:val="16"/>
          <w:szCs w:val="16"/>
        </w:rPr>
        <w:t>.</w:t>
      </w:r>
    </w:p>
  </w:footnote>
  <w:footnote w:id="473">
    <w:p w14:paraId="64AA6321" w14:textId="619F7BA0" w:rsidR="00146958" w:rsidRPr="005742B1" w:rsidRDefault="00146958">
      <w:pPr>
        <w:pStyle w:val="FootnoteText"/>
        <w:jc w:val="both"/>
        <w:rPr>
          <w:rFonts w:ascii="Verdana" w:hAnsi="Verdana"/>
          <w:sz w:val="16"/>
          <w:szCs w:val="16"/>
        </w:rPr>
      </w:pPr>
      <w:r w:rsidRPr="00B803B3">
        <w:rPr>
          <w:rStyle w:val="FootnoteReference"/>
          <w:rFonts w:ascii="Verdana" w:hAnsi="Verdana"/>
          <w:sz w:val="16"/>
          <w:szCs w:val="16"/>
        </w:rPr>
        <w:footnoteRef/>
      </w:r>
      <w:r w:rsidRPr="00B803B3">
        <w:rPr>
          <w:rFonts w:ascii="Verdana" w:hAnsi="Verdana"/>
          <w:sz w:val="16"/>
          <w:szCs w:val="16"/>
        </w:rPr>
        <w:t xml:space="preserve"> </w:t>
      </w:r>
      <w:r w:rsidRPr="00B803B3">
        <w:rPr>
          <w:rFonts w:ascii="Verdana" w:hAnsi="Verdana"/>
          <w:sz w:val="16"/>
          <w:szCs w:val="16"/>
        </w:rPr>
        <w:tab/>
      </w:r>
      <w:r w:rsidRPr="00CD5C54">
        <w:rPr>
          <w:rFonts w:ascii="Verdana" w:hAnsi="Verdana"/>
          <w:i/>
          <w:sz w:val="16"/>
          <w:szCs w:val="16"/>
        </w:rPr>
        <w:t>Cfr.</w:t>
      </w:r>
      <w:r w:rsidRPr="005742B1">
        <w:rPr>
          <w:rFonts w:ascii="Verdana" w:hAnsi="Verdana"/>
          <w:sz w:val="16"/>
          <w:szCs w:val="16"/>
        </w:rPr>
        <w:t xml:space="preserve"> Informe Final del EIP</w:t>
      </w:r>
      <w:r>
        <w:rPr>
          <w:rFonts w:ascii="Verdana" w:hAnsi="Verdana"/>
          <w:sz w:val="16"/>
          <w:szCs w:val="16"/>
        </w:rPr>
        <w:t xml:space="preserve">, </w:t>
      </w:r>
      <w:r w:rsidRPr="008D0846">
        <w:rPr>
          <w:rFonts w:ascii="Verdana" w:hAnsi="Verdana"/>
          <w:i/>
          <w:sz w:val="16"/>
          <w:szCs w:val="16"/>
        </w:rPr>
        <w:t>supra</w:t>
      </w:r>
      <w:r w:rsidRPr="005742B1">
        <w:rPr>
          <w:rFonts w:ascii="Verdana" w:hAnsi="Verdana"/>
          <w:sz w:val="16"/>
          <w:szCs w:val="16"/>
        </w:rPr>
        <w:t xml:space="preserve"> ff. 28901 y 28902.</w:t>
      </w:r>
    </w:p>
  </w:footnote>
  <w:footnote w:id="474">
    <w:p w14:paraId="64AA6322" w14:textId="1B634771" w:rsidR="00146958" w:rsidRPr="005742B1" w:rsidRDefault="00146958">
      <w:pPr>
        <w:pStyle w:val="FootnoteText"/>
        <w:jc w:val="both"/>
        <w:rPr>
          <w:rFonts w:ascii="Verdana" w:hAnsi="Verdana"/>
          <w:sz w:val="16"/>
          <w:szCs w:val="16"/>
          <w:lang w:val="es-ES"/>
        </w:rPr>
      </w:pPr>
      <w:r w:rsidRPr="00B803B3">
        <w:rPr>
          <w:rStyle w:val="FootnoteReference"/>
          <w:rFonts w:ascii="Verdana" w:hAnsi="Verdana"/>
          <w:sz w:val="16"/>
          <w:szCs w:val="16"/>
        </w:rPr>
        <w:footnoteRef/>
      </w:r>
      <w:r w:rsidRPr="00B803B3">
        <w:rPr>
          <w:rFonts w:ascii="Verdana" w:hAnsi="Verdana"/>
          <w:sz w:val="16"/>
          <w:szCs w:val="16"/>
          <w:lang w:val="es-ES"/>
        </w:rPr>
        <w:t xml:space="preserve"> </w:t>
      </w:r>
      <w:r w:rsidRPr="00B803B3">
        <w:rPr>
          <w:rFonts w:ascii="Verdana" w:hAnsi="Verdana"/>
          <w:sz w:val="16"/>
          <w:szCs w:val="16"/>
          <w:lang w:val="es-ES"/>
        </w:rPr>
        <w:tab/>
      </w:r>
      <w:r w:rsidRPr="00CD5C54">
        <w:rPr>
          <w:rFonts w:ascii="Verdana" w:hAnsi="Verdana"/>
          <w:i/>
          <w:sz w:val="16"/>
          <w:szCs w:val="16"/>
          <w:lang w:val="es-CL"/>
        </w:rPr>
        <w:t>Cfr.</w:t>
      </w:r>
      <w:r w:rsidRPr="00CE5C45">
        <w:rPr>
          <w:rFonts w:ascii="Verdana" w:hAnsi="Verdana"/>
          <w:i/>
          <w:sz w:val="16"/>
          <w:szCs w:val="16"/>
          <w:lang w:val="es-CL"/>
        </w:rPr>
        <w:t xml:space="preserve"> </w:t>
      </w:r>
      <w:r w:rsidRPr="00D46364">
        <w:rPr>
          <w:rFonts w:ascii="Verdana" w:hAnsi="Verdana"/>
          <w:i/>
          <w:sz w:val="16"/>
          <w:szCs w:val="16"/>
          <w:lang w:val="es-CL"/>
        </w:rPr>
        <w:t>Caso Perozo y otros Vs. Venezuela</w:t>
      </w:r>
      <w:r w:rsidRPr="008D0846">
        <w:rPr>
          <w:rFonts w:ascii="Verdana" w:hAnsi="Verdana"/>
          <w:i/>
          <w:sz w:val="16"/>
          <w:szCs w:val="16"/>
          <w:lang w:val="es-CL"/>
        </w:rPr>
        <w:t>. Excepciones Preliminares, Fondo, Reparaciones y Costas. Sentencia de 28 de enero de 2009</w:t>
      </w:r>
      <w:r w:rsidRPr="00B803B3">
        <w:rPr>
          <w:rFonts w:ascii="Verdana" w:hAnsi="Verdana"/>
          <w:sz w:val="16"/>
          <w:szCs w:val="16"/>
          <w:lang w:val="es-CL"/>
        </w:rPr>
        <w:t xml:space="preserve">. Serie C No. 195, </w:t>
      </w:r>
      <w:r w:rsidRPr="005742B1">
        <w:rPr>
          <w:rFonts w:ascii="Verdana" w:hAnsi="Verdana"/>
          <w:sz w:val="16"/>
          <w:szCs w:val="16"/>
          <w:lang w:val="es-CL"/>
        </w:rPr>
        <w:t>párr. 295</w:t>
      </w:r>
      <w:r>
        <w:rPr>
          <w:rFonts w:ascii="Verdana" w:hAnsi="Verdana"/>
          <w:sz w:val="16"/>
          <w:szCs w:val="16"/>
          <w:lang w:val="es-CL"/>
        </w:rPr>
        <w:t xml:space="preserve">, y </w:t>
      </w:r>
      <w:r w:rsidRPr="008D0846">
        <w:rPr>
          <w:rFonts w:ascii="Verdana" w:hAnsi="Verdana"/>
          <w:i/>
          <w:sz w:val="16"/>
          <w:szCs w:val="16"/>
          <w:lang w:val="es-CL"/>
        </w:rPr>
        <w:t>Caso Ríos y otros Vs. Venezuela. Excepciones Preliminares, Fondo, Reparaciones y Costas</w:t>
      </w:r>
      <w:r>
        <w:rPr>
          <w:rFonts w:ascii="Verdana" w:hAnsi="Verdana"/>
          <w:sz w:val="16"/>
          <w:szCs w:val="16"/>
          <w:lang w:val="es-CL"/>
        </w:rPr>
        <w:t>. Sentencia de 28 de enero de 2009. Serie C No. 194, párr. 279.</w:t>
      </w:r>
    </w:p>
  </w:footnote>
  <w:footnote w:id="475">
    <w:p w14:paraId="64AA6323" w14:textId="24E09115" w:rsidR="00146958" w:rsidRPr="005742B1" w:rsidRDefault="00146958">
      <w:pPr>
        <w:pStyle w:val="FootnoteText"/>
        <w:jc w:val="both"/>
        <w:rPr>
          <w:rFonts w:ascii="Verdana" w:hAnsi="Verdana"/>
          <w:sz w:val="16"/>
          <w:szCs w:val="16"/>
        </w:rPr>
      </w:pPr>
      <w:r w:rsidRPr="00B803B3">
        <w:rPr>
          <w:rStyle w:val="FootnoteReference"/>
          <w:rFonts w:ascii="Verdana" w:hAnsi="Verdana"/>
          <w:sz w:val="16"/>
          <w:szCs w:val="16"/>
        </w:rPr>
        <w:footnoteRef/>
      </w:r>
      <w:r w:rsidRPr="00B803B3">
        <w:rPr>
          <w:rFonts w:ascii="Verdana" w:hAnsi="Verdana"/>
          <w:sz w:val="16"/>
          <w:szCs w:val="16"/>
        </w:rPr>
        <w:t xml:space="preserve"> </w:t>
      </w:r>
      <w:r w:rsidRPr="00B803B3">
        <w:rPr>
          <w:rFonts w:ascii="Verdana" w:hAnsi="Verdana"/>
          <w:sz w:val="16"/>
          <w:szCs w:val="16"/>
        </w:rPr>
        <w:tab/>
      </w:r>
      <w:r w:rsidRPr="00CD5C54">
        <w:rPr>
          <w:rFonts w:ascii="Verdana" w:hAnsi="Verdana"/>
          <w:i/>
          <w:sz w:val="16"/>
          <w:szCs w:val="16"/>
        </w:rPr>
        <w:t>Cfr.</w:t>
      </w:r>
      <w:r w:rsidRPr="005742B1">
        <w:rPr>
          <w:rFonts w:ascii="Verdana" w:hAnsi="Verdana"/>
          <w:i/>
          <w:sz w:val="16"/>
          <w:szCs w:val="16"/>
        </w:rPr>
        <w:t xml:space="preserve"> Caso Genie Lacayo Vs. Nicaragua. Fondo, Reparaciones y Costas. </w:t>
      </w:r>
      <w:r w:rsidRPr="008D0846">
        <w:rPr>
          <w:rFonts w:ascii="Verdana" w:hAnsi="Verdana"/>
          <w:sz w:val="16"/>
          <w:szCs w:val="16"/>
        </w:rPr>
        <w:t>Sentencia de 29 de enero de 1997. Serie C No. 30, párr. 77</w:t>
      </w:r>
      <w:r w:rsidRPr="00B803B3">
        <w:rPr>
          <w:rFonts w:ascii="Verdana" w:hAnsi="Verdana"/>
          <w:i/>
          <w:sz w:val="16"/>
          <w:szCs w:val="16"/>
        </w:rPr>
        <w:t xml:space="preserve">, y Caso </w:t>
      </w:r>
      <w:r w:rsidRPr="005742B1">
        <w:rPr>
          <w:rFonts w:ascii="Verdana" w:hAnsi="Verdana"/>
          <w:i/>
          <w:sz w:val="16"/>
          <w:szCs w:val="16"/>
        </w:rPr>
        <w:t>Terrones Silva y otros Vs. Perú,</w:t>
      </w:r>
      <w:r w:rsidRPr="008D0846">
        <w:rPr>
          <w:rFonts w:ascii="Verdana" w:hAnsi="Verdana"/>
          <w:i/>
          <w:sz w:val="16"/>
          <w:szCs w:val="16"/>
        </w:rPr>
        <w:t xml:space="preserve"> supra</w:t>
      </w:r>
      <w:r w:rsidRPr="008D0846">
        <w:rPr>
          <w:rFonts w:ascii="Verdana" w:hAnsi="Verdana"/>
          <w:sz w:val="16"/>
          <w:szCs w:val="16"/>
        </w:rPr>
        <w:t xml:space="preserve"> párr. </w:t>
      </w:r>
      <w:r w:rsidRPr="00B803B3">
        <w:rPr>
          <w:rFonts w:ascii="Verdana" w:hAnsi="Verdana"/>
          <w:sz w:val="16"/>
          <w:szCs w:val="16"/>
        </w:rPr>
        <w:t>185</w:t>
      </w:r>
      <w:r w:rsidRPr="005742B1">
        <w:rPr>
          <w:rFonts w:ascii="Verdana" w:hAnsi="Verdana"/>
          <w:sz w:val="16"/>
          <w:szCs w:val="16"/>
        </w:rPr>
        <w:t>.</w:t>
      </w:r>
    </w:p>
  </w:footnote>
  <w:footnote w:id="476">
    <w:p w14:paraId="64AA6324" w14:textId="39F159C3" w:rsidR="00146958" w:rsidRPr="005742B1" w:rsidRDefault="00146958">
      <w:pPr>
        <w:pStyle w:val="FootnoteText"/>
        <w:jc w:val="both"/>
        <w:rPr>
          <w:rFonts w:ascii="Verdana" w:hAnsi="Verdana"/>
          <w:sz w:val="16"/>
          <w:szCs w:val="16"/>
        </w:rPr>
      </w:pPr>
      <w:r w:rsidRPr="00B803B3">
        <w:rPr>
          <w:rStyle w:val="FootnoteReference"/>
          <w:rFonts w:ascii="Verdana" w:hAnsi="Verdana"/>
          <w:sz w:val="16"/>
          <w:szCs w:val="16"/>
        </w:rPr>
        <w:footnoteRef/>
      </w:r>
      <w:r w:rsidRPr="00B803B3">
        <w:rPr>
          <w:rFonts w:ascii="Verdana" w:hAnsi="Verdana"/>
          <w:sz w:val="16"/>
          <w:szCs w:val="16"/>
        </w:rPr>
        <w:t xml:space="preserve"> </w:t>
      </w:r>
      <w:r w:rsidRPr="00B803B3">
        <w:rPr>
          <w:rFonts w:ascii="Verdana" w:hAnsi="Verdana"/>
          <w:sz w:val="16"/>
          <w:szCs w:val="16"/>
        </w:rPr>
        <w:tab/>
      </w:r>
      <w:r w:rsidRPr="00CD5C54">
        <w:rPr>
          <w:rFonts w:ascii="Verdana" w:hAnsi="Verdana"/>
          <w:i/>
          <w:sz w:val="16"/>
          <w:szCs w:val="16"/>
        </w:rPr>
        <w:t>Cfr.</w:t>
      </w:r>
      <w:r w:rsidRPr="005742B1">
        <w:rPr>
          <w:rFonts w:ascii="Verdana" w:hAnsi="Verdana"/>
          <w:i/>
          <w:sz w:val="16"/>
          <w:szCs w:val="16"/>
        </w:rPr>
        <w:t xml:space="preserve"> Caso Hilaire, Constantine y Benjamin y otros Vs. Trinidad y Tobago</w:t>
      </w:r>
      <w:r w:rsidRPr="005742B1">
        <w:rPr>
          <w:rFonts w:ascii="Verdana" w:hAnsi="Verdana"/>
          <w:sz w:val="16"/>
          <w:szCs w:val="16"/>
        </w:rPr>
        <w:t xml:space="preserve">. </w:t>
      </w:r>
      <w:r w:rsidRPr="005742B1">
        <w:rPr>
          <w:rFonts w:ascii="Verdana" w:hAnsi="Verdana"/>
          <w:i/>
          <w:sz w:val="16"/>
          <w:szCs w:val="16"/>
        </w:rPr>
        <w:t>Fondo, Reparaciones y Costas</w:t>
      </w:r>
      <w:r w:rsidRPr="005742B1">
        <w:rPr>
          <w:rFonts w:ascii="Verdana" w:hAnsi="Verdana"/>
          <w:sz w:val="16"/>
          <w:szCs w:val="16"/>
        </w:rPr>
        <w:t xml:space="preserve">. Sentencia de 21 de junio de 2002. Serie C No. 94, párr. 145; y </w:t>
      </w:r>
      <w:r w:rsidRPr="005742B1">
        <w:rPr>
          <w:rFonts w:ascii="Verdana" w:hAnsi="Verdana"/>
          <w:i/>
          <w:sz w:val="16"/>
          <w:szCs w:val="16"/>
        </w:rPr>
        <w:t>Caso Anzualdo Castro, supra</w:t>
      </w:r>
      <w:r w:rsidRPr="005742B1">
        <w:rPr>
          <w:rFonts w:ascii="Verdana" w:hAnsi="Verdana"/>
          <w:sz w:val="16"/>
          <w:szCs w:val="16"/>
        </w:rPr>
        <w:t>, párr. 124.</w:t>
      </w:r>
    </w:p>
  </w:footnote>
  <w:footnote w:id="477">
    <w:p w14:paraId="64AA6325" w14:textId="4DDEDDE8" w:rsidR="00146958" w:rsidRPr="005742B1" w:rsidRDefault="00146958">
      <w:pPr>
        <w:pStyle w:val="FootnoteText"/>
        <w:jc w:val="both"/>
        <w:rPr>
          <w:rFonts w:ascii="Verdana" w:hAnsi="Verdana"/>
          <w:sz w:val="16"/>
          <w:szCs w:val="16"/>
        </w:rPr>
      </w:pPr>
      <w:r w:rsidRPr="00B803B3">
        <w:rPr>
          <w:rStyle w:val="FootnoteReference"/>
          <w:rFonts w:ascii="Verdana" w:hAnsi="Verdana"/>
          <w:sz w:val="16"/>
          <w:szCs w:val="16"/>
        </w:rPr>
        <w:footnoteRef/>
      </w:r>
      <w:r w:rsidRPr="00B803B3">
        <w:rPr>
          <w:rFonts w:ascii="Verdana" w:hAnsi="Verdana"/>
          <w:sz w:val="16"/>
          <w:szCs w:val="16"/>
        </w:rPr>
        <w:t xml:space="preserve"> </w:t>
      </w:r>
      <w:r w:rsidRPr="00B803B3">
        <w:rPr>
          <w:rFonts w:ascii="Verdana" w:hAnsi="Verdana"/>
          <w:sz w:val="16"/>
          <w:szCs w:val="16"/>
        </w:rPr>
        <w:tab/>
      </w:r>
      <w:r w:rsidRPr="00CD5C54">
        <w:rPr>
          <w:rFonts w:ascii="Verdana" w:hAnsi="Verdana"/>
          <w:i/>
          <w:sz w:val="16"/>
          <w:szCs w:val="16"/>
        </w:rPr>
        <w:t>Cfr.</w:t>
      </w:r>
      <w:r w:rsidRPr="005742B1">
        <w:rPr>
          <w:rFonts w:ascii="Verdana" w:hAnsi="Verdana"/>
          <w:i/>
          <w:sz w:val="16"/>
          <w:szCs w:val="16"/>
        </w:rPr>
        <w:t xml:space="preserve"> </w:t>
      </w:r>
      <w:r w:rsidRPr="005742B1">
        <w:rPr>
          <w:rFonts w:ascii="Verdana" w:hAnsi="Verdana" w:cs="Tahoma"/>
          <w:i/>
          <w:sz w:val="16"/>
          <w:szCs w:val="16"/>
        </w:rPr>
        <w:t>Caso Valle Jaramillo y otros Vs. Colombia. Fondo, Reparaciones y Costas</w:t>
      </w:r>
      <w:r w:rsidRPr="005742B1">
        <w:rPr>
          <w:rFonts w:ascii="Verdana" w:hAnsi="Verdana" w:cs="Tahoma"/>
          <w:sz w:val="16"/>
          <w:szCs w:val="16"/>
        </w:rPr>
        <w:t>. Sentencia de 27 de noviembre de 2008. Serie C No. 192, párr. 155</w:t>
      </w:r>
      <w:r>
        <w:rPr>
          <w:rFonts w:ascii="Verdana" w:hAnsi="Verdana" w:cs="Tahoma"/>
          <w:sz w:val="16"/>
          <w:szCs w:val="16"/>
        </w:rPr>
        <w:t xml:space="preserve">, y </w:t>
      </w:r>
      <w:r w:rsidRPr="008D0846">
        <w:rPr>
          <w:rFonts w:ascii="Verdana" w:hAnsi="Verdana" w:cs="Tahoma"/>
          <w:i/>
          <w:sz w:val="16"/>
          <w:szCs w:val="16"/>
        </w:rPr>
        <w:t>Caso Terrones Silva y otros Vs. Perú, supra</w:t>
      </w:r>
      <w:r>
        <w:rPr>
          <w:rFonts w:ascii="Verdana" w:hAnsi="Verdana" w:cs="Tahoma"/>
          <w:sz w:val="16"/>
          <w:szCs w:val="16"/>
        </w:rPr>
        <w:t xml:space="preserve"> párr. 193.</w:t>
      </w:r>
    </w:p>
  </w:footnote>
  <w:footnote w:id="478">
    <w:p w14:paraId="64AA6326" w14:textId="1D4C9E0E" w:rsidR="00146958" w:rsidRPr="00432ABC" w:rsidRDefault="00146958">
      <w:pPr>
        <w:pStyle w:val="FootnoteText"/>
        <w:jc w:val="both"/>
        <w:rPr>
          <w:rFonts w:ascii="Verdana" w:hAnsi="Verdana"/>
          <w:sz w:val="16"/>
          <w:szCs w:val="16"/>
        </w:rPr>
      </w:pPr>
      <w:r w:rsidRPr="00B803B3">
        <w:rPr>
          <w:rStyle w:val="FootnoteReference"/>
          <w:rFonts w:ascii="Verdana" w:hAnsi="Verdana"/>
          <w:sz w:val="16"/>
          <w:szCs w:val="16"/>
        </w:rPr>
        <w:footnoteRef/>
      </w:r>
      <w:r w:rsidRPr="00B803B3">
        <w:rPr>
          <w:rFonts w:ascii="Verdana" w:hAnsi="Verdana"/>
          <w:sz w:val="16"/>
          <w:szCs w:val="16"/>
        </w:rPr>
        <w:t xml:space="preserve"> </w:t>
      </w:r>
      <w:r w:rsidRPr="00B803B3">
        <w:rPr>
          <w:rFonts w:ascii="Verdana" w:hAnsi="Verdana"/>
          <w:sz w:val="16"/>
          <w:szCs w:val="16"/>
        </w:rPr>
        <w:tab/>
      </w:r>
      <w:r w:rsidRPr="00CD5C54">
        <w:rPr>
          <w:rFonts w:ascii="Verdana" w:hAnsi="Verdana"/>
          <w:i/>
          <w:sz w:val="16"/>
          <w:szCs w:val="16"/>
        </w:rPr>
        <w:t>Cfr.</w:t>
      </w:r>
      <w:r w:rsidRPr="005742B1">
        <w:rPr>
          <w:rFonts w:ascii="Verdana" w:hAnsi="Verdana"/>
          <w:i/>
          <w:sz w:val="16"/>
          <w:szCs w:val="16"/>
        </w:rPr>
        <w:t xml:space="preserve"> </w:t>
      </w:r>
      <w:r w:rsidRPr="00B803B3">
        <w:rPr>
          <w:rFonts w:ascii="Verdana" w:hAnsi="Verdana"/>
          <w:i/>
          <w:sz w:val="16"/>
          <w:szCs w:val="16"/>
        </w:rPr>
        <w:t>Caso Anzualdo Castro</w:t>
      </w:r>
      <w:r w:rsidRPr="005742B1">
        <w:rPr>
          <w:rFonts w:ascii="Verdana" w:hAnsi="Verdana"/>
          <w:i/>
          <w:sz w:val="16"/>
          <w:szCs w:val="16"/>
        </w:rPr>
        <w:t xml:space="preserve"> Vs. Perú, supra</w:t>
      </w:r>
      <w:r w:rsidRPr="00B803B3">
        <w:rPr>
          <w:rFonts w:ascii="Verdana" w:hAnsi="Verdana"/>
          <w:sz w:val="16"/>
          <w:szCs w:val="16"/>
        </w:rPr>
        <w:t xml:space="preserve"> párr. 157, y </w:t>
      </w:r>
      <w:r w:rsidRPr="008D0846">
        <w:rPr>
          <w:rFonts w:ascii="Verdana" w:hAnsi="Verdana"/>
          <w:i/>
          <w:sz w:val="16"/>
          <w:szCs w:val="16"/>
        </w:rPr>
        <w:t>Caso Miembros de la Aldea Chichupac y comunidades vecinas del Municipio de Rabinal Vs. Guatemala. Excepciones Preliminares, Fondo, Reparaciones y Costas</w:t>
      </w:r>
      <w:r w:rsidRPr="00B803B3">
        <w:rPr>
          <w:rFonts w:ascii="Verdana" w:hAnsi="Verdana"/>
          <w:sz w:val="16"/>
          <w:szCs w:val="16"/>
        </w:rPr>
        <w:t>. Sentencia de 30 de noviembre de 2016. Serie C No. 328</w:t>
      </w:r>
      <w:r>
        <w:rPr>
          <w:rFonts w:ascii="Verdana" w:hAnsi="Verdana"/>
          <w:sz w:val="16"/>
          <w:szCs w:val="16"/>
        </w:rPr>
        <w:t>, párr. 140.</w:t>
      </w:r>
    </w:p>
  </w:footnote>
  <w:footnote w:id="479">
    <w:p w14:paraId="64AA632B" w14:textId="19FF5D4B" w:rsidR="00146958" w:rsidRPr="00432ABC" w:rsidRDefault="00146958">
      <w:pPr>
        <w:pStyle w:val="FootnoteText"/>
        <w:jc w:val="both"/>
        <w:rPr>
          <w:rFonts w:ascii="Verdana" w:hAnsi="Verdana"/>
          <w:sz w:val="16"/>
          <w:szCs w:val="16"/>
        </w:rPr>
      </w:pPr>
      <w:r w:rsidRPr="00432ABC">
        <w:rPr>
          <w:rStyle w:val="FootnoteReference"/>
          <w:rFonts w:ascii="Verdana" w:hAnsi="Verdana"/>
          <w:sz w:val="16"/>
          <w:szCs w:val="16"/>
        </w:rPr>
        <w:footnoteRef/>
      </w:r>
      <w:r w:rsidRPr="00432ABC">
        <w:rPr>
          <w:rFonts w:ascii="Verdana" w:hAnsi="Verdana"/>
          <w:sz w:val="16"/>
          <w:szCs w:val="16"/>
        </w:rPr>
        <w:t xml:space="preserve"> </w:t>
      </w:r>
      <w:r w:rsidRPr="002C462C">
        <w:rPr>
          <w:rFonts w:ascii="Verdana" w:hAnsi="Verdana"/>
          <w:sz w:val="16"/>
          <w:szCs w:val="16"/>
        </w:rPr>
        <w:tab/>
      </w:r>
      <w:r w:rsidRPr="00CD5C54">
        <w:rPr>
          <w:rFonts w:ascii="Verdana" w:hAnsi="Verdana"/>
          <w:i/>
          <w:sz w:val="16"/>
          <w:szCs w:val="16"/>
        </w:rPr>
        <w:t>Cfr.</w:t>
      </w:r>
      <w:r w:rsidRPr="002C462C">
        <w:rPr>
          <w:rFonts w:ascii="Verdana" w:hAnsi="Verdana"/>
          <w:i/>
          <w:sz w:val="16"/>
          <w:szCs w:val="16"/>
        </w:rPr>
        <w:t xml:space="preserve"> </w:t>
      </w:r>
      <w:r w:rsidRPr="00432ABC">
        <w:rPr>
          <w:rFonts w:ascii="Verdana" w:hAnsi="Verdana"/>
          <w:i/>
          <w:sz w:val="16"/>
          <w:szCs w:val="16"/>
        </w:rPr>
        <w:t>Caso Goiburú y otros, supra</w:t>
      </w:r>
      <w:r w:rsidRPr="00432ABC">
        <w:rPr>
          <w:rFonts w:ascii="Verdana" w:hAnsi="Verdana"/>
          <w:sz w:val="16"/>
          <w:szCs w:val="16"/>
        </w:rPr>
        <w:t xml:space="preserve"> párr. 82 y 84</w:t>
      </w:r>
      <w:r>
        <w:rPr>
          <w:rFonts w:ascii="Verdana" w:hAnsi="Verdana"/>
          <w:sz w:val="16"/>
          <w:szCs w:val="16"/>
        </w:rPr>
        <w:t xml:space="preserve">, y </w:t>
      </w:r>
      <w:r w:rsidRPr="008D0846">
        <w:rPr>
          <w:rFonts w:ascii="Verdana" w:hAnsi="Verdana"/>
          <w:i/>
          <w:sz w:val="16"/>
          <w:szCs w:val="16"/>
        </w:rPr>
        <w:t>Caso Tiu Tojín Vs. Guatemala. Fondo, Reparaciones y Costas</w:t>
      </w:r>
      <w:r>
        <w:rPr>
          <w:rFonts w:ascii="Verdana" w:hAnsi="Verdana"/>
          <w:sz w:val="16"/>
          <w:szCs w:val="16"/>
        </w:rPr>
        <w:t>. Sentencia de 26 de noviembre de 2008. Serie C No. 190, párr. 91.</w:t>
      </w:r>
    </w:p>
  </w:footnote>
  <w:footnote w:id="480">
    <w:p w14:paraId="64AA632C" w14:textId="53F187E5" w:rsidR="00146958" w:rsidRPr="00432ABC" w:rsidRDefault="00146958">
      <w:pPr>
        <w:pStyle w:val="FootnoteText"/>
        <w:jc w:val="both"/>
        <w:rPr>
          <w:rFonts w:ascii="Verdana" w:hAnsi="Verdana"/>
          <w:sz w:val="16"/>
          <w:szCs w:val="16"/>
        </w:rPr>
      </w:pPr>
      <w:r w:rsidRPr="00432ABC">
        <w:rPr>
          <w:rStyle w:val="FootnoteReference"/>
          <w:rFonts w:ascii="Verdana" w:hAnsi="Verdana"/>
          <w:sz w:val="16"/>
          <w:szCs w:val="16"/>
        </w:rPr>
        <w:footnoteRef/>
      </w:r>
      <w:r w:rsidRPr="00432ABC">
        <w:rPr>
          <w:rFonts w:ascii="Verdana" w:hAnsi="Verdana"/>
          <w:sz w:val="16"/>
          <w:szCs w:val="16"/>
        </w:rPr>
        <w:t xml:space="preserve"> </w:t>
      </w:r>
      <w:r w:rsidRPr="002C462C">
        <w:rPr>
          <w:rFonts w:ascii="Verdana" w:hAnsi="Verdana"/>
          <w:sz w:val="16"/>
          <w:szCs w:val="16"/>
        </w:rPr>
        <w:tab/>
      </w:r>
      <w:r w:rsidRPr="00CD5C54">
        <w:rPr>
          <w:rFonts w:ascii="Verdana" w:hAnsi="Verdana"/>
          <w:i/>
          <w:sz w:val="16"/>
          <w:szCs w:val="16"/>
        </w:rPr>
        <w:t>Cfr.</w:t>
      </w:r>
      <w:r w:rsidRPr="00432ABC">
        <w:rPr>
          <w:rFonts w:ascii="Verdana" w:hAnsi="Verdana"/>
          <w:sz w:val="16"/>
          <w:szCs w:val="16"/>
        </w:rPr>
        <w:t xml:space="preserve"> </w:t>
      </w:r>
      <w:r>
        <w:rPr>
          <w:rFonts w:ascii="Verdana" w:hAnsi="Verdana"/>
          <w:sz w:val="16"/>
          <w:szCs w:val="16"/>
        </w:rPr>
        <w:t xml:space="preserve">ONU. </w:t>
      </w:r>
      <w:r w:rsidRPr="008D0846">
        <w:rPr>
          <w:rFonts w:ascii="Verdana" w:hAnsi="Verdana"/>
          <w:i/>
          <w:sz w:val="16"/>
          <w:szCs w:val="16"/>
        </w:rPr>
        <w:t>Declaración sobre la Protección de Todas las Personas contra las Desapariciones Forzadas</w:t>
      </w:r>
      <w:r>
        <w:rPr>
          <w:rFonts w:ascii="Verdana" w:hAnsi="Verdana"/>
          <w:i/>
          <w:sz w:val="16"/>
          <w:szCs w:val="16"/>
        </w:rPr>
        <w:t>.</w:t>
      </w:r>
      <w:r w:rsidRPr="004454AD">
        <w:rPr>
          <w:sz w:val="22"/>
          <w:szCs w:val="22"/>
        </w:rPr>
        <w:t xml:space="preserve"> </w:t>
      </w:r>
      <w:r w:rsidRPr="008D0846">
        <w:rPr>
          <w:rFonts w:ascii="Verdana" w:hAnsi="Verdana"/>
          <w:sz w:val="16"/>
          <w:szCs w:val="16"/>
        </w:rPr>
        <w:t>Aprobada por la Asamblea General en su resolución 47/133 de 18 de diciembre 1992</w:t>
      </w:r>
      <w:r>
        <w:rPr>
          <w:rFonts w:ascii="Verdana" w:hAnsi="Verdana"/>
          <w:sz w:val="16"/>
          <w:szCs w:val="16"/>
        </w:rPr>
        <w:t>,</w:t>
      </w:r>
      <w:r w:rsidRPr="00432ABC">
        <w:rPr>
          <w:rFonts w:ascii="Verdana" w:hAnsi="Verdana"/>
          <w:sz w:val="16"/>
          <w:szCs w:val="16"/>
        </w:rPr>
        <w:t xml:space="preserve"> artículo 1.2.</w:t>
      </w:r>
    </w:p>
  </w:footnote>
  <w:footnote w:id="481">
    <w:p w14:paraId="64AA632D" w14:textId="719AF7A4" w:rsidR="00146958" w:rsidRPr="00432ABC" w:rsidRDefault="00146958">
      <w:pPr>
        <w:pStyle w:val="FootnoteText"/>
        <w:jc w:val="both"/>
        <w:rPr>
          <w:rFonts w:ascii="Verdana" w:hAnsi="Verdana"/>
          <w:sz w:val="16"/>
          <w:szCs w:val="16"/>
        </w:rPr>
      </w:pPr>
      <w:r w:rsidRPr="00432ABC">
        <w:rPr>
          <w:rStyle w:val="FootnoteReference"/>
          <w:rFonts w:ascii="Verdana" w:hAnsi="Verdana"/>
          <w:sz w:val="16"/>
          <w:szCs w:val="16"/>
        </w:rPr>
        <w:footnoteRef/>
      </w:r>
      <w:r w:rsidRPr="00432ABC">
        <w:rPr>
          <w:rFonts w:ascii="Verdana" w:hAnsi="Verdana"/>
          <w:sz w:val="16"/>
          <w:szCs w:val="16"/>
        </w:rPr>
        <w:t xml:space="preserve"> </w:t>
      </w:r>
      <w:r w:rsidRPr="002C462C">
        <w:rPr>
          <w:rFonts w:ascii="Verdana" w:hAnsi="Verdana"/>
          <w:sz w:val="16"/>
          <w:szCs w:val="16"/>
        </w:rPr>
        <w:tab/>
      </w:r>
      <w:r w:rsidRPr="00CD5C54">
        <w:rPr>
          <w:rFonts w:ascii="Verdana" w:hAnsi="Verdana"/>
          <w:i/>
          <w:sz w:val="16"/>
          <w:szCs w:val="16"/>
        </w:rPr>
        <w:t>Cfr.</w:t>
      </w:r>
      <w:r w:rsidRPr="002C462C">
        <w:rPr>
          <w:rFonts w:ascii="Verdana" w:hAnsi="Verdana"/>
          <w:i/>
          <w:sz w:val="16"/>
          <w:szCs w:val="16"/>
        </w:rPr>
        <w:t xml:space="preserve"> </w:t>
      </w:r>
      <w:r w:rsidRPr="00B803B3">
        <w:rPr>
          <w:rFonts w:ascii="Verdana" w:hAnsi="Verdana"/>
          <w:i/>
          <w:sz w:val="16"/>
          <w:szCs w:val="16"/>
        </w:rPr>
        <w:t xml:space="preserve">Caso </w:t>
      </w:r>
      <w:r w:rsidRPr="0016126E">
        <w:rPr>
          <w:rFonts w:ascii="Verdana" w:hAnsi="Verdana"/>
          <w:i/>
          <w:sz w:val="16"/>
          <w:szCs w:val="16"/>
          <w:lang w:val="es-ES"/>
        </w:rPr>
        <w:t xml:space="preserve">“La Última Tentación de Cristo” (Olmedo Bustos y otros) </w:t>
      </w:r>
      <w:r w:rsidRPr="00B803B3">
        <w:rPr>
          <w:rFonts w:ascii="Verdana" w:hAnsi="Verdana"/>
          <w:i/>
          <w:sz w:val="16"/>
          <w:szCs w:val="16"/>
          <w:lang w:val="es-ES"/>
        </w:rPr>
        <w:t>Vs</w:t>
      </w:r>
      <w:r w:rsidRPr="008D0846">
        <w:rPr>
          <w:rFonts w:ascii="Verdana" w:hAnsi="Verdana"/>
          <w:i/>
          <w:sz w:val="16"/>
          <w:szCs w:val="16"/>
          <w:lang w:val="es-ES"/>
        </w:rPr>
        <w:t xml:space="preserve">. </w:t>
      </w:r>
      <w:r w:rsidRPr="00B803B3">
        <w:rPr>
          <w:rFonts w:ascii="Verdana" w:hAnsi="Verdana"/>
          <w:i/>
          <w:sz w:val="16"/>
          <w:szCs w:val="16"/>
          <w:lang w:val="es-ES"/>
        </w:rPr>
        <w:t>Chile. Fondo, Reparaciones y Costas</w:t>
      </w:r>
      <w:r w:rsidRPr="00432ABC">
        <w:rPr>
          <w:rFonts w:ascii="Verdana" w:hAnsi="Verdana"/>
          <w:i/>
          <w:sz w:val="16"/>
          <w:szCs w:val="16"/>
          <w:lang w:val="es-ES"/>
        </w:rPr>
        <w:t>.</w:t>
      </w:r>
      <w:r w:rsidRPr="00432ABC">
        <w:rPr>
          <w:rFonts w:ascii="Verdana" w:hAnsi="Verdana"/>
          <w:sz w:val="16"/>
          <w:szCs w:val="16"/>
          <w:lang w:val="es-ES"/>
        </w:rPr>
        <w:t xml:space="preserve"> Sentencia de 5 de febrero de 2001. Serie C No. 73,</w:t>
      </w:r>
      <w:r w:rsidRPr="00432ABC">
        <w:rPr>
          <w:rFonts w:ascii="Verdana" w:hAnsi="Verdana"/>
          <w:sz w:val="16"/>
          <w:szCs w:val="16"/>
        </w:rPr>
        <w:t xml:space="preserve"> párr. 87</w:t>
      </w:r>
      <w:r>
        <w:rPr>
          <w:rFonts w:ascii="Verdana" w:hAnsi="Verdana"/>
          <w:sz w:val="16"/>
          <w:szCs w:val="16"/>
        </w:rPr>
        <w:t xml:space="preserve">, y </w:t>
      </w:r>
      <w:r w:rsidRPr="008D0846">
        <w:rPr>
          <w:rFonts w:ascii="Verdana" w:hAnsi="Verdana"/>
          <w:i/>
          <w:sz w:val="16"/>
          <w:szCs w:val="16"/>
        </w:rPr>
        <w:t>Caso Vereda La Esperanza Vs. Colombia. Excepciones Preliminares, Fondo, Reparaciones y Costas</w:t>
      </w:r>
      <w:r>
        <w:rPr>
          <w:rFonts w:ascii="Verdana" w:hAnsi="Verdana"/>
          <w:sz w:val="16"/>
          <w:szCs w:val="16"/>
        </w:rPr>
        <w:t>. Sentencia de 31 de agosto de 2017. Serie C No. 341, párr. 84.</w:t>
      </w:r>
    </w:p>
  </w:footnote>
  <w:footnote w:id="482">
    <w:p w14:paraId="64AA632E" w14:textId="710B7E40" w:rsidR="00146958" w:rsidRPr="00B803B3" w:rsidRDefault="00146958">
      <w:pPr>
        <w:pStyle w:val="FootnoteText"/>
        <w:jc w:val="both"/>
        <w:rPr>
          <w:rStyle w:val="Strong"/>
          <w:rFonts w:ascii="Verdana" w:hAnsi="Verdana" w:cs="Times"/>
          <w:b w:val="0"/>
          <w:i/>
          <w:sz w:val="16"/>
          <w:szCs w:val="16"/>
          <w:lang w:val="es-ES"/>
        </w:rPr>
      </w:pPr>
      <w:r w:rsidRPr="00432ABC">
        <w:rPr>
          <w:rStyle w:val="FootnoteReference"/>
          <w:rFonts w:ascii="Verdana" w:hAnsi="Verdana"/>
          <w:sz w:val="16"/>
          <w:szCs w:val="16"/>
        </w:rPr>
        <w:footnoteRef/>
      </w:r>
      <w:r w:rsidRPr="00432ABC">
        <w:rPr>
          <w:rFonts w:ascii="Verdana" w:hAnsi="Verdana"/>
          <w:i/>
          <w:sz w:val="16"/>
          <w:szCs w:val="16"/>
        </w:rPr>
        <w:tab/>
      </w:r>
      <w:r w:rsidRPr="002C462C">
        <w:rPr>
          <w:rStyle w:val="Strong"/>
          <w:rFonts w:ascii="Verdana" w:hAnsi="Verdana"/>
          <w:b w:val="0"/>
          <w:i/>
          <w:sz w:val="16"/>
          <w:szCs w:val="16"/>
        </w:rPr>
        <w:t>Caso de los “Niños de la Calle” (Villagrán Morales y otros) Vs. Guatemala. Fondo</w:t>
      </w:r>
      <w:r w:rsidRPr="002C462C">
        <w:rPr>
          <w:rStyle w:val="Strong"/>
          <w:rFonts w:ascii="Verdana" w:hAnsi="Verdana"/>
          <w:b w:val="0"/>
          <w:sz w:val="16"/>
          <w:szCs w:val="16"/>
        </w:rPr>
        <w:t xml:space="preserve">. Sentencia de 19 de noviembre de 1999. Serie C No. 63, </w:t>
      </w:r>
      <w:r w:rsidRPr="00432ABC">
        <w:rPr>
          <w:rFonts w:ascii="Verdana" w:hAnsi="Verdana"/>
          <w:sz w:val="16"/>
          <w:szCs w:val="16"/>
        </w:rPr>
        <w:t>párr. 237</w:t>
      </w:r>
      <w:r w:rsidRPr="00FE2342">
        <w:rPr>
          <w:rStyle w:val="Strong"/>
          <w:rFonts w:ascii="Verdana" w:hAnsi="Verdana"/>
          <w:b w:val="0"/>
          <w:i/>
          <w:sz w:val="16"/>
          <w:szCs w:val="16"/>
        </w:rPr>
        <w:t>,</w:t>
      </w:r>
      <w:r>
        <w:rPr>
          <w:rStyle w:val="Strong"/>
          <w:rFonts w:ascii="Verdana" w:hAnsi="Verdana"/>
          <w:i/>
          <w:sz w:val="16"/>
          <w:szCs w:val="16"/>
        </w:rPr>
        <w:t xml:space="preserve"> </w:t>
      </w:r>
      <w:r w:rsidRPr="00DB378B">
        <w:rPr>
          <w:rStyle w:val="Strong"/>
          <w:rFonts w:ascii="Verdana" w:hAnsi="Verdana"/>
          <w:b w:val="0"/>
          <w:sz w:val="16"/>
          <w:szCs w:val="16"/>
        </w:rPr>
        <w:t xml:space="preserve">y </w:t>
      </w:r>
      <w:r w:rsidRPr="008D0846">
        <w:rPr>
          <w:rStyle w:val="Strong"/>
          <w:rFonts w:ascii="Verdana" w:hAnsi="Verdana"/>
          <w:b w:val="0"/>
          <w:i/>
          <w:sz w:val="16"/>
          <w:szCs w:val="16"/>
        </w:rPr>
        <w:t>Caso López Soto y otros Vs. Venezuela, supra</w:t>
      </w:r>
      <w:r>
        <w:rPr>
          <w:rStyle w:val="Strong"/>
          <w:rFonts w:ascii="Verdana" w:hAnsi="Verdana"/>
          <w:b w:val="0"/>
          <w:sz w:val="16"/>
          <w:szCs w:val="16"/>
        </w:rPr>
        <w:t xml:space="preserve"> párr. </w:t>
      </w:r>
      <w:r w:rsidRPr="00B803B3">
        <w:rPr>
          <w:rStyle w:val="Strong"/>
          <w:rFonts w:ascii="Verdana" w:hAnsi="Verdana"/>
          <w:b w:val="0"/>
          <w:sz w:val="16"/>
          <w:szCs w:val="16"/>
        </w:rPr>
        <w:t>217</w:t>
      </w:r>
      <w:r w:rsidRPr="00CB7A58">
        <w:rPr>
          <w:rStyle w:val="Strong"/>
          <w:rFonts w:ascii="Verdana" w:hAnsi="Verdana"/>
          <w:b w:val="0"/>
          <w:i/>
          <w:sz w:val="16"/>
          <w:szCs w:val="16"/>
        </w:rPr>
        <w:t>.</w:t>
      </w:r>
    </w:p>
  </w:footnote>
  <w:footnote w:id="483">
    <w:p w14:paraId="64AA632F" w14:textId="6BC78D26" w:rsidR="00146958" w:rsidRPr="00432ABC" w:rsidRDefault="00146958">
      <w:pPr>
        <w:pStyle w:val="FootnoteText"/>
        <w:jc w:val="both"/>
        <w:rPr>
          <w:rFonts w:ascii="Verdana" w:hAnsi="Verdana"/>
          <w:sz w:val="16"/>
          <w:szCs w:val="16"/>
          <w:lang w:val="es-ES"/>
        </w:rPr>
      </w:pPr>
      <w:r w:rsidRPr="00432ABC">
        <w:rPr>
          <w:rStyle w:val="FootnoteReference"/>
          <w:rFonts w:ascii="Verdana" w:hAnsi="Verdana"/>
          <w:sz w:val="16"/>
          <w:szCs w:val="16"/>
          <w:lang w:val="es-ES_tradnl"/>
        </w:rPr>
        <w:footnoteRef/>
      </w:r>
      <w:r w:rsidRPr="00432ABC">
        <w:rPr>
          <w:rFonts w:ascii="Verdana" w:hAnsi="Verdana"/>
          <w:sz w:val="16"/>
          <w:szCs w:val="16"/>
          <w:lang w:val="es-ES_tradnl"/>
        </w:rPr>
        <w:t xml:space="preserve"> </w:t>
      </w:r>
      <w:r w:rsidRPr="00432ABC">
        <w:rPr>
          <w:rFonts w:ascii="Verdana" w:hAnsi="Verdana"/>
          <w:sz w:val="16"/>
          <w:szCs w:val="16"/>
          <w:lang w:val="es-ES_tradnl"/>
        </w:rPr>
        <w:tab/>
      </w:r>
      <w:r w:rsidRPr="00CD5C54">
        <w:rPr>
          <w:rFonts w:ascii="Verdana" w:hAnsi="Verdana"/>
          <w:i/>
          <w:sz w:val="16"/>
          <w:szCs w:val="16"/>
          <w:lang w:val="es-ES_tradnl"/>
        </w:rPr>
        <w:t>Cfr.</w:t>
      </w:r>
      <w:r w:rsidRPr="002C462C">
        <w:rPr>
          <w:rFonts w:ascii="Verdana" w:hAnsi="Verdana"/>
          <w:i/>
          <w:sz w:val="16"/>
          <w:szCs w:val="16"/>
          <w:lang w:val="es-ES_tradnl"/>
        </w:rPr>
        <w:t xml:space="preserve"> </w:t>
      </w:r>
      <w:r w:rsidRPr="002C462C">
        <w:rPr>
          <w:rFonts w:ascii="Verdana" w:hAnsi="Verdana" w:cs="Tahoma"/>
          <w:i/>
          <w:sz w:val="16"/>
          <w:szCs w:val="16"/>
          <w:shd w:val="clear" w:color="auto" w:fill="FFFFFF"/>
        </w:rPr>
        <w:t>Caso</w:t>
      </w:r>
      <w:r w:rsidRPr="00432ABC">
        <w:rPr>
          <w:rFonts w:ascii="Verdana" w:hAnsi="Verdana" w:cs="Tahoma"/>
          <w:i/>
          <w:sz w:val="16"/>
          <w:szCs w:val="16"/>
          <w:shd w:val="clear" w:color="auto" w:fill="FFFFFF"/>
        </w:rPr>
        <w:t xml:space="preserve"> Gómez Palomino Vs. Perú. Fondo, Reparaciones y Costas</w:t>
      </w:r>
      <w:r w:rsidRPr="00432ABC">
        <w:rPr>
          <w:rFonts w:ascii="Verdana" w:hAnsi="Verdana" w:cs="Tahoma"/>
          <w:sz w:val="16"/>
          <w:szCs w:val="16"/>
          <w:shd w:val="clear" w:color="auto" w:fill="FFFFFF"/>
        </w:rPr>
        <w:t>. Sentencia de 22 de noviembre de 2005. Serie C No. 136, párr. 92</w:t>
      </w:r>
      <w:r>
        <w:rPr>
          <w:rFonts w:ascii="Verdana" w:hAnsi="Verdana" w:cs="Tahoma"/>
          <w:sz w:val="16"/>
          <w:szCs w:val="16"/>
          <w:shd w:val="clear" w:color="auto" w:fill="FFFFFF"/>
        </w:rPr>
        <w:t xml:space="preserve">, y </w:t>
      </w:r>
      <w:r w:rsidRPr="008D0846">
        <w:rPr>
          <w:rFonts w:ascii="Verdana" w:hAnsi="Verdana" w:cs="Tahoma"/>
          <w:i/>
          <w:sz w:val="16"/>
          <w:szCs w:val="16"/>
          <w:shd w:val="clear" w:color="auto" w:fill="FFFFFF"/>
        </w:rPr>
        <w:t>Caso Vereda La Esperanza Vs. Colombia, supra</w:t>
      </w:r>
      <w:r>
        <w:rPr>
          <w:rFonts w:ascii="Verdana" w:hAnsi="Verdana" w:cs="Tahoma"/>
          <w:sz w:val="16"/>
          <w:szCs w:val="16"/>
          <w:shd w:val="clear" w:color="auto" w:fill="FFFFFF"/>
        </w:rPr>
        <w:t xml:space="preserve"> párr. 84.</w:t>
      </w:r>
    </w:p>
  </w:footnote>
  <w:footnote w:id="484">
    <w:p w14:paraId="64AA6330" w14:textId="0CE2DBA7" w:rsidR="00146958" w:rsidRPr="00432ABC" w:rsidRDefault="00146958">
      <w:pPr>
        <w:pStyle w:val="FootnoteText"/>
        <w:jc w:val="both"/>
        <w:rPr>
          <w:rFonts w:ascii="Verdana" w:eastAsia="Times" w:hAnsi="Verdana" w:cs="Times"/>
          <w:sz w:val="16"/>
          <w:szCs w:val="16"/>
          <w:lang w:val="es-CR"/>
        </w:rPr>
      </w:pPr>
      <w:r w:rsidRPr="00432ABC">
        <w:rPr>
          <w:rStyle w:val="FootnoteReference"/>
          <w:rFonts w:ascii="Verdana" w:hAnsi="Verdana" w:cs="Times"/>
          <w:sz w:val="16"/>
          <w:szCs w:val="16"/>
        </w:rPr>
        <w:footnoteRef/>
      </w:r>
      <w:r w:rsidRPr="00432ABC">
        <w:rPr>
          <w:rFonts w:ascii="Verdana" w:hAnsi="Verdana" w:cs="Times"/>
          <w:sz w:val="16"/>
          <w:szCs w:val="16"/>
        </w:rPr>
        <w:t xml:space="preserve"> </w:t>
      </w:r>
      <w:r w:rsidRPr="002C462C">
        <w:rPr>
          <w:rFonts w:ascii="Verdana" w:hAnsi="Verdana" w:cs="Times"/>
          <w:sz w:val="16"/>
          <w:szCs w:val="16"/>
        </w:rPr>
        <w:tab/>
      </w:r>
      <w:r w:rsidRPr="002C462C">
        <w:rPr>
          <w:rFonts w:ascii="Verdana" w:hAnsi="Verdana"/>
          <w:sz w:val="16"/>
          <w:szCs w:val="16"/>
        </w:rPr>
        <w:t xml:space="preserve">La Corte ha sostenido que los procedimientos de </w:t>
      </w:r>
      <w:r w:rsidRPr="00432ABC">
        <w:rPr>
          <w:rFonts w:ascii="Verdana" w:hAnsi="Verdana"/>
          <w:i/>
          <w:sz w:val="16"/>
          <w:szCs w:val="16"/>
        </w:rPr>
        <w:t>hábeas corpus</w:t>
      </w:r>
      <w:r w:rsidRPr="00432ABC">
        <w:rPr>
          <w:rFonts w:ascii="Verdana" w:hAnsi="Verdana"/>
          <w:sz w:val="16"/>
          <w:szCs w:val="16"/>
        </w:rPr>
        <w:t xml:space="preserve"> y de amparo son aquellas garantías judiciales indispensables para la protección de varios derechos cuya suspensión está vedada por el artículo 27.2 </w:t>
      </w:r>
      <w:r w:rsidRPr="00432ABC">
        <w:rPr>
          <w:rFonts w:ascii="Verdana" w:hAnsi="Verdana"/>
          <w:sz w:val="16"/>
          <w:szCs w:val="16"/>
        </w:rPr>
        <w:sym w:font="Symbol" w:char="F05B"/>
      </w:r>
      <w:r w:rsidRPr="00432ABC">
        <w:rPr>
          <w:rFonts w:ascii="Verdana" w:hAnsi="Verdana"/>
          <w:sz w:val="16"/>
          <w:szCs w:val="16"/>
        </w:rPr>
        <w:t>de la Convención</w:t>
      </w:r>
      <w:r w:rsidRPr="00432ABC">
        <w:rPr>
          <w:rFonts w:ascii="Verdana" w:hAnsi="Verdana"/>
          <w:sz w:val="16"/>
          <w:szCs w:val="16"/>
        </w:rPr>
        <w:sym w:font="Symbol" w:char="F05D"/>
      </w:r>
      <w:r w:rsidRPr="00432ABC">
        <w:rPr>
          <w:rFonts w:ascii="Verdana" w:hAnsi="Verdana"/>
          <w:sz w:val="16"/>
          <w:szCs w:val="16"/>
        </w:rPr>
        <w:t xml:space="preserve"> y sirven, además, para preservar la legalidad en una sociedad democrática. </w:t>
      </w:r>
      <w:r w:rsidRPr="002C462C">
        <w:rPr>
          <w:rFonts w:ascii="Verdana" w:hAnsi="Verdana" w:cs="Times"/>
          <w:i/>
          <w:iCs/>
          <w:sz w:val="16"/>
          <w:szCs w:val="16"/>
          <w:lang w:val="es-CR"/>
        </w:rPr>
        <w:t xml:space="preserve">El Hábeas Corpus Bajo Suspensión de Garantías. </w:t>
      </w:r>
      <w:r w:rsidRPr="002C462C">
        <w:rPr>
          <w:rFonts w:ascii="Verdana" w:hAnsi="Verdana" w:cs="Times"/>
          <w:sz w:val="16"/>
          <w:szCs w:val="16"/>
          <w:lang w:val="es-CR"/>
        </w:rPr>
        <w:t xml:space="preserve">Serie A. </w:t>
      </w:r>
      <w:r w:rsidRPr="008D0846">
        <w:rPr>
          <w:rFonts w:ascii="Verdana" w:hAnsi="Verdana" w:cs="Times"/>
          <w:i/>
          <w:sz w:val="16"/>
          <w:szCs w:val="16"/>
          <w:lang w:val="es-CR"/>
        </w:rPr>
        <w:t>Opinión Consultiva OC-8/87</w:t>
      </w:r>
      <w:r w:rsidRPr="002C462C">
        <w:rPr>
          <w:rFonts w:ascii="Verdana" w:hAnsi="Verdana" w:cs="Times"/>
          <w:sz w:val="16"/>
          <w:szCs w:val="16"/>
          <w:lang w:val="es-CR"/>
        </w:rPr>
        <w:t xml:space="preserve"> d</w:t>
      </w:r>
      <w:r w:rsidRPr="00432ABC">
        <w:rPr>
          <w:rFonts w:ascii="Verdana" w:hAnsi="Verdana" w:cs="Times"/>
          <w:sz w:val="16"/>
          <w:szCs w:val="16"/>
          <w:lang w:val="es-CR"/>
        </w:rPr>
        <w:t>el 30 de enero de 1987, párr. 42, y</w:t>
      </w:r>
      <w:r w:rsidRPr="00432ABC">
        <w:rPr>
          <w:rFonts w:ascii="Verdana" w:hAnsi="Verdana" w:cs="Times"/>
          <w:noProof/>
          <w:sz w:val="16"/>
          <w:szCs w:val="16"/>
        </w:rPr>
        <w:t xml:space="preserve"> </w:t>
      </w:r>
      <w:r w:rsidRPr="008D0846">
        <w:rPr>
          <w:rFonts w:ascii="Verdana" w:hAnsi="Verdana" w:cs="Times"/>
          <w:i/>
          <w:noProof/>
          <w:sz w:val="16"/>
          <w:szCs w:val="16"/>
        </w:rPr>
        <w:t>Opinión Consultiva OC-9/87</w:t>
      </w:r>
      <w:r w:rsidRPr="00432ABC">
        <w:rPr>
          <w:rFonts w:ascii="Verdana" w:hAnsi="Verdana" w:cs="Times"/>
          <w:noProof/>
          <w:sz w:val="16"/>
          <w:szCs w:val="16"/>
        </w:rPr>
        <w:t xml:space="preserve"> del 6 de octubre de 1987. Serie A No. 9</w:t>
      </w:r>
      <w:r>
        <w:rPr>
          <w:rFonts w:ascii="Verdana" w:hAnsi="Verdana" w:cs="Times"/>
          <w:noProof/>
          <w:sz w:val="16"/>
          <w:szCs w:val="16"/>
        </w:rPr>
        <w:t>,</w:t>
      </w:r>
      <w:r w:rsidRPr="00432ABC">
        <w:rPr>
          <w:rFonts w:ascii="Verdana" w:hAnsi="Verdana" w:cs="Times"/>
          <w:noProof/>
          <w:sz w:val="16"/>
          <w:szCs w:val="16"/>
        </w:rPr>
        <w:t xml:space="preserve"> párr. 33.</w:t>
      </w:r>
      <w:r w:rsidRPr="00432ABC">
        <w:rPr>
          <w:rFonts w:ascii="Verdana" w:hAnsi="Verdana" w:cs="Times"/>
          <w:sz w:val="16"/>
          <w:szCs w:val="16"/>
          <w:lang w:val="es-CR"/>
        </w:rPr>
        <w:t xml:space="preserve"> </w:t>
      </w:r>
    </w:p>
  </w:footnote>
  <w:footnote w:id="485">
    <w:p w14:paraId="64AA6331" w14:textId="593C093D" w:rsidR="00146958" w:rsidRPr="00432ABC" w:rsidRDefault="00146958">
      <w:pPr>
        <w:pStyle w:val="FootnoteText"/>
        <w:jc w:val="both"/>
        <w:rPr>
          <w:rFonts w:ascii="Verdana" w:hAnsi="Verdana"/>
          <w:sz w:val="16"/>
          <w:szCs w:val="16"/>
        </w:rPr>
      </w:pPr>
      <w:r w:rsidRPr="00432ABC">
        <w:rPr>
          <w:rStyle w:val="FootnoteReference"/>
          <w:rFonts w:ascii="Verdana" w:hAnsi="Verdana"/>
          <w:sz w:val="16"/>
          <w:szCs w:val="16"/>
        </w:rPr>
        <w:footnoteRef/>
      </w:r>
      <w:r w:rsidRPr="00432ABC">
        <w:rPr>
          <w:rFonts w:ascii="Verdana" w:hAnsi="Verdana"/>
          <w:sz w:val="16"/>
          <w:szCs w:val="16"/>
        </w:rPr>
        <w:t xml:space="preserve"> </w:t>
      </w:r>
      <w:r w:rsidRPr="002C462C">
        <w:rPr>
          <w:rFonts w:ascii="Verdana" w:hAnsi="Verdana"/>
          <w:sz w:val="16"/>
          <w:szCs w:val="16"/>
        </w:rPr>
        <w:tab/>
      </w:r>
      <w:r w:rsidRPr="00CD5C54">
        <w:rPr>
          <w:rFonts w:ascii="Verdana" w:hAnsi="Verdana"/>
          <w:i/>
          <w:sz w:val="16"/>
          <w:szCs w:val="16"/>
        </w:rPr>
        <w:t>Cfr.</w:t>
      </w:r>
      <w:r w:rsidRPr="002C462C">
        <w:rPr>
          <w:rFonts w:ascii="Verdana" w:hAnsi="Verdana"/>
          <w:i/>
          <w:sz w:val="16"/>
          <w:szCs w:val="16"/>
        </w:rPr>
        <w:t xml:space="preserve"> </w:t>
      </w:r>
      <w:r w:rsidRPr="00432ABC">
        <w:rPr>
          <w:rFonts w:ascii="Verdana" w:hAnsi="Verdana" w:cs="Tahoma"/>
          <w:i/>
          <w:sz w:val="16"/>
          <w:szCs w:val="16"/>
          <w:shd w:val="clear" w:color="auto" w:fill="FFFFFF"/>
        </w:rPr>
        <w:t>Caso Blanco Romero y otros Vs. Venezuela. Fondo, Reparaciones y Costas</w:t>
      </w:r>
      <w:r w:rsidRPr="00432ABC">
        <w:rPr>
          <w:rFonts w:ascii="Verdana" w:hAnsi="Verdana" w:cs="Tahoma"/>
          <w:sz w:val="16"/>
          <w:szCs w:val="16"/>
          <w:shd w:val="clear" w:color="auto" w:fill="FFFFFF"/>
        </w:rPr>
        <w:t>. Sentencia de 28 de noviembre de 2005. Serie C No. 138, párr. 104</w:t>
      </w:r>
      <w:r>
        <w:rPr>
          <w:rFonts w:ascii="Verdana" w:hAnsi="Verdana" w:cs="Tahoma"/>
          <w:sz w:val="16"/>
          <w:szCs w:val="16"/>
          <w:shd w:val="clear" w:color="auto" w:fill="FFFFFF"/>
        </w:rPr>
        <w:t xml:space="preserve">, y </w:t>
      </w:r>
      <w:r w:rsidRPr="008D0846">
        <w:rPr>
          <w:rFonts w:ascii="Verdana" w:hAnsi="Verdana" w:cs="Tahoma"/>
          <w:i/>
          <w:sz w:val="16"/>
          <w:szCs w:val="16"/>
          <w:shd w:val="clear" w:color="auto" w:fill="FFFFFF"/>
        </w:rPr>
        <w:t>Caso Gutiérrez Hernández y otros Vs. Guatemala. Excepciones Preliminares, Fondo, Reparaciones y Costas</w:t>
      </w:r>
      <w:r>
        <w:rPr>
          <w:rFonts w:ascii="Verdana" w:hAnsi="Verdana" w:cs="Tahoma"/>
          <w:sz w:val="16"/>
          <w:szCs w:val="16"/>
          <w:shd w:val="clear" w:color="auto" w:fill="FFFFFF"/>
        </w:rPr>
        <w:t>. Sentencia de 24 de agosto de 2017. Serie C No. 339, párr. 187.</w:t>
      </w:r>
    </w:p>
  </w:footnote>
  <w:footnote w:id="486">
    <w:p w14:paraId="62C22000" w14:textId="104F80B2" w:rsidR="00146958" w:rsidRPr="008D0846" w:rsidRDefault="00146958" w:rsidP="003564A3">
      <w:pPr>
        <w:pStyle w:val="FootnoteText"/>
        <w:jc w:val="both"/>
        <w:rPr>
          <w:rFonts w:ascii="Verdana" w:hAnsi="Verdana"/>
          <w:sz w:val="16"/>
          <w:szCs w:val="16"/>
        </w:rPr>
      </w:pPr>
      <w:r w:rsidRPr="00FE2342">
        <w:rPr>
          <w:rStyle w:val="FootnoteReference"/>
          <w:rFonts w:ascii="Verdana" w:hAnsi="Verdana"/>
          <w:sz w:val="16"/>
          <w:szCs w:val="16"/>
        </w:rPr>
        <w:footnoteRef/>
      </w:r>
      <w:r w:rsidRPr="00FE2342">
        <w:rPr>
          <w:rFonts w:ascii="Verdana" w:hAnsi="Verdana"/>
          <w:sz w:val="16"/>
          <w:szCs w:val="16"/>
        </w:rPr>
        <w:t xml:space="preserve"> </w:t>
      </w:r>
      <w:r w:rsidRPr="003564A3">
        <w:rPr>
          <w:rFonts w:ascii="Verdana" w:hAnsi="Verdana"/>
          <w:b/>
          <w:sz w:val="16"/>
          <w:szCs w:val="16"/>
        </w:rPr>
        <w:tab/>
      </w:r>
      <w:r w:rsidRPr="008D0846">
        <w:rPr>
          <w:rFonts w:ascii="Verdana" w:hAnsi="Verdana"/>
          <w:sz w:val="16"/>
          <w:szCs w:val="16"/>
        </w:rPr>
        <w:t>A</w:t>
      </w:r>
      <w:r w:rsidRPr="008D0846">
        <w:rPr>
          <w:rFonts w:ascii="Verdana" w:hAnsi="Verdana"/>
          <w:sz w:val="16"/>
          <w:szCs w:val="16"/>
          <w:lang w:val="es-CR"/>
        </w:rPr>
        <w:t xml:space="preserve">rtículo 5.1. Derecho a la Integridad Personal. “1. Toda persona tiene derecho a que se respete su integridad física, psíquica y moral”. </w:t>
      </w:r>
    </w:p>
  </w:footnote>
  <w:footnote w:id="487">
    <w:p w14:paraId="17C79696" w14:textId="2CB03039" w:rsidR="00146958" w:rsidRPr="008D0846" w:rsidRDefault="00146958" w:rsidP="003564A3">
      <w:pPr>
        <w:pStyle w:val="FootnoteText"/>
        <w:jc w:val="both"/>
        <w:rPr>
          <w:rFonts w:ascii="Verdana" w:hAnsi="Verdana"/>
          <w:sz w:val="16"/>
          <w:szCs w:val="16"/>
          <w:lang w:val="es-CR"/>
        </w:rPr>
      </w:pPr>
      <w:r w:rsidRPr="008D0846">
        <w:rPr>
          <w:rStyle w:val="FootnoteReference"/>
          <w:rFonts w:ascii="Verdana" w:hAnsi="Verdana"/>
          <w:sz w:val="16"/>
          <w:szCs w:val="16"/>
        </w:rPr>
        <w:footnoteRef/>
      </w:r>
      <w:r w:rsidRPr="008D0846">
        <w:rPr>
          <w:rFonts w:ascii="Verdana" w:hAnsi="Verdana"/>
          <w:sz w:val="16"/>
          <w:szCs w:val="16"/>
        </w:rPr>
        <w:t xml:space="preserve"> </w:t>
      </w:r>
      <w:r w:rsidRPr="008D0846">
        <w:rPr>
          <w:rFonts w:ascii="Verdana" w:hAnsi="Verdana"/>
          <w:sz w:val="16"/>
          <w:szCs w:val="16"/>
        </w:rPr>
        <w:tab/>
        <w:t>A</w:t>
      </w:r>
      <w:r w:rsidRPr="008D0846">
        <w:rPr>
          <w:rFonts w:ascii="Verdana" w:hAnsi="Verdana"/>
          <w:sz w:val="16"/>
          <w:szCs w:val="16"/>
          <w:lang w:val="es-CR"/>
        </w:rPr>
        <w:t>rtículo 22.1. Derecho de Circulación y de Residencia. “1. Toda persona que se halle legalmente en el territorio de un Estado tiene derecho a circular por el mismo y, a residir en él con sujeción a las disposiciones legales”.</w:t>
      </w:r>
    </w:p>
  </w:footnote>
  <w:footnote w:id="488">
    <w:p w14:paraId="4B4D7922" w14:textId="7E36CEA0" w:rsidR="00146958" w:rsidRPr="008D0846" w:rsidRDefault="00146958" w:rsidP="003564A3">
      <w:pPr>
        <w:pStyle w:val="FootnoteText"/>
        <w:jc w:val="both"/>
        <w:rPr>
          <w:rFonts w:ascii="Verdana" w:hAnsi="Verdana"/>
          <w:sz w:val="16"/>
          <w:szCs w:val="16"/>
          <w:lang w:val="es-CR"/>
        </w:rPr>
      </w:pPr>
      <w:r w:rsidRPr="008D0846">
        <w:rPr>
          <w:rStyle w:val="FootnoteReference"/>
          <w:rFonts w:ascii="Verdana" w:hAnsi="Verdana"/>
          <w:sz w:val="16"/>
          <w:szCs w:val="16"/>
        </w:rPr>
        <w:footnoteRef/>
      </w:r>
      <w:r w:rsidRPr="008D0846">
        <w:rPr>
          <w:rFonts w:ascii="Verdana" w:hAnsi="Verdana"/>
          <w:sz w:val="16"/>
          <w:szCs w:val="16"/>
        </w:rPr>
        <w:t xml:space="preserve"> </w:t>
      </w:r>
      <w:r w:rsidRPr="008D0846">
        <w:rPr>
          <w:rFonts w:ascii="Verdana" w:hAnsi="Verdana"/>
          <w:sz w:val="16"/>
          <w:szCs w:val="16"/>
        </w:rPr>
        <w:tab/>
        <w:t>A</w:t>
      </w:r>
      <w:r w:rsidRPr="008D0846">
        <w:rPr>
          <w:rFonts w:ascii="Verdana" w:hAnsi="Verdana"/>
          <w:sz w:val="16"/>
          <w:szCs w:val="16"/>
          <w:lang w:val="es-CR"/>
        </w:rPr>
        <w:t>rtículo 17.1. Protección a la Familia. “1. La familia es el elemento natural y fundamental de la sociedad y debe ser protegida por la sociedad y el Estado”.</w:t>
      </w:r>
    </w:p>
  </w:footnote>
  <w:footnote w:id="489">
    <w:p w14:paraId="18ED9693" w14:textId="5CD8E7B2" w:rsidR="00146958" w:rsidRPr="008D0846" w:rsidRDefault="00146958" w:rsidP="003564A3">
      <w:pPr>
        <w:pStyle w:val="FootnoteText"/>
        <w:jc w:val="both"/>
        <w:rPr>
          <w:rFonts w:ascii="Verdana" w:hAnsi="Verdana"/>
          <w:sz w:val="16"/>
          <w:szCs w:val="16"/>
          <w:lang w:val="es-CR"/>
        </w:rPr>
      </w:pPr>
      <w:r w:rsidRPr="008D0846">
        <w:rPr>
          <w:rStyle w:val="FootnoteReference"/>
          <w:rFonts w:ascii="Verdana" w:hAnsi="Verdana"/>
          <w:sz w:val="16"/>
          <w:szCs w:val="16"/>
        </w:rPr>
        <w:footnoteRef/>
      </w:r>
      <w:r w:rsidRPr="008D0846">
        <w:rPr>
          <w:rFonts w:ascii="Verdana" w:hAnsi="Verdana"/>
          <w:sz w:val="16"/>
          <w:szCs w:val="16"/>
        </w:rPr>
        <w:t xml:space="preserve"> </w:t>
      </w:r>
      <w:r w:rsidRPr="008D0846">
        <w:rPr>
          <w:rFonts w:ascii="Verdana" w:hAnsi="Verdana"/>
          <w:sz w:val="16"/>
          <w:szCs w:val="16"/>
        </w:rPr>
        <w:tab/>
        <w:t>A</w:t>
      </w:r>
      <w:r w:rsidRPr="008D0846">
        <w:rPr>
          <w:rFonts w:ascii="Verdana" w:hAnsi="Verdana"/>
          <w:sz w:val="16"/>
          <w:szCs w:val="16"/>
          <w:lang w:val="es-CR"/>
        </w:rPr>
        <w:t>rtículo 11. Protección de la Honra y de la Dignidad. “1. Toda persona tiene derecho al respeto de su honra y al reconocimiento de su dignidad, 2. Nadie puede ser objeto de injerencias arbitrarias o abusivas en su vida privada, en la de su familia, en su domicilio o en su correspondencia, ni de ataques ilegales a su honra o reputación, 3. Toda persona tiene derecho a la protección de la ley contra esas injerencias o esos ataques”.</w:t>
      </w:r>
    </w:p>
  </w:footnote>
  <w:footnote w:id="490">
    <w:p w14:paraId="776E9DBA" w14:textId="40AB21FA" w:rsidR="00146958" w:rsidRPr="008D0846" w:rsidRDefault="00146958" w:rsidP="003564A3">
      <w:pPr>
        <w:pStyle w:val="FootnoteText"/>
        <w:jc w:val="both"/>
        <w:rPr>
          <w:rFonts w:ascii="Verdana" w:hAnsi="Verdana"/>
          <w:sz w:val="16"/>
          <w:szCs w:val="16"/>
          <w:lang w:val="es-CR"/>
        </w:rPr>
      </w:pPr>
      <w:r w:rsidRPr="008D0846">
        <w:rPr>
          <w:rStyle w:val="FootnoteReference"/>
          <w:rFonts w:ascii="Verdana" w:hAnsi="Verdana"/>
          <w:sz w:val="16"/>
          <w:szCs w:val="16"/>
        </w:rPr>
        <w:footnoteRef/>
      </w:r>
      <w:r w:rsidRPr="008D0846">
        <w:rPr>
          <w:rFonts w:ascii="Verdana" w:hAnsi="Verdana"/>
          <w:sz w:val="16"/>
          <w:szCs w:val="16"/>
        </w:rPr>
        <w:t xml:space="preserve"> </w:t>
      </w:r>
      <w:r w:rsidRPr="008D0846">
        <w:rPr>
          <w:rFonts w:ascii="Verdana" w:hAnsi="Verdana"/>
          <w:sz w:val="16"/>
          <w:szCs w:val="16"/>
        </w:rPr>
        <w:tab/>
        <w:t>A</w:t>
      </w:r>
      <w:r w:rsidRPr="008D0846">
        <w:rPr>
          <w:rFonts w:ascii="Verdana" w:hAnsi="Verdana"/>
          <w:sz w:val="16"/>
          <w:szCs w:val="16"/>
          <w:lang w:val="es-CR"/>
        </w:rPr>
        <w:t>rtículo 19. Derechos del Niño. “Todo niño tiene derecho a las medidas de protección que su condición de menor requieren por parte de su familia, de la sociedad y del Estado”.</w:t>
      </w:r>
    </w:p>
  </w:footnote>
  <w:footnote w:id="491">
    <w:p w14:paraId="11074632" w14:textId="52B81F83" w:rsidR="00146958" w:rsidRPr="008D0846" w:rsidRDefault="00146958" w:rsidP="003564A3">
      <w:pPr>
        <w:pStyle w:val="FootnoteText"/>
        <w:jc w:val="both"/>
        <w:rPr>
          <w:rFonts w:ascii="Verdana" w:hAnsi="Verdana"/>
          <w:sz w:val="16"/>
          <w:szCs w:val="16"/>
          <w:lang w:val="es-CR"/>
        </w:rPr>
      </w:pPr>
      <w:r w:rsidRPr="008D0846">
        <w:rPr>
          <w:rStyle w:val="FootnoteReference"/>
          <w:rFonts w:ascii="Verdana" w:hAnsi="Verdana"/>
          <w:sz w:val="16"/>
          <w:szCs w:val="16"/>
        </w:rPr>
        <w:footnoteRef/>
      </w:r>
      <w:r w:rsidRPr="008D0846">
        <w:rPr>
          <w:rFonts w:ascii="Verdana" w:hAnsi="Verdana"/>
          <w:sz w:val="16"/>
          <w:szCs w:val="16"/>
        </w:rPr>
        <w:t xml:space="preserve"> </w:t>
      </w:r>
      <w:r w:rsidRPr="008D0846">
        <w:rPr>
          <w:rFonts w:ascii="Verdana" w:hAnsi="Verdana"/>
          <w:sz w:val="16"/>
          <w:szCs w:val="16"/>
        </w:rPr>
        <w:tab/>
        <w:t>A</w:t>
      </w:r>
      <w:r w:rsidRPr="008D0846">
        <w:rPr>
          <w:rFonts w:ascii="Verdana" w:hAnsi="Verdana"/>
          <w:sz w:val="16"/>
          <w:szCs w:val="16"/>
          <w:lang w:val="es-CR"/>
        </w:rPr>
        <w:t>rtículo 1.1. Obligación de Respetar Derechos. “1. Los Estados […] se comprometen a respetar los derechos y libertades reconocidos en ella y a garantizar su libre y pleno ejercicio a toda persona que esté sujeta a su jurisdicción […].</w:t>
      </w:r>
    </w:p>
  </w:footnote>
  <w:footnote w:id="492">
    <w:p w14:paraId="492BB98A" w14:textId="7C9DD13C" w:rsidR="00146958" w:rsidRPr="00416548" w:rsidRDefault="00146958" w:rsidP="003564A3">
      <w:pPr>
        <w:pStyle w:val="FootnoteText"/>
        <w:jc w:val="both"/>
      </w:pPr>
      <w:r w:rsidRPr="008D0846">
        <w:rPr>
          <w:rStyle w:val="FootnoteReference"/>
          <w:rFonts w:ascii="Verdana" w:hAnsi="Verdana"/>
          <w:sz w:val="16"/>
          <w:szCs w:val="16"/>
        </w:rPr>
        <w:footnoteRef/>
      </w:r>
      <w:r w:rsidRPr="008D0846">
        <w:rPr>
          <w:rFonts w:ascii="Verdana" w:hAnsi="Verdana"/>
          <w:sz w:val="16"/>
          <w:szCs w:val="16"/>
        </w:rPr>
        <w:t xml:space="preserve"> </w:t>
      </w:r>
      <w:r w:rsidRPr="008D0846">
        <w:rPr>
          <w:rFonts w:ascii="Verdana" w:hAnsi="Verdana"/>
          <w:sz w:val="16"/>
          <w:szCs w:val="16"/>
        </w:rPr>
        <w:tab/>
      </w:r>
      <w:r w:rsidRPr="008D0846">
        <w:rPr>
          <w:rFonts w:ascii="Verdana" w:hAnsi="Verdana"/>
          <w:sz w:val="16"/>
          <w:szCs w:val="16"/>
          <w:lang w:val="es-CR"/>
        </w:rPr>
        <w:t>Artículo 63.2. “2. En casos de extrema gravedad y urgencia, y cuando se haga necesario evitar daños irreparables a las personas, la Corte, en los asuntos que esté conociendo, podrá tomar las medidas provisionales que considere pertinentes. Si se tratare de asuntos que aún no estén sometidos a su conocimiento, podrá actuar a solicitud de la Comisión”.</w:t>
      </w:r>
      <w:r>
        <w:rPr>
          <w:rFonts w:ascii="Verdana" w:hAnsi="Verdana"/>
          <w:sz w:val="16"/>
          <w:szCs w:val="16"/>
          <w:lang w:val="es-CR"/>
        </w:rPr>
        <w:t xml:space="preserve"> </w:t>
      </w:r>
    </w:p>
  </w:footnote>
  <w:footnote w:id="493">
    <w:p w14:paraId="64AA633C" w14:textId="51D92DE7" w:rsidR="00146958" w:rsidRPr="00432ABC" w:rsidRDefault="00146958">
      <w:pPr>
        <w:pStyle w:val="FootnoteText"/>
        <w:jc w:val="both"/>
        <w:rPr>
          <w:rFonts w:ascii="Verdana" w:hAnsi="Verdana"/>
          <w:sz w:val="16"/>
          <w:szCs w:val="16"/>
          <w:lang w:val="es-CR"/>
        </w:rPr>
      </w:pPr>
      <w:r w:rsidRPr="00432ABC">
        <w:rPr>
          <w:rStyle w:val="FootnoteReference"/>
          <w:rFonts w:ascii="Verdana" w:hAnsi="Verdana"/>
          <w:sz w:val="16"/>
          <w:szCs w:val="16"/>
        </w:rPr>
        <w:footnoteRef/>
      </w:r>
      <w:r w:rsidRPr="00432ABC">
        <w:rPr>
          <w:rFonts w:ascii="Verdana" w:hAnsi="Verdana"/>
          <w:sz w:val="16"/>
          <w:szCs w:val="16"/>
          <w:lang w:val="es-CR"/>
        </w:rPr>
        <w:t xml:space="preserve"> </w:t>
      </w:r>
      <w:r w:rsidRPr="00432ABC">
        <w:rPr>
          <w:rFonts w:ascii="Verdana" w:hAnsi="Verdana"/>
          <w:sz w:val="16"/>
          <w:szCs w:val="16"/>
          <w:lang w:val="es-CR"/>
        </w:rPr>
        <w:tab/>
      </w:r>
      <w:r w:rsidRPr="00CD5C54">
        <w:rPr>
          <w:rFonts w:ascii="Verdana" w:hAnsi="Verdana"/>
          <w:i/>
          <w:sz w:val="16"/>
          <w:szCs w:val="16"/>
          <w:lang w:val="es-CR"/>
        </w:rPr>
        <w:t>Cfr.</w:t>
      </w:r>
      <w:r w:rsidRPr="002C462C">
        <w:rPr>
          <w:rFonts w:ascii="Verdana" w:hAnsi="Verdana"/>
          <w:sz w:val="16"/>
          <w:szCs w:val="16"/>
          <w:lang w:val="es-CR"/>
        </w:rPr>
        <w:t xml:space="preserve"> </w:t>
      </w:r>
      <w:r w:rsidRPr="008D0846">
        <w:rPr>
          <w:rFonts w:ascii="Verdana" w:hAnsi="Verdana"/>
          <w:bCs/>
          <w:i/>
          <w:color w:val="000000" w:themeColor="text1"/>
          <w:sz w:val="16"/>
          <w:szCs w:val="16"/>
        </w:rPr>
        <w:t xml:space="preserve">Caso de las Hermanas Serrano Cruz Vs. El Salvador. Fondo, Reparaciones y Costas. </w:t>
      </w:r>
      <w:r w:rsidRPr="008D0846">
        <w:rPr>
          <w:rFonts w:ascii="Verdana" w:hAnsi="Verdana"/>
          <w:bCs/>
          <w:color w:val="000000" w:themeColor="text1"/>
          <w:sz w:val="16"/>
          <w:szCs w:val="16"/>
        </w:rPr>
        <w:t>Sentencia de 1 de marzo de 2005. Serie C No. 120</w:t>
      </w:r>
      <w:r w:rsidRPr="008D0846">
        <w:rPr>
          <w:rFonts w:ascii="Verdana" w:hAnsi="Verdana"/>
          <w:bCs/>
          <w:i/>
          <w:color w:val="000000" w:themeColor="text1"/>
          <w:sz w:val="16"/>
          <w:szCs w:val="16"/>
        </w:rPr>
        <w:t>.</w:t>
      </w:r>
      <w:r w:rsidRPr="008D0846">
        <w:rPr>
          <w:rFonts w:ascii="Verdana" w:hAnsi="Verdana"/>
          <w:color w:val="000000" w:themeColor="text1"/>
          <w:sz w:val="16"/>
          <w:szCs w:val="16"/>
          <w:lang w:val="es-CR"/>
        </w:rPr>
        <w:t xml:space="preserve"> párr. 113 a 115</w:t>
      </w:r>
      <w:r w:rsidRPr="00432ABC">
        <w:rPr>
          <w:rFonts w:ascii="Verdana" w:hAnsi="Verdana"/>
          <w:i/>
          <w:sz w:val="16"/>
          <w:szCs w:val="16"/>
          <w:lang w:val="es-CR"/>
        </w:rPr>
        <w:t xml:space="preserve">; </w:t>
      </w:r>
      <w:r>
        <w:rPr>
          <w:rFonts w:ascii="Verdana" w:hAnsi="Verdana"/>
          <w:i/>
          <w:sz w:val="16"/>
          <w:szCs w:val="16"/>
          <w:lang w:val="es-CR"/>
        </w:rPr>
        <w:t xml:space="preserve">Caso </w:t>
      </w:r>
      <w:r w:rsidRPr="00432ABC">
        <w:rPr>
          <w:rFonts w:ascii="Verdana" w:hAnsi="Verdana"/>
          <w:i/>
          <w:sz w:val="16"/>
          <w:szCs w:val="16"/>
          <w:lang w:val="es-CR"/>
        </w:rPr>
        <w:t>Furlán y familiares Vs. Argentina</w:t>
      </w:r>
      <w:r w:rsidRPr="00432ABC">
        <w:rPr>
          <w:rFonts w:ascii="Verdana" w:hAnsi="Verdana"/>
          <w:sz w:val="16"/>
          <w:szCs w:val="16"/>
          <w:lang w:val="es-CR"/>
        </w:rPr>
        <w:t xml:space="preserve">. </w:t>
      </w:r>
      <w:r w:rsidRPr="008D0846">
        <w:rPr>
          <w:rFonts w:ascii="Verdana" w:hAnsi="Verdana"/>
          <w:i/>
          <w:sz w:val="16"/>
          <w:szCs w:val="16"/>
          <w:lang w:val="es-CR"/>
        </w:rPr>
        <w:t>Excepciones Preliminares, Fondo, Reparaciones y Costas.</w:t>
      </w:r>
      <w:r w:rsidRPr="00432ABC">
        <w:rPr>
          <w:rFonts w:ascii="Verdana" w:hAnsi="Verdana"/>
          <w:sz w:val="16"/>
          <w:szCs w:val="16"/>
          <w:lang w:val="es-CR"/>
        </w:rPr>
        <w:t xml:space="preserve"> Sentencia de 31 de agosto de 2012. Serie C No. 246, párrs. 249 a 251</w:t>
      </w:r>
      <w:r>
        <w:rPr>
          <w:rFonts w:ascii="Verdana" w:hAnsi="Verdana"/>
          <w:sz w:val="16"/>
          <w:szCs w:val="16"/>
          <w:lang w:val="es-CR"/>
        </w:rPr>
        <w:t>, y</w:t>
      </w:r>
      <w:r w:rsidRPr="00432ABC">
        <w:rPr>
          <w:rFonts w:ascii="Verdana" w:hAnsi="Verdana"/>
          <w:sz w:val="16"/>
          <w:szCs w:val="16"/>
          <w:lang w:val="es-CR"/>
        </w:rPr>
        <w:t xml:space="preserve"> </w:t>
      </w:r>
      <w:r w:rsidRPr="008D0846">
        <w:rPr>
          <w:rFonts w:ascii="Verdana" w:hAnsi="Verdana"/>
          <w:i/>
          <w:sz w:val="16"/>
          <w:szCs w:val="16"/>
          <w:lang w:val="es-CR"/>
        </w:rPr>
        <w:t>Caso</w:t>
      </w:r>
      <w:r>
        <w:rPr>
          <w:rFonts w:ascii="Verdana" w:hAnsi="Verdana"/>
          <w:sz w:val="16"/>
          <w:szCs w:val="16"/>
          <w:lang w:val="es-CR"/>
        </w:rPr>
        <w:t xml:space="preserve"> </w:t>
      </w:r>
      <w:r w:rsidRPr="0033635D">
        <w:rPr>
          <w:rFonts w:ascii="Verdana" w:hAnsi="Verdana"/>
          <w:i/>
          <w:sz w:val="16"/>
          <w:szCs w:val="16"/>
          <w:lang w:val="es-CR"/>
        </w:rPr>
        <w:t xml:space="preserve">Terrones Silva y otros Vs. Perú. </w:t>
      </w:r>
      <w:r>
        <w:rPr>
          <w:rFonts w:ascii="Verdana" w:hAnsi="Verdana"/>
          <w:i/>
          <w:sz w:val="16"/>
          <w:szCs w:val="16"/>
          <w:lang w:val="es-CR"/>
        </w:rPr>
        <w:t xml:space="preserve">Supra </w:t>
      </w:r>
      <w:r>
        <w:rPr>
          <w:rFonts w:ascii="Verdana" w:hAnsi="Verdana"/>
          <w:sz w:val="16"/>
          <w:szCs w:val="16"/>
          <w:lang w:val="es-CR"/>
        </w:rPr>
        <w:t>p</w:t>
      </w:r>
      <w:r w:rsidRPr="00432ABC">
        <w:rPr>
          <w:rFonts w:ascii="Verdana" w:hAnsi="Verdana"/>
          <w:sz w:val="16"/>
          <w:szCs w:val="16"/>
          <w:lang w:val="es-CR"/>
        </w:rPr>
        <w:t>árr. 2</w:t>
      </w:r>
      <w:r>
        <w:rPr>
          <w:rFonts w:ascii="Verdana" w:hAnsi="Verdana"/>
          <w:sz w:val="16"/>
          <w:szCs w:val="16"/>
          <w:lang w:val="es-CR"/>
        </w:rPr>
        <w:t>26</w:t>
      </w:r>
      <w:r w:rsidRPr="00432ABC">
        <w:rPr>
          <w:rFonts w:ascii="Verdana" w:hAnsi="Verdana"/>
          <w:sz w:val="16"/>
          <w:szCs w:val="16"/>
          <w:lang w:val="es-CR"/>
        </w:rPr>
        <w:t xml:space="preserve">. </w:t>
      </w:r>
    </w:p>
  </w:footnote>
  <w:footnote w:id="494">
    <w:p w14:paraId="64AA633D" w14:textId="32654472" w:rsidR="00146958" w:rsidRPr="00432ABC" w:rsidRDefault="00146958">
      <w:pPr>
        <w:pStyle w:val="FootnoteText"/>
        <w:jc w:val="both"/>
        <w:rPr>
          <w:rFonts w:ascii="Verdana" w:hAnsi="Verdana"/>
          <w:sz w:val="16"/>
          <w:szCs w:val="16"/>
          <w:lang w:val="es-CR"/>
        </w:rPr>
      </w:pPr>
      <w:r w:rsidRPr="00432ABC">
        <w:rPr>
          <w:rStyle w:val="FootnoteReference"/>
          <w:rFonts w:ascii="Verdana" w:hAnsi="Verdana"/>
          <w:sz w:val="16"/>
          <w:szCs w:val="16"/>
        </w:rPr>
        <w:footnoteRef/>
      </w:r>
      <w:r w:rsidRPr="00432ABC">
        <w:rPr>
          <w:rFonts w:ascii="Verdana" w:hAnsi="Verdana"/>
          <w:sz w:val="16"/>
          <w:szCs w:val="16"/>
          <w:lang w:val="es-CR"/>
        </w:rPr>
        <w:t xml:space="preserve"> </w:t>
      </w:r>
      <w:r w:rsidRPr="00432ABC">
        <w:rPr>
          <w:rFonts w:ascii="Verdana" w:hAnsi="Verdana"/>
          <w:sz w:val="16"/>
          <w:szCs w:val="16"/>
          <w:lang w:val="es-CR"/>
        </w:rPr>
        <w:tab/>
      </w:r>
      <w:r w:rsidRPr="00CD5C54">
        <w:rPr>
          <w:rFonts w:ascii="Verdana" w:hAnsi="Verdana"/>
          <w:i/>
          <w:sz w:val="16"/>
          <w:szCs w:val="16"/>
          <w:lang w:val="es-CR"/>
        </w:rPr>
        <w:t>Cfr.</w:t>
      </w:r>
      <w:r w:rsidRPr="002C462C">
        <w:rPr>
          <w:rFonts w:ascii="Verdana" w:hAnsi="Verdana"/>
          <w:i/>
          <w:sz w:val="16"/>
          <w:szCs w:val="16"/>
          <w:lang w:val="es-CR"/>
        </w:rPr>
        <w:t xml:space="preserve"> Caso Blake Vs. Guatemala</w:t>
      </w:r>
      <w:r w:rsidRPr="002C462C">
        <w:rPr>
          <w:rFonts w:ascii="Verdana" w:hAnsi="Verdana"/>
          <w:sz w:val="16"/>
          <w:szCs w:val="16"/>
          <w:lang w:val="es-CR"/>
        </w:rPr>
        <w:t xml:space="preserve">. </w:t>
      </w:r>
      <w:r w:rsidRPr="008D0846">
        <w:rPr>
          <w:rFonts w:ascii="Verdana" w:hAnsi="Verdana"/>
          <w:i/>
          <w:sz w:val="16"/>
          <w:szCs w:val="16"/>
          <w:lang w:val="es-CR"/>
        </w:rPr>
        <w:t>Fondo</w:t>
      </w:r>
      <w:r w:rsidRPr="002C462C">
        <w:rPr>
          <w:rFonts w:ascii="Verdana" w:hAnsi="Verdana"/>
          <w:sz w:val="16"/>
          <w:szCs w:val="16"/>
          <w:lang w:val="es-CR"/>
        </w:rPr>
        <w:t>. Sentencia de 2</w:t>
      </w:r>
      <w:r w:rsidRPr="00432ABC">
        <w:rPr>
          <w:rFonts w:ascii="Verdana" w:hAnsi="Verdana"/>
          <w:sz w:val="16"/>
          <w:szCs w:val="16"/>
          <w:lang w:val="es-CR"/>
        </w:rPr>
        <w:t xml:space="preserve">4 de enero de 1998. Serie C No. 36, párr. 114, y </w:t>
      </w:r>
      <w:r>
        <w:rPr>
          <w:rFonts w:ascii="Verdana" w:hAnsi="Verdana"/>
          <w:i/>
          <w:sz w:val="16"/>
          <w:szCs w:val="16"/>
          <w:lang w:val="es-CR"/>
        </w:rPr>
        <w:t>Caso Terrones Silva y otros Vs. Perú</w:t>
      </w:r>
      <w:r w:rsidRPr="00432ABC">
        <w:rPr>
          <w:rFonts w:ascii="Verdana" w:hAnsi="Verdana"/>
          <w:sz w:val="16"/>
          <w:szCs w:val="16"/>
          <w:lang w:val="es-CR"/>
        </w:rPr>
        <w:t xml:space="preserve">. </w:t>
      </w:r>
      <w:r>
        <w:rPr>
          <w:rFonts w:ascii="Verdana" w:hAnsi="Verdana"/>
          <w:i/>
          <w:sz w:val="16"/>
          <w:szCs w:val="16"/>
          <w:lang w:val="es-CR"/>
        </w:rPr>
        <w:t>S</w:t>
      </w:r>
      <w:r w:rsidRPr="008D0846">
        <w:rPr>
          <w:rFonts w:ascii="Verdana" w:hAnsi="Verdana"/>
          <w:i/>
          <w:sz w:val="16"/>
          <w:szCs w:val="16"/>
          <w:lang w:val="es-CR"/>
        </w:rPr>
        <w:t>upra</w:t>
      </w:r>
      <w:r w:rsidRPr="00432ABC">
        <w:rPr>
          <w:rFonts w:ascii="Verdana" w:hAnsi="Verdana"/>
          <w:sz w:val="16"/>
          <w:szCs w:val="16"/>
          <w:lang w:val="es-CR"/>
        </w:rPr>
        <w:t xml:space="preserve"> párr. 2</w:t>
      </w:r>
      <w:r>
        <w:rPr>
          <w:rFonts w:ascii="Verdana" w:hAnsi="Verdana"/>
          <w:sz w:val="16"/>
          <w:szCs w:val="16"/>
          <w:lang w:val="es-CR"/>
        </w:rPr>
        <w:t>2</w:t>
      </w:r>
      <w:r w:rsidRPr="00432ABC">
        <w:rPr>
          <w:rFonts w:ascii="Verdana" w:hAnsi="Verdana"/>
          <w:sz w:val="16"/>
          <w:szCs w:val="16"/>
          <w:lang w:val="es-CR"/>
        </w:rPr>
        <w:t>6.</w:t>
      </w:r>
    </w:p>
  </w:footnote>
  <w:footnote w:id="495">
    <w:p w14:paraId="64AA633E" w14:textId="746965D6" w:rsidR="00146958" w:rsidRPr="00432ABC" w:rsidRDefault="00146958">
      <w:pPr>
        <w:pStyle w:val="FootnoteText"/>
        <w:jc w:val="both"/>
        <w:rPr>
          <w:rFonts w:ascii="Verdana" w:hAnsi="Verdana"/>
          <w:sz w:val="16"/>
          <w:szCs w:val="16"/>
          <w:lang w:val="es-CR"/>
        </w:rPr>
      </w:pPr>
      <w:r w:rsidRPr="00432ABC">
        <w:rPr>
          <w:rStyle w:val="FootnoteReference"/>
          <w:rFonts w:ascii="Verdana" w:hAnsi="Verdana"/>
          <w:sz w:val="16"/>
          <w:szCs w:val="16"/>
        </w:rPr>
        <w:footnoteRef/>
      </w:r>
      <w:r w:rsidRPr="00432ABC">
        <w:rPr>
          <w:rFonts w:ascii="Verdana" w:hAnsi="Verdana"/>
          <w:sz w:val="16"/>
          <w:szCs w:val="16"/>
          <w:lang w:val="es-CR"/>
        </w:rPr>
        <w:t xml:space="preserve"> </w:t>
      </w:r>
      <w:r w:rsidRPr="00432ABC">
        <w:rPr>
          <w:rFonts w:ascii="Verdana" w:hAnsi="Verdana"/>
          <w:sz w:val="16"/>
          <w:szCs w:val="16"/>
          <w:lang w:val="es-CR"/>
        </w:rPr>
        <w:tab/>
      </w:r>
      <w:r w:rsidRPr="00CD5C54">
        <w:rPr>
          <w:rFonts w:ascii="Verdana" w:hAnsi="Verdana"/>
          <w:i/>
          <w:sz w:val="16"/>
          <w:szCs w:val="16"/>
          <w:lang w:val="es-CR"/>
        </w:rPr>
        <w:t>Cfr.</w:t>
      </w:r>
      <w:r w:rsidRPr="002C462C">
        <w:rPr>
          <w:rFonts w:ascii="Verdana" w:hAnsi="Verdana"/>
          <w:i/>
          <w:sz w:val="16"/>
          <w:szCs w:val="16"/>
          <w:lang w:val="es-CR"/>
        </w:rPr>
        <w:t xml:space="preserve"> Caso Goiburú y otros Vs. Paraguay. </w:t>
      </w:r>
      <w:r w:rsidRPr="008D0846">
        <w:rPr>
          <w:rFonts w:ascii="Verdana" w:hAnsi="Verdana"/>
          <w:i/>
          <w:sz w:val="16"/>
          <w:szCs w:val="16"/>
          <w:lang w:val="es-CR"/>
        </w:rPr>
        <w:t xml:space="preserve">Supra </w:t>
      </w:r>
      <w:r w:rsidRPr="002C462C">
        <w:rPr>
          <w:rFonts w:ascii="Verdana" w:hAnsi="Verdana"/>
          <w:sz w:val="16"/>
          <w:szCs w:val="16"/>
          <w:lang w:val="es-CR"/>
        </w:rPr>
        <w:t>pa</w:t>
      </w:r>
      <w:r w:rsidRPr="00432ABC">
        <w:rPr>
          <w:rFonts w:ascii="Verdana" w:hAnsi="Verdana"/>
          <w:sz w:val="16"/>
          <w:szCs w:val="16"/>
          <w:lang w:val="es-CR"/>
        </w:rPr>
        <w:t xml:space="preserve">rr. 103, y </w:t>
      </w:r>
      <w:r w:rsidRPr="00C90148">
        <w:rPr>
          <w:rFonts w:ascii="Verdana" w:hAnsi="Verdana"/>
          <w:i/>
          <w:sz w:val="16"/>
          <w:szCs w:val="16"/>
          <w:lang w:val="es-CR"/>
        </w:rPr>
        <w:t xml:space="preserve">Terrones Silva y otros Vs. Perú. </w:t>
      </w:r>
      <w:r w:rsidRPr="008D0846">
        <w:rPr>
          <w:rFonts w:ascii="Verdana" w:hAnsi="Verdana"/>
          <w:sz w:val="16"/>
          <w:szCs w:val="16"/>
          <w:lang w:val="es-CR"/>
        </w:rPr>
        <w:t>supra párr</w:t>
      </w:r>
      <w:r w:rsidRPr="00C90148">
        <w:rPr>
          <w:rFonts w:ascii="Verdana" w:hAnsi="Verdana"/>
          <w:i/>
          <w:sz w:val="16"/>
          <w:szCs w:val="16"/>
          <w:lang w:val="es-CR"/>
        </w:rPr>
        <w:t>. 226.</w:t>
      </w:r>
    </w:p>
  </w:footnote>
  <w:footnote w:id="496">
    <w:p w14:paraId="64AA633F" w14:textId="3D8CC278" w:rsidR="00146958" w:rsidRPr="00432ABC" w:rsidRDefault="00146958">
      <w:pPr>
        <w:pStyle w:val="FootnoteText"/>
        <w:jc w:val="both"/>
        <w:rPr>
          <w:rFonts w:ascii="Verdana" w:hAnsi="Verdana"/>
          <w:sz w:val="16"/>
          <w:szCs w:val="16"/>
          <w:lang w:val="es-CR"/>
        </w:rPr>
      </w:pPr>
      <w:r w:rsidRPr="00432ABC">
        <w:rPr>
          <w:rStyle w:val="FootnoteReference"/>
          <w:rFonts w:ascii="Verdana" w:hAnsi="Verdana"/>
          <w:sz w:val="16"/>
          <w:szCs w:val="16"/>
        </w:rPr>
        <w:footnoteRef/>
      </w:r>
      <w:r w:rsidRPr="00432ABC">
        <w:rPr>
          <w:rFonts w:ascii="Verdana" w:hAnsi="Verdana"/>
          <w:sz w:val="16"/>
          <w:szCs w:val="16"/>
          <w:lang w:val="es-CR"/>
        </w:rPr>
        <w:t xml:space="preserve"> </w:t>
      </w:r>
      <w:r w:rsidRPr="00432ABC">
        <w:rPr>
          <w:rFonts w:ascii="Verdana" w:hAnsi="Verdana"/>
          <w:sz w:val="16"/>
          <w:szCs w:val="16"/>
          <w:lang w:val="es-CR"/>
        </w:rPr>
        <w:tab/>
      </w:r>
      <w:r w:rsidRPr="00CD5C54">
        <w:rPr>
          <w:rFonts w:ascii="Verdana" w:hAnsi="Verdana"/>
          <w:i/>
          <w:sz w:val="16"/>
          <w:szCs w:val="16"/>
          <w:lang w:val="es-CR"/>
        </w:rPr>
        <w:t>Cfr.</w:t>
      </w:r>
      <w:r w:rsidRPr="002C462C">
        <w:rPr>
          <w:rFonts w:ascii="Verdana" w:hAnsi="Verdana"/>
          <w:sz w:val="16"/>
          <w:szCs w:val="16"/>
          <w:lang w:val="es-CR"/>
        </w:rPr>
        <w:t xml:space="preserve"> </w:t>
      </w:r>
      <w:r>
        <w:rPr>
          <w:rFonts w:ascii="Verdana" w:hAnsi="Verdana"/>
          <w:i/>
          <w:sz w:val="16"/>
          <w:szCs w:val="16"/>
          <w:lang w:val="es-CR"/>
        </w:rPr>
        <w:t>Caso Blake Vs. Guatemala. S</w:t>
      </w:r>
      <w:r w:rsidRPr="008D0846">
        <w:rPr>
          <w:rFonts w:ascii="Verdana" w:hAnsi="Verdana"/>
          <w:i/>
          <w:sz w:val="16"/>
          <w:szCs w:val="16"/>
          <w:lang w:val="es-CR"/>
        </w:rPr>
        <w:t>upra</w:t>
      </w:r>
      <w:r>
        <w:rPr>
          <w:rFonts w:ascii="Verdana" w:hAnsi="Verdana"/>
          <w:sz w:val="16"/>
          <w:szCs w:val="16"/>
          <w:lang w:val="es-CR"/>
        </w:rPr>
        <w:t xml:space="preserve"> párr. 114,</w:t>
      </w:r>
      <w:r w:rsidRPr="00432ABC">
        <w:rPr>
          <w:rFonts w:ascii="Verdana" w:hAnsi="Verdana"/>
          <w:sz w:val="16"/>
          <w:szCs w:val="16"/>
          <w:lang w:val="es-CR"/>
        </w:rPr>
        <w:t xml:space="preserve"> </w:t>
      </w:r>
      <w:r w:rsidRPr="00432ABC">
        <w:rPr>
          <w:rFonts w:ascii="Verdana" w:hAnsi="Verdana"/>
          <w:i/>
          <w:sz w:val="16"/>
          <w:szCs w:val="16"/>
          <w:lang w:val="es-CR"/>
        </w:rPr>
        <w:t xml:space="preserve">y </w:t>
      </w:r>
      <w:r>
        <w:rPr>
          <w:rFonts w:ascii="Verdana" w:hAnsi="Verdana"/>
          <w:i/>
          <w:sz w:val="16"/>
          <w:szCs w:val="16"/>
          <w:lang w:val="es-CR"/>
        </w:rPr>
        <w:t xml:space="preserve"> Caso </w:t>
      </w:r>
      <w:r w:rsidRPr="00C90148">
        <w:rPr>
          <w:rFonts w:ascii="Verdana" w:hAnsi="Verdana"/>
          <w:i/>
          <w:sz w:val="16"/>
          <w:szCs w:val="16"/>
          <w:lang w:val="es-CR"/>
        </w:rPr>
        <w:t xml:space="preserve">Terrones Silva y </w:t>
      </w:r>
      <w:r>
        <w:rPr>
          <w:rFonts w:ascii="Verdana" w:hAnsi="Verdana"/>
          <w:i/>
          <w:sz w:val="16"/>
          <w:szCs w:val="16"/>
          <w:lang w:val="es-CR"/>
        </w:rPr>
        <w:t>otros Vs. Perú. S</w:t>
      </w:r>
      <w:r w:rsidRPr="00AE384C">
        <w:rPr>
          <w:rFonts w:ascii="Verdana" w:hAnsi="Verdana"/>
          <w:i/>
          <w:sz w:val="16"/>
          <w:szCs w:val="16"/>
          <w:lang w:val="es-CR"/>
        </w:rPr>
        <w:t>upra</w:t>
      </w:r>
      <w:r w:rsidRPr="008D0846">
        <w:rPr>
          <w:rFonts w:ascii="Verdana" w:hAnsi="Verdana"/>
          <w:sz w:val="16"/>
          <w:szCs w:val="16"/>
          <w:lang w:val="es-CR"/>
        </w:rPr>
        <w:t xml:space="preserve"> párr</w:t>
      </w:r>
      <w:r>
        <w:rPr>
          <w:rFonts w:ascii="Verdana" w:hAnsi="Verdana"/>
          <w:i/>
          <w:sz w:val="16"/>
          <w:szCs w:val="16"/>
          <w:lang w:val="es-CR"/>
        </w:rPr>
        <w:t>. 226</w:t>
      </w:r>
      <w:r w:rsidRPr="00432ABC">
        <w:rPr>
          <w:rFonts w:ascii="Verdana" w:hAnsi="Verdana"/>
          <w:sz w:val="16"/>
          <w:szCs w:val="16"/>
          <w:lang w:val="es-CR"/>
        </w:rPr>
        <w:t xml:space="preserve">. </w:t>
      </w:r>
    </w:p>
  </w:footnote>
  <w:footnote w:id="497">
    <w:p w14:paraId="64AA6342" w14:textId="5F96FFEA" w:rsidR="00146958" w:rsidRPr="00432ABC" w:rsidRDefault="00146958">
      <w:pPr>
        <w:pStyle w:val="FootnoteText"/>
        <w:jc w:val="both"/>
        <w:rPr>
          <w:rFonts w:ascii="Verdana" w:hAnsi="Verdana"/>
          <w:sz w:val="16"/>
          <w:szCs w:val="16"/>
        </w:rPr>
      </w:pPr>
      <w:r w:rsidRPr="00432ABC">
        <w:rPr>
          <w:rStyle w:val="FootnoteReference"/>
          <w:rFonts w:ascii="Verdana" w:hAnsi="Verdana"/>
          <w:sz w:val="16"/>
          <w:szCs w:val="16"/>
        </w:rPr>
        <w:footnoteRef/>
      </w:r>
      <w:r w:rsidRPr="00432ABC">
        <w:rPr>
          <w:rFonts w:ascii="Verdana" w:hAnsi="Verdana"/>
          <w:sz w:val="16"/>
          <w:szCs w:val="16"/>
        </w:rPr>
        <w:t xml:space="preserve"> </w:t>
      </w:r>
      <w:r w:rsidRPr="00432ABC">
        <w:rPr>
          <w:rFonts w:ascii="Verdana" w:hAnsi="Verdana"/>
          <w:sz w:val="16"/>
          <w:szCs w:val="16"/>
        </w:rPr>
        <w:tab/>
      </w:r>
      <w:r w:rsidRPr="00CD5C54">
        <w:rPr>
          <w:rFonts w:ascii="Verdana" w:hAnsi="Verdana"/>
          <w:i/>
          <w:sz w:val="16"/>
          <w:szCs w:val="16"/>
        </w:rPr>
        <w:t>Cfr.</w:t>
      </w:r>
      <w:r>
        <w:rPr>
          <w:rFonts w:ascii="Verdana" w:hAnsi="Verdana"/>
          <w:sz w:val="16"/>
          <w:szCs w:val="16"/>
        </w:rPr>
        <w:t xml:space="preserve"> </w:t>
      </w:r>
      <w:r w:rsidRPr="00432ABC">
        <w:rPr>
          <w:rFonts w:ascii="Verdana" w:hAnsi="Verdana"/>
          <w:sz w:val="16"/>
          <w:szCs w:val="16"/>
        </w:rPr>
        <w:t>Peritaje de Carlos Martín Beristain,</w:t>
      </w:r>
      <w:r>
        <w:rPr>
          <w:rFonts w:ascii="Verdana" w:hAnsi="Verdana"/>
          <w:sz w:val="16"/>
          <w:szCs w:val="16"/>
        </w:rPr>
        <w:t xml:space="preserve"> familiograma</w:t>
      </w:r>
      <w:r w:rsidRPr="00432ABC">
        <w:rPr>
          <w:rFonts w:ascii="Verdana" w:hAnsi="Verdana"/>
          <w:sz w:val="16"/>
          <w:szCs w:val="16"/>
        </w:rPr>
        <w:t xml:space="preserve"> </w:t>
      </w:r>
      <w:r>
        <w:rPr>
          <w:rFonts w:ascii="Verdana" w:hAnsi="Verdana"/>
          <w:sz w:val="16"/>
          <w:szCs w:val="16"/>
        </w:rPr>
        <w:t>(</w:t>
      </w:r>
      <w:r w:rsidRPr="00432ABC">
        <w:rPr>
          <w:rFonts w:ascii="Verdana" w:hAnsi="Verdana"/>
          <w:sz w:val="16"/>
          <w:szCs w:val="16"/>
        </w:rPr>
        <w:t xml:space="preserve">expediente de prueba, </w:t>
      </w:r>
      <w:r w:rsidRPr="00453199">
        <w:rPr>
          <w:rFonts w:ascii="Verdana" w:hAnsi="Verdana"/>
          <w:i/>
          <w:sz w:val="16"/>
        </w:rPr>
        <w:t>Affidávits</w:t>
      </w:r>
      <w:r w:rsidRPr="00432ABC">
        <w:rPr>
          <w:rFonts w:ascii="Verdana" w:hAnsi="Verdana"/>
          <w:sz w:val="16"/>
          <w:szCs w:val="16"/>
        </w:rPr>
        <w:t>, f</w:t>
      </w:r>
      <w:r>
        <w:rPr>
          <w:rFonts w:ascii="Verdana" w:hAnsi="Verdana"/>
          <w:sz w:val="16"/>
          <w:szCs w:val="16"/>
        </w:rPr>
        <w:t>.</w:t>
      </w:r>
      <w:r w:rsidRPr="00432ABC">
        <w:rPr>
          <w:rFonts w:ascii="Verdana" w:hAnsi="Verdana"/>
          <w:sz w:val="16"/>
          <w:szCs w:val="16"/>
        </w:rPr>
        <w:t xml:space="preserve"> 31050</w:t>
      </w:r>
      <w:r>
        <w:rPr>
          <w:rFonts w:ascii="Verdana" w:hAnsi="Verdana"/>
          <w:sz w:val="16"/>
          <w:szCs w:val="16"/>
        </w:rPr>
        <w:t>)</w:t>
      </w:r>
    </w:p>
  </w:footnote>
  <w:footnote w:id="498">
    <w:p w14:paraId="64AA6344" w14:textId="197EF59E" w:rsidR="00146958" w:rsidRPr="00432ABC" w:rsidRDefault="00146958">
      <w:pPr>
        <w:pStyle w:val="FootnoteText"/>
        <w:jc w:val="both"/>
        <w:rPr>
          <w:rFonts w:ascii="Verdana" w:hAnsi="Verdana" w:cs="Times New Roman"/>
          <w:color w:val="00B0F0"/>
          <w:sz w:val="16"/>
          <w:szCs w:val="16"/>
          <w:highlight w:val="yellow"/>
          <w:lang w:val="uz-Cyrl-UZ"/>
        </w:rPr>
      </w:pPr>
      <w:r w:rsidRPr="00432ABC">
        <w:rPr>
          <w:rStyle w:val="FootnoteReference"/>
          <w:rFonts w:ascii="Verdana" w:hAnsi="Verdana"/>
          <w:sz w:val="16"/>
          <w:szCs w:val="16"/>
        </w:rPr>
        <w:footnoteRef/>
      </w:r>
      <w:r w:rsidRPr="00432ABC">
        <w:rPr>
          <w:rFonts w:ascii="Verdana" w:hAnsi="Verdana"/>
          <w:sz w:val="16"/>
          <w:szCs w:val="16"/>
          <w:lang w:val="es-CR"/>
        </w:rPr>
        <w:t xml:space="preserve"> </w:t>
      </w:r>
      <w:r w:rsidRPr="00432ABC">
        <w:rPr>
          <w:rFonts w:ascii="Verdana" w:hAnsi="Verdana"/>
          <w:sz w:val="16"/>
          <w:szCs w:val="16"/>
          <w:lang w:val="es-CR"/>
        </w:rPr>
        <w:tab/>
      </w:r>
      <w:r w:rsidRPr="002C462C">
        <w:rPr>
          <w:rFonts w:ascii="Verdana" w:hAnsi="Verdana" w:cs="Times New Roman"/>
          <w:sz w:val="16"/>
          <w:szCs w:val="16"/>
          <w:lang w:val="es-CR"/>
        </w:rPr>
        <w:t xml:space="preserve">Las representantes comunicaron el 2 de marzo 2017 que falleció y presentaron acta de defunción de </w:t>
      </w:r>
      <w:r w:rsidRPr="002C462C">
        <w:rPr>
          <w:rFonts w:ascii="Verdana" w:eastAsia="Times New Roman" w:hAnsi="Verdana" w:cs="Times New Roman"/>
          <w:sz w:val="16"/>
          <w:szCs w:val="16"/>
          <w:lang w:val="es-ES"/>
        </w:rPr>
        <w:t>Concepción Herrera Hernández y F.A.H.</w:t>
      </w:r>
      <w:r>
        <w:rPr>
          <w:rFonts w:ascii="Verdana" w:hAnsi="Verdana" w:cs="Times New Roman"/>
          <w:sz w:val="16"/>
          <w:szCs w:val="16"/>
          <w:lang w:val="es-CR"/>
        </w:rPr>
        <w:t xml:space="preserve"> (expediente de fondo, </w:t>
      </w:r>
      <w:r w:rsidRPr="00432ABC">
        <w:rPr>
          <w:rFonts w:ascii="Verdana" w:hAnsi="Verdana" w:cs="Times New Roman"/>
          <w:sz w:val="16"/>
          <w:szCs w:val="16"/>
          <w:lang w:val="es-CR"/>
        </w:rPr>
        <w:t>ff. 129 a 131</w:t>
      </w:r>
      <w:r>
        <w:rPr>
          <w:rFonts w:ascii="Verdana" w:hAnsi="Verdana" w:cs="Times New Roman"/>
          <w:sz w:val="16"/>
          <w:szCs w:val="16"/>
          <w:lang w:val="es-CR"/>
        </w:rPr>
        <w:t>).</w:t>
      </w:r>
    </w:p>
  </w:footnote>
  <w:footnote w:id="499">
    <w:p w14:paraId="64AA6347" w14:textId="1C79A6DF" w:rsidR="00146958" w:rsidRPr="00432ABC" w:rsidRDefault="00146958">
      <w:pPr>
        <w:pStyle w:val="FootnoteText"/>
        <w:jc w:val="both"/>
        <w:rPr>
          <w:rFonts w:ascii="Verdana" w:hAnsi="Verdana"/>
          <w:sz w:val="16"/>
          <w:szCs w:val="16"/>
          <w:lang w:val="es-CR"/>
        </w:rPr>
      </w:pPr>
      <w:r w:rsidRPr="00432ABC">
        <w:rPr>
          <w:rStyle w:val="FootnoteReference"/>
          <w:rFonts w:ascii="Verdana" w:hAnsi="Verdana"/>
          <w:sz w:val="16"/>
          <w:szCs w:val="16"/>
        </w:rPr>
        <w:footnoteRef/>
      </w:r>
      <w:r w:rsidRPr="00432ABC">
        <w:rPr>
          <w:rFonts w:ascii="Verdana" w:hAnsi="Verdana"/>
          <w:sz w:val="16"/>
          <w:szCs w:val="16"/>
        </w:rPr>
        <w:t xml:space="preserve">  </w:t>
      </w:r>
      <w:r w:rsidRPr="00432ABC">
        <w:rPr>
          <w:rFonts w:ascii="Verdana" w:hAnsi="Verdana"/>
          <w:sz w:val="16"/>
          <w:szCs w:val="16"/>
        </w:rPr>
        <w:tab/>
        <w:t>Esos familia</w:t>
      </w:r>
      <w:r w:rsidRPr="002C462C">
        <w:rPr>
          <w:rFonts w:ascii="Verdana" w:hAnsi="Verdana"/>
          <w:sz w:val="16"/>
          <w:szCs w:val="16"/>
        </w:rPr>
        <w:t>res son: respecto de Nitza Paola Alvarado Espinoza: Rigoberto Ambriz Marrufo (cuñado), R.A.A., I.A.A.A., J.E.A.A. y A.Y.A.A (sobrinos); respecto de Rocío Irene Alvarado: Manuel Reyes Lira y María de Jesús Rueda Villanueva (abuelos); y respecto de José Ángel Alvarado Herrera, su cuñada Sandra Luz Rueda Quezada, sus cuatro sobrinos J.O.A.R., R.G.A.R. C.N.A.R. y J.E.A.R., su cuñado Félix García García, sus cuatro sobrinos Karina Paola Alvarado Espinoza, F.A.H., J.</w:t>
      </w:r>
      <w:r>
        <w:rPr>
          <w:rFonts w:ascii="Verdana" w:hAnsi="Verdana"/>
          <w:sz w:val="16"/>
          <w:szCs w:val="16"/>
        </w:rPr>
        <w:t>G</w:t>
      </w:r>
      <w:r w:rsidRPr="002C462C">
        <w:rPr>
          <w:rFonts w:ascii="Verdana" w:hAnsi="Verdana"/>
          <w:sz w:val="16"/>
          <w:szCs w:val="16"/>
        </w:rPr>
        <w:t xml:space="preserve">.A. y A.G.A. </w:t>
      </w:r>
      <w:r>
        <w:rPr>
          <w:rFonts w:ascii="Verdana" w:hAnsi="Verdana"/>
          <w:sz w:val="16"/>
          <w:szCs w:val="16"/>
        </w:rPr>
        <w:t xml:space="preserve">Ver también: </w:t>
      </w:r>
      <w:r w:rsidRPr="00CD5C54">
        <w:rPr>
          <w:rFonts w:ascii="Verdana" w:hAnsi="Verdana"/>
          <w:i/>
          <w:sz w:val="16"/>
          <w:szCs w:val="16"/>
          <w:lang w:val="es-CR"/>
        </w:rPr>
        <w:t>Cfr.</w:t>
      </w:r>
      <w:r w:rsidRPr="00432ABC">
        <w:rPr>
          <w:rFonts w:ascii="Verdana" w:hAnsi="Verdana"/>
          <w:sz w:val="16"/>
          <w:szCs w:val="16"/>
          <w:lang w:val="es-CR"/>
        </w:rPr>
        <w:t xml:space="preserve"> Declaración de Carlos Martín Beristain. </w:t>
      </w:r>
      <w:r>
        <w:rPr>
          <w:rFonts w:ascii="Verdana" w:hAnsi="Verdana"/>
          <w:sz w:val="16"/>
          <w:szCs w:val="16"/>
          <w:lang w:val="es-CR"/>
        </w:rPr>
        <w:t>(expediente de prueba, ff.</w:t>
      </w:r>
      <w:r w:rsidRPr="00432ABC">
        <w:rPr>
          <w:rFonts w:ascii="Verdana" w:hAnsi="Verdana"/>
          <w:sz w:val="16"/>
          <w:szCs w:val="16"/>
          <w:lang w:val="es-CR"/>
        </w:rPr>
        <w:t xml:space="preserve"> 31013, 31016, 31025 y 31027</w:t>
      </w:r>
      <w:r>
        <w:rPr>
          <w:rFonts w:ascii="Verdana" w:hAnsi="Verdana"/>
          <w:sz w:val="16"/>
          <w:szCs w:val="16"/>
          <w:lang w:val="es-CR"/>
        </w:rPr>
        <w:t>)</w:t>
      </w:r>
      <w:r w:rsidRPr="00432ABC">
        <w:rPr>
          <w:rFonts w:ascii="Verdana" w:hAnsi="Verdana"/>
          <w:sz w:val="16"/>
          <w:szCs w:val="16"/>
          <w:lang w:val="es-CR"/>
        </w:rPr>
        <w:t>.</w:t>
      </w:r>
    </w:p>
  </w:footnote>
  <w:footnote w:id="500">
    <w:p w14:paraId="64AA6348" w14:textId="5C007F91" w:rsidR="00146958" w:rsidRPr="00432ABC" w:rsidRDefault="00146958">
      <w:pPr>
        <w:pStyle w:val="FootnoteText"/>
        <w:jc w:val="both"/>
        <w:rPr>
          <w:rFonts w:ascii="Verdana" w:hAnsi="Verdana"/>
          <w:sz w:val="16"/>
          <w:szCs w:val="16"/>
        </w:rPr>
      </w:pPr>
      <w:r w:rsidRPr="00432ABC">
        <w:rPr>
          <w:rStyle w:val="FootnoteReference"/>
          <w:rFonts w:ascii="Verdana" w:hAnsi="Verdana"/>
          <w:sz w:val="16"/>
          <w:szCs w:val="16"/>
        </w:rPr>
        <w:footnoteRef/>
      </w:r>
      <w:r w:rsidRPr="00432ABC">
        <w:rPr>
          <w:rFonts w:ascii="Verdana" w:hAnsi="Verdana"/>
          <w:sz w:val="16"/>
          <w:szCs w:val="16"/>
        </w:rPr>
        <w:tab/>
      </w:r>
      <w:r w:rsidRPr="00CD5C54">
        <w:rPr>
          <w:rFonts w:ascii="Verdana" w:hAnsi="Verdana"/>
          <w:i/>
          <w:sz w:val="16"/>
          <w:szCs w:val="16"/>
        </w:rPr>
        <w:t>Cfr.</w:t>
      </w:r>
      <w:r w:rsidRPr="002C462C">
        <w:rPr>
          <w:rFonts w:ascii="Verdana" w:hAnsi="Verdana"/>
          <w:sz w:val="16"/>
          <w:szCs w:val="16"/>
        </w:rPr>
        <w:t xml:space="preserve"> </w:t>
      </w:r>
      <w:r w:rsidRPr="00432ABC">
        <w:rPr>
          <w:rFonts w:ascii="Verdana" w:hAnsi="Verdana"/>
          <w:i/>
          <w:sz w:val="16"/>
          <w:szCs w:val="16"/>
        </w:rPr>
        <w:t xml:space="preserve">Caso de los “Niños de la Calle” (Villagrán Morales y otros) </w:t>
      </w:r>
      <w:r w:rsidRPr="00432ABC">
        <w:rPr>
          <w:rFonts w:ascii="Verdana" w:hAnsi="Verdana"/>
          <w:i/>
          <w:iCs/>
          <w:sz w:val="16"/>
          <w:szCs w:val="16"/>
        </w:rPr>
        <w:t xml:space="preserve">Vs. Guatemala. </w:t>
      </w:r>
      <w:r w:rsidRPr="00432ABC">
        <w:rPr>
          <w:rFonts w:ascii="Verdana" w:eastAsia="Calibri" w:hAnsi="Verdana" w:cs="Verdana"/>
          <w:i/>
          <w:sz w:val="16"/>
          <w:szCs w:val="16"/>
          <w:lang w:val="it-IT"/>
        </w:rPr>
        <w:t>Fondo</w:t>
      </w:r>
      <w:r w:rsidRPr="00432ABC">
        <w:rPr>
          <w:rFonts w:ascii="Verdana" w:hAnsi="Verdana"/>
          <w:sz w:val="16"/>
          <w:szCs w:val="16"/>
        </w:rPr>
        <w:t>, párr. 165,</w:t>
      </w:r>
      <w:r>
        <w:rPr>
          <w:rFonts w:ascii="Verdana" w:hAnsi="Verdana"/>
          <w:sz w:val="16"/>
          <w:szCs w:val="16"/>
        </w:rPr>
        <w:t xml:space="preserve"> y</w:t>
      </w:r>
      <w:r w:rsidRPr="00432ABC">
        <w:rPr>
          <w:rFonts w:ascii="Verdana" w:hAnsi="Verdana"/>
          <w:sz w:val="16"/>
          <w:szCs w:val="16"/>
        </w:rPr>
        <w:t xml:space="preserve"> </w:t>
      </w:r>
      <w:r w:rsidRPr="00432ABC">
        <w:rPr>
          <w:rFonts w:ascii="Verdana" w:hAnsi="Verdana"/>
          <w:i/>
          <w:sz w:val="16"/>
          <w:szCs w:val="16"/>
        </w:rPr>
        <w:t>Caso Masacre de Santo Domingo Vs. Colombia. Excepciones Preliminares, Fondo y Reparaciones</w:t>
      </w:r>
      <w:r w:rsidRPr="00432ABC">
        <w:rPr>
          <w:rFonts w:ascii="Verdana" w:hAnsi="Verdana"/>
          <w:sz w:val="16"/>
          <w:szCs w:val="16"/>
        </w:rPr>
        <w:t>, párr. 191.</w:t>
      </w:r>
    </w:p>
  </w:footnote>
  <w:footnote w:id="501">
    <w:p w14:paraId="64AA6349" w14:textId="55B667EA" w:rsidR="00146958" w:rsidRPr="002C462C" w:rsidRDefault="00146958">
      <w:pPr>
        <w:pStyle w:val="FootnoteText"/>
        <w:jc w:val="both"/>
        <w:rPr>
          <w:rFonts w:ascii="Verdana" w:hAnsi="Verdana"/>
          <w:sz w:val="16"/>
          <w:szCs w:val="16"/>
        </w:rPr>
      </w:pPr>
      <w:r w:rsidRPr="00432ABC">
        <w:rPr>
          <w:rStyle w:val="FootnoteReference"/>
          <w:rFonts w:ascii="Verdana" w:hAnsi="Verdana"/>
          <w:sz w:val="16"/>
          <w:szCs w:val="16"/>
        </w:rPr>
        <w:footnoteRef/>
      </w:r>
      <w:r w:rsidRPr="00432ABC">
        <w:rPr>
          <w:rFonts w:ascii="Verdana" w:hAnsi="Verdana"/>
          <w:sz w:val="16"/>
          <w:szCs w:val="16"/>
        </w:rPr>
        <w:t xml:space="preserve"> </w:t>
      </w:r>
      <w:r w:rsidRPr="00432ABC">
        <w:rPr>
          <w:rFonts w:ascii="Verdana" w:hAnsi="Verdana"/>
          <w:sz w:val="16"/>
          <w:szCs w:val="16"/>
        </w:rPr>
        <w:tab/>
        <w:t>De acuerdo al informe cuatrimestral de implementación de las Medidas Provisionales, se instalaron vallas, chapas de se</w:t>
      </w:r>
      <w:r w:rsidRPr="002C462C">
        <w:rPr>
          <w:rFonts w:ascii="Verdana" w:hAnsi="Verdana"/>
          <w:sz w:val="16"/>
          <w:szCs w:val="16"/>
        </w:rPr>
        <w:t>guridad y video vigilancia. Adicionalmente, el Estado se había comprometido a entregar 7 equipos celulares con crédito de mil pesos por mes a los beneficiarios pero no lo hizo</w:t>
      </w:r>
      <w:r>
        <w:rPr>
          <w:rFonts w:ascii="Verdana" w:hAnsi="Verdana"/>
          <w:sz w:val="16"/>
          <w:szCs w:val="16"/>
        </w:rPr>
        <w:t xml:space="preserve">. </w:t>
      </w:r>
      <w:r w:rsidRPr="00AE384C">
        <w:rPr>
          <w:rFonts w:ascii="Verdana" w:hAnsi="Verdana"/>
          <w:sz w:val="16"/>
          <w:szCs w:val="16"/>
        </w:rPr>
        <w:t>(Medidas Provisionales,</w:t>
      </w:r>
      <w:r>
        <w:rPr>
          <w:rFonts w:ascii="Verdana" w:hAnsi="Verdana"/>
          <w:sz w:val="16"/>
          <w:szCs w:val="16"/>
        </w:rPr>
        <w:t xml:space="preserve"> expediente,</w:t>
      </w:r>
      <w:r w:rsidRPr="00AE384C">
        <w:rPr>
          <w:rFonts w:ascii="Verdana" w:hAnsi="Verdana"/>
          <w:sz w:val="16"/>
          <w:szCs w:val="16"/>
        </w:rPr>
        <w:t xml:space="preserve"> ff. 1559 a 1560)</w:t>
      </w:r>
    </w:p>
  </w:footnote>
  <w:footnote w:id="502">
    <w:p w14:paraId="64AA634A" w14:textId="1BAB9D0E" w:rsidR="00146958" w:rsidRPr="007E5466" w:rsidRDefault="00146958">
      <w:pPr>
        <w:pStyle w:val="FootnoteText"/>
        <w:jc w:val="both"/>
        <w:rPr>
          <w:rFonts w:ascii="Verdana" w:hAnsi="Verdana"/>
          <w:sz w:val="16"/>
          <w:szCs w:val="16"/>
        </w:rPr>
      </w:pPr>
      <w:r w:rsidRPr="00432ABC">
        <w:rPr>
          <w:rStyle w:val="FootnoteReference"/>
          <w:rFonts w:ascii="Verdana" w:hAnsi="Verdana"/>
          <w:sz w:val="16"/>
          <w:szCs w:val="16"/>
        </w:rPr>
        <w:footnoteRef/>
      </w:r>
      <w:r w:rsidRPr="00432ABC">
        <w:rPr>
          <w:rFonts w:ascii="Verdana" w:hAnsi="Verdana"/>
          <w:sz w:val="16"/>
          <w:szCs w:val="16"/>
        </w:rPr>
        <w:t xml:space="preserve"> </w:t>
      </w:r>
      <w:r w:rsidRPr="00432ABC">
        <w:rPr>
          <w:rFonts w:ascii="Verdana" w:hAnsi="Verdana"/>
          <w:sz w:val="16"/>
          <w:szCs w:val="16"/>
        </w:rPr>
        <w:tab/>
      </w:r>
      <w:r w:rsidRPr="002C462C">
        <w:rPr>
          <w:rFonts w:ascii="Verdana" w:hAnsi="Verdana"/>
          <w:sz w:val="16"/>
          <w:szCs w:val="16"/>
        </w:rPr>
        <w:t>A saber: a) La vigilancia por medio de patrullajes, a los días 4 de febrero y 9 de marzo de 2010, por parte de elementos del ejército a bordo de vehículos</w:t>
      </w:r>
      <w:r>
        <w:rPr>
          <w:rFonts w:ascii="Verdana" w:hAnsi="Verdana"/>
          <w:sz w:val="16"/>
          <w:szCs w:val="16"/>
        </w:rPr>
        <w:t xml:space="preserve"> </w:t>
      </w:r>
      <w:r w:rsidRPr="00AE384C">
        <w:rPr>
          <w:rFonts w:ascii="Verdana" w:hAnsi="Verdana"/>
          <w:sz w:val="16"/>
          <w:szCs w:val="16"/>
        </w:rPr>
        <w:t>b) la comparecencia de personal de la PGR en Ciudad Juárez y policías federales en el domicilio de José Ángel Alvarado Fabela a fin de solicitar que éste los acompañara a las oficinas para informar sobre el juicio amparo promovido para la búsqueda sus familiares; c) la toma de fotografías a José Ángel Alvarado Fabela, el 28 de enero de 2011, por parte del personal de la PGR en Ciudad Juárez cuando se apersonó en dicha dependencia</w:t>
      </w:r>
      <w:r w:rsidRPr="008D0846">
        <w:rPr>
          <w:rFonts w:ascii="Verdana" w:hAnsi="Verdana"/>
          <w:sz w:val="16"/>
          <w:szCs w:val="16"/>
        </w:rPr>
        <w:t xml:space="preserve"> </w:t>
      </w:r>
      <w:r w:rsidRPr="00AE384C">
        <w:rPr>
          <w:rFonts w:ascii="Verdana" w:hAnsi="Verdana"/>
          <w:sz w:val="16"/>
          <w:szCs w:val="16"/>
        </w:rPr>
        <w:t>d) la comunicación sobre el uso de la fuerza pública en el caso de que no se presentare a las citaciones – siendo notificada por parte de agentes del Ministerio Público- la señora Obdulia Espinoza Beltrán; e) la búsqueda de información por parte de  dos  elementos de la  Policía Federal que acudieron al domicilio de Nitza Paola Alvarado posterior a la declaración de María de Jesús Alvarado ante la Corte; f) en relación a la manifestación realizada a los familiares por parte de los funcionarios de la FEVIMTRA sobre la existencia de supuestos “sótanos” en las oficinas de la FEVIMTRA dicho acto fue denunciado  como un hecho de amenaza por parte de una de las representantes de las víctimas en ocasión de una comparecencia a dicha dependencia; y, g) la denuncia de amenazas por parte de hombres armados a los arrendatarios del domicilio de José Ángel Alvarado Herrera</w:t>
      </w:r>
      <w:r w:rsidRPr="008D0846">
        <w:rPr>
          <w:rFonts w:ascii="Verdana" w:hAnsi="Verdana"/>
          <w:sz w:val="16"/>
          <w:szCs w:val="16"/>
        </w:rPr>
        <w:t>.</w:t>
      </w:r>
      <w:r>
        <w:rPr>
          <w:rFonts w:ascii="Verdana" w:hAnsi="Verdana"/>
          <w:b/>
          <w:sz w:val="16"/>
          <w:szCs w:val="16"/>
        </w:rPr>
        <w:t xml:space="preserve"> </w:t>
      </w:r>
      <w:r w:rsidRPr="008D0846">
        <w:rPr>
          <w:rFonts w:ascii="Verdana" w:hAnsi="Verdana"/>
          <w:sz w:val="16"/>
          <w:szCs w:val="16"/>
        </w:rPr>
        <w:t>(Informe de Fondo, ff. 47 a 48, párrs. 183 a 185, 189 a 191 y 195)</w:t>
      </w:r>
    </w:p>
  </w:footnote>
  <w:footnote w:id="503">
    <w:p w14:paraId="64AA634B" w14:textId="76B7AA21" w:rsidR="00146958" w:rsidRPr="00432ABC" w:rsidRDefault="00146958">
      <w:pPr>
        <w:pStyle w:val="FootnoteText"/>
        <w:jc w:val="both"/>
        <w:rPr>
          <w:rFonts w:ascii="Verdana" w:hAnsi="Verdana"/>
          <w:sz w:val="16"/>
          <w:szCs w:val="16"/>
        </w:rPr>
      </w:pPr>
      <w:r w:rsidRPr="00432ABC">
        <w:rPr>
          <w:rStyle w:val="FootnoteReference"/>
          <w:rFonts w:ascii="Verdana" w:hAnsi="Verdana"/>
          <w:sz w:val="16"/>
          <w:szCs w:val="16"/>
        </w:rPr>
        <w:footnoteRef/>
      </w:r>
      <w:r w:rsidRPr="00432ABC">
        <w:rPr>
          <w:rFonts w:ascii="Verdana" w:hAnsi="Verdana"/>
          <w:sz w:val="16"/>
          <w:szCs w:val="16"/>
          <w:lang w:val="es-ES"/>
        </w:rPr>
        <w:t xml:space="preserve"> </w:t>
      </w:r>
      <w:r w:rsidRPr="00432ABC">
        <w:rPr>
          <w:rFonts w:ascii="Verdana" w:hAnsi="Verdana"/>
          <w:sz w:val="16"/>
          <w:szCs w:val="16"/>
          <w:lang w:val="es-ES"/>
        </w:rPr>
        <w:tab/>
      </w:r>
      <w:r w:rsidRPr="00CD5C54">
        <w:rPr>
          <w:rFonts w:ascii="Verdana" w:hAnsi="Verdana"/>
          <w:i/>
          <w:sz w:val="16"/>
          <w:szCs w:val="16"/>
          <w:lang w:val="es-ES"/>
        </w:rPr>
        <w:t>Cfr.</w:t>
      </w:r>
      <w:r w:rsidRPr="002C462C">
        <w:rPr>
          <w:rFonts w:ascii="Verdana" w:hAnsi="Verdana"/>
          <w:i/>
          <w:sz w:val="16"/>
          <w:szCs w:val="16"/>
          <w:lang w:val="es-ES"/>
        </w:rPr>
        <w:t xml:space="preserve"> Caso Ricardo Canese Vs. Paraguay. </w:t>
      </w:r>
      <w:r w:rsidRPr="002C462C">
        <w:rPr>
          <w:rFonts w:ascii="Verdana" w:hAnsi="Verdana"/>
          <w:i/>
          <w:sz w:val="16"/>
          <w:szCs w:val="16"/>
        </w:rPr>
        <w:t>Fondo, Rep</w:t>
      </w:r>
      <w:r w:rsidRPr="00432ABC">
        <w:rPr>
          <w:rFonts w:ascii="Verdana" w:hAnsi="Verdana"/>
          <w:i/>
          <w:sz w:val="16"/>
          <w:szCs w:val="16"/>
        </w:rPr>
        <w:t>araciones y Costas</w:t>
      </w:r>
      <w:r w:rsidRPr="00432ABC">
        <w:rPr>
          <w:rFonts w:ascii="Verdana" w:hAnsi="Verdana"/>
          <w:sz w:val="16"/>
          <w:szCs w:val="16"/>
        </w:rPr>
        <w:t xml:space="preserve">. Sentencia de 31 de agosto de 2004. Serie C No. 111, párr. 115, y </w:t>
      </w:r>
      <w:r w:rsidRPr="00432ABC">
        <w:rPr>
          <w:rFonts w:ascii="Verdana" w:hAnsi="Verdana"/>
          <w:i/>
          <w:sz w:val="16"/>
          <w:szCs w:val="16"/>
          <w:lang w:val="es-CR"/>
        </w:rPr>
        <w:t>Caso Yarce y Otras Vs. Colombia</w:t>
      </w:r>
      <w:r>
        <w:rPr>
          <w:rFonts w:ascii="Verdana" w:hAnsi="Verdana"/>
          <w:sz w:val="16"/>
          <w:szCs w:val="16"/>
          <w:lang w:val="es-CR"/>
        </w:rPr>
        <w:t xml:space="preserve">. </w:t>
      </w:r>
      <w:r w:rsidRPr="008D0846">
        <w:rPr>
          <w:rFonts w:ascii="Verdana" w:hAnsi="Verdana"/>
          <w:i/>
          <w:sz w:val="16"/>
          <w:szCs w:val="16"/>
          <w:lang w:val="es-CR"/>
        </w:rPr>
        <w:t>Excepción Preliminar, Fondo, Reparaciones y Costas.</w:t>
      </w:r>
      <w:r>
        <w:rPr>
          <w:rFonts w:ascii="Verdana" w:hAnsi="Verdana"/>
          <w:sz w:val="16"/>
          <w:szCs w:val="16"/>
          <w:lang w:val="es-CR"/>
        </w:rPr>
        <w:t xml:space="preserve"> Sentencia de 22 de noviembre de 2016. Serie C No. 325, </w:t>
      </w:r>
      <w:r w:rsidRPr="00432ABC">
        <w:rPr>
          <w:rFonts w:ascii="Verdana" w:hAnsi="Verdana"/>
          <w:sz w:val="16"/>
          <w:szCs w:val="16"/>
          <w:lang w:val="es-CR"/>
        </w:rPr>
        <w:t>párrs. 117 y 214.</w:t>
      </w:r>
    </w:p>
  </w:footnote>
  <w:footnote w:id="504">
    <w:p w14:paraId="64AA634C" w14:textId="3ED41234" w:rsidR="00146958" w:rsidRPr="00432ABC" w:rsidRDefault="00146958">
      <w:pPr>
        <w:pStyle w:val="FootnoteText"/>
        <w:jc w:val="both"/>
        <w:rPr>
          <w:rFonts w:ascii="Verdana" w:hAnsi="Verdana"/>
          <w:sz w:val="16"/>
          <w:szCs w:val="16"/>
        </w:rPr>
      </w:pPr>
      <w:r w:rsidRPr="00432ABC">
        <w:rPr>
          <w:rStyle w:val="FootnoteReference"/>
          <w:rFonts w:ascii="Verdana" w:hAnsi="Verdana"/>
          <w:sz w:val="16"/>
          <w:szCs w:val="16"/>
        </w:rPr>
        <w:footnoteRef/>
      </w:r>
      <w:r w:rsidRPr="00432ABC">
        <w:rPr>
          <w:rFonts w:ascii="Verdana" w:hAnsi="Verdana"/>
          <w:sz w:val="16"/>
          <w:szCs w:val="16"/>
          <w:lang w:val="es-ES"/>
        </w:rPr>
        <w:t xml:space="preserve"> </w:t>
      </w:r>
      <w:r w:rsidRPr="00432ABC">
        <w:rPr>
          <w:rFonts w:ascii="Verdana" w:hAnsi="Verdana"/>
          <w:sz w:val="16"/>
          <w:szCs w:val="16"/>
          <w:lang w:val="es-ES"/>
        </w:rPr>
        <w:tab/>
      </w:r>
      <w:r w:rsidRPr="00CD5C54">
        <w:rPr>
          <w:rFonts w:ascii="Verdana" w:hAnsi="Verdana"/>
          <w:i/>
          <w:sz w:val="16"/>
          <w:szCs w:val="16"/>
          <w:lang w:val="es-ES"/>
        </w:rPr>
        <w:t>Cfr.</w:t>
      </w:r>
      <w:r w:rsidRPr="002C462C">
        <w:rPr>
          <w:rFonts w:ascii="Verdana" w:hAnsi="Verdana"/>
          <w:i/>
          <w:sz w:val="16"/>
          <w:szCs w:val="16"/>
          <w:lang w:val="es-ES"/>
        </w:rPr>
        <w:t xml:space="preserve"> </w:t>
      </w:r>
      <w:r w:rsidRPr="002C462C">
        <w:rPr>
          <w:rFonts w:ascii="Verdana" w:hAnsi="Verdana"/>
          <w:i/>
          <w:sz w:val="16"/>
          <w:szCs w:val="16"/>
          <w:lang w:val="es-CR"/>
        </w:rPr>
        <w:t xml:space="preserve">Caso de la Comunidad Moiwana Vs. Suriname. </w:t>
      </w:r>
      <w:r w:rsidRPr="00432ABC">
        <w:rPr>
          <w:rStyle w:val="Strong"/>
          <w:rFonts w:ascii="Verdana" w:hAnsi="Verdana"/>
          <w:b w:val="0"/>
          <w:i/>
          <w:color w:val="000000"/>
          <w:sz w:val="16"/>
          <w:szCs w:val="16"/>
        </w:rPr>
        <w:t>Excepciones Preliminares, Fondo, Reparaciones y Costas.</w:t>
      </w:r>
      <w:r w:rsidRPr="00432ABC">
        <w:rPr>
          <w:rStyle w:val="Strong"/>
          <w:rFonts w:ascii="Verdana" w:hAnsi="Verdana"/>
          <w:b w:val="0"/>
          <w:color w:val="000000"/>
          <w:sz w:val="16"/>
          <w:szCs w:val="16"/>
        </w:rPr>
        <w:t xml:space="preserve"> Sentencia 15 de junio de 2005. Serie C No. 124</w:t>
      </w:r>
      <w:r w:rsidRPr="00432ABC">
        <w:rPr>
          <w:rFonts w:ascii="Verdana" w:hAnsi="Verdana"/>
          <w:b/>
          <w:sz w:val="16"/>
          <w:szCs w:val="16"/>
          <w:lang w:val="es-CR"/>
        </w:rPr>
        <w:t>,</w:t>
      </w:r>
      <w:r w:rsidRPr="00432ABC">
        <w:rPr>
          <w:rFonts w:ascii="Verdana" w:hAnsi="Verdana"/>
          <w:sz w:val="16"/>
          <w:szCs w:val="16"/>
          <w:lang w:val="es-CR"/>
        </w:rPr>
        <w:t xml:space="preserve"> párrs. 119 y 120</w:t>
      </w:r>
      <w:r w:rsidRPr="00432ABC">
        <w:rPr>
          <w:rFonts w:ascii="Verdana" w:hAnsi="Verdana"/>
          <w:sz w:val="16"/>
          <w:szCs w:val="16"/>
        </w:rPr>
        <w:t xml:space="preserve">, y </w:t>
      </w:r>
      <w:r w:rsidRPr="00432ABC">
        <w:rPr>
          <w:rFonts w:ascii="Verdana" w:hAnsi="Verdana"/>
          <w:i/>
          <w:sz w:val="16"/>
          <w:szCs w:val="16"/>
          <w:lang w:val="es-CR"/>
        </w:rPr>
        <w:t>Caso Yarce y Otras Vs. Colombia,</w:t>
      </w:r>
      <w:r w:rsidRPr="00432ABC">
        <w:rPr>
          <w:rFonts w:ascii="Verdana" w:hAnsi="Verdana"/>
          <w:sz w:val="16"/>
          <w:szCs w:val="16"/>
          <w:lang w:val="es-CR"/>
        </w:rPr>
        <w:t xml:space="preserve"> </w:t>
      </w:r>
      <w:r w:rsidRPr="008D0846">
        <w:rPr>
          <w:rFonts w:ascii="Verdana" w:hAnsi="Verdana"/>
          <w:i/>
          <w:sz w:val="16"/>
          <w:szCs w:val="16"/>
          <w:lang w:val="es-CR"/>
        </w:rPr>
        <w:t>supra</w:t>
      </w:r>
      <w:r>
        <w:rPr>
          <w:rFonts w:ascii="Verdana" w:hAnsi="Verdana"/>
          <w:sz w:val="16"/>
          <w:szCs w:val="16"/>
          <w:lang w:val="es-CR"/>
        </w:rPr>
        <w:t xml:space="preserve"> </w:t>
      </w:r>
      <w:r w:rsidRPr="00432ABC">
        <w:rPr>
          <w:rFonts w:ascii="Verdana" w:hAnsi="Verdana"/>
          <w:sz w:val="16"/>
          <w:szCs w:val="16"/>
          <w:lang w:val="es-CR"/>
        </w:rPr>
        <w:t>párr. 215.</w:t>
      </w:r>
    </w:p>
  </w:footnote>
  <w:footnote w:id="505">
    <w:p w14:paraId="64AA634D" w14:textId="56060B05" w:rsidR="00146958" w:rsidRPr="002C462C" w:rsidRDefault="00146958">
      <w:pPr>
        <w:pStyle w:val="FootnoteText"/>
        <w:jc w:val="both"/>
        <w:rPr>
          <w:rFonts w:ascii="Verdana" w:hAnsi="Verdana"/>
          <w:sz w:val="16"/>
          <w:szCs w:val="16"/>
        </w:rPr>
      </w:pPr>
      <w:r w:rsidRPr="00432ABC">
        <w:rPr>
          <w:rStyle w:val="FootnoteReference"/>
          <w:rFonts w:ascii="Verdana" w:hAnsi="Verdana"/>
          <w:sz w:val="16"/>
          <w:szCs w:val="16"/>
        </w:rPr>
        <w:footnoteRef/>
      </w:r>
      <w:r w:rsidRPr="00432ABC">
        <w:rPr>
          <w:rFonts w:ascii="Verdana" w:hAnsi="Verdana"/>
          <w:sz w:val="16"/>
          <w:szCs w:val="16"/>
        </w:rPr>
        <w:t xml:space="preserve"> </w:t>
      </w:r>
      <w:r w:rsidRPr="00432ABC">
        <w:rPr>
          <w:rFonts w:ascii="Verdana" w:hAnsi="Verdana"/>
          <w:sz w:val="16"/>
          <w:szCs w:val="16"/>
        </w:rPr>
        <w:tab/>
      </w:r>
      <w:r w:rsidRPr="00CD5C54">
        <w:rPr>
          <w:rFonts w:ascii="Verdana" w:hAnsi="Verdana"/>
          <w:i/>
          <w:sz w:val="16"/>
          <w:szCs w:val="16"/>
        </w:rPr>
        <w:t>Cfr.</w:t>
      </w:r>
      <w:r w:rsidRPr="003A625D">
        <w:rPr>
          <w:rFonts w:ascii="Verdana" w:hAnsi="Verdana"/>
          <w:b/>
          <w:bCs/>
          <w:color w:val="000000"/>
          <w:sz w:val="22"/>
          <w:szCs w:val="22"/>
          <w:shd w:val="clear" w:color="auto" w:fill="FFFFFF"/>
        </w:rPr>
        <w:t xml:space="preserve"> </w:t>
      </w:r>
      <w:r w:rsidRPr="008D0846">
        <w:rPr>
          <w:rFonts w:ascii="Verdana" w:hAnsi="Verdana"/>
          <w:bCs/>
          <w:i/>
          <w:sz w:val="16"/>
          <w:szCs w:val="16"/>
        </w:rPr>
        <w:t>Caso Valle Jaramillo y otros Vs. Colombi</w:t>
      </w:r>
      <w:r>
        <w:rPr>
          <w:rFonts w:ascii="Verdana" w:hAnsi="Verdana"/>
          <w:bCs/>
          <w:i/>
          <w:sz w:val="16"/>
          <w:szCs w:val="16"/>
        </w:rPr>
        <w:t>a, supra</w:t>
      </w:r>
      <w:r>
        <w:rPr>
          <w:rFonts w:ascii="Verdana" w:hAnsi="Verdana"/>
          <w:bCs/>
          <w:sz w:val="16"/>
          <w:szCs w:val="16"/>
        </w:rPr>
        <w:t xml:space="preserve"> párr. 139, y</w:t>
      </w:r>
      <w:r w:rsidRPr="002C462C">
        <w:rPr>
          <w:rFonts w:ascii="Verdana" w:hAnsi="Verdana"/>
          <w:sz w:val="16"/>
          <w:szCs w:val="16"/>
        </w:rPr>
        <w:t xml:space="preserve"> </w:t>
      </w:r>
      <w:r w:rsidRPr="008D0846">
        <w:rPr>
          <w:rFonts w:ascii="Verdana" w:hAnsi="Verdana"/>
          <w:i/>
          <w:sz w:val="16"/>
          <w:szCs w:val="16"/>
        </w:rPr>
        <w:t>Yarce y otras Vs. Colombia</w:t>
      </w:r>
      <w:r w:rsidRPr="002C462C">
        <w:rPr>
          <w:rFonts w:ascii="Verdana" w:hAnsi="Verdana"/>
          <w:sz w:val="16"/>
          <w:szCs w:val="16"/>
        </w:rPr>
        <w:t>,</w:t>
      </w:r>
      <w:r>
        <w:rPr>
          <w:rFonts w:ascii="Verdana" w:hAnsi="Verdana"/>
          <w:sz w:val="16"/>
          <w:szCs w:val="16"/>
        </w:rPr>
        <w:t xml:space="preserve"> supra</w:t>
      </w:r>
      <w:r w:rsidRPr="002C462C">
        <w:rPr>
          <w:rFonts w:ascii="Verdana" w:hAnsi="Verdana"/>
          <w:sz w:val="16"/>
          <w:szCs w:val="16"/>
        </w:rPr>
        <w:t xml:space="preserve"> párr. 215</w:t>
      </w:r>
      <w:r>
        <w:rPr>
          <w:rFonts w:ascii="Verdana" w:hAnsi="Verdana"/>
          <w:sz w:val="16"/>
          <w:szCs w:val="16"/>
        </w:rPr>
        <w:t>.</w:t>
      </w:r>
    </w:p>
  </w:footnote>
  <w:footnote w:id="506">
    <w:p w14:paraId="41BBB4B0" w14:textId="28BE814F" w:rsidR="00146958" w:rsidRPr="001E6062" w:rsidRDefault="00146958">
      <w:pPr>
        <w:pStyle w:val="FootnoteText"/>
        <w:jc w:val="both"/>
        <w:rPr>
          <w:rFonts w:ascii="Verdana" w:hAnsi="Verdana"/>
        </w:rPr>
      </w:pPr>
      <w:r w:rsidRPr="00432ABC">
        <w:rPr>
          <w:rStyle w:val="FootnoteReference"/>
          <w:rFonts w:ascii="Verdana" w:hAnsi="Verdana"/>
          <w:sz w:val="16"/>
          <w:szCs w:val="16"/>
        </w:rPr>
        <w:footnoteRef/>
      </w:r>
      <w:r w:rsidRPr="00432ABC">
        <w:rPr>
          <w:rFonts w:ascii="Verdana" w:hAnsi="Verdana"/>
          <w:sz w:val="16"/>
          <w:szCs w:val="16"/>
        </w:rPr>
        <w:t xml:space="preserve"> </w:t>
      </w:r>
      <w:r w:rsidRPr="00432ABC">
        <w:rPr>
          <w:rFonts w:ascii="Verdana" w:hAnsi="Verdana"/>
          <w:sz w:val="16"/>
          <w:szCs w:val="16"/>
        </w:rPr>
        <w:tab/>
      </w:r>
      <w:r w:rsidRPr="00CD5C54">
        <w:rPr>
          <w:rFonts w:ascii="Verdana" w:hAnsi="Verdana"/>
          <w:i/>
          <w:sz w:val="16"/>
          <w:szCs w:val="16"/>
        </w:rPr>
        <w:t>Cfr.</w:t>
      </w:r>
      <w:r>
        <w:rPr>
          <w:rFonts w:ascii="Verdana" w:hAnsi="Verdana"/>
          <w:sz w:val="16"/>
          <w:szCs w:val="16"/>
        </w:rPr>
        <w:t xml:space="preserve"> </w:t>
      </w:r>
      <w:r w:rsidRPr="003A625D">
        <w:rPr>
          <w:rFonts w:ascii="Verdana" w:hAnsi="Verdana"/>
          <w:i/>
          <w:sz w:val="16"/>
          <w:szCs w:val="16"/>
          <w:lang w:val="es-CR"/>
        </w:rPr>
        <w:t>Caso de la Comunidad Moiwana Vs. Surinam</w:t>
      </w:r>
      <w:r>
        <w:rPr>
          <w:rFonts w:ascii="Verdana" w:hAnsi="Verdana"/>
          <w:i/>
          <w:sz w:val="16"/>
          <w:szCs w:val="16"/>
          <w:lang w:val="es-CR"/>
        </w:rPr>
        <w:t>,</w:t>
      </w:r>
      <w:r w:rsidRPr="003A625D">
        <w:rPr>
          <w:rFonts w:ascii="Verdana" w:hAnsi="Verdana"/>
          <w:i/>
          <w:sz w:val="16"/>
          <w:szCs w:val="16"/>
          <w:lang w:val="es-CR"/>
        </w:rPr>
        <w:t>.</w:t>
      </w:r>
      <w:r>
        <w:rPr>
          <w:rFonts w:ascii="Verdana" w:hAnsi="Verdana"/>
          <w:i/>
          <w:sz w:val="16"/>
          <w:szCs w:val="16"/>
          <w:lang w:val="es-CR"/>
        </w:rPr>
        <w:t xml:space="preserve"> </w:t>
      </w:r>
      <w:r w:rsidRPr="008D0846">
        <w:rPr>
          <w:rFonts w:ascii="Verdana" w:hAnsi="Verdana"/>
          <w:i/>
          <w:sz w:val="16"/>
          <w:szCs w:val="16"/>
          <w:lang w:val="es-CR"/>
        </w:rPr>
        <w:t>supra</w:t>
      </w:r>
      <w:r>
        <w:rPr>
          <w:rFonts w:ascii="Verdana" w:hAnsi="Verdana"/>
          <w:sz w:val="16"/>
          <w:szCs w:val="16"/>
          <w:lang w:val="es-CR"/>
        </w:rPr>
        <w:t xml:space="preserve"> párr. 120, y Caso </w:t>
      </w:r>
      <w:r w:rsidRPr="001E6062">
        <w:rPr>
          <w:rFonts w:ascii="Verdana" w:hAnsi="Verdana"/>
          <w:i/>
          <w:sz w:val="16"/>
          <w:szCs w:val="16"/>
        </w:rPr>
        <w:t>Yarce y otras Vs. Colombia,</w:t>
      </w:r>
      <w:r>
        <w:rPr>
          <w:rFonts w:ascii="Verdana" w:hAnsi="Verdana"/>
          <w:i/>
          <w:sz w:val="16"/>
          <w:szCs w:val="16"/>
        </w:rPr>
        <w:t xml:space="preserve"> </w:t>
      </w:r>
      <w:r w:rsidRPr="00C8120C">
        <w:rPr>
          <w:rFonts w:ascii="Verdana" w:hAnsi="Verdana"/>
          <w:i/>
          <w:sz w:val="16"/>
          <w:szCs w:val="16"/>
        </w:rPr>
        <w:t>supra</w:t>
      </w:r>
      <w:r w:rsidRPr="001E6062">
        <w:rPr>
          <w:rFonts w:ascii="Verdana" w:hAnsi="Verdana"/>
          <w:i/>
          <w:sz w:val="16"/>
          <w:szCs w:val="16"/>
        </w:rPr>
        <w:t xml:space="preserve"> </w:t>
      </w:r>
      <w:r w:rsidRPr="008D0846">
        <w:rPr>
          <w:rFonts w:ascii="Verdana" w:hAnsi="Verdana"/>
          <w:sz w:val="16"/>
          <w:szCs w:val="16"/>
        </w:rPr>
        <w:t>párr. 215.</w:t>
      </w:r>
    </w:p>
  </w:footnote>
  <w:footnote w:id="507">
    <w:p w14:paraId="64AA634E" w14:textId="3008DE95" w:rsidR="00146958" w:rsidRPr="002C462C" w:rsidRDefault="00146958">
      <w:pPr>
        <w:pStyle w:val="FootnoteText"/>
        <w:jc w:val="both"/>
        <w:rPr>
          <w:rFonts w:ascii="Verdana" w:hAnsi="Verdana"/>
          <w:sz w:val="16"/>
          <w:szCs w:val="16"/>
          <w:lang w:val="es-CR"/>
        </w:rPr>
      </w:pPr>
      <w:r w:rsidRPr="00432ABC">
        <w:rPr>
          <w:rStyle w:val="FootnoteReference"/>
          <w:rFonts w:ascii="Verdana" w:hAnsi="Verdana"/>
          <w:sz w:val="16"/>
          <w:szCs w:val="16"/>
        </w:rPr>
        <w:footnoteRef/>
      </w:r>
      <w:r w:rsidRPr="00432ABC">
        <w:rPr>
          <w:rFonts w:ascii="Verdana" w:hAnsi="Verdana"/>
          <w:sz w:val="16"/>
          <w:szCs w:val="16"/>
        </w:rPr>
        <w:t xml:space="preserve"> </w:t>
      </w:r>
      <w:r w:rsidRPr="002C462C">
        <w:rPr>
          <w:rFonts w:ascii="Verdana" w:hAnsi="Verdana"/>
          <w:sz w:val="16"/>
          <w:szCs w:val="16"/>
          <w:lang w:val="es-CR"/>
        </w:rPr>
        <w:tab/>
        <w:t>Ver peritajes de Gabriella Citroni</w:t>
      </w:r>
      <w:r>
        <w:rPr>
          <w:rFonts w:ascii="Verdana" w:hAnsi="Verdana"/>
          <w:sz w:val="16"/>
          <w:szCs w:val="16"/>
          <w:lang w:val="es-CR"/>
        </w:rPr>
        <w:t xml:space="preserve"> (expediente de prueba, </w:t>
      </w:r>
      <w:r w:rsidRPr="00AD4631">
        <w:rPr>
          <w:rFonts w:ascii="Verdana" w:hAnsi="Verdana"/>
          <w:i/>
          <w:sz w:val="16"/>
          <w:szCs w:val="16"/>
          <w:lang w:val="es-CR"/>
        </w:rPr>
        <w:t>affidávits</w:t>
      </w:r>
      <w:r>
        <w:rPr>
          <w:rFonts w:ascii="Verdana" w:hAnsi="Verdana"/>
          <w:sz w:val="16"/>
          <w:szCs w:val="16"/>
          <w:lang w:val="es-CR"/>
        </w:rPr>
        <w:t>, ff. 31052 a 31125)</w:t>
      </w:r>
      <w:r w:rsidRPr="002C462C">
        <w:rPr>
          <w:rFonts w:ascii="Verdana" w:hAnsi="Verdana"/>
          <w:sz w:val="16"/>
          <w:szCs w:val="16"/>
          <w:lang w:val="es-CR"/>
        </w:rPr>
        <w:t xml:space="preserve"> y </w:t>
      </w:r>
      <w:r>
        <w:rPr>
          <w:rFonts w:ascii="Verdana" w:hAnsi="Verdana"/>
          <w:sz w:val="16"/>
          <w:szCs w:val="16"/>
          <w:lang w:val="es-CR"/>
        </w:rPr>
        <w:t xml:space="preserve">Alejandro </w:t>
      </w:r>
      <w:r w:rsidRPr="002C462C">
        <w:rPr>
          <w:rFonts w:ascii="Verdana" w:hAnsi="Verdana"/>
          <w:sz w:val="16"/>
          <w:szCs w:val="16"/>
          <w:lang w:val="es-CR"/>
        </w:rPr>
        <w:t>Madrazo Laj</w:t>
      </w:r>
      <w:r>
        <w:rPr>
          <w:rFonts w:ascii="Verdana" w:hAnsi="Verdana"/>
          <w:sz w:val="16"/>
          <w:szCs w:val="16"/>
          <w:lang w:val="es-CR"/>
        </w:rPr>
        <w:t>o</w:t>
      </w:r>
      <w:r w:rsidRPr="002C462C">
        <w:rPr>
          <w:rFonts w:ascii="Verdana" w:hAnsi="Verdana"/>
          <w:sz w:val="16"/>
          <w:szCs w:val="16"/>
          <w:lang w:val="es-CR"/>
        </w:rPr>
        <w:t>us</w:t>
      </w:r>
      <w:r>
        <w:rPr>
          <w:rFonts w:ascii="Verdana" w:hAnsi="Verdana"/>
          <w:sz w:val="16"/>
          <w:szCs w:val="16"/>
          <w:lang w:val="es-CR"/>
        </w:rPr>
        <w:t xml:space="preserve"> (expediente de prueba, </w:t>
      </w:r>
      <w:r w:rsidRPr="00AD4631">
        <w:rPr>
          <w:rFonts w:ascii="Verdana" w:hAnsi="Verdana"/>
          <w:i/>
          <w:sz w:val="16"/>
          <w:szCs w:val="16"/>
          <w:lang w:val="es-CR"/>
        </w:rPr>
        <w:t>affidávits</w:t>
      </w:r>
      <w:r>
        <w:rPr>
          <w:rFonts w:ascii="Verdana" w:hAnsi="Verdana"/>
          <w:sz w:val="16"/>
          <w:szCs w:val="16"/>
          <w:lang w:val="es-CR"/>
        </w:rPr>
        <w:t>, ff. 30963 a 30984)</w:t>
      </w:r>
      <w:r w:rsidRPr="002C462C">
        <w:rPr>
          <w:rFonts w:ascii="Verdana" w:hAnsi="Verdana"/>
          <w:sz w:val="16"/>
          <w:szCs w:val="16"/>
          <w:lang w:val="es-CR"/>
        </w:rPr>
        <w:t xml:space="preserve"> que dan cuenta de un contexto de violencia en la región.</w:t>
      </w:r>
    </w:p>
  </w:footnote>
  <w:footnote w:id="508">
    <w:p w14:paraId="64AA634F" w14:textId="443647B1" w:rsidR="00146958" w:rsidRPr="002C462C" w:rsidRDefault="00146958">
      <w:pPr>
        <w:pStyle w:val="FootnoteText"/>
        <w:jc w:val="both"/>
        <w:rPr>
          <w:rFonts w:ascii="Verdana" w:hAnsi="Verdana"/>
          <w:sz w:val="16"/>
          <w:szCs w:val="16"/>
        </w:rPr>
      </w:pPr>
      <w:r w:rsidRPr="00432ABC">
        <w:rPr>
          <w:rStyle w:val="FootnoteReference"/>
          <w:rFonts w:ascii="Verdana" w:hAnsi="Verdana"/>
          <w:sz w:val="16"/>
          <w:szCs w:val="16"/>
        </w:rPr>
        <w:footnoteRef/>
      </w:r>
      <w:r w:rsidRPr="00432ABC">
        <w:rPr>
          <w:rFonts w:ascii="Verdana" w:hAnsi="Verdana"/>
          <w:sz w:val="16"/>
          <w:szCs w:val="16"/>
        </w:rPr>
        <w:t xml:space="preserve"> </w:t>
      </w:r>
      <w:r w:rsidRPr="00432ABC">
        <w:rPr>
          <w:rFonts w:ascii="Verdana" w:hAnsi="Verdana"/>
          <w:sz w:val="16"/>
          <w:szCs w:val="16"/>
        </w:rPr>
        <w:tab/>
        <w:t>Reiteradas en 1 de abril de 2011, 15 de mayo de 2011, 23 de nov</w:t>
      </w:r>
      <w:r w:rsidRPr="002C462C">
        <w:rPr>
          <w:rFonts w:ascii="Verdana" w:hAnsi="Verdana"/>
          <w:sz w:val="16"/>
          <w:szCs w:val="16"/>
        </w:rPr>
        <w:t xml:space="preserve">iembre de 2012, 23 de junio de 2015, 14 de noviembre de 2017 (ocasión en la cual fue solicitada la colaboración de la </w:t>
      </w:r>
      <w:r>
        <w:rPr>
          <w:rFonts w:ascii="Verdana" w:hAnsi="Verdana"/>
          <w:sz w:val="16"/>
          <w:szCs w:val="16"/>
        </w:rPr>
        <w:t>CNDH</w:t>
      </w:r>
      <w:r w:rsidRPr="002C462C">
        <w:rPr>
          <w:rFonts w:ascii="Verdana" w:hAnsi="Verdana"/>
          <w:sz w:val="16"/>
          <w:szCs w:val="16"/>
        </w:rPr>
        <w:t xml:space="preserve"> para la realización del informe de riesgo), 13 de marzo de 2018</w:t>
      </w:r>
      <w:r>
        <w:rPr>
          <w:rFonts w:ascii="Verdana" w:hAnsi="Verdana"/>
          <w:sz w:val="16"/>
          <w:szCs w:val="16"/>
        </w:rPr>
        <w:t xml:space="preserve">. </w:t>
      </w:r>
    </w:p>
  </w:footnote>
  <w:footnote w:id="509">
    <w:p w14:paraId="64AA6350" w14:textId="68122085" w:rsidR="00146958" w:rsidRPr="00432ABC" w:rsidRDefault="00146958" w:rsidP="007F48D2">
      <w:pPr>
        <w:pStyle w:val="FootnoteText"/>
        <w:jc w:val="both"/>
        <w:rPr>
          <w:rFonts w:ascii="Verdana" w:hAnsi="Verdana"/>
          <w:sz w:val="16"/>
          <w:szCs w:val="16"/>
          <w:lang w:val="es-CR"/>
        </w:rPr>
      </w:pPr>
      <w:r w:rsidRPr="00432ABC">
        <w:rPr>
          <w:rStyle w:val="FootnoteReference"/>
          <w:rFonts w:ascii="Verdana" w:hAnsi="Verdana"/>
          <w:sz w:val="16"/>
          <w:szCs w:val="16"/>
        </w:rPr>
        <w:footnoteRef/>
      </w:r>
      <w:r w:rsidRPr="00432ABC">
        <w:rPr>
          <w:rFonts w:ascii="Verdana" w:hAnsi="Verdana"/>
          <w:sz w:val="16"/>
          <w:szCs w:val="16"/>
        </w:rPr>
        <w:t xml:space="preserve"> </w:t>
      </w:r>
      <w:r w:rsidRPr="002C462C">
        <w:rPr>
          <w:rFonts w:ascii="Verdana" w:hAnsi="Verdana"/>
          <w:sz w:val="16"/>
          <w:szCs w:val="16"/>
          <w:lang w:val="es-CR"/>
        </w:rPr>
        <w:tab/>
      </w:r>
      <w:r w:rsidRPr="007F48D2">
        <w:rPr>
          <w:rFonts w:ascii="Verdana" w:hAnsi="Verdana"/>
          <w:sz w:val="16"/>
          <w:szCs w:val="16"/>
        </w:rPr>
        <w:t>A saber: 1) María de Jesús Espinoza Peinado; 2) Ascensión Alvarado Fabela; 3) N.S.A.E.; M.P.A.E.; 4) D.A.E.; 5) María de Jesús Alvarado Espinoza; 6) Rigoberto Ambriz Marrufo; 7) José Ángel Alvarado Fabela; 8) Concepción Herrera Beltrán; 9) Obdulia Espinoza Beltrán; 10) J.A.E.; 11) J.A.A.E.; 12) A.A.E. (“A.E.B.”); 13) Jaime Alvarado Herrera; 14) Sandra Luz Rueda Quezada; 15) J.O.A.R.; 16) R.G.A.R.; 17) C.N.A.R.; 18) J.E.A.R.; 19) Rosa Olivia Alvarado Herrera; 20) Félix García; 21) K.P.A.E.; 22) F.A.H.; 23) J.G.A.; 24) A.G.A.; 25) Manuel Melquíades Alvarado Herrera; 26) Mayra Daniela Salaís Rodríguez; 27) D.J.A.; 28) X.A.S.; 29) Patricia Reyes Rueda; 30) A.A.R.; 31) A.R.A.R.; 32) A.M.U.A., y 33) Manuel Reyes Lira.</w:t>
      </w:r>
    </w:p>
  </w:footnote>
  <w:footnote w:id="510">
    <w:p w14:paraId="64AA6351" w14:textId="7DDEC640" w:rsidR="00146958" w:rsidRPr="00432ABC" w:rsidRDefault="00146958">
      <w:pPr>
        <w:pStyle w:val="FootnoteText"/>
        <w:jc w:val="both"/>
        <w:rPr>
          <w:rFonts w:ascii="Verdana" w:hAnsi="Verdana"/>
          <w:sz w:val="16"/>
          <w:szCs w:val="16"/>
        </w:rPr>
      </w:pPr>
      <w:r w:rsidRPr="00432ABC">
        <w:rPr>
          <w:rStyle w:val="FootnoteReference"/>
          <w:rFonts w:ascii="Verdana" w:hAnsi="Verdana"/>
          <w:sz w:val="16"/>
          <w:szCs w:val="16"/>
        </w:rPr>
        <w:footnoteRef/>
      </w:r>
      <w:r w:rsidRPr="00432ABC">
        <w:rPr>
          <w:rFonts w:ascii="Verdana" w:hAnsi="Verdana"/>
          <w:sz w:val="16"/>
          <w:szCs w:val="16"/>
        </w:rPr>
        <w:t xml:space="preserve"> </w:t>
      </w:r>
      <w:r w:rsidRPr="00432ABC">
        <w:rPr>
          <w:rFonts w:ascii="Verdana" w:hAnsi="Verdana"/>
          <w:sz w:val="16"/>
          <w:szCs w:val="16"/>
        </w:rPr>
        <w:tab/>
      </w:r>
      <w:r w:rsidRPr="00CD5C54">
        <w:rPr>
          <w:rFonts w:ascii="Verdana" w:hAnsi="Verdana"/>
          <w:i/>
          <w:sz w:val="16"/>
          <w:szCs w:val="16"/>
        </w:rPr>
        <w:t>Cfr.</w:t>
      </w:r>
      <w:r w:rsidRPr="002C462C">
        <w:rPr>
          <w:rFonts w:ascii="Verdana" w:hAnsi="Verdana"/>
          <w:sz w:val="16"/>
          <w:szCs w:val="16"/>
        </w:rPr>
        <w:t xml:space="preserve"> </w:t>
      </w:r>
      <w:r w:rsidRPr="008D0846">
        <w:rPr>
          <w:rFonts w:ascii="Verdana" w:hAnsi="Verdana"/>
          <w:i/>
          <w:sz w:val="16"/>
          <w:szCs w:val="16"/>
        </w:rPr>
        <w:t>Caso Vélez Restrepo y Familiares Vs. Colombia. Excepción Preliminar, Fondo, Reparaciones y Costas</w:t>
      </w:r>
      <w:r w:rsidRPr="002C462C">
        <w:rPr>
          <w:rFonts w:ascii="Verdana" w:hAnsi="Verdana"/>
          <w:sz w:val="16"/>
          <w:szCs w:val="16"/>
        </w:rPr>
        <w:t>. Sentencia de 3 de septiembre de 2012 Serie C No.</w:t>
      </w:r>
      <w:r w:rsidRPr="00432ABC">
        <w:rPr>
          <w:rFonts w:ascii="Verdana" w:hAnsi="Verdana"/>
          <w:sz w:val="16"/>
          <w:szCs w:val="16"/>
        </w:rPr>
        <w:t xml:space="preserve"> 248, párr. 201, </w:t>
      </w:r>
      <w:r w:rsidRPr="008D0846">
        <w:rPr>
          <w:rFonts w:ascii="Verdana" w:hAnsi="Verdana"/>
          <w:i/>
          <w:sz w:val="16"/>
          <w:szCs w:val="16"/>
        </w:rPr>
        <w:t>y Caso Rodríguez Vera y otros (Desaparecidos del Palacio de Justicia) Vs. Colombia, supra</w:t>
      </w:r>
      <w:r w:rsidRPr="00432ABC">
        <w:rPr>
          <w:rFonts w:ascii="Verdana" w:hAnsi="Verdana"/>
          <w:sz w:val="16"/>
          <w:szCs w:val="16"/>
        </w:rPr>
        <w:t xml:space="preserve"> párr. 256.</w:t>
      </w:r>
    </w:p>
  </w:footnote>
  <w:footnote w:id="511">
    <w:p w14:paraId="64AA6352" w14:textId="53C03A48" w:rsidR="00146958" w:rsidRPr="00432ABC" w:rsidRDefault="00146958">
      <w:pPr>
        <w:pStyle w:val="FootnoteText"/>
        <w:jc w:val="both"/>
        <w:rPr>
          <w:rFonts w:ascii="Verdana" w:hAnsi="Verdana"/>
          <w:sz w:val="16"/>
          <w:szCs w:val="16"/>
        </w:rPr>
      </w:pPr>
      <w:r w:rsidRPr="00432ABC">
        <w:rPr>
          <w:rStyle w:val="FootnoteReference"/>
          <w:rFonts w:ascii="Verdana" w:hAnsi="Verdana"/>
          <w:sz w:val="16"/>
          <w:szCs w:val="16"/>
        </w:rPr>
        <w:footnoteRef/>
      </w:r>
      <w:r w:rsidRPr="00432ABC">
        <w:rPr>
          <w:rFonts w:ascii="Verdana" w:hAnsi="Verdana"/>
          <w:sz w:val="16"/>
          <w:szCs w:val="16"/>
        </w:rPr>
        <w:t xml:space="preserve"> </w:t>
      </w:r>
      <w:r w:rsidRPr="00432ABC">
        <w:rPr>
          <w:rFonts w:ascii="Verdana" w:hAnsi="Verdana"/>
          <w:sz w:val="16"/>
          <w:szCs w:val="16"/>
        </w:rPr>
        <w:tab/>
      </w:r>
      <w:r w:rsidRPr="00CD5C54">
        <w:rPr>
          <w:rFonts w:ascii="Verdana" w:hAnsi="Verdana"/>
          <w:i/>
          <w:sz w:val="16"/>
          <w:szCs w:val="16"/>
        </w:rPr>
        <w:t>Cfr.</w:t>
      </w:r>
      <w:r w:rsidRPr="00A02C6D">
        <w:rPr>
          <w:rFonts w:ascii="Verdana" w:hAnsi="Verdana"/>
          <w:sz w:val="16"/>
          <w:szCs w:val="16"/>
        </w:rPr>
        <w:t xml:space="preserve"> CNDH, </w:t>
      </w:r>
      <w:r>
        <w:rPr>
          <w:rFonts w:ascii="Verdana" w:hAnsi="Verdana"/>
          <w:i/>
          <w:sz w:val="16"/>
          <w:szCs w:val="16"/>
        </w:rPr>
        <w:t xml:space="preserve">Informe de riesgo,  </w:t>
      </w:r>
      <w:r>
        <w:rPr>
          <w:rFonts w:ascii="Verdana" w:hAnsi="Verdana"/>
          <w:sz w:val="16"/>
          <w:szCs w:val="16"/>
        </w:rPr>
        <w:t>(Medidas Provisionales, expediente, f.</w:t>
      </w:r>
      <w:r w:rsidRPr="00432ABC">
        <w:rPr>
          <w:rFonts w:ascii="Verdana" w:hAnsi="Verdana"/>
          <w:sz w:val="16"/>
          <w:szCs w:val="16"/>
        </w:rPr>
        <w:t xml:space="preserve"> 3245</w:t>
      </w:r>
      <w:r>
        <w:rPr>
          <w:rFonts w:ascii="Verdana" w:hAnsi="Verdana"/>
          <w:sz w:val="16"/>
          <w:szCs w:val="16"/>
        </w:rPr>
        <w:t>)</w:t>
      </w:r>
      <w:r w:rsidRPr="00432ABC">
        <w:rPr>
          <w:rFonts w:ascii="Verdana" w:hAnsi="Verdana"/>
          <w:sz w:val="16"/>
          <w:szCs w:val="16"/>
        </w:rPr>
        <w:t xml:space="preserve">. </w:t>
      </w:r>
    </w:p>
  </w:footnote>
  <w:footnote w:id="512">
    <w:p w14:paraId="64AA6353" w14:textId="259BCEB8" w:rsidR="00146958" w:rsidRPr="002C462C" w:rsidRDefault="00146958">
      <w:pPr>
        <w:pStyle w:val="FootnoteText"/>
        <w:jc w:val="both"/>
        <w:rPr>
          <w:rFonts w:ascii="Verdana" w:hAnsi="Verdana"/>
          <w:sz w:val="16"/>
          <w:szCs w:val="16"/>
        </w:rPr>
      </w:pPr>
      <w:r w:rsidRPr="00432ABC">
        <w:rPr>
          <w:rStyle w:val="FootnoteReference"/>
          <w:rFonts w:ascii="Verdana" w:hAnsi="Verdana"/>
          <w:sz w:val="16"/>
          <w:szCs w:val="16"/>
        </w:rPr>
        <w:footnoteRef/>
      </w:r>
      <w:r w:rsidRPr="00432ABC">
        <w:rPr>
          <w:rFonts w:ascii="Verdana" w:hAnsi="Verdana"/>
          <w:sz w:val="16"/>
          <w:szCs w:val="16"/>
        </w:rPr>
        <w:t xml:space="preserve"> </w:t>
      </w:r>
      <w:r w:rsidRPr="00432ABC">
        <w:rPr>
          <w:rFonts w:ascii="Verdana" w:hAnsi="Verdana"/>
          <w:sz w:val="16"/>
          <w:szCs w:val="16"/>
        </w:rPr>
        <w:tab/>
        <w:t xml:space="preserve">Resolución de 14 de noviembre de 2017. </w:t>
      </w:r>
      <w:r w:rsidRPr="008D0846">
        <w:rPr>
          <w:rFonts w:ascii="Verdana" w:hAnsi="Verdana"/>
          <w:i/>
          <w:sz w:val="16"/>
          <w:szCs w:val="16"/>
        </w:rPr>
        <w:t>Asunto Alvarado Reyes y otros</w:t>
      </w:r>
      <w:r>
        <w:rPr>
          <w:rFonts w:ascii="Verdana" w:hAnsi="Verdana"/>
          <w:i/>
          <w:sz w:val="16"/>
          <w:szCs w:val="16"/>
        </w:rPr>
        <w:t>. Medidas Provisionales</w:t>
      </w:r>
      <w:r w:rsidRPr="008D0846">
        <w:rPr>
          <w:rFonts w:ascii="Verdana" w:hAnsi="Verdana"/>
          <w:i/>
          <w:sz w:val="16"/>
          <w:szCs w:val="16"/>
        </w:rPr>
        <w:t xml:space="preserve"> respecto de México.</w:t>
      </w:r>
      <w:r w:rsidRPr="002C462C">
        <w:rPr>
          <w:rFonts w:ascii="Verdana" w:hAnsi="Verdana"/>
          <w:sz w:val="16"/>
          <w:szCs w:val="16"/>
        </w:rPr>
        <w:t xml:space="preserve"> Resolución de 14 de marzo de 2018. Considerando 16. </w:t>
      </w:r>
    </w:p>
  </w:footnote>
  <w:footnote w:id="513">
    <w:p w14:paraId="64AA6354" w14:textId="6065D36F" w:rsidR="00146958" w:rsidRPr="00432ABC" w:rsidRDefault="00146958">
      <w:pPr>
        <w:pStyle w:val="FootnoteText"/>
        <w:jc w:val="both"/>
        <w:rPr>
          <w:rFonts w:ascii="Verdana" w:hAnsi="Verdana"/>
          <w:sz w:val="16"/>
          <w:szCs w:val="16"/>
          <w:lang w:val="es-CR"/>
        </w:rPr>
      </w:pPr>
      <w:r w:rsidRPr="00432ABC">
        <w:rPr>
          <w:rStyle w:val="FootnoteReference"/>
          <w:rFonts w:ascii="Verdana" w:hAnsi="Verdana"/>
          <w:sz w:val="16"/>
          <w:szCs w:val="16"/>
        </w:rPr>
        <w:footnoteRef/>
      </w:r>
      <w:r w:rsidRPr="00432ABC">
        <w:rPr>
          <w:rFonts w:ascii="Verdana" w:hAnsi="Verdana"/>
          <w:sz w:val="16"/>
          <w:szCs w:val="16"/>
        </w:rPr>
        <w:t xml:space="preserve"> </w:t>
      </w:r>
      <w:r w:rsidRPr="002C462C">
        <w:rPr>
          <w:rFonts w:ascii="Verdana" w:hAnsi="Verdana"/>
          <w:sz w:val="16"/>
          <w:szCs w:val="16"/>
        </w:rPr>
        <w:tab/>
      </w:r>
      <w:r w:rsidRPr="00432ABC">
        <w:rPr>
          <w:rFonts w:ascii="Verdana" w:hAnsi="Verdana"/>
          <w:sz w:val="16"/>
          <w:szCs w:val="16"/>
        </w:rPr>
        <w:t>De dicho informe se desprende que actualmente en el país se vive una situación de violencia en la cual el Estado se ve en la obligación de tomar medidas preventivas que permitan evitar o disminuir la posibilidad de consumación de un hecho en contra de la seguridad de las personas evaluadas. Se confirmó por parte de este informe que existieron dos eventos de amenaza a los familiares como ser la llamada a José Ángel Alvarado Fabela y la nota con amenazas que se encontró en el domicilio de Jaime Alvarado posterior al allanamiento. Respecto al análisis de las agresiones, se pudieron identificar dos; el atropello de Jaime por un vehículo tipo ministerial y el allanamiento al domicilio de Jaime Alvarado. Por último, el análisis arrojó que se tenían que adoptar medidas de protección a favor de los familiares de las presuntas víctimas. En estas se incluían medidas como números de contacto de emergencia de la FGEC, continuar con las medidas de infraestructura, atención integral a los familiares y continuar con el refugio de seguridad para Jaime Alvarado y su grupo familiar</w:t>
      </w:r>
      <w:r>
        <w:rPr>
          <w:rFonts w:ascii="Verdana" w:hAnsi="Verdana"/>
          <w:sz w:val="16"/>
          <w:szCs w:val="16"/>
        </w:rPr>
        <w:t xml:space="preserve"> </w:t>
      </w:r>
      <w:r w:rsidRPr="00432ABC">
        <w:rPr>
          <w:rFonts w:ascii="Verdana" w:hAnsi="Verdana"/>
          <w:sz w:val="16"/>
          <w:szCs w:val="16"/>
        </w:rPr>
        <w:t>(</w:t>
      </w:r>
      <w:r>
        <w:rPr>
          <w:rFonts w:ascii="Verdana" w:hAnsi="Verdana"/>
          <w:sz w:val="16"/>
          <w:szCs w:val="16"/>
        </w:rPr>
        <w:t>Medidas Provisionales</w:t>
      </w:r>
      <w:r w:rsidRPr="00432ABC">
        <w:rPr>
          <w:rFonts w:ascii="Verdana" w:hAnsi="Verdana"/>
          <w:sz w:val="16"/>
          <w:szCs w:val="16"/>
        </w:rPr>
        <w:t>,</w:t>
      </w:r>
      <w:r>
        <w:rPr>
          <w:rFonts w:ascii="Verdana" w:hAnsi="Verdana"/>
          <w:sz w:val="16"/>
          <w:szCs w:val="16"/>
        </w:rPr>
        <w:t xml:space="preserve"> expediente, f.</w:t>
      </w:r>
      <w:r w:rsidRPr="00432ABC">
        <w:rPr>
          <w:rFonts w:ascii="Verdana" w:hAnsi="Verdana"/>
          <w:sz w:val="16"/>
          <w:szCs w:val="16"/>
        </w:rPr>
        <w:t xml:space="preserve"> 3552).  </w:t>
      </w:r>
    </w:p>
  </w:footnote>
  <w:footnote w:id="514">
    <w:p w14:paraId="64AA6355" w14:textId="69CE9162" w:rsidR="00146958" w:rsidRPr="00432ABC" w:rsidRDefault="00146958">
      <w:pPr>
        <w:pStyle w:val="FootnoteText"/>
        <w:jc w:val="both"/>
        <w:rPr>
          <w:rFonts w:ascii="Verdana" w:hAnsi="Verdana"/>
          <w:spacing w:val="-4"/>
          <w:sz w:val="16"/>
          <w:szCs w:val="16"/>
          <w:lang w:eastAsia="es-ES"/>
        </w:rPr>
      </w:pPr>
      <w:r w:rsidRPr="00432ABC">
        <w:rPr>
          <w:rStyle w:val="FootnoteReference"/>
          <w:rFonts w:ascii="Verdana" w:hAnsi="Verdana"/>
          <w:spacing w:val="-4"/>
          <w:sz w:val="16"/>
          <w:szCs w:val="16"/>
        </w:rPr>
        <w:footnoteRef/>
      </w:r>
      <w:r w:rsidRPr="00432ABC">
        <w:rPr>
          <w:rFonts w:ascii="Verdana" w:hAnsi="Verdana"/>
          <w:spacing w:val="-4"/>
          <w:sz w:val="16"/>
          <w:szCs w:val="16"/>
        </w:rPr>
        <w:t xml:space="preserve"> </w:t>
      </w:r>
      <w:r w:rsidRPr="002C462C">
        <w:rPr>
          <w:rStyle w:val="FootnoteReference"/>
          <w:rFonts w:ascii="Verdana" w:hAnsi="Verdana"/>
          <w:spacing w:val="-4"/>
          <w:sz w:val="16"/>
          <w:szCs w:val="16"/>
          <w:lang w:eastAsia="es-ES"/>
        </w:rPr>
        <w:tab/>
      </w:r>
      <w:r w:rsidRPr="00CD5C54">
        <w:rPr>
          <w:rFonts w:ascii="Verdana" w:hAnsi="Verdana"/>
          <w:i/>
          <w:sz w:val="16"/>
          <w:szCs w:val="16"/>
        </w:rPr>
        <w:t>Cfr.</w:t>
      </w:r>
      <w:r w:rsidRPr="007A747A">
        <w:rPr>
          <w:rFonts w:ascii="Verdana" w:hAnsi="Verdana"/>
          <w:i/>
          <w:sz w:val="16"/>
          <w:szCs w:val="16"/>
        </w:rPr>
        <w:t xml:space="preserve"> </w:t>
      </w:r>
      <w:r w:rsidRPr="007A747A">
        <w:rPr>
          <w:rFonts w:ascii="Verdana" w:hAnsi="Verdana"/>
          <w:bCs/>
          <w:i/>
          <w:sz w:val="16"/>
          <w:szCs w:val="16"/>
          <w:lang w:val="es-CR"/>
        </w:rPr>
        <w:t>Caso Chitay Nech y otros Vs. Guatemala. Excepciones Preliminares, Fondo, Reparaciones y Costas</w:t>
      </w:r>
      <w:r w:rsidRPr="007A747A">
        <w:rPr>
          <w:rFonts w:ascii="Verdana" w:hAnsi="Verdana"/>
          <w:bCs/>
          <w:sz w:val="16"/>
          <w:szCs w:val="16"/>
          <w:lang w:val="es-CR"/>
        </w:rPr>
        <w:t>. Sentencia de 25 de mayo de 2010</w:t>
      </w:r>
      <w:r w:rsidRPr="007A747A">
        <w:rPr>
          <w:rFonts w:ascii="Verdana" w:hAnsi="Verdana"/>
          <w:sz w:val="16"/>
          <w:szCs w:val="16"/>
        </w:rPr>
        <w:t>, párr. 149</w:t>
      </w:r>
      <w:r w:rsidRPr="007A747A">
        <w:rPr>
          <w:rFonts w:ascii="Verdana" w:hAnsi="Verdana"/>
          <w:spacing w:val="-4"/>
          <w:sz w:val="16"/>
          <w:szCs w:val="16"/>
          <w:lang w:eastAsia="es-ES"/>
        </w:rPr>
        <w:t xml:space="preserve">, </w:t>
      </w:r>
      <w:r w:rsidRPr="007A747A">
        <w:rPr>
          <w:rFonts w:ascii="Verdana" w:hAnsi="Verdana"/>
          <w:i/>
          <w:spacing w:val="-4"/>
          <w:sz w:val="16"/>
          <w:szCs w:val="16"/>
          <w:lang w:eastAsia="es-ES"/>
        </w:rPr>
        <w:t>Caso Carvajal Carvajal y otros Vs. Colombia</w:t>
      </w:r>
      <w:r>
        <w:rPr>
          <w:rFonts w:ascii="Verdana" w:hAnsi="Verdana"/>
          <w:i/>
          <w:spacing w:val="-4"/>
          <w:sz w:val="16"/>
          <w:szCs w:val="16"/>
          <w:lang w:eastAsia="es-ES"/>
        </w:rPr>
        <w:t>,</w:t>
      </w:r>
      <w:r w:rsidRPr="007A747A">
        <w:rPr>
          <w:rFonts w:ascii="Verdana" w:hAnsi="Verdana"/>
          <w:i/>
          <w:spacing w:val="-4"/>
          <w:sz w:val="16"/>
          <w:szCs w:val="16"/>
          <w:lang w:eastAsia="es-ES"/>
        </w:rPr>
        <w:t xml:space="preserve"> </w:t>
      </w:r>
      <w:r>
        <w:rPr>
          <w:rFonts w:ascii="Verdana" w:hAnsi="Verdana"/>
          <w:i/>
          <w:spacing w:val="-4"/>
          <w:sz w:val="16"/>
          <w:szCs w:val="16"/>
          <w:lang w:eastAsia="es-ES"/>
        </w:rPr>
        <w:t>supra</w:t>
      </w:r>
      <w:r w:rsidRPr="008D0846">
        <w:rPr>
          <w:rFonts w:ascii="Verdana" w:hAnsi="Verdana"/>
          <w:spacing w:val="-4"/>
          <w:sz w:val="16"/>
          <w:szCs w:val="16"/>
          <w:lang w:eastAsia="es-ES"/>
        </w:rPr>
        <w:t>, párr. 196.</w:t>
      </w:r>
    </w:p>
  </w:footnote>
  <w:footnote w:id="515">
    <w:p w14:paraId="64AA6356" w14:textId="4E5AF718" w:rsidR="00146958" w:rsidRPr="00432ABC" w:rsidRDefault="00146958">
      <w:pPr>
        <w:pStyle w:val="FootnoteText"/>
        <w:jc w:val="both"/>
        <w:rPr>
          <w:rFonts w:ascii="Verdana" w:hAnsi="Verdana"/>
          <w:sz w:val="16"/>
          <w:szCs w:val="16"/>
        </w:rPr>
      </w:pPr>
      <w:r w:rsidRPr="00432ABC">
        <w:rPr>
          <w:rStyle w:val="FootnoteReference"/>
          <w:rFonts w:ascii="Verdana" w:hAnsi="Verdana"/>
          <w:sz w:val="16"/>
          <w:szCs w:val="16"/>
        </w:rPr>
        <w:footnoteRef/>
      </w:r>
      <w:r w:rsidRPr="00432ABC">
        <w:rPr>
          <w:rFonts w:ascii="Verdana" w:hAnsi="Verdana"/>
          <w:sz w:val="16"/>
          <w:szCs w:val="16"/>
        </w:rPr>
        <w:t xml:space="preserve"> </w:t>
      </w:r>
      <w:r w:rsidRPr="00432ABC">
        <w:rPr>
          <w:rFonts w:ascii="Verdana" w:hAnsi="Verdana"/>
          <w:sz w:val="16"/>
          <w:szCs w:val="16"/>
        </w:rPr>
        <w:tab/>
      </w:r>
      <w:r w:rsidRPr="00CD5C54">
        <w:rPr>
          <w:rFonts w:ascii="Verdana" w:hAnsi="Verdana"/>
          <w:i/>
          <w:sz w:val="16"/>
          <w:szCs w:val="16"/>
        </w:rPr>
        <w:t>Cfr.</w:t>
      </w:r>
      <w:r w:rsidRPr="002C462C">
        <w:rPr>
          <w:rFonts w:ascii="Verdana" w:hAnsi="Verdana"/>
          <w:sz w:val="16"/>
          <w:szCs w:val="16"/>
        </w:rPr>
        <w:t xml:space="preserve"> </w:t>
      </w:r>
      <w:r w:rsidRPr="00432ABC">
        <w:rPr>
          <w:rFonts w:ascii="Verdana" w:hAnsi="Verdana"/>
          <w:i/>
          <w:sz w:val="16"/>
          <w:szCs w:val="16"/>
        </w:rPr>
        <w:t xml:space="preserve">Asunto Alvarado Reyes y otros respecto de México. Medidas Provisionales. </w:t>
      </w:r>
      <w:r w:rsidRPr="00432ABC">
        <w:rPr>
          <w:rFonts w:ascii="Verdana" w:hAnsi="Verdana"/>
          <w:sz w:val="16"/>
          <w:szCs w:val="16"/>
        </w:rPr>
        <w:t>Resolución de 14 de noviembre de 2017, Considerando 19.</w:t>
      </w:r>
    </w:p>
  </w:footnote>
  <w:footnote w:id="516">
    <w:p w14:paraId="711CF5D7" w14:textId="55CC0FC5" w:rsidR="00146958" w:rsidRPr="00432ABC" w:rsidRDefault="00146958">
      <w:pPr>
        <w:pStyle w:val="FootnoteText"/>
        <w:jc w:val="both"/>
        <w:rPr>
          <w:rFonts w:ascii="Verdana" w:hAnsi="Verdana"/>
          <w:sz w:val="16"/>
          <w:szCs w:val="16"/>
          <w:lang w:val="es-CR"/>
        </w:rPr>
      </w:pPr>
      <w:r w:rsidRPr="00432ABC">
        <w:rPr>
          <w:rStyle w:val="FootnoteReference"/>
          <w:rFonts w:ascii="Verdana" w:hAnsi="Verdana"/>
          <w:sz w:val="16"/>
          <w:szCs w:val="16"/>
        </w:rPr>
        <w:footnoteRef/>
      </w:r>
      <w:r w:rsidRPr="00432ABC">
        <w:rPr>
          <w:rFonts w:ascii="Verdana" w:hAnsi="Verdana"/>
          <w:sz w:val="16"/>
          <w:szCs w:val="16"/>
        </w:rPr>
        <w:t xml:space="preserve"> </w:t>
      </w:r>
      <w:r w:rsidRPr="002C462C">
        <w:rPr>
          <w:rFonts w:ascii="Verdana" w:hAnsi="Verdana"/>
          <w:sz w:val="16"/>
          <w:szCs w:val="16"/>
          <w:lang w:val="es-CR"/>
        </w:rPr>
        <w:tab/>
      </w:r>
      <w:r w:rsidRPr="00CD5C54">
        <w:rPr>
          <w:rFonts w:ascii="Verdana" w:hAnsi="Verdana"/>
          <w:i/>
          <w:sz w:val="16"/>
          <w:szCs w:val="16"/>
          <w:lang w:val="es-CR"/>
        </w:rPr>
        <w:t>Cfr.</w:t>
      </w:r>
      <w:r w:rsidRPr="002C462C">
        <w:rPr>
          <w:rFonts w:ascii="Verdana" w:hAnsi="Verdana"/>
          <w:i/>
          <w:sz w:val="16"/>
          <w:szCs w:val="16"/>
          <w:lang w:val="es-CR"/>
        </w:rPr>
        <w:t xml:space="preserve"> </w:t>
      </w:r>
      <w:r>
        <w:rPr>
          <w:rFonts w:ascii="Verdana" w:hAnsi="Verdana"/>
          <w:i/>
          <w:sz w:val="16"/>
          <w:szCs w:val="16"/>
          <w:lang w:val="es-CR"/>
        </w:rPr>
        <w:t xml:space="preserve">Caso Chitay Nech y otros Vs. Guatemala. </w:t>
      </w:r>
      <w:r w:rsidRPr="00EE2C64">
        <w:rPr>
          <w:rFonts w:ascii="Verdana" w:hAnsi="Verdana"/>
          <w:i/>
          <w:sz w:val="16"/>
          <w:szCs w:val="16"/>
          <w:lang w:val="es-CR"/>
        </w:rPr>
        <w:t>supra</w:t>
      </w:r>
      <w:r w:rsidRPr="008D0846">
        <w:rPr>
          <w:rFonts w:ascii="Verdana" w:hAnsi="Verdana"/>
          <w:sz w:val="16"/>
          <w:szCs w:val="16"/>
          <w:lang w:val="es-CR"/>
        </w:rPr>
        <w:t xml:space="preserve"> párr. 163</w:t>
      </w:r>
      <w:r>
        <w:rPr>
          <w:rFonts w:ascii="Verdana" w:hAnsi="Verdana"/>
          <w:i/>
          <w:sz w:val="16"/>
          <w:szCs w:val="16"/>
          <w:lang w:val="es-CR"/>
        </w:rPr>
        <w:t xml:space="preserve">, y </w:t>
      </w:r>
      <w:r w:rsidRPr="002C462C">
        <w:rPr>
          <w:rFonts w:ascii="Verdana" w:hAnsi="Verdana"/>
          <w:i/>
          <w:sz w:val="16"/>
          <w:szCs w:val="16"/>
          <w:lang w:val="es-CR"/>
        </w:rPr>
        <w:t>Caso Yarce y otras Vs. Colombia</w:t>
      </w:r>
      <w:r>
        <w:rPr>
          <w:rFonts w:ascii="Verdana" w:hAnsi="Verdana"/>
          <w:i/>
          <w:sz w:val="16"/>
          <w:szCs w:val="16"/>
          <w:lang w:val="es-CR"/>
        </w:rPr>
        <w:t xml:space="preserve">, supra </w:t>
      </w:r>
      <w:r w:rsidRPr="00432ABC">
        <w:rPr>
          <w:rFonts w:ascii="Verdana" w:hAnsi="Verdana"/>
          <w:sz w:val="16"/>
          <w:szCs w:val="16"/>
          <w:lang w:val="es-CR"/>
        </w:rPr>
        <w:t xml:space="preserve">párr. 247. </w:t>
      </w:r>
    </w:p>
  </w:footnote>
  <w:footnote w:id="517">
    <w:p w14:paraId="65DADC0F" w14:textId="624AA22E" w:rsidR="00146958" w:rsidRPr="00432ABC" w:rsidRDefault="00146958">
      <w:pPr>
        <w:pStyle w:val="FootnoteText"/>
        <w:jc w:val="both"/>
        <w:rPr>
          <w:rFonts w:ascii="Verdana" w:hAnsi="Verdana"/>
          <w:sz w:val="16"/>
          <w:szCs w:val="16"/>
          <w:lang w:val="es-CR"/>
        </w:rPr>
      </w:pPr>
      <w:r w:rsidRPr="00432ABC">
        <w:rPr>
          <w:rStyle w:val="FootnoteReference"/>
          <w:rFonts w:ascii="Verdana" w:hAnsi="Verdana"/>
          <w:sz w:val="16"/>
          <w:szCs w:val="16"/>
        </w:rPr>
        <w:footnoteRef/>
      </w:r>
      <w:r w:rsidRPr="00432ABC">
        <w:rPr>
          <w:rFonts w:ascii="Verdana" w:hAnsi="Verdana"/>
          <w:sz w:val="16"/>
          <w:szCs w:val="16"/>
        </w:rPr>
        <w:t xml:space="preserve"> </w:t>
      </w:r>
      <w:r w:rsidRPr="002C462C">
        <w:rPr>
          <w:rFonts w:ascii="Verdana" w:hAnsi="Verdana"/>
          <w:sz w:val="16"/>
          <w:szCs w:val="16"/>
          <w:lang w:val="es-CR"/>
        </w:rPr>
        <w:tab/>
      </w:r>
      <w:r w:rsidRPr="00CD5C54">
        <w:rPr>
          <w:rFonts w:ascii="Verdana" w:hAnsi="Verdana"/>
          <w:i/>
          <w:sz w:val="16"/>
          <w:szCs w:val="16"/>
          <w:lang w:val="es-CR"/>
        </w:rPr>
        <w:t>Cfr.</w:t>
      </w:r>
      <w:r w:rsidRPr="00432ABC">
        <w:rPr>
          <w:rFonts w:ascii="Verdana" w:hAnsi="Verdana"/>
          <w:sz w:val="16"/>
          <w:szCs w:val="16"/>
          <w:lang w:val="es-CR"/>
        </w:rPr>
        <w:t xml:space="preserve"> Declaraciones rendidas de </w:t>
      </w:r>
      <w:r>
        <w:rPr>
          <w:rFonts w:ascii="Verdana" w:hAnsi="Verdana"/>
          <w:sz w:val="16"/>
          <w:szCs w:val="16"/>
        </w:rPr>
        <w:t>D.A.E.</w:t>
      </w:r>
      <w:r w:rsidRPr="00432ABC">
        <w:rPr>
          <w:rFonts w:ascii="Verdana" w:hAnsi="Verdana"/>
          <w:sz w:val="16"/>
          <w:szCs w:val="16"/>
        </w:rPr>
        <w:t xml:space="preserve">, </w:t>
      </w:r>
      <w:r w:rsidRPr="00432ABC">
        <w:rPr>
          <w:rFonts w:ascii="Verdana" w:hAnsi="Verdana"/>
          <w:i/>
          <w:sz w:val="16"/>
          <w:szCs w:val="16"/>
        </w:rPr>
        <w:t>supra,</w:t>
      </w:r>
      <w:r>
        <w:rPr>
          <w:rFonts w:ascii="Verdana" w:hAnsi="Verdana"/>
          <w:i/>
          <w:sz w:val="16"/>
          <w:szCs w:val="16"/>
        </w:rPr>
        <w:t xml:space="preserve"> (</w:t>
      </w:r>
      <w:r w:rsidRPr="008D0846">
        <w:rPr>
          <w:rFonts w:ascii="Verdana" w:hAnsi="Verdana"/>
          <w:sz w:val="16"/>
          <w:szCs w:val="16"/>
        </w:rPr>
        <w:t>expediente de prueba,</w:t>
      </w:r>
      <w:r w:rsidRPr="00432ABC">
        <w:rPr>
          <w:rFonts w:ascii="Verdana" w:hAnsi="Verdana"/>
          <w:i/>
          <w:sz w:val="16"/>
          <w:szCs w:val="16"/>
        </w:rPr>
        <w:t xml:space="preserve"> </w:t>
      </w:r>
      <w:r w:rsidRPr="00432ABC">
        <w:rPr>
          <w:rFonts w:ascii="Verdana" w:hAnsi="Verdana"/>
          <w:sz w:val="16"/>
          <w:szCs w:val="16"/>
        </w:rPr>
        <w:t>f. 30892</w:t>
      </w:r>
      <w:r>
        <w:rPr>
          <w:rFonts w:ascii="Verdana" w:hAnsi="Verdana"/>
          <w:sz w:val="16"/>
          <w:szCs w:val="16"/>
        </w:rPr>
        <w:t>)</w:t>
      </w:r>
      <w:r w:rsidRPr="00432ABC">
        <w:rPr>
          <w:rFonts w:ascii="Verdana" w:hAnsi="Verdana"/>
          <w:sz w:val="16"/>
          <w:szCs w:val="16"/>
        </w:rPr>
        <w:t xml:space="preserve">; </w:t>
      </w:r>
      <w:r>
        <w:rPr>
          <w:rFonts w:ascii="Verdana" w:hAnsi="Verdana"/>
          <w:sz w:val="16"/>
          <w:szCs w:val="16"/>
        </w:rPr>
        <w:t>M.P.A.E.</w:t>
      </w:r>
      <w:r w:rsidRPr="00432ABC">
        <w:rPr>
          <w:rFonts w:ascii="Verdana" w:hAnsi="Verdana"/>
          <w:sz w:val="16"/>
          <w:szCs w:val="16"/>
        </w:rPr>
        <w:t xml:space="preserve">, </w:t>
      </w:r>
      <w:r w:rsidRPr="00432ABC">
        <w:rPr>
          <w:rFonts w:ascii="Verdana" w:hAnsi="Verdana"/>
          <w:i/>
          <w:sz w:val="16"/>
          <w:szCs w:val="16"/>
        </w:rPr>
        <w:t>supra</w:t>
      </w:r>
      <w:r w:rsidRPr="00432ABC">
        <w:rPr>
          <w:rFonts w:ascii="Verdana" w:hAnsi="Verdana"/>
          <w:sz w:val="16"/>
          <w:szCs w:val="16"/>
        </w:rPr>
        <w:t xml:space="preserve">, </w:t>
      </w:r>
      <w:r>
        <w:rPr>
          <w:rFonts w:ascii="Verdana" w:hAnsi="Verdana"/>
          <w:sz w:val="16"/>
          <w:szCs w:val="16"/>
        </w:rPr>
        <w:t xml:space="preserve">(expediente de prueba, </w:t>
      </w:r>
      <w:r w:rsidRPr="00432ABC">
        <w:rPr>
          <w:rFonts w:ascii="Verdana" w:hAnsi="Verdana"/>
          <w:sz w:val="16"/>
          <w:szCs w:val="16"/>
        </w:rPr>
        <w:t>ff. 30897 a 30899</w:t>
      </w:r>
      <w:r>
        <w:rPr>
          <w:rFonts w:ascii="Verdana" w:hAnsi="Verdana"/>
          <w:sz w:val="16"/>
          <w:szCs w:val="16"/>
        </w:rPr>
        <w:t>)</w:t>
      </w:r>
      <w:r w:rsidRPr="00432ABC">
        <w:rPr>
          <w:rFonts w:ascii="Verdana" w:hAnsi="Verdana"/>
          <w:sz w:val="16"/>
          <w:szCs w:val="16"/>
        </w:rPr>
        <w:t xml:space="preserve">; A.R.A.R., </w:t>
      </w:r>
      <w:r w:rsidRPr="00432ABC">
        <w:rPr>
          <w:rFonts w:ascii="Verdana" w:hAnsi="Verdana"/>
          <w:i/>
          <w:sz w:val="16"/>
          <w:szCs w:val="16"/>
        </w:rPr>
        <w:t xml:space="preserve">supra, </w:t>
      </w:r>
      <w:r>
        <w:rPr>
          <w:rFonts w:ascii="Verdana" w:hAnsi="Verdana"/>
          <w:sz w:val="16"/>
          <w:szCs w:val="16"/>
        </w:rPr>
        <w:t xml:space="preserve">(expediente de prueba, </w:t>
      </w:r>
      <w:r w:rsidRPr="00432ABC">
        <w:rPr>
          <w:rFonts w:ascii="Verdana" w:hAnsi="Verdana"/>
          <w:sz w:val="16"/>
          <w:szCs w:val="16"/>
        </w:rPr>
        <w:t>f. 30873</w:t>
      </w:r>
      <w:r>
        <w:rPr>
          <w:rFonts w:ascii="Verdana" w:hAnsi="Verdana"/>
          <w:sz w:val="16"/>
          <w:szCs w:val="16"/>
        </w:rPr>
        <w:t>)</w:t>
      </w:r>
      <w:r w:rsidRPr="00432ABC">
        <w:rPr>
          <w:rFonts w:ascii="Verdana" w:hAnsi="Verdana"/>
          <w:sz w:val="16"/>
          <w:szCs w:val="16"/>
        </w:rPr>
        <w:t xml:space="preserve">; Sandra Luz Rueda Quezada, </w:t>
      </w:r>
      <w:r w:rsidRPr="00432ABC">
        <w:rPr>
          <w:rFonts w:ascii="Verdana" w:hAnsi="Verdana"/>
          <w:i/>
          <w:sz w:val="16"/>
          <w:szCs w:val="16"/>
        </w:rPr>
        <w:t xml:space="preserve">supra, </w:t>
      </w:r>
      <w:r>
        <w:rPr>
          <w:rFonts w:ascii="Verdana" w:hAnsi="Verdana"/>
          <w:sz w:val="16"/>
          <w:szCs w:val="16"/>
        </w:rPr>
        <w:t xml:space="preserve">(expediente de prueba, </w:t>
      </w:r>
      <w:r w:rsidRPr="00432ABC">
        <w:rPr>
          <w:rFonts w:ascii="Verdana" w:hAnsi="Verdana"/>
          <w:sz w:val="16"/>
          <w:szCs w:val="16"/>
        </w:rPr>
        <w:t>ff. 30955 a 30956</w:t>
      </w:r>
      <w:r>
        <w:rPr>
          <w:rFonts w:ascii="Verdana" w:hAnsi="Verdana"/>
          <w:sz w:val="16"/>
          <w:szCs w:val="16"/>
        </w:rPr>
        <w:t>)</w:t>
      </w:r>
      <w:r w:rsidRPr="00432ABC">
        <w:rPr>
          <w:rFonts w:ascii="Verdana" w:hAnsi="Verdana"/>
          <w:sz w:val="16"/>
          <w:szCs w:val="16"/>
        </w:rPr>
        <w:t xml:space="preserve">, y Rosa Olivia Alvarado Herrera, </w:t>
      </w:r>
      <w:r w:rsidRPr="00432ABC">
        <w:rPr>
          <w:rFonts w:ascii="Verdana" w:hAnsi="Verdana"/>
          <w:i/>
          <w:sz w:val="16"/>
          <w:szCs w:val="16"/>
        </w:rPr>
        <w:t>supra,</w:t>
      </w:r>
      <w:r>
        <w:rPr>
          <w:rFonts w:ascii="Verdana" w:hAnsi="Verdana"/>
          <w:sz w:val="16"/>
          <w:szCs w:val="16"/>
        </w:rPr>
        <w:t xml:space="preserve"> (expediente de prueba,</w:t>
      </w:r>
      <w:r w:rsidRPr="00432ABC">
        <w:rPr>
          <w:rFonts w:ascii="Verdana" w:hAnsi="Verdana"/>
          <w:i/>
          <w:sz w:val="16"/>
          <w:szCs w:val="16"/>
        </w:rPr>
        <w:t xml:space="preserve"> </w:t>
      </w:r>
      <w:r w:rsidRPr="00432ABC">
        <w:rPr>
          <w:rFonts w:ascii="Verdana" w:hAnsi="Verdana"/>
          <w:sz w:val="16"/>
          <w:szCs w:val="16"/>
        </w:rPr>
        <w:t>ff. 30924 a 30925</w:t>
      </w:r>
      <w:r>
        <w:rPr>
          <w:rFonts w:ascii="Verdana" w:hAnsi="Verdana"/>
          <w:sz w:val="16"/>
          <w:szCs w:val="16"/>
        </w:rPr>
        <w:t>)</w:t>
      </w:r>
      <w:r w:rsidRPr="00432ABC">
        <w:rPr>
          <w:rFonts w:ascii="Verdana" w:hAnsi="Verdana"/>
          <w:sz w:val="16"/>
          <w:szCs w:val="16"/>
        </w:rPr>
        <w:t xml:space="preserve">. Asimismo, </w:t>
      </w:r>
      <w:r w:rsidRPr="00CD5C54">
        <w:rPr>
          <w:rFonts w:ascii="Verdana" w:hAnsi="Verdana"/>
          <w:i/>
          <w:sz w:val="16"/>
          <w:szCs w:val="16"/>
        </w:rPr>
        <w:t>Cfr.</w:t>
      </w:r>
      <w:r w:rsidRPr="00432ABC">
        <w:rPr>
          <w:rFonts w:ascii="Verdana" w:hAnsi="Verdana"/>
          <w:sz w:val="16"/>
          <w:szCs w:val="16"/>
        </w:rPr>
        <w:t xml:space="preserve"> Declaración pericial de Carlos Martín Beristain rendida </w:t>
      </w:r>
      <w:r>
        <w:rPr>
          <w:rFonts w:ascii="Verdana" w:hAnsi="Verdana"/>
          <w:sz w:val="16"/>
          <w:szCs w:val="16"/>
        </w:rPr>
        <w:t>el</w:t>
      </w:r>
      <w:r w:rsidRPr="00432ABC">
        <w:rPr>
          <w:rFonts w:ascii="Verdana" w:hAnsi="Verdana"/>
          <w:sz w:val="16"/>
          <w:szCs w:val="16"/>
        </w:rPr>
        <w:t xml:space="preserve"> 16 de abril de 2018 (expediente de prueba,</w:t>
      </w:r>
      <w:r w:rsidRPr="008D0846">
        <w:rPr>
          <w:rFonts w:ascii="Verdana" w:hAnsi="Verdana"/>
          <w:i/>
          <w:sz w:val="16"/>
          <w:szCs w:val="16"/>
        </w:rPr>
        <w:t xml:space="preserve"> </w:t>
      </w:r>
      <w:r w:rsidRPr="00453199">
        <w:rPr>
          <w:rFonts w:ascii="Verdana" w:hAnsi="Verdana"/>
          <w:i/>
          <w:sz w:val="16"/>
        </w:rPr>
        <w:t>Affidávits</w:t>
      </w:r>
      <w:r w:rsidRPr="00432ABC">
        <w:rPr>
          <w:rFonts w:ascii="Verdana" w:hAnsi="Verdana"/>
          <w:sz w:val="16"/>
          <w:szCs w:val="16"/>
        </w:rPr>
        <w:t>, ff. 31011 a 310115 y 31047).</w:t>
      </w:r>
    </w:p>
  </w:footnote>
  <w:footnote w:id="518">
    <w:p w14:paraId="20DC8641" w14:textId="3ECE01D9" w:rsidR="00146958" w:rsidRPr="00432ABC" w:rsidRDefault="00146958">
      <w:pPr>
        <w:pStyle w:val="FootnoteText"/>
        <w:jc w:val="both"/>
        <w:rPr>
          <w:rFonts w:ascii="Verdana" w:hAnsi="Verdana"/>
          <w:sz w:val="16"/>
          <w:szCs w:val="16"/>
          <w:lang w:val="es-CR"/>
        </w:rPr>
      </w:pPr>
      <w:r w:rsidRPr="00432ABC">
        <w:rPr>
          <w:rStyle w:val="FootnoteReference"/>
          <w:rFonts w:ascii="Verdana" w:hAnsi="Verdana"/>
          <w:sz w:val="16"/>
          <w:szCs w:val="16"/>
        </w:rPr>
        <w:footnoteRef/>
      </w:r>
      <w:r w:rsidRPr="00432ABC">
        <w:rPr>
          <w:rFonts w:ascii="Verdana" w:hAnsi="Verdana"/>
          <w:sz w:val="16"/>
          <w:szCs w:val="16"/>
        </w:rPr>
        <w:t xml:space="preserve"> </w:t>
      </w:r>
      <w:r w:rsidRPr="00432ABC">
        <w:rPr>
          <w:rFonts w:ascii="Verdana" w:hAnsi="Verdana"/>
          <w:sz w:val="16"/>
          <w:szCs w:val="16"/>
        </w:rPr>
        <w:tab/>
      </w:r>
      <w:r w:rsidRPr="002C462C">
        <w:rPr>
          <w:rFonts w:ascii="Verdana" w:hAnsi="Verdana"/>
          <w:sz w:val="16"/>
          <w:szCs w:val="16"/>
          <w:lang w:val="es-CR"/>
        </w:rPr>
        <w:t>Al respecto, este Tribunal ha determinado que el objeto y fin de la Convención Americana es la eficaz protección de los derechos humanos y por ello debe interpretarse de manera de darle su pleno sentido y permitir que el régimen de protección de los derechos humanos adquiera todo su efecto útil. En este sentido, se debe considerar que las medidas provisional</w:t>
      </w:r>
      <w:r w:rsidRPr="00432ABC">
        <w:rPr>
          <w:rFonts w:ascii="Verdana" w:hAnsi="Verdana"/>
          <w:sz w:val="16"/>
          <w:szCs w:val="16"/>
          <w:lang w:val="es-CR"/>
        </w:rPr>
        <w:t>es, son dotadas por un régimen jurídico autónomo con base convencional dispuesta en el artículo 63.2 de la Convención, que al ser adoptadas se configuran en una garantía jurisdiccional de carácter preventivo. De este modo, conforman un régimen de responsabilidad propio al cual los Estados deben acatar; cuyo incumplimiento puede derivar en la responsabilidad internacional del Estado. En este mismo sentido, por ejemplo, el Tribunal Europeo de Derechos Humanos, ha declarado violaciones, de manera autónoma, del artículo 34 del Convenio Europeo de Derechos Humanos, referente a la adopción de medidas provisionales</w:t>
      </w:r>
      <w:r>
        <w:rPr>
          <w:rFonts w:ascii="Verdana" w:hAnsi="Verdana"/>
          <w:sz w:val="16"/>
          <w:szCs w:val="16"/>
          <w:lang w:val="es-CR"/>
        </w:rPr>
        <w:t xml:space="preserve"> </w:t>
      </w:r>
      <w:r w:rsidRPr="00432ABC">
        <w:rPr>
          <w:rFonts w:ascii="Verdana" w:hAnsi="Verdana"/>
          <w:sz w:val="16"/>
          <w:szCs w:val="16"/>
          <w:lang w:val="es-CR"/>
        </w:rPr>
        <w:t>y</w:t>
      </w:r>
      <w:r>
        <w:rPr>
          <w:rFonts w:ascii="Verdana" w:hAnsi="Verdana"/>
          <w:sz w:val="16"/>
          <w:szCs w:val="16"/>
          <w:lang w:val="es-CR"/>
        </w:rPr>
        <w:t xml:space="preserve"> </w:t>
      </w:r>
      <w:r w:rsidRPr="00432ABC">
        <w:rPr>
          <w:rFonts w:ascii="Verdana" w:hAnsi="Verdana"/>
          <w:sz w:val="16"/>
          <w:szCs w:val="16"/>
          <w:lang w:val="es-CR"/>
        </w:rPr>
        <w:t xml:space="preserve">ha establecido que el incumplimiento de medidas provisionales socava la efectividad del derecho de petición y, principalmente, el compromiso formal que adquieren los Estados al firmar una Convención para proteger los derechos y libertades consagrados en ella. </w:t>
      </w:r>
      <w:r w:rsidRPr="00CD5C54">
        <w:rPr>
          <w:rFonts w:ascii="Verdana" w:hAnsi="Verdana"/>
          <w:i/>
          <w:sz w:val="16"/>
          <w:szCs w:val="16"/>
          <w:lang w:val="es-CR"/>
        </w:rPr>
        <w:t>Cfr.</w:t>
      </w:r>
      <w:r w:rsidRPr="00432ABC">
        <w:rPr>
          <w:rFonts w:ascii="Verdana" w:hAnsi="Verdana"/>
          <w:sz w:val="16"/>
          <w:szCs w:val="16"/>
          <w:lang w:val="es-CR"/>
        </w:rPr>
        <w:t xml:space="preserve"> </w:t>
      </w:r>
      <w:r w:rsidRPr="00432ABC">
        <w:rPr>
          <w:rFonts w:ascii="Verdana" w:hAnsi="Verdana"/>
          <w:sz w:val="16"/>
          <w:szCs w:val="16"/>
        </w:rPr>
        <w:t>TEDH.</w:t>
      </w:r>
      <w:r w:rsidRPr="00432ABC">
        <w:rPr>
          <w:rFonts w:ascii="Verdana" w:hAnsi="Verdana"/>
          <w:i/>
          <w:sz w:val="16"/>
          <w:szCs w:val="16"/>
        </w:rPr>
        <w:t xml:space="preserve"> Mamatkulov y Askarov vs. Turquía</w:t>
      </w:r>
      <w:r w:rsidRPr="00432ABC">
        <w:rPr>
          <w:rFonts w:ascii="Verdana" w:hAnsi="Verdana"/>
          <w:sz w:val="16"/>
          <w:szCs w:val="16"/>
        </w:rPr>
        <w:t>, Nos. 46827/99 y 46951/99. Sentencia de 4 de febrero de 2005, párr. 128</w:t>
      </w:r>
      <w:r w:rsidRPr="00432ABC">
        <w:rPr>
          <w:rFonts w:ascii="Verdana" w:hAnsi="Verdana"/>
          <w:i/>
          <w:sz w:val="16"/>
          <w:szCs w:val="16"/>
        </w:rPr>
        <w:t xml:space="preserve">; Paladi vs. Moldavia </w:t>
      </w:r>
      <w:r w:rsidRPr="00432ABC">
        <w:rPr>
          <w:rFonts w:ascii="Verdana" w:hAnsi="Verdana"/>
          <w:sz w:val="16"/>
          <w:szCs w:val="16"/>
        </w:rPr>
        <w:t>[GS], No. 39806/05. Sentencia de 10 de marzo de 2009, párrs. 104 a 106</w:t>
      </w:r>
      <w:r w:rsidRPr="00432ABC">
        <w:rPr>
          <w:rFonts w:ascii="Verdana" w:hAnsi="Verdana"/>
          <w:i/>
          <w:sz w:val="16"/>
          <w:szCs w:val="16"/>
        </w:rPr>
        <w:t xml:space="preserve">, y Asunto Olaechea Cahuas vs. España, </w:t>
      </w:r>
      <w:r w:rsidRPr="00432ABC">
        <w:rPr>
          <w:rFonts w:ascii="Verdana" w:hAnsi="Verdana"/>
          <w:sz w:val="16"/>
          <w:szCs w:val="16"/>
        </w:rPr>
        <w:t xml:space="preserve">No. 24668/03. Sentencia de 10 de agosto de 2006, párrs. 65 a 83. </w:t>
      </w:r>
      <w:r w:rsidRPr="00432ABC">
        <w:rPr>
          <w:rFonts w:ascii="Verdana" w:hAnsi="Verdana"/>
          <w:i/>
          <w:sz w:val="16"/>
          <w:szCs w:val="16"/>
        </w:rPr>
        <w:t xml:space="preserve"> </w:t>
      </w:r>
    </w:p>
  </w:footnote>
  <w:footnote w:id="519">
    <w:p w14:paraId="4B46BD55" w14:textId="1AD6D779" w:rsidR="00146958" w:rsidRPr="003564A3" w:rsidRDefault="00146958">
      <w:pPr>
        <w:pStyle w:val="FootnoteText"/>
        <w:jc w:val="both"/>
        <w:rPr>
          <w:rFonts w:ascii="Verdana" w:hAnsi="Verdana"/>
          <w:sz w:val="16"/>
          <w:szCs w:val="16"/>
          <w:lang w:val="es-CR"/>
        </w:rPr>
      </w:pPr>
      <w:r w:rsidRPr="00432ABC">
        <w:rPr>
          <w:rFonts w:ascii="Verdana" w:hAnsi="Verdana"/>
          <w:sz w:val="16"/>
          <w:szCs w:val="16"/>
          <w:vertAlign w:val="superscript"/>
        </w:rPr>
        <w:footnoteRef/>
      </w:r>
      <w:r w:rsidRPr="00432ABC">
        <w:rPr>
          <w:rFonts w:ascii="Verdana" w:hAnsi="Verdana"/>
          <w:sz w:val="16"/>
          <w:szCs w:val="16"/>
          <w:vertAlign w:val="superscript"/>
          <w:lang w:val="es-CR"/>
        </w:rPr>
        <w:t xml:space="preserve"> </w:t>
      </w:r>
      <w:r w:rsidRPr="003564A3">
        <w:rPr>
          <w:rFonts w:ascii="Verdana" w:hAnsi="Verdana"/>
          <w:sz w:val="16"/>
          <w:szCs w:val="16"/>
          <w:vertAlign w:val="superscript"/>
          <w:lang w:val="es-CR"/>
        </w:rPr>
        <w:tab/>
      </w:r>
      <w:r w:rsidRPr="003564A3">
        <w:rPr>
          <w:rFonts w:ascii="Verdana" w:hAnsi="Verdana"/>
          <w:sz w:val="16"/>
          <w:szCs w:val="16"/>
          <w:lang w:val="es-CR"/>
        </w:rPr>
        <w:t>Artículo 63.  “1. Cuando decida que hubo violación de un derecho o libertad protegidos en [la] Convención, la Corte dispondrá que se garantice al lesionado en el goce de su derecho o libertad conculcados. Dispondrá asimismo, si ello fuera procedente, que se reparen las consecuencias de la medida o situación que ha configurado la vulneración de esos derechos y el pago de una justa indemnización a la parte lesionada”.</w:t>
      </w:r>
    </w:p>
  </w:footnote>
  <w:footnote w:id="520">
    <w:p w14:paraId="3EBDA67D" w14:textId="5A373C7E" w:rsidR="00146958" w:rsidRPr="003564A3" w:rsidRDefault="00146958">
      <w:pPr>
        <w:pStyle w:val="FootnoteText"/>
        <w:jc w:val="both"/>
        <w:rPr>
          <w:rFonts w:ascii="Verdana" w:hAnsi="Verdana"/>
          <w:sz w:val="16"/>
          <w:szCs w:val="16"/>
          <w:lang w:val="es-CR"/>
        </w:rPr>
      </w:pPr>
      <w:r w:rsidRPr="003564A3">
        <w:rPr>
          <w:rStyle w:val="FootnoteReference"/>
          <w:rFonts w:ascii="Verdana" w:hAnsi="Verdana"/>
          <w:sz w:val="16"/>
          <w:szCs w:val="16"/>
        </w:rPr>
        <w:footnoteRef/>
      </w:r>
      <w:r w:rsidRPr="003564A3">
        <w:rPr>
          <w:rFonts w:ascii="Verdana" w:hAnsi="Verdana"/>
          <w:sz w:val="16"/>
          <w:szCs w:val="16"/>
          <w:lang w:val="es-CR"/>
        </w:rPr>
        <w:t xml:space="preserve"> </w:t>
      </w:r>
      <w:r w:rsidRPr="003564A3">
        <w:rPr>
          <w:rFonts w:ascii="Verdana" w:hAnsi="Verdana"/>
          <w:sz w:val="16"/>
          <w:szCs w:val="16"/>
          <w:lang w:val="es-CR"/>
        </w:rPr>
        <w:tab/>
      </w:r>
      <w:r w:rsidRPr="00CD5C54">
        <w:rPr>
          <w:rFonts w:ascii="Verdana" w:hAnsi="Verdana"/>
          <w:i/>
          <w:sz w:val="16"/>
          <w:szCs w:val="16"/>
          <w:lang w:val="es-CR"/>
        </w:rPr>
        <w:t>Cfr.</w:t>
      </w:r>
      <w:r w:rsidRPr="003564A3">
        <w:rPr>
          <w:rFonts w:ascii="Verdana" w:hAnsi="Verdana"/>
          <w:sz w:val="16"/>
          <w:szCs w:val="16"/>
          <w:lang w:val="es-CR"/>
        </w:rPr>
        <w:t xml:space="preserve"> </w:t>
      </w:r>
      <w:r w:rsidRPr="008D0846">
        <w:rPr>
          <w:rFonts w:ascii="Verdana" w:hAnsi="Verdana"/>
          <w:i/>
          <w:sz w:val="16"/>
          <w:szCs w:val="16"/>
          <w:lang w:val="es-CR"/>
        </w:rPr>
        <w:t>Caso Velásquez Rodríguez Vs. Honduras. Reparaciones y Costas</w:t>
      </w:r>
      <w:r w:rsidRPr="003564A3">
        <w:rPr>
          <w:rFonts w:ascii="Verdana" w:hAnsi="Verdana"/>
          <w:sz w:val="16"/>
          <w:szCs w:val="16"/>
          <w:lang w:val="es-CR"/>
        </w:rPr>
        <w:t>. Sentencia de 21 de julio de 1989. Serie C No. 7, párr. 25</w:t>
      </w:r>
      <w:r>
        <w:rPr>
          <w:rFonts w:ascii="Verdana" w:hAnsi="Verdana"/>
          <w:sz w:val="16"/>
          <w:szCs w:val="16"/>
          <w:lang w:val="es-CR"/>
        </w:rPr>
        <w:t xml:space="preserve">, y </w:t>
      </w:r>
      <w:r w:rsidRPr="008D0846">
        <w:rPr>
          <w:rFonts w:ascii="Verdana" w:hAnsi="Verdana"/>
          <w:bCs/>
          <w:i/>
          <w:sz w:val="16"/>
          <w:szCs w:val="16"/>
        </w:rPr>
        <w:t>Caso López Soto y otros Vs. Venezuela. Fondo, Reparaciones y Costa</w:t>
      </w:r>
      <w:r>
        <w:rPr>
          <w:rFonts w:ascii="Verdana" w:hAnsi="Verdana"/>
          <w:bCs/>
          <w:i/>
          <w:sz w:val="16"/>
          <w:szCs w:val="16"/>
        </w:rPr>
        <w:t xml:space="preserve">s, supra, </w:t>
      </w:r>
      <w:r>
        <w:rPr>
          <w:rFonts w:ascii="Verdana" w:hAnsi="Verdana"/>
          <w:bCs/>
          <w:sz w:val="16"/>
          <w:szCs w:val="16"/>
        </w:rPr>
        <w:t>párr. 268</w:t>
      </w:r>
      <w:r w:rsidRPr="00BD5FEC">
        <w:rPr>
          <w:rFonts w:ascii="Verdana" w:hAnsi="Verdana"/>
          <w:sz w:val="16"/>
          <w:szCs w:val="16"/>
          <w:lang w:val="es-CR"/>
        </w:rPr>
        <w:t>.</w:t>
      </w:r>
    </w:p>
  </w:footnote>
  <w:footnote w:id="521">
    <w:p w14:paraId="0CA8D2B2" w14:textId="1030A2E4" w:rsidR="00146958" w:rsidRPr="003564A3" w:rsidRDefault="00146958">
      <w:pPr>
        <w:pStyle w:val="FootnoteText"/>
        <w:jc w:val="both"/>
        <w:rPr>
          <w:rFonts w:ascii="Verdana" w:hAnsi="Verdana"/>
          <w:sz w:val="16"/>
          <w:szCs w:val="16"/>
          <w:lang w:val="es-CR"/>
        </w:rPr>
      </w:pPr>
      <w:r w:rsidRPr="003564A3">
        <w:rPr>
          <w:rStyle w:val="FootnoteReference"/>
          <w:rFonts w:ascii="Verdana" w:hAnsi="Verdana"/>
          <w:sz w:val="16"/>
          <w:szCs w:val="16"/>
        </w:rPr>
        <w:footnoteRef/>
      </w:r>
      <w:r w:rsidRPr="003564A3">
        <w:rPr>
          <w:rFonts w:ascii="Verdana" w:hAnsi="Verdana"/>
          <w:sz w:val="16"/>
          <w:szCs w:val="16"/>
          <w:lang w:val="es-CR"/>
        </w:rPr>
        <w:t xml:space="preserve"> </w:t>
      </w:r>
      <w:r w:rsidRPr="003564A3">
        <w:rPr>
          <w:rFonts w:ascii="Verdana" w:hAnsi="Verdana"/>
          <w:sz w:val="16"/>
          <w:szCs w:val="16"/>
          <w:lang w:val="es-CR"/>
        </w:rPr>
        <w:tab/>
      </w:r>
      <w:r w:rsidRPr="00CD5C54">
        <w:rPr>
          <w:rFonts w:ascii="Verdana" w:hAnsi="Verdana"/>
          <w:i/>
          <w:sz w:val="16"/>
          <w:szCs w:val="16"/>
          <w:lang w:val="es-CR"/>
        </w:rPr>
        <w:t>Cfr.</w:t>
      </w:r>
      <w:r w:rsidRPr="008D0846">
        <w:rPr>
          <w:rFonts w:ascii="Verdana" w:hAnsi="Verdana"/>
          <w:i/>
          <w:sz w:val="16"/>
          <w:szCs w:val="16"/>
          <w:lang w:val="es-CR"/>
        </w:rPr>
        <w:t xml:space="preserve"> Caso Velásquez Rodríguez Vs. Honduras,</w:t>
      </w:r>
      <w:r w:rsidRPr="003564A3">
        <w:rPr>
          <w:rFonts w:ascii="Verdana" w:hAnsi="Verdana"/>
          <w:sz w:val="16"/>
          <w:szCs w:val="16"/>
          <w:lang w:val="es-CR"/>
        </w:rPr>
        <w:t xml:space="preserve"> </w:t>
      </w:r>
      <w:r>
        <w:rPr>
          <w:rFonts w:ascii="Verdana" w:hAnsi="Verdana"/>
          <w:i/>
          <w:sz w:val="16"/>
          <w:szCs w:val="16"/>
          <w:lang w:val="es-CR"/>
        </w:rPr>
        <w:t xml:space="preserve">supra, </w:t>
      </w:r>
      <w:r w:rsidRPr="003564A3">
        <w:rPr>
          <w:rFonts w:ascii="Verdana" w:hAnsi="Verdana"/>
          <w:sz w:val="16"/>
          <w:szCs w:val="16"/>
          <w:lang w:val="es-CR"/>
        </w:rPr>
        <w:t>párr. 26</w:t>
      </w:r>
      <w:r>
        <w:rPr>
          <w:rFonts w:ascii="Verdana" w:hAnsi="Verdana"/>
          <w:sz w:val="16"/>
          <w:szCs w:val="16"/>
          <w:lang w:val="es-CR"/>
        </w:rPr>
        <w:t xml:space="preserve">, y </w:t>
      </w:r>
      <w:r w:rsidRPr="008D0846">
        <w:rPr>
          <w:rFonts w:ascii="Verdana" w:hAnsi="Verdana"/>
          <w:bCs/>
          <w:sz w:val="16"/>
          <w:szCs w:val="16"/>
        </w:rPr>
        <w:t>Caso López Soto y otros Vs. Venezuela</w:t>
      </w:r>
      <w:r>
        <w:rPr>
          <w:rFonts w:ascii="Verdana" w:hAnsi="Verdana"/>
          <w:bCs/>
          <w:i/>
          <w:sz w:val="16"/>
          <w:szCs w:val="16"/>
        </w:rPr>
        <w:t xml:space="preserve">, supra, </w:t>
      </w:r>
      <w:r>
        <w:rPr>
          <w:rFonts w:ascii="Verdana" w:hAnsi="Verdana"/>
          <w:bCs/>
          <w:sz w:val="16"/>
          <w:szCs w:val="16"/>
        </w:rPr>
        <w:t>párr. 269</w:t>
      </w:r>
      <w:r w:rsidRPr="003564A3">
        <w:rPr>
          <w:rFonts w:ascii="Verdana" w:hAnsi="Verdana"/>
          <w:sz w:val="16"/>
          <w:szCs w:val="16"/>
          <w:lang w:val="es-CR"/>
        </w:rPr>
        <w:t>.</w:t>
      </w:r>
    </w:p>
  </w:footnote>
  <w:footnote w:id="522">
    <w:p w14:paraId="43A79C81" w14:textId="6F9F4EAE" w:rsidR="00146958" w:rsidRPr="003564A3" w:rsidRDefault="00146958">
      <w:pPr>
        <w:pStyle w:val="FootnoteText"/>
        <w:jc w:val="both"/>
        <w:rPr>
          <w:rFonts w:ascii="Verdana" w:hAnsi="Verdana"/>
          <w:sz w:val="16"/>
          <w:szCs w:val="16"/>
          <w:lang w:val="es-CR"/>
        </w:rPr>
      </w:pPr>
      <w:r w:rsidRPr="002769AC">
        <w:rPr>
          <w:rStyle w:val="FootnoteReference"/>
          <w:rFonts w:ascii="Verdana" w:hAnsi="Verdana"/>
          <w:sz w:val="16"/>
          <w:szCs w:val="16"/>
        </w:rPr>
        <w:footnoteRef/>
      </w:r>
      <w:r w:rsidRPr="002769AC">
        <w:rPr>
          <w:rFonts w:ascii="Verdana" w:hAnsi="Verdana"/>
          <w:sz w:val="16"/>
          <w:szCs w:val="16"/>
          <w:lang w:val="es-CR"/>
        </w:rPr>
        <w:t xml:space="preserve"> </w:t>
      </w:r>
      <w:r w:rsidRPr="002769AC">
        <w:rPr>
          <w:rFonts w:ascii="Verdana" w:hAnsi="Verdana"/>
          <w:sz w:val="16"/>
          <w:szCs w:val="16"/>
          <w:lang w:val="es-CR"/>
        </w:rPr>
        <w:tab/>
      </w:r>
      <w:r w:rsidRPr="00CD5C54">
        <w:rPr>
          <w:rFonts w:ascii="Verdana" w:hAnsi="Verdana"/>
          <w:i/>
          <w:sz w:val="16"/>
          <w:szCs w:val="16"/>
          <w:lang w:val="es-CR"/>
        </w:rPr>
        <w:t>Cfr.</w:t>
      </w:r>
      <w:r w:rsidRPr="00C92AEF">
        <w:rPr>
          <w:rFonts w:ascii="Verdana" w:hAnsi="Verdana"/>
          <w:i/>
          <w:sz w:val="16"/>
          <w:szCs w:val="16"/>
          <w:lang w:val="es-CR"/>
        </w:rPr>
        <w:t xml:space="preserve"> </w:t>
      </w:r>
      <w:r w:rsidRPr="008D0846">
        <w:rPr>
          <w:rFonts w:ascii="Verdana" w:hAnsi="Verdana"/>
          <w:bCs/>
          <w:i/>
          <w:sz w:val="16"/>
          <w:szCs w:val="16"/>
        </w:rPr>
        <w:t xml:space="preserve">Caso de la Masacre de Las Dos Erres Vs. Guatemala. Excepción Preliminar, Fondo, Reparaciones y Costas. </w:t>
      </w:r>
      <w:r w:rsidRPr="008D0846">
        <w:rPr>
          <w:rFonts w:ascii="Verdana" w:hAnsi="Verdana"/>
          <w:bCs/>
          <w:sz w:val="16"/>
          <w:szCs w:val="16"/>
        </w:rPr>
        <w:t>Sentencia de 24 de noviembre de 2009. Serie C No. 211</w:t>
      </w:r>
      <w:r w:rsidRPr="00C92AEF">
        <w:rPr>
          <w:rFonts w:ascii="Verdana" w:hAnsi="Verdana"/>
          <w:sz w:val="16"/>
          <w:szCs w:val="16"/>
          <w:lang w:val="es-CR"/>
        </w:rPr>
        <w:t xml:space="preserve">, párr. </w:t>
      </w:r>
      <w:r w:rsidRPr="008D0846">
        <w:rPr>
          <w:rFonts w:ascii="Verdana" w:hAnsi="Verdana"/>
          <w:sz w:val="16"/>
          <w:szCs w:val="16"/>
          <w:lang w:val="es-CR"/>
        </w:rPr>
        <w:t xml:space="preserve">226, y </w:t>
      </w:r>
      <w:r w:rsidRPr="008D0846">
        <w:rPr>
          <w:rFonts w:ascii="Verdana" w:hAnsi="Verdana"/>
          <w:bCs/>
          <w:i/>
          <w:sz w:val="16"/>
          <w:szCs w:val="16"/>
        </w:rPr>
        <w:t>Caso Ramírez Escobar y otros Vs. Guatemala. Fondo, Reparaciones y Costas</w:t>
      </w:r>
      <w:r w:rsidRPr="008D0846">
        <w:rPr>
          <w:rFonts w:ascii="Verdana" w:hAnsi="Verdana"/>
          <w:bCs/>
          <w:sz w:val="16"/>
          <w:szCs w:val="16"/>
        </w:rPr>
        <w:t>. Sentencia de 9 de marzo de 2018. Serie C No. 351, pár</w:t>
      </w:r>
      <w:r w:rsidRPr="00C92AEF">
        <w:rPr>
          <w:rFonts w:ascii="Verdana" w:hAnsi="Verdana"/>
          <w:sz w:val="16"/>
          <w:szCs w:val="16"/>
          <w:lang w:val="es-CR"/>
        </w:rPr>
        <w:t>r. 371.</w:t>
      </w:r>
    </w:p>
  </w:footnote>
  <w:footnote w:id="523">
    <w:p w14:paraId="102BD04A" w14:textId="37CDB90D" w:rsidR="00146958" w:rsidRPr="003564A3" w:rsidRDefault="00146958">
      <w:pPr>
        <w:pStyle w:val="FootnoteText"/>
        <w:jc w:val="both"/>
        <w:rPr>
          <w:rFonts w:ascii="Verdana" w:hAnsi="Verdana"/>
          <w:sz w:val="16"/>
          <w:szCs w:val="16"/>
          <w:lang w:val="es-CR"/>
        </w:rPr>
      </w:pPr>
      <w:r w:rsidRPr="003564A3">
        <w:rPr>
          <w:rStyle w:val="FootnoteReference"/>
          <w:rFonts w:ascii="Verdana" w:hAnsi="Verdana"/>
          <w:sz w:val="16"/>
          <w:szCs w:val="16"/>
        </w:rPr>
        <w:footnoteRef/>
      </w:r>
      <w:r w:rsidRPr="003564A3">
        <w:rPr>
          <w:rFonts w:ascii="Verdana" w:hAnsi="Verdana"/>
          <w:sz w:val="16"/>
          <w:szCs w:val="16"/>
          <w:lang w:val="es-CR"/>
        </w:rPr>
        <w:t xml:space="preserve"> </w:t>
      </w:r>
      <w:r w:rsidRPr="003564A3">
        <w:rPr>
          <w:rFonts w:ascii="Verdana" w:hAnsi="Verdana"/>
          <w:sz w:val="16"/>
          <w:szCs w:val="16"/>
          <w:lang w:val="es-CR"/>
        </w:rPr>
        <w:tab/>
      </w:r>
      <w:r w:rsidRPr="00CD5C54">
        <w:rPr>
          <w:rFonts w:ascii="Verdana" w:hAnsi="Verdana"/>
          <w:i/>
          <w:sz w:val="16"/>
          <w:szCs w:val="16"/>
          <w:lang w:val="es-CR"/>
        </w:rPr>
        <w:t>Cfr.</w:t>
      </w:r>
      <w:r w:rsidRPr="003564A3">
        <w:rPr>
          <w:rFonts w:ascii="Verdana" w:hAnsi="Verdana"/>
          <w:sz w:val="16"/>
          <w:szCs w:val="16"/>
          <w:lang w:val="es-CR"/>
        </w:rPr>
        <w:t xml:space="preserve"> </w:t>
      </w:r>
      <w:r w:rsidRPr="008D0846">
        <w:rPr>
          <w:rFonts w:ascii="Verdana" w:hAnsi="Verdana"/>
          <w:i/>
          <w:sz w:val="16"/>
          <w:szCs w:val="16"/>
          <w:lang w:val="es-CR"/>
        </w:rPr>
        <w:t>Caso Ticona Estrada y otros Vs. Bolivia. Fondo, Reparaciones y Costas</w:t>
      </w:r>
      <w:r w:rsidRPr="003564A3">
        <w:rPr>
          <w:rFonts w:ascii="Verdana" w:hAnsi="Verdana"/>
          <w:sz w:val="16"/>
          <w:szCs w:val="16"/>
          <w:lang w:val="es-CR"/>
        </w:rPr>
        <w:t>. Sentencia de 27 de noviembre de 2008. Serie C No. 191, párr. 110</w:t>
      </w:r>
      <w:r>
        <w:rPr>
          <w:rFonts w:ascii="Verdana" w:hAnsi="Verdana"/>
          <w:sz w:val="16"/>
          <w:szCs w:val="16"/>
          <w:lang w:val="es-CR"/>
        </w:rPr>
        <w:t xml:space="preserve">, y </w:t>
      </w:r>
      <w:r w:rsidRPr="008D0846">
        <w:rPr>
          <w:rFonts w:ascii="Verdana" w:hAnsi="Verdana"/>
          <w:bCs/>
          <w:i/>
          <w:sz w:val="16"/>
          <w:szCs w:val="16"/>
        </w:rPr>
        <w:t>Caso López Soto y otros Vs. Venezuela</w:t>
      </w:r>
      <w:r w:rsidRPr="001B17CF">
        <w:rPr>
          <w:rFonts w:ascii="Verdana" w:hAnsi="Verdana"/>
          <w:bCs/>
          <w:i/>
          <w:sz w:val="16"/>
          <w:szCs w:val="16"/>
        </w:rPr>
        <w:t>,</w:t>
      </w:r>
      <w:r w:rsidRPr="00F254AE">
        <w:rPr>
          <w:rFonts w:ascii="Verdana" w:hAnsi="Verdana"/>
          <w:bCs/>
          <w:i/>
          <w:sz w:val="16"/>
          <w:szCs w:val="16"/>
        </w:rPr>
        <w:t xml:space="preserve"> supra, </w:t>
      </w:r>
      <w:r w:rsidRPr="00F254AE">
        <w:rPr>
          <w:rFonts w:ascii="Verdana" w:hAnsi="Verdana"/>
          <w:bCs/>
          <w:sz w:val="16"/>
          <w:szCs w:val="16"/>
        </w:rPr>
        <w:t>párr.</w:t>
      </w:r>
      <w:r>
        <w:rPr>
          <w:rFonts w:ascii="Verdana" w:hAnsi="Verdana"/>
          <w:bCs/>
          <w:sz w:val="16"/>
          <w:szCs w:val="16"/>
        </w:rPr>
        <w:t xml:space="preserve"> 270.</w:t>
      </w:r>
    </w:p>
  </w:footnote>
  <w:footnote w:id="524">
    <w:p w14:paraId="7BE26F09" w14:textId="5A366ADF" w:rsidR="00146958" w:rsidRPr="003564A3" w:rsidRDefault="00146958">
      <w:pPr>
        <w:pStyle w:val="FootnoteText"/>
        <w:jc w:val="both"/>
        <w:rPr>
          <w:rFonts w:ascii="Verdana" w:hAnsi="Verdana"/>
          <w:sz w:val="16"/>
          <w:szCs w:val="16"/>
          <w:lang w:val="es-CR"/>
        </w:rPr>
      </w:pPr>
      <w:r w:rsidRPr="003564A3">
        <w:rPr>
          <w:rStyle w:val="FootnoteReference"/>
          <w:rFonts w:ascii="Verdana" w:hAnsi="Verdana"/>
          <w:sz w:val="16"/>
          <w:szCs w:val="16"/>
        </w:rPr>
        <w:footnoteRef/>
      </w:r>
      <w:r w:rsidRPr="003564A3">
        <w:rPr>
          <w:rFonts w:ascii="Verdana" w:hAnsi="Verdana"/>
          <w:sz w:val="16"/>
          <w:szCs w:val="16"/>
          <w:lang w:val="es-CR"/>
        </w:rPr>
        <w:t xml:space="preserve"> </w:t>
      </w:r>
      <w:r w:rsidRPr="003564A3">
        <w:rPr>
          <w:rFonts w:ascii="Verdana" w:hAnsi="Verdana"/>
          <w:sz w:val="16"/>
          <w:szCs w:val="16"/>
          <w:lang w:val="es-CR"/>
        </w:rPr>
        <w:tab/>
      </w:r>
      <w:r w:rsidRPr="00CD5C54">
        <w:rPr>
          <w:rFonts w:ascii="Verdana" w:hAnsi="Verdana"/>
          <w:i/>
          <w:sz w:val="16"/>
          <w:szCs w:val="16"/>
          <w:lang w:val="es-CR"/>
        </w:rPr>
        <w:t>Cfr.</w:t>
      </w:r>
      <w:r w:rsidRPr="008D0846">
        <w:rPr>
          <w:rFonts w:ascii="Verdana" w:hAnsi="Verdana"/>
          <w:sz w:val="16"/>
          <w:szCs w:val="16"/>
          <w:lang w:val="es-CR"/>
        </w:rPr>
        <w:t xml:space="preserve"> </w:t>
      </w:r>
      <w:r w:rsidRPr="00CB7722">
        <w:rPr>
          <w:rFonts w:ascii="Verdana" w:hAnsi="Verdana"/>
          <w:i/>
          <w:sz w:val="16"/>
          <w:szCs w:val="16"/>
          <w:lang w:val="es-CR"/>
        </w:rPr>
        <w:t>Caso Velásquez Rodríguez Vs. Honduras</w:t>
      </w:r>
      <w:r>
        <w:rPr>
          <w:rFonts w:ascii="Verdana" w:hAnsi="Verdana"/>
          <w:i/>
          <w:sz w:val="16"/>
          <w:szCs w:val="16"/>
          <w:lang w:val="es-CR"/>
        </w:rPr>
        <w:t>. Reparaciones, supra</w:t>
      </w:r>
      <w:r>
        <w:rPr>
          <w:rFonts w:ascii="Verdana" w:hAnsi="Verdana"/>
          <w:sz w:val="16"/>
          <w:szCs w:val="16"/>
          <w:lang w:val="es-CR"/>
        </w:rPr>
        <w:t>,</w:t>
      </w:r>
      <w:r w:rsidRPr="003564A3">
        <w:rPr>
          <w:rFonts w:ascii="Verdana" w:hAnsi="Verdana"/>
          <w:sz w:val="16"/>
          <w:szCs w:val="16"/>
          <w:lang w:val="es-CR"/>
        </w:rPr>
        <w:t xml:space="preserve"> párr. 25 </w:t>
      </w:r>
      <w:r>
        <w:rPr>
          <w:rFonts w:ascii="Verdana" w:hAnsi="Verdana"/>
          <w:sz w:val="16"/>
          <w:szCs w:val="16"/>
          <w:lang w:val="es-CR"/>
        </w:rPr>
        <w:t>y</w:t>
      </w:r>
      <w:r w:rsidRPr="003564A3">
        <w:rPr>
          <w:rFonts w:ascii="Verdana" w:hAnsi="Verdana"/>
          <w:sz w:val="16"/>
          <w:szCs w:val="16"/>
          <w:lang w:val="es-CR"/>
        </w:rPr>
        <w:t xml:space="preserve"> 27</w:t>
      </w:r>
      <w:r>
        <w:rPr>
          <w:rFonts w:ascii="Verdana" w:hAnsi="Verdana"/>
          <w:sz w:val="16"/>
          <w:szCs w:val="16"/>
          <w:lang w:val="es-CR"/>
        </w:rPr>
        <w:t xml:space="preserve">, y </w:t>
      </w:r>
      <w:r w:rsidRPr="008D0846">
        <w:rPr>
          <w:rFonts w:ascii="Verdana" w:hAnsi="Verdana"/>
          <w:bCs/>
          <w:i/>
          <w:sz w:val="16"/>
          <w:szCs w:val="16"/>
        </w:rPr>
        <w:t>Caso Terrones Silva y otros Vs. Perú</w:t>
      </w:r>
      <w:r>
        <w:rPr>
          <w:rFonts w:ascii="Verdana" w:hAnsi="Verdana"/>
          <w:bCs/>
          <w:i/>
          <w:sz w:val="16"/>
          <w:szCs w:val="16"/>
        </w:rPr>
        <w:t>, supra</w:t>
      </w:r>
      <w:r>
        <w:rPr>
          <w:rFonts w:ascii="Verdana" w:hAnsi="Verdana"/>
          <w:bCs/>
          <w:sz w:val="16"/>
          <w:szCs w:val="16"/>
        </w:rPr>
        <w:t>, párr</w:t>
      </w:r>
      <w:r w:rsidRPr="003564A3">
        <w:rPr>
          <w:rFonts w:ascii="Verdana" w:hAnsi="Verdana"/>
          <w:sz w:val="16"/>
          <w:szCs w:val="16"/>
          <w:lang w:val="es-CR"/>
        </w:rPr>
        <w:t>.</w:t>
      </w:r>
      <w:r>
        <w:rPr>
          <w:rFonts w:ascii="Verdana" w:hAnsi="Verdana"/>
          <w:sz w:val="16"/>
          <w:szCs w:val="16"/>
          <w:lang w:val="es-CR"/>
        </w:rPr>
        <w:t xml:space="preserve"> 238.</w:t>
      </w:r>
    </w:p>
  </w:footnote>
  <w:footnote w:id="525">
    <w:p w14:paraId="69985AB6" w14:textId="1507D61F" w:rsidR="00146958" w:rsidRPr="00244830" w:rsidRDefault="00146958">
      <w:pPr>
        <w:pStyle w:val="FootnoteText"/>
        <w:jc w:val="both"/>
        <w:rPr>
          <w:rFonts w:ascii="Verdana" w:hAnsi="Verdana"/>
          <w:sz w:val="16"/>
          <w:szCs w:val="16"/>
          <w:lang w:val="es-CR"/>
        </w:rPr>
      </w:pPr>
      <w:r w:rsidRPr="003564A3">
        <w:rPr>
          <w:rStyle w:val="FootnoteReference"/>
          <w:rFonts w:ascii="Verdana" w:hAnsi="Verdana"/>
          <w:sz w:val="16"/>
          <w:szCs w:val="16"/>
        </w:rPr>
        <w:footnoteRef/>
      </w:r>
      <w:r w:rsidRPr="003564A3">
        <w:rPr>
          <w:rFonts w:ascii="Verdana" w:hAnsi="Verdana"/>
          <w:sz w:val="16"/>
          <w:szCs w:val="16"/>
          <w:lang w:val="es-CR"/>
        </w:rPr>
        <w:t xml:space="preserve"> </w:t>
      </w:r>
      <w:r w:rsidRPr="003564A3">
        <w:rPr>
          <w:rFonts w:ascii="Verdana" w:hAnsi="Verdana"/>
          <w:sz w:val="16"/>
          <w:szCs w:val="16"/>
          <w:lang w:val="es-CR"/>
        </w:rPr>
        <w:tab/>
        <w:t>Artículo 63.2. En casos de extrema gravedad y urgencia, y cuando se haga necesario evitar daños irreparables a las personas, la Corte, en los asuntos que esté conociendo, podrá tomar las medidas provisionales que considere pertinentes.  Si se tratare de asuntos que aún no estén sometidos a su conocimiento, podrá actuar a solicitud de la Comisión.</w:t>
      </w:r>
    </w:p>
  </w:footnote>
  <w:footnote w:id="526">
    <w:p w14:paraId="7B351EB5" w14:textId="583515F8" w:rsidR="00146958" w:rsidRPr="00432ABC" w:rsidRDefault="00146958">
      <w:pPr>
        <w:pStyle w:val="FootnoteText"/>
        <w:jc w:val="both"/>
        <w:rPr>
          <w:rFonts w:ascii="Verdana" w:hAnsi="Verdana"/>
          <w:sz w:val="16"/>
          <w:szCs w:val="16"/>
          <w:lang w:val="es-CR"/>
        </w:rPr>
      </w:pPr>
      <w:r w:rsidRPr="00432ABC">
        <w:rPr>
          <w:rStyle w:val="FootnoteReference"/>
          <w:rFonts w:ascii="Verdana" w:hAnsi="Verdana"/>
          <w:sz w:val="16"/>
          <w:szCs w:val="16"/>
        </w:rPr>
        <w:footnoteRef/>
      </w:r>
      <w:r w:rsidRPr="00432ABC">
        <w:rPr>
          <w:rFonts w:ascii="Verdana" w:hAnsi="Verdana"/>
          <w:sz w:val="16"/>
          <w:szCs w:val="16"/>
          <w:lang w:val="es-CR"/>
        </w:rPr>
        <w:t xml:space="preserve"> </w:t>
      </w:r>
      <w:r w:rsidRPr="002C462C">
        <w:rPr>
          <w:rFonts w:ascii="Verdana" w:hAnsi="Verdana"/>
          <w:sz w:val="16"/>
          <w:szCs w:val="16"/>
          <w:lang w:val="es-CR"/>
        </w:rPr>
        <w:tab/>
        <w:t xml:space="preserve">Principalmente las concernientes a la búsqueda de los desaparecidos, las investigaciones al respecto, la protección a la integridad personal de los familiares y garantías para no ser desplazados. </w:t>
      </w:r>
      <w:r w:rsidRPr="00CD5C54">
        <w:rPr>
          <w:rFonts w:ascii="Verdana" w:hAnsi="Verdana"/>
          <w:i/>
          <w:sz w:val="16"/>
          <w:szCs w:val="16"/>
          <w:lang w:val="es-CR"/>
        </w:rPr>
        <w:t>Cfr.</w:t>
      </w:r>
      <w:r w:rsidRPr="00432ABC">
        <w:rPr>
          <w:rFonts w:ascii="Verdana" w:hAnsi="Verdana"/>
          <w:i/>
          <w:sz w:val="16"/>
          <w:szCs w:val="16"/>
          <w:lang w:val="es-CR"/>
        </w:rPr>
        <w:t xml:space="preserve"> Asunto Eloisa Barrios y otros re</w:t>
      </w:r>
      <w:r>
        <w:rPr>
          <w:rFonts w:ascii="Verdana" w:hAnsi="Verdana"/>
          <w:i/>
          <w:sz w:val="16"/>
          <w:szCs w:val="16"/>
          <w:lang w:val="es-CR"/>
        </w:rPr>
        <w:t>s</w:t>
      </w:r>
      <w:r w:rsidRPr="00432ABC">
        <w:rPr>
          <w:rFonts w:ascii="Verdana" w:hAnsi="Verdana"/>
          <w:i/>
          <w:sz w:val="16"/>
          <w:szCs w:val="16"/>
          <w:lang w:val="es-CR"/>
        </w:rPr>
        <w:t>pecto Venezuela. Medidas Provisionales.</w:t>
      </w:r>
      <w:r w:rsidRPr="00432ABC">
        <w:rPr>
          <w:rFonts w:ascii="Verdana" w:hAnsi="Verdana"/>
          <w:sz w:val="16"/>
          <w:szCs w:val="16"/>
          <w:lang w:val="es-CR"/>
        </w:rPr>
        <w:t xml:space="preserve"> Resolución de la Corte </w:t>
      </w:r>
      <w:r>
        <w:rPr>
          <w:rFonts w:ascii="Verdana" w:hAnsi="Verdana"/>
          <w:sz w:val="16"/>
          <w:szCs w:val="16"/>
          <w:lang w:val="es-CR"/>
        </w:rPr>
        <w:t>I</w:t>
      </w:r>
      <w:r w:rsidRPr="00432ABC">
        <w:rPr>
          <w:rFonts w:ascii="Verdana" w:hAnsi="Verdana"/>
          <w:sz w:val="16"/>
          <w:szCs w:val="16"/>
          <w:lang w:val="es-CR"/>
        </w:rPr>
        <w:t>D</w:t>
      </w:r>
      <w:r>
        <w:rPr>
          <w:rFonts w:ascii="Verdana" w:hAnsi="Verdana"/>
          <w:sz w:val="16"/>
          <w:szCs w:val="16"/>
          <w:lang w:val="es-CR"/>
        </w:rPr>
        <w:t>H</w:t>
      </w:r>
      <w:r w:rsidRPr="00432ABC">
        <w:rPr>
          <w:rFonts w:ascii="Verdana" w:hAnsi="Verdana"/>
          <w:sz w:val="16"/>
          <w:szCs w:val="16"/>
          <w:lang w:val="es-CR"/>
        </w:rPr>
        <w:t xml:space="preserve"> de 29 de junio de 2005</w:t>
      </w:r>
      <w:r>
        <w:rPr>
          <w:rFonts w:ascii="Verdana" w:hAnsi="Verdana"/>
          <w:bCs/>
          <w:sz w:val="16"/>
          <w:szCs w:val="16"/>
        </w:rPr>
        <w:t xml:space="preserve">. </w:t>
      </w:r>
      <w:r>
        <w:rPr>
          <w:rFonts w:ascii="Verdana" w:hAnsi="Verdana"/>
          <w:sz w:val="16"/>
          <w:szCs w:val="16"/>
          <w:lang w:val="es-CR"/>
        </w:rPr>
        <w:t xml:space="preserve">Véanse también: </w:t>
      </w:r>
      <w:r w:rsidRPr="00CD5C54">
        <w:rPr>
          <w:rFonts w:ascii="Verdana" w:hAnsi="Verdana"/>
          <w:i/>
          <w:sz w:val="16"/>
          <w:szCs w:val="16"/>
          <w:lang w:val="es-CR"/>
        </w:rPr>
        <w:t>Cfr.</w:t>
      </w:r>
      <w:r w:rsidRPr="00432ABC">
        <w:rPr>
          <w:rFonts w:ascii="Verdana" w:hAnsi="Verdana"/>
          <w:sz w:val="16"/>
          <w:szCs w:val="16"/>
          <w:lang w:val="es-CR"/>
        </w:rPr>
        <w:t xml:space="preserve"> </w:t>
      </w:r>
      <w:r w:rsidRPr="00432ABC">
        <w:rPr>
          <w:rFonts w:ascii="Verdana" w:hAnsi="Verdana"/>
          <w:sz w:val="16"/>
          <w:szCs w:val="16"/>
        </w:rPr>
        <w:t>TEDH.</w:t>
      </w:r>
      <w:r w:rsidRPr="00432ABC">
        <w:rPr>
          <w:rFonts w:ascii="Verdana" w:hAnsi="Verdana"/>
          <w:i/>
          <w:sz w:val="16"/>
          <w:szCs w:val="16"/>
        </w:rPr>
        <w:t xml:space="preserve"> Mamatkulov y Askarov vs. Turquía</w:t>
      </w:r>
      <w:r w:rsidRPr="00432ABC">
        <w:rPr>
          <w:rFonts w:ascii="Verdana" w:hAnsi="Verdana"/>
          <w:sz w:val="16"/>
          <w:szCs w:val="16"/>
        </w:rPr>
        <w:t>, Nos. 46827/99 y 46951/99. Sentencia de 4 de febrero de 2005, párr. 128</w:t>
      </w:r>
      <w:r w:rsidRPr="00432ABC">
        <w:rPr>
          <w:rFonts w:ascii="Verdana" w:hAnsi="Verdana"/>
          <w:i/>
          <w:sz w:val="16"/>
          <w:szCs w:val="16"/>
        </w:rPr>
        <w:t xml:space="preserve">; Paladi vs. Moldavia </w:t>
      </w:r>
      <w:r w:rsidRPr="00432ABC">
        <w:rPr>
          <w:rFonts w:ascii="Verdana" w:hAnsi="Verdana"/>
          <w:sz w:val="16"/>
          <w:szCs w:val="16"/>
        </w:rPr>
        <w:t>[GS], No. 39806/05. Sentencia de 10 de marzo de 2009, párrs. 104 a 106</w:t>
      </w:r>
      <w:r w:rsidRPr="00432ABC">
        <w:rPr>
          <w:rFonts w:ascii="Verdana" w:hAnsi="Verdana"/>
          <w:i/>
          <w:sz w:val="16"/>
          <w:szCs w:val="16"/>
        </w:rPr>
        <w:t xml:space="preserve">, y Asunto Olaechea Cahuas vs. España, </w:t>
      </w:r>
      <w:r w:rsidRPr="00432ABC">
        <w:rPr>
          <w:rFonts w:ascii="Verdana" w:hAnsi="Verdana"/>
          <w:sz w:val="16"/>
          <w:szCs w:val="16"/>
        </w:rPr>
        <w:t>No. 24668/03. Sentencia de 10 de agosto de 2006, párrs. 65 a 83</w:t>
      </w:r>
      <w:r>
        <w:rPr>
          <w:rFonts w:ascii="Verdana" w:hAnsi="Verdana"/>
          <w:sz w:val="16"/>
          <w:szCs w:val="16"/>
        </w:rPr>
        <w:t xml:space="preserve">. </w:t>
      </w:r>
    </w:p>
  </w:footnote>
  <w:footnote w:id="527">
    <w:p w14:paraId="3FE812C5" w14:textId="079A23E0" w:rsidR="00146958" w:rsidRPr="00AE5BB6" w:rsidRDefault="00146958">
      <w:pPr>
        <w:pStyle w:val="NoSpacing"/>
        <w:jc w:val="both"/>
        <w:rPr>
          <w:rFonts w:ascii="Verdana" w:hAnsi="Verdana"/>
          <w:sz w:val="16"/>
          <w:szCs w:val="16"/>
        </w:rPr>
      </w:pPr>
      <w:r w:rsidRPr="00432ABC">
        <w:rPr>
          <w:rStyle w:val="FootnoteReference"/>
          <w:rFonts w:ascii="Verdana" w:hAnsi="Verdana"/>
          <w:sz w:val="16"/>
          <w:szCs w:val="16"/>
        </w:rPr>
        <w:footnoteRef/>
      </w:r>
      <w:r w:rsidRPr="00432ABC">
        <w:rPr>
          <w:rFonts w:ascii="Verdana" w:hAnsi="Verdana"/>
          <w:sz w:val="16"/>
          <w:szCs w:val="16"/>
        </w:rPr>
        <w:t xml:space="preserve"> </w:t>
      </w:r>
      <w:r w:rsidRPr="00432ABC">
        <w:rPr>
          <w:rFonts w:ascii="Verdana" w:hAnsi="Verdana"/>
          <w:sz w:val="16"/>
          <w:szCs w:val="16"/>
        </w:rPr>
        <w:tab/>
      </w:r>
      <w:r w:rsidRPr="00CD5C54">
        <w:rPr>
          <w:rFonts w:ascii="Verdana" w:hAnsi="Verdana"/>
          <w:i/>
          <w:sz w:val="16"/>
          <w:szCs w:val="16"/>
        </w:rPr>
        <w:t>Cfr.</w:t>
      </w:r>
      <w:r w:rsidRPr="004F5ADE">
        <w:rPr>
          <w:rFonts w:ascii="Verdana" w:hAnsi="Verdana"/>
          <w:i/>
          <w:sz w:val="16"/>
          <w:szCs w:val="16"/>
        </w:rPr>
        <w:t xml:space="preserve"> </w:t>
      </w:r>
      <w:r w:rsidRPr="008D0846">
        <w:rPr>
          <w:rFonts w:ascii="Verdana" w:hAnsi="Verdana"/>
          <w:bCs/>
          <w:i/>
          <w:sz w:val="16"/>
          <w:szCs w:val="16"/>
          <w:lang w:val="es-MX"/>
        </w:rPr>
        <w:t xml:space="preserve">Asunto Pobladores de las Comunidades del Pueblo Indígena Miskitu de la Región Costa Caribe Norte respecto de Nicaragua. Ampliación de Medidas Provisionales. </w:t>
      </w:r>
      <w:r w:rsidRPr="008D0846">
        <w:rPr>
          <w:rFonts w:ascii="Verdana" w:hAnsi="Verdana"/>
          <w:bCs/>
          <w:sz w:val="16"/>
          <w:szCs w:val="16"/>
          <w:lang w:val="es-MX"/>
        </w:rPr>
        <w:t xml:space="preserve">Resolución de la Corte </w:t>
      </w:r>
      <w:r>
        <w:rPr>
          <w:rFonts w:ascii="Verdana" w:hAnsi="Verdana"/>
          <w:bCs/>
          <w:sz w:val="16"/>
          <w:szCs w:val="16"/>
          <w:lang w:val="es-MX"/>
        </w:rPr>
        <w:t>IDH</w:t>
      </w:r>
      <w:r w:rsidRPr="008D0846">
        <w:rPr>
          <w:rFonts w:ascii="Verdana" w:hAnsi="Verdana"/>
          <w:bCs/>
          <w:sz w:val="16"/>
          <w:szCs w:val="16"/>
          <w:lang w:val="es-MX"/>
        </w:rPr>
        <w:t xml:space="preserve"> de 23 de agosto de 2018</w:t>
      </w:r>
      <w:r>
        <w:rPr>
          <w:rFonts w:ascii="Verdana" w:hAnsi="Verdana"/>
          <w:bCs/>
          <w:sz w:val="16"/>
          <w:szCs w:val="16"/>
          <w:lang w:val="es-MX"/>
        </w:rPr>
        <w:t>. Considerando 3.</w:t>
      </w:r>
    </w:p>
  </w:footnote>
  <w:footnote w:id="528">
    <w:p w14:paraId="4524E390" w14:textId="3CED4978" w:rsidR="00146958" w:rsidRPr="00432ABC" w:rsidRDefault="00146958">
      <w:pPr>
        <w:pStyle w:val="NoSpacing"/>
        <w:jc w:val="both"/>
        <w:rPr>
          <w:rFonts w:ascii="Verdana" w:hAnsi="Verdana" w:cs="Arial"/>
          <w:sz w:val="16"/>
          <w:szCs w:val="16"/>
        </w:rPr>
      </w:pPr>
      <w:r w:rsidRPr="00432ABC">
        <w:rPr>
          <w:rStyle w:val="FootnoteReference"/>
          <w:rFonts w:ascii="Verdana" w:hAnsi="Verdana" w:cs="Arial"/>
          <w:sz w:val="16"/>
          <w:szCs w:val="16"/>
        </w:rPr>
        <w:footnoteRef/>
      </w:r>
      <w:r w:rsidRPr="00432ABC">
        <w:rPr>
          <w:rFonts w:ascii="Verdana" w:hAnsi="Verdana" w:cs="Arial"/>
          <w:sz w:val="16"/>
          <w:szCs w:val="16"/>
        </w:rPr>
        <w:t xml:space="preserve"> </w:t>
      </w:r>
      <w:r w:rsidRPr="00432ABC">
        <w:rPr>
          <w:rFonts w:ascii="Verdana" w:hAnsi="Verdana" w:cs="Arial"/>
          <w:sz w:val="16"/>
          <w:szCs w:val="16"/>
        </w:rPr>
        <w:tab/>
      </w:r>
      <w:r w:rsidRPr="00CD5C54">
        <w:rPr>
          <w:rFonts w:ascii="Verdana" w:hAnsi="Verdana" w:cs="Arial"/>
          <w:i/>
          <w:sz w:val="16"/>
          <w:szCs w:val="16"/>
        </w:rPr>
        <w:t>Cfr.</w:t>
      </w:r>
      <w:r>
        <w:rPr>
          <w:rFonts w:ascii="Verdana" w:hAnsi="Verdana" w:cs="Arial"/>
          <w:sz w:val="16"/>
          <w:szCs w:val="16"/>
        </w:rPr>
        <w:t xml:space="preserve"> </w:t>
      </w:r>
      <w:r w:rsidRPr="008D0846">
        <w:rPr>
          <w:rFonts w:ascii="Verdana" w:hAnsi="Verdana" w:cs="Arial"/>
          <w:bCs/>
          <w:i/>
          <w:sz w:val="16"/>
          <w:szCs w:val="16"/>
          <w:lang w:val="es-MX"/>
        </w:rPr>
        <w:t>Asunto Alvarado Reyes y otros respecto de México. Medidas Provisionales</w:t>
      </w:r>
      <w:r w:rsidRPr="008D0846">
        <w:rPr>
          <w:rFonts w:ascii="Verdana" w:hAnsi="Verdana" w:cs="Arial"/>
          <w:bCs/>
          <w:sz w:val="16"/>
          <w:szCs w:val="16"/>
          <w:lang w:val="es-MX"/>
        </w:rPr>
        <w:t>.</w:t>
      </w:r>
      <w:r w:rsidRPr="008D0846">
        <w:rPr>
          <w:rFonts w:ascii="Verdana" w:hAnsi="Verdana" w:cs="Arial"/>
          <w:bCs/>
          <w:i/>
          <w:sz w:val="16"/>
          <w:szCs w:val="16"/>
          <w:lang w:val="es-MX"/>
        </w:rPr>
        <w:t xml:space="preserve"> </w:t>
      </w:r>
      <w:r w:rsidRPr="008D0846">
        <w:rPr>
          <w:rFonts w:ascii="Verdana" w:hAnsi="Verdana" w:cs="Arial"/>
          <w:bCs/>
          <w:sz w:val="16"/>
          <w:szCs w:val="16"/>
          <w:lang w:val="es-MX"/>
        </w:rPr>
        <w:t xml:space="preserve">Resolución de la Corte </w:t>
      </w:r>
      <w:r>
        <w:rPr>
          <w:rFonts w:ascii="Verdana" w:hAnsi="Verdana" w:cs="Arial"/>
          <w:bCs/>
          <w:sz w:val="16"/>
          <w:szCs w:val="16"/>
          <w:lang w:val="es-MX"/>
        </w:rPr>
        <w:t>IDH</w:t>
      </w:r>
      <w:r w:rsidRPr="008D0846">
        <w:rPr>
          <w:rFonts w:ascii="Verdana" w:hAnsi="Verdana" w:cs="Arial"/>
          <w:bCs/>
          <w:sz w:val="16"/>
          <w:szCs w:val="16"/>
          <w:lang w:val="es-MX"/>
        </w:rPr>
        <w:t xml:space="preserve"> de 14 de marzo de 2018.</w:t>
      </w:r>
      <w:r w:rsidRPr="008D0846">
        <w:rPr>
          <w:rFonts w:ascii="Verdana" w:hAnsi="Verdana" w:cs="Arial"/>
          <w:bCs/>
          <w:i/>
          <w:sz w:val="16"/>
          <w:szCs w:val="16"/>
          <w:lang w:val="es-MX"/>
        </w:rPr>
        <w:t xml:space="preserve"> </w:t>
      </w:r>
      <w:r w:rsidRPr="00432ABC">
        <w:rPr>
          <w:rFonts w:ascii="Verdana" w:hAnsi="Verdana" w:cs="Arial"/>
          <w:sz w:val="16"/>
          <w:szCs w:val="16"/>
        </w:rPr>
        <w:t xml:space="preserve">Considerando </w:t>
      </w:r>
      <w:r>
        <w:rPr>
          <w:rFonts w:ascii="Verdana" w:hAnsi="Verdana" w:cs="Arial"/>
          <w:sz w:val="16"/>
          <w:szCs w:val="16"/>
        </w:rPr>
        <w:t>3</w:t>
      </w:r>
      <w:r w:rsidRPr="00432ABC">
        <w:rPr>
          <w:rFonts w:ascii="Verdana" w:hAnsi="Verdana" w:cs="Arial"/>
          <w:sz w:val="16"/>
          <w:szCs w:val="16"/>
        </w:rPr>
        <w:t xml:space="preserve">: “En el Derecho Internacional de los Derechos Humanos las medidas provisionales tienen un carácter no sólo cautelar, en el sentido de que preservan una situación jurídica, sino fundamentalmente tutelar, por cuanto protegen derechos humanos, en la medida en que buscan evitar daños irreparables a las personas. Las medidas se aplican siempre y cuando se reúnan los requisitos básicos de extrema gravedad y urgencia y de la prevención de daños irreparables a las personas. De esta manera, las medidas provisionales se transforman en una verdadera garantía jurisdiccional de carácter preventivo”. </w:t>
      </w:r>
    </w:p>
  </w:footnote>
  <w:footnote w:id="529">
    <w:p w14:paraId="7345540E" w14:textId="0BACBAF2" w:rsidR="00146958" w:rsidRPr="008D0846" w:rsidRDefault="00146958">
      <w:pPr>
        <w:pStyle w:val="NoSpacing"/>
        <w:jc w:val="both"/>
        <w:rPr>
          <w:rFonts w:ascii="Verdana" w:hAnsi="Verdana"/>
          <w:i/>
          <w:sz w:val="16"/>
          <w:szCs w:val="16"/>
        </w:rPr>
      </w:pPr>
      <w:r w:rsidRPr="00753A59">
        <w:rPr>
          <w:rStyle w:val="FootnoteReference"/>
          <w:rFonts w:ascii="Verdana" w:hAnsi="Verdana"/>
          <w:sz w:val="16"/>
          <w:szCs w:val="16"/>
        </w:rPr>
        <w:footnoteRef/>
      </w:r>
      <w:r w:rsidRPr="0054076B">
        <w:rPr>
          <w:rFonts w:ascii="Verdana" w:hAnsi="Verdana"/>
          <w:sz w:val="16"/>
          <w:szCs w:val="16"/>
        </w:rPr>
        <w:t xml:space="preserve"> </w:t>
      </w:r>
      <w:r w:rsidRPr="0054076B">
        <w:rPr>
          <w:rFonts w:ascii="Verdana" w:hAnsi="Verdana"/>
          <w:sz w:val="16"/>
          <w:szCs w:val="16"/>
        </w:rPr>
        <w:tab/>
      </w:r>
      <w:r w:rsidRPr="00CD5C54">
        <w:rPr>
          <w:rFonts w:ascii="Verdana" w:hAnsi="Verdana"/>
          <w:i/>
          <w:sz w:val="16"/>
          <w:szCs w:val="16"/>
        </w:rPr>
        <w:t>Cfr.</w:t>
      </w:r>
      <w:r w:rsidRPr="00A44289">
        <w:rPr>
          <w:rFonts w:ascii="Verdana" w:hAnsi="Verdana"/>
          <w:sz w:val="16"/>
          <w:szCs w:val="16"/>
        </w:rPr>
        <w:t xml:space="preserve"> </w:t>
      </w:r>
      <w:r w:rsidRPr="00A44289">
        <w:rPr>
          <w:rFonts w:ascii="Verdana" w:hAnsi="Verdana"/>
          <w:i/>
          <w:sz w:val="16"/>
          <w:szCs w:val="16"/>
        </w:rPr>
        <w:t>Mutatis mutandi,</w:t>
      </w:r>
      <w:r w:rsidRPr="00753A59">
        <w:rPr>
          <w:rFonts w:ascii="Verdana" w:hAnsi="Verdana"/>
          <w:sz w:val="16"/>
          <w:szCs w:val="16"/>
        </w:rPr>
        <w:t xml:space="preserve"> </w:t>
      </w:r>
      <w:r w:rsidRPr="008D0846">
        <w:rPr>
          <w:rFonts w:ascii="Verdana" w:hAnsi="Verdana"/>
          <w:bCs/>
          <w:i/>
          <w:sz w:val="16"/>
          <w:szCs w:val="16"/>
          <w:lang w:val="es-MX"/>
        </w:rPr>
        <w:t>Caso de la Comunidad Mayagna (Sumo) Awas Tingni respecto de Nicaragua. Medidas Provisionales</w:t>
      </w:r>
      <w:r w:rsidRPr="008D0846">
        <w:rPr>
          <w:rFonts w:ascii="Verdana" w:hAnsi="Verdana"/>
          <w:bCs/>
          <w:sz w:val="16"/>
          <w:szCs w:val="16"/>
          <w:lang w:val="es-MX"/>
        </w:rPr>
        <w:t xml:space="preserve">. Resolución de la Corte </w:t>
      </w:r>
      <w:r w:rsidRPr="00753A59">
        <w:rPr>
          <w:rFonts w:ascii="Verdana" w:hAnsi="Verdana"/>
          <w:bCs/>
          <w:sz w:val="16"/>
          <w:szCs w:val="16"/>
          <w:lang w:val="es-MX"/>
        </w:rPr>
        <w:t>IDH</w:t>
      </w:r>
      <w:r w:rsidRPr="008D0846">
        <w:rPr>
          <w:rFonts w:ascii="Verdana" w:hAnsi="Verdana"/>
          <w:bCs/>
          <w:sz w:val="16"/>
          <w:szCs w:val="16"/>
          <w:lang w:val="es-MX"/>
        </w:rPr>
        <w:t xml:space="preserve"> de 26 de noviembre de 2007, Considerando 11. Asimismo, </w:t>
      </w:r>
      <w:r w:rsidRPr="00CD5C54">
        <w:rPr>
          <w:rFonts w:ascii="Verdana" w:hAnsi="Verdana"/>
          <w:bCs/>
          <w:i/>
          <w:sz w:val="16"/>
          <w:szCs w:val="16"/>
          <w:lang w:val="es-MX"/>
        </w:rPr>
        <w:t>Cfr.</w:t>
      </w:r>
      <w:r w:rsidRPr="008D0846">
        <w:rPr>
          <w:rFonts w:ascii="Verdana" w:hAnsi="Verdana"/>
          <w:bCs/>
          <w:sz w:val="16"/>
          <w:szCs w:val="16"/>
          <w:lang w:val="es-MX"/>
        </w:rPr>
        <w:t xml:space="preserve"> </w:t>
      </w:r>
      <w:r w:rsidRPr="008D0846">
        <w:rPr>
          <w:rFonts w:ascii="Verdana" w:hAnsi="Verdana"/>
          <w:bCs/>
          <w:i/>
          <w:sz w:val="16"/>
          <w:szCs w:val="16"/>
          <w:lang w:val="es-MX"/>
        </w:rPr>
        <w:t>Caso Gutiérrez Soler Vs. Colombia. Medidas Provisionales</w:t>
      </w:r>
      <w:r w:rsidRPr="008D0846">
        <w:rPr>
          <w:rFonts w:ascii="Verdana" w:hAnsi="Verdana"/>
          <w:bCs/>
          <w:sz w:val="16"/>
          <w:szCs w:val="16"/>
          <w:lang w:val="es-MX"/>
        </w:rPr>
        <w:t>. Resolución de la Corte IDH de 30 de junio de 2011;</w:t>
      </w:r>
      <w:r w:rsidRPr="008D0846">
        <w:rPr>
          <w:rFonts w:ascii="Verdana" w:hAnsi="Verdana"/>
          <w:bCs/>
          <w:i/>
          <w:sz w:val="16"/>
          <w:szCs w:val="16"/>
          <w:lang w:val="es-MX"/>
        </w:rPr>
        <w:t xml:space="preserve"> Asunto Rosendo Cantú y otra respecto de México. Medidas Provisionales</w:t>
      </w:r>
      <w:r w:rsidRPr="008D0846">
        <w:rPr>
          <w:rFonts w:ascii="Verdana" w:hAnsi="Verdana"/>
          <w:bCs/>
          <w:sz w:val="16"/>
          <w:szCs w:val="16"/>
          <w:lang w:val="es-MX"/>
        </w:rPr>
        <w:t xml:space="preserve">. Resolución de Corte IDH de 1 de julio de 2011; </w:t>
      </w:r>
      <w:r w:rsidRPr="008D0846">
        <w:rPr>
          <w:rStyle w:val="Strong"/>
          <w:rFonts w:ascii="Verdana" w:hAnsi="Verdana"/>
          <w:b w:val="0"/>
          <w:i/>
          <w:color w:val="000000"/>
          <w:sz w:val="16"/>
          <w:szCs w:val="16"/>
          <w:shd w:val="clear" w:color="auto" w:fill="FFFFFF"/>
        </w:rPr>
        <w:t>Caso Kawas Fernández Vs. Honduras. Medidas Provisionales</w:t>
      </w:r>
      <w:r w:rsidRPr="008D0846">
        <w:rPr>
          <w:rStyle w:val="Strong"/>
          <w:rFonts w:ascii="Verdana" w:hAnsi="Verdana"/>
          <w:b w:val="0"/>
          <w:color w:val="000000"/>
          <w:sz w:val="16"/>
          <w:szCs w:val="16"/>
          <w:shd w:val="clear" w:color="auto" w:fill="FFFFFF"/>
        </w:rPr>
        <w:t xml:space="preserve">. Resolución de la Corte </w:t>
      </w:r>
      <w:r w:rsidRPr="008D0846">
        <w:rPr>
          <w:rFonts w:ascii="Verdana" w:hAnsi="Verdana"/>
          <w:bCs/>
          <w:sz w:val="16"/>
          <w:szCs w:val="16"/>
          <w:lang w:val="es-MX"/>
        </w:rPr>
        <w:t xml:space="preserve">IDH </w:t>
      </w:r>
      <w:r w:rsidRPr="008D0846">
        <w:rPr>
          <w:rStyle w:val="Strong"/>
          <w:rFonts w:ascii="Verdana" w:hAnsi="Verdana"/>
          <w:b w:val="0"/>
          <w:color w:val="000000"/>
          <w:sz w:val="16"/>
          <w:szCs w:val="16"/>
          <w:shd w:val="clear" w:color="auto" w:fill="FFFFFF"/>
        </w:rPr>
        <w:t>de 5 de julio de 2011</w:t>
      </w:r>
      <w:r w:rsidRPr="00753A59">
        <w:rPr>
          <w:rStyle w:val="Strong"/>
          <w:rFonts w:ascii="Verdana" w:hAnsi="Verdana"/>
          <w:b w:val="0"/>
          <w:color w:val="000000"/>
          <w:sz w:val="16"/>
          <w:szCs w:val="16"/>
          <w:shd w:val="clear" w:color="auto" w:fill="FFFFFF"/>
        </w:rPr>
        <w:t>;</w:t>
      </w:r>
      <w:r w:rsidRPr="008D0846">
        <w:rPr>
          <w:rFonts w:ascii="Verdana" w:hAnsi="Verdana"/>
          <w:bCs/>
          <w:sz w:val="16"/>
          <w:szCs w:val="16"/>
          <w:lang w:val="es-MX"/>
        </w:rPr>
        <w:t xml:space="preserve"> </w:t>
      </w:r>
      <w:r w:rsidRPr="008D0846">
        <w:rPr>
          <w:rStyle w:val="Strong"/>
          <w:rFonts w:ascii="Verdana" w:hAnsi="Verdana"/>
          <w:b w:val="0"/>
          <w:i/>
          <w:color w:val="000000"/>
          <w:sz w:val="16"/>
          <w:szCs w:val="16"/>
          <w:shd w:val="clear" w:color="auto" w:fill="FFFFFF"/>
        </w:rPr>
        <w:t>Asunto Millacura Llaipén y otros respecto de Argentina. Medidas Provisionales</w:t>
      </w:r>
      <w:r w:rsidRPr="008D0846">
        <w:rPr>
          <w:rStyle w:val="Strong"/>
          <w:rFonts w:ascii="Verdana" w:hAnsi="Verdana"/>
          <w:b w:val="0"/>
          <w:color w:val="000000"/>
          <w:sz w:val="16"/>
          <w:szCs w:val="16"/>
          <w:shd w:val="clear" w:color="auto" w:fill="FFFFFF"/>
        </w:rPr>
        <w:t xml:space="preserve">. Resolución de la Corte </w:t>
      </w:r>
      <w:r w:rsidRPr="008D0846">
        <w:rPr>
          <w:rFonts w:ascii="Verdana" w:hAnsi="Verdana"/>
          <w:bCs/>
          <w:sz w:val="16"/>
          <w:szCs w:val="16"/>
          <w:lang w:val="es-MX"/>
        </w:rPr>
        <w:t xml:space="preserve">IDH </w:t>
      </w:r>
      <w:r w:rsidRPr="008D0846">
        <w:rPr>
          <w:rStyle w:val="Strong"/>
          <w:rFonts w:ascii="Verdana" w:hAnsi="Verdana"/>
          <w:b w:val="0"/>
          <w:color w:val="000000"/>
          <w:sz w:val="16"/>
          <w:szCs w:val="16"/>
          <w:shd w:val="clear" w:color="auto" w:fill="FFFFFF"/>
        </w:rPr>
        <w:t>de 25 de noviembre de 2011,</w:t>
      </w:r>
      <w:r w:rsidRPr="008D0846">
        <w:rPr>
          <w:rFonts w:ascii="Verdana" w:hAnsi="Verdana"/>
          <w:bCs/>
          <w:sz w:val="16"/>
          <w:szCs w:val="16"/>
          <w:lang w:val="es-MX"/>
        </w:rPr>
        <w:t xml:space="preserve"> y </w:t>
      </w:r>
      <w:r w:rsidRPr="008D0846">
        <w:rPr>
          <w:rFonts w:ascii="Verdana" w:hAnsi="Verdana"/>
          <w:bCs/>
          <w:i/>
          <w:sz w:val="16"/>
          <w:szCs w:val="16"/>
          <w:lang w:val="es-MX"/>
        </w:rPr>
        <w:t xml:space="preserve">Caso Fernández Ortega y otros Vs. México. Medidas Provisionales. </w:t>
      </w:r>
      <w:r w:rsidRPr="008D0846">
        <w:rPr>
          <w:rFonts w:ascii="Verdana" w:hAnsi="Verdana"/>
          <w:bCs/>
          <w:sz w:val="16"/>
          <w:szCs w:val="16"/>
          <w:lang w:val="es-MX"/>
        </w:rPr>
        <w:t>Resolución de la Corte IDH de 20 de febrero de 2012</w:t>
      </w:r>
      <w:r w:rsidRPr="00753A59">
        <w:rPr>
          <w:rFonts w:ascii="Verdana" w:hAnsi="Verdana"/>
          <w:bCs/>
          <w:sz w:val="16"/>
          <w:szCs w:val="16"/>
          <w:lang w:val="es-MX"/>
        </w:rPr>
        <w:t xml:space="preserve">. </w:t>
      </w:r>
    </w:p>
  </w:footnote>
  <w:footnote w:id="530">
    <w:p w14:paraId="586AA5CB" w14:textId="352F4222" w:rsidR="00146958" w:rsidRPr="00432ABC" w:rsidRDefault="00146958">
      <w:pPr>
        <w:pStyle w:val="FootnoteText"/>
        <w:jc w:val="both"/>
        <w:rPr>
          <w:rFonts w:ascii="Verdana" w:hAnsi="Verdana"/>
          <w:sz w:val="16"/>
          <w:szCs w:val="16"/>
        </w:rPr>
      </w:pPr>
      <w:r w:rsidRPr="00432ABC">
        <w:rPr>
          <w:rStyle w:val="FootnoteReference"/>
          <w:rFonts w:ascii="Verdana" w:hAnsi="Verdana"/>
          <w:sz w:val="16"/>
          <w:szCs w:val="16"/>
        </w:rPr>
        <w:footnoteRef/>
      </w:r>
      <w:r w:rsidRPr="00432ABC">
        <w:rPr>
          <w:rFonts w:ascii="Verdana" w:hAnsi="Verdana"/>
          <w:sz w:val="16"/>
          <w:szCs w:val="16"/>
        </w:rPr>
        <w:t xml:space="preserve"> </w:t>
      </w:r>
      <w:r w:rsidRPr="00432ABC">
        <w:rPr>
          <w:rFonts w:ascii="Verdana" w:hAnsi="Verdana"/>
          <w:sz w:val="16"/>
          <w:szCs w:val="16"/>
        </w:rPr>
        <w:tab/>
      </w:r>
      <w:r w:rsidRPr="00CD5C54">
        <w:rPr>
          <w:rFonts w:ascii="Verdana" w:hAnsi="Verdana"/>
          <w:i/>
          <w:sz w:val="16"/>
          <w:szCs w:val="16"/>
        </w:rPr>
        <w:t>Cfr.</w:t>
      </w:r>
      <w:r w:rsidRPr="002C462C">
        <w:rPr>
          <w:rFonts w:ascii="Verdana" w:hAnsi="Verdana"/>
          <w:sz w:val="16"/>
          <w:szCs w:val="16"/>
        </w:rPr>
        <w:t xml:space="preserve"> </w:t>
      </w:r>
      <w:r w:rsidRPr="00432ABC">
        <w:rPr>
          <w:rStyle w:val="Strong"/>
          <w:rFonts w:ascii="Verdana" w:hAnsi="Verdana"/>
          <w:b w:val="0"/>
          <w:i/>
          <w:color w:val="000000"/>
          <w:sz w:val="16"/>
          <w:szCs w:val="16"/>
          <w:shd w:val="clear" w:color="auto" w:fill="FFFFFF"/>
        </w:rPr>
        <w:t>Asunto Alvarado Reyes y otros respecto de México. Medidas Provisionales.</w:t>
      </w:r>
      <w:r w:rsidRPr="00432ABC">
        <w:rPr>
          <w:rStyle w:val="Strong"/>
          <w:rFonts w:ascii="Verdana" w:hAnsi="Verdana"/>
          <w:b w:val="0"/>
          <w:color w:val="000000"/>
          <w:sz w:val="16"/>
          <w:szCs w:val="16"/>
          <w:shd w:val="clear" w:color="auto" w:fill="FFFFFF"/>
        </w:rPr>
        <w:t xml:space="preserve"> Resolución de la Corte </w:t>
      </w:r>
      <w:r>
        <w:rPr>
          <w:rFonts w:ascii="Verdana" w:hAnsi="Verdana"/>
          <w:bCs/>
          <w:color w:val="000000"/>
          <w:sz w:val="16"/>
          <w:szCs w:val="16"/>
          <w:shd w:val="clear" w:color="auto" w:fill="FFFFFF"/>
        </w:rPr>
        <w:t>IDH</w:t>
      </w:r>
      <w:r w:rsidRPr="00432ABC">
        <w:rPr>
          <w:rStyle w:val="Strong"/>
          <w:rFonts w:ascii="Verdana" w:hAnsi="Verdana"/>
          <w:b w:val="0"/>
          <w:color w:val="000000"/>
          <w:sz w:val="16"/>
          <w:szCs w:val="16"/>
          <w:shd w:val="clear" w:color="auto" w:fill="FFFFFF"/>
        </w:rPr>
        <w:t xml:space="preserve"> de 14 de noviembre de 2017. </w:t>
      </w:r>
      <w:r w:rsidRPr="00432ABC">
        <w:rPr>
          <w:rFonts w:ascii="Verdana" w:hAnsi="Verdana"/>
          <w:sz w:val="16"/>
          <w:szCs w:val="16"/>
        </w:rPr>
        <w:t>Considerando 4.</w:t>
      </w:r>
    </w:p>
  </w:footnote>
  <w:footnote w:id="531">
    <w:p w14:paraId="7CC14C72" w14:textId="12E452CF" w:rsidR="00146958" w:rsidRPr="00D2536B" w:rsidRDefault="00146958">
      <w:pPr>
        <w:pStyle w:val="FootnoteText"/>
        <w:jc w:val="both"/>
        <w:rPr>
          <w:rFonts w:ascii="Verdana" w:hAnsi="Verdana"/>
          <w:sz w:val="16"/>
          <w:szCs w:val="16"/>
        </w:rPr>
      </w:pPr>
      <w:r w:rsidRPr="00432ABC">
        <w:rPr>
          <w:rStyle w:val="FootnoteReference"/>
          <w:rFonts w:ascii="Verdana" w:hAnsi="Verdana"/>
          <w:sz w:val="16"/>
          <w:szCs w:val="16"/>
        </w:rPr>
        <w:footnoteRef/>
      </w:r>
      <w:r w:rsidRPr="00432ABC">
        <w:rPr>
          <w:rFonts w:ascii="Verdana" w:hAnsi="Verdana"/>
          <w:sz w:val="16"/>
          <w:szCs w:val="16"/>
        </w:rPr>
        <w:t xml:space="preserve"> </w:t>
      </w:r>
      <w:r w:rsidRPr="002C462C">
        <w:rPr>
          <w:rFonts w:ascii="Verdana" w:hAnsi="Verdana"/>
          <w:sz w:val="16"/>
          <w:szCs w:val="16"/>
        </w:rPr>
        <w:tab/>
      </w:r>
      <w:r w:rsidRPr="00CD5C54">
        <w:rPr>
          <w:rFonts w:ascii="Verdana" w:hAnsi="Verdana"/>
          <w:i/>
          <w:sz w:val="16"/>
          <w:szCs w:val="16"/>
        </w:rPr>
        <w:t>Cfr.</w:t>
      </w:r>
      <w:r w:rsidRPr="00432ABC">
        <w:rPr>
          <w:rFonts w:ascii="Verdana" w:hAnsi="Verdana"/>
          <w:sz w:val="16"/>
          <w:szCs w:val="16"/>
        </w:rPr>
        <w:t xml:space="preserve"> </w:t>
      </w:r>
      <w:r w:rsidRPr="00432ABC">
        <w:rPr>
          <w:rStyle w:val="Strong"/>
          <w:rFonts w:ascii="Verdana" w:hAnsi="Verdana"/>
          <w:b w:val="0"/>
          <w:i/>
          <w:color w:val="000000"/>
          <w:sz w:val="16"/>
          <w:szCs w:val="16"/>
          <w:shd w:val="clear" w:color="auto" w:fill="FFFFFF"/>
        </w:rPr>
        <w:t>Asunto Alvarado Reyes y otros respecto de México. Medidas Provisionales.</w:t>
      </w:r>
      <w:r w:rsidRPr="00432ABC">
        <w:rPr>
          <w:rStyle w:val="Strong"/>
          <w:rFonts w:ascii="Verdana" w:hAnsi="Verdana"/>
          <w:b w:val="0"/>
          <w:color w:val="000000"/>
          <w:sz w:val="16"/>
          <w:szCs w:val="16"/>
          <w:shd w:val="clear" w:color="auto" w:fill="FFFFFF"/>
        </w:rPr>
        <w:t xml:space="preserve"> Resolución de la Corte </w:t>
      </w:r>
      <w:r w:rsidRPr="00A0366A">
        <w:rPr>
          <w:rFonts w:ascii="Verdana" w:hAnsi="Verdana"/>
          <w:bCs/>
          <w:color w:val="000000"/>
          <w:sz w:val="16"/>
          <w:szCs w:val="16"/>
          <w:shd w:val="clear" w:color="auto" w:fill="FFFFFF"/>
        </w:rPr>
        <w:t>Interamericana de Derechos Humanos</w:t>
      </w:r>
      <w:r w:rsidRPr="00432ABC">
        <w:rPr>
          <w:rStyle w:val="Strong"/>
          <w:rFonts w:ascii="Verdana" w:hAnsi="Verdana"/>
          <w:b w:val="0"/>
          <w:color w:val="000000"/>
          <w:sz w:val="16"/>
          <w:szCs w:val="16"/>
          <w:shd w:val="clear" w:color="auto" w:fill="FFFFFF"/>
        </w:rPr>
        <w:t xml:space="preserve"> de 23 de junio de 2015. Considerando 42. Disponible en: </w:t>
      </w:r>
      <w:hyperlink r:id="rId39" w:history="1">
        <w:r w:rsidRPr="00432ABC">
          <w:rPr>
            <w:rStyle w:val="Hyperlink"/>
            <w:rFonts w:ascii="Verdana" w:hAnsi="Verdana"/>
            <w:sz w:val="16"/>
            <w:szCs w:val="16"/>
            <w:shd w:val="clear" w:color="auto" w:fill="FFFFFF"/>
          </w:rPr>
          <w:t>http://www.corteidh.or.cr/docs/medidas/alvarado_se_06.pdf</w:t>
        </w:r>
      </w:hyperlink>
      <w:r w:rsidRPr="00432ABC">
        <w:rPr>
          <w:rStyle w:val="Strong"/>
          <w:rFonts w:ascii="Verdana" w:hAnsi="Verdana"/>
          <w:b w:val="0"/>
          <w:color w:val="000000"/>
          <w:sz w:val="16"/>
          <w:szCs w:val="16"/>
          <w:shd w:val="clear" w:color="auto" w:fill="FFFFFF"/>
        </w:rPr>
        <w:t xml:space="preserve">. </w:t>
      </w:r>
      <w:r w:rsidRPr="002C462C">
        <w:rPr>
          <w:rFonts w:ascii="Verdana" w:hAnsi="Verdana"/>
          <w:sz w:val="16"/>
          <w:szCs w:val="16"/>
        </w:rPr>
        <w:t xml:space="preserve">En dicho </w:t>
      </w:r>
      <w:r>
        <w:rPr>
          <w:rFonts w:ascii="Verdana" w:hAnsi="Verdana"/>
          <w:sz w:val="16"/>
          <w:szCs w:val="16"/>
        </w:rPr>
        <w:t>considerativo</w:t>
      </w:r>
      <w:r w:rsidRPr="002C462C">
        <w:rPr>
          <w:rFonts w:ascii="Verdana" w:hAnsi="Verdana"/>
          <w:sz w:val="16"/>
          <w:szCs w:val="16"/>
        </w:rPr>
        <w:t xml:space="preserve"> se lee: “[…] La Corte nota que conforme a lo informado por l</w:t>
      </w:r>
      <w:r>
        <w:rPr>
          <w:rFonts w:ascii="Verdana" w:hAnsi="Verdana"/>
          <w:sz w:val="16"/>
          <w:szCs w:val="16"/>
        </w:rPr>
        <w:t>[a]</w:t>
      </w:r>
      <w:r w:rsidRPr="002C462C">
        <w:rPr>
          <w:rFonts w:ascii="Verdana" w:hAnsi="Verdana"/>
          <w:sz w:val="16"/>
          <w:szCs w:val="16"/>
        </w:rPr>
        <w:t>s representantes, el beneficiario Manuel Reyes Lira falleció durante el proceso por causas naturales, por lo que la Corte procede a levantar la medida en relación IDH con dicho beneficiario [</w:t>
      </w:r>
      <w:r w:rsidRPr="00432ABC">
        <w:rPr>
          <w:rFonts w:ascii="Verdana" w:hAnsi="Verdana"/>
          <w:sz w:val="16"/>
          <w:szCs w:val="16"/>
        </w:rPr>
        <w:t xml:space="preserve">…]”. </w:t>
      </w:r>
      <w:r w:rsidRPr="00D2536B">
        <w:rPr>
          <w:rFonts w:ascii="Verdana" w:hAnsi="Verdana"/>
          <w:sz w:val="16"/>
          <w:szCs w:val="16"/>
        </w:rPr>
        <w:t xml:space="preserve">Asimismo, en el expediente de trámite de dichas medidas provisionales la Corte nota que el 5 de marzo de 2015 las representantes únicamente informaron respecto </w:t>
      </w:r>
      <w:r w:rsidRPr="004922B7">
        <w:rPr>
          <w:rFonts w:ascii="Verdana" w:hAnsi="Verdana"/>
          <w:sz w:val="16"/>
          <w:szCs w:val="16"/>
        </w:rPr>
        <w:t xml:space="preserve">de dicho fallecimiento, no obstante lo cual no indicaron con precisión la fecha en que este ocurrió, por lo que se desconoce la fecha exacta del mismo. </w:t>
      </w:r>
      <w:r w:rsidRPr="00CD5C54">
        <w:rPr>
          <w:rFonts w:ascii="Verdana" w:hAnsi="Verdana"/>
          <w:i/>
          <w:sz w:val="16"/>
          <w:szCs w:val="16"/>
        </w:rPr>
        <w:t>Cfr.</w:t>
      </w:r>
      <w:r w:rsidRPr="00D2536B">
        <w:rPr>
          <w:rFonts w:ascii="Verdana" w:hAnsi="Verdana"/>
          <w:sz w:val="16"/>
          <w:szCs w:val="16"/>
        </w:rPr>
        <w:t xml:space="preserve"> </w:t>
      </w:r>
      <w:r w:rsidRPr="008D0846">
        <w:rPr>
          <w:rFonts w:ascii="Verdana" w:hAnsi="Verdana"/>
          <w:i/>
          <w:sz w:val="16"/>
          <w:szCs w:val="16"/>
        </w:rPr>
        <w:t xml:space="preserve">Asunto Alvarado Reyes y </w:t>
      </w:r>
      <w:r w:rsidRPr="00D2536B">
        <w:rPr>
          <w:rFonts w:ascii="Verdana" w:hAnsi="Verdana"/>
          <w:i/>
          <w:sz w:val="16"/>
          <w:szCs w:val="16"/>
        </w:rPr>
        <w:t>o</w:t>
      </w:r>
      <w:r w:rsidRPr="008D0846">
        <w:rPr>
          <w:rFonts w:ascii="Verdana" w:hAnsi="Verdana"/>
          <w:i/>
          <w:sz w:val="16"/>
          <w:szCs w:val="16"/>
        </w:rPr>
        <w:t>tros respecto de México</w:t>
      </w:r>
      <w:r w:rsidRPr="00D2536B">
        <w:rPr>
          <w:rFonts w:ascii="Verdana" w:hAnsi="Verdana"/>
          <w:sz w:val="16"/>
          <w:szCs w:val="16"/>
        </w:rPr>
        <w:t xml:space="preserve">. </w:t>
      </w:r>
      <w:r w:rsidRPr="00D2536B">
        <w:rPr>
          <w:rFonts w:ascii="Verdana" w:hAnsi="Verdana"/>
          <w:i/>
          <w:sz w:val="16"/>
          <w:szCs w:val="16"/>
        </w:rPr>
        <w:t>Medidas Provisionales</w:t>
      </w:r>
      <w:r w:rsidRPr="008D0846">
        <w:rPr>
          <w:rFonts w:ascii="Verdana" w:hAnsi="Verdana"/>
          <w:i/>
          <w:sz w:val="16"/>
          <w:szCs w:val="16"/>
        </w:rPr>
        <w:t xml:space="preserve"> </w:t>
      </w:r>
      <w:r w:rsidRPr="008D0846">
        <w:rPr>
          <w:rFonts w:ascii="Verdana" w:hAnsi="Verdana"/>
          <w:sz w:val="16"/>
          <w:szCs w:val="16"/>
        </w:rPr>
        <w:t>(e</w:t>
      </w:r>
      <w:r w:rsidRPr="00D2536B">
        <w:rPr>
          <w:rFonts w:ascii="Verdana" w:hAnsi="Verdana"/>
          <w:sz w:val="16"/>
          <w:szCs w:val="16"/>
        </w:rPr>
        <w:t>xpediente de trámite, f. 2609).</w:t>
      </w:r>
    </w:p>
  </w:footnote>
  <w:footnote w:id="532">
    <w:p w14:paraId="51D194EE" w14:textId="0E62D347" w:rsidR="00146958" w:rsidRPr="00D2536B" w:rsidRDefault="00146958">
      <w:pPr>
        <w:pStyle w:val="FootnoteText"/>
        <w:jc w:val="both"/>
        <w:rPr>
          <w:rFonts w:ascii="Verdana" w:hAnsi="Verdana"/>
          <w:sz w:val="16"/>
          <w:szCs w:val="16"/>
          <w:lang w:val="es-CR"/>
        </w:rPr>
      </w:pPr>
      <w:r w:rsidRPr="00D2536B">
        <w:rPr>
          <w:rStyle w:val="FootnoteReference"/>
          <w:rFonts w:ascii="Verdana" w:hAnsi="Verdana"/>
          <w:sz w:val="16"/>
          <w:szCs w:val="16"/>
        </w:rPr>
        <w:footnoteRef/>
      </w:r>
      <w:r w:rsidRPr="00D2536B">
        <w:rPr>
          <w:rFonts w:ascii="Verdana" w:hAnsi="Verdana"/>
          <w:sz w:val="16"/>
          <w:szCs w:val="16"/>
          <w:lang w:val="es-CR"/>
        </w:rPr>
        <w:t xml:space="preserve"> </w:t>
      </w:r>
      <w:r w:rsidRPr="00D2536B">
        <w:rPr>
          <w:rFonts w:ascii="Verdana" w:hAnsi="Verdana"/>
          <w:sz w:val="16"/>
          <w:szCs w:val="16"/>
          <w:lang w:val="es-CR"/>
        </w:rPr>
        <w:tab/>
      </w:r>
      <w:r w:rsidRPr="00CD5C54">
        <w:rPr>
          <w:rFonts w:ascii="Verdana" w:hAnsi="Verdana"/>
          <w:i/>
          <w:sz w:val="16"/>
          <w:szCs w:val="16"/>
          <w:lang w:val="es-CR"/>
        </w:rPr>
        <w:t>Cfr.</w:t>
      </w:r>
      <w:r w:rsidRPr="00D2536B">
        <w:rPr>
          <w:rFonts w:ascii="Verdana" w:hAnsi="Verdana"/>
          <w:sz w:val="16"/>
          <w:szCs w:val="16"/>
          <w:lang w:val="es-CR"/>
        </w:rPr>
        <w:t xml:space="preserve"> </w:t>
      </w:r>
      <w:r w:rsidRPr="00D2536B">
        <w:rPr>
          <w:rStyle w:val="Strong"/>
          <w:rFonts w:ascii="Verdana" w:hAnsi="Verdana"/>
          <w:b w:val="0"/>
          <w:i/>
          <w:color w:val="000000"/>
          <w:sz w:val="16"/>
          <w:szCs w:val="16"/>
          <w:shd w:val="clear" w:color="auto" w:fill="FFFFFF"/>
        </w:rPr>
        <w:t>Asunto Alvarado Reyes y otros respecto de México. Medidas Provisionales</w:t>
      </w:r>
      <w:r w:rsidRPr="004922B7">
        <w:rPr>
          <w:rStyle w:val="Strong"/>
          <w:rFonts w:ascii="Verdana" w:hAnsi="Verdana"/>
          <w:b w:val="0"/>
          <w:color w:val="000000"/>
          <w:sz w:val="16"/>
          <w:szCs w:val="16"/>
          <w:shd w:val="clear" w:color="auto" w:fill="FFFFFF"/>
        </w:rPr>
        <w:t xml:space="preserve">. Resolución de la Corte </w:t>
      </w:r>
      <w:r w:rsidRPr="00106B9A">
        <w:rPr>
          <w:rFonts w:ascii="Verdana" w:hAnsi="Verdana"/>
          <w:bCs/>
          <w:color w:val="000000"/>
          <w:sz w:val="16"/>
          <w:szCs w:val="16"/>
          <w:shd w:val="clear" w:color="auto" w:fill="FFFFFF"/>
        </w:rPr>
        <w:t xml:space="preserve">IDH </w:t>
      </w:r>
      <w:r w:rsidRPr="004922B7">
        <w:rPr>
          <w:rStyle w:val="Strong"/>
          <w:rFonts w:ascii="Verdana" w:hAnsi="Verdana"/>
          <w:b w:val="0"/>
          <w:color w:val="000000"/>
          <w:sz w:val="16"/>
          <w:szCs w:val="16"/>
          <w:shd w:val="clear" w:color="auto" w:fill="FFFFFF"/>
        </w:rPr>
        <w:t>de 14 de marzo de 2018. Considerando 5.</w:t>
      </w:r>
    </w:p>
  </w:footnote>
  <w:footnote w:id="533">
    <w:p w14:paraId="1D0D4E6E" w14:textId="18252B61" w:rsidR="00146958" w:rsidRPr="00B860BF" w:rsidRDefault="00146958">
      <w:pPr>
        <w:spacing w:after="0" w:line="240" w:lineRule="auto"/>
        <w:jc w:val="both"/>
        <w:rPr>
          <w:rFonts w:ascii="Verdana" w:hAnsi="Verdana" w:cs="Times New Roman"/>
          <w:color w:val="0000FF"/>
          <w:sz w:val="16"/>
          <w:szCs w:val="16"/>
          <w:lang w:val="es-CR"/>
        </w:rPr>
      </w:pPr>
      <w:r w:rsidRPr="007016B4">
        <w:rPr>
          <w:rStyle w:val="FootnoteReference"/>
          <w:rFonts w:ascii="Verdana" w:hAnsi="Verdana"/>
          <w:sz w:val="16"/>
          <w:szCs w:val="16"/>
        </w:rPr>
        <w:footnoteRef/>
      </w:r>
      <w:r w:rsidRPr="007016B4">
        <w:rPr>
          <w:rFonts w:ascii="Verdana" w:hAnsi="Verdana"/>
          <w:sz w:val="16"/>
          <w:szCs w:val="16"/>
          <w:lang w:val="es-CR"/>
        </w:rPr>
        <w:t xml:space="preserve"> </w:t>
      </w:r>
      <w:r w:rsidRPr="007016B4">
        <w:rPr>
          <w:rFonts w:ascii="Verdana" w:hAnsi="Verdana"/>
          <w:sz w:val="16"/>
          <w:szCs w:val="16"/>
          <w:lang w:val="es-CR"/>
        </w:rPr>
        <w:tab/>
      </w:r>
      <w:r w:rsidRPr="00CD5C54">
        <w:rPr>
          <w:rFonts w:ascii="Verdana" w:hAnsi="Verdana"/>
          <w:i/>
          <w:sz w:val="16"/>
          <w:szCs w:val="16"/>
          <w:lang w:val="es-CR"/>
        </w:rPr>
        <w:t>Cfr.</w:t>
      </w:r>
      <w:r w:rsidRPr="008D0846">
        <w:rPr>
          <w:rFonts w:ascii="Verdana" w:hAnsi="Verdana"/>
          <w:i/>
          <w:sz w:val="16"/>
          <w:szCs w:val="16"/>
          <w:lang w:val="es-CR"/>
        </w:rPr>
        <w:t xml:space="preserve"> </w:t>
      </w:r>
      <w:r w:rsidRPr="008D0846">
        <w:rPr>
          <w:rFonts w:ascii="Verdana" w:hAnsi="Verdana"/>
          <w:bCs/>
          <w:i/>
          <w:sz w:val="16"/>
          <w:szCs w:val="16"/>
        </w:rPr>
        <w:t>Caso 19 Comerciantes Vs. Colombia. Fondo, Reparaciones y Costas</w:t>
      </w:r>
      <w:r w:rsidRPr="008D0846">
        <w:rPr>
          <w:rFonts w:ascii="Verdana" w:hAnsi="Verdana"/>
          <w:bCs/>
          <w:sz w:val="16"/>
          <w:szCs w:val="16"/>
        </w:rPr>
        <w:t xml:space="preserve">. Sentencia de 5 de julio de 2004. Serie C No. 109, párr. 265, y </w:t>
      </w:r>
      <w:r w:rsidRPr="008D0846">
        <w:rPr>
          <w:rFonts w:ascii="Verdana" w:hAnsi="Verdana"/>
          <w:bCs/>
          <w:i/>
          <w:sz w:val="16"/>
          <w:szCs w:val="16"/>
        </w:rPr>
        <w:t>Caso Vásquez Durand y otros Vs. Ecuador. Excepciones Preliminares, Fondo, Reparaciones y Costas</w:t>
      </w:r>
      <w:r w:rsidRPr="008D0846">
        <w:rPr>
          <w:rFonts w:ascii="Verdana" w:hAnsi="Verdana"/>
          <w:bCs/>
          <w:sz w:val="16"/>
          <w:szCs w:val="16"/>
        </w:rPr>
        <w:t xml:space="preserve">. Sentencia de 15 de febrero de 2017. Serie C No. 332, párr. 149. </w:t>
      </w:r>
    </w:p>
  </w:footnote>
  <w:footnote w:id="534">
    <w:p w14:paraId="2290D39F" w14:textId="7B024E95" w:rsidR="00146958" w:rsidRPr="007016B4" w:rsidRDefault="00146958" w:rsidP="007016B4">
      <w:pPr>
        <w:pStyle w:val="FootnoteText"/>
        <w:jc w:val="both"/>
        <w:rPr>
          <w:rFonts w:ascii="Verdana" w:hAnsi="Verdana"/>
          <w:sz w:val="16"/>
          <w:szCs w:val="16"/>
          <w:lang w:val="es-CR"/>
        </w:rPr>
      </w:pPr>
      <w:r w:rsidRPr="005C771B">
        <w:rPr>
          <w:rStyle w:val="FootnoteReference"/>
          <w:rFonts w:ascii="Verdana" w:hAnsi="Verdana"/>
          <w:sz w:val="16"/>
          <w:szCs w:val="16"/>
        </w:rPr>
        <w:footnoteRef/>
      </w:r>
      <w:r w:rsidRPr="005C771B">
        <w:rPr>
          <w:rFonts w:ascii="Verdana" w:hAnsi="Verdana"/>
          <w:sz w:val="16"/>
          <w:szCs w:val="16"/>
          <w:lang w:val="es-CR"/>
        </w:rPr>
        <w:t xml:space="preserve"> </w:t>
      </w:r>
      <w:r w:rsidRPr="005C771B">
        <w:rPr>
          <w:rFonts w:ascii="Verdana" w:hAnsi="Verdana"/>
          <w:sz w:val="16"/>
          <w:szCs w:val="16"/>
          <w:lang w:val="es-CR"/>
        </w:rPr>
        <w:tab/>
      </w:r>
      <w:r w:rsidRPr="00CD5C54">
        <w:rPr>
          <w:rFonts w:ascii="Verdana" w:hAnsi="Verdana"/>
          <w:i/>
          <w:sz w:val="16"/>
          <w:szCs w:val="16"/>
          <w:lang w:val="es-CR"/>
        </w:rPr>
        <w:t>Cfr.</w:t>
      </w:r>
      <w:r w:rsidRPr="00B860BF">
        <w:rPr>
          <w:rFonts w:ascii="Verdana" w:hAnsi="Verdana"/>
          <w:i/>
          <w:sz w:val="16"/>
          <w:szCs w:val="16"/>
          <w:lang w:val="es-CR"/>
        </w:rPr>
        <w:t xml:space="preserve"> </w:t>
      </w:r>
      <w:r w:rsidRPr="008D0846">
        <w:rPr>
          <w:rFonts w:ascii="Verdana" w:hAnsi="Verdana"/>
          <w:bCs/>
          <w:i/>
          <w:sz w:val="16"/>
          <w:szCs w:val="16"/>
        </w:rPr>
        <w:t>Caso Ch</w:t>
      </w:r>
      <w:r w:rsidRPr="00106B9A">
        <w:rPr>
          <w:rFonts w:ascii="Verdana" w:hAnsi="Verdana"/>
          <w:bCs/>
          <w:i/>
          <w:sz w:val="16"/>
          <w:szCs w:val="16"/>
        </w:rPr>
        <w:t>itay Nech y otros Vs. Guatemala</w:t>
      </w:r>
      <w:r>
        <w:rPr>
          <w:rFonts w:ascii="Verdana" w:hAnsi="Verdana"/>
          <w:bCs/>
          <w:i/>
          <w:sz w:val="16"/>
          <w:szCs w:val="16"/>
        </w:rPr>
        <w:t>, supra</w:t>
      </w:r>
      <w:r w:rsidRPr="008D0846">
        <w:rPr>
          <w:rFonts w:ascii="Verdana" w:hAnsi="Verdana"/>
          <w:bCs/>
          <w:sz w:val="16"/>
          <w:szCs w:val="16"/>
        </w:rPr>
        <w:t>, párr.</w:t>
      </w:r>
      <w:r w:rsidRPr="005C771B">
        <w:rPr>
          <w:rFonts w:ascii="Verdana" w:hAnsi="Verdana"/>
          <w:bCs/>
          <w:sz w:val="16"/>
          <w:szCs w:val="16"/>
        </w:rPr>
        <w:t xml:space="preserve"> </w:t>
      </w:r>
      <w:r w:rsidRPr="008D0846">
        <w:rPr>
          <w:rFonts w:ascii="Verdana" w:hAnsi="Verdana"/>
          <w:bCs/>
          <w:sz w:val="16"/>
          <w:szCs w:val="16"/>
        </w:rPr>
        <w:t xml:space="preserve">240, y </w:t>
      </w:r>
      <w:r w:rsidRPr="008D0846">
        <w:rPr>
          <w:rStyle w:val="Strong"/>
          <w:rFonts w:ascii="Verdana" w:hAnsi="Verdana"/>
          <w:b w:val="0"/>
          <w:i/>
          <w:color w:val="000000"/>
          <w:sz w:val="16"/>
          <w:szCs w:val="16"/>
          <w:shd w:val="clear" w:color="auto" w:fill="FFFFFF"/>
        </w:rPr>
        <w:t>Cas</w:t>
      </w:r>
      <w:r w:rsidRPr="00106B9A">
        <w:rPr>
          <w:rStyle w:val="Strong"/>
          <w:rFonts w:ascii="Verdana" w:hAnsi="Verdana"/>
          <w:b w:val="0"/>
          <w:i/>
          <w:color w:val="000000"/>
          <w:sz w:val="16"/>
          <w:szCs w:val="16"/>
          <w:shd w:val="clear" w:color="auto" w:fill="FFFFFF"/>
        </w:rPr>
        <w:t>o Tenorio Roca y otros Vs. Perú</w:t>
      </w:r>
      <w:r>
        <w:rPr>
          <w:rStyle w:val="Strong"/>
          <w:rFonts w:ascii="Verdana" w:hAnsi="Verdana"/>
          <w:b w:val="0"/>
          <w:i/>
          <w:color w:val="000000"/>
          <w:sz w:val="16"/>
          <w:szCs w:val="16"/>
          <w:shd w:val="clear" w:color="auto" w:fill="FFFFFF"/>
        </w:rPr>
        <w:t>, supra,</w:t>
      </w:r>
      <w:r w:rsidRPr="008D0846">
        <w:rPr>
          <w:rFonts w:ascii="Verdana" w:hAnsi="Verdana"/>
          <w:sz w:val="16"/>
          <w:szCs w:val="16"/>
        </w:rPr>
        <w:t xml:space="preserve"> párr. 273.</w:t>
      </w:r>
    </w:p>
  </w:footnote>
  <w:footnote w:id="535">
    <w:p w14:paraId="63D85E2E" w14:textId="31AC5AF4" w:rsidR="00146958" w:rsidRPr="00CE4F48" w:rsidRDefault="00146958" w:rsidP="00B860BF">
      <w:pPr>
        <w:pStyle w:val="FootnoteText"/>
        <w:jc w:val="both"/>
        <w:rPr>
          <w:rFonts w:ascii="Verdana" w:hAnsi="Verdana"/>
          <w:sz w:val="16"/>
          <w:szCs w:val="16"/>
          <w:lang w:val="es-CR"/>
        </w:rPr>
      </w:pPr>
      <w:r w:rsidRPr="00CE4F48">
        <w:rPr>
          <w:rStyle w:val="FootnoteReference"/>
          <w:rFonts w:ascii="Verdana" w:hAnsi="Verdana"/>
          <w:sz w:val="16"/>
          <w:szCs w:val="16"/>
        </w:rPr>
        <w:footnoteRef/>
      </w:r>
      <w:r w:rsidRPr="00CE4F48">
        <w:rPr>
          <w:rFonts w:ascii="Verdana" w:hAnsi="Verdana"/>
          <w:i/>
          <w:sz w:val="16"/>
          <w:szCs w:val="16"/>
          <w:lang w:val="es-CR"/>
        </w:rPr>
        <w:t xml:space="preserve"> </w:t>
      </w:r>
      <w:r w:rsidRPr="00CE4F48">
        <w:rPr>
          <w:rFonts w:ascii="Verdana" w:hAnsi="Verdana"/>
          <w:i/>
          <w:sz w:val="16"/>
          <w:szCs w:val="16"/>
          <w:lang w:val="es-CR"/>
        </w:rPr>
        <w:tab/>
      </w:r>
      <w:r w:rsidRPr="00CD5C54">
        <w:rPr>
          <w:rFonts w:ascii="Verdana" w:hAnsi="Verdana"/>
          <w:i/>
          <w:sz w:val="16"/>
          <w:szCs w:val="16"/>
          <w:lang w:val="es-CR"/>
        </w:rPr>
        <w:t>Cfr.</w:t>
      </w:r>
      <w:r w:rsidRPr="00CE4F48">
        <w:rPr>
          <w:rFonts w:ascii="Verdana" w:hAnsi="Verdana"/>
          <w:i/>
          <w:sz w:val="16"/>
          <w:szCs w:val="16"/>
          <w:lang w:val="es-CR"/>
        </w:rPr>
        <w:t xml:space="preserve">  </w:t>
      </w:r>
      <w:r w:rsidRPr="008D0846">
        <w:rPr>
          <w:rStyle w:val="Strong"/>
          <w:rFonts w:ascii="Verdana" w:hAnsi="Verdana"/>
          <w:b w:val="0"/>
          <w:i/>
          <w:color w:val="000000"/>
          <w:sz w:val="16"/>
          <w:szCs w:val="16"/>
          <w:shd w:val="clear" w:color="auto" w:fill="FFFFFF"/>
        </w:rPr>
        <w:t>Caso Anzualdo Castro Vs. Perú</w:t>
      </w:r>
      <w:r>
        <w:rPr>
          <w:rStyle w:val="Strong"/>
          <w:rFonts w:ascii="Verdana" w:hAnsi="Verdana"/>
          <w:b w:val="0"/>
          <w:i/>
          <w:color w:val="000000"/>
          <w:sz w:val="16"/>
          <w:szCs w:val="16"/>
          <w:shd w:val="clear" w:color="auto" w:fill="FFFFFF"/>
        </w:rPr>
        <w:t>, supra</w:t>
      </w:r>
      <w:r w:rsidRPr="008D0846">
        <w:rPr>
          <w:rStyle w:val="Strong"/>
          <w:rFonts w:ascii="Verdana" w:hAnsi="Verdana"/>
          <w:b w:val="0"/>
          <w:color w:val="000000"/>
          <w:sz w:val="16"/>
          <w:szCs w:val="16"/>
          <w:shd w:val="clear" w:color="auto" w:fill="FFFFFF"/>
        </w:rPr>
        <w:t xml:space="preserve">, párr. 185, y </w:t>
      </w:r>
      <w:r w:rsidRPr="008D0846">
        <w:rPr>
          <w:rStyle w:val="Strong"/>
          <w:rFonts w:ascii="Verdana" w:hAnsi="Verdana"/>
          <w:b w:val="0"/>
          <w:i/>
          <w:color w:val="000000"/>
          <w:sz w:val="16"/>
          <w:szCs w:val="16"/>
          <w:shd w:val="clear" w:color="auto" w:fill="FFFFFF"/>
        </w:rPr>
        <w:t>Caso Terrones Silva y otros Vs. Perú</w:t>
      </w:r>
      <w:r>
        <w:rPr>
          <w:rStyle w:val="Strong"/>
          <w:rFonts w:ascii="Verdana" w:hAnsi="Verdana"/>
          <w:b w:val="0"/>
          <w:i/>
          <w:color w:val="000000"/>
          <w:sz w:val="16"/>
          <w:szCs w:val="16"/>
          <w:shd w:val="clear" w:color="auto" w:fill="FFFFFF"/>
        </w:rPr>
        <w:t>, supra</w:t>
      </w:r>
      <w:r>
        <w:rPr>
          <w:rStyle w:val="Strong"/>
          <w:rFonts w:ascii="Verdana" w:hAnsi="Verdana"/>
          <w:b w:val="0"/>
          <w:color w:val="000000"/>
          <w:sz w:val="16"/>
          <w:szCs w:val="16"/>
          <w:shd w:val="clear" w:color="auto" w:fill="FFFFFF"/>
        </w:rPr>
        <w:t>,</w:t>
      </w:r>
      <w:r w:rsidRPr="008D0846">
        <w:rPr>
          <w:rStyle w:val="Strong"/>
          <w:rFonts w:ascii="Verdana" w:hAnsi="Verdana"/>
          <w:b w:val="0"/>
          <w:color w:val="000000"/>
          <w:sz w:val="16"/>
          <w:szCs w:val="16"/>
          <w:shd w:val="clear" w:color="auto" w:fill="FFFFFF"/>
        </w:rPr>
        <w:t xml:space="preserve"> párr. 248.</w:t>
      </w:r>
    </w:p>
  </w:footnote>
  <w:footnote w:id="536">
    <w:p w14:paraId="7EA1E72B" w14:textId="36DB4920" w:rsidR="00146958" w:rsidRPr="00D979C5" w:rsidRDefault="00146958">
      <w:pPr>
        <w:spacing w:after="0" w:line="240" w:lineRule="auto"/>
        <w:jc w:val="both"/>
        <w:rPr>
          <w:rFonts w:ascii="Verdana" w:hAnsi="Verdana"/>
          <w:sz w:val="16"/>
          <w:szCs w:val="16"/>
          <w:lang w:val="es-CR"/>
        </w:rPr>
      </w:pPr>
      <w:r w:rsidRPr="00CE4F48">
        <w:rPr>
          <w:rStyle w:val="FootnoteReference"/>
          <w:rFonts w:ascii="Verdana" w:hAnsi="Verdana"/>
          <w:sz w:val="16"/>
          <w:szCs w:val="16"/>
        </w:rPr>
        <w:footnoteRef/>
      </w:r>
      <w:r w:rsidRPr="00CE4F48">
        <w:rPr>
          <w:rFonts w:ascii="Verdana" w:hAnsi="Verdana"/>
          <w:sz w:val="16"/>
          <w:szCs w:val="16"/>
          <w:lang w:val="es-CR"/>
        </w:rPr>
        <w:t xml:space="preserve"> </w:t>
      </w:r>
      <w:r w:rsidRPr="00CE4F48">
        <w:rPr>
          <w:rFonts w:ascii="Verdana" w:hAnsi="Verdana"/>
          <w:sz w:val="16"/>
          <w:szCs w:val="16"/>
          <w:lang w:val="es-CR"/>
        </w:rPr>
        <w:tab/>
      </w:r>
      <w:r w:rsidRPr="00CD5C54">
        <w:rPr>
          <w:rFonts w:ascii="Verdana" w:hAnsi="Verdana"/>
          <w:i/>
          <w:iCs/>
          <w:sz w:val="16"/>
          <w:szCs w:val="16"/>
          <w:lang w:val="es-CR"/>
        </w:rPr>
        <w:t>Cfr.</w:t>
      </w:r>
      <w:r w:rsidRPr="00CE4F48">
        <w:rPr>
          <w:rFonts w:ascii="Verdana" w:hAnsi="Verdana"/>
          <w:i/>
          <w:iCs/>
          <w:sz w:val="16"/>
          <w:szCs w:val="16"/>
          <w:lang w:val="es-CR"/>
        </w:rPr>
        <w:t xml:space="preserve"> </w:t>
      </w:r>
      <w:r w:rsidRPr="008D0846">
        <w:rPr>
          <w:rStyle w:val="Strong"/>
          <w:rFonts w:ascii="Verdana" w:hAnsi="Verdana"/>
          <w:b w:val="0"/>
          <w:i/>
          <w:color w:val="000000"/>
          <w:sz w:val="16"/>
          <w:szCs w:val="16"/>
          <w:shd w:val="clear" w:color="auto" w:fill="FFFFFF"/>
        </w:rPr>
        <w:t>Caso Rochac Hernández y otros Vs. El Salvador. Fondo, Reparaciones y Costas</w:t>
      </w:r>
      <w:r w:rsidRPr="008D0846">
        <w:rPr>
          <w:rStyle w:val="Strong"/>
          <w:rFonts w:ascii="Verdana" w:hAnsi="Verdana"/>
          <w:b w:val="0"/>
          <w:color w:val="000000"/>
          <w:sz w:val="16"/>
          <w:szCs w:val="16"/>
          <w:shd w:val="clear" w:color="auto" w:fill="FFFFFF"/>
        </w:rPr>
        <w:t xml:space="preserve">. Sentencia de 14 de octubre de 2014. Serie C No. 285, párr. 188, y </w:t>
      </w:r>
      <w:r w:rsidRPr="00CE4F48">
        <w:rPr>
          <w:rFonts w:ascii="Verdana" w:hAnsi="Verdana"/>
          <w:bCs/>
          <w:i/>
          <w:sz w:val="16"/>
          <w:szCs w:val="16"/>
        </w:rPr>
        <w:t>Caso Vásquez Durand y otros Vs. Ecuador</w:t>
      </w:r>
      <w:r>
        <w:rPr>
          <w:rFonts w:ascii="Verdana" w:hAnsi="Verdana"/>
          <w:i/>
          <w:sz w:val="16"/>
          <w:szCs w:val="16"/>
          <w:lang w:val="es-CR"/>
        </w:rPr>
        <w:t xml:space="preserve">, </w:t>
      </w:r>
      <w:r w:rsidRPr="00CE4F48">
        <w:rPr>
          <w:rFonts w:ascii="Verdana" w:hAnsi="Verdana"/>
          <w:i/>
          <w:sz w:val="16"/>
          <w:szCs w:val="16"/>
          <w:lang w:val="es-CR"/>
        </w:rPr>
        <w:t xml:space="preserve"> supra</w:t>
      </w:r>
      <w:r w:rsidRPr="00CE4F48">
        <w:rPr>
          <w:rFonts w:ascii="Verdana" w:hAnsi="Verdana"/>
          <w:sz w:val="16"/>
          <w:szCs w:val="16"/>
          <w:lang w:val="es-CR"/>
        </w:rPr>
        <w:t>, párr. 2</w:t>
      </w:r>
      <w:r w:rsidRPr="00D979C5">
        <w:rPr>
          <w:rFonts w:ascii="Verdana" w:hAnsi="Verdana"/>
          <w:sz w:val="16"/>
          <w:szCs w:val="16"/>
          <w:lang w:val="es-CR"/>
        </w:rPr>
        <w:t>03.</w:t>
      </w:r>
    </w:p>
  </w:footnote>
  <w:footnote w:id="537">
    <w:p w14:paraId="62420ECF" w14:textId="7914B712" w:rsidR="00146958" w:rsidRPr="00DB378B" w:rsidRDefault="00146958">
      <w:pPr>
        <w:pStyle w:val="FootnoteText"/>
        <w:jc w:val="both"/>
        <w:rPr>
          <w:rFonts w:ascii="Verdana" w:hAnsi="Verdana"/>
          <w:lang w:val="es-CR"/>
        </w:rPr>
      </w:pPr>
      <w:r w:rsidRPr="008D0846">
        <w:rPr>
          <w:rStyle w:val="FootnoteReference"/>
          <w:rFonts w:ascii="Verdana" w:hAnsi="Verdana"/>
          <w:sz w:val="16"/>
          <w:szCs w:val="16"/>
        </w:rPr>
        <w:footnoteRef/>
      </w:r>
      <w:r w:rsidRPr="008D0846">
        <w:rPr>
          <w:rFonts w:ascii="Verdana" w:hAnsi="Verdana"/>
          <w:sz w:val="16"/>
          <w:szCs w:val="16"/>
          <w:lang w:val="es-CR"/>
        </w:rPr>
        <w:t xml:space="preserve"> </w:t>
      </w:r>
      <w:r w:rsidRPr="008D0846">
        <w:rPr>
          <w:rFonts w:ascii="Verdana" w:hAnsi="Verdana"/>
          <w:sz w:val="16"/>
          <w:szCs w:val="16"/>
          <w:lang w:val="es-CR"/>
        </w:rPr>
        <w:tab/>
      </w:r>
      <w:r w:rsidRPr="00CD5C54">
        <w:rPr>
          <w:rFonts w:ascii="Verdana" w:hAnsi="Verdana"/>
          <w:i/>
          <w:sz w:val="16"/>
          <w:szCs w:val="16"/>
          <w:lang w:val="es-CR"/>
        </w:rPr>
        <w:t>Cfr.</w:t>
      </w:r>
      <w:r w:rsidRPr="00CE4F48">
        <w:rPr>
          <w:rFonts w:ascii="Verdana" w:hAnsi="Verdana"/>
          <w:i/>
          <w:sz w:val="16"/>
          <w:szCs w:val="16"/>
          <w:lang w:val="es-CR"/>
        </w:rPr>
        <w:t xml:space="preserve"> </w:t>
      </w:r>
      <w:r w:rsidRPr="008D0846">
        <w:rPr>
          <w:rFonts w:ascii="Verdana" w:hAnsi="Verdana"/>
          <w:bCs/>
          <w:i/>
          <w:sz w:val="16"/>
          <w:szCs w:val="16"/>
        </w:rPr>
        <w:t xml:space="preserve">Caso del Caracazo Vs. Venezuela. Reparaciones y Costas. </w:t>
      </w:r>
      <w:r w:rsidRPr="008D0846">
        <w:rPr>
          <w:rFonts w:ascii="Verdana" w:hAnsi="Verdana"/>
          <w:bCs/>
          <w:sz w:val="16"/>
          <w:szCs w:val="16"/>
        </w:rPr>
        <w:t>Sentencia de 29 de agosto de 2002. Serie C No. 95</w:t>
      </w:r>
      <w:r>
        <w:rPr>
          <w:rFonts w:ascii="Verdana" w:hAnsi="Verdana"/>
          <w:bCs/>
          <w:sz w:val="16"/>
          <w:szCs w:val="16"/>
        </w:rPr>
        <w:t xml:space="preserve">, párr. 119, y </w:t>
      </w:r>
      <w:r w:rsidRPr="00CE4F48">
        <w:rPr>
          <w:rFonts w:ascii="Verdana" w:hAnsi="Verdana"/>
          <w:i/>
          <w:sz w:val="16"/>
          <w:szCs w:val="16"/>
          <w:lang w:val="es-CR"/>
        </w:rPr>
        <w:t xml:space="preserve">Caso Herzog y otros Vs. Brasil. Excepciones Preliminares, Fondo, Reparaciones y Costas. </w:t>
      </w:r>
      <w:r w:rsidRPr="00CE4F48">
        <w:rPr>
          <w:rFonts w:ascii="Verdana" w:hAnsi="Verdana"/>
          <w:sz w:val="16"/>
          <w:szCs w:val="16"/>
          <w:lang w:val="es-CR"/>
        </w:rPr>
        <w:t>Sentencia de 15 de marzo de 2018. Serie C No. 353, párr. 372.</w:t>
      </w:r>
    </w:p>
  </w:footnote>
  <w:footnote w:id="538">
    <w:p w14:paraId="228092D5" w14:textId="25D92F8A" w:rsidR="00146958" w:rsidRPr="00432ABC" w:rsidRDefault="00146958">
      <w:pPr>
        <w:spacing w:after="0" w:line="240" w:lineRule="auto"/>
        <w:jc w:val="both"/>
        <w:rPr>
          <w:rFonts w:ascii="Verdana" w:hAnsi="Verdana"/>
          <w:i/>
          <w:sz w:val="16"/>
          <w:szCs w:val="16"/>
          <w:lang w:val="es-CR"/>
        </w:rPr>
      </w:pPr>
      <w:r w:rsidRPr="005E4FE7">
        <w:rPr>
          <w:rStyle w:val="FootnoteReference"/>
          <w:rFonts w:ascii="Verdana" w:hAnsi="Verdana"/>
          <w:color w:val="000000"/>
          <w:sz w:val="16"/>
          <w:szCs w:val="16"/>
        </w:rPr>
        <w:footnoteRef/>
      </w:r>
      <w:r w:rsidRPr="009C5C20">
        <w:rPr>
          <w:rFonts w:ascii="Verdana" w:hAnsi="Verdana"/>
          <w:sz w:val="16"/>
          <w:szCs w:val="16"/>
          <w:lang w:val="es-CR"/>
        </w:rPr>
        <w:tab/>
      </w:r>
      <w:r w:rsidRPr="00CD5C54">
        <w:rPr>
          <w:rFonts w:ascii="Verdana" w:hAnsi="Verdana"/>
          <w:i/>
          <w:sz w:val="16"/>
          <w:szCs w:val="16"/>
          <w:lang w:val="es-CR"/>
        </w:rPr>
        <w:t>Cfr.</w:t>
      </w:r>
      <w:r w:rsidRPr="009C5C20">
        <w:rPr>
          <w:rFonts w:ascii="Verdana" w:hAnsi="Verdana"/>
          <w:i/>
          <w:sz w:val="16"/>
          <w:szCs w:val="16"/>
          <w:lang w:val="es-CR"/>
        </w:rPr>
        <w:t xml:space="preserve"> </w:t>
      </w:r>
      <w:r w:rsidRPr="008D0846">
        <w:rPr>
          <w:rFonts w:ascii="Verdana" w:hAnsi="Verdana"/>
          <w:bCs/>
          <w:i/>
          <w:sz w:val="16"/>
          <w:szCs w:val="16"/>
        </w:rPr>
        <w:t xml:space="preserve">Caso de la “Panel Blanca” (Paniagua Morales y otros) Vs. Guatemala. Fondo. </w:t>
      </w:r>
      <w:r w:rsidRPr="008D0846">
        <w:rPr>
          <w:rFonts w:ascii="Verdana" w:hAnsi="Verdana"/>
          <w:bCs/>
          <w:sz w:val="16"/>
          <w:szCs w:val="16"/>
        </w:rPr>
        <w:t>Sentencia de 8 de marzo de 1998. Serie C No. 37</w:t>
      </w:r>
      <w:r w:rsidRPr="008D0846">
        <w:rPr>
          <w:rFonts w:ascii="Verdana" w:hAnsi="Verdana"/>
          <w:sz w:val="16"/>
          <w:szCs w:val="16"/>
          <w:lang w:val="es-CR"/>
        </w:rPr>
        <w:t>,</w:t>
      </w:r>
      <w:r w:rsidRPr="008D0846">
        <w:rPr>
          <w:rFonts w:ascii="Verdana" w:hAnsi="Verdana"/>
          <w:i/>
          <w:sz w:val="16"/>
          <w:szCs w:val="16"/>
          <w:lang w:val="es-CR"/>
        </w:rPr>
        <w:t xml:space="preserve"> </w:t>
      </w:r>
      <w:r w:rsidRPr="009C5C20">
        <w:rPr>
          <w:rFonts w:ascii="Verdana" w:hAnsi="Verdana"/>
          <w:sz w:val="16"/>
          <w:szCs w:val="16"/>
          <w:lang w:val="es-CR"/>
        </w:rPr>
        <w:t>párr. 173</w:t>
      </w:r>
      <w:r w:rsidRPr="008D0846">
        <w:rPr>
          <w:rFonts w:ascii="Verdana" w:hAnsi="Verdana"/>
          <w:sz w:val="16"/>
          <w:szCs w:val="16"/>
          <w:lang w:val="es-CR"/>
        </w:rPr>
        <w:t xml:space="preserve">, y </w:t>
      </w:r>
      <w:r w:rsidRPr="005E4FE7">
        <w:rPr>
          <w:rFonts w:ascii="Verdana" w:hAnsi="Verdana"/>
          <w:i/>
          <w:sz w:val="16"/>
          <w:szCs w:val="16"/>
          <w:lang w:val="es-CR"/>
        </w:rPr>
        <w:t>Caso Herzog y otros Vs. Brasi</w:t>
      </w:r>
      <w:r w:rsidRPr="009C5C20">
        <w:rPr>
          <w:rFonts w:ascii="Verdana" w:hAnsi="Verdana"/>
          <w:i/>
          <w:sz w:val="16"/>
          <w:szCs w:val="16"/>
          <w:lang w:val="es-CR"/>
        </w:rPr>
        <w:t>l, supra</w:t>
      </w:r>
      <w:r w:rsidRPr="009C5C20">
        <w:rPr>
          <w:rFonts w:ascii="Verdana" w:hAnsi="Verdana"/>
          <w:sz w:val="16"/>
          <w:szCs w:val="16"/>
          <w:lang w:val="es-CR"/>
        </w:rPr>
        <w:t>, párr. 291.</w:t>
      </w:r>
    </w:p>
  </w:footnote>
  <w:footnote w:id="539">
    <w:p w14:paraId="52195821" w14:textId="0D365B94" w:rsidR="00146958" w:rsidRPr="006E667C" w:rsidRDefault="00146958">
      <w:pPr>
        <w:tabs>
          <w:tab w:val="left" w:pos="567"/>
        </w:tabs>
        <w:spacing w:after="0" w:line="240" w:lineRule="auto"/>
        <w:ind w:right="-90"/>
        <w:jc w:val="both"/>
        <w:rPr>
          <w:rFonts w:ascii="Verdana" w:eastAsia="Times New Roman" w:hAnsi="Verdana"/>
          <w:sz w:val="16"/>
          <w:szCs w:val="16"/>
          <w:lang w:val="es-ES"/>
        </w:rPr>
      </w:pPr>
      <w:r w:rsidRPr="009C5C20">
        <w:rPr>
          <w:rStyle w:val="FootnoteReference"/>
          <w:rFonts w:ascii="Verdana" w:hAnsi="Verdana"/>
          <w:sz w:val="16"/>
          <w:szCs w:val="16"/>
          <w:lang w:val="es-ES"/>
        </w:rPr>
        <w:footnoteRef/>
      </w:r>
      <w:r w:rsidRPr="00226D1A">
        <w:rPr>
          <w:rFonts w:ascii="Verdana" w:hAnsi="Verdana"/>
          <w:sz w:val="16"/>
          <w:szCs w:val="16"/>
          <w:lang w:val="es-ES"/>
        </w:rPr>
        <w:tab/>
      </w:r>
      <w:r w:rsidRPr="00226D1A">
        <w:rPr>
          <w:rFonts w:ascii="Verdana" w:hAnsi="Verdana"/>
          <w:sz w:val="16"/>
          <w:szCs w:val="16"/>
          <w:lang w:val="es-ES"/>
        </w:rPr>
        <w:tab/>
      </w:r>
      <w:r w:rsidRPr="00CD5C54">
        <w:rPr>
          <w:rFonts w:ascii="Verdana" w:hAnsi="Verdana"/>
          <w:i/>
          <w:iCs/>
          <w:sz w:val="16"/>
          <w:szCs w:val="16"/>
          <w:lang w:val="es-ES"/>
        </w:rPr>
        <w:t>Cfr.</w:t>
      </w:r>
      <w:r w:rsidRPr="006E667C">
        <w:rPr>
          <w:rFonts w:ascii="Verdana" w:hAnsi="Verdana"/>
          <w:i/>
          <w:sz w:val="16"/>
          <w:szCs w:val="16"/>
          <w:lang w:val="es-ES"/>
        </w:rPr>
        <w:t xml:space="preserve"> Caso del Caracazo Vs. Venezuela</w:t>
      </w:r>
      <w:r>
        <w:rPr>
          <w:rFonts w:ascii="Verdana" w:hAnsi="Verdana"/>
          <w:i/>
          <w:sz w:val="16"/>
          <w:szCs w:val="16"/>
          <w:lang w:val="es-ES"/>
        </w:rPr>
        <w:t>, supra,</w:t>
      </w:r>
      <w:r w:rsidRPr="00A07293">
        <w:rPr>
          <w:rFonts w:ascii="Verdana" w:hAnsi="Verdana"/>
          <w:sz w:val="16"/>
          <w:szCs w:val="16"/>
          <w:lang w:val="es-ES"/>
        </w:rPr>
        <w:t xml:space="preserve"> párr. 118, y </w:t>
      </w:r>
      <w:r w:rsidRPr="008D0846">
        <w:rPr>
          <w:rStyle w:val="Strong"/>
          <w:rFonts w:ascii="Verdana" w:hAnsi="Verdana"/>
          <w:b w:val="0"/>
          <w:i/>
          <w:color w:val="000000"/>
          <w:sz w:val="16"/>
          <w:szCs w:val="16"/>
          <w:shd w:val="clear" w:color="auto" w:fill="FFFFFF"/>
        </w:rPr>
        <w:t>Caso Terrones Silva y otros Vs. Perú</w:t>
      </w:r>
      <w:r w:rsidRPr="008D0846">
        <w:rPr>
          <w:rStyle w:val="Strong"/>
          <w:rFonts w:ascii="Verdana" w:hAnsi="Verdana"/>
          <w:b w:val="0"/>
          <w:color w:val="000000"/>
          <w:sz w:val="16"/>
          <w:szCs w:val="16"/>
          <w:shd w:val="clear" w:color="auto" w:fill="FFFFFF"/>
        </w:rPr>
        <w:t xml:space="preserve">, </w:t>
      </w:r>
      <w:r w:rsidRPr="008D0846">
        <w:rPr>
          <w:rStyle w:val="Strong"/>
          <w:rFonts w:ascii="Verdana" w:hAnsi="Verdana"/>
          <w:b w:val="0"/>
          <w:i/>
          <w:color w:val="000000"/>
          <w:sz w:val="16"/>
          <w:szCs w:val="16"/>
          <w:shd w:val="clear" w:color="auto" w:fill="FFFFFF"/>
        </w:rPr>
        <w:t xml:space="preserve">supra, </w:t>
      </w:r>
      <w:r w:rsidRPr="008D0846">
        <w:rPr>
          <w:rStyle w:val="Strong"/>
          <w:rFonts w:ascii="Verdana" w:hAnsi="Verdana"/>
          <w:b w:val="0"/>
          <w:color w:val="000000"/>
          <w:sz w:val="16"/>
          <w:szCs w:val="16"/>
          <w:shd w:val="clear" w:color="auto" w:fill="FFFFFF"/>
        </w:rPr>
        <w:t>párr. 246</w:t>
      </w:r>
      <w:r w:rsidRPr="00226D1A">
        <w:rPr>
          <w:rStyle w:val="Strong"/>
          <w:rFonts w:ascii="Verdana" w:hAnsi="Verdana"/>
          <w:b w:val="0"/>
          <w:color w:val="000000"/>
          <w:sz w:val="16"/>
          <w:szCs w:val="16"/>
          <w:shd w:val="clear" w:color="auto" w:fill="FFFFFF"/>
          <w:lang w:val="es-ES"/>
        </w:rPr>
        <w:t>.</w:t>
      </w:r>
    </w:p>
  </w:footnote>
  <w:footnote w:id="540">
    <w:p w14:paraId="0BD87C9F" w14:textId="035BE1C5" w:rsidR="00146958" w:rsidRPr="00432ABC" w:rsidRDefault="00146958">
      <w:pPr>
        <w:autoSpaceDE w:val="0"/>
        <w:autoSpaceDN w:val="0"/>
        <w:adjustRightInd w:val="0"/>
        <w:spacing w:after="0" w:line="240" w:lineRule="auto"/>
        <w:jc w:val="both"/>
        <w:rPr>
          <w:rFonts w:ascii="Verdana" w:eastAsiaTheme="minorHAnsi" w:hAnsi="Verdana" w:cs="Times New Roman"/>
          <w:sz w:val="16"/>
          <w:szCs w:val="16"/>
          <w:lang w:val="es-CR"/>
        </w:rPr>
      </w:pPr>
      <w:r w:rsidRPr="00432ABC">
        <w:rPr>
          <w:rStyle w:val="FootnoteReference"/>
          <w:rFonts w:ascii="Verdana" w:hAnsi="Verdana"/>
          <w:sz w:val="16"/>
          <w:szCs w:val="16"/>
        </w:rPr>
        <w:footnoteRef/>
      </w:r>
      <w:r w:rsidRPr="00432ABC">
        <w:rPr>
          <w:rFonts w:ascii="Verdana" w:hAnsi="Verdana"/>
          <w:sz w:val="16"/>
          <w:szCs w:val="16"/>
          <w:lang w:val="es-CR"/>
        </w:rPr>
        <w:t xml:space="preserve"> </w:t>
      </w:r>
      <w:r w:rsidRPr="002C462C">
        <w:rPr>
          <w:rFonts w:ascii="Verdana" w:hAnsi="Verdana"/>
          <w:sz w:val="16"/>
          <w:szCs w:val="16"/>
          <w:lang w:val="es-CR"/>
        </w:rPr>
        <w:tab/>
      </w:r>
      <w:r>
        <w:rPr>
          <w:rFonts w:ascii="Verdana" w:hAnsi="Verdana"/>
          <w:sz w:val="16"/>
          <w:szCs w:val="16"/>
          <w:lang w:val="es-CR"/>
        </w:rPr>
        <w:t>Al respecto, el Estado señaló que “</w:t>
      </w:r>
      <w:r w:rsidRPr="002C462C">
        <w:rPr>
          <w:rFonts w:ascii="Verdana" w:hAnsi="Verdana"/>
          <w:sz w:val="16"/>
          <w:szCs w:val="16"/>
          <w:lang w:val="es-CR"/>
        </w:rPr>
        <w:t xml:space="preserve">[…] </w:t>
      </w:r>
      <w:r w:rsidRPr="002C462C">
        <w:rPr>
          <w:rFonts w:ascii="Verdana" w:eastAsiaTheme="minorHAnsi" w:hAnsi="Verdana" w:cs="Times New Roman"/>
          <w:sz w:val="16"/>
          <w:szCs w:val="16"/>
          <w:lang w:val="es-CR"/>
        </w:rPr>
        <w:t xml:space="preserve">el </w:t>
      </w:r>
      <w:r>
        <w:rPr>
          <w:rFonts w:ascii="Verdana" w:eastAsiaTheme="minorHAnsi" w:hAnsi="Verdana" w:cs="Times New Roman"/>
          <w:sz w:val="16"/>
          <w:szCs w:val="16"/>
          <w:lang w:val="es-CR"/>
        </w:rPr>
        <w:t>[G]</w:t>
      </w:r>
      <w:r w:rsidRPr="002C462C">
        <w:rPr>
          <w:rFonts w:ascii="Verdana" w:eastAsiaTheme="minorHAnsi" w:hAnsi="Verdana" w:cs="Times New Roman"/>
          <w:sz w:val="16"/>
          <w:szCs w:val="16"/>
          <w:lang w:val="es-CR"/>
        </w:rPr>
        <w:t xml:space="preserve">obierno del </w:t>
      </w:r>
      <w:r>
        <w:rPr>
          <w:rFonts w:ascii="Verdana" w:eastAsiaTheme="minorHAnsi" w:hAnsi="Verdana" w:cs="Times New Roman"/>
          <w:sz w:val="16"/>
          <w:szCs w:val="16"/>
          <w:lang w:val="es-CR"/>
        </w:rPr>
        <w:t>[E]</w:t>
      </w:r>
      <w:r w:rsidRPr="002C462C">
        <w:rPr>
          <w:rFonts w:ascii="Verdana" w:eastAsiaTheme="minorHAnsi" w:hAnsi="Verdana" w:cs="Times New Roman"/>
          <w:sz w:val="16"/>
          <w:szCs w:val="16"/>
          <w:lang w:val="es-CR"/>
        </w:rPr>
        <w:t>stado de Chihuahua cuenta con un Fideicomiso denominado Fondo de Atención a Niños y Niñas hijos de víctimas de la</w:t>
      </w:r>
      <w:r w:rsidRPr="00432ABC">
        <w:rPr>
          <w:rFonts w:ascii="Verdana" w:eastAsiaTheme="minorHAnsi" w:hAnsi="Verdana" w:cs="Times New Roman"/>
          <w:sz w:val="16"/>
          <w:szCs w:val="16"/>
          <w:lang w:val="es-CR"/>
        </w:rPr>
        <w:t xml:space="preserve"> Lucha contra el Crimen. Mediante éste, se brinda atención a niños, niñas y adolescente en situación de vulnerabilidad, así como a los mayores de edad en situación de discapacidad, dependientes directos económicamente de las víctimas de la laucha contra el crimen. Lo anterior con el propósito de brindar apoyos integrales con perspectiva social;</w:t>
      </w:r>
      <w:r w:rsidRPr="00432ABC">
        <w:rPr>
          <w:rFonts w:ascii="Verdana" w:eastAsiaTheme="minorHAnsi" w:hAnsi="Verdana" w:cs="Times New Roman"/>
          <w:b/>
          <w:sz w:val="16"/>
          <w:szCs w:val="16"/>
          <w:lang w:val="es-CR"/>
        </w:rPr>
        <w:t xml:space="preserve"> </w:t>
      </w:r>
      <w:r w:rsidRPr="00432ABC">
        <w:rPr>
          <w:rFonts w:ascii="Verdana" w:eastAsiaTheme="minorHAnsi" w:hAnsi="Verdana" w:cs="Times New Roman"/>
          <w:sz w:val="16"/>
          <w:szCs w:val="16"/>
          <w:lang w:val="es-CR"/>
        </w:rPr>
        <w:t>[…]</w:t>
      </w:r>
      <w:r w:rsidRPr="00432ABC">
        <w:rPr>
          <w:rFonts w:ascii="Verdana" w:eastAsiaTheme="minorHAnsi" w:hAnsi="Verdana" w:cs="Times New Roman"/>
          <w:b/>
          <w:sz w:val="16"/>
          <w:szCs w:val="16"/>
          <w:lang w:val="es-CR"/>
        </w:rPr>
        <w:t xml:space="preserve"> </w:t>
      </w:r>
      <w:r w:rsidRPr="008D0846">
        <w:rPr>
          <w:rFonts w:ascii="Verdana" w:eastAsiaTheme="minorHAnsi" w:hAnsi="Verdana" w:cs="Times New Roman"/>
          <w:sz w:val="16"/>
          <w:szCs w:val="16"/>
          <w:lang w:val="es-CR"/>
        </w:rPr>
        <w:t>[E]</w:t>
      </w:r>
      <w:r w:rsidRPr="00432ABC">
        <w:rPr>
          <w:rFonts w:ascii="Verdana" w:eastAsiaTheme="minorHAnsi" w:hAnsi="Verdana" w:cs="Times New Roman"/>
          <w:sz w:val="16"/>
          <w:szCs w:val="16"/>
          <w:lang w:val="es-CR"/>
        </w:rPr>
        <w:t xml:space="preserve">l </w:t>
      </w:r>
      <w:r>
        <w:rPr>
          <w:rFonts w:ascii="Verdana" w:eastAsiaTheme="minorHAnsi" w:hAnsi="Verdana" w:cs="Times New Roman"/>
          <w:sz w:val="16"/>
          <w:szCs w:val="16"/>
          <w:lang w:val="es-CR"/>
        </w:rPr>
        <w:t>[G]</w:t>
      </w:r>
      <w:r w:rsidRPr="00432ABC">
        <w:rPr>
          <w:rFonts w:ascii="Verdana" w:eastAsiaTheme="minorHAnsi" w:hAnsi="Verdana" w:cs="Times New Roman"/>
          <w:sz w:val="16"/>
          <w:szCs w:val="16"/>
          <w:lang w:val="es-CR"/>
        </w:rPr>
        <w:t xml:space="preserve">obierno de Chihuahua ha otorgado dos proyectos productivos en favor de María Jesús Alvarado Espinoza y Ascención Alvarado Fabela y María de Jesús Espinoza Peinado, una papelería y una dulcería respectivamente. Respecto de la primera se otorgó una inversión inicial, que en materiales asciende a $25,000.00 y la segunda a $24,998.00. Es importante mencionar, que ambos proyectos fueron otorgados en el marco del Programa de Autoempleo del gobierno del estado de Chihuahua </w:t>
      </w:r>
      <w:r>
        <w:rPr>
          <w:rFonts w:ascii="Verdana" w:eastAsiaTheme="minorHAnsi" w:hAnsi="Verdana" w:cs="Times New Roman"/>
          <w:sz w:val="16"/>
          <w:szCs w:val="16"/>
          <w:lang w:val="es-CR"/>
        </w:rPr>
        <w:t>‘</w:t>
      </w:r>
      <w:r w:rsidRPr="00432ABC">
        <w:rPr>
          <w:rFonts w:ascii="Verdana" w:eastAsiaTheme="minorHAnsi" w:hAnsi="Verdana" w:cs="Times New Roman"/>
          <w:sz w:val="16"/>
          <w:szCs w:val="16"/>
          <w:lang w:val="es-CR"/>
        </w:rPr>
        <w:t>PAGECH</w:t>
      </w:r>
      <w:r>
        <w:rPr>
          <w:rFonts w:ascii="Verdana" w:eastAsiaTheme="minorHAnsi" w:hAnsi="Verdana" w:cs="Times New Roman"/>
          <w:sz w:val="16"/>
          <w:szCs w:val="16"/>
          <w:lang w:val="es-CR"/>
        </w:rPr>
        <w:t>’ […]</w:t>
      </w:r>
      <w:r w:rsidRPr="00432ABC">
        <w:rPr>
          <w:rFonts w:ascii="Verdana" w:eastAsiaTheme="minorHAnsi" w:hAnsi="Verdana" w:cs="Times New Roman"/>
          <w:sz w:val="16"/>
          <w:szCs w:val="16"/>
          <w:lang w:val="es-CR"/>
        </w:rPr>
        <w:t xml:space="preserve">” </w:t>
      </w:r>
      <w:r w:rsidRPr="008D0846">
        <w:rPr>
          <w:rFonts w:ascii="Verdana" w:eastAsiaTheme="minorHAnsi" w:hAnsi="Verdana" w:cs="Times New Roman"/>
          <w:sz w:val="16"/>
          <w:szCs w:val="16"/>
          <w:lang w:val="es-CR"/>
        </w:rPr>
        <w:t>(expediente de fondo, ff. 689 a 690, párrs. 1154 y 1157).</w:t>
      </w:r>
    </w:p>
  </w:footnote>
  <w:footnote w:id="541">
    <w:p w14:paraId="0B318D79" w14:textId="08973CA0" w:rsidR="00146958" w:rsidRPr="009966FF" w:rsidRDefault="00146958">
      <w:pPr>
        <w:pStyle w:val="FootnoteText"/>
        <w:jc w:val="both"/>
        <w:rPr>
          <w:rFonts w:ascii="Verdana" w:hAnsi="Verdana"/>
          <w:color w:val="244AFC"/>
          <w:sz w:val="16"/>
          <w:szCs w:val="16"/>
          <w:lang w:val="es-CR"/>
        </w:rPr>
      </w:pPr>
      <w:r w:rsidRPr="00432ABC">
        <w:rPr>
          <w:rStyle w:val="FootnoteReference"/>
          <w:rFonts w:ascii="Verdana" w:hAnsi="Verdana"/>
          <w:sz w:val="16"/>
          <w:szCs w:val="16"/>
          <w:lang w:val="es-CR"/>
        </w:rPr>
        <w:footnoteRef/>
      </w:r>
      <w:r w:rsidRPr="00432ABC">
        <w:rPr>
          <w:rFonts w:ascii="Verdana" w:hAnsi="Verdana"/>
          <w:sz w:val="16"/>
          <w:szCs w:val="16"/>
          <w:lang w:val="es-CR"/>
        </w:rPr>
        <w:t xml:space="preserve"> </w:t>
      </w:r>
      <w:r w:rsidRPr="002C462C">
        <w:rPr>
          <w:rFonts w:ascii="Verdana" w:hAnsi="Verdana"/>
          <w:sz w:val="16"/>
          <w:szCs w:val="16"/>
          <w:lang w:val="es-CR"/>
        </w:rPr>
        <w:tab/>
      </w:r>
      <w:r w:rsidRPr="00CD5C54">
        <w:rPr>
          <w:rFonts w:ascii="Verdana" w:hAnsi="Verdana"/>
          <w:i/>
          <w:iCs/>
          <w:sz w:val="16"/>
          <w:szCs w:val="16"/>
          <w:lang w:val="es-CR"/>
        </w:rPr>
        <w:t>Cfr.</w:t>
      </w:r>
      <w:r w:rsidRPr="009966FF">
        <w:rPr>
          <w:rFonts w:ascii="Verdana" w:hAnsi="Verdana"/>
          <w:bCs/>
          <w:i/>
          <w:sz w:val="16"/>
          <w:szCs w:val="16"/>
          <w:lang w:val="es-CR"/>
        </w:rPr>
        <w:t xml:space="preserve"> </w:t>
      </w:r>
      <w:r w:rsidRPr="009966FF">
        <w:rPr>
          <w:rFonts w:ascii="Verdana" w:hAnsi="Verdana"/>
          <w:i/>
          <w:spacing w:val="-6"/>
          <w:sz w:val="16"/>
          <w:szCs w:val="16"/>
          <w:lang w:val="es-CR"/>
        </w:rPr>
        <w:t xml:space="preserve">Caso Cantoral Benavides </w:t>
      </w:r>
      <w:r w:rsidRPr="009966FF">
        <w:rPr>
          <w:rFonts w:ascii="Verdana" w:hAnsi="Verdana"/>
          <w:i/>
          <w:sz w:val="16"/>
          <w:szCs w:val="16"/>
          <w:lang w:val="es-CR"/>
        </w:rPr>
        <w:t>Vs. Perú.</w:t>
      </w:r>
      <w:r w:rsidRPr="009966FF">
        <w:rPr>
          <w:rFonts w:ascii="Verdana" w:hAnsi="Verdana"/>
          <w:sz w:val="16"/>
          <w:szCs w:val="16"/>
          <w:lang w:val="es-CR"/>
        </w:rPr>
        <w:t xml:space="preserve"> </w:t>
      </w:r>
      <w:r w:rsidRPr="009966FF">
        <w:rPr>
          <w:rFonts w:ascii="Verdana" w:hAnsi="Verdana"/>
          <w:i/>
          <w:sz w:val="16"/>
          <w:szCs w:val="16"/>
          <w:lang w:val="es-CR"/>
        </w:rPr>
        <w:t>Reparaciones</w:t>
      </w:r>
      <w:r w:rsidRPr="009966FF">
        <w:rPr>
          <w:rFonts w:ascii="Verdana" w:hAnsi="Verdana"/>
          <w:sz w:val="16"/>
          <w:szCs w:val="16"/>
          <w:lang w:val="es-CR"/>
        </w:rPr>
        <w:t xml:space="preserve"> </w:t>
      </w:r>
      <w:r w:rsidRPr="009966FF">
        <w:rPr>
          <w:rFonts w:ascii="Verdana" w:hAnsi="Verdana"/>
          <w:i/>
          <w:sz w:val="16"/>
          <w:szCs w:val="16"/>
          <w:lang w:val="es-CR"/>
        </w:rPr>
        <w:t>y Costas</w:t>
      </w:r>
      <w:r w:rsidRPr="009966FF">
        <w:rPr>
          <w:rFonts w:ascii="Verdana" w:hAnsi="Verdana"/>
          <w:sz w:val="16"/>
          <w:szCs w:val="16"/>
          <w:lang w:val="es-CR"/>
        </w:rPr>
        <w:t>. Sentencia de 3 de diciembre de 2001. Serie C No. 88, párr. 81</w:t>
      </w:r>
      <w:r w:rsidRPr="008D0846">
        <w:rPr>
          <w:rFonts w:ascii="Verdana" w:hAnsi="Verdana"/>
          <w:sz w:val="16"/>
          <w:szCs w:val="16"/>
          <w:lang w:val="es-CR"/>
        </w:rPr>
        <w:t xml:space="preserve">, y </w:t>
      </w:r>
      <w:r w:rsidRPr="009966FF">
        <w:rPr>
          <w:rStyle w:val="Strong"/>
          <w:rFonts w:ascii="Verdana" w:hAnsi="Verdana"/>
          <w:b w:val="0"/>
          <w:i/>
          <w:color w:val="000000"/>
          <w:sz w:val="16"/>
          <w:szCs w:val="16"/>
          <w:shd w:val="clear" w:color="auto" w:fill="FFFFFF"/>
        </w:rPr>
        <w:t>Caso Terrones Silva y otros Vs. Perú</w:t>
      </w:r>
      <w:r w:rsidRPr="009966FF">
        <w:rPr>
          <w:rStyle w:val="Strong"/>
          <w:rFonts w:ascii="Verdana" w:hAnsi="Verdana"/>
          <w:b w:val="0"/>
          <w:color w:val="000000"/>
          <w:sz w:val="16"/>
          <w:szCs w:val="16"/>
          <w:shd w:val="clear" w:color="auto" w:fill="FFFFFF"/>
        </w:rPr>
        <w:t xml:space="preserve">, </w:t>
      </w:r>
      <w:r w:rsidRPr="009966FF">
        <w:rPr>
          <w:rStyle w:val="Strong"/>
          <w:rFonts w:ascii="Verdana" w:hAnsi="Verdana"/>
          <w:b w:val="0"/>
          <w:i/>
          <w:color w:val="000000"/>
          <w:sz w:val="16"/>
          <w:szCs w:val="16"/>
          <w:shd w:val="clear" w:color="auto" w:fill="FFFFFF"/>
        </w:rPr>
        <w:t xml:space="preserve">supra, </w:t>
      </w:r>
      <w:r w:rsidRPr="009966FF">
        <w:rPr>
          <w:rStyle w:val="Strong"/>
          <w:rFonts w:ascii="Verdana" w:hAnsi="Verdana"/>
          <w:b w:val="0"/>
          <w:color w:val="000000"/>
          <w:sz w:val="16"/>
          <w:szCs w:val="16"/>
          <w:shd w:val="clear" w:color="auto" w:fill="FFFFFF"/>
        </w:rPr>
        <w:t>párr. 255</w:t>
      </w:r>
      <w:r w:rsidRPr="009966FF">
        <w:rPr>
          <w:rFonts w:ascii="Verdana" w:hAnsi="Verdana"/>
          <w:sz w:val="16"/>
          <w:szCs w:val="16"/>
          <w:lang w:val="es-CR"/>
        </w:rPr>
        <w:t>.</w:t>
      </w:r>
    </w:p>
  </w:footnote>
  <w:footnote w:id="542">
    <w:p w14:paraId="070D06CB" w14:textId="111272EF" w:rsidR="00146958" w:rsidRPr="00432ABC" w:rsidRDefault="00146958">
      <w:pPr>
        <w:pStyle w:val="Estilo1"/>
        <w:tabs>
          <w:tab w:val="clear" w:pos="567"/>
          <w:tab w:val="clear" w:pos="1134"/>
          <w:tab w:val="left" w:pos="709"/>
        </w:tabs>
        <w:spacing w:after="0"/>
        <w:rPr>
          <w:spacing w:val="-6"/>
          <w:sz w:val="16"/>
          <w:szCs w:val="16"/>
        </w:rPr>
      </w:pPr>
      <w:r w:rsidRPr="009966FF">
        <w:rPr>
          <w:rStyle w:val="FootnoteReference"/>
          <w:spacing w:val="-6"/>
          <w:sz w:val="16"/>
          <w:szCs w:val="16"/>
        </w:rPr>
        <w:footnoteRef/>
      </w:r>
      <w:r w:rsidRPr="009966FF">
        <w:rPr>
          <w:spacing w:val="-6"/>
          <w:sz w:val="16"/>
          <w:szCs w:val="16"/>
        </w:rPr>
        <w:t xml:space="preserve"> </w:t>
      </w:r>
      <w:r w:rsidRPr="009966FF">
        <w:rPr>
          <w:spacing w:val="-6"/>
          <w:sz w:val="16"/>
          <w:szCs w:val="16"/>
        </w:rPr>
        <w:tab/>
      </w:r>
      <w:r w:rsidRPr="00CD5C54">
        <w:rPr>
          <w:i/>
          <w:spacing w:val="-6"/>
          <w:sz w:val="16"/>
          <w:szCs w:val="16"/>
        </w:rPr>
        <w:t>Cfr.</w:t>
      </w:r>
      <w:r w:rsidRPr="009966FF">
        <w:rPr>
          <w:i/>
          <w:spacing w:val="-6"/>
          <w:sz w:val="16"/>
          <w:szCs w:val="16"/>
        </w:rPr>
        <w:t xml:space="preserve"> Caso Cantoral Benavides </w:t>
      </w:r>
      <w:r w:rsidRPr="009966FF">
        <w:rPr>
          <w:i/>
          <w:sz w:val="16"/>
          <w:szCs w:val="16"/>
        </w:rPr>
        <w:t>Vs. Perú,</w:t>
      </w:r>
      <w:r w:rsidRPr="009966FF">
        <w:rPr>
          <w:sz w:val="16"/>
          <w:szCs w:val="16"/>
        </w:rPr>
        <w:t xml:space="preserve"> </w:t>
      </w:r>
      <w:r w:rsidRPr="008D0846">
        <w:rPr>
          <w:i/>
          <w:sz w:val="16"/>
          <w:szCs w:val="16"/>
        </w:rPr>
        <w:t>supra</w:t>
      </w:r>
      <w:r w:rsidRPr="009966FF">
        <w:rPr>
          <w:sz w:val="16"/>
          <w:szCs w:val="16"/>
        </w:rPr>
        <w:t xml:space="preserve">, </w:t>
      </w:r>
      <w:r w:rsidRPr="009966FF">
        <w:rPr>
          <w:spacing w:val="-6"/>
          <w:sz w:val="16"/>
          <w:szCs w:val="16"/>
        </w:rPr>
        <w:t>párr.</w:t>
      </w:r>
      <w:r w:rsidRPr="009966FF">
        <w:rPr>
          <w:i/>
          <w:spacing w:val="-6"/>
          <w:sz w:val="16"/>
          <w:szCs w:val="16"/>
        </w:rPr>
        <w:t xml:space="preserve"> </w:t>
      </w:r>
      <w:r w:rsidRPr="009966FF">
        <w:rPr>
          <w:spacing w:val="-6"/>
          <w:sz w:val="16"/>
          <w:szCs w:val="16"/>
        </w:rPr>
        <w:t xml:space="preserve">79, y </w:t>
      </w:r>
      <w:r w:rsidRPr="008D0846">
        <w:rPr>
          <w:bCs/>
          <w:i/>
          <w:spacing w:val="-6"/>
          <w:sz w:val="16"/>
          <w:szCs w:val="16"/>
          <w:lang w:val="es-MX"/>
        </w:rPr>
        <w:t>Caso Terrones Silva y otros Vs. Perú</w:t>
      </w:r>
      <w:r w:rsidRPr="008D0846">
        <w:rPr>
          <w:bCs/>
          <w:spacing w:val="-6"/>
          <w:sz w:val="16"/>
          <w:szCs w:val="16"/>
          <w:lang w:val="es-MX"/>
        </w:rPr>
        <w:t xml:space="preserve">, </w:t>
      </w:r>
      <w:r w:rsidRPr="008D0846">
        <w:rPr>
          <w:bCs/>
          <w:i/>
          <w:spacing w:val="-6"/>
          <w:sz w:val="16"/>
          <w:szCs w:val="16"/>
          <w:lang w:val="es-MX"/>
        </w:rPr>
        <w:t xml:space="preserve">supra, </w:t>
      </w:r>
      <w:r w:rsidRPr="008D0846">
        <w:rPr>
          <w:bCs/>
          <w:spacing w:val="-6"/>
          <w:sz w:val="16"/>
          <w:szCs w:val="16"/>
          <w:lang w:val="es-MX"/>
        </w:rPr>
        <w:t>párr. 254</w:t>
      </w:r>
      <w:r w:rsidRPr="009966FF">
        <w:rPr>
          <w:i/>
          <w:spacing w:val="-6"/>
          <w:sz w:val="16"/>
          <w:szCs w:val="16"/>
        </w:rPr>
        <w:t>.</w:t>
      </w:r>
    </w:p>
  </w:footnote>
  <w:footnote w:id="543">
    <w:p w14:paraId="19CA5731" w14:textId="4404057D" w:rsidR="00146958" w:rsidRPr="009966FF" w:rsidRDefault="00146958">
      <w:pPr>
        <w:pStyle w:val="FootnoteText"/>
        <w:jc w:val="both"/>
        <w:rPr>
          <w:rFonts w:ascii="Verdana" w:hAnsi="Verdana"/>
          <w:sz w:val="16"/>
          <w:szCs w:val="16"/>
          <w:lang w:val="es-CR"/>
        </w:rPr>
      </w:pPr>
      <w:r w:rsidRPr="00A07293">
        <w:rPr>
          <w:rStyle w:val="FootnoteReference"/>
          <w:rFonts w:ascii="Verdana" w:hAnsi="Verdana"/>
          <w:sz w:val="16"/>
          <w:szCs w:val="16"/>
        </w:rPr>
        <w:footnoteRef/>
      </w:r>
      <w:r w:rsidRPr="00A07293">
        <w:rPr>
          <w:rFonts w:ascii="Verdana" w:hAnsi="Verdana"/>
          <w:sz w:val="16"/>
          <w:szCs w:val="16"/>
          <w:lang w:val="es-CR"/>
        </w:rPr>
        <w:t xml:space="preserve"> </w:t>
      </w:r>
      <w:r w:rsidRPr="00A07293">
        <w:rPr>
          <w:rFonts w:ascii="Verdana" w:hAnsi="Verdana"/>
          <w:sz w:val="16"/>
          <w:szCs w:val="16"/>
          <w:lang w:val="es-CR"/>
        </w:rPr>
        <w:tab/>
      </w:r>
      <w:r w:rsidRPr="00CD5C54">
        <w:rPr>
          <w:rFonts w:ascii="Verdana" w:hAnsi="Verdana"/>
          <w:i/>
          <w:sz w:val="16"/>
          <w:szCs w:val="16"/>
          <w:lang w:val="es-CR"/>
        </w:rPr>
        <w:t>Cfr.</w:t>
      </w:r>
      <w:r w:rsidRPr="00A07293">
        <w:rPr>
          <w:rFonts w:ascii="Verdana" w:hAnsi="Verdana"/>
          <w:i/>
          <w:sz w:val="16"/>
          <w:szCs w:val="16"/>
          <w:lang w:val="es-CR"/>
        </w:rPr>
        <w:t xml:space="preserve"> Caso Loayza Tamayo Vs. Perú. Reparaciones y Costas. </w:t>
      </w:r>
      <w:r w:rsidRPr="00A07293">
        <w:rPr>
          <w:rFonts w:ascii="Verdana" w:hAnsi="Verdana"/>
          <w:sz w:val="16"/>
          <w:szCs w:val="16"/>
          <w:lang w:val="es-CR"/>
        </w:rPr>
        <w:t>Sentencia de 27 de noviembre de 1998. Serie C No. 42, párr. 147</w:t>
      </w:r>
      <w:r w:rsidRPr="008D0846">
        <w:rPr>
          <w:rFonts w:ascii="Verdana" w:hAnsi="Verdana"/>
          <w:sz w:val="16"/>
          <w:szCs w:val="16"/>
          <w:lang w:val="es-CR"/>
        </w:rPr>
        <w:t xml:space="preserve">, y </w:t>
      </w:r>
      <w:r w:rsidRPr="008D0846">
        <w:rPr>
          <w:rFonts w:ascii="Verdana" w:hAnsi="Verdana"/>
          <w:bCs/>
          <w:i/>
          <w:sz w:val="16"/>
          <w:szCs w:val="16"/>
        </w:rPr>
        <w:t>Caso Zegarra Marín Vs. Perú. Excepciones Preliminares, Fondo, Reparaciones y Costas</w:t>
      </w:r>
      <w:r w:rsidRPr="008D0846">
        <w:rPr>
          <w:rFonts w:ascii="Verdana" w:hAnsi="Verdana"/>
          <w:bCs/>
          <w:sz w:val="16"/>
          <w:szCs w:val="16"/>
        </w:rPr>
        <w:t>. Sentencia de 15 de febrero de 2017. Serie C No. 331, párr. 223.</w:t>
      </w:r>
    </w:p>
  </w:footnote>
  <w:footnote w:id="544">
    <w:p w14:paraId="027FA42F" w14:textId="3EE57E2A" w:rsidR="00146958" w:rsidRPr="00A07293" w:rsidRDefault="00146958">
      <w:pPr>
        <w:pStyle w:val="FootnoteText"/>
        <w:jc w:val="both"/>
        <w:rPr>
          <w:rFonts w:ascii="Verdana" w:hAnsi="Verdana"/>
          <w:sz w:val="16"/>
          <w:szCs w:val="16"/>
          <w:lang w:val="es-CR"/>
        </w:rPr>
      </w:pPr>
      <w:r w:rsidRPr="00A07293">
        <w:rPr>
          <w:rStyle w:val="FootnoteReference"/>
          <w:rFonts w:ascii="Verdana" w:hAnsi="Verdana"/>
          <w:sz w:val="16"/>
          <w:szCs w:val="16"/>
        </w:rPr>
        <w:footnoteRef/>
      </w:r>
      <w:r w:rsidRPr="00A07293">
        <w:rPr>
          <w:rFonts w:ascii="Verdana" w:hAnsi="Verdana"/>
          <w:sz w:val="16"/>
          <w:szCs w:val="16"/>
          <w:lang w:val="es-CR"/>
        </w:rPr>
        <w:t xml:space="preserve"> </w:t>
      </w:r>
      <w:r w:rsidRPr="00A07293">
        <w:rPr>
          <w:rFonts w:ascii="Verdana" w:hAnsi="Verdana"/>
          <w:sz w:val="16"/>
          <w:szCs w:val="16"/>
          <w:lang w:val="es-CR"/>
        </w:rPr>
        <w:tab/>
      </w:r>
      <w:r w:rsidRPr="00CD5C54">
        <w:rPr>
          <w:rFonts w:ascii="Verdana" w:hAnsi="Verdana"/>
          <w:i/>
          <w:iCs/>
          <w:sz w:val="16"/>
          <w:szCs w:val="16"/>
          <w:lang w:val="es-CR"/>
        </w:rPr>
        <w:t>Cfr.</w:t>
      </w:r>
      <w:r w:rsidRPr="00FC0936">
        <w:rPr>
          <w:rFonts w:ascii="Verdana" w:hAnsi="Verdana"/>
          <w:iCs/>
          <w:sz w:val="16"/>
          <w:szCs w:val="16"/>
          <w:lang w:val="es-CR"/>
        </w:rPr>
        <w:t xml:space="preserve"> </w:t>
      </w:r>
      <w:r w:rsidRPr="008D0846">
        <w:rPr>
          <w:rFonts w:ascii="Verdana" w:hAnsi="Verdana"/>
          <w:bCs/>
          <w:i/>
          <w:iCs/>
          <w:sz w:val="16"/>
          <w:szCs w:val="16"/>
        </w:rPr>
        <w:t xml:space="preserve">Caso Furlan y familiares Vs. Argentina. Excepciones Preliminares, Fondo, Reparaciones y Costas. </w:t>
      </w:r>
      <w:r w:rsidRPr="008D0846">
        <w:rPr>
          <w:rFonts w:ascii="Verdana" w:hAnsi="Verdana"/>
          <w:bCs/>
          <w:iCs/>
          <w:sz w:val="16"/>
          <w:szCs w:val="16"/>
        </w:rPr>
        <w:t xml:space="preserve">Sentencia de 31 de agosto de 2012. Serie C No. 246, párr. 285, y </w:t>
      </w:r>
      <w:r w:rsidRPr="008D0846">
        <w:rPr>
          <w:rFonts w:ascii="Verdana" w:hAnsi="Verdana"/>
          <w:bCs/>
          <w:i/>
          <w:iCs/>
          <w:sz w:val="16"/>
          <w:szCs w:val="16"/>
        </w:rPr>
        <w:t>Caso Zegarra Marín Vs. Perú</w:t>
      </w:r>
      <w:r w:rsidRPr="008D0846">
        <w:rPr>
          <w:rFonts w:ascii="Verdana" w:hAnsi="Verdana"/>
          <w:bCs/>
          <w:iCs/>
          <w:sz w:val="16"/>
          <w:szCs w:val="16"/>
          <w:lang w:val="es-CR"/>
        </w:rPr>
        <w:t xml:space="preserve">, </w:t>
      </w:r>
      <w:r w:rsidRPr="008D0846">
        <w:rPr>
          <w:rFonts w:ascii="Verdana" w:hAnsi="Verdana"/>
          <w:bCs/>
          <w:i/>
          <w:iCs/>
          <w:sz w:val="16"/>
          <w:szCs w:val="16"/>
          <w:lang w:val="es-CR"/>
        </w:rPr>
        <w:t xml:space="preserve">supra, </w:t>
      </w:r>
      <w:r w:rsidRPr="008D0846">
        <w:rPr>
          <w:rFonts w:ascii="Verdana" w:hAnsi="Verdana"/>
          <w:bCs/>
          <w:iCs/>
          <w:sz w:val="16"/>
          <w:szCs w:val="16"/>
          <w:lang w:val="es-CR"/>
        </w:rPr>
        <w:t>párr. 223</w:t>
      </w:r>
      <w:r w:rsidRPr="00FC0936">
        <w:rPr>
          <w:rFonts w:ascii="Verdana" w:hAnsi="Verdana"/>
          <w:sz w:val="16"/>
          <w:szCs w:val="16"/>
          <w:lang w:val="es-CR"/>
        </w:rPr>
        <w:t>.</w:t>
      </w:r>
    </w:p>
  </w:footnote>
  <w:footnote w:id="545">
    <w:p w14:paraId="75CA4715" w14:textId="1ABEAF7F" w:rsidR="00146958" w:rsidRPr="0069432F" w:rsidRDefault="00146958">
      <w:pPr>
        <w:pStyle w:val="FootnoteText"/>
        <w:jc w:val="both"/>
        <w:rPr>
          <w:rFonts w:ascii="Verdana" w:hAnsi="Verdana"/>
          <w:sz w:val="16"/>
          <w:szCs w:val="16"/>
          <w:lang w:val="es-CR"/>
        </w:rPr>
      </w:pPr>
      <w:r w:rsidRPr="008C06B6">
        <w:rPr>
          <w:rStyle w:val="FootnoteReference"/>
          <w:rFonts w:ascii="Verdana" w:hAnsi="Verdana"/>
          <w:sz w:val="16"/>
          <w:szCs w:val="16"/>
        </w:rPr>
        <w:footnoteRef/>
      </w:r>
      <w:r w:rsidRPr="008C06B6">
        <w:rPr>
          <w:rFonts w:ascii="Verdana" w:hAnsi="Verdana"/>
          <w:sz w:val="16"/>
          <w:szCs w:val="16"/>
          <w:lang w:val="es-CR"/>
        </w:rPr>
        <w:t xml:space="preserve"> </w:t>
      </w:r>
      <w:r w:rsidRPr="008C06B6">
        <w:rPr>
          <w:rFonts w:ascii="Verdana" w:hAnsi="Verdana"/>
          <w:sz w:val="16"/>
          <w:szCs w:val="16"/>
          <w:lang w:val="es-CR"/>
        </w:rPr>
        <w:tab/>
      </w:r>
      <w:r w:rsidRPr="00CD5C54">
        <w:rPr>
          <w:rFonts w:ascii="Verdana" w:hAnsi="Verdana"/>
          <w:i/>
          <w:sz w:val="16"/>
          <w:szCs w:val="16"/>
          <w:lang w:val="es-CR"/>
        </w:rPr>
        <w:t>Cfr.</w:t>
      </w:r>
      <w:r w:rsidRPr="008C06B6">
        <w:rPr>
          <w:rFonts w:ascii="Verdana" w:hAnsi="Verdana"/>
          <w:sz w:val="16"/>
          <w:szCs w:val="16"/>
          <w:lang w:val="es-CR"/>
        </w:rPr>
        <w:t xml:space="preserve"> </w:t>
      </w:r>
      <w:r w:rsidRPr="0069432F">
        <w:rPr>
          <w:rFonts w:ascii="Verdana" w:hAnsi="Verdana"/>
          <w:i/>
          <w:sz w:val="16"/>
          <w:szCs w:val="16"/>
          <w:lang w:val="es-CR"/>
        </w:rPr>
        <w:t>Caso Tibi Vs. Ecuador. Excepciones Preliminares, Fondo, Reparaciones y Costas</w:t>
      </w:r>
      <w:r w:rsidRPr="0069432F">
        <w:rPr>
          <w:rFonts w:ascii="Verdana" w:hAnsi="Verdana"/>
          <w:sz w:val="16"/>
          <w:szCs w:val="16"/>
          <w:lang w:val="es-CR"/>
        </w:rPr>
        <w:t xml:space="preserve">. Sentencia de 7 de septiembre de 2004. Serie C No. 114, párr. 245, y </w:t>
      </w:r>
      <w:r w:rsidRPr="008D0846">
        <w:rPr>
          <w:rFonts w:ascii="Verdana" w:hAnsi="Verdana"/>
          <w:bCs/>
          <w:i/>
          <w:sz w:val="16"/>
          <w:szCs w:val="16"/>
        </w:rPr>
        <w:t>Caso Mendoza y otros Vs. Argentina. Excepciones Preliminares, Fondo y Reparaciones</w:t>
      </w:r>
      <w:r w:rsidRPr="008D0846">
        <w:rPr>
          <w:rFonts w:ascii="Verdana" w:hAnsi="Verdana"/>
          <w:bCs/>
          <w:sz w:val="16"/>
          <w:szCs w:val="16"/>
        </w:rPr>
        <w:t>. Sentencia de 14 de mayo de 2013. Serie C No. 260, párr</w:t>
      </w:r>
      <w:r w:rsidRPr="008C06B6">
        <w:rPr>
          <w:rFonts w:ascii="Verdana" w:hAnsi="Verdana"/>
          <w:sz w:val="16"/>
          <w:szCs w:val="16"/>
          <w:lang w:val="es-CR"/>
        </w:rPr>
        <w:t>. 314.</w:t>
      </w:r>
    </w:p>
  </w:footnote>
  <w:footnote w:id="546">
    <w:p w14:paraId="6C15F0AE" w14:textId="07C9FB7F" w:rsidR="00146958" w:rsidRPr="00432ABC" w:rsidRDefault="00146958">
      <w:pPr>
        <w:pStyle w:val="FootnoteText"/>
        <w:jc w:val="both"/>
        <w:rPr>
          <w:rFonts w:ascii="Verdana" w:hAnsi="Verdana"/>
          <w:sz w:val="16"/>
          <w:szCs w:val="16"/>
          <w:lang w:val="es-CR"/>
        </w:rPr>
      </w:pPr>
      <w:r w:rsidRPr="0069432F">
        <w:rPr>
          <w:rStyle w:val="FootnoteReference"/>
          <w:rFonts w:ascii="Verdana" w:hAnsi="Verdana"/>
          <w:sz w:val="16"/>
          <w:szCs w:val="16"/>
        </w:rPr>
        <w:footnoteRef/>
      </w:r>
      <w:r w:rsidRPr="004E1FE0">
        <w:rPr>
          <w:rFonts w:ascii="Verdana" w:hAnsi="Verdana"/>
          <w:sz w:val="16"/>
          <w:szCs w:val="16"/>
          <w:lang w:val="es-CR"/>
        </w:rPr>
        <w:t xml:space="preserve"> </w:t>
      </w:r>
      <w:r w:rsidRPr="004E1FE0">
        <w:rPr>
          <w:rFonts w:ascii="Verdana" w:hAnsi="Verdana"/>
          <w:sz w:val="16"/>
          <w:szCs w:val="16"/>
          <w:lang w:val="es-CR"/>
        </w:rPr>
        <w:tab/>
      </w:r>
      <w:r w:rsidRPr="00CD5C54">
        <w:rPr>
          <w:rFonts w:ascii="Verdana" w:hAnsi="Verdana"/>
          <w:i/>
          <w:sz w:val="16"/>
          <w:szCs w:val="16"/>
          <w:lang w:val="es-CR"/>
        </w:rPr>
        <w:t>Cfr.</w:t>
      </w:r>
      <w:r w:rsidRPr="00206971">
        <w:rPr>
          <w:rFonts w:ascii="Verdana" w:hAnsi="Verdana"/>
          <w:sz w:val="16"/>
          <w:szCs w:val="16"/>
          <w:lang w:val="es-CR"/>
        </w:rPr>
        <w:t xml:space="preserve"> </w:t>
      </w:r>
      <w:r w:rsidRPr="00271D21">
        <w:rPr>
          <w:rFonts w:ascii="Verdana" w:hAnsi="Verdana"/>
          <w:i/>
          <w:sz w:val="16"/>
          <w:szCs w:val="16"/>
          <w:lang w:val="es-CR"/>
        </w:rPr>
        <w:t>Caso Loayza Tamayo Vs. Perú</w:t>
      </w:r>
      <w:r w:rsidRPr="008D0846">
        <w:rPr>
          <w:rFonts w:ascii="Verdana" w:hAnsi="Verdana"/>
          <w:i/>
          <w:sz w:val="16"/>
          <w:szCs w:val="16"/>
          <w:lang w:val="es-CR"/>
        </w:rPr>
        <w:t xml:space="preserve">, supra, </w:t>
      </w:r>
      <w:r w:rsidRPr="00206971">
        <w:rPr>
          <w:rFonts w:ascii="Verdana" w:hAnsi="Verdana"/>
          <w:sz w:val="16"/>
          <w:szCs w:val="16"/>
          <w:lang w:val="es-CR"/>
        </w:rPr>
        <w:t>párr. 150</w:t>
      </w:r>
      <w:r w:rsidRPr="008D0846">
        <w:rPr>
          <w:rFonts w:ascii="Verdana" w:hAnsi="Verdana"/>
          <w:sz w:val="16"/>
          <w:szCs w:val="16"/>
          <w:lang w:val="es-CR"/>
        </w:rPr>
        <w:t>, y</w:t>
      </w:r>
      <w:r w:rsidRPr="004E1FE0">
        <w:rPr>
          <w:rFonts w:ascii="Verdana" w:hAnsi="Verdana"/>
          <w:bCs/>
          <w:i/>
          <w:sz w:val="16"/>
          <w:szCs w:val="16"/>
        </w:rPr>
        <w:t xml:space="preserve"> </w:t>
      </w:r>
      <w:r w:rsidRPr="008D0846">
        <w:rPr>
          <w:rFonts w:ascii="Verdana" w:hAnsi="Verdana"/>
          <w:bCs/>
          <w:i/>
          <w:sz w:val="16"/>
          <w:szCs w:val="16"/>
        </w:rPr>
        <w:t>Caso Mendoza y otros Vs. Argentina, supra,</w:t>
      </w:r>
      <w:r w:rsidRPr="008D0846">
        <w:rPr>
          <w:rFonts w:ascii="Verdana" w:hAnsi="Verdana"/>
          <w:bCs/>
          <w:sz w:val="16"/>
          <w:szCs w:val="16"/>
        </w:rPr>
        <w:t xml:space="preserve"> </w:t>
      </w:r>
      <w:r>
        <w:rPr>
          <w:rFonts w:ascii="Verdana" w:hAnsi="Verdana"/>
          <w:bCs/>
          <w:sz w:val="16"/>
          <w:szCs w:val="16"/>
        </w:rPr>
        <w:t xml:space="preserve">párr. </w:t>
      </w:r>
      <w:r w:rsidRPr="008D0846">
        <w:rPr>
          <w:rFonts w:ascii="Verdana" w:hAnsi="Verdana"/>
          <w:bCs/>
          <w:sz w:val="16"/>
          <w:szCs w:val="16"/>
        </w:rPr>
        <w:t>314</w:t>
      </w:r>
      <w:r w:rsidRPr="008D0846">
        <w:rPr>
          <w:rFonts w:ascii="Verdana" w:hAnsi="Verdana"/>
          <w:bCs/>
          <w:i/>
          <w:sz w:val="16"/>
          <w:szCs w:val="16"/>
        </w:rPr>
        <w:t>.</w:t>
      </w:r>
    </w:p>
  </w:footnote>
  <w:footnote w:id="547">
    <w:p w14:paraId="20BF4451" w14:textId="2EE77CF7" w:rsidR="00146958" w:rsidRPr="008D0846" w:rsidRDefault="00146958" w:rsidP="00DB378B">
      <w:pPr>
        <w:pStyle w:val="FootnoteText"/>
        <w:jc w:val="both"/>
        <w:rPr>
          <w:rFonts w:ascii="Verdana" w:hAnsi="Verdana"/>
          <w:sz w:val="16"/>
          <w:szCs w:val="16"/>
          <w:lang w:val="es-CR"/>
        </w:rPr>
      </w:pPr>
      <w:r w:rsidRPr="002C27AA">
        <w:rPr>
          <w:rStyle w:val="FootnoteReference"/>
          <w:rFonts w:ascii="Verdana" w:hAnsi="Verdana"/>
          <w:sz w:val="16"/>
          <w:szCs w:val="16"/>
        </w:rPr>
        <w:footnoteRef/>
      </w:r>
      <w:r w:rsidRPr="002C27AA">
        <w:rPr>
          <w:rFonts w:ascii="Verdana" w:hAnsi="Verdana"/>
          <w:sz w:val="16"/>
          <w:szCs w:val="16"/>
          <w:lang w:val="es-CR"/>
        </w:rPr>
        <w:t xml:space="preserve"> </w:t>
      </w:r>
      <w:r w:rsidRPr="002C27AA">
        <w:rPr>
          <w:rFonts w:ascii="Verdana" w:hAnsi="Verdana"/>
          <w:sz w:val="16"/>
          <w:szCs w:val="16"/>
          <w:lang w:val="es-CR"/>
        </w:rPr>
        <w:tab/>
      </w:r>
      <w:r w:rsidRPr="00CD5C54">
        <w:rPr>
          <w:rFonts w:ascii="Verdana" w:hAnsi="Verdana"/>
          <w:i/>
          <w:sz w:val="16"/>
          <w:szCs w:val="16"/>
          <w:lang w:val="es-CR"/>
        </w:rPr>
        <w:t>Cfr.</w:t>
      </w:r>
      <w:r w:rsidRPr="00407040">
        <w:rPr>
          <w:rFonts w:ascii="Verdana" w:hAnsi="Verdana"/>
          <w:sz w:val="16"/>
          <w:szCs w:val="16"/>
          <w:lang w:val="es-CR"/>
        </w:rPr>
        <w:t xml:space="preserve"> </w:t>
      </w:r>
      <w:r w:rsidRPr="008D0846">
        <w:rPr>
          <w:rFonts w:ascii="Verdana" w:hAnsi="Verdana"/>
          <w:bCs/>
          <w:i/>
          <w:sz w:val="16"/>
          <w:szCs w:val="16"/>
        </w:rPr>
        <w:t xml:space="preserve">Caso Cantoral Benavides Vs. Perú. Reparaciones y Costas. </w:t>
      </w:r>
      <w:r w:rsidRPr="008D0846">
        <w:rPr>
          <w:rFonts w:ascii="Verdana" w:hAnsi="Verdana"/>
          <w:bCs/>
          <w:sz w:val="16"/>
          <w:szCs w:val="16"/>
        </w:rPr>
        <w:t xml:space="preserve">Sentencia de 3 de diciembre de 2001. Serie C No. 88, párrs. 60 y 80; </w:t>
      </w:r>
      <w:r w:rsidRPr="008D0846">
        <w:rPr>
          <w:rStyle w:val="Strong"/>
          <w:rFonts w:ascii="Verdana" w:hAnsi="Verdana"/>
          <w:b w:val="0"/>
          <w:i/>
          <w:color w:val="000000"/>
          <w:sz w:val="16"/>
          <w:szCs w:val="16"/>
          <w:shd w:val="clear" w:color="auto" w:fill="FFFFFF"/>
        </w:rPr>
        <w:t>Caso Escué Zapata Vs. Colombia. Fondo, Reparaciones y Costas</w:t>
      </w:r>
      <w:r w:rsidRPr="008D0846">
        <w:rPr>
          <w:rStyle w:val="Strong"/>
          <w:rFonts w:ascii="Verdana" w:hAnsi="Verdana"/>
          <w:b w:val="0"/>
          <w:color w:val="000000"/>
          <w:sz w:val="16"/>
          <w:szCs w:val="16"/>
          <w:shd w:val="clear" w:color="auto" w:fill="FFFFFF"/>
        </w:rPr>
        <w:t>. Sentencia de 4 de julio de 2007. Serie C No. 165</w:t>
      </w:r>
      <w:r w:rsidRPr="00407040">
        <w:rPr>
          <w:rFonts w:ascii="Verdana" w:hAnsi="Verdana"/>
          <w:sz w:val="16"/>
          <w:szCs w:val="16"/>
          <w:lang w:val="es-CR"/>
        </w:rPr>
        <w:t>, párr. 170</w:t>
      </w:r>
      <w:r w:rsidRPr="009250C0">
        <w:rPr>
          <w:rFonts w:ascii="Verdana" w:hAnsi="Verdana"/>
          <w:sz w:val="16"/>
          <w:szCs w:val="16"/>
        </w:rPr>
        <w:t xml:space="preserve">, </w:t>
      </w:r>
      <w:r w:rsidRPr="008D0846">
        <w:rPr>
          <w:rFonts w:ascii="Verdana" w:hAnsi="Verdana"/>
          <w:sz w:val="16"/>
          <w:szCs w:val="16"/>
        </w:rPr>
        <w:t xml:space="preserve">y </w:t>
      </w:r>
      <w:r w:rsidRPr="008D0846">
        <w:rPr>
          <w:rStyle w:val="Strong"/>
          <w:rFonts w:ascii="Verdana" w:hAnsi="Verdana"/>
          <w:b w:val="0"/>
          <w:i/>
          <w:color w:val="000000"/>
          <w:sz w:val="16"/>
          <w:szCs w:val="16"/>
          <w:shd w:val="clear" w:color="auto" w:fill="FFFFFF"/>
        </w:rPr>
        <w:t>Caso Cuscul Pivaral y otros Vs. Guatemala. Excepción Preliminar, Fondo, Reparaciones y Costas.</w:t>
      </w:r>
      <w:r w:rsidRPr="008D0846">
        <w:rPr>
          <w:rStyle w:val="Strong"/>
          <w:rFonts w:ascii="Verdana" w:hAnsi="Verdana"/>
          <w:b w:val="0"/>
          <w:color w:val="000000"/>
          <w:sz w:val="16"/>
          <w:szCs w:val="16"/>
          <w:shd w:val="clear" w:color="auto" w:fill="FFFFFF"/>
        </w:rPr>
        <w:t xml:space="preserve"> Sentencia de 23 de agosto de 2018. Serie C No. 359, párrs. 193 y 220</w:t>
      </w:r>
      <w:r w:rsidRPr="008D0846">
        <w:rPr>
          <w:rFonts w:ascii="Verdana" w:hAnsi="Verdana"/>
          <w:sz w:val="16"/>
          <w:szCs w:val="16"/>
        </w:rPr>
        <w:t>.</w:t>
      </w:r>
    </w:p>
  </w:footnote>
  <w:footnote w:id="548">
    <w:p w14:paraId="64AC89B3" w14:textId="1D38874E" w:rsidR="00146958" w:rsidRPr="008D0846" w:rsidRDefault="00146958" w:rsidP="00CC61EB">
      <w:pPr>
        <w:pStyle w:val="FootnoteText"/>
        <w:jc w:val="both"/>
        <w:rPr>
          <w:rFonts w:ascii="Verdana" w:hAnsi="Verdana"/>
          <w:b/>
          <w:sz w:val="16"/>
          <w:szCs w:val="16"/>
          <w:lang w:val="es-CR"/>
        </w:rPr>
      </w:pPr>
      <w:r w:rsidRPr="009C4E9F">
        <w:rPr>
          <w:rStyle w:val="FootnoteReference"/>
          <w:rFonts w:ascii="Verdana" w:hAnsi="Verdana"/>
          <w:sz w:val="16"/>
          <w:szCs w:val="16"/>
        </w:rPr>
        <w:footnoteRef/>
      </w:r>
      <w:r w:rsidRPr="009C4E9F">
        <w:rPr>
          <w:rFonts w:ascii="Verdana" w:hAnsi="Verdana"/>
          <w:sz w:val="16"/>
          <w:szCs w:val="16"/>
          <w:lang w:val="es-CR"/>
        </w:rPr>
        <w:t xml:space="preserve"> </w:t>
      </w:r>
      <w:r w:rsidRPr="009C4E9F">
        <w:rPr>
          <w:rFonts w:ascii="Verdana" w:hAnsi="Verdana"/>
          <w:sz w:val="16"/>
          <w:szCs w:val="16"/>
          <w:lang w:val="es-CR"/>
        </w:rPr>
        <w:tab/>
      </w:r>
      <w:r w:rsidRPr="00CD5C54">
        <w:rPr>
          <w:rFonts w:ascii="Verdana" w:hAnsi="Verdana"/>
          <w:i/>
          <w:sz w:val="16"/>
          <w:szCs w:val="16"/>
          <w:lang w:val="es-CR"/>
        </w:rPr>
        <w:t>Cfr.</w:t>
      </w:r>
      <w:r w:rsidRPr="00316934">
        <w:rPr>
          <w:rFonts w:ascii="Verdana" w:hAnsi="Verdana"/>
          <w:sz w:val="16"/>
          <w:szCs w:val="16"/>
        </w:rPr>
        <w:t>,</w:t>
      </w:r>
      <w:r w:rsidRPr="008D0846">
        <w:rPr>
          <w:rStyle w:val="Heading2Char"/>
          <w:b w:val="0"/>
          <w:color w:val="000000"/>
          <w:sz w:val="16"/>
          <w:szCs w:val="16"/>
          <w:shd w:val="clear" w:color="auto" w:fill="FFFFFF"/>
        </w:rPr>
        <w:t xml:space="preserve"> </w:t>
      </w:r>
      <w:r w:rsidRPr="008D0846">
        <w:rPr>
          <w:rStyle w:val="Strong"/>
          <w:rFonts w:ascii="Verdana" w:hAnsi="Verdana"/>
          <w:b w:val="0"/>
          <w:i/>
          <w:color w:val="000000"/>
          <w:sz w:val="16"/>
          <w:szCs w:val="16"/>
          <w:shd w:val="clear" w:color="auto" w:fill="FFFFFF"/>
        </w:rPr>
        <w:t>Caso de la Masacre de Las Dos Erres Vs. Guatemala. Excepción Preliminar, Fondo, Reparaciones y Costas</w:t>
      </w:r>
      <w:r w:rsidRPr="008D0846">
        <w:rPr>
          <w:rStyle w:val="Strong"/>
          <w:rFonts w:ascii="Verdana" w:hAnsi="Verdana"/>
          <w:b w:val="0"/>
          <w:color w:val="000000"/>
          <w:sz w:val="16"/>
          <w:szCs w:val="16"/>
          <w:shd w:val="clear" w:color="auto" w:fill="FFFFFF"/>
        </w:rPr>
        <w:t xml:space="preserve">. Sentencia de 24 de noviembre de 2009. Serie C No. 211, párr. </w:t>
      </w:r>
      <w:r>
        <w:rPr>
          <w:rStyle w:val="Strong"/>
          <w:rFonts w:ascii="Verdana" w:hAnsi="Verdana"/>
          <w:b w:val="0"/>
          <w:color w:val="000000"/>
          <w:sz w:val="16"/>
          <w:szCs w:val="16"/>
          <w:shd w:val="clear" w:color="auto" w:fill="FFFFFF"/>
        </w:rPr>
        <w:t>293</w:t>
      </w:r>
      <w:r w:rsidRPr="008D0846">
        <w:rPr>
          <w:rStyle w:val="Strong"/>
          <w:rFonts w:ascii="Verdana" w:hAnsi="Verdana"/>
          <w:b w:val="0"/>
          <w:color w:val="000000"/>
          <w:sz w:val="16"/>
          <w:szCs w:val="16"/>
          <w:shd w:val="clear" w:color="auto" w:fill="FFFFFF"/>
        </w:rPr>
        <w:t xml:space="preserve">, y </w:t>
      </w:r>
      <w:r w:rsidRPr="008D0846">
        <w:rPr>
          <w:rStyle w:val="Strong"/>
          <w:rFonts w:ascii="Verdana" w:hAnsi="Verdana"/>
          <w:b w:val="0"/>
          <w:i/>
          <w:color w:val="000000"/>
          <w:sz w:val="16"/>
          <w:szCs w:val="16"/>
          <w:shd w:val="clear" w:color="auto" w:fill="FFFFFF"/>
        </w:rPr>
        <w:t>Caso Mejía Idrovo Vs. Ecuador. Excepciones Preliminares, Fondo, Reparaciones y Costas.</w:t>
      </w:r>
      <w:r w:rsidRPr="008D0846">
        <w:rPr>
          <w:rStyle w:val="Strong"/>
          <w:rFonts w:ascii="Verdana" w:hAnsi="Verdana"/>
          <w:b w:val="0"/>
          <w:color w:val="000000"/>
          <w:sz w:val="16"/>
          <w:szCs w:val="16"/>
          <w:shd w:val="clear" w:color="auto" w:fill="FFFFFF"/>
        </w:rPr>
        <w:t xml:space="preserve"> Sentencia de 5 de julio de 2011. Serie C No. 228, párr. </w:t>
      </w:r>
      <w:r>
        <w:rPr>
          <w:rStyle w:val="Strong"/>
          <w:rFonts w:ascii="Verdana" w:hAnsi="Verdana"/>
          <w:b w:val="0"/>
          <w:color w:val="000000"/>
          <w:sz w:val="16"/>
          <w:szCs w:val="16"/>
          <w:shd w:val="clear" w:color="auto" w:fill="FFFFFF"/>
        </w:rPr>
        <w:t>134.</w:t>
      </w:r>
      <w:r w:rsidRPr="008D0846" w:rsidDel="00F53476">
        <w:rPr>
          <w:rFonts w:ascii="Verdana" w:hAnsi="Verdana"/>
          <w:b/>
          <w:i/>
          <w:sz w:val="16"/>
          <w:szCs w:val="16"/>
          <w:lang w:val="es-CR"/>
        </w:rPr>
        <w:t xml:space="preserve"> </w:t>
      </w:r>
    </w:p>
  </w:footnote>
  <w:footnote w:id="549">
    <w:p w14:paraId="4A2B93A9" w14:textId="772A3E12" w:rsidR="00146958" w:rsidRPr="004E1FE0" w:rsidRDefault="00146958" w:rsidP="002C462C">
      <w:pPr>
        <w:pStyle w:val="FootnoteText"/>
        <w:jc w:val="both"/>
        <w:rPr>
          <w:rFonts w:ascii="Verdana" w:hAnsi="Verdana"/>
          <w:sz w:val="16"/>
          <w:szCs w:val="16"/>
          <w:lang w:val="es-CR"/>
        </w:rPr>
      </w:pPr>
      <w:r w:rsidRPr="008D0846">
        <w:rPr>
          <w:rStyle w:val="FootnoteReference"/>
          <w:rFonts w:ascii="Verdana" w:hAnsi="Verdana"/>
          <w:sz w:val="16"/>
          <w:szCs w:val="16"/>
        </w:rPr>
        <w:footnoteRef/>
      </w:r>
      <w:r w:rsidRPr="008D0846">
        <w:rPr>
          <w:rFonts w:ascii="Verdana" w:hAnsi="Verdana"/>
          <w:sz w:val="16"/>
          <w:szCs w:val="16"/>
          <w:lang w:val="es-CR"/>
        </w:rPr>
        <w:t xml:space="preserve"> </w:t>
      </w:r>
      <w:r w:rsidRPr="008D0846">
        <w:rPr>
          <w:rFonts w:ascii="Verdana" w:hAnsi="Verdana"/>
          <w:sz w:val="16"/>
          <w:szCs w:val="16"/>
          <w:lang w:val="es-CR"/>
        </w:rPr>
        <w:tab/>
      </w:r>
      <w:r w:rsidRPr="004E1FE0">
        <w:rPr>
          <w:rFonts w:ascii="Verdana" w:hAnsi="Verdana"/>
          <w:sz w:val="16"/>
          <w:szCs w:val="16"/>
          <w:lang w:val="es-CR"/>
        </w:rPr>
        <w:t xml:space="preserve">Las representantes reconocieron la existencia de </w:t>
      </w:r>
      <w:r>
        <w:rPr>
          <w:rFonts w:ascii="Verdana" w:hAnsi="Verdana"/>
          <w:sz w:val="16"/>
          <w:szCs w:val="16"/>
          <w:lang w:val="es-CR"/>
        </w:rPr>
        <w:t>“</w:t>
      </w:r>
      <w:r w:rsidRPr="004E1FE0">
        <w:rPr>
          <w:rFonts w:ascii="Verdana" w:hAnsi="Verdana"/>
          <w:sz w:val="16"/>
          <w:szCs w:val="16"/>
          <w:lang w:val="es-CR"/>
        </w:rPr>
        <w:t>la Ley General sobre Desaparición Forzada de Personas, Desaparición cometida por Particulares y de la Comisión Nacional de Búsqueda</w:t>
      </w:r>
      <w:r>
        <w:rPr>
          <w:rFonts w:ascii="Verdana" w:hAnsi="Verdana"/>
          <w:sz w:val="16"/>
          <w:szCs w:val="16"/>
          <w:lang w:val="es-CR"/>
        </w:rPr>
        <w:t>”</w:t>
      </w:r>
      <w:r w:rsidRPr="004E1FE0">
        <w:rPr>
          <w:rFonts w:ascii="Verdana" w:hAnsi="Verdana"/>
          <w:sz w:val="16"/>
          <w:szCs w:val="16"/>
          <w:lang w:val="es-CR"/>
        </w:rPr>
        <w:t xml:space="preserve"> </w:t>
      </w:r>
      <w:r>
        <w:rPr>
          <w:rFonts w:ascii="Verdana" w:hAnsi="Verdana"/>
          <w:sz w:val="16"/>
          <w:szCs w:val="16"/>
          <w:lang w:val="es-CR"/>
        </w:rPr>
        <w:t xml:space="preserve">[sic] </w:t>
      </w:r>
      <w:r w:rsidRPr="004E1FE0">
        <w:rPr>
          <w:rFonts w:ascii="Verdana" w:hAnsi="Verdana"/>
          <w:sz w:val="16"/>
          <w:szCs w:val="16"/>
          <w:lang w:val="es-CR"/>
        </w:rPr>
        <w:t xml:space="preserve">(LGDF), </w:t>
      </w:r>
      <w:r>
        <w:rPr>
          <w:rFonts w:ascii="Verdana" w:hAnsi="Verdana"/>
          <w:sz w:val="16"/>
          <w:szCs w:val="16"/>
          <w:lang w:val="es-CR"/>
        </w:rPr>
        <w:t>la cual</w:t>
      </w:r>
      <w:r w:rsidRPr="004E1FE0">
        <w:rPr>
          <w:rFonts w:ascii="Verdana" w:hAnsi="Verdana"/>
          <w:sz w:val="16"/>
          <w:szCs w:val="16"/>
          <w:lang w:val="es-CR"/>
        </w:rPr>
        <w:t xml:space="preserve"> actualmente se encuentra en etapa de implementación</w:t>
      </w:r>
      <w:r>
        <w:rPr>
          <w:rFonts w:ascii="Verdana" w:hAnsi="Verdana"/>
          <w:sz w:val="16"/>
          <w:szCs w:val="16"/>
          <w:lang w:val="es-CR"/>
        </w:rPr>
        <w:t xml:space="preserve"> S</w:t>
      </w:r>
      <w:r w:rsidRPr="004E1FE0">
        <w:rPr>
          <w:rFonts w:ascii="Verdana" w:hAnsi="Verdana"/>
          <w:sz w:val="16"/>
          <w:szCs w:val="16"/>
          <w:lang w:val="es-CR"/>
        </w:rPr>
        <w:t xml:space="preserve">in embargo, destacaron que </w:t>
      </w:r>
      <w:r>
        <w:rPr>
          <w:rFonts w:ascii="Verdana" w:hAnsi="Verdana"/>
          <w:sz w:val="16"/>
          <w:szCs w:val="16"/>
          <w:lang w:val="es-CR"/>
        </w:rPr>
        <w:t>el</w:t>
      </w:r>
      <w:r w:rsidRPr="004E1FE0">
        <w:rPr>
          <w:rFonts w:ascii="Verdana" w:hAnsi="Verdana"/>
          <w:sz w:val="16"/>
          <w:szCs w:val="16"/>
          <w:lang w:val="es-CR"/>
        </w:rPr>
        <w:t xml:space="preserve"> </w:t>
      </w:r>
      <w:r>
        <w:rPr>
          <w:rFonts w:ascii="Verdana" w:hAnsi="Verdana"/>
          <w:sz w:val="16"/>
          <w:szCs w:val="16"/>
          <w:lang w:val="es-CR"/>
        </w:rPr>
        <w:t>“</w:t>
      </w:r>
      <w:r w:rsidRPr="004E1FE0">
        <w:rPr>
          <w:rFonts w:ascii="Verdana" w:hAnsi="Verdana"/>
          <w:sz w:val="16"/>
          <w:szCs w:val="16"/>
          <w:lang w:val="es-CR"/>
        </w:rPr>
        <w:t>ambicioso contenido</w:t>
      </w:r>
      <w:r>
        <w:rPr>
          <w:rFonts w:ascii="Verdana" w:hAnsi="Verdana"/>
          <w:sz w:val="16"/>
          <w:szCs w:val="16"/>
          <w:lang w:val="es-CR"/>
        </w:rPr>
        <w:t>”</w:t>
      </w:r>
      <w:r w:rsidRPr="004E1FE0">
        <w:rPr>
          <w:rFonts w:ascii="Verdana" w:hAnsi="Verdana"/>
          <w:sz w:val="16"/>
          <w:szCs w:val="16"/>
          <w:lang w:val="es-CR"/>
        </w:rPr>
        <w:t xml:space="preserve"> y los actores que esta </w:t>
      </w:r>
      <w:r>
        <w:rPr>
          <w:rFonts w:ascii="Verdana" w:hAnsi="Verdana"/>
          <w:sz w:val="16"/>
          <w:szCs w:val="16"/>
          <w:lang w:val="es-CR"/>
        </w:rPr>
        <w:t>ley p</w:t>
      </w:r>
      <w:r w:rsidRPr="004E1FE0">
        <w:rPr>
          <w:rFonts w:ascii="Verdana" w:hAnsi="Verdana"/>
          <w:sz w:val="16"/>
          <w:szCs w:val="16"/>
          <w:lang w:val="es-CR"/>
        </w:rPr>
        <w:t xml:space="preserve">revé, </w:t>
      </w:r>
      <w:r>
        <w:rPr>
          <w:rFonts w:ascii="Verdana" w:hAnsi="Verdana"/>
          <w:sz w:val="16"/>
          <w:szCs w:val="16"/>
          <w:lang w:val="es-CR"/>
        </w:rPr>
        <w:t>“c</w:t>
      </w:r>
      <w:r w:rsidRPr="004E1FE0">
        <w:rPr>
          <w:rFonts w:ascii="Verdana" w:hAnsi="Verdana"/>
          <w:sz w:val="16"/>
          <w:szCs w:val="16"/>
          <w:lang w:val="es-CR"/>
        </w:rPr>
        <w:t>onvierten en un reto su cumplimiento</w:t>
      </w:r>
      <w:r>
        <w:rPr>
          <w:rFonts w:ascii="Verdana" w:hAnsi="Verdana"/>
          <w:sz w:val="16"/>
          <w:szCs w:val="16"/>
          <w:lang w:val="es-CR"/>
        </w:rPr>
        <w:t>”</w:t>
      </w:r>
      <w:r w:rsidRPr="004E1FE0">
        <w:rPr>
          <w:rFonts w:ascii="Verdana" w:hAnsi="Verdana"/>
          <w:sz w:val="16"/>
          <w:szCs w:val="16"/>
          <w:lang w:val="es-CR"/>
        </w:rPr>
        <w:t xml:space="preserve">. </w:t>
      </w:r>
      <w:r>
        <w:rPr>
          <w:rFonts w:ascii="Verdana" w:hAnsi="Verdana"/>
          <w:sz w:val="16"/>
          <w:szCs w:val="16"/>
          <w:lang w:val="es-CR"/>
        </w:rPr>
        <w:t xml:space="preserve">Por ello alegaron </w:t>
      </w:r>
      <w:r w:rsidRPr="004E1FE0">
        <w:rPr>
          <w:rFonts w:ascii="Verdana" w:hAnsi="Verdana"/>
          <w:sz w:val="16"/>
          <w:szCs w:val="16"/>
          <w:lang w:val="es-CR"/>
        </w:rPr>
        <w:t>que dicha Ley no es adecuada y solicita</w:t>
      </w:r>
      <w:r>
        <w:rPr>
          <w:rFonts w:ascii="Verdana" w:hAnsi="Verdana"/>
          <w:sz w:val="16"/>
          <w:szCs w:val="16"/>
          <w:lang w:val="es-CR"/>
        </w:rPr>
        <w:t>ro</w:t>
      </w:r>
      <w:r w:rsidRPr="004E1FE0">
        <w:rPr>
          <w:rFonts w:ascii="Verdana" w:hAnsi="Verdana"/>
          <w:sz w:val="16"/>
          <w:szCs w:val="16"/>
          <w:lang w:val="es-CR"/>
        </w:rPr>
        <w:t>n que el Estado prove</w:t>
      </w:r>
      <w:r>
        <w:rPr>
          <w:rFonts w:ascii="Verdana" w:hAnsi="Verdana"/>
          <w:sz w:val="16"/>
          <w:szCs w:val="16"/>
          <w:lang w:val="es-CR"/>
        </w:rPr>
        <w:t>yera</w:t>
      </w:r>
      <w:r w:rsidRPr="004E1FE0">
        <w:rPr>
          <w:rFonts w:ascii="Verdana" w:hAnsi="Verdana"/>
          <w:sz w:val="16"/>
          <w:szCs w:val="16"/>
          <w:lang w:val="es-CR"/>
        </w:rPr>
        <w:t xml:space="preserve"> las herramientas, así como los recursos humanos, financi</w:t>
      </w:r>
      <w:r>
        <w:rPr>
          <w:rFonts w:ascii="Verdana" w:hAnsi="Verdana"/>
          <w:sz w:val="16"/>
          <w:szCs w:val="16"/>
          <w:lang w:val="es-CR"/>
        </w:rPr>
        <w:t>e</w:t>
      </w:r>
      <w:r w:rsidRPr="004E1FE0">
        <w:rPr>
          <w:rFonts w:ascii="Verdana" w:hAnsi="Verdana"/>
          <w:sz w:val="16"/>
          <w:szCs w:val="16"/>
          <w:lang w:val="es-CR"/>
        </w:rPr>
        <w:t>ros y técnicos necesarios para su ejecución y la capacitación regular y especializada de todas las autoridades (</w:t>
      </w:r>
      <w:r>
        <w:rPr>
          <w:rFonts w:ascii="Verdana" w:hAnsi="Verdana"/>
          <w:sz w:val="16"/>
          <w:szCs w:val="16"/>
          <w:lang w:val="es-CR"/>
        </w:rPr>
        <w:t xml:space="preserve">expediente de fondo, </w:t>
      </w:r>
      <w:r w:rsidRPr="004E1FE0">
        <w:rPr>
          <w:rFonts w:ascii="Verdana" w:hAnsi="Verdana"/>
          <w:sz w:val="16"/>
          <w:szCs w:val="16"/>
          <w:lang w:val="es-CR"/>
        </w:rPr>
        <w:t>ff. 2057 a 2058)</w:t>
      </w:r>
      <w:r>
        <w:rPr>
          <w:rFonts w:ascii="Verdana" w:hAnsi="Verdana"/>
          <w:sz w:val="16"/>
          <w:szCs w:val="16"/>
          <w:lang w:val="es-CR"/>
        </w:rPr>
        <w:t>.</w:t>
      </w:r>
    </w:p>
  </w:footnote>
  <w:footnote w:id="550">
    <w:p w14:paraId="04CC8900" w14:textId="0C31BD49" w:rsidR="00146958" w:rsidRPr="00432ABC" w:rsidRDefault="00146958" w:rsidP="002C462C">
      <w:pPr>
        <w:autoSpaceDE w:val="0"/>
        <w:autoSpaceDN w:val="0"/>
        <w:adjustRightInd w:val="0"/>
        <w:spacing w:after="0" w:line="240" w:lineRule="auto"/>
        <w:jc w:val="both"/>
        <w:rPr>
          <w:rFonts w:ascii="Verdana" w:eastAsiaTheme="minorHAnsi" w:hAnsi="Verdana" w:cs="ArialMT"/>
          <w:sz w:val="16"/>
          <w:szCs w:val="16"/>
          <w:lang w:val="es-CR"/>
        </w:rPr>
      </w:pPr>
      <w:r w:rsidRPr="00432ABC">
        <w:rPr>
          <w:rStyle w:val="FootnoteReference"/>
          <w:rFonts w:ascii="Verdana" w:hAnsi="Verdana"/>
          <w:sz w:val="16"/>
          <w:szCs w:val="16"/>
        </w:rPr>
        <w:footnoteRef/>
      </w:r>
      <w:r w:rsidRPr="00432ABC">
        <w:rPr>
          <w:rFonts w:ascii="Verdana" w:hAnsi="Verdana"/>
          <w:sz w:val="16"/>
          <w:szCs w:val="16"/>
          <w:lang w:val="es-CR"/>
        </w:rPr>
        <w:t xml:space="preserve"> </w:t>
      </w:r>
      <w:r w:rsidRPr="00432ABC">
        <w:rPr>
          <w:rFonts w:ascii="Verdana" w:hAnsi="Verdana"/>
          <w:sz w:val="16"/>
          <w:szCs w:val="16"/>
          <w:lang w:val="es-CR"/>
        </w:rPr>
        <w:tab/>
      </w:r>
      <w:r>
        <w:rPr>
          <w:rFonts w:ascii="Verdana" w:eastAsiaTheme="minorHAnsi" w:hAnsi="Verdana" w:cs="ArialMT"/>
          <w:sz w:val="16"/>
          <w:szCs w:val="16"/>
          <w:lang w:val="es-CR"/>
        </w:rPr>
        <w:t xml:space="preserve">Las representantes </w:t>
      </w:r>
      <w:r w:rsidRPr="002C462C">
        <w:rPr>
          <w:rFonts w:ascii="Verdana" w:eastAsiaTheme="minorHAnsi" w:hAnsi="Verdana" w:cs="ArialMT"/>
          <w:sz w:val="16"/>
          <w:szCs w:val="16"/>
          <w:lang w:val="es-CR"/>
        </w:rPr>
        <w:t>señal</w:t>
      </w:r>
      <w:r>
        <w:rPr>
          <w:rFonts w:ascii="Verdana" w:eastAsiaTheme="minorHAnsi" w:hAnsi="Verdana" w:cs="ArialMT"/>
          <w:sz w:val="16"/>
          <w:szCs w:val="16"/>
          <w:lang w:val="es-CR"/>
        </w:rPr>
        <w:t xml:space="preserve">aron </w:t>
      </w:r>
      <w:r w:rsidRPr="002C462C">
        <w:rPr>
          <w:rFonts w:ascii="Verdana" w:eastAsiaTheme="minorHAnsi" w:hAnsi="Verdana" w:cs="ArialMT"/>
          <w:sz w:val="16"/>
          <w:szCs w:val="16"/>
          <w:lang w:val="es-CR"/>
        </w:rPr>
        <w:t xml:space="preserve">que el RNPED </w:t>
      </w:r>
      <w:r>
        <w:rPr>
          <w:rFonts w:ascii="Verdana" w:eastAsiaTheme="minorHAnsi" w:hAnsi="Verdana" w:cs="ArialMT"/>
          <w:sz w:val="16"/>
          <w:szCs w:val="16"/>
          <w:lang w:val="es-CR"/>
        </w:rPr>
        <w:t>“</w:t>
      </w:r>
      <w:r w:rsidRPr="002C462C">
        <w:rPr>
          <w:rFonts w:ascii="Verdana" w:eastAsiaTheme="minorHAnsi" w:hAnsi="Verdana" w:cs="ArialMT"/>
          <w:sz w:val="16"/>
          <w:szCs w:val="16"/>
          <w:lang w:val="es-CR"/>
        </w:rPr>
        <w:t>no da</w:t>
      </w:r>
      <w:r>
        <w:rPr>
          <w:rFonts w:ascii="Verdana" w:eastAsiaTheme="minorHAnsi" w:hAnsi="Verdana" w:cs="ArialMT"/>
          <w:sz w:val="16"/>
          <w:szCs w:val="16"/>
          <w:lang w:val="es-CR"/>
        </w:rPr>
        <w:t>ba</w:t>
      </w:r>
      <w:r w:rsidRPr="002C462C">
        <w:rPr>
          <w:rFonts w:ascii="Verdana" w:eastAsiaTheme="minorHAnsi" w:hAnsi="Verdana" w:cs="ArialMT"/>
          <w:sz w:val="16"/>
          <w:szCs w:val="16"/>
          <w:lang w:val="es-CR"/>
        </w:rPr>
        <w:t xml:space="preserve"> cuenta</w:t>
      </w:r>
      <w:r>
        <w:rPr>
          <w:rFonts w:ascii="Verdana" w:eastAsiaTheme="minorHAnsi" w:hAnsi="Verdana" w:cs="ArialMT"/>
          <w:sz w:val="16"/>
          <w:szCs w:val="16"/>
          <w:lang w:val="es-CR"/>
        </w:rPr>
        <w:t>”</w:t>
      </w:r>
      <w:r w:rsidRPr="002C462C">
        <w:rPr>
          <w:rFonts w:ascii="Verdana" w:eastAsiaTheme="minorHAnsi" w:hAnsi="Verdana" w:cs="ArialMT"/>
          <w:sz w:val="16"/>
          <w:szCs w:val="16"/>
          <w:lang w:val="es-CR"/>
        </w:rPr>
        <w:t xml:space="preserve"> </w:t>
      </w:r>
      <w:r>
        <w:rPr>
          <w:rFonts w:ascii="Verdana" w:eastAsiaTheme="minorHAnsi" w:hAnsi="Verdana" w:cs="ArialMT"/>
          <w:sz w:val="16"/>
          <w:szCs w:val="16"/>
          <w:lang w:val="es-CR"/>
        </w:rPr>
        <w:t xml:space="preserve">(distinguía) </w:t>
      </w:r>
      <w:r w:rsidRPr="002C462C">
        <w:rPr>
          <w:rFonts w:ascii="Verdana" w:eastAsiaTheme="minorHAnsi" w:hAnsi="Verdana" w:cs="ArialMT"/>
          <w:sz w:val="16"/>
          <w:szCs w:val="16"/>
          <w:lang w:val="es-CR"/>
        </w:rPr>
        <w:t xml:space="preserve">si las desapariciones </w:t>
      </w:r>
      <w:r>
        <w:rPr>
          <w:rFonts w:ascii="Verdana" w:eastAsiaTheme="minorHAnsi" w:hAnsi="Verdana" w:cs="ArialMT"/>
          <w:sz w:val="16"/>
          <w:szCs w:val="16"/>
          <w:lang w:val="es-CR"/>
        </w:rPr>
        <w:t>eran</w:t>
      </w:r>
      <w:r w:rsidRPr="002C462C">
        <w:rPr>
          <w:rFonts w:ascii="Verdana" w:eastAsiaTheme="minorHAnsi" w:hAnsi="Verdana" w:cs="ArialMT"/>
          <w:sz w:val="16"/>
          <w:szCs w:val="16"/>
          <w:lang w:val="es-CR"/>
        </w:rPr>
        <w:t xml:space="preserve"> calificadas como forzadas, ni cuántas habían sido presuntamente cometidas por elementos del </w:t>
      </w:r>
      <w:r>
        <w:rPr>
          <w:rFonts w:ascii="Verdana" w:eastAsiaTheme="minorHAnsi" w:hAnsi="Verdana" w:cs="ArialMT"/>
          <w:sz w:val="16"/>
          <w:szCs w:val="16"/>
          <w:lang w:val="es-CR"/>
        </w:rPr>
        <w:t>E</w:t>
      </w:r>
      <w:r w:rsidRPr="002C462C">
        <w:rPr>
          <w:rFonts w:ascii="Verdana" w:eastAsiaTheme="minorHAnsi" w:hAnsi="Verdana" w:cs="ArialMT"/>
          <w:sz w:val="16"/>
          <w:szCs w:val="16"/>
          <w:lang w:val="es-CR"/>
        </w:rPr>
        <w:t xml:space="preserve">jército mexicano. </w:t>
      </w:r>
      <w:r>
        <w:rPr>
          <w:rFonts w:ascii="Verdana" w:eastAsiaTheme="minorHAnsi" w:hAnsi="Verdana" w:cs="ArialMT"/>
          <w:sz w:val="16"/>
          <w:szCs w:val="16"/>
          <w:lang w:val="es-CR"/>
        </w:rPr>
        <w:t>Alegaron</w:t>
      </w:r>
      <w:r w:rsidRPr="002C462C">
        <w:rPr>
          <w:rFonts w:ascii="Verdana" w:eastAsiaTheme="minorHAnsi" w:hAnsi="Verdana" w:cs="ArialMT"/>
          <w:sz w:val="16"/>
          <w:szCs w:val="16"/>
          <w:lang w:val="es-CR"/>
        </w:rPr>
        <w:t xml:space="preserve"> que el </w:t>
      </w:r>
      <w:r>
        <w:rPr>
          <w:rFonts w:ascii="Verdana" w:eastAsiaTheme="minorHAnsi" w:hAnsi="Verdana" w:cs="ArialMT"/>
          <w:sz w:val="16"/>
          <w:szCs w:val="16"/>
          <w:lang w:val="es-CR"/>
        </w:rPr>
        <w:t>R</w:t>
      </w:r>
      <w:r w:rsidRPr="002C462C">
        <w:rPr>
          <w:rFonts w:ascii="Verdana" w:eastAsiaTheme="minorHAnsi" w:hAnsi="Verdana" w:cs="ArialMT"/>
          <w:sz w:val="16"/>
          <w:szCs w:val="16"/>
          <w:lang w:val="es-CR"/>
        </w:rPr>
        <w:t>egistro depende exclusivamente de la información que le aportan las fiscalías y procuradurías de las 32 entidades federativas así como de la Procuradurí</w:t>
      </w:r>
      <w:r w:rsidRPr="00432ABC">
        <w:rPr>
          <w:rFonts w:ascii="Verdana" w:eastAsiaTheme="minorHAnsi" w:hAnsi="Verdana" w:cs="ArialMT"/>
          <w:sz w:val="16"/>
          <w:szCs w:val="16"/>
          <w:lang w:val="es-CR"/>
        </w:rPr>
        <w:t xml:space="preserve">a General de la República, lo cual no solo podría ser poco objetivo </w:t>
      </w:r>
      <w:r>
        <w:rPr>
          <w:rFonts w:ascii="Verdana" w:eastAsiaTheme="minorHAnsi" w:hAnsi="Verdana" w:cs="ArialMT"/>
          <w:sz w:val="16"/>
          <w:szCs w:val="16"/>
          <w:lang w:val="es-CR"/>
        </w:rPr>
        <w:t>con</w:t>
      </w:r>
      <w:r w:rsidRPr="00432ABC">
        <w:rPr>
          <w:rFonts w:ascii="Verdana" w:eastAsiaTheme="minorHAnsi" w:hAnsi="Verdana" w:cs="ArialMT"/>
          <w:sz w:val="16"/>
          <w:szCs w:val="16"/>
          <w:lang w:val="es-CR"/>
        </w:rPr>
        <w:t xml:space="preserve"> base </w:t>
      </w:r>
      <w:r>
        <w:rPr>
          <w:rFonts w:ascii="Verdana" w:eastAsiaTheme="minorHAnsi" w:hAnsi="Verdana" w:cs="ArialMT"/>
          <w:sz w:val="16"/>
          <w:szCs w:val="16"/>
          <w:lang w:val="es-CR"/>
        </w:rPr>
        <w:t>en e</w:t>
      </w:r>
      <w:r w:rsidRPr="00432ABC">
        <w:rPr>
          <w:rFonts w:ascii="Verdana" w:eastAsiaTheme="minorHAnsi" w:hAnsi="Verdana" w:cs="ArialMT"/>
          <w:sz w:val="16"/>
          <w:szCs w:val="16"/>
          <w:lang w:val="es-CR"/>
        </w:rPr>
        <w:t xml:space="preserve">l tipo de calificación del delito que realiza la instancia investigadora, sino que no da cuenta del subregistro que se puede dar tanto porque no se inicien carpetas de investigación o porque las personas no quieran denunciar los hechos por la desconfianza en las </w:t>
      </w:r>
      <w:r>
        <w:rPr>
          <w:rFonts w:ascii="Verdana" w:eastAsiaTheme="minorHAnsi" w:hAnsi="Verdana" w:cs="ArialMT"/>
          <w:sz w:val="16"/>
          <w:szCs w:val="16"/>
          <w:lang w:val="es-CR"/>
        </w:rPr>
        <w:t>a</w:t>
      </w:r>
      <w:r w:rsidRPr="00432ABC">
        <w:rPr>
          <w:rFonts w:ascii="Verdana" w:eastAsiaTheme="minorHAnsi" w:hAnsi="Verdana" w:cs="ArialMT"/>
          <w:sz w:val="16"/>
          <w:szCs w:val="16"/>
          <w:lang w:val="es-CR"/>
        </w:rPr>
        <w:t xml:space="preserve">utoridades. Asimismo, </w:t>
      </w:r>
      <w:r>
        <w:rPr>
          <w:rFonts w:ascii="Verdana" w:eastAsiaTheme="minorHAnsi" w:hAnsi="Verdana" w:cs="ArialMT"/>
          <w:sz w:val="16"/>
          <w:szCs w:val="16"/>
          <w:lang w:val="es-CR"/>
        </w:rPr>
        <w:t>las representantes señalaron</w:t>
      </w:r>
      <w:r w:rsidRPr="00432ABC">
        <w:rPr>
          <w:rFonts w:ascii="Verdana" w:eastAsiaTheme="minorHAnsi" w:hAnsi="Verdana" w:cs="ArialMT"/>
          <w:sz w:val="16"/>
          <w:szCs w:val="16"/>
          <w:lang w:val="es-CR"/>
        </w:rPr>
        <w:t xml:space="preserve"> que el RNPED tampoco incluye otras investigaciones que pudieron haber sido iniciadas con motivo de desapariciones forzadas en contra del </w:t>
      </w:r>
      <w:r>
        <w:rPr>
          <w:rFonts w:ascii="Verdana" w:eastAsiaTheme="minorHAnsi" w:hAnsi="Verdana" w:cs="ArialMT"/>
          <w:sz w:val="16"/>
          <w:szCs w:val="16"/>
          <w:lang w:val="es-CR"/>
        </w:rPr>
        <w:t>E</w:t>
      </w:r>
      <w:r w:rsidRPr="00432ABC">
        <w:rPr>
          <w:rFonts w:ascii="Verdana" w:eastAsiaTheme="minorHAnsi" w:hAnsi="Verdana" w:cs="ArialMT"/>
          <w:sz w:val="16"/>
          <w:szCs w:val="16"/>
          <w:lang w:val="es-CR"/>
        </w:rPr>
        <w:t>jército por otras instancias, como la CNDH, la Fiscalía General de Justicia Militar, o cualquier autoridad administrativa</w:t>
      </w:r>
      <w:r w:rsidRPr="008D0846">
        <w:rPr>
          <w:rFonts w:ascii="Verdana" w:eastAsia="Times New Roman" w:hAnsi="Verdana" w:cs="Times New Roman"/>
          <w:sz w:val="16"/>
          <w:szCs w:val="16"/>
          <w:lang w:val="es-ES"/>
        </w:rPr>
        <w:t xml:space="preserve"> (expediente de fondo,  f.</w:t>
      </w:r>
      <w:r>
        <w:rPr>
          <w:rFonts w:ascii="Verdana" w:eastAsia="Times New Roman" w:hAnsi="Verdana" w:cs="Times New Roman"/>
          <w:sz w:val="16"/>
          <w:szCs w:val="16"/>
          <w:lang w:val="es-ES"/>
        </w:rPr>
        <w:t xml:space="preserve"> </w:t>
      </w:r>
      <w:r w:rsidRPr="008D0846">
        <w:rPr>
          <w:rFonts w:ascii="Verdana" w:eastAsia="Times New Roman" w:hAnsi="Verdana" w:cs="Times New Roman"/>
          <w:sz w:val="16"/>
          <w:szCs w:val="16"/>
          <w:lang w:val="es-ES"/>
        </w:rPr>
        <w:t>196).</w:t>
      </w:r>
      <w:r>
        <w:rPr>
          <w:rFonts w:ascii="Verdana" w:eastAsia="Times New Roman" w:hAnsi="Verdana" w:cs="Times New Roman"/>
          <w:b/>
          <w:sz w:val="16"/>
          <w:szCs w:val="16"/>
          <w:lang w:val="es-ES"/>
        </w:rPr>
        <w:t xml:space="preserve"> </w:t>
      </w:r>
    </w:p>
  </w:footnote>
  <w:footnote w:id="551">
    <w:p w14:paraId="35B066DE" w14:textId="34E1A52A" w:rsidR="00146958" w:rsidRPr="00F5492B" w:rsidRDefault="00146958" w:rsidP="002C462C">
      <w:pPr>
        <w:pStyle w:val="FootnoteText"/>
        <w:jc w:val="both"/>
        <w:rPr>
          <w:rFonts w:ascii="Verdana" w:hAnsi="Verdana"/>
          <w:sz w:val="16"/>
          <w:szCs w:val="16"/>
          <w:lang w:val="es-CR"/>
        </w:rPr>
      </w:pPr>
      <w:r w:rsidRPr="008D0846">
        <w:rPr>
          <w:rStyle w:val="FootnoteReference"/>
          <w:rFonts w:ascii="Verdana" w:hAnsi="Verdana"/>
          <w:sz w:val="16"/>
          <w:szCs w:val="16"/>
        </w:rPr>
        <w:footnoteRef/>
      </w:r>
      <w:r w:rsidRPr="008D0846">
        <w:rPr>
          <w:rFonts w:ascii="Verdana" w:hAnsi="Verdana"/>
          <w:sz w:val="16"/>
          <w:szCs w:val="16"/>
          <w:lang w:val="es-CR"/>
        </w:rPr>
        <w:t xml:space="preserve"> </w:t>
      </w:r>
      <w:r w:rsidRPr="008D0846">
        <w:rPr>
          <w:rFonts w:ascii="Verdana" w:hAnsi="Verdana"/>
          <w:sz w:val="16"/>
          <w:szCs w:val="16"/>
          <w:lang w:val="es-CR"/>
        </w:rPr>
        <w:tab/>
      </w:r>
      <w:r w:rsidRPr="00F5492B">
        <w:rPr>
          <w:rFonts w:ascii="Verdana" w:hAnsi="Verdana"/>
          <w:sz w:val="16"/>
          <w:szCs w:val="16"/>
          <w:lang w:val="es-CR"/>
        </w:rPr>
        <w:t>Las representantes solicitaron que la Corte se pronunci</w:t>
      </w:r>
      <w:r>
        <w:rPr>
          <w:rFonts w:ascii="Verdana" w:hAnsi="Verdana"/>
          <w:sz w:val="16"/>
          <w:szCs w:val="16"/>
          <w:lang w:val="es-CR"/>
        </w:rPr>
        <w:t>ara</w:t>
      </w:r>
      <w:r w:rsidRPr="00F5492B">
        <w:rPr>
          <w:rFonts w:ascii="Verdana" w:hAnsi="Verdana"/>
          <w:sz w:val="16"/>
          <w:szCs w:val="16"/>
          <w:lang w:val="es-CR"/>
        </w:rPr>
        <w:t xml:space="preserve"> sobre la</w:t>
      </w:r>
      <w:r w:rsidRPr="00B62982">
        <w:rPr>
          <w:rFonts w:ascii="Verdana" w:hAnsi="Verdana"/>
          <w:sz w:val="16"/>
          <w:szCs w:val="16"/>
          <w:lang w:val="es-CR"/>
        </w:rPr>
        <w:t xml:space="preserve"> incompatibilidad de la Ley de Seguridad Interior con varios derechos contenidos en la Convención Americana y que orden</w:t>
      </w:r>
      <w:r>
        <w:rPr>
          <w:rFonts w:ascii="Verdana" w:hAnsi="Verdana"/>
          <w:sz w:val="16"/>
          <w:szCs w:val="16"/>
          <w:lang w:val="es-CR"/>
        </w:rPr>
        <w:t>ara</w:t>
      </w:r>
      <w:r w:rsidRPr="00B62982">
        <w:rPr>
          <w:rFonts w:ascii="Verdana" w:hAnsi="Verdana"/>
          <w:sz w:val="16"/>
          <w:szCs w:val="16"/>
          <w:lang w:val="es-CR"/>
        </w:rPr>
        <w:t xml:space="preserve"> su derogación</w:t>
      </w:r>
      <w:r w:rsidRPr="00437446">
        <w:rPr>
          <w:rFonts w:ascii="Verdana" w:hAnsi="Verdana"/>
          <w:sz w:val="16"/>
          <w:szCs w:val="16"/>
          <w:lang w:val="es-CR"/>
        </w:rPr>
        <w:t xml:space="preserve">. Alegaron esto como una medida de no repetición que tiene que ver con la adopción de </w:t>
      </w:r>
      <w:r w:rsidRPr="00A068C6">
        <w:rPr>
          <w:rFonts w:ascii="Verdana" w:hAnsi="Verdana"/>
          <w:sz w:val="16"/>
          <w:szCs w:val="16"/>
          <w:lang w:val="es-CR"/>
        </w:rPr>
        <w:t>medidas de seguridad eficaces que cumplan con los principios de proporcionalidad, necesidad, legitimidad y enfoque de derechos humanos</w:t>
      </w:r>
      <w:r w:rsidRPr="0065557D">
        <w:rPr>
          <w:rFonts w:ascii="Verdana" w:hAnsi="Verdana"/>
          <w:sz w:val="16"/>
          <w:szCs w:val="16"/>
          <w:lang w:val="es-CR"/>
        </w:rPr>
        <w:t xml:space="preserve"> </w:t>
      </w:r>
      <w:r w:rsidRPr="00803447">
        <w:rPr>
          <w:rFonts w:ascii="Verdana" w:hAnsi="Verdana"/>
          <w:sz w:val="16"/>
          <w:szCs w:val="16"/>
          <w:lang w:val="es-CR"/>
        </w:rPr>
        <w:t xml:space="preserve">(expediente de fondo, </w:t>
      </w:r>
      <w:r w:rsidRPr="00F5492B">
        <w:rPr>
          <w:rFonts w:ascii="Verdana" w:hAnsi="Verdana"/>
          <w:sz w:val="16"/>
          <w:szCs w:val="16"/>
          <w:lang w:val="es-CR"/>
        </w:rPr>
        <w:t>ff. 207 a 209, y 2058).</w:t>
      </w:r>
    </w:p>
  </w:footnote>
  <w:footnote w:id="552">
    <w:p w14:paraId="4B673062" w14:textId="4F8A0F48" w:rsidR="00146958" w:rsidRPr="002C462C" w:rsidRDefault="00146958">
      <w:pPr>
        <w:pStyle w:val="FootnoteText"/>
        <w:jc w:val="both"/>
        <w:rPr>
          <w:rFonts w:ascii="Verdana" w:hAnsi="Verdana"/>
          <w:sz w:val="16"/>
          <w:szCs w:val="16"/>
          <w:lang w:val="es-AR"/>
        </w:rPr>
      </w:pPr>
      <w:r w:rsidRPr="00432ABC">
        <w:rPr>
          <w:rStyle w:val="FootnoteReference"/>
          <w:rFonts w:ascii="Verdana" w:hAnsi="Verdana"/>
          <w:sz w:val="16"/>
          <w:szCs w:val="16"/>
        </w:rPr>
        <w:footnoteRef/>
      </w:r>
      <w:r w:rsidRPr="00432ABC">
        <w:rPr>
          <w:rFonts w:ascii="Verdana" w:hAnsi="Verdana"/>
          <w:sz w:val="16"/>
          <w:szCs w:val="16"/>
          <w:lang w:val="es-AR"/>
        </w:rPr>
        <w:t xml:space="preserve"> </w:t>
      </w:r>
      <w:r w:rsidRPr="002C462C">
        <w:rPr>
          <w:rFonts w:ascii="Verdana" w:hAnsi="Verdana"/>
          <w:sz w:val="16"/>
          <w:szCs w:val="16"/>
          <w:lang w:val="es-AR"/>
        </w:rPr>
        <w:tab/>
      </w:r>
      <w:r w:rsidRPr="00A36A62">
        <w:rPr>
          <w:rFonts w:ascii="Verdana" w:hAnsi="Verdana"/>
          <w:sz w:val="16"/>
          <w:szCs w:val="16"/>
          <w:lang w:val="es-CR"/>
        </w:rPr>
        <w:t xml:space="preserve">Ley de Amparo, Reglamentaria de los </w:t>
      </w:r>
      <w:r>
        <w:rPr>
          <w:rFonts w:ascii="Verdana" w:hAnsi="Verdana"/>
          <w:sz w:val="16"/>
          <w:szCs w:val="16"/>
          <w:lang w:val="es-CR"/>
        </w:rPr>
        <w:t>a</w:t>
      </w:r>
      <w:r w:rsidRPr="00A36A62">
        <w:rPr>
          <w:rFonts w:ascii="Verdana" w:hAnsi="Verdana"/>
          <w:sz w:val="16"/>
          <w:szCs w:val="16"/>
          <w:lang w:val="es-CR"/>
        </w:rPr>
        <w:t xml:space="preserve">rtículos 103 y 107 de la Constitución Política de los Estados Unidos Mexicanos. Disponible en: </w:t>
      </w:r>
      <w:hyperlink r:id="rId40" w:history="1">
        <w:r w:rsidRPr="00A36A62">
          <w:rPr>
            <w:rStyle w:val="Hyperlink"/>
            <w:rFonts w:ascii="Verdana" w:hAnsi="Verdana"/>
            <w:sz w:val="16"/>
            <w:szCs w:val="16"/>
            <w:lang w:val="es-CR"/>
          </w:rPr>
          <w:t>http://www.diputados.gob.mx/LeyesBiblio/pdf/LAmp_150618.pdf</w:t>
        </w:r>
      </w:hyperlink>
      <w:r>
        <w:rPr>
          <w:rFonts w:ascii="Verdana" w:hAnsi="Verdana"/>
          <w:sz w:val="16"/>
          <w:szCs w:val="16"/>
          <w:lang w:val="es-AR"/>
        </w:rPr>
        <w:t xml:space="preserve">  </w:t>
      </w:r>
    </w:p>
  </w:footnote>
  <w:footnote w:id="553">
    <w:p w14:paraId="144FDCDD" w14:textId="1A6DFD2A" w:rsidR="00146958" w:rsidRPr="008D0846" w:rsidRDefault="00146958" w:rsidP="008D0846">
      <w:pPr>
        <w:pStyle w:val="FootnoteText"/>
        <w:jc w:val="both"/>
        <w:rPr>
          <w:rFonts w:ascii="Verdana" w:hAnsi="Verdana"/>
          <w:sz w:val="16"/>
          <w:szCs w:val="16"/>
        </w:rPr>
      </w:pPr>
      <w:r w:rsidRPr="008D0846">
        <w:rPr>
          <w:rStyle w:val="FootnoteReference"/>
          <w:rFonts w:ascii="Verdana" w:hAnsi="Verdana"/>
          <w:sz w:val="16"/>
          <w:szCs w:val="16"/>
        </w:rPr>
        <w:footnoteRef/>
      </w:r>
      <w:r w:rsidRPr="008D0846">
        <w:rPr>
          <w:rFonts w:ascii="Verdana" w:hAnsi="Verdana"/>
          <w:sz w:val="16"/>
          <w:szCs w:val="16"/>
        </w:rPr>
        <w:t xml:space="preserve"> </w:t>
      </w:r>
      <w:r w:rsidRPr="008D0846">
        <w:rPr>
          <w:rFonts w:ascii="Verdana" w:hAnsi="Verdana"/>
          <w:sz w:val="16"/>
          <w:szCs w:val="16"/>
        </w:rPr>
        <w:tab/>
      </w:r>
      <w:r w:rsidRPr="008D0846">
        <w:rPr>
          <w:rFonts w:ascii="Verdana" w:hAnsi="Verdana"/>
          <w:sz w:val="16"/>
          <w:szCs w:val="16"/>
          <w:lang w:val="es-EC"/>
        </w:rPr>
        <w:t xml:space="preserve">Ley </w:t>
      </w:r>
      <w:hyperlink r:id="rId41" w:history="1">
        <w:r w:rsidRPr="008D0846">
          <w:rPr>
            <w:rStyle w:val="Hyperlink"/>
            <w:rFonts w:ascii="Verdana" w:hAnsi="Verdana"/>
            <w:bCs/>
            <w:sz w:val="16"/>
            <w:szCs w:val="16"/>
            <w:lang w:val="es-ES"/>
          </w:rPr>
          <w:t>General en Materia de Desaparición Forzada de Personas, Desaparición Cometida por Particulares y del Sistema Nacional de Búsqueda de Personas</w:t>
        </w:r>
      </w:hyperlink>
      <w:r w:rsidRPr="008D0846">
        <w:rPr>
          <w:rFonts w:ascii="Verdana" w:hAnsi="Verdana"/>
          <w:sz w:val="16"/>
          <w:szCs w:val="16"/>
        </w:rPr>
        <w:t xml:space="preserve">, publicada en el Diario Oficial de la Federación el 17 de noviembre de 2017. Disponible en: </w:t>
      </w:r>
      <w:hyperlink r:id="rId42" w:history="1">
        <w:r w:rsidRPr="008D0846">
          <w:rPr>
            <w:rStyle w:val="Hyperlink"/>
            <w:rFonts w:ascii="Verdana" w:hAnsi="Verdana"/>
            <w:sz w:val="16"/>
            <w:szCs w:val="16"/>
          </w:rPr>
          <w:t>http://www.diputados.gob.mx/LeyesBiblio/pdf/LGMDFP_171117.pdf</w:t>
        </w:r>
      </w:hyperlink>
      <w:r>
        <w:rPr>
          <w:rFonts w:ascii="Verdana" w:hAnsi="Verdana"/>
          <w:sz w:val="16"/>
          <w:szCs w:val="16"/>
        </w:rPr>
        <w:t xml:space="preserve">. El artículo primero transitorio de dicha legislación establece que la misma </w:t>
      </w:r>
      <w:r w:rsidRPr="001A0740">
        <w:rPr>
          <w:rFonts w:ascii="Verdana" w:hAnsi="Verdana"/>
          <w:sz w:val="16"/>
          <w:szCs w:val="16"/>
        </w:rPr>
        <w:t>entr</w:t>
      </w:r>
      <w:r>
        <w:rPr>
          <w:rFonts w:ascii="Verdana" w:hAnsi="Verdana"/>
          <w:sz w:val="16"/>
          <w:szCs w:val="16"/>
        </w:rPr>
        <w:t>ará</w:t>
      </w:r>
      <w:r w:rsidRPr="008D0846">
        <w:rPr>
          <w:rFonts w:ascii="Verdana" w:hAnsi="Verdana"/>
          <w:sz w:val="16"/>
          <w:szCs w:val="16"/>
        </w:rPr>
        <w:t xml:space="preserve"> en vigor a los sesenta días de su publicación en el Diario Oficial de la Federación</w:t>
      </w:r>
      <w:r>
        <w:rPr>
          <w:rFonts w:ascii="Verdana" w:hAnsi="Verdana"/>
          <w:sz w:val="16"/>
          <w:szCs w:val="16"/>
        </w:rPr>
        <w:t>, esto es, el 15 de febrero de 2018.</w:t>
      </w:r>
    </w:p>
  </w:footnote>
  <w:footnote w:id="554">
    <w:p w14:paraId="50B8025B" w14:textId="3A0EAC25" w:rsidR="00146958" w:rsidRPr="003564A3" w:rsidRDefault="00146958" w:rsidP="003564A3">
      <w:pPr>
        <w:pStyle w:val="FootnoteText"/>
        <w:jc w:val="both"/>
        <w:rPr>
          <w:rFonts w:ascii="Verdana" w:hAnsi="Verdana"/>
          <w:sz w:val="16"/>
          <w:szCs w:val="16"/>
          <w:lang w:val="es-CR"/>
        </w:rPr>
      </w:pPr>
      <w:r w:rsidRPr="00432ABC">
        <w:rPr>
          <w:rStyle w:val="FootnoteReference"/>
          <w:rFonts w:ascii="Verdana" w:hAnsi="Verdana"/>
          <w:sz w:val="16"/>
          <w:szCs w:val="16"/>
        </w:rPr>
        <w:footnoteRef/>
      </w:r>
      <w:r w:rsidRPr="00432ABC">
        <w:rPr>
          <w:rFonts w:ascii="Verdana" w:hAnsi="Verdana"/>
          <w:sz w:val="16"/>
          <w:szCs w:val="16"/>
          <w:lang w:val="es-CR"/>
        </w:rPr>
        <w:t xml:space="preserve"> </w:t>
      </w:r>
      <w:r w:rsidRPr="002C462C">
        <w:rPr>
          <w:rFonts w:ascii="Verdana" w:hAnsi="Verdana"/>
          <w:sz w:val="16"/>
          <w:szCs w:val="16"/>
          <w:lang w:val="es-CR"/>
        </w:rPr>
        <w:tab/>
      </w:r>
      <w:r w:rsidRPr="003564A3">
        <w:rPr>
          <w:rFonts w:ascii="Verdana" w:hAnsi="Verdana"/>
          <w:sz w:val="16"/>
          <w:szCs w:val="16"/>
          <w:lang w:val="es-CR"/>
        </w:rPr>
        <w:t>Ley de Amparo</w:t>
      </w:r>
      <w:r>
        <w:rPr>
          <w:rFonts w:ascii="Verdana" w:hAnsi="Verdana"/>
          <w:sz w:val="16"/>
          <w:szCs w:val="16"/>
          <w:lang w:val="es-CR"/>
        </w:rPr>
        <w:t>,</w:t>
      </w:r>
      <w:r w:rsidRPr="003564A3">
        <w:rPr>
          <w:rFonts w:ascii="Verdana" w:hAnsi="Verdana"/>
          <w:sz w:val="16"/>
          <w:szCs w:val="16"/>
          <w:lang w:val="es-CR"/>
        </w:rPr>
        <w:t xml:space="preserve"> </w:t>
      </w:r>
      <w:r>
        <w:rPr>
          <w:rFonts w:ascii="Verdana" w:hAnsi="Verdana"/>
          <w:sz w:val="16"/>
          <w:szCs w:val="16"/>
          <w:lang w:val="es-CR"/>
        </w:rPr>
        <w:t>R</w:t>
      </w:r>
      <w:r w:rsidRPr="003564A3">
        <w:rPr>
          <w:rFonts w:ascii="Verdana" w:hAnsi="Verdana"/>
          <w:sz w:val="16"/>
          <w:szCs w:val="16"/>
          <w:lang w:val="es-CR"/>
        </w:rPr>
        <w:t xml:space="preserve">eglamentaria de los </w:t>
      </w:r>
      <w:r>
        <w:rPr>
          <w:rFonts w:ascii="Verdana" w:hAnsi="Verdana"/>
          <w:sz w:val="16"/>
          <w:szCs w:val="16"/>
          <w:lang w:val="es-CR"/>
        </w:rPr>
        <w:t>a</w:t>
      </w:r>
      <w:r w:rsidRPr="003564A3">
        <w:rPr>
          <w:rFonts w:ascii="Verdana" w:hAnsi="Verdana"/>
          <w:sz w:val="16"/>
          <w:szCs w:val="16"/>
          <w:lang w:val="es-CR"/>
        </w:rPr>
        <w:t>rtículos 103 y 107 de la Constitución Política de los Estados Unidos Mexicanos</w:t>
      </w:r>
      <w:r>
        <w:rPr>
          <w:rFonts w:ascii="Verdana" w:hAnsi="Verdana"/>
          <w:sz w:val="16"/>
          <w:szCs w:val="16"/>
          <w:lang w:val="es-CR"/>
        </w:rPr>
        <w:t xml:space="preserve">, </w:t>
      </w:r>
      <w:r>
        <w:rPr>
          <w:rFonts w:ascii="Verdana" w:hAnsi="Verdana"/>
          <w:i/>
          <w:sz w:val="16"/>
          <w:szCs w:val="16"/>
          <w:lang w:val="es-CR"/>
        </w:rPr>
        <w:t xml:space="preserve">supra, </w:t>
      </w:r>
      <w:r>
        <w:rPr>
          <w:rFonts w:ascii="Verdana" w:hAnsi="Verdana"/>
          <w:sz w:val="16"/>
          <w:szCs w:val="16"/>
          <w:lang w:val="es-CR"/>
        </w:rPr>
        <w:t>artículo 15, último párrafo</w:t>
      </w:r>
      <w:r>
        <w:rPr>
          <w:rFonts w:ascii="Verdana" w:hAnsi="Verdana"/>
          <w:i/>
          <w:sz w:val="16"/>
          <w:szCs w:val="16"/>
          <w:lang w:val="es-CR"/>
        </w:rPr>
        <w:t xml:space="preserve">. </w:t>
      </w:r>
      <w:r>
        <w:rPr>
          <w:rFonts w:ascii="Verdana" w:hAnsi="Verdana"/>
          <w:sz w:val="16"/>
          <w:szCs w:val="16"/>
          <w:lang w:val="es-CR"/>
        </w:rPr>
        <w:t xml:space="preserve"> </w:t>
      </w:r>
    </w:p>
  </w:footnote>
  <w:footnote w:id="555">
    <w:p w14:paraId="6AC00623" w14:textId="0904CDBA" w:rsidR="00146958" w:rsidRPr="008D0846" w:rsidRDefault="00146958" w:rsidP="003564A3">
      <w:pPr>
        <w:pStyle w:val="FootnoteText"/>
        <w:jc w:val="both"/>
        <w:rPr>
          <w:rFonts w:ascii="Verdana" w:hAnsi="Verdana"/>
          <w:sz w:val="16"/>
          <w:szCs w:val="16"/>
          <w:lang w:val="es-CR"/>
        </w:rPr>
      </w:pPr>
      <w:r w:rsidRPr="00B62982">
        <w:rPr>
          <w:rStyle w:val="FootnoteReference"/>
          <w:rFonts w:ascii="Verdana" w:hAnsi="Verdana"/>
          <w:sz w:val="16"/>
          <w:szCs w:val="16"/>
        </w:rPr>
        <w:footnoteRef/>
      </w:r>
      <w:r w:rsidRPr="00B62982">
        <w:rPr>
          <w:rFonts w:ascii="Verdana" w:hAnsi="Verdana"/>
          <w:sz w:val="16"/>
          <w:szCs w:val="16"/>
        </w:rPr>
        <w:t xml:space="preserve"> </w:t>
      </w:r>
      <w:r w:rsidRPr="00B62982">
        <w:rPr>
          <w:rFonts w:ascii="Verdana" w:hAnsi="Verdana"/>
          <w:sz w:val="16"/>
          <w:szCs w:val="16"/>
        </w:rPr>
        <w:tab/>
      </w:r>
      <w:r w:rsidRPr="008D0846">
        <w:rPr>
          <w:rFonts w:ascii="Verdana" w:hAnsi="Verdana"/>
          <w:sz w:val="16"/>
          <w:szCs w:val="16"/>
        </w:rPr>
        <w:t xml:space="preserve">Se toma nota de las recomendaciones realizadas a México por el Comité sobre Desapariciones Forzadas y el GTDFI, ambos de la ONU, así como de la CNDH  además de lo contenido en los peritajes de Federico Andreu y Gabriella Citroni. </w:t>
      </w:r>
      <w:r w:rsidRPr="00CD5C54">
        <w:rPr>
          <w:rFonts w:ascii="Verdana" w:hAnsi="Verdana"/>
          <w:i/>
          <w:sz w:val="16"/>
          <w:szCs w:val="16"/>
          <w:lang w:val="es-CR"/>
        </w:rPr>
        <w:t>Cfr.</w:t>
      </w:r>
      <w:r w:rsidRPr="008D0846">
        <w:rPr>
          <w:rFonts w:ascii="Verdana" w:hAnsi="Verdana"/>
          <w:sz w:val="16"/>
          <w:szCs w:val="16"/>
          <w:lang w:val="es-CR"/>
        </w:rPr>
        <w:t xml:space="preserve"> ONU. GTDFI, </w:t>
      </w:r>
      <w:r w:rsidRPr="008D0846">
        <w:rPr>
          <w:rFonts w:ascii="Verdana" w:hAnsi="Verdana"/>
          <w:i/>
          <w:sz w:val="16"/>
          <w:szCs w:val="16"/>
          <w:lang w:val="es-CR"/>
        </w:rPr>
        <w:t>Informe sobre la misión a México</w:t>
      </w:r>
      <w:r w:rsidRPr="008D0846">
        <w:rPr>
          <w:rFonts w:ascii="Verdana" w:hAnsi="Verdana"/>
          <w:sz w:val="16"/>
          <w:szCs w:val="16"/>
          <w:lang w:val="es-CR"/>
        </w:rPr>
        <w:t xml:space="preserve">, A/HCR/19/58/Add.2, 20 de diciembre de 2011, párr. 81; Comité sobre Desapariciones Forzadas, </w:t>
      </w:r>
      <w:r w:rsidRPr="008D0846">
        <w:rPr>
          <w:rFonts w:ascii="Verdana" w:hAnsi="Verdana"/>
          <w:i/>
          <w:sz w:val="16"/>
          <w:szCs w:val="16"/>
          <w:lang w:val="es-CR"/>
        </w:rPr>
        <w:t>Observaciones finales sobre México</w:t>
      </w:r>
      <w:r w:rsidRPr="008D0846">
        <w:rPr>
          <w:rFonts w:ascii="Verdana" w:hAnsi="Verdana"/>
          <w:sz w:val="16"/>
          <w:szCs w:val="16"/>
          <w:lang w:val="es-CR"/>
        </w:rPr>
        <w:t xml:space="preserve">, CED/C/MEX/CO/1, 134 de febrero de 2015, párr. 18; </w:t>
      </w:r>
      <w:r w:rsidRPr="00437446">
        <w:rPr>
          <w:rFonts w:ascii="Verdana" w:hAnsi="Verdana"/>
          <w:sz w:val="16"/>
          <w:szCs w:val="16"/>
        </w:rPr>
        <w:t xml:space="preserve">Declaración rendida ante la Corte por el perito Federico Andreu Guzmán en la Audiencia Pública del </w:t>
      </w:r>
      <w:r w:rsidRPr="008D0846">
        <w:rPr>
          <w:rFonts w:ascii="Verdana" w:hAnsi="Verdana"/>
          <w:i/>
          <w:sz w:val="16"/>
          <w:szCs w:val="16"/>
        </w:rPr>
        <w:t>Caso Alvarado Espinoza y otros Vs. México</w:t>
      </w:r>
      <w:r w:rsidRPr="00437446">
        <w:rPr>
          <w:rFonts w:ascii="Verdana" w:hAnsi="Verdana"/>
          <w:sz w:val="16"/>
          <w:szCs w:val="16"/>
        </w:rPr>
        <w:t xml:space="preserve"> el 26 de abril de 2018  (Transcripción de la Audiencia Pública, pág. </w:t>
      </w:r>
      <w:r w:rsidRPr="008D0846">
        <w:rPr>
          <w:rFonts w:ascii="Verdana" w:hAnsi="Verdana"/>
          <w:sz w:val="16"/>
          <w:szCs w:val="16"/>
          <w:lang w:val="es-CR"/>
        </w:rPr>
        <w:t>88</w:t>
      </w:r>
      <w:r>
        <w:rPr>
          <w:rFonts w:ascii="Verdana" w:hAnsi="Verdana"/>
          <w:sz w:val="16"/>
          <w:szCs w:val="16"/>
          <w:lang w:val="es-CR"/>
        </w:rPr>
        <w:t>)</w:t>
      </w:r>
      <w:r w:rsidRPr="008D0846">
        <w:rPr>
          <w:rFonts w:ascii="Verdana" w:hAnsi="Verdana"/>
          <w:sz w:val="16"/>
          <w:szCs w:val="16"/>
          <w:lang w:val="es-CR"/>
        </w:rPr>
        <w:t>; Declaración pericial de Gabriella Citroni rendida ante fedatario público de 18 de abril de 2018</w:t>
      </w:r>
      <w:r>
        <w:rPr>
          <w:rFonts w:ascii="Verdana" w:hAnsi="Verdana"/>
          <w:sz w:val="16"/>
          <w:szCs w:val="16"/>
          <w:lang w:val="es-CR"/>
        </w:rPr>
        <w:t xml:space="preserve"> (expediente de prueba, </w:t>
      </w:r>
      <w:r w:rsidRPr="00453199">
        <w:rPr>
          <w:rFonts w:ascii="Verdana" w:hAnsi="Verdana"/>
          <w:i/>
          <w:sz w:val="16"/>
          <w:szCs w:val="16"/>
          <w:lang w:val="es-CR"/>
        </w:rPr>
        <w:t>Affidávits</w:t>
      </w:r>
      <w:r w:rsidRPr="008D0846">
        <w:rPr>
          <w:rFonts w:ascii="Verdana" w:hAnsi="Verdana"/>
          <w:i/>
          <w:sz w:val="16"/>
          <w:szCs w:val="16"/>
          <w:lang w:val="es-CR"/>
        </w:rPr>
        <w:t>,</w:t>
      </w:r>
      <w:r w:rsidRPr="00437446" w:rsidDel="00437446">
        <w:rPr>
          <w:rFonts w:ascii="Verdana" w:hAnsi="Verdana"/>
          <w:i/>
          <w:sz w:val="16"/>
          <w:szCs w:val="16"/>
          <w:lang w:val="es-CR"/>
        </w:rPr>
        <w:t xml:space="preserve"> </w:t>
      </w:r>
      <w:r w:rsidRPr="008D0846">
        <w:rPr>
          <w:rFonts w:ascii="Verdana" w:hAnsi="Verdana"/>
          <w:sz w:val="16"/>
          <w:szCs w:val="16"/>
          <w:lang w:val="es-CR"/>
        </w:rPr>
        <w:t>f</w:t>
      </w:r>
      <w:r>
        <w:rPr>
          <w:rFonts w:ascii="Verdana" w:hAnsi="Verdana"/>
          <w:sz w:val="16"/>
          <w:szCs w:val="16"/>
          <w:lang w:val="es-CR"/>
        </w:rPr>
        <w:t>f</w:t>
      </w:r>
      <w:r w:rsidRPr="008D0846">
        <w:rPr>
          <w:rFonts w:ascii="Verdana" w:hAnsi="Verdana"/>
          <w:sz w:val="16"/>
          <w:szCs w:val="16"/>
          <w:lang w:val="es-CR"/>
        </w:rPr>
        <w:t xml:space="preserve">. 31082 a 31083, y </w:t>
      </w:r>
      <w:r w:rsidRPr="008D0846">
        <w:rPr>
          <w:rFonts w:ascii="Verdana" w:hAnsi="Verdana"/>
          <w:i/>
          <w:sz w:val="16"/>
          <w:szCs w:val="16"/>
          <w:lang w:val="es-CR"/>
        </w:rPr>
        <w:t xml:space="preserve"> </w:t>
      </w:r>
      <w:r w:rsidRPr="008D0846">
        <w:rPr>
          <w:rFonts w:ascii="Verdana" w:hAnsi="Verdana"/>
          <w:sz w:val="16"/>
          <w:szCs w:val="16"/>
          <w:lang w:val="es-CR"/>
        </w:rPr>
        <w:t xml:space="preserve">CNDH, </w:t>
      </w:r>
      <w:r w:rsidRPr="008D0846">
        <w:rPr>
          <w:rFonts w:ascii="Verdana" w:hAnsi="Verdana"/>
          <w:i/>
          <w:sz w:val="16"/>
          <w:szCs w:val="16"/>
          <w:lang w:val="es-CR"/>
        </w:rPr>
        <w:t xml:space="preserve">Informe Especial sobre Desaparición de Personas y Fosas Clandestinas en México, </w:t>
      </w:r>
      <w:r w:rsidRPr="008D0846">
        <w:rPr>
          <w:rFonts w:ascii="Verdana" w:hAnsi="Verdana"/>
          <w:sz w:val="16"/>
          <w:szCs w:val="16"/>
          <w:lang w:val="es-CR"/>
        </w:rPr>
        <w:t xml:space="preserve"> 6 de abril de 2017, párr. 30. Disponible en: </w:t>
      </w:r>
      <w:hyperlink r:id="rId43" w:history="1">
        <w:r w:rsidRPr="008D0846">
          <w:rPr>
            <w:rStyle w:val="Hyperlink"/>
            <w:rFonts w:ascii="Verdana" w:hAnsi="Verdana"/>
            <w:sz w:val="16"/>
            <w:szCs w:val="16"/>
            <w:lang w:val="es-CR"/>
          </w:rPr>
          <w:t>http://www.cndh.org.mx/sites/all/doc/Informes/Especiales/InformeEspecial_20170406.pdf</w:t>
        </w:r>
      </w:hyperlink>
      <w:r w:rsidRPr="008D0846">
        <w:rPr>
          <w:rFonts w:ascii="Verdana" w:hAnsi="Verdana"/>
          <w:sz w:val="16"/>
          <w:szCs w:val="16"/>
          <w:lang w:val="es-CR"/>
        </w:rPr>
        <w:t xml:space="preserve">. En particular, en este último informe se señala que: </w:t>
      </w:r>
      <w:r w:rsidRPr="008D0846">
        <w:rPr>
          <w:rFonts w:ascii="Verdana" w:eastAsiaTheme="minorHAnsi" w:hAnsi="Verdana" w:cs="*Microsoft Sans Serif-5550-Iden"/>
          <w:color w:val="1E1E22"/>
          <w:sz w:val="16"/>
          <w:szCs w:val="16"/>
          <w:lang w:val="es-CR"/>
        </w:rPr>
        <w:t>“[l]a diversidad de cifras referidas pone en evidencia la necesidad de que las autoridades procedan a sistematizar, compulsar y depurar los datos de personas desaparecidas, por lo que esta Comisión Nacional [de Derechos Humanos] reitera su preocupación por el desconocimiento del paradero de las miles de personas desaparecidas en el territorio nacional y por el sufrimiento e incertidumbre causados a sus familiares al no conocer su suerte o destino final. El presente Informe evidencia en su contenido, las inconsistencias y deficiencias de la información oficial disponible al respecto, por lo que se reitera la necesidad de contar con registros pertinentes e integrales que permitan dimensionar adecuadamente la magnitud de este problema […]”</w:t>
      </w:r>
      <w:r>
        <w:rPr>
          <w:rFonts w:ascii="Verdana" w:eastAsiaTheme="minorHAnsi" w:hAnsi="Verdana" w:cs="*Microsoft Sans Serif-5550-Iden"/>
          <w:color w:val="1E1E22"/>
          <w:sz w:val="16"/>
          <w:szCs w:val="16"/>
          <w:lang w:val="es-CR"/>
        </w:rPr>
        <w:t>.</w:t>
      </w:r>
    </w:p>
  </w:footnote>
  <w:footnote w:id="556">
    <w:p w14:paraId="74CAE486" w14:textId="15453809" w:rsidR="00146958" w:rsidRPr="00AE2ED8" w:rsidRDefault="00146958" w:rsidP="003564A3">
      <w:pPr>
        <w:pStyle w:val="FootnoteText"/>
        <w:jc w:val="both"/>
        <w:rPr>
          <w:rFonts w:ascii="Verdana" w:hAnsi="Verdana"/>
          <w:sz w:val="16"/>
          <w:szCs w:val="16"/>
          <w:lang w:val="es-CR"/>
        </w:rPr>
      </w:pPr>
      <w:r w:rsidRPr="00AE2ED8">
        <w:rPr>
          <w:rStyle w:val="FootnoteReference"/>
          <w:rFonts w:ascii="Verdana" w:hAnsi="Verdana"/>
          <w:sz w:val="16"/>
          <w:szCs w:val="16"/>
        </w:rPr>
        <w:footnoteRef/>
      </w:r>
      <w:r w:rsidRPr="00AE2ED8">
        <w:rPr>
          <w:rFonts w:ascii="Verdana" w:hAnsi="Verdana"/>
          <w:sz w:val="16"/>
          <w:szCs w:val="16"/>
          <w:lang w:val="es-CR"/>
        </w:rPr>
        <w:t xml:space="preserve"> </w:t>
      </w:r>
      <w:r w:rsidRPr="00AE2ED8">
        <w:rPr>
          <w:rFonts w:ascii="Verdana" w:hAnsi="Verdana"/>
          <w:sz w:val="16"/>
          <w:szCs w:val="16"/>
          <w:lang w:val="es-CR"/>
        </w:rPr>
        <w:tab/>
      </w:r>
      <w:r w:rsidRPr="00CD5C54">
        <w:rPr>
          <w:rFonts w:ascii="Verdana" w:hAnsi="Verdana"/>
          <w:i/>
          <w:sz w:val="16"/>
          <w:szCs w:val="16"/>
          <w:lang w:val="es-CR"/>
        </w:rPr>
        <w:t>Cfr.</w:t>
      </w:r>
      <w:r w:rsidRPr="00AE2ED8">
        <w:rPr>
          <w:rFonts w:ascii="Verdana" w:hAnsi="Verdana"/>
          <w:i/>
          <w:sz w:val="16"/>
          <w:szCs w:val="16"/>
          <w:lang w:val="es-CR"/>
        </w:rPr>
        <w:t xml:space="preserve"> </w:t>
      </w:r>
      <w:r w:rsidRPr="00AE2ED8">
        <w:rPr>
          <w:rFonts w:ascii="Verdana" w:hAnsi="Verdana"/>
          <w:bCs/>
          <w:i/>
          <w:sz w:val="16"/>
          <w:szCs w:val="16"/>
        </w:rPr>
        <w:t>Caso del Caracazo Vs. Venezuela</w:t>
      </w:r>
      <w:r>
        <w:rPr>
          <w:rFonts w:ascii="Verdana" w:hAnsi="Verdana"/>
          <w:bCs/>
          <w:i/>
          <w:sz w:val="16"/>
          <w:szCs w:val="16"/>
        </w:rPr>
        <w:t>. Reparaciones y Costas</w:t>
      </w:r>
      <w:r w:rsidRPr="00AE2ED8">
        <w:rPr>
          <w:rFonts w:ascii="Verdana" w:hAnsi="Verdana"/>
          <w:bCs/>
          <w:i/>
          <w:sz w:val="16"/>
          <w:szCs w:val="16"/>
        </w:rPr>
        <w:t xml:space="preserve">, supra, </w:t>
      </w:r>
      <w:r w:rsidRPr="00AE2ED8">
        <w:rPr>
          <w:rFonts w:ascii="Verdana" w:hAnsi="Verdana"/>
          <w:bCs/>
          <w:sz w:val="16"/>
          <w:szCs w:val="16"/>
        </w:rPr>
        <w:t xml:space="preserve">párr. 127, y </w:t>
      </w:r>
      <w:r w:rsidRPr="008D0846">
        <w:rPr>
          <w:rStyle w:val="Strong"/>
          <w:rFonts w:ascii="Verdana" w:hAnsi="Verdana"/>
          <w:b w:val="0"/>
          <w:i/>
          <w:color w:val="000000"/>
          <w:sz w:val="16"/>
          <w:szCs w:val="16"/>
          <w:shd w:val="clear" w:color="auto" w:fill="FFFFFF"/>
        </w:rPr>
        <w:t>Caso Miembros de la Aldea Chichupac y comunidades vecinas del Municipio de Rabinal Vs. Guatemala</w:t>
      </w:r>
      <w:r>
        <w:rPr>
          <w:rStyle w:val="Strong"/>
          <w:rFonts w:ascii="Verdana" w:hAnsi="Verdana"/>
          <w:b w:val="0"/>
          <w:i/>
          <w:color w:val="000000"/>
          <w:sz w:val="16"/>
          <w:szCs w:val="16"/>
          <w:shd w:val="clear" w:color="auto" w:fill="FFFFFF"/>
        </w:rPr>
        <w:t>, supra</w:t>
      </w:r>
      <w:r w:rsidRPr="00AE2ED8">
        <w:rPr>
          <w:rFonts w:ascii="Verdana" w:hAnsi="Verdana"/>
          <w:sz w:val="16"/>
          <w:szCs w:val="16"/>
          <w:lang w:val="es-CR"/>
        </w:rPr>
        <w:t>, párr. 312.</w:t>
      </w:r>
    </w:p>
  </w:footnote>
  <w:footnote w:id="557">
    <w:p w14:paraId="26ADCE6F" w14:textId="1BF616F7" w:rsidR="00146958" w:rsidRPr="00AE2ED8" w:rsidRDefault="00146958" w:rsidP="003564A3">
      <w:pPr>
        <w:pStyle w:val="FootnoteText"/>
        <w:jc w:val="both"/>
        <w:rPr>
          <w:rFonts w:ascii="Verdana" w:hAnsi="Verdana"/>
          <w:sz w:val="16"/>
          <w:szCs w:val="16"/>
          <w:lang w:val="es-CR"/>
        </w:rPr>
      </w:pPr>
      <w:r w:rsidRPr="00AE2ED8">
        <w:rPr>
          <w:rStyle w:val="Caracteresdenotaalpie"/>
          <w:rFonts w:ascii="Verdana" w:hAnsi="Verdana"/>
          <w:sz w:val="16"/>
          <w:szCs w:val="16"/>
        </w:rPr>
        <w:footnoteRef/>
      </w:r>
      <w:r w:rsidRPr="00AE2ED8">
        <w:rPr>
          <w:rFonts w:ascii="Verdana" w:hAnsi="Verdana"/>
          <w:i/>
          <w:sz w:val="16"/>
          <w:szCs w:val="16"/>
          <w:lang w:val="es-CR"/>
        </w:rPr>
        <w:t xml:space="preserve"> </w:t>
      </w:r>
      <w:r w:rsidRPr="00AE2ED8">
        <w:rPr>
          <w:rFonts w:ascii="Verdana" w:hAnsi="Verdana"/>
          <w:i/>
          <w:sz w:val="16"/>
          <w:szCs w:val="16"/>
          <w:lang w:val="es-CR"/>
        </w:rPr>
        <w:tab/>
      </w:r>
      <w:r w:rsidRPr="00CD5C54">
        <w:rPr>
          <w:rFonts w:ascii="Verdana" w:hAnsi="Verdana"/>
          <w:i/>
          <w:sz w:val="16"/>
          <w:szCs w:val="16"/>
          <w:lang w:val="es-CR"/>
        </w:rPr>
        <w:t>Cfr.</w:t>
      </w:r>
      <w:r w:rsidRPr="00AE2ED8">
        <w:rPr>
          <w:rFonts w:ascii="Verdana" w:hAnsi="Verdana"/>
          <w:i/>
          <w:sz w:val="16"/>
          <w:szCs w:val="16"/>
          <w:lang w:val="es-CR"/>
        </w:rPr>
        <w:t xml:space="preserve"> Caso Claude Reyes y otros Vs. Chile. Supervisión de Cumplimiento de Sentencia</w:t>
      </w:r>
      <w:r w:rsidRPr="00AE2ED8">
        <w:rPr>
          <w:rFonts w:ascii="Verdana" w:hAnsi="Verdana"/>
          <w:sz w:val="16"/>
          <w:szCs w:val="16"/>
          <w:lang w:val="es-CR"/>
        </w:rPr>
        <w:t xml:space="preserve">. Resolución de la Corte </w:t>
      </w:r>
      <w:r>
        <w:rPr>
          <w:rFonts w:ascii="Verdana" w:hAnsi="Verdana"/>
          <w:sz w:val="16"/>
          <w:szCs w:val="16"/>
          <w:lang w:val="es-CR"/>
        </w:rPr>
        <w:t>IDH</w:t>
      </w:r>
      <w:r w:rsidRPr="00AE2ED8">
        <w:rPr>
          <w:rFonts w:ascii="Verdana" w:hAnsi="Verdana"/>
          <w:sz w:val="16"/>
          <w:szCs w:val="16"/>
          <w:lang w:val="es-CR"/>
        </w:rPr>
        <w:t xml:space="preserve"> de 24 de noviembre de 2008, Considerando 19.</w:t>
      </w:r>
    </w:p>
  </w:footnote>
  <w:footnote w:id="558">
    <w:p w14:paraId="53749417" w14:textId="6B5E916E" w:rsidR="00146958" w:rsidRPr="00AE2ED8" w:rsidRDefault="00146958" w:rsidP="003564A3">
      <w:pPr>
        <w:pStyle w:val="FootnoteText"/>
        <w:jc w:val="both"/>
        <w:rPr>
          <w:rFonts w:ascii="Verdana" w:hAnsi="Verdana"/>
          <w:sz w:val="16"/>
          <w:szCs w:val="16"/>
          <w:lang w:val="es-CR"/>
        </w:rPr>
      </w:pPr>
      <w:r w:rsidRPr="00AE2ED8">
        <w:rPr>
          <w:rStyle w:val="FootnoteReference"/>
          <w:rFonts w:ascii="Verdana" w:hAnsi="Verdana"/>
          <w:sz w:val="16"/>
          <w:szCs w:val="16"/>
        </w:rPr>
        <w:footnoteRef/>
      </w:r>
      <w:r w:rsidRPr="00AE2ED8">
        <w:rPr>
          <w:rFonts w:ascii="Verdana" w:hAnsi="Verdana"/>
          <w:sz w:val="16"/>
          <w:szCs w:val="16"/>
          <w:lang w:val="es-CR"/>
        </w:rPr>
        <w:t xml:space="preserve"> </w:t>
      </w:r>
      <w:r w:rsidRPr="00AE2ED8">
        <w:rPr>
          <w:rFonts w:ascii="Verdana" w:hAnsi="Verdana"/>
          <w:sz w:val="16"/>
          <w:szCs w:val="16"/>
          <w:lang w:val="es-CR"/>
        </w:rPr>
        <w:tab/>
      </w:r>
      <w:r w:rsidRPr="00CD5C54">
        <w:rPr>
          <w:rFonts w:ascii="Verdana" w:hAnsi="Verdana"/>
          <w:i/>
          <w:sz w:val="16"/>
          <w:szCs w:val="16"/>
          <w:lang w:val="es-CR"/>
        </w:rPr>
        <w:t>Cfr.</w:t>
      </w:r>
      <w:r w:rsidRPr="00AE2ED8">
        <w:rPr>
          <w:rFonts w:ascii="Verdana" w:hAnsi="Verdana"/>
          <w:i/>
          <w:sz w:val="16"/>
          <w:szCs w:val="16"/>
          <w:lang w:val="es-CR"/>
        </w:rPr>
        <w:t xml:space="preserve"> Asunto Alvarado Reyes y otros respecto de México. Medidas Provisionales.</w:t>
      </w:r>
      <w:r w:rsidRPr="00AE2ED8">
        <w:rPr>
          <w:rFonts w:ascii="Verdana" w:hAnsi="Verdana"/>
          <w:sz w:val="16"/>
          <w:szCs w:val="16"/>
          <w:lang w:val="es-CR"/>
        </w:rPr>
        <w:t xml:space="preserve"> Resolución de la Corte </w:t>
      </w:r>
      <w:r w:rsidRPr="006F76AA">
        <w:rPr>
          <w:rFonts w:ascii="Verdana" w:hAnsi="Verdana"/>
          <w:sz w:val="16"/>
          <w:szCs w:val="16"/>
          <w:lang w:val="es-CR"/>
        </w:rPr>
        <w:t xml:space="preserve">IDH </w:t>
      </w:r>
      <w:r w:rsidRPr="00AE2ED8">
        <w:rPr>
          <w:rFonts w:ascii="Verdana" w:hAnsi="Verdana"/>
          <w:sz w:val="16"/>
          <w:szCs w:val="16"/>
          <w:lang w:val="es-CR"/>
        </w:rPr>
        <w:t xml:space="preserve">de 26 de noviembre de 2010, Resolutivo 2.  </w:t>
      </w:r>
    </w:p>
  </w:footnote>
  <w:footnote w:id="559">
    <w:p w14:paraId="3A620BED" w14:textId="2058FAA2" w:rsidR="00146958" w:rsidRPr="00432ABC" w:rsidRDefault="00146958">
      <w:pPr>
        <w:pStyle w:val="FootnoteText"/>
        <w:jc w:val="both"/>
        <w:rPr>
          <w:rFonts w:ascii="Verdana" w:hAnsi="Verdana"/>
          <w:sz w:val="16"/>
          <w:szCs w:val="16"/>
          <w:lang w:val="es-CR"/>
        </w:rPr>
      </w:pPr>
      <w:r w:rsidRPr="00AE2ED8">
        <w:rPr>
          <w:rStyle w:val="FootnoteReference"/>
          <w:rFonts w:ascii="Verdana" w:hAnsi="Verdana"/>
          <w:sz w:val="16"/>
          <w:szCs w:val="16"/>
        </w:rPr>
        <w:footnoteRef/>
      </w:r>
      <w:r w:rsidRPr="00AE2ED8">
        <w:rPr>
          <w:rFonts w:ascii="Verdana" w:hAnsi="Verdana"/>
          <w:sz w:val="16"/>
          <w:szCs w:val="16"/>
          <w:lang w:val="es-CR"/>
        </w:rPr>
        <w:t xml:space="preserve"> </w:t>
      </w:r>
      <w:r w:rsidRPr="00AE2ED8">
        <w:rPr>
          <w:rFonts w:ascii="Verdana" w:hAnsi="Verdana"/>
          <w:sz w:val="16"/>
          <w:szCs w:val="16"/>
          <w:lang w:val="es-CR"/>
        </w:rPr>
        <w:tab/>
      </w:r>
      <w:r w:rsidRPr="00CD5C54">
        <w:rPr>
          <w:rFonts w:ascii="Verdana" w:hAnsi="Verdana"/>
          <w:i/>
          <w:sz w:val="16"/>
          <w:szCs w:val="16"/>
          <w:lang w:val="es-CR"/>
        </w:rPr>
        <w:t>Cfr.</w:t>
      </w:r>
      <w:r w:rsidRPr="00AE2ED8">
        <w:rPr>
          <w:rFonts w:ascii="Verdana" w:hAnsi="Verdana"/>
          <w:i/>
          <w:sz w:val="16"/>
          <w:szCs w:val="16"/>
          <w:lang w:val="es-CR"/>
        </w:rPr>
        <w:t xml:space="preserve"> </w:t>
      </w:r>
      <w:r w:rsidRPr="00184C97">
        <w:rPr>
          <w:rFonts w:ascii="Verdana" w:hAnsi="Verdana"/>
          <w:i/>
          <w:sz w:val="16"/>
          <w:szCs w:val="16"/>
        </w:rPr>
        <w:t>Caso Chitay Nech y otros vs. Guatemala</w:t>
      </w:r>
      <w:r>
        <w:rPr>
          <w:rFonts w:ascii="Verdana" w:hAnsi="Verdana"/>
          <w:sz w:val="16"/>
          <w:szCs w:val="16"/>
        </w:rPr>
        <w:t xml:space="preserve">, </w:t>
      </w:r>
      <w:r w:rsidRPr="008D0846">
        <w:rPr>
          <w:rFonts w:ascii="Verdana" w:hAnsi="Verdana"/>
          <w:i/>
          <w:sz w:val="16"/>
          <w:szCs w:val="16"/>
        </w:rPr>
        <w:t>supra</w:t>
      </w:r>
      <w:r w:rsidRPr="00184C97">
        <w:rPr>
          <w:rFonts w:ascii="Verdana" w:hAnsi="Verdana"/>
          <w:sz w:val="16"/>
          <w:szCs w:val="16"/>
        </w:rPr>
        <w:t>, párr. 149</w:t>
      </w:r>
      <w:r w:rsidRPr="008D0846">
        <w:rPr>
          <w:rFonts w:ascii="Verdana" w:hAnsi="Verdana"/>
          <w:sz w:val="16"/>
          <w:szCs w:val="16"/>
        </w:rPr>
        <w:t xml:space="preserve">, y </w:t>
      </w:r>
      <w:r w:rsidRPr="008D0846">
        <w:rPr>
          <w:rStyle w:val="Strong"/>
          <w:rFonts w:ascii="Verdana" w:hAnsi="Verdana"/>
          <w:b w:val="0"/>
          <w:i/>
          <w:color w:val="000000"/>
          <w:sz w:val="16"/>
          <w:szCs w:val="16"/>
          <w:shd w:val="clear" w:color="auto" w:fill="FFFFFF"/>
        </w:rPr>
        <w:t>Caso Yarce y otras Vs. Colombia</w:t>
      </w:r>
      <w:r>
        <w:rPr>
          <w:rStyle w:val="Strong"/>
          <w:rFonts w:ascii="Verdana" w:hAnsi="Verdana"/>
          <w:b w:val="0"/>
          <w:i/>
          <w:color w:val="000000"/>
          <w:sz w:val="16"/>
          <w:szCs w:val="16"/>
          <w:shd w:val="clear" w:color="auto" w:fill="FFFFFF"/>
        </w:rPr>
        <w:t>, supra</w:t>
      </w:r>
      <w:r w:rsidRPr="008D0846">
        <w:rPr>
          <w:rStyle w:val="Strong"/>
          <w:rFonts w:ascii="Verdana" w:hAnsi="Verdana"/>
          <w:b w:val="0"/>
          <w:color w:val="000000"/>
          <w:sz w:val="16"/>
          <w:szCs w:val="16"/>
          <w:shd w:val="clear" w:color="auto" w:fill="FFFFFF"/>
        </w:rPr>
        <w:t>, párr. 224</w:t>
      </w:r>
      <w:r w:rsidRPr="00AE2ED8">
        <w:rPr>
          <w:rFonts w:ascii="Verdana" w:hAnsi="Verdana"/>
          <w:sz w:val="16"/>
          <w:szCs w:val="16"/>
        </w:rPr>
        <w:t>.</w:t>
      </w:r>
    </w:p>
  </w:footnote>
  <w:footnote w:id="560">
    <w:p w14:paraId="5E704735" w14:textId="13FB02B2" w:rsidR="00146958" w:rsidRPr="00432ABC" w:rsidRDefault="00146958">
      <w:pPr>
        <w:pStyle w:val="FootnoteText"/>
        <w:jc w:val="both"/>
        <w:rPr>
          <w:rFonts w:ascii="Verdana" w:hAnsi="Verdana"/>
          <w:sz w:val="16"/>
          <w:szCs w:val="16"/>
          <w:lang w:val="es-CR"/>
        </w:rPr>
      </w:pPr>
      <w:r w:rsidRPr="00432ABC">
        <w:rPr>
          <w:rStyle w:val="FootnoteReference"/>
          <w:rFonts w:ascii="Verdana" w:hAnsi="Verdana"/>
          <w:sz w:val="16"/>
          <w:szCs w:val="16"/>
        </w:rPr>
        <w:footnoteRef/>
      </w:r>
      <w:r w:rsidRPr="00432ABC">
        <w:rPr>
          <w:rFonts w:ascii="Verdana" w:hAnsi="Verdana"/>
          <w:sz w:val="16"/>
          <w:szCs w:val="16"/>
          <w:lang w:val="es-CR"/>
        </w:rPr>
        <w:t xml:space="preserve"> </w:t>
      </w:r>
      <w:r w:rsidRPr="00432ABC">
        <w:rPr>
          <w:rFonts w:ascii="Verdana" w:hAnsi="Verdana"/>
          <w:sz w:val="16"/>
          <w:szCs w:val="16"/>
          <w:lang w:val="es-CR"/>
        </w:rPr>
        <w:tab/>
      </w:r>
      <w:r w:rsidRPr="00CD5C54">
        <w:rPr>
          <w:rFonts w:ascii="Verdana" w:hAnsi="Verdana"/>
          <w:i/>
          <w:sz w:val="16"/>
          <w:szCs w:val="16"/>
          <w:lang w:val="es-CR"/>
        </w:rPr>
        <w:t>Cfr.</w:t>
      </w:r>
      <w:r w:rsidRPr="002C462C">
        <w:rPr>
          <w:rFonts w:ascii="Verdana" w:hAnsi="Verdana"/>
          <w:i/>
          <w:sz w:val="16"/>
          <w:szCs w:val="16"/>
          <w:lang w:val="es-CR"/>
        </w:rPr>
        <w:t xml:space="preserve"> Caso Defensor de Derechos Humanos y otros Vs. Guatemala. Excepciones Preliminares, Fondo, Reparaciones y Costas.</w:t>
      </w:r>
      <w:r w:rsidRPr="00432ABC">
        <w:rPr>
          <w:rFonts w:ascii="Verdana" w:hAnsi="Verdana"/>
          <w:sz w:val="16"/>
          <w:szCs w:val="16"/>
          <w:lang w:val="es-CR"/>
        </w:rPr>
        <w:t xml:space="preserve"> Sentencia de 28 de agosto de 2014, párr. 256, y </w:t>
      </w:r>
      <w:r w:rsidRPr="00432ABC">
        <w:rPr>
          <w:rFonts w:ascii="Verdana" w:hAnsi="Verdana"/>
          <w:i/>
          <w:sz w:val="16"/>
          <w:szCs w:val="16"/>
          <w:lang w:val="es-CR"/>
        </w:rPr>
        <w:t xml:space="preserve">Caso Defensor de Derechos Humanos y otros Vs. Guatemala. Supervisión de Cumplimiento de Sentencia. </w:t>
      </w:r>
      <w:r w:rsidRPr="00432ABC">
        <w:rPr>
          <w:rFonts w:ascii="Verdana" w:hAnsi="Verdana"/>
          <w:sz w:val="16"/>
          <w:szCs w:val="16"/>
          <w:lang w:val="es-CR"/>
        </w:rPr>
        <w:t xml:space="preserve">Resolución de la Corte </w:t>
      </w:r>
      <w:r w:rsidRPr="00E25413">
        <w:rPr>
          <w:rFonts w:ascii="Verdana" w:hAnsi="Verdana"/>
          <w:sz w:val="16"/>
          <w:szCs w:val="16"/>
          <w:lang w:val="es-CR"/>
        </w:rPr>
        <w:t xml:space="preserve">IDH </w:t>
      </w:r>
      <w:r w:rsidRPr="00432ABC">
        <w:rPr>
          <w:rFonts w:ascii="Verdana" w:hAnsi="Verdana"/>
          <w:sz w:val="16"/>
          <w:szCs w:val="16"/>
          <w:lang w:val="es-CR"/>
        </w:rPr>
        <w:t xml:space="preserve">de 29 de agosto de 2017, Considerando </w:t>
      </w:r>
      <w:r>
        <w:rPr>
          <w:rFonts w:ascii="Verdana" w:hAnsi="Verdana"/>
          <w:sz w:val="16"/>
          <w:szCs w:val="16"/>
          <w:lang w:val="es-CR"/>
        </w:rPr>
        <w:t>5</w:t>
      </w:r>
      <w:r w:rsidRPr="00432ABC">
        <w:rPr>
          <w:rFonts w:ascii="Verdana" w:hAnsi="Verdana"/>
          <w:sz w:val="16"/>
          <w:szCs w:val="16"/>
          <w:lang w:val="es-CR"/>
        </w:rPr>
        <w:t xml:space="preserve">. </w:t>
      </w:r>
    </w:p>
  </w:footnote>
  <w:footnote w:id="561">
    <w:p w14:paraId="45701BA6" w14:textId="5022FDC2" w:rsidR="00146958" w:rsidRPr="008E2F04" w:rsidRDefault="00146958">
      <w:pPr>
        <w:pStyle w:val="FootnoteText"/>
        <w:jc w:val="both"/>
        <w:rPr>
          <w:rFonts w:ascii="Verdana" w:hAnsi="Verdana"/>
          <w:sz w:val="16"/>
          <w:szCs w:val="16"/>
          <w:lang w:val="es-CR"/>
        </w:rPr>
      </w:pPr>
      <w:r w:rsidRPr="00E130F3">
        <w:rPr>
          <w:rStyle w:val="FootnoteReference"/>
          <w:rFonts w:ascii="Verdana" w:hAnsi="Verdana"/>
          <w:sz w:val="16"/>
          <w:szCs w:val="16"/>
        </w:rPr>
        <w:footnoteRef/>
      </w:r>
      <w:r w:rsidRPr="00E130F3">
        <w:rPr>
          <w:rFonts w:ascii="Verdana" w:hAnsi="Verdana"/>
          <w:sz w:val="16"/>
          <w:szCs w:val="16"/>
          <w:lang w:val="es-CR"/>
        </w:rPr>
        <w:t xml:space="preserve"> </w:t>
      </w:r>
      <w:r w:rsidRPr="00E130F3">
        <w:rPr>
          <w:rFonts w:ascii="Verdana" w:hAnsi="Verdana"/>
          <w:sz w:val="16"/>
          <w:szCs w:val="16"/>
          <w:lang w:val="es-CR"/>
        </w:rPr>
        <w:tab/>
      </w:r>
      <w:r w:rsidRPr="00CD5C54">
        <w:rPr>
          <w:rFonts w:ascii="Verdana" w:hAnsi="Verdana"/>
          <w:i/>
          <w:sz w:val="16"/>
          <w:szCs w:val="16"/>
          <w:lang w:val="es-CR"/>
        </w:rPr>
        <w:t>Cfr.</w:t>
      </w:r>
      <w:r w:rsidRPr="008E2F04">
        <w:rPr>
          <w:rFonts w:ascii="Verdana" w:hAnsi="Verdana"/>
          <w:sz w:val="16"/>
          <w:szCs w:val="16"/>
          <w:lang w:val="es-CR"/>
        </w:rPr>
        <w:t xml:space="preserve"> </w:t>
      </w:r>
      <w:r w:rsidRPr="008E2F04">
        <w:rPr>
          <w:rFonts w:ascii="Verdana" w:hAnsi="Verdana"/>
          <w:i/>
          <w:sz w:val="16"/>
          <w:szCs w:val="16"/>
          <w:lang w:val="es-CR"/>
        </w:rPr>
        <w:t xml:space="preserve">Caso Tenorio Roca </w:t>
      </w:r>
      <w:r w:rsidRPr="008E2F04">
        <w:rPr>
          <w:rFonts w:ascii="Verdana" w:hAnsi="Verdana"/>
          <w:bCs/>
          <w:i/>
          <w:sz w:val="16"/>
          <w:szCs w:val="16"/>
          <w:lang w:val="es-ES_tradnl"/>
        </w:rPr>
        <w:t>y otros Vs. Perú. Excepciones Preliminares, Fondo, Reparaciones y Costas</w:t>
      </w:r>
      <w:r w:rsidRPr="007748CF">
        <w:rPr>
          <w:rFonts w:ascii="Verdana" w:hAnsi="Verdana"/>
          <w:bCs/>
          <w:sz w:val="16"/>
          <w:szCs w:val="16"/>
          <w:lang w:val="es-ES_tradnl"/>
        </w:rPr>
        <w:t>. Sent</w:t>
      </w:r>
      <w:r w:rsidRPr="00BE3ED5">
        <w:rPr>
          <w:rFonts w:ascii="Verdana" w:hAnsi="Verdana"/>
          <w:bCs/>
          <w:sz w:val="16"/>
          <w:szCs w:val="16"/>
          <w:lang w:val="es-ES_tradnl"/>
        </w:rPr>
        <w:t xml:space="preserve">encia de 22 de junio de 2016. Serie C No. 314, párr. 306, y </w:t>
      </w:r>
      <w:r w:rsidRPr="008D0846">
        <w:rPr>
          <w:rStyle w:val="Strong"/>
          <w:rFonts w:ascii="Verdana" w:hAnsi="Verdana"/>
          <w:b w:val="0"/>
          <w:i/>
          <w:color w:val="000000"/>
          <w:sz w:val="16"/>
          <w:szCs w:val="16"/>
          <w:shd w:val="clear" w:color="auto" w:fill="FFFFFF"/>
        </w:rPr>
        <w:t>Caso Terrones Silva y otros Vs. Perú</w:t>
      </w:r>
      <w:r w:rsidRPr="008D0846">
        <w:rPr>
          <w:rStyle w:val="Strong"/>
          <w:rFonts w:ascii="Verdana" w:hAnsi="Verdana"/>
          <w:b w:val="0"/>
          <w:color w:val="000000"/>
          <w:sz w:val="16"/>
          <w:szCs w:val="16"/>
          <w:shd w:val="clear" w:color="auto" w:fill="FFFFFF"/>
        </w:rPr>
        <w:t xml:space="preserve">, </w:t>
      </w:r>
      <w:r w:rsidRPr="008D0846">
        <w:rPr>
          <w:rStyle w:val="Strong"/>
          <w:rFonts w:ascii="Verdana" w:hAnsi="Verdana"/>
          <w:b w:val="0"/>
          <w:i/>
          <w:color w:val="000000"/>
          <w:sz w:val="16"/>
          <w:szCs w:val="16"/>
          <w:shd w:val="clear" w:color="auto" w:fill="FFFFFF"/>
        </w:rPr>
        <w:t xml:space="preserve">supra, </w:t>
      </w:r>
      <w:r w:rsidRPr="008D0846">
        <w:rPr>
          <w:rStyle w:val="Strong"/>
          <w:rFonts w:ascii="Verdana" w:hAnsi="Verdana"/>
          <w:b w:val="0"/>
          <w:color w:val="000000"/>
          <w:sz w:val="16"/>
          <w:szCs w:val="16"/>
          <w:shd w:val="clear" w:color="auto" w:fill="FFFFFF"/>
        </w:rPr>
        <w:t>párr. 262</w:t>
      </w:r>
      <w:r w:rsidRPr="00E130F3">
        <w:rPr>
          <w:rFonts w:ascii="Verdana" w:hAnsi="Verdana"/>
          <w:bCs/>
          <w:sz w:val="16"/>
          <w:szCs w:val="16"/>
          <w:lang w:val="es-ES_tradnl"/>
        </w:rPr>
        <w:t>.</w:t>
      </w:r>
    </w:p>
  </w:footnote>
  <w:footnote w:id="562">
    <w:p w14:paraId="7F51625E" w14:textId="34CB7F8A" w:rsidR="00146958" w:rsidRPr="00DB378B" w:rsidRDefault="00146958">
      <w:pPr>
        <w:pStyle w:val="FootnoteText"/>
        <w:jc w:val="both"/>
        <w:rPr>
          <w:rFonts w:ascii="Verdana" w:hAnsi="Verdana"/>
        </w:rPr>
      </w:pPr>
      <w:r w:rsidRPr="008D0846">
        <w:rPr>
          <w:rStyle w:val="FootnoteReference"/>
          <w:rFonts w:ascii="Verdana" w:hAnsi="Verdana"/>
          <w:sz w:val="16"/>
          <w:szCs w:val="16"/>
        </w:rPr>
        <w:footnoteRef/>
      </w:r>
      <w:r w:rsidRPr="008D0846">
        <w:rPr>
          <w:rFonts w:ascii="Verdana" w:hAnsi="Verdana"/>
          <w:sz w:val="16"/>
          <w:szCs w:val="16"/>
        </w:rPr>
        <w:t xml:space="preserve"> </w:t>
      </w:r>
      <w:r w:rsidRPr="008D0846">
        <w:rPr>
          <w:rFonts w:ascii="Verdana" w:hAnsi="Verdana"/>
          <w:sz w:val="16"/>
          <w:szCs w:val="16"/>
        </w:rPr>
        <w:tab/>
      </w:r>
      <w:r w:rsidRPr="00CD5C54">
        <w:rPr>
          <w:rFonts w:ascii="Verdana" w:hAnsi="Verdana"/>
          <w:i/>
          <w:sz w:val="16"/>
          <w:szCs w:val="16"/>
        </w:rPr>
        <w:t>Cfr.</w:t>
      </w:r>
      <w:r w:rsidRPr="008E2F04">
        <w:rPr>
          <w:rFonts w:ascii="Verdana" w:hAnsi="Verdana"/>
          <w:sz w:val="16"/>
          <w:szCs w:val="16"/>
        </w:rPr>
        <w:t xml:space="preserve"> Datos del Banco Mundial sobre esperanza de vida al nacer en México en 1978 </w:t>
      </w:r>
      <w:hyperlink r:id="rId44" w:history="1">
        <w:r w:rsidRPr="00E130F3">
          <w:rPr>
            <w:rStyle w:val="Hyperlink"/>
            <w:rFonts w:ascii="Verdana" w:hAnsi="Verdana"/>
            <w:sz w:val="16"/>
            <w:szCs w:val="16"/>
          </w:rPr>
          <w:t>https://datos.bancomundial.org/indicator/SP.DYN.LE00.FE.IN?end=2016&amp;locations=MX&amp;name_desc=false&amp;start=1978&amp;view=chart</w:t>
        </w:r>
      </w:hyperlink>
      <w:r w:rsidRPr="00DB378B">
        <w:rPr>
          <w:rFonts w:ascii="Verdana" w:hAnsi="Verdana"/>
        </w:rPr>
        <w:t xml:space="preserve"> </w:t>
      </w:r>
    </w:p>
  </w:footnote>
  <w:footnote w:id="563">
    <w:p w14:paraId="7037B824" w14:textId="29149C58" w:rsidR="00146958" w:rsidRPr="008E2F04" w:rsidRDefault="00146958">
      <w:pPr>
        <w:pStyle w:val="FootnoteText"/>
        <w:jc w:val="both"/>
        <w:rPr>
          <w:rFonts w:ascii="Verdana" w:hAnsi="Verdana"/>
          <w:sz w:val="16"/>
          <w:szCs w:val="16"/>
          <w:lang w:val="es-CR"/>
        </w:rPr>
      </w:pPr>
      <w:r w:rsidRPr="008E2F04">
        <w:rPr>
          <w:rStyle w:val="FootnoteReference"/>
          <w:rFonts w:ascii="Verdana" w:hAnsi="Verdana"/>
          <w:sz w:val="16"/>
          <w:szCs w:val="16"/>
        </w:rPr>
        <w:footnoteRef/>
      </w:r>
      <w:r w:rsidRPr="008E2F04">
        <w:rPr>
          <w:rFonts w:ascii="Verdana" w:hAnsi="Verdana"/>
          <w:sz w:val="16"/>
          <w:szCs w:val="16"/>
          <w:lang w:val="es-CR"/>
        </w:rPr>
        <w:t xml:space="preserve"> </w:t>
      </w:r>
      <w:r w:rsidRPr="00500576">
        <w:rPr>
          <w:rFonts w:ascii="Verdana" w:hAnsi="Verdana"/>
          <w:sz w:val="16"/>
          <w:szCs w:val="16"/>
          <w:lang w:val="es-CR"/>
        </w:rPr>
        <w:tab/>
        <w:t xml:space="preserve">Lo que incluye el proceso para la residencia legal permanente en los Estados Unidos de América para </w:t>
      </w:r>
      <w:r>
        <w:rPr>
          <w:rFonts w:ascii="Verdana" w:hAnsi="Verdana"/>
          <w:sz w:val="16"/>
          <w:szCs w:val="16"/>
          <w:lang w:val="es-CR"/>
        </w:rPr>
        <w:t>M.P.A.E.</w:t>
      </w:r>
      <w:r w:rsidRPr="00500576">
        <w:rPr>
          <w:rFonts w:ascii="Verdana" w:hAnsi="Verdana"/>
          <w:sz w:val="16"/>
          <w:szCs w:val="16"/>
          <w:lang w:val="es-CR"/>
        </w:rPr>
        <w:t xml:space="preserve">, </w:t>
      </w:r>
      <w:r>
        <w:rPr>
          <w:rFonts w:ascii="Verdana" w:hAnsi="Verdana"/>
          <w:sz w:val="16"/>
          <w:szCs w:val="16"/>
          <w:lang w:val="es-CR"/>
        </w:rPr>
        <w:t>N.S.A.E. y D.A.E.</w:t>
      </w:r>
      <w:r w:rsidRPr="00500576">
        <w:rPr>
          <w:rFonts w:ascii="Verdana" w:hAnsi="Verdana"/>
          <w:sz w:val="16"/>
          <w:szCs w:val="16"/>
          <w:lang w:val="es-CR"/>
        </w:rPr>
        <w:t xml:space="preserve">, por concepto de US$1,500 y los gastos derivados del cruce en el Puente Internacional para la totalidad de la familia Alvarado Espinoza por </w:t>
      </w:r>
      <w:r>
        <w:rPr>
          <w:rFonts w:ascii="Verdana" w:hAnsi="Verdana"/>
          <w:sz w:val="16"/>
          <w:szCs w:val="16"/>
          <w:lang w:val="es-CR"/>
        </w:rPr>
        <w:t>un monto</w:t>
      </w:r>
      <w:r w:rsidRPr="00500576">
        <w:rPr>
          <w:rFonts w:ascii="Verdana" w:hAnsi="Verdana"/>
          <w:sz w:val="16"/>
          <w:szCs w:val="16"/>
          <w:lang w:val="es-CR"/>
        </w:rPr>
        <w:t xml:space="preserve"> de US$2,500, lo que da un total de US$4,000 </w:t>
      </w:r>
      <w:r w:rsidRPr="008D0846">
        <w:rPr>
          <w:rFonts w:ascii="Verdana" w:hAnsi="Verdana"/>
          <w:sz w:val="16"/>
          <w:szCs w:val="16"/>
          <w:lang w:val="es-CR"/>
        </w:rPr>
        <w:t>(expediente de fondo, ff. 217 y 2059).</w:t>
      </w:r>
    </w:p>
  </w:footnote>
  <w:footnote w:id="564">
    <w:p w14:paraId="24A030FF" w14:textId="5DCBD233" w:rsidR="00146958" w:rsidRPr="008D0846" w:rsidRDefault="00146958">
      <w:pPr>
        <w:pStyle w:val="FootnoteText"/>
        <w:jc w:val="both"/>
        <w:rPr>
          <w:rFonts w:ascii="Verdana" w:hAnsi="Verdana"/>
          <w:sz w:val="16"/>
          <w:szCs w:val="16"/>
          <w:lang w:val="es-CR"/>
        </w:rPr>
      </w:pPr>
      <w:r w:rsidRPr="00432ABC">
        <w:rPr>
          <w:rStyle w:val="FootnoteReference"/>
          <w:rFonts w:ascii="Verdana" w:hAnsi="Verdana"/>
          <w:sz w:val="16"/>
          <w:szCs w:val="16"/>
        </w:rPr>
        <w:footnoteRef/>
      </w:r>
      <w:r w:rsidRPr="00432ABC">
        <w:rPr>
          <w:rFonts w:ascii="Verdana" w:hAnsi="Verdana"/>
          <w:sz w:val="16"/>
          <w:szCs w:val="16"/>
          <w:lang w:val="es-CR"/>
        </w:rPr>
        <w:t xml:space="preserve"> </w:t>
      </w:r>
      <w:r w:rsidRPr="002C462C">
        <w:rPr>
          <w:rFonts w:ascii="Verdana" w:hAnsi="Verdana"/>
          <w:sz w:val="16"/>
          <w:szCs w:val="16"/>
          <w:lang w:val="es-CR"/>
        </w:rPr>
        <w:tab/>
        <w:t>Lo que incluye el caso sobre asilo político para María de Jesús Alvarado Espinoza, Rigoberto Ambriz Ma</w:t>
      </w:r>
      <w:r>
        <w:rPr>
          <w:rFonts w:ascii="Verdana" w:hAnsi="Verdana"/>
          <w:sz w:val="16"/>
          <w:szCs w:val="16"/>
          <w:lang w:val="es-CR"/>
        </w:rPr>
        <w:t>r</w:t>
      </w:r>
      <w:r w:rsidRPr="002C462C">
        <w:rPr>
          <w:rFonts w:ascii="Verdana" w:hAnsi="Verdana"/>
          <w:sz w:val="16"/>
          <w:szCs w:val="16"/>
          <w:lang w:val="es-CR"/>
        </w:rPr>
        <w:t xml:space="preserve">rufo y </w:t>
      </w:r>
      <w:r>
        <w:rPr>
          <w:rFonts w:ascii="Verdana" w:hAnsi="Verdana"/>
          <w:sz w:val="16"/>
          <w:szCs w:val="16"/>
          <w:lang w:val="es-CR"/>
        </w:rPr>
        <w:t>lo</w:t>
      </w:r>
      <w:r w:rsidRPr="002C462C">
        <w:rPr>
          <w:rFonts w:ascii="Verdana" w:hAnsi="Verdana"/>
          <w:sz w:val="16"/>
          <w:szCs w:val="16"/>
          <w:lang w:val="es-CR"/>
        </w:rPr>
        <w:t xml:space="preserve">s cuatro hijos </w:t>
      </w:r>
      <w:r>
        <w:rPr>
          <w:rFonts w:ascii="Verdana" w:hAnsi="Verdana"/>
          <w:sz w:val="16"/>
          <w:szCs w:val="16"/>
          <w:lang w:val="es-CR"/>
        </w:rPr>
        <w:t xml:space="preserve">de ambos, </w:t>
      </w:r>
      <w:r w:rsidRPr="002C462C">
        <w:rPr>
          <w:rFonts w:ascii="Verdana" w:hAnsi="Verdana"/>
          <w:sz w:val="16"/>
          <w:szCs w:val="16"/>
          <w:lang w:val="es-CR"/>
        </w:rPr>
        <w:t xml:space="preserve">por concepto de </w:t>
      </w:r>
      <w:r>
        <w:rPr>
          <w:rFonts w:ascii="Verdana" w:hAnsi="Verdana"/>
          <w:sz w:val="16"/>
          <w:szCs w:val="16"/>
          <w:lang w:val="es-CR"/>
        </w:rPr>
        <w:t>US</w:t>
      </w:r>
      <w:r w:rsidRPr="002C462C">
        <w:rPr>
          <w:rFonts w:ascii="Verdana" w:hAnsi="Verdana"/>
          <w:sz w:val="16"/>
          <w:szCs w:val="16"/>
          <w:lang w:val="es-CR"/>
        </w:rPr>
        <w:t>$10,000</w:t>
      </w:r>
      <w:r>
        <w:rPr>
          <w:rFonts w:ascii="Verdana" w:hAnsi="Verdana"/>
          <w:sz w:val="16"/>
          <w:szCs w:val="16"/>
          <w:lang w:val="es-CR"/>
        </w:rPr>
        <w:t>,</w:t>
      </w:r>
      <w:r w:rsidRPr="002C462C">
        <w:rPr>
          <w:rFonts w:ascii="Verdana" w:hAnsi="Verdana"/>
          <w:sz w:val="16"/>
          <w:szCs w:val="16"/>
          <w:lang w:val="es-CR"/>
        </w:rPr>
        <w:t xml:space="preserve"> y el caso sobre asilo político para Ascensión Alvarado Fabela y </w:t>
      </w:r>
      <w:r>
        <w:rPr>
          <w:rFonts w:ascii="Verdana" w:hAnsi="Verdana"/>
          <w:sz w:val="16"/>
          <w:szCs w:val="16"/>
          <w:lang w:val="es-CR"/>
        </w:rPr>
        <w:t>M</w:t>
      </w:r>
      <w:r w:rsidRPr="002C462C">
        <w:rPr>
          <w:rFonts w:ascii="Verdana" w:hAnsi="Verdana"/>
          <w:sz w:val="16"/>
          <w:szCs w:val="16"/>
          <w:lang w:val="es-CR"/>
        </w:rPr>
        <w:t xml:space="preserve">aría de Jesús Espinoza Peinado </w:t>
      </w:r>
      <w:r>
        <w:rPr>
          <w:rFonts w:ascii="Verdana" w:hAnsi="Verdana"/>
          <w:sz w:val="16"/>
          <w:szCs w:val="16"/>
          <w:lang w:val="es-CR"/>
        </w:rPr>
        <w:t>por</w:t>
      </w:r>
      <w:r w:rsidRPr="002C462C">
        <w:rPr>
          <w:rFonts w:ascii="Verdana" w:hAnsi="Verdana"/>
          <w:sz w:val="16"/>
          <w:szCs w:val="16"/>
          <w:lang w:val="es-CR"/>
        </w:rPr>
        <w:t xml:space="preserve"> concepto de </w:t>
      </w:r>
      <w:r>
        <w:rPr>
          <w:rFonts w:ascii="Verdana" w:hAnsi="Verdana"/>
          <w:sz w:val="16"/>
          <w:szCs w:val="16"/>
          <w:lang w:val="es-CR"/>
        </w:rPr>
        <w:t>US</w:t>
      </w:r>
      <w:r w:rsidRPr="002C462C">
        <w:rPr>
          <w:rFonts w:ascii="Verdana" w:hAnsi="Verdana"/>
          <w:sz w:val="16"/>
          <w:szCs w:val="16"/>
          <w:lang w:val="es-CR"/>
        </w:rPr>
        <w:t>$7,500</w:t>
      </w:r>
      <w:r>
        <w:rPr>
          <w:rFonts w:ascii="Verdana" w:hAnsi="Verdana"/>
          <w:sz w:val="16"/>
          <w:szCs w:val="16"/>
          <w:lang w:val="es-CR"/>
        </w:rPr>
        <w:t>,</w:t>
      </w:r>
      <w:r w:rsidRPr="002C462C">
        <w:rPr>
          <w:rFonts w:ascii="Verdana" w:hAnsi="Verdana"/>
          <w:sz w:val="16"/>
          <w:szCs w:val="16"/>
          <w:lang w:val="es-CR"/>
        </w:rPr>
        <w:t xml:space="preserve"> por un total de </w:t>
      </w:r>
      <w:r>
        <w:rPr>
          <w:rFonts w:ascii="Verdana" w:hAnsi="Verdana"/>
          <w:sz w:val="16"/>
          <w:szCs w:val="16"/>
          <w:lang w:val="es-CR"/>
        </w:rPr>
        <w:t>US</w:t>
      </w:r>
      <w:r w:rsidRPr="002C462C">
        <w:rPr>
          <w:rFonts w:ascii="Verdana" w:hAnsi="Verdana"/>
          <w:sz w:val="16"/>
          <w:szCs w:val="16"/>
          <w:lang w:val="es-CR"/>
        </w:rPr>
        <w:t xml:space="preserve">$17,500 </w:t>
      </w:r>
      <w:r w:rsidRPr="008D0846">
        <w:rPr>
          <w:rFonts w:ascii="Verdana" w:hAnsi="Verdana"/>
          <w:sz w:val="16"/>
          <w:szCs w:val="16"/>
          <w:lang w:val="es-CR"/>
        </w:rPr>
        <w:t>(expediente de fondo, ff. 217 y 2059).</w:t>
      </w:r>
    </w:p>
  </w:footnote>
  <w:footnote w:id="565">
    <w:p w14:paraId="30845A1D" w14:textId="12C18E44" w:rsidR="00146958" w:rsidRPr="00432ABC" w:rsidRDefault="00146958">
      <w:pPr>
        <w:pStyle w:val="FootnoteText"/>
        <w:jc w:val="both"/>
        <w:rPr>
          <w:rFonts w:ascii="Verdana" w:hAnsi="Verdana"/>
          <w:sz w:val="16"/>
          <w:szCs w:val="16"/>
          <w:lang w:val="es-CR"/>
        </w:rPr>
      </w:pPr>
      <w:r w:rsidRPr="00432ABC">
        <w:rPr>
          <w:rStyle w:val="FootnoteReference"/>
          <w:rFonts w:ascii="Verdana" w:hAnsi="Verdana"/>
          <w:sz w:val="16"/>
          <w:szCs w:val="16"/>
        </w:rPr>
        <w:footnoteRef/>
      </w:r>
      <w:r w:rsidRPr="00432ABC">
        <w:rPr>
          <w:rFonts w:ascii="Verdana" w:hAnsi="Verdana"/>
          <w:sz w:val="16"/>
          <w:szCs w:val="16"/>
        </w:rPr>
        <w:t xml:space="preserve"> </w:t>
      </w:r>
      <w:r w:rsidRPr="002C462C">
        <w:rPr>
          <w:rFonts w:ascii="Verdana" w:hAnsi="Verdana"/>
          <w:sz w:val="16"/>
          <w:szCs w:val="16"/>
          <w:lang w:val="es-CR"/>
        </w:rPr>
        <w:tab/>
      </w:r>
      <w:r w:rsidRPr="00CD5C54">
        <w:rPr>
          <w:rFonts w:ascii="Verdana" w:hAnsi="Verdana"/>
          <w:i/>
          <w:sz w:val="16"/>
          <w:szCs w:val="16"/>
        </w:rPr>
        <w:t>Cfr.</w:t>
      </w:r>
      <w:r w:rsidRPr="00432ABC">
        <w:rPr>
          <w:rFonts w:ascii="Verdana" w:hAnsi="Verdana"/>
          <w:sz w:val="16"/>
          <w:szCs w:val="16"/>
        </w:rPr>
        <w:t xml:space="preserve"> </w:t>
      </w:r>
      <w:r w:rsidRPr="007748CF">
        <w:rPr>
          <w:rFonts w:ascii="Verdana" w:hAnsi="Verdana"/>
          <w:sz w:val="16"/>
          <w:szCs w:val="16"/>
        </w:rPr>
        <w:t xml:space="preserve">Declaración pericial de Carlos Martín Beristain rendida ante fedatario público de 16 de abril de 2018 (expediente de prueba, </w:t>
      </w:r>
      <w:r w:rsidRPr="00453199">
        <w:rPr>
          <w:rFonts w:ascii="Verdana" w:hAnsi="Verdana"/>
          <w:i/>
          <w:sz w:val="16"/>
          <w:szCs w:val="16"/>
        </w:rPr>
        <w:t>Affidávits</w:t>
      </w:r>
      <w:r w:rsidRPr="007748CF">
        <w:rPr>
          <w:rFonts w:ascii="Verdana" w:hAnsi="Verdana"/>
          <w:sz w:val="16"/>
          <w:szCs w:val="16"/>
        </w:rPr>
        <w:t xml:space="preserve">, ff. </w:t>
      </w:r>
      <w:r>
        <w:rPr>
          <w:rFonts w:ascii="Verdana" w:hAnsi="Verdana"/>
          <w:sz w:val="16"/>
          <w:szCs w:val="16"/>
        </w:rPr>
        <w:t xml:space="preserve">30989 a </w:t>
      </w:r>
      <w:r w:rsidRPr="00432ABC">
        <w:rPr>
          <w:rFonts w:ascii="Verdana" w:hAnsi="Verdana"/>
          <w:sz w:val="16"/>
          <w:szCs w:val="16"/>
        </w:rPr>
        <w:t>31051</w:t>
      </w:r>
      <w:r>
        <w:rPr>
          <w:rFonts w:ascii="Verdana" w:hAnsi="Verdana"/>
          <w:sz w:val="16"/>
          <w:szCs w:val="16"/>
        </w:rPr>
        <w:t>).</w:t>
      </w:r>
    </w:p>
  </w:footnote>
  <w:footnote w:id="566">
    <w:p w14:paraId="70E9B6A4" w14:textId="0999B8B2" w:rsidR="00146958" w:rsidRPr="00960372" w:rsidRDefault="00146958">
      <w:pPr>
        <w:pStyle w:val="FootnoteText"/>
        <w:jc w:val="both"/>
        <w:rPr>
          <w:rFonts w:ascii="Verdana" w:eastAsiaTheme="minorHAnsi" w:hAnsi="Verdana" w:cs="Verdana-Italic"/>
          <w:i/>
          <w:iCs/>
          <w:sz w:val="16"/>
          <w:szCs w:val="16"/>
          <w:lang w:val="es-CR"/>
        </w:rPr>
      </w:pPr>
      <w:r w:rsidRPr="00D13EC8">
        <w:rPr>
          <w:rStyle w:val="FootnoteReference"/>
          <w:rFonts w:ascii="Verdana" w:hAnsi="Verdana"/>
          <w:sz w:val="16"/>
          <w:szCs w:val="16"/>
        </w:rPr>
        <w:footnoteRef/>
      </w:r>
      <w:r w:rsidRPr="00D13EC8">
        <w:rPr>
          <w:rFonts w:ascii="Verdana" w:hAnsi="Verdana"/>
          <w:sz w:val="16"/>
          <w:szCs w:val="16"/>
          <w:lang w:val="es-CR"/>
        </w:rPr>
        <w:t xml:space="preserve"> </w:t>
      </w:r>
      <w:r w:rsidRPr="00D13EC8">
        <w:rPr>
          <w:rFonts w:ascii="Verdana" w:hAnsi="Verdana"/>
          <w:sz w:val="16"/>
          <w:szCs w:val="16"/>
          <w:lang w:val="es-CR"/>
        </w:rPr>
        <w:tab/>
      </w:r>
      <w:r w:rsidRPr="00CD5C54">
        <w:rPr>
          <w:rFonts w:ascii="Verdana" w:eastAsiaTheme="minorHAnsi" w:hAnsi="Verdana" w:cs="Verdana-Italic"/>
          <w:i/>
          <w:iCs/>
          <w:sz w:val="16"/>
          <w:szCs w:val="16"/>
          <w:lang w:val="es-CR"/>
        </w:rPr>
        <w:t>Cfr.</w:t>
      </w:r>
      <w:r w:rsidRPr="00D13EC8">
        <w:rPr>
          <w:rFonts w:ascii="Verdana" w:eastAsiaTheme="minorHAnsi" w:hAnsi="Verdana" w:cs="Verdana-Italic"/>
          <w:i/>
          <w:iCs/>
          <w:sz w:val="16"/>
          <w:szCs w:val="16"/>
          <w:lang w:val="es-CR"/>
        </w:rPr>
        <w:t xml:space="preserve"> </w:t>
      </w:r>
      <w:r w:rsidRPr="008D0846">
        <w:rPr>
          <w:rFonts w:ascii="Verdana" w:eastAsiaTheme="minorHAnsi" w:hAnsi="Verdana" w:cs="Verdana-Italic"/>
          <w:bCs/>
          <w:i/>
          <w:iCs/>
          <w:sz w:val="16"/>
          <w:szCs w:val="16"/>
        </w:rPr>
        <w:t xml:space="preserve">Caso Bámaca Velásquez Vs. Guatemala. Reparaciones y Costas. </w:t>
      </w:r>
      <w:r w:rsidRPr="008D0846">
        <w:rPr>
          <w:rFonts w:ascii="Verdana" w:eastAsiaTheme="minorHAnsi" w:hAnsi="Verdana" w:cs="Verdana-Italic"/>
          <w:bCs/>
          <w:iCs/>
          <w:sz w:val="16"/>
          <w:szCs w:val="16"/>
        </w:rPr>
        <w:t>Sentencia de 22 de febrero de 2002. Serie C No. 91</w:t>
      </w:r>
      <w:r w:rsidRPr="008D0846">
        <w:rPr>
          <w:rFonts w:ascii="Verdana" w:eastAsiaTheme="minorHAnsi" w:hAnsi="Verdana" w:cs="Verdana"/>
          <w:sz w:val="16"/>
          <w:szCs w:val="16"/>
          <w:lang w:val="es-CR"/>
        </w:rPr>
        <w:t>,</w:t>
      </w:r>
      <w:r w:rsidRPr="00D13EC8">
        <w:rPr>
          <w:rFonts w:ascii="Verdana" w:eastAsiaTheme="minorHAnsi" w:hAnsi="Verdana" w:cs="Verdana"/>
          <w:sz w:val="16"/>
          <w:szCs w:val="16"/>
          <w:lang w:val="es-CR"/>
        </w:rPr>
        <w:t xml:space="preserve"> párr. 43, </w:t>
      </w:r>
      <w:r w:rsidRPr="00D13EC8">
        <w:rPr>
          <w:rFonts w:ascii="Verdana" w:eastAsiaTheme="minorHAnsi" w:hAnsi="Verdana" w:cs="Verdana-Italic"/>
          <w:i/>
          <w:iCs/>
          <w:sz w:val="16"/>
          <w:szCs w:val="16"/>
          <w:lang w:val="es-CR"/>
        </w:rPr>
        <w:t xml:space="preserve">y Caso Pacheco León y otros Vs. Honduras. Fondo, Reparaciones y Costas. </w:t>
      </w:r>
      <w:r w:rsidRPr="00D13EC8">
        <w:rPr>
          <w:rFonts w:ascii="Verdana" w:eastAsiaTheme="minorHAnsi" w:hAnsi="Verdana" w:cs="Verdana"/>
          <w:sz w:val="16"/>
          <w:szCs w:val="16"/>
          <w:lang w:val="es-CR"/>
        </w:rPr>
        <w:t>Sentencia de 15 de noviembre de 2017.Serie No. 342, párr. 217.</w:t>
      </w:r>
    </w:p>
  </w:footnote>
  <w:footnote w:id="567">
    <w:p w14:paraId="5110A62A" w14:textId="221AACDE" w:rsidR="00146958" w:rsidRPr="00432ABC" w:rsidRDefault="00146958">
      <w:pPr>
        <w:pStyle w:val="FootnoteText"/>
        <w:tabs>
          <w:tab w:val="left" w:pos="426"/>
        </w:tabs>
        <w:jc w:val="both"/>
        <w:rPr>
          <w:rFonts w:ascii="Verdana" w:hAnsi="Verdana"/>
          <w:sz w:val="16"/>
          <w:szCs w:val="16"/>
          <w:lang w:val="es-CR"/>
        </w:rPr>
      </w:pPr>
      <w:r w:rsidRPr="00432ABC">
        <w:rPr>
          <w:rStyle w:val="FootnoteReference"/>
          <w:rFonts w:ascii="Verdana" w:hAnsi="Verdana"/>
          <w:sz w:val="16"/>
          <w:szCs w:val="16"/>
        </w:rPr>
        <w:footnoteRef/>
      </w:r>
      <w:r w:rsidRPr="00432ABC">
        <w:rPr>
          <w:rFonts w:ascii="Verdana" w:hAnsi="Verdana"/>
          <w:sz w:val="16"/>
          <w:szCs w:val="16"/>
          <w:lang w:val="es-CR"/>
        </w:rPr>
        <w:t xml:space="preserve"> </w:t>
      </w:r>
      <w:r w:rsidRPr="00432ABC">
        <w:rPr>
          <w:rFonts w:ascii="Verdana" w:hAnsi="Verdana"/>
          <w:sz w:val="16"/>
          <w:szCs w:val="16"/>
          <w:lang w:val="es-CR"/>
        </w:rPr>
        <w:tab/>
      </w:r>
      <w:r w:rsidRPr="002C462C">
        <w:rPr>
          <w:rFonts w:ascii="Verdana" w:hAnsi="Verdana"/>
          <w:sz w:val="16"/>
          <w:szCs w:val="16"/>
          <w:lang w:val="es-CR"/>
        </w:rPr>
        <w:tab/>
      </w:r>
      <w:r w:rsidRPr="00CD5C54">
        <w:rPr>
          <w:rFonts w:ascii="Verdana" w:hAnsi="Verdana"/>
          <w:i/>
          <w:sz w:val="16"/>
          <w:szCs w:val="16"/>
          <w:lang w:val="es-CR"/>
        </w:rPr>
        <w:t>Cfr.</w:t>
      </w:r>
      <w:r w:rsidRPr="002C462C">
        <w:rPr>
          <w:rFonts w:ascii="Verdana" w:hAnsi="Verdana"/>
          <w:i/>
          <w:sz w:val="16"/>
          <w:szCs w:val="16"/>
          <w:lang w:val="es-CR"/>
        </w:rPr>
        <w:t xml:space="preserve"> Caso Velásquez Rodríguez Vs. Honduras. Reparaciones y Costas.</w:t>
      </w:r>
      <w:r w:rsidRPr="00432ABC">
        <w:rPr>
          <w:rFonts w:ascii="Verdana" w:hAnsi="Verdana"/>
          <w:sz w:val="16"/>
          <w:szCs w:val="16"/>
          <w:lang w:val="es-CR"/>
        </w:rPr>
        <w:t xml:space="preserve"> Sentencia de 21 de julio de 1989. Serie C No. 7, párr</w:t>
      </w:r>
      <w:r>
        <w:rPr>
          <w:rFonts w:ascii="Verdana" w:hAnsi="Verdana"/>
          <w:sz w:val="16"/>
          <w:szCs w:val="16"/>
          <w:lang w:val="es-CR"/>
        </w:rPr>
        <w:t>s</w:t>
      </w:r>
      <w:r w:rsidRPr="00432ABC">
        <w:rPr>
          <w:rFonts w:ascii="Verdana" w:hAnsi="Verdana"/>
          <w:sz w:val="16"/>
          <w:szCs w:val="16"/>
          <w:lang w:val="es-CR"/>
        </w:rPr>
        <w:t xml:space="preserve">. 46 </w:t>
      </w:r>
      <w:r>
        <w:rPr>
          <w:rFonts w:ascii="Verdana" w:hAnsi="Verdana"/>
          <w:sz w:val="16"/>
          <w:szCs w:val="16"/>
          <w:lang w:val="es-CR"/>
        </w:rPr>
        <w:t>a</w:t>
      </w:r>
      <w:r w:rsidRPr="00432ABC">
        <w:rPr>
          <w:rFonts w:ascii="Verdana" w:hAnsi="Verdana"/>
          <w:sz w:val="16"/>
          <w:szCs w:val="16"/>
          <w:lang w:val="es-CR"/>
        </w:rPr>
        <w:t xml:space="preserve"> 47, y </w:t>
      </w:r>
      <w:r w:rsidRPr="00432ABC">
        <w:rPr>
          <w:rFonts w:ascii="Verdana" w:hAnsi="Verdana"/>
          <w:i/>
          <w:sz w:val="16"/>
          <w:szCs w:val="16"/>
          <w:lang w:val="es-CR"/>
        </w:rPr>
        <w:t xml:space="preserve">Caso Munárriz Escobar y otros Vs. Perú. Excepción Preliminar, Fondo, Reparaciones y Costas. </w:t>
      </w:r>
      <w:r w:rsidRPr="00432ABC">
        <w:rPr>
          <w:rFonts w:ascii="Verdana" w:hAnsi="Verdana"/>
          <w:sz w:val="16"/>
          <w:szCs w:val="16"/>
          <w:lang w:val="es-CR"/>
        </w:rPr>
        <w:t xml:space="preserve">Sentencia de 20 de agosto de 2018. Serie C No. 355, párr. 145. </w:t>
      </w:r>
    </w:p>
  </w:footnote>
  <w:footnote w:id="568">
    <w:p w14:paraId="7A228D49" w14:textId="1E5B896E" w:rsidR="00146958" w:rsidRPr="008D0846" w:rsidRDefault="00146958" w:rsidP="008D0846">
      <w:pPr>
        <w:pStyle w:val="FootnoteText"/>
        <w:jc w:val="both"/>
        <w:rPr>
          <w:rFonts w:ascii="Verdana" w:hAnsi="Verdana"/>
          <w:sz w:val="16"/>
          <w:szCs w:val="16"/>
          <w:highlight w:val="yellow"/>
          <w:lang w:val="es-CR"/>
        </w:rPr>
      </w:pPr>
      <w:r w:rsidRPr="008D0846">
        <w:rPr>
          <w:rStyle w:val="FootnoteReference"/>
          <w:rFonts w:ascii="Verdana" w:hAnsi="Verdana"/>
          <w:sz w:val="16"/>
          <w:szCs w:val="16"/>
        </w:rPr>
        <w:footnoteRef/>
      </w:r>
      <w:r w:rsidRPr="008D0846">
        <w:rPr>
          <w:rFonts w:ascii="Verdana" w:hAnsi="Verdana"/>
          <w:sz w:val="16"/>
          <w:szCs w:val="16"/>
        </w:rPr>
        <w:t xml:space="preserve"> </w:t>
      </w:r>
      <w:r w:rsidRPr="008D0846">
        <w:rPr>
          <w:rFonts w:ascii="Verdana" w:hAnsi="Verdana"/>
          <w:sz w:val="16"/>
          <w:szCs w:val="16"/>
        </w:rPr>
        <w:tab/>
        <w:t xml:space="preserve">Para el cálculo de la indemnización por lucro cesante en favor de Nitza Paola Alvarado Espinoza se tomó en consideración: </w:t>
      </w:r>
      <w:r w:rsidRPr="008B075D">
        <w:rPr>
          <w:rFonts w:ascii="Verdana" w:hAnsi="Verdana"/>
          <w:sz w:val="16"/>
          <w:szCs w:val="16"/>
        </w:rPr>
        <w:t xml:space="preserve">i) la pensión mensual por incapacidad permanente recibida por la víctima al momento de los hechos, de MX$2,500 (dos mil quinientos pesos). </w:t>
      </w:r>
      <w:r w:rsidRPr="00CD5C54">
        <w:rPr>
          <w:rFonts w:ascii="Verdana" w:hAnsi="Verdana"/>
          <w:i/>
          <w:sz w:val="16"/>
          <w:szCs w:val="16"/>
        </w:rPr>
        <w:t>Cfr.</w:t>
      </w:r>
      <w:r w:rsidRPr="008B075D">
        <w:rPr>
          <w:rFonts w:ascii="Verdana" w:hAnsi="Verdana"/>
          <w:sz w:val="16"/>
          <w:szCs w:val="16"/>
        </w:rPr>
        <w:t xml:space="preserve"> Dictamen de invalidez emitido por el Instituto Mexicano del Seguro Social </w:t>
      </w:r>
      <w:r w:rsidRPr="00784F98">
        <w:rPr>
          <w:rFonts w:ascii="Verdana" w:hAnsi="Verdana"/>
          <w:sz w:val="16"/>
          <w:szCs w:val="16"/>
        </w:rPr>
        <w:t>(</w:t>
      </w:r>
      <w:r w:rsidRPr="007C7772">
        <w:rPr>
          <w:rFonts w:ascii="Verdana" w:hAnsi="Verdana"/>
          <w:sz w:val="16"/>
          <w:szCs w:val="16"/>
        </w:rPr>
        <w:t>expediente de prueba</w:t>
      </w:r>
      <w:r w:rsidRPr="002C27AA">
        <w:rPr>
          <w:rFonts w:ascii="Verdana" w:hAnsi="Verdana"/>
          <w:sz w:val="16"/>
          <w:szCs w:val="16"/>
        </w:rPr>
        <w:t>, ff</w:t>
      </w:r>
      <w:r w:rsidRPr="00F53476">
        <w:rPr>
          <w:rFonts w:ascii="Verdana" w:hAnsi="Verdana"/>
          <w:sz w:val="16"/>
          <w:szCs w:val="16"/>
        </w:rPr>
        <w:t xml:space="preserve">. </w:t>
      </w:r>
      <w:r w:rsidRPr="00BD721F">
        <w:rPr>
          <w:rFonts w:ascii="Verdana" w:hAnsi="Verdana"/>
          <w:sz w:val="16"/>
          <w:szCs w:val="16"/>
        </w:rPr>
        <w:t>89 a 90</w:t>
      </w:r>
      <w:r w:rsidRPr="000565DD">
        <w:rPr>
          <w:rFonts w:ascii="Verdana" w:hAnsi="Verdana"/>
          <w:sz w:val="16"/>
          <w:szCs w:val="16"/>
        </w:rPr>
        <w:t>)</w:t>
      </w:r>
      <w:r w:rsidRPr="00C66632">
        <w:rPr>
          <w:rFonts w:ascii="Verdana" w:hAnsi="Verdana"/>
          <w:sz w:val="16"/>
          <w:szCs w:val="16"/>
        </w:rPr>
        <w:t xml:space="preserve">; </w:t>
      </w:r>
      <w:r w:rsidRPr="005B1C1B">
        <w:rPr>
          <w:rFonts w:ascii="Verdana" w:hAnsi="Verdana"/>
          <w:sz w:val="16"/>
          <w:szCs w:val="16"/>
        </w:rPr>
        <w:t xml:space="preserve">ii) </w:t>
      </w:r>
      <w:r w:rsidRPr="000007E3">
        <w:rPr>
          <w:rFonts w:ascii="Verdana" w:hAnsi="Verdana"/>
          <w:sz w:val="16"/>
          <w:szCs w:val="16"/>
        </w:rPr>
        <w:t>la anterior cantidad, multiplicada por 12 meses, para el cálculo anual por concepto de la referida pensión; iii) la esperanza de vida prevista al momento de los hechos para una mujer nacida en 1978, y iv) la diferencia resultante entre dicha esperanza de vida y la edad de la víctima al momento de los hechos (párr. 72).</w:t>
      </w:r>
    </w:p>
  </w:footnote>
  <w:footnote w:id="569">
    <w:p w14:paraId="445A0859" w14:textId="3498D18D" w:rsidR="00146958" w:rsidRPr="008D0846" w:rsidRDefault="00146958" w:rsidP="008D0846">
      <w:pPr>
        <w:pStyle w:val="FootnoteText"/>
        <w:jc w:val="both"/>
        <w:rPr>
          <w:rFonts w:ascii="Verdana" w:hAnsi="Verdana"/>
          <w:sz w:val="16"/>
          <w:szCs w:val="16"/>
        </w:rPr>
      </w:pPr>
      <w:r w:rsidRPr="008D0846">
        <w:rPr>
          <w:rStyle w:val="FootnoteReference"/>
          <w:rFonts w:ascii="Verdana" w:hAnsi="Verdana"/>
          <w:sz w:val="16"/>
          <w:szCs w:val="16"/>
        </w:rPr>
        <w:footnoteRef/>
      </w:r>
      <w:r w:rsidRPr="008D0846">
        <w:rPr>
          <w:rFonts w:ascii="Verdana" w:hAnsi="Verdana"/>
          <w:sz w:val="16"/>
          <w:szCs w:val="16"/>
        </w:rPr>
        <w:t xml:space="preserve"> </w:t>
      </w:r>
      <w:r w:rsidRPr="008D0846">
        <w:rPr>
          <w:rFonts w:ascii="Verdana" w:hAnsi="Verdana"/>
          <w:sz w:val="16"/>
          <w:szCs w:val="16"/>
        </w:rPr>
        <w:tab/>
      </w:r>
      <w:r w:rsidRPr="008D0846">
        <w:rPr>
          <w:rFonts w:ascii="Verdana" w:hAnsi="Verdana"/>
          <w:sz w:val="16"/>
          <w:szCs w:val="16"/>
          <w:lang w:val="es-CR"/>
        </w:rPr>
        <w:t xml:space="preserve">Con relación al lucro cesante correspondiente a José Ángel Alvarado Herrera se consideró: </w:t>
      </w:r>
      <w:r w:rsidRPr="008D0846">
        <w:rPr>
          <w:rFonts w:ascii="Verdana" w:hAnsi="Verdana"/>
          <w:sz w:val="16"/>
          <w:szCs w:val="16"/>
        </w:rPr>
        <w:t>i) el salario mínimo diario vigente al momento de los hechos; ii) el número de días laborables anuales para la víctima; iii) la esperanza de vida al momento de los hechos para un hombre nacido en 1978, y iv) la diferencia resultante entre dicha esperanza de vida y la edad de la víctima al momento de los hechos</w:t>
      </w:r>
      <w:r w:rsidRPr="008B075D">
        <w:rPr>
          <w:rFonts w:ascii="Verdana" w:hAnsi="Verdana"/>
          <w:sz w:val="16"/>
          <w:szCs w:val="16"/>
        </w:rPr>
        <w:t xml:space="preserve"> (párr. 74).</w:t>
      </w:r>
    </w:p>
  </w:footnote>
  <w:footnote w:id="570">
    <w:p w14:paraId="2DFFE582" w14:textId="6857159D" w:rsidR="00146958" w:rsidRPr="008D0846" w:rsidRDefault="00146958" w:rsidP="008D0846">
      <w:pPr>
        <w:pStyle w:val="FootnoteText"/>
        <w:jc w:val="both"/>
        <w:rPr>
          <w:rFonts w:ascii="Verdana" w:hAnsi="Verdana"/>
          <w:sz w:val="16"/>
          <w:szCs w:val="16"/>
        </w:rPr>
      </w:pPr>
      <w:r w:rsidRPr="008D0846">
        <w:rPr>
          <w:rStyle w:val="FootnoteReference"/>
          <w:rFonts w:ascii="Verdana" w:hAnsi="Verdana"/>
          <w:sz w:val="16"/>
          <w:szCs w:val="16"/>
        </w:rPr>
        <w:footnoteRef/>
      </w:r>
      <w:r w:rsidRPr="008D0846">
        <w:rPr>
          <w:rFonts w:ascii="Verdana" w:hAnsi="Verdana"/>
          <w:sz w:val="16"/>
          <w:szCs w:val="16"/>
        </w:rPr>
        <w:t xml:space="preserve"> </w:t>
      </w:r>
      <w:r w:rsidRPr="008B075D">
        <w:rPr>
          <w:rFonts w:ascii="Verdana" w:hAnsi="Verdana"/>
          <w:sz w:val="16"/>
          <w:szCs w:val="16"/>
        </w:rPr>
        <w:tab/>
      </w:r>
      <w:r w:rsidRPr="008D0846">
        <w:rPr>
          <w:rFonts w:ascii="Verdana" w:hAnsi="Verdana"/>
          <w:sz w:val="16"/>
          <w:szCs w:val="16"/>
        </w:rPr>
        <w:t>El cálculo del lucro cesante correspondiente a Rocío Irene Alvarado</w:t>
      </w:r>
      <w:r w:rsidRPr="008B075D">
        <w:rPr>
          <w:rFonts w:ascii="Verdana" w:hAnsi="Verdana"/>
          <w:sz w:val="16"/>
          <w:szCs w:val="16"/>
        </w:rPr>
        <w:t xml:space="preserve"> Reyes tomó en consideración: i) el salario mínimo diario </w:t>
      </w:r>
      <w:r w:rsidRPr="00784F98">
        <w:rPr>
          <w:rFonts w:ascii="Verdana" w:hAnsi="Verdana"/>
          <w:sz w:val="16"/>
          <w:szCs w:val="16"/>
        </w:rPr>
        <w:t>v</w:t>
      </w:r>
      <w:r w:rsidRPr="007C7772">
        <w:rPr>
          <w:rFonts w:ascii="Verdana" w:hAnsi="Verdana"/>
          <w:sz w:val="16"/>
          <w:szCs w:val="16"/>
        </w:rPr>
        <w:t xml:space="preserve">igente </w:t>
      </w:r>
      <w:r w:rsidRPr="002C27AA">
        <w:rPr>
          <w:rFonts w:ascii="Verdana" w:hAnsi="Verdana"/>
          <w:sz w:val="16"/>
          <w:szCs w:val="16"/>
        </w:rPr>
        <w:t xml:space="preserve">al momento de los hechos; ii) </w:t>
      </w:r>
      <w:r w:rsidRPr="00F53476">
        <w:rPr>
          <w:rFonts w:ascii="Verdana" w:hAnsi="Verdana"/>
          <w:sz w:val="16"/>
          <w:szCs w:val="16"/>
        </w:rPr>
        <w:t>el n</w:t>
      </w:r>
      <w:r w:rsidRPr="00BD721F">
        <w:rPr>
          <w:rFonts w:ascii="Verdana" w:hAnsi="Verdana"/>
          <w:sz w:val="16"/>
          <w:szCs w:val="16"/>
        </w:rPr>
        <w:t>úmero de d</w:t>
      </w:r>
      <w:r w:rsidRPr="000565DD">
        <w:rPr>
          <w:rFonts w:ascii="Verdana" w:hAnsi="Verdana"/>
          <w:sz w:val="16"/>
          <w:szCs w:val="16"/>
        </w:rPr>
        <w:t>ías labora</w:t>
      </w:r>
      <w:r w:rsidRPr="00C66632">
        <w:rPr>
          <w:rFonts w:ascii="Verdana" w:hAnsi="Verdana"/>
          <w:sz w:val="16"/>
          <w:szCs w:val="16"/>
        </w:rPr>
        <w:t>b</w:t>
      </w:r>
      <w:r w:rsidRPr="005B1C1B">
        <w:rPr>
          <w:rFonts w:ascii="Verdana" w:hAnsi="Verdana"/>
          <w:sz w:val="16"/>
          <w:szCs w:val="16"/>
        </w:rPr>
        <w:t xml:space="preserve">les </w:t>
      </w:r>
      <w:r w:rsidRPr="00DB34D6">
        <w:rPr>
          <w:rFonts w:ascii="Verdana" w:hAnsi="Verdana"/>
          <w:sz w:val="16"/>
          <w:szCs w:val="16"/>
        </w:rPr>
        <w:t>anuales para la víctima; iii) la esperanza de vida al momento de los hechos para una mujer nacida en 1991, y iv) la diferencia resultante entre dicha esperanza de vida y la edad de la víctima al momento de los hechos (párr. 73).</w:t>
      </w:r>
      <w:r>
        <w:rPr>
          <w:rFonts w:ascii="Verdana" w:hAnsi="Verdana"/>
          <w:sz w:val="16"/>
          <w:szCs w:val="16"/>
        </w:rPr>
        <w:t xml:space="preserve">   </w:t>
      </w:r>
    </w:p>
  </w:footnote>
  <w:footnote w:id="571">
    <w:p w14:paraId="16C6ADDB" w14:textId="6E0DD7D1" w:rsidR="00146958" w:rsidRPr="008D0846" w:rsidRDefault="00146958" w:rsidP="00D13EC8">
      <w:pPr>
        <w:pStyle w:val="FootnoteText"/>
        <w:jc w:val="both"/>
        <w:rPr>
          <w:rFonts w:ascii="Verdana" w:hAnsi="Verdana"/>
          <w:i/>
          <w:sz w:val="16"/>
          <w:szCs w:val="16"/>
          <w:lang w:val="es-CR"/>
        </w:rPr>
      </w:pPr>
      <w:r w:rsidRPr="008D0846">
        <w:rPr>
          <w:rStyle w:val="FootnoteReference"/>
          <w:rFonts w:ascii="Verdana" w:hAnsi="Verdana"/>
          <w:sz w:val="16"/>
          <w:szCs w:val="16"/>
        </w:rPr>
        <w:footnoteRef/>
      </w:r>
      <w:r w:rsidRPr="008D0846">
        <w:rPr>
          <w:rFonts w:ascii="Verdana" w:hAnsi="Verdana"/>
          <w:sz w:val="16"/>
          <w:szCs w:val="16"/>
        </w:rPr>
        <w:t xml:space="preserve"> </w:t>
      </w:r>
      <w:r w:rsidRPr="008D0846">
        <w:rPr>
          <w:rFonts w:ascii="Verdana" w:hAnsi="Verdana"/>
          <w:sz w:val="16"/>
          <w:szCs w:val="16"/>
          <w:lang w:val="es-CR"/>
        </w:rPr>
        <w:tab/>
      </w:r>
      <w:r w:rsidRPr="00CD5C54">
        <w:rPr>
          <w:rFonts w:ascii="Verdana" w:hAnsi="Verdana"/>
          <w:i/>
          <w:sz w:val="16"/>
          <w:szCs w:val="16"/>
          <w:lang w:val="es-CR"/>
        </w:rPr>
        <w:t>Cfr.</w:t>
      </w:r>
      <w:r w:rsidRPr="00D13EC8">
        <w:rPr>
          <w:rFonts w:ascii="Verdana" w:hAnsi="Verdana"/>
          <w:i/>
          <w:sz w:val="16"/>
          <w:szCs w:val="16"/>
          <w:lang w:val="es-CR"/>
        </w:rPr>
        <w:t xml:space="preserve"> </w:t>
      </w:r>
      <w:r w:rsidRPr="008D0846">
        <w:rPr>
          <w:rStyle w:val="Strong"/>
          <w:rFonts w:ascii="Verdana" w:hAnsi="Verdana"/>
          <w:b w:val="0"/>
          <w:i/>
          <w:color w:val="000000"/>
          <w:sz w:val="16"/>
          <w:szCs w:val="16"/>
          <w:shd w:val="clear" w:color="auto" w:fill="FFFFFF"/>
        </w:rPr>
        <w:t>Caso Radilla Pacheco Vs. México</w:t>
      </w:r>
      <w:r>
        <w:rPr>
          <w:rStyle w:val="Strong"/>
          <w:rFonts w:ascii="Verdana" w:hAnsi="Verdana"/>
          <w:b w:val="0"/>
          <w:i/>
          <w:color w:val="000000"/>
          <w:sz w:val="16"/>
          <w:szCs w:val="16"/>
          <w:shd w:val="clear" w:color="auto" w:fill="FFFFFF"/>
        </w:rPr>
        <w:t>, supra</w:t>
      </w:r>
      <w:r w:rsidRPr="008D0846">
        <w:rPr>
          <w:rStyle w:val="Strong"/>
          <w:rFonts w:ascii="Verdana" w:hAnsi="Verdana"/>
          <w:b w:val="0"/>
          <w:color w:val="000000"/>
          <w:sz w:val="16"/>
          <w:szCs w:val="16"/>
          <w:shd w:val="clear" w:color="auto" w:fill="FFFFFF"/>
        </w:rPr>
        <w:t xml:space="preserve">, párr. 368, y </w:t>
      </w:r>
      <w:r w:rsidRPr="00D13EC8">
        <w:rPr>
          <w:rFonts w:ascii="Verdana" w:hAnsi="Verdana"/>
          <w:i/>
          <w:sz w:val="16"/>
          <w:szCs w:val="16"/>
          <w:lang w:val="es-CR"/>
        </w:rPr>
        <w:t>Caso Munárriz Escobar y otros Vs. Perú</w:t>
      </w:r>
      <w:r>
        <w:rPr>
          <w:rFonts w:ascii="Verdana" w:hAnsi="Verdana"/>
          <w:i/>
          <w:sz w:val="16"/>
          <w:szCs w:val="16"/>
          <w:lang w:val="es-CR"/>
        </w:rPr>
        <w:t>, supra</w:t>
      </w:r>
      <w:r w:rsidRPr="00D13EC8">
        <w:rPr>
          <w:rFonts w:ascii="Verdana" w:hAnsi="Verdana"/>
          <w:sz w:val="16"/>
          <w:szCs w:val="16"/>
          <w:lang w:val="es-CR"/>
        </w:rPr>
        <w:t xml:space="preserve">, párr. </w:t>
      </w:r>
      <w:r>
        <w:rPr>
          <w:rFonts w:ascii="Verdana" w:hAnsi="Verdana"/>
          <w:sz w:val="16"/>
          <w:szCs w:val="16"/>
          <w:lang w:val="es-CR"/>
        </w:rPr>
        <w:t>141</w:t>
      </w:r>
      <w:r w:rsidRPr="00D13EC8">
        <w:rPr>
          <w:rFonts w:ascii="Verdana" w:hAnsi="Verdana"/>
          <w:sz w:val="16"/>
          <w:szCs w:val="16"/>
          <w:lang w:val="es-CR"/>
        </w:rPr>
        <w:t>.</w:t>
      </w:r>
      <w:r w:rsidRPr="008D0846">
        <w:rPr>
          <w:rFonts w:ascii="Verdana" w:hAnsi="Verdana"/>
          <w:sz w:val="16"/>
          <w:szCs w:val="16"/>
          <w:lang w:val="es-CR"/>
        </w:rPr>
        <w:t xml:space="preserve"> </w:t>
      </w:r>
    </w:p>
  </w:footnote>
  <w:footnote w:id="572">
    <w:p w14:paraId="76BD0625" w14:textId="1C257F4D" w:rsidR="00146958" w:rsidRPr="008D0846" w:rsidRDefault="00146958" w:rsidP="008D0846">
      <w:pPr>
        <w:pStyle w:val="FootnoteText"/>
        <w:jc w:val="both"/>
        <w:rPr>
          <w:rFonts w:ascii="Verdana" w:hAnsi="Verdana"/>
          <w:sz w:val="16"/>
          <w:szCs w:val="16"/>
        </w:rPr>
      </w:pPr>
      <w:r w:rsidRPr="008D0846">
        <w:rPr>
          <w:rStyle w:val="FootnoteReference"/>
          <w:rFonts w:ascii="Verdana" w:hAnsi="Verdana"/>
          <w:sz w:val="16"/>
          <w:szCs w:val="16"/>
        </w:rPr>
        <w:footnoteRef/>
      </w:r>
      <w:r w:rsidRPr="008D0846">
        <w:rPr>
          <w:rFonts w:ascii="Verdana" w:hAnsi="Verdana"/>
          <w:sz w:val="16"/>
          <w:szCs w:val="16"/>
        </w:rPr>
        <w:t xml:space="preserve"> </w:t>
      </w:r>
      <w:r w:rsidRPr="00F31DCF">
        <w:rPr>
          <w:rFonts w:ascii="Verdana" w:hAnsi="Verdana"/>
          <w:sz w:val="16"/>
          <w:szCs w:val="16"/>
        </w:rPr>
        <w:tab/>
      </w:r>
      <w:r w:rsidRPr="00822721">
        <w:rPr>
          <w:rFonts w:ascii="Verdana" w:hAnsi="Verdana"/>
          <w:sz w:val="16"/>
          <w:szCs w:val="16"/>
        </w:rPr>
        <w:t>E</w:t>
      </w:r>
      <w:r w:rsidRPr="00471A85">
        <w:rPr>
          <w:rFonts w:ascii="Verdana" w:hAnsi="Verdana"/>
          <w:sz w:val="16"/>
          <w:szCs w:val="16"/>
        </w:rPr>
        <w:t xml:space="preserve">ntre los gastos comprobables realizados por el núcleo familiar de Nitza Paola Alvarado </w:t>
      </w:r>
      <w:r w:rsidRPr="00C9163C">
        <w:rPr>
          <w:rFonts w:ascii="Verdana" w:hAnsi="Verdana"/>
          <w:sz w:val="16"/>
          <w:szCs w:val="16"/>
        </w:rPr>
        <w:t xml:space="preserve">Espinoza por </w:t>
      </w:r>
      <w:r w:rsidRPr="00616002">
        <w:rPr>
          <w:rFonts w:ascii="Verdana" w:hAnsi="Verdana"/>
          <w:sz w:val="16"/>
          <w:szCs w:val="16"/>
        </w:rPr>
        <w:t>concepto de da</w:t>
      </w:r>
      <w:r w:rsidRPr="00F040D1">
        <w:rPr>
          <w:rFonts w:ascii="Verdana" w:hAnsi="Verdana"/>
          <w:sz w:val="16"/>
          <w:szCs w:val="16"/>
        </w:rPr>
        <w:t xml:space="preserve">ño emergente se encuentran: i) </w:t>
      </w:r>
      <w:r w:rsidRPr="008D0846">
        <w:rPr>
          <w:rFonts w:ascii="Verdana" w:hAnsi="Verdana"/>
          <w:sz w:val="16"/>
          <w:szCs w:val="16"/>
        </w:rPr>
        <w:t>r</w:t>
      </w:r>
      <w:r w:rsidRPr="00F31DCF">
        <w:rPr>
          <w:rFonts w:ascii="Verdana" w:hAnsi="Verdana"/>
          <w:sz w:val="16"/>
          <w:szCs w:val="16"/>
        </w:rPr>
        <w:t>enta de apartamento en El Paso, EUA</w:t>
      </w:r>
      <w:r w:rsidRPr="00822721">
        <w:rPr>
          <w:rFonts w:ascii="Verdana" w:hAnsi="Verdana"/>
          <w:sz w:val="16"/>
          <w:szCs w:val="16"/>
        </w:rPr>
        <w:t xml:space="preserve"> (</w:t>
      </w:r>
      <w:r w:rsidRPr="00471A85">
        <w:rPr>
          <w:rFonts w:ascii="Verdana" w:hAnsi="Verdana"/>
          <w:sz w:val="16"/>
          <w:szCs w:val="16"/>
        </w:rPr>
        <w:t xml:space="preserve">expediente de prueba, ff. 26637 a 36643); ii) </w:t>
      </w:r>
      <w:r>
        <w:rPr>
          <w:rFonts w:ascii="Verdana" w:hAnsi="Verdana"/>
          <w:sz w:val="16"/>
          <w:szCs w:val="16"/>
        </w:rPr>
        <w:t>a</w:t>
      </w:r>
      <w:r w:rsidRPr="00471A85">
        <w:rPr>
          <w:rFonts w:ascii="Verdana" w:hAnsi="Verdana"/>
          <w:sz w:val="16"/>
          <w:szCs w:val="16"/>
        </w:rPr>
        <w:t>limentos (</w:t>
      </w:r>
      <w:r w:rsidRPr="00C9163C">
        <w:rPr>
          <w:rFonts w:ascii="Verdana" w:hAnsi="Verdana"/>
          <w:sz w:val="16"/>
          <w:szCs w:val="16"/>
        </w:rPr>
        <w:t>expediente de prueba, ff. 2</w:t>
      </w:r>
      <w:r w:rsidRPr="00616002">
        <w:rPr>
          <w:rFonts w:ascii="Verdana" w:hAnsi="Verdana"/>
          <w:sz w:val="16"/>
          <w:szCs w:val="16"/>
        </w:rPr>
        <w:t xml:space="preserve">6644 a 26723); iii) pago de </w:t>
      </w:r>
      <w:r w:rsidRPr="00F040D1">
        <w:rPr>
          <w:rFonts w:ascii="Verdana" w:hAnsi="Verdana"/>
          <w:sz w:val="16"/>
          <w:szCs w:val="16"/>
        </w:rPr>
        <w:t xml:space="preserve">servicios de luz eléctrica </w:t>
      </w:r>
      <w:r w:rsidRPr="008D0846">
        <w:rPr>
          <w:rFonts w:ascii="Verdana" w:hAnsi="Verdana"/>
          <w:sz w:val="16"/>
          <w:szCs w:val="16"/>
        </w:rPr>
        <w:t>(expediente de prueba, ff. 26631 a 26636 y 26730 a 26739)</w:t>
      </w:r>
      <w:r w:rsidRPr="00F31DCF">
        <w:rPr>
          <w:rFonts w:ascii="Verdana" w:hAnsi="Verdana"/>
          <w:sz w:val="16"/>
          <w:szCs w:val="16"/>
        </w:rPr>
        <w:t xml:space="preserve">, y </w:t>
      </w:r>
      <w:r w:rsidRPr="00822721">
        <w:rPr>
          <w:rFonts w:ascii="Verdana" w:hAnsi="Verdana"/>
          <w:sz w:val="16"/>
          <w:szCs w:val="16"/>
        </w:rPr>
        <w:t>iv)</w:t>
      </w:r>
      <w:r w:rsidRPr="00471A85">
        <w:rPr>
          <w:rFonts w:ascii="Verdana" w:hAnsi="Verdana"/>
          <w:sz w:val="16"/>
          <w:szCs w:val="16"/>
        </w:rPr>
        <w:t xml:space="preserve"> gasolina </w:t>
      </w:r>
      <w:r w:rsidRPr="008D0846">
        <w:rPr>
          <w:rFonts w:ascii="Verdana" w:hAnsi="Verdana"/>
          <w:sz w:val="16"/>
          <w:szCs w:val="16"/>
        </w:rPr>
        <w:t>(expediente de prueba, ff. 26626 a 26627</w:t>
      </w:r>
      <w:r w:rsidRPr="00F31DCF">
        <w:rPr>
          <w:rFonts w:ascii="Verdana" w:hAnsi="Verdana"/>
          <w:sz w:val="16"/>
          <w:szCs w:val="16"/>
        </w:rPr>
        <w:t>)</w:t>
      </w:r>
      <w:r w:rsidRPr="00822721">
        <w:rPr>
          <w:rFonts w:ascii="Verdana" w:hAnsi="Verdana"/>
          <w:sz w:val="16"/>
          <w:szCs w:val="16"/>
        </w:rPr>
        <w:t>.</w:t>
      </w:r>
      <w:r>
        <w:rPr>
          <w:rFonts w:ascii="Verdana" w:hAnsi="Verdana"/>
          <w:sz w:val="16"/>
          <w:szCs w:val="16"/>
        </w:rPr>
        <w:t xml:space="preserve"> </w:t>
      </w:r>
    </w:p>
  </w:footnote>
  <w:footnote w:id="573">
    <w:p w14:paraId="2F52B13A" w14:textId="31E2169B" w:rsidR="00146958" w:rsidRPr="008D0846" w:rsidRDefault="00146958" w:rsidP="008D0846">
      <w:pPr>
        <w:pStyle w:val="FootnoteText"/>
        <w:jc w:val="both"/>
        <w:rPr>
          <w:rFonts w:ascii="Verdana" w:hAnsi="Verdana"/>
          <w:sz w:val="16"/>
          <w:szCs w:val="16"/>
        </w:rPr>
      </w:pPr>
      <w:r w:rsidRPr="008D0846">
        <w:rPr>
          <w:rStyle w:val="FootnoteReference"/>
          <w:rFonts w:ascii="Verdana" w:hAnsi="Verdana"/>
          <w:sz w:val="16"/>
          <w:szCs w:val="16"/>
        </w:rPr>
        <w:footnoteRef/>
      </w:r>
      <w:r w:rsidRPr="008D0846">
        <w:rPr>
          <w:rFonts w:ascii="Verdana" w:hAnsi="Verdana"/>
          <w:sz w:val="16"/>
          <w:szCs w:val="16"/>
        </w:rPr>
        <w:t xml:space="preserve"> </w:t>
      </w:r>
      <w:r w:rsidRPr="008D0846">
        <w:rPr>
          <w:rFonts w:ascii="Verdana" w:hAnsi="Verdana"/>
          <w:sz w:val="16"/>
          <w:szCs w:val="16"/>
        </w:rPr>
        <w:tab/>
        <w:t>Con relación a</w:t>
      </w:r>
      <w:r>
        <w:rPr>
          <w:rFonts w:ascii="Verdana" w:hAnsi="Verdana"/>
          <w:sz w:val="16"/>
          <w:szCs w:val="16"/>
        </w:rPr>
        <w:t xml:space="preserve"> los grupos familiares de Rocío Irene Alvarado Reyes y José Ángel Alvarado Herrera, las representantes señalaron una serie de gastos por un total de MX$131,890 y MX$248,500 pesos mexicanos, respectivamente, de los cuales no aportaron debidamente comprobante alguno que justificara su erogación y/o su eventual nexo causal con los hechos del caso (expediente de prueba, anexos 4.B y 4.C del escrito de solicitudes y argumentos, ff. 26740 a 26745). </w:t>
      </w:r>
    </w:p>
  </w:footnote>
  <w:footnote w:id="574">
    <w:p w14:paraId="5F086513" w14:textId="17CDDE4A" w:rsidR="00146958" w:rsidRPr="006E4C81" w:rsidRDefault="00146958">
      <w:pPr>
        <w:pStyle w:val="FootnoteText"/>
        <w:jc w:val="both"/>
        <w:rPr>
          <w:rFonts w:ascii="Verdana" w:hAnsi="Verdana"/>
          <w:sz w:val="16"/>
          <w:szCs w:val="16"/>
          <w:lang w:val="es-CR"/>
        </w:rPr>
      </w:pPr>
      <w:r w:rsidRPr="00D13EC8">
        <w:rPr>
          <w:rStyle w:val="FootnoteReference"/>
          <w:rFonts w:ascii="Verdana" w:eastAsia="Calibri" w:hAnsi="Verdana"/>
          <w:sz w:val="16"/>
          <w:szCs w:val="16"/>
        </w:rPr>
        <w:footnoteRef/>
      </w:r>
      <w:r w:rsidRPr="00D13EC8">
        <w:rPr>
          <w:rStyle w:val="FootnoteReference"/>
          <w:rFonts w:ascii="Verdana" w:eastAsia="Calibri" w:hAnsi="Verdana"/>
          <w:sz w:val="16"/>
          <w:szCs w:val="16"/>
          <w:lang w:val="es-CR"/>
        </w:rPr>
        <w:t xml:space="preserve"> </w:t>
      </w:r>
      <w:r w:rsidRPr="00B10EBA">
        <w:rPr>
          <w:rFonts w:ascii="Verdana" w:eastAsia="Calibri" w:hAnsi="Verdana"/>
          <w:sz w:val="16"/>
          <w:szCs w:val="16"/>
          <w:lang w:val="es-CR"/>
        </w:rPr>
        <w:tab/>
      </w:r>
      <w:r w:rsidRPr="00CD5C54">
        <w:rPr>
          <w:rFonts w:ascii="Verdana" w:hAnsi="Verdana"/>
          <w:i/>
          <w:sz w:val="16"/>
          <w:szCs w:val="16"/>
          <w:lang w:val="es-CR"/>
        </w:rPr>
        <w:t>Cfr.</w:t>
      </w:r>
      <w:r w:rsidRPr="00B10EBA">
        <w:rPr>
          <w:rFonts w:ascii="Verdana" w:hAnsi="Verdana"/>
          <w:sz w:val="16"/>
          <w:szCs w:val="16"/>
          <w:lang w:val="es-CR"/>
        </w:rPr>
        <w:t xml:space="preserve"> </w:t>
      </w:r>
      <w:r w:rsidRPr="008D0846">
        <w:rPr>
          <w:rFonts w:ascii="Verdana" w:hAnsi="Verdana"/>
          <w:i/>
          <w:iCs/>
          <w:sz w:val="16"/>
          <w:szCs w:val="16"/>
          <w:lang w:val="es-CR"/>
        </w:rPr>
        <w:t>Caso de los “Niños de la Calle” (Villagrán Morales y otros) Vs. Guatemala. Reparaciones y Costas.</w:t>
      </w:r>
      <w:r w:rsidRPr="00D13EC8">
        <w:rPr>
          <w:rFonts w:ascii="Verdana" w:hAnsi="Verdana"/>
          <w:iCs/>
          <w:sz w:val="16"/>
          <w:szCs w:val="16"/>
          <w:lang w:val="es-CR"/>
        </w:rPr>
        <w:t xml:space="preserve"> </w:t>
      </w:r>
      <w:r w:rsidRPr="00B10EBA">
        <w:rPr>
          <w:rFonts w:ascii="Verdana" w:hAnsi="Verdana"/>
          <w:sz w:val="16"/>
          <w:szCs w:val="16"/>
          <w:lang w:val="es-CR"/>
        </w:rPr>
        <w:t xml:space="preserve">Sentencia de 26 de mayo de 2001. Serie C No. 77, párr. 84, </w:t>
      </w:r>
      <w:r w:rsidRPr="00B10EBA">
        <w:rPr>
          <w:rStyle w:val="FootnoteTextChar"/>
          <w:rFonts w:ascii="Verdana" w:hAnsi="Verdana" w:cs="Arial"/>
          <w:sz w:val="16"/>
          <w:szCs w:val="16"/>
          <w:lang w:val="es-CR"/>
        </w:rPr>
        <w:t xml:space="preserve">y </w:t>
      </w:r>
      <w:r w:rsidRPr="008D0846">
        <w:rPr>
          <w:rFonts w:ascii="Verdana" w:hAnsi="Verdana"/>
          <w:bCs/>
          <w:i/>
          <w:sz w:val="16"/>
          <w:szCs w:val="16"/>
        </w:rPr>
        <w:t>Caso Nadege Dorzema y otros Vs. República Dominicana</w:t>
      </w:r>
      <w:r w:rsidRPr="00B10EBA">
        <w:rPr>
          <w:rFonts w:ascii="Verdana" w:hAnsi="Verdana"/>
          <w:sz w:val="16"/>
          <w:szCs w:val="16"/>
          <w:lang w:val="es-CR"/>
        </w:rPr>
        <w:t>,</w:t>
      </w:r>
      <w:r>
        <w:rPr>
          <w:rFonts w:ascii="Verdana" w:hAnsi="Verdana"/>
          <w:i/>
          <w:sz w:val="16"/>
          <w:szCs w:val="16"/>
          <w:lang w:val="es-CR"/>
        </w:rPr>
        <w:t xml:space="preserve"> supra,</w:t>
      </w:r>
      <w:r w:rsidRPr="00B10EBA">
        <w:rPr>
          <w:rFonts w:ascii="Verdana" w:hAnsi="Verdana"/>
          <w:sz w:val="16"/>
          <w:szCs w:val="16"/>
          <w:lang w:val="es-CR"/>
        </w:rPr>
        <w:t xml:space="preserve"> párr.</w:t>
      </w:r>
      <w:r w:rsidRPr="00A068C6">
        <w:rPr>
          <w:rStyle w:val="FootnoteTextChar"/>
          <w:rFonts w:ascii="Verdana" w:hAnsi="Verdana" w:cs="Arial"/>
          <w:sz w:val="16"/>
          <w:szCs w:val="16"/>
          <w:lang w:val="es-CR"/>
        </w:rPr>
        <w:t xml:space="preserve"> 284</w:t>
      </w:r>
      <w:r w:rsidRPr="007C248E">
        <w:rPr>
          <w:rFonts w:ascii="Verdana" w:hAnsi="Verdana"/>
          <w:sz w:val="16"/>
          <w:szCs w:val="16"/>
          <w:lang w:val="es-CR"/>
        </w:rPr>
        <w:t>.</w:t>
      </w:r>
    </w:p>
  </w:footnote>
  <w:footnote w:id="575">
    <w:p w14:paraId="23061773" w14:textId="4CE7CCB4" w:rsidR="00146958" w:rsidRPr="00B00ABA" w:rsidRDefault="00146958" w:rsidP="003003CE">
      <w:pPr>
        <w:pStyle w:val="FootnoteText"/>
        <w:jc w:val="both"/>
        <w:rPr>
          <w:rFonts w:ascii="Verdana" w:hAnsi="Verdana"/>
          <w:sz w:val="16"/>
          <w:szCs w:val="16"/>
          <w:highlight w:val="yellow"/>
        </w:rPr>
      </w:pPr>
      <w:r w:rsidRPr="00B00ABA">
        <w:rPr>
          <w:rStyle w:val="FootnoteReference"/>
          <w:rFonts w:ascii="Verdana" w:hAnsi="Verdana"/>
          <w:sz w:val="16"/>
          <w:szCs w:val="16"/>
        </w:rPr>
        <w:footnoteRef/>
      </w:r>
      <w:r w:rsidRPr="00B00ABA">
        <w:rPr>
          <w:rFonts w:ascii="Verdana" w:hAnsi="Verdana"/>
          <w:sz w:val="16"/>
          <w:szCs w:val="16"/>
        </w:rPr>
        <w:t xml:space="preserve"> </w:t>
      </w:r>
      <w:r w:rsidRPr="00B00ABA">
        <w:rPr>
          <w:rFonts w:ascii="Verdana" w:hAnsi="Verdana"/>
          <w:sz w:val="16"/>
          <w:szCs w:val="16"/>
        </w:rPr>
        <w:tab/>
      </w:r>
      <w:r w:rsidRPr="00CD5C54">
        <w:rPr>
          <w:rFonts w:ascii="Verdana" w:hAnsi="Verdana"/>
          <w:i/>
          <w:sz w:val="16"/>
          <w:szCs w:val="16"/>
        </w:rPr>
        <w:t>Cfr.</w:t>
      </w:r>
      <w:r w:rsidRPr="00B00ABA">
        <w:rPr>
          <w:rFonts w:ascii="Verdana" w:hAnsi="Verdana"/>
          <w:i/>
          <w:sz w:val="16"/>
          <w:szCs w:val="16"/>
        </w:rPr>
        <w:t xml:space="preserve"> </w:t>
      </w:r>
      <w:r w:rsidRPr="00B00ABA">
        <w:rPr>
          <w:rStyle w:val="Strong"/>
          <w:rFonts w:ascii="Verdana" w:hAnsi="Verdana"/>
          <w:b w:val="0"/>
          <w:i/>
          <w:color w:val="000000"/>
          <w:sz w:val="16"/>
          <w:szCs w:val="16"/>
          <w:shd w:val="clear" w:color="auto" w:fill="FFFFFF"/>
        </w:rPr>
        <w:t>Caso Gelman Vs. Uruguay. Fondo y Reparaciones</w:t>
      </w:r>
      <w:r w:rsidRPr="00B00ABA">
        <w:rPr>
          <w:rStyle w:val="Strong"/>
          <w:rFonts w:ascii="Verdana" w:hAnsi="Verdana"/>
          <w:b w:val="0"/>
          <w:color w:val="000000"/>
          <w:sz w:val="16"/>
          <w:szCs w:val="16"/>
          <w:shd w:val="clear" w:color="auto" w:fill="FFFFFF"/>
        </w:rPr>
        <w:t xml:space="preserve">. Sentencia de 24 de febrero de 2011. Serie C No. 221, párr. 296.a, y </w:t>
      </w:r>
      <w:r w:rsidRPr="00B00ABA">
        <w:rPr>
          <w:rStyle w:val="Strong"/>
          <w:rFonts w:ascii="Verdana" w:hAnsi="Verdana"/>
          <w:b w:val="0"/>
          <w:i/>
          <w:color w:val="000000"/>
          <w:sz w:val="16"/>
          <w:szCs w:val="16"/>
          <w:shd w:val="clear" w:color="auto" w:fill="FFFFFF"/>
        </w:rPr>
        <w:t>Caso Terrones Silva y otros Vs. Perú</w:t>
      </w:r>
      <w:r w:rsidRPr="00B00ABA">
        <w:rPr>
          <w:rStyle w:val="Strong"/>
          <w:rFonts w:ascii="Verdana" w:hAnsi="Verdana"/>
          <w:b w:val="0"/>
          <w:color w:val="000000"/>
          <w:sz w:val="16"/>
          <w:szCs w:val="16"/>
          <w:shd w:val="clear" w:color="auto" w:fill="FFFFFF"/>
        </w:rPr>
        <w:t>,</w:t>
      </w:r>
      <w:r w:rsidRPr="00B00ABA">
        <w:rPr>
          <w:rStyle w:val="Strong"/>
          <w:rFonts w:ascii="Verdana" w:hAnsi="Verdana"/>
          <w:b w:val="0"/>
          <w:i/>
          <w:color w:val="000000"/>
          <w:sz w:val="16"/>
          <w:szCs w:val="16"/>
          <w:shd w:val="clear" w:color="auto" w:fill="FFFFFF"/>
        </w:rPr>
        <w:t xml:space="preserve"> supra, </w:t>
      </w:r>
      <w:r w:rsidRPr="00B00ABA">
        <w:rPr>
          <w:rStyle w:val="Strong"/>
          <w:rFonts w:ascii="Verdana" w:hAnsi="Verdana"/>
          <w:b w:val="0"/>
          <w:color w:val="000000"/>
          <w:sz w:val="16"/>
          <w:szCs w:val="16"/>
          <w:shd w:val="clear" w:color="auto" w:fill="FFFFFF"/>
        </w:rPr>
        <w:t xml:space="preserve">párrs. 270, 272 y 274. </w:t>
      </w:r>
      <w:r w:rsidRPr="00B00ABA">
        <w:rPr>
          <w:rStyle w:val="Strong"/>
          <w:rFonts w:ascii="Verdana" w:hAnsi="Verdana"/>
          <w:b w:val="0"/>
          <w:i/>
          <w:color w:val="000000"/>
          <w:sz w:val="16"/>
          <w:szCs w:val="16"/>
          <w:shd w:val="clear" w:color="auto" w:fill="FFFFFF"/>
        </w:rPr>
        <w:t xml:space="preserve"> </w:t>
      </w:r>
    </w:p>
  </w:footnote>
  <w:footnote w:id="576">
    <w:p w14:paraId="75141340" w14:textId="1801ED0D" w:rsidR="00146958" w:rsidRPr="008D0846" w:rsidRDefault="00146958" w:rsidP="008D0846">
      <w:pPr>
        <w:pStyle w:val="FootnoteText"/>
        <w:jc w:val="both"/>
        <w:rPr>
          <w:rFonts w:ascii="Verdana" w:hAnsi="Verdana"/>
          <w:sz w:val="16"/>
          <w:szCs w:val="16"/>
        </w:rPr>
      </w:pPr>
      <w:r w:rsidRPr="008D0846">
        <w:rPr>
          <w:rStyle w:val="FootnoteReference"/>
          <w:rFonts w:ascii="Verdana" w:hAnsi="Verdana"/>
          <w:sz w:val="16"/>
          <w:szCs w:val="16"/>
        </w:rPr>
        <w:footnoteRef/>
      </w:r>
      <w:r w:rsidRPr="008D0846">
        <w:rPr>
          <w:rFonts w:ascii="Verdana" w:hAnsi="Verdana"/>
          <w:sz w:val="16"/>
          <w:szCs w:val="16"/>
        </w:rPr>
        <w:t xml:space="preserve"> </w:t>
      </w:r>
      <w:r w:rsidRPr="007C3FC6">
        <w:rPr>
          <w:rFonts w:ascii="Verdana" w:hAnsi="Verdana"/>
          <w:sz w:val="16"/>
          <w:szCs w:val="16"/>
        </w:rPr>
        <w:tab/>
      </w:r>
      <w:r w:rsidRPr="00CD5C54">
        <w:rPr>
          <w:rFonts w:ascii="Verdana" w:hAnsi="Verdana"/>
          <w:i/>
          <w:sz w:val="16"/>
          <w:szCs w:val="16"/>
        </w:rPr>
        <w:t>Cfr.</w:t>
      </w:r>
      <w:r w:rsidRPr="00AD7336">
        <w:rPr>
          <w:rFonts w:ascii="Verdana" w:hAnsi="Verdana"/>
          <w:sz w:val="16"/>
          <w:szCs w:val="16"/>
        </w:rPr>
        <w:t xml:space="preserve"> </w:t>
      </w:r>
      <w:r w:rsidRPr="008D0846">
        <w:rPr>
          <w:rFonts w:ascii="Verdana" w:hAnsi="Verdana"/>
          <w:bCs/>
          <w:i/>
          <w:sz w:val="16"/>
          <w:szCs w:val="16"/>
        </w:rPr>
        <w:t>Caso Masacres de Río Negro Vs. Guatemala. Excepción Preliminar, Fondo, Reparaciones y Costas.</w:t>
      </w:r>
      <w:r w:rsidRPr="008D0846">
        <w:rPr>
          <w:rFonts w:ascii="Verdana" w:hAnsi="Verdana"/>
          <w:bCs/>
          <w:sz w:val="16"/>
          <w:szCs w:val="16"/>
        </w:rPr>
        <w:t xml:space="preserve"> Sentencia de 4 de septiembre de 2012. Serie C No. 250</w:t>
      </w:r>
      <w:r>
        <w:rPr>
          <w:rFonts w:ascii="Verdana" w:hAnsi="Verdana"/>
          <w:bCs/>
          <w:sz w:val="16"/>
          <w:szCs w:val="16"/>
        </w:rPr>
        <w:t>,</w:t>
      </w:r>
      <w:r w:rsidRPr="00262247">
        <w:rPr>
          <w:rFonts w:ascii="Verdana" w:hAnsi="Verdana"/>
          <w:bCs/>
          <w:i/>
          <w:sz w:val="16"/>
          <w:szCs w:val="16"/>
        </w:rPr>
        <w:t xml:space="preserve"> </w:t>
      </w:r>
      <w:r w:rsidRPr="00262247">
        <w:rPr>
          <w:rFonts w:ascii="Verdana" w:hAnsi="Verdana"/>
          <w:bCs/>
          <w:sz w:val="16"/>
          <w:szCs w:val="16"/>
        </w:rPr>
        <w:t xml:space="preserve">párr. </w:t>
      </w:r>
      <w:r>
        <w:rPr>
          <w:rFonts w:ascii="Verdana" w:hAnsi="Verdana"/>
          <w:bCs/>
          <w:sz w:val="16"/>
          <w:szCs w:val="16"/>
        </w:rPr>
        <w:t>310</w:t>
      </w:r>
      <w:r w:rsidRPr="008D0846">
        <w:rPr>
          <w:rFonts w:ascii="Verdana" w:hAnsi="Verdana"/>
          <w:bCs/>
          <w:color w:val="000000"/>
          <w:sz w:val="16"/>
          <w:szCs w:val="16"/>
          <w:shd w:val="clear" w:color="auto" w:fill="FFFFFF"/>
        </w:rPr>
        <w:t xml:space="preserve">, y </w:t>
      </w:r>
      <w:r w:rsidRPr="008D0846">
        <w:rPr>
          <w:rFonts w:ascii="Verdana" w:hAnsi="Verdana"/>
          <w:bCs/>
          <w:i/>
          <w:color w:val="000000"/>
          <w:sz w:val="16"/>
          <w:szCs w:val="16"/>
          <w:shd w:val="clear" w:color="auto" w:fill="FFFFFF"/>
        </w:rPr>
        <w:t>Caso Coc Max y otros (Masacre de Xamán) Vs. Guatemala. Fondo, Reparaciones y Costas</w:t>
      </w:r>
      <w:r w:rsidRPr="008D0846">
        <w:rPr>
          <w:rFonts w:ascii="Verdana" w:hAnsi="Verdana"/>
          <w:bCs/>
          <w:color w:val="000000"/>
          <w:sz w:val="16"/>
          <w:szCs w:val="16"/>
          <w:shd w:val="clear" w:color="auto" w:fill="FFFFFF"/>
        </w:rPr>
        <w:t>. Sentencia de 22 de agosto de 2018. Serie C No. 356, párr. 186.</w:t>
      </w:r>
      <w:r>
        <w:rPr>
          <w:rFonts w:ascii="Verdana" w:hAnsi="Verdana"/>
          <w:b/>
          <w:bCs/>
          <w:color w:val="000000"/>
          <w:sz w:val="16"/>
          <w:szCs w:val="16"/>
          <w:shd w:val="clear" w:color="auto" w:fill="FFFFFF"/>
        </w:rPr>
        <w:t xml:space="preserve"> </w:t>
      </w:r>
    </w:p>
  </w:footnote>
  <w:footnote w:id="577">
    <w:p w14:paraId="601A84C8" w14:textId="34E2D510" w:rsidR="00146958" w:rsidRPr="00630723" w:rsidRDefault="00146958" w:rsidP="00AE53D3">
      <w:pPr>
        <w:pStyle w:val="FootnoteText"/>
        <w:jc w:val="both"/>
        <w:rPr>
          <w:rFonts w:ascii="Verdana" w:hAnsi="Verdana"/>
          <w:sz w:val="16"/>
          <w:szCs w:val="16"/>
          <w:lang w:val="es-CR"/>
        </w:rPr>
      </w:pPr>
      <w:r w:rsidRPr="00AE53D3">
        <w:rPr>
          <w:rStyle w:val="FootnoteReference"/>
          <w:rFonts w:ascii="Verdana" w:hAnsi="Verdana"/>
          <w:sz w:val="16"/>
          <w:szCs w:val="16"/>
        </w:rPr>
        <w:footnoteRef/>
      </w:r>
      <w:r w:rsidRPr="00AE53D3">
        <w:rPr>
          <w:rFonts w:ascii="Verdana" w:hAnsi="Verdana"/>
          <w:sz w:val="16"/>
          <w:szCs w:val="16"/>
          <w:lang w:val="es-CR"/>
        </w:rPr>
        <w:t xml:space="preserve"> </w:t>
      </w:r>
      <w:r w:rsidRPr="00AE53D3">
        <w:rPr>
          <w:rFonts w:ascii="Verdana" w:hAnsi="Verdana"/>
          <w:sz w:val="16"/>
          <w:szCs w:val="16"/>
          <w:lang w:val="es-CR"/>
        </w:rPr>
        <w:tab/>
      </w:r>
      <w:r w:rsidRPr="00CD5C54">
        <w:rPr>
          <w:rFonts w:ascii="Verdana" w:hAnsi="Verdana"/>
          <w:i/>
          <w:sz w:val="16"/>
          <w:szCs w:val="16"/>
          <w:lang w:val="es-CR"/>
        </w:rPr>
        <w:t>Cfr.</w:t>
      </w:r>
      <w:r w:rsidRPr="005262BD">
        <w:rPr>
          <w:rFonts w:ascii="Verdana" w:hAnsi="Verdana"/>
          <w:sz w:val="16"/>
          <w:szCs w:val="16"/>
          <w:lang w:val="es-CR"/>
        </w:rPr>
        <w:t xml:space="preserve"> </w:t>
      </w:r>
      <w:r w:rsidRPr="008D0846">
        <w:rPr>
          <w:rStyle w:val="Strong"/>
          <w:rFonts w:ascii="Verdana" w:hAnsi="Verdana"/>
          <w:b w:val="0"/>
          <w:i/>
          <w:color w:val="000000"/>
          <w:sz w:val="16"/>
          <w:szCs w:val="16"/>
          <w:shd w:val="clear" w:color="auto" w:fill="FFFFFF"/>
        </w:rPr>
        <w:t>Caso Chitay Nech y otros Vs. Guatemala, supra</w:t>
      </w:r>
      <w:r w:rsidRPr="008D0846">
        <w:rPr>
          <w:rStyle w:val="Strong"/>
          <w:rFonts w:ascii="Verdana" w:hAnsi="Verdana"/>
          <w:b w:val="0"/>
          <w:color w:val="000000"/>
          <w:sz w:val="16"/>
          <w:szCs w:val="16"/>
          <w:shd w:val="clear" w:color="auto" w:fill="FFFFFF"/>
        </w:rPr>
        <w:t>, párr. 278;</w:t>
      </w:r>
      <w:r w:rsidRPr="008D0846">
        <w:rPr>
          <w:rStyle w:val="Strong"/>
          <w:rFonts w:ascii="Verdana" w:hAnsi="Verdana"/>
          <w:b w:val="0"/>
          <w:i/>
          <w:color w:val="000000"/>
          <w:sz w:val="16"/>
          <w:szCs w:val="16"/>
          <w:shd w:val="clear" w:color="auto" w:fill="FFFFFF"/>
        </w:rPr>
        <w:t xml:space="preserve"> Caso Gelman Vs. Uruguay, supra, </w:t>
      </w:r>
      <w:r w:rsidRPr="008D0846">
        <w:rPr>
          <w:rStyle w:val="Strong"/>
          <w:rFonts w:ascii="Verdana" w:hAnsi="Verdana"/>
          <w:b w:val="0"/>
          <w:color w:val="000000"/>
          <w:sz w:val="16"/>
          <w:szCs w:val="16"/>
          <w:shd w:val="clear" w:color="auto" w:fill="FFFFFF"/>
        </w:rPr>
        <w:t>párr. 296;</w:t>
      </w:r>
      <w:r w:rsidRPr="008D0846">
        <w:rPr>
          <w:rStyle w:val="Strong"/>
          <w:rFonts w:ascii="Verdana" w:hAnsi="Verdana"/>
          <w:b w:val="0"/>
          <w:i/>
          <w:color w:val="000000"/>
          <w:sz w:val="16"/>
          <w:szCs w:val="16"/>
          <w:shd w:val="clear" w:color="auto" w:fill="FFFFFF"/>
        </w:rPr>
        <w:t xml:space="preserve"> Caso Torres Millacura y otros Vs. Argentina. Fondo, Reparaciones y Costas</w:t>
      </w:r>
      <w:r w:rsidRPr="008D0846">
        <w:rPr>
          <w:rStyle w:val="Strong"/>
          <w:rFonts w:ascii="Verdana" w:hAnsi="Verdana"/>
          <w:b w:val="0"/>
          <w:color w:val="000000"/>
          <w:sz w:val="16"/>
          <w:szCs w:val="16"/>
          <w:shd w:val="clear" w:color="auto" w:fill="FFFFFF"/>
        </w:rPr>
        <w:t xml:space="preserve">. Sentencia de 26 de agosto de 2011. Serie C No. 229, párr. 192; </w:t>
      </w:r>
      <w:r w:rsidRPr="008D0846">
        <w:rPr>
          <w:rStyle w:val="Strong"/>
          <w:rFonts w:ascii="Verdana" w:hAnsi="Verdana"/>
          <w:b w:val="0"/>
          <w:i/>
          <w:color w:val="000000"/>
          <w:sz w:val="16"/>
          <w:szCs w:val="16"/>
          <w:shd w:val="clear" w:color="auto" w:fill="FFFFFF"/>
        </w:rPr>
        <w:t>Caso Vélez Restrepo y familiares Vs. Colombia. Excepción Preliminar, Fondo, Reparaciones y Costas.</w:t>
      </w:r>
      <w:r w:rsidRPr="008D0846">
        <w:rPr>
          <w:rStyle w:val="Strong"/>
          <w:rFonts w:ascii="Verdana" w:hAnsi="Verdana"/>
          <w:b w:val="0"/>
          <w:color w:val="000000"/>
          <w:sz w:val="16"/>
          <w:szCs w:val="16"/>
          <w:shd w:val="clear" w:color="auto" w:fill="FFFFFF"/>
        </w:rPr>
        <w:t xml:space="preserve"> Sentencia de 3 de septiembre de 2012. Serie C No. 248, párr. 302;</w:t>
      </w:r>
      <w:r w:rsidRPr="008D0846">
        <w:rPr>
          <w:rStyle w:val="Strong"/>
          <w:rFonts w:ascii="Verdana" w:hAnsi="Verdana"/>
          <w:b w:val="0"/>
          <w:i/>
          <w:color w:val="000000"/>
          <w:sz w:val="16"/>
          <w:szCs w:val="16"/>
          <w:shd w:val="clear" w:color="auto" w:fill="FFFFFF"/>
        </w:rPr>
        <w:t xml:space="preserve"> Caso Tenorio Roca y otros Vs. Perú, supra, </w:t>
      </w:r>
      <w:r w:rsidRPr="008D0846">
        <w:rPr>
          <w:rStyle w:val="Strong"/>
          <w:rFonts w:ascii="Verdana" w:hAnsi="Verdana"/>
          <w:b w:val="0"/>
          <w:color w:val="000000"/>
          <w:sz w:val="16"/>
          <w:szCs w:val="16"/>
          <w:shd w:val="clear" w:color="auto" w:fill="FFFFFF"/>
        </w:rPr>
        <w:t xml:space="preserve">párrs. 338 a 339; </w:t>
      </w:r>
      <w:r w:rsidRPr="008D0846">
        <w:rPr>
          <w:rStyle w:val="Strong"/>
          <w:rFonts w:ascii="Verdana" w:hAnsi="Verdana"/>
          <w:b w:val="0"/>
          <w:i/>
          <w:color w:val="000000"/>
          <w:sz w:val="16"/>
          <w:szCs w:val="16"/>
          <w:shd w:val="clear" w:color="auto" w:fill="FFFFFF"/>
        </w:rPr>
        <w:t>Caso Yarce y otras Vs. Colombia. Excepción Preliminar, Fondo, Reparaciones y Costas</w:t>
      </w:r>
      <w:r w:rsidRPr="008D0846">
        <w:rPr>
          <w:rStyle w:val="Strong"/>
          <w:rFonts w:ascii="Verdana" w:hAnsi="Verdana"/>
          <w:b w:val="0"/>
          <w:color w:val="000000"/>
          <w:sz w:val="16"/>
          <w:szCs w:val="16"/>
          <w:shd w:val="clear" w:color="auto" w:fill="FFFFFF"/>
        </w:rPr>
        <w:t xml:space="preserve">. Sentencia de 22 de noviembre de 2016. Serie C No. 325, párrs. 367 a 370; </w:t>
      </w:r>
      <w:r w:rsidRPr="008D0846">
        <w:rPr>
          <w:rStyle w:val="Strong"/>
          <w:rFonts w:ascii="Verdana" w:hAnsi="Verdana"/>
          <w:b w:val="0"/>
          <w:i/>
          <w:color w:val="000000"/>
          <w:sz w:val="16"/>
          <w:szCs w:val="16"/>
          <w:shd w:val="clear" w:color="auto" w:fill="FFFFFF"/>
        </w:rPr>
        <w:t>Caso Miembros de la Aldea Chichupac y comunidades vecinas del Municipio de Rabinal Vs. Guatemala. Excepciones Preliminares, Fondo, Reparaciones y Costas</w:t>
      </w:r>
      <w:r w:rsidRPr="008D0846">
        <w:rPr>
          <w:rStyle w:val="Strong"/>
          <w:rFonts w:ascii="Verdana" w:hAnsi="Verdana"/>
          <w:b w:val="0"/>
          <w:color w:val="000000"/>
          <w:sz w:val="16"/>
          <w:szCs w:val="16"/>
          <w:shd w:val="clear" w:color="auto" w:fill="FFFFFF"/>
        </w:rPr>
        <w:t>. Sentencia de 30 de noviembre de 2016. Serie C No. 328, párr. 327;</w:t>
      </w:r>
      <w:r w:rsidRPr="008D0846">
        <w:rPr>
          <w:rStyle w:val="Strong"/>
          <w:rFonts w:ascii="Verdana" w:hAnsi="Verdana"/>
          <w:b w:val="0"/>
          <w:i/>
          <w:color w:val="000000"/>
          <w:sz w:val="16"/>
          <w:szCs w:val="16"/>
          <w:shd w:val="clear" w:color="auto" w:fill="FFFFFF"/>
        </w:rPr>
        <w:t xml:space="preserve"> Caso Munárriz Escobar y otros Vs. Perú, supra, </w:t>
      </w:r>
      <w:r w:rsidRPr="008D0846">
        <w:rPr>
          <w:rStyle w:val="Strong"/>
          <w:rFonts w:ascii="Verdana" w:hAnsi="Verdana"/>
          <w:b w:val="0"/>
          <w:color w:val="000000"/>
          <w:sz w:val="16"/>
          <w:szCs w:val="16"/>
          <w:shd w:val="clear" w:color="auto" w:fill="FFFFFF"/>
        </w:rPr>
        <w:t>párr. 147, y</w:t>
      </w:r>
      <w:r w:rsidRPr="00187DB9">
        <w:rPr>
          <w:rStyle w:val="Strong"/>
          <w:rFonts w:ascii="Verdana" w:hAnsi="Verdana"/>
          <w:b w:val="0"/>
          <w:i/>
          <w:color w:val="000000"/>
          <w:sz w:val="16"/>
          <w:szCs w:val="16"/>
          <w:shd w:val="clear" w:color="auto" w:fill="FFFFFF"/>
        </w:rPr>
        <w:t xml:space="preserve"> </w:t>
      </w:r>
      <w:r w:rsidRPr="005262BD">
        <w:rPr>
          <w:rStyle w:val="Strong"/>
          <w:rFonts w:ascii="Verdana" w:hAnsi="Verdana"/>
          <w:b w:val="0"/>
          <w:i/>
          <w:color w:val="000000"/>
          <w:sz w:val="16"/>
          <w:szCs w:val="16"/>
          <w:shd w:val="clear" w:color="auto" w:fill="FFFFFF"/>
        </w:rPr>
        <w:t>Caso Terrones Silva y otros Vs. Perú</w:t>
      </w:r>
      <w:r w:rsidRPr="007113C0">
        <w:rPr>
          <w:rStyle w:val="Strong"/>
          <w:rFonts w:ascii="Verdana" w:hAnsi="Verdana"/>
          <w:b w:val="0"/>
          <w:color w:val="000000"/>
          <w:sz w:val="16"/>
          <w:szCs w:val="16"/>
          <w:shd w:val="clear" w:color="auto" w:fill="FFFFFF"/>
        </w:rPr>
        <w:t>,</w:t>
      </w:r>
      <w:r w:rsidRPr="004B60CD">
        <w:rPr>
          <w:rStyle w:val="Strong"/>
          <w:rFonts w:ascii="Verdana" w:hAnsi="Verdana"/>
          <w:b w:val="0"/>
          <w:i/>
          <w:color w:val="000000"/>
          <w:sz w:val="16"/>
          <w:szCs w:val="16"/>
          <w:shd w:val="clear" w:color="auto" w:fill="FFFFFF"/>
        </w:rPr>
        <w:t xml:space="preserve"> supra, </w:t>
      </w:r>
      <w:r w:rsidRPr="00784F98">
        <w:rPr>
          <w:rStyle w:val="Strong"/>
          <w:rFonts w:ascii="Verdana" w:hAnsi="Verdana"/>
          <w:b w:val="0"/>
          <w:color w:val="000000"/>
          <w:sz w:val="16"/>
          <w:szCs w:val="16"/>
          <w:shd w:val="clear" w:color="auto" w:fill="FFFFFF"/>
        </w:rPr>
        <w:t>p</w:t>
      </w:r>
      <w:r w:rsidRPr="007C7772">
        <w:rPr>
          <w:rStyle w:val="Strong"/>
          <w:rFonts w:ascii="Verdana" w:hAnsi="Verdana"/>
          <w:b w:val="0"/>
          <w:color w:val="000000"/>
          <w:sz w:val="16"/>
          <w:szCs w:val="16"/>
          <w:shd w:val="clear" w:color="auto" w:fill="FFFFFF"/>
        </w:rPr>
        <w:t>árr. 275</w:t>
      </w:r>
      <w:r>
        <w:rPr>
          <w:rStyle w:val="Strong"/>
          <w:rFonts w:ascii="Verdana" w:hAnsi="Verdana"/>
          <w:b w:val="0"/>
          <w:color w:val="000000"/>
          <w:sz w:val="16"/>
          <w:szCs w:val="16"/>
          <w:shd w:val="clear" w:color="auto" w:fill="FFFFFF"/>
        </w:rPr>
        <w:t xml:space="preserve">. </w:t>
      </w:r>
    </w:p>
  </w:footnote>
  <w:footnote w:id="578">
    <w:p w14:paraId="7464E8A9" w14:textId="16F49D41" w:rsidR="00146958" w:rsidRPr="00432ABC" w:rsidRDefault="00146958">
      <w:pPr>
        <w:pStyle w:val="FootnoteText"/>
        <w:jc w:val="both"/>
        <w:rPr>
          <w:rFonts w:ascii="Verdana" w:hAnsi="Verdana"/>
          <w:sz w:val="16"/>
          <w:szCs w:val="16"/>
          <w:lang w:val="es-CR"/>
        </w:rPr>
      </w:pPr>
      <w:r w:rsidRPr="00432ABC">
        <w:rPr>
          <w:rStyle w:val="FootnoteReference"/>
          <w:rFonts w:ascii="Verdana" w:hAnsi="Verdana"/>
          <w:sz w:val="16"/>
          <w:szCs w:val="16"/>
        </w:rPr>
        <w:footnoteRef/>
      </w:r>
      <w:r w:rsidRPr="00432ABC">
        <w:rPr>
          <w:rFonts w:ascii="Verdana" w:hAnsi="Verdana"/>
          <w:sz w:val="16"/>
          <w:szCs w:val="16"/>
          <w:lang w:val="es-CR"/>
        </w:rPr>
        <w:t xml:space="preserve"> </w:t>
      </w:r>
      <w:r w:rsidRPr="002C462C">
        <w:rPr>
          <w:rFonts w:ascii="Verdana" w:hAnsi="Verdana"/>
          <w:sz w:val="16"/>
          <w:szCs w:val="16"/>
          <w:lang w:val="es-CR"/>
        </w:rPr>
        <w:tab/>
      </w:r>
      <w:r>
        <w:rPr>
          <w:rFonts w:ascii="Verdana" w:hAnsi="Verdana"/>
          <w:sz w:val="16"/>
          <w:szCs w:val="16"/>
          <w:lang w:val="es-CR"/>
        </w:rPr>
        <w:t>La cantidad total de USD</w:t>
      </w:r>
      <w:r w:rsidRPr="002C462C">
        <w:rPr>
          <w:rFonts w:ascii="Verdana" w:hAnsi="Verdana"/>
          <w:sz w:val="16"/>
          <w:szCs w:val="16"/>
          <w:lang w:val="es-CR"/>
        </w:rPr>
        <w:t>$108,070.52</w:t>
      </w:r>
      <w:r>
        <w:rPr>
          <w:rFonts w:ascii="Verdana" w:hAnsi="Verdana"/>
          <w:sz w:val="16"/>
          <w:szCs w:val="16"/>
          <w:lang w:val="es-CR"/>
        </w:rPr>
        <w:t xml:space="preserve"> solicitada por las representantes se conformó por los siguientes rubros: i) </w:t>
      </w:r>
      <w:r w:rsidRPr="002C462C">
        <w:rPr>
          <w:rFonts w:ascii="Verdana" w:hAnsi="Verdana"/>
          <w:sz w:val="16"/>
          <w:szCs w:val="16"/>
          <w:lang w:val="es-AR"/>
        </w:rPr>
        <w:t>salarios</w:t>
      </w:r>
      <w:r>
        <w:rPr>
          <w:rFonts w:ascii="Verdana" w:hAnsi="Verdana"/>
          <w:sz w:val="16"/>
          <w:szCs w:val="16"/>
          <w:lang w:val="es-AR"/>
        </w:rPr>
        <w:t>,</w:t>
      </w:r>
      <w:r w:rsidRPr="002C462C">
        <w:rPr>
          <w:rFonts w:ascii="Verdana" w:hAnsi="Verdana"/>
          <w:sz w:val="16"/>
          <w:szCs w:val="16"/>
          <w:lang w:val="es-AR"/>
        </w:rPr>
        <w:t xml:space="preserve"> $1,228,846.30</w:t>
      </w:r>
      <w:r>
        <w:rPr>
          <w:rFonts w:ascii="Verdana" w:hAnsi="Verdana"/>
          <w:sz w:val="16"/>
          <w:szCs w:val="16"/>
          <w:lang w:val="es-AR"/>
        </w:rPr>
        <w:t xml:space="preserve"> pesos mexicanos; ii) </w:t>
      </w:r>
      <w:r w:rsidRPr="002C462C">
        <w:rPr>
          <w:rFonts w:ascii="Verdana" w:hAnsi="Verdana"/>
          <w:sz w:val="16"/>
          <w:szCs w:val="16"/>
          <w:lang w:val="es-AR"/>
        </w:rPr>
        <w:t>viajes</w:t>
      </w:r>
      <w:r>
        <w:rPr>
          <w:rFonts w:ascii="Verdana" w:hAnsi="Verdana"/>
          <w:sz w:val="16"/>
          <w:szCs w:val="16"/>
          <w:lang w:val="es-AR"/>
        </w:rPr>
        <w:t>,</w:t>
      </w:r>
      <w:r w:rsidRPr="002C462C">
        <w:rPr>
          <w:rFonts w:ascii="Verdana" w:hAnsi="Verdana"/>
          <w:sz w:val="16"/>
          <w:szCs w:val="16"/>
          <w:lang w:val="es-AR"/>
        </w:rPr>
        <w:t xml:space="preserve"> $632,872.55</w:t>
      </w:r>
      <w:r>
        <w:rPr>
          <w:rFonts w:ascii="Verdana" w:hAnsi="Verdana"/>
          <w:sz w:val="16"/>
          <w:szCs w:val="16"/>
          <w:lang w:val="es-AR"/>
        </w:rPr>
        <w:t xml:space="preserve"> pesos mexicanos; iii) </w:t>
      </w:r>
      <w:r w:rsidRPr="002C462C">
        <w:rPr>
          <w:rFonts w:ascii="Verdana" w:hAnsi="Verdana"/>
          <w:sz w:val="16"/>
          <w:szCs w:val="16"/>
          <w:lang w:val="es-AR"/>
        </w:rPr>
        <w:t>a</w:t>
      </w:r>
      <w:r w:rsidRPr="00432ABC">
        <w:rPr>
          <w:rFonts w:ascii="Verdana" w:hAnsi="Verdana"/>
          <w:sz w:val="16"/>
          <w:szCs w:val="16"/>
          <w:lang w:val="es-AR"/>
        </w:rPr>
        <w:t>poyo en efectivo a l</w:t>
      </w:r>
      <w:r>
        <w:rPr>
          <w:rFonts w:ascii="Verdana" w:hAnsi="Verdana"/>
          <w:sz w:val="16"/>
          <w:szCs w:val="16"/>
          <w:lang w:val="es-AR"/>
        </w:rPr>
        <w:t xml:space="preserve">os </w:t>
      </w:r>
      <w:r w:rsidRPr="00432ABC">
        <w:rPr>
          <w:rFonts w:ascii="Verdana" w:hAnsi="Verdana"/>
          <w:sz w:val="16"/>
          <w:szCs w:val="16"/>
          <w:lang w:val="es-AR"/>
        </w:rPr>
        <w:t>familia</w:t>
      </w:r>
      <w:r>
        <w:rPr>
          <w:rFonts w:ascii="Verdana" w:hAnsi="Verdana"/>
          <w:sz w:val="16"/>
          <w:szCs w:val="16"/>
          <w:lang w:val="es-AR"/>
        </w:rPr>
        <w:t>re</w:t>
      </w:r>
      <w:r w:rsidRPr="00432ABC">
        <w:rPr>
          <w:rFonts w:ascii="Verdana" w:hAnsi="Verdana"/>
          <w:sz w:val="16"/>
          <w:szCs w:val="16"/>
          <w:lang w:val="es-AR"/>
        </w:rPr>
        <w:t>s</w:t>
      </w:r>
      <w:r>
        <w:rPr>
          <w:rFonts w:ascii="Verdana" w:hAnsi="Verdana"/>
          <w:sz w:val="16"/>
          <w:szCs w:val="16"/>
          <w:lang w:val="es-AR"/>
        </w:rPr>
        <w:t>,</w:t>
      </w:r>
      <w:r w:rsidRPr="00432ABC">
        <w:rPr>
          <w:rFonts w:ascii="Verdana" w:hAnsi="Verdana"/>
          <w:sz w:val="16"/>
          <w:szCs w:val="16"/>
          <w:lang w:val="es-AR"/>
        </w:rPr>
        <w:t xml:space="preserve"> $70,435</w:t>
      </w:r>
      <w:r>
        <w:rPr>
          <w:rFonts w:ascii="Verdana" w:hAnsi="Verdana"/>
          <w:sz w:val="16"/>
          <w:szCs w:val="16"/>
          <w:lang w:val="es-AR"/>
        </w:rPr>
        <w:t xml:space="preserve"> pesos mexicanos, y iv)</w:t>
      </w:r>
      <w:r w:rsidRPr="00432ABC">
        <w:rPr>
          <w:rFonts w:ascii="Verdana" w:hAnsi="Verdana"/>
          <w:sz w:val="16"/>
          <w:szCs w:val="16"/>
          <w:lang w:val="es-AR"/>
        </w:rPr>
        <w:t xml:space="preserve"> otros gastos</w:t>
      </w:r>
      <w:r>
        <w:rPr>
          <w:rFonts w:ascii="Verdana" w:hAnsi="Verdana"/>
          <w:sz w:val="16"/>
          <w:szCs w:val="16"/>
          <w:lang w:val="es-AR"/>
        </w:rPr>
        <w:t>,</w:t>
      </w:r>
      <w:r w:rsidRPr="00432ABC">
        <w:rPr>
          <w:rFonts w:ascii="Verdana" w:hAnsi="Verdana"/>
          <w:sz w:val="16"/>
          <w:szCs w:val="16"/>
          <w:lang w:val="es-AR"/>
        </w:rPr>
        <w:t xml:space="preserve"> </w:t>
      </w:r>
      <w:r>
        <w:rPr>
          <w:rFonts w:ascii="Verdana" w:hAnsi="Verdana"/>
          <w:sz w:val="16"/>
          <w:szCs w:val="16"/>
          <w:lang w:val="es-AR"/>
        </w:rPr>
        <w:t>MX</w:t>
      </w:r>
      <w:r w:rsidRPr="00432ABC">
        <w:rPr>
          <w:rFonts w:ascii="Verdana" w:hAnsi="Verdana"/>
          <w:sz w:val="16"/>
          <w:szCs w:val="16"/>
          <w:lang w:val="es-AR"/>
        </w:rPr>
        <w:t>$22,065.45</w:t>
      </w:r>
      <w:r>
        <w:rPr>
          <w:rFonts w:ascii="Verdana" w:hAnsi="Verdana"/>
          <w:sz w:val="16"/>
          <w:szCs w:val="16"/>
          <w:lang w:val="es-AR"/>
        </w:rPr>
        <w:t xml:space="preserve"> (expediente de fondo, f. 209), monto incrementado a $25,587.02 pesos mexicanos al momento de la presentación de los anexos al escritos de solicitudes y argumentos </w:t>
      </w:r>
      <w:r w:rsidRPr="008D0846">
        <w:rPr>
          <w:rFonts w:ascii="Verdana" w:hAnsi="Verdana"/>
          <w:sz w:val="16"/>
          <w:szCs w:val="16"/>
          <w:lang w:val="es-AR"/>
        </w:rPr>
        <w:t>(expediente de fondo, f. 217)</w:t>
      </w:r>
      <w:r>
        <w:rPr>
          <w:rFonts w:ascii="Verdana" w:hAnsi="Verdana"/>
          <w:sz w:val="16"/>
          <w:szCs w:val="16"/>
          <w:lang w:val="es-AR"/>
        </w:rPr>
        <w:t xml:space="preserve">, no obstante lo cual, en sus alegatos finales escritos, las representantes sólo refirieron la cantidad inicialmente fijada en este rubro por </w:t>
      </w:r>
      <w:r w:rsidRPr="00432ABC">
        <w:rPr>
          <w:rFonts w:ascii="Verdana" w:hAnsi="Verdana"/>
          <w:sz w:val="16"/>
          <w:szCs w:val="16"/>
          <w:lang w:val="es-AR"/>
        </w:rPr>
        <w:t>$22,065.45</w:t>
      </w:r>
      <w:r>
        <w:rPr>
          <w:rFonts w:ascii="Verdana" w:hAnsi="Verdana"/>
          <w:sz w:val="16"/>
          <w:szCs w:val="16"/>
          <w:lang w:val="es-AR"/>
        </w:rPr>
        <w:t xml:space="preserve"> pesos mexicanos (expediente de fondo, f. 2058)</w:t>
      </w:r>
      <w:r w:rsidRPr="00432ABC">
        <w:rPr>
          <w:rFonts w:ascii="Verdana" w:hAnsi="Verdana"/>
          <w:sz w:val="16"/>
          <w:szCs w:val="16"/>
          <w:lang w:val="es-AR"/>
        </w:rPr>
        <w:t>. Por su parte</w:t>
      </w:r>
      <w:r>
        <w:rPr>
          <w:rFonts w:ascii="Verdana" w:hAnsi="Verdana"/>
          <w:sz w:val="16"/>
          <w:szCs w:val="16"/>
          <w:lang w:val="es-AR"/>
        </w:rPr>
        <w:t>,</w:t>
      </w:r>
      <w:r w:rsidRPr="00432ABC">
        <w:rPr>
          <w:rFonts w:ascii="Verdana" w:hAnsi="Verdana"/>
          <w:sz w:val="16"/>
          <w:szCs w:val="16"/>
          <w:lang w:val="es-AR"/>
        </w:rPr>
        <w:t xml:space="preserve"> respecto del </w:t>
      </w:r>
      <w:r>
        <w:rPr>
          <w:rFonts w:ascii="Verdana" w:hAnsi="Verdana"/>
          <w:sz w:val="16"/>
          <w:szCs w:val="16"/>
          <w:lang w:val="es-AR"/>
        </w:rPr>
        <w:t>a</w:t>
      </w:r>
      <w:r w:rsidRPr="00432ABC">
        <w:rPr>
          <w:rFonts w:ascii="Verdana" w:hAnsi="Verdana"/>
          <w:sz w:val="16"/>
          <w:szCs w:val="16"/>
          <w:lang w:val="es-AR"/>
        </w:rPr>
        <w:t xml:space="preserve">bogado Carlos Spector, las representantes solicitaron la suma de </w:t>
      </w:r>
      <w:r>
        <w:rPr>
          <w:rFonts w:ascii="Verdana" w:hAnsi="Verdana"/>
          <w:sz w:val="16"/>
          <w:szCs w:val="16"/>
          <w:lang w:val="es-AR"/>
        </w:rPr>
        <w:t>USD</w:t>
      </w:r>
      <w:r w:rsidRPr="00432ABC">
        <w:rPr>
          <w:rFonts w:ascii="Verdana" w:hAnsi="Verdana"/>
          <w:sz w:val="16"/>
          <w:szCs w:val="16"/>
          <w:lang w:val="es-AR"/>
        </w:rPr>
        <w:t xml:space="preserve">$21,500 </w:t>
      </w:r>
      <w:r>
        <w:rPr>
          <w:rFonts w:ascii="Verdana" w:hAnsi="Verdana"/>
          <w:sz w:val="16"/>
          <w:szCs w:val="16"/>
          <w:lang w:val="es-AR"/>
        </w:rPr>
        <w:t>d</w:t>
      </w:r>
      <w:r w:rsidRPr="00432ABC">
        <w:rPr>
          <w:rFonts w:ascii="Verdana" w:hAnsi="Verdana"/>
          <w:sz w:val="16"/>
          <w:szCs w:val="16"/>
          <w:lang w:val="es-AR"/>
        </w:rPr>
        <w:t xml:space="preserve">ólares estadounidenses, </w:t>
      </w:r>
      <w:r>
        <w:rPr>
          <w:rFonts w:ascii="Verdana" w:hAnsi="Verdana"/>
          <w:sz w:val="16"/>
          <w:szCs w:val="16"/>
          <w:lang w:val="es-AR"/>
        </w:rPr>
        <w:t xml:space="preserve">por </w:t>
      </w:r>
      <w:r w:rsidRPr="00432ABC">
        <w:rPr>
          <w:rFonts w:ascii="Verdana" w:hAnsi="Verdana"/>
          <w:sz w:val="16"/>
          <w:szCs w:val="16"/>
          <w:lang w:val="es-AR"/>
        </w:rPr>
        <w:t>concepto de</w:t>
      </w:r>
      <w:r>
        <w:rPr>
          <w:rFonts w:ascii="Verdana" w:hAnsi="Verdana"/>
          <w:sz w:val="16"/>
          <w:szCs w:val="16"/>
          <w:lang w:val="es-AR"/>
        </w:rPr>
        <w:t xml:space="preserve">: i) </w:t>
      </w:r>
      <w:r w:rsidRPr="00432ABC">
        <w:rPr>
          <w:rFonts w:ascii="Verdana" w:hAnsi="Verdana"/>
          <w:sz w:val="16"/>
          <w:szCs w:val="16"/>
          <w:lang w:val="es-AR"/>
        </w:rPr>
        <w:t xml:space="preserve">proceso para la residencia legal permanente de </w:t>
      </w:r>
      <w:r w:rsidRPr="00A44289">
        <w:rPr>
          <w:rFonts w:ascii="Verdana" w:hAnsi="Verdana"/>
          <w:sz w:val="16"/>
          <w:szCs w:val="16"/>
          <w:lang w:val="es-CR"/>
        </w:rPr>
        <w:t>M.P.A.E., N.S.A.E. y D.A.E.</w:t>
      </w:r>
      <w:r>
        <w:rPr>
          <w:rFonts w:ascii="Verdana" w:hAnsi="Verdana"/>
          <w:sz w:val="16"/>
          <w:szCs w:val="16"/>
          <w:lang w:val="es-AR"/>
        </w:rPr>
        <w:t>, USD</w:t>
      </w:r>
      <w:r w:rsidRPr="00432ABC">
        <w:rPr>
          <w:rFonts w:ascii="Verdana" w:hAnsi="Verdana"/>
          <w:sz w:val="16"/>
          <w:szCs w:val="16"/>
          <w:lang w:val="es-AR"/>
        </w:rPr>
        <w:t xml:space="preserve">$1,500 dólares estadounidenses; </w:t>
      </w:r>
      <w:r>
        <w:rPr>
          <w:rFonts w:ascii="Verdana" w:hAnsi="Verdana"/>
          <w:sz w:val="16"/>
          <w:szCs w:val="16"/>
          <w:lang w:val="es-AR"/>
        </w:rPr>
        <w:t xml:space="preserve">ii) </w:t>
      </w:r>
      <w:r w:rsidRPr="00432ABC">
        <w:rPr>
          <w:rFonts w:ascii="Verdana" w:hAnsi="Verdana"/>
          <w:sz w:val="16"/>
          <w:szCs w:val="16"/>
          <w:lang w:val="es-AR"/>
        </w:rPr>
        <w:t>gastos derivados del cruce en el puente internacional para la totalidad de la familia Alvarado Espinoza</w:t>
      </w:r>
      <w:r>
        <w:rPr>
          <w:rFonts w:ascii="Verdana" w:hAnsi="Verdana"/>
          <w:sz w:val="16"/>
          <w:szCs w:val="16"/>
          <w:lang w:val="es-AR"/>
        </w:rPr>
        <w:t xml:space="preserve"> [sic], USD</w:t>
      </w:r>
      <w:r w:rsidRPr="00432ABC">
        <w:rPr>
          <w:rFonts w:ascii="Verdana" w:hAnsi="Verdana"/>
          <w:sz w:val="16"/>
          <w:szCs w:val="16"/>
          <w:lang w:val="es-AR"/>
        </w:rPr>
        <w:t xml:space="preserve">$2,500 dólares estadounidenses; </w:t>
      </w:r>
      <w:r>
        <w:rPr>
          <w:rFonts w:ascii="Verdana" w:hAnsi="Verdana"/>
          <w:sz w:val="16"/>
          <w:szCs w:val="16"/>
          <w:lang w:val="es-AR"/>
        </w:rPr>
        <w:t xml:space="preserve">iii) por el </w:t>
      </w:r>
      <w:r w:rsidRPr="00432ABC">
        <w:rPr>
          <w:rFonts w:ascii="Verdana" w:hAnsi="Verdana"/>
          <w:sz w:val="16"/>
          <w:szCs w:val="16"/>
          <w:lang w:val="es-AR"/>
        </w:rPr>
        <w:t xml:space="preserve">caso </w:t>
      </w:r>
      <w:r>
        <w:rPr>
          <w:rFonts w:ascii="Verdana" w:hAnsi="Verdana"/>
          <w:sz w:val="16"/>
          <w:szCs w:val="16"/>
          <w:lang w:val="es-AR"/>
        </w:rPr>
        <w:t xml:space="preserve">de </w:t>
      </w:r>
      <w:r w:rsidRPr="00432ABC">
        <w:rPr>
          <w:rFonts w:ascii="Verdana" w:hAnsi="Verdana"/>
          <w:sz w:val="16"/>
          <w:szCs w:val="16"/>
          <w:lang w:val="es-AR"/>
        </w:rPr>
        <w:t>asilo político para María de Jesús Alvarado Espinoza, Rigoberto Ambriz Mar</w:t>
      </w:r>
      <w:r>
        <w:rPr>
          <w:rFonts w:ascii="Verdana" w:hAnsi="Verdana"/>
          <w:sz w:val="16"/>
          <w:szCs w:val="16"/>
          <w:lang w:val="es-AR"/>
        </w:rPr>
        <w:t>r</w:t>
      </w:r>
      <w:r w:rsidRPr="00432ABC">
        <w:rPr>
          <w:rFonts w:ascii="Verdana" w:hAnsi="Verdana"/>
          <w:sz w:val="16"/>
          <w:szCs w:val="16"/>
          <w:lang w:val="es-AR"/>
        </w:rPr>
        <w:t xml:space="preserve">ufo y </w:t>
      </w:r>
      <w:r>
        <w:rPr>
          <w:rFonts w:ascii="Verdana" w:hAnsi="Verdana"/>
          <w:sz w:val="16"/>
          <w:szCs w:val="16"/>
          <w:lang w:val="es-AR"/>
        </w:rPr>
        <w:t>lo</w:t>
      </w:r>
      <w:r w:rsidRPr="00432ABC">
        <w:rPr>
          <w:rFonts w:ascii="Verdana" w:hAnsi="Verdana"/>
          <w:sz w:val="16"/>
          <w:szCs w:val="16"/>
          <w:lang w:val="es-AR"/>
        </w:rPr>
        <w:t>s cuatro hij</w:t>
      </w:r>
      <w:r>
        <w:rPr>
          <w:rFonts w:ascii="Verdana" w:hAnsi="Verdana"/>
          <w:sz w:val="16"/>
          <w:szCs w:val="16"/>
          <w:lang w:val="es-AR"/>
        </w:rPr>
        <w:t>o</w:t>
      </w:r>
      <w:r w:rsidRPr="00432ABC">
        <w:rPr>
          <w:rFonts w:ascii="Verdana" w:hAnsi="Verdana"/>
          <w:sz w:val="16"/>
          <w:szCs w:val="16"/>
          <w:lang w:val="es-AR"/>
        </w:rPr>
        <w:t xml:space="preserve">s </w:t>
      </w:r>
      <w:r>
        <w:rPr>
          <w:rFonts w:ascii="Verdana" w:hAnsi="Verdana"/>
          <w:sz w:val="16"/>
          <w:szCs w:val="16"/>
          <w:lang w:val="es-AR"/>
        </w:rPr>
        <w:t>de ambos, USD</w:t>
      </w:r>
      <w:r w:rsidRPr="00432ABC">
        <w:rPr>
          <w:rFonts w:ascii="Verdana" w:hAnsi="Verdana"/>
          <w:sz w:val="16"/>
          <w:szCs w:val="16"/>
          <w:lang w:val="es-AR"/>
        </w:rPr>
        <w:t>$ 10,000 dólares estadounidenses</w:t>
      </w:r>
      <w:r>
        <w:rPr>
          <w:rFonts w:ascii="Verdana" w:hAnsi="Verdana"/>
          <w:sz w:val="16"/>
          <w:szCs w:val="16"/>
          <w:lang w:val="es-AR"/>
        </w:rPr>
        <w:t xml:space="preserve">, y iv) </w:t>
      </w:r>
      <w:r w:rsidRPr="00432ABC">
        <w:rPr>
          <w:rFonts w:ascii="Verdana" w:hAnsi="Verdana"/>
          <w:sz w:val="16"/>
          <w:szCs w:val="16"/>
          <w:lang w:val="es-AR"/>
        </w:rPr>
        <w:t>por el caso sobre asilo político para Ascención Alvarado Fabela y María de Jesús Espinoza Peinado</w:t>
      </w:r>
      <w:r>
        <w:rPr>
          <w:rFonts w:ascii="Verdana" w:hAnsi="Verdana"/>
          <w:sz w:val="16"/>
          <w:szCs w:val="16"/>
          <w:lang w:val="es-AR"/>
        </w:rPr>
        <w:t>,</w:t>
      </w:r>
      <w:r w:rsidRPr="00432ABC">
        <w:rPr>
          <w:rFonts w:ascii="Verdana" w:hAnsi="Verdana"/>
          <w:sz w:val="16"/>
          <w:szCs w:val="16"/>
          <w:lang w:val="es-AR"/>
        </w:rPr>
        <w:t xml:space="preserve"> </w:t>
      </w:r>
      <w:r>
        <w:rPr>
          <w:rFonts w:ascii="Verdana" w:hAnsi="Verdana"/>
          <w:sz w:val="16"/>
          <w:szCs w:val="16"/>
          <w:lang w:val="es-AR"/>
        </w:rPr>
        <w:t>USD</w:t>
      </w:r>
      <w:r w:rsidRPr="00432ABC">
        <w:rPr>
          <w:rFonts w:ascii="Verdana" w:hAnsi="Verdana"/>
          <w:sz w:val="16"/>
          <w:szCs w:val="16"/>
          <w:lang w:val="es-AR"/>
        </w:rPr>
        <w:t xml:space="preserve">$7,500 dólares estadounidenses </w:t>
      </w:r>
      <w:r w:rsidRPr="008D0846">
        <w:rPr>
          <w:rFonts w:ascii="Verdana" w:hAnsi="Verdana"/>
          <w:sz w:val="16"/>
          <w:szCs w:val="16"/>
          <w:lang w:val="es-CR"/>
        </w:rPr>
        <w:t>(expediente de fondo, ff. 209 a 210).</w:t>
      </w:r>
    </w:p>
  </w:footnote>
  <w:footnote w:id="579">
    <w:p w14:paraId="5A71C235" w14:textId="77777777" w:rsidR="00146958" w:rsidRPr="00DB378B" w:rsidRDefault="00146958" w:rsidP="00597F8F">
      <w:pPr>
        <w:pStyle w:val="FootnoteText"/>
        <w:jc w:val="both"/>
        <w:rPr>
          <w:rFonts w:ascii="Verdana" w:hAnsi="Verdana"/>
          <w:lang w:val="uz-Cyrl-UZ"/>
        </w:rPr>
      </w:pPr>
      <w:r w:rsidRPr="00432ABC">
        <w:rPr>
          <w:rStyle w:val="FootnoteReference"/>
          <w:rFonts w:ascii="Verdana" w:hAnsi="Verdana"/>
          <w:sz w:val="16"/>
          <w:szCs w:val="16"/>
        </w:rPr>
        <w:footnoteRef/>
      </w:r>
      <w:r w:rsidRPr="00432ABC">
        <w:rPr>
          <w:rFonts w:ascii="Verdana" w:hAnsi="Verdana"/>
          <w:sz w:val="16"/>
          <w:szCs w:val="16"/>
          <w:lang w:val="uz-Cyrl-UZ"/>
        </w:rPr>
        <w:t xml:space="preserve"> </w:t>
      </w:r>
      <w:r w:rsidRPr="002C462C">
        <w:rPr>
          <w:rFonts w:ascii="Verdana" w:hAnsi="Verdana"/>
          <w:sz w:val="16"/>
          <w:szCs w:val="16"/>
          <w:lang w:val="es-CR"/>
        </w:rPr>
        <w:tab/>
      </w:r>
      <w:r>
        <w:rPr>
          <w:rFonts w:ascii="Verdana" w:hAnsi="Verdana"/>
          <w:sz w:val="16"/>
          <w:szCs w:val="16"/>
          <w:lang w:val="es-CR"/>
        </w:rPr>
        <w:t>El incremento total del monto solicitado por las representantes s</w:t>
      </w:r>
      <w:r w:rsidRPr="002C462C">
        <w:rPr>
          <w:rFonts w:ascii="Verdana" w:hAnsi="Verdana"/>
          <w:sz w:val="16"/>
          <w:szCs w:val="16"/>
          <w:lang w:val="es-CR"/>
        </w:rPr>
        <w:t>e deriv</w:t>
      </w:r>
      <w:r>
        <w:rPr>
          <w:rFonts w:ascii="Verdana" w:hAnsi="Verdana"/>
          <w:sz w:val="16"/>
          <w:szCs w:val="16"/>
          <w:lang w:val="es-CR"/>
        </w:rPr>
        <w:t xml:space="preserve">ó </w:t>
      </w:r>
      <w:r w:rsidRPr="002C462C">
        <w:rPr>
          <w:rFonts w:ascii="Verdana" w:hAnsi="Verdana"/>
          <w:sz w:val="16"/>
          <w:szCs w:val="16"/>
          <w:lang w:val="es-CR"/>
        </w:rPr>
        <w:t xml:space="preserve">de la suma de </w:t>
      </w:r>
      <w:r>
        <w:rPr>
          <w:rFonts w:ascii="Verdana" w:hAnsi="Verdana"/>
          <w:sz w:val="16"/>
          <w:szCs w:val="16"/>
          <w:lang w:val="es-CR"/>
        </w:rPr>
        <w:t xml:space="preserve">los siguientes conceptos: i) salarios, </w:t>
      </w:r>
      <w:r w:rsidRPr="002C462C">
        <w:rPr>
          <w:rFonts w:ascii="Verdana" w:hAnsi="Verdana"/>
          <w:sz w:val="16"/>
          <w:szCs w:val="16"/>
          <w:lang w:val="es-CR"/>
        </w:rPr>
        <w:t xml:space="preserve">$148,389.20 </w:t>
      </w:r>
      <w:r>
        <w:rPr>
          <w:rFonts w:ascii="Verdana" w:hAnsi="Verdana"/>
          <w:sz w:val="16"/>
          <w:szCs w:val="16"/>
          <w:lang w:val="es-CR"/>
        </w:rPr>
        <w:t>pesos mexicanos; ii) viajes</w:t>
      </w:r>
      <w:r w:rsidRPr="002C462C">
        <w:rPr>
          <w:rFonts w:ascii="Verdana" w:hAnsi="Verdana"/>
          <w:sz w:val="16"/>
          <w:szCs w:val="16"/>
          <w:lang w:val="es-CR"/>
        </w:rPr>
        <w:t>, $354,773.73</w:t>
      </w:r>
      <w:r>
        <w:rPr>
          <w:rFonts w:ascii="Verdana" w:hAnsi="Verdana"/>
          <w:sz w:val="16"/>
          <w:szCs w:val="16"/>
          <w:lang w:val="es-CR"/>
        </w:rPr>
        <w:t xml:space="preserve"> pesos mexicanos</w:t>
      </w:r>
      <w:r w:rsidRPr="002C462C">
        <w:rPr>
          <w:rFonts w:ascii="Verdana" w:hAnsi="Verdana"/>
          <w:sz w:val="16"/>
          <w:szCs w:val="16"/>
          <w:lang w:val="es-CR"/>
        </w:rPr>
        <w:t xml:space="preserve">, y </w:t>
      </w:r>
      <w:r>
        <w:rPr>
          <w:rFonts w:ascii="Verdana" w:hAnsi="Verdana"/>
          <w:sz w:val="16"/>
          <w:szCs w:val="16"/>
          <w:lang w:val="es-CR"/>
        </w:rPr>
        <w:t xml:space="preserve">iii) </w:t>
      </w:r>
      <w:r w:rsidRPr="002C462C">
        <w:rPr>
          <w:rFonts w:ascii="Verdana" w:hAnsi="Verdana"/>
          <w:sz w:val="16"/>
          <w:szCs w:val="16"/>
          <w:lang w:val="es-CR"/>
        </w:rPr>
        <w:t>otros gastos</w:t>
      </w:r>
      <w:r>
        <w:rPr>
          <w:rFonts w:ascii="Verdana" w:hAnsi="Verdana"/>
          <w:sz w:val="16"/>
          <w:szCs w:val="16"/>
          <w:lang w:val="es-CR"/>
        </w:rPr>
        <w:t xml:space="preserve">, </w:t>
      </w:r>
      <w:r w:rsidRPr="002C462C">
        <w:rPr>
          <w:rFonts w:ascii="Verdana" w:hAnsi="Verdana"/>
          <w:sz w:val="16"/>
          <w:szCs w:val="16"/>
          <w:lang w:val="es-CR"/>
        </w:rPr>
        <w:t>$12,843.54</w:t>
      </w:r>
      <w:r>
        <w:rPr>
          <w:rFonts w:ascii="Verdana" w:hAnsi="Verdana"/>
          <w:sz w:val="16"/>
          <w:szCs w:val="16"/>
          <w:lang w:val="es-CR"/>
        </w:rPr>
        <w:t xml:space="preserve"> pesos mexicanos</w:t>
      </w:r>
      <w:r w:rsidRPr="002C462C">
        <w:rPr>
          <w:rFonts w:ascii="Verdana" w:hAnsi="Verdana"/>
          <w:sz w:val="16"/>
          <w:szCs w:val="16"/>
          <w:lang w:val="es-CR"/>
        </w:rPr>
        <w:t xml:space="preserve"> </w:t>
      </w:r>
      <w:r w:rsidRPr="00351335">
        <w:rPr>
          <w:rFonts w:ascii="Verdana" w:hAnsi="Verdana"/>
          <w:sz w:val="16"/>
          <w:szCs w:val="16"/>
          <w:lang w:val="es-CR"/>
        </w:rPr>
        <w:t>(expediente de fondo, ff. 2058 a 2059).</w:t>
      </w:r>
    </w:p>
  </w:footnote>
  <w:footnote w:id="580">
    <w:p w14:paraId="20ADC7BC" w14:textId="0B9BCC00" w:rsidR="00146958" w:rsidRPr="008D0846" w:rsidRDefault="00146958" w:rsidP="0065557D">
      <w:pPr>
        <w:pStyle w:val="FootnoteText"/>
        <w:jc w:val="both"/>
        <w:rPr>
          <w:rFonts w:ascii="Verdana" w:hAnsi="Verdana"/>
          <w:sz w:val="16"/>
          <w:szCs w:val="16"/>
          <w:lang w:val="es-CR"/>
        </w:rPr>
      </w:pPr>
      <w:r w:rsidRPr="008D0846">
        <w:rPr>
          <w:rStyle w:val="FootnoteReference"/>
          <w:rFonts w:ascii="Verdana" w:hAnsi="Verdana"/>
          <w:sz w:val="16"/>
          <w:szCs w:val="16"/>
        </w:rPr>
        <w:footnoteRef/>
      </w:r>
      <w:r w:rsidRPr="008D0846">
        <w:rPr>
          <w:rFonts w:ascii="Verdana" w:hAnsi="Verdana"/>
          <w:sz w:val="16"/>
          <w:szCs w:val="16"/>
          <w:lang w:val="es-CR"/>
        </w:rPr>
        <w:t xml:space="preserve"> </w:t>
      </w:r>
      <w:r w:rsidRPr="008D0846">
        <w:rPr>
          <w:rFonts w:ascii="Verdana" w:hAnsi="Verdana"/>
          <w:sz w:val="16"/>
          <w:szCs w:val="16"/>
          <w:lang w:val="es-CR"/>
        </w:rPr>
        <w:tab/>
      </w:r>
      <w:r w:rsidRPr="0065557D">
        <w:rPr>
          <w:rFonts w:ascii="Verdana" w:hAnsi="Verdana"/>
          <w:sz w:val="16"/>
          <w:szCs w:val="16"/>
          <w:lang w:val="es-CR"/>
        </w:rPr>
        <w:t xml:space="preserve">Así indicado por las representantes en sus alegatos finales escritos utilizando el tipo de cambio definido de manera oficial para el 28 de mayo de 2018, por el Servicio de Administración Tributaria de la Secretaría de Hacienda de México </w:t>
      </w:r>
      <w:r w:rsidRPr="008D0846">
        <w:rPr>
          <w:rFonts w:ascii="Verdana" w:hAnsi="Verdana"/>
          <w:sz w:val="16"/>
          <w:szCs w:val="16"/>
          <w:lang w:val="es-CR"/>
        </w:rPr>
        <w:t xml:space="preserve">(expediente de fondo, f. 2058 a2059). </w:t>
      </w:r>
    </w:p>
  </w:footnote>
  <w:footnote w:id="581">
    <w:p w14:paraId="785715A4" w14:textId="18CED616" w:rsidR="00146958" w:rsidRPr="00432ABC" w:rsidRDefault="00146958">
      <w:pPr>
        <w:pStyle w:val="FootnoteText"/>
        <w:jc w:val="both"/>
        <w:rPr>
          <w:rFonts w:ascii="Verdana" w:hAnsi="Verdana"/>
          <w:b/>
          <w:sz w:val="16"/>
          <w:szCs w:val="16"/>
          <w:lang w:val="es-ES_tradnl"/>
        </w:rPr>
      </w:pPr>
      <w:r w:rsidRPr="00432ABC">
        <w:rPr>
          <w:rStyle w:val="FootnoteReference"/>
          <w:rFonts w:ascii="Verdana" w:hAnsi="Verdana"/>
          <w:sz w:val="16"/>
          <w:szCs w:val="16"/>
        </w:rPr>
        <w:footnoteRef/>
      </w:r>
      <w:r w:rsidRPr="00432ABC">
        <w:rPr>
          <w:rFonts w:ascii="Verdana" w:hAnsi="Verdana"/>
          <w:sz w:val="16"/>
          <w:szCs w:val="16"/>
          <w:lang w:val="es-CR"/>
        </w:rPr>
        <w:t xml:space="preserve"> </w:t>
      </w:r>
      <w:r w:rsidRPr="00432ABC">
        <w:rPr>
          <w:rFonts w:ascii="Verdana" w:hAnsi="Verdana"/>
          <w:sz w:val="16"/>
          <w:szCs w:val="16"/>
          <w:lang w:val="es-CR"/>
        </w:rPr>
        <w:tab/>
      </w:r>
      <w:r w:rsidRPr="00CD5C54">
        <w:rPr>
          <w:rFonts w:ascii="Verdana" w:hAnsi="Verdana"/>
          <w:i/>
          <w:sz w:val="16"/>
          <w:szCs w:val="16"/>
          <w:lang w:val="es-CR"/>
        </w:rPr>
        <w:t>Cfr.</w:t>
      </w:r>
      <w:r>
        <w:rPr>
          <w:rFonts w:ascii="Verdana" w:hAnsi="Verdana"/>
          <w:bCs/>
          <w:i/>
          <w:sz w:val="16"/>
          <w:szCs w:val="16"/>
        </w:rPr>
        <w:t xml:space="preserve"> </w:t>
      </w:r>
      <w:r w:rsidRPr="00594122">
        <w:rPr>
          <w:rFonts w:ascii="Verdana" w:hAnsi="Verdana"/>
          <w:bCs/>
          <w:i/>
          <w:color w:val="000000"/>
          <w:sz w:val="16"/>
          <w:szCs w:val="16"/>
          <w:shd w:val="clear" w:color="auto" w:fill="FFFFFF"/>
        </w:rPr>
        <w:t>Caso Garrido y Baigorria Vs. Argentina. Reparaciones y Costas</w:t>
      </w:r>
      <w:r w:rsidRPr="0045469F">
        <w:rPr>
          <w:rFonts w:ascii="Verdana" w:hAnsi="Verdana"/>
          <w:bCs/>
          <w:color w:val="000000"/>
          <w:sz w:val="16"/>
          <w:szCs w:val="16"/>
          <w:shd w:val="clear" w:color="auto" w:fill="FFFFFF"/>
        </w:rPr>
        <w:t xml:space="preserve">. Sentencia de 27 de agosto de 1998. Serie C No. 39, párr. 79 </w:t>
      </w:r>
      <w:r w:rsidRPr="0045469F">
        <w:rPr>
          <w:rFonts w:ascii="Verdana" w:hAnsi="Verdana"/>
          <w:sz w:val="16"/>
          <w:szCs w:val="16"/>
          <w:lang w:val="es-CR"/>
        </w:rPr>
        <w:t xml:space="preserve">y </w:t>
      </w:r>
      <w:r w:rsidRPr="008D0846">
        <w:rPr>
          <w:rFonts w:ascii="Verdana" w:hAnsi="Verdana"/>
          <w:i/>
          <w:sz w:val="16"/>
          <w:szCs w:val="16"/>
          <w:lang w:val="es-CR"/>
        </w:rPr>
        <w:t>C</w:t>
      </w:r>
      <w:r w:rsidRPr="008D0846">
        <w:rPr>
          <w:rFonts w:ascii="Verdana" w:hAnsi="Verdana"/>
          <w:bCs/>
          <w:i/>
          <w:sz w:val="16"/>
          <w:szCs w:val="16"/>
        </w:rPr>
        <w:t xml:space="preserve">aso Cuscul Pivaral y otros Vs. Guatemala. Excepción Preliminar, Fondo, Reparaciones y Costas. </w:t>
      </w:r>
      <w:r w:rsidRPr="008D0846">
        <w:rPr>
          <w:rFonts w:ascii="Verdana" w:hAnsi="Verdana"/>
          <w:bCs/>
          <w:sz w:val="16"/>
          <w:szCs w:val="16"/>
        </w:rPr>
        <w:t>Sentencia de 23 de agosto de 2018. Serie C No. 359, párr. 242.</w:t>
      </w:r>
    </w:p>
  </w:footnote>
  <w:footnote w:id="582">
    <w:p w14:paraId="3FE629EB" w14:textId="2C2BC83A" w:rsidR="00146958" w:rsidRPr="00E307D4" w:rsidRDefault="00146958">
      <w:pPr>
        <w:pStyle w:val="FootnoteText"/>
        <w:jc w:val="both"/>
        <w:rPr>
          <w:rFonts w:ascii="Verdana" w:hAnsi="Verdana"/>
          <w:sz w:val="16"/>
          <w:szCs w:val="16"/>
          <w:lang w:val="es-CR"/>
        </w:rPr>
      </w:pPr>
      <w:r w:rsidRPr="00432ABC">
        <w:rPr>
          <w:rStyle w:val="FootnoteReference"/>
          <w:rFonts w:ascii="Verdana" w:hAnsi="Verdana"/>
          <w:sz w:val="16"/>
          <w:szCs w:val="16"/>
        </w:rPr>
        <w:footnoteRef/>
      </w:r>
      <w:r w:rsidRPr="00432ABC">
        <w:rPr>
          <w:rFonts w:ascii="Verdana" w:hAnsi="Verdana"/>
          <w:sz w:val="16"/>
          <w:szCs w:val="16"/>
          <w:lang w:val="es-CR"/>
        </w:rPr>
        <w:t xml:space="preserve"> </w:t>
      </w:r>
      <w:r w:rsidRPr="00432ABC">
        <w:rPr>
          <w:rFonts w:ascii="Verdana" w:hAnsi="Verdana"/>
          <w:sz w:val="16"/>
          <w:szCs w:val="16"/>
          <w:lang w:val="es-CR"/>
        </w:rPr>
        <w:tab/>
      </w:r>
      <w:r w:rsidRPr="00CD5C54">
        <w:rPr>
          <w:rFonts w:ascii="Verdana" w:hAnsi="Verdana"/>
          <w:i/>
          <w:sz w:val="16"/>
          <w:szCs w:val="16"/>
        </w:rPr>
        <w:t>Cfr.</w:t>
      </w:r>
      <w:r w:rsidRPr="004B0EEB">
        <w:rPr>
          <w:rFonts w:ascii="Verdana" w:hAnsi="Verdana"/>
          <w:i/>
          <w:sz w:val="16"/>
          <w:szCs w:val="16"/>
        </w:rPr>
        <w:t xml:space="preserve"> </w:t>
      </w:r>
      <w:r w:rsidRPr="00241410">
        <w:rPr>
          <w:rFonts w:ascii="Verdana" w:hAnsi="Verdana"/>
          <w:bCs/>
          <w:i/>
          <w:sz w:val="16"/>
          <w:szCs w:val="16"/>
        </w:rPr>
        <w:t>Caso Garrido y Baigorria Vs. Argentina, supra</w:t>
      </w:r>
      <w:r w:rsidRPr="004B0EEB">
        <w:rPr>
          <w:rStyle w:val="Strong"/>
          <w:rFonts w:ascii="Verdana" w:hAnsi="Verdana"/>
          <w:b w:val="0"/>
          <w:color w:val="000000"/>
          <w:sz w:val="16"/>
          <w:szCs w:val="16"/>
          <w:shd w:val="clear" w:color="auto" w:fill="FFFFFF"/>
        </w:rPr>
        <w:t xml:space="preserve">, párr. 82, y </w:t>
      </w:r>
      <w:r w:rsidRPr="004B0EEB">
        <w:rPr>
          <w:rStyle w:val="Strong"/>
          <w:rFonts w:ascii="Verdana" w:hAnsi="Verdana"/>
          <w:b w:val="0"/>
          <w:i/>
          <w:color w:val="000000"/>
          <w:sz w:val="16"/>
          <w:szCs w:val="16"/>
          <w:shd w:val="clear" w:color="auto" w:fill="FFFFFF"/>
        </w:rPr>
        <w:t>Caso López Soto y otros Vs. Venezuela</w:t>
      </w:r>
      <w:r>
        <w:rPr>
          <w:rStyle w:val="Strong"/>
          <w:rFonts w:ascii="Verdana" w:hAnsi="Verdana"/>
          <w:b w:val="0"/>
          <w:i/>
          <w:color w:val="000000"/>
          <w:sz w:val="16"/>
          <w:szCs w:val="16"/>
          <w:shd w:val="clear" w:color="auto" w:fill="FFFFFF"/>
        </w:rPr>
        <w:t>, supra</w:t>
      </w:r>
      <w:r w:rsidRPr="000B3C2F">
        <w:rPr>
          <w:rStyle w:val="Strong"/>
          <w:rFonts w:ascii="Verdana" w:hAnsi="Verdana"/>
          <w:b w:val="0"/>
          <w:color w:val="000000"/>
          <w:sz w:val="16"/>
          <w:szCs w:val="16"/>
          <w:shd w:val="clear" w:color="auto" w:fill="FFFFFF"/>
        </w:rPr>
        <w:t>, p</w:t>
      </w:r>
      <w:r w:rsidRPr="003A3392">
        <w:rPr>
          <w:rStyle w:val="Strong"/>
          <w:rFonts w:ascii="Verdana" w:hAnsi="Verdana"/>
          <w:b w:val="0"/>
          <w:color w:val="000000"/>
          <w:sz w:val="16"/>
          <w:szCs w:val="16"/>
          <w:shd w:val="clear" w:color="auto" w:fill="FFFFFF"/>
        </w:rPr>
        <w:t>á</w:t>
      </w:r>
      <w:r w:rsidRPr="00E307D4">
        <w:rPr>
          <w:rStyle w:val="Strong"/>
          <w:rFonts w:ascii="Verdana" w:hAnsi="Verdana"/>
          <w:b w:val="0"/>
          <w:color w:val="000000"/>
          <w:sz w:val="16"/>
          <w:szCs w:val="16"/>
          <w:shd w:val="clear" w:color="auto" w:fill="FFFFFF"/>
        </w:rPr>
        <w:t xml:space="preserve">rr. 381.  </w:t>
      </w:r>
    </w:p>
  </w:footnote>
  <w:footnote w:id="583">
    <w:p w14:paraId="7BE2E114" w14:textId="5C113721" w:rsidR="00146958" w:rsidRPr="00432ABC" w:rsidRDefault="00146958">
      <w:pPr>
        <w:pStyle w:val="FootnoteText"/>
        <w:jc w:val="both"/>
        <w:rPr>
          <w:rFonts w:ascii="Verdana" w:hAnsi="Verdana"/>
          <w:sz w:val="16"/>
          <w:szCs w:val="16"/>
          <w:lang w:val="es-CR"/>
        </w:rPr>
      </w:pPr>
      <w:r w:rsidRPr="00E4450D">
        <w:rPr>
          <w:rStyle w:val="FootnoteReference"/>
          <w:rFonts w:ascii="Verdana" w:hAnsi="Verdana"/>
          <w:sz w:val="16"/>
          <w:szCs w:val="16"/>
        </w:rPr>
        <w:footnoteRef/>
      </w:r>
      <w:r w:rsidRPr="00E4450D">
        <w:rPr>
          <w:rFonts w:ascii="Verdana" w:hAnsi="Verdana"/>
          <w:sz w:val="16"/>
          <w:szCs w:val="16"/>
          <w:lang w:val="es-CR"/>
        </w:rPr>
        <w:t xml:space="preserve"> </w:t>
      </w:r>
      <w:r w:rsidRPr="00E4450D">
        <w:rPr>
          <w:rFonts w:ascii="Verdana" w:hAnsi="Verdana"/>
          <w:sz w:val="16"/>
          <w:szCs w:val="16"/>
          <w:lang w:val="es-CR"/>
        </w:rPr>
        <w:tab/>
      </w:r>
      <w:r w:rsidRPr="00CD5C54">
        <w:rPr>
          <w:rFonts w:ascii="Verdana" w:hAnsi="Verdana"/>
          <w:i/>
          <w:sz w:val="16"/>
          <w:szCs w:val="16"/>
          <w:lang w:val="es-CR"/>
        </w:rPr>
        <w:t>Cfr.</w:t>
      </w:r>
      <w:r w:rsidRPr="000B3C2F">
        <w:rPr>
          <w:rFonts w:ascii="Verdana" w:hAnsi="Verdana"/>
          <w:sz w:val="16"/>
          <w:szCs w:val="16"/>
          <w:lang w:val="es-CR"/>
        </w:rPr>
        <w:t xml:space="preserve"> </w:t>
      </w:r>
      <w:r w:rsidRPr="003A3392">
        <w:rPr>
          <w:rFonts w:ascii="Verdana" w:hAnsi="Verdana"/>
          <w:i/>
          <w:sz w:val="16"/>
          <w:szCs w:val="16"/>
          <w:lang w:val="es-CR"/>
        </w:rPr>
        <w:t>Caso Garrido y Baigorria Vs. Argentina</w:t>
      </w:r>
      <w:r w:rsidRPr="008D0846">
        <w:rPr>
          <w:rFonts w:ascii="Verdana" w:hAnsi="Verdana"/>
          <w:sz w:val="16"/>
          <w:szCs w:val="16"/>
          <w:lang w:val="es-CR"/>
        </w:rPr>
        <w:t xml:space="preserve">, </w:t>
      </w:r>
      <w:r w:rsidRPr="008D0846">
        <w:rPr>
          <w:rFonts w:ascii="Verdana" w:hAnsi="Verdana"/>
          <w:i/>
          <w:sz w:val="16"/>
          <w:szCs w:val="16"/>
          <w:lang w:val="es-CR"/>
        </w:rPr>
        <w:t>supra</w:t>
      </w:r>
      <w:r w:rsidRPr="008D0846">
        <w:rPr>
          <w:rFonts w:ascii="Verdana" w:hAnsi="Verdana"/>
          <w:sz w:val="16"/>
          <w:szCs w:val="16"/>
          <w:lang w:val="es-CR"/>
        </w:rPr>
        <w:t>,</w:t>
      </w:r>
      <w:r w:rsidRPr="00E4450D">
        <w:rPr>
          <w:rFonts w:ascii="Verdana" w:hAnsi="Verdana"/>
          <w:spacing w:val="36"/>
          <w:sz w:val="16"/>
          <w:szCs w:val="16"/>
          <w:lang w:val="es-CR"/>
        </w:rPr>
        <w:t xml:space="preserve"> </w:t>
      </w:r>
      <w:r w:rsidRPr="000B3C2F">
        <w:rPr>
          <w:rFonts w:ascii="Verdana" w:hAnsi="Verdana"/>
          <w:sz w:val="16"/>
          <w:szCs w:val="16"/>
          <w:lang w:val="es-CR"/>
        </w:rPr>
        <w:t>p</w:t>
      </w:r>
      <w:r w:rsidRPr="000B3C2F">
        <w:rPr>
          <w:rFonts w:ascii="Verdana" w:hAnsi="Verdana"/>
          <w:spacing w:val="-3"/>
          <w:sz w:val="16"/>
          <w:szCs w:val="16"/>
          <w:lang w:val="es-CR"/>
        </w:rPr>
        <w:t>á</w:t>
      </w:r>
      <w:r w:rsidRPr="003A3392">
        <w:rPr>
          <w:rFonts w:ascii="Verdana" w:hAnsi="Verdana"/>
          <w:spacing w:val="1"/>
          <w:sz w:val="16"/>
          <w:szCs w:val="16"/>
          <w:lang w:val="es-CR"/>
        </w:rPr>
        <w:t>rr</w:t>
      </w:r>
      <w:r w:rsidRPr="00E307D4">
        <w:rPr>
          <w:rFonts w:ascii="Verdana" w:hAnsi="Verdana"/>
          <w:sz w:val="16"/>
          <w:szCs w:val="16"/>
          <w:lang w:val="es-CR"/>
        </w:rPr>
        <w:t>.</w:t>
      </w:r>
      <w:r w:rsidRPr="00E307D4">
        <w:rPr>
          <w:rFonts w:ascii="Verdana" w:hAnsi="Verdana"/>
          <w:spacing w:val="33"/>
          <w:sz w:val="16"/>
          <w:szCs w:val="16"/>
          <w:lang w:val="es-CR"/>
        </w:rPr>
        <w:t xml:space="preserve"> </w:t>
      </w:r>
      <w:r w:rsidRPr="00E307D4">
        <w:rPr>
          <w:rFonts w:ascii="Verdana" w:hAnsi="Verdana"/>
          <w:spacing w:val="-1"/>
          <w:sz w:val="16"/>
          <w:szCs w:val="16"/>
          <w:lang w:val="es-CR"/>
        </w:rPr>
        <w:t>7</w:t>
      </w:r>
      <w:r w:rsidRPr="00E307D4">
        <w:rPr>
          <w:rFonts w:ascii="Verdana" w:hAnsi="Verdana"/>
          <w:spacing w:val="1"/>
          <w:sz w:val="16"/>
          <w:szCs w:val="16"/>
          <w:lang w:val="es-CR"/>
        </w:rPr>
        <w:t>9</w:t>
      </w:r>
      <w:r w:rsidRPr="008D0846">
        <w:rPr>
          <w:rFonts w:ascii="Verdana" w:hAnsi="Verdana"/>
          <w:spacing w:val="1"/>
          <w:sz w:val="16"/>
          <w:szCs w:val="16"/>
          <w:lang w:val="es-CR"/>
        </w:rPr>
        <w:t xml:space="preserve">, y </w:t>
      </w:r>
      <w:r w:rsidRPr="008D0846">
        <w:rPr>
          <w:rFonts w:ascii="Verdana" w:hAnsi="Verdana"/>
          <w:bCs/>
          <w:i/>
          <w:spacing w:val="1"/>
          <w:sz w:val="16"/>
          <w:szCs w:val="16"/>
        </w:rPr>
        <w:t>Caso Munárriz Escobar y otros Vs. Perú</w:t>
      </w:r>
      <w:r w:rsidRPr="00E4450D">
        <w:rPr>
          <w:rFonts w:ascii="Verdana" w:hAnsi="Verdana"/>
          <w:sz w:val="16"/>
          <w:szCs w:val="16"/>
          <w:lang w:val="es-CR"/>
        </w:rPr>
        <w:t>.</w:t>
      </w:r>
      <w:r w:rsidRPr="008D0846">
        <w:rPr>
          <w:rFonts w:ascii="Verdana" w:hAnsi="Verdana"/>
          <w:i/>
          <w:sz w:val="16"/>
          <w:szCs w:val="16"/>
          <w:lang w:val="es-CR"/>
        </w:rPr>
        <w:t xml:space="preserve"> supra</w:t>
      </w:r>
      <w:r w:rsidRPr="008D0846">
        <w:rPr>
          <w:rFonts w:ascii="Verdana" w:hAnsi="Verdana"/>
          <w:sz w:val="16"/>
          <w:szCs w:val="16"/>
          <w:lang w:val="es-CR"/>
        </w:rPr>
        <w:t>, párr.</w:t>
      </w:r>
      <w:r w:rsidRPr="00E4450D">
        <w:rPr>
          <w:rFonts w:ascii="Verdana" w:hAnsi="Verdana"/>
          <w:sz w:val="16"/>
          <w:szCs w:val="16"/>
          <w:lang w:val="es-CR"/>
        </w:rPr>
        <w:t xml:space="preserve"> </w:t>
      </w:r>
      <w:r w:rsidRPr="000B3C2F">
        <w:rPr>
          <w:rFonts w:ascii="Verdana" w:hAnsi="Verdana"/>
          <w:sz w:val="16"/>
          <w:szCs w:val="16"/>
          <w:lang w:val="es-CR"/>
        </w:rPr>
        <w:t>151.</w:t>
      </w:r>
    </w:p>
  </w:footnote>
  <w:footnote w:id="584">
    <w:p w14:paraId="49E1ABC2" w14:textId="1C9F87CB" w:rsidR="00146958" w:rsidRPr="00432ABC" w:rsidRDefault="00146958">
      <w:pPr>
        <w:pStyle w:val="FootnoteText"/>
        <w:jc w:val="both"/>
        <w:rPr>
          <w:rFonts w:ascii="Verdana" w:hAnsi="Verdana"/>
          <w:sz w:val="16"/>
          <w:szCs w:val="16"/>
          <w:lang w:val="es-CR"/>
        </w:rPr>
      </w:pPr>
      <w:r w:rsidRPr="00432ABC">
        <w:rPr>
          <w:rStyle w:val="FootnoteReference"/>
          <w:rFonts w:ascii="Verdana" w:hAnsi="Verdana"/>
          <w:sz w:val="16"/>
          <w:szCs w:val="16"/>
        </w:rPr>
        <w:footnoteRef/>
      </w:r>
      <w:r w:rsidRPr="00432ABC">
        <w:rPr>
          <w:rFonts w:ascii="Verdana" w:hAnsi="Verdana"/>
          <w:sz w:val="16"/>
          <w:szCs w:val="16"/>
          <w:lang w:val="es-CR"/>
        </w:rPr>
        <w:t xml:space="preserve"> </w:t>
      </w:r>
      <w:r w:rsidRPr="002C462C">
        <w:rPr>
          <w:rFonts w:ascii="Verdana" w:hAnsi="Verdana"/>
          <w:sz w:val="16"/>
          <w:szCs w:val="16"/>
          <w:lang w:val="es-CR"/>
        </w:rPr>
        <w:tab/>
      </w:r>
      <w:r w:rsidRPr="00CD5C54">
        <w:rPr>
          <w:rFonts w:ascii="Verdana" w:hAnsi="Verdana"/>
          <w:i/>
          <w:sz w:val="16"/>
          <w:szCs w:val="16"/>
          <w:lang w:val="es-CR"/>
        </w:rPr>
        <w:t>Cfr.</w:t>
      </w:r>
      <w:r w:rsidRPr="00EA46AD">
        <w:rPr>
          <w:rFonts w:ascii="Verdana" w:hAnsi="Verdana"/>
          <w:spacing w:val="15"/>
          <w:sz w:val="16"/>
          <w:szCs w:val="16"/>
          <w:lang w:val="es-CR"/>
        </w:rPr>
        <w:t xml:space="preserve"> </w:t>
      </w:r>
      <w:r w:rsidRPr="008D0846">
        <w:rPr>
          <w:rFonts w:ascii="Verdana" w:hAnsi="Verdana"/>
          <w:bCs/>
          <w:i/>
          <w:sz w:val="16"/>
          <w:szCs w:val="16"/>
        </w:rPr>
        <w:t>Caso Chaparro Álvarez y Lapo Íñiguez Vs. Ecuador. Excepciones Preliminares, Fondo, Reparaciones y Costas</w:t>
      </w:r>
      <w:r w:rsidRPr="008D0846">
        <w:rPr>
          <w:rFonts w:ascii="Verdana" w:hAnsi="Verdana"/>
          <w:bCs/>
          <w:sz w:val="16"/>
          <w:szCs w:val="16"/>
        </w:rPr>
        <w:t>. Sentencia de 21 de noviembre de 2007. Serie C No. 170</w:t>
      </w:r>
      <w:r w:rsidRPr="00EA46AD">
        <w:rPr>
          <w:rFonts w:ascii="Verdana" w:hAnsi="Verdana"/>
          <w:sz w:val="16"/>
          <w:szCs w:val="16"/>
          <w:lang w:val="es-CR"/>
        </w:rPr>
        <w:t xml:space="preserve">, </w:t>
      </w:r>
      <w:r w:rsidRPr="00EA46AD">
        <w:rPr>
          <w:rFonts w:ascii="Verdana" w:hAnsi="Verdana"/>
          <w:spacing w:val="-2"/>
          <w:sz w:val="16"/>
          <w:szCs w:val="16"/>
          <w:lang w:val="es-CR"/>
        </w:rPr>
        <w:t>p</w:t>
      </w:r>
      <w:r w:rsidRPr="00EA46AD">
        <w:rPr>
          <w:rFonts w:ascii="Verdana" w:hAnsi="Verdana"/>
          <w:spacing w:val="-1"/>
          <w:sz w:val="16"/>
          <w:szCs w:val="16"/>
          <w:lang w:val="es-CR"/>
        </w:rPr>
        <w:t>á</w:t>
      </w:r>
      <w:r w:rsidRPr="00EA46AD">
        <w:rPr>
          <w:rFonts w:ascii="Verdana" w:hAnsi="Verdana"/>
          <w:spacing w:val="1"/>
          <w:sz w:val="16"/>
          <w:szCs w:val="16"/>
          <w:lang w:val="es-CR"/>
        </w:rPr>
        <w:t>rr</w:t>
      </w:r>
      <w:r w:rsidRPr="00EA46AD">
        <w:rPr>
          <w:rFonts w:ascii="Verdana" w:hAnsi="Verdana"/>
          <w:sz w:val="16"/>
          <w:szCs w:val="16"/>
          <w:lang w:val="es-CR"/>
        </w:rPr>
        <w:t>.</w:t>
      </w:r>
      <w:r w:rsidRPr="00EA46AD">
        <w:rPr>
          <w:rFonts w:ascii="Verdana" w:hAnsi="Verdana"/>
          <w:spacing w:val="-2"/>
          <w:sz w:val="16"/>
          <w:szCs w:val="16"/>
          <w:lang w:val="es-CR"/>
        </w:rPr>
        <w:t xml:space="preserve"> </w:t>
      </w:r>
      <w:r w:rsidRPr="00EA46AD">
        <w:rPr>
          <w:rFonts w:ascii="Verdana" w:hAnsi="Verdana"/>
          <w:spacing w:val="-1"/>
          <w:sz w:val="16"/>
          <w:szCs w:val="16"/>
          <w:lang w:val="es-CR"/>
        </w:rPr>
        <w:t>2</w:t>
      </w:r>
      <w:r w:rsidRPr="00EA46AD">
        <w:rPr>
          <w:rFonts w:ascii="Verdana" w:hAnsi="Verdana"/>
          <w:spacing w:val="1"/>
          <w:sz w:val="16"/>
          <w:szCs w:val="16"/>
          <w:lang w:val="es-CR"/>
        </w:rPr>
        <w:t xml:space="preserve">77, y </w:t>
      </w:r>
      <w:r w:rsidRPr="008D0846">
        <w:rPr>
          <w:rStyle w:val="Strong"/>
          <w:rFonts w:ascii="Verdana" w:hAnsi="Verdana"/>
          <w:b w:val="0"/>
          <w:i/>
          <w:color w:val="000000"/>
          <w:sz w:val="16"/>
          <w:szCs w:val="16"/>
          <w:shd w:val="clear" w:color="auto" w:fill="FFFFFF"/>
        </w:rPr>
        <w:t xml:space="preserve">Caso Terrones Silva y otros Vs. Perú, supra, </w:t>
      </w:r>
      <w:r w:rsidRPr="008D0846">
        <w:rPr>
          <w:rStyle w:val="Strong"/>
          <w:rFonts w:ascii="Verdana" w:hAnsi="Verdana"/>
          <w:b w:val="0"/>
          <w:color w:val="000000"/>
          <w:sz w:val="16"/>
          <w:szCs w:val="16"/>
          <w:shd w:val="clear" w:color="auto" w:fill="FFFFFF"/>
        </w:rPr>
        <w:t>párr. 282</w:t>
      </w:r>
      <w:r w:rsidRPr="000B3C2F">
        <w:rPr>
          <w:rFonts w:ascii="Verdana" w:hAnsi="Verdana"/>
          <w:sz w:val="16"/>
          <w:szCs w:val="16"/>
          <w:lang w:val="es-CR"/>
        </w:rPr>
        <w:t>.</w:t>
      </w:r>
    </w:p>
  </w:footnote>
  <w:footnote w:id="585">
    <w:p w14:paraId="08E6DDF7" w14:textId="3B2F94A9" w:rsidR="00146958" w:rsidRPr="004F3700" w:rsidRDefault="00146958" w:rsidP="00C05494">
      <w:pPr>
        <w:pStyle w:val="FootnoteText"/>
        <w:jc w:val="both"/>
        <w:rPr>
          <w:rFonts w:ascii="Verdana" w:hAnsi="Verdana"/>
          <w:sz w:val="16"/>
          <w:szCs w:val="16"/>
        </w:rPr>
      </w:pPr>
      <w:r w:rsidRPr="008D0846">
        <w:rPr>
          <w:rStyle w:val="FootnoteReference"/>
          <w:rFonts w:ascii="Verdana" w:hAnsi="Verdana"/>
          <w:sz w:val="16"/>
          <w:szCs w:val="16"/>
        </w:rPr>
        <w:footnoteRef/>
      </w:r>
      <w:r w:rsidRPr="008D0846">
        <w:rPr>
          <w:rFonts w:ascii="Verdana" w:hAnsi="Verdana"/>
          <w:sz w:val="16"/>
          <w:szCs w:val="16"/>
        </w:rPr>
        <w:t xml:space="preserve"> </w:t>
      </w:r>
      <w:r w:rsidRPr="008D0846">
        <w:rPr>
          <w:rFonts w:ascii="Verdana" w:hAnsi="Verdana"/>
          <w:sz w:val="16"/>
          <w:szCs w:val="16"/>
        </w:rPr>
        <w:tab/>
      </w:r>
      <w:r>
        <w:rPr>
          <w:rFonts w:ascii="Verdana" w:hAnsi="Verdana"/>
          <w:sz w:val="16"/>
          <w:szCs w:val="16"/>
        </w:rPr>
        <w:t>L</w:t>
      </w:r>
      <w:r w:rsidRPr="008D0846">
        <w:rPr>
          <w:rFonts w:ascii="Verdana" w:hAnsi="Verdana"/>
          <w:sz w:val="16"/>
          <w:szCs w:val="16"/>
        </w:rPr>
        <w:t>as cantidades solicitadas por las representantes por costas y gastos (</w:t>
      </w:r>
      <w:r w:rsidRPr="008D0846">
        <w:rPr>
          <w:rFonts w:ascii="Verdana" w:hAnsi="Verdana"/>
          <w:i/>
          <w:sz w:val="16"/>
          <w:szCs w:val="16"/>
        </w:rPr>
        <w:t>supra</w:t>
      </w:r>
      <w:r w:rsidRPr="008D0846">
        <w:rPr>
          <w:rFonts w:ascii="Verdana" w:hAnsi="Verdana"/>
          <w:sz w:val="16"/>
          <w:szCs w:val="16"/>
        </w:rPr>
        <w:t xml:space="preserve"> párr. 354),</w:t>
      </w:r>
      <w:r>
        <w:rPr>
          <w:rFonts w:ascii="Verdana" w:hAnsi="Verdana"/>
          <w:sz w:val="16"/>
          <w:szCs w:val="16"/>
        </w:rPr>
        <w:t xml:space="preserve"> fueron las siguientes: </w:t>
      </w:r>
      <w:r w:rsidRPr="008D0846">
        <w:rPr>
          <w:rFonts w:ascii="Verdana" w:hAnsi="Verdana"/>
          <w:sz w:val="16"/>
          <w:szCs w:val="16"/>
        </w:rPr>
        <w:t>i) recursos humanos (salarios), MX$</w:t>
      </w:r>
      <w:r>
        <w:rPr>
          <w:rFonts w:ascii="Verdana" w:hAnsi="Verdana"/>
          <w:sz w:val="16"/>
          <w:szCs w:val="16"/>
        </w:rPr>
        <w:t xml:space="preserve">1,228,846.30 pesos mexicanos (expediente de fondo, f. 217), posteriormente aumentada en MX$148,389.20 </w:t>
      </w:r>
      <w:r w:rsidRPr="008D0846">
        <w:rPr>
          <w:rFonts w:ascii="Verdana" w:hAnsi="Verdana"/>
          <w:sz w:val="16"/>
          <w:szCs w:val="16"/>
        </w:rPr>
        <w:t>pesos mexicanos</w:t>
      </w:r>
      <w:r>
        <w:rPr>
          <w:rFonts w:ascii="Verdana" w:hAnsi="Verdana"/>
          <w:sz w:val="16"/>
          <w:szCs w:val="16"/>
        </w:rPr>
        <w:t xml:space="preserve"> (expediente de fondo, f. 2058)</w:t>
      </w:r>
      <w:r w:rsidRPr="008D0846">
        <w:rPr>
          <w:rFonts w:ascii="Verdana" w:hAnsi="Verdana"/>
          <w:sz w:val="16"/>
          <w:szCs w:val="16"/>
        </w:rPr>
        <w:t>; ii) viajes, MX$</w:t>
      </w:r>
      <w:r>
        <w:rPr>
          <w:rFonts w:ascii="Verdana" w:hAnsi="Verdana"/>
          <w:sz w:val="16"/>
          <w:szCs w:val="16"/>
        </w:rPr>
        <w:t xml:space="preserve">635,409.11 pesos mexicanos, posteriormente aumentada en MX$354,773.73 </w:t>
      </w:r>
      <w:r w:rsidRPr="005C2E8A">
        <w:rPr>
          <w:rFonts w:ascii="Verdana" w:hAnsi="Verdana"/>
          <w:sz w:val="16"/>
          <w:szCs w:val="16"/>
        </w:rPr>
        <w:t>pesos mexicanos</w:t>
      </w:r>
      <w:r>
        <w:rPr>
          <w:rFonts w:ascii="Verdana" w:hAnsi="Verdana"/>
          <w:sz w:val="16"/>
          <w:szCs w:val="16"/>
        </w:rPr>
        <w:t xml:space="preserve"> (expediente de fondo, f. 2058)</w:t>
      </w:r>
      <w:r w:rsidRPr="008D0846">
        <w:rPr>
          <w:rFonts w:ascii="Verdana" w:hAnsi="Verdana"/>
          <w:sz w:val="16"/>
          <w:szCs w:val="16"/>
        </w:rPr>
        <w:t>; iii) apoyo en efectivo a los familiares, incluyendo apoyos para transporte y toma de muestras de ADN, MX$</w:t>
      </w:r>
      <w:r>
        <w:rPr>
          <w:rFonts w:ascii="Verdana" w:hAnsi="Verdana"/>
          <w:sz w:val="16"/>
          <w:szCs w:val="16"/>
        </w:rPr>
        <w:t xml:space="preserve">70,435 </w:t>
      </w:r>
      <w:r w:rsidRPr="008D0846">
        <w:rPr>
          <w:rFonts w:ascii="Verdana" w:hAnsi="Verdana"/>
          <w:sz w:val="16"/>
          <w:szCs w:val="16"/>
        </w:rPr>
        <w:t>pesos mexicanos</w:t>
      </w:r>
      <w:r>
        <w:rPr>
          <w:rFonts w:ascii="Verdana" w:hAnsi="Verdana"/>
          <w:sz w:val="16"/>
          <w:szCs w:val="16"/>
        </w:rPr>
        <w:t xml:space="preserve"> (expediente de fondo, f. 217)</w:t>
      </w:r>
      <w:r w:rsidRPr="008D0846">
        <w:rPr>
          <w:rFonts w:ascii="Verdana" w:hAnsi="Verdana"/>
          <w:sz w:val="16"/>
          <w:szCs w:val="16"/>
        </w:rPr>
        <w:t>, y iv) otros gastos, incluyendo erogaciones por concepto de envío de documentos, copias certificadas, actas, poderes y servicios notariales, MX$</w:t>
      </w:r>
      <w:r>
        <w:rPr>
          <w:rFonts w:ascii="Verdana" w:hAnsi="Verdana"/>
          <w:sz w:val="16"/>
          <w:szCs w:val="16"/>
        </w:rPr>
        <w:t xml:space="preserve">22,065.45 </w:t>
      </w:r>
      <w:r w:rsidRPr="008D0846">
        <w:rPr>
          <w:rFonts w:ascii="Verdana" w:hAnsi="Verdana"/>
          <w:sz w:val="16"/>
          <w:szCs w:val="16"/>
        </w:rPr>
        <w:t>pesos mexicanos</w:t>
      </w:r>
      <w:r>
        <w:rPr>
          <w:rFonts w:ascii="Verdana" w:hAnsi="Verdana"/>
          <w:sz w:val="16"/>
          <w:szCs w:val="16"/>
        </w:rPr>
        <w:t xml:space="preserve"> </w:t>
      </w:r>
      <w:r w:rsidRPr="00942093">
        <w:rPr>
          <w:rFonts w:ascii="Verdana" w:hAnsi="Verdana"/>
          <w:sz w:val="16"/>
          <w:szCs w:val="16"/>
          <w:lang w:val="es-AR"/>
        </w:rPr>
        <w:t>(expediente de fondo, f. 209)</w:t>
      </w:r>
      <w:r>
        <w:rPr>
          <w:rFonts w:ascii="Verdana" w:hAnsi="Verdana"/>
          <w:sz w:val="16"/>
          <w:szCs w:val="16"/>
        </w:rPr>
        <w:t xml:space="preserve">, posteriormente aumentada a MX$25,587.02 pesos mexicanos (expediente de fondo, f. 217), no obstante lo cual en sus alegatos finales escritos mencionaron la cantidad inicialmente señalada de </w:t>
      </w:r>
      <w:r w:rsidRPr="005C2E8A">
        <w:rPr>
          <w:rFonts w:ascii="Verdana" w:hAnsi="Verdana"/>
          <w:sz w:val="16"/>
          <w:szCs w:val="16"/>
        </w:rPr>
        <w:t>MX$</w:t>
      </w:r>
      <w:r>
        <w:rPr>
          <w:rFonts w:ascii="Verdana" w:hAnsi="Verdana"/>
          <w:sz w:val="16"/>
          <w:szCs w:val="16"/>
        </w:rPr>
        <w:t xml:space="preserve">22,065.45 </w:t>
      </w:r>
      <w:r w:rsidRPr="005C2E8A">
        <w:rPr>
          <w:rFonts w:ascii="Verdana" w:hAnsi="Verdana"/>
          <w:sz w:val="16"/>
          <w:szCs w:val="16"/>
        </w:rPr>
        <w:t>pesos mexicanos</w:t>
      </w:r>
      <w:r>
        <w:rPr>
          <w:rFonts w:ascii="Verdana" w:hAnsi="Verdana"/>
          <w:sz w:val="16"/>
          <w:szCs w:val="16"/>
        </w:rPr>
        <w:t xml:space="preserve"> (expediente de fondo, f. 2058)</w:t>
      </w:r>
      <w:r w:rsidRPr="008D0846">
        <w:rPr>
          <w:rFonts w:ascii="Verdana" w:hAnsi="Verdana"/>
          <w:sz w:val="16"/>
          <w:szCs w:val="16"/>
        </w:rPr>
        <w:t>. Total</w:t>
      </w:r>
      <w:r>
        <w:rPr>
          <w:rFonts w:ascii="Verdana" w:hAnsi="Verdana"/>
          <w:sz w:val="16"/>
          <w:szCs w:val="16"/>
        </w:rPr>
        <w:t xml:space="preserve"> solicitado (hasta junio de 2017)</w:t>
      </w:r>
      <w:r w:rsidRPr="008D0846">
        <w:rPr>
          <w:rFonts w:ascii="Verdana" w:hAnsi="Verdana"/>
          <w:sz w:val="16"/>
          <w:szCs w:val="16"/>
        </w:rPr>
        <w:t>: MX$</w:t>
      </w:r>
      <w:r>
        <w:rPr>
          <w:rFonts w:ascii="Verdana" w:hAnsi="Verdana"/>
          <w:sz w:val="16"/>
          <w:szCs w:val="16"/>
        </w:rPr>
        <w:t xml:space="preserve">1,956,755.86 </w:t>
      </w:r>
      <w:r w:rsidRPr="008D0846">
        <w:rPr>
          <w:rFonts w:ascii="Verdana" w:hAnsi="Verdana"/>
          <w:sz w:val="16"/>
          <w:szCs w:val="16"/>
        </w:rPr>
        <w:t>pesos mexicanos</w:t>
      </w:r>
      <w:r>
        <w:rPr>
          <w:rFonts w:ascii="Verdana" w:hAnsi="Verdana"/>
          <w:sz w:val="16"/>
          <w:szCs w:val="16"/>
        </w:rPr>
        <w:t xml:space="preserve">, equivalentes a USD$ 108,016.155 dólares estadounidenses, sumados a MX516,000.47 pesos mexicanos, equivalentes a USD$26,379.62 dólares estadounidenses, posteriores a junio de 2017. Gran total solicitado: USD$ 134,395.775 dólares estadounidenses (expediente de fondo, f. 2058). </w:t>
      </w:r>
    </w:p>
  </w:footnote>
  <w:footnote w:id="586">
    <w:p w14:paraId="1EB1E1E1" w14:textId="083183A1" w:rsidR="00146958" w:rsidRPr="008D0846" w:rsidRDefault="00146958" w:rsidP="008D0846">
      <w:pPr>
        <w:pStyle w:val="FootnoteText"/>
        <w:jc w:val="both"/>
        <w:rPr>
          <w:rFonts w:ascii="Verdana" w:hAnsi="Verdana"/>
          <w:sz w:val="16"/>
          <w:szCs w:val="16"/>
        </w:rPr>
      </w:pPr>
      <w:r w:rsidRPr="008D0846">
        <w:rPr>
          <w:rStyle w:val="FootnoteReference"/>
          <w:rFonts w:ascii="Verdana" w:hAnsi="Verdana"/>
          <w:sz w:val="16"/>
          <w:szCs w:val="16"/>
        </w:rPr>
        <w:footnoteRef/>
      </w:r>
      <w:r w:rsidRPr="008D0846">
        <w:rPr>
          <w:rFonts w:ascii="Verdana" w:hAnsi="Verdana"/>
          <w:sz w:val="16"/>
          <w:szCs w:val="16"/>
        </w:rPr>
        <w:t xml:space="preserve"> </w:t>
      </w:r>
      <w:r w:rsidRPr="00C811AF">
        <w:rPr>
          <w:rFonts w:ascii="Verdana" w:hAnsi="Verdana"/>
          <w:sz w:val="16"/>
          <w:szCs w:val="16"/>
        </w:rPr>
        <w:tab/>
      </w:r>
      <w:r w:rsidRPr="008D0846">
        <w:rPr>
          <w:rFonts w:ascii="Verdana" w:hAnsi="Verdana"/>
          <w:sz w:val="16"/>
          <w:szCs w:val="16"/>
        </w:rPr>
        <w:t>Bajo este concepto</w:t>
      </w:r>
      <w:r w:rsidRPr="00C811AF">
        <w:rPr>
          <w:rFonts w:ascii="Verdana" w:hAnsi="Verdana"/>
          <w:sz w:val="16"/>
          <w:szCs w:val="16"/>
        </w:rPr>
        <w:t xml:space="preserve">, </w:t>
      </w:r>
      <w:r w:rsidRPr="002C27AA">
        <w:rPr>
          <w:rFonts w:ascii="Verdana" w:hAnsi="Verdana"/>
          <w:sz w:val="16"/>
          <w:szCs w:val="16"/>
        </w:rPr>
        <w:t>las representantes solicitaron</w:t>
      </w:r>
      <w:r w:rsidRPr="00BD721F">
        <w:rPr>
          <w:rFonts w:ascii="Verdana" w:hAnsi="Verdana"/>
          <w:sz w:val="16"/>
          <w:szCs w:val="16"/>
        </w:rPr>
        <w:t xml:space="preserve"> </w:t>
      </w:r>
      <w:r w:rsidRPr="008D0846">
        <w:rPr>
          <w:rFonts w:ascii="Verdana" w:hAnsi="Verdana"/>
          <w:sz w:val="16"/>
          <w:szCs w:val="16"/>
        </w:rPr>
        <w:t>a favor d</w:t>
      </w:r>
      <w:r w:rsidRPr="00C811AF">
        <w:rPr>
          <w:rFonts w:ascii="Verdana" w:hAnsi="Verdana"/>
          <w:sz w:val="16"/>
          <w:szCs w:val="16"/>
        </w:rPr>
        <w:t>el señor Carlos Spector las siguientes</w:t>
      </w:r>
      <w:r w:rsidRPr="002C27AA">
        <w:rPr>
          <w:rFonts w:ascii="Verdana" w:hAnsi="Verdana"/>
          <w:sz w:val="16"/>
          <w:szCs w:val="16"/>
        </w:rPr>
        <w:t xml:space="preserve"> cantidades: i</w:t>
      </w:r>
      <w:r w:rsidRPr="00BD721F">
        <w:rPr>
          <w:rFonts w:ascii="Verdana" w:hAnsi="Verdana"/>
          <w:sz w:val="16"/>
          <w:szCs w:val="16"/>
        </w:rPr>
        <w:t>) proceso para la</w:t>
      </w:r>
      <w:r w:rsidRPr="00C66632">
        <w:rPr>
          <w:rFonts w:ascii="Verdana" w:hAnsi="Verdana"/>
          <w:sz w:val="16"/>
          <w:szCs w:val="16"/>
        </w:rPr>
        <w:t xml:space="preserve"> </w:t>
      </w:r>
      <w:r w:rsidRPr="008D0846">
        <w:rPr>
          <w:rFonts w:ascii="Verdana" w:hAnsi="Verdana"/>
          <w:sz w:val="16"/>
          <w:szCs w:val="16"/>
        </w:rPr>
        <w:t xml:space="preserve">residencia legal permanente para </w:t>
      </w:r>
      <w:r w:rsidRPr="00425BC3">
        <w:rPr>
          <w:rFonts w:ascii="Verdana" w:hAnsi="Verdana"/>
          <w:sz w:val="16"/>
          <w:szCs w:val="16"/>
          <w:lang w:val="es-CR"/>
        </w:rPr>
        <w:t>M.P.A.E., N.S.A.E. y D.A.E.</w:t>
      </w:r>
      <w:r w:rsidRPr="00425BC3">
        <w:rPr>
          <w:rFonts w:ascii="Verdana" w:hAnsi="Verdana"/>
          <w:sz w:val="16"/>
          <w:szCs w:val="16"/>
        </w:rPr>
        <w:t xml:space="preserve"> </w:t>
      </w:r>
      <w:r w:rsidRPr="00C811AF">
        <w:rPr>
          <w:rFonts w:ascii="Verdana" w:hAnsi="Verdana"/>
          <w:sz w:val="16"/>
          <w:szCs w:val="16"/>
        </w:rPr>
        <w:t>(</w:t>
      </w:r>
      <w:r w:rsidRPr="002C27AA">
        <w:rPr>
          <w:rFonts w:ascii="Verdana" w:hAnsi="Verdana"/>
          <w:sz w:val="16"/>
          <w:szCs w:val="16"/>
        </w:rPr>
        <w:t>hijas de Ni</w:t>
      </w:r>
      <w:r w:rsidRPr="00BD721F">
        <w:rPr>
          <w:rFonts w:ascii="Verdana" w:hAnsi="Verdana"/>
          <w:sz w:val="16"/>
          <w:szCs w:val="16"/>
        </w:rPr>
        <w:t>tza</w:t>
      </w:r>
      <w:r w:rsidRPr="00C66632">
        <w:rPr>
          <w:rFonts w:ascii="Verdana" w:hAnsi="Verdana"/>
          <w:sz w:val="16"/>
          <w:szCs w:val="16"/>
        </w:rPr>
        <w:t xml:space="preserve"> Paola Alvarado Espinoza</w:t>
      </w:r>
      <w:r w:rsidRPr="005B1C1B">
        <w:rPr>
          <w:rFonts w:ascii="Verdana" w:hAnsi="Verdana"/>
          <w:sz w:val="16"/>
          <w:szCs w:val="16"/>
        </w:rPr>
        <w:t>), USD$1,500 d</w:t>
      </w:r>
      <w:r w:rsidRPr="00C811AF">
        <w:rPr>
          <w:rFonts w:ascii="Verdana" w:hAnsi="Verdana"/>
          <w:sz w:val="16"/>
          <w:szCs w:val="16"/>
        </w:rPr>
        <w:t xml:space="preserve">ólares estadounidenses; ii) gastos derivados del cruce en el Puente internacional para la totalidad </w:t>
      </w:r>
      <w:r w:rsidRPr="008D0846">
        <w:rPr>
          <w:rFonts w:ascii="Verdana" w:hAnsi="Verdana"/>
          <w:sz w:val="16"/>
          <w:szCs w:val="16"/>
        </w:rPr>
        <w:t>de la familia Alvarado Espinoza</w:t>
      </w:r>
      <w:r w:rsidRPr="00C811AF">
        <w:rPr>
          <w:rFonts w:ascii="Verdana" w:hAnsi="Verdana"/>
          <w:sz w:val="16"/>
          <w:szCs w:val="16"/>
        </w:rPr>
        <w:t>,</w:t>
      </w:r>
      <w:r w:rsidRPr="002C27AA">
        <w:rPr>
          <w:rFonts w:ascii="Verdana" w:hAnsi="Verdana"/>
          <w:sz w:val="16"/>
          <w:szCs w:val="16"/>
        </w:rPr>
        <w:t xml:space="preserve"> USD$</w:t>
      </w:r>
      <w:r w:rsidRPr="00BD721F">
        <w:rPr>
          <w:rFonts w:ascii="Verdana" w:hAnsi="Verdana"/>
          <w:sz w:val="16"/>
          <w:szCs w:val="16"/>
        </w:rPr>
        <w:t>2</w:t>
      </w:r>
      <w:r w:rsidRPr="00C66632">
        <w:rPr>
          <w:rFonts w:ascii="Verdana" w:hAnsi="Verdana"/>
          <w:sz w:val="16"/>
          <w:szCs w:val="16"/>
        </w:rPr>
        <w:t>,500 d</w:t>
      </w:r>
      <w:r w:rsidRPr="005B1C1B">
        <w:rPr>
          <w:rFonts w:ascii="Verdana" w:hAnsi="Verdana"/>
          <w:sz w:val="16"/>
          <w:szCs w:val="16"/>
        </w:rPr>
        <w:t>ólares estadounidenses; iii)</w:t>
      </w:r>
      <w:r w:rsidRPr="00C811AF">
        <w:rPr>
          <w:rFonts w:ascii="Verdana" w:hAnsi="Verdana"/>
          <w:sz w:val="16"/>
          <w:szCs w:val="16"/>
        </w:rPr>
        <w:t xml:space="preserve"> caso sobre asilo político para María de Jesús Alvarado Espinoza, </w:t>
      </w:r>
      <w:r w:rsidRPr="008D0846">
        <w:rPr>
          <w:rFonts w:ascii="Verdana" w:hAnsi="Verdana"/>
          <w:sz w:val="16"/>
          <w:szCs w:val="16"/>
        </w:rPr>
        <w:t>Rigoberto Ambriz Marufo y sus cuatro hijos</w:t>
      </w:r>
      <w:r w:rsidRPr="00C811AF">
        <w:rPr>
          <w:rFonts w:ascii="Verdana" w:hAnsi="Verdana"/>
          <w:sz w:val="16"/>
          <w:szCs w:val="16"/>
        </w:rPr>
        <w:t xml:space="preserve"> (</w:t>
      </w:r>
      <w:r w:rsidRPr="002C27AA">
        <w:rPr>
          <w:rFonts w:ascii="Verdana" w:hAnsi="Verdana"/>
          <w:sz w:val="16"/>
          <w:szCs w:val="16"/>
        </w:rPr>
        <w:t>hermana, cuñado y sobrinos de Ni</w:t>
      </w:r>
      <w:r w:rsidRPr="00BD721F">
        <w:rPr>
          <w:rFonts w:ascii="Verdana" w:hAnsi="Verdana"/>
          <w:sz w:val="16"/>
          <w:szCs w:val="16"/>
        </w:rPr>
        <w:t xml:space="preserve">tza </w:t>
      </w:r>
      <w:r w:rsidRPr="00C66632">
        <w:rPr>
          <w:rFonts w:ascii="Verdana" w:hAnsi="Verdana"/>
          <w:sz w:val="16"/>
          <w:szCs w:val="16"/>
        </w:rPr>
        <w:t>Paola Alvarado</w:t>
      </w:r>
      <w:r w:rsidRPr="005B1C1B">
        <w:rPr>
          <w:rFonts w:ascii="Verdana" w:hAnsi="Verdana"/>
          <w:sz w:val="16"/>
          <w:szCs w:val="16"/>
        </w:rPr>
        <w:t xml:space="preserve"> Espinoza, </w:t>
      </w:r>
      <w:r w:rsidRPr="00C811AF">
        <w:rPr>
          <w:rFonts w:ascii="Verdana" w:hAnsi="Verdana"/>
          <w:sz w:val="16"/>
          <w:szCs w:val="16"/>
        </w:rPr>
        <w:t xml:space="preserve">respectivamente), USD$10,000 dólares estadounidenses, y iv) caso sobre asilo político para Ascención Alvarado Fabela y María de Jesús </w:t>
      </w:r>
      <w:r w:rsidRPr="008D0846">
        <w:rPr>
          <w:rFonts w:ascii="Verdana" w:hAnsi="Verdana"/>
          <w:sz w:val="16"/>
          <w:szCs w:val="16"/>
        </w:rPr>
        <w:t>Espinoza Peinado</w:t>
      </w:r>
      <w:r w:rsidRPr="00C811AF">
        <w:rPr>
          <w:rFonts w:ascii="Verdana" w:hAnsi="Verdana"/>
          <w:sz w:val="16"/>
          <w:szCs w:val="16"/>
        </w:rPr>
        <w:t xml:space="preserve"> </w:t>
      </w:r>
      <w:r w:rsidRPr="002C27AA">
        <w:rPr>
          <w:rFonts w:ascii="Verdana" w:hAnsi="Verdana"/>
          <w:sz w:val="16"/>
          <w:szCs w:val="16"/>
        </w:rPr>
        <w:t>(padre y madre de Nitza Paola Alvarado, prespectivamente</w:t>
      </w:r>
      <w:r w:rsidRPr="00BD721F">
        <w:rPr>
          <w:rFonts w:ascii="Verdana" w:hAnsi="Verdana"/>
          <w:sz w:val="16"/>
          <w:szCs w:val="16"/>
        </w:rPr>
        <w:t>)</w:t>
      </w:r>
      <w:r w:rsidRPr="00C811AF">
        <w:rPr>
          <w:rFonts w:ascii="Verdana" w:hAnsi="Verdana"/>
          <w:sz w:val="16"/>
          <w:szCs w:val="16"/>
        </w:rPr>
        <w:t xml:space="preserve"> USD$7,500 dólares estadounidenses. Gran total solicitado: USD$21,500 dólares estadounidenses. No obstante, las representantes no proporcionaron comprobante alguno para justificar dichas erogaciones por los conceptos referidos.</w:t>
      </w:r>
      <w:r>
        <w:rPr>
          <w:rFonts w:ascii="Verdana" w:hAnsi="Verdana"/>
          <w:sz w:val="16"/>
          <w:szCs w:val="16"/>
        </w:rPr>
        <w:t xml:space="preserve"> </w:t>
      </w:r>
    </w:p>
  </w:footnote>
  <w:footnote w:id="587">
    <w:p w14:paraId="7187161A" w14:textId="5C8738DF" w:rsidR="00146958" w:rsidRPr="008B5022" w:rsidRDefault="00146958" w:rsidP="00550ADF">
      <w:pPr>
        <w:pStyle w:val="FootnoteText"/>
        <w:jc w:val="both"/>
        <w:rPr>
          <w:rFonts w:ascii="Verdana" w:hAnsi="Verdana"/>
          <w:i/>
          <w:iCs/>
          <w:color w:val="FF0000"/>
          <w:sz w:val="16"/>
          <w:szCs w:val="16"/>
          <w:lang w:val="es-GT" w:eastAsia="es-ES_tradnl"/>
        </w:rPr>
      </w:pPr>
      <w:r w:rsidRPr="00550ADF">
        <w:rPr>
          <w:rStyle w:val="FootnoteReference"/>
          <w:rFonts w:ascii="Verdana" w:hAnsi="Verdana"/>
          <w:spacing w:val="-4"/>
          <w:sz w:val="16"/>
          <w:szCs w:val="16"/>
        </w:rPr>
        <w:footnoteRef/>
      </w:r>
      <w:r w:rsidRPr="00550ADF">
        <w:rPr>
          <w:rStyle w:val="FootnoteReference"/>
          <w:rFonts w:ascii="Verdana" w:hAnsi="Verdana"/>
          <w:spacing w:val="-4"/>
          <w:sz w:val="16"/>
          <w:szCs w:val="16"/>
          <w:lang w:val="es-CR"/>
        </w:rPr>
        <w:t xml:space="preserve"> </w:t>
      </w:r>
      <w:r w:rsidRPr="008B5022">
        <w:rPr>
          <w:rFonts w:ascii="Verdana" w:hAnsi="Verdana"/>
          <w:spacing w:val="-4"/>
          <w:sz w:val="16"/>
          <w:szCs w:val="16"/>
          <w:lang w:val="es-CR"/>
        </w:rPr>
        <w:t xml:space="preserve"> </w:t>
      </w:r>
      <w:r w:rsidRPr="008B5022">
        <w:rPr>
          <w:rFonts w:ascii="Verdana" w:hAnsi="Verdana"/>
          <w:spacing w:val="-4"/>
          <w:sz w:val="16"/>
          <w:szCs w:val="16"/>
          <w:lang w:val="es-CR"/>
        </w:rPr>
        <w:tab/>
      </w:r>
      <w:r w:rsidRPr="00CD5C54">
        <w:rPr>
          <w:rFonts w:ascii="Verdana" w:hAnsi="Verdana"/>
          <w:i/>
          <w:sz w:val="16"/>
          <w:szCs w:val="16"/>
          <w:lang w:val="es-CR"/>
        </w:rPr>
        <w:t>Cfr.</w:t>
      </w:r>
      <w:r w:rsidRPr="00803447">
        <w:rPr>
          <w:rFonts w:ascii="Verdana" w:hAnsi="Verdana"/>
          <w:i/>
          <w:sz w:val="16"/>
          <w:szCs w:val="16"/>
          <w:lang w:val="es-CR"/>
        </w:rPr>
        <w:t xml:space="preserve"> Caso Ibsen Cárdenas </w:t>
      </w:r>
      <w:r w:rsidRPr="00E307D4">
        <w:rPr>
          <w:rFonts w:ascii="Verdana" w:hAnsi="Verdana"/>
          <w:i/>
          <w:sz w:val="16"/>
          <w:szCs w:val="16"/>
          <w:lang w:val="es-CR"/>
        </w:rPr>
        <w:t xml:space="preserve">e Ibsen Peña Vs. Bolivia. Fondo, Reparaciones y Costas. </w:t>
      </w:r>
      <w:r w:rsidRPr="00E307D4">
        <w:rPr>
          <w:rFonts w:ascii="Verdana" w:hAnsi="Verdana"/>
          <w:sz w:val="16"/>
          <w:szCs w:val="16"/>
          <w:lang w:val="es-CR"/>
        </w:rPr>
        <w:t xml:space="preserve">Sentencia de 1 de septiembre de 2010. Serie C No. 217, párr. 291, y </w:t>
      </w:r>
      <w:r w:rsidRPr="008D0846">
        <w:rPr>
          <w:rFonts w:ascii="Verdana" w:hAnsi="Verdana"/>
          <w:bCs/>
          <w:i/>
          <w:sz w:val="16"/>
          <w:szCs w:val="16"/>
        </w:rPr>
        <w:t>Caso Poblete Vilches y otros Vs. Chile</w:t>
      </w:r>
      <w:r>
        <w:rPr>
          <w:rFonts w:ascii="Verdana" w:hAnsi="Verdana"/>
          <w:bCs/>
          <w:i/>
          <w:sz w:val="16"/>
          <w:szCs w:val="16"/>
        </w:rPr>
        <w:t>, supra</w:t>
      </w:r>
      <w:r w:rsidRPr="008D0846">
        <w:rPr>
          <w:rFonts w:ascii="Verdana" w:hAnsi="Verdana"/>
          <w:bCs/>
          <w:sz w:val="16"/>
          <w:szCs w:val="16"/>
        </w:rPr>
        <w:t>, párr. 259</w:t>
      </w:r>
      <w:r w:rsidRPr="00550ADF">
        <w:rPr>
          <w:rFonts w:ascii="Verdana" w:hAnsi="Verdana"/>
          <w:sz w:val="16"/>
          <w:szCs w:val="16"/>
          <w:lang w:val="es-CR"/>
        </w:rPr>
        <w:t>.</w:t>
      </w:r>
    </w:p>
  </w:footnote>
  <w:footnote w:id="588">
    <w:p w14:paraId="6667E179" w14:textId="20657185" w:rsidR="00146958" w:rsidRPr="008D0846" w:rsidRDefault="00146958" w:rsidP="00550ADF">
      <w:pPr>
        <w:pStyle w:val="FootnoteText"/>
        <w:jc w:val="both"/>
        <w:rPr>
          <w:rStyle w:val="FootnoteReference"/>
        </w:rPr>
      </w:pPr>
      <w:r w:rsidRPr="00550ADF">
        <w:rPr>
          <w:rStyle w:val="FootnoteReference"/>
          <w:rFonts w:ascii="Verdana" w:hAnsi="Verdana"/>
          <w:sz w:val="16"/>
          <w:szCs w:val="16"/>
        </w:rPr>
        <w:footnoteRef/>
      </w:r>
      <w:r w:rsidRPr="00550ADF">
        <w:rPr>
          <w:rFonts w:ascii="Verdana" w:hAnsi="Verdana"/>
          <w:sz w:val="16"/>
          <w:szCs w:val="16"/>
          <w:lang w:val="es-CR"/>
        </w:rPr>
        <w:t xml:space="preserve"> </w:t>
      </w:r>
      <w:r w:rsidRPr="008B5022">
        <w:rPr>
          <w:rFonts w:ascii="Verdana" w:hAnsi="Verdana"/>
          <w:sz w:val="16"/>
          <w:szCs w:val="16"/>
          <w:lang w:val="es-CR"/>
        </w:rPr>
        <w:tab/>
      </w:r>
      <w:r w:rsidRPr="00CD5C54">
        <w:rPr>
          <w:rFonts w:ascii="Verdana" w:hAnsi="Verdana"/>
          <w:i/>
          <w:sz w:val="16"/>
          <w:szCs w:val="16"/>
          <w:lang w:val="es-CR"/>
        </w:rPr>
        <w:t>Cfr.</w:t>
      </w:r>
      <w:r w:rsidRPr="00E307D4">
        <w:rPr>
          <w:rFonts w:ascii="Verdana" w:hAnsi="Verdana"/>
          <w:sz w:val="16"/>
          <w:szCs w:val="16"/>
          <w:lang w:val="es-CR"/>
        </w:rPr>
        <w:t xml:space="preserve"> </w:t>
      </w:r>
      <w:r w:rsidRPr="008D0846">
        <w:rPr>
          <w:rFonts w:ascii="Verdana" w:hAnsi="Verdana"/>
          <w:bCs/>
          <w:i/>
          <w:sz w:val="16"/>
          <w:szCs w:val="16"/>
        </w:rPr>
        <w:t>Caso Apitz Barbera y otros Vs. Venezuela. Excepción Preliminar, Fondo, Reparaciones y Costas</w:t>
      </w:r>
      <w:r w:rsidRPr="008D0846">
        <w:rPr>
          <w:rFonts w:ascii="Verdana" w:hAnsi="Verdana"/>
          <w:bCs/>
          <w:sz w:val="16"/>
          <w:szCs w:val="16"/>
        </w:rPr>
        <w:t>. Sentencia de 5 de agosto de 2008. Serie C No. 182, párr.</w:t>
      </w:r>
      <w:r w:rsidRPr="00550ADF">
        <w:rPr>
          <w:rFonts w:ascii="Verdana" w:hAnsi="Verdana"/>
          <w:bCs/>
          <w:sz w:val="16"/>
          <w:szCs w:val="16"/>
        </w:rPr>
        <w:t xml:space="preserve"> </w:t>
      </w:r>
      <w:r w:rsidRPr="008B5022">
        <w:rPr>
          <w:rFonts w:ascii="Verdana" w:hAnsi="Verdana"/>
          <w:bCs/>
          <w:sz w:val="16"/>
          <w:szCs w:val="16"/>
        </w:rPr>
        <w:t>260</w:t>
      </w:r>
      <w:r w:rsidRPr="008D0846">
        <w:rPr>
          <w:rFonts w:ascii="Verdana" w:hAnsi="Verdana"/>
          <w:bCs/>
          <w:sz w:val="16"/>
          <w:szCs w:val="16"/>
        </w:rPr>
        <w:t xml:space="preserve">, </w:t>
      </w:r>
      <w:r w:rsidRPr="00550ADF">
        <w:rPr>
          <w:rFonts w:ascii="Verdana" w:hAnsi="Verdana"/>
          <w:bCs/>
          <w:sz w:val="16"/>
          <w:szCs w:val="16"/>
        </w:rPr>
        <w:t xml:space="preserve">y </w:t>
      </w:r>
      <w:r w:rsidRPr="008B5022">
        <w:rPr>
          <w:rStyle w:val="Strong"/>
          <w:rFonts w:ascii="Verdana" w:hAnsi="Verdana"/>
          <w:b w:val="0"/>
          <w:i/>
          <w:color w:val="000000"/>
          <w:sz w:val="16"/>
          <w:szCs w:val="16"/>
          <w:shd w:val="clear" w:color="auto" w:fill="FFFFFF"/>
        </w:rPr>
        <w:t>Caso L</w:t>
      </w:r>
      <w:r w:rsidRPr="00803447">
        <w:rPr>
          <w:rStyle w:val="Strong"/>
          <w:rFonts w:ascii="Verdana" w:hAnsi="Verdana"/>
          <w:b w:val="0"/>
          <w:i/>
          <w:color w:val="000000"/>
          <w:sz w:val="16"/>
          <w:szCs w:val="16"/>
          <w:shd w:val="clear" w:color="auto" w:fill="FFFFFF"/>
        </w:rPr>
        <w:t>ópez Soto y otros Vs. Venezuela</w:t>
      </w:r>
      <w:r w:rsidRPr="00E307D4">
        <w:rPr>
          <w:rStyle w:val="Strong"/>
          <w:rFonts w:ascii="Verdana" w:hAnsi="Verdana"/>
          <w:b w:val="0"/>
          <w:i/>
          <w:color w:val="000000"/>
          <w:sz w:val="16"/>
          <w:szCs w:val="16"/>
          <w:shd w:val="clear" w:color="auto" w:fill="FFFFFF"/>
        </w:rPr>
        <w:t xml:space="preserve">, supra, </w:t>
      </w:r>
      <w:r w:rsidRPr="00E307D4">
        <w:rPr>
          <w:rStyle w:val="Strong"/>
          <w:rFonts w:ascii="Verdana" w:hAnsi="Verdana"/>
          <w:b w:val="0"/>
          <w:color w:val="000000"/>
          <w:sz w:val="16"/>
          <w:szCs w:val="16"/>
          <w:shd w:val="clear" w:color="auto" w:fill="FFFFFF"/>
        </w:rPr>
        <w:t xml:space="preserve">párr. 385. </w:t>
      </w:r>
      <w:r w:rsidRPr="008D0846">
        <w:rPr>
          <w:rFonts w:ascii="Verdana" w:hAnsi="Verdana"/>
          <w:bCs/>
          <w:sz w:val="16"/>
          <w:szCs w:val="16"/>
        </w:rPr>
        <w:t xml:space="preserve"> </w:t>
      </w:r>
    </w:p>
  </w:footnote>
  <w:footnote w:id="589">
    <w:p w14:paraId="05269F92" w14:textId="710FB2A4" w:rsidR="00146958" w:rsidRPr="008D0846" w:rsidRDefault="00146958" w:rsidP="008D0846">
      <w:pPr>
        <w:pStyle w:val="FootnoteText"/>
        <w:jc w:val="both"/>
        <w:rPr>
          <w:b/>
          <w:bCs/>
          <w:color w:val="000000"/>
          <w:shd w:val="clear" w:color="auto" w:fill="FFFFFF"/>
        </w:rPr>
      </w:pPr>
      <w:r w:rsidRPr="008D0846">
        <w:rPr>
          <w:rStyle w:val="FootnoteReference"/>
          <w:rFonts w:ascii="Verdana" w:hAnsi="Verdana"/>
          <w:sz w:val="16"/>
          <w:szCs w:val="16"/>
        </w:rPr>
        <w:footnoteRef/>
      </w:r>
      <w:r w:rsidRPr="008D0846">
        <w:rPr>
          <w:rFonts w:ascii="Verdana" w:hAnsi="Verdana"/>
          <w:sz w:val="16"/>
          <w:szCs w:val="16"/>
        </w:rPr>
        <w:t xml:space="preserve"> </w:t>
      </w:r>
      <w:r w:rsidRPr="008D0846">
        <w:rPr>
          <w:rFonts w:ascii="Verdana" w:hAnsi="Verdana"/>
          <w:sz w:val="16"/>
          <w:szCs w:val="16"/>
        </w:rPr>
        <w:tab/>
      </w:r>
      <w:r w:rsidRPr="00CD5C54">
        <w:rPr>
          <w:rFonts w:ascii="Verdana" w:hAnsi="Verdana"/>
          <w:i/>
          <w:sz w:val="16"/>
          <w:szCs w:val="16"/>
        </w:rPr>
        <w:t>Cfr.</w:t>
      </w:r>
      <w:r w:rsidRPr="008D0846">
        <w:rPr>
          <w:rFonts w:ascii="Verdana" w:hAnsi="Verdana"/>
          <w:sz w:val="16"/>
          <w:szCs w:val="16"/>
        </w:rPr>
        <w:t xml:space="preserve"> </w:t>
      </w:r>
      <w:r w:rsidRPr="008D0846">
        <w:rPr>
          <w:rStyle w:val="Strong"/>
          <w:rFonts w:ascii="Verdana" w:hAnsi="Verdana"/>
          <w:b w:val="0"/>
          <w:i/>
          <w:color w:val="000000"/>
          <w:sz w:val="16"/>
          <w:szCs w:val="16"/>
          <w:shd w:val="clear" w:color="auto" w:fill="FFFFFF"/>
        </w:rPr>
        <w:t>Caso Alvarado Espinoza y otros Vs. México. Convocatoria a audiencia</w:t>
      </w:r>
      <w:r w:rsidRPr="008D0846">
        <w:rPr>
          <w:rStyle w:val="Strong"/>
          <w:rFonts w:ascii="Verdana" w:hAnsi="Verdana"/>
          <w:b w:val="0"/>
          <w:color w:val="000000"/>
          <w:sz w:val="16"/>
          <w:szCs w:val="16"/>
          <w:shd w:val="clear" w:color="auto" w:fill="FFFFFF"/>
        </w:rPr>
        <w:t xml:space="preserve">. Resolución del Presidente en ejercicio de la Corte Interamericana de Derechos Humanos de 23 de marzo de 2018, Resolutivo 12. Disponible en: </w:t>
      </w:r>
      <w:hyperlink r:id="rId45" w:history="1">
        <w:r w:rsidRPr="008D0846">
          <w:rPr>
            <w:rStyle w:val="Hyperlink"/>
            <w:rFonts w:ascii="Verdana" w:hAnsi="Verdana"/>
            <w:sz w:val="16"/>
            <w:szCs w:val="16"/>
            <w:shd w:val="clear" w:color="auto" w:fill="FFFFFF"/>
          </w:rPr>
          <w:t>http://www.corteidh.or.cr/cf/Jurisprudencia2/busqueda_convocatorias.cfm?lang=es</w:t>
        </w:r>
      </w:hyperlink>
      <w:r w:rsidRPr="008D0846">
        <w:rPr>
          <w:rStyle w:val="Strong"/>
          <w:rFonts w:ascii="Verdana" w:hAnsi="Verdana"/>
          <w:b w:val="0"/>
          <w:color w:val="000000"/>
          <w:sz w:val="16"/>
          <w:szCs w:val="16"/>
          <w:shd w:val="clear" w:color="auto" w:fill="FFFFFF"/>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370971"/>
      <w:docPartObj>
        <w:docPartGallery w:val="Page Numbers (Top of Page)"/>
        <w:docPartUnique/>
      </w:docPartObj>
    </w:sdtPr>
    <w:sdtEndPr>
      <w:rPr>
        <w:rFonts w:ascii="Verdana" w:hAnsi="Verdana"/>
        <w:noProof/>
        <w:sz w:val="20"/>
      </w:rPr>
    </w:sdtEndPr>
    <w:sdtContent>
      <w:p w14:paraId="64AA6125" w14:textId="77777777" w:rsidR="00146958" w:rsidRPr="003155BE" w:rsidRDefault="00146958" w:rsidP="00F50ACE">
        <w:pPr>
          <w:pStyle w:val="Header"/>
          <w:jc w:val="center"/>
          <w:rPr>
            <w:sz w:val="20"/>
          </w:rPr>
        </w:pPr>
        <w:r w:rsidRPr="003155BE">
          <w:rPr>
            <w:rFonts w:ascii="Verdana" w:hAnsi="Verdana" w:cs="Times New Roman"/>
            <w:sz w:val="20"/>
          </w:rPr>
          <w:fldChar w:fldCharType="begin"/>
        </w:r>
        <w:r w:rsidRPr="003155BE">
          <w:rPr>
            <w:rFonts w:ascii="Verdana" w:hAnsi="Verdana" w:cs="Times New Roman"/>
            <w:sz w:val="20"/>
          </w:rPr>
          <w:instrText xml:space="preserve"> PAGE   \* MERGEFORMAT </w:instrText>
        </w:r>
        <w:r w:rsidRPr="003155BE">
          <w:rPr>
            <w:rFonts w:ascii="Verdana" w:hAnsi="Verdana" w:cs="Times New Roman"/>
            <w:sz w:val="20"/>
          </w:rPr>
          <w:fldChar w:fldCharType="separate"/>
        </w:r>
        <w:r w:rsidR="00380DD7">
          <w:rPr>
            <w:rFonts w:ascii="Verdana" w:hAnsi="Verdana" w:cs="Times New Roman"/>
            <w:noProof/>
            <w:sz w:val="20"/>
          </w:rPr>
          <w:t>99</w:t>
        </w:r>
        <w:r w:rsidRPr="003155BE">
          <w:rPr>
            <w:rFonts w:ascii="Verdana" w:hAnsi="Verdana" w:cs="Times New Roman"/>
            <w:noProof/>
            <w:sz w:val="20"/>
          </w:rPr>
          <w:fldChar w:fldCharType="end"/>
        </w:r>
        <w:r>
          <w:rPr>
            <w:rFonts w:ascii="Verdana" w:hAnsi="Verdana" w:cs="Times New Roman"/>
            <w:noProof/>
            <w:sz w:val="20"/>
          </w:rPr>
          <w:t xml:space="preserve"> </w:t>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0BFFF1" w14:textId="7890F815" w:rsidR="00146958" w:rsidRPr="00F83241" w:rsidRDefault="00146958" w:rsidP="005B5C30">
    <w:pPr>
      <w:pStyle w:val="Header"/>
      <w:tabs>
        <w:tab w:val="center" w:pos="8931"/>
        <w:tab w:val="left" w:pos="9498"/>
        <w:tab w:val="left" w:pos="9639"/>
        <w:tab w:val="right" w:pos="10065"/>
      </w:tabs>
      <w:jc w:val="right"/>
      <w:rPr>
        <w:rFonts w:ascii="Verdana" w:hAnsi="Verdana"/>
        <w:i/>
        <w:sz w:val="16"/>
        <w:szCs w:val="16"/>
        <w:lang w:val="es-C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68D6409E"/>
    <w:name w:val="WW8Num6"/>
    <w:lvl w:ilvl="0">
      <w:start w:val="1"/>
      <w:numFmt w:val="upperLetter"/>
      <w:lvlText w:val="%1."/>
      <w:lvlJc w:val="left"/>
      <w:pPr>
        <w:tabs>
          <w:tab w:val="num" w:pos="360"/>
        </w:tabs>
        <w:ind w:left="360" w:hanging="360"/>
      </w:pPr>
      <w:rPr>
        <w:i/>
      </w:rPr>
    </w:lvl>
    <w:lvl w:ilvl="1">
      <w:start w:val="1"/>
      <w:numFmt w:val="lowerLetter"/>
      <w:lvlText w:val="%2."/>
      <w:lvlJc w:val="left"/>
      <w:pPr>
        <w:tabs>
          <w:tab w:val="num" w:pos="1080"/>
        </w:tabs>
        <w:ind w:left="1080" w:hanging="360"/>
      </w:pPr>
    </w:lvl>
    <w:lvl w:ilvl="2">
      <w:start w:val="1"/>
      <w:numFmt w:val="decimal"/>
      <w:lvlText w:val="%3."/>
      <w:lvlJc w:val="left"/>
      <w:pPr>
        <w:tabs>
          <w:tab w:val="num" w:pos="2025"/>
        </w:tabs>
        <w:ind w:left="2025" w:hanging="405"/>
      </w:pPr>
      <w:rPr>
        <w:rFonts w:cs="Verdana-Italic"/>
        <w:b/>
        <w:color w:val="auto"/>
      </w:rPr>
    </w:lvl>
    <w:lvl w:ilvl="3">
      <w:start w:val="1"/>
      <w:numFmt w:val="decimal"/>
      <w:lvlText w:val="%4."/>
      <w:lvlJc w:val="left"/>
      <w:pPr>
        <w:tabs>
          <w:tab w:val="num" w:pos="2520"/>
        </w:tabs>
        <w:ind w:left="2520" w:hanging="360"/>
      </w:pPr>
    </w:lvl>
    <w:lvl w:ilvl="4">
      <w:start w:val="1"/>
      <w:numFmt w:val="lowerLetter"/>
      <w:lvlText w:val="%5)"/>
      <w:lvlJc w:val="left"/>
      <w:pPr>
        <w:tabs>
          <w:tab w:val="num" w:pos="3780"/>
        </w:tabs>
        <w:ind w:left="3780" w:hanging="540"/>
      </w:pPr>
      <w:rPr>
        <w:rFonts w:cs="Times New Roman"/>
        <w:b w:val="0"/>
        <w:i w:val="0"/>
      </w:r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
    <w:nsid w:val="0063077B"/>
    <w:multiLevelType w:val="hybridMultilevel"/>
    <w:tmpl w:val="CE74EA9A"/>
    <w:lvl w:ilvl="0" w:tplc="9E4EABDC">
      <w:start w:val="1"/>
      <w:numFmt w:val="lowerRoman"/>
      <w:lvlText w:val="%1."/>
      <w:lvlJc w:val="left"/>
      <w:pPr>
        <w:ind w:left="720" w:hanging="360"/>
      </w:pPr>
      <w:rPr>
        <w:rFonts w:ascii="Verdana" w:eastAsia="Batang" w:hAnsi="Verdana"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0F73CAA"/>
    <w:multiLevelType w:val="hybridMultilevel"/>
    <w:tmpl w:val="078CC96C"/>
    <w:lvl w:ilvl="0" w:tplc="2CBED7DE">
      <w:start w:val="1"/>
      <w:numFmt w:val="decimal"/>
      <w:lvlText w:val="E.%1."/>
      <w:lvlJc w:val="left"/>
      <w:pPr>
        <w:ind w:left="1495"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
    <w:nsid w:val="023F6B66"/>
    <w:multiLevelType w:val="hybridMultilevel"/>
    <w:tmpl w:val="78E0B574"/>
    <w:lvl w:ilvl="0" w:tplc="AC3AE318">
      <w:start w:val="1"/>
      <w:numFmt w:val="decimal"/>
      <w:lvlText w:val="%1."/>
      <w:lvlJc w:val="left"/>
      <w:pPr>
        <w:ind w:left="5038" w:hanging="360"/>
      </w:pPr>
      <w:rPr>
        <w:rFonts w:ascii="Verdana" w:hAnsi="Verdana" w:hint="default"/>
        <w:b w:val="0"/>
        <w:i w:val="0"/>
        <w:strike w:val="0"/>
        <w:dstrike w:val="0"/>
        <w:color w:val="auto"/>
        <w:sz w:val="20"/>
        <w:szCs w:val="20"/>
        <w:u w:val="none"/>
        <w:effect w:val="none"/>
        <w:vertAlign w:val="baseline"/>
        <w:lang w:val="es-CR"/>
      </w:rPr>
    </w:lvl>
    <w:lvl w:ilvl="1" w:tplc="05862478">
      <w:start w:val="1"/>
      <w:numFmt w:val="upperLetter"/>
      <w:lvlText w:val="%2."/>
      <w:lvlJc w:val="left"/>
      <w:pPr>
        <w:ind w:left="786"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4">
    <w:nsid w:val="03795A1D"/>
    <w:multiLevelType w:val="hybridMultilevel"/>
    <w:tmpl w:val="DCDEEDF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5AD770E"/>
    <w:multiLevelType w:val="hybridMultilevel"/>
    <w:tmpl w:val="8266FC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68728D3"/>
    <w:multiLevelType w:val="hybridMultilevel"/>
    <w:tmpl w:val="D904069A"/>
    <w:lvl w:ilvl="0" w:tplc="17A43CE8">
      <w:start w:val="1"/>
      <w:numFmt w:val="decimal"/>
      <w:lvlText w:val="B.%1."/>
      <w:lvlJc w:val="left"/>
      <w:pPr>
        <w:ind w:left="1776" w:hanging="360"/>
      </w:pPr>
      <w:rPr>
        <w:rFonts w:hint="default"/>
      </w:rPr>
    </w:lvl>
    <w:lvl w:ilvl="1" w:tplc="140A0019" w:tentative="1">
      <w:start w:val="1"/>
      <w:numFmt w:val="lowerLetter"/>
      <w:lvlText w:val="%2."/>
      <w:lvlJc w:val="left"/>
      <w:pPr>
        <w:ind w:left="2496" w:hanging="360"/>
      </w:pPr>
    </w:lvl>
    <w:lvl w:ilvl="2" w:tplc="140A001B" w:tentative="1">
      <w:start w:val="1"/>
      <w:numFmt w:val="lowerRoman"/>
      <w:lvlText w:val="%3."/>
      <w:lvlJc w:val="right"/>
      <w:pPr>
        <w:ind w:left="3216" w:hanging="180"/>
      </w:pPr>
    </w:lvl>
    <w:lvl w:ilvl="3" w:tplc="140A000F" w:tentative="1">
      <w:start w:val="1"/>
      <w:numFmt w:val="decimal"/>
      <w:lvlText w:val="%4."/>
      <w:lvlJc w:val="left"/>
      <w:pPr>
        <w:ind w:left="3936" w:hanging="360"/>
      </w:pPr>
    </w:lvl>
    <w:lvl w:ilvl="4" w:tplc="140A0019" w:tentative="1">
      <w:start w:val="1"/>
      <w:numFmt w:val="lowerLetter"/>
      <w:lvlText w:val="%5."/>
      <w:lvlJc w:val="left"/>
      <w:pPr>
        <w:ind w:left="4656" w:hanging="360"/>
      </w:pPr>
    </w:lvl>
    <w:lvl w:ilvl="5" w:tplc="140A001B" w:tentative="1">
      <w:start w:val="1"/>
      <w:numFmt w:val="lowerRoman"/>
      <w:lvlText w:val="%6."/>
      <w:lvlJc w:val="right"/>
      <w:pPr>
        <w:ind w:left="5376" w:hanging="180"/>
      </w:pPr>
    </w:lvl>
    <w:lvl w:ilvl="6" w:tplc="140A000F" w:tentative="1">
      <w:start w:val="1"/>
      <w:numFmt w:val="decimal"/>
      <w:lvlText w:val="%7."/>
      <w:lvlJc w:val="left"/>
      <w:pPr>
        <w:ind w:left="6096" w:hanging="360"/>
      </w:pPr>
    </w:lvl>
    <w:lvl w:ilvl="7" w:tplc="140A0019" w:tentative="1">
      <w:start w:val="1"/>
      <w:numFmt w:val="lowerLetter"/>
      <w:lvlText w:val="%8."/>
      <w:lvlJc w:val="left"/>
      <w:pPr>
        <w:ind w:left="6816" w:hanging="360"/>
      </w:pPr>
    </w:lvl>
    <w:lvl w:ilvl="8" w:tplc="140A001B" w:tentative="1">
      <w:start w:val="1"/>
      <w:numFmt w:val="lowerRoman"/>
      <w:lvlText w:val="%9."/>
      <w:lvlJc w:val="right"/>
      <w:pPr>
        <w:ind w:left="7536" w:hanging="180"/>
      </w:pPr>
    </w:lvl>
  </w:abstractNum>
  <w:abstractNum w:abstractNumId="7">
    <w:nsid w:val="07515E9E"/>
    <w:multiLevelType w:val="hybridMultilevel"/>
    <w:tmpl w:val="E18C4FA6"/>
    <w:lvl w:ilvl="0" w:tplc="0A361AAC">
      <w:start w:val="1"/>
      <w:numFmt w:val="decimal"/>
      <w:lvlText w:val="%1."/>
      <w:lvlJc w:val="left"/>
      <w:pPr>
        <w:ind w:left="360" w:hanging="360"/>
      </w:pPr>
      <w:rPr>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07CC52B2"/>
    <w:multiLevelType w:val="hybridMultilevel"/>
    <w:tmpl w:val="70FAAE04"/>
    <w:lvl w:ilvl="0" w:tplc="9CEA44BA">
      <w:start w:val="1"/>
      <w:numFmt w:val="decimal"/>
      <w:lvlText w:val="B.2.%1."/>
      <w:lvlJc w:val="right"/>
      <w:pPr>
        <w:ind w:left="2771" w:hanging="360"/>
      </w:pPr>
      <w:rPr>
        <w:rFonts w:hint="default"/>
      </w:rPr>
    </w:lvl>
    <w:lvl w:ilvl="1" w:tplc="140A0019" w:tentative="1">
      <w:start w:val="1"/>
      <w:numFmt w:val="lowerLetter"/>
      <w:lvlText w:val="%2."/>
      <w:lvlJc w:val="left"/>
      <w:pPr>
        <w:ind w:left="2858" w:hanging="360"/>
      </w:pPr>
    </w:lvl>
    <w:lvl w:ilvl="2" w:tplc="140A001B" w:tentative="1">
      <w:start w:val="1"/>
      <w:numFmt w:val="lowerRoman"/>
      <w:lvlText w:val="%3."/>
      <w:lvlJc w:val="right"/>
      <w:pPr>
        <w:ind w:left="3578" w:hanging="180"/>
      </w:pPr>
    </w:lvl>
    <w:lvl w:ilvl="3" w:tplc="140A000F" w:tentative="1">
      <w:start w:val="1"/>
      <w:numFmt w:val="decimal"/>
      <w:lvlText w:val="%4."/>
      <w:lvlJc w:val="left"/>
      <w:pPr>
        <w:ind w:left="4298" w:hanging="360"/>
      </w:pPr>
    </w:lvl>
    <w:lvl w:ilvl="4" w:tplc="140A0019" w:tentative="1">
      <w:start w:val="1"/>
      <w:numFmt w:val="lowerLetter"/>
      <w:lvlText w:val="%5."/>
      <w:lvlJc w:val="left"/>
      <w:pPr>
        <w:ind w:left="5018" w:hanging="360"/>
      </w:pPr>
    </w:lvl>
    <w:lvl w:ilvl="5" w:tplc="140A001B" w:tentative="1">
      <w:start w:val="1"/>
      <w:numFmt w:val="lowerRoman"/>
      <w:lvlText w:val="%6."/>
      <w:lvlJc w:val="right"/>
      <w:pPr>
        <w:ind w:left="5738" w:hanging="180"/>
      </w:pPr>
    </w:lvl>
    <w:lvl w:ilvl="6" w:tplc="140A000F" w:tentative="1">
      <w:start w:val="1"/>
      <w:numFmt w:val="decimal"/>
      <w:lvlText w:val="%7."/>
      <w:lvlJc w:val="left"/>
      <w:pPr>
        <w:ind w:left="6458" w:hanging="360"/>
      </w:pPr>
    </w:lvl>
    <w:lvl w:ilvl="7" w:tplc="140A0019" w:tentative="1">
      <w:start w:val="1"/>
      <w:numFmt w:val="lowerLetter"/>
      <w:lvlText w:val="%8."/>
      <w:lvlJc w:val="left"/>
      <w:pPr>
        <w:ind w:left="7178" w:hanging="360"/>
      </w:pPr>
    </w:lvl>
    <w:lvl w:ilvl="8" w:tplc="140A001B" w:tentative="1">
      <w:start w:val="1"/>
      <w:numFmt w:val="lowerRoman"/>
      <w:lvlText w:val="%9."/>
      <w:lvlJc w:val="right"/>
      <w:pPr>
        <w:ind w:left="7898" w:hanging="180"/>
      </w:pPr>
    </w:lvl>
  </w:abstractNum>
  <w:abstractNum w:abstractNumId="9">
    <w:nsid w:val="0809611D"/>
    <w:multiLevelType w:val="hybridMultilevel"/>
    <w:tmpl w:val="BE00A138"/>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0">
    <w:nsid w:val="086658D0"/>
    <w:multiLevelType w:val="hybridMultilevel"/>
    <w:tmpl w:val="1E308EAA"/>
    <w:lvl w:ilvl="0" w:tplc="A8D8FBA0">
      <w:start w:val="1"/>
      <w:numFmt w:val="upperLetter"/>
      <w:lvlText w:val="%1."/>
      <w:lvlJc w:val="left"/>
      <w:pPr>
        <w:ind w:left="1080" w:hanging="360"/>
      </w:pPr>
      <w:rPr>
        <w:rFonts w:hint="default"/>
        <w:b/>
        <w:i/>
        <w:color w:val="auto"/>
      </w:rPr>
    </w:lvl>
    <w:lvl w:ilvl="1" w:tplc="140A0019">
      <w:start w:val="1"/>
      <w:numFmt w:val="lowerLetter"/>
      <w:lvlText w:val="%2."/>
      <w:lvlJc w:val="left"/>
      <w:pPr>
        <w:ind w:left="1800" w:hanging="360"/>
      </w:pPr>
    </w:lvl>
    <w:lvl w:ilvl="2" w:tplc="140A001B">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11">
    <w:nsid w:val="0A5D302C"/>
    <w:multiLevelType w:val="hybridMultilevel"/>
    <w:tmpl w:val="9F983164"/>
    <w:lvl w:ilvl="0" w:tplc="437C6A44">
      <w:start w:val="1"/>
      <w:numFmt w:val="decimal"/>
      <w:lvlText w:val="D.7.%1."/>
      <w:lvlJc w:val="left"/>
      <w:pPr>
        <w:ind w:left="1778" w:hanging="360"/>
      </w:pPr>
      <w:rPr>
        <w:rFonts w:hint="default"/>
        <w:b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2">
    <w:nsid w:val="0CCF1958"/>
    <w:multiLevelType w:val="hybridMultilevel"/>
    <w:tmpl w:val="F9EEB356"/>
    <w:lvl w:ilvl="0" w:tplc="140A0001">
      <w:start w:val="1"/>
      <w:numFmt w:val="bullet"/>
      <w:lvlText w:val=""/>
      <w:lvlJc w:val="left"/>
      <w:pPr>
        <w:ind w:left="2356" w:hanging="360"/>
      </w:pPr>
      <w:rPr>
        <w:rFonts w:ascii="Symbol" w:hAnsi="Symbol" w:hint="default"/>
      </w:rPr>
    </w:lvl>
    <w:lvl w:ilvl="1" w:tplc="140A0003" w:tentative="1">
      <w:start w:val="1"/>
      <w:numFmt w:val="bullet"/>
      <w:lvlText w:val="o"/>
      <w:lvlJc w:val="left"/>
      <w:pPr>
        <w:ind w:left="3076" w:hanging="360"/>
      </w:pPr>
      <w:rPr>
        <w:rFonts w:ascii="Courier New" w:hAnsi="Courier New" w:cs="Courier New" w:hint="default"/>
      </w:rPr>
    </w:lvl>
    <w:lvl w:ilvl="2" w:tplc="140A0005" w:tentative="1">
      <w:start w:val="1"/>
      <w:numFmt w:val="bullet"/>
      <w:lvlText w:val=""/>
      <w:lvlJc w:val="left"/>
      <w:pPr>
        <w:ind w:left="3796" w:hanging="360"/>
      </w:pPr>
      <w:rPr>
        <w:rFonts w:ascii="Wingdings" w:hAnsi="Wingdings" w:hint="default"/>
      </w:rPr>
    </w:lvl>
    <w:lvl w:ilvl="3" w:tplc="140A0001" w:tentative="1">
      <w:start w:val="1"/>
      <w:numFmt w:val="bullet"/>
      <w:lvlText w:val=""/>
      <w:lvlJc w:val="left"/>
      <w:pPr>
        <w:ind w:left="4516" w:hanging="360"/>
      </w:pPr>
      <w:rPr>
        <w:rFonts w:ascii="Symbol" w:hAnsi="Symbol" w:hint="default"/>
      </w:rPr>
    </w:lvl>
    <w:lvl w:ilvl="4" w:tplc="140A0003" w:tentative="1">
      <w:start w:val="1"/>
      <w:numFmt w:val="bullet"/>
      <w:lvlText w:val="o"/>
      <w:lvlJc w:val="left"/>
      <w:pPr>
        <w:ind w:left="5236" w:hanging="360"/>
      </w:pPr>
      <w:rPr>
        <w:rFonts w:ascii="Courier New" w:hAnsi="Courier New" w:cs="Courier New" w:hint="default"/>
      </w:rPr>
    </w:lvl>
    <w:lvl w:ilvl="5" w:tplc="140A0005" w:tentative="1">
      <w:start w:val="1"/>
      <w:numFmt w:val="bullet"/>
      <w:lvlText w:val=""/>
      <w:lvlJc w:val="left"/>
      <w:pPr>
        <w:ind w:left="5956" w:hanging="360"/>
      </w:pPr>
      <w:rPr>
        <w:rFonts w:ascii="Wingdings" w:hAnsi="Wingdings" w:hint="default"/>
      </w:rPr>
    </w:lvl>
    <w:lvl w:ilvl="6" w:tplc="140A0001" w:tentative="1">
      <w:start w:val="1"/>
      <w:numFmt w:val="bullet"/>
      <w:lvlText w:val=""/>
      <w:lvlJc w:val="left"/>
      <w:pPr>
        <w:ind w:left="6676" w:hanging="360"/>
      </w:pPr>
      <w:rPr>
        <w:rFonts w:ascii="Symbol" w:hAnsi="Symbol" w:hint="default"/>
      </w:rPr>
    </w:lvl>
    <w:lvl w:ilvl="7" w:tplc="140A0003" w:tentative="1">
      <w:start w:val="1"/>
      <w:numFmt w:val="bullet"/>
      <w:lvlText w:val="o"/>
      <w:lvlJc w:val="left"/>
      <w:pPr>
        <w:ind w:left="7396" w:hanging="360"/>
      </w:pPr>
      <w:rPr>
        <w:rFonts w:ascii="Courier New" w:hAnsi="Courier New" w:cs="Courier New" w:hint="default"/>
      </w:rPr>
    </w:lvl>
    <w:lvl w:ilvl="8" w:tplc="140A0005" w:tentative="1">
      <w:start w:val="1"/>
      <w:numFmt w:val="bullet"/>
      <w:lvlText w:val=""/>
      <w:lvlJc w:val="left"/>
      <w:pPr>
        <w:ind w:left="8116" w:hanging="360"/>
      </w:pPr>
      <w:rPr>
        <w:rFonts w:ascii="Wingdings" w:hAnsi="Wingdings" w:hint="default"/>
      </w:rPr>
    </w:lvl>
  </w:abstractNum>
  <w:abstractNum w:abstractNumId="13">
    <w:nsid w:val="0ECB21E2"/>
    <w:multiLevelType w:val="hybridMultilevel"/>
    <w:tmpl w:val="3DFA1A7E"/>
    <w:lvl w:ilvl="0" w:tplc="D2D604F4">
      <w:start w:val="1"/>
      <w:numFmt w:val="decimal"/>
      <w:lvlText w:val="%1."/>
      <w:lvlJc w:val="left"/>
      <w:pPr>
        <w:ind w:left="720" w:hanging="360"/>
      </w:pPr>
      <w:rPr>
        <w:b w:val="0"/>
        <w:i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4">
    <w:nsid w:val="0FE879EC"/>
    <w:multiLevelType w:val="hybridMultilevel"/>
    <w:tmpl w:val="634CD1B0"/>
    <w:lvl w:ilvl="0" w:tplc="A07A0DBC">
      <w:start w:val="1"/>
      <w:numFmt w:val="decimal"/>
      <w:lvlText w:val="B.1.%1."/>
      <w:lvlJc w:val="left"/>
      <w:pPr>
        <w:ind w:left="1778" w:hanging="360"/>
      </w:pPr>
      <w:rPr>
        <w:rFonts w:hint="default"/>
        <w:b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5">
    <w:nsid w:val="103326F4"/>
    <w:multiLevelType w:val="hybridMultilevel"/>
    <w:tmpl w:val="17B2691C"/>
    <w:lvl w:ilvl="0" w:tplc="140A0001">
      <w:start w:val="1"/>
      <w:numFmt w:val="bullet"/>
      <w:lvlText w:val=""/>
      <w:lvlJc w:val="left"/>
      <w:pPr>
        <w:ind w:left="2360" w:hanging="360"/>
      </w:pPr>
      <w:rPr>
        <w:rFonts w:ascii="Symbol" w:hAnsi="Symbol" w:hint="default"/>
      </w:rPr>
    </w:lvl>
    <w:lvl w:ilvl="1" w:tplc="140A0003" w:tentative="1">
      <w:start w:val="1"/>
      <w:numFmt w:val="bullet"/>
      <w:lvlText w:val="o"/>
      <w:lvlJc w:val="left"/>
      <w:pPr>
        <w:ind w:left="3080" w:hanging="360"/>
      </w:pPr>
      <w:rPr>
        <w:rFonts w:ascii="Courier New" w:hAnsi="Courier New" w:cs="Courier New" w:hint="default"/>
      </w:rPr>
    </w:lvl>
    <w:lvl w:ilvl="2" w:tplc="140A0005" w:tentative="1">
      <w:start w:val="1"/>
      <w:numFmt w:val="bullet"/>
      <w:lvlText w:val=""/>
      <w:lvlJc w:val="left"/>
      <w:pPr>
        <w:ind w:left="3800" w:hanging="360"/>
      </w:pPr>
      <w:rPr>
        <w:rFonts w:ascii="Wingdings" w:hAnsi="Wingdings" w:hint="default"/>
      </w:rPr>
    </w:lvl>
    <w:lvl w:ilvl="3" w:tplc="140A0001" w:tentative="1">
      <w:start w:val="1"/>
      <w:numFmt w:val="bullet"/>
      <w:lvlText w:val=""/>
      <w:lvlJc w:val="left"/>
      <w:pPr>
        <w:ind w:left="4520" w:hanging="360"/>
      </w:pPr>
      <w:rPr>
        <w:rFonts w:ascii="Symbol" w:hAnsi="Symbol" w:hint="default"/>
      </w:rPr>
    </w:lvl>
    <w:lvl w:ilvl="4" w:tplc="140A0003" w:tentative="1">
      <w:start w:val="1"/>
      <w:numFmt w:val="bullet"/>
      <w:lvlText w:val="o"/>
      <w:lvlJc w:val="left"/>
      <w:pPr>
        <w:ind w:left="5240" w:hanging="360"/>
      </w:pPr>
      <w:rPr>
        <w:rFonts w:ascii="Courier New" w:hAnsi="Courier New" w:cs="Courier New" w:hint="default"/>
      </w:rPr>
    </w:lvl>
    <w:lvl w:ilvl="5" w:tplc="140A0005" w:tentative="1">
      <w:start w:val="1"/>
      <w:numFmt w:val="bullet"/>
      <w:lvlText w:val=""/>
      <w:lvlJc w:val="left"/>
      <w:pPr>
        <w:ind w:left="5960" w:hanging="360"/>
      </w:pPr>
      <w:rPr>
        <w:rFonts w:ascii="Wingdings" w:hAnsi="Wingdings" w:hint="default"/>
      </w:rPr>
    </w:lvl>
    <w:lvl w:ilvl="6" w:tplc="140A0001" w:tentative="1">
      <w:start w:val="1"/>
      <w:numFmt w:val="bullet"/>
      <w:lvlText w:val=""/>
      <w:lvlJc w:val="left"/>
      <w:pPr>
        <w:ind w:left="6680" w:hanging="360"/>
      </w:pPr>
      <w:rPr>
        <w:rFonts w:ascii="Symbol" w:hAnsi="Symbol" w:hint="default"/>
      </w:rPr>
    </w:lvl>
    <w:lvl w:ilvl="7" w:tplc="140A0003" w:tentative="1">
      <w:start w:val="1"/>
      <w:numFmt w:val="bullet"/>
      <w:lvlText w:val="o"/>
      <w:lvlJc w:val="left"/>
      <w:pPr>
        <w:ind w:left="7400" w:hanging="360"/>
      </w:pPr>
      <w:rPr>
        <w:rFonts w:ascii="Courier New" w:hAnsi="Courier New" w:cs="Courier New" w:hint="default"/>
      </w:rPr>
    </w:lvl>
    <w:lvl w:ilvl="8" w:tplc="140A0005" w:tentative="1">
      <w:start w:val="1"/>
      <w:numFmt w:val="bullet"/>
      <w:lvlText w:val=""/>
      <w:lvlJc w:val="left"/>
      <w:pPr>
        <w:ind w:left="8120" w:hanging="360"/>
      </w:pPr>
      <w:rPr>
        <w:rFonts w:ascii="Wingdings" w:hAnsi="Wingdings" w:hint="default"/>
      </w:rPr>
    </w:lvl>
  </w:abstractNum>
  <w:abstractNum w:abstractNumId="16">
    <w:nsid w:val="10AE05D8"/>
    <w:multiLevelType w:val="hybridMultilevel"/>
    <w:tmpl w:val="B630C59C"/>
    <w:lvl w:ilvl="0" w:tplc="140A0001">
      <w:start w:val="1"/>
      <w:numFmt w:val="bullet"/>
      <w:lvlText w:val=""/>
      <w:lvlJc w:val="left"/>
      <w:pPr>
        <w:ind w:left="2498" w:hanging="360"/>
      </w:pPr>
      <w:rPr>
        <w:rFonts w:ascii="Symbol" w:hAnsi="Symbol" w:hint="default"/>
      </w:rPr>
    </w:lvl>
    <w:lvl w:ilvl="1" w:tplc="140A0003" w:tentative="1">
      <w:start w:val="1"/>
      <w:numFmt w:val="bullet"/>
      <w:lvlText w:val="o"/>
      <w:lvlJc w:val="left"/>
      <w:pPr>
        <w:ind w:left="3218" w:hanging="360"/>
      </w:pPr>
      <w:rPr>
        <w:rFonts w:ascii="Courier New" w:hAnsi="Courier New" w:cs="Courier New" w:hint="default"/>
      </w:rPr>
    </w:lvl>
    <w:lvl w:ilvl="2" w:tplc="140A0005" w:tentative="1">
      <w:start w:val="1"/>
      <w:numFmt w:val="bullet"/>
      <w:lvlText w:val=""/>
      <w:lvlJc w:val="left"/>
      <w:pPr>
        <w:ind w:left="3938" w:hanging="360"/>
      </w:pPr>
      <w:rPr>
        <w:rFonts w:ascii="Wingdings" w:hAnsi="Wingdings" w:hint="default"/>
      </w:rPr>
    </w:lvl>
    <w:lvl w:ilvl="3" w:tplc="140A0001" w:tentative="1">
      <w:start w:val="1"/>
      <w:numFmt w:val="bullet"/>
      <w:lvlText w:val=""/>
      <w:lvlJc w:val="left"/>
      <w:pPr>
        <w:ind w:left="4658" w:hanging="360"/>
      </w:pPr>
      <w:rPr>
        <w:rFonts w:ascii="Symbol" w:hAnsi="Symbol" w:hint="default"/>
      </w:rPr>
    </w:lvl>
    <w:lvl w:ilvl="4" w:tplc="140A0003" w:tentative="1">
      <w:start w:val="1"/>
      <w:numFmt w:val="bullet"/>
      <w:lvlText w:val="o"/>
      <w:lvlJc w:val="left"/>
      <w:pPr>
        <w:ind w:left="5378" w:hanging="360"/>
      </w:pPr>
      <w:rPr>
        <w:rFonts w:ascii="Courier New" w:hAnsi="Courier New" w:cs="Courier New" w:hint="default"/>
      </w:rPr>
    </w:lvl>
    <w:lvl w:ilvl="5" w:tplc="140A0005" w:tentative="1">
      <w:start w:val="1"/>
      <w:numFmt w:val="bullet"/>
      <w:lvlText w:val=""/>
      <w:lvlJc w:val="left"/>
      <w:pPr>
        <w:ind w:left="6098" w:hanging="360"/>
      </w:pPr>
      <w:rPr>
        <w:rFonts w:ascii="Wingdings" w:hAnsi="Wingdings" w:hint="default"/>
      </w:rPr>
    </w:lvl>
    <w:lvl w:ilvl="6" w:tplc="140A0001" w:tentative="1">
      <w:start w:val="1"/>
      <w:numFmt w:val="bullet"/>
      <w:lvlText w:val=""/>
      <w:lvlJc w:val="left"/>
      <w:pPr>
        <w:ind w:left="6818" w:hanging="360"/>
      </w:pPr>
      <w:rPr>
        <w:rFonts w:ascii="Symbol" w:hAnsi="Symbol" w:hint="default"/>
      </w:rPr>
    </w:lvl>
    <w:lvl w:ilvl="7" w:tplc="140A0003" w:tentative="1">
      <w:start w:val="1"/>
      <w:numFmt w:val="bullet"/>
      <w:lvlText w:val="o"/>
      <w:lvlJc w:val="left"/>
      <w:pPr>
        <w:ind w:left="7538" w:hanging="360"/>
      </w:pPr>
      <w:rPr>
        <w:rFonts w:ascii="Courier New" w:hAnsi="Courier New" w:cs="Courier New" w:hint="default"/>
      </w:rPr>
    </w:lvl>
    <w:lvl w:ilvl="8" w:tplc="140A0005" w:tentative="1">
      <w:start w:val="1"/>
      <w:numFmt w:val="bullet"/>
      <w:lvlText w:val=""/>
      <w:lvlJc w:val="left"/>
      <w:pPr>
        <w:ind w:left="8258" w:hanging="360"/>
      </w:pPr>
      <w:rPr>
        <w:rFonts w:ascii="Wingdings" w:hAnsi="Wingdings" w:hint="default"/>
      </w:rPr>
    </w:lvl>
  </w:abstractNum>
  <w:abstractNum w:abstractNumId="17">
    <w:nsid w:val="114F3A99"/>
    <w:multiLevelType w:val="hybridMultilevel"/>
    <w:tmpl w:val="58BCAC6E"/>
    <w:lvl w:ilvl="0" w:tplc="140A0001">
      <w:start w:val="1"/>
      <w:numFmt w:val="bullet"/>
      <w:lvlText w:val=""/>
      <w:lvlJc w:val="left"/>
      <w:pPr>
        <w:ind w:left="2504" w:hanging="360"/>
      </w:pPr>
      <w:rPr>
        <w:rFonts w:ascii="Symbol" w:hAnsi="Symbol" w:hint="default"/>
      </w:rPr>
    </w:lvl>
    <w:lvl w:ilvl="1" w:tplc="140A0003" w:tentative="1">
      <w:start w:val="1"/>
      <w:numFmt w:val="bullet"/>
      <w:lvlText w:val="o"/>
      <w:lvlJc w:val="left"/>
      <w:pPr>
        <w:ind w:left="3224" w:hanging="360"/>
      </w:pPr>
      <w:rPr>
        <w:rFonts w:ascii="Courier New" w:hAnsi="Courier New" w:cs="Courier New" w:hint="default"/>
      </w:rPr>
    </w:lvl>
    <w:lvl w:ilvl="2" w:tplc="140A0005" w:tentative="1">
      <w:start w:val="1"/>
      <w:numFmt w:val="bullet"/>
      <w:lvlText w:val=""/>
      <w:lvlJc w:val="left"/>
      <w:pPr>
        <w:ind w:left="3944" w:hanging="360"/>
      </w:pPr>
      <w:rPr>
        <w:rFonts w:ascii="Wingdings" w:hAnsi="Wingdings" w:hint="default"/>
      </w:rPr>
    </w:lvl>
    <w:lvl w:ilvl="3" w:tplc="140A0001" w:tentative="1">
      <w:start w:val="1"/>
      <w:numFmt w:val="bullet"/>
      <w:lvlText w:val=""/>
      <w:lvlJc w:val="left"/>
      <w:pPr>
        <w:ind w:left="4664" w:hanging="360"/>
      </w:pPr>
      <w:rPr>
        <w:rFonts w:ascii="Symbol" w:hAnsi="Symbol" w:hint="default"/>
      </w:rPr>
    </w:lvl>
    <w:lvl w:ilvl="4" w:tplc="140A0003" w:tentative="1">
      <w:start w:val="1"/>
      <w:numFmt w:val="bullet"/>
      <w:lvlText w:val="o"/>
      <w:lvlJc w:val="left"/>
      <w:pPr>
        <w:ind w:left="5384" w:hanging="360"/>
      </w:pPr>
      <w:rPr>
        <w:rFonts w:ascii="Courier New" w:hAnsi="Courier New" w:cs="Courier New" w:hint="default"/>
      </w:rPr>
    </w:lvl>
    <w:lvl w:ilvl="5" w:tplc="140A0005" w:tentative="1">
      <w:start w:val="1"/>
      <w:numFmt w:val="bullet"/>
      <w:lvlText w:val=""/>
      <w:lvlJc w:val="left"/>
      <w:pPr>
        <w:ind w:left="6104" w:hanging="360"/>
      </w:pPr>
      <w:rPr>
        <w:rFonts w:ascii="Wingdings" w:hAnsi="Wingdings" w:hint="default"/>
      </w:rPr>
    </w:lvl>
    <w:lvl w:ilvl="6" w:tplc="140A0001" w:tentative="1">
      <w:start w:val="1"/>
      <w:numFmt w:val="bullet"/>
      <w:lvlText w:val=""/>
      <w:lvlJc w:val="left"/>
      <w:pPr>
        <w:ind w:left="6824" w:hanging="360"/>
      </w:pPr>
      <w:rPr>
        <w:rFonts w:ascii="Symbol" w:hAnsi="Symbol" w:hint="default"/>
      </w:rPr>
    </w:lvl>
    <w:lvl w:ilvl="7" w:tplc="140A0003" w:tentative="1">
      <w:start w:val="1"/>
      <w:numFmt w:val="bullet"/>
      <w:lvlText w:val="o"/>
      <w:lvlJc w:val="left"/>
      <w:pPr>
        <w:ind w:left="7544" w:hanging="360"/>
      </w:pPr>
      <w:rPr>
        <w:rFonts w:ascii="Courier New" w:hAnsi="Courier New" w:cs="Courier New" w:hint="default"/>
      </w:rPr>
    </w:lvl>
    <w:lvl w:ilvl="8" w:tplc="140A0005" w:tentative="1">
      <w:start w:val="1"/>
      <w:numFmt w:val="bullet"/>
      <w:lvlText w:val=""/>
      <w:lvlJc w:val="left"/>
      <w:pPr>
        <w:ind w:left="8264" w:hanging="360"/>
      </w:pPr>
      <w:rPr>
        <w:rFonts w:ascii="Wingdings" w:hAnsi="Wingdings" w:hint="default"/>
      </w:rPr>
    </w:lvl>
  </w:abstractNum>
  <w:abstractNum w:abstractNumId="18">
    <w:nsid w:val="12A271E9"/>
    <w:multiLevelType w:val="hybridMultilevel"/>
    <w:tmpl w:val="2A8CAAF2"/>
    <w:lvl w:ilvl="0" w:tplc="F27E89F0">
      <w:start w:val="1"/>
      <w:numFmt w:val="decimal"/>
      <w:lvlText w:val="B.2.%1"/>
      <w:lvlJc w:val="left"/>
      <w:pPr>
        <w:ind w:left="3196"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9CEA44BA">
      <w:start w:val="1"/>
      <w:numFmt w:val="decimal"/>
      <w:lvlText w:val="B.2.%4."/>
      <w:lvlJc w:val="right"/>
      <w:pPr>
        <w:ind w:left="2880" w:hanging="360"/>
      </w:pPr>
      <w:rPr>
        <w:rFonts w:hint="default"/>
      </w:r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9">
    <w:nsid w:val="17957589"/>
    <w:multiLevelType w:val="hybridMultilevel"/>
    <w:tmpl w:val="745211B4"/>
    <w:lvl w:ilvl="0" w:tplc="17A43CE8">
      <w:start w:val="1"/>
      <w:numFmt w:val="decimal"/>
      <w:lvlText w:val="B.%1."/>
      <w:lvlJc w:val="left"/>
      <w:pPr>
        <w:ind w:left="1636" w:hanging="360"/>
      </w:pPr>
      <w:rPr>
        <w:rFonts w:hint="default"/>
      </w:rPr>
    </w:lvl>
    <w:lvl w:ilvl="1" w:tplc="140A0019">
      <w:start w:val="1"/>
      <w:numFmt w:val="lowerLetter"/>
      <w:lvlText w:val="%2."/>
      <w:lvlJc w:val="left"/>
      <w:pPr>
        <w:ind w:left="1865" w:hanging="360"/>
      </w:pPr>
    </w:lvl>
    <w:lvl w:ilvl="2" w:tplc="140A001B" w:tentative="1">
      <w:start w:val="1"/>
      <w:numFmt w:val="lowerRoman"/>
      <w:lvlText w:val="%3."/>
      <w:lvlJc w:val="right"/>
      <w:pPr>
        <w:ind w:left="2585" w:hanging="180"/>
      </w:pPr>
    </w:lvl>
    <w:lvl w:ilvl="3" w:tplc="140A000F" w:tentative="1">
      <w:start w:val="1"/>
      <w:numFmt w:val="decimal"/>
      <w:lvlText w:val="%4."/>
      <w:lvlJc w:val="left"/>
      <w:pPr>
        <w:ind w:left="3305" w:hanging="360"/>
      </w:pPr>
    </w:lvl>
    <w:lvl w:ilvl="4" w:tplc="140A0019" w:tentative="1">
      <w:start w:val="1"/>
      <w:numFmt w:val="lowerLetter"/>
      <w:lvlText w:val="%5."/>
      <w:lvlJc w:val="left"/>
      <w:pPr>
        <w:ind w:left="4025" w:hanging="360"/>
      </w:pPr>
    </w:lvl>
    <w:lvl w:ilvl="5" w:tplc="140A001B" w:tentative="1">
      <w:start w:val="1"/>
      <w:numFmt w:val="lowerRoman"/>
      <w:lvlText w:val="%6."/>
      <w:lvlJc w:val="right"/>
      <w:pPr>
        <w:ind w:left="4745" w:hanging="180"/>
      </w:pPr>
    </w:lvl>
    <w:lvl w:ilvl="6" w:tplc="140A000F" w:tentative="1">
      <w:start w:val="1"/>
      <w:numFmt w:val="decimal"/>
      <w:lvlText w:val="%7."/>
      <w:lvlJc w:val="left"/>
      <w:pPr>
        <w:ind w:left="5465" w:hanging="360"/>
      </w:pPr>
    </w:lvl>
    <w:lvl w:ilvl="7" w:tplc="140A0019" w:tentative="1">
      <w:start w:val="1"/>
      <w:numFmt w:val="lowerLetter"/>
      <w:lvlText w:val="%8."/>
      <w:lvlJc w:val="left"/>
      <w:pPr>
        <w:ind w:left="6185" w:hanging="360"/>
      </w:pPr>
    </w:lvl>
    <w:lvl w:ilvl="8" w:tplc="140A001B" w:tentative="1">
      <w:start w:val="1"/>
      <w:numFmt w:val="lowerRoman"/>
      <w:lvlText w:val="%9."/>
      <w:lvlJc w:val="right"/>
      <w:pPr>
        <w:ind w:left="6905" w:hanging="180"/>
      </w:pPr>
    </w:lvl>
  </w:abstractNum>
  <w:abstractNum w:abstractNumId="20">
    <w:nsid w:val="19131B64"/>
    <w:multiLevelType w:val="hybridMultilevel"/>
    <w:tmpl w:val="B30C65C0"/>
    <w:lvl w:ilvl="0" w:tplc="D77C30A6">
      <w:start w:val="1"/>
      <w:numFmt w:val="upperLetter"/>
      <w:lvlText w:val="%1."/>
      <w:lvlJc w:val="left"/>
      <w:pPr>
        <w:ind w:left="1185" w:hanging="360"/>
      </w:pPr>
      <w:rPr>
        <w:rFonts w:ascii="Verdana" w:hAnsi="Verdana" w:hint="default"/>
        <w:b/>
        <w:color w:val="auto"/>
        <w:sz w:val="20"/>
        <w:szCs w:val="20"/>
      </w:rPr>
    </w:lvl>
    <w:lvl w:ilvl="1" w:tplc="04090019" w:tentative="1">
      <w:start w:val="1"/>
      <w:numFmt w:val="lowerLetter"/>
      <w:lvlText w:val="%2."/>
      <w:lvlJc w:val="left"/>
      <w:pPr>
        <w:ind w:left="2129" w:hanging="360"/>
      </w:pPr>
    </w:lvl>
    <w:lvl w:ilvl="2" w:tplc="0409001B" w:tentative="1">
      <w:start w:val="1"/>
      <w:numFmt w:val="lowerRoman"/>
      <w:lvlText w:val="%3."/>
      <w:lvlJc w:val="right"/>
      <w:pPr>
        <w:ind w:left="2849" w:hanging="180"/>
      </w:pPr>
    </w:lvl>
    <w:lvl w:ilvl="3" w:tplc="0409000F" w:tentative="1">
      <w:start w:val="1"/>
      <w:numFmt w:val="decimal"/>
      <w:lvlText w:val="%4."/>
      <w:lvlJc w:val="left"/>
      <w:pPr>
        <w:ind w:left="3569" w:hanging="360"/>
      </w:pPr>
    </w:lvl>
    <w:lvl w:ilvl="4" w:tplc="04090019" w:tentative="1">
      <w:start w:val="1"/>
      <w:numFmt w:val="lowerLetter"/>
      <w:lvlText w:val="%5."/>
      <w:lvlJc w:val="left"/>
      <w:pPr>
        <w:ind w:left="4289" w:hanging="360"/>
      </w:pPr>
    </w:lvl>
    <w:lvl w:ilvl="5" w:tplc="0409001B" w:tentative="1">
      <w:start w:val="1"/>
      <w:numFmt w:val="lowerRoman"/>
      <w:lvlText w:val="%6."/>
      <w:lvlJc w:val="right"/>
      <w:pPr>
        <w:ind w:left="5009" w:hanging="180"/>
      </w:pPr>
    </w:lvl>
    <w:lvl w:ilvl="6" w:tplc="0409000F" w:tentative="1">
      <w:start w:val="1"/>
      <w:numFmt w:val="decimal"/>
      <w:lvlText w:val="%7."/>
      <w:lvlJc w:val="left"/>
      <w:pPr>
        <w:ind w:left="5729" w:hanging="360"/>
      </w:pPr>
    </w:lvl>
    <w:lvl w:ilvl="7" w:tplc="04090019" w:tentative="1">
      <w:start w:val="1"/>
      <w:numFmt w:val="lowerLetter"/>
      <w:lvlText w:val="%8."/>
      <w:lvlJc w:val="left"/>
      <w:pPr>
        <w:ind w:left="6449" w:hanging="360"/>
      </w:pPr>
    </w:lvl>
    <w:lvl w:ilvl="8" w:tplc="0409001B" w:tentative="1">
      <w:start w:val="1"/>
      <w:numFmt w:val="lowerRoman"/>
      <w:lvlText w:val="%9."/>
      <w:lvlJc w:val="right"/>
      <w:pPr>
        <w:ind w:left="7169" w:hanging="180"/>
      </w:pPr>
    </w:lvl>
  </w:abstractNum>
  <w:abstractNum w:abstractNumId="21">
    <w:nsid w:val="19E94065"/>
    <w:multiLevelType w:val="hybridMultilevel"/>
    <w:tmpl w:val="54A6D5F4"/>
    <w:lvl w:ilvl="0" w:tplc="140A0001">
      <w:start w:val="1"/>
      <w:numFmt w:val="bullet"/>
      <w:lvlText w:val=""/>
      <w:lvlJc w:val="left"/>
      <w:pPr>
        <w:ind w:left="1931" w:hanging="360"/>
      </w:pPr>
      <w:rPr>
        <w:rFonts w:ascii="Symbol" w:hAnsi="Symbol" w:hint="default"/>
      </w:rPr>
    </w:lvl>
    <w:lvl w:ilvl="1" w:tplc="140A0003" w:tentative="1">
      <w:start w:val="1"/>
      <w:numFmt w:val="bullet"/>
      <w:lvlText w:val="o"/>
      <w:lvlJc w:val="left"/>
      <w:pPr>
        <w:ind w:left="2651" w:hanging="360"/>
      </w:pPr>
      <w:rPr>
        <w:rFonts w:ascii="Courier New" w:hAnsi="Courier New" w:cs="Courier New" w:hint="default"/>
      </w:rPr>
    </w:lvl>
    <w:lvl w:ilvl="2" w:tplc="140A0005" w:tentative="1">
      <w:start w:val="1"/>
      <w:numFmt w:val="bullet"/>
      <w:lvlText w:val=""/>
      <w:lvlJc w:val="left"/>
      <w:pPr>
        <w:ind w:left="3371" w:hanging="360"/>
      </w:pPr>
      <w:rPr>
        <w:rFonts w:ascii="Wingdings" w:hAnsi="Wingdings" w:hint="default"/>
      </w:rPr>
    </w:lvl>
    <w:lvl w:ilvl="3" w:tplc="140A0001" w:tentative="1">
      <w:start w:val="1"/>
      <w:numFmt w:val="bullet"/>
      <w:lvlText w:val=""/>
      <w:lvlJc w:val="left"/>
      <w:pPr>
        <w:ind w:left="4091" w:hanging="360"/>
      </w:pPr>
      <w:rPr>
        <w:rFonts w:ascii="Symbol" w:hAnsi="Symbol" w:hint="default"/>
      </w:rPr>
    </w:lvl>
    <w:lvl w:ilvl="4" w:tplc="140A0003" w:tentative="1">
      <w:start w:val="1"/>
      <w:numFmt w:val="bullet"/>
      <w:lvlText w:val="o"/>
      <w:lvlJc w:val="left"/>
      <w:pPr>
        <w:ind w:left="4811" w:hanging="360"/>
      </w:pPr>
      <w:rPr>
        <w:rFonts w:ascii="Courier New" w:hAnsi="Courier New" w:cs="Courier New" w:hint="default"/>
      </w:rPr>
    </w:lvl>
    <w:lvl w:ilvl="5" w:tplc="140A0005" w:tentative="1">
      <w:start w:val="1"/>
      <w:numFmt w:val="bullet"/>
      <w:lvlText w:val=""/>
      <w:lvlJc w:val="left"/>
      <w:pPr>
        <w:ind w:left="5531" w:hanging="360"/>
      </w:pPr>
      <w:rPr>
        <w:rFonts w:ascii="Wingdings" w:hAnsi="Wingdings" w:hint="default"/>
      </w:rPr>
    </w:lvl>
    <w:lvl w:ilvl="6" w:tplc="140A0001" w:tentative="1">
      <w:start w:val="1"/>
      <w:numFmt w:val="bullet"/>
      <w:lvlText w:val=""/>
      <w:lvlJc w:val="left"/>
      <w:pPr>
        <w:ind w:left="6251" w:hanging="360"/>
      </w:pPr>
      <w:rPr>
        <w:rFonts w:ascii="Symbol" w:hAnsi="Symbol" w:hint="default"/>
      </w:rPr>
    </w:lvl>
    <w:lvl w:ilvl="7" w:tplc="140A0003" w:tentative="1">
      <w:start w:val="1"/>
      <w:numFmt w:val="bullet"/>
      <w:lvlText w:val="o"/>
      <w:lvlJc w:val="left"/>
      <w:pPr>
        <w:ind w:left="6971" w:hanging="360"/>
      </w:pPr>
      <w:rPr>
        <w:rFonts w:ascii="Courier New" w:hAnsi="Courier New" w:cs="Courier New" w:hint="default"/>
      </w:rPr>
    </w:lvl>
    <w:lvl w:ilvl="8" w:tplc="140A0005" w:tentative="1">
      <w:start w:val="1"/>
      <w:numFmt w:val="bullet"/>
      <w:lvlText w:val=""/>
      <w:lvlJc w:val="left"/>
      <w:pPr>
        <w:ind w:left="7691" w:hanging="360"/>
      </w:pPr>
      <w:rPr>
        <w:rFonts w:ascii="Wingdings" w:hAnsi="Wingdings" w:hint="default"/>
      </w:rPr>
    </w:lvl>
  </w:abstractNum>
  <w:abstractNum w:abstractNumId="22">
    <w:nsid w:val="1A4F7BCB"/>
    <w:multiLevelType w:val="hybridMultilevel"/>
    <w:tmpl w:val="8BFE1D42"/>
    <w:lvl w:ilvl="0" w:tplc="0F3CB792">
      <w:start w:val="1"/>
      <w:numFmt w:val="decimal"/>
      <w:lvlText w:val="B.2.%1."/>
      <w:lvlJc w:val="left"/>
      <w:pPr>
        <w:ind w:left="3196" w:hanging="360"/>
      </w:pPr>
      <w:rPr>
        <w:rFonts w:hint="default"/>
      </w:rPr>
    </w:lvl>
    <w:lvl w:ilvl="1" w:tplc="140A0019" w:tentative="1">
      <w:start w:val="1"/>
      <w:numFmt w:val="lowerLetter"/>
      <w:lvlText w:val="%2."/>
      <w:lvlJc w:val="left"/>
      <w:pPr>
        <w:ind w:left="3916" w:hanging="360"/>
      </w:pPr>
    </w:lvl>
    <w:lvl w:ilvl="2" w:tplc="140A001B" w:tentative="1">
      <w:start w:val="1"/>
      <w:numFmt w:val="lowerRoman"/>
      <w:lvlText w:val="%3."/>
      <w:lvlJc w:val="right"/>
      <w:pPr>
        <w:ind w:left="4636" w:hanging="180"/>
      </w:pPr>
    </w:lvl>
    <w:lvl w:ilvl="3" w:tplc="140A000F" w:tentative="1">
      <w:start w:val="1"/>
      <w:numFmt w:val="decimal"/>
      <w:lvlText w:val="%4."/>
      <w:lvlJc w:val="left"/>
      <w:pPr>
        <w:ind w:left="5356" w:hanging="360"/>
      </w:pPr>
    </w:lvl>
    <w:lvl w:ilvl="4" w:tplc="140A0019" w:tentative="1">
      <w:start w:val="1"/>
      <w:numFmt w:val="lowerLetter"/>
      <w:lvlText w:val="%5."/>
      <w:lvlJc w:val="left"/>
      <w:pPr>
        <w:ind w:left="6076" w:hanging="360"/>
      </w:pPr>
    </w:lvl>
    <w:lvl w:ilvl="5" w:tplc="140A001B" w:tentative="1">
      <w:start w:val="1"/>
      <w:numFmt w:val="lowerRoman"/>
      <w:lvlText w:val="%6."/>
      <w:lvlJc w:val="right"/>
      <w:pPr>
        <w:ind w:left="6796" w:hanging="180"/>
      </w:pPr>
    </w:lvl>
    <w:lvl w:ilvl="6" w:tplc="140A000F" w:tentative="1">
      <w:start w:val="1"/>
      <w:numFmt w:val="decimal"/>
      <w:lvlText w:val="%7."/>
      <w:lvlJc w:val="left"/>
      <w:pPr>
        <w:ind w:left="7516" w:hanging="360"/>
      </w:pPr>
    </w:lvl>
    <w:lvl w:ilvl="7" w:tplc="140A0019" w:tentative="1">
      <w:start w:val="1"/>
      <w:numFmt w:val="lowerLetter"/>
      <w:lvlText w:val="%8."/>
      <w:lvlJc w:val="left"/>
      <w:pPr>
        <w:ind w:left="8236" w:hanging="360"/>
      </w:pPr>
    </w:lvl>
    <w:lvl w:ilvl="8" w:tplc="140A001B" w:tentative="1">
      <w:start w:val="1"/>
      <w:numFmt w:val="lowerRoman"/>
      <w:lvlText w:val="%9."/>
      <w:lvlJc w:val="right"/>
      <w:pPr>
        <w:ind w:left="8956" w:hanging="180"/>
      </w:pPr>
    </w:lvl>
  </w:abstractNum>
  <w:abstractNum w:abstractNumId="23">
    <w:nsid w:val="1AB30C1F"/>
    <w:multiLevelType w:val="hybridMultilevel"/>
    <w:tmpl w:val="40403AEE"/>
    <w:lvl w:ilvl="0" w:tplc="17A43CE8">
      <w:start w:val="1"/>
      <w:numFmt w:val="decimal"/>
      <w:lvlText w:val="B.%1."/>
      <w:lvlJc w:val="left"/>
      <w:pPr>
        <w:ind w:left="2770" w:hanging="360"/>
      </w:pPr>
      <w:rPr>
        <w:rFonts w:hint="default"/>
      </w:rPr>
    </w:lvl>
    <w:lvl w:ilvl="1" w:tplc="140A0019" w:tentative="1">
      <w:start w:val="1"/>
      <w:numFmt w:val="lowerLetter"/>
      <w:lvlText w:val="%2."/>
      <w:lvlJc w:val="left"/>
      <w:pPr>
        <w:ind w:left="2574" w:hanging="360"/>
      </w:pPr>
    </w:lvl>
    <w:lvl w:ilvl="2" w:tplc="140A001B" w:tentative="1">
      <w:start w:val="1"/>
      <w:numFmt w:val="lowerRoman"/>
      <w:lvlText w:val="%3."/>
      <w:lvlJc w:val="right"/>
      <w:pPr>
        <w:ind w:left="3294" w:hanging="180"/>
      </w:pPr>
    </w:lvl>
    <w:lvl w:ilvl="3" w:tplc="140A000F" w:tentative="1">
      <w:start w:val="1"/>
      <w:numFmt w:val="decimal"/>
      <w:lvlText w:val="%4."/>
      <w:lvlJc w:val="left"/>
      <w:pPr>
        <w:ind w:left="4014" w:hanging="360"/>
      </w:pPr>
    </w:lvl>
    <w:lvl w:ilvl="4" w:tplc="140A0019" w:tentative="1">
      <w:start w:val="1"/>
      <w:numFmt w:val="lowerLetter"/>
      <w:lvlText w:val="%5."/>
      <w:lvlJc w:val="left"/>
      <w:pPr>
        <w:ind w:left="4734" w:hanging="360"/>
      </w:pPr>
    </w:lvl>
    <w:lvl w:ilvl="5" w:tplc="140A001B" w:tentative="1">
      <w:start w:val="1"/>
      <w:numFmt w:val="lowerRoman"/>
      <w:lvlText w:val="%6."/>
      <w:lvlJc w:val="right"/>
      <w:pPr>
        <w:ind w:left="5454" w:hanging="180"/>
      </w:pPr>
    </w:lvl>
    <w:lvl w:ilvl="6" w:tplc="140A000F" w:tentative="1">
      <w:start w:val="1"/>
      <w:numFmt w:val="decimal"/>
      <w:lvlText w:val="%7."/>
      <w:lvlJc w:val="left"/>
      <w:pPr>
        <w:ind w:left="6174" w:hanging="360"/>
      </w:pPr>
    </w:lvl>
    <w:lvl w:ilvl="7" w:tplc="140A0019" w:tentative="1">
      <w:start w:val="1"/>
      <w:numFmt w:val="lowerLetter"/>
      <w:lvlText w:val="%8."/>
      <w:lvlJc w:val="left"/>
      <w:pPr>
        <w:ind w:left="6894" w:hanging="360"/>
      </w:pPr>
    </w:lvl>
    <w:lvl w:ilvl="8" w:tplc="140A001B" w:tentative="1">
      <w:start w:val="1"/>
      <w:numFmt w:val="lowerRoman"/>
      <w:lvlText w:val="%9."/>
      <w:lvlJc w:val="right"/>
      <w:pPr>
        <w:ind w:left="7614" w:hanging="180"/>
      </w:pPr>
    </w:lvl>
  </w:abstractNum>
  <w:abstractNum w:abstractNumId="24">
    <w:nsid w:val="1D531FFE"/>
    <w:multiLevelType w:val="hybridMultilevel"/>
    <w:tmpl w:val="C6E017C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1D8829E3"/>
    <w:multiLevelType w:val="hybridMultilevel"/>
    <w:tmpl w:val="7A24379C"/>
    <w:lvl w:ilvl="0" w:tplc="140A001B">
      <w:start w:val="1"/>
      <w:numFmt w:val="lowerRoman"/>
      <w:lvlText w:val="%1."/>
      <w:lvlJc w:val="right"/>
      <w:pPr>
        <w:ind w:left="1440" w:hanging="360"/>
      </w:pPr>
      <w:rPr>
        <w:rFonts w:hint="default"/>
      </w:rPr>
    </w:lvl>
    <w:lvl w:ilvl="1" w:tplc="140A0003" w:tentative="1">
      <w:start w:val="1"/>
      <w:numFmt w:val="bullet"/>
      <w:lvlText w:val="o"/>
      <w:lvlJc w:val="left"/>
      <w:pPr>
        <w:ind w:left="2160" w:hanging="360"/>
      </w:pPr>
      <w:rPr>
        <w:rFonts w:ascii="Courier New" w:hAnsi="Courier New" w:cs="Courier New" w:hint="default"/>
      </w:rPr>
    </w:lvl>
    <w:lvl w:ilvl="2" w:tplc="140A0005" w:tentative="1">
      <w:start w:val="1"/>
      <w:numFmt w:val="bullet"/>
      <w:lvlText w:val=""/>
      <w:lvlJc w:val="left"/>
      <w:pPr>
        <w:ind w:left="2880" w:hanging="360"/>
      </w:pPr>
      <w:rPr>
        <w:rFonts w:ascii="Wingdings" w:hAnsi="Wingdings" w:hint="default"/>
      </w:rPr>
    </w:lvl>
    <w:lvl w:ilvl="3" w:tplc="140A0001" w:tentative="1">
      <w:start w:val="1"/>
      <w:numFmt w:val="bullet"/>
      <w:lvlText w:val=""/>
      <w:lvlJc w:val="left"/>
      <w:pPr>
        <w:ind w:left="3600" w:hanging="360"/>
      </w:pPr>
      <w:rPr>
        <w:rFonts w:ascii="Symbol" w:hAnsi="Symbol" w:hint="default"/>
      </w:rPr>
    </w:lvl>
    <w:lvl w:ilvl="4" w:tplc="140A0003" w:tentative="1">
      <w:start w:val="1"/>
      <w:numFmt w:val="bullet"/>
      <w:lvlText w:val="o"/>
      <w:lvlJc w:val="left"/>
      <w:pPr>
        <w:ind w:left="4320" w:hanging="360"/>
      </w:pPr>
      <w:rPr>
        <w:rFonts w:ascii="Courier New" w:hAnsi="Courier New" w:cs="Courier New" w:hint="default"/>
      </w:rPr>
    </w:lvl>
    <w:lvl w:ilvl="5" w:tplc="140A0005" w:tentative="1">
      <w:start w:val="1"/>
      <w:numFmt w:val="bullet"/>
      <w:lvlText w:val=""/>
      <w:lvlJc w:val="left"/>
      <w:pPr>
        <w:ind w:left="5040" w:hanging="360"/>
      </w:pPr>
      <w:rPr>
        <w:rFonts w:ascii="Wingdings" w:hAnsi="Wingdings" w:hint="default"/>
      </w:rPr>
    </w:lvl>
    <w:lvl w:ilvl="6" w:tplc="140A0001" w:tentative="1">
      <w:start w:val="1"/>
      <w:numFmt w:val="bullet"/>
      <w:lvlText w:val=""/>
      <w:lvlJc w:val="left"/>
      <w:pPr>
        <w:ind w:left="5760" w:hanging="360"/>
      </w:pPr>
      <w:rPr>
        <w:rFonts w:ascii="Symbol" w:hAnsi="Symbol" w:hint="default"/>
      </w:rPr>
    </w:lvl>
    <w:lvl w:ilvl="7" w:tplc="140A0003" w:tentative="1">
      <w:start w:val="1"/>
      <w:numFmt w:val="bullet"/>
      <w:lvlText w:val="o"/>
      <w:lvlJc w:val="left"/>
      <w:pPr>
        <w:ind w:left="6480" w:hanging="360"/>
      </w:pPr>
      <w:rPr>
        <w:rFonts w:ascii="Courier New" w:hAnsi="Courier New" w:cs="Courier New" w:hint="default"/>
      </w:rPr>
    </w:lvl>
    <w:lvl w:ilvl="8" w:tplc="140A0005" w:tentative="1">
      <w:start w:val="1"/>
      <w:numFmt w:val="bullet"/>
      <w:lvlText w:val=""/>
      <w:lvlJc w:val="left"/>
      <w:pPr>
        <w:ind w:left="7200" w:hanging="360"/>
      </w:pPr>
      <w:rPr>
        <w:rFonts w:ascii="Wingdings" w:hAnsi="Wingdings" w:hint="default"/>
      </w:rPr>
    </w:lvl>
  </w:abstractNum>
  <w:abstractNum w:abstractNumId="26">
    <w:nsid w:val="1FDF7049"/>
    <w:multiLevelType w:val="hybridMultilevel"/>
    <w:tmpl w:val="F104D1B6"/>
    <w:lvl w:ilvl="0" w:tplc="58705160">
      <w:start w:val="1"/>
      <w:numFmt w:val="decimal"/>
      <w:lvlText w:val="E.2.%1."/>
      <w:lvlJc w:val="left"/>
      <w:pPr>
        <w:ind w:left="1778" w:hanging="360"/>
      </w:pPr>
      <w:rPr>
        <w:rFonts w:hint="default"/>
        <w:b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7">
    <w:nsid w:val="1FE30BBC"/>
    <w:multiLevelType w:val="hybridMultilevel"/>
    <w:tmpl w:val="DAB00F72"/>
    <w:lvl w:ilvl="0" w:tplc="0F3CB792">
      <w:start w:val="1"/>
      <w:numFmt w:val="decimal"/>
      <w:pStyle w:val="Heading9"/>
      <w:lvlText w:val="B.2.%1."/>
      <w:lvlJc w:val="left"/>
      <w:pPr>
        <w:ind w:left="2496"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8">
    <w:nsid w:val="225A002E"/>
    <w:multiLevelType w:val="hybridMultilevel"/>
    <w:tmpl w:val="8710F224"/>
    <w:lvl w:ilvl="0" w:tplc="E66E9EE2">
      <w:start w:val="1"/>
      <w:numFmt w:val="lowerRoman"/>
      <w:lvlText w:val="(%1)"/>
      <w:lvlJc w:val="left"/>
      <w:pPr>
        <w:ind w:left="5164" w:hanging="720"/>
      </w:pPr>
    </w:lvl>
    <w:lvl w:ilvl="1" w:tplc="04090019">
      <w:start w:val="1"/>
      <w:numFmt w:val="lowerLetter"/>
      <w:lvlText w:val="%2."/>
      <w:lvlJc w:val="left"/>
      <w:pPr>
        <w:ind w:left="5524" w:hanging="360"/>
      </w:pPr>
    </w:lvl>
    <w:lvl w:ilvl="2" w:tplc="0409001B" w:tentative="1">
      <w:start w:val="1"/>
      <w:numFmt w:val="lowerRoman"/>
      <w:lvlText w:val="%3."/>
      <w:lvlJc w:val="right"/>
      <w:pPr>
        <w:ind w:left="6244" w:hanging="180"/>
      </w:pPr>
    </w:lvl>
    <w:lvl w:ilvl="3" w:tplc="0409000F" w:tentative="1">
      <w:start w:val="1"/>
      <w:numFmt w:val="decimal"/>
      <w:lvlText w:val="%4."/>
      <w:lvlJc w:val="left"/>
      <w:pPr>
        <w:ind w:left="6964" w:hanging="360"/>
      </w:pPr>
    </w:lvl>
    <w:lvl w:ilvl="4" w:tplc="04090019" w:tentative="1">
      <w:start w:val="1"/>
      <w:numFmt w:val="lowerLetter"/>
      <w:lvlText w:val="%5."/>
      <w:lvlJc w:val="left"/>
      <w:pPr>
        <w:ind w:left="7684" w:hanging="360"/>
      </w:pPr>
    </w:lvl>
    <w:lvl w:ilvl="5" w:tplc="0409001B" w:tentative="1">
      <w:start w:val="1"/>
      <w:numFmt w:val="lowerRoman"/>
      <w:lvlText w:val="%6."/>
      <w:lvlJc w:val="right"/>
      <w:pPr>
        <w:ind w:left="8404" w:hanging="180"/>
      </w:pPr>
    </w:lvl>
    <w:lvl w:ilvl="6" w:tplc="0409000F" w:tentative="1">
      <w:start w:val="1"/>
      <w:numFmt w:val="decimal"/>
      <w:lvlText w:val="%7."/>
      <w:lvlJc w:val="left"/>
      <w:pPr>
        <w:ind w:left="9124" w:hanging="360"/>
      </w:pPr>
    </w:lvl>
    <w:lvl w:ilvl="7" w:tplc="04090019" w:tentative="1">
      <w:start w:val="1"/>
      <w:numFmt w:val="lowerLetter"/>
      <w:lvlText w:val="%8."/>
      <w:lvlJc w:val="left"/>
      <w:pPr>
        <w:ind w:left="9844" w:hanging="360"/>
      </w:pPr>
    </w:lvl>
    <w:lvl w:ilvl="8" w:tplc="0409001B" w:tentative="1">
      <w:start w:val="1"/>
      <w:numFmt w:val="lowerRoman"/>
      <w:lvlText w:val="%9."/>
      <w:lvlJc w:val="right"/>
      <w:pPr>
        <w:ind w:left="10564" w:hanging="180"/>
      </w:pPr>
    </w:lvl>
  </w:abstractNum>
  <w:abstractNum w:abstractNumId="29">
    <w:nsid w:val="23FB00EE"/>
    <w:multiLevelType w:val="hybridMultilevel"/>
    <w:tmpl w:val="90629452"/>
    <w:lvl w:ilvl="0" w:tplc="1BB8E434">
      <w:start w:val="1"/>
      <w:numFmt w:val="decimal"/>
      <w:lvlText w:val="C.3.%1."/>
      <w:lvlJc w:val="left"/>
      <w:pPr>
        <w:ind w:left="2504"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0">
    <w:nsid w:val="248E27BF"/>
    <w:multiLevelType w:val="hybridMultilevel"/>
    <w:tmpl w:val="C1A8BF66"/>
    <w:lvl w:ilvl="0" w:tplc="2AE2873E">
      <w:start w:val="1"/>
      <w:numFmt w:val="decimal"/>
      <w:pStyle w:val="Heading8"/>
      <w:lvlText w:val="D.6.%1."/>
      <w:lvlJc w:val="left"/>
      <w:pPr>
        <w:ind w:left="2496"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1">
    <w:nsid w:val="282B2C20"/>
    <w:multiLevelType w:val="hybridMultilevel"/>
    <w:tmpl w:val="F6B40A4A"/>
    <w:lvl w:ilvl="0" w:tplc="140A0001">
      <w:start w:val="1"/>
      <w:numFmt w:val="bullet"/>
      <w:lvlText w:val=""/>
      <w:lvlJc w:val="left"/>
      <w:pPr>
        <w:ind w:left="2498" w:hanging="360"/>
      </w:pPr>
      <w:rPr>
        <w:rFonts w:ascii="Symbol" w:hAnsi="Symbol" w:hint="default"/>
      </w:rPr>
    </w:lvl>
    <w:lvl w:ilvl="1" w:tplc="140A0003" w:tentative="1">
      <w:start w:val="1"/>
      <w:numFmt w:val="bullet"/>
      <w:lvlText w:val="o"/>
      <w:lvlJc w:val="left"/>
      <w:pPr>
        <w:ind w:left="3218" w:hanging="360"/>
      </w:pPr>
      <w:rPr>
        <w:rFonts w:ascii="Courier New" w:hAnsi="Courier New" w:cs="Courier New" w:hint="default"/>
      </w:rPr>
    </w:lvl>
    <w:lvl w:ilvl="2" w:tplc="140A0005" w:tentative="1">
      <w:start w:val="1"/>
      <w:numFmt w:val="bullet"/>
      <w:lvlText w:val=""/>
      <w:lvlJc w:val="left"/>
      <w:pPr>
        <w:ind w:left="3938" w:hanging="360"/>
      </w:pPr>
      <w:rPr>
        <w:rFonts w:ascii="Wingdings" w:hAnsi="Wingdings" w:hint="default"/>
      </w:rPr>
    </w:lvl>
    <w:lvl w:ilvl="3" w:tplc="140A0001" w:tentative="1">
      <w:start w:val="1"/>
      <w:numFmt w:val="bullet"/>
      <w:lvlText w:val=""/>
      <w:lvlJc w:val="left"/>
      <w:pPr>
        <w:ind w:left="4658" w:hanging="360"/>
      </w:pPr>
      <w:rPr>
        <w:rFonts w:ascii="Symbol" w:hAnsi="Symbol" w:hint="default"/>
      </w:rPr>
    </w:lvl>
    <w:lvl w:ilvl="4" w:tplc="140A0003" w:tentative="1">
      <w:start w:val="1"/>
      <w:numFmt w:val="bullet"/>
      <w:lvlText w:val="o"/>
      <w:lvlJc w:val="left"/>
      <w:pPr>
        <w:ind w:left="5378" w:hanging="360"/>
      </w:pPr>
      <w:rPr>
        <w:rFonts w:ascii="Courier New" w:hAnsi="Courier New" w:cs="Courier New" w:hint="default"/>
      </w:rPr>
    </w:lvl>
    <w:lvl w:ilvl="5" w:tplc="140A0005" w:tentative="1">
      <w:start w:val="1"/>
      <w:numFmt w:val="bullet"/>
      <w:lvlText w:val=""/>
      <w:lvlJc w:val="left"/>
      <w:pPr>
        <w:ind w:left="6098" w:hanging="360"/>
      </w:pPr>
      <w:rPr>
        <w:rFonts w:ascii="Wingdings" w:hAnsi="Wingdings" w:hint="default"/>
      </w:rPr>
    </w:lvl>
    <w:lvl w:ilvl="6" w:tplc="140A0001" w:tentative="1">
      <w:start w:val="1"/>
      <w:numFmt w:val="bullet"/>
      <w:lvlText w:val=""/>
      <w:lvlJc w:val="left"/>
      <w:pPr>
        <w:ind w:left="6818" w:hanging="360"/>
      </w:pPr>
      <w:rPr>
        <w:rFonts w:ascii="Symbol" w:hAnsi="Symbol" w:hint="default"/>
      </w:rPr>
    </w:lvl>
    <w:lvl w:ilvl="7" w:tplc="140A0003" w:tentative="1">
      <w:start w:val="1"/>
      <w:numFmt w:val="bullet"/>
      <w:lvlText w:val="o"/>
      <w:lvlJc w:val="left"/>
      <w:pPr>
        <w:ind w:left="7538" w:hanging="360"/>
      </w:pPr>
      <w:rPr>
        <w:rFonts w:ascii="Courier New" w:hAnsi="Courier New" w:cs="Courier New" w:hint="default"/>
      </w:rPr>
    </w:lvl>
    <w:lvl w:ilvl="8" w:tplc="140A0005" w:tentative="1">
      <w:start w:val="1"/>
      <w:numFmt w:val="bullet"/>
      <w:lvlText w:val=""/>
      <w:lvlJc w:val="left"/>
      <w:pPr>
        <w:ind w:left="8258" w:hanging="360"/>
      </w:pPr>
      <w:rPr>
        <w:rFonts w:ascii="Wingdings" w:hAnsi="Wingdings" w:hint="default"/>
      </w:rPr>
    </w:lvl>
  </w:abstractNum>
  <w:abstractNum w:abstractNumId="32">
    <w:nsid w:val="29462FD0"/>
    <w:multiLevelType w:val="hybridMultilevel"/>
    <w:tmpl w:val="0284F398"/>
    <w:lvl w:ilvl="0" w:tplc="140A0001">
      <w:start w:val="1"/>
      <w:numFmt w:val="bullet"/>
      <w:lvlText w:val=""/>
      <w:lvlJc w:val="left"/>
      <w:pPr>
        <w:ind w:left="786" w:hanging="360"/>
      </w:pPr>
      <w:rPr>
        <w:rFonts w:ascii="Symbol" w:hAnsi="Symbol" w:hint="default"/>
      </w:rPr>
    </w:lvl>
    <w:lvl w:ilvl="1" w:tplc="140A0003" w:tentative="1">
      <w:start w:val="1"/>
      <w:numFmt w:val="bullet"/>
      <w:lvlText w:val="o"/>
      <w:lvlJc w:val="left"/>
      <w:pPr>
        <w:ind w:left="1790" w:hanging="360"/>
      </w:pPr>
      <w:rPr>
        <w:rFonts w:ascii="Courier New" w:hAnsi="Courier New" w:cs="Courier New" w:hint="default"/>
      </w:rPr>
    </w:lvl>
    <w:lvl w:ilvl="2" w:tplc="140A0005" w:tentative="1">
      <w:start w:val="1"/>
      <w:numFmt w:val="bullet"/>
      <w:lvlText w:val=""/>
      <w:lvlJc w:val="left"/>
      <w:pPr>
        <w:ind w:left="2510" w:hanging="360"/>
      </w:pPr>
      <w:rPr>
        <w:rFonts w:ascii="Wingdings" w:hAnsi="Wingdings" w:hint="default"/>
      </w:rPr>
    </w:lvl>
    <w:lvl w:ilvl="3" w:tplc="140A0001" w:tentative="1">
      <w:start w:val="1"/>
      <w:numFmt w:val="bullet"/>
      <w:lvlText w:val=""/>
      <w:lvlJc w:val="left"/>
      <w:pPr>
        <w:ind w:left="3230" w:hanging="360"/>
      </w:pPr>
      <w:rPr>
        <w:rFonts w:ascii="Symbol" w:hAnsi="Symbol" w:hint="default"/>
      </w:rPr>
    </w:lvl>
    <w:lvl w:ilvl="4" w:tplc="140A0003" w:tentative="1">
      <w:start w:val="1"/>
      <w:numFmt w:val="bullet"/>
      <w:lvlText w:val="o"/>
      <w:lvlJc w:val="left"/>
      <w:pPr>
        <w:ind w:left="3950" w:hanging="360"/>
      </w:pPr>
      <w:rPr>
        <w:rFonts w:ascii="Courier New" w:hAnsi="Courier New" w:cs="Courier New" w:hint="default"/>
      </w:rPr>
    </w:lvl>
    <w:lvl w:ilvl="5" w:tplc="140A0005" w:tentative="1">
      <w:start w:val="1"/>
      <w:numFmt w:val="bullet"/>
      <w:lvlText w:val=""/>
      <w:lvlJc w:val="left"/>
      <w:pPr>
        <w:ind w:left="4670" w:hanging="360"/>
      </w:pPr>
      <w:rPr>
        <w:rFonts w:ascii="Wingdings" w:hAnsi="Wingdings" w:hint="default"/>
      </w:rPr>
    </w:lvl>
    <w:lvl w:ilvl="6" w:tplc="140A0001" w:tentative="1">
      <w:start w:val="1"/>
      <w:numFmt w:val="bullet"/>
      <w:lvlText w:val=""/>
      <w:lvlJc w:val="left"/>
      <w:pPr>
        <w:ind w:left="5390" w:hanging="360"/>
      </w:pPr>
      <w:rPr>
        <w:rFonts w:ascii="Symbol" w:hAnsi="Symbol" w:hint="default"/>
      </w:rPr>
    </w:lvl>
    <w:lvl w:ilvl="7" w:tplc="140A0003" w:tentative="1">
      <w:start w:val="1"/>
      <w:numFmt w:val="bullet"/>
      <w:lvlText w:val="o"/>
      <w:lvlJc w:val="left"/>
      <w:pPr>
        <w:ind w:left="6110" w:hanging="360"/>
      </w:pPr>
      <w:rPr>
        <w:rFonts w:ascii="Courier New" w:hAnsi="Courier New" w:cs="Courier New" w:hint="default"/>
      </w:rPr>
    </w:lvl>
    <w:lvl w:ilvl="8" w:tplc="140A0005" w:tentative="1">
      <w:start w:val="1"/>
      <w:numFmt w:val="bullet"/>
      <w:lvlText w:val=""/>
      <w:lvlJc w:val="left"/>
      <w:pPr>
        <w:ind w:left="6830" w:hanging="360"/>
      </w:pPr>
      <w:rPr>
        <w:rFonts w:ascii="Wingdings" w:hAnsi="Wingdings" w:hint="default"/>
      </w:rPr>
    </w:lvl>
  </w:abstractNum>
  <w:abstractNum w:abstractNumId="33">
    <w:nsid w:val="2C420DB2"/>
    <w:multiLevelType w:val="hybridMultilevel"/>
    <w:tmpl w:val="249CB76A"/>
    <w:lvl w:ilvl="0" w:tplc="140A0001">
      <w:start w:val="1"/>
      <w:numFmt w:val="bullet"/>
      <w:lvlText w:val=""/>
      <w:lvlJc w:val="left"/>
      <w:pPr>
        <w:ind w:left="1392" w:hanging="825"/>
      </w:pPr>
      <w:rPr>
        <w:rFonts w:ascii="Symbol" w:hAnsi="Symbol" w:hint="default"/>
        <w:b w:val="0"/>
        <w:i w:val="0"/>
        <w:strike w:val="0"/>
        <w:color w:val="auto"/>
        <w:sz w:val="20"/>
        <w:szCs w:val="20"/>
        <w:lang w:val="es-GT"/>
      </w:rPr>
    </w:lvl>
    <w:lvl w:ilvl="1" w:tplc="140A0019">
      <w:start w:val="1"/>
      <w:numFmt w:val="lowerLetter"/>
      <w:lvlText w:val="%2."/>
      <w:lvlJc w:val="left"/>
      <w:pPr>
        <w:ind w:left="2007" w:hanging="360"/>
      </w:pPr>
    </w:lvl>
    <w:lvl w:ilvl="2" w:tplc="811CA528">
      <w:start w:val="1"/>
      <w:numFmt w:val="lowerRoman"/>
      <w:lvlText w:val="%3."/>
      <w:lvlJc w:val="right"/>
      <w:pPr>
        <w:ind w:left="1598" w:hanging="180"/>
      </w:pPr>
      <w:rPr>
        <w:rFonts w:ascii="Verdana" w:eastAsia="Batang" w:hAnsi="Verdana" w:cstheme="minorBidi"/>
        <w:i w:val="0"/>
      </w:rPr>
    </w:lvl>
    <w:lvl w:ilvl="3" w:tplc="664CD6A6">
      <w:start w:val="1"/>
      <w:numFmt w:val="decimal"/>
      <w:lvlText w:val="D.7.%4."/>
      <w:lvlJc w:val="left"/>
      <w:pPr>
        <w:ind w:left="3447" w:hanging="360"/>
      </w:pPr>
      <w:rPr>
        <w:rFonts w:hint="default"/>
        <w:lang w:val="es-AR"/>
      </w:rPr>
    </w:lvl>
    <w:lvl w:ilvl="4" w:tplc="140A0019">
      <w:start w:val="1"/>
      <w:numFmt w:val="lowerLetter"/>
      <w:lvlText w:val="%5."/>
      <w:lvlJc w:val="left"/>
      <w:pPr>
        <w:ind w:left="4167" w:hanging="360"/>
      </w:pPr>
    </w:lvl>
    <w:lvl w:ilvl="5" w:tplc="140A001B">
      <w:start w:val="1"/>
      <w:numFmt w:val="lowerRoman"/>
      <w:lvlText w:val="%6."/>
      <w:lvlJc w:val="right"/>
      <w:pPr>
        <w:ind w:left="4887" w:hanging="180"/>
      </w:pPr>
    </w:lvl>
    <w:lvl w:ilvl="6" w:tplc="5B9ABF92">
      <w:start w:val="1"/>
      <w:numFmt w:val="decimal"/>
      <w:lvlText w:val="A.%7."/>
      <w:lvlJc w:val="left"/>
      <w:pPr>
        <w:ind w:left="2345" w:hanging="360"/>
      </w:pPr>
      <w:rPr>
        <w:rFonts w:hint="default"/>
        <w:b w:val="0"/>
        <w:i/>
      </w:rPr>
    </w:lvl>
    <w:lvl w:ilvl="7" w:tplc="140A0019">
      <w:start w:val="1"/>
      <w:numFmt w:val="lowerLetter"/>
      <w:lvlText w:val="%8."/>
      <w:lvlJc w:val="left"/>
      <w:pPr>
        <w:ind w:left="6327" w:hanging="360"/>
      </w:pPr>
    </w:lvl>
    <w:lvl w:ilvl="8" w:tplc="140A001B">
      <w:start w:val="1"/>
      <w:numFmt w:val="lowerRoman"/>
      <w:lvlText w:val="%9."/>
      <w:lvlJc w:val="right"/>
      <w:pPr>
        <w:ind w:left="7047" w:hanging="180"/>
      </w:pPr>
    </w:lvl>
  </w:abstractNum>
  <w:abstractNum w:abstractNumId="34">
    <w:nsid w:val="2F587DBB"/>
    <w:multiLevelType w:val="hybridMultilevel"/>
    <w:tmpl w:val="7CAE989C"/>
    <w:lvl w:ilvl="0" w:tplc="89D66674">
      <w:start w:val="1"/>
      <w:numFmt w:val="upperLetter"/>
      <w:lvlText w:val="%1."/>
      <w:lvlJc w:val="left"/>
      <w:pPr>
        <w:ind w:left="720" w:hanging="360"/>
      </w:pPr>
      <w:rPr>
        <w:rFonts w:hint="default"/>
        <w:b/>
        <w:color w:val="auto"/>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5">
    <w:nsid w:val="314C6852"/>
    <w:multiLevelType w:val="hybridMultilevel"/>
    <w:tmpl w:val="439AFD9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36A7656C"/>
    <w:multiLevelType w:val="hybridMultilevel"/>
    <w:tmpl w:val="B7BA066C"/>
    <w:lvl w:ilvl="0" w:tplc="C2DAA57A">
      <w:start w:val="1"/>
      <w:numFmt w:val="upperLetter"/>
      <w:pStyle w:val="Heading3"/>
      <w:lvlText w:val="%1."/>
      <w:lvlJc w:val="left"/>
      <w:pPr>
        <w:ind w:left="786" w:hanging="360"/>
      </w:pPr>
      <w:rPr>
        <w:rFonts w:hint="default"/>
        <w:b/>
        <w:i/>
      </w:rPr>
    </w:lvl>
    <w:lvl w:ilvl="1" w:tplc="B1BE33EE">
      <w:start w:val="1"/>
      <w:numFmt w:val="lowerRoman"/>
      <w:lvlText w:val="%2."/>
      <w:lvlJc w:val="left"/>
      <w:pPr>
        <w:ind w:left="219" w:hanging="360"/>
      </w:pPr>
      <w:rPr>
        <w:rFonts w:ascii="Verdana" w:eastAsia="Batang" w:hAnsi="Verdana" w:cstheme="minorBidi"/>
      </w:rPr>
    </w:lvl>
    <w:lvl w:ilvl="2" w:tplc="0409001B">
      <w:start w:val="1"/>
      <w:numFmt w:val="lowerRoman"/>
      <w:lvlText w:val="%3."/>
      <w:lvlJc w:val="right"/>
      <w:pPr>
        <w:ind w:left="1309" w:hanging="180"/>
      </w:pPr>
    </w:lvl>
    <w:lvl w:ilvl="3" w:tplc="B50ACB34">
      <w:start w:val="1"/>
      <w:numFmt w:val="decimal"/>
      <w:lvlText w:val="%4."/>
      <w:lvlJc w:val="left"/>
      <w:pPr>
        <w:ind w:left="2029" w:hanging="360"/>
      </w:pPr>
      <w:rPr>
        <w:rFonts w:ascii="Verdana" w:hAnsi="Verdana" w:hint="default"/>
        <w:i w:val="0"/>
        <w:sz w:val="20"/>
        <w:szCs w:val="20"/>
      </w:rPr>
    </w:lvl>
    <w:lvl w:ilvl="4" w:tplc="04090019" w:tentative="1">
      <w:start w:val="1"/>
      <w:numFmt w:val="lowerLetter"/>
      <w:lvlText w:val="%5."/>
      <w:lvlJc w:val="left"/>
      <w:pPr>
        <w:ind w:left="2749" w:hanging="360"/>
      </w:pPr>
    </w:lvl>
    <w:lvl w:ilvl="5" w:tplc="0409001B" w:tentative="1">
      <w:start w:val="1"/>
      <w:numFmt w:val="lowerRoman"/>
      <w:lvlText w:val="%6."/>
      <w:lvlJc w:val="right"/>
      <w:pPr>
        <w:ind w:left="3469" w:hanging="180"/>
      </w:pPr>
    </w:lvl>
    <w:lvl w:ilvl="6" w:tplc="0409000F" w:tentative="1">
      <w:start w:val="1"/>
      <w:numFmt w:val="decimal"/>
      <w:lvlText w:val="%7."/>
      <w:lvlJc w:val="left"/>
      <w:pPr>
        <w:ind w:left="4189" w:hanging="360"/>
      </w:pPr>
    </w:lvl>
    <w:lvl w:ilvl="7" w:tplc="04090019" w:tentative="1">
      <w:start w:val="1"/>
      <w:numFmt w:val="lowerLetter"/>
      <w:lvlText w:val="%8."/>
      <w:lvlJc w:val="left"/>
      <w:pPr>
        <w:ind w:left="4909" w:hanging="360"/>
      </w:pPr>
    </w:lvl>
    <w:lvl w:ilvl="8" w:tplc="0409001B" w:tentative="1">
      <w:start w:val="1"/>
      <w:numFmt w:val="lowerRoman"/>
      <w:lvlText w:val="%9."/>
      <w:lvlJc w:val="right"/>
      <w:pPr>
        <w:ind w:left="5629" w:hanging="180"/>
      </w:pPr>
    </w:lvl>
  </w:abstractNum>
  <w:abstractNum w:abstractNumId="37">
    <w:nsid w:val="38804E5D"/>
    <w:multiLevelType w:val="hybridMultilevel"/>
    <w:tmpl w:val="31BEAC1A"/>
    <w:lvl w:ilvl="0" w:tplc="08027DAE">
      <w:start w:val="1"/>
      <w:numFmt w:val="decimal"/>
      <w:lvlText w:val="A.1.%1."/>
      <w:lvlJc w:val="left"/>
      <w:pPr>
        <w:ind w:left="1778" w:hanging="360"/>
      </w:pPr>
      <w:rPr>
        <w:rFonts w:ascii="Verdana" w:hAnsi="Verdana" w:hint="default"/>
        <w:b w:val="0"/>
        <w:sz w:val="20"/>
        <w:szCs w:val="20"/>
      </w:rPr>
    </w:lvl>
    <w:lvl w:ilvl="1" w:tplc="140A0019" w:tentative="1">
      <w:start w:val="1"/>
      <w:numFmt w:val="lowerLetter"/>
      <w:lvlText w:val="%2."/>
      <w:lvlJc w:val="left"/>
      <w:pPr>
        <w:ind w:left="2498" w:hanging="360"/>
      </w:pPr>
    </w:lvl>
    <w:lvl w:ilvl="2" w:tplc="140A001B" w:tentative="1">
      <w:start w:val="1"/>
      <w:numFmt w:val="lowerRoman"/>
      <w:lvlText w:val="%3."/>
      <w:lvlJc w:val="right"/>
      <w:pPr>
        <w:ind w:left="3218" w:hanging="180"/>
      </w:pPr>
    </w:lvl>
    <w:lvl w:ilvl="3" w:tplc="140A000F" w:tentative="1">
      <w:start w:val="1"/>
      <w:numFmt w:val="decimal"/>
      <w:lvlText w:val="%4."/>
      <w:lvlJc w:val="left"/>
      <w:pPr>
        <w:ind w:left="3938" w:hanging="360"/>
      </w:pPr>
    </w:lvl>
    <w:lvl w:ilvl="4" w:tplc="140A0019" w:tentative="1">
      <w:start w:val="1"/>
      <w:numFmt w:val="lowerLetter"/>
      <w:lvlText w:val="%5."/>
      <w:lvlJc w:val="left"/>
      <w:pPr>
        <w:ind w:left="4658" w:hanging="360"/>
      </w:pPr>
    </w:lvl>
    <w:lvl w:ilvl="5" w:tplc="140A001B" w:tentative="1">
      <w:start w:val="1"/>
      <w:numFmt w:val="lowerRoman"/>
      <w:lvlText w:val="%6."/>
      <w:lvlJc w:val="right"/>
      <w:pPr>
        <w:ind w:left="5378" w:hanging="180"/>
      </w:pPr>
    </w:lvl>
    <w:lvl w:ilvl="6" w:tplc="140A000F" w:tentative="1">
      <w:start w:val="1"/>
      <w:numFmt w:val="decimal"/>
      <w:lvlText w:val="%7."/>
      <w:lvlJc w:val="left"/>
      <w:pPr>
        <w:ind w:left="6098" w:hanging="360"/>
      </w:pPr>
    </w:lvl>
    <w:lvl w:ilvl="7" w:tplc="140A0019" w:tentative="1">
      <w:start w:val="1"/>
      <w:numFmt w:val="lowerLetter"/>
      <w:lvlText w:val="%8."/>
      <w:lvlJc w:val="left"/>
      <w:pPr>
        <w:ind w:left="6818" w:hanging="360"/>
      </w:pPr>
    </w:lvl>
    <w:lvl w:ilvl="8" w:tplc="140A001B" w:tentative="1">
      <w:start w:val="1"/>
      <w:numFmt w:val="lowerRoman"/>
      <w:lvlText w:val="%9."/>
      <w:lvlJc w:val="right"/>
      <w:pPr>
        <w:ind w:left="7538" w:hanging="180"/>
      </w:pPr>
    </w:lvl>
  </w:abstractNum>
  <w:abstractNum w:abstractNumId="38">
    <w:nsid w:val="38C05B06"/>
    <w:multiLevelType w:val="hybridMultilevel"/>
    <w:tmpl w:val="E2D24F04"/>
    <w:lvl w:ilvl="0" w:tplc="F1BE891E">
      <w:start w:val="1"/>
      <w:numFmt w:val="decimal"/>
      <w:lvlText w:val="A.%1"/>
      <w:lvlJc w:val="left"/>
      <w:pPr>
        <w:ind w:left="1080" w:hanging="360"/>
      </w:pPr>
      <w:rPr>
        <w:rFonts w:hint="default"/>
        <w:b w:val="0"/>
        <w:i/>
      </w:rPr>
    </w:lvl>
    <w:lvl w:ilvl="1" w:tplc="D8E67496">
      <w:start w:val="1"/>
      <w:numFmt w:val="decimal"/>
      <w:pStyle w:val="Heading5"/>
      <w:lvlText w:val="A.1.%2."/>
      <w:lvlJc w:val="left"/>
      <w:pPr>
        <w:ind w:left="3479"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D3C2673C">
      <w:start w:val="1"/>
      <w:numFmt w:val="upperLetter"/>
      <w:lvlText w:val="%3."/>
      <w:lvlJc w:val="left"/>
      <w:pPr>
        <w:ind w:left="1070" w:hanging="360"/>
      </w:pPr>
      <w:rPr>
        <w:rFonts w:hint="default"/>
      </w:rPr>
    </w:lvl>
    <w:lvl w:ilvl="3" w:tplc="140A0001" w:tentative="1">
      <w:start w:val="1"/>
      <w:numFmt w:val="bullet"/>
      <w:lvlText w:val=""/>
      <w:lvlJc w:val="left"/>
      <w:pPr>
        <w:ind w:left="3240" w:hanging="360"/>
      </w:pPr>
      <w:rPr>
        <w:rFonts w:ascii="Symbol" w:hAnsi="Symbol" w:hint="default"/>
      </w:rPr>
    </w:lvl>
    <w:lvl w:ilvl="4" w:tplc="140A0003" w:tentative="1">
      <w:start w:val="1"/>
      <w:numFmt w:val="bullet"/>
      <w:lvlText w:val="o"/>
      <w:lvlJc w:val="left"/>
      <w:pPr>
        <w:ind w:left="3960" w:hanging="360"/>
      </w:pPr>
      <w:rPr>
        <w:rFonts w:ascii="Courier New" w:hAnsi="Courier New" w:cs="Courier New" w:hint="default"/>
      </w:rPr>
    </w:lvl>
    <w:lvl w:ilvl="5" w:tplc="140A0005" w:tentative="1">
      <w:start w:val="1"/>
      <w:numFmt w:val="bullet"/>
      <w:lvlText w:val=""/>
      <w:lvlJc w:val="left"/>
      <w:pPr>
        <w:ind w:left="4680" w:hanging="360"/>
      </w:pPr>
      <w:rPr>
        <w:rFonts w:ascii="Wingdings" w:hAnsi="Wingdings" w:hint="default"/>
      </w:rPr>
    </w:lvl>
    <w:lvl w:ilvl="6" w:tplc="140A0001" w:tentative="1">
      <w:start w:val="1"/>
      <w:numFmt w:val="bullet"/>
      <w:lvlText w:val=""/>
      <w:lvlJc w:val="left"/>
      <w:pPr>
        <w:ind w:left="5400" w:hanging="360"/>
      </w:pPr>
      <w:rPr>
        <w:rFonts w:ascii="Symbol" w:hAnsi="Symbol" w:hint="default"/>
      </w:rPr>
    </w:lvl>
    <w:lvl w:ilvl="7" w:tplc="140A0003" w:tentative="1">
      <w:start w:val="1"/>
      <w:numFmt w:val="bullet"/>
      <w:lvlText w:val="o"/>
      <w:lvlJc w:val="left"/>
      <w:pPr>
        <w:ind w:left="6120" w:hanging="360"/>
      </w:pPr>
      <w:rPr>
        <w:rFonts w:ascii="Courier New" w:hAnsi="Courier New" w:cs="Courier New" w:hint="default"/>
      </w:rPr>
    </w:lvl>
    <w:lvl w:ilvl="8" w:tplc="140A0005" w:tentative="1">
      <w:start w:val="1"/>
      <w:numFmt w:val="bullet"/>
      <w:lvlText w:val=""/>
      <w:lvlJc w:val="left"/>
      <w:pPr>
        <w:ind w:left="6840" w:hanging="360"/>
      </w:pPr>
      <w:rPr>
        <w:rFonts w:ascii="Wingdings" w:hAnsi="Wingdings" w:hint="default"/>
      </w:rPr>
    </w:lvl>
  </w:abstractNum>
  <w:abstractNum w:abstractNumId="39">
    <w:nsid w:val="38D32A86"/>
    <w:multiLevelType w:val="hybridMultilevel"/>
    <w:tmpl w:val="0FD6C59C"/>
    <w:lvl w:ilvl="0" w:tplc="A00A0B0E">
      <w:start w:val="1"/>
      <w:numFmt w:val="decimal"/>
      <w:lvlText w:val="E.2.%1."/>
      <w:lvlJc w:val="left"/>
      <w:pPr>
        <w:ind w:left="2484" w:hanging="360"/>
      </w:pPr>
      <w:rPr>
        <w:rFonts w:hint="default"/>
      </w:rPr>
    </w:lvl>
    <w:lvl w:ilvl="1" w:tplc="140A0019" w:tentative="1">
      <w:start w:val="1"/>
      <w:numFmt w:val="lowerLetter"/>
      <w:lvlText w:val="%2."/>
      <w:lvlJc w:val="left"/>
      <w:pPr>
        <w:ind w:left="2429" w:hanging="360"/>
      </w:pPr>
    </w:lvl>
    <w:lvl w:ilvl="2" w:tplc="140A001B" w:tentative="1">
      <w:start w:val="1"/>
      <w:numFmt w:val="lowerRoman"/>
      <w:lvlText w:val="%3."/>
      <w:lvlJc w:val="right"/>
      <w:pPr>
        <w:ind w:left="3149" w:hanging="180"/>
      </w:pPr>
    </w:lvl>
    <w:lvl w:ilvl="3" w:tplc="140A000F" w:tentative="1">
      <w:start w:val="1"/>
      <w:numFmt w:val="decimal"/>
      <w:lvlText w:val="%4."/>
      <w:lvlJc w:val="left"/>
      <w:pPr>
        <w:ind w:left="3869" w:hanging="360"/>
      </w:pPr>
    </w:lvl>
    <w:lvl w:ilvl="4" w:tplc="140A0019" w:tentative="1">
      <w:start w:val="1"/>
      <w:numFmt w:val="lowerLetter"/>
      <w:lvlText w:val="%5."/>
      <w:lvlJc w:val="left"/>
      <w:pPr>
        <w:ind w:left="4589" w:hanging="360"/>
      </w:pPr>
    </w:lvl>
    <w:lvl w:ilvl="5" w:tplc="140A001B" w:tentative="1">
      <w:start w:val="1"/>
      <w:numFmt w:val="lowerRoman"/>
      <w:lvlText w:val="%6."/>
      <w:lvlJc w:val="right"/>
      <w:pPr>
        <w:ind w:left="5309" w:hanging="180"/>
      </w:pPr>
    </w:lvl>
    <w:lvl w:ilvl="6" w:tplc="140A000F" w:tentative="1">
      <w:start w:val="1"/>
      <w:numFmt w:val="decimal"/>
      <w:lvlText w:val="%7."/>
      <w:lvlJc w:val="left"/>
      <w:pPr>
        <w:ind w:left="6029" w:hanging="360"/>
      </w:pPr>
    </w:lvl>
    <w:lvl w:ilvl="7" w:tplc="140A0019" w:tentative="1">
      <w:start w:val="1"/>
      <w:numFmt w:val="lowerLetter"/>
      <w:lvlText w:val="%8."/>
      <w:lvlJc w:val="left"/>
      <w:pPr>
        <w:ind w:left="6749" w:hanging="360"/>
      </w:pPr>
    </w:lvl>
    <w:lvl w:ilvl="8" w:tplc="140A001B" w:tentative="1">
      <w:start w:val="1"/>
      <w:numFmt w:val="lowerRoman"/>
      <w:lvlText w:val="%9."/>
      <w:lvlJc w:val="right"/>
      <w:pPr>
        <w:ind w:left="7469" w:hanging="180"/>
      </w:pPr>
    </w:lvl>
  </w:abstractNum>
  <w:abstractNum w:abstractNumId="40">
    <w:nsid w:val="38E03597"/>
    <w:multiLevelType w:val="hybridMultilevel"/>
    <w:tmpl w:val="788E8386"/>
    <w:lvl w:ilvl="0" w:tplc="0D7EF38C">
      <w:start w:val="1"/>
      <w:numFmt w:val="lowerRoman"/>
      <w:lvlText w:val="%1."/>
      <w:lvlJc w:val="left"/>
      <w:pPr>
        <w:ind w:left="720" w:hanging="360"/>
      </w:pPr>
      <w:rPr>
        <w:rFonts w:asciiTheme="minorHAnsi" w:hAnsiTheme="minorHAnsi" w:cstheme="minorBidi" w:hint="default"/>
        <w:b w:val="0"/>
        <w:i w:val="0"/>
        <w:sz w:val="22"/>
        <w:szCs w:val="20"/>
      </w:rPr>
    </w:lvl>
    <w:lvl w:ilvl="1" w:tplc="15B2D596">
      <w:start w:val="1"/>
      <w:numFmt w:val="lowerLetter"/>
      <w:lvlText w:val="%2."/>
      <w:lvlJc w:val="left"/>
      <w:pPr>
        <w:ind w:left="1440" w:hanging="360"/>
      </w:pPr>
      <w:rPr>
        <w:rFonts w:ascii="Verdana" w:eastAsia="Batang" w:hAnsi="Verdana" w:cstheme="minorBidi"/>
      </w:rPr>
    </w:lvl>
    <w:lvl w:ilvl="2" w:tplc="0409001B">
      <w:start w:val="1"/>
      <w:numFmt w:val="lowerRoman"/>
      <w:lvlText w:val="%3."/>
      <w:lvlJc w:val="right"/>
      <w:pPr>
        <w:ind w:left="2160" w:hanging="180"/>
      </w:pPr>
    </w:lvl>
    <w:lvl w:ilvl="3" w:tplc="031807E4">
      <w:start w:val="1"/>
      <w:numFmt w:val="upperLetter"/>
      <w:lvlText w:val="%4."/>
      <w:lvlJc w:val="left"/>
      <w:pPr>
        <w:ind w:left="644"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39B23038"/>
    <w:multiLevelType w:val="hybridMultilevel"/>
    <w:tmpl w:val="55C83F98"/>
    <w:lvl w:ilvl="0" w:tplc="6E44AC10">
      <w:start w:val="1"/>
      <w:numFmt w:val="decimal"/>
      <w:lvlText w:val="B.%1."/>
      <w:lvlJc w:val="left"/>
      <w:pPr>
        <w:ind w:left="3530" w:hanging="555"/>
      </w:pPr>
      <w:rPr>
        <w:rFonts w:hint="default"/>
      </w:rPr>
    </w:lvl>
    <w:lvl w:ilvl="1" w:tplc="080A0019" w:tentative="1">
      <w:start w:val="1"/>
      <w:numFmt w:val="lowerLetter"/>
      <w:lvlText w:val="%2."/>
      <w:lvlJc w:val="left"/>
      <w:pPr>
        <w:ind w:left="4055" w:hanging="360"/>
      </w:pPr>
    </w:lvl>
    <w:lvl w:ilvl="2" w:tplc="080A001B" w:tentative="1">
      <w:start w:val="1"/>
      <w:numFmt w:val="lowerRoman"/>
      <w:lvlText w:val="%3."/>
      <w:lvlJc w:val="right"/>
      <w:pPr>
        <w:ind w:left="4775" w:hanging="180"/>
      </w:pPr>
    </w:lvl>
    <w:lvl w:ilvl="3" w:tplc="080A000F" w:tentative="1">
      <w:start w:val="1"/>
      <w:numFmt w:val="decimal"/>
      <w:lvlText w:val="%4."/>
      <w:lvlJc w:val="left"/>
      <w:pPr>
        <w:ind w:left="5495" w:hanging="360"/>
      </w:pPr>
    </w:lvl>
    <w:lvl w:ilvl="4" w:tplc="080A0019" w:tentative="1">
      <w:start w:val="1"/>
      <w:numFmt w:val="lowerLetter"/>
      <w:lvlText w:val="%5."/>
      <w:lvlJc w:val="left"/>
      <w:pPr>
        <w:ind w:left="6215" w:hanging="360"/>
      </w:pPr>
    </w:lvl>
    <w:lvl w:ilvl="5" w:tplc="080A001B" w:tentative="1">
      <w:start w:val="1"/>
      <w:numFmt w:val="lowerRoman"/>
      <w:lvlText w:val="%6."/>
      <w:lvlJc w:val="right"/>
      <w:pPr>
        <w:ind w:left="6935" w:hanging="180"/>
      </w:pPr>
    </w:lvl>
    <w:lvl w:ilvl="6" w:tplc="080A000F" w:tentative="1">
      <w:start w:val="1"/>
      <w:numFmt w:val="decimal"/>
      <w:lvlText w:val="%7."/>
      <w:lvlJc w:val="left"/>
      <w:pPr>
        <w:ind w:left="7655" w:hanging="360"/>
      </w:pPr>
    </w:lvl>
    <w:lvl w:ilvl="7" w:tplc="080A0019" w:tentative="1">
      <w:start w:val="1"/>
      <w:numFmt w:val="lowerLetter"/>
      <w:lvlText w:val="%8."/>
      <w:lvlJc w:val="left"/>
      <w:pPr>
        <w:ind w:left="8375" w:hanging="360"/>
      </w:pPr>
    </w:lvl>
    <w:lvl w:ilvl="8" w:tplc="080A001B" w:tentative="1">
      <w:start w:val="1"/>
      <w:numFmt w:val="lowerRoman"/>
      <w:lvlText w:val="%9."/>
      <w:lvlJc w:val="right"/>
      <w:pPr>
        <w:ind w:left="9095" w:hanging="180"/>
      </w:pPr>
    </w:lvl>
  </w:abstractNum>
  <w:abstractNum w:abstractNumId="42">
    <w:nsid w:val="3A8C5AAE"/>
    <w:multiLevelType w:val="hybridMultilevel"/>
    <w:tmpl w:val="1EAC31A2"/>
    <w:lvl w:ilvl="0" w:tplc="62024906">
      <w:start w:val="1"/>
      <w:numFmt w:val="upperLetter"/>
      <w:pStyle w:val="Title"/>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3">
    <w:nsid w:val="3A9F3744"/>
    <w:multiLevelType w:val="hybridMultilevel"/>
    <w:tmpl w:val="F306B616"/>
    <w:lvl w:ilvl="0" w:tplc="140A0001">
      <w:start w:val="1"/>
      <w:numFmt w:val="bullet"/>
      <w:lvlText w:val=""/>
      <w:lvlJc w:val="left"/>
      <w:pPr>
        <w:ind w:left="2498" w:hanging="360"/>
      </w:pPr>
      <w:rPr>
        <w:rFonts w:ascii="Symbol" w:hAnsi="Symbol" w:hint="default"/>
      </w:rPr>
    </w:lvl>
    <w:lvl w:ilvl="1" w:tplc="140A0003" w:tentative="1">
      <w:start w:val="1"/>
      <w:numFmt w:val="bullet"/>
      <w:lvlText w:val="o"/>
      <w:lvlJc w:val="left"/>
      <w:pPr>
        <w:ind w:left="3218" w:hanging="360"/>
      </w:pPr>
      <w:rPr>
        <w:rFonts w:ascii="Courier New" w:hAnsi="Courier New" w:cs="Courier New" w:hint="default"/>
      </w:rPr>
    </w:lvl>
    <w:lvl w:ilvl="2" w:tplc="140A0005" w:tentative="1">
      <w:start w:val="1"/>
      <w:numFmt w:val="bullet"/>
      <w:lvlText w:val=""/>
      <w:lvlJc w:val="left"/>
      <w:pPr>
        <w:ind w:left="3938" w:hanging="360"/>
      </w:pPr>
      <w:rPr>
        <w:rFonts w:ascii="Wingdings" w:hAnsi="Wingdings" w:hint="default"/>
      </w:rPr>
    </w:lvl>
    <w:lvl w:ilvl="3" w:tplc="140A0001" w:tentative="1">
      <w:start w:val="1"/>
      <w:numFmt w:val="bullet"/>
      <w:lvlText w:val=""/>
      <w:lvlJc w:val="left"/>
      <w:pPr>
        <w:ind w:left="4658" w:hanging="360"/>
      </w:pPr>
      <w:rPr>
        <w:rFonts w:ascii="Symbol" w:hAnsi="Symbol" w:hint="default"/>
      </w:rPr>
    </w:lvl>
    <w:lvl w:ilvl="4" w:tplc="140A0003" w:tentative="1">
      <w:start w:val="1"/>
      <w:numFmt w:val="bullet"/>
      <w:lvlText w:val="o"/>
      <w:lvlJc w:val="left"/>
      <w:pPr>
        <w:ind w:left="5378" w:hanging="360"/>
      </w:pPr>
      <w:rPr>
        <w:rFonts w:ascii="Courier New" w:hAnsi="Courier New" w:cs="Courier New" w:hint="default"/>
      </w:rPr>
    </w:lvl>
    <w:lvl w:ilvl="5" w:tplc="140A0005" w:tentative="1">
      <w:start w:val="1"/>
      <w:numFmt w:val="bullet"/>
      <w:lvlText w:val=""/>
      <w:lvlJc w:val="left"/>
      <w:pPr>
        <w:ind w:left="6098" w:hanging="360"/>
      </w:pPr>
      <w:rPr>
        <w:rFonts w:ascii="Wingdings" w:hAnsi="Wingdings" w:hint="default"/>
      </w:rPr>
    </w:lvl>
    <w:lvl w:ilvl="6" w:tplc="140A0001" w:tentative="1">
      <w:start w:val="1"/>
      <w:numFmt w:val="bullet"/>
      <w:lvlText w:val=""/>
      <w:lvlJc w:val="left"/>
      <w:pPr>
        <w:ind w:left="6818" w:hanging="360"/>
      </w:pPr>
      <w:rPr>
        <w:rFonts w:ascii="Symbol" w:hAnsi="Symbol" w:hint="default"/>
      </w:rPr>
    </w:lvl>
    <w:lvl w:ilvl="7" w:tplc="140A0003" w:tentative="1">
      <w:start w:val="1"/>
      <w:numFmt w:val="bullet"/>
      <w:lvlText w:val="o"/>
      <w:lvlJc w:val="left"/>
      <w:pPr>
        <w:ind w:left="7538" w:hanging="360"/>
      </w:pPr>
      <w:rPr>
        <w:rFonts w:ascii="Courier New" w:hAnsi="Courier New" w:cs="Courier New" w:hint="default"/>
      </w:rPr>
    </w:lvl>
    <w:lvl w:ilvl="8" w:tplc="140A0005" w:tentative="1">
      <w:start w:val="1"/>
      <w:numFmt w:val="bullet"/>
      <w:lvlText w:val=""/>
      <w:lvlJc w:val="left"/>
      <w:pPr>
        <w:ind w:left="8258" w:hanging="360"/>
      </w:pPr>
      <w:rPr>
        <w:rFonts w:ascii="Wingdings" w:hAnsi="Wingdings" w:hint="default"/>
      </w:rPr>
    </w:lvl>
  </w:abstractNum>
  <w:abstractNum w:abstractNumId="44">
    <w:nsid w:val="3C247050"/>
    <w:multiLevelType w:val="hybridMultilevel"/>
    <w:tmpl w:val="EDA46DF4"/>
    <w:lvl w:ilvl="0" w:tplc="AB04430A">
      <w:start w:val="1"/>
      <w:numFmt w:val="lowerRoman"/>
      <w:lvlText w:val="(%1)"/>
      <w:lvlJc w:val="left"/>
      <w:pPr>
        <w:ind w:left="2844" w:hanging="360"/>
      </w:pPr>
      <w:rPr>
        <w:rFonts w:hint="default"/>
        <w:i/>
      </w:rPr>
    </w:lvl>
    <w:lvl w:ilvl="1" w:tplc="140A0019" w:tentative="1">
      <w:start w:val="1"/>
      <w:numFmt w:val="lowerLetter"/>
      <w:lvlText w:val="%2."/>
      <w:lvlJc w:val="left"/>
      <w:pPr>
        <w:ind w:left="3564" w:hanging="360"/>
      </w:pPr>
    </w:lvl>
    <w:lvl w:ilvl="2" w:tplc="140A001B" w:tentative="1">
      <w:start w:val="1"/>
      <w:numFmt w:val="lowerRoman"/>
      <w:lvlText w:val="%3."/>
      <w:lvlJc w:val="right"/>
      <w:pPr>
        <w:ind w:left="4284" w:hanging="180"/>
      </w:pPr>
    </w:lvl>
    <w:lvl w:ilvl="3" w:tplc="140A000F" w:tentative="1">
      <w:start w:val="1"/>
      <w:numFmt w:val="decimal"/>
      <w:lvlText w:val="%4."/>
      <w:lvlJc w:val="left"/>
      <w:pPr>
        <w:ind w:left="5004" w:hanging="360"/>
      </w:pPr>
    </w:lvl>
    <w:lvl w:ilvl="4" w:tplc="140A0019" w:tentative="1">
      <w:start w:val="1"/>
      <w:numFmt w:val="lowerLetter"/>
      <w:lvlText w:val="%5."/>
      <w:lvlJc w:val="left"/>
      <w:pPr>
        <w:ind w:left="5724" w:hanging="360"/>
      </w:pPr>
    </w:lvl>
    <w:lvl w:ilvl="5" w:tplc="140A001B" w:tentative="1">
      <w:start w:val="1"/>
      <w:numFmt w:val="lowerRoman"/>
      <w:lvlText w:val="%6."/>
      <w:lvlJc w:val="right"/>
      <w:pPr>
        <w:ind w:left="6444" w:hanging="180"/>
      </w:pPr>
    </w:lvl>
    <w:lvl w:ilvl="6" w:tplc="140A000F" w:tentative="1">
      <w:start w:val="1"/>
      <w:numFmt w:val="decimal"/>
      <w:lvlText w:val="%7."/>
      <w:lvlJc w:val="left"/>
      <w:pPr>
        <w:ind w:left="7164" w:hanging="360"/>
      </w:pPr>
    </w:lvl>
    <w:lvl w:ilvl="7" w:tplc="140A0019" w:tentative="1">
      <w:start w:val="1"/>
      <w:numFmt w:val="lowerLetter"/>
      <w:lvlText w:val="%8."/>
      <w:lvlJc w:val="left"/>
      <w:pPr>
        <w:ind w:left="7884" w:hanging="360"/>
      </w:pPr>
    </w:lvl>
    <w:lvl w:ilvl="8" w:tplc="140A001B" w:tentative="1">
      <w:start w:val="1"/>
      <w:numFmt w:val="lowerRoman"/>
      <w:lvlText w:val="%9."/>
      <w:lvlJc w:val="right"/>
      <w:pPr>
        <w:ind w:left="8604" w:hanging="180"/>
      </w:pPr>
    </w:lvl>
  </w:abstractNum>
  <w:abstractNum w:abstractNumId="45">
    <w:nsid w:val="3D4B2CF8"/>
    <w:multiLevelType w:val="hybridMultilevel"/>
    <w:tmpl w:val="CCF8C38E"/>
    <w:lvl w:ilvl="0" w:tplc="FD3EC51C">
      <w:start w:val="1"/>
      <w:numFmt w:val="lowerRoman"/>
      <w:lvlText w:val="(%1)"/>
      <w:lvlJc w:val="left"/>
      <w:pPr>
        <w:ind w:left="2504"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6">
    <w:nsid w:val="3EB85F97"/>
    <w:multiLevelType w:val="hybridMultilevel"/>
    <w:tmpl w:val="B91E3A2C"/>
    <w:lvl w:ilvl="0" w:tplc="140A0001">
      <w:start w:val="1"/>
      <w:numFmt w:val="bullet"/>
      <w:lvlText w:val=""/>
      <w:lvlJc w:val="left"/>
      <w:pPr>
        <w:ind w:left="2498" w:hanging="360"/>
      </w:pPr>
      <w:rPr>
        <w:rFonts w:ascii="Symbol" w:hAnsi="Symbol" w:hint="default"/>
      </w:rPr>
    </w:lvl>
    <w:lvl w:ilvl="1" w:tplc="140A0003" w:tentative="1">
      <w:start w:val="1"/>
      <w:numFmt w:val="bullet"/>
      <w:lvlText w:val="o"/>
      <w:lvlJc w:val="left"/>
      <w:pPr>
        <w:ind w:left="3218" w:hanging="360"/>
      </w:pPr>
      <w:rPr>
        <w:rFonts w:ascii="Courier New" w:hAnsi="Courier New" w:cs="Courier New" w:hint="default"/>
      </w:rPr>
    </w:lvl>
    <w:lvl w:ilvl="2" w:tplc="140A0005" w:tentative="1">
      <w:start w:val="1"/>
      <w:numFmt w:val="bullet"/>
      <w:lvlText w:val=""/>
      <w:lvlJc w:val="left"/>
      <w:pPr>
        <w:ind w:left="3938" w:hanging="360"/>
      </w:pPr>
      <w:rPr>
        <w:rFonts w:ascii="Wingdings" w:hAnsi="Wingdings" w:hint="default"/>
      </w:rPr>
    </w:lvl>
    <w:lvl w:ilvl="3" w:tplc="140A0001" w:tentative="1">
      <w:start w:val="1"/>
      <w:numFmt w:val="bullet"/>
      <w:lvlText w:val=""/>
      <w:lvlJc w:val="left"/>
      <w:pPr>
        <w:ind w:left="4658" w:hanging="360"/>
      </w:pPr>
      <w:rPr>
        <w:rFonts w:ascii="Symbol" w:hAnsi="Symbol" w:hint="default"/>
      </w:rPr>
    </w:lvl>
    <w:lvl w:ilvl="4" w:tplc="140A0003" w:tentative="1">
      <w:start w:val="1"/>
      <w:numFmt w:val="bullet"/>
      <w:lvlText w:val="o"/>
      <w:lvlJc w:val="left"/>
      <w:pPr>
        <w:ind w:left="5378" w:hanging="360"/>
      </w:pPr>
      <w:rPr>
        <w:rFonts w:ascii="Courier New" w:hAnsi="Courier New" w:cs="Courier New" w:hint="default"/>
      </w:rPr>
    </w:lvl>
    <w:lvl w:ilvl="5" w:tplc="140A0005" w:tentative="1">
      <w:start w:val="1"/>
      <w:numFmt w:val="bullet"/>
      <w:lvlText w:val=""/>
      <w:lvlJc w:val="left"/>
      <w:pPr>
        <w:ind w:left="6098" w:hanging="360"/>
      </w:pPr>
      <w:rPr>
        <w:rFonts w:ascii="Wingdings" w:hAnsi="Wingdings" w:hint="default"/>
      </w:rPr>
    </w:lvl>
    <w:lvl w:ilvl="6" w:tplc="140A0001" w:tentative="1">
      <w:start w:val="1"/>
      <w:numFmt w:val="bullet"/>
      <w:lvlText w:val=""/>
      <w:lvlJc w:val="left"/>
      <w:pPr>
        <w:ind w:left="6818" w:hanging="360"/>
      </w:pPr>
      <w:rPr>
        <w:rFonts w:ascii="Symbol" w:hAnsi="Symbol" w:hint="default"/>
      </w:rPr>
    </w:lvl>
    <w:lvl w:ilvl="7" w:tplc="140A0003" w:tentative="1">
      <w:start w:val="1"/>
      <w:numFmt w:val="bullet"/>
      <w:lvlText w:val="o"/>
      <w:lvlJc w:val="left"/>
      <w:pPr>
        <w:ind w:left="7538" w:hanging="360"/>
      </w:pPr>
      <w:rPr>
        <w:rFonts w:ascii="Courier New" w:hAnsi="Courier New" w:cs="Courier New" w:hint="default"/>
      </w:rPr>
    </w:lvl>
    <w:lvl w:ilvl="8" w:tplc="140A0005" w:tentative="1">
      <w:start w:val="1"/>
      <w:numFmt w:val="bullet"/>
      <w:lvlText w:val=""/>
      <w:lvlJc w:val="left"/>
      <w:pPr>
        <w:ind w:left="8258" w:hanging="360"/>
      </w:pPr>
      <w:rPr>
        <w:rFonts w:ascii="Wingdings" w:hAnsi="Wingdings" w:hint="default"/>
      </w:rPr>
    </w:lvl>
  </w:abstractNum>
  <w:abstractNum w:abstractNumId="47">
    <w:nsid w:val="41115D39"/>
    <w:multiLevelType w:val="hybridMultilevel"/>
    <w:tmpl w:val="377A91FA"/>
    <w:lvl w:ilvl="0" w:tplc="140A0001">
      <w:start w:val="1"/>
      <w:numFmt w:val="bullet"/>
      <w:lvlText w:val=""/>
      <w:lvlJc w:val="left"/>
      <w:pPr>
        <w:ind w:left="2356" w:hanging="360"/>
      </w:pPr>
      <w:rPr>
        <w:rFonts w:ascii="Symbol" w:hAnsi="Symbol" w:hint="default"/>
      </w:rPr>
    </w:lvl>
    <w:lvl w:ilvl="1" w:tplc="140A0003" w:tentative="1">
      <w:start w:val="1"/>
      <w:numFmt w:val="bullet"/>
      <w:lvlText w:val="o"/>
      <w:lvlJc w:val="left"/>
      <w:pPr>
        <w:ind w:left="3076" w:hanging="360"/>
      </w:pPr>
      <w:rPr>
        <w:rFonts w:ascii="Courier New" w:hAnsi="Courier New" w:cs="Courier New" w:hint="default"/>
      </w:rPr>
    </w:lvl>
    <w:lvl w:ilvl="2" w:tplc="140A0005" w:tentative="1">
      <w:start w:val="1"/>
      <w:numFmt w:val="bullet"/>
      <w:lvlText w:val=""/>
      <w:lvlJc w:val="left"/>
      <w:pPr>
        <w:ind w:left="3796" w:hanging="360"/>
      </w:pPr>
      <w:rPr>
        <w:rFonts w:ascii="Wingdings" w:hAnsi="Wingdings" w:hint="default"/>
      </w:rPr>
    </w:lvl>
    <w:lvl w:ilvl="3" w:tplc="140A0001" w:tentative="1">
      <w:start w:val="1"/>
      <w:numFmt w:val="bullet"/>
      <w:lvlText w:val=""/>
      <w:lvlJc w:val="left"/>
      <w:pPr>
        <w:ind w:left="4516" w:hanging="360"/>
      </w:pPr>
      <w:rPr>
        <w:rFonts w:ascii="Symbol" w:hAnsi="Symbol" w:hint="default"/>
      </w:rPr>
    </w:lvl>
    <w:lvl w:ilvl="4" w:tplc="140A0003" w:tentative="1">
      <w:start w:val="1"/>
      <w:numFmt w:val="bullet"/>
      <w:lvlText w:val="o"/>
      <w:lvlJc w:val="left"/>
      <w:pPr>
        <w:ind w:left="5236" w:hanging="360"/>
      </w:pPr>
      <w:rPr>
        <w:rFonts w:ascii="Courier New" w:hAnsi="Courier New" w:cs="Courier New" w:hint="default"/>
      </w:rPr>
    </w:lvl>
    <w:lvl w:ilvl="5" w:tplc="140A0005" w:tentative="1">
      <w:start w:val="1"/>
      <w:numFmt w:val="bullet"/>
      <w:lvlText w:val=""/>
      <w:lvlJc w:val="left"/>
      <w:pPr>
        <w:ind w:left="5956" w:hanging="360"/>
      </w:pPr>
      <w:rPr>
        <w:rFonts w:ascii="Wingdings" w:hAnsi="Wingdings" w:hint="default"/>
      </w:rPr>
    </w:lvl>
    <w:lvl w:ilvl="6" w:tplc="140A0001" w:tentative="1">
      <w:start w:val="1"/>
      <w:numFmt w:val="bullet"/>
      <w:lvlText w:val=""/>
      <w:lvlJc w:val="left"/>
      <w:pPr>
        <w:ind w:left="6676" w:hanging="360"/>
      </w:pPr>
      <w:rPr>
        <w:rFonts w:ascii="Symbol" w:hAnsi="Symbol" w:hint="default"/>
      </w:rPr>
    </w:lvl>
    <w:lvl w:ilvl="7" w:tplc="140A0003" w:tentative="1">
      <w:start w:val="1"/>
      <w:numFmt w:val="bullet"/>
      <w:lvlText w:val="o"/>
      <w:lvlJc w:val="left"/>
      <w:pPr>
        <w:ind w:left="7396" w:hanging="360"/>
      </w:pPr>
      <w:rPr>
        <w:rFonts w:ascii="Courier New" w:hAnsi="Courier New" w:cs="Courier New" w:hint="default"/>
      </w:rPr>
    </w:lvl>
    <w:lvl w:ilvl="8" w:tplc="140A0005" w:tentative="1">
      <w:start w:val="1"/>
      <w:numFmt w:val="bullet"/>
      <w:lvlText w:val=""/>
      <w:lvlJc w:val="left"/>
      <w:pPr>
        <w:ind w:left="8116" w:hanging="360"/>
      </w:pPr>
      <w:rPr>
        <w:rFonts w:ascii="Wingdings" w:hAnsi="Wingdings" w:hint="default"/>
      </w:rPr>
    </w:lvl>
  </w:abstractNum>
  <w:abstractNum w:abstractNumId="48">
    <w:nsid w:val="4710676C"/>
    <w:multiLevelType w:val="hybridMultilevel"/>
    <w:tmpl w:val="E542D930"/>
    <w:lvl w:ilvl="0" w:tplc="BECAE620">
      <w:start w:val="1"/>
      <w:numFmt w:val="decimal"/>
      <w:lvlText w:val="D.%1."/>
      <w:lvlJc w:val="left"/>
      <w:pPr>
        <w:ind w:left="1636" w:hanging="360"/>
      </w:pPr>
      <w:rPr>
        <w:rFonts w:hint="default"/>
      </w:rPr>
    </w:lvl>
    <w:lvl w:ilvl="1" w:tplc="140A0019" w:tentative="1">
      <w:start w:val="1"/>
      <w:numFmt w:val="lowerLetter"/>
      <w:lvlText w:val="%2."/>
      <w:lvlJc w:val="left"/>
      <w:pPr>
        <w:ind w:left="2356" w:hanging="360"/>
      </w:pPr>
    </w:lvl>
    <w:lvl w:ilvl="2" w:tplc="140A001B" w:tentative="1">
      <w:start w:val="1"/>
      <w:numFmt w:val="lowerRoman"/>
      <w:lvlText w:val="%3."/>
      <w:lvlJc w:val="right"/>
      <w:pPr>
        <w:ind w:left="3076" w:hanging="180"/>
      </w:pPr>
    </w:lvl>
    <w:lvl w:ilvl="3" w:tplc="140A000F" w:tentative="1">
      <w:start w:val="1"/>
      <w:numFmt w:val="decimal"/>
      <w:lvlText w:val="%4."/>
      <w:lvlJc w:val="left"/>
      <w:pPr>
        <w:ind w:left="3796" w:hanging="360"/>
      </w:pPr>
    </w:lvl>
    <w:lvl w:ilvl="4" w:tplc="140A0019" w:tentative="1">
      <w:start w:val="1"/>
      <w:numFmt w:val="lowerLetter"/>
      <w:lvlText w:val="%5."/>
      <w:lvlJc w:val="left"/>
      <w:pPr>
        <w:ind w:left="4516" w:hanging="360"/>
      </w:pPr>
    </w:lvl>
    <w:lvl w:ilvl="5" w:tplc="140A001B" w:tentative="1">
      <w:start w:val="1"/>
      <w:numFmt w:val="lowerRoman"/>
      <w:lvlText w:val="%6."/>
      <w:lvlJc w:val="right"/>
      <w:pPr>
        <w:ind w:left="5236" w:hanging="180"/>
      </w:pPr>
    </w:lvl>
    <w:lvl w:ilvl="6" w:tplc="140A000F" w:tentative="1">
      <w:start w:val="1"/>
      <w:numFmt w:val="decimal"/>
      <w:lvlText w:val="%7."/>
      <w:lvlJc w:val="left"/>
      <w:pPr>
        <w:ind w:left="5956" w:hanging="360"/>
      </w:pPr>
    </w:lvl>
    <w:lvl w:ilvl="7" w:tplc="140A0019" w:tentative="1">
      <w:start w:val="1"/>
      <w:numFmt w:val="lowerLetter"/>
      <w:lvlText w:val="%8."/>
      <w:lvlJc w:val="left"/>
      <w:pPr>
        <w:ind w:left="6676" w:hanging="360"/>
      </w:pPr>
    </w:lvl>
    <w:lvl w:ilvl="8" w:tplc="140A001B" w:tentative="1">
      <w:start w:val="1"/>
      <w:numFmt w:val="lowerRoman"/>
      <w:lvlText w:val="%9."/>
      <w:lvlJc w:val="right"/>
      <w:pPr>
        <w:ind w:left="7396" w:hanging="180"/>
      </w:pPr>
    </w:lvl>
  </w:abstractNum>
  <w:abstractNum w:abstractNumId="49">
    <w:nsid w:val="484F45A4"/>
    <w:multiLevelType w:val="hybridMultilevel"/>
    <w:tmpl w:val="2892B620"/>
    <w:lvl w:ilvl="0" w:tplc="0E924352">
      <w:start w:val="1"/>
      <w:numFmt w:val="decimal"/>
      <w:pStyle w:val="Heading7"/>
      <w:lvlText w:val="D.%1."/>
      <w:lvlJc w:val="left"/>
      <w:pPr>
        <w:ind w:left="1776" w:hanging="360"/>
      </w:pPr>
      <w:rPr>
        <w:rFonts w:hint="default"/>
      </w:rPr>
    </w:lvl>
    <w:lvl w:ilvl="1" w:tplc="140A0003" w:tentative="1">
      <w:start w:val="1"/>
      <w:numFmt w:val="bullet"/>
      <w:lvlText w:val="o"/>
      <w:lvlJc w:val="left"/>
      <w:pPr>
        <w:ind w:left="2496" w:hanging="360"/>
      </w:pPr>
      <w:rPr>
        <w:rFonts w:ascii="Courier New" w:hAnsi="Courier New" w:cs="Courier New" w:hint="default"/>
      </w:rPr>
    </w:lvl>
    <w:lvl w:ilvl="2" w:tplc="140A0005" w:tentative="1">
      <w:start w:val="1"/>
      <w:numFmt w:val="bullet"/>
      <w:lvlText w:val=""/>
      <w:lvlJc w:val="left"/>
      <w:pPr>
        <w:ind w:left="3216" w:hanging="360"/>
      </w:pPr>
      <w:rPr>
        <w:rFonts w:ascii="Wingdings" w:hAnsi="Wingdings" w:hint="default"/>
      </w:rPr>
    </w:lvl>
    <w:lvl w:ilvl="3" w:tplc="140A0001" w:tentative="1">
      <w:start w:val="1"/>
      <w:numFmt w:val="bullet"/>
      <w:lvlText w:val=""/>
      <w:lvlJc w:val="left"/>
      <w:pPr>
        <w:ind w:left="3936" w:hanging="360"/>
      </w:pPr>
      <w:rPr>
        <w:rFonts w:ascii="Symbol" w:hAnsi="Symbol" w:hint="default"/>
      </w:rPr>
    </w:lvl>
    <w:lvl w:ilvl="4" w:tplc="140A0003" w:tentative="1">
      <w:start w:val="1"/>
      <w:numFmt w:val="bullet"/>
      <w:lvlText w:val="o"/>
      <w:lvlJc w:val="left"/>
      <w:pPr>
        <w:ind w:left="4656" w:hanging="360"/>
      </w:pPr>
      <w:rPr>
        <w:rFonts w:ascii="Courier New" w:hAnsi="Courier New" w:cs="Courier New" w:hint="default"/>
      </w:rPr>
    </w:lvl>
    <w:lvl w:ilvl="5" w:tplc="140A0005" w:tentative="1">
      <w:start w:val="1"/>
      <w:numFmt w:val="bullet"/>
      <w:lvlText w:val=""/>
      <w:lvlJc w:val="left"/>
      <w:pPr>
        <w:ind w:left="5376" w:hanging="360"/>
      </w:pPr>
      <w:rPr>
        <w:rFonts w:ascii="Wingdings" w:hAnsi="Wingdings" w:hint="default"/>
      </w:rPr>
    </w:lvl>
    <w:lvl w:ilvl="6" w:tplc="140A0001" w:tentative="1">
      <w:start w:val="1"/>
      <w:numFmt w:val="bullet"/>
      <w:lvlText w:val=""/>
      <w:lvlJc w:val="left"/>
      <w:pPr>
        <w:ind w:left="6096" w:hanging="360"/>
      </w:pPr>
      <w:rPr>
        <w:rFonts w:ascii="Symbol" w:hAnsi="Symbol" w:hint="default"/>
      </w:rPr>
    </w:lvl>
    <w:lvl w:ilvl="7" w:tplc="140A0003" w:tentative="1">
      <w:start w:val="1"/>
      <w:numFmt w:val="bullet"/>
      <w:lvlText w:val="o"/>
      <w:lvlJc w:val="left"/>
      <w:pPr>
        <w:ind w:left="6816" w:hanging="360"/>
      </w:pPr>
      <w:rPr>
        <w:rFonts w:ascii="Courier New" w:hAnsi="Courier New" w:cs="Courier New" w:hint="default"/>
      </w:rPr>
    </w:lvl>
    <w:lvl w:ilvl="8" w:tplc="140A0005" w:tentative="1">
      <w:start w:val="1"/>
      <w:numFmt w:val="bullet"/>
      <w:lvlText w:val=""/>
      <w:lvlJc w:val="left"/>
      <w:pPr>
        <w:ind w:left="7536" w:hanging="360"/>
      </w:pPr>
      <w:rPr>
        <w:rFonts w:ascii="Wingdings" w:hAnsi="Wingdings" w:hint="default"/>
      </w:rPr>
    </w:lvl>
  </w:abstractNum>
  <w:abstractNum w:abstractNumId="50">
    <w:nsid w:val="4B8A43E9"/>
    <w:multiLevelType w:val="hybridMultilevel"/>
    <w:tmpl w:val="E0ACBC2C"/>
    <w:lvl w:ilvl="0" w:tplc="3100260C">
      <w:start w:val="5"/>
      <w:numFmt w:val="bullet"/>
      <w:lvlText w:val="-"/>
      <w:lvlJc w:val="left"/>
      <w:pPr>
        <w:ind w:left="720" w:hanging="360"/>
      </w:pPr>
      <w:rPr>
        <w:rFonts w:ascii="Verdana" w:eastAsia="Verdana" w:hAnsi="Verdana" w:cs="Verdana"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51">
    <w:nsid w:val="4C4E23ED"/>
    <w:multiLevelType w:val="hybridMultilevel"/>
    <w:tmpl w:val="CF160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4D86648F"/>
    <w:multiLevelType w:val="hybridMultilevel"/>
    <w:tmpl w:val="1DF81110"/>
    <w:lvl w:ilvl="0" w:tplc="2F206B60">
      <w:start w:val="1"/>
      <w:numFmt w:val="decimal"/>
      <w:lvlText w:val="B.2.%1."/>
      <w:lvlJc w:val="left"/>
      <w:pPr>
        <w:ind w:left="1778" w:hanging="360"/>
      </w:pPr>
      <w:rPr>
        <w:rFonts w:hint="default"/>
        <w:b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3">
    <w:nsid w:val="4DD228EF"/>
    <w:multiLevelType w:val="hybridMultilevel"/>
    <w:tmpl w:val="007A899C"/>
    <w:lvl w:ilvl="0" w:tplc="140A0001">
      <w:start w:val="1"/>
      <w:numFmt w:val="bullet"/>
      <w:lvlText w:val=""/>
      <w:lvlJc w:val="left"/>
      <w:pPr>
        <w:ind w:left="2498" w:hanging="360"/>
      </w:pPr>
      <w:rPr>
        <w:rFonts w:ascii="Symbol" w:hAnsi="Symbol" w:hint="default"/>
      </w:rPr>
    </w:lvl>
    <w:lvl w:ilvl="1" w:tplc="140A0003" w:tentative="1">
      <w:start w:val="1"/>
      <w:numFmt w:val="bullet"/>
      <w:lvlText w:val="o"/>
      <w:lvlJc w:val="left"/>
      <w:pPr>
        <w:ind w:left="3218" w:hanging="360"/>
      </w:pPr>
      <w:rPr>
        <w:rFonts w:ascii="Courier New" w:hAnsi="Courier New" w:cs="Courier New" w:hint="default"/>
      </w:rPr>
    </w:lvl>
    <w:lvl w:ilvl="2" w:tplc="140A0005" w:tentative="1">
      <w:start w:val="1"/>
      <w:numFmt w:val="bullet"/>
      <w:lvlText w:val=""/>
      <w:lvlJc w:val="left"/>
      <w:pPr>
        <w:ind w:left="3938" w:hanging="360"/>
      </w:pPr>
      <w:rPr>
        <w:rFonts w:ascii="Wingdings" w:hAnsi="Wingdings" w:hint="default"/>
      </w:rPr>
    </w:lvl>
    <w:lvl w:ilvl="3" w:tplc="140A0001" w:tentative="1">
      <w:start w:val="1"/>
      <w:numFmt w:val="bullet"/>
      <w:lvlText w:val=""/>
      <w:lvlJc w:val="left"/>
      <w:pPr>
        <w:ind w:left="4658" w:hanging="360"/>
      </w:pPr>
      <w:rPr>
        <w:rFonts w:ascii="Symbol" w:hAnsi="Symbol" w:hint="default"/>
      </w:rPr>
    </w:lvl>
    <w:lvl w:ilvl="4" w:tplc="140A0003" w:tentative="1">
      <w:start w:val="1"/>
      <w:numFmt w:val="bullet"/>
      <w:lvlText w:val="o"/>
      <w:lvlJc w:val="left"/>
      <w:pPr>
        <w:ind w:left="5378" w:hanging="360"/>
      </w:pPr>
      <w:rPr>
        <w:rFonts w:ascii="Courier New" w:hAnsi="Courier New" w:cs="Courier New" w:hint="default"/>
      </w:rPr>
    </w:lvl>
    <w:lvl w:ilvl="5" w:tplc="140A0005" w:tentative="1">
      <w:start w:val="1"/>
      <w:numFmt w:val="bullet"/>
      <w:lvlText w:val=""/>
      <w:lvlJc w:val="left"/>
      <w:pPr>
        <w:ind w:left="6098" w:hanging="360"/>
      </w:pPr>
      <w:rPr>
        <w:rFonts w:ascii="Wingdings" w:hAnsi="Wingdings" w:hint="default"/>
      </w:rPr>
    </w:lvl>
    <w:lvl w:ilvl="6" w:tplc="140A0001" w:tentative="1">
      <w:start w:val="1"/>
      <w:numFmt w:val="bullet"/>
      <w:lvlText w:val=""/>
      <w:lvlJc w:val="left"/>
      <w:pPr>
        <w:ind w:left="6818" w:hanging="360"/>
      </w:pPr>
      <w:rPr>
        <w:rFonts w:ascii="Symbol" w:hAnsi="Symbol" w:hint="default"/>
      </w:rPr>
    </w:lvl>
    <w:lvl w:ilvl="7" w:tplc="140A0003" w:tentative="1">
      <w:start w:val="1"/>
      <w:numFmt w:val="bullet"/>
      <w:lvlText w:val="o"/>
      <w:lvlJc w:val="left"/>
      <w:pPr>
        <w:ind w:left="7538" w:hanging="360"/>
      </w:pPr>
      <w:rPr>
        <w:rFonts w:ascii="Courier New" w:hAnsi="Courier New" w:cs="Courier New" w:hint="default"/>
      </w:rPr>
    </w:lvl>
    <w:lvl w:ilvl="8" w:tplc="140A0005" w:tentative="1">
      <w:start w:val="1"/>
      <w:numFmt w:val="bullet"/>
      <w:lvlText w:val=""/>
      <w:lvlJc w:val="left"/>
      <w:pPr>
        <w:ind w:left="8258" w:hanging="360"/>
      </w:pPr>
      <w:rPr>
        <w:rFonts w:ascii="Wingdings" w:hAnsi="Wingdings" w:hint="default"/>
      </w:rPr>
    </w:lvl>
  </w:abstractNum>
  <w:abstractNum w:abstractNumId="54">
    <w:nsid w:val="4E8D3A5E"/>
    <w:multiLevelType w:val="hybridMultilevel"/>
    <w:tmpl w:val="83B8C808"/>
    <w:lvl w:ilvl="0" w:tplc="C1AA39AA">
      <w:start w:val="1"/>
      <w:numFmt w:val="upperLetter"/>
      <w:lvlText w:val="%1."/>
      <w:lvlJc w:val="left"/>
      <w:pPr>
        <w:ind w:left="720" w:hanging="360"/>
      </w:pPr>
      <w:rPr>
        <w:rFonts w:hint="default"/>
        <w:b/>
        <w:color w:val="auto"/>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5">
    <w:nsid w:val="4EE731B6"/>
    <w:multiLevelType w:val="hybridMultilevel"/>
    <w:tmpl w:val="4AAE7D5A"/>
    <w:lvl w:ilvl="0" w:tplc="5520FEA0">
      <w:start w:val="6"/>
      <w:numFmt w:val="decimal"/>
      <w:lvlText w:val="%1."/>
      <w:lvlJc w:val="left"/>
      <w:pPr>
        <w:ind w:left="1070" w:hanging="360"/>
      </w:pPr>
      <w:rPr>
        <w:rFonts w:ascii="Verdana" w:eastAsia="Calibri" w:hAnsi="Verdana" w:hint="default"/>
        <w:b w:val="0"/>
        <w:i w:val="0"/>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6">
    <w:nsid w:val="4FC74762"/>
    <w:multiLevelType w:val="hybridMultilevel"/>
    <w:tmpl w:val="6A605BF0"/>
    <w:lvl w:ilvl="0" w:tplc="2906597A">
      <w:start w:val="1"/>
      <w:numFmt w:val="decimal"/>
      <w:lvlText w:val="C.%1."/>
      <w:lvlJc w:val="left"/>
      <w:pPr>
        <w:ind w:left="1776" w:hanging="360"/>
      </w:pPr>
      <w:rPr>
        <w:rFonts w:hint="default"/>
      </w:rPr>
    </w:lvl>
    <w:lvl w:ilvl="1" w:tplc="140A0019">
      <w:start w:val="1"/>
      <w:numFmt w:val="lowerLetter"/>
      <w:lvlText w:val="%2."/>
      <w:lvlJc w:val="left"/>
      <w:pPr>
        <w:ind w:left="2496" w:hanging="360"/>
      </w:pPr>
    </w:lvl>
    <w:lvl w:ilvl="2" w:tplc="140A001B" w:tentative="1">
      <w:start w:val="1"/>
      <w:numFmt w:val="lowerRoman"/>
      <w:lvlText w:val="%3."/>
      <w:lvlJc w:val="right"/>
      <w:pPr>
        <w:ind w:left="3216" w:hanging="180"/>
      </w:pPr>
    </w:lvl>
    <w:lvl w:ilvl="3" w:tplc="140A000F" w:tentative="1">
      <w:start w:val="1"/>
      <w:numFmt w:val="decimal"/>
      <w:lvlText w:val="%4."/>
      <w:lvlJc w:val="left"/>
      <w:pPr>
        <w:ind w:left="3936" w:hanging="360"/>
      </w:pPr>
    </w:lvl>
    <w:lvl w:ilvl="4" w:tplc="140A0019" w:tentative="1">
      <w:start w:val="1"/>
      <w:numFmt w:val="lowerLetter"/>
      <w:lvlText w:val="%5."/>
      <w:lvlJc w:val="left"/>
      <w:pPr>
        <w:ind w:left="4656" w:hanging="360"/>
      </w:pPr>
    </w:lvl>
    <w:lvl w:ilvl="5" w:tplc="140A001B" w:tentative="1">
      <w:start w:val="1"/>
      <w:numFmt w:val="lowerRoman"/>
      <w:lvlText w:val="%6."/>
      <w:lvlJc w:val="right"/>
      <w:pPr>
        <w:ind w:left="5376" w:hanging="180"/>
      </w:pPr>
    </w:lvl>
    <w:lvl w:ilvl="6" w:tplc="140A000F" w:tentative="1">
      <w:start w:val="1"/>
      <w:numFmt w:val="decimal"/>
      <w:lvlText w:val="%7."/>
      <w:lvlJc w:val="left"/>
      <w:pPr>
        <w:ind w:left="6096" w:hanging="360"/>
      </w:pPr>
    </w:lvl>
    <w:lvl w:ilvl="7" w:tplc="140A0019" w:tentative="1">
      <w:start w:val="1"/>
      <w:numFmt w:val="lowerLetter"/>
      <w:lvlText w:val="%8."/>
      <w:lvlJc w:val="left"/>
      <w:pPr>
        <w:ind w:left="6816" w:hanging="360"/>
      </w:pPr>
    </w:lvl>
    <w:lvl w:ilvl="8" w:tplc="140A001B" w:tentative="1">
      <w:start w:val="1"/>
      <w:numFmt w:val="lowerRoman"/>
      <w:lvlText w:val="%9."/>
      <w:lvlJc w:val="right"/>
      <w:pPr>
        <w:ind w:left="7536" w:hanging="180"/>
      </w:pPr>
    </w:lvl>
  </w:abstractNum>
  <w:abstractNum w:abstractNumId="57">
    <w:nsid w:val="4FC90E97"/>
    <w:multiLevelType w:val="hybridMultilevel"/>
    <w:tmpl w:val="D2A0F0AA"/>
    <w:lvl w:ilvl="0" w:tplc="1A1E43BA">
      <w:start w:val="1"/>
      <w:numFmt w:val="decimal"/>
      <w:lvlText w:val="G.%1."/>
      <w:lvlJc w:val="right"/>
      <w:pPr>
        <w:ind w:left="3192" w:hanging="360"/>
      </w:pPr>
      <w:rPr>
        <w:rFonts w:hint="default"/>
      </w:rPr>
    </w:lvl>
    <w:lvl w:ilvl="1" w:tplc="140A0019" w:tentative="1">
      <w:start w:val="1"/>
      <w:numFmt w:val="lowerLetter"/>
      <w:lvlText w:val="%2."/>
      <w:lvlJc w:val="left"/>
      <w:pPr>
        <w:ind w:left="3912" w:hanging="360"/>
      </w:pPr>
    </w:lvl>
    <w:lvl w:ilvl="2" w:tplc="140A001B" w:tentative="1">
      <w:start w:val="1"/>
      <w:numFmt w:val="lowerRoman"/>
      <w:lvlText w:val="%3."/>
      <w:lvlJc w:val="right"/>
      <w:pPr>
        <w:ind w:left="4632" w:hanging="180"/>
      </w:pPr>
    </w:lvl>
    <w:lvl w:ilvl="3" w:tplc="140A000F" w:tentative="1">
      <w:start w:val="1"/>
      <w:numFmt w:val="decimal"/>
      <w:lvlText w:val="%4."/>
      <w:lvlJc w:val="left"/>
      <w:pPr>
        <w:ind w:left="5352" w:hanging="360"/>
      </w:pPr>
    </w:lvl>
    <w:lvl w:ilvl="4" w:tplc="140A0019" w:tentative="1">
      <w:start w:val="1"/>
      <w:numFmt w:val="lowerLetter"/>
      <w:lvlText w:val="%5."/>
      <w:lvlJc w:val="left"/>
      <w:pPr>
        <w:ind w:left="6072" w:hanging="360"/>
      </w:pPr>
    </w:lvl>
    <w:lvl w:ilvl="5" w:tplc="140A001B" w:tentative="1">
      <w:start w:val="1"/>
      <w:numFmt w:val="lowerRoman"/>
      <w:lvlText w:val="%6."/>
      <w:lvlJc w:val="right"/>
      <w:pPr>
        <w:ind w:left="6792" w:hanging="180"/>
      </w:pPr>
    </w:lvl>
    <w:lvl w:ilvl="6" w:tplc="140A000F" w:tentative="1">
      <w:start w:val="1"/>
      <w:numFmt w:val="decimal"/>
      <w:lvlText w:val="%7."/>
      <w:lvlJc w:val="left"/>
      <w:pPr>
        <w:ind w:left="7512" w:hanging="360"/>
      </w:pPr>
    </w:lvl>
    <w:lvl w:ilvl="7" w:tplc="140A0019" w:tentative="1">
      <w:start w:val="1"/>
      <w:numFmt w:val="lowerLetter"/>
      <w:lvlText w:val="%8."/>
      <w:lvlJc w:val="left"/>
      <w:pPr>
        <w:ind w:left="8232" w:hanging="360"/>
      </w:pPr>
    </w:lvl>
    <w:lvl w:ilvl="8" w:tplc="140A001B" w:tentative="1">
      <w:start w:val="1"/>
      <w:numFmt w:val="lowerRoman"/>
      <w:lvlText w:val="%9."/>
      <w:lvlJc w:val="right"/>
      <w:pPr>
        <w:ind w:left="8952" w:hanging="180"/>
      </w:pPr>
    </w:lvl>
  </w:abstractNum>
  <w:abstractNum w:abstractNumId="58">
    <w:nsid w:val="51126D06"/>
    <w:multiLevelType w:val="hybridMultilevel"/>
    <w:tmpl w:val="E5A82148"/>
    <w:lvl w:ilvl="0" w:tplc="140A001B">
      <w:start w:val="1"/>
      <w:numFmt w:val="lowerRoman"/>
      <w:lvlText w:val="%1."/>
      <w:lvlJc w:val="right"/>
      <w:pPr>
        <w:ind w:left="720" w:hanging="360"/>
      </w:pPr>
      <w:rPr>
        <w:rFonts w:hint="default"/>
      </w:rPr>
    </w:lvl>
    <w:lvl w:ilvl="1" w:tplc="140A0003">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59">
    <w:nsid w:val="544F1B20"/>
    <w:multiLevelType w:val="hybridMultilevel"/>
    <w:tmpl w:val="A20C4434"/>
    <w:lvl w:ilvl="0" w:tplc="D24E83CC">
      <w:start w:val="38"/>
      <w:numFmt w:val="decimal"/>
      <w:lvlText w:val="%1."/>
      <w:lvlJc w:val="left"/>
      <w:pPr>
        <w:ind w:left="1080" w:hanging="360"/>
      </w:pPr>
      <w:rPr>
        <w:rFonts w:ascii="Verdana" w:hAnsi="Verdana" w:hint="default"/>
        <w:i w:val="0"/>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nsid w:val="54946FFE"/>
    <w:multiLevelType w:val="hybridMultilevel"/>
    <w:tmpl w:val="725A5680"/>
    <w:lvl w:ilvl="0" w:tplc="599C509A">
      <w:start w:val="1"/>
      <w:numFmt w:val="decimal"/>
      <w:lvlText w:val="D.%1."/>
      <w:lvlJc w:val="left"/>
      <w:pPr>
        <w:ind w:left="1495" w:hanging="360"/>
      </w:pPr>
      <w:rPr>
        <w:rFonts w:hint="default"/>
      </w:rPr>
    </w:lvl>
    <w:lvl w:ilvl="1" w:tplc="140A0019" w:tentative="1">
      <w:start w:val="1"/>
      <w:numFmt w:val="lowerLetter"/>
      <w:lvlText w:val="%2."/>
      <w:lvlJc w:val="left"/>
      <w:pPr>
        <w:ind w:left="2215" w:hanging="360"/>
      </w:pPr>
    </w:lvl>
    <w:lvl w:ilvl="2" w:tplc="140A001B" w:tentative="1">
      <w:start w:val="1"/>
      <w:numFmt w:val="lowerRoman"/>
      <w:lvlText w:val="%3."/>
      <w:lvlJc w:val="right"/>
      <w:pPr>
        <w:ind w:left="2935" w:hanging="180"/>
      </w:pPr>
    </w:lvl>
    <w:lvl w:ilvl="3" w:tplc="140A000F" w:tentative="1">
      <w:start w:val="1"/>
      <w:numFmt w:val="decimal"/>
      <w:lvlText w:val="%4."/>
      <w:lvlJc w:val="left"/>
      <w:pPr>
        <w:ind w:left="3655" w:hanging="360"/>
      </w:pPr>
    </w:lvl>
    <w:lvl w:ilvl="4" w:tplc="140A0019" w:tentative="1">
      <w:start w:val="1"/>
      <w:numFmt w:val="lowerLetter"/>
      <w:lvlText w:val="%5."/>
      <w:lvlJc w:val="left"/>
      <w:pPr>
        <w:ind w:left="4375" w:hanging="360"/>
      </w:pPr>
    </w:lvl>
    <w:lvl w:ilvl="5" w:tplc="140A001B" w:tentative="1">
      <w:start w:val="1"/>
      <w:numFmt w:val="lowerRoman"/>
      <w:lvlText w:val="%6."/>
      <w:lvlJc w:val="right"/>
      <w:pPr>
        <w:ind w:left="5095" w:hanging="180"/>
      </w:pPr>
    </w:lvl>
    <w:lvl w:ilvl="6" w:tplc="140A000F" w:tentative="1">
      <w:start w:val="1"/>
      <w:numFmt w:val="decimal"/>
      <w:lvlText w:val="%7."/>
      <w:lvlJc w:val="left"/>
      <w:pPr>
        <w:ind w:left="5815" w:hanging="360"/>
      </w:pPr>
    </w:lvl>
    <w:lvl w:ilvl="7" w:tplc="140A0019" w:tentative="1">
      <w:start w:val="1"/>
      <w:numFmt w:val="lowerLetter"/>
      <w:lvlText w:val="%8."/>
      <w:lvlJc w:val="left"/>
      <w:pPr>
        <w:ind w:left="6535" w:hanging="360"/>
      </w:pPr>
    </w:lvl>
    <w:lvl w:ilvl="8" w:tplc="140A001B" w:tentative="1">
      <w:start w:val="1"/>
      <w:numFmt w:val="lowerRoman"/>
      <w:lvlText w:val="%9."/>
      <w:lvlJc w:val="right"/>
      <w:pPr>
        <w:ind w:left="7255" w:hanging="180"/>
      </w:pPr>
    </w:lvl>
  </w:abstractNum>
  <w:abstractNum w:abstractNumId="61">
    <w:nsid w:val="56164B7C"/>
    <w:multiLevelType w:val="hybridMultilevel"/>
    <w:tmpl w:val="8CC26DFC"/>
    <w:lvl w:ilvl="0" w:tplc="CF9AFCBE">
      <w:start w:val="1"/>
      <w:numFmt w:val="lowerLetter"/>
      <w:lvlText w:val="%1)"/>
      <w:lvlJc w:val="left"/>
      <w:pPr>
        <w:ind w:left="818" w:hanging="360"/>
      </w:pPr>
      <w:rPr>
        <w:color w:val="auto"/>
      </w:rPr>
    </w:lvl>
    <w:lvl w:ilvl="1" w:tplc="140A0019">
      <w:start w:val="1"/>
      <w:numFmt w:val="lowerLetter"/>
      <w:lvlText w:val="%2."/>
      <w:lvlJc w:val="left"/>
      <w:pPr>
        <w:ind w:left="1538" w:hanging="360"/>
      </w:pPr>
    </w:lvl>
    <w:lvl w:ilvl="2" w:tplc="140A001B">
      <w:start w:val="1"/>
      <w:numFmt w:val="lowerRoman"/>
      <w:lvlText w:val="%3."/>
      <w:lvlJc w:val="right"/>
      <w:pPr>
        <w:ind w:left="2258" w:hanging="180"/>
      </w:pPr>
    </w:lvl>
    <w:lvl w:ilvl="3" w:tplc="140A000F">
      <w:start w:val="1"/>
      <w:numFmt w:val="decimal"/>
      <w:lvlText w:val="%4."/>
      <w:lvlJc w:val="left"/>
      <w:pPr>
        <w:ind w:left="2978" w:hanging="360"/>
      </w:pPr>
    </w:lvl>
    <w:lvl w:ilvl="4" w:tplc="140A0019">
      <w:start w:val="1"/>
      <w:numFmt w:val="lowerLetter"/>
      <w:lvlText w:val="%5."/>
      <w:lvlJc w:val="left"/>
      <w:pPr>
        <w:ind w:left="3698" w:hanging="360"/>
      </w:pPr>
    </w:lvl>
    <w:lvl w:ilvl="5" w:tplc="140A001B">
      <w:start w:val="1"/>
      <w:numFmt w:val="lowerRoman"/>
      <w:lvlText w:val="%6."/>
      <w:lvlJc w:val="right"/>
      <w:pPr>
        <w:ind w:left="4418" w:hanging="180"/>
      </w:pPr>
    </w:lvl>
    <w:lvl w:ilvl="6" w:tplc="140A000F">
      <w:start w:val="1"/>
      <w:numFmt w:val="decimal"/>
      <w:lvlText w:val="%7."/>
      <w:lvlJc w:val="left"/>
      <w:pPr>
        <w:ind w:left="5138" w:hanging="360"/>
      </w:pPr>
    </w:lvl>
    <w:lvl w:ilvl="7" w:tplc="140A0019">
      <w:start w:val="1"/>
      <w:numFmt w:val="lowerLetter"/>
      <w:lvlText w:val="%8."/>
      <w:lvlJc w:val="left"/>
      <w:pPr>
        <w:ind w:left="5858" w:hanging="360"/>
      </w:pPr>
    </w:lvl>
    <w:lvl w:ilvl="8" w:tplc="140A001B">
      <w:start w:val="1"/>
      <w:numFmt w:val="lowerRoman"/>
      <w:lvlText w:val="%9."/>
      <w:lvlJc w:val="right"/>
      <w:pPr>
        <w:ind w:left="6578" w:hanging="180"/>
      </w:pPr>
    </w:lvl>
  </w:abstractNum>
  <w:abstractNum w:abstractNumId="62">
    <w:nsid w:val="578726F7"/>
    <w:multiLevelType w:val="hybridMultilevel"/>
    <w:tmpl w:val="4970C0C0"/>
    <w:lvl w:ilvl="0" w:tplc="342242FE">
      <w:start w:val="1"/>
      <w:numFmt w:val="lowerLetter"/>
      <w:lvlText w:val="%1."/>
      <w:lvlJc w:val="left"/>
      <w:pPr>
        <w:ind w:left="720" w:hanging="360"/>
      </w:pPr>
      <w:rPr>
        <w:rFonts w:ascii="Verdana" w:eastAsiaTheme="minorHAnsi" w:hAnsi="Verdana"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58C677CB"/>
    <w:multiLevelType w:val="hybridMultilevel"/>
    <w:tmpl w:val="DCE60B0A"/>
    <w:lvl w:ilvl="0" w:tplc="27101D92">
      <w:start w:val="1"/>
      <w:numFmt w:val="decimal"/>
      <w:lvlText w:val="D.%1."/>
      <w:lvlJc w:val="left"/>
      <w:pPr>
        <w:ind w:left="1636" w:hanging="360"/>
      </w:pPr>
      <w:rPr>
        <w:rFonts w:hint="default"/>
      </w:rPr>
    </w:lvl>
    <w:lvl w:ilvl="1" w:tplc="140A0019" w:tentative="1">
      <w:start w:val="1"/>
      <w:numFmt w:val="lowerLetter"/>
      <w:lvlText w:val="%2."/>
      <w:lvlJc w:val="left"/>
      <w:pPr>
        <w:ind w:left="1865" w:hanging="360"/>
      </w:pPr>
    </w:lvl>
    <w:lvl w:ilvl="2" w:tplc="140A001B" w:tentative="1">
      <w:start w:val="1"/>
      <w:numFmt w:val="lowerRoman"/>
      <w:lvlText w:val="%3."/>
      <w:lvlJc w:val="right"/>
      <w:pPr>
        <w:ind w:left="2585" w:hanging="180"/>
      </w:pPr>
    </w:lvl>
    <w:lvl w:ilvl="3" w:tplc="140A000F" w:tentative="1">
      <w:start w:val="1"/>
      <w:numFmt w:val="decimal"/>
      <w:lvlText w:val="%4."/>
      <w:lvlJc w:val="left"/>
      <w:pPr>
        <w:ind w:left="3305" w:hanging="360"/>
      </w:pPr>
    </w:lvl>
    <w:lvl w:ilvl="4" w:tplc="140A0019" w:tentative="1">
      <w:start w:val="1"/>
      <w:numFmt w:val="lowerLetter"/>
      <w:lvlText w:val="%5."/>
      <w:lvlJc w:val="left"/>
      <w:pPr>
        <w:ind w:left="4025" w:hanging="360"/>
      </w:pPr>
    </w:lvl>
    <w:lvl w:ilvl="5" w:tplc="140A001B" w:tentative="1">
      <w:start w:val="1"/>
      <w:numFmt w:val="lowerRoman"/>
      <w:lvlText w:val="%6."/>
      <w:lvlJc w:val="right"/>
      <w:pPr>
        <w:ind w:left="4745" w:hanging="180"/>
      </w:pPr>
    </w:lvl>
    <w:lvl w:ilvl="6" w:tplc="140A000F" w:tentative="1">
      <w:start w:val="1"/>
      <w:numFmt w:val="decimal"/>
      <w:lvlText w:val="%7."/>
      <w:lvlJc w:val="left"/>
      <w:pPr>
        <w:ind w:left="5465" w:hanging="360"/>
      </w:pPr>
    </w:lvl>
    <w:lvl w:ilvl="7" w:tplc="140A0019" w:tentative="1">
      <w:start w:val="1"/>
      <w:numFmt w:val="lowerLetter"/>
      <w:lvlText w:val="%8."/>
      <w:lvlJc w:val="left"/>
      <w:pPr>
        <w:ind w:left="6185" w:hanging="360"/>
      </w:pPr>
    </w:lvl>
    <w:lvl w:ilvl="8" w:tplc="140A001B" w:tentative="1">
      <w:start w:val="1"/>
      <w:numFmt w:val="lowerRoman"/>
      <w:lvlText w:val="%9."/>
      <w:lvlJc w:val="right"/>
      <w:pPr>
        <w:ind w:left="6905" w:hanging="180"/>
      </w:pPr>
    </w:lvl>
  </w:abstractNum>
  <w:abstractNum w:abstractNumId="64">
    <w:nsid w:val="5C113370"/>
    <w:multiLevelType w:val="hybridMultilevel"/>
    <w:tmpl w:val="FE6290DC"/>
    <w:lvl w:ilvl="0" w:tplc="19F88D44">
      <w:start w:val="1"/>
      <w:numFmt w:val="decimal"/>
      <w:lvlText w:val="A.%1."/>
      <w:lvlJc w:val="left"/>
      <w:pPr>
        <w:ind w:left="1832" w:hanging="555"/>
      </w:pPr>
      <w:rPr>
        <w:rFonts w:hint="default"/>
      </w:rPr>
    </w:lvl>
    <w:lvl w:ilvl="1" w:tplc="080A0019" w:tentative="1">
      <w:start w:val="1"/>
      <w:numFmt w:val="lowerLetter"/>
      <w:lvlText w:val="%2."/>
      <w:lvlJc w:val="left"/>
      <w:pPr>
        <w:ind w:left="2357" w:hanging="360"/>
      </w:pPr>
    </w:lvl>
    <w:lvl w:ilvl="2" w:tplc="080A001B" w:tentative="1">
      <w:start w:val="1"/>
      <w:numFmt w:val="lowerRoman"/>
      <w:lvlText w:val="%3."/>
      <w:lvlJc w:val="right"/>
      <w:pPr>
        <w:ind w:left="3077" w:hanging="180"/>
      </w:pPr>
    </w:lvl>
    <w:lvl w:ilvl="3" w:tplc="080A000F" w:tentative="1">
      <w:start w:val="1"/>
      <w:numFmt w:val="decimal"/>
      <w:lvlText w:val="%4."/>
      <w:lvlJc w:val="left"/>
      <w:pPr>
        <w:ind w:left="3797" w:hanging="360"/>
      </w:pPr>
    </w:lvl>
    <w:lvl w:ilvl="4" w:tplc="080A0019" w:tentative="1">
      <w:start w:val="1"/>
      <w:numFmt w:val="lowerLetter"/>
      <w:lvlText w:val="%5."/>
      <w:lvlJc w:val="left"/>
      <w:pPr>
        <w:ind w:left="4517" w:hanging="360"/>
      </w:pPr>
    </w:lvl>
    <w:lvl w:ilvl="5" w:tplc="080A001B" w:tentative="1">
      <w:start w:val="1"/>
      <w:numFmt w:val="lowerRoman"/>
      <w:lvlText w:val="%6."/>
      <w:lvlJc w:val="right"/>
      <w:pPr>
        <w:ind w:left="5237" w:hanging="180"/>
      </w:pPr>
    </w:lvl>
    <w:lvl w:ilvl="6" w:tplc="080A000F" w:tentative="1">
      <w:start w:val="1"/>
      <w:numFmt w:val="decimal"/>
      <w:lvlText w:val="%7."/>
      <w:lvlJc w:val="left"/>
      <w:pPr>
        <w:ind w:left="5957" w:hanging="360"/>
      </w:pPr>
    </w:lvl>
    <w:lvl w:ilvl="7" w:tplc="080A0019" w:tentative="1">
      <w:start w:val="1"/>
      <w:numFmt w:val="lowerLetter"/>
      <w:lvlText w:val="%8."/>
      <w:lvlJc w:val="left"/>
      <w:pPr>
        <w:ind w:left="6677" w:hanging="360"/>
      </w:pPr>
    </w:lvl>
    <w:lvl w:ilvl="8" w:tplc="080A001B" w:tentative="1">
      <w:start w:val="1"/>
      <w:numFmt w:val="lowerRoman"/>
      <w:lvlText w:val="%9."/>
      <w:lvlJc w:val="right"/>
      <w:pPr>
        <w:ind w:left="7397" w:hanging="180"/>
      </w:pPr>
    </w:lvl>
  </w:abstractNum>
  <w:abstractNum w:abstractNumId="65">
    <w:nsid w:val="5DB532F7"/>
    <w:multiLevelType w:val="hybridMultilevel"/>
    <w:tmpl w:val="E378050C"/>
    <w:lvl w:ilvl="0" w:tplc="165ACBEC">
      <w:start w:val="1"/>
      <w:numFmt w:val="decimal"/>
      <w:lvlText w:val="B.2.%1."/>
      <w:lvlJc w:val="left"/>
      <w:pPr>
        <w:ind w:left="1778" w:hanging="360"/>
      </w:pPr>
      <w:rPr>
        <w:rFonts w:hint="default"/>
        <w:b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6">
    <w:nsid w:val="5E1D3A2C"/>
    <w:multiLevelType w:val="hybridMultilevel"/>
    <w:tmpl w:val="C660EA64"/>
    <w:lvl w:ilvl="0" w:tplc="987405BE">
      <w:start w:val="1"/>
      <w:numFmt w:val="decimal"/>
      <w:lvlText w:val="%1."/>
      <w:lvlJc w:val="left"/>
      <w:pPr>
        <w:ind w:left="360" w:hanging="360"/>
      </w:pPr>
      <w:rPr>
        <w:rFonts w:ascii="Verdana" w:hAnsi="Verdana"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606B2359"/>
    <w:multiLevelType w:val="hybridMultilevel"/>
    <w:tmpl w:val="332C8C52"/>
    <w:lvl w:ilvl="0" w:tplc="912824F6">
      <w:start w:val="1"/>
      <w:numFmt w:val="lowerRoman"/>
      <w:lvlText w:val="%1)"/>
      <w:lvlJc w:val="left"/>
      <w:pPr>
        <w:ind w:left="720" w:hanging="360"/>
      </w:pPr>
      <w:rPr>
        <w:rFonts w:ascii="Verdana" w:eastAsia="SimSun" w:hAnsi="Verdana" w:cs="Aria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8">
    <w:nsid w:val="60C526ED"/>
    <w:multiLevelType w:val="hybridMultilevel"/>
    <w:tmpl w:val="375AFEFC"/>
    <w:lvl w:ilvl="0" w:tplc="F0E2B5CC">
      <w:start w:val="1"/>
      <w:numFmt w:val="decimal"/>
      <w:lvlText w:val="D.6.%1."/>
      <w:lvlJc w:val="left"/>
      <w:pPr>
        <w:ind w:left="1778" w:hanging="360"/>
      </w:pPr>
      <w:rPr>
        <w:rFonts w:hint="default"/>
        <w:b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9">
    <w:nsid w:val="615D6ECD"/>
    <w:multiLevelType w:val="hybridMultilevel"/>
    <w:tmpl w:val="70BA2DC8"/>
    <w:lvl w:ilvl="0" w:tplc="ED0459E8">
      <w:start w:val="1"/>
      <w:numFmt w:val="lowerLetter"/>
      <w:lvlText w:val="%1)"/>
      <w:lvlJc w:val="left"/>
      <w:pPr>
        <w:ind w:left="1080" w:hanging="360"/>
      </w:pPr>
      <w:rPr>
        <w:rFonts w:ascii="Verdana" w:hAnsi="Verdana" w:cs="Verdana" w:hint="default"/>
        <w:sz w:val="20"/>
        <w:szCs w:val="20"/>
      </w:rPr>
    </w:lvl>
    <w:lvl w:ilvl="1" w:tplc="7ED89FC2">
      <w:start w:val="1"/>
      <w:numFmt w:val="decimal"/>
      <w:lvlText w:val="%2."/>
      <w:lvlJc w:val="left"/>
      <w:pPr>
        <w:tabs>
          <w:tab w:val="num" w:pos="993"/>
        </w:tabs>
      </w:pPr>
      <w:rPr>
        <w:rFonts w:hint="default"/>
        <w:b/>
        <w:bCs w:val="0"/>
        <w:sz w:val="20"/>
        <w:szCs w:val="20"/>
      </w:rPr>
    </w:lvl>
    <w:lvl w:ilvl="2" w:tplc="B96C1A40">
      <w:start w:val="1"/>
      <w:numFmt w:val="lowerLetter"/>
      <w:lvlText w:val="%3)"/>
      <w:lvlJc w:val="left"/>
      <w:pPr>
        <w:ind w:left="2700" w:hanging="360"/>
      </w:pPr>
      <w:rPr>
        <w:rFonts w:ascii="Verdana" w:hAnsi="Verdana" w:cs="Verdana" w:hint="default"/>
        <w:b w:val="0"/>
        <w:bCs w:val="0"/>
        <w:sz w:val="20"/>
        <w:szCs w:val="20"/>
      </w:rPr>
    </w:lvl>
    <w:lvl w:ilvl="3" w:tplc="DF4032A0">
      <w:start w:val="1"/>
      <w:numFmt w:val="decimal"/>
      <w:lvlText w:val="%4."/>
      <w:lvlJc w:val="left"/>
      <w:pPr>
        <w:ind w:left="3240" w:hanging="360"/>
      </w:pPr>
      <w:rPr>
        <w:b w:val="0"/>
      </w:rPr>
    </w:lvl>
    <w:lvl w:ilvl="4" w:tplc="2C0A0019">
      <w:start w:val="1"/>
      <w:numFmt w:val="lowerLetter"/>
      <w:lvlText w:val="%5."/>
      <w:lvlJc w:val="left"/>
      <w:pPr>
        <w:ind w:left="3960" w:hanging="360"/>
      </w:pPr>
    </w:lvl>
    <w:lvl w:ilvl="5" w:tplc="2C0A001B">
      <w:start w:val="1"/>
      <w:numFmt w:val="lowerRoman"/>
      <w:lvlText w:val="%6."/>
      <w:lvlJc w:val="right"/>
      <w:pPr>
        <w:ind w:left="4680" w:hanging="180"/>
      </w:pPr>
    </w:lvl>
    <w:lvl w:ilvl="6" w:tplc="2C0A000F">
      <w:start w:val="1"/>
      <w:numFmt w:val="decimal"/>
      <w:lvlText w:val="%7."/>
      <w:lvlJc w:val="left"/>
      <w:pPr>
        <w:ind w:left="5400" w:hanging="360"/>
      </w:pPr>
    </w:lvl>
    <w:lvl w:ilvl="7" w:tplc="2C0A0019">
      <w:start w:val="1"/>
      <w:numFmt w:val="lowerLetter"/>
      <w:lvlText w:val="%8."/>
      <w:lvlJc w:val="left"/>
      <w:pPr>
        <w:ind w:left="6120" w:hanging="360"/>
      </w:pPr>
    </w:lvl>
    <w:lvl w:ilvl="8" w:tplc="2C0A001B">
      <w:start w:val="1"/>
      <w:numFmt w:val="lowerRoman"/>
      <w:lvlText w:val="%9."/>
      <w:lvlJc w:val="right"/>
      <w:pPr>
        <w:ind w:left="6840" w:hanging="180"/>
      </w:pPr>
    </w:lvl>
  </w:abstractNum>
  <w:abstractNum w:abstractNumId="70">
    <w:nsid w:val="63143F15"/>
    <w:multiLevelType w:val="hybridMultilevel"/>
    <w:tmpl w:val="B3148398"/>
    <w:lvl w:ilvl="0" w:tplc="5FEE9B50">
      <w:start w:val="1"/>
      <w:numFmt w:val="decimal"/>
      <w:lvlText w:val="G.%1."/>
      <w:lvlJc w:val="left"/>
      <w:pPr>
        <w:ind w:left="1636"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1">
    <w:nsid w:val="64402BA7"/>
    <w:multiLevelType w:val="hybridMultilevel"/>
    <w:tmpl w:val="431E461A"/>
    <w:lvl w:ilvl="0" w:tplc="9F2A7FC2">
      <w:start w:val="1"/>
      <w:numFmt w:val="upperLetter"/>
      <w:pStyle w:val="Heading2"/>
      <w:lvlText w:val="%1."/>
      <w:lvlJc w:val="left"/>
      <w:pPr>
        <w:ind w:left="928" w:hanging="360"/>
      </w:pPr>
    </w:lvl>
    <w:lvl w:ilvl="1" w:tplc="04090019">
      <w:start w:val="1"/>
      <w:numFmt w:val="lowerLetter"/>
      <w:lvlText w:val="%2."/>
      <w:lvlJc w:val="left"/>
      <w:pPr>
        <w:ind w:left="4140" w:hanging="360"/>
      </w:pPr>
    </w:lvl>
    <w:lvl w:ilvl="2" w:tplc="0409001B" w:tentative="1">
      <w:start w:val="1"/>
      <w:numFmt w:val="lowerRoman"/>
      <w:lvlText w:val="%3."/>
      <w:lvlJc w:val="right"/>
      <w:pPr>
        <w:ind w:left="4860" w:hanging="180"/>
      </w:pPr>
    </w:lvl>
    <w:lvl w:ilvl="3" w:tplc="0409000F" w:tentative="1">
      <w:start w:val="1"/>
      <w:numFmt w:val="decimal"/>
      <w:lvlText w:val="%4."/>
      <w:lvlJc w:val="left"/>
      <w:pPr>
        <w:ind w:left="5580" w:hanging="360"/>
      </w:pPr>
    </w:lvl>
    <w:lvl w:ilvl="4" w:tplc="04090019" w:tentative="1">
      <w:start w:val="1"/>
      <w:numFmt w:val="lowerLetter"/>
      <w:lvlText w:val="%5."/>
      <w:lvlJc w:val="left"/>
      <w:pPr>
        <w:ind w:left="6300" w:hanging="360"/>
      </w:pPr>
    </w:lvl>
    <w:lvl w:ilvl="5" w:tplc="0409001B" w:tentative="1">
      <w:start w:val="1"/>
      <w:numFmt w:val="lowerRoman"/>
      <w:lvlText w:val="%6."/>
      <w:lvlJc w:val="right"/>
      <w:pPr>
        <w:ind w:left="7020" w:hanging="180"/>
      </w:pPr>
    </w:lvl>
    <w:lvl w:ilvl="6" w:tplc="0409000F" w:tentative="1">
      <w:start w:val="1"/>
      <w:numFmt w:val="decimal"/>
      <w:lvlText w:val="%7."/>
      <w:lvlJc w:val="left"/>
      <w:pPr>
        <w:ind w:left="7740" w:hanging="360"/>
      </w:pPr>
    </w:lvl>
    <w:lvl w:ilvl="7" w:tplc="04090019" w:tentative="1">
      <w:start w:val="1"/>
      <w:numFmt w:val="lowerLetter"/>
      <w:lvlText w:val="%8."/>
      <w:lvlJc w:val="left"/>
      <w:pPr>
        <w:ind w:left="8460" w:hanging="360"/>
      </w:pPr>
    </w:lvl>
    <w:lvl w:ilvl="8" w:tplc="0409001B" w:tentative="1">
      <w:start w:val="1"/>
      <w:numFmt w:val="lowerRoman"/>
      <w:lvlText w:val="%9."/>
      <w:lvlJc w:val="right"/>
      <w:pPr>
        <w:ind w:left="9180" w:hanging="180"/>
      </w:pPr>
    </w:lvl>
  </w:abstractNum>
  <w:abstractNum w:abstractNumId="72">
    <w:nsid w:val="651E077B"/>
    <w:multiLevelType w:val="hybridMultilevel"/>
    <w:tmpl w:val="435A271E"/>
    <w:lvl w:ilvl="0" w:tplc="17A43CE8">
      <w:start w:val="1"/>
      <w:numFmt w:val="decimal"/>
      <w:lvlText w:val="B.%1."/>
      <w:lvlJc w:val="left"/>
      <w:pPr>
        <w:ind w:left="1776" w:hanging="360"/>
      </w:pPr>
      <w:rPr>
        <w:rFonts w:hint="default"/>
      </w:rPr>
    </w:lvl>
    <w:lvl w:ilvl="1" w:tplc="140A0019" w:tentative="1">
      <w:start w:val="1"/>
      <w:numFmt w:val="lowerLetter"/>
      <w:lvlText w:val="%2."/>
      <w:lvlJc w:val="left"/>
      <w:pPr>
        <w:ind w:left="2496" w:hanging="360"/>
      </w:pPr>
    </w:lvl>
    <w:lvl w:ilvl="2" w:tplc="140A001B" w:tentative="1">
      <w:start w:val="1"/>
      <w:numFmt w:val="lowerRoman"/>
      <w:lvlText w:val="%3."/>
      <w:lvlJc w:val="right"/>
      <w:pPr>
        <w:ind w:left="3216" w:hanging="180"/>
      </w:pPr>
    </w:lvl>
    <w:lvl w:ilvl="3" w:tplc="140A000F" w:tentative="1">
      <w:start w:val="1"/>
      <w:numFmt w:val="decimal"/>
      <w:lvlText w:val="%4."/>
      <w:lvlJc w:val="left"/>
      <w:pPr>
        <w:ind w:left="3936" w:hanging="360"/>
      </w:pPr>
    </w:lvl>
    <w:lvl w:ilvl="4" w:tplc="140A0019" w:tentative="1">
      <w:start w:val="1"/>
      <w:numFmt w:val="lowerLetter"/>
      <w:lvlText w:val="%5."/>
      <w:lvlJc w:val="left"/>
      <w:pPr>
        <w:ind w:left="4656" w:hanging="360"/>
      </w:pPr>
    </w:lvl>
    <w:lvl w:ilvl="5" w:tplc="140A001B" w:tentative="1">
      <w:start w:val="1"/>
      <w:numFmt w:val="lowerRoman"/>
      <w:lvlText w:val="%6."/>
      <w:lvlJc w:val="right"/>
      <w:pPr>
        <w:ind w:left="5376" w:hanging="180"/>
      </w:pPr>
    </w:lvl>
    <w:lvl w:ilvl="6" w:tplc="140A000F" w:tentative="1">
      <w:start w:val="1"/>
      <w:numFmt w:val="decimal"/>
      <w:lvlText w:val="%7."/>
      <w:lvlJc w:val="left"/>
      <w:pPr>
        <w:ind w:left="6096" w:hanging="360"/>
      </w:pPr>
    </w:lvl>
    <w:lvl w:ilvl="7" w:tplc="140A0019" w:tentative="1">
      <w:start w:val="1"/>
      <w:numFmt w:val="lowerLetter"/>
      <w:lvlText w:val="%8."/>
      <w:lvlJc w:val="left"/>
      <w:pPr>
        <w:ind w:left="6816" w:hanging="360"/>
      </w:pPr>
    </w:lvl>
    <w:lvl w:ilvl="8" w:tplc="140A001B" w:tentative="1">
      <w:start w:val="1"/>
      <w:numFmt w:val="lowerRoman"/>
      <w:lvlText w:val="%9."/>
      <w:lvlJc w:val="right"/>
      <w:pPr>
        <w:ind w:left="7536" w:hanging="180"/>
      </w:pPr>
    </w:lvl>
  </w:abstractNum>
  <w:abstractNum w:abstractNumId="73">
    <w:nsid w:val="65565CF2"/>
    <w:multiLevelType w:val="hybridMultilevel"/>
    <w:tmpl w:val="21B0DD16"/>
    <w:lvl w:ilvl="0" w:tplc="2480C4C6">
      <w:start w:val="1"/>
      <w:numFmt w:val="decimal"/>
      <w:lvlText w:val="D.6.%1"/>
      <w:lvlJc w:val="left"/>
      <w:pPr>
        <w:ind w:left="3284" w:hanging="360"/>
      </w:pPr>
      <w:rPr>
        <w:rFonts w:hint="default"/>
        <w:lang w:val="es-MX"/>
      </w:rPr>
    </w:lvl>
    <w:lvl w:ilvl="1" w:tplc="140A0019" w:tentative="1">
      <w:start w:val="1"/>
      <w:numFmt w:val="lowerLetter"/>
      <w:lvlText w:val="%2."/>
      <w:lvlJc w:val="left"/>
      <w:pPr>
        <w:ind w:left="4004" w:hanging="360"/>
      </w:pPr>
    </w:lvl>
    <w:lvl w:ilvl="2" w:tplc="140A001B" w:tentative="1">
      <w:start w:val="1"/>
      <w:numFmt w:val="lowerRoman"/>
      <w:lvlText w:val="%3."/>
      <w:lvlJc w:val="right"/>
      <w:pPr>
        <w:ind w:left="4724" w:hanging="180"/>
      </w:pPr>
    </w:lvl>
    <w:lvl w:ilvl="3" w:tplc="140A000F" w:tentative="1">
      <w:start w:val="1"/>
      <w:numFmt w:val="decimal"/>
      <w:lvlText w:val="%4."/>
      <w:lvlJc w:val="left"/>
      <w:pPr>
        <w:ind w:left="5444" w:hanging="360"/>
      </w:pPr>
    </w:lvl>
    <w:lvl w:ilvl="4" w:tplc="140A0019" w:tentative="1">
      <w:start w:val="1"/>
      <w:numFmt w:val="lowerLetter"/>
      <w:lvlText w:val="%5."/>
      <w:lvlJc w:val="left"/>
      <w:pPr>
        <w:ind w:left="6164" w:hanging="360"/>
      </w:pPr>
    </w:lvl>
    <w:lvl w:ilvl="5" w:tplc="140A001B" w:tentative="1">
      <w:start w:val="1"/>
      <w:numFmt w:val="lowerRoman"/>
      <w:lvlText w:val="%6."/>
      <w:lvlJc w:val="right"/>
      <w:pPr>
        <w:ind w:left="6884" w:hanging="180"/>
      </w:pPr>
    </w:lvl>
    <w:lvl w:ilvl="6" w:tplc="140A000F" w:tentative="1">
      <w:start w:val="1"/>
      <w:numFmt w:val="decimal"/>
      <w:lvlText w:val="%7."/>
      <w:lvlJc w:val="left"/>
      <w:pPr>
        <w:ind w:left="7604" w:hanging="360"/>
      </w:pPr>
    </w:lvl>
    <w:lvl w:ilvl="7" w:tplc="140A0019" w:tentative="1">
      <w:start w:val="1"/>
      <w:numFmt w:val="lowerLetter"/>
      <w:lvlText w:val="%8."/>
      <w:lvlJc w:val="left"/>
      <w:pPr>
        <w:ind w:left="8324" w:hanging="360"/>
      </w:pPr>
    </w:lvl>
    <w:lvl w:ilvl="8" w:tplc="140A001B" w:tentative="1">
      <w:start w:val="1"/>
      <w:numFmt w:val="lowerRoman"/>
      <w:lvlText w:val="%9."/>
      <w:lvlJc w:val="right"/>
      <w:pPr>
        <w:ind w:left="9044" w:hanging="180"/>
      </w:pPr>
    </w:lvl>
  </w:abstractNum>
  <w:abstractNum w:abstractNumId="74">
    <w:nsid w:val="65EA1A74"/>
    <w:multiLevelType w:val="hybridMultilevel"/>
    <w:tmpl w:val="2B2EF68E"/>
    <w:lvl w:ilvl="0" w:tplc="B3625B9A">
      <w:start w:val="1"/>
      <w:numFmt w:val="decimal"/>
      <w:lvlText w:val="A.1.%1."/>
      <w:lvlJc w:val="left"/>
      <w:pPr>
        <w:ind w:left="2564" w:hanging="360"/>
      </w:pPr>
      <w:rPr>
        <w:rFonts w:hint="default"/>
      </w:rPr>
    </w:lvl>
    <w:lvl w:ilvl="1" w:tplc="140A0019" w:tentative="1">
      <w:start w:val="1"/>
      <w:numFmt w:val="lowerLetter"/>
      <w:lvlText w:val="%2."/>
      <w:lvlJc w:val="left"/>
      <w:pPr>
        <w:ind w:left="3284" w:hanging="360"/>
      </w:pPr>
    </w:lvl>
    <w:lvl w:ilvl="2" w:tplc="140A001B" w:tentative="1">
      <w:start w:val="1"/>
      <w:numFmt w:val="lowerRoman"/>
      <w:lvlText w:val="%3."/>
      <w:lvlJc w:val="right"/>
      <w:pPr>
        <w:ind w:left="4004" w:hanging="180"/>
      </w:pPr>
    </w:lvl>
    <w:lvl w:ilvl="3" w:tplc="140A000F" w:tentative="1">
      <w:start w:val="1"/>
      <w:numFmt w:val="decimal"/>
      <w:lvlText w:val="%4."/>
      <w:lvlJc w:val="left"/>
      <w:pPr>
        <w:ind w:left="4724" w:hanging="360"/>
      </w:pPr>
    </w:lvl>
    <w:lvl w:ilvl="4" w:tplc="140A0019" w:tentative="1">
      <w:start w:val="1"/>
      <w:numFmt w:val="lowerLetter"/>
      <w:lvlText w:val="%5."/>
      <w:lvlJc w:val="left"/>
      <w:pPr>
        <w:ind w:left="5444" w:hanging="360"/>
      </w:pPr>
    </w:lvl>
    <w:lvl w:ilvl="5" w:tplc="140A001B" w:tentative="1">
      <w:start w:val="1"/>
      <w:numFmt w:val="lowerRoman"/>
      <w:lvlText w:val="%6."/>
      <w:lvlJc w:val="right"/>
      <w:pPr>
        <w:ind w:left="6164" w:hanging="180"/>
      </w:pPr>
    </w:lvl>
    <w:lvl w:ilvl="6" w:tplc="140A000F" w:tentative="1">
      <w:start w:val="1"/>
      <w:numFmt w:val="decimal"/>
      <w:lvlText w:val="%7."/>
      <w:lvlJc w:val="left"/>
      <w:pPr>
        <w:ind w:left="6884" w:hanging="360"/>
      </w:pPr>
    </w:lvl>
    <w:lvl w:ilvl="7" w:tplc="140A0019" w:tentative="1">
      <w:start w:val="1"/>
      <w:numFmt w:val="lowerLetter"/>
      <w:lvlText w:val="%8."/>
      <w:lvlJc w:val="left"/>
      <w:pPr>
        <w:ind w:left="7604" w:hanging="360"/>
      </w:pPr>
    </w:lvl>
    <w:lvl w:ilvl="8" w:tplc="140A001B" w:tentative="1">
      <w:start w:val="1"/>
      <w:numFmt w:val="lowerRoman"/>
      <w:lvlText w:val="%9."/>
      <w:lvlJc w:val="right"/>
      <w:pPr>
        <w:ind w:left="8324" w:hanging="180"/>
      </w:pPr>
    </w:lvl>
  </w:abstractNum>
  <w:abstractNum w:abstractNumId="75">
    <w:nsid w:val="66342309"/>
    <w:multiLevelType w:val="hybridMultilevel"/>
    <w:tmpl w:val="56DE160C"/>
    <w:lvl w:ilvl="0" w:tplc="95CADDD2">
      <w:start w:val="1"/>
      <w:numFmt w:val="decimal"/>
      <w:pStyle w:val="Heading6"/>
      <w:lvlText w:val="C.3.%1."/>
      <w:lvlJc w:val="left"/>
      <w:pPr>
        <w:ind w:left="2484" w:hanging="360"/>
      </w:pPr>
      <w:rPr>
        <w:rFonts w:hint="default"/>
        <w:b w:val="0"/>
      </w:rPr>
    </w:lvl>
    <w:lvl w:ilvl="1" w:tplc="140A0003" w:tentative="1">
      <w:start w:val="1"/>
      <w:numFmt w:val="bullet"/>
      <w:lvlText w:val="o"/>
      <w:lvlJc w:val="left"/>
      <w:pPr>
        <w:ind w:left="3204" w:hanging="360"/>
      </w:pPr>
      <w:rPr>
        <w:rFonts w:ascii="Courier New" w:hAnsi="Courier New" w:cs="Courier New" w:hint="default"/>
      </w:rPr>
    </w:lvl>
    <w:lvl w:ilvl="2" w:tplc="140A0005" w:tentative="1">
      <w:start w:val="1"/>
      <w:numFmt w:val="bullet"/>
      <w:lvlText w:val=""/>
      <w:lvlJc w:val="left"/>
      <w:pPr>
        <w:ind w:left="3924" w:hanging="360"/>
      </w:pPr>
      <w:rPr>
        <w:rFonts w:ascii="Wingdings" w:hAnsi="Wingdings" w:hint="default"/>
      </w:rPr>
    </w:lvl>
    <w:lvl w:ilvl="3" w:tplc="140A0001" w:tentative="1">
      <w:start w:val="1"/>
      <w:numFmt w:val="bullet"/>
      <w:lvlText w:val=""/>
      <w:lvlJc w:val="left"/>
      <w:pPr>
        <w:ind w:left="4644" w:hanging="360"/>
      </w:pPr>
      <w:rPr>
        <w:rFonts w:ascii="Symbol" w:hAnsi="Symbol" w:hint="default"/>
      </w:rPr>
    </w:lvl>
    <w:lvl w:ilvl="4" w:tplc="140A0003" w:tentative="1">
      <w:start w:val="1"/>
      <w:numFmt w:val="bullet"/>
      <w:lvlText w:val="o"/>
      <w:lvlJc w:val="left"/>
      <w:pPr>
        <w:ind w:left="5364" w:hanging="360"/>
      </w:pPr>
      <w:rPr>
        <w:rFonts w:ascii="Courier New" w:hAnsi="Courier New" w:cs="Courier New" w:hint="default"/>
      </w:rPr>
    </w:lvl>
    <w:lvl w:ilvl="5" w:tplc="140A0005" w:tentative="1">
      <w:start w:val="1"/>
      <w:numFmt w:val="bullet"/>
      <w:lvlText w:val=""/>
      <w:lvlJc w:val="left"/>
      <w:pPr>
        <w:ind w:left="6084" w:hanging="360"/>
      </w:pPr>
      <w:rPr>
        <w:rFonts w:ascii="Wingdings" w:hAnsi="Wingdings" w:hint="default"/>
      </w:rPr>
    </w:lvl>
    <w:lvl w:ilvl="6" w:tplc="140A0001" w:tentative="1">
      <w:start w:val="1"/>
      <w:numFmt w:val="bullet"/>
      <w:lvlText w:val=""/>
      <w:lvlJc w:val="left"/>
      <w:pPr>
        <w:ind w:left="6804" w:hanging="360"/>
      </w:pPr>
      <w:rPr>
        <w:rFonts w:ascii="Symbol" w:hAnsi="Symbol" w:hint="default"/>
      </w:rPr>
    </w:lvl>
    <w:lvl w:ilvl="7" w:tplc="140A0003" w:tentative="1">
      <w:start w:val="1"/>
      <w:numFmt w:val="bullet"/>
      <w:lvlText w:val="o"/>
      <w:lvlJc w:val="left"/>
      <w:pPr>
        <w:ind w:left="7524" w:hanging="360"/>
      </w:pPr>
      <w:rPr>
        <w:rFonts w:ascii="Courier New" w:hAnsi="Courier New" w:cs="Courier New" w:hint="default"/>
      </w:rPr>
    </w:lvl>
    <w:lvl w:ilvl="8" w:tplc="140A0005" w:tentative="1">
      <w:start w:val="1"/>
      <w:numFmt w:val="bullet"/>
      <w:lvlText w:val=""/>
      <w:lvlJc w:val="left"/>
      <w:pPr>
        <w:ind w:left="8244" w:hanging="360"/>
      </w:pPr>
      <w:rPr>
        <w:rFonts w:ascii="Wingdings" w:hAnsi="Wingdings" w:hint="default"/>
      </w:rPr>
    </w:lvl>
  </w:abstractNum>
  <w:abstractNum w:abstractNumId="76">
    <w:nsid w:val="683E4F31"/>
    <w:multiLevelType w:val="hybridMultilevel"/>
    <w:tmpl w:val="A1585E9E"/>
    <w:lvl w:ilvl="0" w:tplc="140A0001">
      <w:start w:val="1"/>
      <w:numFmt w:val="bullet"/>
      <w:lvlText w:val=""/>
      <w:lvlJc w:val="left"/>
      <w:pPr>
        <w:ind w:left="3564" w:hanging="360"/>
      </w:pPr>
      <w:rPr>
        <w:rFonts w:ascii="Symbol" w:hAnsi="Symbol" w:hint="default"/>
      </w:rPr>
    </w:lvl>
    <w:lvl w:ilvl="1" w:tplc="140A0003" w:tentative="1">
      <w:start w:val="1"/>
      <w:numFmt w:val="bullet"/>
      <w:lvlText w:val="o"/>
      <w:lvlJc w:val="left"/>
      <w:pPr>
        <w:ind w:left="4284" w:hanging="360"/>
      </w:pPr>
      <w:rPr>
        <w:rFonts w:ascii="Courier New" w:hAnsi="Courier New" w:cs="Courier New" w:hint="default"/>
      </w:rPr>
    </w:lvl>
    <w:lvl w:ilvl="2" w:tplc="140A0005" w:tentative="1">
      <w:start w:val="1"/>
      <w:numFmt w:val="bullet"/>
      <w:lvlText w:val=""/>
      <w:lvlJc w:val="left"/>
      <w:pPr>
        <w:ind w:left="5004" w:hanging="360"/>
      </w:pPr>
      <w:rPr>
        <w:rFonts w:ascii="Wingdings" w:hAnsi="Wingdings" w:hint="default"/>
      </w:rPr>
    </w:lvl>
    <w:lvl w:ilvl="3" w:tplc="140A0001" w:tentative="1">
      <w:start w:val="1"/>
      <w:numFmt w:val="bullet"/>
      <w:lvlText w:val=""/>
      <w:lvlJc w:val="left"/>
      <w:pPr>
        <w:ind w:left="5724" w:hanging="360"/>
      </w:pPr>
      <w:rPr>
        <w:rFonts w:ascii="Symbol" w:hAnsi="Symbol" w:hint="default"/>
      </w:rPr>
    </w:lvl>
    <w:lvl w:ilvl="4" w:tplc="140A0003" w:tentative="1">
      <w:start w:val="1"/>
      <w:numFmt w:val="bullet"/>
      <w:lvlText w:val="o"/>
      <w:lvlJc w:val="left"/>
      <w:pPr>
        <w:ind w:left="6444" w:hanging="360"/>
      </w:pPr>
      <w:rPr>
        <w:rFonts w:ascii="Courier New" w:hAnsi="Courier New" w:cs="Courier New" w:hint="default"/>
      </w:rPr>
    </w:lvl>
    <w:lvl w:ilvl="5" w:tplc="140A0005" w:tentative="1">
      <w:start w:val="1"/>
      <w:numFmt w:val="bullet"/>
      <w:lvlText w:val=""/>
      <w:lvlJc w:val="left"/>
      <w:pPr>
        <w:ind w:left="7164" w:hanging="360"/>
      </w:pPr>
      <w:rPr>
        <w:rFonts w:ascii="Wingdings" w:hAnsi="Wingdings" w:hint="default"/>
      </w:rPr>
    </w:lvl>
    <w:lvl w:ilvl="6" w:tplc="140A0001" w:tentative="1">
      <w:start w:val="1"/>
      <w:numFmt w:val="bullet"/>
      <w:lvlText w:val=""/>
      <w:lvlJc w:val="left"/>
      <w:pPr>
        <w:ind w:left="7884" w:hanging="360"/>
      </w:pPr>
      <w:rPr>
        <w:rFonts w:ascii="Symbol" w:hAnsi="Symbol" w:hint="default"/>
      </w:rPr>
    </w:lvl>
    <w:lvl w:ilvl="7" w:tplc="140A0003" w:tentative="1">
      <w:start w:val="1"/>
      <w:numFmt w:val="bullet"/>
      <w:lvlText w:val="o"/>
      <w:lvlJc w:val="left"/>
      <w:pPr>
        <w:ind w:left="8604" w:hanging="360"/>
      </w:pPr>
      <w:rPr>
        <w:rFonts w:ascii="Courier New" w:hAnsi="Courier New" w:cs="Courier New" w:hint="default"/>
      </w:rPr>
    </w:lvl>
    <w:lvl w:ilvl="8" w:tplc="140A0005" w:tentative="1">
      <w:start w:val="1"/>
      <w:numFmt w:val="bullet"/>
      <w:lvlText w:val=""/>
      <w:lvlJc w:val="left"/>
      <w:pPr>
        <w:ind w:left="9324" w:hanging="360"/>
      </w:pPr>
      <w:rPr>
        <w:rFonts w:ascii="Wingdings" w:hAnsi="Wingdings" w:hint="default"/>
      </w:rPr>
    </w:lvl>
  </w:abstractNum>
  <w:abstractNum w:abstractNumId="77">
    <w:nsid w:val="6BE57ECA"/>
    <w:multiLevelType w:val="hybridMultilevel"/>
    <w:tmpl w:val="C38EA7D2"/>
    <w:lvl w:ilvl="0" w:tplc="140A0001">
      <w:start w:val="1"/>
      <w:numFmt w:val="bullet"/>
      <w:lvlText w:val=""/>
      <w:lvlJc w:val="left"/>
      <w:pPr>
        <w:ind w:left="2498" w:hanging="360"/>
      </w:pPr>
      <w:rPr>
        <w:rFonts w:ascii="Symbol" w:hAnsi="Symbol" w:hint="default"/>
      </w:rPr>
    </w:lvl>
    <w:lvl w:ilvl="1" w:tplc="140A0003" w:tentative="1">
      <w:start w:val="1"/>
      <w:numFmt w:val="bullet"/>
      <w:lvlText w:val="o"/>
      <w:lvlJc w:val="left"/>
      <w:pPr>
        <w:ind w:left="3218" w:hanging="360"/>
      </w:pPr>
      <w:rPr>
        <w:rFonts w:ascii="Courier New" w:hAnsi="Courier New" w:cs="Courier New" w:hint="default"/>
      </w:rPr>
    </w:lvl>
    <w:lvl w:ilvl="2" w:tplc="140A0005" w:tentative="1">
      <w:start w:val="1"/>
      <w:numFmt w:val="bullet"/>
      <w:lvlText w:val=""/>
      <w:lvlJc w:val="left"/>
      <w:pPr>
        <w:ind w:left="3938" w:hanging="360"/>
      </w:pPr>
      <w:rPr>
        <w:rFonts w:ascii="Wingdings" w:hAnsi="Wingdings" w:hint="default"/>
      </w:rPr>
    </w:lvl>
    <w:lvl w:ilvl="3" w:tplc="140A0001" w:tentative="1">
      <w:start w:val="1"/>
      <w:numFmt w:val="bullet"/>
      <w:lvlText w:val=""/>
      <w:lvlJc w:val="left"/>
      <w:pPr>
        <w:ind w:left="4658" w:hanging="360"/>
      </w:pPr>
      <w:rPr>
        <w:rFonts w:ascii="Symbol" w:hAnsi="Symbol" w:hint="default"/>
      </w:rPr>
    </w:lvl>
    <w:lvl w:ilvl="4" w:tplc="140A0003" w:tentative="1">
      <w:start w:val="1"/>
      <w:numFmt w:val="bullet"/>
      <w:lvlText w:val="o"/>
      <w:lvlJc w:val="left"/>
      <w:pPr>
        <w:ind w:left="5378" w:hanging="360"/>
      </w:pPr>
      <w:rPr>
        <w:rFonts w:ascii="Courier New" w:hAnsi="Courier New" w:cs="Courier New" w:hint="default"/>
      </w:rPr>
    </w:lvl>
    <w:lvl w:ilvl="5" w:tplc="140A0005" w:tentative="1">
      <w:start w:val="1"/>
      <w:numFmt w:val="bullet"/>
      <w:lvlText w:val=""/>
      <w:lvlJc w:val="left"/>
      <w:pPr>
        <w:ind w:left="6098" w:hanging="360"/>
      </w:pPr>
      <w:rPr>
        <w:rFonts w:ascii="Wingdings" w:hAnsi="Wingdings" w:hint="default"/>
      </w:rPr>
    </w:lvl>
    <w:lvl w:ilvl="6" w:tplc="140A0001" w:tentative="1">
      <w:start w:val="1"/>
      <w:numFmt w:val="bullet"/>
      <w:lvlText w:val=""/>
      <w:lvlJc w:val="left"/>
      <w:pPr>
        <w:ind w:left="6818" w:hanging="360"/>
      </w:pPr>
      <w:rPr>
        <w:rFonts w:ascii="Symbol" w:hAnsi="Symbol" w:hint="default"/>
      </w:rPr>
    </w:lvl>
    <w:lvl w:ilvl="7" w:tplc="140A0003" w:tentative="1">
      <w:start w:val="1"/>
      <w:numFmt w:val="bullet"/>
      <w:lvlText w:val="o"/>
      <w:lvlJc w:val="left"/>
      <w:pPr>
        <w:ind w:left="7538" w:hanging="360"/>
      </w:pPr>
      <w:rPr>
        <w:rFonts w:ascii="Courier New" w:hAnsi="Courier New" w:cs="Courier New" w:hint="default"/>
      </w:rPr>
    </w:lvl>
    <w:lvl w:ilvl="8" w:tplc="140A0005" w:tentative="1">
      <w:start w:val="1"/>
      <w:numFmt w:val="bullet"/>
      <w:lvlText w:val=""/>
      <w:lvlJc w:val="left"/>
      <w:pPr>
        <w:ind w:left="8258" w:hanging="360"/>
      </w:pPr>
      <w:rPr>
        <w:rFonts w:ascii="Wingdings" w:hAnsi="Wingdings" w:hint="default"/>
      </w:rPr>
    </w:lvl>
  </w:abstractNum>
  <w:abstractNum w:abstractNumId="78">
    <w:nsid w:val="6C5B3CDC"/>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9">
    <w:nsid w:val="6C833C73"/>
    <w:multiLevelType w:val="hybridMultilevel"/>
    <w:tmpl w:val="BB683770"/>
    <w:lvl w:ilvl="0" w:tplc="04090017">
      <w:start w:val="1"/>
      <w:numFmt w:val="lowerLetter"/>
      <w:lvlText w:val="%1)"/>
      <w:lvlJc w:val="left"/>
      <w:pPr>
        <w:ind w:left="720" w:hanging="360"/>
      </w:pPr>
      <w:rPr>
        <w:rFonts w:hint="default"/>
        <w:b w:val="0"/>
        <w:i w:val="0"/>
        <w:sz w:val="20"/>
        <w:szCs w:val="20"/>
      </w:rPr>
    </w:lvl>
    <w:lvl w:ilvl="1" w:tplc="0D7EF38C">
      <w:start w:val="1"/>
      <w:numFmt w:val="lowerRoman"/>
      <w:lvlText w:val="%2."/>
      <w:lvlJc w:val="left"/>
      <w:pPr>
        <w:ind w:left="1440" w:hanging="360"/>
      </w:pPr>
      <w:rPr>
        <w:rFonts w:asciiTheme="minorHAnsi" w:hAnsiTheme="minorHAnsi" w:cstheme="minorBidi" w:hint="default"/>
        <w:sz w:val="22"/>
      </w:rPr>
    </w:lvl>
    <w:lvl w:ilvl="2" w:tplc="0409001B">
      <w:start w:val="1"/>
      <w:numFmt w:val="lowerRoman"/>
      <w:lvlText w:val="%3."/>
      <w:lvlJc w:val="right"/>
      <w:pPr>
        <w:ind w:left="2160" w:hanging="180"/>
      </w:pPr>
    </w:lvl>
    <w:lvl w:ilvl="3" w:tplc="031807E4">
      <w:start w:val="1"/>
      <w:numFmt w:val="upperLetter"/>
      <w:lvlText w:val="%4."/>
      <w:lvlJc w:val="left"/>
      <w:pPr>
        <w:ind w:left="644"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6FCE7A92"/>
    <w:multiLevelType w:val="hybridMultilevel"/>
    <w:tmpl w:val="FE0CD052"/>
    <w:lvl w:ilvl="0" w:tplc="140A0001">
      <w:start w:val="1"/>
      <w:numFmt w:val="bullet"/>
      <w:lvlText w:val=""/>
      <w:lvlJc w:val="left"/>
      <w:pPr>
        <w:ind w:left="1146" w:hanging="360"/>
      </w:pPr>
      <w:rPr>
        <w:rFonts w:ascii="Symbol" w:hAnsi="Symbol" w:hint="default"/>
      </w:rPr>
    </w:lvl>
    <w:lvl w:ilvl="1" w:tplc="140A0003" w:tentative="1">
      <w:start w:val="1"/>
      <w:numFmt w:val="bullet"/>
      <w:lvlText w:val="o"/>
      <w:lvlJc w:val="left"/>
      <w:pPr>
        <w:ind w:left="1866" w:hanging="360"/>
      </w:pPr>
      <w:rPr>
        <w:rFonts w:ascii="Courier New" w:hAnsi="Courier New" w:cs="Courier New" w:hint="default"/>
      </w:rPr>
    </w:lvl>
    <w:lvl w:ilvl="2" w:tplc="140A0005" w:tentative="1">
      <w:start w:val="1"/>
      <w:numFmt w:val="bullet"/>
      <w:lvlText w:val=""/>
      <w:lvlJc w:val="left"/>
      <w:pPr>
        <w:ind w:left="2586" w:hanging="360"/>
      </w:pPr>
      <w:rPr>
        <w:rFonts w:ascii="Wingdings" w:hAnsi="Wingdings" w:hint="default"/>
      </w:rPr>
    </w:lvl>
    <w:lvl w:ilvl="3" w:tplc="140A0001" w:tentative="1">
      <w:start w:val="1"/>
      <w:numFmt w:val="bullet"/>
      <w:lvlText w:val=""/>
      <w:lvlJc w:val="left"/>
      <w:pPr>
        <w:ind w:left="3306" w:hanging="360"/>
      </w:pPr>
      <w:rPr>
        <w:rFonts w:ascii="Symbol" w:hAnsi="Symbol" w:hint="default"/>
      </w:rPr>
    </w:lvl>
    <w:lvl w:ilvl="4" w:tplc="140A0003" w:tentative="1">
      <w:start w:val="1"/>
      <w:numFmt w:val="bullet"/>
      <w:lvlText w:val="o"/>
      <w:lvlJc w:val="left"/>
      <w:pPr>
        <w:ind w:left="4026" w:hanging="360"/>
      </w:pPr>
      <w:rPr>
        <w:rFonts w:ascii="Courier New" w:hAnsi="Courier New" w:cs="Courier New" w:hint="default"/>
      </w:rPr>
    </w:lvl>
    <w:lvl w:ilvl="5" w:tplc="140A0005" w:tentative="1">
      <w:start w:val="1"/>
      <w:numFmt w:val="bullet"/>
      <w:lvlText w:val=""/>
      <w:lvlJc w:val="left"/>
      <w:pPr>
        <w:ind w:left="4746" w:hanging="360"/>
      </w:pPr>
      <w:rPr>
        <w:rFonts w:ascii="Wingdings" w:hAnsi="Wingdings" w:hint="default"/>
      </w:rPr>
    </w:lvl>
    <w:lvl w:ilvl="6" w:tplc="140A0001" w:tentative="1">
      <w:start w:val="1"/>
      <w:numFmt w:val="bullet"/>
      <w:lvlText w:val=""/>
      <w:lvlJc w:val="left"/>
      <w:pPr>
        <w:ind w:left="5466" w:hanging="360"/>
      </w:pPr>
      <w:rPr>
        <w:rFonts w:ascii="Symbol" w:hAnsi="Symbol" w:hint="default"/>
      </w:rPr>
    </w:lvl>
    <w:lvl w:ilvl="7" w:tplc="140A0003" w:tentative="1">
      <w:start w:val="1"/>
      <w:numFmt w:val="bullet"/>
      <w:lvlText w:val="o"/>
      <w:lvlJc w:val="left"/>
      <w:pPr>
        <w:ind w:left="6186" w:hanging="360"/>
      </w:pPr>
      <w:rPr>
        <w:rFonts w:ascii="Courier New" w:hAnsi="Courier New" w:cs="Courier New" w:hint="default"/>
      </w:rPr>
    </w:lvl>
    <w:lvl w:ilvl="8" w:tplc="140A0005" w:tentative="1">
      <w:start w:val="1"/>
      <w:numFmt w:val="bullet"/>
      <w:lvlText w:val=""/>
      <w:lvlJc w:val="left"/>
      <w:pPr>
        <w:ind w:left="6906" w:hanging="360"/>
      </w:pPr>
      <w:rPr>
        <w:rFonts w:ascii="Wingdings" w:hAnsi="Wingdings" w:hint="default"/>
      </w:rPr>
    </w:lvl>
  </w:abstractNum>
  <w:abstractNum w:abstractNumId="81">
    <w:nsid w:val="708279A7"/>
    <w:multiLevelType w:val="hybridMultilevel"/>
    <w:tmpl w:val="D1682D18"/>
    <w:lvl w:ilvl="0" w:tplc="2ABE0C00">
      <w:start w:val="1"/>
      <w:numFmt w:val="decimal"/>
      <w:lvlText w:val="%1."/>
      <w:lvlJc w:val="left"/>
      <w:pPr>
        <w:ind w:left="1074" w:hanging="360"/>
      </w:pPr>
      <w:rPr>
        <w:rFonts w:hint="default"/>
      </w:rPr>
    </w:lvl>
    <w:lvl w:ilvl="1" w:tplc="04090019" w:tentative="1">
      <w:start w:val="1"/>
      <w:numFmt w:val="lowerLetter"/>
      <w:lvlText w:val="%2."/>
      <w:lvlJc w:val="left"/>
      <w:pPr>
        <w:ind w:left="1794" w:hanging="360"/>
      </w:pPr>
    </w:lvl>
    <w:lvl w:ilvl="2" w:tplc="0409001B" w:tentative="1">
      <w:start w:val="1"/>
      <w:numFmt w:val="lowerRoman"/>
      <w:lvlText w:val="%3."/>
      <w:lvlJc w:val="right"/>
      <w:pPr>
        <w:ind w:left="2514" w:hanging="180"/>
      </w:pPr>
    </w:lvl>
    <w:lvl w:ilvl="3" w:tplc="0409000F" w:tentative="1">
      <w:start w:val="1"/>
      <w:numFmt w:val="decimal"/>
      <w:lvlText w:val="%4."/>
      <w:lvlJc w:val="left"/>
      <w:pPr>
        <w:ind w:left="3234" w:hanging="360"/>
      </w:pPr>
    </w:lvl>
    <w:lvl w:ilvl="4" w:tplc="04090019" w:tentative="1">
      <w:start w:val="1"/>
      <w:numFmt w:val="lowerLetter"/>
      <w:lvlText w:val="%5."/>
      <w:lvlJc w:val="left"/>
      <w:pPr>
        <w:ind w:left="3954" w:hanging="360"/>
      </w:pPr>
    </w:lvl>
    <w:lvl w:ilvl="5" w:tplc="0409001B" w:tentative="1">
      <w:start w:val="1"/>
      <w:numFmt w:val="lowerRoman"/>
      <w:lvlText w:val="%6."/>
      <w:lvlJc w:val="right"/>
      <w:pPr>
        <w:ind w:left="4674" w:hanging="180"/>
      </w:pPr>
    </w:lvl>
    <w:lvl w:ilvl="6" w:tplc="0409000F" w:tentative="1">
      <w:start w:val="1"/>
      <w:numFmt w:val="decimal"/>
      <w:lvlText w:val="%7."/>
      <w:lvlJc w:val="left"/>
      <w:pPr>
        <w:ind w:left="5394" w:hanging="360"/>
      </w:pPr>
    </w:lvl>
    <w:lvl w:ilvl="7" w:tplc="04090019" w:tentative="1">
      <w:start w:val="1"/>
      <w:numFmt w:val="lowerLetter"/>
      <w:lvlText w:val="%8."/>
      <w:lvlJc w:val="left"/>
      <w:pPr>
        <w:ind w:left="6114" w:hanging="360"/>
      </w:pPr>
    </w:lvl>
    <w:lvl w:ilvl="8" w:tplc="0409001B" w:tentative="1">
      <w:start w:val="1"/>
      <w:numFmt w:val="lowerRoman"/>
      <w:lvlText w:val="%9."/>
      <w:lvlJc w:val="right"/>
      <w:pPr>
        <w:ind w:left="6834" w:hanging="180"/>
      </w:pPr>
    </w:lvl>
  </w:abstractNum>
  <w:abstractNum w:abstractNumId="82">
    <w:nsid w:val="7172659F"/>
    <w:multiLevelType w:val="hybridMultilevel"/>
    <w:tmpl w:val="F3FCC568"/>
    <w:lvl w:ilvl="0" w:tplc="0D7EF38C">
      <w:start w:val="1"/>
      <w:numFmt w:val="lowerRoman"/>
      <w:lvlText w:val="%1."/>
      <w:lvlJc w:val="left"/>
      <w:pPr>
        <w:ind w:left="1440" w:hanging="720"/>
      </w:pPr>
      <w:rPr>
        <w:rFonts w:asciiTheme="minorHAnsi" w:hAnsiTheme="minorHAnsi" w:cstheme="minorBidi" w:hint="default"/>
        <w:sz w:val="22"/>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3">
    <w:nsid w:val="72F57B3C"/>
    <w:multiLevelType w:val="hybridMultilevel"/>
    <w:tmpl w:val="7826E310"/>
    <w:lvl w:ilvl="0" w:tplc="FD0AFAD2">
      <w:start w:val="1"/>
      <w:numFmt w:val="lowerLetter"/>
      <w:lvlText w:val="%1)"/>
      <w:lvlJc w:val="right"/>
      <w:pPr>
        <w:ind w:left="1440" w:hanging="360"/>
      </w:pPr>
      <w:rPr>
        <w:rFonts w:hint="default"/>
      </w:rPr>
    </w:lvl>
    <w:lvl w:ilvl="1" w:tplc="B440A9B0">
      <w:start w:val="1"/>
      <w:numFmt w:val="lowerLetter"/>
      <w:lvlText w:val="%2)"/>
      <w:lvlJc w:val="left"/>
      <w:pPr>
        <w:ind w:left="1440" w:hanging="360"/>
      </w:pPr>
      <w:rPr>
        <w:rFonts w:hint="default"/>
        <w:lang w:val="es-ES"/>
      </w:r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84">
    <w:nsid w:val="75076C88"/>
    <w:multiLevelType w:val="hybridMultilevel"/>
    <w:tmpl w:val="01E8A046"/>
    <w:lvl w:ilvl="0" w:tplc="3DBCC188">
      <w:start w:val="1"/>
      <w:numFmt w:val="decimal"/>
      <w:lvlText w:val="B.%1."/>
      <w:lvlJc w:val="left"/>
      <w:pPr>
        <w:ind w:left="1211"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85">
    <w:nsid w:val="763E6BBC"/>
    <w:multiLevelType w:val="hybridMultilevel"/>
    <w:tmpl w:val="A8240A9A"/>
    <w:lvl w:ilvl="0" w:tplc="44525DCA">
      <w:start w:val="1"/>
      <w:numFmt w:val="decimal"/>
      <w:lvlText w:val="E.%1"/>
      <w:lvlJc w:val="left"/>
      <w:pPr>
        <w:ind w:left="1636" w:hanging="360"/>
      </w:pPr>
      <w:rPr>
        <w:rFonts w:hint="default"/>
      </w:rPr>
    </w:lvl>
    <w:lvl w:ilvl="1" w:tplc="140A0019" w:tentative="1">
      <w:start w:val="1"/>
      <w:numFmt w:val="lowerLetter"/>
      <w:lvlText w:val="%2."/>
      <w:lvlJc w:val="left"/>
      <w:pPr>
        <w:ind w:left="2356" w:hanging="360"/>
      </w:pPr>
    </w:lvl>
    <w:lvl w:ilvl="2" w:tplc="140A001B" w:tentative="1">
      <w:start w:val="1"/>
      <w:numFmt w:val="lowerRoman"/>
      <w:lvlText w:val="%3."/>
      <w:lvlJc w:val="right"/>
      <w:pPr>
        <w:ind w:left="3076" w:hanging="180"/>
      </w:pPr>
    </w:lvl>
    <w:lvl w:ilvl="3" w:tplc="140A000F" w:tentative="1">
      <w:start w:val="1"/>
      <w:numFmt w:val="decimal"/>
      <w:lvlText w:val="%4."/>
      <w:lvlJc w:val="left"/>
      <w:pPr>
        <w:ind w:left="3796" w:hanging="360"/>
      </w:pPr>
    </w:lvl>
    <w:lvl w:ilvl="4" w:tplc="140A0019" w:tentative="1">
      <w:start w:val="1"/>
      <w:numFmt w:val="lowerLetter"/>
      <w:lvlText w:val="%5."/>
      <w:lvlJc w:val="left"/>
      <w:pPr>
        <w:ind w:left="4516" w:hanging="360"/>
      </w:pPr>
    </w:lvl>
    <w:lvl w:ilvl="5" w:tplc="140A001B" w:tentative="1">
      <w:start w:val="1"/>
      <w:numFmt w:val="lowerRoman"/>
      <w:lvlText w:val="%6."/>
      <w:lvlJc w:val="right"/>
      <w:pPr>
        <w:ind w:left="5236" w:hanging="180"/>
      </w:pPr>
    </w:lvl>
    <w:lvl w:ilvl="6" w:tplc="140A000F" w:tentative="1">
      <w:start w:val="1"/>
      <w:numFmt w:val="decimal"/>
      <w:lvlText w:val="%7."/>
      <w:lvlJc w:val="left"/>
      <w:pPr>
        <w:ind w:left="5956" w:hanging="360"/>
      </w:pPr>
    </w:lvl>
    <w:lvl w:ilvl="7" w:tplc="140A0019" w:tentative="1">
      <w:start w:val="1"/>
      <w:numFmt w:val="lowerLetter"/>
      <w:lvlText w:val="%8."/>
      <w:lvlJc w:val="left"/>
      <w:pPr>
        <w:ind w:left="6676" w:hanging="360"/>
      </w:pPr>
    </w:lvl>
    <w:lvl w:ilvl="8" w:tplc="140A001B" w:tentative="1">
      <w:start w:val="1"/>
      <w:numFmt w:val="lowerRoman"/>
      <w:lvlText w:val="%9."/>
      <w:lvlJc w:val="right"/>
      <w:pPr>
        <w:ind w:left="7396" w:hanging="180"/>
      </w:pPr>
    </w:lvl>
  </w:abstractNum>
  <w:abstractNum w:abstractNumId="86">
    <w:nsid w:val="769C045C"/>
    <w:multiLevelType w:val="hybridMultilevel"/>
    <w:tmpl w:val="8D36E728"/>
    <w:lvl w:ilvl="0" w:tplc="95985008">
      <w:start w:val="1"/>
      <w:numFmt w:val="decimal"/>
      <w:pStyle w:val="Heading4"/>
      <w:lvlText w:val="A.%1."/>
      <w:lvlJc w:val="left"/>
      <w:pPr>
        <w:ind w:left="1068" w:hanging="360"/>
      </w:pPr>
      <w:rPr>
        <w:rFonts w:hint="default"/>
        <w:b w:val="0"/>
        <w:i/>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87">
    <w:nsid w:val="779904D6"/>
    <w:multiLevelType w:val="hybridMultilevel"/>
    <w:tmpl w:val="0A50168A"/>
    <w:lvl w:ilvl="0" w:tplc="B0B6BB82">
      <w:start w:val="1"/>
      <w:numFmt w:val="decimal"/>
      <w:lvlText w:val="B.%1."/>
      <w:lvlJc w:val="left"/>
      <w:pPr>
        <w:ind w:left="1430" w:hanging="360"/>
      </w:pPr>
      <w:rPr>
        <w:rFonts w:hint="default"/>
      </w:rPr>
    </w:lvl>
    <w:lvl w:ilvl="1" w:tplc="140A0019" w:tentative="1">
      <w:start w:val="1"/>
      <w:numFmt w:val="lowerLetter"/>
      <w:lvlText w:val="%2."/>
      <w:lvlJc w:val="left"/>
      <w:pPr>
        <w:ind w:left="2150" w:hanging="360"/>
      </w:pPr>
    </w:lvl>
    <w:lvl w:ilvl="2" w:tplc="140A001B" w:tentative="1">
      <w:start w:val="1"/>
      <w:numFmt w:val="lowerRoman"/>
      <w:lvlText w:val="%3."/>
      <w:lvlJc w:val="right"/>
      <w:pPr>
        <w:ind w:left="2870" w:hanging="180"/>
      </w:pPr>
    </w:lvl>
    <w:lvl w:ilvl="3" w:tplc="140A000F" w:tentative="1">
      <w:start w:val="1"/>
      <w:numFmt w:val="decimal"/>
      <w:lvlText w:val="%4."/>
      <w:lvlJc w:val="left"/>
      <w:pPr>
        <w:ind w:left="3590" w:hanging="360"/>
      </w:pPr>
    </w:lvl>
    <w:lvl w:ilvl="4" w:tplc="140A0019" w:tentative="1">
      <w:start w:val="1"/>
      <w:numFmt w:val="lowerLetter"/>
      <w:lvlText w:val="%5."/>
      <w:lvlJc w:val="left"/>
      <w:pPr>
        <w:ind w:left="4310" w:hanging="360"/>
      </w:pPr>
    </w:lvl>
    <w:lvl w:ilvl="5" w:tplc="140A001B" w:tentative="1">
      <w:start w:val="1"/>
      <w:numFmt w:val="lowerRoman"/>
      <w:lvlText w:val="%6."/>
      <w:lvlJc w:val="right"/>
      <w:pPr>
        <w:ind w:left="5030" w:hanging="180"/>
      </w:pPr>
    </w:lvl>
    <w:lvl w:ilvl="6" w:tplc="140A000F" w:tentative="1">
      <w:start w:val="1"/>
      <w:numFmt w:val="decimal"/>
      <w:lvlText w:val="%7."/>
      <w:lvlJc w:val="left"/>
      <w:pPr>
        <w:ind w:left="5750" w:hanging="360"/>
      </w:pPr>
    </w:lvl>
    <w:lvl w:ilvl="7" w:tplc="140A0019" w:tentative="1">
      <w:start w:val="1"/>
      <w:numFmt w:val="lowerLetter"/>
      <w:lvlText w:val="%8."/>
      <w:lvlJc w:val="left"/>
      <w:pPr>
        <w:ind w:left="6470" w:hanging="360"/>
      </w:pPr>
    </w:lvl>
    <w:lvl w:ilvl="8" w:tplc="140A001B" w:tentative="1">
      <w:start w:val="1"/>
      <w:numFmt w:val="lowerRoman"/>
      <w:lvlText w:val="%9."/>
      <w:lvlJc w:val="right"/>
      <w:pPr>
        <w:ind w:left="7190" w:hanging="180"/>
      </w:pPr>
    </w:lvl>
  </w:abstractNum>
  <w:abstractNum w:abstractNumId="88">
    <w:nsid w:val="77C5093B"/>
    <w:multiLevelType w:val="hybridMultilevel"/>
    <w:tmpl w:val="FF9EE1D2"/>
    <w:lvl w:ilvl="0" w:tplc="51348D32">
      <w:start w:val="1"/>
      <w:numFmt w:val="decimal"/>
      <w:lvlText w:val="%1."/>
      <w:lvlJc w:val="left"/>
      <w:pPr>
        <w:ind w:left="360" w:hanging="360"/>
      </w:pPr>
      <w:rPr>
        <w:rFonts w:eastAsia="Calibri" w:hint="default"/>
        <w:b w:val="0"/>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9">
    <w:nsid w:val="79354707"/>
    <w:multiLevelType w:val="hybridMultilevel"/>
    <w:tmpl w:val="15ACBC9A"/>
    <w:lvl w:ilvl="0" w:tplc="98A461BC">
      <w:start w:val="1"/>
      <w:numFmt w:val="decimal"/>
      <w:lvlText w:val="%1."/>
      <w:lvlJc w:val="left"/>
      <w:pPr>
        <w:ind w:left="4653" w:hanging="825"/>
      </w:pPr>
      <w:rPr>
        <w:rFonts w:ascii="Verdana" w:eastAsia="Verdana" w:hAnsi="Verdana" w:cs="Verdana" w:hint="default"/>
        <w:b w:val="0"/>
        <w:i w:val="0"/>
        <w:strike w:val="0"/>
        <w:color w:val="auto"/>
        <w:sz w:val="20"/>
        <w:szCs w:val="20"/>
        <w:lang w:val="es-MX"/>
      </w:rPr>
    </w:lvl>
    <w:lvl w:ilvl="1" w:tplc="140A001B">
      <w:start w:val="1"/>
      <w:numFmt w:val="lowerRoman"/>
      <w:lvlText w:val="%2."/>
      <w:lvlJc w:val="right"/>
      <w:pPr>
        <w:ind w:left="1440" w:hanging="360"/>
      </w:pPr>
    </w:lvl>
    <w:lvl w:ilvl="2" w:tplc="07C0A1FA">
      <w:start w:val="1"/>
      <w:numFmt w:val="lowerRoman"/>
      <w:lvlText w:val="%3."/>
      <w:lvlJc w:val="right"/>
      <w:pPr>
        <w:ind w:left="1031" w:hanging="180"/>
      </w:pPr>
      <w:rPr>
        <w:rFonts w:ascii="Verdana" w:eastAsia="Batang" w:hAnsi="Verdana" w:cstheme="minorBidi"/>
        <w:i w:val="0"/>
        <w:strike w:val="0"/>
      </w:rPr>
    </w:lvl>
    <w:lvl w:ilvl="3" w:tplc="664CD6A6">
      <w:start w:val="1"/>
      <w:numFmt w:val="decimal"/>
      <w:lvlText w:val="D.7.%4."/>
      <w:lvlJc w:val="left"/>
      <w:pPr>
        <w:ind w:left="2880" w:hanging="360"/>
      </w:pPr>
      <w:rPr>
        <w:rFonts w:hint="default"/>
        <w:lang w:val="es-AR"/>
      </w:r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5B9ABF92">
      <w:start w:val="1"/>
      <w:numFmt w:val="decimal"/>
      <w:lvlText w:val="A.%7."/>
      <w:lvlJc w:val="left"/>
      <w:pPr>
        <w:ind w:left="1778" w:hanging="360"/>
      </w:pPr>
      <w:rPr>
        <w:rFonts w:hint="default"/>
        <w:b w:val="0"/>
        <w:i/>
      </w:r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90">
    <w:nsid w:val="799D57A0"/>
    <w:multiLevelType w:val="hybridMultilevel"/>
    <w:tmpl w:val="B3380970"/>
    <w:lvl w:ilvl="0" w:tplc="70DC4786">
      <w:start w:val="1"/>
      <w:numFmt w:val="lowerRoman"/>
      <w:lvlText w:val="%1."/>
      <w:lvlJc w:val="left"/>
      <w:pPr>
        <w:ind w:left="1308" w:hanging="360"/>
      </w:pPr>
      <w:rPr>
        <w:rFonts w:ascii="Verdana" w:eastAsia="Batang" w:hAnsi="Verdana" w:cs="Arial"/>
      </w:rPr>
    </w:lvl>
    <w:lvl w:ilvl="1" w:tplc="080A0003" w:tentative="1">
      <w:start w:val="1"/>
      <w:numFmt w:val="bullet"/>
      <w:lvlText w:val="o"/>
      <w:lvlJc w:val="left"/>
      <w:pPr>
        <w:ind w:left="2028" w:hanging="360"/>
      </w:pPr>
      <w:rPr>
        <w:rFonts w:ascii="Courier New" w:hAnsi="Courier New" w:cs="Courier New" w:hint="default"/>
      </w:rPr>
    </w:lvl>
    <w:lvl w:ilvl="2" w:tplc="080A0005">
      <w:start w:val="1"/>
      <w:numFmt w:val="bullet"/>
      <w:lvlText w:val=""/>
      <w:lvlJc w:val="left"/>
      <w:pPr>
        <w:ind w:left="2748" w:hanging="360"/>
      </w:pPr>
      <w:rPr>
        <w:rFonts w:ascii="Wingdings" w:hAnsi="Wingdings" w:hint="default"/>
      </w:rPr>
    </w:lvl>
    <w:lvl w:ilvl="3" w:tplc="080A0001" w:tentative="1">
      <w:start w:val="1"/>
      <w:numFmt w:val="bullet"/>
      <w:lvlText w:val=""/>
      <w:lvlJc w:val="left"/>
      <w:pPr>
        <w:ind w:left="3468" w:hanging="360"/>
      </w:pPr>
      <w:rPr>
        <w:rFonts w:ascii="Symbol" w:hAnsi="Symbol" w:hint="default"/>
      </w:rPr>
    </w:lvl>
    <w:lvl w:ilvl="4" w:tplc="080A0003" w:tentative="1">
      <w:start w:val="1"/>
      <w:numFmt w:val="bullet"/>
      <w:lvlText w:val="o"/>
      <w:lvlJc w:val="left"/>
      <w:pPr>
        <w:ind w:left="4188" w:hanging="360"/>
      </w:pPr>
      <w:rPr>
        <w:rFonts w:ascii="Courier New" w:hAnsi="Courier New" w:cs="Courier New" w:hint="default"/>
      </w:rPr>
    </w:lvl>
    <w:lvl w:ilvl="5" w:tplc="080A0005" w:tentative="1">
      <w:start w:val="1"/>
      <w:numFmt w:val="bullet"/>
      <w:lvlText w:val=""/>
      <w:lvlJc w:val="left"/>
      <w:pPr>
        <w:ind w:left="4908" w:hanging="360"/>
      </w:pPr>
      <w:rPr>
        <w:rFonts w:ascii="Wingdings" w:hAnsi="Wingdings" w:hint="default"/>
      </w:rPr>
    </w:lvl>
    <w:lvl w:ilvl="6" w:tplc="080A0001" w:tentative="1">
      <w:start w:val="1"/>
      <w:numFmt w:val="bullet"/>
      <w:lvlText w:val=""/>
      <w:lvlJc w:val="left"/>
      <w:pPr>
        <w:ind w:left="5628" w:hanging="360"/>
      </w:pPr>
      <w:rPr>
        <w:rFonts w:ascii="Symbol" w:hAnsi="Symbol" w:hint="default"/>
      </w:rPr>
    </w:lvl>
    <w:lvl w:ilvl="7" w:tplc="080A0003" w:tentative="1">
      <w:start w:val="1"/>
      <w:numFmt w:val="bullet"/>
      <w:lvlText w:val="o"/>
      <w:lvlJc w:val="left"/>
      <w:pPr>
        <w:ind w:left="6348" w:hanging="360"/>
      </w:pPr>
      <w:rPr>
        <w:rFonts w:ascii="Courier New" w:hAnsi="Courier New" w:cs="Courier New" w:hint="default"/>
      </w:rPr>
    </w:lvl>
    <w:lvl w:ilvl="8" w:tplc="080A0005" w:tentative="1">
      <w:start w:val="1"/>
      <w:numFmt w:val="bullet"/>
      <w:lvlText w:val=""/>
      <w:lvlJc w:val="left"/>
      <w:pPr>
        <w:ind w:left="7068" w:hanging="360"/>
      </w:pPr>
      <w:rPr>
        <w:rFonts w:ascii="Wingdings" w:hAnsi="Wingdings" w:hint="default"/>
      </w:rPr>
    </w:lvl>
  </w:abstractNum>
  <w:abstractNum w:abstractNumId="91">
    <w:nsid w:val="79B60017"/>
    <w:multiLevelType w:val="hybridMultilevel"/>
    <w:tmpl w:val="510250A8"/>
    <w:lvl w:ilvl="0" w:tplc="0E02E1D4">
      <w:start w:val="1"/>
      <w:numFmt w:val="decimal"/>
      <w:lvlText w:val="A.%1."/>
      <w:lvlJc w:val="left"/>
      <w:pPr>
        <w:ind w:left="1430" w:hanging="360"/>
      </w:pPr>
      <w:rPr>
        <w:rFonts w:hint="default"/>
      </w:rPr>
    </w:lvl>
    <w:lvl w:ilvl="1" w:tplc="140A0019" w:tentative="1">
      <w:start w:val="1"/>
      <w:numFmt w:val="lowerLetter"/>
      <w:lvlText w:val="%2."/>
      <w:lvlJc w:val="left"/>
      <w:pPr>
        <w:ind w:left="2150" w:hanging="360"/>
      </w:pPr>
    </w:lvl>
    <w:lvl w:ilvl="2" w:tplc="140A001B" w:tentative="1">
      <w:start w:val="1"/>
      <w:numFmt w:val="lowerRoman"/>
      <w:lvlText w:val="%3."/>
      <w:lvlJc w:val="right"/>
      <w:pPr>
        <w:ind w:left="2870" w:hanging="180"/>
      </w:pPr>
    </w:lvl>
    <w:lvl w:ilvl="3" w:tplc="140A000F" w:tentative="1">
      <w:start w:val="1"/>
      <w:numFmt w:val="decimal"/>
      <w:lvlText w:val="%4."/>
      <w:lvlJc w:val="left"/>
      <w:pPr>
        <w:ind w:left="3590" w:hanging="360"/>
      </w:pPr>
    </w:lvl>
    <w:lvl w:ilvl="4" w:tplc="140A0019" w:tentative="1">
      <w:start w:val="1"/>
      <w:numFmt w:val="lowerLetter"/>
      <w:lvlText w:val="%5."/>
      <w:lvlJc w:val="left"/>
      <w:pPr>
        <w:ind w:left="4310" w:hanging="360"/>
      </w:pPr>
    </w:lvl>
    <w:lvl w:ilvl="5" w:tplc="140A001B" w:tentative="1">
      <w:start w:val="1"/>
      <w:numFmt w:val="lowerRoman"/>
      <w:lvlText w:val="%6."/>
      <w:lvlJc w:val="right"/>
      <w:pPr>
        <w:ind w:left="5030" w:hanging="180"/>
      </w:pPr>
    </w:lvl>
    <w:lvl w:ilvl="6" w:tplc="140A000F" w:tentative="1">
      <w:start w:val="1"/>
      <w:numFmt w:val="decimal"/>
      <w:lvlText w:val="%7."/>
      <w:lvlJc w:val="left"/>
      <w:pPr>
        <w:ind w:left="5750" w:hanging="360"/>
      </w:pPr>
    </w:lvl>
    <w:lvl w:ilvl="7" w:tplc="140A0019" w:tentative="1">
      <w:start w:val="1"/>
      <w:numFmt w:val="lowerLetter"/>
      <w:lvlText w:val="%8."/>
      <w:lvlJc w:val="left"/>
      <w:pPr>
        <w:ind w:left="6470" w:hanging="360"/>
      </w:pPr>
    </w:lvl>
    <w:lvl w:ilvl="8" w:tplc="140A001B" w:tentative="1">
      <w:start w:val="1"/>
      <w:numFmt w:val="lowerRoman"/>
      <w:lvlText w:val="%9."/>
      <w:lvlJc w:val="right"/>
      <w:pPr>
        <w:ind w:left="7190" w:hanging="180"/>
      </w:pPr>
    </w:lvl>
  </w:abstractNum>
  <w:abstractNum w:abstractNumId="92">
    <w:nsid w:val="79D407F0"/>
    <w:multiLevelType w:val="hybridMultilevel"/>
    <w:tmpl w:val="40C41556"/>
    <w:lvl w:ilvl="0" w:tplc="0E02E1D4">
      <w:start w:val="1"/>
      <w:numFmt w:val="decimal"/>
      <w:lvlText w:val="A.%1."/>
      <w:lvlJc w:val="left"/>
      <w:pPr>
        <w:ind w:left="1776" w:hanging="360"/>
      </w:pPr>
      <w:rPr>
        <w:rFonts w:hint="default"/>
      </w:rPr>
    </w:lvl>
    <w:lvl w:ilvl="1" w:tplc="140A0019" w:tentative="1">
      <w:start w:val="1"/>
      <w:numFmt w:val="lowerLetter"/>
      <w:lvlText w:val="%2."/>
      <w:lvlJc w:val="left"/>
      <w:pPr>
        <w:ind w:left="2496" w:hanging="360"/>
      </w:pPr>
    </w:lvl>
    <w:lvl w:ilvl="2" w:tplc="140A001B" w:tentative="1">
      <w:start w:val="1"/>
      <w:numFmt w:val="lowerRoman"/>
      <w:lvlText w:val="%3."/>
      <w:lvlJc w:val="right"/>
      <w:pPr>
        <w:ind w:left="3216" w:hanging="180"/>
      </w:pPr>
    </w:lvl>
    <w:lvl w:ilvl="3" w:tplc="140A000F" w:tentative="1">
      <w:start w:val="1"/>
      <w:numFmt w:val="decimal"/>
      <w:lvlText w:val="%4."/>
      <w:lvlJc w:val="left"/>
      <w:pPr>
        <w:ind w:left="3936" w:hanging="360"/>
      </w:pPr>
    </w:lvl>
    <w:lvl w:ilvl="4" w:tplc="140A0019" w:tentative="1">
      <w:start w:val="1"/>
      <w:numFmt w:val="lowerLetter"/>
      <w:lvlText w:val="%5."/>
      <w:lvlJc w:val="left"/>
      <w:pPr>
        <w:ind w:left="4656" w:hanging="360"/>
      </w:pPr>
    </w:lvl>
    <w:lvl w:ilvl="5" w:tplc="140A001B" w:tentative="1">
      <w:start w:val="1"/>
      <w:numFmt w:val="lowerRoman"/>
      <w:lvlText w:val="%6."/>
      <w:lvlJc w:val="right"/>
      <w:pPr>
        <w:ind w:left="5376" w:hanging="180"/>
      </w:pPr>
    </w:lvl>
    <w:lvl w:ilvl="6" w:tplc="140A000F" w:tentative="1">
      <w:start w:val="1"/>
      <w:numFmt w:val="decimal"/>
      <w:lvlText w:val="%7."/>
      <w:lvlJc w:val="left"/>
      <w:pPr>
        <w:ind w:left="6096" w:hanging="360"/>
      </w:pPr>
    </w:lvl>
    <w:lvl w:ilvl="7" w:tplc="140A0019" w:tentative="1">
      <w:start w:val="1"/>
      <w:numFmt w:val="lowerLetter"/>
      <w:lvlText w:val="%8."/>
      <w:lvlJc w:val="left"/>
      <w:pPr>
        <w:ind w:left="6816" w:hanging="360"/>
      </w:pPr>
    </w:lvl>
    <w:lvl w:ilvl="8" w:tplc="140A001B" w:tentative="1">
      <w:start w:val="1"/>
      <w:numFmt w:val="lowerRoman"/>
      <w:lvlText w:val="%9."/>
      <w:lvlJc w:val="right"/>
      <w:pPr>
        <w:ind w:left="7536" w:hanging="180"/>
      </w:pPr>
    </w:lvl>
  </w:abstractNum>
  <w:abstractNum w:abstractNumId="93">
    <w:nsid w:val="7A9E5DD2"/>
    <w:multiLevelType w:val="hybridMultilevel"/>
    <w:tmpl w:val="60E22D76"/>
    <w:lvl w:ilvl="0" w:tplc="60341C4C">
      <w:start w:val="1"/>
      <w:numFmt w:val="decimal"/>
      <w:lvlText w:val="E.%1."/>
      <w:lvlJc w:val="left"/>
      <w:pPr>
        <w:ind w:left="1495" w:hanging="360"/>
      </w:pPr>
      <w:rPr>
        <w:rFonts w:hint="default"/>
        <w:i/>
      </w:r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94">
    <w:nsid w:val="7AA56FD4"/>
    <w:multiLevelType w:val="hybridMultilevel"/>
    <w:tmpl w:val="AD146CF8"/>
    <w:lvl w:ilvl="0" w:tplc="140A0015">
      <w:start w:val="1"/>
      <w:numFmt w:val="upperLetter"/>
      <w:lvlText w:val="%1."/>
      <w:lvlJc w:val="left"/>
      <w:pPr>
        <w:ind w:left="720" w:hanging="360"/>
      </w:p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95">
    <w:nsid w:val="7B4D13BB"/>
    <w:multiLevelType w:val="hybridMultilevel"/>
    <w:tmpl w:val="263894AE"/>
    <w:lvl w:ilvl="0" w:tplc="04090019">
      <w:start w:val="1"/>
      <w:numFmt w:val="lowerLetter"/>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96">
    <w:nsid w:val="7CE64D32"/>
    <w:multiLevelType w:val="hybridMultilevel"/>
    <w:tmpl w:val="D33646F0"/>
    <w:lvl w:ilvl="0" w:tplc="C55A862A">
      <w:start w:val="1"/>
      <w:numFmt w:val="decimal"/>
      <w:lvlText w:val="%1."/>
      <w:lvlJc w:val="left"/>
      <w:pPr>
        <w:tabs>
          <w:tab w:val="num" w:pos="12305"/>
        </w:tabs>
        <w:ind w:left="0" w:firstLine="0"/>
      </w:pPr>
      <w:rPr>
        <w:rFonts w:ascii="Verdana" w:eastAsia="Times New Roman" w:hAnsi="Verdana"/>
        <w:b w:val="0"/>
        <w:bCs w:val="0"/>
        <w:i w:val="0"/>
        <w:iCs w:val="0"/>
        <w:strike w:val="0"/>
        <w:dstrike w:val="0"/>
        <w:color w:val="auto"/>
        <w:sz w:val="20"/>
        <w:szCs w:val="20"/>
        <w:u w:val="none"/>
        <w:effect w:val="none"/>
        <w:lang w:val="es-CR"/>
      </w:rPr>
    </w:lvl>
    <w:lvl w:ilvl="1" w:tplc="DB8AF32C">
      <w:start w:val="1"/>
      <w:numFmt w:val="lowerLetter"/>
      <w:lvlText w:val="%2)"/>
      <w:lvlJc w:val="left"/>
      <w:pPr>
        <w:tabs>
          <w:tab w:val="num" w:pos="1080"/>
        </w:tabs>
        <w:ind w:left="1080" w:hanging="360"/>
      </w:pPr>
      <w:rPr>
        <w:b w:val="0"/>
        <w:bCs w:val="0"/>
        <w:i w:val="0"/>
        <w:iCs w:val="0"/>
        <w:sz w:val="20"/>
        <w:szCs w:val="20"/>
      </w:rPr>
    </w:lvl>
    <w:lvl w:ilvl="2" w:tplc="0409001B">
      <w:start w:val="1"/>
      <w:numFmt w:val="lowerRoman"/>
      <w:lvlText w:val="%3."/>
      <w:lvlJc w:val="right"/>
      <w:pPr>
        <w:tabs>
          <w:tab w:val="num" w:pos="1530"/>
        </w:tabs>
        <w:ind w:left="1530" w:hanging="180"/>
      </w:pPr>
      <w:rPr>
        <w:b w:val="0"/>
        <w:strike w:val="0"/>
        <w:dstrike w:val="0"/>
        <w:u w:val="none"/>
        <w:effect w:val="none"/>
      </w:rPr>
    </w:lvl>
    <w:lvl w:ilvl="3" w:tplc="140A001B">
      <w:start w:val="1"/>
      <w:numFmt w:val="decimal"/>
      <w:lvlText w:val="%4."/>
      <w:lvlJc w:val="left"/>
      <w:pPr>
        <w:tabs>
          <w:tab w:val="num" w:pos="2880"/>
        </w:tabs>
        <w:ind w:left="2880" w:hanging="360"/>
      </w:pPr>
    </w:lvl>
    <w:lvl w:ilvl="4" w:tplc="04090019">
      <w:start w:val="1"/>
      <w:numFmt w:val="lowerLetter"/>
      <w:pStyle w:val="Ttulo61"/>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36"/>
  </w:num>
  <w:num w:numId="2">
    <w:abstractNumId w:val="90"/>
  </w:num>
  <w:num w:numId="3">
    <w:abstractNumId w:val="1"/>
  </w:num>
  <w:num w:numId="4">
    <w:abstractNumId w:val="89"/>
  </w:num>
  <w:num w:numId="5">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1"/>
  </w:num>
  <w:num w:numId="7">
    <w:abstractNumId w:val="41"/>
  </w:num>
  <w:num w:numId="8">
    <w:abstractNumId w:val="67"/>
  </w:num>
  <w:num w:numId="9">
    <w:abstractNumId w:val="20"/>
  </w:num>
  <w:num w:numId="10">
    <w:abstractNumId w:val="64"/>
  </w:num>
  <w:num w:numId="11">
    <w:abstractNumId w:val="82"/>
  </w:num>
  <w:num w:numId="12">
    <w:abstractNumId w:val="79"/>
  </w:num>
  <w:num w:numId="13">
    <w:abstractNumId w:val="95"/>
  </w:num>
  <w:num w:numId="14">
    <w:abstractNumId w:val="28"/>
  </w:num>
  <w:num w:numId="15">
    <w:abstractNumId w:val="38"/>
  </w:num>
  <w:num w:numId="16">
    <w:abstractNumId w:val="75"/>
  </w:num>
  <w:num w:numId="17">
    <w:abstractNumId w:val="49"/>
  </w:num>
  <w:num w:numId="18">
    <w:abstractNumId w:val="54"/>
  </w:num>
  <w:num w:numId="19">
    <w:abstractNumId w:val="19"/>
  </w:num>
  <w:num w:numId="20">
    <w:abstractNumId w:val="44"/>
  </w:num>
  <w:num w:numId="21">
    <w:abstractNumId w:val="25"/>
  </w:num>
  <w:num w:numId="22">
    <w:abstractNumId w:val="8"/>
  </w:num>
  <w:num w:numId="23">
    <w:abstractNumId w:val="40"/>
  </w:num>
  <w:num w:numId="24">
    <w:abstractNumId w:val="86"/>
  </w:num>
  <w:num w:numId="25">
    <w:abstractNumId w:val="30"/>
  </w:num>
  <w:num w:numId="26">
    <w:abstractNumId w:val="27"/>
  </w:num>
  <w:num w:numId="27">
    <w:abstractNumId w:val="37"/>
  </w:num>
  <w:num w:numId="28">
    <w:abstractNumId w:val="78"/>
  </w:num>
  <w:num w:numId="29">
    <w:abstractNumId w:val="10"/>
  </w:num>
  <w:num w:numId="30">
    <w:abstractNumId w:val="72"/>
  </w:num>
  <w:num w:numId="31">
    <w:abstractNumId w:val="48"/>
  </w:num>
  <w:num w:numId="32">
    <w:abstractNumId w:val="85"/>
  </w:num>
  <w:num w:numId="33">
    <w:abstractNumId w:val="57"/>
  </w:num>
  <w:num w:numId="34">
    <w:abstractNumId w:val="73"/>
  </w:num>
  <w:num w:numId="35">
    <w:abstractNumId w:val="22"/>
  </w:num>
  <w:num w:numId="36">
    <w:abstractNumId w:val="94"/>
  </w:num>
  <w:num w:numId="37">
    <w:abstractNumId w:val="84"/>
  </w:num>
  <w:num w:numId="38">
    <w:abstractNumId w:val="18"/>
  </w:num>
  <w:num w:numId="39">
    <w:abstractNumId w:val="91"/>
  </w:num>
  <w:num w:numId="40">
    <w:abstractNumId w:val="87"/>
  </w:num>
  <w:num w:numId="41">
    <w:abstractNumId w:val="34"/>
  </w:num>
  <w:num w:numId="42">
    <w:abstractNumId w:val="42"/>
  </w:num>
  <w:num w:numId="43">
    <w:abstractNumId w:val="92"/>
  </w:num>
  <w:num w:numId="44">
    <w:abstractNumId w:val="56"/>
  </w:num>
  <w:num w:numId="45">
    <w:abstractNumId w:val="60"/>
  </w:num>
  <w:num w:numId="46">
    <w:abstractNumId w:val="74"/>
  </w:num>
  <w:num w:numId="47">
    <w:abstractNumId w:val="13"/>
  </w:num>
  <w:num w:numId="48">
    <w:abstractNumId w:val="9"/>
  </w:num>
  <w:num w:numId="49">
    <w:abstractNumId w:val="33"/>
  </w:num>
  <w:num w:numId="5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2"/>
  </w:num>
  <w:num w:numId="52">
    <w:abstractNumId w:val="3"/>
  </w:num>
  <w:num w:numId="53">
    <w:abstractNumId w:val="58"/>
  </w:num>
  <w:num w:numId="54">
    <w:abstractNumId w:val="59"/>
  </w:num>
  <w:num w:numId="55">
    <w:abstractNumId w:val="93"/>
  </w:num>
  <w:num w:numId="56">
    <w:abstractNumId w:val="39"/>
  </w:num>
  <w:num w:numId="57">
    <w:abstractNumId w:val="31"/>
  </w:num>
  <w:num w:numId="58">
    <w:abstractNumId w:val="68"/>
  </w:num>
  <w:num w:numId="59">
    <w:abstractNumId w:val="43"/>
  </w:num>
  <w:num w:numId="60">
    <w:abstractNumId w:val="11"/>
  </w:num>
  <w:num w:numId="61">
    <w:abstractNumId w:val="53"/>
  </w:num>
  <w:num w:numId="62">
    <w:abstractNumId w:val="26"/>
  </w:num>
  <w:num w:numId="63">
    <w:abstractNumId w:val="77"/>
  </w:num>
  <w:num w:numId="64">
    <w:abstractNumId w:val="52"/>
  </w:num>
  <w:num w:numId="65">
    <w:abstractNumId w:val="16"/>
  </w:num>
  <w:num w:numId="66">
    <w:abstractNumId w:val="65"/>
  </w:num>
  <w:num w:numId="67">
    <w:abstractNumId w:val="47"/>
  </w:num>
  <w:num w:numId="68">
    <w:abstractNumId w:val="63"/>
  </w:num>
  <w:num w:numId="69">
    <w:abstractNumId w:val="15"/>
  </w:num>
  <w:num w:numId="70">
    <w:abstractNumId w:val="2"/>
  </w:num>
  <w:num w:numId="71">
    <w:abstractNumId w:val="12"/>
  </w:num>
  <w:num w:numId="72">
    <w:abstractNumId w:val="70"/>
  </w:num>
  <w:num w:numId="73">
    <w:abstractNumId w:val="17"/>
  </w:num>
  <w:num w:numId="74">
    <w:abstractNumId w:val="29"/>
  </w:num>
  <w:num w:numId="75">
    <w:abstractNumId w:val="76"/>
  </w:num>
  <w:num w:numId="76">
    <w:abstractNumId w:val="45"/>
  </w:num>
  <w:num w:numId="77">
    <w:abstractNumId w:val="83"/>
  </w:num>
  <w:num w:numId="78">
    <w:abstractNumId w:val="46"/>
  </w:num>
  <w:num w:numId="79">
    <w:abstractNumId w:val="14"/>
  </w:num>
  <w:num w:numId="80">
    <w:abstractNumId w:val="50"/>
  </w:num>
  <w:num w:numId="81">
    <w:abstractNumId w:val="5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81"/>
  </w:num>
  <w:num w:numId="83">
    <w:abstractNumId w:val="69"/>
  </w:num>
  <w:num w:numId="84">
    <w:abstractNumId w:val="7"/>
  </w:num>
  <w:num w:numId="85">
    <w:abstractNumId w:val="88"/>
  </w:num>
  <w:num w:numId="86">
    <w:abstractNumId w:val="38"/>
  </w:num>
  <w:num w:numId="87">
    <w:abstractNumId w:val="5"/>
  </w:num>
  <w:num w:numId="88">
    <w:abstractNumId w:val="36"/>
  </w:num>
  <w:num w:numId="89">
    <w:abstractNumId w:val="36"/>
  </w:num>
  <w:num w:numId="90">
    <w:abstractNumId w:val="86"/>
  </w:num>
  <w:num w:numId="91">
    <w:abstractNumId w:val="36"/>
  </w:num>
  <w:num w:numId="92">
    <w:abstractNumId w:val="21"/>
  </w:num>
  <w:num w:numId="93">
    <w:abstractNumId w:val="6"/>
  </w:num>
  <w:num w:numId="94">
    <w:abstractNumId w:val="36"/>
  </w:num>
  <w:num w:numId="95">
    <w:abstractNumId w:val="80"/>
  </w:num>
  <w:num w:numId="96">
    <w:abstractNumId w:val="23"/>
  </w:num>
  <w:num w:numId="97">
    <w:abstractNumId w:val="36"/>
  </w:num>
  <w:num w:numId="98">
    <w:abstractNumId w:val="51"/>
  </w:num>
  <w:num w:numId="99">
    <w:abstractNumId w:val="86"/>
  </w:num>
  <w:num w:numId="100">
    <w:abstractNumId w:val="38"/>
  </w:num>
  <w:num w:numId="101">
    <w:abstractNumId w:val="66"/>
  </w:num>
  <w:num w:numId="102">
    <w:abstractNumId w:val="4"/>
  </w:num>
  <w:num w:numId="103">
    <w:abstractNumId w:val="35"/>
  </w:num>
  <w:num w:numId="104">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24"/>
  </w:num>
  <w:num w:numId="106">
    <w:abstractNumId w:val="62"/>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1C85"/>
    <w:rsid w:val="000007E3"/>
    <w:rsid w:val="00003290"/>
    <w:rsid w:val="000036F7"/>
    <w:rsid w:val="000049CB"/>
    <w:rsid w:val="00005A57"/>
    <w:rsid w:val="00005DE7"/>
    <w:rsid w:val="000062F0"/>
    <w:rsid w:val="00006E26"/>
    <w:rsid w:val="00007A5D"/>
    <w:rsid w:val="000105E6"/>
    <w:rsid w:val="00014477"/>
    <w:rsid w:val="00015B51"/>
    <w:rsid w:val="0001796F"/>
    <w:rsid w:val="00020A8B"/>
    <w:rsid w:val="00021452"/>
    <w:rsid w:val="0002265E"/>
    <w:rsid w:val="00022B8E"/>
    <w:rsid w:val="00024D8E"/>
    <w:rsid w:val="0002518D"/>
    <w:rsid w:val="0002587C"/>
    <w:rsid w:val="00026636"/>
    <w:rsid w:val="000307AE"/>
    <w:rsid w:val="000318C4"/>
    <w:rsid w:val="00032F3F"/>
    <w:rsid w:val="000335C9"/>
    <w:rsid w:val="000345A0"/>
    <w:rsid w:val="000346C2"/>
    <w:rsid w:val="00034B1F"/>
    <w:rsid w:val="00034B29"/>
    <w:rsid w:val="000350D6"/>
    <w:rsid w:val="0003686E"/>
    <w:rsid w:val="00037841"/>
    <w:rsid w:val="00041675"/>
    <w:rsid w:val="000420E5"/>
    <w:rsid w:val="000432E3"/>
    <w:rsid w:val="000453B1"/>
    <w:rsid w:val="00045AE8"/>
    <w:rsid w:val="000462CF"/>
    <w:rsid w:val="000466B6"/>
    <w:rsid w:val="00046BD2"/>
    <w:rsid w:val="00050530"/>
    <w:rsid w:val="00052024"/>
    <w:rsid w:val="00053023"/>
    <w:rsid w:val="00053F1C"/>
    <w:rsid w:val="00053F4C"/>
    <w:rsid w:val="00054D64"/>
    <w:rsid w:val="00055B15"/>
    <w:rsid w:val="000565DD"/>
    <w:rsid w:val="00057828"/>
    <w:rsid w:val="00057A09"/>
    <w:rsid w:val="00057CCE"/>
    <w:rsid w:val="000607BA"/>
    <w:rsid w:val="00060AB0"/>
    <w:rsid w:val="00061E19"/>
    <w:rsid w:val="00061E75"/>
    <w:rsid w:val="00063FA2"/>
    <w:rsid w:val="00066D10"/>
    <w:rsid w:val="00067D6D"/>
    <w:rsid w:val="000706B7"/>
    <w:rsid w:val="0007702A"/>
    <w:rsid w:val="00077133"/>
    <w:rsid w:val="00077AEB"/>
    <w:rsid w:val="00080FFF"/>
    <w:rsid w:val="0008123D"/>
    <w:rsid w:val="00082B3D"/>
    <w:rsid w:val="00082E4D"/>
    <w:rsid w:val="00083228"/>
    <w:rsid w:val="00083819"/>
    <w:rsid w:val="0008384F"/>
    <w:rsid w:val="0008548C"/>
    <w:rsid w:val="0008630C"/>
    <w:rsid w:val="000865B5"/>
    <w:rsid w:val="00087E4B"/>
    <w:rsid w:val="00090B6D"/>
    <w:rsid w:val="00091BD5"/>
    <w:rsid w:val="00092766"/>
    <w:rsid w:val="00096435"/>
    <w:rsid w:val="00096853"/>
    <w:rsid w:val="000A04B5"/>
    <w:rsid w:val="000A0ACE"/>
    <w:rsid w:val="000A226E"/>
    <w:rsid w:val="000A235F"/>
    <w:rsid w:val="000A2F6A"/>
    <w:rsid w:val="000A3040"/>
    <w:rsid w:val="000A4090"/>
    <w:rsid w:val="000A5E03"/>
    <w:rsid w:val="000A5FEA"/>
    <w:rsid w:val="000B07B9"/>
    <w:rsid w:val="000B3AC2"/>
    <w:rsid w:val="000B3C2F"/>
    <w:rsid w:val="000B4870"/>
    <w:rsid w:val="000B50A8"/>
    <w:rsid w:val="000B6C5B"/>
    <w:rsid w:val="000B7350"/>
    <w:rsid w:val="000B786A"/>
    <w:rsid w:val="000C30AB"/>
    <w:rsid w:val="000C3F49"/>
    <w:rsid w:val="000C553D"/>
    <w:rsid w:val="000C6D8F"/>
    <w:rsid w:val="000C711D"/>
    <w:rsid w:val="000C7423"/>
    <w:rsid w:val="000C7C51"/>
    <w:rsid w:val="000D193C"/>
    <w:rsid w:val="000D28DD"/>
    <w:rsid w:val="000D2ABF"/>
    <w:rsid w:val="000D3ED4"/>
    <w:rsid w:val="000D415B"/>
    <w:rsid w:val="000D4A6F"/>
    <w:rsid w:val="000D4CCF"/>
    <w:rsid w:val="000D5297"/>
    <w:rsid w:val="000D5D08"/>
    <w:rsid w:val="000D64B9"/>
    <w:rsid w:val="000D65FE"/>
    <w:rsid w:val="000E0384"/>
    <w:rsid w:val="000E1073"/>
    <w:rsid w:val="000E1FB7"/>
    <w:rsid w:val="000E25B3"/>
    <w:rsid w:val="000E4E05"/>
    <w:rsid w:val="000E5226"/>
    <w:rsid w:val="000F0417"/>
    <w:rsid w:val="000F154F"/>
    <w:rsid w:val="000F1F65"/>
    <w:rsid w:val="000F2A48"/>
    <w:rsid w:val="000F7594"/>
    <w:rsid w:val="00100119"/>
    <w:rsid w:val="0010164E"/>
    <w:rsid w:val="00101889"/>
    <w:rsid w:val="00105D06"/>
    <w:rsid w:val="00106B9A"/>
    <w:rsid w:val="00106C3E"/>
    <w:rsid w:val="00110053"/>
    <w:rsid w:val="001105C4"/>
    <w:rsid w:val="00112371"/>
    <w:rsid w:val="001131AA"/>
    <w:rsid w:val="0011339B"/>
    <w:rsid w:val="00115A2A"/>
    <w:rsid w:val="0011708C"/>
    <w:rsid w:val="001174BE"/>
    <w:rsid w:val="0011764F"/>
    <w:rsid w:val="0012282C"/>
    <w:rsid w:val="0012321F"/>
    <w:rsid w:val="0012402B"/>
    <w:rsid w:val="00125E41"/>
    <w:rsid w:val="001263C1"/>
    <w:rsid w:val="001275D4"/>
    <w:rsid w:val="00127E81"/>
    <w:rsid w:val="001307F1"/>
    <w:rsid w:val="001319AF"/>
    <w:rsid w:val="00131AE6"/>
    <w:rsid w:val="00131EB5"/>
    <w:rsid w:val="00132081"/>
    <w:rsid w:val="001343C1"/>
    <w:rsid w:val="00134B64"/>
    <w:rsid w:val="00134C66"/>
    <w:rsid w:val="00135675"/>
    <w:rsid w:val="00136B09"/>
    <w:rsid w:val="00137905"/>
    <w:rsid w:val="0014298E"/>
    <w:rsid w:val="0014352D"/>
    <w:rsid w:val="001442FB"/>
    <w:rsid w:val="00145DF2"/>
    <w:rsid w:val="00146958"/>
    <w:rsid w:val="00152C32"/>
    <w:rsid w:val="00156334"/>
    <w:rsid w:val="001563AF"/>
    <w:rsid w:val="001572E1"/>
    <w:rsid w:val="0016126E"/>
    <w:rsid w:val="001624FC"/>
    <w:rsid w:val="0016250B"/>
    <w:rsid w:val="0016671F"/>
    <w:rsid w:val="00167B86"/>
    <w:rsid w:val="001709FA"/>
    <w:rsid w:val="00171268"/>
    <w:rsid w:val="0017366D"/>
    <w:rsid w:val="0017368A"/>
    <w:rsid w:val="00177407"/>
    <w:rsid w:val="0017783E"/>
    <w:rsid w:val="001808FE"/>
    <w:rsid w:val="00183A31"/>
    <w:rsid w:val="00184C97"/>
    <w:rsid w:val="00184D0A"/>
    <w:rsid w:val="00185B09"/>
    <w:rsid w:val="00186059"/>
    <w:rsid w:val="00186D9D"/>
    <w:rsid w:val="00187DB9"/>
    <w:rsid w:val="001903B5"/>
    <w:rsid w:val="001909CB"/>
    <w:rsid w:val="0019184C"/>
    <w:rsid w:val="00192673"/>
    <w:rsid w:val="00192C1D"/>
    <w:rsid w:val="00192F63"/>
    <w:rsid w:val="0019425E"/>
    <w:rsid w:val="001943F1"/>
    <w:rsid w:val="001957CE"/>
    <w:rsid w:val="00196AE6"/>
    <w:rsid w:val="00197186"/>
    <w:rsid w:val="001A04CC"/>
    <w:rsid w:val="001A0740"/>
    <w:rsid w:val="001A11AB"/>
    <w:rsid w:val="001A13A8"/>
    <w:rsid w:val="001A297D"/>
    <w:rsid w:val="001A2C6D"/>
    <w:rsid w:val="001A5098"/>
    <w:rsid w:val="001A7B52"/>
    <w:rsid w:val="001B0060"/>
    <w:rsid w:val="001B06A1"/>
    <w:rsid w:val="001B0C3E"/>
    <w:rsid w:val="001B17CF"/>
    <w:rsid w:val="001B256F"/>
    <w:rsid w:val="001B2ED9"/>
    <w:rsid w:val="001B33D3"/>
    <w:rsid w:val="001B374F"/>
    <w:rsid w:val="001B59AC"/>
    <w:rsid w:val="001B5EC0"/>
    <w:rsid w:val="001B7A06"/>
    <w:rsid w:val="001C1355"/>
    <w:rsid w:val="001C3A6C"/>
    <w:rsid w:val="001C5F0B"/>
    <w:rsid w:val="001C67D5"/>
    <w:rsid w:val="001C7B22"/>
    <w:rsid w:val="001D146F"/>
    <w:rsid w:val="001D1E2A"/>
    <w:rsid w:val="001D3C02"/>
    <w:rsid w:val="001D4309"/>
    <w:rsid w:val="001D4D65"/>
    <w:rsid w:val="001D68AC"/>
    <w:rsid w:val="001D7288"/>
    <w:rsid w:val="001D7FFE"/>
    <w:rsid w:val="001E0417"/>
    <w:rsid w:val="001E067D"/>
    <w:rsid w:val="001E178C"/>
    <w:rsid w:val="001E18B7"/>
    <w:rsid w:val="001E2A34"/>
    <w:rsid w:val="001E2E23"/>
    <w:rsid w:val="001E5246"/>
    <w:rsid w:val="001E5A5A"/>
    <w:rsid w:val="001E6062"/>
    <w:rsid w:val="001E61BF"/>
    <w:rsid w:val="001E65BA"/>
    <w:rsid w:val="001E6B07"/>
    <w:rsid w:val="001E7094"/>
    <w:rsid w:val="001F1E18"/>
    <w:rsid w:val="001F4191"/>
    <w:rsid w:val="001F4827"/>
    <w:rsid w:val="001F49E1"/>
    <w:rsid w:val="001F638E"/>
    <w:rsid w:val="001F7300"/>
    <w:rsid w:val="00200ADC"/>
    <w:rsid w:val="0020172F"/>
    <w:rsid w:val="00201EE6"/>
    <w:rsid w:val="0020223F"/>
    <w:rsid w:val="0020237E"/>
    <w:rsid w:val="00203661"/>
    <w:rsid w:val="00203B7E"/>
    <w:rsid w:val="0020483A"/>
    <w:rsid w:val="00204CE7"/>
    <w:rsid w:val="002055DB"/>
    <w:rsid w:val="00205AF7"/>
    <w:rsid w:val="002062AA"/>
    <w:rsid w:val="00206971"/>
    <w:rsid w:val="00206E30"/>
    <w:rsid w:val="00207613"/>
    <w:rsid w:val="00207E77"/>
    <w:rsid w:val="00210D50"/>
    <w:rsid w:val="0021124B"/>
    <w:rsid w:val="00212824"/>
    <w:rsid w:val="002132C5"/>
    <w:rsid w:val="00213495"/>
    <w:rsid w:val="002170A3"/>
    <w:rsid w:val="002170BC"/>
    <w:rsid w:val="00217B45"/>
    <w:rsid w:val="002200ED"/>
    <w:rsid w:val="00220312"/>
    <w:rsid w:val="00220A4D"/>
    <w:rsid w:val="00223E66"/>
    <w:rsid w:val="00226174"/>
    <w:rsid w:val="002265E8"/>
    <w:rsid w:val="00226D1A"/>
    <w:rsid w:val="00227260"/>
    <w:rsid w:val="00230457"/>
    <w:rsid w:val="0023203B"/>
    <w:rsid w:val="00232A84"/>
    <w:rsid w:val="00232DD6"/>
    <w:rsid w:val="00233451"/>
    <w:rsid w:val="0023693D"/>
    <w:rsid w:val="00236950"/>
    <w:rsid w:val="002377AC"/>
    <w:rsid w:val="00237F3A"/>
    <w:rsid w:val="00240DAE"/>
    <w:rsid w:val="00241E8D"/>
    <w:rsid w:val="00242D94"/>
    <w:rsid w:val="00243654"/>
    <w:rsid w:val="00243E91"/>
    <w:rsid w:val="00244830"/>
    <w:rsid w:val="00246AFD"/>
    <w:rsid w:val="00250D03"/>
    <w:rsid w:val="0025229E"/>
    <w:rsid w:val="00254046"/>
    <w:rsid w:val="00254265"/>
    <w:rsid w:val="00256B09"/>
    <w:rsid w:val="00262247"/>
    <w:rsid w:val="002628DF"/>
    <w:rsid w:val="00262B04"/>
    <w:rsid w:val="00262F3F"/>
    <w:rsid w:val="002632D2"/>
    <w:rsid w:val="002633C8"/>
    <w:rsid w:val="002637F4"/>
    <w:rsid w:val="002645FA"/>
    <w:rsid w:val="0026524E"/>
    <w:rsid w:val="00265E6C"/>
    <w:rsid w:val="00271D21"/>
    <w:rsid w:val="00271FD4"/>
    <w:rsid w:val="002729EC"/>
    <w:rsid w:val="002769AC"/>
    <w:rsid w:val="00282B69"/>
    <w:rsid w:val="00282C14"/>
    <w:rsid w:val="00282F29"/>
    <w:rsid w:val="00283EEF"/>
    <w:rsid w:val="00284044"/>
    <w:rsid w:val="002861AF"/>
    <w:rsid w:val="002861FA"/>
    <w:rsid w:val="00286809"/>
    <w:rsid w:val="00287122"/>
    <w:rsid w:val="00287938"/>
    <w:rsid w:val="00287E62"/>
    <w:rsid w:val="00290903"/>
    <w:rsid w:val="00290969"/>
    <w:rsid w:val="00291378"/>
    <w:rsid w:val="00291637"/>
    <w:rsid w:val="0029325A"/>
    <w:rsid w:val="0029469F"/>
    <w:rsid w:val="00295DD9"/>
    <w:rsid w:val="00297478"/>
    <w:rsid w:val="002A013F"/>
    <w:rsid w:val="002A1A81"/>
    <w:rsid w:val="002A3811"/>
    <w:rsid w:val="002A632F"/>
    <w:rsid w:val="002A660E"/>
    <w:rsid w:val="002A756E"/>
    <w:rsid w:val="002B2012"/>
    <w:rsid w:val="002B311B"/>
    <w:rsid w:val="002B483F"/>
    <w:rsid w:val="002B4A82"/>
    <w:rsid w:val="002B53FB"/>
    <w:rsid w:val="002B59E2"/>
    <w:rsid w:val="002B6BDC"/>
    <w:rsid w:val="002B6F4E"/>
    <w:rsid w:val="002B79B8"/>
    <w:rsid w:val="002C1D99"/>
    <w:rsid w:val="002C27AA"/>
    <w:rsid w:val="002C30E8"/>
    <w:rsid w:val="002C389C"/>
    <w:rsid w:val="002C38CA"/>
    <w:rsid w:val="002C3F46"/>
    <w:rsid w:val="002C462C"/>
    <w:rsid w:val="002C6F7A"/>
    <w:rsid w:val="002D0ACD"/>
    <w:rsid w:val="002D1825"/>
    <w:rsid w:val="002D42C2"/>
    <w:rsid w:val="002D4C52"/>
    <w:rsid w:val="002D5ADA"/>
    <w:rsid w:val="002D68EF"/>
    <w:rsid w:val="002D7CBA"/>
    <w:rsid w:val="002E1C85"/>
    <w:rsid w:val="002E2B86"/>
    <w:rsid w:val="002E3298"/>
    <w:rsid w:val="002E48E0"/>
    <w:rsid w:val="002E5A6D"/>
    <w:rsid w:val="002E6AD1"/>
    <w:rsid w:val="002E7B1B"/>
    <w:rsid w:val="002F099F"/>
    <w:rsid w:val="002F1A1F"/>
    <w:rsid w:val="002F2492"/>
    <w:rsid w:val="002F2754"/>
    <w:rsid w:val="002F39DD"/>
    <w:rsid w:val="002F5DEC"/>
    <w:rsid w:val="0030011D"/>
    <w:rsid w:val="003003CE"/>
    <w:rsid w:val="0030040B"/>
    <w:rsid w:val="003027E1"/>
    <w:rsid w:val="00302BF4"/>
    <w:rsid w:val="00303467"/>
    <w:rsid w:val="00303824"/>
    <w:rsid w:val="00305DA9"/>
    <w:rsid w:val="0030739A"/>
    <w:rsid w:val="003077AF"/>
    <w:rsid w:val="00312F00"/>
    <w:rsid w:val="00314BC3"/>
    <w:rsid w:val="0031586F"/>
    <w:rsid w:val="00316934"/>
    <w:rsid w:val="003217CE"/>
    <w:rsid w:val="00321DA9"/>
    <w:rsid w:val="00322F46"/>
    <w:rsid w:val="003234EF"/>
    <w:rsid w:val="0032524E"/>
    <w:rsid w:val="00330086"/>
    <w:rsid w:val="00331AD3"/>
    <w:rsid w:val="00332E84"/>
    <w:rsid w:val="003335FE"/>
    <w:rsid w:val="003345B9"/>
    <w:rsid w:val="00334A32"/>
    <w:rsid w:val="00334B7D"/>
    <w:rsid w:val="00334EF9"/>
    <w:rsid w:val="003353EB"/>
    <w:rsid w:val="003354A2"/>
    <w:rsid w:val="0033635D"/>
    <w:rsid w:val="003402A1"/>
    <w:rsid w:val="00341559"/>
    <w:rsid w:val="00341FEA"/>
    <w:rsid w:val="003427EF"/>
    <w:rsid w:val="003452F8"/>
    <w:rsid w:val="00345EAE"/>
    <w:rsid w:val="00347E4D"/>
    <w:rsid w:val="00350912"/>
    <w:rsid w:val="00350979"/>
    <w:rsid w:val="00352CF0"/>
    <w:rsid w:val="00354BD8"/>
    <w:rsid w:val="00354EDD"/>
    <w:rsid w:val="003550BF"/>
    <w:rsid w:val="003552DF"/>
    <w:rsid w:val="00356150"/>
    <w:rsid w:val="003564A3"/>
    <w:rsid w:val="00357EFC"/>
    <w:rsid w:val="0036073A"/>
    <w:rsid w:val="0036099E"/>
    <w:rsid w:val="00361707"/>
    <w:rsid w:val="00362FEE"/>
    <w:rsid w:val="003641BE"/>
    <w:rsid w:val="00366A77"/>
    <w:rsid w:val="00367A28"/>
    <w:rsid w:val="00367CEB"/>
    <w:rsid w:val="00370F40"/>
    <w:rsid w:val="003728EA"/>
    <w:rsid w:val="003729C6"/>
    <w:rsid w:val="003733EF"/>
    <w:rsid w:val="00373698"/>
    <w:rsid w:val="0037541A"/>
    <w:rsid w:val="00375E37"/>
    <w:rsid w:val="00380DD7"/>
    <w:rsid w:val="003824B6"/>
    <w:rsid w:val="0038505A"/>
    <w:rsid w:val="00386077"/>
    <w:rsid w:val="003860C9"/>
    <w:rsid w:val="00392F9A"/>
    <w:rsid w:val="00393F53"/>
    <w:rsid w:val="00395960"/>
    <w:rsid w:val="00396ABC"/>
    <w:rsid w:val="003A0065"/>
    <w:rsid w:val="003A3392"/>
    <w:rsid w:val="003A3762"/>
    <w:rsid w:val="003A4569"/>
    <w:rsid w:val="003A59D0"/>
    <w:rsid w:val="003A5E7E"/>
    <w:rsid w:val="003A625D"/>
    <w:rsid w:val="003A62FD"/>
    <w:rsid w:val="003A72EE"/>
    <w:rsid w:val="003A72F8"/>
    <w:rsid w:val="003A79E0"/>
    <w:rsid w:val="003A7ED5"/>
    <w:rsid w:val="003A7F45"/>
    <w:rsid w:val="003B176D"/>
    <w:rsid w:val="003B1886"/>
    <w:rsid w:val="003B1A87"/>
    <w:rsid w:val="003B2BCE"/>
    <w:rsid w:val="003B4EBE"/>
    <w:rsid w:val="003B7FC3"/>
    <w:rsid w:val="003C00B3"/>
    <w:rsid w:val="003C0348"/>
    <w:rsid w:val="003C03DA"/>
    <w:rsid w:val="003C2E5D"/>
    <w:rsid w:val="003C68CF"/>
    <w:rsid w:val="003C71F3"/>
    <w:rsid w:val="003D17F0"/>
    <w:rsid w:val="003D4976"/>
    <w:rsid w:val="003D5316"/>
    <w:rsid w:val="003D6046"/>
    <w:rsid w:val="003E095C"/>
    <w:rsid w:val="003E09F4"/>
    <w:rsid w:val="003E38D9"/>
    <w:rsid w:val="003E4C66"/>
    <w:rsid w:val="003E4C7F"/>
    <w:rsid w:val="003E54AA"/>
    <w:rsid w:val="003E5ED2"/>
    <w:rsid w:val="003E69F6"/>
    <w:rsid w:val="003F2A04"/>
    <w:rsid w:val="003F6560"/>
    <w:rsid w:val="003F67EE"/>
    <w:rsid w:val="003F738B"/>
    <w:rsid w:val="003F7726"/>
    <w:rsid w:val="00400310"/>
    <w:rsid w:val="0040254F"/>
    <w:rsid w:val="004032E8"/>
    <w:rsid w:val="004062F3"/>
    <w:rsid w:val="004062FC"/>
    <w:rsid w:val="004065FA"/>
    <w:rsid w:val="00407040"/>
    <w:rsid w:val="00410340"/>
    <w:rsid w:val="00410D1B"/>
    <w:rsid w:val="00412A10"/>
    <w:rsid w:val="00414684"/>
    <w:rsid w:val="004147A0"/>
    <w:rsid w:val="00414F30"/>
    <w:rsid w:val="004150DE"/>
    <w:rsid w:val="0041528D"/>
    <w:rsid w:val="00415785"/>
    <w:rsid w:val="00416548"/>
    <w:rsid w:val="00416671"/>
    <w:rsid w:val="00416AA2"/>
    <w:rsid w:val="0041743B"/>
    <w:rsid w:val="004176F0"/>
    <w:rsid w:val="004216B5"/>
    <w:rsid w:val="00422E0F"/>
    <w:rsid w:val="00423288"/>
    <w:rsid w:val="004234EB"/>
    <w:rsid w:val="00423761"/>
    <w:rsid w:val="00424B30"/>
    <w:rsid w:val="004258E0"/>
    <w:rsid w:val="00425B6A"/>
    <w:rsid w:val="00425BC3"/>
    <w:rsid w:val="00425CC0"/>
    <w:rsid w:val="00426926"/>
    <w:rsid w:val="004269BE"/>
    <w:rsid w:val="00431BA4"/>
    <w:rsid w:val="00432ABC"/>
    <w:rsid w:val="00432D5A"/>
    <w:rsid w:val="00435991"/>
    <w:rsid w:val="00436533"/>
    <w:rsid w:val="00436BA5"/>
    <w:rsid w:val="00437446"/>
    <w:rsid w:val="00437EE1"/>
    <w:rsid w:val="00440154"/>
    <w:rsid w:val="00441064"/>
    <w:rsid w:val="0044158A"/>
    <w:rsid w:val="00441E12"/>
    <w:rsid w:val="0044256C"/>
    <w:rsid w:val="00442DAD"/>
    <w:rsid w:val="0044443F"/>
    <w:rsid w:val="004454AD"/>
    <w:rsid w:val="00446E40"/>
    <w:rsid w:val="00451C4E"/>
    <w:rsid w:val="0045242F"/>
    <w:rsid w:val="00453199"/>
    <w:rsid w:val="00453797"/>
    <w:rsid w:val="0045469F"/>
    <w:rsid w:val="004559A1"/>
    <w:rsid w:val="004562AE"/>
    <w:rsid w:val="00456A6A"/>
    <w:rsid w:val="004573CE"/>
    <w:rsid w:val="00460260"/>
    <w:rsid w:val="0046034D"/>
    <w:rsid w:val="00460C5B"/>
    <w:rsid w:val="004632C1"/>
    <w:rsid w:val="0046374F"/>
    <w:rsid w:val="004656ED"/>
    <w:rsid w:val="00465BFB"/>
    <w:rsid w:val="004662B8"/>
    <w:rsid w:val="0046790D"/>
    <w:rsid w:val="00471A85"/>
    <w:rsid w:val="004723A5"/>
    <w:rsid w:val="00474897"/>
    <w:rsid w:val="00474CC9"/>
    <w:rsid w:val="00476862"/>
    <w:rsid w:val="00477D27"/>
    <w:rsid w:val="0048046E"/>
    <w:rsid w:val="0048145F"/>
    <w:rsid w:val="00481EAD"/>
    <w:rsid w:val="00485037"/>
    <w:rsid w:val="00485172"/>
    <w:rsid w:val="00485716"/>
    <w:rsid w:val="0048641E"/>
    <w:rsid w:val="004922B7"/>
    <w:rsid w:val="00493540"/>
    <w:rsid w:val="00493ADB"/>
    <w:rsid w:val="00496DAD"/>
    <w:rsid w:val="00497113"/>
    <w:rsid w:val="00497398"/>
    <w:rsid w:val="004A057D"/>
    <w:rsid w:val="004A0E5A"/>
    <w:rsid w:val="004A0F04"/>
    <w:rsid w:val="004A14E0"/>
    <w:rsid w:val="004A1F51"/>
    <w:rsid w:val="004A3F07"/>
    <w:rsid w:val="004A7A5A"/>
    <w:rsid w:val="004A7FCF"/>
    <w:rsid w:val="004B285F"/>
    <w:rsid w:val="004B2EAB"/>
    <w:rsid w:val="004B47BE"/>
    <w:rsid w:val="004B60CD"/>
    <w:rsid w:val="004B64BF"/>
    <w:rsid w:val="004B7559"/>
    <w:rsid w:val="004C338C"/>
    <w:rsid w:val="004C4CF1"/>
    <w:rsid w:val="004C5439"/>
    <w:rsid w:val="004C5E70"/>
    <w:rsid w:val="004C6BD5"/>
    <w:rsid w:val="004C7001"/>
    <w:rsid w:val="004C76DE"/>
    <w:rsid w:val="004C7CAB"/>
    <w:rsid w:val="004D0A36"/>
    <w:rsid w:val="004D0A66"/>
    <w:rsid w:val="004D0D3E"/>
    <w:rsid w:val="004D0F33"/>
    <w:rsid w:val="004D327B"/>
    <w:rsid w:val="004D32BB"/>
    <w:rsid w:val="004D7DB6"/>
    <w:rsid w:val="004D7F57"/>
    <w:rsid w:val="004E0EBD"/>
    <w:rsid w:val="004E1FE0"/>
    <w:rsid w:val="004E24E3"/>
    <w:rsid w:val="004E2D46"/>
    <w:rsid w:val="004E6186"/>
    <w:rsid w:val="004E6798"/>
    <w:rsid w:val="004E691C"/>
    <w:rsid w:val="004E7A49"/>
    <w:rsid w:val="004E7C97"/>
    <w:rsid w:val="004F1058"/>
    <w:rsid w:val="004F2AB1"/>
    <w:rsid w:val="004F2E4A"/>
    <w:rsid w:val="004F3090"/>
    <w:rsid w:val="004F3562"/>
    <w:rsid w:val="004F3700"/>
    <w:rsid w:val="004F5ADE"/>
    <w:rsid w:val="004F5EE3"/>
    <w:rsid w:val="004F5F01"/>
    <w:rsid w:val="00500479"/>
    <w:rsid w:val="00500576"/>
    <w:rsid w:val="00500F81"/>
    <w:rsid w:val="00501F84"/>
    <w:rsid w:val="005023E0"/>
    <w:rsid w:val="00502E6A"/>
    <w:rsid w:val="00504336"/>
    <w:rsid w:val="00504CF1"/>
    <w:rsid w:val="005053BD"/>
    <w:rsid w:val="00505433"/>
    <w:rsid w:val="0050571D"/>
    <w:rsid w:val="00505CF4"/>
    <w:rsid w:val="005070E6"/>
    <w:rsid w:val="00507725"/>
    <w:rsid w:val="00510417"/>
    <w:rsid w:val="00512324"/>
    <w:rsid w:val="005132AB"/>
    <w:rsid w:val="00516109"/>
    <w:rsid w:val="005162E5"/>
    <w:rsid w:val="0051723C"/>
    <w:rsid w:val="005203D7"/>
    <w:rsid w:val="005238CF"/>
    <w:rsid w:val="00524D40"/>
    <w:rsid w:val="005262BD"/>
    <w:rsid w:val="00527BDF"/>
    <w:rsid w:val="00527DCF"/>
    <w:rsid w:val="00530975"/>
    <w:rsid w:val="00531EF3"/>
    <w:rsid w:val="0053214B"/>
    <w:rsid w:val="005324FF"/>
    <w:rsid w:val="00532F71"/>
    <w:rsid w:val="005339EB"/>
    <w:rsid w:val="00533A33"/>
    <w:rsid w:val="00533A79"/>
    <w:rsid w:val="00533C16"/>
    <w:rsid w:val="005349C5"/>
    <w:rsid w:val="0053739A"/>
    <w:rsid w:val="005401E7"/>
    <w:rsid w:val="0054076B"/>
    <w:rsid w:val="00541E18"/>
    <w:rsid w:val="00543C1B"/>
    <w:rsid w:val="00545B0E"/>
    <w:rsid w:val="00547108"/>
    <w:rsid w:val="0055054F"/>
    <w:rsid w:val="00550ADF"/>
    <w:rsid w:val="0055116D"/>
    <w:rsid w:val="00551BF9"/>
    <w:rsid w:val="00553227"/>
    <w:rsid w:val="00553D80"/>
    <w:rsid w:val="00556FDB"/>
    <w:rsid w:val="00561020"/>
    <w:rsid w:val="0056111E"/>
    <w:rsid w:val="00562E34"/>
    <w:rsid w:val="00563842"/>
    <w:rsid w:val="005638A5"/>
    <w:rsid w:val="005649B1"/>
    <w:rsid w:val="00570B7B"/>
    <w:rsid w:val="00571663"/>
    <w:rsid w:val="00573582"/>
    <w:rsid w:val="005738A1"/>
    <w:rsid w:val="005740DE"/>
    <w:rsid w:val="0057411A"/>
    <w:rsid w:val="00574240"/>
    <w:rsid w:val="005742B1"/>
    <w:rsid w:val="00574F72"/>
    <w:rsid w:val="00582EB5"/>
    <w:rsid w:val="00583119"/>
    <w:rsid w:val="00583AE4"/>
    <w:rsid w:val="00590A16"/>
    <w:rsid w:val="00591149"/>
    <w:rsid w:val="0059159E"/>
    <w:rsid w:val="005917D0"/>
    <w:rsid w:val="005921BE"/>
    <w:rsid w:val="0059345E"/>
    <w:rsid w:val="005936F6"/>
    <w:rsid w:val="00594122"/>
    <w:rsid w:val="00595753"/>
    <w:rsid w:val="00597F8F"/>
    <w:rsid w:val="005A0D70"/>
    <w:rsid w:val="005A130C"/>
    <w:rsid w:val="005A2033"/>
    <w:rsid w:val="005A24AE"/>
    <w:rsid w:val="005A401C"/>
    <w:rsid w:val="005A7DA5"/>
    <w:rsid w:val="005B15E3"/>
    <w:rsid w:val="005B1C1B"/>
    <w:rsid w:val="005B4D45"/>
    <w:rsid w:val="005B5C30"/>
    <w:rsid w:val="005B6B69"/>
    <w:rsid w:val="005C280A"/>
    <w:rsid w:val="005C6335"/>
    <w:rsid w:val="005C7115"/>
    <w:rsid w:val="005C771B"/>
    <w:rsid w:val="005C780B"/>
    <w:rsid w:val="005D3730"/>
    <w:rsid w:val="005D38B3"/>
    <w:rsid w:val="005D4209"/>
    <w:rsid w:val="005D4977"/>
    <w:rsid w:val="005D5699"/>
    <w:rsid w:val="005D65BA"/>
    <w:rsid w:val="005E150A"/>
    <w:rsid w:val="005E20B6"/>
    <w:rsid w:val="005E2900"/>
    <w:rsid w:val="005E3DBE"/>
    <w:rsid w:val="005E4AFD"/>
    <w:rsid w:val="005E4FE7"/>
    <w:rsid w:val="005E5714"/>
    <w:rsid w:val="005E5892"/>
    <w:rsid w:val="005E5D9B"/>
    <w:rsid w:val="005E600C"/>
    <w:rsid w:val="005E68E6"/>
    <w:rsid w:val="005E6FA2"/>
    <w:rsid w:val="005F13B4"/>
    <w:rsid w:val="005F177B"/>
    <w:rsid w:val="005F18EB"/>
    <w:rsid w:val="005F4D21"/>
    <w:rsid w:val="005F4DB9"/>
    <w:rsid w:val="005F54F6"/>
    <w:rsid w:val="005F61A1"/>
    <w:rsid w:val="005F63E0"/>
    <w:rsid w:val="005F6B13"/>
    <w:rsid w:val="005F71BE"/>
    <w:rsid w:val="00600A1A"/>
    <w:rsid w:val="006016A2"/>
    <w:rsid w:val="00602ABA"/>
    <w:rsid w:val="00602F90"/>
    <w:rsid w:val="00604890"/>
    <w:rsid w:val="00605079"/>
    <w:rsid w:val="00605D80"/>
    <w:rsid w:val="006069D5"/>
    <w:rsid w:val="0061057A"/>
    <w:rsid w:val="006124C9"/>
    <w:rsid w:val="00612759"/>
    <w:rsid w:val="00612AB3"/>
    <w:rsid w:val="0061315F"/>
    <w:rsid w:val="006144B1"/>
    <w:rsid w:val="00614DD9"/>
    <w:rsid w:val="00616002"/>
    <w:rsid w:val="00620AE7"/>
    <w:rsid w:val="00621DFD"/>
    <w:rsid w:val="00623998"/>
    <w:rsid w:val="00624C5C"/>
    <w:rsid w:val="00624C6A"/>
    <w:rsid w:val="00624DE5"/>
    <w:rsid w:val="0062533A"/>
    <w:rsid w:val="00627481"/>
    <w:rsid w:val="00627C75"/>
    <w:rsid w:val="00630723"/>
    <w:rsid w:val="00631985"/>
    <w:rsid w:val="0063219C"/>
    <w:rsid w:val="00633336"/>
    <w:rsid w:val="00633967"/>
    <w:rsid w:val="00635014"/>
    <w:rsid w:val="0063507B"/>
    <w:rsid w:val="0063523A"/>
    <w:rsid w:val="00635D3D"/>
    <w:rsid w:val="0063619F"/>
    <w:rsid w:val="00640618"/>
    <w:rsid w:val="00640D3C"/>
    <w:rsid w:val="006410AF"/>
    <w:rsid w:val="006455AF"/>
    <w:rsid w:val="00647149"/>
    <w:rsid w:val="00651A7B"/>
    <w:rsid w:val="006525FC"/>
    <w:rsid w:val="00653878"/>
    <w:rsid w:val="00654518"/>
    <w:rsid w:val="0065557D"/>
    <w:rsid w:val="0065693F"/>
    <w:rsid w:val="00660FDA"/>
    <w:rsid w:val="00661563"/>
    <w:rsid w:val="00663431"/>
    <w:rsid w:val="0066676A"/>
    <w:rsid w:val="00666C55"/>
    <w:rsid w:val="00667458"/>
    <w:rsid w:val="00670695"/>
    <w:rsid w:val="00672362"/>
    <w:rsid w:val="006755BC"/>
    <w:rsid w:val="00675C75"/>
    <w:rsid w:val="00675EC1"/>
    <w:rsid w:val="006764AB"/>
    <w:rsid w:val="0068190B"/>
    <w:rsid w:val="006826C4"/>
    <w:rsid w:val="006839A8"/>
    <w:rsid w:val="00686E81"/>
    <w:rsid w:val="00690A55"/>
    <w:rsid w:val="00692223"/>
    <w:rsid w:val="00693236"/>
    <w:rsid w:val="0069398D"/>
    <w:rsid w:val="0069432F"/>
    <w:rsid w:val="00696631"/>
    <w:rsid w:val="00696914"/>
    <w:rsid w:val="006A19F9"/>
    <w:rsid w:val="006A2463"/>
    <w:rsid w:val="006A385C"/>
    <w:rsid w:val="006A3D06"/>
    <w:rsid w:val="006A3F76"/>
    <w:rsid w:val="006A4D05"/>
    <w:rsid w:val="006A53BB"/>
    <w:rsid w:val="006A624B"/>
    <w:rsid w:val="006A7F42"/>
    <w:rsid w:val="006B072A"/>
    <w:rsid w:val="006B1F64"/>
    <w:rsid w:val="006B3707"/>
    <w:rsid w:val="006B5242"/>
    <w:rsid w:val="006B5D55"/>
    <w:rsid w:val="006B6C63"/>
    <w:rsid w:val="006C44C9"/>
    <w:rsid w:val="006C5847"/>
    <w:rsid w:val="006C5C29"/>
    <w:rsid w:val="006C62B6"/>
    <w:rsid w:val="006C6E14"/>
    <w:rsid w:val="006C737D"/>
    <w:rsid w:val="006C78B9"/>
    <w:rsid w:val="006C7976"/>
    <w:rsid w:val="006D00C5"/>
    <w:rsid w:val="006D0FD5"/>
    <w:rsid w:val="006D108E"/>
    <w:rsid w:val="006D24C5"/>
    <w:rsid w:val="006D2CA5"/>
    <w:rsid w:val="006D2E5E"/>
    <w:rsid w:val="006D4B78"/>
    <w:rsid w:val="006D530E"/>
    <w:rsid w:val="006D5AD7"/>
    <w:rsid w:val="006D60B9"/>
    <w:rsid w:val="006D775F"/>
    <w:rsid w:val="006E1798"/>
    <w:rsid w:val="006E207C"/>
    <w:rsid w:val="006E20A6"/>
    <w:rsid w:val="006E3D3E"/>
    <w:rsid w:val="006E4C81"/>
    <w:rsid w:val="006E5414"/>
    <w:rsid w:val="006E667C"/>
    <w:rsid w:val="006F07E5"/>
    <w:rsid w:val="006F0B24"/>
    <w:rsid w:val="006F0E70"/>
    <w:rsid w:val="006F1B8E"/>
    <w:rsid w:val="006F1CD8"/>
    <w:rsid w:val="006F2AFE"/>
    <w:rsid w:val="006F48F4"/>
    <w:rsid w:val="006F7298"/>
    <w:rsid w:val="006F76AA"/>
    <w:rsid w:val="00700E63"/>
    <w:rsid w:val="00700F87"/>
    <w:rsid w:val="00701439"/>
    <w:rsid w:val="007016B4"/>
    <w:rsid w:val="00701B4D"/>
    <w:rsid w:val="00702268"/>
    <w:rsid w:val="007026EC"/>
    <w:rsid w:val="00702B33"/>
    <w:rsid w:val="00702B7F"/>
    <w:rsid w:val="00705E91"/>
    <w:rsid w:val="00706858"/>
    <w:rsid w:val="00707C61"/>
    <w:rsid w:val="00707EE0"/>
    <w:rsid w:val="007113C0"/>
    <w:rsid w:val="00713F0E"/>
    <w:rsid w:val="007145AC"/>
    <w:rsid w:val="007157F0"/>
    <w:rsid w:val="007160B5"/>
    <w:rsid w:val="00717A95"/>
    <w:rsid w:val="00722863"/>
    <w:rsid w:val="00723C98"/>
    <w:rsid w:val="00726339"/>
    <w:rsid w:val="00726A5A"/>
    <w:rsid w:val="00727B14"/>
    <w:rsid w:val="0073090E"/>
    <w:rsid w:val="007309EB"/>
    <w:rsid w:val="00731155"/>
    <w:rsid w:val="0073299E"/>
    <w:rsid w:val="00733F9E"/>
    <w:rsid w:val="0073760B"/>
    <w:rsid w:val="00741D0F"/>
    <w:rsid w:val="007423D9"/>
    <w:rsid w:val="00742E0D"/>
    <w:rsid w:val="00742FE4"/>
    <w:rsid w:val="00744235"/>
    <w:rsid w:val="00744406"/>
    <w:rsid w:val="00744CE4"/>
    <w:rsid w:val="00745AA6"/>
    <w:rsid w:val="00745D38"/>
    <w:rsid w:val="007466E0"/>
    <w:rsid w:val="0074730E"/>
    <w:rsid w:val="0075036B"/>
    <w:rsid w:val="00750917"/>
    <w:rsid w:val="00752C95"/>
    <w:rsid w:val="00753A59"/>
    <w:rsid w:val="00753C3A"/>
    <w:rsid w:val="00753D22"/>
    <w:rsid w:val="00754453"/>
    <w:rsid w:val="00755A61"/>
    <w:rsid w:val="007561E3"/>
    <w:rsid w:val="00756607"/>
    <w:rsid w:val="00757DF0"/>
    <w:rsid w:val="00760425"/>
    <w:rsid w:val="0076091C"/>
    <w:rsid w:val="00760DA5"/>
    <w:rsid w:val="00762AD6"/>
    <w:rsid w:val="0076358C"/>
    <w:rsid w:val="00765FFA"/>
    <w:rsid w:val="00766CCA"/>
    <w:rsid w:val="00767A70"/>
    <w:rsid w:val="00767F76"/>
    <w:rsid w:val="00770FDF"/>
    <w:rsid w:val="007717C6"/>
    <w:rsid w:val="007718B8"/>
    <w:rsid w:val="007732DE"/>
    <w:rsid w:val="007748CD"/>
    <w:rsid w:val="007748CF"/>
    <w:rsid w:val="0077587B"/>
    <w:rsid w:val="0077610B"/>
    <w:rsid w:val="00776F21"/>
    <w:rsid w:val="00777090"/>
    <w:rsid w:val="00777F05"/>
    <w:rsid w:val="007809C8"/>
    <w:rsid w:val="00781025"/>
    <w:rsid w:val="0078125D"/>
    <w:rsid w:val="0078142B"/>
    <w:rsid w:val="00782636"/>
    <w:rsid w:val="00782CCE"/>
    <w:rsid w:val="007832F8"/>
    <w:rsid w:val="007839DA"/>
    <w:rsid w:val="007844E5"/>
    <w:rsid w:val="00784F98"/>
    <w:rsid w:val="00786607"/>
    <w:rsid w:val="00786B56"/>
    <w:rsid w:val="00786DF5"/>
    <w:rsid w:val="00790598"/>
    <w:rsid w:val="00790979"/>
    <w:rsid w:val="007914AA"/>
    <w:rsid w:val="00791F88"/>
    <w:rsid w:val="007A0804"/>
    <w:rsid w:val="007A0AB5"/>
    <w:rsid w:val="007A1501"/>
    <w:rsid w:val="007A3899"/>
    <w:rsid w:val="007A747A"/>
    <w:rsid w:val="007A7DCA"/>
    <w:rsid w:val="007B0787"/>
    <w:rsid w:val="007B0D74"/>
    <w:rsid w:val="007B2885"/>
    <w:rsid w:val="007B2F69"/>
    <w:rsid w:val="007B3227"/>
    <w:rsid w:val="007B3520"/>
    <w:rsid w:val="007B3D7E"/>
    <w:rsid w:val="007B3ED8"/>
    <w:rsid w:val="007B4EBA"/>
    <w:rsid w:val="007B53CC"/>
    <w:rsid w:val="007C0833"/>
    <w:rsid w:val="007C248E"/>
    <w:rsid w:val="007C35B3"/>
    <w:rsid w:val="007C3FC6"/>
    <w:rsid w:val="007C6083"/>
    <w:rsid w:val="007C7772"/>
    <w:rsid w:val="007D3852"/>
    <w:rsid w:val="007D40AC"/>
    <w:rsid w:val="007D669B"/>
    <w:rsid w:val="007D7A3A"/>
    <w:rsid w:val="007E2215"/>
    <w:rsid w:val="007E2CF6"/>
    <w:rsid w:val="007E3274"/>
    <w:rsid w:val="007E4839"/>
    <w:rsid w:val="007E531C"/>
    <w:rsid w:val="007E5466"/>
    <w:rsid w:val="007E592E"/>
    <w:rsid w:val="007E5DE3"/>
    <w:rsid w:val="007E7012"/>
    <w:rsid w:val="007F149E"/>
    <w:rsid w:val="007F16F0"/>
    <w:rsid w:val="007F48D2"/>
    <w:rsid w:val="007F5381"/>
    <w:rsid w:val="007F5783"/>
    <w:rsid w:val="007F77DE"/>
    <w:rsid w:val="00800B2E"/>
    <w:rsid w:val="008017AB"/>
    <w:rsid w:val="00803406"/>
    <w:rsid w:val="00803447"/>
    <w:rsid w:val="00804081"/>
    <w:rsid w:val="0081023E"/>
    <w:rsid w:val="0081093E"/>
    <w:rsid w:val="00811122"/>
    <w:rsid w:val="00811407"/>
    <w:rsid w:val="0081183E"/>
    <w:rsid w:val="00811BB9"/>
    <w:rsid w:val="00812CE5"/>
    <w:rsid w:val="00812F1A"/>
    <w:rsid w:val="00813B72"/>
    <w:rsid w:val="008143D6"/>
    <w:rsid w:val="008149DB"/>
    <w:rsid w:val="00815629"/>
    <w:rsid w:val="008178CA"/>
    <w:rsid w:val="00820140"/>
    <w:rsid w:val="00820F1E"/>
    <w:rsid w:val="008211AB"/>
    <w:rsid w:val="00822229"/>
    <w:rsid w:val="008222A9"/>
    <w:rsid w:val="00822721"/>
    <w:rsid w:val="00825CE0"/>
    <w:rsid w:val="00826973"/>
    <w:rsid w:val="00826B6D"/>
    <w:rsid w:val="008306BA"/>
    <w:rsid w:val="008308B3"/>
    <w:rsid w:val="00832DCE"/>
    <w:rsid w:val="0083325E"/>
    <w:rsid w:val="0083364B"/>
    <w:rsid w:val="008344B1"/>
    <w:rsid w:val="00834AED"/>
    <w:rsid w:val="00834D48"/>
    <w:rsid w:val="00836E1E"/>
    <w:rsid w:val="00836E3E"/>
    <w:rsid w:val="008410A6"/>
    <w:rsid w:val="00841FEB"/>
    <w:rsid w:val="00842B3E"/>
    <w:rsid w:val="00842C80"/>
    <w:rsid w:val="00843722"/>
    <w:rsid w:val="00844E5B"/>
    <w:rsid w:val="00845039"/>
    <w:rsid w:val="008452C7"/>
    <w:rsid w:val="00845B5D"/>
    <w:rsid w:val="00845E22"/>
    <w:rsid w:val="0084677E"/>
    <w:rsid w:val="008472CA"/>
    <w:rsid w:val="0084756A"/>
    <w:rsid w:val="00850315"/>
    <w:rsid w:val="00852715"/>
    <w:rsid w:val="00854594"/>
    <w:rsid w:val="008545E6"/>
    <w:rsid w:val="00855B75"/>
    <w:rsid w:val="0086119E"/>
    <w:rsid w:val="00861B23"/>
    <w:rsid w:val="00862403"/>
    <w:rsid w:val="008631C6"/>
    <w:rsid w:val="00864A51"/>
    <w:rsid w:val="00867562"/>
    <w:rsid w:val="008675B6"/>
    <w:rsid w:val="00871A08"/>
    <w:rsid w:val="00872DC3"/>
    <w:rsid w:val="00873EF4"/>
    <w:rsid w:val="00875931"/>
    <w:rsid w:val="00877257"/>
    <w:rsid w:val="00877FDA"/>
    <w:rsid w:val="00880A3E"/>
    <w:rsid w:val="008818F2"/>
    <w:rsid w:val="00883B70"/>
    <w:rsid w:val="00884117"/>
    <w:rsid w:val="008844D6"/>
    <w:rsid w:val="00884EB2"/>
    <w:rsid w:val="00887745"/>
    <w:rsid w:val="00890216"/>
    <w:rsid w:val="008902F5"/>
    <w:rsid w:val="0089065C"/>
    <w:rsid w:val="00891997"/>
    <w:rsid w:val="00891F82"/>
    <w:rsid w:val="00892612"/>
    <w:rsid w:val="0089345E"/>
    <w:rsid w:val="0089368F"/>
    <w:rsid w:val="0089411D"/>
    <w:rsid w:val="00894331"/>
    <w:rsid w:val="00894871"/>
    <w:rsid w:val="00894E31"/>
    <w:rsid w:val="00895239"/>
    <w:rsid w:val="0089765C"/>
    <w:rsid w:val="00897C61"/>
    <w:rsid w:val="00897D06"/>
    <w:rsid w:val="008A01F4"/>
    <w:rsid w:val="008A03D8"/>
    <w:rsid w:val="008A16E0"/>
    <w:rsid w:val="008A2243"/>
    <w:rsid w:val="008A3009"/>
    <w:rsid w:val="008A64F2"/>
    <w:rsid w:val="008A6F3B"/>
    <w:rsid w:val="008A7A8C"/>
    <w:rsid w:val="008B075D"/>
    <w:rsid w:val="008B1154"/>
    <w:rsid w:val="008B1414"/>
    <w:rsid w:val="008B1A9A"/>
    <w:rsid w:val="008B2460"/>
    <w:rsid w:val="008B2BAB"/>
    <w:rsid w:val="008B31F4"/>
    <w:rsid w:val="008B3C46"/>
    <w:rsid w:val="008B428C"/>
    <w:rsid w:val="008B4B36"/>
    <w:rsid w:val="008B5022"/>
    <w:rsid w:val="008B5915"/>
    <w:rsid w:val="008B6295"/>
    <w:rsid w:val="008B7949"/>
    <w:rsid w:val="008C0086"/>
    <w:rsid w:val="008C06B6"/>
    <w:rsid w:val="008C0986"/>
    <w:rsid w:val="008C3A57"/>
    <w:rsid w:val="008C3B06"/>
    <w:rsid w:val="008C49EF"/>
    <w:rsid w:val="008C644A"/>
    <w:rsid w:val="008C73CA"/>
    <w:rsid w:val="008D00CF"/>
    <w:rsid w:val="008D073B"/>
    <w:rsid w:val="008D0846"/>
    <w:rsid w:val="008D10AA"/>
    <w:rsid w:val="008D13D5"/>
    <w:rsid w:val="008D1822"/>
    <w:rsid w:val="008D1BCE"/>
    <w:rsid w:val="008D1C67"/>
    <w:rsid w:val="008D2DFF"/>
    <w:rsid w:val="008D3E6F"/>
    <w:rsid w:val="008D4347"/>
    <w:rsid w:val="008D532F"/>
    <w:rsid w:val="008D5D51"/>
    <w:rsid w:val="008D6453"/>
    <w:rsid w:val="008D71A5"/>
    <w:rsid w:val="008D76C5"/>
    <w:rsid w:val="008E093E"/>
    <w:rsid w:val="008E2C13"/>
    <w:rsid w:val="008E2F04"/>
    <w:rsid w:val="008E770A"/>
    <w:rsid w:val="008E787C"/>
    <w:rsid w:val="008F0A09"/>
    <w:rsid w:val="008F232C"/>
    <w:rsid w:val="008F2CCF"/>
    <w:rsid w:val="008F4AC6"/>
    <w:rsid w:val="008F4CAD"/>
    <w:rsid w:val="008F7720"/>
    <w:rsid w:val="008F7D09"/>
    <w:rsid w:val="0090251D"/>
    <w:rsid w:val="00903628"/>
    <w:rsid w:val="00904831"/>
    <w:rsid w:val="0090669E"/>
    <w:rsid w:val="009079AD"/>
    <w:rsid w:val="009114A1"/>
    <w:rsid w:val="009148D2"/>
    <w:rsid w:val="00914C24"/>
    <w:rsid w:val="009155FE"/>
    <w:rsid w:val="00915638"/>
    <w:rsid w:val="00915AC1"/>
    <w:rsid w:val="00916802"/>
    <w:rsid w:val="009174A5"/>
    <w:rsid w:val="0092168C"/>
    <w:rsid w:val="00922B97"/>
    <w:rsid w:val="00922BF1"/>
    <w:rsid w:val="009233AD"/>
    <w:rsid w:val="00924A46"/>
    <w:rsid w:val="009250C0"/>
    <w:rsid w:val="0092599A"/>
    <w:rsid w:val="009263E9"/>
    <w:rsid w:val="00927025"/>
    <w:rsid w:val="00932EF8"/>
    <w:rsid w:val="00934933"/>
    <w:rsid w:val="00935C27"/>
    <w:rsid w:val="00936930"/>
    <w:rsid w:val="00937D9D"/>
    <w:rsid w:val="009417B1"/>
    <w:rsid w:val="009418F7"/>
    <w:rsid w:val="00941CDA"/>
    <w:rsid w:val="00941DB9"/>
    <w:rsid w:val="00942093"/>
    <w:rsid w:val="0094223E"/>
    <w:rsid w:val="00942F34"/>
    <w:rsid w:val="00944652"/>
    <w:rsid w:val="009456FA"/>
    <w:rsid w:val="009467FF"/>
    <w:rsid w:val="00946CA0"/>
    <w:rsid w:val="009501E7"/>
    <w:rsid w:val="00950A4B"/>
    <w:rsid w:val="009520C7"/>
    <w:rsid w:val="00953725"/>
    <w:rsid w:val="0095417D"/>
    <w:rsid w:val="00960372"/>
    <w:rsid w:val="009605C9"/>
    <w:rsid w:val="00960E70"/>
    <w:rsid w:val="00962938"/>
    <w:rsid w:val="009658DE"/>
    <w:rsid w:val="009661FA"/>
    <w:rsid w:val="00966D54"/>
    <w:rsid w:val="00966E67"/>
    <w:rsid w:val="009748C2"/>
    <w:rsid w:val="009753C2"/>
    <w:rsid w:val="00976CF3"/>
    <w:rsid w:val="00977011"/>
    <w:rsid w:val="0097732A"/>
    <w:rsid w:val="0098157E"/>
    <w:rsid w:val="009835B9"/>
    <w:rsid w:val="00984BB6"/>
    <w:rsid w:val="0098540D"/>
    <w:rsid w:val="00987523"/>
    <w:rsid w:val="009905C3"/>
    <w:rsid w:val="009932C2"/>
    <w:rsid w:val="00995D47"/>
    <w:rsid w:val="009966FF"/>
    <w:rsid w:val="00997FEB"/>
    <w:rsid w:val="009A0068"/>
    <w:rsid w:val="009A07FF"/>
    <w:rsid w:val="009A1099"/>
    <w:rsid w:val="009A2B54"/>
    <w:rsid w:val="009A2DB4"/>
    <w:rsid w:val="009A60FA"/>
    <w:rsid w:val="009A734D"/>
    <w:rsid w:val="009B0716"/>
    <w:rsid w:val="009B16DF"/>
    <w:rsid w:val="009B18E2"/>
    <w:rsid w:val="009B1BDF"/>
    <w:rsid w:val="009B203D"/>
    <w:rsid w:val="009B3321"/>
    <w:rsid w:val="009B4AF9"/>
    <w:rsid w:val="009B6C7B"/>
    <w:rsid w:val="009C041B"/>
    <w:rsid w:val="009C05AD"/>
    <w:rsid w:val="009C306B"/>
    <w:rsid w:val="009C4097"/>
    <w:rsid w:val="009C4E9F"/>
    <w:rsid w:val="009C555E"/>
    <w:rsid w:val="009C5C20"/>
    <w:rsid w:val="009C68F6"/>
    <w:rsid w:val="009C6E83"/>
    <w:rsid w:val="009C73DC"/>
    <w:rsid w:val="009C7E46"/>
    <w:rsid w:val="009D0360"/>
    <w:rsid w:val="009D14F9"/>
    <w:rsid w:val="009D411C"/>
    <w:rsid w:val="009D456D"/>
    <w:rsid w:val="009D45CC"/>
    <w:rsid w:val="009D6E46"/>
    <w:rsid w:val="009D7187"/>
    <w:rsid w:val="009D76E7"/>
    <w:rsid w:val="009D7D8C"/>
    <w:rsid w:val="009E0FFD"/>
    <w:rsid w:val="009E2594"/>
    <w:rsid w:val="009E2F23"/>
    <w:rsid w:val="009E2F96"/>
    <w:rsid w:val="009E3AD5"/>
    <w:rsid w:val="009E3FEC"/>
    <w:rsid w:val="009E44C8"/>
    <w:rsid w:val="009E537D"/>
    <w:rsid w:val="009E5EFD"/>
    <w:rsid w:val="009E6C8D"/>
    <w:rsid w:val="009E73AA"/>
    <w:rsid w:val="009F0486"/>
    <w:rsid w:val="009F5170"/>
    <w:rsid w:val="009F54AF"/>
    <w:rsid w:val="009F7488"/>
    <w:rsid w:val="00A0093F"/>
    <w:rsid w:val="00A015FF"/>
    <w:rsid w:val="00A02A1C"/>
    <w:rsid w:val="00A02C6D"/>
    <w:rsid w:val="00A0366A"/>
    <w:rsid w:val="00A03DD6"/>
    <w:rsid w:val="00A05AE3"/>
    <w:rsid w:val="00A06354"/>
    <w:rsid w:val="00A068C6"/>
    <w:rsid w:val="00A07293"/>
    <w:rsid w:val="00A10160"/>
    <w:rsid w:val="00A125F7"/>
    <w:rsid w:val="00A12DE9"/>
    <w:rsid w:val="00A13565"/>
    <w:rsid w:val="00A15955"/>
    <w:rsid w:val="00A16A40"/>
    <w:rsid w:val="00A17573"/>
    <w:rsid w:val="00A17D88"/>
    <w:rsid w:val="00A22B34"/>
    <w:rsid w:val="00A22C54"/>
    <w:rsid w:val="00A2555B"/>
    <w:rsid w:val="00A3104B"/>
    <w:rsid w:val="00A341F4"/>
    <w:rsid w:val="00A34C4E"/>
    <w:rsid w:val="00A3654D"/>
    <w:rsid w:val="00A366DE"/>
    <w:rsid w:val="00A36A62"/>
    <w:rsid w:val="00A3718C"/>
    <w:rsid w:val="00A37F6D"/>
    <w:rsid w:val="00A421BA"/>
    <w:rsid w:val="00A425E7"/>
    <w:rsid w:val="00A44289"/>
    <w:rsid w:val="00A45345"/>
    <w:rsid w:val="00A46659"/>
    <w:rsid w:val="00A46BFD"/>
    <w:rsid w:val="00A478A2"/>
    <w:rsid w:val="00A47EDA"/>
    <w:rsid w:val="00A50875"/>
    <w:rsid w:val="00A5428D"/>
    <w:rsid w:val="00A547E3"/>
    <w:rsid w:val="00A54D0A"/>
    <w:rsid w:val="00A54FCC"/>
    <w:rsid w:val="00A55083"/>
    <w:rsid w:val="00A56CF7"/>
    <w:rsid w:val="00A57D94"/>
    <w:rsid w:val="00A60DEA"/>
    <w:rsid w:val="00A615A3"/>
    <w:rsid w:val="00A62086"/>
    <w:rsid w:val="00A6260E"/>
    <w:rsid w:val="00A64184"/>
    <w:rsid w:val="00A64BE6"/>
    <w:rsid w:val="00A64D7A"/>
    <w:rsid w:val="00A65589"/>
    <w:rsid w:val="00A6589D"/>
    <w:rsid w:val="00A66C9F"/>
    <w:rsid w:val="00A66D1C"/>
    <w:rsid w:val="00A67FDA"/>
    <w:rsid w:val="00A7244C"/>
    <w:rsid w:val="00A72E05"/>
    <w:rsid w:val="00A75657"/>
    <w:rsid w:val="00A75DD9"/>
    <w:rsid w:val="00A77034"/>
    <w:rsid w:val="00A7740D"/>
    <w:rsid w:val="00A7753A"/>
    <w:rsid w:val="00A806BC"/>
    <w:rsid w:val="00A81849"/>
    <w:rsid w:val="00A83200"/>
    <w:rsid w:val="00A8450A"/>
    <w:rsid w:val="00A94F26"/>
    <w:rsid w:val="00A95962"/>
    <w:rsid w:val="00A9714E"/>
    <w:rsid w:val="00A97528"/>
    <w:rsid w:val="00A97AF8"/>
    <w:rsid w:val="00AA0D56"/>
    <w:rsid w:val="00AA2201"/>
    <w:rsid w:val="00AA3419"/>
    <w:rsid w:val="00AA4727"/>
    <w:rsid w:val="00AA5522"/>
    <w:rsid w:val="00AA5536"/>
    <w:rsid w:val="00AA7491"/>
    <w:rsid w:val="00AB1FA1"/>
    <w:rsid w:val="00AB2488"/>
    <w:rsid w:val="00AB26DE"/>
    <w:rsid w:val="00AB290A"/>
    <w:rsid w:val="00AB2FCB"/>
    <w:rsid w:val="00AB31D6"/>
    <w:rsid w:val="00AB37B2"/>
    <w:rsid w:val="00AB3CC3"/>
    <w:rsid w:val="00AB434A"/>
    <w:rsid w:val="00AB43D9"/>
    <w:rsid w:val="00AB5599"/>
    <w:rsid w:val="00AB571B"/>
    <w:rsid w:val="00AB5C6D"/>
    <w:rsid w:val="00AB6242"/>
    <w:rsid w:val="00AB74B2"/>
    <w:rsid w:val="00AB7EF2"/>
    <w:rsid w:val="00AC0EC0"/>
    <w:rsid w:val="00AC1129"/>
    <w:rsid w:val="00AC1FAF"/>
    <w:rsid w:val="00AC2EDB"/>
    <w:rsid w:val="00AC314A"/>
    <w:rsid w:val="00AC4B44"/>
    <w:rsid w:val="00AC4D36"/>
    <w:rsid w:val="00AC6FFB"/>
    <w:rsid w:val="00AD0039"/>
    <w:rsid w:val="00AD0846"/>
    <w:rsid w:val="00AD0A24"/>
    <w:rsid w:val="00AD1BCE"/>
    <w:rsid w:val="00AD4631"/>
    <w:rsid w:val="00AD4D6A"/>
    <w:rsid w:val="00AD5CFC"/>
    <w:rsid w:val="00AD5F81"/>
    <w:rsid w:val="00AD6C2C"/>
    <w:rsid w:val="00AD7050"/>
    <w:rsid w:val="00AD7336"/>
    <w:rsid w:val="00AE154C"/>
    <w:rsid w:val="00AE1EEE"/>
    <w:rsid w:val="00AE1F14"/>
    <w:rsid w:val="00AE2ED8"/>
    <w:rsid w:val="00AE34A0"/>
    <w:rsid w:val="00AE37B3"/>
    <w:rsid w:val="00AE384C"/>
    <w:rsid w:val="00AE4CF2"/>
    <w:rsid w:val="00AE53D3"/>
    <w:rsid w:val="00AE5800"/>
    <w:rsid w:val="00AE5BB6"/>
    <w:rsid w:val="00AE5DD1"/>
    <w:rsid w:val="00AF0775"/>
    <w:rsid w:val="00AF0DB8"/>
    <w:rsid w:val="00AF128A"/>
    <w:rsid w:val="00AF174E"/>
    <w:rsid w:val="00AF1B78"/>
    <w:rsid w:val="00AF2D31"/>
    <w:rsid w:val="00AF3744"/>
    <w:rsid w:val="00AF43BA"/>
    <w:rsid w:val="00AF445C"/>
    <w:rsid w:val="00AF5E48"/>
    <w:rsid w:val="00AF6974"/>
    <w:rsid w:val="00AF6DFC"/>
    <w:rsid w:val="00AF7A29"/>
    <w:rsid w:val="00B002B9"/>
    <w:rsid w:val="00B019B8"/>
    <w:rsid w:val="00B04C0B"/>
    <w:rsid w:val="00B064A0"/>
    <w:rsid w:val="00B0769D"/>
    <w:rsid w:val="00B10A5D"/>
    <w:rsid w:val="00B10D72"/>
    <w:rsid w:val="00B10EBA"/>
    <w:rsid w:val="00B113AA"/>
    <w:rsid w:val="00B145F9"/>
    <w:rsid w:val="00B1617A"/>
    <w:rsid w:val="00B232A7"/>
    <w:rsid w:val="00B242D5"/>
    <w:rsid w:val="00B25027"/>
    <w:rsid w:val="00B25AF3"/>
    <w:rsid w:val="00B25B3E"/>
    <w:rsid w:val="00B263A0"/>
    <w:rsid w:val="00B268D0"/>
    <w:rsid w:val="00B268F9"/>
    <w:rsid w:val="00B36FBE"/>
    <w:rsid w:val="00B37F3B"/>
    <w:rsid w:val="00B43A86"/>
    <w:rsid w:val="00B4418C"/>
    <w:rsid w:val="00B451C5"/>
    <w:rsid w:val="00B4529B"/>
    <w:rsid w:val="00B47C32"/>
    <w:rsid w:val="00B5021D"/>
    <w:rsid w:val="00B50953"/>
    <w:rsid w:val="00B5291E"/>
    <w:rsid w:val="00B5493C"/>
    <w:rsid w:val="00B55F15"/>
    <w:rsid w:val="00B56F04"/>
    <w:rsid w:val="00B57113"/>
    <w:rsid w:val="00B601EC"/>
    <w:rsid w:val="00B607AE"/>
    <w:rsid w:val="00B61253"/>
    <w:rsid w:val="00B62982"/>
    <w:rsid w:val="00B630E0"/>
    <w:rsid w:val="00B64267"/>
    <w:rsid w:val="00B6434F"/>
    <w:rsid w:val="00B70EBF"/>
    <w:rsid w:val="00B719D2"/>
    <w:rsid w:val="00B71DDF"/>
    <w:rsid w:val="00B72159"/>
    <w:rsid w:val="00B726A6"/>
    <w:rsid w:val="00B75D83"/>
    <w:rsid w:val="00B76065"/>
    <w:rsid w:val="00B7622A"/>
    <w:rsid w:val="00B77D51"/>
    <w:rsid w:val="00B803B3"/>
    <w:rsid w:val="00B8057C"/>
    <w:rsid w:val="00B824CB"/>
    <w:rsid w:val="00B82930"/>
    <w:rsid w:val="00B82E3D"/>
    <w:rsid w:val="00B83969"/>
    <w:rsid w:val="00B84125"/>
    <w:rsid w:val="00B84A50"/>
    <w:rsid w:val="00B85007"/>
    <w:rsid w:val="00B8548F"/>
    <w:rsid w:val="00B859E6"/>
    <w:rsid w:val="00B85CF1"/>
    <w:rsid w:val="00B860BF"/>
    <w:rsid w:val="00B90ACE"/>
    <w:rsid w:val="00B91C5E"/>
    <w:rsid w:val="00B9381D"/>
    <w:rsid w:val="00B93CB5"/>
    <w:rsid w:val="00B93D1E"/>
    <w:rsid w:val="00B96179"/>
    <w:rsid w:val="00B96982"/>
    <w:rsid w:val="00B96E02"/>
    <w:rsid w:val="00BA02CD"/>
    <w:rsid w:val="00BA23DC"/>
    <w:rsid w:val="00BA42FF"/>
    <w:rsid w:val="00BA46BA"/>
    <w:rsid w:val="00BA591B"/>
    <w:rsid w:val="00BB0467"/>
    <w:rsid w:val="00BB23BD"/>
    <w:rsid w:val="00BB59ED"/>
    <w:rsid w:val="00BB5A6C"/>
    <w:rsid w:val="00BB6B66"/>
    <w:rsid w:val="00BB6FEA"/>
    <w:rsid w:val="00BC17E7"/>
    <w:rsid w:val="00BC3F1D"/>
    <w:rsid w:val="00BC4199"/>
    <w:rsid w:val="00BC58E5"/>
    <w:rsid w:val="00BC65C7"/>
    <w:rsid w:val="00BC673B"/>
    <w:rsid w:val="00BD26C0"/>
    <w:rsid w:val="00BD5BB5"/>
    <w:rsid w:val="00BD5DCB"/>
    <w:rsid w:val="00BD5FEC"/>
    <w:rsid w:val="00BD656C"/>
    <w:rsid w:val="00BD6DD9"/>
    <w:rsid w:val="00BD721F"/>
    <w:rsid w:val="00BE0E64"/>
    <w:rsid w:val="00BE1A70"/>
    <w:rsid w:val="00BE33EA"/>
    <w:rsid w:val="00BE37DC"/>
    <w:rsid w:val="00BE3ED5"/>
    <w:rsid w:val="00BE3F88"/>
    <w:rsid w:val="00BE4FDE"/>
    <w:rsid w:val="00BE645F"/>
    <w:rsid w:val="00BE65DC"/>
    <w:rsid w:val="00BE7929"/>
    <w:rsid w:val="00BF1258"/>
    <w:rsid w:val="00BF56DD"/>
    <w:rsid w:val="00BF5B41"/>
    <w:rsid w:val="00BF5FE4"/>
    <w:rsid w:val="00BF7107"/>
    <w:rsid w:val="00BF737D"/>
    <w:rsid w:val="00BF7386"/>
    <w:rsid w:val="00C00B01"/>
    <w:rsid w:val="00C01CB6"/>
    <w:rsid w:val="00C029F5"/>
    <w:rsid w:val="00C02F0F"/>
    <w:rsid w:val="00C030F1"/>
    <w:rsid w:val="00C04D65"/>
    <w:rsid w:val="00C04F18"/>
    <w:rsid w:val="00C05494"/>
    <w:rsid w:val="00C05735"/>
    <w:rsid w:val="00C06B74"/>
    <w:rsid w:val="00C07BB7"/>
    <w:rsid w:val="00C10619"/>
    <w:rsid w:val="00C138A9"/>
    <w:rsid w:val="00C15428"/>
    <w:rsid w:val="00C156B3"/>
    <w:rsid w:val="00C16BEB"/>
    <w:rsid w:val="00C17F5D"/>
    <w:rsid w:val="00C21C20"/>
    <w:rsid w:val="00C222C8"/>
    <w:rsid w:val="00C2414C"/>
    <w:rsid w:val="00C246DF"/>
    <w:rsid w:val="00C24C05"/>
    <w:rsid w:val="00C25A12"/>
    <w:rsid w:val="00C2646A"/>
    <w:rsid w:val="00C26DD4"/>
    <w:rsid w:val="00C27C14"/>
    <w:rsid w:val="00C30A7B"/>
    <w:rsid w:val="00C314F1"/>
    <w:rsid w:val="00C323CF"/>
    <w:rsid w:val="00C34889"/>
    <w:rsid w:val="00C368C2"/>
    <w:rsid w:val="00C36A07"/>
    <w:rsid w:val="00C37C00"/>
    <w:rsid w:val="00C37C73"/>
    <w:rsid w:val="00C407EA"/>
    <w:rsid w:val="00C43B89"/>
    <w:rsid w:val="00C454B2"/>
    <w:rsid w:val="00C472F8"/>
    <w:rsid w:val="00C47BA8"/>
    <w:rsid w:val="00C50883"/>
    <w:rsid w:val="00C50DEA"/>
    <w:rsid w:val="00C523B1"/>
    <w:rsid w:val="00C53268"/>
    <w:rsid w:val="00C56C50"/>
    <w:rsid w:val="00C56E31"/>
    <w:rsid w:val="00C57FCB"/>
    <w:rsid w:val="00C61AAA"/>
    <w:rsid w:val="00C625E8"/>
    <w:rsid w:val="00C62CA3"/>
    <w:rsid w:val="00C66632"/>
    <w:rsid w:val="00C66BBA"/>
    <w:rsid w:val="00C67126"/>
    <w:rsid w:val="00C70A41"/>
    <w:rsid w:val="00C71BAA"/>
    <w:rsid w:val="00C72165"/>
    <w:rsid w:val="00C72765"/>
    <w:rsid w:val="00C72BCB"/>
    <w:rsid w:val="00C730B4"/>
    <w:rsid w:val="00C7366E"/>
    <w:rsid w:val="00C74A61"/>
    <w:rsid w:val="00C75DFE"/>
    <w:rsid w:val="00C76877"/>
    <w:rsid w:val="00C76D12"/>
    <w:rsid w:val="00C770E7"/>
    <w:rsid w:val="00C77B2D"/>
    <w:rsid w:val="00C77BEE"/>
    <w:rsid w:val="00C80344"/>
    <w:rsid w:val="00C811AF"/>
    <w:rsid w:val="00C8120C"/>
    <w:rsid w:val="00C82157"/>
    <w:rsid w:val="00C833F6"/>
    <w:rsid w:val="00C8382D"/>
    <w:rsid w:val="00C843D9"/>
    <w:rsid w:val="00C844C0"/>
    <w:rsid w:val="00C84872"/>
    <w:rsid w:val="00C85BCF"/>
    <w:rsid w:val="00C86DE8"/>
    <w:rsid w:val="00C87F01"/>
    <w:rsid w:val="00C90148"/>
    <w:rsid w:val="00C90B3F"/>
    <w:rsid w:val="00C90F38"/>
    <w:rsid w:val="00C9163C"/>
    <w:rsid w:val="00C929D3"/>
    <w:rsid w:val="00C92AEF"/>
    <w:rsid w:val="00C93C39"/>
    <w:rsid w:val="00C963EE"/>
    <w:rsid w:val="00C96C12"/>
    <w:rsid w:val="00C96E7F"/>
    <w:rsid w:val="00C97A23"/>
    <w:rsid w:val="00CA1F1C"/>
    <w:rsid w:val="00CA21EB"/>
    <w:rsid w:val="00CA2568"/>
    <w:rsid w:val="00CA2F1E"/>
    <w:rsid w:val="00CA3ED5"/>
    <w:rsid w:val="00CA5FBA"/>
    <w:rsid w:val="00CA61A8"/>
    <w:rsid w:val="00CB14E8"/>
    <w:rsid w:val="00CB158F"/>
    <w:rsid w:val="00CB19EF"/>
    <w:rsid w:val="00CB1CFA"/>
    <w:rsid w:val="00CB2BBC"/>
    <w:rsid w:val="00CB405C"/>
    <w:rsid w:val="00CB5AF2"/>
    <w:rsid w:val="00CB6621"/>
    <w:rsid w:val="00CB680E"/>
    <w:rsid w:val="00CB7722"/>
    <w:rsid w:val="00CB7A58"/>
    <w:rsid w:val="00CC0FB6"/>
    <w:rsid w:val="00CC1F8F"/>
    <w:rsid w:val="00CC4AD8"/>
    <w:rsid w:val="00CC5767"/>
    <w:rsid w:val="00CC61EB"/>
    <w:rsid w:val="00CC6757"/>
    <w:rsid w:val="00CC6F07"/>
    <w:rsid w:val="00CC714A"/>
    <w:rsid w:val="00CC7C68"/>
    <w:rsid w:val="00CC7DF1"/>
    <w:rsid w:val="00CD488F"/>
    <w:rsid w:val="00CD510A"/>
    <w:rsid w:val="00CD555B"/>
    <w:rsid w:val="00CD559C"/>
    <w:rsid w:val="00CD5C54"/>
    <w:rsid w:val="00CD640B"/>
    <w:rsid w:val="00CE0080"/>
    <w:rsid w:val="00CE0189"/>
    <w:rsid w:val="00CE057A"/>
    <w:rsid w:val="00CE06C7"/>
    <w:rsid w:val="00CE4C5A"/>
    <w:rsid w:val="00CE4F48"/>
    <w:rsid w:val="00CE5C45"/>
    <w:rsid w:val="00CE5CFA"/>
    <w:rsid w:val="00CE634D"/>
    <w:rsid w:val="00CE6735"/>
    <w:rsid w:val="00CE6C12"/>
    <w:rsid w:val="00CE7957"/>
    <w:rsid w:val="00CF59F3"/>
    <w:rsid w:val="00CF59FF"/>
    <w:rsid w:val="00CF654C"/>
    <w:rsid w:val="00CF7C0A"/>
    <w:rsid w:val="00D0108A"/>
    <w:rsid w:val="00D0318B"/>
    <w:rsid w:val="00D03576"/>
    <w:rsid w:val="00D04D10"/>
    <w:rsid w:val="00D05A3F"/>
    <w:rsid w:val="00D11EF9"/>
    <w:rsid w:val="00D128D5"/>
    <w:rsid w:val="00D12A84"/>
    <w:rsid w:val="00D135F0"/>
    <w:rsid w:val="00D13EC8"/>
    <w:rsid w:val="00D14F9A"/>
    <w:rsid w:val="00D156DC"/>
    <w:rsid w:val="00D159CC"/>
    <w:rsid w:val="00D16097"/>
    <w:rsid w:val="00D16970"/>
    <w:rsid w:val="00D16B59"/>
    <w:rsid w:val="00D1775B"/>
    <w:rsid w:val="00D17EB8"/>
    <w:rsid w:val="00D20A59"/>
    <w:rsid w:val="00D21B47"/>
    <w:rsid w:val="00D221B9"/>
    <w:rsid w:val="00D22B26"/>
    <w:rsid w:val="00D2536B"/>
    <w:rsid w:val="00D3025F"/>
    <w:rsid w:val="00D3239A"/>
    <w:rsid w:val="00D323C1"/>
    <w:rsid w:val="00D34A9A"/>
    <w:rsid w:val="00D34CD7"/>
    <w:rsid w:val="00D41658"/>
    <w:rsid w:val="00D41AD1"/>
    <w:rsid w:val="00D421E6"/>
    <w:rsid w:val="00D42571"/>
    <w:rsid w:val="00D4438D"/>
    <w:rsid w:val="00D4502B"/>
    <w:rsid w:val="00D46364"/>
    <w:rsid w:val="00D46D12"/>
    <w:rsid w:val="00D473E4"/>
    <w:rsid w:val="00D50465"/>
    <w:rsid w:val="00D50B4C"/>
    <w:rsid w:val="00D50E04"/>
    <w:rsid w:val="00D51C88"/>
    <w:rsid w:val="00D530BB"/>
    <w:rsid w:val="00D54B69"/>
    <w:rsid w:val="00D552F9"/>
    <w:rsid w:val="00D556E9"/>
    <w:rsid w:val="00D55B52"/>
    <w:rsid w:val="00D56E5F"/>
    <w:rsid w:val="00D57A60"/>
    <w:rsid w:val="00D57D47"/>
    <w:rsid w:val="00D57E6C"/>
    <w:rsid w:val="00D60ADB"/>
    <w:rsid w:val="00D60F31"/>
    <w:rsid w:val="00D62F3A"/>
    <w:rsid w:val="00D63425"/>
    <w:rsid w:val="00D63907"/>
    <w:rsid w:val="00D6521F"/>
    <w:rsid w:val="00D662C7"/>
    <w:rsid w:val="00D70D38"/>
    <w:rsid w:val="00D71879"/>
    <w:rsid w:val="00D74301"/>
    <w:rsid w:val="00D76FDC"/>
    <w:rsid w:val="00D806A9"/>
    <w:rsid w:val="00D82BB6"/>
    <w:rsid w:val="00D833DB"/>
    <w:rsid w:val="00D838DD"/>
    <w:rsid w:val="00D86542"/>
    <w:rsid w:val="00D866E3"/>
    <w:rsid w:val="00D86D40"/>
    <w:rsid w:val="00D86D5F"/>
    <w:rsid w:val="00D87D2A"/>
    <w:rsid w:val="00D87EC2"/>
    <w:rsid w:val="00D90250"/>
    <w:rsid w:val="00D914DE"/>
    <w:rsid w:val="00D91FE5"/>
    <w:rsid w:val="00D9276A"/>
    <w:rsid w:val="00D9296B"/>
    <w:rsid w:val="00D92B48"/>
    <w:rsid w:val="00D93DB5"/>
    <w:rsid w:val="00D955A6"/>
    <w:rsid w:val="00D96140"/>
    <w:rsid w:val="00D9757A"/>
    <w:rsid w:val="00D979C5"/>
    <w:rsid w:val="00D97D1D"/>
    <w:rsid w:val="00DA1DC6"/>
    <w:rsid w:val="00DA3E10"/>
    <w:rsid w:val="00DA4056"/>
    <w:rsid w:val="00DA55CC"/>
    <w:rsid w:val="00DA703E"/>
    <w:rsid w:val="00DA75E8"/>
    <w:rsid w:val="00DA7889"/>
    <w:rsid w:val="00DA7DBA"/>
    <w:rsid w:val="00DB1BB0"/>
    <w:rsid w:val="00DB2B33"/>
    <w:rsid w:val="00DB2B46"/>
    <w:rsid w:val="00DB34D6"/>
    <w:rsid w:val="00DB378B"/>
    <w:rsid w:val="00DB41B4"/>
    <w:rsid w:val="00DB421A"/>
    <w:rsid w:val="00DB5B12"/>
    <w:rsid w:val="00DC0243"/>
    <w:rsid w:val="00DC066E"/>
    <w:rsid w:val="00DC0F4C"/>
    <w:rsid w:val="00DC10EF"/>
    <w:rsid w:val="00DC15D5"/>
    <w:rsid w:val="00DC2CB4"/>
    <w:rsid w:val="00DC394A"/>
    <w:rsid w:val="00DC4767"/>
    <w:rsid w:val="00DC57F2"/>
    <w:rsid w:val="00DC71C4"/>
    <w:rsid w:val="00DC77E2"/>
    <w:rsid w:val="00DD03DD"/>
    <w:rsid w:val="00DD28EF"/>
    <w:rsid w:val="00DD3C07"/>
    <w:rsid w:val="00DD3F9A"/>
    <w:rsid w:val="00DD456A"/>
    <w:rsid w:val="00DD4570"/>
    <w:rsid w:val="00DD4B61"/>
    <w:rsid w:val="00DD4C8E"/>
    <w:rsid w:val="00DD5190"/>
    <w:rsid w:val="00DD65A8"/>
    <w:rsid w:val="00DD7015"/>
    <w:rsid w:val="00DE0E5B"/>
    <w:rsid w:val="00DE10BE"/>
    <w:rsid w:val="00DE1DB7"/>
    <w:rsid w:val="00DE2DF6"/>
    <w:rsid w:val="00DE2E72"/>
    <w:rsid w:val="00DE3693"/>
    <w:rsid w:val="00DE3F38"/>
    <w:rsid w:val="00DE4287"/>
    <w:rsid w:val="00DE6427"/>
    <w:rsid w:val="00DE734F"/>
    <w:rsid w:val="00DE7633"/>
    <w:rsid w:val="00DF03AF"/>
    <w:rsid w:val="00DF112B"/>
    <w:rsid w:val="00DF19FE"/>
    <w:rsid w:val="00DF266C"/>
    <w:rsid w:val="00DF29E0"/>
    <w:rsid w:val="00DF37D9"/>
    <w:rsid w:val="00DF5230"/>
    <w:rsid w:val="00DF55D6"/>
    <w:rsid w:val="00DF5F76"/>
    <w:rsid w:val="00DF6772"/>
    <w:rsid w:val="00DF7E3E"/>
    <w:rsid w:val="00E01110"/>
    <w:rsid w:val="00E032EB"/>
    <w:rsid w:val="00E03952"/>
    <w:rsid w:val="00E046CC"/>
    <w:rsid w:val="00E04B93"/>
    <w:rsid w:val="00E04F76"/>
    <w:rsid w:val="00E12FC0"/>
    <w:rsid w:val="00E130F3"/>
    <w:rsid w:val="00E16B79"/>
    <w:rsid w:val="00E16D4C"/>
    <w:rsid w:val="00E173D9"/>
    <w:rsid w:val="00E17407"/>
    <w:rsid w:val="00E2037B"/>
    <w:rsid w:val="00E20499"/>
    <w:rsid w:val="00E22846"/>
    <w:rsid w:val="00E2307E"/>
    <w:rsid w:val="00E25413"/>
    <w:rsid w:val="00E2726F"/>
    <w:rsid w:val="00E307D4"/>
    <w:rsid w:val="00E31254"/>
    <w:rsid w:val="00E31399"/>
    <w:rsid w:val="00E31FEA"/>
    <w:rsid w:val="00E33422"/>
    <w:rsid w:val="00E338D1"/>
    <w:rsid w:val="00E33BDA"/>
    <w:rsid w:val="00E34BFF"/>
    <w:rsid w:val="00E353BA"/>
    <w:rsid w:val="00E36F10"/>
    <w:rsid w:val="00E37449"/>
    <w:rsid w:val="00E40B4F"/>
    <w:rsid w:val="00E41AD7"/>
    <w:rsid w:val="00E41FE5"/>
    <w:rsid w:val="00E42B72"/>
    <w:rsid w:val="00E4450D"/>
    <w:rsid w:val="00E4514E"/>
    <w:rsid w:val="00E5062E"/>
    <w:rsid w:val="00E50A07"/>
    <w:rsid w:val="00E51F5A"/>
    <w:rsid w:val="00E5248B"/>
    <w:rsid w:val="00E525B5"/>
    <w:rsid w:val="00E5344B"/>
    <w:rsid w:val="00E53B76"/>
    <w:rsid w:val="00E55365"/>
    <w:rsid w:val="00E5786A"/>
    <w:rsid w:val="00E60F03"/>
    <w:rsid w:val="00E62DC2"/>
    <w:rsid w:val="00E635BD"/>
    <w:rsid w:val="00E65199"/>
    <w:rsid w:val="00E65836"/>
    <w:rsid w:val="00E67720"/>
    <w:rsid w:val="00E67802"/>
    <w:rsid w:val="00E70B53"/>
    <w:rsid w:val="00E7281A"/>
    <w:rsid w:val="00E728D7"/>
    <w:rsid w:val="00E732CF"/>
    <w:rsid w:val="00E74386"/>
    <w:rsid w:val="00E74B10"/>
    <w:rsid w:val="00E75E6D"/>
    <w:rsid w:val="00E76A77"/>
    <w:rsid w:val="00E80D56"/>
    <w:rsid w:val="00E830A4"/>
    <w:rsid w:val="00E83186"/>
    <w:rsid w:val="00E83B1D"/>
    <w:rsid w:val="00E84BB3"/>
    <w:rsid w:val="00E84BF6"/>
    <w:rsid w:val="00E84E73"/>
    <w:rsid w:val="00E8512B"/>
    <w:rsid w:val="00E85556"/>
    <w:rsid w:val="00E85CC3"/>
    <w:rsid w:val="00E879B2"/>
    <w:rsid w:val="00E917E0"/>
    <w:rsid w:val="00E91B4C"/>
    <w:rsid w:val="00E92826"/>
    <w:rsid w:val="00E92DCD"/>
    <w:rsid w:val="00E93E9D"/>
    <w:rsid w:val="00E95AD2"/>
    <w:rsid w:val="00E9724A"/>
    <w:rsid w:val="00EA0CFA"/>
    <w:rsid w:val="00EA0EEA"/>
    <w:rsid w:val="00EA1D27"/>
    <w:rsid w:val="00EA23AB"/>
    <w:rsid w:val="00EA30DA"/>
    <w:rsid w:val="00EA422A"/>
    <w:rsid w:val="00EA46AD"/>
    <w:rsid w:val="00EA6370"/>
    <w:rsid w:val="00EB01CC"/>
    <w:rsid w:val="00EB0D12"/>
    <w:rsid w:val="00EB0F1B"/>
    <w:rsid w:val="00EB13B5"/>
    <w:rsid w:val="00EB1A11"/>
    <w:rsid w:val="00EB28D3"/>
    <w:rsid w:val="00EB3B43"/>
    <w:rsid w:val="00EB5E2F"/>
    <w:rsid w:val="00EB6291"/>
    <w:rsid w:val="00EB6EAA"/>
    <w:rsid w:val="00EC08E0"/>
    <w:rsid w:val="00EC2511"/>
    <w:rsid w:val="00EC25B7"/>
    <w:rsid w:val="00EC25C2"/>
    <w:rsid w:val="00EC2622"/>
    <w:rsid w:val="00EC2782"/>
    <w:rsid w:val="00EC3257"/>
    <w:rsid w:val="00EC399C"/>
    <w:rsid w:val="00EC4B5E"/>
    <w:rsid w:val="00EC5119"/>
    <w:rsid w:val="00EC5656"/>
    <w:rsid w:val="00EC5BE9"/>
    <w:rsid w:val="00EC5E73"/>
    <w:rsid w:val="00EC6AC8"/>
    <w:rsid w:val="00EC71B7"/>
    <w:rsid w:val="00ED0A33"/>
    <w:rsid w:val="00ED13AE"/>
    <w:rsid w:val="00ED1E95"/>
    <w:rsid w:val="00ED2345"/>
    <w:rsid w:val="00ED4150"/>
    <w:rsid w:val="00ED7D96"/>
    <w:rsid w:val="00EE02DE"/>
    <w:rsid w:val="00EE199F"/>
    <w:rsid w:val="00EE2126"/>
    <w:rsid w:val="00EE2C64"/>
    <w:rsid w:val="00EE58F0"/>
    <w:rsid w:val="00EE697E"/>
    <w:rsid w:val="00EE74F2"/>
    <w:rsid w:val="00EE7C7E"/>
    <w:rsid w:val="00EF035F"/>
    <w:rsid w:val="00EF0BA4"/>
    <w:rsid w:val="00EF1253"/>
    <w:rsid w:val="00EF1397"/>
    <w:rsid w:val="00EF151C"/>
    <w:rsid w:val="00EF1A17"/>
    <w:rsid w:val="00EF2855"/>
    <w:rsid w:val="00EF34B2"/>
    <w:rsid w:val="00EF3A5E"/>
    <w:rsid w:val="00EF4FE7"/>
    <w:rsid w:val="00EF61E7"/>
    <w:rsid w:val="00EF71F8"/>
    <w:rsid w:val="00F02FEC"/>
    <w:rsid w:val="00F040D1"/>
    <w:rsid w:val="00F047C0"/>
    <w:rsid w:val="00F04A0F"/>
    <w:rsid w:val="00F077ED"/>
    <w:rsid w:val="00F11A2D"/>
    <w:rsid w:val="00F137BE"/>
    <w:rsid w:val="00F13B7A"/>
    <w:rsid w:val="00F13D70"/>
    <w:rsid w:val="00F14AF4"/>
    <w:rsid w:val="00F1547C"/>
    <w:rsid w:val="00F15F19"/>
    <w:rsid w:val="00F16558"/>
    <w:rsid w:val="00F16876"/>
    <w:rsid w:val="00F1763F"/>
    <w:rsid w:val="00F179A2"/>
    <w:rsid w:val="00F22053"/>
    <w:rsid w:val="00F231EA"/>
    <w:rsid w:val="00F2437C"/>
    <w:rsid w:val="00F24E3C"/>
    <w:rsid w:val="00F25037"/>
    <w:rsid w:val="00F254AE"/>
    <w:rsid w:val="00F27214"/>
    <w:rsid w:val="00F31DCF"/>
    <w:rsid w:val="00F3343E"/>
    <w:rsid w:val="00F342F3"/>
    <w:rsid w:val="00F3472F"/>
    <w:rsid w:val="00F372E2"/>
    <w:rsid w:val="00F374FA"/>
    <w:rsid w:val="00F403EE"/>
    <w:rsid w:val="00F40CA4"/>
    <w:rsid w:val="00F40F15"/>
    <w:rsid w:val="00F418EE"/>
    <w:rsid w:val="00F41A43"/>
    <w:rsid w:val="00F41D19"/>
    <w:rsid w:val="00F43962"/>
    <w:rsid w:val="00F45247"/>
    <w:rsid w:val="00F47099"/>
    <w:rsid w:val="00F4716E"/>
    <w:rsid w:val="00F50ACE"/>
    <w:rsid w:val="00F51DBA"/>
    <w:rsid w:val="00F52DA8"/>
    <w:rsid w:val="00F52EED"/>
    <w:rsid w:val="00F53476"/>
    <w:rsid w:val="00F5492B"/>
    <w:rsid w:val="00F55FBB"/>
    <w:rsid w:val="00F60E21"/>
    <w:rsid w:val="00F6449D"/>
    <w:rsid w:val="00F65D5B"/>
    <w:rsid w:val="00F66526"/>
    <w:rsid w:val="00F66D91"/>
    <w:rsid w:val="00F66DD4"/>
    <w:rsid w:val="00F67B06"/>
    <w:rsid w:val="00F70B1B"/>
    <w:rsid w:val="00F70BBA"/>
    <w:rsid w:val="00F70F8A"/>
    <w:rsid w:val="00F71184"/>
    <w:rsid w:val="00F74762"/>
    <w:rsid w:val="00F74BFF"/>
    <w:rsid w:val="00F76DEB"/>
    <w:rsid w:val="00F80866"/>
    <w:rsid w:val="00F80E78"/>
    <w:rsid w:val="00F80FD6"/>
    <w:rsid w:val="00F825CC"/>
    <w:rsid w:val="00F8317F"/>
    <w:rsid w:val="00F834CA"/>
    <w:rsid w:val="00F8355E"/>
    <w:rsid w:val="00F840D4"/>
    <w:rsid w:val="00F854D3"/>
    <w:rsid w:val="00F8731E"/>
    <w:rsid w:val="00F902E2"/>
    <w:rsid w:val="00F90623"/>
    <w:rsid w:val="00F9076B"/>
    <w:rsid w:val="00F911B2"/>
    <w:rsid w:val="00F925A6"/>
    <w:rsid w:val="00F940DF"/>
    <w:rsid w:val="00F95A6D"/>
    <w:rsid w:val="00FA03D6"/>
    <w:rsid w:val="00FA03E7"/>
    <w:rsid w:val="00FA09C9"/>
    <w:rsid w:val="00FA0D87"/>
    <w:rsid w:val="00FA236B"/>
    <w:rsid w:val="00FA27D7"/>
    <w:rsid w:val="00FA2980"/>
    <w:rsid w:val="00FA3B0E"/>
    <w:rsid w:val="00FA3DC5"/>
    <w:rsid w:val="00FA50AE"/>
    <w:rsid w:val="00FA59AC"/>
    <w:rsid w:val="00FA6F1D"/>
    <w:rsid w:val="00FB25DF"/>
    <w:rsid w:val="00FB4F36"/>
    <w:rsid w:val="00FB5A65"/>
    <w:rsid w:val="00FC0936"/>
    <w:rsid w:val="00FC1173"/>
    <w:rsid w:val="00FC2628"/>
    <w:rsid w:val="00FC2A9D"/>
    <w:rsid w:val="00FC3E33"/>
    <w:rsid w:val="00FC3F87"/>
    <w:rsid w:val="00FD0294"/>
    <w:rsid w:val="00FD64F2"/>
    <w:rsid w:val="00FD6BCA"/>
    <w:rsid w:val="00FD6ED9"/>
    <w:rsid w:val="00FD70AB"/>
    <w:rsid w:val="00FD7EA8"/>
    <w:rsid w:val="00FE00CB"/>
    <w:rsid w:val="00FE0AEB"/>
    <w:rsid w:val="00FE2342"/>
    <w:rsid w:val="00FE36CA"/>
    <w:rsid w:val="00FE4568"/>
    <w:rsid w:val="00FE50DD"/>
    <w:rsid w:val="00FE7D5B"/>
    <w:rsid w:val="00FF05CD"/>
    <w:rsid w:val="00FF3418"/>
    <w:rsid w:val="00FF420F"/>
    <w:rsid w:val="00FF5C93"/>
    <w:rsid w:val="00FF641A"/>
    <w:rsid w:val="00FF7108"/>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AA5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0" w:qFormat="1"/>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annotation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1C85"/>
    <w:rPr>
      <w:rFonts w:eastAsia="Batang"/>
      <w:lang w:val="es-MX"/>
    </w:rPr>
  </w:style>
  <w:style w:type="paragraph" w:styleId="Heading1">
    <w:name w:val="heading 1"/>
    <w:basedOn w:val="Normal"/>
    <w:next w:val="Normal"/>
    <w:link w:val="Heading1Char"/>
    <w:uiPriority w:val="9"/>
    <w:rsid w:val="00BD5BB5"/>
    <w:pPr>
      <w:spacing w:after="0" w:line="240" w:lineRule="auto"/>
      <w:ind w:right="6"/>
      <w:jc w:val="center"/>
      <w:outlineLvl w:val="0"/>
    </w:pPr>
    <w:rPr>
      <w:rFonts w:ascii="Verdana" w:hAnsi="Verdana"/>
      <w:b/>
      <w:sz w:val="20"/>
      <w:szCs w:val="20"/>
    </w:rPr>
  </w:style>
  <w:style w:type="paragraph" w:styleId="Heading2">
    <w:name w:val="heading 2"/>
    <w:basedOn w:val="Normal"/>
    <w:next w:val="Normal"/>
    <w:link w:val="Heading2Char"/>
    <w:unhideWhenUsed/>
    <w:qFormat/>
    <w:rsid w:val="00BD5BB5"/>
    <w:pPr>
      <w:keepNext/>
      <w:keepLines/>
      <w:widowControl w:val="0"/>
      <w:numPr>
        <w:numId w:val="6"/>
      </w:numPr>
      <w:adjustRightInd w:val="0"/>
      <w:spacing w:after="0" w:line="240" w:lineRule="auto"/>
      <w:jc w:val="both"/>
      <w:textAlignment w:val="baseline"/>
      <w:outlineLvl w:val="1"/>
    </w:pPr>
    <w:rPr>
      <w:rFonts w:ascii="Verdana" w:eastAsia="MS Mincho" w:hAnsi="Verdana" w:cs="Times New Roman"/>
      <w:b/>
      <w:i/>
      <w:sz w:val="20"/>
      <w:szCs w:val="20"/>
      <w:lang w:val="es-CR" w:eastAsia="es-CR"/>
    </w:rPr>
  </w:style>
  <w:style w:type="paragraph" w:styleId="Heading3">
    <w:name w:val="heading 3"/>
    <w:basedOn w:val="ListParagraph"/>
    <w:next w:val="Normal"/>
    <w:link w:val="Heading3Char"/>
    <w:uiPriority w:val="9"/>
    <w:unhideWhenUsed/>
    <w:rsid w:val="00BD5BB5"/>
    <w:pPr>
      <w:numPr>
        <w:numId w:val="1"/>
      </w:numPr>
      <w:tabs>
        <w:tab w:val="left" w:pos="1276"/>
      </w:tabs>
      <w:spacing w:after="0" w:line="240" w:lineRule="auto"/>
      <w:jc w:val="both"/>
      <w:outlineLvl w:val="2"/>
    </w:pPr>
    <w:rPr>
      <w:rFonts w:ascii="Verdana" w:hAnsi="Verdana"/>
      <w:b/>
      <w:i/>
      <w:sz w:val="20"/>
      <w:szCs w:val="20"/>
    </w:rPr>
  </w:style>
  <w:style w:type="paragraph" w:styleId="Heading4">
    <w:name w:val="heading 4"/>
    <w:basedOn w:val="ListParagraph"/>
    <w:next w:val="Normal"/>
    <w:link w:val="Heading4Char"/>
    <w:uiPriority w:val="9"/>
    <w:unhideWhenUsed/>
    <w:rsid w:val="00BD5BB5"/>
    <w:pPr>
      <w:numPr>
        <w:numId w:val="24"/>
      </w:numPr>
      <w:tabs>
        <w:tab w:val="left" w:pos="1418"/>
      </w:tabs>
      <w:spacing w:after="0" w:line="240" w:lineRule="auto"/>
      <w:jc w:val="both"/>
      <w:outlineLvl w:val="3"/>
    </w:pPr>
    <w:rPr>
      <w:rFonts w:ascii="Verdana" w:hAnsi="Verdana"/>
      <w:i/>
      <w:sz w:val="20"/>
      <w:szCs w:val="20"/>
      <w:u w:val="single"/>
    </w:rPr>
  </w:style>
  <w:style w:type="paragraph" w:styleId="Heading5">
    <w:name w:val="heading 5"/>
    <w:basedOn w:val="ListParagraph"/>
    <w:link w:val="Heading5Char"/>
    <w:uiPriority w:val="9"/>
    <w:rsid w:val="00BD5BB5"/>
    <w:pPr>
      <w:numPr>
        <w:ilvl w:val="1"/>
        <w:numId w:val="15"/>
      </w:numPr>
      <w:tabs>
        <w:tab w:val="left" w:pos="1418"/>
      </w:tabs>
      <w:spacing w:after="0" w:line="240" w:lineRule="auto"/>
      <w:jc w:val="both"/>
      <w:outlineLvl w:val="4"/>
    </w:pPr>
    <w:rPr>
      <w:rFonts w:ascii="Verdana" w:hAnsi="Verdana"/>
      <w:i/>
      <w:sz w:val="20"/>
      <w:szCs w:val="20"/>
    </w:rPr>
  </w:style>
  <w:style w:type="paragraph" w:styleId="Heading6">
    <w:name w:val="heading 6"/>
    <w:basedOn w:val="ListParagraph"/>
    <w:next w:val="Normal"/>
    <w:link w:val="Heading6Char"/>
    <w:uiPriority w:val="9"/>
    <w:unhideWhenUsed/>
    <w:rsid w:val="00BD5BB5"/>
    <w:pPr>
      <w:numPr>
        <w:numId w:val="16"/>
      </w:numPr>
      <w:jc w:val="both"/>
      <w:outlineLvl w:val="5"/>
    </w:pPr>
    <w:rPr>
      <w:rFonts w:ascii="Verdana" w:hAnsi="Verdana"/>
      <w:i/>
      <w:sz w:val="20"/>
      <w:szCs w:val="20"/>
      <w:lang w:val="es-CR"/>
    </w:rPr>
  </w:style>
  <w:style w:type="paragraph" w:styleId="Heading7">
    <w:name w:val="heading 7"/>
    <w:basedOn w:val="ListParagraph"/>
    <w:next w:val="Normal"/>
    <w:link w:val="Heading7Char"/>
    <w:uiPriority w:val="9"/>
    <w:unhideWhenUsed/>
    <w:rsid w:val="00AF0775"/>
    <w:pPr>
      <w:numPr>
        <w:numId w:val="17"/>
      </w:numPr>
      <w:spacing w:after="0" w:line="240" w:lineRule="auto"/>
      <w:jc w:val="both"/>
      <w:outlineLvl w:val="6"/>
    </w:pPr>
    <w:rPr>
      <w:rFonts w:ascii="Verdana" w:hAnsi="Verdana"/>
      <w:i/>
      <w:sz w:val="20"/>
      <w:szCs w:val="20"/>
      <w:u w:val="single"/>
      <w:lang w:val="es-AR"/>
    </w:rPr>
  </w:style>
  <w:style w:type="paragraph" w:styleId="Heading8">
    <w:name w:val="heading 8"/>
    <w:basedOn w:val="ListParagraph"/>
    <w:next w:val="Normal"/>
    <w:link w:val="Heading8Char"/>
    <w:uiPriority w:val="9"/>
    <w:unhideWhenUsed/>
    <w:rsid w:val="00AF0775"/>
    <w:pPr>
      <w:numPr>
        <w:numId w:val="25"/>
      </w:numPr>
      <w:spacing w:after="0" w:line="240" w:lineRule="auto"/>
      <w:jc w:val="both"/>
      <w:outlineLvl w:val="7"/>
    </w:pPr>
    <w:rPr>
      <w:rFonts w:ascii="Verdana" w:hAnsi="Verdana" w:cs="Cambria"/>
      <w:i/>
      <w:sz w:val="20"/>
      <w:szCs w:val="20"/>
    </w:rPr>
  </w:style>
  <w:style w:type="paragraph" w:styleId="Heading9">
    <w:name w:val="heading 9"/>
    <w:basedOn w:val="ListParagraph"/>
    <w:next w:val="Normal"/>
    <w:link w:val="Heading9Char"/>
    <w:uiPriority w:val="9"/>
    <w:unhideWhenUsed/>
    <w:rsid w:val="00AF0775"/>
    <w:pPr>
      <w:numPr>
        <w:numId w:val="26"/>
      </w:numPr>
      <w:autoSpaceDE w:val="0"/>
      <w:autoSpaceDN w:val="0"/>
      <w:adjustRightInd w:val="0"/>
      <w:spacing w:after="0" w:line="240" w:lineRule="auto"/>
      <w:jc w:val="both"/>
      <w:outlineLvl w:val="8"/>
    </w:pPr>
    <w:rPr>
      <w:rFonts w:ascii="Verdana" w:eastAsiaTheme="minorHAnsi" w:hAnsi="Verdana"/>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D5BB5"/>
    <w:rPr>
      <w:rFonts w:ascii="Verdana" w:eastAsia="MS Mincho" w:hAnsi="Verdana" w:cs="Times New Roman"/>
      <w:b/>
      <w:i/>
      <w:sz w:val="20"/>
      <w:szCs w:val="20"/>
      <w:lang w:eastAsia="es-CR"/>
    </w:rPr>
  </w:style>
  <w:style w:type="character" w:customStyle="1" w:styleId="Heading3Char">
    <w:name w:val="Heading 3 Char"/>
    <w:basedOn w:val="DefaultParagraphFont"/>
    <w:link w:val="Heading3"/>
    <w:uiPriority w:val="9"/>
    <w:rsid w:val="00BD5BB5"/>
    <w:rPr>
      <w:rFonts w:ascii="Verdana" w:eastAsia="Batang" w:hAnsi="Verdana"/>
      <w:b/>
      <w:i/>
      <w:sz w:val="20"/>
      <w:szCs w:val="20"/>
      <w:lang w:val="es-MX"/>
    </w:rPr>
  </w:style>
  <w:style w:type="paragraph" w:styleId="ListParagraph">
    <w:name w:val="List Paragraph"/>
    <w:aliases w:val="List Paragraph1,Colorful List - Accent 11,Párrafo de lista1,List Paragraph2,Lista vistosa - Énfasis 11,Footnote"/>
    <w:basedOn w:val="Normal"/>
    <w:link w:val="ListParagraphChar"/>
    <w:uiPriority w:val="34"/>
    <w:qFormat/>
    <w:rsid w:val="002E1C85"/>
    <w:pPr>
      <w:ind w:left="720"/>
      <w:contextualSpacing/>
    </w:pPr>
  </w:style>
  <w:style w:type="character" w:styleId="CommentReference">
    <w:name w:val="annotation reference"/>
    <w:basedOn w:val="DefaultParagraphFont"/>
    <w:unhideWhenUsed/>
    <w:rsid w:val="002E1C85"/>
    <w:rPr>
      <w:sz w:val="16"/>
      <w:szCs w:val="16"/>
    </w:rPr>
  </w:style>
  <w:style w:type="paragraph" w:styleId="CommentText">
    <w:name w:val="annotation text"/>
    <w:basedOn w:val="Normal"/>
    <w:link w:val="CommentTextChar"/>
    <w:uiPriority w:val="99"/>
    <w:semiHidden/>
    <w:unhideWhenUsed/>
    <w:rsid w:val="002E1C85"/>
    <w:pPr>
      <w:spacing w:line="240" w:lineRule="auto"/>
    </w:pPr>
    <w:rPr>
      <w:sz w:val="20"/>
      <w:szCs w:val="20"/>
    </w:rPr>
  </w:style>
  <w:style w:type="character" w:customStyle="1" w:styleId="CommentTextChar">
    <w:name w:val="Comment Text Char"/>
    <w:basedOn w:val="DefaultParagraphFont"/>
    <w:link w:val="CommentText"/>
    <w:uiPriority w:val="99"/>
    <w:semiHidden/>
    <w:rsid w:val="002E1C85"/>
    <w:rPr>
      <w:rFonts w:eastAsia="Batang"/>
      <w:sz w:val="20"/>
      <w:szCs w:val="20"/>
      <w:lang w:val="es-MX"/>
    </w:rPr>
  </w:style>
  <w:style w:type="paragraph" w:styleId="BalloonText">
    <w:name w:val="Balloon Text"/>
    <w:basedOn w:val="Normal"/>
    <w:link w:val="BalloonTextChar"/>
    <w:uiPriority w:val="99"/>
    <w:semiHidden/>
    <w:unhideWhenUsed/>
    <w:rsid w:val="002E1C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1C85"/>
    <w:rPr>
      <w:rFonts w:ascii="Tahoma" w:eastAsia="Batang" w:hAnsi="Tahoma" w:cs="Tahoma"/>
      <w:sz w:val="16"/>
      <w:szCs w:val="16"/>
      <w:lang w:val="es-MX"/>
    </w:rPr>
  </w:style>
  <w:style w:type="paragraph" w:styleId="FootnoteText">
    <w:name w:val="footnote text"/>
    <w:aliases w:val="Footnote Text Char Char Char Char Char,Footnote Text Char Char Char Char,Footnote reference,FA Fu,FA Fußnotentext,FA Fu§notentext,FA Fu?notentext,?notentext,Footnote Text Char Char Char,§notentext,FA,Footnote Text Char Char,?notent,ft,C,5"/>
    <w:basedOn w:val="Normal"/>
    <w:link w:val="FootnoteTextChar"/>
    <w:uiPriority w:val="99"/>
    <w:unhideWhenUsed/>
    <w:qFormat/>
    <w:rsid w:val="002E1C85"/>
    <w:pPr>
      <w:spacing w:after="0" w:line="240" w:lineRule="auto"/>
    </w:pPr>
    <w:rPr>
      <w:sz w:val="20"/>
      <w:szCs w:val="20"/>
    </w:rPr>
  </w:style>
  <w:style w:type="character" w:customStyle="1" w:styleId="FootnoteTextChar">
    <w:name w:val="Footnote Text Char"/>
    <w:aliases w:val="Footnote Text Char Char Char Char Char Char,Footnote Text Char Char Char Char Char1,Footnote reference Char,FA Fu Char,FA Fußnotentext Char,FA Fu§notentext Char,FA Fu?notentext Char,?notentext Char,Footnote Text Char Char Char Char1"/>
    <w:basedOn w:val="DefaultParagraphFont"/>
    <w:link w:val="FootnoteText"/>
    <w:uiPriority w:val="99"/>
    <w:qFormat/>
    <w:rsid w:val="002E1C85"/>
    <w:rPr>
      <w:rFonts w:eastAsia="Batang"/>
      <w:sz w:val="20"/>
      <w:szCs w:val="20"/>
      <w:lang w:val="es-MX"/>
    </w:rPr>
  </w:style>
  <w:style w:type="character" w:styleId="FootnoteReference">
    <w:name w:val="footnote reference"/>
    <w:aliases w:val="Appel note de bas de page,Footnotes refss,Footnote number,referencia nota al pie,BVI fnr,f,4_G,16 Point,Superscript 6 Point,Texto nota al pie,Footnote Reference Char3,Footnote Reference Char1 Char,Ref. de nota al,Ref. de nota al pi"/>
    <w:basedOn w:val="DefaultParagraphFont"/>
    <w:link w:val="4GChar"/>
    <w:uiPriority w:val="99"/>
    <w:unhideWhenUsed/>
    <w:qFormat/>
    <w:rsid w:val="002E1C85"/>
    <w:rPr>
      <w:vertAlign w:val="superscript"/>
    </w:rPr>
  </w:style>
  <w:style w:type="character" w:styleId="Hyperlink">
    <w:name w:val="Hyperlink"/>
    <w:basedOn w:val="DefaultParagraphFont"/>
    <w:uiPriority w:val="99"/>
    <w:unhideWhenUsed/>
    <w:rsid w:val="002E1C85"/>
    <w:rPr>
      <w:color w:val="0000FF"/>
      <w:u w:val="single"/>
    </w:rPr>
  </w:style>
  <w:style w:type="paragraph" w:styleId="CommentSubject">
    <w:name w:val="annotation subject"/>
    <w:basedOn w:val="CommentText"/>
    <w:next w:val="CommentText"/>
    <w:link w:val="CommentSubjectChar"/>
    <w:uiPriority w:val="99"/>
    <w:semiHidden/>
    <w:unhideWhenUsed/>
    <w:rsid w:val="002E1C85"/>
    <w:rPr>
      <w:b/>
      <w:bCs/>
    </w:rPr>
  </w:style>
  <w:style w:type="character" w:customStyle="1" w:styleId="CommentSubjectChar">
    <w:name w:val="Comment Subject Char"/>
    <w:basedOn w:val="CommentTextChar"/>
    <w:link w:val="CommentSubject"/>
    <w:uiPriority w:val="99"/>
    <w:semiHidden/>
    <w:rsid w:val="002E1C85"/>
    <w:rPr>
      <w:rFonts w:eastAsia="Batang"/>
      <w:b/>
      <w:bCs/>
      <w:sz w:val="20"/>
      <w:szCs w:val="20"/>
      <w:lang w:val="es-MX"/>
    </w:rPr>
  </w:style>
  <w:style w:type="paragraph" w:styleId="Header">
    <w:name w:val="header"/>
    <w:basedOn w:val="Normal"/>
    <w:link w:val="HeaderChar"/>
    <w:uiPriority w:val="99"/>
    <w:unhideWhenUsed/>
    <w:rsid w:val="002E1C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1C85"/>
    <w:rPr>
      <w:rFonts w:eastAsia="Batang"/>
      <w:lang w:val="es-MX"/>
    </w:rPr>
  </w:style>
  <w:style w:type="paragraph" w:styleId="Footer">
    <w:name w:val="footer"/>
    <w:basedOn w:val="Normal"/>
    <w:link w:val="FooterChar"/>
    <w:uiPriority w:val="99"/>
    <w:unhideWhenUsed/>
    <w:rsid w:val="002E1C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1C85"/>
    <w:rPr>
      <w:rFonts w:eastAsia="Batang"/>
      <w:lang w:val="es-MX"/>
    </w:rPr>
  </w:style>
  <w:style w:type="character" w:styleId="FollowedHyperlink">
    <w:name w:val="FollowedHyperlink"/>
    <w:basedOn w:val="DefaultParagraphFont"/>
    <w:uiPriority w:val="99"/>
    <w:semiHidden/>
    <w:unhideWhenUsed/>
    <w:rsid w:val="002E1C85"/>
    <w:rPr>
      <w:color w:val="800080" w:themeColor="followedHyperlink"/>
      <w:u w:val="single"/>
    </w:rPr>
  </w:style>
  <w:style w:type="character" w:styleId="Strong">
    <w:name w:val="Strong"/>
    <w:basedOn w:val="DefaultParagraphFont"/>
    <w:uiPriority w:val="22"/>
    <w:qFormat/>
    <w:rsid w:val="002E1C85"/>
    <w:rPr>
      <w:b/>
      <w:bCs/>
    </w:rPr>
  </w:style>
  <w:style w:type="paragraph" w:styleId="EndnoteText">
    <w:name w:val="endnote text"/>
    <w:basedOn w:val="Normal"/>
    <w:link w:val="EndnoteTextChar"/>
    <w:unhideWhenUsed/>
    <w:rsid w:val="002E1C85"/>
    <w:pPr>
      <w:spacing w:after="0" w:line="240" w:lineRule="auto"/>
    </w:pPr>
    <w:rPr>
      <w:sz w:val="20"/>
      <w:szCs w:val="20"/>
    </w:rPr>
  </w:style>
  <w:style w:type="character" w:customStyle="1" w:styleId="EndnoteTextChar">
    <w:name w:val="Endnote Text Char"/>
    <w:basedOn w:val="DefaultParagraphFont"/>
    <w:link w:val="EndnoteText"/>
    <w:rsid w:val="002E1C85"/>
    <w:rPr>
      <w:rFonts w:eastAsia="Batang"/>
      <w:sz w:val="20"/>
      <w:szCs w:val="20"/>
      <w:lang w:val="es-MX"/>
    </w:rPr>
  </w:style>
  <w:style w:type="character" w:styleId="EndnoteReference">
    <w:name w:val="endnote reference"/>
    <w:basedOn w:val="DefaultParagraphFont"/>
    <w:uiPriority w:val="99"/>
    <w:semiHidden/>
    <w:unhideWhenUsed/>
    <w:rsid w:val="002E1C85"/>
    <w:rPr>
      <w:vertAlign w:val="superscript"/>
    </w:rPr>
  </w:style>
  <w:style w:type="paragraph" w:customStyle="1" w:styleId="Default">
    <w:name w:val="Default"/>
    <w:rsid w:val="002E1C85"/>
    <w:pPr>
      <w:autoSpaceDE w:val="0"/>
      <w:autoSpaceDN w:val="0"/>
      <w:adjustRightInd w:val="0"/>
      <w:spacing w:after="0" w:line="240" w:lineRule="auto"/>
    </w:pPr>
    <w:rPr>
      <w:rFonts w:ascii="Verdana" w:hAnsi="Verdana" w:cs="Verdana"/>
      <w:color w:val="000000"/>
      <w:sz w:val="24"/>
      <w:szCs w:val="24"/>
      <w:lang w:val="es-MX"/>
    </w:rPr>
  </w:style>
  <w:style w:type="paragraph" w:styleId="Revision">
    <w:name w:val="Revision"/>
    <w:hidden/>
    <w:uiPriority w:val="99"/>
    <w:semiHidden/>
    <w:rsid w:val="002E1C85"/>
    <w:pPr>
      <w:spacing w:after="0" w:line="240" w:lineRule="auto"/>
    </w:pPr>
    <w:rPr>
      <w:rFonts w:eastAsia="Batang"/>
      <w:lang w:val="es-MX"/>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FootnoteReference"/>
    <w:uiPriority w:val="99"/>
    <w:qFormat/>
    <w:rsid w:val="002E1C85"/>
    <w:pPr>
      <w:spacing w:after="0" w:line="240" w:lineRule="auto"/>
      <w:jc w:val="both"/>
    </w:pPr>
    <w:rPr>
      <w:rFonts w:eastAsiaTheme="minorHAnsi"/>
      <w:vertAlign w:val="superscript"/>
      <w:lang w:val="es-CR"/>
    </w:rPr>
  </w:style>
  <w:style w:type="character" w:customStyle="1" w:styleId="Heading4Char">
    <w:name w:val="Heading 4 Char"/>
    <w:basedOn w:val="DefaultParagraphFont"/>
    <w:link w:val="Heading4"/>
    <w:uiPriority w:val="9"/>
    <w:rsid w:val="00BD5BB5"/>
    <w:rPr>
      <w:rFonts w:ascii="Verdana" w:eastAsia="Batang" w:hAnsi="Verdana"/>
      <w:i/>
      <w:sz w:val="20"/>
      <w:szCs w:val="20"/>
      <w:u w:val="single"/>
      <w:lang w:val="es-MX"/>
    </w:rPr>
  </w:style>
  <w:style w:type="character" w:customStyle="1" w:styleId="Heading5Char">
    <w:name w:val="Heading 5 Char"/>
    <w:basedOn w:val="DefaultParagraphFont"/>
    <w:link w:val="Heading5"/>
    <w:uiPriority w:val="9"/>
    <w:rsid w:val="00BD5BB5"/>
    <w:rPr>
      <w:rFonts w:ascii="Verdana" w:eastAsia="Batang" w:hAnsi="Verdana"/>
      <w:i/>
      <w:sz w:val="20"/>
      <w:szCs w:val="20"/>
      <w:lang w:val="es-MX"/>
    </w:rPr>
  </w:style>
  <w:style w:type="paragraph" w:customStyle="1" w:styleId="BVIfnrCar1CarCarCarCar">
    <w:name w:val="BVI fnr Car1 Car Car Car Car"/>
    <w:aliases w:val="ftref Car Car Car Car Car Car Car Car Car Car,BVI fnr Char Car Car Car Car Car Car Car Car Car Car Car,BVI fnr Char Car Car Car Car Car Car Car Car Car Car Car Car Car"/>
    <w:basedOn w:val="Normal"/>
    <w:rsid w:val="002E1C85"/>
    <w:pPr>
      <w:spacing w:before="200" w:after="160" w:line="240" w:lineRule="exact"/>
      <w:ind w:left="357" w:right="51" w:hanging="357"/>
      <w:jc w:val="both"/>
    </w:pPr>
    <w:rPr>
      <w:rFonts w:eastAsiaTheme="minorHAnsi"/>
      <w:vertAlign w:val="superscript"/>
      <w:lang w:val="es-CR"/>
    </w:rPr>
  </w:style>
  <w:style w:type="character" w:customStyle="1" w:styleId="lblnewsfulltext">
    <w:name w:val="lblnewsfulltext"/>
    <w:basedOn w:val="DefaultParagraphFont"/>
    <w:rsid w:val="002E1C85"/>
  </w:style>
  <w:style w:type="character" w:customStyle="1" w:styleId="ListParagraphChar">
    <w:name w:val="List Paragraph Char"/>
    <w:aliases w:val="List Paragraph1 Char,Colorful List - Accent 11 Char,Párrafo de lista1 Char,List Paragraph2 Char,Lista vistosa - Énfasis 11 Char,Footnote Char"/>
    <w:basedOn w:val="DefaultParagraphFont"/>
    <w:link w:val="ListParagraph"/>
    <w:uiPriority w:val="99"/>
    <w:locked/>
    <w:rsid w:val="002E1C85"/>
    <w:rPr>
      <w:rFonts w:eastAsia="Batang"/>
      <w:lang w:val="es-MX"/>
    </w:rPr>
  </w:style>
  <w:style w:type="character" w:customStyle="1" w:styleId="lblnewstitle">
    <w:name w:val="lblnewstitle"/>
    <w:basedOn w:val="DefaultParagraphFont"/>
    <w:rsid w:val="002E1C85"/>
  </w:style>
  <w:style w:type="character" w:customStyle="1" w:styleId="apple-converted-space">
    <w:name w:val="apple-converted-space"/>
    <w:basedOn w:val="DefaultParagraphFont"/>
    <w:rsid w:val="002E1C85"/>
  </w:style>
  <w:style w:type="paragraph" w:customStyle="1" w:styleId="Style1">
    <w:name w:val="Style1"/>
    <w:basedOn w:val="FootnoteText"/>
    <w:rsid w:val="002E1C85"/>
    <w:pPr>
      <w:ind w:left="357" w:right="51" w:hanging="357"/>
      <w:jc w:val="both"/>
    </w:pPr>
    <w:rPr>
      <w:rFonts w:ascii="Times New Roman" w:eastAsia="Times" w:hAnsi="Times New Roman" w:cs="Times New Roman"/>
      <w:position w:val="6"/>
      <w:sz w:val="18"/>
      <w:lang w:val="es-ES_tradnl" w:bidi="en-US"/>
    </w:rPr>
  </w:style>
  <w:style w:type="paragraph" w:styleId="HTMLPreformatted">
    <w:name w:val="HTML Preformatted"/>
    <w:basedOn w:val="Normal"/>
    <w:link w:val="HTMLPreformattedChar"/>
    <w:uiPriority w:val="99"/>
    <w:unhideWhenUsed/>
    <w:rsid w:val="002E1C85"/>
    <w:pPr>
      <w:spacing w:after="0" w:line="240" w:lineRule="auto"/>
    </w:pPr>
    <w:rPr>
      <w:rFonts w:ascii="Consolas" w:eastAsiaTheme="minorHAnsi" w:hAnsi="Consolas" w:cs="Consolas"/>
      <w:sz w:val="20"/>
      <w:szCs w:val="20"/>
      <w:lang w:val="es-CR"/>
    </w:rPr>
  </w:style>
  <w:style w:type="character" w:customStyle="1" w:styleId="HTMLPreformattedChar">
    <w:name w:val="HTML Preformatted Char"/>
    <w:basedOn w:val="DefaultParagraphFont"/>
    <w:link w:val="HTMLPreformatted"/>
    <w:uiPriority w:val="99"/>
    <w:rsid w:val="002E1C85"/>
    <w:rPr>
      <w:rFonts w:ascii="Consolas" w:hAnsi="Consolas" w:cs="Consolas"/>
      <w:sz w:val="20"/>
      <w:szCs w:val="20"/>
    </w:rPr>
  </w:style>
  <w:style w:type="paragraph" w:customStyle="1" w:styleId="style10">
    <w:name w:val="style1"/>
    <w:basedOn w:val="Normal"/>
    <w:rsid w:val="002E1C85"/>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align-justify">
    <w:name w:val="align-justify"/>
    <w:basedOn w:val="Normal"/>
    <w:rsid w:val="002E1C85"/>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NormalWeb">
    <w:name w:val="Normal (Web)"/>
    <w:basedOn w:val="Normal"/>
    <w:uiPriority w:val="99"/>
    <w:unhideWhenUsed/>
    <w:rsid w:val="002E1C85"/>
    <w:rPr>
      <w:rFonts w:ascii="Times New Roman" w:eastAsiaTheme="minorHAnsi" w:hAnsi="Times New Roman" w:cs="Times New Roman"/>
      <w:sz w:val="24"/>
      <w:szCs w:val="24"/>
    </w:rPr>
  </w:style>
  <w:style w:type="paragraph" w:customStyle="1" w:styleId="Footnotes">
    <w:name w:val="**. Footnotes"/>
    <w:basedOn w:val="FootnoteText"/>
    <w:link w:val="FootnotesChar"/>
    <w:autoRedefine/>
    <w:qFormat/>
    <w:rsid w:val="002E1C85"/>
    <w:pPr>
      <w:widowControl w:val="0"/>
      <w:tabs>
        <w:tab w:val="left" w:pos="567"/>
      </w:tabs>
      <w:spacing w:before="120" w:after="40"/>
      <w:jc w:val="both"/>
    </w:pPr>
    <w:rPr>
      <w:rFonts w:ascii="Verdana" w:hAnsi="Verdana" w:cs="Palatino-Italic"/>
      <w:i/>
      <w:iCs/>
      <w:sz w:val="16"/>
      <w:szCs w:val="16"/>
      <w:lang w:val="en-US"/>
    </w:rPr>
  </w:style>
  <w:style w:type="character" w:customStyle="1" w:styleId="FootnotesChar">
    <w:name w:val="**. Footnotes Char"/>
    <w:basedOn w:val="DefaultParagraphFont"/>
    <w:link w:val="Footnotes"/>
    <w:rsid w:val="002E1C85"/>
    <w:rPr>
      <w:rFonts w:ascii="Verdana" w:eastAsia="Batang" w:hAnsi="Verdana" w:cs="Palatino-Italic"/>
      <w:i/>
      <w:iCs/>
      <w:sz w:val="16"/>
      <w:szCs w:val="16"/>
      <w:lang w:val="en-US"/>
    </w:rPr>
  </w:style>
  <w:style w:type="character" w:customStyle="1" w:styleId="Heading1Char">
    <w:name w:val="Heading 1 Char"/>
    <w:basedOn w:val="DefaultParagraphFont"/>
    <w:link w:val="Heading1"/>
    <w:uiPriority w:val="9"/>
    <w:rsid w:val="00BD5BB5"/>
    <w:rPr>
      <w:rFonts w:ascii="Verdana" w:eastAsia="Batang" w:hAnsi="Verdana"/>
      <w:b/>
      <w:sz w:val="20"/>
      <w:szCs w:val="20"/>
      <w:lang w:val="es-MX"/>
    </w:rPr>
  </w:style>
  <w:style w:type="character" w:customStyle="1" w:styleId="Heading6Char">
    <w:name w:val="Heading 6 Char"/>
    <w:basedOn w:val="DefaultParagraphFont"/>
    <w:link w:val="Heading6"/>
    <w:uiPriority w:val="9"/>
    <w:rsid w:val="00BD5BB5"/>
    <w:rPr>
      <w:rFonts w:ascii="Verdana" w:eastAsia="Batang" w:hAnsi="Verdana"/>
      <w:i/>
      <w:sz w:val="20"/>
      <w:szCs w:val="20"/>
    </w:rPr>
  </w:style>
  <w:style w:type="character" w:customStyle="1" w:styleId="Smbolodenotaalpie">
    <w:name w:val="Símbolo de nota al pie"/>
    <w:rsid w:val="00903628"/>
    <w:rPr>
      <w:rFonts w:cs="Times New Roman"/>
      <w:szCs w:val="20"/>
      <w:vertAlign w:val="superscript"/>
    </w:rPr>
  </w:style>
  <w:style w:type="numbering" w:styleId="111111">
    <w:name w:val="Outline List 2"/>
    <w:basedOn w:val="NoList"/>
    <w:uiPriority w:val="99"/>
    <w:semiHidden/>
    <w:unhideWhenUsed/>
    <w:rsid w:val="009114A1"/>
    <w:pPr>
      <w:numPr>
        <w:numId w:val="28"/>
      </w:numPr>
    </w:pPr>
  </w:style>
  <w:style w:type="character" w:customStyle="1" w:styleId="Estilo1Car">
    <w:name w:val="Estilo1 Car"/>
    <w:link w:val="Estilo1"/>
    <w:locked/>
    <w:rsid w:val="009114A1"/>
    <w:rPr>
      <w:rFonts w:ascii="Verdana" w:hAnsi="Verdana"/>
    </w:rPr>
  </w:style>
  <w:style w:type="paragraph" w:customStyle="1" w:styleId="Estilo1">
    <w:name w:val="Estilo1"/>
    <w:basedOn w:val="Normal"/>
    <w:link w:val="Estilo1Car"/>
    <w:qFormat/>
    <w:rsid w:val="009114A1"/>
    <w:pPr>
      <w:tabs>
        <w:tab w:val="left" w:pos="567"/>
        <w:tab w:val="left" w:pos="1134"/>
        <w:tab w:val="num" w:pos="6042"/>
      </w:tabs>
      <w:spacing w:after="120" w:line="240" w:lineRule="auto"/>
      <w:jc w:val="both"/>
    </w:pPr>
    <w:rPr>
      <w:rFonts w:ascii="Verdana" w:eastAsiaTheme="minorHAnsi" w:hAnsi="Verdana"/>
      <w:lang w:val="es-CR"/>
    </w:rPr>
  </w:style>
  <w:style w:type="character" w:customStyle="1" w:styleId="Caracteresdenotaalpie">
    <w:name w:val="Caracteres de nota al pie"/>
    <w:rsid w:val="009114A1"/>
    <w:rPr>
      <w:vertAlign w:val="superscript"/>
    </w:rPr>
  </w:style>
  <w:style w:type="paragraph" w:customStyle="1" w:styleId="Prrafodelista2">
    <w:name w:val="Párrafo de lista2"/>
    <w:basedOn w:val="Normal"/>
    <w:uiPriority w:val="99"/>
    <w:rsid w:val="009114A1"/>
    <w:pPr>
      <w:spacing w:after="0" w:line="240" w:lineRule="auto"/>
      <w:ind w:left="720"/>
    </w:pPr>
    <w:rPr>
      <w:rFonts w:ascii="Verdana" w:eastAsia="MS Mincho" w:hAnsi="Verdana" w:cs="Times New Roman"/>
      <w:sz w:val="20"/>
      <w:szCs w:val="20"/>
      <w:lang w:val="es-ES_tradnl" w:bidi="en-US"/>
    </w:rPr>
  </w:style>
  <w:style w:type="character" w:customStyle="1" w:styleId="Caracteresdenotafinal">
    <w:name w:val="Caracteres de nota final"/>
    <w:rsid w:val="009114A1"/>
    <w:rPr>
      <w:vertAlign w:val="superscript"/>
    </w:rPr>
  </w:style>
  <w:style w:type="character" w:styleId="LineNumber">
    <w:name w:val="line number"/>
    <w:basedOn w:val="DefaultParagraphFont"/>
    <w:uiPriority w:val="99"/>
    <w:semiHidden/>
    <w:unhideWhenUsed/>
    <w:rsid w:val="009114A1"/>
  </w:style>
  <w:style w:type="character" w:customStyle="1" w:styleId="TextonotapieCar1">
    <w:name w:val="Texto nota pie Car1"/>
    <w:aliases w:val="Footnote Text Char Char Char Char Char Car1,Footnote Text Char Char Char Char Car1,Footnote reference Car1,FA Fu Car1,Footnote Text Char Char Char Car1,Footnote Text Cha Car1,FA Fußnotentext Car1,FA Fuﬂnotentext Car1,Ca Car"/>
    <w:basedOn w:val="DefaultParagraphFont"/>
    <w:locked/>
    <w:rsid w:val="009114A1"/>
    <w:rPr>
      <w:rFonts w:ascii="Verdana" w:eastAsia="MS Mincho" w:hAnsi="Verdana" w:cs="Times"/>
      <w:sz w:val="16"/>
      <w:szCs w:val="24"/>
      <w:lang w:val="es-ES_tradnl"/>
    </w:rPr>
  </w:style>
  <w:style w:type="paragraph" w:styleId="NoSpacing">
    <w:name w:val="No Spacing"/>
    <w:uiPriority w:val="1"/>
    <w:qFormat/>
    <w:rsid w:val="009114A1"/>
    <w:pPr>
      <w:spacing w:after="0" w:line="240" w:lineRule="auto"/>
    </w:pPr>
  </w:style>
  <w:style w:type="paragraph" w:styleId="TOCHeading">
    <w:name w:val="TOC Heading"/>
    <w:basedOn w:val="Heading1"/>
    <w:next w:val="Normal"/>
    <w:uiPriority w:val="39"/>
    <w:unhideWhenUsed/>
    <w:qFormat/>
    <w:rsid w:val="0010164E"/>
    <w:pPr>
      <w:spacing w:line="276" w:lineRule="auto"/>
      <w:outlineLvl w:val="9"/>
    </w:pPr>
    <w:rPr>
      <w:lang w:val="en-US" w:eastAsia="ja-JP"/>
    </w:rPr>
  </w:style>
  <w:style w:type="paragraph" w:styleId="TOC2">
    <w:name w:val="toc 2"/>
    <w:basedOn w:val="Normal"/>
    <w:next w:val="Normal"/>
    <w:autoRedefine/>
    <w:uiPriority w:val="39"/>
    <w:unhideWhenUsed/>
    <w:qFormat/>
    <w:rsid w:val="00E04F76"/>
    <w:pPr>
      <w:spacing w:after="0"/>
      <w:ind w:left="220"/>
    </w:pPr>
    <w:rPr>
      <w:smallCaps/>
      <w:sz w:val="20"/>
      <w:szCs w:val="20"/>
    </w:rPr>
  </w:style>
  <w:style w:type="paragraph" w:styleId="TOC1">
    <w:name w:val="toc 1"/>
    <w:basedOn w:val="Normal"/>
    <w:next w:val="Normal"/>
    <w:autoRedefine/>
    <w:uiPriority w:val="39"/>
    <w:unhideWhenUsed/>
    <w:qFormat/>
    <w:rsid w:val="00892612"/>
    <w:pPr>
      <w:spacing w:before="120" w:after="120"/>
    </w:pPr>
    <w:rPr>
      <w:b/>
      <w:bCs/>
      <w:caps/>
      <w:sz w:val="20"/>
      <w:szCs w:val="20"/>
    </w:rPr>
  </w:style>
  <w:style w:type="paragraph" w:styleId="TOC3">
    <w:name w:val="toc 3"/>
    <w:basedOn w:val="Normal"/>
    <w:next w:val="Normal"/>
    <w:autoRedefine/>
    <w:uiPriority w:val="39"/>
    <w:unhideWhenUsed/>
    <w:qFormat/>
    <w:rsid w:val="00892612"/>
    <w:pPr>
      <w:spacing w:after="0"/>
      <w:ind w:left="440"/>
    </w:pPr>
    <w:rPr>
      <w:i/>
      <w:iCs/>
      <w:sz w:val="20"/>
      <w:szCs w:val="20"/>
    </w:rPr>
  </w:style>
  <w:style w:type="character" w:customStyle="1" w:styleId="Heading7Char">
    <w:name w:val="Heading 7 Char"/>
    <w:basedOn w:val="DefaultParagraphFont"/>
    <w:link w:val="Heading7"/>
    <w:uiPriority w:val="9"/>
    <w:rsid w:val="00AF0775"/>
    <w:rPr>
      <w:rFonts w:ascii="Verdana" w:eastAsia="Batang" w:hAnsi="Verdana"/>
      <w:i/>
      <w:sz w:val="20"/>
      <w:szCs w:val="20"/>
      <w:u w:val="single"/>
      <w:lang w:val="es-AR"/>
    </w:rPr>
  </w:style>
  <w:style w:type="character" w:customStyle="1" w:styleId="Heading8Char">
    <w:name w:val="Heading 8 Char"/>
    <w:basedOn w:val="DefaultParagraphFont"/>
    <w:link w:val="Heading8"/>
    <w:uiPriority w:val="9"/>
    <w:rsid w:val="00AF0775"/>
    <w:rPr>
      <w:rFonts w:ascii="Verdana" w:eastAsia="Batang" w:hAnsi="Verdana" w:cs="Cambria"/>
      <w:i/>
      <w:sz w:val="20"/>
      <w:szCs w:val="20"/>
      <w:lang w:val="es-MX"/>
    </w:rPr>
  </w:style>
  <w:style w:type="character" w:customStyle="1" w:styleId="Heading9Char">
    <w:name w:val="Heading 9 Char"/>
    <w:basedOn w:val="DefaultParagraphFont"/>
    <w:link w:val="Heading9"/>
    <w:uiPriority w:val="9"/>
    <w:rsid w:val="00AF0775"/>
    <w:rPr>
      <w:rFonts w:ascii="Verdana" w:hAnsi="Verdana"/>
      <w:i/>
      <w:sz w:val="20"/>
      <w:szCs w:val="20"/>
      <w:lang w:val="es-MX"/>
    </w:rPr>
  </w:style>
  <w:style w:type="paragraph" w:styleId="Title">
    <w:name w:val="Title"/>
    <w:basedOn w:val="ListParagraph"/>
    <w:next w:val="Normal"/>
    <w:link w:val="TitleChar"/>
    <w:uiPriority w:val="10"/>
    <w:qFormat/>
    <w:rsid w:val="00032F3F"/>
    <w:pPr>
      <w:keepNext/>
      <w:keepLines/>
      <w:widowControl w:val="0"/>
      <w:numPr>
        <w:numId w:val="42"/>
      </w:numPr>
      <w:adjustRightInd w:val="0"/>
      <w:spacing w:before="120" w:after="120" w:line="240" w:lineRule="auto"/>
      <w:jc w:val="both"/>
      <w:textAlignment w:val="baseline"/>
      <w:outlineLvl w:val="1"/>
    </w:pPr>
    <w:rPr>
      <w:rFonts w:ascii="Verdana" w:hAnsi="Verdana"/>
      <w:b/>
      <w:i/>
      <w:sz w:val="20"/>
      <w:szCs w:val="20"/>
    </w:rPr>
  </w:style>
  <w:style w:type="character" w:customStyle="1" w:styleId="TitleChar">
    <w:name w:val="Title Char"/>
    <w:basedOn w:val="DefaultParagraphFont"/>
    <w:link w:val="Title"/>
    <w:uiPriority w:val="10"/>
    <w:rsid w:val="00502E6A"/>
    <w:rPr>
      <w:rFonts w:ascii="Verdana" w:eastAsia="Batang" w:hAnsi="Verdana"/>
      <w:b/>
      <w:i/>
      <w:sz w:val="20"/>
      <w:szCs w:val="20"/>
      <w:lang w:val="es-MX"/>
    </w:rPr>
  </w:style>
  <w:style w:type="paragraph" w:styleId="Subtitle">
    <w:name w:val="Subtitle"/>
    <w:basedOn w:val="Title"/>
    <w:next w:val="Normal"/>
    <w:link w:val="SubtitleChar"/>
    <w:uiPriority w:val="11"/>
    <w:qFormat/>
    <w:rsid w:val="00502E6A"/>
    <w:pPr>
      <w:numPr>
        <w:numId w:val="0"/>
      </w:numPr>
    </w:pPr>
  </w:style>
  <w:style w:type="character" w:customStyle="1" w:styleId="SubtitleChar">
    <w:name w:val="Subtitle Char"/>
    <w:basedOn w:val="DefaultParagraphFont"/>
    <w:link w:val="Subtitle"/>
    <w:uiPriority w:val="11"/>
    <w:rsid w:val="00502E6A"/>
    <w:rPr>
      <w:rFonts w:ascii="Verdana" w:eastAsia="Batang" w:hAnsi="Verdana"/>
      <w:b/>
      <w:i/>
      <w:sz w:val="20"/>
      <w:szCs w:val="20"/>
      <w:lang w:val="es-MX"/>
    </w:rPr>
  </w:style>
  <w:style w:type="character" w:styleId="SubtleEmphasis">
    <w:name w:val="Subtle Emphasis"/>
    <w:uiPriority w:val="19"/>
    <w:qFormat/>
    <w:rsid w:val="001A04CC"/>
  </w:style>
  <w:style w:type="character" w:styleId="Emphasis">
    <w:name w:val="Emphasis"/>
    <w:basedOn w:val="SubtleEmphasis"/>
    <w:uiPriority w:val="20"/>
    <w:qFormat/>
    <w:rsid w:val="001E18B7"/>
  </w:style>
  <w:style w:type="paragraph" w:styleId="TOC5">
    <w:name w:val="toc 5"/>
    <w:basedOn w:val="Normal"/>
    <w:next w:val="Normal"/>
    <w:autoRedefine/>
    <w:uiPriority w:val="39"/>
    <w:unhideWhenUsed/>
    <w:rsid w:val="001E5246"/>
    <w:pPr>
      <w:spacing w:after="0"/>
      <w:ind w:left="880"/>
    </w:pPr>
    <w:rPr>
      <w:sz w:val="18"/>
      <w:szCs w:val="18"/>
    </w:rPr>
  </w:style>
  <w:style w:type="paragraph" w:styleId="TOC6">
    <w:name w:val="toc 6"/>
    <w:basedOn w:val="Normal"/>
    <w:next w:val="Normal"/>
    <w:autoRedefine/>
    <w:uiPriority w:val="39"/>
    <w:unhideWhenUsed/>
    <w:rsid w:val="001E5246"/>
    <w:pPr>
      <w:spacing w:after="0"/>
      <w:ind w:left="1100"/>
    </w:pPr>
    <w:rPr>
      <w:sz w:val="18"/>
      <w:szCs w:val="18"/>
    </w:rPr>
  </w:style>
  <w:style w:type="paragraph" w:styleId="TOC7">
    <w:name w:val="toc 7"/>
    <w:basedOn w:val="Normal"/>
    <w:next w:val="Normal"/>
    <w:autoRedefine/>
    <w:uiPriority w:val="39"/>
    <w:unhideWhenUsed/>
    <w:rsid w:val="001E5246"/>
    <w:pPr>
      <w:spacing w:after="0"/>
      <w:ind w:left="1320"/>
    </w:pPr>
    <w:rPr>
      <w:sz w:val="18"/>
      <w:szCs w:val="18"/>
    </w:rPr>
  </w:style>
  <w:style w:type="paragraph" w:styleId="TOC4">
    <w:name w:val="toc 4"/>
    <w:basedOn w:val="Normal"/>
    <w:next w:val="Normal"/>
    <w:autoRedefine/>
    <w:uiPriority w:val="39"/>
    <w:unhideWhenUsed/>
    <w:rsid w:val="003A72F8"/>
    <w:pPr>
      <w:tabs>
        <w:tab w:val="left" w:pos="1320"/>
        <w:tab w:val="right" w:leader="dot" w:pos="9792"/>
      </w:tabs>
      <w:spacing w:after="0" w:line="240" w:lineRule="auto"/>
      <w:ind w:left="660"/>
      <w:jc w:val="both"/>
    </w:pPr>
    <w:rPr>
      <w:sz w:val="18"/>
      <w:szCs w:val="18"/>
    </w:rPr>
  </w:style>
  <w:style w:type="paragraph" w:styleId="TOC8">
    <w:name w:val="toc 8"/>
    <w:basedOn w:val="Normal"/>
    <w:next w:val="Normal"/>
    <w:autoRedefine/>
    <w:uiPriority w:val="39"/>
    <w:unhideWhenUsed/>
    <w:rsid w:val="00731155"/>
    <w:pPr>
      <w:spacing w:after="0"/>
      <w:ind w:left="1540"/>
    </w:pPr>
    <w:rPr>
      <w:sz w:val="18"/>
      <w:szCs w:val="18"/>
    </w:rPr>
  </w:style>
  <w:style w:type="paragraph" w:styleId="TOC9">
    <w:name w:val="toc 9"/>
    <w:basedOn w:val="Normal"/>
    <w:next w:val="Normal"/>
    <w:autoRedefine/>
    <w:uiPriority w:val="39"/>
    <w:unhideWhenUsed/>
    <w:rsid w:val="00731155"/>
    <w:pPr>
      <w:spacing w:after="0"/>
      <w:ind w:left="1760"/>
    </w:pPr>
    <w:rPr>
      <w:sz w:val="18"/>
      <w:szCs w:val="18"/>
    </w:rPr>
  </w:style>
  <w:style w:type="character" w:customStyle="1" w:styleId="PrrafodeSentenciaChar">
    <w:name w:val="*. Párrafo de Sentencia Char"/>
    <w:link w:val="PrrafodeSentencia"/>
    <w:locked/>
    <w:rsid w:val="003C71F3"/>
    <w:rPr>
      <w:rFonts w:ascii="Verdana" w:eastAsia="Batang" w:hAnsi="Verdana"/>
      <w:spacing w:val="-4"/>
      <w:sz w:val="20"/>
      <w:lang w:eastAsia="es-MX"/>
    </w:rPr>
  </w:style>
  <w:style w:type="paragraph" w:customStyle="1" w:styleId="PrrafodeSentencia">
    <w:name w:val="*. Párrafo de Sentencia"/>
    <w:basedOn w:val="Normal"/>
    <w:next w:val="Normal"/>
    <w:link w:val="PrrafodeSentenciaChar"/>
    <w:qFormat/>
    <w:rsid w:val="003C71F3"/>
    <w:pPr>
      <w:tabs>
        <w:tab w:val="left" w:pos="567"/>
      </w:tabs>
      <w:spacing w:after="0" w:line="240" w:lineRule="auto"/>
      <w:jc w:val="both"/>
    </w:pPr>
    <w:rPr>
      <w:rFonts w:ascii="Verdana" w:hAnsi="Verdana"/>
      <w:spacing w:val="-4"/>
      <w:sz w:val="20"/>
      <w:lang w:val="es-CR" w:eastAsia="es-MX"/>
    </w:rPr>
  </w:style>
  <w:style w:type="table" w:styleId="TableGrid">
    <w:name w:val="Table Grid"/>
    <w:basedOn w:val="TableNormal"/>
    <w:uiPriority w:val="59"/>
    <w:rsid w:val="00E33422"/>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unhideWhenUsed/>
    <w:rsid w:val="008D073B"/>
    <w:pPr>
      <w:spacing w:after="120" w:line="360" w:lineRule="atLeast"/>
      <w:jc w:val="both"/>
    </w:pPr>
    <w:rPr>
      <w:rFonts w:ascii="Verdana" w:eastAsiaTheme="minorHAnsi" w:hAnsi="Verdana" w:cs="Times New Roman"/>
      <w:sz w:val="24"/>
      <w:szCs w:val="24"/>
      <w:lang w:val="es-CR" w:eastAsia="es-CR"/>
    </w:rPr>
  </w:style>
  <w:style w:type="character" w:customStyle="1" w:styleId="BodyTextChar">
    <w:name w:val="Body Text Char"/>
    <w:basedOn w:val="DefaultParagraphFont"/>
    <w:link w:val="BodyText"/>
    <w:uiPriority w:val="99"/>
    <w:rsid w:val="008D073B"/>
    <w:rPr>
      <w:rFonts w:ascii="Verdana" w:hAnsi="Verdana" w:cs="Times New Roman"/>
      <w:sz w:val="24"/>
      <w:szCs w:val="24"/>
      <w:lang w:eastAsia="es-CR"/>
    </w:rPr>
  </w:style>
  <w:style w:type="paragraph" w:customStyle="1" w:styleId="Ttulo61">
    <w:name w:val="Título 61"/>
    <w:basedOn w:val="Normal"/>
    <w:rsid w:val="008D073B"/>
    <w:pPr>
      <w:numPr>
        <w:ilvl w:val="4"/>
        <w:numId w:val="104"/>
      </w:numPr>
      <w:spacing w:after="0" w:line="240" w:lineRule="auto"/>
      <w:ind w:left="0" w:firstLine="0"/>
    </w:pPr>
    <w:rPr>
      <w:rFonts w:ascii="Calibri" w:eastAsiaTheme="minorHAnsi" w:hAnsi="Calibri" w:cs="Times New Roman"/>
      <w:lang w:val="es-C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0" w:qFormat="1"/>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annotation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1C85"/>
    <w:rPr>
      <w:rFonts w:eastAsia="Batang"/>
      <w:lang w:val="es-MX"/>
    </w:rPr>
  </w:style>
  <w:style w:type="paragraph" w:styleId="Heading1">
    <w:name w:val="heading 1"/>
    <w:basedOn w:val="Normal"/>
    <w:next w:val="Normal"/>
    <w:link w:val="Heading1Char"/>
    <w:uiPriority w:val="9"/>
    <w:rsid w:val="00BD5BB5"/>
    <w:pPr>
      <w:spacing w:after="0" w:line="240" w:lineRule="auto"/>
      <w:ind w:right="6"/>
      <w:jc w:val="center"/>
      <w:outlineLvl w:val="0"/>
    </w:pPr>
    <w:rPr>
      <w:rFonts w:ascii="Verdana" w:hAnsi="Verdana"/>
      <w:b/>
      <w:sz w:val="20"/>
      <w:szCs w:val="20"/>
    </w:rPr>
  </w:style>
  <w:style w:type="paragraph" w:styleId="Heading2">
    <w:name w:val="heading 2"/>
    <w:basedOn w:val="Normal"/>
    <w:next w:val="Normal"/>
    <w:link w:val="Heading2Char"/>
    <w:unhideWhenUsed/>
    <w:qFormat/>
    <w:rsid w:val="00BD5BB5"/>
    <w:pPr>
      <w:keepNext/>
      <w:keepLines/>
      <w:widowControl w:val="0"/>
      <w:numPr>
        <w:numId w:val="6"/>
      </w:numPr>
      <w:adjustRightInd w:val="0"/>
      <w:spacing w:after="0" w:line="240" w:lineRule="auto"/>
      <w:jc w:val="both"/>
      <w:textAlignment w:val="baseline"/>
      <w:outlineLvl w:val="1"/>
    </w:pPr>
    <w:rPr>
      <w:rFonts w:ascii="Verdana" w:eastAsia="MS Mincho" w:hAnsi="Verdana" w:cs="Times New Roman"/>
      <w:b/>
      <w:i/>
      <w:sz w:val="20"/>
      <w:szCs w:val="20"/>
      <w:lang w:val="es-CR" w:eastAsia="es-CR"/>
    </w:rPr>
  </w:style>
  <w:style w:type="paragraph" w:styleId="Heading3">
    <w:name w:val="heading 3"/>
    <w:basedOn w:val="ListParagraph"/>
    <w:next w:val="Normal"/>
    <w:link w:val="Heading3Char"/>
    <w:uiPriority w:val="9"/>
    <w:unhideWhenUsed/>
    <w:rsid w:val="00BD5BB5"/>
    <w:pPr>
      <w:numPr>
        <w:numId w:val="1"/>
      </w:numPr>
      <w:tabs>
        <w:tab w:val="left" w:pos="1276"/>
      </w:tabs>
      <w:spacing w:after="0" w:line="240" w:lineRule="auto"/>
      <w:jc w:val="both"/>
      <w:outlineLvl w:val="2"/>
    </w:pPr>
    <w:rPr>
      <w:rFonts w:ascii="Verdana" w:hAnsi="Verdana"/>
      <w:b/>
      <w:i/>
      <w:sz w:val="20"/>
      <w:szCs w:val="20"/>
    </w:rPr>
  </w:style>
  <w:style w:type="paragraph" w:styleId="Heading4">
    <w:name w:val="heading 4"/>
    <w:basedOn w:val="ListParagraph"/>
    <w:next w:val="Normal"/>
    <w:link w:val="Heading4Char"/>
    <w:uiPriority w:val="9"/>
    <w:unhideWhenUsed/>
    <w:rsid w:val="00BD5BB5"/>
    <w:pPr>
      <w:numPr>
        <w:numId w:val="24"/>
      </w:numPr>
      <w:tabs>
        <w:tab w:val="left" w:pos="1418"/>
      </w:tabs>
      <w:spacing w:after="0" w:line="240" w:lineRule="auto"/>
      <w:jc w:val="both"/>
      <w:outlineLvl w:val="3"/>
    </w:pPr>
    <w:rPr>
      <w:rFonts w:ascii="Verdana" w:hAnsi="Verdana"/>
      <w:i/>
      <w:sz w:val="20"/>
      <w:szCs w:val="20"/>
      <w:u w:val="single"/>
    </w:rPr>
  </w:style>
  <w:style w:type="paragraph" w:styleId="Heading5">
    <w:name w:val="heading 5"/>
    <w:basedOn w:val="ListParagraph"/>
    <w:link w:val="Heading5Char"/>
    <w:uiPriority w:val="9"/>
    <w:rsid w:val="00BD5BB5"/>
    <w:pPr>
      <w:numPr>
        <w:ilvl w:val="1"/>
        <w:numId w:val="15"/>
      </w:numPr>
      <w:tabs>
        <w:tab w:val="left" w:pos="1418"/>
      </w:tabs>
      <w:spacing w:after="0" w:line="240" w:lineRule="auto"/>
      <w:jc w:val="both"/>
      <w:outlineLvl w:val="4"/>
    </w:pPr>
    <w:rPr>
      <w:rFonts w:ascii="Verdana" w:hAnsi="Verdana"/>
      <w:i/>
      <w:sz w:val="20"/>
      <w:szCs w:val="20"/>
    </w:rPr>
  </w:style>
  <w:style w:type="paragraph" w:styleId="Heading6">
    <w:name w:val="heading 6"/>
    <w:basedOn w:val="ListParagraph"/>
    <w:next w:val="Normal"/>
    <w:link w:val="Heading6Char"/>
    <w:uiPriority w:val="9"/>
    <w:unhideWhenUsed/>
    <w:rsid w:val="00BD5BB5"/>
    <w:pPr>
      <w:numPr>
        <w:numId w:val="16"/>
      </w:numPr>
      <w:jc w:val="both"/>
      <w:outlineLvl w:val="5"/>
    </w:pPr>
    <w:rPr>
      <w:rFonts w:ascii="Verdana" w:hAnsi="Verdana"/>
      <w:i/>
      <w:sz w:val="20"/>
      <w:szCs w:val="20"/>
      <w:lang w:val="es-CR"/>
    </w:rPr>
  </w:style>
  <w:style w:type="paragraph" w:styleId="Heading7">
    <w:name w:val="heading 7"/>
    <w:basedOn w:val="ListParagraph"/>
    <w:next w:val="Normal"/>
    <w:link w:val="Heading7Char"/>
    <w:uiPriority w:val="9"/>
    <w:unhideWhenUsed/>
    <w:rsid w:val="00AF0775"/>
    <w:pPr>
      <w:numPr>
        <w:numId w:val="17"/>
      </w:numPr>
      <w:spacing w:after="0" w:line="240" w:lineRule="auto"/>
      <w:jc w:val="both"/>
      <w:outlineLvl w:val="6"/>
    </w:pPr>
    <w:rPr>
      <w:rFonts w:ascii="Verdana" w:hAnsi="Verdana"/>
      <w:i/>
      <w:sz w:val="20"/>
      <w:szCs w:val="20"/>
      <w:u w:val="single"/>
      <w:lang w:val="es-AR"/>
    </w:rPr>
  </w:style>
  <w:style w:type="paragraph" w:styleId="Heading8">
    <w:name w:val="heading 8"/>
    <w:basedOn w:val="ListParagraph"/>
    <w:next w:val="Normal"/>
    <w:link w:val="Heading8Char"/>
    <w:uiPriority w:val="9"/>
    <w:unhideWhenUsed/>
    <w:rsid w:val="00AF0775"/>
    <w:pPr>
      <w:numPr>
        <w:numId w:val="25"/>
      </w:numPr>
      <w:spacing w:after="0" w:line="240" w:lineRule="auto"/>
      <w:jc w:val="both"/>
      <w:outlineLvl w:val="7"/>
    </w:pPr>
    <w:rPr>
      <w:rFonts w:ascii="Verdana" w:hAnsi="Verdana" w:cs="Cambria"/>
      <w:i/>
      <w:sz w:val="20"/>
      <w:szCs w:val="20"/>
    </w:rPr>
  </w:style>
  <w:style w:type="paragraph" w:styleId="Heading9">
    <w:name w:val="heading 9"/>
    <w:basedOn w:val="ListParagraph"/>
    <w:next w:val="Normal"/>
    <w:link w:val="Heading9Char"/>
    <w:uiPriority w:val="9"/>
    <w:unhideWhenUsed/>
    <w:rsid w:val="00AF0775"/>
    <w:pPr>
      <w:numPr>
        <w:numId w:val="26"/>
      </w:numPr>
      <w:autoSpaceDE w:val="0"/>
      <w:autoSpaceDN w:val="0"/>
      <w:adjustRightInd w:val="0"/>
      <w:spacing w:after="0" w:line="240" w:lineRule="auto"/>
      <w:jc w:val="both"/>
      <w:outlineLvl w:val="8"/>
    </w:pPr>
    <w:rPr>
      <w:rFonts w:ascii="Verdana" w:eastAsiaTheme="minorHAnsi" w:hAnsi="Verdana"/>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D5BB5"/>
    <w:rPr>
      <w:rFonts w:ascii="Verdana" w:eastAsia="MS Mincho" w:hAnsi="Verdana" w:cs="Times New Roman"/>
      <w:b/>
      <w:i/>
      <w:sz w:val="20"/>
      <w:szCs w:val="20"/>
      <w:lang w:eastAsia="es-CR"/>
    </w:rPr>
  </w:style>
  <w:style w:type="character" w:customStyle="1" w:styleId="Heading3Char">
    <w:name w:val="Heading 3 Char"/>
    <w:basedOn w:val="DefaultParagraphFont"/>
    <w:link w:val="Heading3"/>
    <w:uiPriority w:val="9"/>
    <w:rsid w:val="00BD5BB5"/>
    <w:rPr>
      <w:rFonts w:ascii="Verdana" w:eastAsia="Batang" w:hAnsi="Verdana"/>
      <w:b/>
      <w:i/>
      <w:sz w:val="20"/>
      <w:szCs w:val="20"/>
      <w:lang w:val="es-MX"/>
    </w:rPr>
  </w:style>
  <w:style w:type="paragraph" w:styleId="ListParagraph">
    <w:name w:val="List Paragraph"/>
    <w:aliases w:val="List Paragraph1,Colorful List - Accent 11,Párrafo de lista1,List Paragraph2,Lista vistosa - Énfasis 11,Footnote"/>
    <w:basedOn w:val="Normal"/>
    <w:link w:val="ListParagraphChar"/>
    <w:uiPriority w:val="34"/>
    <w:qFormat/>
    <w:rsid w:val="002E1C85"/>
    <w:pPr>
      <w:ind w:left="720"/>
      <w:contextualSpacing/>
    </w:pPr>
  </w:style>
  <w:style w:type="character" w:styleId="CommentReference">
    <w:name w:val="annotation reference"/>
    <w:basedOn w:val="DefaultParagraphFont"/>
    <w:unhideWhenUsed/>
    <w:rsid w:val="002E1C85"/>
    <w:rPr>
      <w:sz w:val="16"/>
      <w:szCs w:val="16"/>
    </w:rPr>
  </w:style>
  <w:style w:type="paragraph" w:styleId="CommentText">
    <w:name w:val="annotation text"/>
    <w:basedOn w:val="Normal"/>
    <w:link w:val="CommentTextChar"/>
    <w:uiPriority w:val="99"/>
    <w:semiHidden/>
    <w:unhideWhenUsed/>
    <w:rsid w:val="002E1C85"/>
    <w:pPr>
      <w:spacing w:line="240" w:lineRule="auto"/>
    </w:pPr>
    <w:rPr>
      <w:sz w:val="20"/>
      <w:szCs w:val="20"/>
    </w:rPr>
  </w:style>
  <w:style w:type="character" w:customStyle="1" w:styleId="CommentTextChar">
    <w:name w:val="Comment Text Char"/>
    <w:basedOn w:val="DefaultParagraphFont"/>
    <w:link w:val="CommentText"/>
    <w:uiPriority w:val="99"/>
    <w:semiHidden/>
    <w:rsid w:val="002E1C85"/>
    <w:rPr>
      <w:rFonts w:eastAsia="Batang"/>
      <w:sz w:val="20"/>
      <w:szCs w:val="20"/>
      <w:lang w:val="es-MX"/>
    </w:rPr>
  </w:style>
  <w:style w:type="paragraph" w:styleId="BalloonText">
    <w:name w:val="Balloon Text"/>
    <w:basedOn w:val="Normal"/>
    <w:link w:val="BalloonTextChar"/>
    <w:uiPriority w:val="99"/>
    <w:semiHidden/>
    <w:unhideWhenUsed/>
    <w:rsid w:val="002E1C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1C85"/>
    <w:rPr>
      <w:rFonts w:ascii="Tahoma" w:eastAsia="Batang" w:hAnsi="Tahoma" w:cs="Tahoma"/>
      <w:sz w:val="16"/>
      <w:szCs w:val="16"/>
      <w:lang w:val="es-MX"/>
    </w:rPr>
  </w:style>
  <w:style w:type="paragraph" w:styleId="FootnoteText">
    <w:name w:val="footnote text"/>
    <w:aliases w:val="Footnote Text Char Char Char Char Char,Footnote Text Char Char Char Char,Footnote reference,FA Fu,FA Fußnotentext,FA Fu§notentext,FA Fu?notentext,?notentext,Footnote Text Char Char Char,§notentext,FA,Footnote Text Char Char,?notent,ft,C,5"/>
    <w:basedOn w:val="Normal"/>
    <w:link w:val="FootnoteTextChar"/>
    <w:uiPriority w:val="99"/>
    <w:unhideWhenUsed/>
    <w:qFormat/>
    <w:rsid w:val="002E1C85"/>
    <w:pPr>
      <w:spacing w:after="0" w:line="240" w:lineRule="auto"/>
    </w:pPr>
    <w:rPr>
      <w:sz w:val="20"/>
      <w:szCs w:val="20"/>
    </w:rPr>
  </w:style>
  <w:style w:type="character" w:customStyle="1" w:styleId="FootnoteTextChar">
    <w:name w:val="Footnote Text Char"/>
    <w:aliases w:val="Footnote Text Char Char Char Char Char Char,Footnote Text Char Char Char Char Char1,Footnote reference Char,FA Fu Char,FA Fußnotentext Char,FA Fu§notentext Char,FA Fu?notentext Char,?notentext Char,Footnote Text Char Char Char Char1"/>
    <w:basedOn w:val="DefaultParagraphFont"/>
    <w:link w:val="FootnoteText"/>
    <w:uiPriority w:val="99"/>
    <w:qFormat/>
    <w:rsid w:val="002E1C85"/>
    <w:rPr>
      <w:rFonts w:eastAsia="Batang"/>
      <w:sz w:val="20"/>
      <w:szCs w:val="20"/>
      <w:lang w:val="es-MX"/>
    </w:rPr>
  </w:style>
  <w:style w:type="character" w:styleId="FootnoteReference">
    <w:name w:val="footnote reference"/>
    <w:aliases w:val="Appel note de bas de page,Footnotes refss,Footnote number,referencia nota al pie,BVI fnr,f,4_G,16 Point,Superscript 6 Point,Texto nota al pie,Footnote Reference Char3,Footnote Reference Char1 Char,Ref. de nota al,Ref. de nota al pi"/>
    <w:basedOn w:val="DefaultParagraphFont"/>
    <w:link w:val="4GChar"/>
    <w:uiPriority w:val="99"/>
    <w:unhideWhenUsed/>
    <w:qFormat/>
    <w:rsid w:val="002E1C85"/>
    <w:rPr>
      <w:vertAlign w:val="superscript"/>
    </w:rPr>
  </w:style>
  <w:style w:type="character" w:styleId="Hyperlink">
    <w:name w:val="Hyperlink"/>
    <w:basedOn w:val="DefaultParagraphFont"/>
    <w:uiPriority w:val="99"/>
    <w:unhideWhenUsed/>
    <w:rsid w:val="002E1C85"/>
    <w:rPr>
      <w:color w:val="0000FF"/>
      <w:u w:val="single"/>
    </w:rPr>
  </w:style>
  <w:style w:type="paragraph" w:styleId="CommentSubject">
    <w:name w:val="annotation subject"/>
    <w:basedOn w:val="CommentText"/>
    <w:next w:val="CommentText"/>
    <w:link w:val="CommentSubjectChar"/>
    <w:uiPriority w:val="99"/>
    <w:semiHidden/>
    <w:unhideWhenUsed/>
    <w:rsid w:val="002E1C85"/>
    <w:rPr>
      <w:b/>
      <w:bCs/>
    </w:rPr>
  </w:style>
  <w:style w:type="character" w:customStyle="1" w:styleId="CommentSubjectChar">
    <w:name w:val="Comment Subject Char"/>
    <w:basedOn w:val="CommentTextChar"/>
    <w:link w:val="CommentSubject"/>
    <w:uiPriority w:val="99"/>
    <w:semiHidden/>
    <w:rsid w:val="002E1C85"/>
    <w:rPr>
      <w:rFonts w:eastAsia="Batang"/>
      <w:b/>
      <w:bCs/>
      <w:sz w:val="20"/>
      <w:szCs w:val="20"/>
      <w:lang w:val="es-MX"/>
    </w:rPr>
  </w:style>
  <w:style w:type="paragraph" w:styleId="Header">
    <w:name w:val="header"/>
    <w:basedOn w:val="Normal"/>
    <w:link w:val="HeaderChar"/>
    <w:uiPriority w:val="99"/>
    <w:unhideWhenUsed/>
    <w:rsid w:val="002E1C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1C85"/>
    <w:rPr>
      <w:rFonts w:eastAsia="Batang"/>
      <w:lang w:val="es-MX"/>
    </w:rPr>
  </w:style>
  <w:style w:type="paragraph" w:styleId="Footer">
    <w:name w:val="footer"/>
    <w:basedOn w:val="Normal"/>
    <w:link w:val="FooterChar"/>
    <w:uiPriority w:val="99"/>
    <w:unhideWhenUsed/>
    <w:rsid w:val="002E1C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1C85"/>
    <w:rPr>
      <w:rFonts w:eastAsia="Batang"/>
      <w:lang w:val="es-MX"/>
    </w:rPr>
  </w:style>
  <w:style w:type="character" w:styleId="FollowedHyperlink">
    <w:name w:val="FollowedHyperlink"/>
    <w:basedOn w:val="DefaultParagraphFont"/>
    <w:uiPriority w:val="99"/>
    <w:semiHidden/>
    <w:unhideWhenUsed/>
    <w:rsid w:val="002E1C85"/>
    <w:rPr>
      <w:color w:val="800080" w:themeColor="followedHyperlink"/>
      <w:u w:val="single"/>
    </w:rPr>
  </w:style>
  <w:style w:type="character" w:styleId="Strong">
    <w:name w:val="Strong"/>
    <w:basedOn w:val="DefaultParagraphFont"/>
    <w:uiPriority w:val="22"/>
    <w:qFormat/>
    <w:rsid w:val="002E1C85"/>
    <w:rPr>
      <w:b/>
      <w:bCs/>
    </w:rPr>
  </w:style>
  <w:style w:type="paragraph" w:styleId="EndnoteText">
    <w:name w:val="endnote text"/>
    <w:basedOn w:val="Normal"/>
    <w:link w:val="EndnoteTextChar"/>
    <w:unhideWhenUsed/>
    <w:rsid w:val="002E1C85"/>
    <w:pPr>
      <w:spacing w:after="0" w:line="240" w:lineRule="auto"/>
    </w:pPr>
    <w:rPr>
      <w:sz w:val="20"/>
      <w:szCs w:val="20"/>
    </w:rPr>
  </w:style>
  <w:style w:type="character" w:customStyle="1" w:styleId="EndnoteTextChar">
    <w:name w:val="Endnote Text Char"/>
    <w:basedOn w:val="DefaultParagraphFont"/>
    <w:link w:val="EndnoteText"/>
    <w:rsid w:val="002E1C85"/>
    <w:rPr>
      <w:rFonts w:eastAsia="Batang"/>
      <w:sz w:val="20"/>
      <w:szCs w:val="20"/>
      <w:lang w:val="es-MX"/>
    </w:rPr>
  </w:style>
  <w:style w:type="character" w:styleId="EndnoteReference">
    <w:name w:val="endnote reference"/>
    <w:basedOn w:val="DefaultParagraphFont"/>
    <w:uiPriority w:val="99"/>
    <w:semiHidden/>
    <w:unhideWhenUsed/>
    <w:rsid w:val="002E1C85"/>
    <w:rPr>
      <w:vertAlign w:val="superscript"/>
    </w:rPr>
  </w:style>
  <w:style w:type="paragraph" w:customStyle="1" w:styleId="Default">
    <w:name w:val="Default"/>
    <w:rsid w:val="002E1C85"/>
    <w:pPr>
      <w:autoSpaceDE w:val="0"/>
      <w:autoSpaceDN w:val="0"/>
      <w:adjustRightInd w:val="0"/>
      <w:spacing w:after="0" w:line="240" w:lineRule="auto"/>
    </w:pPr>
    <w:rPr>
      <w:rFonts w:ascii="Verdana" w:hAnsi="Verdana" w:cs="Verdana"/>
      <w:color w:val="000000"/>
      <w:sz w:val="24"/>
      <w:szCs w:val="24"/>
      <w:lang w:val="es-MX"/>
    </w:rPr>
  </w:style>
  <w:style w:type="paragraph" w:styleId="Revision">
    <w:name w:val="Revision"/>
    <w:hidden/>
    <w:uiPriority w:val="99"/>
    <w:semiHidden/>
    <w:rsid w:val="002E1C85"/>
    <w:pPr>
      <w:spacing w:after="0" w:line="240" w:lineRule="auto"/>
    </w:pPr>
    <w:rPr>
      <w:rFonts w:eastAsia="Batang"/>
      <w:lang w:val="es-MX"/>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FootnoteReference"/>
    <w:uiPriority w:val="99"/>
    <w:qFormat/>
    <w:rsid w:val="002E1C85"/>
    <w:pPr>
      <w:spacing w:after="0" w:line="240" w:lineRule="auto"/>
      <w:jc w:val="both"/>
    </w:pPr>
    <w:rPr>
      <w:rFonts w:eastAsiaTheme="minorHAnsi"/>
      <w:vertAlign w:val="superscript"/>
      <w:lang w:val="es-CR"/>
    </w:rPr>
  </w:style>
  <w:style w:type="character" w:customStyle="1" w:styleId="Heading4Char">
    <w:name w:val="Heading 4 Char"/>
    <w:basedOn w:val="DefaultParagraphFont"/>
    <w:link w:val="Heading4"/>
    <w:uiPriority w:val="9"/>
    <w:rsid w:val="00BD5BB5"/>
    <w:rPr>
      <w:rFonts w:ascii="Verdana" w:eastAsia="Batang" w:hAnsi="Verdana"/>
      <w:i/>
      <w:sz w:val="20"/>
      <w:szCs w:val="20"/>
      <w:u w:val="single"/>
      <w:lang w:val="es-MX"/>
    </w:rPr>
  </w:style>
  <w:style w:type="character" w:customStyle="1" w:styleId="Heading5Char">
    <w:name w:val="Heading 5 Char"/>
    <w:basedOn w:val="DefaultParagraphFont"/>
    <w:link w:val="Heading5"/>
    <w:uiPriority w:val="9"/>
    <w:rsid w:val="00BD5BB5"/>
    <w:rPr>
      <w:rFonts w:ascii="Verdana" w:eastAsia="Batang" w:hAnsi="Verdana"/>
      <w:i/>
      <w:sz w:val="20"/>
      <w:szCs w:val="20"/>
      <w:lang w:val="es-MX"/>
    </w:rPr>
  </w:style>
  <w:style w:type="paragraph" w:customStyle="1" w:styleId="BVIfnrCar1CarCarCarCar">
    <w:name w:val="BVI fnr Car1 Car Car Car Car"/>
    <w:aliases w:val="ftref Car Car Car Car Car Car Car Car Car Car,BVI fnr Char Car Car Car Car Car Car Car Car Car Car Car,BVI fnr Char Car Car Car Car Car Car Car Car Car Car Car Car Car"/>
    <w:basedOn w:val="Normal"/>
    <w:rsid w:val="002E1C85"/>
    <w:pPr>
      <w:spacing w:before="200" w:after="160" w:line="240" w:lineRule="exact"/>
      <w:ind w:left="357" w:right="51" w:hanging="357"/>
      <w:jc w:val="both"/>
    </w:pPr>
    <w:rPr>
      <w:rFonts w:eastAsiaTheme="minorHAnsi"/>
      <w:vertAlign w:val="superscript"/>
      <w:lang w:val="es-CR"/>
    </w:rPr>
  </w:style>
  <w:style w:type="character" w:customStyle="1" w:styleId="lblnewsfulltext">
    <w:name w:val="lblnewsfulltext"/>
    <w:basedOn w:val="DefaultParagraphFont"/>
    <w:rsid w:val="002E1C85"/>
  </w:style>
  <w:style w:type="character" w:customStyle="1" w:styleId="ListParagraphChar">
    <w:name w:val="List Paragraph Char"/>
    <w:aliases w:val="List Paragraph1 Char,Colorful List - Accent 11 Char,Párrafo de lista1 Char,List Paragraph2 Char,Lista vistosa - Énfasis 11 Char,Footnote Char"/>
    <w:basedOn w:val="DefaultParagraphFont"/>
    <w:link w:val="ListParagraph"/>
    <w:uiPriority w:val="99"/>
    <w:locked/>
    <w:rsid w:val="002E1C85"/>
    <w:rPr>
      <w:rFonts w:eastAsia="Batang"/>
      <w:lang w:val="es-MX"/>
    </w:rPr>
  </w:style>
  <w:style w:type="character" w:customStyle="1" w:styleId="lblnewstitle">
    <w:name w:val="lblnewstitle"/>
    <w:basedOn w:val="DefaultParagraphFont"/>
    <w:rsid w:val="002E1C85"/>
  </w:style>
  <w:style w:type="character" w:customStyle="1" w:styleId="apple-converted-space">
    <w:name w:val="apple-converted-space"/>
    <w:basedOn w:val="DefaultParagraphFont"/>
    <w:rsid w:val="002E1C85"/>
  </w:style>
  <w:style w:type="paragraph" w:customStyle="1" w:styleId="Style1">
    <w:name w:val="Style1"/>
    <w:basedOn w:val="FootnoteText"/>
    <w:rsid w:val="002E1C85"/>
    <w:pPr>
      <w:ind w:left="357" w:right="51" w:hanging="357"/>
      <w:jc w:val="both"/>
    </w:pPr>
    <w:rPr>
      <w:rFonts w:ascii="Times New Roman" w:eastAsia="Times" w:hAnsi="Times New Roman" w:cs="Times New Roman"/>
      <w:position w:val="6"/>
      <w:sz w:val="18"/>
      <w:lang w:val="es-ES_tradnl" w:bidi="en-US"/>
    </w:rPr>
  </w:style>
  <w:style w:type="paragraph" w:styleId="HTMLPreformatted">
    <w:name w:val="HTML Preformatted"/>
    <w:basedOn w:val="Normal"/>
    <w:link w:val="HTMLPreformattedChar"/>
    <w:uiPriority w:val="99"/>
    <w:unhideWhenUsed/>
    <w:rsid w:val="002E1C85"/>
    <w:pPr>
      <w:spacing w:after="0" w:line="240" w:lineRule="auto"/>
    </w:pPr>
    <w:rPr>
      <w:rFonts w:ascii="Consolas" w:eastAsiaTheme="minorHAnsi" w:hAnsi="Consolas" w:cs="Consolas"/>
      <w:sz w:val="20"/>
      <w:szCs w:val="20"/>
      <w:lang w:val="es-CR"/>
    </w:rPr>
  </w:style>
  <w:style w:type="character" w:customStyle="1" w:styleId="HTMLPreformattedChar">
    <w:name w:val="HTML Preformatted Char"/>
    <w:basedOn w:val="DefaultParagraphFont"/>
    <w:link w:val="HTMLPreformatted"/>
    <w:uiPriority w:val="99"/>
    <w:rsid w:val="002E1C85"/>
    <w:rPr>
      <w:rFonts w:ascii="Consolas" w:hAnsi="Consolas" w:cs="Consolas"/>
      <w:sz w:val="20"/>
      <w:szCs w:val="20"/>
    </w:rPr>
  </w:style>
  <w:style w:type="paragraph" w:customStyle="1" w:styleId="style10">
    <w:name w:val="style1"/>
    <w:basedOn w:val="Normal"/>
    <w:rsid w:val="002E1C85"/>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align-justify">
    <w:name w:val="align-justify"/>
    <w:basedOn w:val="Normal"/>
    <w:rsid w:val="002E1C85"/>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NormalWeb">
    <w:name w:val="Normal (Web)"/>
    <w:basedOn w:val="Normal"/>
    <w:uiPriority w:val="99"/>
    <w:unhideWhenUsed/>
    <w:rsid w:val="002E1C85"/>
    <w:rPr>
      <w:rFonts w:ascii="Times New Roman" w:eastAsiaTheme="minorHAnsi" w:hAnsi="Times New Roman" w:cs="Times New Roman"/>
      <w:sz w:val="24"/>
      <w:szCs w:val="24"/>
    </w:rPr>
  </w:style>
  <w:style w:type="paragraph" w:customStyle="1" w:styleId="Footnotes">
    <w:name w:val="**. Footnotes"/>
    <w:basedOn w:val="FootnoteText"/>
    <w:link w:val="FootnotesChar"/>
    <w:autoRedefine/>
    <w:qFormat/>
    <w:rsid w:val="002E1C85"/>
    <w:pPr>
      <w:widowControl w:val="0"/>
      <w:tabs>
        <w:tab w:val="left" w:pos="567"/>
      </w:tabs>
      <w:spacing w:before="120" w:after="40"/>
      <w:jc w:val="both"/>
    </w:pPr>
    <w:rPr>
      <w:rFonts w:ascii="Verdana" w:hAnsi="Verdana" w:cs="Palatino-Italic"/>
      <w:i/>
      <w:iCs/>
      <w:sz w:val="16"/>
      <w:szCs w:val="16"/>
      <w:lang w:val="en-US"/>
    </w:rPr>
  </w:style>
  <w:style w:type="character" w:customStyle="1" w:styleId="FootnotesChar">
    <w:name w:val="**. Footnotes Char"/>
    <w:basedOn w:val="DefaultParagraphFont"/>
    <w:link w:val="Footnotes"/>
    <w:rsid w:val="002E1C85"/>
    <w:rPr>
      <w:rFonts w:ascii="Verdana" w:eastAsia="Batang" w:hAnsi="Verdana" w:cs="Palatino-Italic"/>
      <w:i/>
      <w:iCs/>
      <w:sz w:val="16"/>
      <w:szCs w:val="16"/>
      <w:lang w:val="en-US"/>
    </w:rPr>
  </w:style>
  <w:style w:type="character" w:customStyle="1" w:styleId="Heading1Char">
    <w:name w:val="Heading 1 Char"/>
    <w:basedOn w:val="DefaultParagraphFont"/>
    <w:link w:val="Heading1"/>
    <w:uiPriority w:val="9"/>
    <w:rsid w:val="00BD5BB5"/>
    <w:rPr>
      <w:rFonts w:ascii="Verdana" w:eastAsia="Batang" w:hAnsi="Verdana"/>
      <w:b/>
      <w:sz w:val="20"/>
      <w:szCs w:val="20"/>
      <w:lang w:val="es-MX"/>
    </w:rPr>
  </w:style>
  <w:style w:type="character" w:customStyle="1" w:styleId="Heading6Char">
    <w:name w:val="Heading 6 Char"/>
    <w:basedOn w:val="DefaultParagraphFont"/>
    <w:link w:val="Heading6"/>
    <w:uiPriority w:val="9"/>
    <w:rsid w:val="00BD5BB5"/>
    <w:rPr>
      <w:rFonts w:ascii="Verdana" w:eastAsia="Batang" w:hAnsi="Verdana"/>
      <w:i/>
      <w:sz w:val="20"/>
      <w:szCs w:val="20"/>
    </w:rPr>
  </w:style>
  <w:style w:type="character" w:customStyle="1" w:styleId="Smbolodenotaalpie">
    <w:name w:val="Símbolo de nota al pie"/>
    <w:rsid w:val="00903628"/>
    <w:rPr>
      <w:rFonts w:cs="Times New Roman"/>
      <w:szCs w:val="20"/>
      <w:vertAlign w:val="superscript"/>
    </w:rPr>
  </w:style>
  <w:style w:type="numbering" w:styleId="111111">
    <w:name w:val="Outline List 2"/>
    <w:basedOn w:val="NoList"/>
    <w:uiPriority w:val="99"/>
    <w:semiHidden/>
    <w:unhideWhenUsed/>
    <w:rsid w:val="009114A1"/>
    <w:pPr>
      <w:numPr>
        <w:numId w:val="28"/>
      </w:numPr>
    </w:pPr>
  </w:style>
  <w:style w:type="character" w:customStyle="1" w:styleId="Estilo1Car">
    <w:name w:val="Estilo1 Car"/>
    <w:link w:val="Estilo1"/>
    <w:locked/>
    <w:rsid w:val="009114A1"/>
    <w:rPr>
      <w:rFonts w:ascii="Verdana" w:hAnsi="Verdana"/>
    </w:rPr>
  </w:style>
  <w:style w:type="paragraph" w:customStyle="1" w:styleId="Estilo1">
    <w:name w:val="Estilo1"/>
    <w:basedOn w:val="Normal"/>
    <w:link w:val="Estilo1Car"/>
    <w:qFormat/>
    <w:rsid w:val="009114A1"/>
    <w:pPr>
      <w:tabs>
        <w:tab w:val="left" w:pos="567"/>
        <w:tab w:val="left" w:pos="1134"/>
        <w:tab w:val="num" w:pos="6042"/>
      </w:tabs>
      <w:spacing w:after="120" w:line="240" w:lineRule="auto"/>
      <w:jc w:val="both"/>
    </w:pPr>
    <w:rPr>
      <w:rFonts w:ascii="Verdana" w:eastAsiaTheme="minorHAnsi" w:hAnsi="Verdana"/>
      <w:lang w:val="es-CR"/>
    </w:rPr>
  </w:style>
  <w:style w:type="character" w:customStyle="1" w:styleId="Caracteresdenotaalpie">
    <w:name w:val="Caracteres de nota al pie"/>
    <w:rsid w:val="009114A1"/>
    <w:rPr>
      <w:vertAlign w:val="superscript"/>
    </w:rPr>
  </w:style>
  <w:style w:type="paragraph" w:customStyle="1" w:styleId="Prrafodelista2">
    <w:name w:val="Párrafo de lista2"/>
    <w:basedOn w:val="Normal"/>
    <w:uiPriority w:val="99"/>
    <w:rsid w:val="009114A1"/>
    <w:pPr>
      <w:spacing w:after="0" w:line="240" w:lineRule="auto"/>
      <w:ind w:left="720"/>
    </w:pPr>
    <w:rPr>
      <w:rFonts w:ascii="Verdana" w:eastAsia="MS Mincho" w:hAnsi="Verdana" w:cs="Times New Roman"/>
      <w:sz w:val="20"/>
      <w:szCs w:val="20"/>
      <w:lang w:val="es-ES_tradnl" w:bidi="en-US"/>
    </w:rPr>
  </w:style>
  <w:style w:type="character" w:customStyle="1" w:styleId="Caracteresdenotafinal">
    <w:name w:val="Caracteres de nota final"/>
    <w:rsid w:val="009114A1"/>
    <w:rPr>
      <w:vertAlign w:val="superscript"/>
    </w:rPr>
  </w:style>
  <w:style w:type="character" w:styleId="LineNumber">
    <w:name w:val="line number"/>
    <w:basedOn w:val="DefaultParagraphFont"/>
    <w:uiPriority w:val="99"/>
    <w:semiHidden/>
    <w:unhideWhenUsed/>
    <w:rsid w:val="009114A1"/>
  </w:style>
  <w:style w:type="character" w:customStyle="1" w:styleId="TextonotapieCar1">
    <w:name w:val="Texto nota pie Car1"/>
    <w:aliases w:val="Footnote Text Char Char Char Char Char Car1,Footnote Text Char Char Char Char Car1,Footnote reference Car1,FA Fu Car1,Footnote Text Char Char Char Car1,Footnote Text Cha Car1,FA Fußnotentext Car1,FA Fuﬂnotentext Car1,Ca Car"/>
    <w:basedOn w:val="DefaultParagraphFont"/>
    <w:locked/>
    <w:rsid w:val="009114A1"/>
    <w:rPr>
      <w:rFonts w:ascii="Verdana" w:eastAsia="MS Mincho" w:hAnsi="Verdana" w:cs="Times"/>
      <w:sz w:val="16"/>
      <w:szCs w:val="24"/>
      <w:lang w:val="es-ES_tradnl"/>
    </w:rPr>
  </w:style>
  <w:style w:type="paragraph" w:styleId="NoSpacing">
    <w:name w:val="No Spacing"/>
    <w:uiPriority w:val="1"/>
    <w:qFormat/>
    <w:rsid w:val="009114A1"/>
    <w:pPr>
      <w:spacing w:after="0" w:line="240" w:lineRule="auto"/>
    </w:pPr>
  </w:style>
  <w:style w:type="paragraph" w:styleId="TOCHeading">
    <w:name w:val="TOC Heading"/>
    <w:basedOn w:val="Heading1"/>
    <w:next w:val="Normal"/>
    <w:uiPriority w:val="39"/>
    <w:unhideWhenUsed/>
    <w:qFormat/>
    <w:rsid w:val="0010164E"/>
    <w:pPr>
      <w:spacing w:line="276" w:lineRule="auto"/>
      <w:outlineLvl w:val="9"/>
    </w:pPr>
    <w:rPr>
      <w:lang w:val="en-US" w:eastAsia="ja-JP"/>
    </w:rPr>
  </w:style>
  <w:style w:type="paragraph" w:styleId="TOC2">
    <w:name w:val="toc 2"/>
    <w:basedOn w:val="Normal"/>
    <w:next w:val="Normal"/>
    <w:autoRedefine/>
    <w:uiPriority w:val="39"/>
    <w:unhideWhenUsed/>
    <w:qFormat/>
    <w:rsid w:val="00E04F76"/>
    <w:pPr>
      <w:spacing w:after="0"/>
      <w:ind w:left="220"/>
    </w:pPr>
    <w:rPr>
      <w:smallCaps/>
      <w:sz w:val="20"/>
      <w:szCs w:val="20"/>
    </w:rPr>
  </w:style>
  <w:style w:type="paragraph" w:styleId="TOC1">
    <w:name w:val="toc 1"/>
    <w:basedOn w:val="Normal"/>
    <w:next w:val="Normal"/>
    <w:autoRedefine/>
    <w:uiPriority w:val="39"/>
    <w:unhideWhenUsed/>
    <w:qFormat/>
    <w:rsid w:val="00892612"/>
    <w:pPr>
      <w:spacing w:before="120" w:after="120"/>
    </w:pPr>
    <w:rPr>
      <w:b/>
      <w:bCs/>
      <w:caps/>
      <w:sz w:val="20"/>
      <w:szCs w:val="20"/>
    </w:rPr>
  </w:style>
  <w:style w:type="paragraph" w:styleId="TOC3">
    <w:name w:val="toc 3"/>
    <w:basedOn w:val="Normal"/>
    <w:next w:val="Normal"/>
    <w:autoRedefine/>
    <w:uiPriority w:val="39"/>
    <w:unhideWhenUsed/>
    <w:qFormat/>
    <w:rsid w:val="00892612"/>
    <w:pPr>
      <w:spacing w:after="0"/>
      <w:ind w:left="440"/>
    </w:pPr>
    <w:rPr>
      <w:i/>
      <w:iCs/>
      <w:sz w:val="20"/>
      <w:szCs w:val="20"/>
    </w:rPr>
  </w:style>
  <w:style w:type="character" w:customStyle="1" w:styleId="Heading7Char">
    <w:name w:val="Heading 7 Char"/>
    <w:basedOn w:val="DefaultParagraphFont"/>
    <w:link w:val="Heading7"/>
    <w:uiPriority w:val="9"/>
    <w:rsid w:val="00AF0775"/>
    <w:rPr>
      <w:rFonts w:ascii="Verdana" w:eastAsia="Batang" w:hAnsi="Verdana"/>
      <w:i/>
      <w:sz w:val="20"/>
      <w:szCs w:val="20"/>
      <w:u w:val="single"/>
      <w:lang w:val="es-AR"/>
    </w:rPr>
  </w:style>
  <w:style w:type="character" w:customStyle="1" w:styleId="Heading8Char">
    <w:name w:val="Heading 8 Char"/>
    <w:basedOn w:val="DefaultParagraphFont"/>
    <w:link w:val="Heading8"/>
    <w:uiPriority w:val="9"/>
    <w:rsid w:val="00AF0775"/>
    <w:rPr>
      <w:rFonts w:ascii="Verdana" w:eastAsia="Batang" w:hAnsi="Verdana" w:cs="Cambria"/>
      <w:i/>
      <w:sz w:val="20"/>
      <w:szCs w:val="20"/>
      <w:lang w:val="es-MX"/>
    </w:rPr>
  </w:style>
  <w:style w:type="character" w:customStyle="1" w:styleId="Heading9Char">
    <w:name w:val="Heading 9 Char"/>
    <w:basedOn w:val="DefaultParagraphFont"/>
    <w:link w:val="Heading9"/>
    <w:uiPriority w:val="9"/>
    <w:rsid w:val="00AF0775"/>
    <w:rPr>
      <w:rFonts w:ascii="Verdana" w:hAnsi="Verdana"/>
      <w:i/>
      <w:sz w:val="20"/>
      <w:szCs w:val="20"/>
      <w:lang w:val="es-MX"/>
    </w:rPr>
  </w:style>
  <w:style w:type="paragraph" w:styleId="Title">
    <w:name w:val="Title"/>
    <w:basedOn w:val="ListParagraph"/>
    <w:next w:val="Normal"/>
    <w:link w:val="TitleChar"/>
    <w:uiPriority w:val="10"/>
    <w:qFormat/>
    <w:rsid w:val="00032F3F"/>
    <w:pPr>
      <w:keepNext/>
      <w:keepLines/>
      <w:widowControl w:val="0"/>
      <w:numPr>
        <w:numId w:val="42"/>
      </w:numPr>
      <w:adjustRightInd w:val="0"/>
      <w:spacing w:before="120" w:after="120" w:line="240" w:lineRule="auto"/>
      <w:jc w:val="both"/>
      <w:textAlignment w:val="baseline"/>
      <w:outlineLvl w:val="1"/>
    </w:pPr>
    <w:rPr>
      <w:rFonts w:ascii="Verdana" w:hAnsi="Verdana"/>
      <w:b/>
      <w:i/>
      <w:sz w:val="20"/>
      <w:szCs w:val="20"/>
    </w:rPr>
  </w:style>
  <w:style w:type="character" w:customStyle="1" w:styleId="TitleChar">
    <w:name w:val="Title Char"/>
    <w:basedOn w:val="DefaultParagraphFont"/>
    <w:link w:val="Title"/>
    <w:uiPriority w:val="10"/>
    <w:rsid w:val="00502E6A"/>
    <w:rPr>
      <w:rFonts w:ascii="Verdana" w:eastAsia="Batang" w:hAnsi="Verdana"/>
      <w:b/>
      <w:i/>
      <w:sz w:val="20"/>
      <w:szCs w:val="20"/>
      <w:lang w:val="es-MX"/>
    </w:rPr>
  </w:style>
  <w:style w:type="paragraph" w:styleId="Subtitle">
    <w:name w:val="Subtitle"/>
    <w:basedOn w:val="Title"/>
    <w:next w:val="Normal"/>
    <w:link w:val="SubtitleChar"/>
    <w:uiPriority w:val="11"/>
    <w:qFormat/>
    <w:rsid w:val="00502E6A"/>
    <w:pPr>
      <w:numPr>
        <w:numId w:val="0"/>
      </w:numPr>
    </w:pPr>
  </w:style>
  <w:style w:type="character" w:customStyle="1" w:styleId="SubtitleChar">
    <w:name w:val="Subtitle Char"/>
    <w:basedOn w:val="DefaultParagraphFont"/>
    <w:link w:val="Subtitle"/>
    <w:uiPriority w:val="11"/>
    <w:rsid w:val="00502E6A"/>
    <w:rPr>
      <w:rFonts w:ascii="Verdana" w:eastAsia="Batang" w:hAnsi="Verdana"/>
      <w:b/>
      <w:i/>
      <w:sz w:val="20"/>
      <w:szCs w:val="20"/>
      <w:lang w:val="es-MX"/>
    </w:rPr>
  </w:style>
  <w:style w:type="character" w:styleId="SubtleEmphasis">
    <w:name w:val="Subtle Emphasis"/>
    <w:uiPriority w:val="19"/>
    <w:qFormat/>
    <w:rsid w:val="001A04CC"/>
  </w:style>
  <w:style w:type="character" w:styleId="Emphasis">
    <w:name w:val="Emphasis"/>
    <w:basedOn w:val="SubtleEmphasis"/>
    <w:uiPriority w:val="20"/>
    <w:qFormat/>
    <w:rsid w:val="001E18B7"/>
  </w:style>
  <w:style w:type="paragraph" w:styleId="TOC5">
    <w:name w:val="toc 5"/>
    <w:basedOn w:val="Normal"/>
    <w:next w:val="Normal"/>
    <w:autoRedefine/>
    <w:uiPriority w:val="39"/>
    <w:unhideWhenUsed/>
    <w:rsid w:val="001E5246"/>
    <w:pPr>
      <w:spacing w:after="0"/>
      <w:ind w:left="880"/>
    </w:pPr>
    <w:rPr>
      <w:sz w:val="18"/>
      <w:szCs w:val="18"/>
    </w:rPr>
  </w:style>
  <w:style w:type="paragraph" w:styleId="TOC6">
    <w:name w:val="toc 6"/>
    <w:basedOn w:val="Normal"/>
    <w:next w:val="Normal"/>
    <w:autoRedefine/>
    <w:uiPriority w:val="39"/>
    <w:unhideWhenUsed/>
    <w:rsid w:val="001E5246"/>
    <w:pPr>
      <w:spacing w:after="0"/>
      <w:ind w:left="1100"/>
    </w:pPr>
    <w:rPr>
      <w:sz w:val="18"/>
      <w:szCs w:val="18"/>
    </w:rPr>
  </w:style>
  <w:style w:type="paragraph" w:styleId="TOC7">
    <w:name w:val="toc 7"/>
    <w:basedOn w:val="Normal"/>
    <w:next w:val="Normal"/>
    <w:autoRedefine/>
    <w:uiPriority w:val="39"/>
    <w:unhideWhenUsed/>
    <w:rsid w:val="001E5246"/>
    <w:pPr>
      <w:spacing w:after="0"/>
      <w:ind w:left="1320"/>
    </w:pPr>
    <w:rPr>
      <w:sz w:val="18"/>
      <w:szCs w:val="18"/>
    </w:rPr>
  </w:style>
  <w:style w:type="paragraph" w:styleId="TOC4">
    <w:name w:val="toc 4"/>
    <w:basedOn w:val="Normal"/>
    <w:next w:val="Normal"/>
    <w:autoRedefine/>
    <w:uiPriority w:val="39"/>
    <w:unhideWhenUsed/>
    <w:rsid w:val="003A72F8"/>
    <w:pPr>
      <w:tabs>
        <w:tab w:val="left" w:pos="1320"/>
        <w:tab w:val="right" w:leader="dot" w:pos="9792"/>
      </w:tabs>
      <w:spacing w:after="0" w:line="240" w:lineRule="auto"/>
      <w:ind w:left="660"/>
      <w:jc w:val="both"/>
    </w:pPr>
    <w:rPr>
      <w:sz w:val="18"/>
      <w:szCs w:val="18"/>
    </w:rPr>
  </w:style>
  <w:style w:type="paragraph" w:styleId="TOC8">
    <w:name w:val="toc 8"/>
    <w:basedOn w:val="Normal"/>
    <w:next w:val="Normal"/>
    <w:autoRedefine/>
    <w:uiPriority w:val="39"/>
    <w:unhideWhenUsed/>
    <w:rsid w:val="00731155"/>
    <w:pPr>
      <w:spacing w:after="0"/>
      <w:ind w:left="1540"/>
    </w:pPr>
    <w:rPr>
      <w:sz w:val="18"/>
      <w:szCs w:val="18"/>
    </w:rPr>
  </w:style>
  <w:style w:type="paragraph" w:styleId="TOC9">
    <w:name w:val="toc 9"/>
    <w:basedOn w:val="Normal"/>
    <w:next w:val="Normal"/>
    <w:autoRedefine/>
    <w:uiPriority w:val="39"/>
    <w:unhideWhenUsed/>
    <w:rsid w:val="00731155"/>
    <w:pPr>
      <w:spacing w:after="0"/>
      <w:ind w:left="1760"/>
    </w:pPr>
    <w:rPr>
      <w:sz w:val="18"/>
      <w:szCs w:val="18"/>
    </w:rPr>
  </w:style>
  <w:style w:type="character" w:customStyle="1" w:styleId="PrrafodeSentenciaChar">
    <w:name w:val="*. Párrafo de Sentencia Char"/>
    <w:link w:val="PrrafodeSentencia"/>
    <w:locked/>
    <w:rsid w:val="003C71F3"/>
    <w:rPr>
      <w:rFonts w:ascii="Verdana" w:eastAsia="Batang" w:hAnsi="Verdana"/>
      <w:spacing w:val="-4"/>
      <w:sz w:val="20"/>
      <w:lang w:eastAsia="es-MX"/>
    </w:rPr>
  </w:style>
  <w:style w:type="paragraph" w:customStyle="1" w:styleId="PrrafodeSentencia">
    <w:name w:val="*. Párrafo de Sentencia"/>
    <w:basedOn w:val="Normal"/>
    <w:next w:val="Normal"/>
    <w:link w:val="PrrafodeSentenciaChar"/>
    <w:qFormat/>
    <w:rsid w:val="003C71F3"/>
    <w:pPr>
      <w:tabs>
        <w:tab w:val="left" w:pos="567"/>
      </w:tabs>
      <w:spacing w:after="0" w:line="240" w:lineRule="auto"/>
      <w:jc w:val="both"/>
    </w:pPr>
    <w:rPr>
      <w:rFonts w:ascii="Verdana" w:hAnsi="Verdana"/>
      <w:spacing w:val="-4"/>
      <w:sz w:val="20"/>
      <w:lang w:val="es-CR" w:eastAsia="es-MX"/>
    </w:rPr>
  </w:style>
  <w:style w:type="table" w:styleId="TableGrid">
    <w:name w:val="Table Grid"/>
    <w:basedOn w:val="TableNormal"/>
    <w:uiPriority w:val="59"/>
    <w:rsid w:val="00E33422"/>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unhideWhenUsed/>
    <w:rsid w:val="008D073B"/>
    <w:pPr>
      <w:spacing w:after="120" w:line="360" w:lineRule="atLeast"/>
      <w:jc w:val="both"/>
    </w:pPr>
    <w:rPr>
      <w:rFonts w:ascii="Verdana" w:eastAsiaTheme="minorHAnsi" w:hAnsi="Verdana" w:cs="Times New Roman"/>
      <w:sz w:val="24"/>
      <w:szCs w:val="24"/>
      <w:lang w:val="es-CR" w:eastAsia="es-CR"/>
    </w:rPr>
  </w:style>
  <w:style w:type="character" w:customStyle="1" w:styleId="BodyTextChar">
    <w:name w:val="Body Text Char"/>
    <w:basedOn w:val="DefaultParagraphFont"/>
    <w:link w:val="BodyText"/>
    <w:uiPriority w:val="99"/>
    <w:rsid w:val="008D073B"/>
    <w:rPr>
      <w:rFonts w:ascii="Verdana" w:hAnsi="Verdana" w:cs="Times New Roman"/>
      <w:sz w:val="24"/>
      <w:szCs w:val="24"/>
      <w:lang w:eastAsia="es-CR"/>
    </w:rPr>
  </w:style>
  <w:style w:type="paragraph" w:customStyle="1" w:styleId="Ttulo61">
    <w:name w:val="Título 61"/>
    <w:basedOn w:val="Normal"/>
    <w:rsid w:val="008D073B"/>
    <w:pPr>
      <w:numPr>
        <w:ilvl w:val="4"/>
        <w:numId w:val="104"/>
      </w:numPr>
      <w:spacing w:after="0" w:line="240" w:lineRule="auto"/>
      <w:ind w:left="0" w:firstLine="0"/>
    </w:pPr>
    <w:rPr>
      <w:rFonts w:ascii="Calibri" w:eastAsiaTheme="minorHAnsi" w:hAnsi="Calibri" w:cs="Times New Roman"/>
      <w:lang w:val="es-C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184794">
      <w:bodyDiv w:val="1"/>
      <w:marLeft w:val="0"/>
      <w:marRight w:val="0"/>
      <w:marTop w:val="0"/>
      <w:marBottom w:val="0"/>
      <w:divBdr>
        <w:top w:val="none" w:sz="0" w:space="0" w:color="auto"/>
        <w:left w:val="none" w:sz="0" w:space="0" w:color="auto"/>
        <w:bottom w:val="none" w:sz="0" w:space="0" w:color="auto"/>
        <w:right w:val="none" w:sz="0" w:space="0" w:color="auto"/>
      </w:divBdr>
    </w:div>
    <w:div w:id="200213278">
      <w:bodyDiv w:val="1"/>
      <w:marLeft w:val="0"/>
      <w:marRight w:val="0"/>
      <w:marTop w:val="0"/>
      <w:marBottom w:val="0"/>
      <w:divBdr>
        <w:top w:val="none" w:sz="0" w:space="0" w:color="auto"/>
        <w:left w:val="none" w:sz="0" w:space="0" w:color="auto"/>
        <w:bottom w:val="none" w:sz="0" w:space="0" w:color="auto"/>
        <w:right w:val="none" w:sz="0" w:space="0" w:color="auto"/>
      </w:divBdr>
    </w:div>
    <w:div w:id="225721457">
      <w:bodyDiv w:val="1"/>
      <w:marLeft w:val="0"/>
      <w:marRight w:val="0"/>
      <w:marTop w:val="0"/>
      <w:marBottom w:val="0"/>
      <w:divBdr>
        <w:top w:val="none" w:sz="0" w:space="0" w:color="auto"/>
        <w:left w:val="none" w:sz="0" w:space="0" w:color="auto"/>
        <w:bottom w:val="none" w:sz="0" w:space="0" w:color="auto"/>
        <w:right w:val="none" w:sz="0" w:space="0" w:color="auto"/>
      </w:divBdr>
    </w:div>
    <w:div w:id="234047683">
      <w:bodyDiv w:val="1"/>
      <w:marLeft w:val="0"/>
      <w:marRight w:val="0"/>
      <w:marTop w:val="0"/>
      <w:marBottom w:val="0"/>
      <w:divBdr>
        <w:top w:val="none" w:sz="0" w:space="0" w:color="auto"/>
        <w:left w:val="none" w:sz="0" w:space="0" w:color="auto"/>
        <w:bottom w:val="none" w:sz="0" w:space="0" w:color="auto"/>
        <w:right w:val="none" w:sz="0" w:space="0" w:color="auto"/>
      </w:divBdr>
    </w:div>
    <w:div w:id="355082476">
      <w:bodyDiv w:val="1"/>
      <w:marLeft w:val="0"/>
      <w:marRight w:val="0"/>
      <w:marTop w:val="0"/>
      <w:marBottom w:val="0"/>
      <w:divBdr>
        <w:top w:val="none" w:sz="0" w:space="0" w:color="auto"/>
        <w:left w:val="none" w:sz="0" w:space="0" w:color="auto"/>
        <w:bottom w:val="none" w:sz="0" w:space="0" w:color="auto"/>
        <w:right w:val="none" w:sz="0" w:space="0" w:color="auto"/>
      </w:divBdr>
    </w:div>
    <w:div w:id="449318672">
      <w:bodyDiv w:val="1"/>
      <w:marLeft w:val="0"/>
      <w:marRight w:val="0"/>
      <w:marTop w:val="0"/>
      <w:marBottom w:val="0"/>
      <w:divBdr>
        <w:top w:val="none" w:sz="0" w:space="0" w:color="auto"/>
        <w:left w:val="none" w:sz="0" w:space="0" w:color="auto"/>
        <w:bottom w:val="none" w:sz="0" w:space="0" w:color="auto"/>
        <w:right w:val="none" w:sz="0" w:space="0" w:color="auto"/>
      </w:divBdr>
    </w:div>
    <w:div w:id="536697353">
      <w:bodyDiv w:val="1"/>
      <w:marLeft w:val="0"/>
      <w:marRight w:val="0"/>
      <w:marTop w:val="0"/>
      <w:marBottom w:val="0"/>
      <w:divBdr>
        <w:top w:val="none" w:sz="0" w:space="0" w:color="auto"/>
        <w:left w:val="none" w:sz="0" w:space="0" w:color="auto"/>
        <w:bottom w:val="none" w:sz="0" w:space="0" w:color="auto"/>
        <w:right w:val="none" w:sz="0" w:space="0" w:color="auto"/>
      </w:divBdr>
    </w:div>
    <w:div w:id="698706181">
      <w:bodyDiv w:val="1"/>
      <w:marLeft w:val="0"/>
      <w:marRight w:val="0"/>
      <w:marTop w:val="0"/>
      <w:marBottom w:val="0"/>
      <w:divBdr>
        <w:top w:val="none" w:sz="0" w:space="0" w:color="auto"/>
        <w:left w:val="none" w:sz="0" w:space="0" w:color="auto"/>
        <w:bottom w:val="none" w:sz="0" w:space="0" w:color="auto"/>
        <w:right w:val="none" w:sz="0" w:space="0" w:color="auto"/>
      </w:divBdr>
    </w:div>
    <w:div w:id="795175736">
      <w:bodyDiv w:val="1"/>
      <w:marLeft w:val="0"/>
      <w:marRight w:val="0"/>
      <w:marTop w:val="0"/>
      <w:marBottom w:val="0"/>
      <w:divBdr>
        <w:top w:val="none" w:sz="0" w:space="0" w:color="auto"/>
        <w:left w:val="none" w:sz="0" w:space="0" w:color="auto"/>
        <w:bottom w:val="none" w:sz="0" w:space="0" w:color="auto"/>
        <w:right w:val="none" w:sz="0" w:space="0" w:color="auto"/>
      </w:divBdr>
    </w:div>
    <w:div w:id="1228564242">
      <w:bodyDiv w:val="1"/>
      <w:marLeft w:val="0"/>
      <w:marRight w:val="0"/>
      <w:marTop w:val="0"/>
      <w:marBottom w:val="0"/>
      <w:divBdr>
        <w:top w:val="none" w:sz="0" w:space="0" w:color="auto"/>
        <w:left w:val="none" w:sz="0" w:space="0" w:color="auto"/>
        <w:bottom w:val="none" w:sz="0" w:space="0" w:color="auto"/>
        <w:right w:val="none" w:sz="0" w:space="0" w:color="auto"/>
      </w:divBdr>
    </w:div>
    <w:div w:id="1242373116">
      <w:bodyDiv w:val="1"/>
      <w:marLeft w:val="0"/>
      <w:marRight w:val="0"/>
      <w:marTop w:val="0"/>
      <w:marBottom w:val="0"/>
      <w:divBdr>
        <w:top w:val="none" w:sz="0" w:space="0" w:color="auto"/>
        <w:left w:val="none" w:sz="0" w:space="0" w:color="auto"/>
        <w:bottom w:val="none" w:sz="0" w:space="0" w:color="auto"/>
        <w:right w:val="none" w:sz="0" w:space="0" w:color="auto"/>
      </w:divBdr>
    </w:div>
    <w:div w:id="1286424968">
      <w:bodyDiv w:val="1"/>
      <w:marLeft w:val="0"/>
      <w:marRight w:val="0"/>
      <w:marTop w:val="0"/>
      <w:marBottom w:val="0"/>
      <w:divBdr>
        <w:top w:val="none" w:sz="0" w:space="0" w:color="auto"/>
        <w:left w:val="none" w:sz="0" w:space="0" w:color="auto"/>
        <w:bottom w:val="none" w:sz="0" w:space="0" w:color="auto"/>
        <w:right w:val="none" w:sz="0" w:space="0" w:color="auto"/>
      </w:divBdr>
    </w:div>
    <w:div w:id="1353726021">
      <w:bodyDiv w:val="1"/>
      <w:marLeft w:val="0"/>
      <w:marRight w:val="0"/>
      <w:marTop w:val="0"/>
      <w:marBottom w:val="0"/>
      <w:divBdr>
        <w:top w:val="none" w:sz="0" w:space="0" w:color="auto"/>
        <w:left w:val="none" w:sz="0" w:space="0" w:color="auto"/>
        <w:bottom w:val="none" w:sz="0" w:space="0" w:color="auto"/>
        <w:right w:val="none" w:sz="0" w:space="0" w:color="auto"/>
      </w:divBdr>
    </w:div>
    <w:div w:id="1365012175">
      <w:bodyDiv w:val="1"/>
      <w:marLeft w:val="0"/>
      <w:marRight w:val="0"/>
      <w:marTop w:val="0"/>
      <w:marBottom w:val="0"/>
      <w:divBdr>
        <w:top w:val="none" w:sz="0" w:space="0" w:color="auto"/>
        <w:left w:val="none" w:sz="0" w:space="0" w:color="auto"/>
        <w:bottom w:val="none" w:sz="0" w:space="0" w:color="auto"/>
        <w:right w:val="none" w:sz="0" w:space="0" w:color="auto"/>
      </w:divBdr>
    </w:div>
    <w:div w:id="1474133928">
      <w:bodyDiv w:val="1"/>
      <w:marLeft w:val="0"/>
      <w:marRight w:val="0"/>
      <w:marTop w:val="0"/>
      <w:marBottom w:val="0"/>
      <w:divBdr>
        <w:top w:val="none" w:sz="0" w:space="0" w:color="auto"/>
        <w:left w:val="none" w:sz="0" w:space="0" w:color="auto"/>
        <w:bottom w:val="none" w:sz="0" w:space="0" w:color="auto"/>
        <w:right w:val="none" w:sz="0" w:space="0" w:color="auto"/>
      </w:divBdr>
    </w:div>
    <w:div w:id="1624380261">
      <w:bodyDiv w:val="1"/>
      <w:marLeft w:val="0"/>
      <w:marRight w:val="0"/>
      <w:marTop w:val="0"/>
      <w:marBottom w:val="0"/>
      <w:divBdr>
        <w:top w:val="none" w:sz="0" w:space="0" w:color="auto"/>
        <w:left w:val="none" w:sz="0" w:space="0" w:color="auto"/>
        <w:bottom w:val="none" w:sz="0" w:space="0" w:color="auto"/>
        <w:right w:val="none" w:sz="0" w:space="0" w:color="auto"/>
      </w:divBdr>
    </w:div>
    <w:div w:id="1648781621">
      <w:bodyDiv w:val="1"/>
      <w:marLeft w:val="0"/>
      <w:marRight w:val="0"/>
      <w:marTop w:val="0"/>
      <w:marBottom w:val="0"/>
      <w:divBdr>
        <w:top w:val="none" w:sz="0" w:space="0" w:color="auto"/>
        <w:left w:val="none" w:sz="0" w:space="0" w:color="auto"/>
        <w:bottom w:val="none" w:sz="0" w:space="0" w:color="auto"/>
        <w:right w:val="none" w:sz="0" w:space="0" w:color="auto"/>
      </w:divBdr>
    </w:div>
    <w:div w:id="1871137894">
      <w:bodyDiv w:val="1"/>
      <w:marLeft w:val="0"/>
      <w:marRight w:val="0"/>
      <w:marTop w:val="0"/>
      <w:marBottom w:val="0"/>
      <w:divBdr>
        <w:top w:val="none" w:sz="0" w:space="0" w:color="auto"/>
        <w:left w:val="none" w:sz="0" w:space="0" w:color="auto"/>
        <w:bottom w:val="none" w:sz="0" w:space="0" w:color="auto"/>
        <w:right w:val="none" w:sz="0" w:space="0" w:color="auto"/>
      </w:divBdr>
    </w:div>
    <w:div w:id="2102795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diputados.gob.mx/LeyesBiblio/ref/lgmdfp.ht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8" Type="http://schemas.openxmlformats.org/officeDocument/2006/relationships/hyperlink" Target="http://www.corteidh.or.cr/docs/asuntos/alvarado_23_03_18.pdf" TargetMode="External"/><Relationship Id="rId13" Type="http://schemas.openxmlformats.org/officeDocument/2006/relationships/hyperlink" Target="http://pnd.gob.mx/" TargetMode="External"/><Relationship Id="rId18" Type="http://schemas.openxmlformats.org/officeDocument/2006/relationships/hyperlink" Target="http://www.internet2.scjn.gob.mx/red2/comunicados/noticia.asp?id=5794" TargetMode="External"/><Relationship Id="rId26" Type="http://schemas.openxmlformats.org/officeDocument/2006/relationships/hyperlink" Target="http://www.cndh.org.mx/sites/all/doc/Informes/Especiales/InformeEspecial_20170406.pdf" TargetMode="External"/><Relationship Id="rId39" Type="http://schemas.openxmlformats.org/officeDocument/2006/relationships/hyperlink" Target="http://www.corteidh.or.cr/docs/medidas/alvarado_se_06.pdf" TargetMode="External"/><Relationship Id="rId3" Type="http://schemas.openxmlformats.org/officeDocument/2006/relationships/hyperlink" Target="http://www.corteidh.or.cr/docs/asuntos/alvarado_23_04_18.pdf" TargetMode="External"/><Relationship Id="rId21" Type="http://schemas.openxmlformats.org/officeDocument/2006/relationships/hyperlink" Target="http://www.hchr.org.mx/images/GTDFI2011.pdf" TargetMode="External"/><Relationship Id="rId34" Type="http://schemas.openxmlformats.org/officeDocument/2006/relationships/hyperlink" Target="http://www.cedhchihuahua.org.mx/portal/Informes/Informe_2010.pdf" TargetMode="External"/><Relationship Id="rId42" Type="http://schemas.openxmlformats.org/officeDocument/2006/relationships/hyperlink" Target="http://www.diputados.gob.mx/LeyesBiblio/pdf/LGMDFP_171117.pdf" TargetMode="External"/><Relationship Id="rId7" Type="http://schemas.openxmlformats.org/officeDocument/2006/relationships/hyperlink" Target="http://gaceta.diputados.gob.mx/Gaceta/64/2018/nov/20181120-II.html" TargetMode="External"/><Relationship Id="rId12" Type="http://schemas.openxmlformats.org/officeDocument/2006/relationships/hyperlink" Target="http://www.cndh.org.mx/sites/all/doc/Informes/Especiales/2008_segpublica1.pdf" TargetMode="External"/><Relationship Id="rId17" Type="http://schemas.openxmlformats.org/officeDocument/2006/relationships/hyperlink" Target="http://www.cndh.org.mx/sites/all/doc/Acciones/Acc_Inc_2018_LSI.pdf" TargetMode="External"/><Relationship Id="rId25" Type="http://schemas.openxmlformats.org/officeDocument/2006/relationships/hyperlink" Target="http://www.internal-displacement.org/global-report/grid2018/downloads/2018-GRID.pdf" TargetMode="External"/><Relationship Id="rId33" Type="http://schemas.openxmlformats.org/officeDocument/2006/relationships/hyperlink" Target="http://www.cedhchihuahua.org.mx/portal/Informes/Informe_2009.pdf" TargetMode="External"/><Relationship Id="rId38" Type="http://schemas.openxmlformats.org/officeDocument/2006/relationships/hyperlink" Target="http://www3.weforum.org/docs/WEF_GlobalCompetitivenessReport_2012-13.pdf" TargetMode="External"/><Relationship Id="rId2" Type="http://schemas.openxmlformats.org/officeDocument/2006/relationships/hyperlink" Target="http://www.corteidh.or.cr/docs/asuntos/alvarado_23_03_18.pdf" TargetMode="External"/><Relationship Id="rId16" Type="http://schemas.openxmlformats.org/officeDocument/2006/relationships/hyperlink" Target="http://cdn.presidencia.gob.mx/sextoinforme/informe/6_IG_INFORME_COMPLETO.pdf" TargetMode="External"/><Relationship Id="rId20" Type="http://schemas.openxmlformats.org/officeDocument/2006/relationships/hyperlink" Target="https://www.ohchr.org/sp/NewsEvents/Pages/DisplayNews.aspx?NewsID=16578&amp;LangID=S" TargetMode="External"/><Relationship Id="rId29" Type="http://schemas.openxmlformats.org/officeDocument/2006/relationships/hyperlink" Target="http://www.cndh.org.mx/sites/all/doc/Informes/Especiales/InformeEspecial_20170406_Resumen.pdf" TargetMode="External"/><Relationship Id="rId41" Type="http://schemas.openxmlformats.org/officeDocument/2006/relationships/hyperlink" Target="http://www.diputados.gob.mx/LeyesBiblio/ref/lgmdfp.htm" TargetMode="External"/><Relationship Id="rId1" Type="http://schemas.openxmlformats.org/officeDocument/2006/relationships/hyperlink" Target="http://www.corteidh.or.cr/docs/asuntos/alvaradoes_fv_17.pdf" TargetMode="External"/><Relationship Id="rId6" Type="http://schemas.openxmlformats.org/officeDocument/2006/relationships/hyperlink" Target="https://lopezobrador.org.mx/wp-content/uploads/2018/11/Plan-Nacional-de-Paz-y-Seguridad_.pdf" TargetMode="External"/><Relationship Id="rId11" Type="http://schemas.openxmlformats.org/officeDocument/2006/relationships/hyperlink" Target="http://calderon.presidencia.gob.mx/el-blog/los-operativos-conjuntos/" TargetMode="External"/><Relationship Id="rId24" Type="http://schemas.openxmlformats.org/officeDocument/2006/relationships/hyperlink" Target="http://www.cndh.org.mx/sites/all/doc/Informes/Especiales/2016_IE_Desplazados.pdf" TargetMode="External"/><Relationship Id="rId32" Type="http://schemas.openxmlformats.org/officeDocument/2006/relationships/hyperlink" Target="http://www.cedhchihuahua.org.mx/portal/Informes/Informe_2008.pdf" TargetMode="External"/><Relationship Id="rId37" Type="http://schemas.openxmlformats.org/officeDocument/2006/relationships/hyperlink" Target="http://www.undp.org/content/dam/rblac/img/IDH/IDH-AL%20Informe%20completo.pdf" TargetMode="External"/><Relationship Id="rId40" Type="http://schemas.openxmlformats.org/officeDocument/2006/relationships/hyperlink" Target="http://www.diputados.gob.mx/LeyesBiblio/pdf/LAmp_150618.pdf" TargetMode="External"/><Relationship Id="rId45" Type="http://schemas.openxmlformats.org/officeDocument/2006/relationships/hyperlink" Target="http://www.corteidh.or.cr/cf/Jurisprudencia2/busqueda_convocatorias.cfm?lang=es" TargetMode="External"/><Relationship Id="rId5" Type="http://schemas.openxmlformats.org/officeDocument/2006/relationships/hyperlink" Target="http://www.internet2.scjn.gob.mx/red2/comunicados/noticia.asp?id=5794" TargetMode="External"/><Relationship Id="rId15" Type="http://schemas.openxmlformats.org/officeDocument/2006/relationships/hyperlink" Target="http://www.dof.gob.mx/nota_detalle.php?codigo=5508716&amp;fecha=21/12/2017" TargetMode="External"/><Relationship Id="rId23" Type="http://schemas.openxmlformats.org/officeDocument/2006/relationships/hyperlink" Target="http://www.cndh.org.mx/sites/all/doc/Informes/Especiales/2016_IE_Recomendaciones.pdf" TargetMode="External"/><Relationship Id="rId28" Type="http://schemas.openxmlformats.org/officeDocument/2006/relationships/hyperlink" Target="https://tbinternet.ohchr.org/Treaties/CED/Shared%20Documents/MEX/INT_CED_IFN_MEX_19449_S.pdf" TargetMode="External"/><Relationship Id="rId36" Type="http://schemas.openxmlformats.org/officeDocument/2006/relationships/hyperlink" Target="http://www.corteidh.or.cr/docs/medidas/alvarado_se_07.pdf" TargetMode="External"/><Relationship Id="rId10" Type="http://schemas.openxmlformats.org/officeDocument/2006/relationships/hyperlink" Target="http://calderon.presidencia.gob.mx/informe/primer/mensajealanacion/index.html" TargetMode="External"/><Relationship Id="rId19" Type="http://schemas.openxmlformats.org/officeDocument/2006/relationships/hyperlink" Target="https://www.hchr.org.mx/images/doc_pub/SRHRD-END-OF-MISSION-STATEMENT-FINAL_ESP.pdf" TargetMode="External"/><Relationship Id="rId31" Type="http://schemas.openxmlformats.org/officeDocument/2006/relationships/hyperlink" Target="https://www.oas.org/es/cidh/expresion/docs/2018_06_18%20CIDH-UN_FINAL_MX_report_SPA.PDF" TargetMode="External"/><Relationship Id="rId44" Type="http://schemas.openxmlformats.org/officeDocument/2006/relationships/hyperlink" Target="https://datos.bancomundial.org/indicator/SP.DYN.LE00.FE.IN?end=2016&amp;locations=MX&amp;name_desc=false&amp;start=1978&amp;view=chart" TargetMode="External"/><Relationship Id="rId4" Type="http://schemas.openxmlformats.org/officeDocument/2006/relationships/hyperlink" Target="http://www.dof.gob.mx/nota_detalle.php?codigo=5508716&amp;fecha=21/12/2017" TargetMode="External"/><Relationship Id="rId9" Type="http://schemas.openxmlformats.org/officeDocument/2006/relationships/hyperlink" Target="http://calderon.presidencia.gob.mx/2006/12/anuncio-sobre-la-operacion-conjunta-michoacan/" TargetMode="External"/><Relationship Id="rId14" Type="http://schemas.openxmlformats.org/officeDocument/2006/relationships/hyperlink" Target="http://www.hchr.org.mx/images/doc_pub/RecomendacionesMX_AltoComisionadoDH_ES.pdf" TargetMode="External"/><Relationship Id="rId22" Type="http://schemas.openxmlformats.org/officeDocument/2006/relationships/hyperlink" Target="http://www.cndh.org.mx/Informes_Anuales_Actividades" TargetMode="External"/><Relationship Id="rId27" Type="http://schemas.openxmlformats.org/officeDocument/2006/relationships/hyperlink" Target="http://www.cndh.org.mx/sites/all/doc/Comunicados/2017/Com_2017_103.pdf" TargetMode="External"/><Relationship Id="rId30" Type="http://schemas.openxmlformats.org/officeDocument/2006/relationships/hyperlink" Target="http://www.cndh.org.mx/sites/all/doc/Comunicados/2015/Com_2015_023.pdf" TargetMode="External"/><Relationship Id="rId35" Type="http://schemas.openxmlformats.org/officeDocument/2006/relationships/hyperlink" Target="http://www.cedhchihuahua.org.mx/portal/Informes/Informe_2011.pdf" TargetMode="External"/><Relationship Id="rId43" Type="http://schemas.openxmlformats.org/officeDocument/2006/relationships/hyperlink" Target="http://www.cndh.org.mx/sites/all/doc/Informes/Especiales/InformeEspecial_2017040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15BEBE2BF87F40A76A9C926EBECC0C" ma:contentTypeVersion="0" ma:contentTypeDescription="Create a new document." ma:contentTypeScope="" ma:versionID="ad8069bb81a7b5dc5c766ad6aa2648bb">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67D11E-CED3-43AF-8FB9-4D4AAB2C22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2DA5F94C-7695-45BA-BAD6-E416879F416A}">
  <ds:schemaRefs>
    <ds:schemaRef ds:uri="http://purl.org/dc/terms/"/>
    <ds:schemaRef ds:uri="http://schemas.openxmlformats.org/package/2006/metadata/core-properties"/>
    <ds:schemaRef ds:uri="http://purl.org/dc/elements/1.1/"/>
    <ds:schemaRef ds:uri="http://purl.org/dc/dcmitype/"/>
    <ds:schemaRef ds:uri="http://schemas.microsoft.com/office/2006/documentManagement/type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14F92AEF-6AD0-4B10-9D65-E508CB41D091}">
  <ds:schemaRefs>
    <ds:schemaRef ds:uri="http://schemas.microsoft.com/sharepoint/v3/contenttype/forms"/>
  </ds:schemaRefs>
</ds:datastoreItem>
</file>

<file path=customXml/itemProps4.xml><?xml version="1.0" encoding="utf-8"?>
<ds:datastoreItem xmlns:ds="http://schemas.openxmlformats.org/officeDocument/2006/customXml" ds:itemID="{A0FCAEE9-99C1-41CE-992C-FE7A542D0E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119</Pages>
  <Words>50947</Words>
  <Characters>280214</Characters>
  <Application>Microsoft Office Word</Application>
  <DocSecurity>0</DocSecurity>
  <Lines>2335</Lines>
  <Paragraphs>660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Hewlett-Packard Company</Company>
  <LinksUpToDate>false</LinksUpToDate>
  <CharactersWithSpaces>330501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Corte  IDH</dc:creator>
  <cp:lastModifiedBy>Corte IDH</cp:lastModifiedBy>
  <cp:revision>3</cp:revision>
  <cp:lastPrinted>2018-12-21T00:23:00Z</cp:lastPrinted>
  <dcterms:created xsi:type="dcterms:W3CDTF">2018-12-21T00:23:00Z</dcterms:created>
  <dcterms:modified xsi:type="dcterms:W3CDTF">2018-12-21T00:23:00Z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0x010100D015BEBE2BF87F40A76A9C926EBECC0C</vt:lpwstr>
  </property>
</Properties>
</file>